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pacing w:line="600" w:lineRule="exact"/>
        <w:jc w:val="center"/>
        <w:outlineLvl w:val="0"/>
        <w:rPr>
          <w:rFonts w:hint="default" w:ascii="方正小标宋简体" w:hAnsi="宋体" w:eastAsia="方正小标宋简体"/>
          <w:color w:val="auto"/>
          <w:sz w:val="72"/>
          <w:szCs w:val="72"/>
          <w:highlight w:val="none"/>
          <w:lang w:val="en-US" w:eastAsia="zh-CN"/>
        </w:rPr>
      </w:pPr>
      <w:bookmarkStart w:id="0" w:name="_Toc15306267"/>
    </w:p>
    <w:p>
      <w:pPr>
        <w:keepNext w:val="0"/>
        <w:keepLines w:val="0"/>
        <w:pageBreakBefore w:val="0"/>
        <w:widowControl w:val="0"/>
        <w:kinsoku/>
        <w:wordWrap/>
        <w:overflowPunct/>
        <w:topLinePunct w:val="0"/>
        <w:bidi w:val="0"/>
        <w:spacing w:line="600" w:lineRule="exact"/>
        <w:jc w:val="center"/>
        <w:outlineLvl w:val="0"/>
        <w:rPr>
          <w:rFonts w:ascii="方正小标宋简体" w:hAnsi="宋体" w:eastAsia="方正小标宋简体"/>
          <w:color w:val="auto"/>
          <w:sz w:val="72"/>
          <w:szCs w:val="72"/>
          <w:highlight w:val="none"/>
        </w:rPr>
      </w:pPr>
    </w:p>
    <w:p>
      <w:pPr>
        <w:keepNext w:val="0"/>
        <w:keepLines w:val="0"/>
        <w:pageBreakBefore w:val="0"/>
        <w:widowControl w:val="0"/>
        <w:kinsoku/>
        <w:wordWrap/>
        <w:overflowPunct/>
        <w:topLinePunct w:val="0"/>
        <w:bidi w:val="0"/>
        <w:spacing w:line="600" w:lineRule="exact"/>
        <w:jc w:val="center"/>
        <w:outlineLvl w:val="0"/>
        <w:rPr>
          <w:rFonts w:ascii="方正小标宋简体" w:hAnsi="宋体" w:eastAsia="方正小标宋简体"/>
          <w:color w:val="auto"/>
          <w:sz w:val="72"/>
          <w:szCs w:val="72"/>
          <w:highlight w:val="none"/>
        </w:rPr>
      </w:pPr>
    </w:p>
    <w:p>
      <w:pPr>
        <w:keepNext w:val="0"/>
        <w:keepLines w:val="0"/>
        <w:pageBreakBefore w:val="0"/>
        <w:widowControl w:val="0"/>
        <w:kinsoku/>
        <w:wordWrap/>
        <w:overflowPunct/>
        <w:topLinePunct w:val="0"/>
        <w:bidi w:val="0"/>
        <w:spacing w:line="600" w:lineRule="exact"/>
        <w:jc w:val="center"/>
        <w:outlineLvl w:val="0"/>
        <w:rPr>
          <w:rFonts w:ascii="方正小标宋简体" w:hAnsi="宋体" w:eastAsia="方正小标宋简体"/>
          <w:color w:val="auto"/>
          <w:sz w:val="72"/>
          <w:szCs w:val="72"/>
          <w:highlight w:val="none"/>
        </w:rPr>
      </w:pPr>
    </w:p>
    <w:p>
      <w:pPr>
        <w:keepNext w:val="0"/>
        <w:keepLines w:val="0"/>
        <w:pageBreakBefore w:val="0"/>
        <w:widowControl w:val="0"/>
        <w:kinsoku/>
        <w:wordWrap/>
        <w:overflowPunct/>
        <w:topLinePunct w:val="0"/>
        <w:bidi w:val="0"/>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15396597"/>
      <w:bookmarkStart w:id="2" w:name="_Toc15396475"/>
      <w:bookmarkStart w:id="3" w:name="_Toc15377193"/>
      <w:bookmarkStart w:id="4" w:name="_Toc15378441"/>
      <w:bookmarkStart w:id="5" w:name="_Toc15377425"/>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21</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p>
    <w:p>
      <w:pPr>
        <w:keepNext w:val="0"/>
        <w:keepLines w:val="0"/>
        <w:pageBreakBefore w:val="0"/>
        <w:widowControl w:val="0"/>
        <w:kinsoku/>
        <w:wordWrap/>
        <w:overflowPunct/>
        <w:topLinePunct w:val="0"/>
        <w:bidi w:val="0"/>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6" w:name="_Toc15378442"/>
      <w:bookmarkStart w:id="7" w:name="_Toc15377194"/>
      <w:bookmarkStart w:id="8" w:name="_Toc15396598"/>
      <w:bookmarkStart w:id="9" w:name="_Toc15396476"/>
      <w:bookmarkStart w:id="10" w:name="_Toc15377426"/>
      <w:r>
        <w:rPr>
          <w:rFonts w:hint="eastAsia" w:ascii="方正小标宋简体" w:hAnsi="方正小标宋简体" w:eastAsia="方正小标宋简体" w:cs="方正小标宋简体"/>
          <w:color w:val="auto"/>
          <w:sz w:val="72"/>
          <w:szCs w:val="72"/>
          <w:highlight w:val="none"/>
          <w:lang w:val="en-US" w:eastAsia="zh-CN"/>
        </w:rPr>
        <w:t>广元市</w:t>
      </w:r>
      <w:bookmarkEnd w:id="0"/>
      <w:bookmarkStart w:id="11" w:name="_Toc15306268"/>
      <w:r>
        <w:rPr>
          <w:rFonts w:hint="eastAsia" w:ascii="方正小标宋简体" w:hAnsi="方正小标宋简体" w:eastAsia="方正小标宋简体" w:cs="方正小标宋简体"/>
          <w:color w:val="auto"/>
          <w:sz w:val="72"/>
          <w:szCs w:val="72"/>
          <w:highlight w:val="none"/>
          <w:lang w:val="en-US" w:eastAsia="zh-CN"/>
        </w:rPr>
        <w:t>财政局</w:t>
      </w:r>
      <w:r>
        <w:rPr>
          <w:rFonts w:hint="eastAsia" w:ascii="方正小标宋简体" w:hAnsi="方正小标宋简体" w:eastAsia="方正小标宋简体" w:cs="方正小标宋简体"/>
          <w:color w:val="auto"/>
          <w:sz w:val="72"/>
          <w:szCs w:val="72"/>
          <w:highlight w:val="none"/>
          <w:lang w:eastAsia="zh-CN"/>
        </w:rPr>
        <w:t>单位</w:t>
      </w:r>
      <w:r>
        <w:rPr>
          <w:rFonts w:hint="eastAsia" w:ascii="方正小标宋简体" w:hAnsi="方正小标宋简体" w:eastAsia="方正小标宋简体" w:cs="方正小标宋简体"/>
          <w:color w:val="auto"/>
          <w:sz w:val="72"/>
          <w:szCs w:val="72"/>
          <w:highlight w:val="none"/>
        </w:rPr>
        <w:t>决算</w:t>
      </w:r>
      <w:bookmarkEnd w:id="6"/>
      <w:bookmarkEnd w:id="7"/>
      <w:bookmarkEnd w:id="8"/>
      <w:bookmarkEnd w:id="9"/>
      <w:bookmarkEnd w:id="10"/>
      <w:bookmarkEnd w:id="11"/>
    </w:p>
    <w:p>
      <w:pPr>
        <w:keepNext w:val="0"/>
        <w:keepLines w:val="0"/>
        <w:pageBreakBefore w:val="0"/>
        <w:widowControl w:val="0"/>
        <w:kinsoku/>
        <w:wordWrap/>
        <w:overflowPunct/>
        <w:topLinePunct w:val="0"/>
        <w:bidi w:val="0"/>
        <w:jc w:val="center"/>
        <w:rPr>
          <w:rFonts w:hint="eastAsia" w:ascii="方正小标宋简体" w:hAnsi="方正小标宋简体" w:eastAsia="方正小标宋简体" w:cs="方正小标宋简体"/>
          <w:color w:val="auto"/>
          <w:sz w:val="44"/>
          <w:szCs w:val="44"/>
          <w:highlight w:val="none"/>
        </w:rPr>
      </w:pPr>
      <w:r>
        <w:rPr>
          <w:rFonts w:ascii="方正小标宋简体" w:hAnsi="宋体" w:eastAsia="方正小标宋简体"/>
          <w:color w:val="auto"/>
          <w:sz w:val="36"/>
          <w:szCs w:val="36"/>
          <w:highlight w:val="none"/>
        </w:rPr>
        <w:br w:type="page"/>
      </w:r>
      <w:r>
        <w:rPr>
          <w:rFonts w:hint="eastAsia" w:ascii="方正小标宋简体" w:hAnsi="方正小标宋简体" w:eastAsia="方正小标宋简体" w:cs="方正小标宋简体"/>
          <w:color w:val="auto"/>
          <w:sz w:val="44"/>
          <w:szCs w:val="44"/>
          <w:highlight w:val="none"/>
        </w:rPr>
        <w:t>目</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录</w:t>
      </w:r>
    </w:p>
    <w:p>
      <w:pPr>
        <w:pStyle w:val="10"/>
        <w:keepNext w:val="0"/>
        <w:keepLines w:val="0"/>
        <w:pageBreakBefore w:val="0"/>
        <w:widowControl w:val="0"/>
        <w:kinsoku/>
        <w:wordWrap/>
        <w:overflowPunct/>
        <w:topLinePunct w:val="0"/>
        <w:bidi w:val="0"/>
        <w:rPr>
          <w:color w:val="auto"/>
          <w:highlight w:val="none"/>
        </w:rPr>
      </w:pPr>
      <w:r>
        <w:rPr>
          <w:rFonts w:hint="eastAsia"/>
          <w:color w:val="auto"/>
          <w:highlight w:val="none"/>
        </w:rPr>
        <w:t>公开时间：20</w:t>
      </w:r>
      <w:r>
        <w:rPr>
          <w:rFonts w:hint="eastAsia"/>
          <w:color w:val="auto"/>
          <w:highlight w:val="none"/>
          <w:lang w:val="en-US" w:eastAsia="zh-CN"/>
        </w:rPr>
        <w:t>22</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27</w:t>
      </w:r>
      <w:r>
        <w:rPr>
          <w:rFonts w:hint="eastAsia"/>
          <w:color w:val="auto"/>
          <w:highlight w:val="none"/>
        </w:rPr>
        <w:t>日</w:t>
      </w:r>
    </w:p>
    <w:p>
      <w:pPr>
        <w:keepNext w:val="0"/>
        <w:keepLines w:val="0"/>
        <w:pageBreakBefore w:val="0"/>
        <w:widowControl w:val="0"/>
        <w:kinsoku/>
        <w:wordWrap/>
        <w:overflowPunct/>
        <w:topLinePunct w:val="0"/>
        <w:bidi w:val="0"/>
        <w:rPr>
          <w:color w:val="auto"/>
          <w:highlight w:val="none"/>
        </w:rPr>
      </w:pPr>
    </w:p>
    <w:p>
      <w:pPr>
        <w:pStyle w:val="10"/>
        <w:keepNext w:val="0"/>
        <w:keepLines w:val="0"/>
        <w:pageBreakBefore w:val="0"/>
        <w:widowControl w:val="0"/>
        <w:kinsoku/>
        <w:wordWrap/>
        <w:overflowPunct/>
        <w:topLinePunct w:val="0"/>
        <w:bidi w:val="0"/>
        <w:adjustRightInd w:val="0"/>
        <w:snapToGrid w:val="0"/>
        <w:spacing w:before="0" w:line="44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第一部分 </w:t>
      </w:r>
      <w:r>
        <w:rPr>
          <w:rFonts w:hint="eastAsia" w:asciiTheme="minorEastAsia" w:hAnsiTheme="minorEastAsia" w:eastAsiaTheme="minorEastAsia" w:cstheme="minorEastAsia"/>
          <w:color w:val="auto"/>
          <w:sz w:val="24"/>
          <w:szCs w:val="24"/>
          <w:highlight w:val="none"/>
          <w:lang w:eastAsia="zh-CN"/>
        </w:rPr>
        <w:t>单位</w:t>
      </w:r>
      <w:r>
        <w:rPr>
          <w:rFonts w:hint="eastAsia" w:asciiTheme="minorEastAsia" w:hAnsiTheme="minorEastAsia" w:eastAsiaTheme="minorEastAsia" w:cstheme="minorEastAsia"/>
          <w:color w:val="auto"/>
          <w:sz w:val="24"/>
          <w:szCs w:val="24"/>
          <w:highlight w:val="none"/>
        </w:rPr>
        <w:t>概况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_Toc30338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p>
      <w:pPr>
        <w:pStyle w:val="10"/>
        <w:keepNext w:val="0"/>
        <w:keepLines w:val="0"/>
        <w:pageBreakBefore w:val="0"/>
        <w:widowControl w:val="0"/>
        <w:kinsoku/>
        <w:wordWrap/>
        <w:overflowPunct/>
        <w:topLinePunct w:val="0"/>
        <w:bidi w:val="0"/>
        <w:adjustRightInd w:val="0"/>
        <w:snapToGrid w:val="0"/>
        <w:spacing w:before="0" w:line="440" w:lineRule="exact"/>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一、职能</w:t>
      </w:r>
      <w:r>
        <w:rPr>
          <w:rFonts w:hint="eastAsia" w:asciiTheme="minorEastAsia" w:hAnsiTheme="minorEastAsia" w:eastAsiaTheme="minorEastAsia" w:cstheme="minorEastAsia"/>
          <w:color w:val="auto"/>
          <w:sz w:val="24"/>
          <w:szCs w:val="24"/>
          <w:highlight w:val="none"/>
          <w:lang w:eastAsia="zh-CN"/>
        </w:rPr>
        <w:t>简介</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_Toc30338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p>
      <w:pPr>
        <w:pStyle w:val="10"/>
        <w:keepNext w:val="0"/>
        <w:keepLines w:val="0"/>
        <w:pageBreakBefore w:val="0"/>
        <w:widowControl w:val="0"/>
        <w:kinsoku/>
        <w:wordWrap/>
        <w:overflowPunct/>
        <w:topLinePunct w:val="0"/>
        <w:bidi w:val="0"/>
        <w:adjustRightInd w:val="0"/>
        <w:snapToGrid w:val="0"/>
        <w:spacing w:before="0" w:line="440" w:lineRule="exact"/>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二、</w:t>
      </w:r>
      <w:r>
        <w:rPr>
          <w:rFonts w:hint="eastAsia" w:asciiTheme="minorEastAsia" w:hAnsiTheme="minorEastAsia" w:eastAsiaTheme="minorEastAsia" w:cstheme="minorEastAsia"/>
          <w:color w:val="auto"/>
          <w:sz w:val="24"/>
          <w:szCs w:val="24"/>
          <w:highlight w:val="none"/>
          <w:lang w:val="en-US" w:eastAsia="zh-CN"/>
        </w:rPr>
        <w:t>2021年重点</w:t>
      </w:r>
      <w:r>
        <w:rPr>
          <w:rFonts w:hint="eastAsia" w:asciiTheme="minorEastAsia" w:hAnsiTheme="minorEastAsia" w:eastAsiaTheme="minorEastAsia" w:cstheme="minorEastAsia"/>
          <w:color w:val="auto"/>
          <w:sz w:val="24"/>
          <w:szCs w:val="24"/>
          <w:highlight w:val="none"/>
        </w:rPr>
        <w:t>工作</w:t>
      </w:r>
      <w:r>
        <w:rPr>
          <w:rFonts w:hint="eastAsia" w:asciiTheme="minorEastAsia" w:hAnsiTheme="minorEastAsia" w:eastAsiaTheme="minorEastAsia" w:cstheme="minorEastAsia"/>
          <w:color w:val="auto"/>
          <w:sz w:val="24"/>
          <w:szCs w:val="24"/>
          <w:highlight w:val="none"/>
          <w:lang w:eastAsia="zh-CN"/>
        </w:rPr>
        <w:t>完成情况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2</w:t>
      </w:r>
    </w:p>
    <w:p>
      <w:pPr>
        <w:pStyle w:val="10"/>
        <w:keepNext w:val="0"/>
        <w:keepLines w:val="0"/>
        <w:pageBreakBefore w:val="0"/>
        <w:widowControl w:val="0"/>
        <w:kinsoku/>
        <w:wordWrap/>
        <w:overflowPunct/>
        <w:topLinePunct w:val="0"/>
        <w:bidi w:val="0"/>
        <w:adjustRightInd w:val="0"/>
        <w:snapToGrid w:val="0"/>
        <w:spacing w:before="0" w:line="440" w:lineRule="exact"/>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第二部分</w:t>
      </w:r>
      <w:r>
        <w:rPr>
          <w:rFonts w:hint="eastAsia" w:asciiTheme="minorEastAsia" w:hAnsiTheme="minorEastAsia" w:eastAsiaTheme="minorEastAsia" w:cstheme="minorEastAsia"/>
          <w:color w:val="auto"/>
          <w:sz w:val="24"/>
          <w:szCs w:val="24"/>
          <w:highlight w:val="none"/>
          <w:lang w:val="en-US" w:eastAsia="zh-CN"/>
        </w:rPr>
        <w:t xml:space="preserve"> 2021年度</w:t>
      </w:r>
      <w:r>
        <w:rPr>
          <w:rFonts w:hint="eastAsia" w:asciiTheme="minorEastAsia" w:hAnsiTheme="minorEastAsia" w:eastAsiaTheme="minorEastAsia" w:cstheme="minorEastAsia"/>
          <w:color w:val="auto"/>
          <w:sz w:val="24"/>
          <w:szCs w:val="24"/>
          <w:highlight w:val="none"/>
          <w:lang w:eastAsia="zh-CN"/>
        </w:rPr>
        <w:t>单位</w:t>
      </w:r>
      <w:r>
        <w:rPr>
          <w:rFonts w:hint="eastAsia" w:asciiTheme="minorEastAsia" w:hAnsiTheme="minorEastAsia" w:eastAsiaTheme="minorEastAsia" w:cstheme="minorEastAsia"/>
          <w:color w:val="auto"/>
          <w:sz w:val="24"/>
          <w:szCs w:val="24"/>
          <w:highlight w:val="none"/>
        </w:rPr>
        <w:t>决算情况说明</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9</w:t>
      </w:r>
    </w:p>
    <w:p>
      <w:pPr>
        <w:pStyle w:val="11"/>
        <w:keepNext w:val="0"/>
        <w:keepLines w:val="0"/>
        <w:pageBreakBefore w:val="0"/>
        <w:widowControl w:val="0"/>
        <w:kinsoku/>
        <w:wordWrap/>
        <w:overflowPunct/>
        <w:topLinePunct w:val="0"/>
        <w:bidi w:val="0"/>
        <w:adjustRightInd w:val="0"/>
        <w:snapToGrid w:val="0"/>
        <w:spacing w:line="44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一、收入支出决算总体情况说明</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9</w:t>
      </w:r>
    </w:p>
    <w:p>
      <w:pPr>
        <w:pStyle w:val="11"/>
        <w:keepNext w:val="0"/>
        <w:keepLines w:val="0"/>
        <w:pageBreakBefore w:val="0"/>
        <w:widowControl w:val="0"/>
        <w:kinsoku/>
        <w:wordWrap/>
        <w:overflowPunct/>
        <w:topLinePunct w:val="0"/>
        <w:bidi w:val="0"/>
        <w:adjustRightInd w:val="0"/>
        <w:snapToGrid w:val="0"/>
        <w:spacing w:line="44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二、收入决算情况说明</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9</w:t>
      </w:r>
    </w:p>
    <w:p>
      <w:pPr>
        <w:pStyle w:val="11"/>
        <w:keepNext w:val="0"/>
        <w:keepLines w:val="0"/>
        <w:pageBreakBefore w:val="0"/>
        <w:widowControl w:val="0"/>
        <w:kinsoku/>
        <w:wordWrap/>
        <w:overflowPunct/>
        <w:topLinePunct w:val="0"/>
        <w:bidi w:val="0"/>
        <w:adjustRightInd w:val="0"/>
        <w:snapToGrid w:val="0"/>
        <w:spacing w:line="440" w:lineRule="exact"/>
        <w:jc w:val="left"/>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三、支出决算情况说明</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10</w:t>
      </w:r>
    </w:p>
    <w:p>
      <w:pPr>
        <w:pStyle w:val="11"/>
        <w:keepNext w:val="0"/>
        <w:keepLines w:val="0"/>
        <w:pageBreakBefore w:val="0"/>
        <w:widowControl w:val="0"/>
        <w:kinsoku/>
        <w:wordWrap/>
        <w:overflowPunct/>
        <w:topLinePunct w:val="0"/>
        <w:bidi w:val="0"/>
        <w:adjustRightInd w:val="0"/>
        <w:snapToGrid w:val="0"/>
        <w:spacing w:line="440" w:lineRule="exact"/>
        <w:jc w:val="left"/>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四、财政拨款收入支出决算总体情况说明</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10</w:t>
      </w:r>
    </w:p>
    <w:p>
      <w:pPr>
        <w:pStyle w:val="11"/>
        <w:keepNext w:val="0"/>
        <w:keepLines w:val="0"/>
        <w:pageBreakBefore w:val="0"/>
        <w:widowControl w:val="0"/>
        <w:kinsoku/>
        <w:wordWrap/>
        <w:overflowPunct/>
        <w:topLinePunct w:val="0"/>
        <w:bidi w:val="0"/>
        <w:adjustRightInd w:val="0"/>
        <w:snapToGrid w:val="0"/>
        <w:spacing w:line="440" w:lineRule="exact"/>
        <w:jc w:val="left"/>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五、一般公共预算财政拨款支出决算情况说明</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10</w:t>
      </w:r>
    </w:p>
    <w:p>
      <w:pPr>
        <w:pStyle w:val="11"/>
        <w:keepNext w:val="0"/>
        <w:keepLines w:val="0"/>
        <w:pageBreakBefore w:val="0"/>
        <w:widowControl w:val="0"/>
        <w:kinsoku/>
        <w:wordWrap/>
        <w:overflowPunct/>
        <w:topLinePunct w:val="0"/>
        <w:bidi w:val="0"/>
        <w:adjustRightInd w:val="0"/>
        <w:snapToGrid w:val="0"/>
        <w:spacing w:line="440" w:lineRule="exact"/>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六、一般公共预算财政拨款基本支出决算情况说明</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13</w:t>
      </w:r>
    </w:p>
    <w:p>
      <w:pPr>
        <w:pStyle w:val="11"/>
        <w:keepNext w:val="0"/>
        <w:keepLines w:val="0"/>
        <w:pageBreakBefore w:val="0"/>
        <w:widowControl w:val="0"/>
        <w:kinsoku/>
        <w:wordWrap/>
        <w:overflowPunct/>
        <w:topLinePunct w:val="0"/>
        <w:bidi w:val="0"/>
        <w:adjustRightInd w:val="0"/>
        <w:snapToGrid w:val="0"/>
        <w:spacing w:line="440" w:lineRule="exact"/>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七、</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三公”经费财政拨款支出决算情况说明</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14</w:t>
      </w:r>
    </w:p>
    <w:p>
      <w:pPr>
        <w:pStyle w:val="11"/>
        <w:keepNext w:val="0"/>
        <w:keepLines w:val="0"/>
        <w:pageBreakBefore w:val="0"/>
        <w:widowControl w:val="0"/>
        <w:kinsoku/>
        <w:wordWrap/>
        <w:overflowPunct/>
        <w:topLinePunct w:val="0"/>
        <w:bidi w:val="0"/>
        <w:adjustRightInd w:val="0"/>
        <w:snapToGrid w:val="0"/>
        <w:spacing w:line="440" w:lineRule="exact"/>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八、政府性基金预算支出决算情况说明</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15</w:t>
      </w:r>
    </w:p>
    <w:p>
      <w:pPr>
        <w:pStyle w:val="11"/>
        <w:keepNext w:val="0"/>
        <w:keepLines w:val="0"/>
        <w:pageBreakBefore w:val="0"/>
        <w:widowControl w:val="0"/>
        <w:kinsoku/>
        <w:wordWrap/>
        <w:overflowPunct/>
        <w:topLinePunct w:val="0"/>
        <w:bidi w:val="0"/>
        <w:adjustRightInd w:val="0"/>
        <w:snapToGrid w:val="0"/>
        <w:spacing w:line="440" w:lineRule="exact"/>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九、国有资本经营预算支出决算情况说明</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16</w:t>
      </w:r>
    </w:p>
    <w:p>
      <w:pPr>
        <w:pStyle w:val="11"/>
        <w:keepNext w:val="0"/>
        <w:keepLines w:val="0"/>
        <w:pageBreakBefore w:val="0"/>
        <w:widowControl w:val="0"/>
        <w:kinsoku/>
        <w:wordWrap/>
        <w:overflowPunct/>
        <w:topLinePunct w:val="0"/>
        <w:bidi w:val="0"/>
        <w:adjustRightInd w:val="0"/>
        <w:snapToGrid w:val="0"/>
        <w:spacing w:line="440" w:lineRule="exact"/>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auto"/>
          <w:sz w:val="24"/>
          <w:szCs w:val="24"/>
          <w:highlight w:val="none"/>
        </w:rPr>
        <w:t>十、</w:t>
      </w:r>
      <w:r>
        <w:rPr>
          <w:rFonts w:hint="eastAsia" w:asciiTheme="minorEastAsia" w:hAnsiTheme="minorEastAsia" w:eastAsiaTheme="minorEastAsia" w:cstheme="minorEastAsia"/>
          <w:color w:val="auto"/>
          <w:sz w:val="24"/>
          <w:szCs w:val="24"/>
          <w:highlight w:val="none"/>
          <w:lang w:val="en-US" w:eastAsia="zh-CN"/>
        </w:rPr>
        <w:t>预算绩效管理情况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16</w:t>
      </w:r>
    </w:p>
    <w:p>
      <w:pPr>
        <w:pStyle w:val="11"/>
        <w:keepNext w:val="0"/>
        <w:keepLines w:val="0"/>
        <w:pageBreakBefore w:val="0"/>
        <w:widowControl w:val="0"/>
        <w:kinsoku/>
        <w:wordWrap/>
        <w:overflowPunct/>
        <w:topLinePunct w:val="0"/>
        <w:bidi w:val="0"/>
        <w:adjustRightInd w:val="0"/>
        <w:snapToGrid w:val="0"/>
        <w:spacing w:line="440" w:lineRule="exact"/>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auto"/>
          <w:sz w:val="24"/>
          <w:szCs w:val="24"/>
          <w:highlight w:val="none"/>
          <w:lang w:val="en-US" w:eastAsia="zh-CN"/>
        </w:rPr>
        <w:t>十一、</w:t>
      </w:r>
      <w:r>
        <w:rPr>
          <w:rFonts w:hint="eastAsia" w:asciiTheme="minorEastAsia" w:hAnsiTheme="minorEastAsia" w:eastAsiaTheme="minorEastAsia" w:cstheme="minorEastAsia"/>
          <w:color w:val="auto"/>
          <w:sz w:val="24"/>
          <w:szCs w:val="24"/>
          <w:highlight w:val="none"/>
        </w:rPr>
        <w:t>其他重要事项的情况说明</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16</w:t>
      </w:r>
    </w:p>
    <w:p>
      <w:pPr>
        <w:pStyle w:val="10"/>
        <w:keepNext w:val="0"/>
        <w:keepLines w:val="0"/>
        <w:pageBreakBefore w:val="0"/>
        <w:widowControl w:val="0"/>
        <w:kinsoku/>
        <w:wordWrap/>
        <w:overflowPunct/>
        <w:topLinePunct w:val="0"/>
        <w:bidi w:val="0"/>
        <w:adjustRightInd w:val="0"/>
        <w:snapToGrid w:val="0"/>
        <w:spacing w:before="0" w:line="440" w:lineRule="exact"/>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第三部分 名词解释</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18</w:t>
      </w:r>
    </w:p>
    <w:p>
      <w:pPr>
        <w:pStyle w:val="10"/>
        <w:keepNext w:val="0"/>
        <w:keepLines w:val="0"/>
        <w:pageBreakBefore w:val="0"/>
        <w:widowControl w:val="0"/>
        <w:kinsoku/>
        <w:wordWrap/>
        <w:overflowPunct/>
        <w:topLinePunct w:val="0"/>
        <w:bidi w:val="0"/>
        <w:adjustRightInd w:val="0"/>
        <w:snapToGrid w:val="0"/>
        <w:spacing w:before="0" w:line="440" w:lineRule="exact"/>
        <w:jc w:val="left"/>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第四部分 附件</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21</w:t>
      </w:r>
    </w:p>
    <w:p>
      <w:pPr>
        <w:pStyle w:val="10"/>
        <w:keepNext w:val="0"/>
        <w:keepLines w:val="0"/>
        <w:pageBreakBefore w:val="0"/>
        <w:widowControl w:val="0"/>
        <w:kinsoku/>
        <w:wordWrap/>
        <w:overflowPunct/>
        <w:topLinePunct w:val="0"/>
        <w:bidi w:val="0"/>
        <w:adjustRightInd w:val="0"/>
        <w:snapToGrid w:val="0"/>
        <w:spacing w:before="0" w:line="440" w:lineRule="exact"/>
        <w:jc w:val="left"/>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第五部分 附表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44</w:t>
      </w:r>
    </w:p>
    <w:p>
      <w:pPr>
        <w:pStyle w:val="11"/>
        <w:keepNext w:val="0"/>
        <w:keepLines w:val="0"/>
        <w:pageBreakBefore w:val="0"/>
        <w:widowControl w:val="0"/>
        <w:kinsoku/>
        <w:wordWrap/>
        <w:overflowPunct/>
        <w:topLinePunct w:val="0"/>
        <w:bidi w:val="0"/>
        <w:adjustRightInd w:val="0"/>
        <w:snapToGrid w:val="0"/>
        <w:spacing w:line="44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一、收入支出决算总表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44</w:t>
      </w:r>
    </w:p>
    <w:p>
      <w:pPr>
        <w:pStyle w:val="11"/>
        <w:keepNext w:val="0"/>
        <w:keepLines w:val="0"/>
        <w:pageBreakBefore w:val="0"/>
        <w:widowControl w:val="0"/>
        <w:kinsoku/>
        <w:wordWrap/>
        <w:overflowPunct/>
        <w:topLinePunct w:val="0"/>
        <w:bidi w:val="0"/>
        <w:adjustRightInd w:val="0"/>
        <w:snapToGrid w:val="0"/>
        <w:spacing w:line="44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二、收入决算表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44</w:t>
      </w:r>
    </w:p>
    <w:p>
      <w:pPr>
        <w:pStyle w:val="11"/>
        <w:keepNext w:val="0"/>
        <w:keepLines w:val="0"/>
        <w:pageBreakBefore w:val="0"/>
        <w:widowControl w:val="0"/>
        <w:kinsoku/>
        <w:wordWrap/>
        <w:overflowPunct/>
        <w:topLinePunct w:val="0"/>
        <w:bidi w:val="0"/>
        <w:adjustRightInd w:val="0"/>
        <w:snapToGrid w:val="0"/>
        <w:spacing w:line="44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三、支出决算表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44</w:t>
      </w:r>
    </w:p>
    <w:p>
      <w:pPr>
        <w:pStyle w:val="11"/>
        <w:keepNext w:val="0"/>
        <w:keepLines w:val="0"/>
        <w:pageBreakBefore w:val="0"/>
        <w:widowControl w:val="0"/>
        <w:kinsoku/>
        <w:wordWrap/>
        <w:overflowPunct/>
        <w:topLinePunct w:val="0"/>
        <w:bidi w:val="0"/>
        <w:adjustRightInd w:val="0"/>
        <w:snapToGrid w:val="0"/>
        <w:spacing w:line="44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四、财政拨款收入支出决算总表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44</w:t>
      </w:r>
    </w:p>
    <w:p>
      <w:pPr>
        <w:pStyle w:val="11"/>
        <w:keepNext w:val="0"/>
        <w:keepLines w:val="0"/>
        <w:pageBreakBefore w:val="0"/>
        <w:widowControl w:val="0"/>
        <w:kinsoku/>
        <w:wordWrap/>
        <w:overflowPunct/>
        <w:topLinePunct w:val="0"/>
        <w:bidi w:val="0"/>
        <w:adjustRightInd w:val="0"/>
        <w:snapToGrid w:val="0"/>
        <w:spacing w:line="44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五、财政拨款支出决算明细表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44</w:t>
      </w:r>
    </w:p>
    <w:p>
      <w:pPr>
        <w:pStyle w:val="11"/>
        <w:keepNext w:val="0"/>
        <w:keepLines w:val="0"/>
        <w:pageBreakBefore w:val="0"/>
        <w:widowControl w:val="0"/>
        <w:kinsoku/>
        <w:wordWrap/>
        <w:overflowPunct/>
        <w:topLinePunct w:val="0"/>
        <w:bidi w:val="0"/>
        <w:adjustRightInd w:val="0"/>
        <w:snapToGrid w:val="0"/>
        <w:spacing w:line="44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六、一般公共预算财政拨款支出决算表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44</w:t>
      </w:r>
    </w:p>
    <w:p>
      <w:pPr>
        <w:pStyle w:val="11"/>
        <w:keepNext w:val="0"/>
        <w:keepLines w:val="0"/>
        <w:pageBreakBefore w:val="0"/>
        <w:widowControl w:val="0"/>
        <w:kinsoku/>
        <w:wordWrap/>
        <w:overflowPunct/>
        <w:topLinePunct w:val="0"/>
        <w:bidi w:val="0"/>
        <w:adjustRightInd w:val="0"/>
        <w:snapToGrid w:val="0"/>
        <w:spacing w:line="44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七、一般公共预算财政拨款支出决算明细表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44</w:t>
      </w:r>
    </w:p>
    <w:p>
      <w:pPr>
        <w:pStyle w:val="11"/>
        <w:keepNext w:val="0"/>
        <w:keepLines w:val="0"/>
        <w:pageBreakBefore w:val="0"/>
        <w:widowControl w:val="0"/>
        <w:kinsoku/>
        <w:wordWrap/>
        <w:overflowPunct/>
        <w:topLinePunct w:val="0"/>
        <w:bidi w:val="0"/>
        <w:adjustRightInd w:val="0"/>
        <w:snapToGrid w:val="0"/>
        <w:spacing w:line="44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八、一般公共预算财政拨款基本支出决算表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44</w:t>
      </w:r>
    </w:p>
    <w:p>
      <w:pPr>
        <w:pStyle w:val="11"/>
        <w:keepNext w:val="0"/>
        <w:keepLines w:val="0"/>
        <w:pageBreakBefore w:val="0"/>
        <w:widowControl w:val="0"/>
        <w:kinsoku/>
        <w:wordWrap/>
        <w:overflowPunct/>
        <w:topLinePunct w:val="0"/>
        <w:bidi w:val="0"/>
        <w:adjustRightInd w:val="0"/>
        <w:snapToGrid w:val="0"/>
        <w:spacing w:line="440" w:lineRule="exact"/>
        <w:jc w:val="left"/>
        <w:rPr>
          <w:rFonts w:hint="eastAsia" w:asciiTheme="minorEastAsia" w:hAnsiTheme="minorEastAsia" w:eastAsiaTheme="minorEastAsia" w:cstheme="minorEastAsia"/>
          <w:color w:val="auto"/>
          <w:sz w:val="24"/>
          <w:szCs w:val="24"/>
          <w:highlight w:val="none"/>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p>
    <w:p>
      <w:pPr>
        <w:pStyle w:val="11"/>
        <w:keepNext w:val="0"/>
        <w:keepLines w:val="0"/>
        <w:pageBreakBefore w:val="0"/>
        <w:widowControl w:val="0"/>
        <w:kinsoku/>
        <w:wordWrap/>
        <w:overflowPunct/>
        <w:topLinePunct w:val="0"/>
        <w:bidi w:val="0"/>
        <w:adjustRightInd w:val="0"/>
        <w:snapToGrid w:val="0"/>
        <w:spacing w:line="44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九、一般公共预算财政拨款项目支出决算表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44</w:t>
      </w:r>
    </w:p>
    <w:p>
      <w:pPr>
        <w:pStyle w:val="11"/>
        <w:keepNext w:val="0"/>
        <w:keepLines w:val="0"/>
        <w:pageBreakBefore w:val="0"/>
        <w:widowControl w:val="0"/>
        <w:kinsoku/>
        <w:wordWrap/>
        <w:overflowPunct/>
        <w:topLinePunct w:val="0"/>
        <w:bidi w:val="0"/>
        <w:adjustRightInd w:val="0"/>
        <w:snapToGrid w:val="0"/>
        <w:spacing w:line="44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十、一般公共预算财政拨款“三公”经费支出决算表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44</w:t>
      </w:r>
    </w:p>
    <w:p>
      <w:pPr>
        <w:pStyle w:val="11"/>
        <w:keepNext w:val="0"/>
        <w:keepLines w:val="0"/>
        <w:pageBreakBefore w:val="0"/>
        <w:widowControl w:val="0"/>
        <w:kinsoku/>
        <w:wordWrap/>
        <w:overflowPunct/>
        <w:topLinePunct w:val="0"/>
        <w:bidi w:val="0"/>
        <w:adjustRightInd w:val="0"/>
        <w:snapToGrid w:val="0"/>
        <w:spacing w:line="44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十一、政府性基金预算财政拨款收入支出决算表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44</w:t>
      </w:r>
    </w:p>
    <w:p>
      <w:pPr>
        <w:pStyle w:val="11"/>
        <w:keepNext w:val="0"/>
        <w:keepLines w:val="0"/>
        <w:pageBreakBefore w:val="0"/>
        <w:widowControl w:val="0"/>
        <w:kinsoku/>
        <w:wordWrap/>
        <w:overflowPunct/>
        <w:topLinePunct w:val="0"/>
        <w:bidi w:val="0"/>
        <w:adjustRightInd w:val="0"/>
        <w:snapToGrid w:val="0"/>
        <w:spacing w:line="44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十二、政府性基金预算财政拨款“三公”经费支出决算表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44</w:t>
      </w:r>
    </w:p>
    <w:p>
      <w:pPr>
        <w:pStyle w:val="11"/>
        <w:keepNext w:val="0"/>
        <w:keepLines w:val="0"/>
        <w:pageBreakBefore w:val="0"/>
        <w:widowControl w:val="0"/>
        <w:kinsoku/>
        <w:wordWrap/>
        <w:overflowPunct/>
        <w:topLinePunct w:val="0"/>
        <w:bidi w:val="0"/>
        <w:adjustRightInd w:val="0"/>
        <w:snapToGrid w:val="0"/>
        <w:spacing w:line="44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十三、国有资本经营预算</w:t>
      </w:r>
      <w:r>
        <w:rPr>
          <w:rFonts w:hint="eastAsia" w:asciiTheme="minorEastAsia" w:hAnsiTheme="minorEastAsia" w:eastAsiaTheme="minorEastAsia" w:cstheme="minorEastAsia"/>
          <w:color w:val="auto"/>
          <w:sz w:val="24"/>
          <w:szCs w:val="24"/>
          <w:highlight w:val="none"/>
          <w:lang w:eastAsia="zh-CN"/>
        </w:rPr>
        <w:t>财政拨款收入</w:t>
      </w:r>
      <w:r>
        <w:rPr>
          <w:rFonts w:hint="eastAsia" w:asciiTheme="minorEastAsia" w:hAnsiTheme="minorEastAsia" w:eastAsiaTheme="minorEastAsia" w:cstheme="minorEastAsia"/>
          <w:color w:val="auto"/>
          <w:sz w:val="24"/>
          <w:szCs w:val="24"/>
          <w:highlight w:val="none"/>
        </w:rPr>
        <w:t>支出决算表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44</w:t>
      </w:r>
    </w:p>
    <w:p>
      <w:pPr>
        <w:pStyle w:val="11"/>
        <w:keepNext w:val="0"/>
        <w:keepLines w:val="0"/>
        <w:pageBreakBefore w:val="0"/>
        <w:widowControl w:val="0"/>
        <w:kinsoku/>
        <w:wordWrap/>
        <w:overflowPunct/>
        <w:topLinePunct w:val="0"/>
        <w:bidi w:val="0"/>
        <w:adjustRightInd w:val="0"/>
        <w:snapToGrid w:val="0"/>
        <w:spacing w:line="440" w:lineRule="exact"/>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十四、国有资本经营预算财政拨款支出决算表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44</w:t>
      </w:r>
    </w:p>
    <w:p>
      <w:pPr>
        <w:pStyle w:val="3"/>
        <w:keepNext w:val="0"/>
        <w:keepLines w:val="0"/>
        <w:pageBreakBefore w:val="0"/>
        <w:widowControl w:val="0"/>
        <w:kinsoku/>
        <w:wordWrap/>
        <w:overflowPunct/>
        <w:topLinePunct w:val="0"/>
        <w:bidi w:val="0"/>
        <w:jc w:val="center"/>
        <w:rPr>
          <w:rFonts w:hint="eastAsia" w:ascii="黑体" w:hAnsi="黑体" w:eastAsia="黑体"/>
          <w:b w:val="0"/>
          <w:color w:val="auto"/>
          <w:highlight w:val="none"/>
        </w:rPr>
      </w:pPr>
      <w:bookmarkStart w:id="12" w:name="_Toc15396599"/>
      <w:bookmarkStart w:id="13" w:name="_Toc15377196"/>
    </w:p>
    <w:p>
      <w:pPr>
        <w:rPr>
          <w:rFonts w:hint="eastAsia"/>
        </w:rPr>
        <w:sectPr>
          <w:footerReference r:id="rId6" w:type="first"/>
          <w:footerReference r:id="rId5" w:type="default"/>
          <w:pgSz w:w="11906" w:h="16838"/>
          <w:pgMar w:top="1440" w:right="1800" w:bottom="1440" w:left="1800" w:header="851" w:footer="992" w:gutter="0"/>
          <w:pgNumType w:start="1"/>
          <w:cols w:space="425" w:num="1"/>
          <w:titlePg/>
          <w:docGrid w:type="lines" w:linePitch="312" w:charSpace="0"/>
        </w:sectPr>
      </w:pPr>
    </w:p>
    <w:p>
      <w:pPr>
        <w:pStyle w:val="3"/>
        <w:keepNext w:val="0"/>
        <w:keepLines w:val="0"/>
        <w:pageBreakBefore w:val="0"/>
        <w:widowControl w:val="0"/>
        <w:kinsoku/>
        <w:wordWrap/>
        <w:overflowPunct/>
        <w:topLinePunct w:val="0"/>
        <w:autoSpaceDE/>
        <w:autoSpaceDN/>
        <w:bidi w:val="0"/>
        <w:adjustRightInd/>
        <w:snapToGrid/>
        <w:spacing w:before="157" w:beforeLines="50" w:after="469" w:afterLines="150" w:line="576" w:lineRule="exact"/>
        <w:jc w:val="center"/>
        <w:textAlignment w:val="auto"/>
        <w:rPr>
          <w:rFonts w:hint="eastAsia" w:ascii="方正小标宋简体" w:hAnsi="方正小标宋简体" w:eastAsia="方正小标宋简体" w:cs="方正小标宋简体"/>
          <w:b w:val="0"/>
          <w:color w:val="auto"/>
          <w:sz w:val="44"/>
          <w:szCs w:val="44"/>
          <w:highlight w:val="none"/>
        </w:rPr>
      </w:pPr>
      <w:r>
        <w:rPr>
          <w:rFonts w:hint="eastAsia" w:ascii="方正小标宋简体" w:hAnsi="方正小标宋简体" w:eastAsia="方正小标宋简体" w:cs="方正小标宋简体"/>
          <w:b w:val="0"/>
          <w:color w:val="auto"/>
          <w:sz w:val="44"/>
          <w:szCs w:val="44"/>
          <w:highlight w:val="none"/>
        </w:rPr>
        <w:t xml:space="preserve">第一部分 </w:t>
      </w:r>
      <w:r>
        <w:rPr>
          <w:rFonts w:hint="eastAsia" w:ascii="方正小标宋简体" w:hAnsi="方正小标宋简体" w:eastAsia="方正小标宋简体" w:cs="方正小标宋简体"/>
          <w:b w:val="0"/>
          <w:color w:val="auto"/>
          <w:sz w:val="44"/>
          <w:szCs w:val="44"/>
          <w:highlight w:val="none"/>
          <w:lang w:eastAsia="zh-CN"/>
        </w:rPr>
        <w:t>单位</w:t>
      </w:r>
      <w:r>
        <w:rPr>
          <w:rFonts w:hint="eastAsia" w:ascii="方正小标宋简体" w:hAnsi="方正小标宋简体" w:eastAsia="方正小标宋简体" w:cs="方正小标宋简体"/>
          <w:b w:val="0"/>
          <w:color w:val="auto"/>
          <w:sz w:val="44"/>
          <w:szCs w:val="44"/>
          <w:highlight w:val="none"/>
        </w:rPr>
        <w:t>概况</w:t>
      </w:r>
      <w:bookmarkEnd w:id="12"/>
      <w:bookmarkEnd w:id="13"/>
    </w:p>
    <w:p>
      <w:pPr>
        <w:pStyle w:val="4"/>
        <w:keepNext w:val="0"/>
        <w:keepLines w:val="0"/>
        <w:pageBreakBefore w:val="0"/>
        <w:widowControl w:val="0"/>
        <w:numPr>
          <w:ilvl w:val="0"/>
          <w:numId w:val="0"/>
        </w:numPr>
        <w:kinsoku/>
        <w:wordWrap/>
        <w:overflowPunct/>
        <w:topLinePunct w:val="0"/>
        <w:autoSpaceDE/>
        <w:autoSpaceDN/>
        <w:bidi w:val="0"/>
        <w:spacing w:before="0" w:after="0"/>
        <w:ind w:firstLine="640" w:firstLineChars="200"/>
        <w:textAlignment w:val="auto"/>
        <w:rPr>
          <w:rStyle w:val="26"/>
          <w:rFonts w:hint="eastAsia" w:ascii="黑体" w:hAnsi="黑体" w:eastAsia="黑体"/>
          <w:b w:val="0"/>
          <w:bCs w:val="0"/>
          <w:color w:val="auto"/>
          <w:highlight w:val="none"/>
          <w:lang w:eastAsia="zh-CN"/>
        </w:rPr>
      </w:pPr>
      <w:bookmarkStart w:id="14" w:name="_Toc15377197"/>
      <w:bookmarkStart w:id="15" w:name="_Toc15396600"/>
      <w:r>
        <w:rPr>
          <w:rStyle w:val="26"/>
          <w:rFonts w:hint="eastAsia" w:ascii="黑体" w:hAnsi="黑体" w:eastAsia="黑体"/>
          <w:b w:val="0"/>
          <w:bCs w:val="0"/>
          <w:color w:val="auto"/>
          <w:highlight w:val="none"/>
          <w:lang w:eastAsia="zh-CN"/>
        </w:rPr>
        <w:t>一、</w:t>
      </w:r>
      <w:r>
        <w:rPr>
          <w:rStyle w:val="26"/>
          <w:rFonts w:hint="eastAsia" w:ascii="黑体" w:hAnsi="黑体" w:eastAsia="黑体"/>
          <w:b w:val="0"/>
          <w:bCs w:val="0"/>
          <w:color w:val="auto"/>
          <w:highlight w:val="none"/>
        </w:rPr>
        <w:t>职能</w:t>
      </w:r>
      <w:r>
        <w:rPr>
          <w:rStyle w:val="26"/>
          <w:rFonts w:hint="eastAsia" w:ascii="黑体" w:hAnsi="黑体" w:eastAsia="黑体"/>
          <w:b w:val="0"/>
          <w:bCs w:val="0"/>
          <w:color w:val="auto"/>
          <w:highlight w:val="none"/>
          <w:lang w:eastAsia="zh-CN"/>
        </w:rPr>
        <w:t>简介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bCs/>
          <w:color w:val="auto"/>
          <w:sz w:val="32"/>
          <w:szCs w:val="32"/>
          <w:highlight w:val="none"/>
        </w:rPr>
      </w:pPr>
      <w:r>
        <w:rPr>
          <w:rFonts w:hint="eastAsia" w:ascii="仿宋_GB2312" w:hAnsi="仿宋_GB2312" w:eastAsia="仿宋_GB2312" w:cs="仿宋_GB2312"/>
          <w:sz w:val="32"/>
          <w:szCs w:val="32"/>
        </w:rPr>
        <w:t>拟订全市财政、税收的发展战略、规划、政策和改革方案并组织实施，参与宏观经济分析预测和全市重大宏观经济政策的制定，提出运用财税政策实施宏观经济调控和综合平衡全市财力的建议。贯彻执行国家财税法律、法规和方针、政策，组织起草地方性财税法规的实施办法和政策规定并组织实施，按照管理权限管理全市税政事项。承担各项财政收支管理，负责编制年度市级预决算草案并组织实施，受市政府委托，向市人民代表大会报告全市和市级预算及其执行情况，向市人大常委会报告决算，组织制定经费开支标准、定额，负责审核批复部门（单位）的年度预决算，完善转移支付制度。负责政府非税收入管理，负责政府性基金管理，按规定管理行政事业性收费，管理财政票据，负责彩票的监管和发行规模的审核上报工作。制定全市国库管理制度、国库集中收付制度，指导和监督国库业务，组织开展国库现金管理工作。制定政府采购制度，编制政府采购预算，监督管理全市政府采购工作。制定全市行政事业单位国有资产管理制度规定及市级机关事业单位国有资产收益管理办法，并对执行情况进行监督检查，负责市级机关国有资产经营收益财政专户管理工作。审核和汇总编制全市国有资本经营预决算草案，制订国有资本经营预算的制度和办法，收取市本级企业国有资本收益，组织实施企业财务制度，管理金融类企业国有资产，参与拟订企业国有资产管理相关制度，管理资产评估工作。负责管理和监督财政性经济发展支出、政府性投资项目的财政拨款，参与拟订政府性建设投资的有关政策，制定基本建设财务制度，负责投资评审管理工作。负责有关政策性补贴和专项储备资金财政管理工作。负责全市农业综合开发管理工作。会同相关部门管理全市社会保障和就业及医疗卫生支出，会同相关部门拟订社会保障资金（基金）的财务管理制度，编制市级社会保障预决算草案。组织实施政府债务管理制度和政策，制定具体管理办法，管理政府债务，防范财政风险，管理外国政府和国际金融机构贷（赠）款项目的有关业务。负责全市的会计工作，监督和规范会计行为，组织实施国家统一的会计制度，指导和监督注册会计师和会计师事务所的业务，指导和管理社会审计。负责财政资金绩效评价。监督检查财税法规、政策的执行情况，反映财政收支管理中的重大问题。依法查处违反财经法纪的行为。负责财政宣传和财政信息管理系统工作，负责全市财政业务培训。承担市政府公布的有关行政审批事项。负责全市PPP政策研究和实施办法的制定、市级PPP项目库的建立更新，项目实施方案的汇总和审核等工作。承办市政府交办的其他事项。</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firstLine="640" w:firstLineChars="200"/>
        <w:textAlignment w:val="auto"/>
        <w:rPr>
          <w:rFonts w:hint="eastAsia" w:ascii="黑体" w:hAnsi="黑体" w:eastAsia="黑体"/>
          <w:b w:val="0"/>
          <w:color w:val="auto"/>
          <w:highlight w:val="none"/>
        </w:rPr>
      </w:pPr>
      <w:r>
        <w:rPr>
          <w:rFonts w:hint="eastAsia" w:ascii="黑体" w:hAnsi="黑体" w:eastAsia="黑体"/>
          <w:b w:val="0"/>
          <w:color w:val="auto"/>
          <w:highlight w:val="none"/>
          <w:lang w:val="en-US" w:eastAsia="zh-CN"/>
        </w:rPr>
        <w:t>二、2021年重点</w:t>
      </w:r>
      <w:r>
        <w:rPr>
          <w:rFonts w:hint="eastAsia" w:ascii="黑体" w:hAnsi="黑体" w:eastAsia="黑体"/>
          <w:b w:val="0"/>
          <w:color w:val="auto"/>
          <w:highlight w:val="none"/>
        </w:rPr>
        <w:t>工作</w:t>
      </w:r>
      <w:bookmarkEnd w:id="14"/>
      <w:bookmarkEnd w:id="15"/>
      <w:r>
        <w:rPr>
          <w:rFonts w:hint="eastAsia" w:ascii="黑体" w:hAnsi="黑体" w:eastAsia="黑体"/>
          <w:b w:val="0"/>
          <w:color w:val="auto"/>
          <w:highlight w:val="none"/>
          <w:lang w:eastAsia="zh-CN"/>
        </w:rPr>
        <w:t>完成情况</w:t>
      </w:r>
    </w:p>
    <w:p>
      <w:pPr>
        <w:pStyle w:val="1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2021年，在市委、市政府的坚强领导下，市财政局全面贯彻落实党中央和省委、市委系列决策部署，坚决执行“三保一优一防”财政工作要求，在保持经济稳步发展、支持重点工作推进、保障改善民生等方面采取切实有效措施，为全市经济社会高质量发展提供了坚实财力保障。</w:t>
      </w:r>
    </w:p>
    <w:p>
      <w:pPr>
        <w:pStyle w:val="1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楷体_GB2312" w:hAnsi="楷体_GB2312" w:eastAsia="楷体_GB2312" w:cs="楷体_GB2312"/>
          <w:i w:val="0"/>
          <w:caps w:val="0"/>
          <w:color w:val="000000"/>
          <w:spacing w:val="0"/>
          <w:sz w:val="32"/>
          <w:szCs w:val="32"/>
          <w:shd w:val="clear" w:fill="FFFFFF"/>
          <w:lang w:eastAsia="zh-CN"/>
        </w:rPr>
        <w:t>（</w:t>
      </w:r>
      <w:r>
        <w:rPr>
          <w:rFonts w:hint="eastAsia" w:ascii="楷体_GB2312" w:hAnsi="楷体_GB2312" w:eastAsia="楷体_GB2312" w:cs="楷体_GB2312"/>
          <w:i w:val="0"/>
          <w:caps w:val="0"/>
          <w:color w:val="000000"/>
          <w:spacing w:val="0"/>
          <w:sz w:val="32"/>
          <w:szCs w:val="32"/>
          <w:shd w:val="clear" w:fill="FFFFFF"/>
          <w:lang w:val="en-US" w:eastAsia="zh-CN"/>
        </w:rPr>
        <w:t>一</w:t>
      </w:r>
      <w:r>
        <w:rPr>
          <w:rFonts w:hint="eastAsia" w:ascii="楷体_GB2312" w:hAnsi="楷体_GB2312" w:eastAsia="楷体_GB2312" w:cs="楷体_GB2312"/>
          <w:i w:val="0"/>
          <w:caps w:val="0"/>
          <w:color w:val="000000"/>
          <w:spacing w:val="0"/>
          <w:sz w:val="32"/>
          <w:szCs w:val="32"/>
          <w:shd w:val="clear" w:fill="FFFFFF"/>
          <w:lang w:eastAsia="zh-CN"/>
        </w:rPr>
        <w:t>）</w:t>
      </w:r>
      <w:r>
        <w:rPr>
          <w:rFonts w:hint="eastAsia" w:ascii="楷体_GB2312" w:hAnsi="楷体_GB2312" w:eastAsia="楷体_GB2312" w:cs="楷体_GB2312"/>
          <w:i w:val="0"/>
          <w:caps w:val="0"/>
          <w:color w:val="000000"/>
          <w:spacing w:val="0"/>
          <w:sz w:val="32"/>
          <w:szCs w:val="32"/>
          <w:shd w:val="clear" w:fill="FFFFFF"/>
        </w:rPr>
        <w:t>财政收支实现“平稳运行”。</w:t>
      </w:r>
      <w:r>
        <w:rPr>
          <w:rFonts w:hint="eastAsia" w:ascii="仿宋_GB2312" w:hAnsi="仿宋_GB2312" w:eastAsia="仿宋_GB2312" w:cs="仿宋_GB2312"/>
          <w:i w:val="0"/>
          <w:caps w:val="0"/>
          <w:color w:val="000000"/>
          <w:spacing w:val="0"/>
          <w:sz w:val="32"/>
          <w:szCs w:val="32"/>
          <w:shd w:val="clear" w:fill="FFFFFF"/>
        </w:rPr>
        <w:t>围绕提高税收占比做优收入质量，以及严格征管、以管促收做大收入体量，不断调整优化支出结构，促进财政经济高质量发展。2021年，全市地方一般公共预算收入59.3亿元，增长12.7%（同口径增长14.6%）。其中：税收收入32.96亿元，非税收入26.34亿元。市本级地方一般公共预算收入23.04亿元，增长4.8%（同口径增长9.7%）。全市财政收入增速高于经济增长。严格落实“过紧日子”要求，执行好“八项规定”及其实施细则，修订《市级部门单位“过紧日子”十三条措施（修订）》，调整预算支出结构，统筹财政绩效评价结果，严禁低效无效支出，全年一般性支出再压减7%。全市一般公共预算支出273.23亿元，剔除一次性抗疫转移支付，同口径增长5.3%。市本级一般公共预算支出59.03亿元。</w:t>
      </w:r>
    </w:p>
    <w:p>
      <w:pPr>
        <w:pStyle w:val="1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楷体_GB2312" w:hAnsi="楷体_GB2312" w:eastAsia="楷体_GB2312" w:cs="楷体_GB2312"/>
          <w:i w:val="0"/>
          <w:caps w:val="0"/>
          <w:color w:val="000000"/>
          <w:spacing w:val="0"/>
          <w:sz w:val="32"/>
          <w:szCs w:val="32"/>
          <w:shd w:val="clear" w:fill="FFFFFF"/>
          <w:lang w:eastAsia="zh-CN"/>
        </w:rPr>
        <w:t>（</w:t>
      </w:r>
      <w:r>
        <w:rPr>
          <w:rFonts w:hint="eastAsia" w:ascii="楷体_GB2312" w:hAnsi="楷体_GB2312" w:eastAsia="楷体_GB2312" w:cs="楷体_GB2312"/>
          <w:i w:val="0"/>
          <w:caps w:val="0"/>
          <w:color w:val="000000"/>
          <w:spacing w:val="0"/>
          <w:sz w:val="32"/>
          <w:szCs w:val="32"/>
          <w:shd w:val="clear" w:fill="FFFFFF"/>
          <w:lang w:val="en-US" w:eastAsia="zh-CN"/>
        </w:rPr>
        <w:t>二</w:t>
      </w:r>
      <w:r>
        <w:rPr>
          <w:rFonts w:hint="eastAsia" w:ascii="楷体_GB2312" w:hAnsi="楷体_GB2312" w:eastAsia="楷体_GB2312" w:cs="楷体_GB2312"/>
          <w:i w:val="0"/>
          <w:caps w:val="0"/>
          <w:color w:val="000000"/>
          <w:spacing w:val="0"/>
          <w:sz w:val="32"/>
          <w:szCs w:val="32"/>
          <w:shd w:val="clear" w:fill="FFFFFF"/>
          <w:lang w:eastAsia="zh-CN"/>
        </w:rPr>
        <w:t>）</w:t>
      </w:r>
      <w:r>
        <w:rPr>
          <w:rFonts w:hint="eastAsia" w:ascii="楷体_GB2312" w:hAnsi="楷体_GB2312" w:eastAsia="楷体_GB2312" w:cs="楷体_GB2312"/>
          <w:i w:val="0"/>
          <w:caps w:val="0"/>
          <w:color w:val="000000"/>
          <w:spacing w:val="0"/>
          <w:sz w:val="32"/>
          <w:szCs w:val="32"/>
          <w:shd w:val="clear" w:fill="FFFFFF"/>
        </w:rPr>
        <w:t>全力统筹保障“两战全胜”。</w:t>
      </w:r>
      <w:r>
        <w:rPr>
          <w:rFonts w:hint="eastAsia" w:ascii="仿宋_GB2312" w:hAnsi="仿宋_GB2312" w:eastAsia="仿宋_GB2312" w:cs="仿宋_GB2312"/>
          <w:i w:val="0"/>
          <w:caps w:val="0"/>
          <w:color w:val="000000"/>
          <w:spacing w:val="0"/>
          <w:sz w:val="32"/>
          <w:szCs w:val="32"/>
          <w:shd w:val="clear" w:fill="FFFFFF"/>
        </w:rPr>
        <w:t>一是持续巩固疫情防控成果。强化政策资金统筹，优先保障“两站一场”、一线医护人员和其他疫情防控人员工作生活，安排疫情防控资金1.58亿元，支持卫生防疫、医疗和应急物资投入和技术改造；累计上解疫苗采购及接种经费1.98亿元，保障全市疫苗接种圆满完成。二是强力推动产业强市建设。预算安排中孚实业、林丰铝业财政扶持资金1.2亿元，制定支持循环经济产业发展政策，内引外联，做大做优千亿级铝产业；投入绿色家居产业专项债资金3.28亿元，产业园区基本建成，签订入驻协议企业38家，已入驻企业17家，五百亿绿色家居产业初现规模;安排财政支持农业发展资金59.2亿元，建成省星级现代农业园区2个、市级园区14个，建成规模化农产品加工区8个，规模化、组织化、品牌化的优质特色农业成为群众增收的基础；落实现代服务业各项扶持政策，推动菜鸟乡村西南区域客户运营中心落户、京东数字产业园签约，积极完善电子商务网络建设，支持外贸企业稳定出口。三是统筹推动惠企利民资金快速直达。建立“日提醒、月通报”机制，确保预警信息和业务督促类工作每天清零，直达资金分配下达进度稳定保持在100%。全年中央省级下达我市直达资金60.84亿元，分配下达进度100%。全市直达资金支出59.79亿元，进度98.27%，惠及企业82个，惠及人员584.68万人次。</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76" w:lineRule="exact"/>
        <w:ind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楷体_GB2312" w:hAnsi="楷体_GB2312" w:eastAsia="楷体_GB2312" w:cs="楷体_GB2312"/>
          <w:i w:val="0"/>
          <w:caps w:val="0"/>
          <w:color w:val="000000"/>
          <w:spacing w:val="0"/>
          <w:sz w:val="32"/>
          <w:szCs w:val="32"/>
          <w:shd w:val="clear" w:fill="FFFFFF"/>
          <w:lang w:eastAsia="zh-CN"/>
        </w:rPr>
        <w:t>（</w:t>
      </w:r>
      <w:r>
        <w:rPr>
          <w:rFonts w:hint="eastAsia" w:ascii="楷体_GB2312" w:hAnsi="楷体_GB2312" w:eastAsia="楷体_GB2312" w:cs="楷体_GB2312"/>
          <w:i w:val="0"/>
          <w:caps w:val="0"/>
          <w:color w:val="000000"/>
          <w:spacing w:val="0"/>
          <w:sz w:val="32"/>
          <w:szCs w:val="32"/>
          <w:shd w:val="clear" w:fill="FFFFFF"/>
          <w:lang w:val="en-US" w:eastAsia="zh-CN"/>
        </w:rPr>
        <w:t>三</w:t>
      </w:r>
      <w:r>
        <w:rPr>
          <w:rFonts w:hint="eastAsia" w:ascii="楷体_GB2312" w:hAnsi="楷体_GB2312" w:eastAsia="楷体_GB2312" w:cs="楷体_GB2312"/>
          <w:i w:val="0"/>
          <w:caps w:val="0"/>
          <w:color w:val="000000"/>
          <w:spacing w:val="0"/>
          <w:sz w:val="32"/>
          <w:szCs w:val="32"/>
          <w:shd w:val="clear" w:fill="FFFFFF"/>
          <w:lang w:eastAsia="zh-CN"/>
        </w:rPr>
        <w:t>）</w:t>
      </w:r>
      <w:r>
        <w:rPr>
          <w:rFonts w:hint="eastAsia" w:ascii="楷体_GB2312" w:hAnsi="楷体_GB2312" w:eastAsia="楷体_GB2312" w:cs="楷体_GB2312"/>
          <w:i w:val="0"/>
          <w:caps w:val="0"/>
          <w:color w:val="000000"/>
          <w:spacing w:val="0"/>
          <w:kern w:val="0"/>
          <w:sz w:val="32"/>
          <w:szCs w:val="32"/>
          <w:shd w:val="clear" w:fill="FFFFFF"/>
          <w:lang w:val="en-US" w:eastAsia="zh-CN" w:bidi="ar"/>
        </w:rPr>
        <w:t>精准有力助推“六稳六保”。</w:t>
      </w:r>
      <w:r>
        <w:rPr>
          <w:rFonts w:hint="eastAsia" w:ascii="仿宋_GB2312" w:hAnsi="仿宋_GB2312" w:eastAsia="仿宋_GB2312" w:cs="仿宋_GB2312"/>
          <w:i w:val="0"/>
          <w:caps w:val="0"/>
          <w:color w:val="000000"/>
          <w:spacing w:val="0"/>
          <w:kern w:val="0"/>
          <w:sz w:val="32"/>
          <w:szCs w:val="32"/>
          <w:shd w:val="clear" w:fill="FFFFFF"/>
          <w:lang w:val="en-US" w:eastAsia="zh-CN" w:bidi="ar"/>
        </w:rPr>
        <w:t>一是不折不扣落实减税降费政策。强化地方政策与上级政策相结合，落实城市基础设施建设配套费等行政事业性收费减免政策，切实做到应减尽减、力争多减，全年市场主体实现新增减税5.95亿元。持续清理行政事业性收费项目，并以清单形式向社会公开，全市共减征市场主体和社会个人行政事业性收费等费用0.16亿元。二是助力稳企业活市场。深入实施财金互动政策，充分发挥财政资金撬动引导作用。向政府性担保公司兑现政策性奖补资金0.22亿元，为小微企业、三农主体和个人创业提供融资担保15.8亿元；向开展政策性农业保险业务的保险机构兑现财政承担的政策性保费0.68亿元，为192万户农户提供风险保障105亿元；向银行业金融机构兑现贷款贴息和业务奖补资金0.22亿元，引导金融机构向市场主体提供新增贷款118亿元；成功申报“全国财政支持深化民营和小微企业金融服务综合改革试点城市”，获得财政奖励资金0.5亿元。安排专项资金0.5亿元，推动市级产业发展基金设立和政府性担保机构可持续发展。三是支持稳就业优环境。落实就业优先政策，统筹用好就业创业奖补政策，支持“返乡创业、回家发展”计划持续实施，加大对贫困人口和残疾人员就业的帮扶，稳住就业基本盘。持续深化“放管服”改革，推进政府采购全流程电子化建设，实施中小微企业政府采购优惠政策，提升中小企业参与政府采购竞争力，打造川内最优营商环境，充分激发市场主体活力和发展内生动力。</w:t>
      </w:r>
    </w:p>
    <w:p>
      <w:pPr>
        <w:pStyle w:val="1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楷体_GB2312" w:hAnsi="楷体_GB2312" w:eastAsia="楷体_GB2312" w:cs="楷体_GB2312"/>
          <w:i w:val="0"/>
          <w:caps w:val="0"/>
          <w:color w:val="000000"/>
          <w:spacing w:val="0"/>
          <w:sz w:val="32"/>
          <w:szCs w:val="32"/>
          <w:shd w:val="clear" w:fill="FFFFFF"/>
          <w:lang w:eastAsia="zh-CN"/>
        </w:rPr>
        <w:t>（</w:t>
      </w:r>
      <w:r>
        <w:rPr>
          <w:rFonts w:hint="eastAsia" w:ascii="楷体_GB2312" w:hAnsi="楷体_GB2312" w:eastAsia="楷体_GB2312" w:cs="楷体_GB2312"/>
          <w:i w:val="0"/>
          <w:caps w:val="0"/>
          <w:color w:val="000000"/>
          <w:spacing w:val="0"/>
          <w:sz w:val="32"/>
          <w:szCs w:val="32"/>
          <w:shd w:val="clear" w:fill="FFFFFF"/>
          <w:lang w:val="en-US" w:eastAsia="zh-CN"/>
        </w:rPr>
        <w:t>四</w:t>
      </w:r>
      <w:r>
        <w:rPr>
          <w:rFonts w:hint="eastAsia" w:ascii="楷体_GB2312" w:hAnsi="楷体_GB2312" w:eastAsia="楷体_GB2312" w:cs="楷体_GB2312"/>
          <w:i w:val="0"/>
          <w:caps w:val="0"/>
          <w:color w:val="000000"/>
          <w:spacing w:val="0"/>
          <w:sz w:val="32"/>
          <w:szCs w:val="32"/>
          <w:shd w:val="clear" w:fill="FFFFFF"/>
          <w:lang w:eastAsia="zh-CN"/>
        </w:rPr>
        <w:t>）</w:t>
      </w:r>
      <w:r>
        <w:rPr>
          <w:rFonts w:hint="eastAsia" w:ascii="楷体_GB2312" w:hAnsi="楷体_GB2312" w:eastAsia="楷体_GB2312" w:cs="楷体_GB2312"/>
          <w:i w:val="0"/>
          <w:caps w:val="0"/>
          <w:color w:val="000000"/>
          <w:spacing w:val="0"/>
          <w:sz w:val="32"/>
          <w:szCs w:val="32"/>
          <w:shd w:val="clear" w:fill="FFFFFF"/>
        </w:rPr>
        <w:t>市区一体深化“城乡融合”。</w:t>
      </w:r>
      <w:r>
        <w:rPr>
          <w:rFonts w:hint="eastAsia" w:ascii="仿宋_GB2312" w:hAnsi="仿宋_GB2312" w:eastAsia="仿宋_GB2312" w:cs="仿宋_GB2312"/>
          <w:i w:val="0"/>
          <w:caps w:val="0"/>
          <w:color w:val="000000"/>
          <w:spacing w:val="0"/>
          <w:sz w:val="32"/>
          <w:szCs w:val="32"/>
          <w:shd w:val="clear" w:fill="FFFFFF"/>
        </w:rPr>
        <w:t>一是支持乡村振兴战略全面实施。持续巩固拓展脱贫攻坚成果同乡村振兴有效衔接，制定《广元市市级财政衔接资金管理办法》，大力支持乡村建设，实施乡村振兴项目。深入做好两项改革“后半篇”文章，健全完善乡镇政府购买服务制度机制，政府购买服务经验信息被财政部官网刊发；盘活用好镇村闲置公有资产13183宗，其“323”模式经验做法在全省推广。二是推进城市环境面貌改善。助力实施城市有机更新行动，加快城市公交场站、市政设施、排水防涝、园林绿化、四好农村路等建设，推动韧性城市、海绵城市、公园城市建设，支持老旧小区改造，统筹推进城乡居住品质提升，助力打好治气治水治废组合拳，高标准推进生态文明建设。三是夯实基础设施建设。储备政府专项债项目169个，总投资921.05亿元，申请债券资金454.19亿元。其中，已实施专项债项目109个，使用专项债资金140.96亿元。同时，使用中省预算内投资和新增地方政府债券资金70.96亿元。</w:t>
      </w:r>
    </w:p>
    <w:p>
      <w:pPr>
        <w:pStyle w:val="1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楷体_GB2312" w:hAnsi="楷体_GB2312" w:eastAsia="楷体_GB2312" w:cs="楷体_GB2312"/>
          <w:i w:val="0"/>
          <w:caps w:val="0"/>
          <w:color w:val="000000"/>
          <w:spacing w:val="0"/>
          <w:sz w:val="32"/>
          <w:szCs w:val="32"/>
          <w:shd w:val="clear" w:fill="FFFFFF"/>
          <w:lang w:eastAsia="zh-CN"/>
        </w:rPr>
        <w:t>（</w:t>
      </w:r>
      <w:r>
        <w:rPr>
          <w:rFonts w:hint="eastAsia" w:ascii="楷体_GB2312" w:hAnsi="楷体_GB2312" w:eastAsia="楷体_GB2312" w:cs="楷体_GB2312"/>
          <w:i w:val="0"/>
          <w:caps w:val="0"/>
          <w:color w:val="000000"/>
          <w:spacing w:val="0"/>
          <w:sz w:val="32"/>
          <w:szCs w:val="32"/>
          <w:shd w:val="clear" w:fill="FFFFFF"/>
          <w:lang w:val="en-US" w:eastAsia="zh-CN"/>
        </w:rPr>
        <w:t>五</w:t>
      </w:r>
      <w:r>
        <w:rPr>
          <w:rFonts w:hint="eastAsia" w:ascii="楷体_GB2312" w:hAnsi="楷体_GB2312" w:eastAsia="楷体_GB2312" w:cs="楷体_GB2312"/>
          <w:i w:val="0"/>
          <w:caps w:val="0"/>
          <w:color w:val="000000"/>
          <w:spacing w:val="0"/>
          <w:sz w:val="32"/>
          <w:szCs w:val="32"/>
          <w:shd w:val="clear" w:fill="FFFFFF"/>
          <w:lang w:eastAsia="zh-CN"/>
        </w:rPr>
        <w:t>）</w:t>
      </w:r>
      <w:r>
        <w:rPr>
          <w:rFonts w:hint="eastAsia" w:ascii="楷体_GB2312" w:hAnsi="楷体_GB2312" w:eastAsia="楷体_GB2312" w:cs="楷体_GB2312"/>
          <w:i w:val="0"/>
          <w:caps w:val="0"/>
          <w:color w:val="000000"/>
          <w:spacing w:val="0"/>
          <w:sz w:val="32"/>
          <w:szCs w:val="32"/>
          <w:shd w:val="clear" w:fill="FFFFFF"/>
        </w:rPr>
        <w:t>持续稳步增进“人民福祉”。</w:t>
      </w:r>
      <w:r>
        <w:rPr>
          <w:rFonts w:hint="eastAsia" w:ascii="仿宋_GB2312" w:hAnsi="仿宋_GB2312" w:eastAsia="仿宋_GB2312" w:cs="仿宋_GB2312"/>
          <w:i w:val="0"/>
          <w:caps w:val="0"/>
          <w:color w:val="000000"/>
          <w:spacing w:val="0"/>
          <w:sz w:val="32"/>
          <w:szCs w:val="32"/>
          <w:shd w:val="clear" w:fill="FFFFFF"/>
        </w:rPr>
        <w:t>一是全力保障30件民生实事。统筹财政资金35.33亿元，切实保障义务教育阶段学生营养膳食补助、广播电视户户通工程等群众关心、社会关注的关键小事、民生实事全面高质量完成。二是建好用活“一卡通”阳光审批系统。纳入“一卡通”监管平台项目90个，建成阳光审批系统49个，通过“一卡通”监管平台发放财政补贴资金20.5亿元，惠及群众117万余人。三是推动教育文化事业深入发展。投入全市教育领域资金45亿元，强化教育基础设施建设提升，保障教师工资待遇，推动基础教育全域优质均衡发展。统筹文旅发展资金4.75亿元，支持文旅兴市战略、公共文化服务体系建设、文化精品工程及助推文旅体深度融合发展。四是完善社会救助体系。投入财政资金20.94亿元，托稳兜实低保救助、儿童关爱、养老帮困等基本保障，织密织牢高质量医疗医保服务网、基本公共卫生防护网、重大疾病救助兜底网，有效减轻群众生活负担。五是支持卫生健康事业。提高基层医疗服务水平，增强整体医疗服务救治能力，大力支持川陕甘结合部区域医疗中心建设，推进中国生态康养旅游名市建设。六是坚决打赢污染防治攻坚战。全市统筹安排各类生态环保资金8.79亿元，积极支持水、土、气污染防治，打好蓝天、碧水、净土保卫战；推进生态修复，加强嘉陵江、白龙江优良水体保护，支持实施东河水体保护和西河环境治理，大力保障碳达峰碳中和行动实施，推动碳汇项目开发，积极发展低碳循环经济，加快建设践行绿水青山就是金山银山理念典范城市。七是推进防灾减灾工作。统筹防灾减灾资金3.15亿元，切实保障安全生产、防震减灾、食药安全、森林防灭火、地质灾害防治等工作的投入，加快建设省区域应急救援广元基地，有效提升防灾减灾能力，确保人民群众生命财产安全。</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76" w:lineRule="exact"/>
        <w:ind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楷体_GB2312" w:hAnsi="楷体_GB2312" w:eastAsia="楷体_GB2312" w:cs="楷体_GB2312"/>
          <w:i w:val="0"/>
          <w:caps w:val="0"/>
          <w:color w:val="000000"/>
          <w:spacing w:val="0"/>
          <w:sz w:val="32"/>
          <w:szCs w:val="32"/>
          <w:shd w:val="clear" w:fill="FFFFFF"/>
          <w:lang w:eastAsia="zh-CN"/>
        </w:rPr>
        <w:t>（</w:t>
      </w:r>
      <w:r>
        <w:rPr>
          <w:rFonts w:hint="eastAsia" w:ascii="楷体_GB2312" w:hAnsi="楷体_GB2312" w:eastAsia="楷体_GB2312" w:cs="楷体_GB2312"/>
          <w:i w:val="0"/>
          <w:caps w:val="0"/>
          <w:color w:val="000000"/>
          <w:spacing w:val="0"/>
          <w:sz w:val="32"/>
          <w:szCs w:val="32"/>
          <w:shd w:val="clear" w:fill="FFFFFF"/>
          <w:lang w:val="en-US" w:eastAsia="zh-CN"/>
        </w:rPr>
        <w:t>六</w:t>
      </w:r>
      <w:r>
        <w:rPr>
          <w:rFonts w:hint="eastAsia" w:ascii="楷体_GB2312" w:hAnsi="楷体_GB2312" w:eastAsia="楷体_GB2312" w:cs="楷体_GB2312"/>
          <w:i w:val="0"/>
          <w:caps w:val="0"/>
          <w:color w:val="000000"/>
          <w:spacing w:val="0"/>
          <w:sz w:val="32"/>
          <w:szCs w:val="32"/>
          <w:shd w:val="clear" w:fill="FFFFFF"/>
          <w:lang w:eastAsia="zh-CN"/>
        </w:rPr>
        <w:t>）</w:t>
      </w:r>
      <w:r>
        <w:rPr>
          <w:rFonts w:hint="eastAsia" w:ascii="楷体_GB2312" w:hAnsi="楷体_GB2312" w:eastAsia="楷体_GB2312" w:cs="楷体_GB2312"/>
          <w:i w:val="0"/>
          <w:caps w:val="0"/>
          <w:color w:val="000000"/>
          <w:spacing w:val="0"/>
          <w:kern w:val="0"/>
          <w:sz w:val="32"/>
          <w:szCs w:val="32"/>
          <w:shd w:val="clear" w:fill="FFFFFF"/>
          <w:lang w:val="en-US" w:eastAsia="zh-CN" w:bidi="ar"/>
        </w:rPr>
        <w:t>强基固本夯实“财政治理”。</w:t>
      </w:r>
      <w:r>
        <w:rPr>
          <w:rFonts w:hint="eastAsia" w:ascii="仿宋_GB2312" w:hAnsi="仿宋_GB2312" w:eastAsia="仿宋_GB2312" w:cs="仿宋_GB2312"/>
          <w:i w:val="0"/>
          <w:caps w:val="0"/>
          <w:color w:val="000000"/>
          <w:spacing w:val="0"/>
          <w:kern w:val="0"/>
          <w:sz w:val="32"/>
          <w:szCs w:val="32"/>
          <w:shd w:val="clear" w:fill="FFFFFF"/>
          <w:lang w:val="en-US" w:eastAsia="zh-CN" w:bidi="ar"/>
        </w:rPr>
        <w:t>一是严格财政预算管理。坚持以收定支、量力而行，从严从紧编制预算。坚持先有预算后有支出，严禁无预算、超预算安排支出。统筹推进预算管理一体化改革，通过“技术+制度”实现预算管理全流程的动态反映和有效控制，确保各级预算管理规范高效。二是全面实施绩效管理。制定《广元市市级项目支出绩效评价管理办法》《广元市预算事前绩效评估管理暂行规定》《广元市市级财政预算绩效结果应用管理办法》等制度，全年对14个预算单位、24个重大项目开展支出绩效评价，及时整改了绩效评价发现的问题，高效推动了绩效评价结果运用。三是财政评审提质增效。积极助力项目投资，制定《市本级政府投资项目施工图财政评审提质增效六条措施》，全年市本级共计完成评审项目118个，送审金额56.56亿元，审定金额52.15亿元，审减4.41亿元，审减率7.8%。四是PPP项目成效明显。全市共有56个项目纳入财政部PPP综合信息平台项目库，总投资602.51亿元，项目数和投资金额分列全省第四位、第八位。五是政府债务风险可控。健全地方政府性债务管理体系，严格政府投资项目源头管控，加强重大项目财政可承受能力评估，规范政府举债融资机制，坚决遏制隐性债务增量，积极稳妥消化隐性债务存量，有序化解行政法律风险和偿债能力风险。全面完成隐性债务化解目标任务。</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76" w:lineRule="exact"/>
        <w:ind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楷体_GB2312" w:hAnsi="楷体_GB2312" w:eastAsia="楷体_GB2312" w:cs="楷体_GB2312"/>
          <w:i w:val="0"/>
          <w:caps w:val="0"/>
          <w:color w:val="000000"/>
          <w:spacing w:val="0"/>
          <w:sz w:val="32"/>
          <w:szCs w:val="32"/>
          <w:shd w:val="clear" w:fill="FFFFFF"/>
          <w:lang w:eastAsia="zh-CN"/>
        </w:rPr>
        <w:t>（</w:t>
      </w:r>
      <w:r>
        <w:rPr>
          <w:rFonts w:hint="eastAsia" w:ascii="楷体_GB2312" w:hAnsi="楷体_GB2312" w:eastAsia="楷体_GB2312" w:cs="楷体_GB2312"/>
          <w:i w:val="0"/>
          <w:caps w:val="0"/>
          <w:color w:val="000000"/>
          <w:spacing w:val="0"/>
          <w:sz w:val="32"/>
          <w:szCs w:val="32"/>
          <w:shd w:val="clear" w:fill="FFFFFF"/>
          <w:lang w:val="en-US" w:eastAsia="zh-CN"/>
        </w:rPr>
        <w:t>七</w:t>
      </w:r>
      <w:r>
        <w:rPr>
          <w:rFonts w:hint="eastAsia" w:ascii="楷体_GB2312" w:hAnsi="楷体_GB2312" w:eastAsia="楷体_GB2312" w:cs="楷体_GB2312"/>
          <w:i w:val="0"/>
          <w:caps w:val="0"/>
          <w:color w:val="000000"/>
          <w:spacing w:val="0"/>
          <w:sz w:val="32"/>
          <w:szCs w:val="32"/>
          <w:shd w:val="clear" w:fill="FFFFFF"/>
          <w:lang w:eastAsia="zh-CN"/>
        </w:rPr>
        <w:t>）</w:t>
      </w:r>
      <w:r>
        <w:rPr>
          <w:rFonts w:hint="eastAsia" w:ascii="楷体_GB2312" w:hAnsi="楷体_GB2312" w:eastAsia="楷体_GB2312" w:cs="楷体_GB2312"/>
          <w:i w:val="0"/>
          <w:caps w:val="0"/>
          <w:color w:val="000000"/>
          <w:spacing w:val="0"/>
          <w:kern w:val="0"/>
          <w:sz w:val="32"/>
          <w:szCs w:val="32"/>
          <w:shd w:val="clear" w:fill="FFFFFF"/>
          <w:lang w:val="en-US" w:eastAsia="zh-CN" w:bidi="ar"/>
        </w:rPr>
        <w:t>全面从严治党“纵深推进”。</w:t>
      </w:r>
      <w:r>
        <w:rPr>
          <w:rFonts w:hint="eastAsia" w:ascii="仿宋_GB2312" w:hAnsi="仿宋_GB2312" w:eastAsia="仿宋_GB2312" w:cs="仿宋_GB2312"/>
          <w:i w:val="0"/>
          <w:caps w:val="0"/>
          <w:color w:val="000000"/>
          <w:spacing w:val="0"/>
          <w:kern w:val="0"/>
          <w:sz w:val="32"/>
          <w:szCs w:val="32"/>
          <w:shd w:val="clear" w:fill="FFFFFF"/>
          <w:lang w:val="en-US" w:eastAsia="zh-CN" w:bidi="ar"/>
        </w:rPr>
        <w:t>一是积极履行管党治党主体责任。严格落实党员领导干部双重组织生活制度，班子成员讲党课18次，参加主题党日活动、党员大会92次，党组成员到联系支部指导督促工作19次。选优配齐支部班子，调整支部构架，完成六个党支部换届改选工作，五个支部实现标准化规范化建设。二是持续深化党风廉政建设。带头落实中央八项规定、省委省政府十项规定、市委“六个带头”及其实施细则精神，研究部署党风廉政建设工作10余次，专题研究纪律作风整顿工作6次，听取科室纪律作风整顿工作情况汇报9次，开展作风纪律检查27次，提醒谈话党员干部8人次。三是深入开展巡视巡察和审计发现问题整改。通过强化专项检查，建立健全制度机制、完善配套服务等完成政府采购领域专项巡视发现的75个具体问题的整改销号。通过分级负责、分类处置、全面整改的方式，深入整治政商关系“亲而不清”的问题，共整改销号公共资产出借292笔、公共资金出借33.05亿元、融资担保50.84亿元。四是建好建强干部队伍。深化人才发展体制机制改革，印发《进一步激励干部担当作为干事创业的十条措施》，激发干部职工创新活力，为财政干部搭建了大有可为、大有作为、施展才华的舞台。</w:t>
      </w:r>
    </w:p>
    <w:p>
      <w:pPr>
        <w:keepNext w:val="0"/>
        <w:keepLines w:val="0"/>
        <w:pageBreakBefore w:val="0"/>
        <w:widowControl w:val="0"/>
        <w:kinsoku/>
        <w:wordWrap/>
        <w:overflowPunct/>
        <w:topLinePunct w:val="0"/>
        <w:autoSpaceDE/>
        <w:autoSpaceDN/>
        <w:bidi w:val="0"/>
        <w:adjustRightInd/>
        <w:snapToGrid/>
        <w:jc w:val="left"/>
        <w:textAlignment w:val="auto"/>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3"/>
        <w:keepNext w:val="0"/>
        <w:keepLines w:val="0"/>
        <w:pageBreakBefore w:val="0"/>
        <w:widowControl w:val="0"/>
        <w:kinsoku/>
        <w:wordWrap/>
        <w:overflowPunct/>
        <w:topLinePunct w:val="0"/>
        <w:autoSpaceDE/>
        <w:autoSpaceDN/>
        <w:bidi w:val="0"/>
        <w:adjustRightInd/>
        <w:snapToGrid/>
        <w:spacing w:before="157" w:beforeLines="50" w:after="469" w:afterLines="150" w:line="576" w:lineRule="exact"/>
        <w:jc w:val="center"/>
        <w:textAlignment w:val="auto"/>
        <w:rPr>
          <w:rFonts w:hint="eastAsia" w:ascii="方正小标宋简体" w:hAnsi="方正小标宋简体" w:eastAsia="方正小标宋简体" w:cs="方正小标宋简体"/>
          <w:b w:val="0"/>
          <w:color w:val="auto"/>
          <w:sz w:val="44"/>
          <w:szCs w:val="44"/>
          <w:highlight w:val="none"/>
        </w:rPr>
      </w:pPr>
      <w:bookmarkStart w:id="16" w:name="_Toc15377204"/>
      <w:bookmarkStart w:id="17" w:name="_Toc15396602"/>
      <w:r>
        <w:rPr>
          <w:rFonts w:hint="eastAsia" w:ascii="方正小标宋简体" w:hAnsi="方正小标宋简体" w:eastAsia="方正小标宋简体" w:cs="方正小标宋简体"/>
          <w:b w:val="0"/>
          <w:color w:val="auto"/>
          <w:sz w:val="44"/>
          <w:szCs w:val="44"/>
          <w:highlight w:val="none"/>
        </w:rPr>
        <w:t xml:space="preserve">第二部分 </w:t>
      </w:r>
      <w:r>
        <w:rPr>
          <w:rFonts w:hint="eastAsia" w:ascii="方正小标宋简体" w:hAnsi="方正小标宋简体" w:eastAsia="方正小标宋简体" w:cs="方正小标宋简体"/>
          <w:b w:val="0"/>
          <w:color w:val="auto"/>
          <w:sz w:val="44"/>
          <w:szCs w:val="44"/>
          <w:highlight w:val="none"/>
          <w:lang w:val="en-US" w:eastAsia="zh-CN"/>
        </w:rPr>
        <w:t>2021年度</w:t>
      </w:r>
      <w:r>
        <w:rPr>
          <w:rFonts w:hint="eastAsia" w:ascii="方正小标宋简体" w:hAnsi="方正小标宋简体" w:eastAsia="方正小标宋简体" w:cs="方正小标宋简体"/>
          <w:b w:val="0"/>
          <w:color w:val="auto"/>
          <w:sz w:val="44"/>
          <w:szCs w:val="44"/>
          <w:highlight w:val="none"/>
          <w:lang w:eastAsia="zh-CN"/>
        </w:rPr>
        <w:t>单位</w:t>
      </w:r>
      <w:r>
        <w:rPr>
          <w:rFonts w:hint="eastAsia" w:ascii="方正小标宋简体" w:hAnsi="方正小标宋简体" w:eastAsia="方正小标宋简体" w:cs="方正小标宋简体"/>
          <w:b w:val="0"/>
          <w:color w:val="auto"/>
          <w:sz w:val="44"/>
          <w:szCs w:val="44"/>
          <w:highlight w:val="none"/>
        </w:rPr>
        <w:t>决算情况说明</w:t>
      </w:r>
      <w:bookmarkEnd w:id="16"/>
      <w:bookmarkEnd w:id="17"/>
    </w:p>
    <w:p>
      <w:pPr>
        <w:pStyle w:val="2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outlineLvl w:val="1"/>
        <w:rPr>
          <w:rStyle w:val="26"/>
          <w:rFonts w:ascii="黑体" w:hAnsi="黑体" w:eastAsia="黑体"/>
          <w:b w:val="0"/>
          <w:color w:val="auto"/>
          <w:highlight w:val="none"/>
        </w:rPr>
      </w:pPr>
      <w:bookmarkStart w:id="18" w:name="_Toc15377205"/>
      <w:bookmarkStart w:id="19" w:name="_Toc15396603"/>
      <w:r>
        <w:rPr>
          <w:rFonts w:hint="eastAsia" w:ascii="黑体" w:hAnsi="黑体" w:eastAsia="黑体"/>
          <w:color w:val="auto"/>
          <w:sz w:val="32"/>
          <w:szCs w:val="32"/>
          <w:highlight w:val="none"/>
          <w:lang w:eastAsia="zh-CN"/>
        </w:rPr>
        <w:t>一、</w:t>
      </w:r>
      <w:r>
        <w:rPr>
          <w:rFonts w:hint="eastAsia" w:ascii="黑体" w:hAnsi="黑体" w:eastAsia="黑体"/>
          <w:color w:val="auto"/>
          <w:sz w:val="32"/>
          <w:szCs w:val="32"/>
          <w:highlight w:val="none"/>
        </w:rPr>
        <w:t>收</w:t>
      </w:r>
      <w:r>
        <w:rPr>
          <w:rStyle w:val="26"/>
          <w:rFonts w:hint="eastAsia" w:ascii="黑体" w:hAnsi="黑体" w:eastAsia="黑体"/>
          <w:b w:val="0"/>
          <w:color w:val="auto"/>
          <w:highlight w:val="none"/>
        </w:rPr>
        <w:t>入支出决算总体情况说明</w:t>
      </w:r>
      <w:bookmarkEnd w:id="18"/>
      <w:bookmarkEnd w:id="1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年度收、支总计</w:t>
      </w:r>
      <w:r>
        <w:rPr>
          <w:rFonts w:hint="eastAsia" w:ascii="仿宋_GB2312" w:hAnsi="仿宋_GB2312" w:eastAsia="仿宋_GB2312" w:cs="仿宋_GB2312"/>
          <w:color w:val="auto"/>
          <w:sz w:val="32"/>
          <w:szCs w:val="32"/>
          <w:highlight w:val="none"/>
          <w:lang w:val="en-US" w:eastAsia="zh-CN"/>
        </w:rPr>
        <w:t>2935.61</w:t>
      </w:r>
      <w:r>
        <w:rPr>
          <w:rFonts w:hint="eastAsia" w:ascii="仿宋_GB2312" w:hAnsi="仿宋_GB2312" w:eastAsia="仿宋_GB2312" w:cs="仿宋_GB2312"/>
          <w:color w:val="auto"/>
          <w:sz w:val="32"/>
          <w:szCs w:val="32"/>
          <w:highlight w:val="none"/>
        </w:rPr>
        <w:t>万元。与20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年相比，收、支总计各减少</w:t>
      </w:r>
      <w:r>
        <w:rPr>
          <w:rFonts w:hint="eastAsia" w:ascii="仿宋_GB2312" w:hAnsi="仿宋_GB2312" w:eastAsia="仿宋_GB2312" w:cs="仿宋_GB2312"/>
          <w:color w:val="auto"/>
          <w:sz w:val="32"/>
          <w:szCs w:val="32"/>
          <w:highlight w:val="none"/>
          <w:lang w:val="en-US" w:eastAsia="zh-CN"/>
        </w:rPr>
        <w:t>6.76</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0.2</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年年初结转减少</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bidi w:val="0"/>
        <w:spacing w:line="600" w:lineRule="exact"/>
        <w:jc w:val="center"/>
        <w:rPr>
          <w:rFonts w:ascii="仿宋_GB2312" w:eastAsia="仿宋_GB2312"/>
          <w:color w:val="auto"/>
          <w:sz w:val="32"/>
          <w:szCs w:val="32"/>
          <w:highlight w:val="none"/>
        </w:rPr>
      </w:pPr>
      <w:r>
        <w:rPr>
          <w:rFonts w:hint="eastAsia" w:ascii="仿宋_GB2312" w:hAnsi="仿宋_GB2312" w:eastAsia="仿宋_GB2312" w:cs="仿宋_GB2312"/>
          <w:color w:val="auto"/>
          <w:sz w:val="32"/>
          <w:szCs w:val="32"/>
          <w:highlight w:val="none"/>
        </w:rPr>
        <w:t>（图1：收、支决算总计变动情况图）（柱状图）</w:t>
      </w:r>
    </w:p>
    <w:p>
      <w:pPr>
        <w:pStyle w:val="6"/>
        <w:keepNext w:val="0"/>
        <w:keepLines w:val="0"/>
        <w:pageBreakBefore w:val="0"/>
        <w:widowControl w:val="0"/>
        <w:kinsoku/>
        <w:wordWrap/>
        <w:overflowPunct/>
        <w:topLinePunct w:val="0"/>
        <w:bidi w:val="0"/>
        <w:jc w:val="center"/>
        <w:rPr>
          <w:rFonts w:ascii="仿宋_GB2312" w:eastAsia="仿宋_GB2312"/>
          <w:color w:val="auto"/>
          <w:sz w:val="32"/>
          <w:szCs w:val="32"/>
          <w:highlight w:val="none"/>
        </w:rPr>
      </w:pPr>
      <w:r>
        <w:drawing>
          <wp:inline distT="0" distB="0" distL="114300" distR="114300">
            <wp:extent cx="3193415" cy="1712595"/>
            <wp:effectExtent l="4445" t="4445" r="21590" b="1651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Style w:val="2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outlineLvl w:val="1"/>
        <w:rPr>
          <w:rStyle w:val="26"/>
          <w:rFonts w:ascii="黑体" w:hAnsi="黑体" w:eastAsia="黑体"/>
          <w:b w:val="0"/>
          <w:color w:val="auto"/>
          <w:highlight w:val="none"/>
        </w:rPr>
      </w:pPr>
      <w:bookmarkStart w:id="20" w:name="_Toc15377206"/>
      <w:bookmarkStart w:id="21" w:name="_Toc15396604"/>
      <w:r>
        <w:rPr>
          <w:rFonts w:hint="eastAsia" w:ascii="黑体" w:hAnsi="黑体" w:eastAsia="黑体"/>
          <w:color w:val="auto"/>
          <w:sz w:val="32"/>
          <w:szCs w:val="32"/>
          <w:highlight w:val="none"/>
          <w:lang w:eastAsia="zh-CN"/>
        </w:rPr>
        <w:t>二、</w:t>
      </w:r>
      <w:r>
        <w:rPr>
          <w:rFonts w:hint="eastAsia" w:ascii="黑体" w:hAnsi="黑体" w:eastAsia="黑体"/>
          <w:color w:val="auto"/>
          <w:sz w:val="32"/>
          <w:szCs w:val="32"/>
          <w:highlight w:val="none"/>
        </w:rPr>
        <w:t>收</w:t>
      </w:r>
      <w:r>
        <w:rPr>
          <w:rStyle w:val="26"/>
          <w:rFonts w:hint="eastAsia" w:ascii="黑体" w:hAnsi="黑体" w:eastAsia="黑体"/>
          <w:b w:val="0"/>
          <w:color w:val="auto"/>
          <w:highlight w:val="none"/>
        </w:rPr>
        <w:t>入决算情况说明</w:t>
      </w:r>
      <w:bookmarkEnd w:id="20"/>
      <w:bookmarkEnd w:id="2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年本年收入合计</w:t>
      </w:r>
      <w:r>
        <w:rPr>
          <w:rFonts w:hint="eastAsia" w:ascii="仿宋_GB2312" w:hAnsi="仿宋_GB2312" w:eastAsia="仿宋_GB2312" w:cs="仿宋_GB2312"/>
          <w:color w:val="auto"/>
          <w:sz w:val="32"/>
          <w:szCs w:val="32"/>
          <w:highlight w:val="none"/>
          <w:lang w:val="en-US" w:eastAsia="zh-CN"/>
        </w:rPr>
        <w:t>2298.08</w:t>
      </w:r>
      <w:r>
        <w:rPr>
          <w:rFonts w:hint="eastAsia" w:ascii="仿宋_GB2312" w:hAnsi="仿宋_GB2312" w:eastAsia="仿宋_GB2312" w:cs="仿宋_GB2312"/>
          <w:color w:val="auto"/>
          <w:sz w:val="32"/>
          <w:szCs w:val="32"/>
          <w:highlight w:val="none"/>
        </w:rPr>
        <w:t>万元，其中：一般公共预算财政拨款收入</w:t>
      </w:r>
      <w:r>
        <w:rPr>
          <w:rFonts w:hint="eastAsia" w:ascii="仿宋_GB2312" w:hAnsi="仿宋_GB2312" w:eastAsia="仿宋_GB2312" w:cs="仿宋_GB2312"/>
          <w:color w:val="auto"/>
          <w:sz w:val="32"/>
          <w:szCs w:val="32"/>
          <w:highlight w:val="none"/>
          <w:lang w:val="en-US" w:eastAsia="zh-CN"/>
        </w:rPr>
        <w:t>2292.84</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99.77</w:t>
      </w:r>
      <w:r>
        <w:rPr>
          <w:rFonts w:hint="eastAsia" w:ascii="仿宋_GB2312" w:hAnsi="仿宋_GB2312" w:eastAsia="仿宋_GB2312" w:cs="仿宋_GB2312"/>
          <w:color w:val="auto"/>
          <w:sz w:val="32"/>
          <w:szCs w:val="32"/>
          <w:highlight w:val="none"/>
        </w:rPr>
        <w:t>%；其他收入</w:t>
      </w:r>
      <w:r>
        <w:rPr>
          <w:rFonts w:hint="eastAsia" w:ascii="仿宋_GB2312" w:hAnsi="仿宋_GB2312" w:eastAsia="仿宋_GB2312" w:cs="仿宋_GB2312"/>
          <w:color w:val="auto"/>
          <w:sz w:val="32"/>
          <w:szCs w:val="32"/>
          <w:highlight w:val="none"/>
          <w:lang w:val="en-US" w:eastAsia="zh-CN"/>
        </w:rPr>
        <w:t>5.24</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0.23</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（图2：收入决算结构图）（饼状图）</w:t>
      </w:r>
    </w:p>
    <w:p>
      <w:pPr>
        <w:pStyle w:val="6"/>
        <w:keepNext w:val="0"/>
        <w:keepLines w:val="0"/>
        <w:pageBreakBefore w:val="0"/>
        <w:widowControl w:val="0"/>
        <w:kinsoku/>
        <w:wordWrap/>
        <w:overflowPunct/>
        <w:topLinePunct w:val="0"/>
        <w:bidi w:val="0"/>
        <w:jc w:val="center"/>
        <w:rPr>
          <w:rFonts w:ascii="仿宋_GB2312" w:eastAsia="仿宋_GB2312"/>
          <w:color w:val="auto"/>
          <w:sz w:val="32"/>
          <w:szCs w:val="32"/>
          <w:highlight w:val="none"/>
        </w:rPr>
      </w:pPr>
      <w:r>
        <w:drawing>
          <wp:inline distT="0" distB="0" distL="114300" distR="114300">
            <wp:extent cx="3027045" cy="1953895"/>
            <wp:effectExtent l="4445" t="4445" r="16510" b="2286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pStyle w:val="2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outlineLvl w:val="1"/>
        <w:rPr>
          <w:rStyle w:val="26"/>
          <w:rFonts w:ascii="黑体" w:hAnsi="黑体" w:eastAsia="黑体"/>
          <w:b w:val="0"/>
          <w:color w:val="auto"/>
          <w:highlight w:val="none"/>
        </w:rPr>
      </w:pPr>
      <w:bookmarkStart w:id="22" w:name="_Toc15396605"/>
      <w:bookmarkStart w:id="23" w:name="_Toc15377207"/>
      <w:r>
        <w:rPr>
          <w:rFonts w:hint="eastAsia" w:ascii="黑体" w:hAnsi="黑体" w:eastAsia="黑体"/>
          <w:color w:val="auto"/>
          <w:sz w:val="32"/>
          <w:szCs w:val="32"/>
          <w:highlight w:val="none"/>
          <w:lang w:eastAsia="zh-CN"/>
        </w:rPr>
        <w:t>三、</w:t>
      </w:r>
      <w:r>
        <w:rPr>
          <w:rFonts w:hint="eastAsia" w:ascii="黑体" w:hAnsi="黑体" w:eastAsia="黑体"/>
          <w:color w:val="auto"/>
          <w:sz w:val="32"/>
          <w:szCs w:val="32"/>
          <w:highlight w:val="none"/>
        </w:rPr>
        <w:t>支</w:t>
      </w:r>
      <w:r>
        <w:rPr>
          <w:rStyle w:val="26"/>
          <w:rFonts w:hint="eastAsia" w:ascii="黑体" w:hAnsi="黑体" w:eastAsia="黑体"/>
          <w:b w:val="0"/>
          <w:color w:val="auto"/>
          <w:highlight w:val="none"/>
        </w:rPr>
        <w:t>出决算情况说明</w:t>
      </w:r>
      <w:bookmarkEnd w:id="22"/>
      <w:bookmarkEnd w:id="2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年本年支出合计</w:t>
      </w:r>
      <w:r>
        <w:rPr>
          <w:rFonts w:hint="eastAsia" w:ascii="仿宋_GB2312" w:hAnsi="仿宋_GB2312" w:eastAsia="仿宋_GB2312" w:cs="仿宋_GB2312"/>
          <w:color w:val="auto"/>
          <w:sz w:val="32"/>
          <w:szCs w:val="32"/>
          <w:highlight w:val="none"/>
          <w:lang w:val="en-US" w:eastAsia="zh-CN"/>
        </w:rPr>
        <w:t>2659.33</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s="仿宋_GB2312"/>
          <w:color w:val="auto"/>
          <w:sz w:val="32"/>
          <w:szCs w:val="32"/>
          <w:highlight w:val="none"/>
          <w:lang w:val="en-US" w:eastAsia="zh-CN"/>
        </w:rPr>
        <w:t>1862.9</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70.05</w:t>
      </w:r>
      <w:r>
        <w:rPr>
          <w:rFonts w:hint="eastAsia" w:ascii="仿宋_GB2312" w:hAnsi="仿宋_GB2312" w:eastAsia="仿宋_GB2312" w:cs="仿宋_GB2312"/>
          <w:color w:val="auto"/>
          <w:sz w:val="32"/>
          <w:szCs w:val="32"/>
          <w:highlight w:val="none"/>
        </w:rPr>
        <w:t>%；项目支出</w:t>
      </w:r>
      <w:r>
        <w:rPr>
          <w:rFonts w:hint="eastAsia" w:ascii="仿宋_GB2312" w:hAnsi="仿宋_GB2312" w:eastAsia="仿宋_GB2312" w:cs="仿宋_GB2312"/>
          <w:color w:val="auto"/>
          <w:sz w:val="32"/>
          <w:szCs w:val="32"/>
          <w:highlight w:val="none"/>
          <w:lang w:val="en-US" w:eastAsia="zh-CN"/>
        </w:rPr>
        <w:t>796.43</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29.95</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（图3：支出决算结构图）（饼状图）</w:t>
      </w:r>
    </w:p>
    <w:p>
      <w:pPr>
        <w:pStyle w:val="6"/>
        <w:keepNext w:val="0"/>
        <w:keepLines w:val="0"/>
        <w:pageBreakBefore w:val="0"/>
        <w:widowControl w:val="0"/>
        <w:kinsoku/>
        <w:wordWrap/>
        <w:overflowPunct/>
        <w:topLinePunct w:val="0"/>
        <w:bidi w:val="0"/>
        <w:jc w:val="center"/>
        <w:rPr>
          <w:rFonts w:ascii="仿宋_GB2312" w:eastAsia="仿宋_GB2312"/>
          <w:color w:val="auto"/>
          <w:sz w:val="32"/>
          <w:szCs w:val="32"/>
          <w:highlight w:val="none"/>
        </w:rPr>
      </w:pPr>
      <w:r>
        <w:drawing>
          <wp:inline distT="0" distB="0" distL="114300" distR="114300">
            <wp:extent cx="2779395" cy="1647825"/>
            <wp:effectExtent l="4445" t="4445" r="16510" b="5080"/>
            <wp:docPr id="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Style w:val="26"/>
          <w:rFonts w:ascii="黑体" w:hAnsi="黑体" w:eastAsia="黑体"/>
          <w:b w:val="0"/>
          <w:color w:val="auto"/>
          <w:highlight w:val="none"/>
        </w:rPr>
      </w:pPr>
      <w:bookmarkStart w:id="24" w:name="_Toc15377208"/>
      <w:bookmarkStart w:id="25" w:name="_Toc15396606"/>
      <w:r>
        <w:rPr>
          <w:rFonts w:hint="eastAsia" w:ascii="黑体" w:hAnsi="黑体" w:eastAsia="黑体"/>
          <w:color w:val="auto"/>
          <w:sz w:val="32"/>
          <w:szCs w:val="32"/>
          <w:highlight w:val="none"/>
        </w:rPr>
        <w:t>四、财</w:t>
      </w:r>
      <w:r>
        <w:rPr>
          <w:rStyle w:val="26"/>
          <w:rFonts w:hint="eastAsia" w:ascii="黑体" w:hAnsi="黑体" w:eastAsia="黑体"/>
          <w:b w:val="0"/>
          <w:color w:val="auto"/>
          <w:highlight w:val="none"/>
        </w:rPr>
        <w:t>政拨款收入支出决算总体情况说明</w:t>
      </w:r>
      <w:bookmarkEnd w:id="24"/>
      <w:bookmarkEnd w:id="25"/>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年财政拨款收、支总计</w:t>
      </w:r>
      <w:r>
        <w:rPr>
          <w:rFonts w:hint="eastAsia" w:ascii="仿宋_GB2312" w:hAnsi="仿宋_GB2312" w:eastAsia="仿宋_GB2312" w:cs="仿宋_GB2312"/>
          <w:color w:val="auto"/>
          <w:sz w:val="32"/>
          <w:szCs w:val="32"/>
          <w:highlight w:val="none"/>
          <w:lang w:val="en-US" w:eastAsia="zh-CN"/>
        </w:rPr>
        <w:t>2869.21</w:t>
      </w:r>
      <w:r>
        <w:rPr>
          <w:rFonts w:hint="eastAsia" w:ascii="仿宋_GB2312" w:hAnsi="仿宋_GB2312" w:eastAsia="仿宋_GB2312" w:cs="仿宋_GB2312"/>
          <w:color w:val="auto"/>
          <w:sz w:val="32"/>
          <w:szCs w:val="32"/>
          <w:highlight w:val="none"/>
        </w:rPr>
        <w:t>万元。与20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年相比，财政拨款收、支总计各减少</w:t>
      </w:r>
      <w:r>
        <w:rPr>
          <w:rFonts w:hint="eastAsia" w:ascii="仿宋_GB2312" w:hAnsi="仿宋_GB2312" w:eastAsia="仿宋_GB2312" w:cs="仿宋_GB2312"/>
          <w:color w:val="auto"/>
          <w:sz w:val="32"/>
          <w:szCs w:val="32"/>
          <w:highlight w:val="none"/>
          <w:lang w:val="en-US" w:eastAsia="zh-CN"/>
        </w:rPr>
        <w:t>9.91</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0.34</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年年初</w:t>
      </w:r>
      <w:r>
        <w:rPr>
          <w:rFonts w:hint="eastAsia" w:ascii="仿宋_GB2312" w:hAnsi="仿宋_GB2312" w:eastAsia="仿宋_GB2312" w:cs="仿宋_GB2312"/>
          <w:color w:val="000000"/>
          <w:sz w:val="32"/>
          <w:szCs w:val="32"/>
          <w:lang w:val="en-US" w:eastAsia="zh-CN"/>
        </w:rPr>
        <w:t>财政拨款</w:t>
      </w:r>
      <w:r>
        <w:rPr>
          <w:rFonts w:hint="eastAsia" w:ascii="仿宋_GB2312" w:hAnsi="仿宋_GB2312" w:eastAsia="仿宋_GB2312" w:cs="仿宋_GB2312"/>
          <w:color w:val="000000"/>
          <w:sz w:val="32"/>
          <w:szCs w:val="32"/>
        </w:rPr>
        <w:t>结转减少</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bidi w:val="0"/>
        <w:spacing w:line="600" w:lineRule="exact"/>
        <w:ind w:firstLine="640" w:firstLineChars="200"/>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（图4：财政拨款收、支决算总计变动情况）（柱状图）</w:t>
      </w:r>
    </w:p>
    <w:p>
      <w:pPr>
        <w:pStyle w:val="6"/>
        <w:keepNext w:val="0"/>
        <w:keepLines w:val="0"/>
        <w:pageBreakBefore w:val="0"/>
        <w:widowControl w:val="0"/>
        <w:kinsoku/>
        <w:wordWrap/>
        <w:overflowPunct/>
        <w:topLinePunct w:val="0"/>
        <w:bidi w:val="0"/>
        <w:jc w:val="center"/>
        <w:rPr>
          <w:rFonts w:ascii="仿宋" w:hAnsi="仿宋" w:eastAsia="仿宋"/>
          <w:b/>
          <w:color w:val="auto"/>
          <w:sz w:val="32"/>
          <w:szCs w:val="32"/>
          <w:highlight w:val="none"/>
        </w:rPr>
      </w:pPr>
      <w:r>
        <w:drawing>
          <wp:inline distT="0" distB="0" distL="114300" distR="114300">
            <wp:extent cx="2999740" cy="1764030"/>
            <wp:effectExtent l="4445" t="4445" r="5715" b="2222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pageBreakBefore w:val="0"/>
        <w:widowControl w:val="0"/>
        <w:kinsoku/>
        <w:wordWrap/>
        <w:overflowPunct/>
        <w:topLinePunct w:val="0"/>
        <w:bidi w:val="0"/>
        <w:spacing w:line="600" w:lineRule="exact"/>
        <w:ind w:firstLine="640" w:firstLineChars="200"/>
        <w:outlineLvl w:val="1"/>
        <w:rPr>
          <w:rStyle w:val="26"/>
          <w:rFonts w:ascii="黑体" w:hAnsi="黑体" w:eastAsia="黑体"/>
          <w:b w:val="0"/>
          <w:color w:val="auto"/>
          <w:highlight w:val="none"/>
        </w:rPr>
      </w:pPr>
      <w:bookmarkStart w:id="26" w:name="_Toc15396607"/>
      <w:bookmarkStart w:id="27" w:name="_Toc1537720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6"/>
          <w:rFonts w:hint="eastAsia" w:ascii="黑体" w:hAnsi="黑体" w:eastAsia="黑体"/>
          <w:b w:val="0"/>
          <w:color w:val="auto"/>
          <w:highlight w:val="none"/>
        </w:rPr>
        <w:t>般公共预算财政拨款支出决算情况说明</w:t>
      </w:r>
      <w:bookmarkEnd w:id="26"/>
      <w:bookmarkEnd w:id="27"/>
    </w:p>
    <w:p>
      <w:pPr>
        <w:keepNext w:val="0"/>
        <w:keepLines w:val="0"/>
        <w:pageBreakBefore w:val="0"/>
        <w:widowControl w:val="0"/>
        <w:kinsoku/>
        <w:wordWrap/>
        <w:overflowPunct/>
        <w:topLinePunct w:val="0"/>
        <w:bidi w:val="0"/>
        <w:spacing w:line="600" w:lineRule="exact"/>
        <w:ind w:firstLine="640" w:firstLineChars="200"/>
        <w:outlineLvl w:val="2"/>
        <w:rPr>
          <w:rFonts w:hint="eastAsia" w:ascii="楷体_GB2312" w:hAnsi="楷体_GB2312" w:eastAsia="楷体_GB2312" w:cs="楷体_GB2312"/>
          <w:b w:val="0"/>
          <w:bCs/>
          <w:color w:val="auto"/>
          <w:sz w:val="32"/>
          <w:szCs w:val="32"/>
          <w:highlight w:val="none"/>
        </w:rPr>
      </w:pPr>
      <w:bookmarkStart w:id="28" w:name="_Toc15377210"/>
      <w:r>
        <w:rPr>
          <w:rFonts w:hint="eastAsia" w:ascii="楷体_GB2312" w:hAnsi="楷体_GB2312" w:eastAsia="楷体_GB2312" w:cs="楷体_GB2312"/>
          <w:b w:val="0"/>
          <w:bCs/>
          <w:color w:val="auto"/>
          <w:sz w:val="32"/>
          <w:szCs w:val="32"/>
          <w:highlight w:val="none"/>
        </w:rPr>
        <w:t>（一）一般公共预算财政拨款支出决算总体情况</w:t>
      </w:r>
      <w:bookmarkEnd w:id="2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年一般公共预算财政拨款支出</w:t>
      </w:r>
      <w:r>
        <w:rPr>
          <w:rFonts w:hint="eastAsia" w:ascii="仿宋_GB2312" w:hAnsi="仿宋_GB2312" w:eastAsia="仿宋_GB2312" w:cs="仿宋_GB2312"/>
          <w:color w:val="auto"/>
          <w:sz w:val="32"/>
          <w:szCs w:val="32"/>
          <w:highlight w:val="none"/>
          <w:lang w:val="en-US" w:eastAsia="zh-CN"/>
        </w:rPr>
        <w:t>2654.25</w:t>
      </w:r>
      <w:r>
        <w:rPr>
          <w:rFonts w:hint="eastAsia" w:ascii="仿宋_GB2312" w:hAnsi="仿宋_GB2312" w:eastAsia="仿宋_GB2312" w:cs="仿宋_GB2312"/>
          <w:color w:val="auto"/>
          <w:sz w:val="32"/>
          <w:szCs w:val="32"/>
          <w:highlight w:val="none"/>
        </w:rPr>
        <w:t>万元，占本年支出合计的</w:t>
      </w:r>
      <w:r>
        <w:rPr>
          <w:rFonts w:hint="eastAsia" w:ascii="仿宋_GB2312" w:hAnsi="仿宋_GB2312" w:eastAsia="仿宋_GB2312" w:cs="仿宋_GB2312"/>
          <w:color w:val="auto"/>
          <w:sz w:val="32"/>
          <w:szCs w:val="32"/>
          <w:highlight w:val="none"/>
          <w:lang w:val="en-US" w:eastAsia="zh-CN"/>
        </w:rPr>
        <w:t>99.81</w:t>
      </w:r>
      <w:r>
        <w:rPr>
          <w:rFonts w:hint="eastAsia" w:ascii="仿宋_GB2312" w:hAnsi="仿宋_GB2312" w:eastAsia="仿宋_GB2312" w:cs="仿宋_GB2312"/>
          <w:color w:val="auto"/>
          <w:sz w:val="32"/>
          <w:szCs w:val="32"/>
          <w:highlight w:val="none"/>
        </w:rPr>
        <w:t>%。与20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年相比，一般公共预算财政拨款</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rPr>
        <w:t>增加</w:t>
      </w:r>
      <w:r>
        <w:rPr>
          <w:rFonts w:hint="eastAsia" w:ascii="仿宋_GB2312" w:hAnsi="仿宋_GB2312" w:eastAsia="仿宋_GB2312" w:cs="仿宋_GB2312"/>
          <w:color w:val="auto"/>
          <w:sz w:val="32"/>
          <w:szCs w:val="32"/>
          <w:highlight w:val="none"/>
          <w:lang w:val="en-US" w:eastAsia="zh-CN"/>
        </w:rPr>
        <w:t>523.81</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24.59</w:t>
      </w:r>
      <w:r>
        <w:rPr>
          <w:rFonts w:hint="eastAsia" w:ascii="仿宋_GB2312" w:hAnsi="仿宋_GB2312" w:eastAsia="仿宋_GB2312" w:cs="仿宋_GB2312"/>
          <w:color w:val="auto"/>
          <w:sz w:val="32"/>
          <w:szCs w:val="32"/>
          <w:highlight w:val="none"/>
        </w:rPr>
        <w:t>%。主要变动原因</w:t>
      </w:r>
      <w:r>
        <w:rPr>
          <w:rFonts w:hint="eastAsia" w:ascii="仿宋_GB2312" w:hAnsi="仿宋_GB2312" w:eastAsia="仿宋_GB2312" w:cs="仿宋_GB2312"/>
          <w:color w:val="auto"/>
          <w:sz w:val="32"/>
          <w:szCs w:val="32"/>
          <w:highlight w:val="none"/>
          <w:lang w:val="en-US" w:eastAsia="zh-CN"/>
        </w:rPr>
        <w:t>一是局机关在职人员增加引起的基本支出增加；二是因实施财政信息安全建设项目、开展财政信息系统运行维护和开展政府性投资项目财政评审工作增加项目支出。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color w:val="auto"/>
          <w:sz w:val="32"/>
          <w:szCs w:val="32"/>
          <w:highlight w:val="none"/>
        </w:rPr>
      </w:pPr>
      <w:r>
        <w:rPr>
          <w:rFonts w:hint="eastAsia" w:ascii="仿宋_GB2312" w:hAnsi="仿宋_GB2312" w:eastAsia="仿宋_GB2312" w:cs="仿宋_GB2312"/>
          <w:color w:val="auto"/>
          <w:sz w:val="32"/>
          <w:szCs w:val="32"/>
          <w:highlight w:val="none"/>
        </w:rPr>
        <w:t>（图5：一般公共预算财政拨款支出决算变动情况）（柱状图）</w:t>
      </w:r>
    </w:p>
    <w:p>
      <w:pPr>
        <w:pStyle w:val="6"/>
        <w:keepNext w:val="0"/>
        <w:keepLines w:val="0"/>
        <w:pageBreakBefore w:val="0"/>
        <w:widowControl w:val="0"/>
        <w:kinsoku/>
        <w:wordWrap/>
        <w:overflowPunct/>
        <w:topLinePunct w:val="0"/>
        <w:bidi w:val="0"/>
        <w:jc w:val="center"/>
        <w:rPr>
          <w:rFonts w:ascii="仿宋" w:hAnsi="仿宋" w:eastAsia="仿宋"/>
          <w:color w:val="auto"/>
          <w:sz w:val="32"/>
          <w:szCs w:val="32"/>
          <w:highlight w:val="none"/>
        </w:rPr>
      </w:pPr>
      <w:r>
        <w:drawing>
          <wp:inline distT="0" distB="0" distL="114300" distR="114300">
            <wp:extent cx="3472815" cy="1803400"/>
            <wp:effectExtent l="4445" t="4445" r="8890" b="2095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eastAsia" w:ascii="楷体_GB2312" w:hAnsi="楷体_GB2312" w:eastAsia="楷体_GB2312" w:cs="楷体_GB2312"/>
          <w:b w:val="0"/>
          <w:bCs/>
          <w:color w:val="auto"/>
          <w:sz w:val="32"/>
          <w:szCs w:val="32"/>
          <w:highlight w:val="none"/>
        </w:rPr>
      </w:pPr>
      <w:bookmarkStart w:id="29" w:name="_Toc15377211"/>
      <w:r>
        <w:rPr>
          <w:rFonts w:hint="eastAsia" w:ascii="楷体_GB2312" w:hAnsi="楷体_GB2312" w:eastAsia="楷体_GB2312" w:cs="楷体_GB2312"/>
          <w:b w:val="0"/>
          <w:bCs/>
          <w:color w:val="auto"/>
          <w:sz w:val="32"/>
          <w:szCs w:val="32"/>
          <w:highlight w:val="none"/>
        </w:rPr>
        <w:t>（二）一般公共预算财政拨款支出决算结构情况</w:t>
      </w:r>
      <w:bookmarkEnd w:id="29"/>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年一般公共预算财政拨款支出</w:t>
      </w:r>
      <w:r>
        <w:rPr>
          <w:rFonts w:hint="eastAsia" w:ascii="仿宋_GB2312" w:hAnsi="仿宋_GB2312" w:eastAsia="仿宋_GB2312" w:cs="仿宋_GB2312"/>
          <w:color w:val="auto"/>
          <w:sz w:val="32"/>
          <w:szCs w:val="32"/>
          <w:highlight w:val="none"/>
          <w:lang w:val="en-US" w:eastAsia="zh-CN"/>
        </w:rPr>
        <w:t>2654.25</w:t>
      </w:r>
      <w:r>
        <w:rPr>
          <w:rFonts w:hint="eastAsia" w:ascii="仿宋_GB2312" w:hAnsi="仿宋_GB2312" w:eastAsia="仿宋_GB2312" w:cs="仿宋_GB2312"/>
          <w:color w:val="auto"/>
          <w:sz w:val="32"/>
          <w:szCs w:val="32"/>
          <w:highlight w:val="none"/>
        </w:rPr>
        <w:t>万元，主要用于以下方面:</w:t>
      </w:r>
      <w:r>
        <w:rPr>
          <w:rFonts w:hint="eastAsia" w:ascii="仿宋_GB2312" w:hAnsi="仿宋_GB2312" w:eastAsia="仿宋_GB2312" w:cs="仿宋_GB2312"/>
          <w:b/>
          <w:color w:val="auto"/>
          <w:sz w:val="32"/>
          <w:szCs w:val="32"/>
          <w:highlight w:val="none"/>
        </w:rPr>
        <w:t>一般公共服务（类）</w:t>
      </w:r>
      <w:r>
        <w:rPr>
          <w:rFonts w:hint="eastAsia" w:ascii="仿宋_GB2312" w:hAnsi="仿宋_GB2312" w:eastAsia="仿宋_GB2312" w:cs="仿宋_GB2312"/>
          <w:color w:val="auto"/>
          <w:sz w:val="32"/>
          <w:szCs w:val="32"/>
          <w:highlight w:val="none"/>
        </w:rPr>
        <w:t>支出</w:t>
      </w:r>
      <w:r>
        <w:rPr>
          <w:rFonts w:hint="eastAsia" w:ascii="仿宋_GB2312" w:hAnsi="仿宋_GB2312" w:eastAsia="仿宋_GB2312" w:cs="仿宋_GB2312"/>
          <w:color w:val="auto"/>
          <w:sz w:val="32"/>
          <w:szCs w:val="32"/>
          <w:highlight w:val="none"/>
          <w:lang w:val="en-US" w:eastAsia="zh-CN"/>
        </w:rPr>
        <w:t>2223.19</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83.77</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color w:val="auto"/>
          <w:sz w:val="32"/>
          <w:szCs w:val="32"/>
          <w:highlight w:val="none"/>
        </w:rPr>
        <w:t>社会保障和就业（类）</w:t>
      </w:r>
      <w:r>
        <w:rPr>
          <w:rFonts w:hint="eastAsia" w:ascii="仿宋_GB2312" w:hAnsi="仿宋_GB2312" w:eastAsia="仿宋_GB2312" w:cs="仿宋_GB2312"/>
          <w:color w:val="auto"/>
          <w:sz w:val="32"/>
          <w:szCs w:val="32"/>
          <w:highlight w:val="none"/>
        </w:rPr>
        <w:t>支出</w:t>
      </w:r>
      <w:r>
        <w:rPr>
          <w:rFonts w:hint="eastAsia" w:ascii="仿宋_GB2312" w:hAnsi="仿宋_GB2312" w:eastAsia="仿宋_GB2312" w:cs="仿宋_GB2312"/>
          <w:color w:val="auto"/>
          <w:sz w:val="32"/>
          <w:szCs w:val="32"/>
          <w:highlight w:val="none"/>
          <w:lang w:val="en-US" w:eastAsia="zh-CN"/>
        </w:rPr>
        <w:t>179.21</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6.75</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bCs/>
          <w:color w:val="auto"/>
          <w:sz w:val="32"/>
          <w:szCs w:val="32"/>
          <w:highlight w:val="none"/>
        </w:rPr>
        <w:t>卫生健康支出</w:t>
      </w:r>
      <w:r>
        <w:rPr>
          <w:rFonts w:hint="eastAsia" w:ascii="仿宋_GB2312" w:hAnsi="仿宋_GB2312" w:eastAsia="仿宋_GB2312" w:cs="仿宋_GB2312"/>
          <w:color w:val="auto"/>
          <w:sz w:val="32"/>
          <w:szCs w:val="32"/>
          <w:highlight w:val="none"/>
          <w:lang w:val="en-US" w:eastAsia="zh-CN"/>
        </w:rPr>
        <w:t>48.15</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1.81</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bCs/>
          <w:color w:val="auto"/>
          <w:sz w:val="32"/>
          <w:szCs w:val="32"/>
          <w:highlight w:val="none"/>
        </w:rPr>
        <w:t>住房保障支出</w:t>
      </w:r>
      <w:r>
        <w:rPr>
          <w:rFonts w:hint="eastAsia" w:ascii="仿宋_GB2312" w:hAnsi="仿宋_GB2312" w:eastAsia="仿宋_GB2312" w:cs="仿宋_GB2312"/>
          <w:color w:val="auto"/>
          <w:sz w:val="32"/>
          <w:szCs w:val="32"/>
          <w:highlight w:val="none"/>
          <w:lang w:val="en-US" w:eastAsia="zh-CN"/>
        </w:rPr>
        <w:t>203.7</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7.67</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（图6：一般公共预算财政拨款支出决算结构）（饼状图）</w:t>
      </w:r>
    </w:p>
    <w:p>
      <w:pPr>
        <w:pStyle w:val="6"/>
        <w:keepNext w:val="0"/>
        <w:keepLines w:val="0"/>
        <w:pageBreakBefore w:val="0"/>
        <w:widowControl w:val="0"/>
        <w:kinsoku/>
        <w:wordWrap/>
        <w:overflowPunct/>
        <w:topLinePunct w:val="0"/>
        <w:bidi w:val="0"/>
        <w:jc w:val="center"/>
      </w:pPr>
      <w:r>
        <w:drawing>
          <wp:inline distT="0" distB="0" distL="114300" distR="114300">
            <wp:extent cx="3601720" cy="1927860"/>
            <wp:effectExtent l="4445" t="4445" r="13335" b="10795"/>
            <wp:docPr id="7"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bookmarkStart w:id="30" w:name="_Toc15377212"/>
    </w:p>
    <w:p>
      <w:pPr>
        <w:pStyle w:val="6"/>
        <w:keepNext w:val="0"/>
        <w:keepLines w:val="0"/>
        <w:pageBreakBefore w:val="0"/>
        <w:widowControl w:val="0"/>
        <w:kinsoku/>
        <w:wordWrap/>
        <w:overflowPunct/>
        <w:topLinePunct w:val="0"/>
        <w:bidi w:val="0"/>
        <w:ind w:firstLine="640" w:firstLineChars="200"/>
        <w:jc w:val="both"/>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（三）一般公共预算财政拨款支出决算具体情况</w:t>
      </w:r>
      <w:bookmarkEnd w:id="30"/>
    </w:p>
    <w:p>
      <w:pPr>
        <w:keepNext w:val="0"/>
        <w:keepLines w:val="0"/>
        <w:pageBreakBefore w:val="0"/>
        <w:widowControl w:val="0"/>
        <w:kinsoku/>
        <w:wordWrap/>
        <w:overflowPunct/>
        <w:topLinePunct w:val="0"/>
        <w:bidi w:val="0"/>
        <w:spacing w:line="600" w:lineRule="exact"/>
        <w:ind w:firstLine="642" w:firstLineChars="200"/>
        <w:outlineLvl w:val="2"/>
        <w:rPr>
          <w:rFonts w:hint="eastAsia" w:ascii="仿宋_GB2312" w:hAnsi="仿宋_GB2312" w:eastAsia="仿宋_GB2312" w:cs="仿宋_GB2312"/>
          <w:color w:val="auto"/>
          <w:sz w:val="32"/>
          <w:szCs w:val="32"/>
          <w:highlight w:val="none"/>
        </w:rPr>
      </w:pPr>
      <w:bookmarkStart w:id="31" w:name="_Toc15377213"/>
      <w:bookmarkStart w:id="32" w:name="_Toc15377444"/>
      <w:bookmarkStart w:id="33" w:name="_Toc15378460"/>
      <w:r>
        <w:rPr>
          <w:rFonts w:hint="eastAsia" w:ascii="仿宋" w:hAnsi="仿宋" w:eastAsia="仿宋"/>
          <w:b/>
          <w:color w:val="auto"/>
          <w:sz w:val="32"/>
          <w:szCs w:val="32"/>
          <w:highlight w:val="none"/>
        </w:rPr>
        <w:t>2</w:t>
      </w:r>
      <w:r>
        <w:rPr>
          <w:rFonts w:hint="eastAsia" w:ascii="仿宋_GB2312" w:hAnsi="仿宋_GB2312" w:eastAsia="仿宋_GB2312" w:cs="仿宋_GB2312"/>
          <w:b/>
          <w:color w:val="auto"/>
          <w:sz w:val="32"/>
          <w:szCs w:val="32"/>
          <w:highlight w:val="none"/>
        </w:rPr>
        <w:t>0</w:t>
      </w:r>
      <w:r>
        <w:rPr>
          <w:rFonts w:hint="eastAsia" w:ascii="仿宋_GB2312" w:hAnsi="仿宋_GB2312" w:eastAsia="仿宋_GB2312" w:cs="仿宋_GB2312"/>
          <w:b/>
          <w:color w:val="auto"/>
          <w:sz w:val="32"/>
          <w:szCs w:val="32"/>
          <w:highlight w:val="none"/>
          <w:lang w:val="en-US" w:eastAsia="zh-CN"/>
        </w:rPr>
        <w:t>21</w:t>
      </w:r>
      <w:r>
        <w:rPr>
          <w:rFonts w:hint="eastAsia" w:ascii="仿宋_GB2312" w:hAnsi="仿宋_GB2312" w:eastAsia="仿宋_GB2312" w:cs="仿宋_GB2312"/>
          <w:b/>
          <w:color w:val="auto"/>
          <w:sz w:val="32"/>
          <w:szCs w:val="32"/>
          <w:highlight w:val="none"/>
        </w:rPr>
        <w:t>年</w:t>
      </w:r>
      <w:r>
        <w:rPr>
          <w:rFonts w:hint="eastAsia" w:ascii="仿宋_GB2312" w:hAnsi="仿宋_GB2312" w:eastAsia="仿宋_GB2312" w:cs="仿宋_GB2312"/>
          <w:b/>
          <w:color w:val="auto"/>
          <w:sz w:val="32"/>
          <w:szCs w:val="32"/>
          <w:highlight w:val="none"/>
          <w:lang w:eastAsia="zh-CN"/>
        </w:rPr>
        <w:t>一</w:t>
      </w:r>
      <w:r>
        <w:rPr>
          <w:rFonts w:hint="eastAsia" w:ascii="仿宋_GB2312" w:hAnsi="仿宋_GB2312" w:eastAsia="仿宋_GB2312" w:cs="仿宋_GB2312"/>
          <w:b/>
          <w:color w:val="auto"/>
          <w:sz w:val="32"/>
          <w:szCs w:val="32"/>
          <w:highlight w:val="none"/>
        </w:rPr>
        <w:t>般公共预算支出决算数为</w:t>
      </w:r>
      <w:r>
        <w:rPr>
          <w:rFonts w:hint="eastAsia" w:ascii="仿宋_GB2312" w:hAnsi="仿宋_GB2312" w:eastAsia="仿宋_GB2312" w:cs="仿宋_GB2312"/>
          <w:b/>
          <w:color w:val="auto"/>
          <w:sz w:val="32"/>
          <w:szCs w:val="32"/>
          <w:highlight w:val="none"/>
          <w:lang w:val="en-US" w:eastAsia="zh-CN"/>
        </w:rPr>
        <w:t>2654.25万元</w:t>
      </w:r>
      <w:r>
        <w:rPr>
          <w:rFonts w:hint="eastAsia" w:ascii="仿宋_GB2312" w:hAnsi="仿宋_GB2312" w:eastAsia="仿宋_GB2312" w:cs="仿宋_GB2312"/>
          <w:color w:val="auto"/>
          <w:sz w:val="32"/>
          <w:szCs w:val="32"/>
          <w:highlight w:val="none"/>
        </w:rPr>
        <w:t>，</w:t>
      </w:r>
      <w:r>
        <w:rPr>
          <w:rStyle w:val="15"/>
          <w:rFonts w:hint="eastAsia" w:ascii="仿宋_GB2312" w:hAnsi="仿宋_GB2312" w:eastAsia="仿宋_GB2312" w:cs="仿宋_GB2312"/>
          <w:bCs/>
          <w:color w:val="auto"/>
          <w:sz w:val="32"/>
          <w:szCs w:val="32"/>
          <w:highlight w:val="none"/>
        </w:rPr>
        <w:t>完成预算</w:t>
      </w:r>
      <w:r>
        <w:rPr>
          <w:rStyle w:val="15"/>
          <w:rFonts w:hint="eastAsia" w:ascii="仿宋_GB2312" w:hAnsi="仿宋_GB2312" w:eastAsia="仿宋_GB2312" w:cs="仿宋_GB2312"/>
          <w:bCs/>
          <w:color w:val="auto"/>
          <w:sz w:val="32"/>
          <w:szCs w:val="32"/>
          <w:highlight w:val="none"/>
          <w:lang w:val="en-US" w:eastAsia="zh-CN"/>
        </w:rPr>
        <w:t>92.51</w:t>
      </w:r>
      <w:r>
        <w:rPr>
          <w:rStyle w:val="15"/>
          <w:rFonts w:hint="eastAsia" w:ascii="仿宋_GB2312" w:hAnsi="仿宋_GB2312" w:eastAsia="仿宋_GB2312" w:cs="仿宋_GB2312"/>
          <w:bCs/>
          <w:color w:val="auto"/>
          <w:sz w:val="32"/>
          <w:szCs w:val="32"/>
          <w:highlight w:val="none"/>
        </w:rPr>
        <w:t>%。其中：</w:t>
      </w:r>
      <w:bookmarkEnd w:id="31"/>
      <w:bookmarkEnd w:id="32"/>
      <w:bookmarkEnd w:id="33"/>
    </w:p>
    <w:p>
      <w:pPr>
        <w:keepNext w:val="0"/>
        <w:keepLines w:val="0"/>
        <w:pageBreakBefore w:val="0"/>
        <w:widowControl w:val="0"/>
        <w:numPr>
          <w:ilvl w:val="0"/>
          <w:numId w:val="0"/>
        </w:numPr>
        <w:kinsoku/>
        <w:wordWrap/>
        <w:overflowPunct/>
        <w:topLinePunct w:val="0"/>
        <w:bidi w:val="0"/>
        <w:spacing w:line="600" w:lineRule="exact"/>
        <w:ind w:firstLine="642" w:firstLineChars="200"/>
        <w:rPr>
          <w:rStyle w:val="15"/>
          <w:rFonts w:hint="eastAsia" w:ascii="仿宋_GB2312" w:hAnsi="仿宋_GB2312" w:eastAsia="仿宋_GB2312" w:cs="仿宋_GB2312"/>
          <w:b w:val="0"/>
          <w:bCs/>
          <w:color w:val="auto"/>
          <w:sz w:val="32"/>
          <w:szCs w:val="32"/>
          <w:highlight w:val="none"/>
        </w:rPr>
      </w:pPr>
      <w:r>
        <w:rPr>
          <w:rStyle w:val="15"/>
          <w:rFonts w:hint="eastAsia" w:ascii="仿宋_GB2312" w:hAnsi="仿宋_GB2312" w:eastAsia="仿宋_GB2312" w:cs="仿宋_GB2312"/>
          <w:bCs/>
          <w:color w:val="auto"/>
          <w:sz w:val="32"/>
          <w:szCs w:val="32"/>
          <w:highlight w:val="none"/>
          <w:lang w:val="en-US" w:eastAsia="zh-CN"/>
        </w:rPr>
        <w:t>1.</w:t>
      </w:r>
      <w:r>
        <w:rPr>
          <w:rStyle w:val="15"/>
          <w:rFonts w:hint="eastAsia" w:ascii="仿宋_GB2312" w:hAnsi="仿宋_GB2312" w:eastAsia="仿宋_GB2312" w:cs="仿宋_GB2312"/>
          <w:bCs/>
          <w:color w:val="auto"/>
          <w:sz w:val="32"/>
          <w:szCs w:val="32"/>
          <w:highlight w:val="none"/>
        </w:rPr>
        <w:t>一般公共服务（类）</w:t>
      </w:r>
      <w:r>
        <w:rPr>
          <w:rStyle w:val="15"/>
          <w:rFonts w:hint="eastAsia" w:ascii="仿宋_GB2312" w:hAnsi="仿宋_GB2312" w:eastAsia="仿宋_GB2312" w:cs="仿宋_GB2312"/>
          <w:bCs/>
          <w:color w:val="auto"/>
          <w:sz w:val="32"/>
          <w:szCs w:val="32"/>
          <w:highlight w:val="none"/>
          <w:lang w:val="en-US" w:eastAsia="zh-CN"/>
        </w:rPr>
        <w:t>财政事务</w:t>
      </w:r>
      <w:r>
        <w:rPr>
          <w:rStyle w:val="15"/>
          <w:rFonts w:hint="eastAsia" w:ascii="仿宋_GB2312" w:hAnsi="仿宋_GB2312" w:eastAsia="仿宋_GB2312" w:cs="仿宋_GB2312"/>
          <w:bCs/>
          <w:color w:val="auto"/>
          <w:sz w:val="32"/>
          <w:szCs w:val="32"/>
          <w:highlight w:val="none"/>
        </w:rPr>
        <w:t>（款）</w:t>
      </w:r>
      <w:r>
        <w:rPr>
          <w:rStyle w:val="15"/>
          <w:rFonts w:hint="eastAsia" w:ascii="仿宋_GB2312" w:hAnsi="仿宋_GB2312" w:eastAsia="仿宋_GB2312" w:cs="仿宋_GB2312"/>
          <w:bCs/>
          <w:color w:val="auto"/>
          <w:sz w:val="32"/>
          <w:szCs w:val="32"/>
          <w:highlight w:val="none"/>
          <w:lang w:val="en-US" w:eastAsia="zh-CN"/>
        </w:rPr>
        <w:t>行政运行</w:t>
      </w:r>
      <w:r>
        <w:rPr>
          <w:rStyle w:val="15"/>
          <w:rFonts w:hint="eastAsia" w:ascii="仿宋_GB2312" w:hAnsi="仿宋_GB2312" w:eastAsia="仿宋_GB2312" w:cs="仿宋_GB2312"/>
          <w:bCs/>
          <w:color w:val="auto"/>
          <w:sz w:val="32"/>
          <w:szCs w:val="32"/>
          <w:highlight w:val="none"/>
        </w:rPr>
        <w:t>（项）:</w:t>
      </w:r>
      <w:r>
        <w:rPr>
          <w:rStyle w:val="15"/>
          <w:rFonts w:hint="eastAsia" w:ascii="仿宋_GB2312" w:hAnsi="仿宋_GB2312" w:eastAsia="仿宋_GB2312" w:cs="仿宋_GB2312"/>
          <w:b w:val="0"/>
          <w:bCs/>
          <w:color w:val="auto"/>
          <w:sz w:val="32"/>
          <w:szCs w:val="32"/>
          <w:highlight w:val="none"/>
        </w:rPr>
        <w:t xml:space="preserve"> 支出决算为</w:t>
      </w:r>
      <w:r>
        <w:rPr>
          <w:rStyle w:val="15"/>
          <w:rFonts w:hint="eastAsia" w:ascii="仿宋_GB2312" w:hAnsi="仿宋_GB2312" w:eastAsia="仿宋_GB2312" w:cs="仿宋_GB2312"/>
          <w:b w:val="0"/>
          <w:bCs/>
          <w:color w:val="auto"/>
          <w:sz w:val="32"/>
          <w:szCs w:val="32"/>
          <w:highlight w:val="none"/>
          <w:lang w:val="en-US" w:eastAsia="zh-CN"/>
        </w:rPr>
        <w:t>1353.11</w:t>
      </w:r>
      <w:r>
        <w:rPr>
          <w:rStyle w:val="15"/>
          <w:rFonts w:hint="eastAsia" w:ascii="仿宋_GB2312" w:hAnsi="仿宋_GB2312" w:eastAsia="仿宋_GB2312" w:cs="仿宋_GB2312"/>
          <w:b w:val="0"/>
          <w:bCs/>
          <w:color w:val="auto"/>
          <w:sz w:val="32"/>
          <w:szCs w:val="32"/>
          <w:highlight w:val="none"/>
        </w:rPr>
        <w:t>万元，完成预算</w:t>
      </w:r>
      <w:r>
        <w:rPr>
          <w:rStyle w:val="15"/>
          <w:rFonts w:hint="eastAsia" w:ascii="仿宋_GB2312" w:hAnsi="仿宋_GB2312" w:eastAsia="仿宋_GB2312" w:cs="仿宋_GB2312"/>
          <w:b w:val="0"/>
          <w:bCs/>
          <w:color w:val="auto"/>
          <w:sz w:val="32"/>
          <w:szCs w:val="32"/>
          <w:highlight w:val="none"/>
          <w:lang w:val="en-US" w:eastAsia="zh-CN"/>
        </w:rPr>
        <w:t>99.99</w:t>
      </w:r>
      <w:r>
        <w:rPr>
          <w:rStyle w:val="15"/>
          <w:rFonts w:hint="eastAsia" w:ascii="仿宋_GB2312" w:hAnsi="仿宋_GB2312" w:eastAsia="仿宋_GB2312" w:cs="仿宋_GB2312"/>
          <w:b w:val="0"/>
          <w:bCs/>
          <w:color w:val="auto"/>
          <w:sz w:val="32"/>
          <w:szCs w:val="32"/>
          <w:highlight w:val="none"/>
        </w:rPr>
        <w:t>%，决算数</w:t>
      </w:r>
      <w:r>
        <w:rPr>
          <w:rStyle w:val="15"/>
          <w:rFonts w:hint="eastAsia" w:ascii="仿宋_GB2312" w:hAnsi="仿宋_GB2312" w:eastAsia="仿宋_GB2312" w:cs="仿宋_GB2312"/>
          <w:b w:val="0"/>
          <w:bCs/>
          <w:color w:val="auto"/>
          <w:sz w:val="32"/>
          <w:szCs w:val="32"/>
          <w:highlight w:val="none"/>
          <w:lang w:val="en-US" w:eastAsia="zh-CN"/>
        </w:rPr>
        <w:t>与</w:t>
      </w:r>
      <w:r>
        <w:rPr>
          <w:rStyle w:val="15"/>
          <w:rFonts w:hint="eastAsia" w:ascii="仿宋_GB2312" w:hAnsi="仿宋_GB2312" w:eastAsia="仿宋_GB2312" w:cs="仿宋_GB2312"/>
          <w:b w:val="0"/>
          <w:bCs/>
          <w:color w:val="auto"/>
          <w:sz w:val="32"/>
          <w:szCs w:val="32"/>
          <w:highlight w:val="none"/>
        </w:rPr>
        <w:t>预算数</w:t>
      </w:r>
      <w:r>
        <w:rPr>
          <w:rStyle w:val="15"/>
          <w:rFonts w:hint="eastAsia" w:ascii="仿宋_GB2312" w:hAnsi="仿宋_GB2312" w:eastAsia="仿宋_GB2312" w:cs="仿宋_GB2312"/>
          <w:b w:val="0"/>
          <w:bCs/>
          <w:color w:val="auto"/>
          <w:sz w:val="32"/>
          <w:szCs w:val="32"/>
          <w:highlight w:val="none"/>
          <w:lang w:val="en-US" w:eastAsia="zh-CN"/>
        </w:rPr>
        <w:t>持平</w:t>
      </w:r>
      <w:r>
        <w:rPr>
          <w:rStyle w:val="15"/>
          <w:rFonts w:hint="eastAsia" w:ascii="仿宋_GB2312" w:hAnsi="仿宋_GB2312" w:eastAsia="仿宋_GB2312" w:cs="仿宋_GB2312"/>
          <w:b w:val="0"/>
          <w:bCs/>
          <w:color w:val="auto"/>
          <w:sz w:val="32"/>
          <w:szCs w:val="32"/>
          <w:highlight w:val="none"/>
        </w:rPr>
        <w:t>。</w:t>
      </w:r>
    </w:p>
    <w:p>
      <w:pPr>
        <w:keepNext w:val="0"/>
        <w:keepLines w:val="0"/>
        <w:pageBreakBefore w:val="0"/>
        <w:widowControl w:val="0"/>
        <w:kinsoku/>
        <w:wordWrap/>
        <w:overflowPunct/>
        <w:topLinePunct w:val="0"/>
        <w:bidi w:val="0"/>
        <w:spacing w:line="576" w:lineRule="exact"/>
        <w:ind w:firstLine="642" w:firstLineChars="200"/>
        <w:rPr>
          <w:rStyle w:val="15"/>
          <w:rFonts w:hint="eastAsia" w:ascii="仿宋_GB2312" w:hAnsi="仿宋_GB2312" w:eastAsia="仿宋_GB2312" w:cs="仿宋_GB2312"/>
          <w:b w:val="0"/>
          <w:bCs/>
          <w:color w:val="auto"/>
          <w:sz w:val="32"/>
          <w:szCs w:val="32"/>
          <w:highlight w:val="none"/>
        </w:rPr>
      </w:pPr>
      <w:r>
        <w:rPr>
          <w:rStyle w:val="15"/>
          <w:rFonts w:hint="eastAsia" w:ascii="仿宋_GB2312" w:hAnsi="仿宋_GB2312" w:eastAsia="仿宋_GB2312" w:cs="仿宋_GB2312"/>
          <w:bCs/>
          <w:color w:val="auto"/>
          <w:sz w:val="32"/>
          <w:szCs w:val="32"/>
          <w:highlight w:val="none"/>
          <w:lang w:val="en-US" w:eastAsia="zh-CN"/>
        </w:rPr>
        <w:t>2.</w:t>
      </w:r>
      <w:r>
        <w:rPr>
          <w:rStyle w:val="15"/>
          <w:rFonts w:hint="eastAsia" w:ascii="仿宋_GB2312" w:hAnsi="仿宋_GB2312" w:eastAsia="仿宋_GB2312" w:cs="仿宋_GB2312"/>
          <w:bCs/>
          <w:color w:val="auto"/>
          <w:sz w:val="32"/>
          <w:szCs w:val="32"/>
          <w:highlight w:val="none"/>
        </w:rPr>
        <w:t>一般公共服务（类）</w:t>
      </w:r>
      <w:r>
        <w:rPr>
          <w:rStyle w:val="15"/>
          <w:rFonts w:hint="eastAsia" w:ascii="仿宋_GB2312" w:hAnsi="仿宋_GB2312" w:eastAsia="仿宋_GB2312" w:cs="仿宋_GB2312"/>
          <w:bCs/>
          <w:color w:val="auto"/>
          <w:sz w:val="32"/>
          <w:szCs w:val="32"/>
          <w:highlight w:val="none"/>
          <w:lang w:val="en-US" w:eastAsia="zh-CN"/>
        </w:rPr>
        <w:t>财政事务</w:t>
      </w:r>
      <w:r>
        <w:rPr>
          <w:rStyle w:val="15"/>
          <w:rFonts w:hint="eastAsia" w:ascii="仿宋_GB2312" w:hAnsi="仿宋_GB2312" w:eastAsia="仿宋_GB2312" w:cs="仿宋_GB2312"/>
          <w:bCs/>
          <w:color w:val="auto"/>
          <w:sz w:val="32"/>
          <w:szCs w:val="32"/>
          <w:highlight w:val="none"/>
        </w:rPr>
        <w:t>（款）</w:t>
      </w:r>
      <w:r>
        <w:rPr>
          <w:rStyle w:val="15"/>
          <w:rFonts w:hint="eastAsia" w:ascii="仿宋_GB2312" w:hAnsi="仿宋_GB2312" w:eastAsia="仿宋_GB2312" w:cs="仿宋_GB2312"/>
          <w:bCs/>
          <w:color w:val="auto"/>
          <w:sz w:val="32"/>
          <w:szCs w:val="32"/>
          <w:highlight w:val="none"/>
          <w:lang w:val="en-US" w:eastAsia="zh-CN"/>
        </w:rPr>
        <w:t>一般行政管理事务</w:t>
      </w:r>
      <w:r>
        <w:rPr>
          <w:rStyle w:val="15"/>
          <w:rFonts w:hint="eastAsia" w:ascii="仿宋_GB2312" w:hAnsi="仿宋_GB2312" w:eastAsia="仿宋_GB2312" w:cs="仿宋_GB2312"/>
          <w:bCs/>
          <w:color w:val="auto"/>
          <w:sz w:val="32"/>
          <w:szCs w:val="32"/>
          <w:highlight w:val="none"/>
        </w:rPr>
        <w:t>（项）:</w:t>
      </w:r>
      <w:r>
        <w:rPr>
          <w:rStyle w:val="15"/>
          <w:rFonts w:hint="eastAsia" w:ascii="仿宋_GB2312" w:hAnsi="仿宋_GB2312" w:eastAsia="仿宋_GB2312" w:cs="仿宋_GB2312"/>
          <w:b w:val="0"/>
          <w:bCs/>
          <w:color w:val="auto"/>
          <w:sz w:val="32"/>
          <w:szCs w:val="32"/>
          <w:highlight w:val="none"/>
        </w:rPr>
        <w:t xml:space="preserve"> 支出决算为</w:t>
      </w:r>
      <w:r>
        <w:rPr>
          <w:rStyle w:val="15"/>
          <w:rFonts w:hint="eastAsia" w:ascii="仿宋_GB2312" w:hAnsi="仿宋_GB2312" w:eastAsia="仿宋_GB2312" w:cs="仿宋_GB2312"/>
          <w:b w:val="0"/>
          <w:bCs/>
          <w:color w:val="auto"/>
          <w:sz w:val="32"/>
          <w:szCs w:val="32"/>
          <w:highlight w:val="none"/>
          <w:lang w:val="en-US" w:eastAsia="zh-CN"/>
        </w:rPr>
        <w:t>499.8</w:t>
      </w:r>
      <w:r>
        <w:rPr>
          <w:rStyle w:val="15"/>
          <w:rFonts w:hint="eastAsia" w:ascii="仿宋_GB2312" w:hAnsi="仿宋_GB2312" w:eastAsia="仿宋_GB2312" w:cs="仿宋_GB2312"/>
          <w:b w:val="0"/>
          <w:bCs/>
          <w:color w:val="auto"/>
          <w:sz w:val="32"/>
          <w:szCs w:val="32"/>
          <w:highlight w:val="none"/>
        </w:rPr>
        <w:t>万元，完成预算</w:t>
      </w:r>
      <w:r>
        <w:rPr>
          <w:rStyle w:val="15"/>
          <w:rFonts w:hint="eastAsia" w:ascii="仿宋_GB2312" w:hAnsi="仿宋_GB2312" w:eastAsia="仿宋_GB2312" w:cs="仿宋_GB2312"/>
          <w:b w:val="0"/>
          <w:bCs/>
          <w:color w:val="auto"/>
          <w:sz w:val="32"/>
          <w:szCs w:val="32"/>
          <w:highlight w:val="none"/>
          <w:lang w:val="en-US" w:eastAsia="zh-CN"/>
        </w:rPr>
        <w:t>81.34</w:t>
      </w:r>
      <w:r>
        <w:rPr>
          <w:rStyle w:val="15"/>
          <w:rFonts w:hint="eastAsia" w:ascii="仿宋_GB2312" w:hAnsi="仿宋_GB2312" w:eastAsia="仿宋_GB2312" w:cs="仿宋_GB2312"/>
          <w:b w:val="0"/>
          <w:bCs/>
          <w:color w:val="auto"/>
          <w:sz w:val="32"/>
          <w:szCs w:val="32"/>
          <w:highlight w:val="none"/>
        </w:rPr>
        <w:t>%，决算数小于预算数的主要原因是</w:t>
      </w:r>
      <w:r>
        <w:rPr>
          <w:rStyle w:val="15"/>
          <w:rFonts w:hint="eastAsia" w:ascii="仿宋_GB2312" w:hAnsi="仿宋_GB2312" w:eastAsia="仿宋_GB2312" w:cs="仿宋_GB2312"/>
          <w:b w:val="0"/>
          <w:bCs/>
          <w:color w:val="000000"/>
          <w:sz w:val="32"/>
          <w:szCs w:val="32"/>
        </w:rPr>
        <w:t>部分项目支出202</w:t>
      </w:r>
      <w:r>
        <w:rPr>
          <w:rStyle w:val="15"/>
          <w:rFonts w:hint="eastAsia" w:ascii="仿宋_GB2312" w:hAnsi="仿宋_GB2312" w:eastAsia="仿宋_GB2312" w:cs="仿宋_GB2312"/>
          <w:b w:val="0"/>
          <w:bCs/>
          <w:color w:val="000000"/>
          <w:sz w:val="32"/>
          <w:szCs w:val="32"/>
          <w:lang w:val="en-US" w:eastAsia="zh-CN"/>
        </w:rPr>
        <w:t>1</w:t>
      </w:r>
      <w:r>
        <w:rPr>
          <w:rStyle w:val="15"/>
          <w:rFonts w:hint="eastAsia" w:ascii="仿宋_GB2312" w:hAnsi="仿宋_GB2312" w:eastAsia="仿宋_GB2312" w:cs="仿宋_GB2312"/>
          <w:b w:val="0"/>
          <w:bCs/>
          <w:color w:val="000000"/>
          <w:sz w:val="32"/>
          <w:szCs w:val="32"/>
        </w:rPr>
        <w:t>年尚未完成，202</w:t>
      </w:r>
      <w:r>
        <w:rPr>
          <w:rStyle w:val="15"/>
          <w:rFonts w:hint="eastAsia" w:ascii="仿宋_GB2312" w:hAnsi="仿宋_GB2312" w:eastAsia="仿宋_GB2312" w:cs="仿宋_GB2312"/>
          <w:b w:val="0"/>
          <w:bCs/>
          <w:color w:val="000000"/>
          <w:sz w:val="32"/>
          <w:szCs w:val="32"/>
          <w:lang w:val="en-US" w:eastAsia="zh-CN"/>
        </w:rPr>
        <w:t>2</w:t>
      </w:r>
      <w:r>
        <w:rPr>
          <w:rStyle w:val="15"/>
          <w:rFonts w:hint="eastAsia" w:ascii="仿宋_GB2312" w:hAnsi="仿宋_GB2312" w:eastAsia="仿宋_GB2312" w:cs="仿宋_GB2312"/>
          <w:b w:val="0"/>
          <w:bCs/>
          <w:color w:val="000000"/>
          <w:sz w:val="32"/>
          <w:szCs w:val="32"/>
        </w:rPr>
        <w:t>年还将继续实施</w:t>
      </w:r>
      <w:r>
        <w:rPr>
          <w:rStyle w:val="15"/>
          <w:rFonts w:hint="eastAsia" w:ascii="仿宋_GB2312" w:hAnsi="仿宋_GB2312" w:eastAsia="仿宋_GB2312" w:cs="仿宋_GB2312"/>
          <w:b w:val="0"/>
          <w:bCs/>
          <w:color w:val="auto"/>
          <w:sz w:val="32"/>
          <w:szCs w:val="32"/>
          <w:highlight w:val="none"/>
        </w:rPr>
        <w:t>。</w:t>
      </w:r>
    </w:p>
    <w:p>
      <w:pPr>
        <w:keepNext w:val="0"/>
        <w:keepLines w:val="0"/>
        <w:pageBreakBefore w:val="0"/>
        <w:widowControl w:val="0"/>
        <w:kinsoku/>
        <w:wordWrap/>
        <w:overflowPunct/>
        <w:topLinePunct w:val="0"/>
        <w:bidi w:val="0"/>
        <w:spacing w:line="600" w:lineRule="exact"/>
        <w:ind w:firstLine="642" w:firstLineChars="200"/>
        <w:rPr>
          <w:rFonts w:hint="eastAsia" w:ascii="仿宋_GB2312" w:hAnsi="仿宋_GB2312" w:eastAsia="仿宋_GB2312" w:cs="仿宋_GB2312"/>
          <w:b/>
          <w:color w:val="auto"/>
          <w:sz w:val="32"/>
          <w:szCs w:val="32"/>
          <w:highlight w:val="none"/>
        </w:rPr>
      </w:pPr>
      <w:r>
        <w:rPr>
          <w:rStyle w:val="15"/>
          <w:rFonts w:hint="eastAsia" w:ascii="仿宋_GB2312" w:hAnsi="仿宋_GB2312" w:eastAsia="仿宋_GB2312" w:cs="仿宋_GB2312"/>
          <w:bCs/>
          <w:color w:val="auto"/>
          <w:sz w:val="32"/>
          <w:szCs w:val="32"/>
          <w:highlight w:val="none"/>
          <w:lang w:val="en-US" w:eastAsia="zh-CN"/>
        </w:rPr>
        <w:t>3</w:t>
      </w:r>
      <w:r>
        <w:rPr>
          <w:rStyle w:val="15"/>
          <w:rFonts w:hint="eastAsia" w:ascii="仿宋_GB2312" w:hAnsi="仿宋_GB2312" w:eastAsia="仿宋_GB2312" w:cs="仿宋_GB2312"/>
          <w:bCs/>
          <w:color w:val="auto"/>
          <w:sz w:val="32"/>
          <w:szCs w:val="32"/>
          <w:highlight w:val="none"/>
        </w:rPr>
        <w:t>.一般公共服务（类）</w:t>
      </w:r>
      <w:r>
        <w:rPr>
          <w:rStyle w:val="15"/>
          <w:rFonts w:hint="eastAsia" w:ascii="仿宋_GB2312" w:hAnsi="仿宋_GB2312" w:eastAsia="仿宋_GB2312" w:cs="仿宋_GB2312"/>
          <w:bCs/>
          <w:color w:val="auto"/>
          <w:sz w:val="32"/>
          <w:szCs w:val="32"/>
          <w:highlight w:val="none"/>
          <w:lang w:val="en-US" w:eastAsia="zh-CN"/>
        </w:rPr>
        <w:t>财政事务</w:t>
      </w:r>
      <w:r>
        <w:rPr>
          <w:rStyle w:val="15"/>
          <w:rFonts w:hint="eastAsia" w:ascii="仿宋_GB2312" w:hAnsi="仿宋_GB2312" w:eastAsia="仿宋_GB2312" w:cs="仿宋_GB2312"/>
          <w:bCs/>
          <w:color w:val="auto"/>
          <w:sz w:val="32"/>
          <w:szCs w:val="32"/>
          <w:highlight w:val="none"/>
        </w:rPr>
        <w:t>（款）</w:t>
      </w:r>
      <w:r>
        <w:rPr>
          <w:rStyle w:val="15"/>
          <w:rFonts w:hint="eastAsia" w:ascii="仿宋_GB2312" w:hAnsi="仿宋_GB2312" w:eastAsia="仿宋_GB2312" w:cs="仿宋_GB2312"/>
          <w:bCs/>
          <w:color w:val="auto"/>
          <w:sz w:val="32"/>
          <w:szCs w:val="32"/>
          <w:highlight w:val="none"/>
          <w:lang w:val="en-US" w:eastAsia="zh-CN"/>
        </w:rPr>
        <w:t>机关服务</w:t>
      </w:r>
      <w:r>
        <w:rPr>
          <w:rStyle w:val="15"/>
          <w:rFonts w:hint="eastAsia" w:ascii="仿宋_GB2312" w:hAnsi="仿宋_GB2312" w:eastAsia="仿宋_GB2312" w:cs="仿宋_GB2312"/>
          <w:bCs/>
          <w:color w:val="auto"/>
          <w:sz w:val="32"/>
          <w:szCs w:val="32"/>
          <w:highlight w:val="none"/>
        </w:rPr>
        <w:t>（项）:</w:t>
      </w:r>
      <w:r>
        <w:rPr>
          <w:rStyle w:val="15"/>
          <w:rFonts w:hint="eastAsia" w:ascii="仿宋_GB2312" w:hAnsi="仿宋_GB2312" w:eastAsia="仿宋_GB2312" w:cs="仿宋_GB2312"/>
          <w:b w:val="0"/>
          <w:bCs/>
          <w:color w:val="auto"/>
          <w:sz w:val="32"/>
          <w:szCs w:val="32"/>
          <w:highlight w:val="none"/>
        </w:rPr>
        <w:t xml:space="preserve"> 支出决算为</w:t>
      </w:r>
      <w:r>
        <w:rPr>
          <w:rStyle w:val="15"/>
          <w:rFonts w:hint="eastAsia" w:ascii="仿宋_GB2312" w:hAnsi="仿宋_GB2312" w:eastAsia="仿宋_GB2312" w:cs="仿宋_GB2312"/>
          <w:b w:val="0"/>
          <w:bCs/>
          <w:color w:val="auto"/>
          <w:sz w:val="32"/>
          <w:szCs w:val="32"/>
          <w:highlight w:val="none"/>
          <w:lang w:val="en-US" w:eastAsia="zh-CN"/>
        </w:rPr>
        <w:t>26</w:t>
      </w:r>
      <w:r>
        <w:rPr>
          <w:rStyle w:val="15"/>
          <w:rFonts w:hint="eastAsia" w:ascii="仿宋_GB2312" w:hAnsi="仿宋_GB2312" w:eastAsia="仿宋_GB2312" w:cs="仿宋_GB2312"/>
          <w:b w:val="0"/>
          <w:bCs/>
          <w:color w:val="auto"/>
          <w:sz w:val="32"/>
          <w:szCs w:val="32"/>
          <w:highlight w:val="none"/>
        </w:rPr>
        <w:t>万元，完成预算</w:t>
      </w:r>
      <w:r>
        <w:rPr>
          <w:rStyle w:val="15"/>
          <w:rFonts w:hint="eastAsia" w:ascii="仿宋_GB2312" w:hAnsi="仿宋_GB2312" w:eastAsia="仿宋_GB2312" w:cs="仿宋_GB2312"/>
          <w:b w:val="0"/>
          <w:bCs/>
          <w:color w:val="auto"/>
          <w:sz w:val="32"/>
          <w:szCs w:val="32"/>
          <w:highlight w:val="none"/>
          <w:lang w:val="en-US" w:eastAsia="zh-CN"/>
        </w:rPr>
        <w:t>100</w:t>
      </w:r>
      <w:r>
        <w:rPr>
          <w:rStyle w:val="15"/>
          <w:rFonts w:hint="eastAsia" w:ascii="仿宋_GB2312" w:hAnsi="仿宋_GB2312" w:eastAsia="仿宋_GB2312" w:cs="仿宋_GB2312"/>
          <w:b w:val="0"/>
          <w:bCs/>
          <w:color w:val="auto"/>
          <w:sz w:val="32"/>
          <w:szCs w:val="32"/>
          <w:highlight w:val="none"/>
        </w:rPr>
        <w:t>%，决算数</w:t>
      </w:r>
      <w:r>
        <w:rPr>
          <w:rStyle w:val="15"/>
          <w:rFonts w:hint="eastAsia" w:ascii="仿宋_GB2312" w:hAnsi="仿宋_GB2312" w:eastAsia="仿宋_GB2312" w:cs="仿宋_GB2312"/>
          <w:b w:val="0"/>
          <w:bCs/>
          <w:color w:val="auto"/>
          <w:sz w:val="32"/>
          <w:szCs w:val="32"/>
          <w:highlight w:val="none"/>
          <w:lang w:val="en-US" w:eastAsia="zh-CN"/>
        </w:rPr>
        <w:t>与</w:t>
      </w:r>
      <w:r>
        <w:rPr>
          <w:rStyle w:val="15"/>
          <w:rFonts w:hint="eastAsia" w:ascii="仿宋_GB2312" w:hAnsi="仿宋_GB2312" w:eastAsia="仿宋_GB2312" w:cs="仿宋_GB2312"/>
          <w:b w:val="0"/>
          <w:bCs/>
          <w:color w:val="auto"/>
          <w:sz w:val="32"/>
          <w:szCs w:val="32"/>
          <w:highlight w:val="none"/>
        </w:rPr>
        <w:t>预算数</w:t>
      </w:r>
      <w:r>
        <w:rPr>
          <w:rStyle w:val="15"/>
          <w:rFonts w:hint="eastAsia" w:ascii="仿宋_GB2312" w:hAnsi="仿宋_GB2312" w:eastAsia="仿宋_GB2312" w:cs="仿宋_GB2312"/>
          <w:b w:val="0"/>
          <w:bCs/>
          <w:color w:val="auto"/>
          <w:sz w:val="32"/>
          <w:szCs w:val="32"/>
          <w:highlight w:val="none"/>
          <w:lang w:val="en-US" w:eastAsia="zh-CN"/>
        </w:rPr>
        <w:t>持平</w:t>
      </w:r>
      <w:r>
        <w:rPr>
          <w:rStyle w:val="15"/>
          <w:rFonts w:hint="eastAsia" w:ascii="仿宋_GB2312" w:hAnsi="仿宋_GB2312" w:eastAsia="仿宋_GB2312" w:cs="仿宋_GB2312"/>
          <w:b w:val="0"/>
          <w:bCs/>
          <w:color w:val="auto"/>
          <w:sz w:val="32"/>
          <w:szCs w:val="32"/>
          <w:highlight w:val="none"/>
        </w:rPr>
        <w:t>。</w:t>
      </w:r>
    </w:p>
    <w:p>
      <w:pPr>
        <w:keepNext w:val="0"/>
        <w:keepLines w:val="0"/>
        <w:pageBreakBefore w:val="0"/>
        <w:widowControl w:val="0"/>
        <w:kinsoku/>
        <w:wordWrap/>
        <w:overflowPunct/>
        <w:topLinePunct w:val="0"/>
        <w:bidi w:val="0"/>
        <w:spacing w:line="600" w:lineRule="exact"/>
        <w:ind w:firstLine="642" w:firstLineChars="200"/>
        <w:rPr>
          <w:rStyle w:val="15"/>
          <w:rFonts w:hint="eastAsia" w:ascii="仿宋_GB2312" w:hAnsi="仿宋_GB2312" w:eastAsia="仿宋_GB2312" w:cs="仿宋_GB2312"/>
          <w:b w:val="0"/>
          <w:bCs/>
          <w:color w:val="auto"/>
          <w:sz w:val="32"/>
          <w:szCs w:val="32"/>
          <w:highlight w:val="none"/>
        </w:rPr>
      </w:pPr>
      <w:r>
        <w:rPr>
          <w:rStyle w:val="15"/>
          <w:rFonts w:hint="eastAsia" w:ascii="仿宋_GB2312" w:hAnsi="仿宋_GB2312" w:eastAsia="仿宋_GB2312" w:cs="仿宋_GB2312"/>
          <w:bCs/>
          <w:color w:val="auto"/>
          <w:sz w:val="32"/>
          <w:szCs w:val="32"/>
          <w:highlight w:val="none"/>
          <w:lang w:val="en-US" w:eastAsia="zh-CN"/>
        </w:rPr>
        <w:t>4</w:t>
      </w:r>
      <w:r>
        <w:rPr>
          <w:rStyle w:val="15"/>
          <w:rFonts w:hint="eastAsia" w:ascii="仿宋_GB2312" w:hAnsi="仿宋_GB2312" w:eastAsia="仿宋_GB2312" w:cs="仿宋_GB2312"/>
          <w:bCs/>
          <w:color w:val="auto"/>
          <w:sz w:val="32"/>
          <w:szCs w:val="32"/>
          <w:highlight w:val="none"/>
        </w:rPr>
        <w:t>.一般公共服务（类）</w:t>
      </w:r>
      <w:r>
        <w:rPr>
          <w:rStyle w:val="15"/>
          <w:rFonts w:hint="eastAsia" w:ascii="仿宋_GB2312" w:hAnsi="仿宋_GB2312" w:eastAsia="仿宋_GB2312" w:cs="仿宋_GB2312"/>
          <w:bCs/>
          <w:color w:val="auto"/>
          <w:sz w:val="32"/>
          <w:szCs w:val="32"/>
          <w:highlight w:val="none"/>
          <w:lang w:val="en-US" w:eastAsia="zh-CN"/>
        </w:rPr>
        <w:t>财政事务</w:t>
      </w:r>
      <w:r>
        <w:rPr>
          <w:rStyle w:val="15"/>
          <w:rFonts w:hint="eastAsia" w:ascii="仿宋_GB2312" w:hAnsi="仿宋_GB2312" w:eastAsia="仿宋_GB2312" w:cs="仿宋_GB2312"/>
          <w:bCs/>
          <w:color w:val="auto"/>
          <w:sz w:val="32"/>
          <w:szCs w:val="32"/>
          <w:highlight w:val="none"/>
        </w:rPr>
        <w:t>（款）</w:t>
      </w:r>
      <w:r>
        <w:rPr>
          <w:rStyle w:val="15"/>
          <w:rFonts w:hint="eastAsia" w:ascii="仿宋_GB2312" w:hAnsi="仿宋_GB2312" w:eastAsia="仿宋_GB2312" w:cs="仿宋_GB2312"/>
          <w:bCs/>
          <w:color w:val="auto"/>
          <w:sz w:val="32"/>
          <w:szCs w:val="32"/>
          <w:highlight w:val="none"/>
          <w:lang w:val="en-US" w:eastAsia="zh-CN"/>
        </w:rPr>
        <w:t>信息化建设</w:t>
      </w:r>
      <w:r>
        <w:rPr>
          <w:rStyle w:val="15"/>
          <w:rFonts w:hint="eastAsia" w:ascii="仿宋_GB2312" w:hAnsi="仿宋_GB2312" w:eastAsia="仿宋_GB2312" w:cs="仿宋_GB2312"/>
          <w:bCs/>
          <w:color w:val="auto"/>
          <w:sz w:val="32"/>
          <w:szCs w:val="32"/>
          <w:highlight w:val="none"/>
        </w:rPr>
        <w:t>（项）:</w:t>
      </w:r>
      <w:r>
        <w:rPr>
          <w:rStyle w:val="15"/>
          <w:rFonts w:hint="eastAsia" w:ascii="仿宋_GB2312" w:hAnsi="仿宋_GB2312" w:eastAsia="仿宋_GB2312" w:cs="仿宋_GB2312"/>
          <w:b w:val="0"/>
          <w:bCs/>
          <w:color w:val="auto"/>
          <w:sz w:val="32"/>
          <w:szCs w:val="32"/>
          <w:highlight w:val="none"/>
        </w:rPr>
        <w:t xml:space="preserve"> 支出决算为</w:t>
      </w:r>
      <w:r>
        <w:rPr>
          <w:rStyle w:val="15"/>
          <w:rFonts w:hint="eastAsia" w:ascii="仿宋_GB2312" w:hAnsi="仿宋_GB2312" w:eastAsia="仿宋_GB2312" w:cs="仿宋_GB2312"/>
          <w:b w:val="0"/>
          <w:bCs/>
          <w:color w:val="auto"/>
          <w:sz w:val="32"/>
          <w:szCs w:val="32"/>
          <w:highlight w:val="none"/>
          <w:lang w:val="en-US" w:eastAsia="zh-CN"/>
        </w:rPr>
        <w:t>34.13</w:t>
      </w:r>
      <w:r>
        <w:rPr>
          <w:rStyle w:val="15"/>
          <w:rFonts w:hint="eastAsia" w:ascii="仿宋_GB2312" w:hAnsi="仿宋_GB2312" w:eastAsia="仿宋_GB2312" w:cs="仿宋_GB2312"/>
          <w:b w:val="0"/>
          <w:bCs/>
          <w:color w:val="auto"/>
          <w:sz w:val="32"/>
          <w:szCs w:val="32"/>
          <w:highlight w:val="none"/>
        </w:rPr>
        <w:t>万元，完成预算</w:t>
      </w:r>
      <w:r>
        <w:rPr>
          <w:rStyle w:val="15"/>
          <w:rFonts w:hint="eastAsia" w:ascii="仿宋_GB2312" w:hAnsi="仿宋_GB2312" w:eastAsia="仿宋_GB2312" w:cs="仿宋_GB2312"/>
          <w:b w:val="0"/>
          <w:bCs/>
          <w:color w:val="auto"/>
          <w:sz w:val="32"/>
          <w:szCs w:val="32"/>
          <w:highlight w:val="none"/>
          <w:lang w:val="en-US" w:eastAsia="zh-CN"/>
        </w:rPr>
        <w:t>100</w:t>
      </w:r>
      <w:r>
        <w:rPr>
          <w:rStyle w:val="15"/>
          <w:rFonts w:hint="eastAsia" w:ascii="仿宋_GB2312" w:hAnsi="仿宋_GB2312" w:eastAsia="仿宋_GB2312" w:cs="仿宋_GB2312"/>
          <w:b w:val="0"/>
          <w:bCs/>
          <w:color w:val="auto"/>
          <w:sz w:val="32"/>
          <w:szCs w:val="32"/>
          <w:highlight w:val="none"/>
        </w:rPr>
        <w:t>%，决算数</w:t>
      </w:r>
      <w:r>
        <w:rPr>
          <w:rStyle w:val="15"/>
          <w:rFonts w:hint="eastAsia" w:ascii="仿宋_GB2312" w:hAnsi="仿宋_GB2312" w:eastAsia="仿宋_GB2312" w:cs="仿宋_GB2312"/>
          <w:b w:val="0"/>
          <w:bCs/>
          <w:color w:val="auto"/>
          <w:sz w:val="32"/>
          <w:szCs w:val="32"/>
          <w:highlight w:val="none"/>
          <w:lang w:val="en-US" w:eastAsia="zh-CN"/>
        </w:rPr>
        <w:t>与</w:t>
      </w:r>
      <w:r>
        <w:rPr>
          <w:rStyle w:val="15"/>
          <w:rFonts w:hint="eastAsia" w:ascii="仿宋_GB2312" w:hAnsi="仿宋_GB2312" w:eastAsia="仿宋_GB2312" w:cs="仿宋_GB2312"/>
          <w:b w:val="0"/>
          <w:bCs/>
          <w:color w:val="auto"/>
          <w:sz w:val="32"/>
          <w:szCs w:val="32"/>
          <w:highlight w:val="none"/>
        </w:rPr>
        <w:t>预算数</w:t>
      </w:r>
      <w:r>
        <w:rPr>
          <w:rStyle w:val="15"/>
          <w:rFonts w:hint="eastAsia" w:ascii="仿宋_GB2312" w:hAnsi="仿宋_GB2312" w:eastAsia="仿宋_GB2312" w:cs="仿宋_GB2312"/>
          <w:b w:val="0"/>
          <w:bCs/>
          <w:color w:val="auto"/>
          <w:sz w:val="32"/>
          <w:szCs w:val="32"/>
          <w:highlight w:val="none"/>
          <w:lang w:val="en-US" w:eastAsia="zh-CN"/>
        </w:rPr>
        <w:t>持平</w:t>
      </w:r>
      <w:r>
        <w:rPr>
          <w:rStyle w:val="15"/>
          <w:rFonts w:hint="eastAsia" w:ascii="仿宋_GB2312" w:hAnsi="仿宋_GB2312" w:eastAsia="仿宋_GB2312" w:cs="仿宋_GB2312"/>
          <w:b w:val="0"/>
          <w:bCs/>
          <w:color w:val="auto"/>
          <w:sz w:val="32"/>
          <w:szCs w:val="32"/>
          <w:highlight w:val="none"/>
        </w:rPr>
        <w:t>。</w:t>
      </w:r>
    </w:p>
    <w:p>
      <w:pPr>
        <w:keepNext w:val="0"/>
        <w:keepLines w:val="0"/>
        <w:pageBreakBefore w:val="0"/>
        <w:widowControl w:val="0"/>
        <w:kinsoku/>
        <w:wordWrap/>
        <w:overflowPunct/>
        <w:topLinePunct w:val="0"/>
        <w:bidi w:val="0"/>
        <w:spacing w:line="600" w:lineRule="exact"/>
        <w:ind w:firstLine="642" w:firstLineChars="200"/>
        <w:rPr>
          <w:rFonts w:hint="eastAsia" w:ascii="仿宋_GB2312" w:hAnsi="仿宋_GB2312" w:eastAsia="仿宋_GB2312" w:cs="仿宋_GB2312"/>
          <w:b/>
          <w:color w:val="auto"/>
          <w:sz w:val="32"/>
          <w:szCs w:val="32"/>
          <w:highlight w:val="none"/>
        </w:rPr>
      </w:pPr>
      <w:r>
        <w:rPr>
          <w:rStyle w:val="15"/>
          <w:rFonts w:hint="eastAsia" w:ascii="仿宋_GB2312" w:hAnsi="仿宋_GB2312" w:eastAsia="仿宋_GB2312" w:cs="仿宋_GB2312"/>
          <w:bCs/>
          <w:color w:val="auto"/>
          <w:sz w:val="32"/>
          <w:szCs w:val="32"/>
          <w:highlight w:val="none"/>
          <w:lang w:val="en-US" w:eastAsia="zh-CN"/>
        </w:rPr>
        <w:t>5</w:t>
      </w:r>
      <w:r>
        <w:rPr>
          <w:rStyle w:val="15"/>
          <w:rFonts w:hint="eastAsia" w:ascii="仿宋_GB2312" w:hAnsi="仿宋_GB2312" w:eastAsia="仿宋_GB2312" w:cs="仿宋_GB2312"/>
          <w:bCs/>
          <w:color w:val="auto"/>
          <w:sz w:val="32"/>
          <w:szCs w:val="32"/>
          <w:highlight w:val="none"/>
        </w:rPr>
        <w:t>.一般公共服务（类）</w:t>
      </w:r>
      <w:r>
        <w:rPr>
          <w:rStyle w:val="15"/>
          <w:rFonts w:hint="eastAsia" w:ascii="仿宋_GB2312" w:hAnsi="仿宋_GB2312" w:eastAsia="仿宋_GB2312" w:cs="仿宋_GB2312"/>
          <w:bCs/>
          <w:color w:val="auto"/>
          <w:sz w:val="32"/>
          <w:szCs w:val="32"/>
          <w:highlight w:val="none"/>
          <w:lang w:val="en-US" w:eastAsia="zh-CN"/>
        </w:rPr>
        <w:t>财政事务</w:t>
      </w:r>
      <w:r>
        <w:rPr>
          <w:rStyle w:val="15"/>
          <w:rFonts w:hint="eastAsia" w:ascii="仿宋_GB2312" w:hAnsi="仿宋_GB2312" w:eastAsia="仿宋_GB2312" w:cs="仿宋_GB2312"/>
          <w:bCs/>
          <w:color w:val="auto"/>
          <w:sz w:val="32"/>
          <w:szCs w:val="32"/>
          <w:highlight w:val="none"/>
        </w:rPr>
        <w:t>（款）</w:t>
      </w:r>
      <w:r>
        <w:rPr>
          <w:rStyle w:val="15"/>
          <w:rFonts w:hint="eastAsia" w:ascii="仿宋_GB2312" w:hAnsi="仿宋_GB2312" w:eastAsia="仿宋_GB2312" w:cs="仿宋_GB2312"/>
          <w:bCs/>
          <w:color w:val="auto"/>
          <w:sz w:val="32"/>
          <w:szCs w:val="32"/>
          <w:highlight w:val="none"/>
          <w:lang w:val="en-US" w:eastAsia="zh-CN"/>
        </w:rPr>
        <w:t>财政委托业务支出</w:t>
      </w:r>
      <w:r>
        <w:rPr>
          <w:rStyle w:val="15"/>
          <w:rFonts w:hint="eastAsia" w:ascii="仿宋_GB2312" w:hAnsi="仿宋_GB2312" w:eastAsia="仿宋_GB2312" w:cs="仿宋_GB2312"/>
          <w:bCs/>
          <w:color w:val="auto"/>
          <w:sz w:val="32"/>
          <w:szCs w:val="32"/>
          <w:highlight w:val="none"/>
        </w:rPr>
        <w:t>（项）:</w:t>
      </w:r>
      <w:r>
        <w:rPr>
          <w:rStyle w:val="15"/>
          <w:rFonts w:hint="eastAsia" w:ascii="仿宋_GB2312" w:hAnsi="仿宋_GB2312" w:eastAsia="仿宋_GB2312" w:cs="仿宋_GB2312"/>
          <w:b w:val="0"/>
          <w:bCs/>
          <w:color w:val="auto"/>
          <w:sz w:val="32"/>
          <w:szCs w:val="32"/>
          <w:highlight w:val="none"/>
        </w:rPr>
        <w:t xml:space="preserve"> 支出决算为</w:t>
      </w:r>
      <w:r>
        <w:rPr>
          <w:rStyle w:val="15"/>
          <w:rFonts w:hint="eastAsia" w:ascii="仿宋_GB2312" w:hAnsi="仿宋_GB2312" w:eastAsia="仿宋_GB2312" w:cs="仿宋_GB2312"/>
          <w:b w:val="0"/>
          <w:bCs/>
          <w:color w:val="auto"/>
          <w:sz w:val="32"/>
          <w:szCs w:val="32"/>
          <w:highlight w:val="none"/>
          <w:lang w:val="en-US" w:eastAsia="zh-CN"/>
        </w:rPr>
        <w:t>231.5</w:t>
      </w:r>
      <w:r>
        <w:rPr>
          <w:rStyle w:val="15"/>
          <w:rFonts w:hint="eastAsia" w:ascii="仿宋_GB2312" w:hAnsi="仿宋_GB2312" w:eastAsia="仿宋_GB2312" w:cs="仿宋_GB2312"/>
          <w:b w:val="0"/>
          <w:bCs/>
          <w:color w:val="auto"/>
          <w:sz w:val="32"/>
          <w:szCs w:val="32"/>
          <w:highlight w:val="none"/>
        </w:rPr>
        <w:t>万元，完成预算</w:t>
      </w:r>
      <w:r>
        <w:rPr>
          <w:rStyle w:val="15"/>
          <w:rFonts w:hint="eastAsia" w:ascii="仿宋_GB2312" w:hAnsi="仿宋_GB2312" w:eastAsia="仿宋_GB2312" w:cs="仿宋_GB2312"/>
          <w:b w:val="0"/>
          <w:bCs/>
          <w:color w:val="auto"/>
          <w:sz w:val="32"/>
          <w:szCs w:val="32"/>
          <w:highlight w:val="none"/>
          <w:lang w:val="en-US" w:eastAsia="zh-CN"/>
        </w:rPr>
        <w:t>66.29</w:t>
      </w:r>
      <w:r>
        <w:rPr>
          <w:rStyle w:val="15"/>
          <w:rFonts w:hint="eastAsia" w:ascii="仿宋_GB2312" w:hAnsi="仿宋_GB2312" w:eastAsia="仿宋_GB2312" w:cs="仿宋_GB2312"/>
          <w:b w:val="0"/>
          <w:bCs/>
          <w:color w:val="auto"/>
          <w:sz w:val="32"/>
          <w:szCs w:val="32"/>
          <w:highlight w:val="none"/>
        </w:rPr>
        <w:t>%，决算数小于预算数的主要原因是</w:t>
      </w:r>
      <w:r>
        <w:rPr>
          <w:rStyle w:val="15"/>
          <w:rFonts w:hint="eastAsia" w:ascii="仿宋_GB2312" w:hAnsi="仿宋_GB2312" w:eastAsia="仿宋_GB2312" w:cs="仿宋_GB2312"/>
          <w:b w:val="0"/>
          <w:bCs/>
          <w:color w:val="auto"/>
          <w:sz w:val="32"/>
          <w:szCs w:val="32"/>
          <w:highlight w:val="none"/>
          <w:lang w:val="en-US" w:eastAsia="zh-CN"/>
        </w:rPr>
        <w:t>2021年政府性投资项目评审协作工作尚未完成，2022年还将继续实施</w:t>
      </w:r>
      <w:r>
        <w:rPr>
          <w:rStyle w:val="15"/>
          <w:rFonts w:hint="eastAsia" w:ascii="仿宋_GB2312" w:hAnsi="仿宋_GB2312" w:eastAsia="仿宋_GB2312" w:cs="仿宋_GB2312"/>
          <w:b w:val="0"/>
          <w:bCs/>
          <w:color w:val="auto"/>
          <w:sz w:val="32"/>
          <w:szCs w:val="32"/>
          <w:highlight w:val="none"/>
        </w:rPr>
        <w:t>。</w:t>
      </w:r>
    </w:p>
    <w:p>
      <w:pPr>
        <w:keepNext w:val="0"/>
        <w:keepLines w:val="0"/>
        <w:pageBreakBefore w:val="0"/>
        <w:widowControl w:val="0"/>
        <w:kinsoku/>
        <w:wordWrap/>
        <w:overflowPunct/>
        <w:topLinePunct w:val="0"/>
        <w:bidi w:val="0"/>
        <w:spacing w:line="600" w:lineRule="exact"/>
        <w:ind w:firstLine="642" w:firstLineChars="200"/>
        <w:rPr>
          <w:rStyle w:val="15"/>
          <w:rFonts w:hint="eastAsia" w:ascii="仿宋_GB2312" w:hAnsi="仿宋_GB2312" w:eastAsia="仿宋_GB2312" w:cs="仿宋_GB2312"/>
          <w:b w:val="0"/>
          <w:bCs/>
          <w:color w:val="auto"/>
          <w:sz w:val="32"/>
          <w:szCs w:val="32"/>
          <w:highlight w:val="none"/>
        </w:rPr>
      </w:pPr>
      <w:r>
        <w:rPr>
          <w:rStyle w:val="15"/>
          <w:rFonts w:hint="eastAsia" w:ascii="仿宋_GB2312" w:hAnsi="仿宋_GB2312" w:eastAsia="仿宋_GB2312" w:cs="仿宋_GB2312"/>
          <w:bCs/>
          <w:color w:val="auto"/>
          <w:sz w:val="32"/>
          <w:szCs w:val="32"/>
          <w:highlight w:val="none"/>
          <w:lang w:val="en-US" w:eastAsia="zh-CN"/>
        </w:rPr>
        <w:t>6</w:t>
      </w:r>
      <w:r>
        <w:rPr>
          <w:rStyle w:val="15"/>
          <w:rFonts w:hint="eastAsia" w:ascii="仿宋_GB2312" w:hAnsi="仿宋_GB2312" w:eastAsia="仿宋_GB2312" w:cs="仿宋_GB2312"/>
          <w:bCs/>
          <w:color w:val="auto"/>
          <w:sz w:val="32"/>
          <w:szCs w:val="32"/>
          <w:highlight w:val="none"/>
        </w:rPr>
        <w:t>.一般公共服务（类）</w:t>
      </w:r>
      <w:r>
        <w:rPr>
          <w:rStyle w:val="15"/>
          <w:rFonts w:hint="eastAsia" w:ascii="仿宋_GB2312" w:hAnsi="仿宋_GB2312" w:eastAsia="仿宋_GB2312" w:cs="仿宋_GB2312"/>
          <w:bCs/>
          <w:color w:val="auto"/>
          <w:sz w:val="32"/>
          <w:szCs w:val="32"/>
          <w:highlight w:val="none"/>
          <w:lang w:val="en-US" w:eastAsia="zh-CN"/>
        </w:rPr>
        <w:t>财政事务</w:t>
      </w:r>
      <w:r>
        <w:rPr>
          <w:rStyle w:val="15"/>
          <w:rFonts w:hint="eastAsia" w:ascii="仿宋_GB2312" w:hAnsi="仿宋_GB2312" w:eastAsia="仿宋_GB2312" w:cs="仿宋_GB2312"/>
          <w:bCs/>
          <w:color w:val="auto"/>
          <w:sz w:val="32"/>
          <w:szCs w:val="32"/>
          <w:highlight w:val="none"/>
        </w:rPr>
        <w:t>（款）</w:t>
      </w:r>
      <w:r>
        <w:rPr>
          <w:rStyle w:val="15"/>
          <w:rFonts w:hint="eastAsia" w:ascii="仿宋_GB2312" w:hAnsi="仿宋_GB2312" w:eastAsia="仿宋_GB2312" w:cs="仿宋_GB2312"/>
          <w:bCs/>
          <w:color w:val="auto"/>
          <w:sz w:val="32"/>
          <w:szCs w:val="32"/>
          <w:highlight w:val="none"/>
          <w:lang w:val="en-US" w:eastAsia="zh-CN"/>
        </w:rPr>
        <w:t>事业运行</w:t>
      </w:r>
      <w:r>
        <w:rPr>
          <w:rStyle w:val="15"/>
          <w:rFonts w:hint="eastAsia" w:ascii="仿宋_GB2312" w:hAnsi="仿宋_GB2312" w:eastAsia="仿宋_GB2312" w:cs="仿宋_GB2312"/>
          <w:bCs/>
          <w:color w:val="auto"/>
          <w:sz w:val="32"/>
          <w:szCs w:val="32"/>
          <w:highlight w:val="none"/>
        </w:rPr>
        <w:t>（项）:</w:t>
      </w:r>
      <w:r>
        <w:rPr>
          <w:rStyle w:val="15"/>
          <w:rFonts w:hint="eastAsia" w:ascii="仿宋_GB2312" w:hAnsi="仿宋_GB2312" w:eastAsia="仿宋_GB2312" w:cs="仿宋_GB2312"/>
          <w:b w:val="0"/>
          <w:bCs/>
          <w:color w:val="auto"/>
          <w:sz w:val="32"/>
          <w:szCs w:val="32"/>
          <w:highlight w:val="none"/>
        </w:rPr>
        <w:t xml:space="preserve"> 支出决算为</w:t>
      </w:r>
      <w:r>
        <w:rPr>
          <w:rStyle w:val="15"/>
          <w:rFonts w:hint="eastAsia" w:ascii="仿宋_GB2312" w:hAnsi="仿宋_GB2312" w:eastAsia="仿宋_GB2312" w:cs="仿宋_GB2312"/>
          <w:b w:val="0"/>
          <w:bCs/>
          <w:color w:val="auto"/>
          <w:sz w:val="32"/>
          <w:szCs w:val="32"/>
          <w:highlight w:val="none"/>
          <w:lang w:val="en-US" w:eastAsia="zh-CN"/>
        </w:rPr>
        <w:t>78.65</w:t>
      </w:r>
      <w:r>
        <w:rPr>
          <w:rStyle w:val="15"/>
          <w:rFonts w:hint="eastAsia" w:ascii="仿宋_GB2312" w:hAnsi="仿宋_GB2312" w:eastAsia="仿宋_GB2312" w:cs="仿宋_GB2312"/>
          <w:b w:val="0"/>
          <w:bCs/>
          <w:color w:val="auto"/>
          <w:sz w:val="32"/>
          <w:szCs w:val="32"/>
          <w:highlight w:val="none"/>
        </w:rPr>
        <w:t>万元，完成预算</w:t>
      </w:r>
      <w:r>
        <w:rPr>
          <w:rStyle w:val="15"/>
          <w:rFonts w:hint="eastAsia" w:ascii="仿宋_GB2312" w:hAnsi="仿宋_GB2312" w:eastAsia="仿宋_GB2312" w:cs="仿宋_GB2312"/>
          <w:b w:val="0"/>
          <w:bCs/>
          <w:color w:val="auto"/>
          <w:sz w:val="32"/>
          <w:szCs w:val="32"/>
          <w:highlight w:val="none"/>
          <w:lang w:val="en-US" w:eastAsia="zh-CN"/>
        </w:rPr>
        <w:t>100</w:t>
      </w:r>
      <w:r>
        <w:rPr>
          <w:rStyle w:val="15"/>
          <w:rFonts w:hint="eastAsia" w:ascii="仿宋_GB2312" w:hAnsi="仿宋_GB2312" w:eastAsia="仿宋_GB2312" w:cs="仿宋_GB2312"/>
          <w:b w:val="0"/>
          <w:bCs/>
          <w:color w:val="auto"/>
          <w:sz w:val="32"/>
          <w:szCs w:val="32"/>
          <w:highlight w:val="none"/>
        </w:rPr>
        <w:t>%，决算数</w:t>
      </w:r>
      <w:r>
        <w:rPr>
          <w:rStyle w:val="15"/>
          <w:rFonts w:hint="eastAsia" w:ascii="仿宋_GB2312" w:hAnsi="仿宋_GB2312" w:eastAsia="仿宋_GB2312" w:cs="仿宋_GB2312"/>
          <w:b w:val="0"/>
          <w:bCs/>
          <w:color w:val="auto"/>
          <w:sz w:val="32"/>
          <w:szCs w:val="32"/>
          <w:highlight w:val="none"/>
          <w:lang w:val="en-US" w:eastAsia="zh-CN"/>
        </w:rPr>
        <w:t>与</w:t>
      </w:r>
      <w:r>
        <w:rPr>
          <w:rStyle w:val="15"/>
          <w:rFonts w:hint="eastAsia" w:ascii="仿宋_GB2312" w:hAnsi="仿宋_GB2312" w:eastAsia="仿宋_GB2312" w:cs="仿宋_GB2312"/>
          <w:b w:val="0"/>
          <w:bCs/>
          <w:color w:val="auto"/>
          <w:sz w:val="32"/>
          <w:szCs w:val="32"/>
          <w:highlight w:val="none"/>
        </w:rPr>
        <w:t>预算数</w:t>
      </w:r>
      <w:r>
        <w:rPr>
          <w:rStyle w:val="15"/>
          <w:rFonts w:hint="eastAsia" w:ascii="仿宋_GB2312" w:hAnsi="仿宋_GB2312" w:eastAsia="仿宋_GB2312" w:cs="仿宋_GB2312"/>
          <w:b w:val="0"/>
          <w:bCs/>
          <w:color w:val="auto"/>
          <w:sz w:val="32"/>
          <w:szCs w:val="32"/>
          <w:highlight w:val="none"/>
          <w:lang w:val="en-US" w:eastAsia="zh-CN"/>
        </w:rPr>
        <w:t>持平</w:t>
      </w:r>
      <w:r>
        <w:rPr>
          <w:rStyle w:val="15"/>
          <w:rFonts w:hint="eastAsia" w:ascii="仿宋_GB2312" w:hAnsi="仿宋_GB2312" w:eastAsia="仿宋_GB2312" w:cs="仿宋_GB2312"/>
          <w:b w:val="0"/>
          <w:bCs/>
          <w:color w:val="auto"/>
          <w:sz w:val="32"/>
          <w:szCs w:val="32"/>
          <w:highlight w:val="none"/>
        </w:rPr>
        <w:t>。</w:t>
      </w:r>
    </w:p>
    <w:p>
      <w:pPr>
        <w:keepNext w:val="0"/>
        <w:keepLines w:val="0"/>
        <w:pageBreakBefore w:val="0"/>
        <w:widowControl w:val="0"/>
        <w:kinsoku/>
        <w:wordWrap/>
        <w:overflowPunct/>
        <w:topLinePunct w:val="0"/>
        <w:bidi w:val="0"/>
        <w:spacing w:line="600" w:lineRule="exact"/>
        <w:ind w:firstLine="642" w:firstLineChars="200"/>
        <w:rPr>
          <w:rStyle w:val="15"/>
          <w:rFonts w:hint="eastAsia" w:ascii="仿宋_GB2312" w:hAnsi="仿宋_GB2312" w:eastAsia="仿宋_GB2312" w:cs="仿宋_GB2312"/>
          <w:b w:val="0"/>
          <w:bCs/>
          <w:color w:val="auto"/>
          <w:sz w:val="32"/>
          <w:szCs w:val="32"/>
          <w:highlight w:val="none"/>
        </w:rPr>
      </w:pPr>
      <w:r>
        <w:rPr>
          <w:rStyle w:val="15"/>
          <w:rFonts w:hint="eastAsia" w:ascii="仿宋_GB2312" w:hAnsi="仿宋_GB2312" w:eastAsia="仿宋_GB2312" w:cs="仿宋_GB2312"/>
          <w:bCs/>
          <w:color w:val="auto"/>
          <w:sz w:val="32"/>
          <w:szCs w:val="32"/>
          <w:highlight w:val="none"/>
          <w:lang w:val="en-US" w:eastAsia="zh-CN"/>
        </w:rPr>
        <w:t>7</w:t>
      </w:r>
      <w:r>
        <w:rPr>
          <w:rStyle w:val="15"/>
          <w:rFonts w:hint="eastAsia" w:ascii="仿宋_GB2312" w:hAnsi="仿宋_GB2312" w:eastAsia="仿宋_GB2312" w:cs="仿宋_GB2312"/>
          <w:bCs/>
          <w:color w:val="auto"/>
          <w:sz w:val="32"/>
          <w:szCs w:val="32"/>
          <w:highlight w:val="none"/>
        </w:rPr>
        <w:t>.社会保障和就业（类）</w:t>
      </w:r>
      <w:r>
        <w:rPr>
          <w:rStyle w:val="15"/>
          <w:rFonts w:hint="eastAsia" w:ascii="仿宋_GB2312" w:hAnsi="仿宋_GB2312" w:eastAsia="仿宋_GB2312" w:cs="仿宋_GB2312"/>
          <w:bCs/>
          <w:color w:val="auto"/>
          <w:sz w:val="32"/>
          <w:szCs w:val="32"/>
          <w:highlight w:val="none"/>
          <w:lang w:val="en-US" w:eastAsia="zh-CN"/>
        </w:rPr>
        <w:t>人力资源和社会保障管理事务支出</w:t>
      </w:r>
      <w:r>
        <w:rPr>
          <w:rStyle w:val="15"/>
          <w:rFonts w:hint="eastAsia" w:ascii="仿宋_GB2312" w:hAnsi="仿宋_GB2312" w:eastAsia="仿宋_GB2312" w:cs="仿宋_GB2312"/>
          <w:bCs/>
          <w:color w:val="auto"/>
          <w:sz w:val="32"/>
          <w:szCs w:val="32"/>
          <w:highlight w:val="none"/>
        </w:rPr>
        <w:t>（款）</w:t>
      </w:r>
      <w:r>
        <w:rPr>
          <w:rStyle w:val="15"/>
          <w:rFonts w:hint="eastAsia" w:ascii="仿宋_GB2312" w:hAnsi="仿宋_GB2312" w:eastAsia="仿宋_GB2312" w:cs="仿宋_GB2312"/>
          <w:bCs/>
          <w:color w:val="auto"/>
          <w:sz w:val="32"/>
          <w:szCs w:val="32"/>
          <w:highlight w:val="none"/>
          <w:lang w:val="en-US" w:eastAsia="zh-CN"/>
        </w:rPr>
        <w:t>其他人力资源和社会保障管理事务支出</w:t>
      </w:r>
      <w:r>
        <w:rPr>
          <w:rStyle w:val="15"/>
          <w:rFonts w:hint="eastAsia" w:ascii="仿宋_GB2312" w:hAnsi="仿宋_GB2312" w:eastAsia="仿宋_GB2312" w:cs="仿宋_GB2312"/>
          <w:bCs/>
          <w:color w:val="auto"/>
          <w:sz w:val="32"/>
          <w:szCs w:val="32"/>
          <w:highlight w:val="none"/>
        </w:rPr>
        <w:t>（项）:</w:t>
      </w:r>
      <w:r>
        <w:rPr>
          <w:rStyle w:val="15"/>
          <w:rFonts w:hint="eastAsia" w:ascii="仿宋_GB2312" w:hAnsi="仿宋_GB2312" w:eastAsia="仿宋_GB2312" w:cs="仿宋_GB2312"/>
          <w:b w:val="0"/>
          <w:bCs/>
          <w:color w:val="auto"/>
          <w:sz w:val="32"/>
          <w:szCs w:val="32"/>
          <w:highlight w:val="none"/>
        </w:rPr>
        <w:t xml:space="preserve"> 支出决算为</w:t>
      </w:r>
      <w:r>
        <w:rPr>
          <w:rStyle w:val="15"/>
          <w:rFonts w:hint="eastAsia" w:ascii="仿宋_GB2312" w:hAnsi="仿宋_GB2312" w:eastAsia="仿宋_GB2312" w:cs="仿宋_GB2312"/>
          <w:b w:val="0"/>
          <w:bCs/>
          <w:color w:val="auto"/>
          <w:sz w:val="32"/>
          <w:szCs w:val="32"/>
          <w:highlight w:val="none"/>
          <w:lang w:val="en-US" w:eastAsia="zh-CN"/>
        </w:rPr>
        <w:t>0.6</w:t>
      </w:r>
      <w:r>
        <w:rPr>
          <w:rStyle w:val="15"/>
          <w:rFonts w:hint="eastAsia" w:ascii="仿宋_GB2312" w:hAnsi="仿宋_GB2312" w:eastAsia="仿宋_GB2312" w:cs="仿宋_GB2312"/>
          <w:b w:val="0"/>
          <w:bCs/>
          <w:color w:val="auto"/>
          <w:sz w:val="32"/>
          <w:szCs w:val="32"/>
          <w:highlight w:val="none"/>
        </w:rPr>
        <w:t>万元，完成预算</w:t>
      </w:r>
      <w:r>
        <w:rPr>
          <w:rStyle w:val="15"/>
          <w:rFonts w:hint="eastAsia" w:ascii="仿宋_GB2312" w:hAnsi="仿宋_GB2312" w:eastAsia="仿宋_GB2312" w:cs="仿宋_GB2312"/>
          <w:b w:val="0"/>
          <w:bCs/>
          <w:color w:val="auto"/>
          <w:sz w:val="32"/>
          <w:szCs w:val="32"/>
          <w:highlight w:val="none"/>
          <w:lang w:val="en-US" w:eastAsia="zh-CN"/>
        </w:rPr>
        <w:t>100</w:t>
      </w:r>
      <w:r>
        <w:rPr>
          <w:rStyle w:val="15"/>
          <w:rFonts w:hint="eastAsia" w:ascii="仿宋_GB2312" w:hAnsi="仿宋_GB2312" w:eastAsia="仿宋_GB2312" w:cs="仿宋_GB2312"/>
          <w:b w:val="0"/>
          <w:bCs/>
          <w:color w:val="auto"/>
          <w:sz w:val="32"/>
          <w:szCs w:val="32"/>
          <w:highlight w:val="none"/>
        </w:rPr>
        <w:t>%，决算数</w:t>
      </w:r>
      <w:r>
        <w:rPr>
          <w:rStyle w:val="15"/>
          <w:rFonts w:hint="eastAsia" w:ascii="仿宋_GB2312" w:hAnsi="仿宋_GB2312" w:eastAsia="仿宋_GB2312" w:cs="仿宋_GB2312"/>
          <w:b w:val="0"/>
          <w:bCs/>
          <w:color w:val="auto"/>
          <w:sz w:val="32"/>
          <w:szCs w:val="32"/>
          <w:highlight w:val="none"/>
          <w:lang w:val="en-US" w:eastAsia="zh-CN"/>
        </w:rPr>
        <w:t>与</w:t>
      </w:r>
      <w:r>
        <w:rPr>
          <w:rStyle w:val="15"/>
          <w:rFonts w:hint="eastAsia" w:ascii="仿宋_GB2312" w:hAnsi="仿宋_GB2312" w:eastAsia="仿宋_GB2312" w:cs="仿宋_GB2312"/>
          <w:b w:val="0"/>
          <w:bCs/>
          <w:color w:val="auto"/>
          <w:sz w:val="32"/>
          <w:szCs w:val="32"/>
          <w:highlight w:val="none"/>
        </w:rPr>
        <w:t>预算数</w:t>
      </w:r>
      <w:r>
        <w:rPr>
          <w:rStyle w:val="15"/>
          <w:rFonts w:hint="eastAsia" w:ascii="仿宋_GB2312" w:hAnsi="仿宋_GB2312" w:eastAsia="仿宋_GB2312" w:cs="仿宋_GB2312"/>
          <w:b w:val="0"/>
          <w:bCs/>
          <w:color w:val="auto"/>
          <w:sz w:val="32"/>
          <w:szCs w:val="32"/>
          <w:highlight w:val="none"/>
          <w:lang w:val="en-US" w:eastAsia="zh-CN"/>
        </w:rPr>
        <w:t>持平</w:t>
      </w:r>
      <w:r>
        <w:rPr>
          <w:rStyle w:val="15"/>
          <w:rFonts w:hint="eastAsia" w:ascii="仿宋_GB2312" w:hAnsi="仿宋_GB2312" w:eastAsia="仿宋_GB2312" w:cs="仿宋_GB2312"/>
          <w:b w:val="0"/>
          <w:bCs/>
          <w:color w:val="auto"/>
          <w:sz w:val="32"/>
          <w:szCs w:val="32"/>
          <w:highlight w:val="none"/>
        </w:rPr>
        <w:t>。</w:t>
      </w:r>
    </w:p>
    <w:p>
      <w:pPr>
        <w:keepNext w:val="0"/>
        <w:keepLines w:val="0"/>
        <w:pageBreakBefore w:val="0"/>
        <w:widowControl w:val="0"/>
        <w:kinsoku/>
        <w:wordWrap/>
        <w:overflowPunct/>
        <w:topLinePunct w:val="0"/>
        <w:bidi w:val="0"/>
        <w:spacing w:line="600" w:lineRule="exact"/>
        <w:ind w:firstLine="642" w:firstLineChars="200"/>
        <w:rPr>
          <w:rStyle w:val="15"/>
          <w:rFonts w:hint="eastAsia" w:ascii="仿宋_GB2312" w:hAnsi="仿宋_GB2312" w:eastAsia="仿宋_GB2312" w:cs="仿宋_GB2312"/>
          <w:b w:val="0"/>
          <w:bCs/>
          <w:color w:val="auto"/>
          <w:sz w:val="32"/>
          <w:szCs w:val="32"/>
          <w:highlight w:val="none"/>
        </w:rPr>
      </w:pPr>
      <w:r>
        <w:rPr>
          <w:rStyle w:val="15"/>
          <w:rFonts w:hint="eastAsia" w:ascii="仿宋_GB2312" w:hAnsi="仿宋_GB2312" w:eastAsia="仿宋_GB2312" w:cs="仿宋_GB2312"/>
          <w:bCs/>
          <w:color w:val="auto"/>
          <w:sz w:val="32"/>
          <w:szCs w:val="32"/>
          <w:highlight w:val="none"/>
          <w:lang w:val="en-US" w:eastAsia="zh-CN"/>
        </w:rPr>
        <w:t>8</w:t>
      </w:r>
      <w:r>
        <w:rPr>
          <w:rStyle w:val="15"/>
          <w:rFonts w:hint="eastAsia" w:ascii="仿宋_GB2312" w:hAnsi="仿宋_GB2312" w:eastAsia="仿宋_GB2312" w:cs="仿宋_GB2312"/>
          <w:bCs/>
          <w:color w:val="auto"/>
          <w:sz w:val="32"/>
          <w:szCs w:val="32"/>
          <w:highlight w:val="none"/>
        </w:rPr>
        <w:t>.社会保障和就业（类）</w:t>
      </w:r>
      <w:r>
        <w:rPr>
          <w:rStyle w:val="15"/>
          <w:rFonts w:hint="eastAsia" w:ascii="仿宋_GB2312" w:hAnsi="仿宋_GB2312" w:eastAsia="仿宋_GB2312" w:cs="仿宋_GB2312"/>
          <w:bCs/>
          <w:color w:val="auto"/>
          <w:sz w:val="32"/>
          <w:szCs w:val="32"/>
          <w:highlight w:val="none"/>
          <w:lang w:val="en-US" w:eastAsia="zh-CN"/>
        </w:rPr>
        <w:t>行政事业单位养老支出</w:t>
      </w:r>
      <w:r>
        <w:rPr>
          <w:rStyle w:val="15"/>
          <w:rFonts w:hint="eastAsia" w:ascii="仿宋_GB2312" w:hAnsi="仿宋_GB2312" w:eastAsia="仿宋_GB2312" w:cs="仿宋_GB2312"/>
          <w:bCs/>
          <w:color w:val="auto"/>
          <w:sz w:val="32"/>
          <w:szCs w:val="32"/>
          <w:highlight w:val="none"/>
        </w:rPr>
        <w:t>（款）</w:t>
      </w:r>
      <w:r>
        <w:rPr>
          <w:rStyle w:val="15"/>
          <w:rFonts w:hint="eastAsia" w:ascii="仿宋_GB2312" w:hAnsi="仿宋_GB2312" w:eastAsia="仿宋_GB2312" w:cs="仿宋_GB2312"/>
          <w:bCs/>
          <w:color w:val="auto"/>
          <w:sz w:val="32"/>
          <w:szCs w:val="32"/>
          <w:highlight w:val="none"/>
          <w:lang w:val="en-US" w:eastAsia="zh-CN"/>
        </w:rPr>
        <w:t>机关事业单位基本养老保险缴费支出</w:t>
      </w:r>
      <w:r>
        <w:rPr>
          <w:rStyle w:val="15"/>
          <w:rFonts w:hint="eastAsia" w:ascii="仿宋_GB2312" w:hAnsi="仿宋_GB2312" w:eastAsia="仿宋_GB2312" w:cs="仿宋_GB2312"/>
          <w:bCs/>
          <w:color w:val="auto"/>
          <w:sz w:val="32"/>
          <w:szCs w:val="32"/>
          <w:highlight w:val="none"/>
        </w:rPr>
        <w:t>（项）:</w:t>
      </w:r>
      <w:r>
        <w:rPr>
          <w:rStyle w:val="15"/>
          <w:rFonts w:hint="eastAsia" w:ascii="仿宋_GB2312" w:hAnsi="仿宋_GB2312" w:eastAsia="仿宋_GB2312" w:cs="仿宋_GB2312"/>
          <w:b w:val="0"/>
          <w:bCs/>
          <w:color w:val="auto"/>
          <w:sz w:val="32"/>
          <w:szCs w:val="32"/>
          <w:highlight w:val="none"/>
        </w:rPr>
        <w:t>支出决算为</w:t>
      </w:r>
      <w:r>
        <w:rPr>
          <w:rStyle w:val="15"/>
          <w:rFonts w:hint="eastAsia" w:ascii="仿宋_GB2312" w:hAnsi="仿宋_GB2312" w:eastAsia="仿宋_GB2312" w:cs="仿宋_GB2312"/>
          <w:b w:val="0"/>
          <w:bCs/>
          <w:color w:val="auto"/>
          <w:sz w:val="32"/>
          <w:szCs w:val="32"/>
          <w:highlight w:val="none"/>
          <w:lang w:val="en-US" w:eastAsia="zh-CN"/>
        </w:rPr>
        <w:t>101.86</w:t>
      </w:r>
      <w:r>
        <w:rPr>
          <w:rStyle w:val="15"/>
          <w:rFonts w:hint="eastAsia" w:ascii="仿宋_GB2312" w:hAnsi="仿宋_GB2312" w:eastAsia="仿宋_GB2312" w:cs="仿宋_GB2312"/>
          <w:b w:val="0"/>
          <w:bCs/>
          <w:color w:val="auto"/>
          <w:sz w:val="32"/>
          <w:szCs w:val="32"/>
          <w:highlight w:val="none"/>
        </w:rPr>
        <w:t>万元，完成预算</w:t>
      </w:r>
      <w:r>
        <w:rPr>
          <w:rStyle w:val="15"/>
          <w:rFonts w:hint="eastAsia" w:ascii="仿宋_GB2312" w:hAnsi="仿宋_GB2312" w:eastAsia="仿宋_GB2312" w:cs="仿宋_GB2312"/>
          <w:b w:val="0"/>
          <w:bCs/>
          <w:color w:val="auto"/>
          <w:sz w:val="32"/>
          <w:szCs w:val="32"/>
          <w:highlight w:val="none"/>
          <w:lang w:val="en-US" w:eastAsia="zh-CN"/>
        </w:rPr>
        <w:t>100</w:t>
      </w:r>
      <w:r>
        <w:rPr>
          <w:rStyle w:val="15"/>
          <w:rFonts w:hint="eastAsia" w:ascii="仿宋_GB2312" w:hAnsi="仿宋_GB2312" w:eastAsia="仿宋_GB2312" w:cs="仿宋_GB2312"/>
          <w:b w:val="0"/>
          <w:bCs/>
          <w:color w:val="auto"/>
          <w:sz w:val="32"/>
          <w:szCs w:val="32"/>
          <w:highlight w:val="none"/>
        </w:rPr>
        <w:t>%，决算数</w:t>
      </w:r>
      <w:r>
        <w:rPr>
          <w:rStyle w:val="15"/>
          <w:rFonts w:hint="eastAsia" w:ascii="仿宋_GB2312" w:hAnsi="仿宋_GB2312" w:eastAsia="仿宋_GB2312" w:cs="仿宋_GB2312"/>
          <w:b w:val="0"/>
          <w:bCs/>
          <w:color w:val="auto"/>
          <w:sz w:val="32"/>
          <w:szCs w:val="32"/>
          <w:highlight w:val="none"/>
          <w:lang w:val="en-US" w:eastAsia="zh-CN"/>
        </w:rPr>
        <w:t>与</w:t>
      </w:r>
      <w:r>
        <w:rPr>
          <w:rStyle w:val="15"/>
          <w:rFonts w:hint="eastAsia" w:ascii="仿宋_GB2312" w:hAnsi="仿宋_GB2312" w:eastAsia="仿宋_GB2312" w:cs="仿宋_GB2312"/>
          <w:b w:val="0"/>
          <w:bCs/>
          <w:color w:val="auto"/>
          <w:sz w:val="32"/>
          <w:szCs w:val="32"/>
          <w:highlight w:val="none"/>
        </w:rPr>
        <w:t>预算数</w:t>
      </w:r>
      <w:r>
        <w:rPr>
          <w:rStyle w:val="15"/>
          <w:rFonts w:hint="eastAsia" w:ascii="仿宋_GB2312" w:hAnsi="仿宋_GB2312" w:eastAsia="仿宋_GB2312" w:cs="仿宋_GB2312"/>
          <w:b w:val="0"/>
          <w:bCs/>
          <w:color w:val="auto"/>
          <w:sz w:val="32"/>
          <w:szCs w:val="32"/>
          <w:highlight w:val="none"/>
          <w:lang w:val="en-US" w:eastAsia="zh-CN"/>
        </w:rPr>
        <w:t>持平</w:t>
      </w:r>
      <w:r>
        <w:rPr>
          <w:rStyle w:val="15"/>
          <w:rFonts w:hint="eastAsia" w:ascii="仿宋_GB2312" w:hAnsi="仿宋_GB2312" w:eastAsia="仿宋_GB2312" w:cs="仿宋_GB2312"/>
          <w:b w:val="0"/>
          <w:bCs/>
          <w:color w:val="auto"/>
          <w:sz w:val="32"/>
          <w:szCs w:val="32"/>
          <w:highlight w:val="none"/>
        </w:rPr>
        <w:t>。</w:t>
      </w:r>
    </w:p>
    <w:p>
      <w:pPr>
        <w:keepNext w:val="0"/>
        <w:keepLines w:val="0"/>
        <w:pageBreakBefore w:val="0"/>
        <w:widowControl w:val="0"/>
        <w:kinsoku/>
        <w:wordWrap/>
        <w:overflowPunct/>
        <w:topLinePunct w:val="0"/>
        <w:bidi w:val="0"/>
        <w:spacing w:line="600" w:lineRule="exact"/>
        <w:ind w:firstLine="642" w:firstLineChars="200"/>
        <w:rPr>
          <w:rStyle w:val="15"/>
          <w:rFonts w:hint="eastAsia" w:ascii="仿宋_GB2312" w:hAnsi="仿宋_GB2312" w:eastAsia="仿宋_GB2312" w:cs="仿宋_GB2312"/>
          <w:b w:val="0"/>
          <w:bCs/>
          <w:color w:val="auto"/>
          <w:sz w:val="32"/>
          <w:szCs w:val="32"/>
          <w:highlight w:val="none"/>
        </w:rPr>
      </w:pPr>
      <w:r>
        <w:rPr>
          <w:rStyle w:val="15"/>
          <w:rFonts w:hint="eastAsia" w:ascii="仿宋_GB2312" w:hAnsi="仿宋_GB2312" w:eastAsia="仿宋_GB2312" w:cs="仿宋_GB2312"/>
          <w:bCs/>
          <w:color w:val="auto"/>
          <w:sz w:val="32"/>
          <w:szCs w:val="32"/>
          <w:highlight w:val="none"/>
          <w:lang w:val="en-US" w:eastAsia="zh-CN"/>
        </w:rPr>
        <w:t>9</w:t>
      </w:r>
      <w:r>
        <w:rPr>
          <w:rStyle w:val="15"/>
          <w:rFonts w:hint="eastAsia" w:ascii="仿宋_GB2312" w:hAnsi="仿宋_GB2312" w:eastAsia="仿宋_GB2312" w:cs="仿宋_GB2312"/>
          <w:bCs/>
          <w:color w:val="auto"/>
          <w:sz w:val="32"/>
          <w:szCs w:val="32"/>
          <w:highlight w:val="none"/>
        </w:rPr>
        <w:t>.社会保障和就业（类）</w:t>
      </w:r>
      <w:r>
        <w:rPr>
          <w:rStyle w:val="15"/>
          <w:rFonts w:hint="eastAsia" w:ascii="仿宋_GB2312" w:hAnsi="仿宋_GB2312" w:eastAsia="仿宋_GB2312" w:cs="仿宋_GB2312"/>
          <w:bCs/>
          <w:color w:val="auto"/>
          <w:sz w:val="32"/>
          <w:szCs w:val="32"/>
          <w:highlight w:val="none"/>
          <w:lang w:val="en-US" w:eastAsia="zh-CN"/>
        </w:rPr>
        <w:t>行政事业单位养老支出</w:t>
      </w:r>
      <w:r>
        <w:rPr>
          <w:rStyle w:val="15"/>
          <w:rFonts w:hint="eastAsia" w:ascii="仿宋_GB2312" w:hAnsi="仿宋_GB2312" w:eastAsia="仿宋_GB2312" w:cs="仿宋_GB2312"/>
          <w:bCs/>
          <w:color w:val="auto"/>
          <w:sz w:val="32"/>
          <w:szCs w:val="32"/>
          <w:highlight w:val="none"/>
        </w:rPr>
        <w:t>（款）</w:t>
      </w:r>
      <w:r>
        <w:rPr>
          <w:rStyle w:val="15"/>
          <w:rFonts w:hint="eastAsia" w:ascii="仿宋_GB2312" w:hAnsi="仿宋_GB2312" w:eastAsia="仿宋_GB2312" w:cs="仿宋_GB2312"/>
          <w:bCs/>
          <w:color w:val="auto"/>
          <w:sz w:val="32"/>
          <w:szCs w:val="32"/>
          <w:highlight w:val="none"/>
          <w:lang w:val="en-US" w:eastAsia="zh-CN"/>
        </w:rPr>
        <w:t>机关事业单位职业年金缴费支出</w:t>
      </w:r>
      <w:r>
        <w:rPr>
          <w:rStyle w:val="15"/>
          <w:rFonts w:hint="eastAsia" w:ascii="仿宋_GB2312" w:hAnsi="仿宋_GB2312" w:eastAsia="仿宋_GB2312" w:cs="仿宋_GB2312"/>
          <w:bCs/>
          <w:color w:val="auto"/>
          <w:sz w:val="32"/>
          <w:szCs w:val="32"/>
          <w:highlight w:val="none"/>
        </w:rPr>
        <w:t>（项）:</w:t>
      </w:r>
      <w:r>
        <w:rPr>
          <w:rStyle w:val="15"/>
          <w:rFonts w:hint="eastAsia" w:ascii="仿宋_GB2312" w:hAnsi="仿宋_GB2312" w:eastAsia="仿宋_GB2312" w:cs="仿宋_GB2312"/>
          <w:b w:val="0"/>
          <w:bCs/>
          <w:color w:val="auto"/>
          <w:sz w:val="32"/>
          <w:szCs w:val="32"/>
          <w:highlight w:val="none"/>
        </w:rPr>
        <w:t xml:space="preserve"> 支出决算为</w:t>
      </w:r>
      <w:r>
        <w:rPr>
          <w:rStyle w:val="15"/>
          <w:rFonts w:hint="eastAsia" w:ascii="仿宋_GB2312" w:hAnsi="仿宋_GB2312" w:eastAsia="仿宋_GB2312" w:cs="仿宋_GB2312"/>
          <w:b w:val="0"/>
          <w:bCs/>
          <w:color w:val="auto"/>
          <w:sz w:val="32"/>
          <w:szCs w:val="32"/>
          <w:highlight w:val="none"/>
          <w:lang w:val="en-US" w:eastAsia="zh-CN"/>
        </w:rPr>
        <w:t>48.21</w:t>
      </w:r>
      <w:r>
        <w:rPr>
          <w:rStyle w:val="15"/>
          <w:rFonts w:hint="eastAsia" w:ascii="仿宋_GB2312" w:hAnsi="仿宋_GB2312" w:eastAsia="仿宋_GB2312" w:cs="仿宋_GB2312"/>
          <w:b w:val="0"/>
          <w:bCs/>
          <w:color w:val="auto"/>
          <w:sz w:val="32"/>
          <w:szCs w:val="32"/>
          <w:highlight w:val="none"/>
        </w:rPr>
        <w:t>万元，完成预算</w:t>
      </w:r>
      <w:r>
        <w:rPr>
          <w:rStyle w:val="15"/>
          <w:rFonts w:hint="eastAsia" w:ascii="仿宋_GB2312" w:hAnsi="仿宋_GB2312" w:eastAsia="仿宋_GB2312" w:cs="仿宋_GB2312"/>
          <w:b w:val="0"/>
          <w:bCs/>
          <w:color w:val="auto"/>
          <w:sz w:val="32"/>
          <w:szCs w:val="32"/>
          <w:highlight w:val="none"/>
          <w:lang w:val="en-US" w:eastAsia="zh-CN"/>
        </w:rPr>
        <w:t>100</w:t>
      </w:r>
      <w:r>
        <w:rPr>
          <w:rStyle w:val="15"/>
          <w:rFonts w:hint="eastAsia" w:ascii="仿宋_GB2312" w:hAnsi="仿宋_GB2312" w:eastAsia="仿宋_GB2312" w:cs="仿宋_GB2312"/>
          <w:b w:val="0"/>
          <w:bCs/>
          <w:color w:val="auto"/>
          <w:sz w:val="32"/>
          <w:szCs w:val="32"/>
          <w:highlight w:val="none"/>
        </w:rPr>
        <w:t>%，决算数</w:t>
      </w:r>
      <w:r>
        <w:rPr>
          <w:rStyle w:val="15"/>
          <w:rFonts w:hint="eastAsia" w:ascii="仿宋_GB2312" w:hAnsi="仿宋_GB2312" w:eastAsia="仿宋_GB2312" w:cs="仿宋_GB2312"/>
          <w:b w:val="0"/>
          <w:bCs/>
          <w:color w:val="auto"/>
          <w:sz w:val="32"/>
          <w:szCs w:val="32"/>
          <w:highlight w:val="none"/>
          <w:lang w:val="en-US" w:eastAsia="zh-CN"/>
        </w:rPr>
        <w:t>与</w:t>
      </w:r>
      <w:r>
        <w:rPr>
          <w:rStyle w:val="15"/>
          <w:rFonts w:hint="eastAsia" w:ascii="仿宋_GB2312" w:hAnsi="仿宋_GB2312" w:eastAsia="仿宋_GB2312" w:cs="仿宋_GB2312"/>
          <w:b w:val="0"/>
          <w:bCs/>
          <w:color w:val="auto"/>
          <w:sz w:val="32"/>
          <w:szCs w:val="32"/>
          <w:highlight w:val="none"/>
        </w:rPr>
        <w:t>预算数</w:t>
      </w:r>
      <w:r>
        <w:rPr>
          <w:rStyle w:val="15"/>
          <w:rFonts w:hint="eastAsia" w:ascii="仿宋_GB2312" w:hAnsi="仿宋_GB2312" w:eastAsia="仿宋_GB2312" w:cs="仿宋_GB2312"/>
          <w:b w:val="0"/>
          <w:bCs/>
          <w:color w:val="auto"/>
          <w:sz w:val="32"/>
          <w:szCs w:val="32"/>
          <w:highlight w:val="none"/>
          <w:lang w:val="en-US" w:eastAsia="zh-CN"/>
        </w:rPr>
        <w:t>持平</w:t>
      </w:r>
      <w:r>
        <w:rPr>
          <w:rStyle w:val="15"/>
          <w:rFonts w:hint="eastAsia" w:ascii="仿宋_GB2312" w:hAnsi="仿宋_GB2312" w:eastAsia="仿宋_GB2312" w:cs="仿宋_GB2312"/>
          <w:b w:val="0"/>
          <w:bCs/>
          <w:color w:val="auto"/>
          <w:sz w:val="32"/>
          <w:szCs w:val="32"/>
          <w:highlight w:val="none"/>
        </w:rPr>
        <w:t>。</w:t>
      </w:r>
    </w:p>
    <w:p>
      <w:pPr>
        <w:keepNext w:val="0"/>
        <w:keepLines w:val="0"/>
        <w:pageBreakBefore w:val="0"/>
        <w:widowControl w:val="0"/>
        <w:kinsoku/>
        <w:wordWrap/>
        <w:overflowPunct/>
        <w:topLinePunct w:val="0"/>
        <w:bidi w:val="0"/>
        <w:spacing w:line="600" w:lineRule="exact"/>
        <w:ind w:firstLine="642" w:firstLineChars="200"/>
        <w:rPr>
          <w:rFonts w:hint="eastAsia" w:ascii="仿宋_GB2312" w:hAnsi="仿宋_GB2312" w:eastAsia="仿宋_GB2312" w:cs="仿宋_GB2312"/>
        </w:rPr>
      </w:pPr>
      <w:r>
        <w:rPr>
          <w:rStyle w:val="15"/>
          <w:rFonts w:hint="eastAsia" w:ascii="仿宋_GB2312" w:hAnsi="仿宋_GB2312" w:eastAsia="仿宋_GB2312" w:cs="仿宋_GB2312"/>
          <w:bCs/>
          <w:color w:val="auto"/>
          <w:sz w:val="32"/>
          <w:szCs w:val="32"/>
          <w:highlight w:val="none"/>
          <w:lang w:val="en-US" w:eastAsia="zh-CN"/>
        </w:rPr>
        <w:t>10</w:t>
      </w:r>
      <w:r>
        <w:rPr>
          <w:rStyle w:val="15"/>
          <w:rFonts w:hint="eastAsia" w:ascii="仿宋_GB2312" w:hAnsi="仿宋_GB2312" w:eastAsia="仿宋_GB2312" w:cs="仿宋_GB2312"/>
          <w:bCs/>
          <w:color w:val="auto"/>
          <w:sz w:val="32"/>
          <w:szCs w:val="32"/>
          <w:highlight w:val="none"/>
        </w:rPr>
        <w:t>.社会保障和就业（类）</w:t>
      </w:r>
      <w:r>
        <w:rPr>
          <w:rStyle w:val="15"/>
          <w:rFonts w:hint="eastAsia" w:ascii="仿宋_GB2312" w:hAnsi="仿宋_GB2312" w:eastAsia="仿宋_GB2312" w:cs="仿宋_GB2312"/>
          <w:bCs/>
          <w:color w:val="auto"/>
          <w:sz w:val="32"/>
          <w:szCs w:val="32"/>
          <w:highlight w:val="none"/>
          <w:lang w:val="en-US" w:eastAsia="zh-CN"/>
        </w:rPr>
        <w:t>其他社会保障和就业支出（</w:t>
      </w:r>
      <w:r>
        <w:rPr>
          <w:rStyle w:val="15"/>
          <w:rFonts w:hint="eastAsia" w:ascii="仿宋_GB2312" w:hAnsi="仿宋_GB2312" w:eastAsia="仿宋_GB2312" w:cs="仿宋_GB2312"/>
          <w:bCs/>
          <w:color w:val="auto"/>
          <w:sz w:val="32"/>
          <w:szCs w:val="32"/>
          <w:highlight w:val="none"/>
        </w:rPr>
        <w:t>款）</w:t>
      </w:r>
      <w:r>
        <w:rPr>
          <w:rStyle w:val="15"/>
          <w:rFonts w:hint="eastAsia" w:ascii="仿宋_GB2312" w:hAnsi="仿宋_GB2312" w:eastAsia="仿宋_GB2312" w:cs="仿宋_GB2312"/>
          <w:bCs/>
          <w:color w:val="auto"/>
          <w:sz w:val="32"/>
          <w:szCs w:val="32"/>
          <w:highlight w:val="none"/>
          <w:lang w:val="en-US" w:eastAsia="zh-CN"/>
        </w:rPr>
        <w:t>其他社会保障和就业支出</w:t>
      </w:r>
      <w:r>
        <w:rPr>
          <w:rStyle w:val="15"/>
          <w:rFonts w:hint="eastAsia" w:ascii="仿宋_GB2312" w:hAnsi="仿宋_GB2312" w:eastAsia="仿宋_GB2312" w:cs="仿宋_GB2312"/>
          <w:bCs/>
          <w:color w:val="auto"/>
          <w:sz w:val="32"/>
          <w:szCs w:val="32"/>
          <w:highlight w:val="none"/>
        </w:rPr>
        <w:t>（项）:</w:t>
      </w:r>
      <w:r>
        <w:rPr>
          <w:rStyle w:val="15"/>
          <w:rFonts w:hint="eastAsia" w:ascii="仿宋_GB2312" w:hAnsi="仿宋_GB2312" w:eastAsia="仿宋_GB2312" w:cs="仿宋_GB2312"/>
          <w:b w:val="0"/>
          <w:bCs/>
          <w:color w:val="auto"/>
          <w:sz w:val="32"/>
          <w:szCs w:val="32"/>
          <w:highlight w:val="none"/>
        </w:rPr>
        <w:t xml:space="preserve"> 支出决算为</w:t>
      </w:r>
      <w:r>
        <w:rPr>
          <w:rStyle w:val="15"/>
          <w:rFonts w:hint="eastAsia" w:ascii="仿宋_GB2312" w:hAnsi="仿宋_GB2312" w:eastAsia="仿宋_GB2312" w:cs="仿宋_GB2312"/>
          <w:b w:val="0"/>
          <w:bCs/>
          <w:color w:val="auto"/>
          <w:sz w:val="32"/>
          <w:szCs w:val="32"/>
          <w:highlight w:val="none"/>
          <w:lang w:val="en-US" w:eastAsia="zh-CN"/>
        </w:rPr>
        <w:t>28.54</w:t>
      </w:r>
      <w:r>
        <w:rPr>
          <w:rStyle w:val="15"/>
          <w:rFonts w:hint="eastAsia" w:ascii="仿宋_GB2312" w:hAnsi="仿宋_GB2312" w:eastAsia="仿宋_GB2312" w:cs="仿宋_GB2312"/>
          <w:b w:val="0"/>
          <w:bCs/>
          <w:color w:val="auto"/>
          <w:sz w:val="32"/>
          <w:szCs w:val="32"/>
          <w:highlight w:val="none"/>
        </w:rPr>
        <w:t>万元，完成预算</w:t>
      </w:r>
      <w:r>
        <w:rPr>
          <w:rStyle w:val="15"/>
          <w:rFonts w:hint="eastAsia" w:ascii="仿宋_GB2312" w:hAnsi="仿宋_GB2312" w:eastAsia="仿宋_GB2312" w:cs="仿宋_GB2312"/>
          <w:b w:val="0"/>
          <w:bCs/>
          <w:color w:val="auto"/>
          <w:sz w:val="32"/>
          <w:szCs w:val="32"/>
          <w:highlight w:val="none"/>
          <w:lang w:val="en-US" w:eastAsia="zh-CN"/>
        </w:rPr>
        <w:t>100</w:t>
      </w:r>
      <w:r>
        <w:rPr>
          <w:rStyle w:val="15"/>
          <w:rFonts w:hint="eastAsia" w:ascii="仿宋_GB2312" w:hAnsi="仿宋_GB2312" w:eastAsia="仿宋_GB2312" w:cs="仿宋_GB2312"/>
          <w:b w:val="0"/>
          <w:bCs/>
          <w:color w:val="auto"/>
          <w:sz w:val="32"/>
          <w:szCs w:val="32"/>
          <w:highlight w:val="none"/>
        </w:rPr>
        <w:t>%，决算数</w:t>
      </w:r>
      <w:r>
        <w:rPr>
          <w:rStyle w:val="15"/>
          <w:rFonts w:hint="eastAsia" w:ascii="仿宋_GB2312" w:hAnsi="仿宋_GB2312" w:eastAsia="仿宋_GB2312" w:cs="仿宋_GB2312"/>
          <w:b w:val="0"/>
          <w:bCs/>
          <w:color w:val="auto"/>
          <w:sz w:val="32"/>
          <w:szCs w:val="32"/>
          <w:highlight w:val="none"/>
          <w:lang w:val="en-US" w:eastAsia="zh-CN"/>
        </w:rPr>
        <w:t>与</w:t>
      </w:r>
      <w:r>
        <w:rPr>
          <w:rStyle w:val="15"/>
          <w:rFonts w:hint="eastAsia" w:ascii="仿宋_GB2312" w:hAnsi="仿宋_GB2312" w:eastAsia="仿宋_GB2312" w:cs="仿宋_GB2312"/>
          <w:b w:val="0"/>
          <w:bCs/>
          <w:color w:val="auto"/>
          <w:sz w:val="32"/>
          <w:szCs w:val="32"/>
          <w:highlight w:val="none"/>
        </w:rPr>
        <w:t>预算数</w:t>
      </w:r>
      <w:r>
        <w:rPr>
          <w:rStyle w:val="15"/>
          <w:rFonts w:hint="eastAsia" w:ascii="仿宋_GB2312" w:hAnsi="仿宋_GB2312" w:eastAsia="仿宋_GB2312" w:cs="仿宋_GB2312"/>
          <w:b w:val="0"/>
          <w:bCs/>
          <w:color w:val="auto"/>
          <w:sz w:val="32"/>
          <w:szCs w:val="32"/>
          <w:highlight w:val="none"/>
          <w:lang w:val="en-US" w:eastAsia="zh-CN"/>
        </w:rPr>
        <w:t>持平</w:t>
      </w:r>
      <w:r>
        <w:rPr>
          <w:rStyle w:val="15"/>
          <w:rFonts w:hint="eastAsia" w:ascii="仿宋_GB2312" w:hAnsi="仿宋_GB2312" w:eastAsia="仿宋_GB2312" w:cs="仿宋_GB2312"/>
          <w:b w:val="0"/>
          <w:bCs/>
          <w:color w:val="auto"/>
          <w:sz w:val="32"/>
          <w:szCs w:val="32"/>
          <w:highlight w:val="none"/>
        </w:rPr>
        <w:t>。</w:t>
      </w:r>
    </w:p>
    <w:p>
      <w:pPr>
        <w:keepNext w:val="0"/>
        <w:keepLines w:val="0"/>
        <w:pageBreakBefore w:val="0"/>
        <w:widowControl w:val="0"/>
        <w:kinsoku/>
        <w:wordWrap/>
        <w:overflowPunct/>
        <w:topLinePunct w:val="0"/>
        <w:bidi w:val="0"/>
        <w:spacing w:line="600" w:lineRule="exact"/>
        <w:ind w:firstLine="642" w:firstLineChars="200"/>
        <w:rPr>
          <w:rStyle w:val="15"/>
          <w:rFonts w:hint="eastAsia" w:ascii="仿宋_GB2312" w:hAnsi="仿宋_GB2312" w:eastAsia="仿宋_GB2312" w:cs="仿宋_GB2312"/>
          <w:b w:val="0"/>
          <w:bCs/>
          <w:color w:val="auto"/>
          <w:sz w:val="32"/>
          <w:szCs w:val="32"/>
          <w:highlight w:val="none"/>
        </w:rPr>
      </w:pPr>
      <w:r>
        <w:rPr>
          <w:rStyle w:val="15"/>
          <w:rFonts w:hint="eastAsia" w:ascii="仿宋_GB2312" w:hAnsi="仿宋_GB2312" w:eastAsia="仿宋_GB2312" w:cs="仿宋_GB2312"/>
          <w:bCs/>
          <w:color w:val="auto"/>
          <w:sz w:val="32"/>
          <w:szCs w:val="32"/>
          <w:highlight w:val="none"/>
          <w:lang w:val="en-US" w:eastAsia="zh-CN"/>
        </w:rPr>
        <w:t>11</w:t>
      </w:r>
      <w:r>
        <w:rPr>
          <w:rStyle w:val="15"/>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
          <w:bCs/>
          <w:color w:val="auto"/>
          <w:sz w:val="32"/>
          <w:szCs w:val="32"/>
          <w:highlight w:val="none"/>
        </w:rPr>
        <w:t>卫生健康</w:t>
      </w:r>
      <w:r>
        <w:rPr>
          <w:rStyle w:val="15"/>
          <w:rFonts w:hint="eastAsia" w:ascii="仿宋_GB2312" w:hAnsi="仿宋_GB2312" w:eastAsia="仿宋_GB2312" w:cs="仿宋_GB2312"/>
          <w:bCs/>
          <w:color w:val="auto"/>
          <w:sz w:val="32"/>
          <w:szCs w:val="32"/>
          <w:highlight w:val="none"/>
        </w:rPr>
        <w:t>（类）</w:t>
      </w:r>
      <w:r>
        <w:rPr>
          <w:rStyle w:val="15"/>
          <w:rFonts w:hint="eastAsia" w:ascii="仿宋_GB2312" w:hAnsi="仿宋_GB2312" w:eastAsia="仿宋_GB2312" w:cs="仿宋_GB2312"/>
          <w:bCs/>
          <w:color w:val="auto"/>
          <w:sz w:val="32"/>
          <w:szCs w:val="32"/>
          <w:highlight w:val="none"/>
          <w:lang w:val="en-US" w:eastAsia="zh-CN"/>
        </w:rPr>
        <w:t>行政事业单位医疗</w:t>
      </w:r>
      <w:r>
        <w:rPr>
          <w:rStyle w:val="15"/>
          <w:rFonts w:hint="eastAsia" w:ascii="仿宋_GB2312" w:hAnsi="仿宋_GB2312" w:eastAsia="仿宋_GB2312" w:cs="仿宋_GB2312"/>
          <w:bCs/>
          <w:color w:val="auto"/>
          <w:sz w:val="32"/>
          <w:szCs w:val="32"/>
          <w:highlight w:val="none"/>
        </w:rPr>
        <w:t>（款）</w:t>
      </w:r>
      <w:r>
        <w:rPr>
          <w:rStyle w:val="15"/>
          <w:rFonts w:hint="eastAsia" w:ascii="仿宋_GB2312" w:hAnsi="仿宋_GB2312" w:eastAsia="仿宋_GB2312" w:cs="仿宋_GB2312"/>
          <w:bCs/>
          <w:color w:val="auto"/>
          <w:sz w:val="32"/>
          <w:szCs w:val="32"/>
          <w:highlight w:val="none"/>
          <w:lang w:val="en-US" w:eastAsia="zh-CN"/>
        </w:rPr>
        <w:t>行政单位医疗</w:t>
      </w:r>
      <w:r>
        <w:rPr>
          <w:rStyle w:val="15"/>
          <w:rFonts w:hint="eastAsia" w:ascii="仿宋_GB2312" w:hAnsi="仿宋_GB2312" w:eastAsia="仿宋_GB2312" w:cs="仿宋_GB2312"/>
          <w:bCs/>
          <w:color w:val="auto"/>
          <w:sz w:val="32"/>
          <w:szCs w:val="32"/>
          <w:highlight w:val="none"/>
        </w:rPr>
        <w:t>（项）:</w:t>
      </w:r>
      <w:r>
        <w:rPr>
          <w:rStyle w:val="15"/>
          <w:rFonts w:hint="eastAsia" w:ascii="仿宋_GB2312" w:hAnsi="仿宋_GB2312" w:eastAsia="仿宋_GB2312" w:cs="仿宋_GB2312"/>
          <w:b w:val="0"/>
          <w:bCs/>
          <w:color w:val="auto"/>
          <w:sz w:val="32"/>
          <w:szCs w:val="32"/>
          <w:highlight w:val="none"/>
        </w:rPr>
        <w:t>支出决算为</w:t>
      </w:r>
      <w:r>
        <w:rPr>
          <w:rStyle w:val="15"/>
          <w:rFonts w:hint="eastAsia" w:ascii="仿宋_GB2312" w:hAnsi="仿宋_GB2312" w:eastAsia="仿宋_GB2312" w:cs="仿宋_GB2312"/>
          <w:b w:val="0"/>
          <w:bCs/>
          <w:color w:val="auto"/>
          <w:sz w:val="32"/>
          <w:szCs w:val="32"/>
          <w:highlight w:val="none"/>
          <w:lang w:val="en-US" w:eastAsia="zh-CN"/>
        </w:rPr>
        <w:t>48.15</w:t>
      </w:r>
      <w:r>
        <w:rPr>
          <w:rStyle w:val="15"/>
          <w:rFonts w:hint="eastAsia" w:ascii="仿宋_GB2312" w:hAnsi="仿宋_GB2312" w:eastAsia="仿宋_GB2312" w:cs="仿宋_GB2312"/>
          <w:b w:val="0"/>
          <w:bCs/>
          <w:color w:val="auto"/>
          <w:sz w:val="32"/>
          <w:szCs w:val="32"/>
          <w:highlight w:val="none"/>
        </w:rPr>
        <w:t>万元，完成预算</w:t>
      </w:r>
      <w:r>
        <w:rPr>
          <w:rStyle w:val="15"/>
          <w:rFonts w:hint="eastAsia" w:ascii="仿宋_GB2312" w:hAnsi="仿宋_GB2312" w:eastAsia="仿宋_GB2312" w:cs="仿宋_GB2312"/>
          <w:b w:val="0"/>
          <w:bCs/>
          <w:color w:val="auto"/>
          <w:sz w:val="32"/>
          <w:szCs w:val="32"/>
          <w:highlight w:val="none"/>
          <w:lang w:val="en-US" w:eastAsia="zh-CN"/>
        </w:rPr>
        <w:t>100</w:t>
      </w:r>
      <w:r>
        <w:rPr>
          <w:rStyle w:val="15"/>
          <w:rFonts w:hint="eastAsia" w:ascii="仿宋_GB2312" w:hAnsi="仿宋_GB2312" w:eastAsia="仿宋_GB2312" w:cs="仿宋_GB2312"/>
          <w:b w:val="0"/>
          <w:bCs/>
          <w:color w:val="auto"/>
          <w:sz w:val="32"/>
          <w:szCs w:val="32"/>
          <w:highlight w:val="none"/>
        </w:rPr>
        <w:t>%，决算数</w:t>
      </w:r>
      <w:r>
        <w:rPr>
          <w:rStyle w:val="15"/>
          <w:rFonts w:hint="eastAsia" w:ascii="仿宋_GB2312" w:hAnsi="仿宋_GB2312" w:eastAsia="仿宋_GB2312" w:cs="仿宋_GB2312"/>
          <w:b w:val="0"/>
          <w:bCs/>
          <w:color w:val="auto"/>
          <w:sz w:val="32"/>
          <w:szCs w:val="32"/>
          <w:highlight w:val="none"/>
          <w:lang w:val="en-US" w:eastAsia="zh-CN"/>
        </w:rPr>
        <w:t>与</w:t>
      </w:r>
      <w:r>
        <w:rPr>
          <w:rStyle w:val="15"/>
          <w:rFonts w:hint="eastAsia" w:ascii="仿宋_GB2312" w:hAnsi="仿宋_GB2312" w:eastAsia="仿宋_GB2312" w:cs="仿宋_GB2312"/>
          <w:b w:val="0"/>
          <w:bCs/>
          <w:color w:val="auto"/>
          <w:sz w:val="32"/>
          <w:szCs w:val="32"/>
          <w:highlight w:val="none"/>
        </w:rPr>
        <w:t>预算数</w:t>
      </w:r>
      <w:r>
        <w:rPr>
          <w:rStyle w:val="15"/>
          <w:rFonts w:hint="eastAsia" w:ascii="仿宋_GB2312" w:hAnsi="仿宋_GB2312" w:eastAsia="仿宋_GB2312" w:cs="仿宋_GB2312"/>
          <w:b w:val="0"/>
          <w:bCs/>
          <w:color w:val="auto"/>
          <w:sz w:val="32"/>
          <w:szCs w:val="32"/>
          <w:highlight w:val="none"/>
          <w:lang w:val="en-US" w:eastAsia="zh-CN"/>
        </w:rPr>
        <w:t>持平</w:t>
      </w:r>
      <w:r>
        <w:rPr>
          <w:rStyle w:val="15"/>
          <w:rFonts w:hint="eastAsia" w:ascii="仿宋_GB2312" w:hAnsi="仿宋_GB2312" w:eastAsia="仿宋_GB2312" w:cs="仿宋_GB2312"/>
          <w:b w:val="0"/>
          <w:bCs/>
          <w:color w:val="auto"/>
          <w:sz w:val="32"/>
          <w:szCs w:val="32"/>
          <w:highlight w:val="none"/>
        </w:rPr>
        <w:t>。</w:t>
      </w:r>
    </w:p>
    <w:p>
      <w:pPr>
        <w:keepNext w:val="0"/>
        <w:keepLines w:val="0"/>
        <w:pageBreakBefore w:val="0"/>
        <w:widowControl w:val="0"/>
        <w:kinsoku/>
        <w:wordWrap/>
        <w:overflowPunct/>
        <w:topLinePunct w:val="0"/>
        <w:bidi w:val="0"/>
        <w:spacing w:line="600" w:lineRule="exact"/>
        <w:ind w:firstLine="642" w:firstLineChars="200"/>
        <w:rPr>
          <w:rFonts w:hint="eastAsia" w:ascii="仿宋_GB2312" w:hAnsi="仿宋_GB2312" w:eastAsia="仿宋_GB2312" w:cs="仿宋_GB2312"/>
        </w:rPr>
      </w:pPr>
      <w:r>
        <w:rPr>
          <w:rStyle w:val="15"/>
          <w:rFonts w:hint="eastAsia" w:ascii="仿宋_GB2312" w:hAnsi="仿宋_GB2312" w:eastAsia="仿宋_GB2312" w:cs="仿宋_GB2312"/>
          <w:bCs/>
          <w:color w:val="000000"/>
          <w:sz w:val="32"/>
          <w:szCs w:val="32"/>
          <w:lang w:val="en-US" w:eastAsia="zh-CN"/>
        </w:rPr>
        <w:t>12.</w:t>
      </w:r>
      <w:r>
        <w:rPr>
          <w:rStyle w:val="15"/>
          <w:rFonts w:hint="eastAsia" w:ascii="仿宋_GB2312" w:hAnsi="仿宋_GB2312" w:eastAsia="仿宋_GB2312" w:cs="仿宋_GB2312"/>
          <w:bCs/>
          <w:color w:val="000000"/>
          <w:sz w:val="32"/>
          <w:szCs w:val="32"/>
        </w:rPr>
        <w:t>住房保障（类）住房改革</w:t>
      </w:r>
      <w:r>
        <w:rPr>
          <w:rStyle w:val="15"/>
          <w:rFonts w:hint="eastAsia" w:ascii="仿宋_GB2312" w:hAnsi="仿宋_GB2312" w:eastAsia="仿宋_GB2312" w:cs="仿宋_GB2312"/>
          <w:bCs/>
          <w:color w:val="000000"/>
          <w:sz w:val="32"/>
          <w:szCs w:val="32"/>
          <w:lang w:val="en-US" w:eastAsia="zh-CN"/>
        </w:rPr>
        <w:t>支出</w:t>
      </w:r>
      <w:r>
        <w:rPr>
          <w:rStyle w:val="15"/>
          <w:rFonts w:hint="eastAsia" w:ascii="仿宋_GB2312" w:hAnsi="仿宋_GB2312" w:eastAsia="仿宋_GB2312" w:cs="仿宋_GB2312"/>
          <w:bCs/>
          <w:color w:val="000000"/>
          <w:sz w:val="32"/>
          <w:szCs w:val="32"/>
        </w:rPr>
        <w:t>（款）住房公积金（项）:</w:t>
      </w:r>
      <w:r>
        <w:rPr>
          <w:rStyle w:val="15"/>
          <w:rFonts w:hint="eastAsia" w:ascii="仿宋_GB2312" w:hAnsi="仿宋_GB2312" w:eastAsia="仿宋_GB2312" w:cs="仿宋_GB2312"/>
          <w:b w:val="0"/>
          <w:bCs/>
          <w:color w:val="000000"/>
          <w:sz w:val="32"/>
          <w:szCs w:val="32"/>
        </w:rPr>
        <w:t>支出决算为</w:t>
      </w:r>
      <w:r>
        <w:rPr>
          <w:rStyle w:val="15"/>
          <w:rFonts w:hint="eastAsia" w:ascii="仿宋_GB2312" w:hAnsi="仿宋_GB2312" w:eastAsia="仿宋_GB2312" w:cs="仿宋_GB2312"/>
          <w:b w:val="0"/>
          <w:bCs/>
          <w:color w:val="000000"/>
          <w:sz w:val="32"/>
          <w:szCs w:val="32"/>
          <w:lang w:val="en-US" w:eastAsia="zh-CN"/>
        </w:rPr>
        <w:t>203.7</w:t>
      </w:r>
      <w:r>
        <w:rPr>
          <w:rStyle w:val="15"/>
          <w:rFonts w:hint="eastAsia" w:ascii="仿宋_GB2312" w:hAnsi="仿宋_GB2312" w:eastAsia="仿宋_GB2312" w:cs="仿宋_GB2312"/>
          <w:b w:val="0"/>
          <w:bCs/>
          <w:color w:val="000000"/>
          <w:sz w:val="32"/>
          <w:szCs w:val="32"/>
        </w:rPr>
        <w:t>万元，完成预算</w:t>
      </w:r>
      <w:r>
        <w:rPr>
          <w:rStyle w:val="15"/>
          <w:rFonts w:hint="eastAsia" w:ascii="仿宋_GB2312" w:hAnsi="仿宋_GB2312" w:eastAsia="仿宋_GB2312" w:cs="仿宋_GB2312"/>
          <w:b w:val="0"/>
          <w:bCs/>
          <w:color w:val="000000"/>
          <w:sz w:val="32"/>
          <w:szCs w:val="32"/>
          <w:lang w:val="en-US" w:eastAsia="zh-CN"/>
        </w:rPr>
        <w:t>100</w:t>
      </w:r>
      <w:r>
        <w:rPr>
          <w:rStyle w:val="15"/>
          <w:rFonts w:hint="eastAsia" w:ascii="仿宋_GB2312" w:hAnsi="仿宋_GB2312" w:eastAsia="仿宋_GB2312" w:cs="仿宋_GB2312"/>
          <w:b w:val="0"/>
          <w:bCs/>
          <w:color w:val="000000"/>
          <w:sz w:val="32"/>
          <w:szCs w:val="32"/>
        </w:rPr>
        <w:t>%，</w:t>
      </w:r>
      <w:r>
        <w:rPr>
          <w:rStyle w:val="15"/>
          <w:rFonts w:hint="eastAsia" w:ascii="仿宋_GB2312" w:hAnsi="仿宋_GB2312" w:eastAsia="仿宋_GB2312" w:cs="仿宋_GB2312"/>
          <w:b w:val="0"/>
          <w:bCs/>
          <w:color w:val="auto"/>
          <w:sz w:val="32"/>
          <w:szCs w:val="32"/>
          <w:highlight w:val="none"/>
        </w:rPr>
        <w:t>决算数</w:t>
      </w:r>
      <w:r>
        <w:rPr>
          <w:rStyle w:val="15"/>
          <w:rFonts w:hint="eastAsia" w:ascii="仿宋_GB2312" w:hAnsi="仿宋_GB2312" w:eastAsia="仿宋_GB2312" w:cs="仿宋_GB2312"/>
          <w:b w:val="0"/>
          <w:bCs/>
          <w:color w:val="auto"/>
          <w:sz w:val="32"/>
          <w:szCs w:val="32"/>
          <w:highlight w:val="none"/>
          <w:lang w:val="en-US" w:eastAsia="zh-CN"/>
        </w:rPr>
        <w:t>与</w:t>
      </w:r>
      <w:r>
        <w:rPr>
          <w:rStyle w:val="15"/>
          <w:rFonts w:hint="eastAsia" w:ascii="仿宋_GB2312" w:hAnsi="仿宋_GB2312" w:eastAsia="仿宋_GB2312" w:cs="仿宋_GB2312"/>
          <w:b w:val="0"/>
          <w:bCs/>
          <w:color w:val="auto"/>
          <w:sz w:val="32"/>
          <w:szCs w:val="32"/>
          <w:highlight w:val="none"/>
        </w:rPr>
        <w:t>预算数</w:t>
      </w:r>
      <w:r>
        <w:rPr>
          <w:rStyle w:val="15"/>
          <w:rFonts w:hint="eastAsia" w:ascii="仿宋_GB2312" w:hAnsi="仿宋_GB2312" w:eastAsia="仿宋_GB2312" w:cs="仿宋_GB2312"/>
          <w:b w:val="0"/>
          <w:bCs/>
          <w:color w:val="auto"/>
          <w:sz w:val="32"/>
          <w:szCs w:val="32"/>
          <w:highlight w:val="none"/>
          <w:lang w:val="en-US" w:eastAsia="zh-CN"/>
        </w:rPr>
        <w:t>持平</w:t>
      </w:r>
      <w:r>
        <w:rPr>
          <w:rStyle w:val="15"/>
          <w:rFonts w:hint="eastAsia" w:ascii="仿宋_GB2312" w:hAnsi="仿宋_GB2312" w:eastAsia="仿宋_GB2312" w:cs="仿宋_GB2312"/>
          <w:b w:val="0"/>
          <w:bCs/>
          <w:color w:val="auto"/>
          <w:sz w:val="32"/>
          <w:szCs w:val="32"/>
          <w:highlight w:val="none"/>
        </w:rPr>
        <w:t>。</w:t>
      </w:r>
    </w:p>
    <w:p>
      <w:pPr>
        <w:keepNext w:val="0"/>
        <w:keepLines w:val="0"/>
        <w:pageBreakBefore w:val="0"/>
        <w:widowControl w:val="0"/>
        <w:tabs>
          <w:tab w:val="right" w:pos="8306"/>
        </w:tabs>
        <w:kinsoku/>
        <w:wordWrap/>
        <w:overflowPunct/>
        <w:topLinePunct w:val="0"/>
        <w:bidi w:val="0"/>
        <w:spacing w:line="600" w:lineRule="exact"/>
        <w:ind w:firstLine="640"/>
        <w:outlineLvl w:val="1"/>
        <w:rPr>
          <w:rStyle w:val="26"/>
          <w:color w:val="auto"/>
          <w:highlight w:val="none"/>
        </w:rPr>
      </w:pPr>
      <w:bookmarkStart w:id="34" w:name="_Toc15377214"/>
      <w:bookmarkStart w:id="35" w:name="_Toc1539660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6"/>
          <w:rFonts w:hint="eastAsia" w:ascii="黑体" w:hAnsi="黑体" w:eastAsia="黑体"/>
          <w:b w:val="0"/>
          <w:color w:val="auto"/>
          <w:highlight w:val="none"/>
        </w:rPr>
        <w:t>般公共预算财政拨款基本支出决算情况说明</w:t>
      </w:r>
      <w:bookmarkEnd w:id="34"/>
      <w:bookmarkEnd w:id="35"/>
      <w:r>
        <w:rPr>
          <w:rStyle w:val="26"/>
          <w:rFonts w:ascii="黑体" w:hAnsi="黑体" w:eastAsia="黑体"/>
          <w:b w:val="0"/>
          <w:color w:val="auto"/>
          <w:highlight w:val="none"/>
        </w:rPr>
        <w:tab/>
      </w:r>
    </w:p>
    <w:p>
      <w:pPr>
        <w:keepNext w:val="0"/>
        <w:keepLines w:val="0"/>
        <w:pageBreakBefore w:val="0"/>
        <w:widowControl w:val="0"/>
        <w:kinsoku/>
        <w:wordWrap/>
        <w:overflowPunct/>
        <w:topLinePunct w:val="0"/>
        <w:bidi w:val="0"/>
        <w:spacing w:line="600" w:lineRule="exact"/>
        <w:ind w:firstLine="64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年一般公共预算财政拨款基本支出</w:t>
      </w:r>
      <w:r>
        <w:rPr>
          <w:rFonts w:hint="eastAsia" w:ascii="仿宋_GB2312" w:hAnsi="仿宋_GB2312" w:eastAsia="仿宋_GB2312" w:cs="仿宋_GB2312"/>
          <w:color w:val="auto"/>
          <w:sz w:val="32"/>
          <w:szCs w:val="32"/>
          <w:highlight w:val="none"/>
          <w:lang w:val="en-US" w:eastAsia="zh-CN"/>
        </w:rPr>
        <w:t>1862.82</w:t>
      </w:r>
      <w:r>
        <w:rPr>
          <w:rFonts w:hint="eastAsia" w:ascii="仿宋_GB2312" w:hAnsi="仿宋_GB2312" w:eastAsia="仿宋_GB2312" w:cs="仿宋_GB2312"/>
          <w:color w:val="auto"/>
          <w:sz w:val="32"/>
          <w:szCs w:val="32"/>
          <w:highlight w:val="none"/>
        </w:rPr>
        <w:t>万元，其中：</w:t>
      </w:r>
    </w:p>
    <w:p>
      <w:pPr>
        <w:keepNext w:val="0"/>
        <w:keepLines w:val="0"/>
        <w:pageBreakBefore w:val="0"/>
        <w:widowControl w:val="0"/>
        <w:kinsoku/>
        <w:wordWrap/>
        <w:overflowPunct/>
        <w:topLinePunct w:val="0"/>
        <w:bidi w:val="0"/>
        <w:spacing w:line="600" w:lineRule="exact"/>
        <w:ind w:firstLine="645"/>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人员经费</w:t>
      </w:r>
      <w:r>
        <w:rPr>
          <w:rFonts w:hint="eastAsia" w:ascii="仿宋_GB2312" w:hAnsi="仿宋_GB2312" w:eastAsia="仿宋_GB2312" w:cs="仿宋_GB2312"/>
          <w:color w:val="auto"/>
          <w:sz w:val="32"/>
          <w:szCs w:val="32"/>
          <w:highlight w:val="none"/>
          <w:lang w:val="en-US" w:eastAsia="zh-CN"/>
        </w:rPr>
        <w:t>1479.1</w:t>
      </w:r>
      <w:r>
        <w:rPr>
          <w:rFonts w:hint="eastAsia" w:ascii="仿宋_GB2312" w:hAnsi="仿宋_GB2312" w:eastAsia="仿宋_GB2312" w:cs="仿宋_GB2312"/>
          <w:color w:val="auto"/>
          <w:sz w:val="32"/>
          <w:szCs w:val="32"/>
          <w:highlight w:val="none"/>
        </w:rPr>
        <w:t>万元，主要包括：基本工资、津贴补贴、奖金、伙食补助费、绩效工资、机关事业单位基本养老保险缴费、职业年金缴费、</w:t>
      </w:r>
      <w:r>
        <w:rPr>
          <w:rFonts w:hint="eastAsia" w:ascii="仿宋_GB2312" w:hAnsi="仿宋_GB2312" w:eastAsia="仿宋_GB2312" w:cs="仿宋_GB2312"/>
          <w:color w:val="auto"/>
          <w:sz w:val="32"/>
          <w:szCs w:val="32"/>
          <w:highlight w:val="none"/>
          <w:lang w:val="en-US" w:eastAsia="zh-CN"/>
        </w:rPr>
        <w:t>职工基本医疗保险缴费、</w:t>
      </w:r>
      <w:r>
        <w:rPr>
          <w:rFonts w:hint="eastAsia" w:ascii="仿宋_GB2312" w:hAnsi="仿宋_GB2312" w:eastAsia="仿宋_GB2312" w:cs="仿宋_GB2312"/>
          <w:color w:val="auto"/>
          <w:sz w:val="32"/>
          <w:szCs w:val="32"/>
          <w:highlight w:val="none"/>
        </w:rPr>
        <w:t>其他社会保障缴费、住房公积金、其他工资福利支出、其他对个人和家庭的补助支出等。</w:t>
      </w:r>
    </w:p>
    <w:p>
      <w:pPr>
        <w:keepNext w:val="0"/>
        <w:keepLines w:val="0"/>
        <w:pageBreakBefore w:val="0"/>
        <w:widowControl w:val="0"/>
        <w:kinsoku/>
        <w:wordWrap/>
        <w:overflowPunct/>
        <w:topLinePunct w:val="0"/>
        <w:bidi w:val="0"/>
        <w:spacing w:line="600" w:lineRule="exact"/>
        <w:ind w:firstLine="64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公用经费</w:t>
      </w:r>
      <w:r>
        <w:rPr>
          <w:rFonts w:hint="eastAsia" w:ascii="仿宋_GB2312" w:hAnsi="仿宋_GB2312" w:eastAsia="仿宋_GB2312" w:cs="仿宋_GB2312"/>
          <w:color w:val="auto"/>
          <w:sz w:val="32"/>
          <w:szCs w:val="32"/>
          <w:highlight w:val="none"/>
          <w:lang w:val="en-US" w:eastAsia="zh-CN"/>
        </w:rPr>
        <w:t>383.72</w:t>
      </w:r>
      <w:r>
        <w:rPr>
          <w:rFonts w:hint="eastAsia" w:ascii="仿宋_GB2312" w:hAnsi="仿宋_GB2312" w:eastAsia="仿宋_GB2312" w:cs="仿宋_GB2312"/>
          <w:color w:val="auto"/>
          <w:sz w:val="32"/>
          <w:szCs w:val="32"/>
          <w:highlight w:val="none"/>
        </w:rPr>
        <w:t>万元，主要包括：办公费、印刷费、咨询费、水费、电费、邮电费、物业管理费、差旅费、维修（护）费、会议费、培训费、公务接待费、劳务费、工会经费、福利费、公务用车运行维护费、其他交通费</w:t>
      </w:r>
      <w:r>
        <w:rPr>
          <w:rFonts w:hint="eastAsia" w:ascii="仿宋_GB2312" w:hAnsi="仿宋_GB2312" w:eastAsia="仿宋_GB2312" w:cs="仿宋_GB2312"/>
          <w:color w:val="auto"/>
          <w:sz w:val="32"/>
          <w:szCs w:val="32"/>
          <w:highlight w:val="none"/>
          <w:lang w:val="en-US" w:eastAsia="zh-CN"/>
        </w:rPr>
        <w:t>用</w:t>
      </w:r>
      <w:r>
        <w:rPr>
          <w:rFonts w:hint="eastAsia" w:ascii="仿宋_GB2312" w:hAnsi="仿宋_GB2312" w:eastAsia="仿宋_GB2312" w:cs="仿宋_GB2312"/>
          <w:color w:val="auto"/>
          <w:sz w:val="32"/>
          <w:szCs w:val="32"/>
          <w:highlight w:val="none"/>
        </w:rPr>
        <w:t>、其他商品和服务支出。</w:t>
      </w:r>
    </w:p>
    <w:p>
      <w:pPr>
        <w:keepNext w:val="0"/>
        <w:keepLines w:val="0"/>
        <w:pageBreakBefore w:val="0"/>
        <w:widowControl w:val="0"/>
        <w:kinsoku/>
        <w:wordWrap/>
        <w:overflowPunct/>
        <w:topLinePunct w:val="0"/>
        <w:bidi w:val="0"/>
        <w:spacing w:line="600" w:lineRule="exact"/>
        <w:ind w:firstLine="640"/>
        <w:outlineLvl w:val="1"/>
        <w:rPr>
          <w:rStyle w:val="26"/>
          <w:rFonts w:ascii="黑体" w:hAnsi="黑体" w:eastAsia="黑体"/>
          <w:b w:val="0"/>
          <w:color w:val="auto"/>
          <w:highlight w:val="none"/>
        </w:rPr>
      </w:pPr>
      <w:bookmarkStart w:id="36" w:name="_Toc15396609"/>
      <w:bookmarkStart w:id="37" w:name="_Toc15377215"/>
      <w:r>
        <w:rPr>
          <w:rFonts w:hint="eastAsia" w:ascii="黑体" w:eastAsia="黑体"/>
          <w:color w:val="auto"/>
          <w:sz w:val="32"/>
          <w:szCs w:val="32"/>
          <w:highlight w:val="none"/>
        </w:rPr>
        <w:t>七、</w:t>
      </w:r>
      <w:r>
        <w:rPr>
          <w:rStyle w:val="26"/>
          <w:rFonts w:hint="eastAsia" w:ascii="黑体" w:hAnsi="黑体" w:eastAsia="黑体"/>
          <w:color w:val="auto"/>
          <w:highlight w:val="none"/>
        </w:rPr>
        <w:t>“</w:t>
      </w:r>
      <w:r>
        <w:rPr>
          <w:rStyle w:val="26"/>
          <w:rFonts w:hint="eastAsia" w:ascii="黑体" w:hAnsi="黑体" w:eastAsia="黑体"/>
          <w:b w:val="0"/>
          <w:color w:val="auto"/>
          <w:highlight w:val="none"/>
        </w:rPr>
        <w:t>三公”经费财政拨款支出决算情况说明</w:t>
      </w:r>
      <w:bookmarkEnd w:id="36"/>
      <w:bookmarkEnd w:id="37"/>
    </w:p>
    <w:p>
      <w:pPr>
        <w:keepNext w:val="0"/>
        <w:keepLines w:val="0"/>
        <w:pageBreakBefore w:val="0"/>
        <w:widowControl w:val="0"/>
        <w:kinsoku/>
        <w:wordWrap/>
        <w:overflowPunct/>
        <w:topLinePunct w:val="0"/>
        <w:bidi w:val="0"/>
        <w:spacing w:line="600" w:lineRule="exact"/>
        <w:ind w:firstLine="640"/>
        <w:outlineLvl w:val="2"/>
        <w:rPr>
          <w:rFonts w:hint="eastAsia" w:ascii="楷体_GB2312" w:hAnsi="楷体_GB2312" w:eastAsia="楷体_GB2312" w:cs="楷体_GB2312"/>
          <w:b w:val="0"/>
          <w:bCs/>
          <w:color w:val="auto"/>
          <w:sz w:val="32"/>
          <w:szCs w:val="32"/>
          <w:highlight w:val="none"/>
        </w:rPr>
      </w:pPr>
      <w:bookmarkStart w:id="38" w:name="_Toc15377216"/>
      <w:r>
        <w:rPr>
          <w:rFonts w:hint="eastAsia" w:ascii="楷体_GB2312" w:hAnsi="楷体_GB2312" w:eastAsia="楷体_GB2312" w:cs="楷体_GB2312"/>
          <w:b w:val="0"/>
          <w:bCs/>
          <w:color w:val="auto"/>
          <w:sz w:val="32"/>
          <w:szCs w:val="32"/>
          <w:highlight w:val="none"/>
        </w:rPr>
        <w:t>（一）“三公”经费财政拨款支出决算总体情况说明</w:t>
      </w:r>
      <w:bookmarkEnd w:id="38"/>
    </w:p>
    <w:p>
      <w:pPr>
        <w:keepNext w:val="0"/>
        <w:keepLines w:val="0"/>
        <w:pageBreakBefore w:val="0"/>
        <w:widowControl w:val="0"/>
        <w:kinsoku/>
        <w:wordWrap/>
        <w:overflowPunct/>
        <w:topLinePunct w:val="0"/>
        <w:bidi w:val="0"/>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年“三公”经费财政拨款支出决算为</w:t>
      </w:r>
      <w:r>
        <w:rPr>
          <w:rFonts w:hint="eastAsia" w:ascii="仿宋_GB2312" w:hAnsi="仿宋_GB2312" w:eastAsia="仿宋_GB2312" w:cs="仿宋_GB2312"/>
          <w:color w:val="auto"/>
          <w:sz w:val="32"/>
          <w:szCs w:val="32"/>
          <w:highlight w:val="none"/>
          <w:lang w:val="en-US" w:eastAsia="zh-CN"/>
        </w:rPr>
        <w:t>17.68</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88.05</w:t>
      </w:r>
      <w:r>
        <w:rPr>
          <w:rFonts w:hint="eastAsia" w:ascii="仿宋_GB2312" w:hAnsi="仿宋_GB2312" w:eastAsia="仿宋_GB2312" w:cs="仿宋_GB2312"/>
          <w:color w:val="auto"/>
          <w:sz w:val="32"/>
          <w:szCs w:val="32"/>
          <w:highlight w:val="none"/>
        </w:rPr>
        <w:t>%，决算数小于预算数的主要原因是</w:t>
      </w:r>
      <w:r>
        <w:rPr>
          <w:rFonts w:hint="eastAsia" w:ascii="仿宋_GB2312" w:hAnsi="仿宋_GB2312" w:eastAsia="仿宋_GB2312" w:cs="仿宋_GB2312"/>
          <w:color w:val="auto"/>
          <w:sz w:val="32"/>
          <w:szCs w:val="32"/>
          <w:highlight w:val="none"/>
          <w:lang w:val="en-US" w:eastAsia="zh-CN"/>
        </w:rPr>
        <w:t>压减公务接待支出</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bidi w:val="0"/>
        <w:spacing w:line="600" w:lineRule="exact"/>
        <w:ind w:firstLine="640"/>
        <w:outlineLvl w:val="2"/>
        <w:rPr>
          <w:rFonts w:hint="eastAsia" w:ascii="楷体_GB2312" w:hAnsi="楷体_GB2312" w:eastAsia="楷体_GB2312" w:cs="楷体_GB2312"/>
          <w:b w:val="0"/>
          <w:bCs/>
          <w:color w:val="auto"/>
          <w:sz w:val="32"/>
          <w:szCs w:val="32"/>
          <w:highlight w:val="none"/>
        </w:rPr>
      </w:pPr>
      <w:bookmarkStart w:id="39" w:name="_Toc15377217"/>
      <w:r>
        <w:rPr>
          <w:rFonts w:hint="eastAsia" w:ascii="楷体_GB2312" w:hAnsi="楷体_GB2312" w:eastAsia="楷体_GB2312" w:cs="楷体_GB2312"/>
          <w:b w:val="0"/>
          <w:bCs/>
          <w:color w:val="auto"/>
          <w:sz w:val="32"/>
          <w:szCs w:val="32"/>
          <w:highlight w:val="none"/>
        </w:rPr>
        <w:t>（二）“三公”经费财政拨款支出决算具体情况说明</w:t>
      </w:r>
      <w:bookmarkEnd w:id="39"/>
    </w:p>
    <w:p>
      <w:pPr>
        <w:keepNext w:val="0"/>
        <w:keepLines w:val="0"/>
        <w:pageBreakBefore w:val="0"/>
        <w:widowControl w:val="0"/>
        <w:kinsoku/>
        <w:wordWrap/>
        <w:overflowPunct/>
        <w:topLinePunct w:val="0"/>
        <w:bidi w:val="0"/>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年“三公”经费财政拨款支出决算中，因公出国（境）费支出决算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%；公务用车购置及运行维护费支出决算</w:t>
      </w:r>
      <w:r>
        <w:rPr>
          <w:rFonts w:hint="eastAsia" w:ascii="仿宋_GB2312" w:hAnsi="仿宋_GB2312" w:eastAsia="仿宋_GB2312" w:cs="仿宋_GB2312"/>
          <w:color w:val="auto"/>
          <w:sz w:val="32"/>
          <w:szCs w:val="32"/>
          <w:highlight w:val="none"/>
          <w:lang w:val="en-US" w:eastAsia="zh-CN"/>
        </w:rPr>
        <w:t>16.08</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90.95</w:t>
      </w:r>
      <w:r>
        <w:rPr>
          <w:rFonts w:hint="eastAsia" w:ascii="仿宋_GB2312" w:hAnsi="仿宋_GB2312" w:eastAsia="仿宋_GB2312" w:cs="仿宋_GB2312"/>
          <w:color w:val="auto"/>
          <w:sz w:val="32"/>
          <w:szCs w:val="32"/>
          <w:highlight w:val="none"/>
        </w:rPr>
        <w:t>%；公务接待费支出决算</w:t>
      </w:r>
      <w:r>
        <w:rPr>
          <w:rFonts w:hint="eastAsia" w:ascii="仿宋_GB2312" w:hAnsi="仿宋_GB2312" w:eastAsia="仿宋_GB2312" w:cs="仿宋_GB2312"/>
          <w:color w:val="auto"/>
          <w:sz w:val="32"/>
          <w:szCs w:val="32"/>
          <w:highlight w:val="none"/>
          <w:lang w:val="en-US" w:eastAsia="zh-CN"/>
        </w:rPr>
        <w:t>1.6</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9.05</w:t>
      </w:r>
      <w:r>
        <w:rPr>
          <w:rFonts w:hint="eastAsia" w:ascii="仿宋_GB2312" w:hAnsi="仿宋_GB2312" w:eastAsia="仿宋_GB2312" w:cs="仿宋_GB2312"/>
          <w:color w:val="auto"/>
          <w:sz w:val="32"/>
          <w:szCs w:val="32"/>
          <w:highlight w:val="none"/>
        </w:rPr>
        <w:t>%。具体情况如下：</w:t>
      </w:r>
    </w:p>
    <w:p>
      <w:pPr>
        <w:keepNext w:val="0"/>
        <w:keepLines w:val="0"/>
        <w:pageBreakBefore w:val="0"/>
        <w:widowControl w:val="0"/>
        <w:kinsoku/>
        <w:wordWrap/>
        <w:overflowPunct/>
        <w:topLinePunct w:val="0"/>
        <w:bidi w:val="0"/>
        <w:spacing w:line="600" w:lineRule="exact"/>
        <w:ind w:firstLine="640"/>
        <w:rPr>
          <w:rFonts w:hint="eastAsia" w:ascii="仿宋_GB2312" w:hAnsi="仿宋_GB2312" w:eastAsia="仿宋_GB2312" w:cs="仿宋_GB2312"/>
        </w:rPr>
      </w:pPr>
      <w:r>
        <w:rPr>
          <w:rFonts w:hint="eastAsia" w:ascii="仿宋_GB2312" w:hAnsi="仿宋_GB2312" w:eastAsia="仿宋_GB2312" w:cs="仿宋_GB2312"/>
          <w:color w:val="auto"/>
          <w:sz w:val="32"/>
          <w:szCs w:val="32"/>
          <w:highlight w:val="none"/>
        </w:rPr>
        <w:t>（图7：“三公”经费财政拨款支出结构）（饼状图）</w:t>
      </w:r>
    </w:p>
    <w:p>
      <w:pPr>
        <w:pStyle w:val="6"/>
        <w:keepNext w:val="0"/>
        <w:keepLines w:val="0"/>
        <w:pageBreakBefore w:val="0"/>
        <w:widowControl w:val="0"/>
        <w:kinsoku/>
        <w:wordWrap/>
        <w:overflowPunct/>
        <w:topLinePunct w:val="0"/>
        <w:bidi w:val="0"/>
        <w:jc w:val="center"/>
      </w:pPr>
      <w:r>
        <w:drawing>
          <wp:inline distT="0" distB="0" distL="114300" distR="114300">
            <wp:extent cx="3328670" cy="1862455"/>
            <wp:effectExtent l="4445" t="5080" r="19685" b="18415"/>
            <wp:docPr id="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keepNext w:val="0"/>
        <w:keepLines w:val="0"/>
        <w:pageBreakBefore w:val="0"/>
        <w:widowControl w:val="0"/>
        <w:kinsoku/>
        <w:wordWrap/>
        <w:overflowPunct/>
        <w:topLinePunct w:val="0"/>
        <w:bidi w:val="0"/>
        <w:spacing w:line="600" w:lineRule="exact"/>
        <w:ind w:firstLine="640"/>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1.因公出国（境）经费支出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b w:val="0"/>
          <w:bCs/>
          <w:color w:val="auto"/>
          <w:sz w:val="32"/>
          <w:szCs w:val="32"/>
          <w:highlight w:val="none"/>
          <w:lang w:val="en-US" w:eastAsia="zh-CN"/>
        </w:rPr>
        <w:t>年初未安排预算</w:t>
      </w:r>
      <w:r>
        <w:rPr>
          <w:rStyle w:val="15"/>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color w:val="auto"/>
          <w:sz w:val="32"/>
          <w:szCs w:val="32"/>
          <w:highlight w:val="none"/>
        </w:rPr>
        <w:t>因公出国（境）支出决算</w:t>
      </w:r>
      <w:r>
        <w:rPr>
          <w:rFonts w:hint="eastAsia" w:ascii="仿宋_GB2312" w:hAnsi="仿宋_GB2312" w:eastAsia="仿宋_GB2312" w:cs="仿宋_GB2312"/>
          <w:color w:val="auto"/>
          <w:sz w:val="32"/>
          <w:szCs w:val="32"/>
          <w:highlight w:val="none"/>
          <w:lang w:val="en-US" w:eastAsia="zh-CN"/>
        </w:rPr>
        <w:t>较</w:t>
      </w: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无变化</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bidi w:val="0"/>
        <w:spacing w:line="560" w:lineRule="exact"/>
        <w:ind w:firstLine="640"/>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2.公务用车购置及运行维护费支出</w:t>
      </w:r>
      <w:r>
        <w:rPr>
          <w:rFonts w:hint="eastAsia" w:ascii="仿宋_GB2312" w:hAnsi="仿宋_GB2312" w:eastAsia="仿宋_GB2312" w:cs="仿宋_GB2312"/>
          <w:color w:val="auto"/>
          <w:sz w:val="32"/>
          <w:szCs w:val="32"/>
          <w:highlight w:val="none"/>
          <w:lang w:val="en-US" w:eastAsia="zh-CN"/>
        </w:rPr>
        <w:t>16.08</w:t>
      </w:r>
      <w:r>
        <w:rPr>
          <w:rFonts w:hint="eastAsia" w:ascii="仿宋_GB2312" w:hAnsi="仿宋_GB2312" w:eastAsia="仿宋_GB2312" w:cs="仿宋_GB2312"/>
          <w:color w:val="auto"/>
          <w:sz w:val="32"/>
          <w:szCs w:val="32"/>
          <w:highlight w:val="none"/>
        </w:rPr>
        <w:t>万元,</w:t>
      </w:r>
      <w:r>
        <w:rPr>
          <w:rStyle w:val="15"/>
          <w:rFonts w:hint="eastAsia" w:ascii="仿宋_GB2312" w:hAnsi="仿宋_GB2312" w:eastAsia="仿宋_GB2312" w:cs="仿宋_GB2312"/>
          <w:b w:val="0"/>
          <w:bCs/>
          <w:color w:val="auto"/>
          <w:sz w:val="32"/>
          <w:szCs w:val="32"/>
          <w:highlight w:val="none"/>
        </w:rPr>
        <w:t>完成预算</w:t>
      </w:r>
      <w:r>
        <w:rPr>
          <w:rStyle w:val="15"/>
          <w:rFonts w:hint="eastAsia" w:ascii="仿宋_GB2312" w:hAnsi="仿宋_GB2312" w:eastAsia="仿宋_GB2312" w:cs="仿宋_GB2312"/>
          <w:b w:val="0"/>
          <w:bCs/>
          <w:color w:val="auto"/>
          <w:sz w:val="32"/>
          <w:szCs w:val="32"/>
          <w:highlight w:val="none"/>
          <w:lang w:val="en-US" w:eastAsia="zh-CN"/>
        </w:rPr>
        <w:t>100</w:t>
      </w:r>
      <w:r>
        <w:rPr>
          <w:rStyle w:val="15"/>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color w:val="auto"/>
          <w:sz w:val="32"/>
          <w:szCs w:val="32"/>
          <w:highlight w:val="none"/>
        </w:rPr>
        <w:t>公务用车购置及运行维护费支出决算比20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年增加</w:t>
      </w:r>
      <w:r>
        <w:rPr>
          <w:rFonts w:hint="eastAsia" w:ascii="仿宋_GB2312" w:hAnsi="仿宋_GB2312" w:eastAsia="仿宋_GB2312" w:cs="仿宋_GB2312"/>
          <w:color w:val="auto"/>
          <w:sz w:val="32"/>
          <w:szCs w:val="32"/>
          <w:highlight w:val="none"/>
          <w:lang w:val="en-US" w:eastAsia="zh-CN"/>
        </w:rPr>
        <w:t>2.66</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19.82</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000000"/>
          <w:sz w:val="32"/>
          <w:szCs w:val="32"/>
        </w:rPr>
        <w:t>主要原因是公务车辆购置年限久、老化严重，同时因开展</w:t>
      </w:r>
      <w:r>
        <w:rPr>
          <w:rFonts w:hint="eastAsia" w:ascii="仿宋_GB2312" w:hAnsi="仿宋_GB2312" w:eastAsia="仿宋_GB2312" w:cs="仿宋_GB2312"/>
          <w:color w:val="000000"/>
          <w:sz w:val="32"/>
          <w:szCs w:val="32"/>
          <w:lang w:val="en-US" w:eastAsia="zh-CN"/>
        </w:rPr>
        <w:t>监督检查、</w:t>
      </w:r>
      <w:r>
        <w:rPr>
          <w:rFonts w:hint="eastAsia" w:ascii="仿宋_GB2312" w:hAnsi="仿宋_GB2312" w:eastAsia="仿宋_GB2312" w:cs="仿宋_GB2312"/>
          <w:color w:val="000000"/>
          <w:sz w:val="32"/>
          <w:szCs w:val="32"/>
        </w:rPr>
        <w:t>脱贫攻坚</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乡村振兴</w:t>
      </w:r>
      <w:r>
        <w:rPr>
          <w:rFonts w:hint="eastAsia" w:ascii="仿宋_GB2312" w:hAnsi="仿宋_GB2312" w:eastAsia="仿宋_GB2312" w:cs="仿宋_GB2312"/>
          <w:color w:val="000000"/>
          <w:sz w:val="32"/>
          <w:szCs w:val="32"/>
        </w:rPr>
        <w:t>等工作车辆使用频率高，维修费和保养费增加。</w:t>
      </w:r>
    </w:p>
    <w:p>
      <w:pPr>
        <w:keepNext w:val="0"/>
        <w:keepLines w:val="0"/>
        <w:pageBreakBefore w:val="0"/>
        <w:widowControl w:val="0"/>
        <w:kinsoku/>
        <w:wordWrap/>
        <w:overflowPunct/>
        <w:topLinePunct w:val="0"/>
        <w:bidi w:val="0"/>
        <w:spacing w:line="600" w:lineRule="exact"/>
        <w:ind w:firstLine="640" w:firstLineChars="200"/>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其中：</w:t>
      </w:r>
      <w:r>
        <w:rPr>
          <w:rFonts w:hint="eastAsia" w:ascii="仿宋_GB2312" w:hAnsi="仿宋_GB2312" w:eastAsia="仿宋_GB2312" w:cs="仿宋_GB2312"/>
          <w:b/>
          <w:color w:val="auto"/>
          <w:sz w:val="32"/>
          <w:szCs w:val="32"/>
          <w:highlight w:val="none"/>
        </w:rPr>
        <w:t>公务用车购置支出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万元。截至20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年12月底，单位共有公务用车</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辆，其中：越野车</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辆。</w:t>
      </w:r>
    </w:p>
    <w:p>
      <w:pPr>
        <w:keepNext w:val="0"/>
        <w:keepLines w:val="0"/>
        <w:pageBreakBefore w:val="0"/>
        <w:widowControl w:val="0"/>
        <w:kinsoku/>
        <w:wordWrap/>
        <w:overflowPunct/>
        <w:topLinePunct w:val="0"/>
        <w:bidi w:val="0"/>
        <w:spacing w:line="576" w:lineRule="exact"/>
        <w:ind w:firstLine="642" w:firstLineChars="200"/>
        <w:rPr>
          <w:rFonts w:hint="eastAsia" w:ascii="仿宋_GB2312" w:hAnsi="仿宋_GB2312" w:eastAsia="仿宋_GB2312" w:cs="仿宋_GB2312"/>
        </w:rPr>
      </w:pPr>
      <w:r>
        <w:rPr>
          <w:rFonts w:hint="eastAsia" w:ascii="仿宋_GB2312" w:hAnsi="仿宋_GB2312" w:eastAsia="仿宋_GB2312" w:cs="仿宋_GB2312"/>
          <w:b/>
          <w:color w:val="auto"/>
          <w:sz w:val="32"/>
          <w:szCs w:val="32"/>
          <w:highlight w:val="none"/>
        </w:rPr>
        <w:t>公务用车运行维护费支出</w:t>
      </w:r>
      <w:r>
        <w:rPr>
          <w:rFonts w:hint="eastAsia" w:ascii="仿宋_GB2312" w:hAnsi="仿宋_GB2312" w:eastAsia="仿宋_GB2312" w:cs="仿宋_GB2312"/>
          <w:color w:val="auto"/>
          <w:sz w:val="32"/>
          <w:szCs w:val="32"/>
          <w:highlight w:val="none"/>
          <w:lang w:val="en-US" w:eastAsia="zh-CN"/>
        </w:rPr>
        <w:t>16.08</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000000"/>
          <w:sz w:val="32"/>
          <w:szCs w:val="32"/>
        </w:rPr>
        <w:t>主要用于开展财政业务工作、</w:t>
      </w:r>
      <w:r>
        <w:rPr>
          <w:rFonts w:hint="eastAsia" w:ascii="仿宋_GB2312" w:hAnsi="仿宋_GB2312" w:eastAsia="仿宋_GB2312" w:cs="仿宋_GB2312"/>
          <w:color w:val="000000"/>
          <w:sz w:val="32"/>
          <w:szCs w:val="32"/>
          <w:lang w:val="en-US" w:eastAsia="zh-CN"/>
        </w:rPr>
        <w:t>脱贫攻坚、乡村振兴</w:t>
      </w:r>
      <w:r>
        <w:rPr>
          <w:rFonts w:hint="eastAsia" w:ascii="仿宋_GB2312" w:hAnsi="仿宋_GB2312" w:eastAsia="仿宋_GB2312" w:cs="仿宋_GB2312"/>
          <w:color w:val="000000"/>
          <w:sz w:val="32"/>
          <w:szCs w:val="32"/>
        </w:rPr>
        <w:t>等所需的公务用车燃料费、维修费、过路过桥费、保险费等支出。</w:t>
      </w:r>
    </w:p>
    <w:p>
      <w:pPr>
        <w:keepNext w:val="0"/>
        <w:keepLines w:val="0"/>
        <w:pageBreakBefore w:val="0"/>
        <w:widowControl w:val="0"/>
        <w:numPr>
          <w:ilvl w:val="0"/>
          <w:numId w:val="0"/>
        </w:numPr>
        <w:kinsoku/>
        <w:wordWrap/>
        <w:overflowPunct/>
        <w:topLinePunct w:val="0"/>
        <w:bidi w:val="0"/>
        <w:spacing w:line="600" w:lineRule="exact"/>
        <w:ind w:firstLine="642" w:firstLineChars="200"/>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auto"/>
          <w:sz w:val="32"/>
          <w:szCs w:val="32"/>
          <w:highlight w:val="none"/>
          <w:lang w:val="en-US" w:eastAsia="zh-CN"/>
        </w:rPr>
        <w:t>3.</w:t>
      </w:r>
      <w:r>
        <w:rPr>
          <w:rFonts w:hint="eastAsia" w:ascii="仿宋_GB2312" w:hAnsi="仿宋_GB2312" w:eastAsia="仿宋_GB2312" w:cs="仿宋_GB2312"/>
          <w:b/>
          <w:color w:val="auto"/>
          <w:sz w:val="32"/>
          <w:szCs w:val="32"/>
          <w:highlight w:val="none"/>
        </w:rPr>
        <w:t>公务接待费支出</w:t>
      </w:r>
      <w:r>
        <w:rPr>
          <w:rFonts w:hint="eastAsia" w:ascii="仿宋_GB2312" w:hAnsi="仿宋_GB2312" w:eastAsia="仿宋_GB2312" w:cs="仿宋_GB2312"/>
          <w:color w:val="auto"/>
          <w:sz w:val="32"/>
          <w:szCs w:val="32"/>
          <w:highlight w:val="none"/>
          <w:lang w:val="en-US" w:eastAsia="zh-CN"/>
        </w:rPr>
        <w:t>1.6</w:t>
      </w:r>
      <w:r>
        <w:rPr>
          <w:rFonts w:hint="eastAsia" w:ascii="仿宋_GB2312" w:hAnsi="仿宋_GB2312" w:eastAsia="仿宋_GB2312" w:cs="仿宋_GB2312"/>
          <w:color w:val="auto"/>
          <w:sz w:val="32"/>
          <w:szCs w:val="32"/>
          <w:highlight w:val="none"/>
        </w:rPr>
        <w:t>万元，</w:t>
      </w:r>
      <w:r>
        <w:rPr>
          <w:rStyle w:val="15"/>
          <w:rFonts w:hint="eastAsia" w:ascii="仿宋_GB2312" w:hAnsi="仿宋_GB2312" w:eastAsia="仿宋_GB2312" w:cs="仿宋_GB2312"/>
          <w:b w:val="0"/>
          <w:bCs/>
          <w:color w:val="auto"/>
          <w:sz w:val="32"/>
          <w:szCs w:val="32"/>
          <w:highlight w:val="none"/>
        </w:rPr>
        <w:t>完成预算</w:t>
      </w:r>
      <w:r>
        <w:rPr>
          <w:rStyle w:val="15"/>
          <w:rFonts w:hint="eastAsia" w:ascii="仿宋_GB2312" w:hAnsi="仿宋_GB2312" w:eastAsia="仿宋_GB2312" w:cs="仿宋_GB2312"/>
          <w:b w:val="0"/>
          <w:bCs/>
          <w:color w:val="auto"/>
          <w:sz w:val="32"/>
          <w:szCs w:val="32"/>
          <w:highlight w:val="none"/>
          <w:lang w:val="en-US" w:eastAsia="zh-CN"/>
        </w:rPr>
        <w:t>40</w:t>
      </w:r>
      <w:r>
        <w:rPr>
          <w:rStyle w:val="15"/>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color w:val="auto"/>
          <w:sz w:val="32"/>
          <w:szCs w:val="32"/>
          <w:highlight w:val="none"/>
        </w:rPr>
        <w:t>公务接待费支出决算比20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年减少</w:t>
      </w:r>
      <w:r>
        <w:rPr>
          <w:rFonts w:hint="eastAsia" w:ascii="仿宋_GB2312" w:hAnsi="仿宋_GB2312" w:eastAsia="仿宋_GB2312" w:cs="仿宋_GB2312"/>
          <w:color w:val="auto"/>
          <w:sz w:val="32"/>
          <w:szCs w:val="32"/>
          <w:highlight w:val="none"/>
          <w:lang w:val="en-US" w:eastAsia="zh-CN"/>
        </w:rPr>
        <w:t>0.31</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16.23</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000000"/>
          <w:sz w:val="32"/>
          <w:szCs w:val="32"/>
        </w:rPr>
        <w:t>主要原因是在接待过程中严格执行中央八项规定精神、省委省政府十项规定、市委“六个带头”及其实施细则，控制接待标准，限制陪同人数，接待费开支有所下降。</w:t>
      </w:r>
      <w:bookmarkStart w:id="40" w:name="_Toc15396610"/>
      <w:bookmarkStart w:id="41" w:name="_Toc15377218"/>
      <w:r>
        <w:rPr>
          <w:rFonts w:hint="eastAsia" w:ascii="仿宋_GB2312" w:hAnsi="仿宋_GB2312" w:eastAsia="仿宋_GB2312" w:cs="仿宋_GB2312"/>
          <w:color w:val="auto"/>
          <w:sz w:val="32"/>
          <w:szCs w:val="32"/>
          <w:highlight w:val="none"/>
        </w:rPr>
        <w:t>其中：</w:t>
      </w:r>
      <w:r>
        <w:rPr>
          <w:rFonts w:hint="eastAsia" w:ascii="仿宋_GB2312" w:hAnsi="仿宋_GB2312" w:eastAsia="仿宋_GB2312" w:cs="仿宋_GB2312"/>
          <w:b/>
          <w:color w:val="auto"/>
          <w:sz w:val="32"/>
          <w:szCs w:val="32"/>
          <w:highlight w:val="none"/>
        </w:rPr>
        <w:t>国内公务接待支出</w:t>
      </w:r>
      <w:r>
        <w:rPr>
          <w:rFonts w:hint="eastAsia" w:ascii="仿宋_GB2312" w:hAnsi="仿宋_GB2312" w:eastAsia="仿宋_GB2312" w:cs="仿宋_GB2312"/>
          <w:color w:val="auto"/>
          <w:sz w:val="32"/>
          <w:szCs w:val="32"/>
          <w:highlight w:val="none"/>
          <w:lang w:val="en-US" w:eastAsia="zh-CN"/>
        </w:rPr>
        <w:t>1.6</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000000"/>
          <w:sz w:val="32"/>
          <w:szCs w:val="32"/>
        </w:rPr>
        <w:t>主要用于执行公务、开展业务活动开支的用餐费等</w:t>
      </w:r>
      <w:r>
        <w:rPr>
          <w:rFonts w:hint="eastAsia" w:ascii="仿宋_GB2312" w:hAnsi="仿宋_GB2312" w:eastAsia="仿宋_GB2312" w:cs="仿宋_GB2312"/>
          <w:color w:val="auto"/>
          <w:sz w:val="32"/>
          <w:szCs w:val="32"/>
          <w:highlight w:val="none"/>
        </w:rPr>
        <w:t>。国内公务接待</w:t>
      </w:r>
      <w:r>
        <w:rPr>
          <w:rFonts w:hint="eastAsia" w:ascii="仿宋_GB2312" w:hAnsi="仿宋_GB2312" w:eastAsia="仿宋_GB2312" w:cs="仿宋_GB2312"/>
          <w:color w:val="auto"/>
          <w:sz w:val="32"/>
          <w:szCs w:val="32"/>
          <w:highlight w:val="none"/>
          <w:lang w:val="en-US" w:eastAsia="zh-CN"/>
        </w:rPr>
        <w:t>19</w:t>
      </w:r>
      <w:r>
        <w:rPr>
          <w:rFonts w:hint="eastAsia" w:ascii="仿宋_GB2312" w:hAnsi="仿宋_GB2312" w:eastAsia="仿宋_GB2312" w:cs="仿宋_GB2312"/>
          <w:color w:val="auto"/>
          <w:sz w:val="32"/>
          <w:szCs w:val="32"/>
          <w:highlight w:val="none"/>
        </w:rPr>
        <w:t>批次，</w:t>
      </w:r>
      <w:r>
        <w:rPr>
          <w:rFonts w:hint="eastAsia" w:ascii="仿宋_GB2312" w:hAnsi="仿宋_GB2312" w:eastAsia="仿宋_GB2312" w:cs="仿宋_GB2312"/>
          <w:color w:val="auto"/>
          <w:sz w:val="32"/>
          <w:szCs w:val="32"/>
          <w:highlight w:val="none"/>
          <w:lang w:val="en-US" w:eastAsia="zh-CN"/>
        </w:rPr>
        <w:t>156</w:t>
      </w:r>
      <w:r>
        <w:rPr>
          <w:rFonts w:hint="eastAsia" w:ascii="仿宋_GB2312" w:hAnsi="仿宋_GB2312" w:eastAsia="仿宋_GB2312" w:cs="仿宋_GB2312"/>
          <w:color w:val="auto"/>
          <w:sz w:val="32"/>
          <w:szCs w:val="32"/>
          <w:highlight w:val="none"/>
        </w:rPr>
        <w:t>人次（不包括陪同人员），共计支出</w:t>
      </w:r>
      <w:r>
        <w:rPr>
          <w:rFonts w:hint="eastAsia" w:ascii="仿宋_GB2312" w:hAnsi="仿宋_GB2312" w:eastAsia="仿宋_GB2312" w:cs="仿宋_GB2312"/>
          <w:color w:val="auto"/>
          <w:sz w:val="32"/>
          <w:szCs w:val="32"/>
          <w:highlight w:val="none"/>
          <w:lang w:val="en-US" w:eastAsia="zh-CN"/>
        </w:rPr>
        <w:t>1.6</w:t>
      </w:r>
      <w:r>
        <w:rPr>
          <w:rFonts w:hint="eastAsia" w:ascii="仿宋_GB2312" w:hAnsi="仿宋_GB2312" w:eastAsia="仿宋_GB2312" w:cs="仿宋_GB2312"/>
          <w:color w:val="auto"/>
          <w:sz w:val="32"/>
          <w:szCs w:val="32"/>
          <w:highlight w:val="none"/>
        </w:rPr>
        <w:t>万元，具体内容包括：</w:t>
      </w:r>
      <w:r>
        <w:rPr>
          <w:rFonts w:hint="eastAsia" w:ascii="仿宋_GB2312" w:hAnsi="仿宋_GB2312" w:eastAsia="仿宋_GB2312" w:cs="仿宋_GB2312"/>
          <w:color w:val="000000"/>
          <w:sz w:val="32"/>
          <w:szCs w:val="32"/>
        </w:rPr>
        <w:t>省财政厅及上级部门各类检查调研、县区财政局来我局交流</w:t>
      </w:r>
      <w:r>
        <w:rPr>
          <w:rFonts w:hint="eastAsia" w:ascii="仿宋_GB2312" w:hAnsi="仿宋_GB2312" w:eastAsia="仿宋_GB2312" w:cs="仿宋_GB2312"/>
          <w:sz w:val="32"/>
          <w:szCs w:val="32"/>
        </w:rPr>
        <w:t>汇报等</w:t>
      </w:r>
      <w:r>
        <w:rPr>
          <w:rFonts w:hint="eastAsia" w:ascii="仿宋_GB2312" w:hAnsi="仿宋_GB2312" w:eastAsia="仿宋_GB2312" w:cs="仿宋_GB2312"/>
          <w:color w:val="000000"/>
          <w:sz w:val="32"/>
          <w:szCs w:val="32"/>
        </w:rPr>
        <w:t>。</w:t>
      </w:r>
    </w:p>
    <w:p>
      <w:pPr>
        <w:keepNext w:val="0"/>
        <w:keepLines w:val="0"/>
        <w:pageBreakBefore w:val="0"/>
        <w:widowControl w:val="0"/>
        <w:numPr>
          <w:ilvl w:val="0"/>
          <w:numId w:val="0"/>
        </w:numPr>
        <w:kinsoku/>
        <w:wordWrap/>
        <w:overflowPunct/>
        <w:topLinePunct w:val="0"/>
        <w:bidi w:val="0"/>
        <w:spacing w:line="600" w:lineRule="exact"/>
        <w:ind w:firstLine="640" w:firstLineChars="200"/>
        <w:outlineLvl w:val="1"/>
        <w:rPr>
          <w:rStyle w:val="26"/>
          <w:rFonts w:ascii="黑体" w:hAnsi="黑体" w:eastAsia="黑体"/>
          <w:color w:val="auto"/>
          <w:highlight w:val="none"/>
        </w:rPr>
      </w:pPr>
      <w:r>
        <w:rPr>
          <w:rFonts w:hint="eastAsia" w:ascii="黑体" w:eastAsia="黑体"/>
          <w:color w:val="auto"/>
          <w:sz w:val="32"/>
          <w:szCs w:val="32"/>
          <w:highlight w:val="none"/>
        </w:rPr>
        <w:t>八、</w:t>
      </w:r>
      <w:r>
        <w:rPr>
          <w:rStyle w:val="26"/>
          <w:rFonts w:hint="eastAsia" w:ascii="黑体" w:hAnsi="黑体" w:eastAsia="黑体"/>
          <w:b w:val="0"/>
          <w:color w:val="auto"/>
          <w:highlight w:val="none"/>
        </w:rPr>
        <w:t>政府性基金预算支出决算情况说明</w:t>
      </w:r>
      <w:bookmarkEnd w:id="40"/>
      <w:bookmarkEnd w:id="41"/>
    </w:p>
    <w:p>
      <w:pPr>
        <w:keepNext w:val="0"/>
        <w:keepLines w:val="0"/>
        <w:pageBreakBefore w:val="0"/>
        <w:widowControl w:val="0"/>
        <w:kinsoku/>
        <w:wordWrap/>
        <w:overflowPunct/>
        <w:topLinePunct w:val="0"/>
        <w:bidi w:val="0"/>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hAnsi="仿宋_GB2312" w:eastAsia="仿宋_GB2312" w:cs="仿宋_GB2312"/>
          <w:color w:val="000000"/>
          <w:sz w:val="32"/>
          <w:szCs w:val="32"/>
          <w:highlight w:val="none"/>
        </w:rPr>
        <w:t>202</w:t>
      </w: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年本单位未在政府性基金预算拨款安排“三公”经费支出。</w:t>
      </w:r>
    </w:p>
    <w:p>
      <w:pPr>
        <w:keepNext w:val="0"/>
        <w:keepLines w:val="0"/>
        <w:pageBreakBefore w:val="0"/>
        <w:widowControl w:val="0"/>
        <w:numPr>
          <w:ilvl w:val="0"/>
          <w:numId w:val="1"/>
        </w:numPr>
        <w:kinsoku/>
        <w:wordWrap/>
        <w:overflowPunct/>
        <w:topLinePunct w:val="0"/>
        <w:bidi w:val="0"/>
        <w:spacing w:line="600" w:lineRule="exact"/>
        <w:ind w:firstLine="640"/>
        <w:outlineLvl w:val="1"/>
        <w:rPr>
          <w:rStyle w:val="26"/>
          <w:rFonts w:ascii="黑体" w:hAnsi="黑体" w:eastAsia="黑体"/>
          <w:b w:val="0"/>
          <w:color w:val="auto"/>
          <w:highlight w:val="none"/>
        </w:rPr>
      </w:pPr>
      <w:bookmarkStart w:id="42" w:name="_Toc15396611"/>
      <w:bookmarkStart w:id="43" w:name="_Toc15377219"/>
      <w:r>
        <w:rPr>
          <w:rStyle w:val="26"/>
          <w:rFonts w:hint="eastAsia" w:ascii="黑体" w:hAnsi="黑体" w:eastAsia="黑体"/>
          <w:b w:val="0"/>
          <w:color w:val="auto"/>
          <w:highlight w:val="none"/>
        </w:rPr>
        <w:t>国有资本经营预算支出决算情况说明</w:t>
      </w:r>
      <w:bookmarkEnd w:id="42"/>
      <w:bookmarkEnd w:id="43"/>
    </w:p>
    <w:p>
      <w:pPr>
        <w:keepNext w:val="0"/>
        <w:keepLines w:val="0"/>
        <w:pageBreakBefore w:val="0"/>
        <w:widowControl w:val="0"/>
        <w:kinsoku/>
        <w:wordWrap/>
        <w:overflowPunct/>
        <w:topLinePunct w:val="0"/>
        <w:bidi w:val="0"/>
        <w:spacing w:line="600" w:lineRule="exact"/>
        <w:ind w:firstLine="640"/>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keepNext w:val="0"/>
        <w:keepLines w:val="0"/>
        <w:pageBreakBefore w:val="0"/>
        <w:widowControl w:val="0"/>
        <w:numPr>
          <w:ilvl w:val="0"/>
          <w:numId w:val="1"/>
        </w:numPr>
        <w:kinsoku/>
        <w:wordWrap/>
        <w:overflowPunct/>
        <w:topLinePunct w:val="0"/>
        <w:bidi w:val="0"/>
        <w:spacing w:line="600" w:lineRule="exact"/>
        <w:ind w:firstLine="640"/>
        <w:outlineLvl w:val="1"/>
        <w:rPr>
          <w:rStyle w:val="26"/>
          <w:rFonts w:hint="eastAsia" w:ascii="黑体" w:hAnsi="黑体" w:eastAsia="黑体"/>
          <w:b w:val="0"/>
          <w:color w:val="auto"/>
          <w:highlight w:val="none"/>
        </w:rPr>
      </w:pPr>
      <w:bookmarkStart w:id="44" w:name="_Toc15377221"/>
      <w:bookmarkStart w:id="45" w:name="_Toc15396612"/>
      <w:r>
        <w:rPr>
          <w:rStyle w:val="26"/>
          <w:rFonts w:hint="eastAsia" w:ascii="黑体" w:hAnsi="黑体" w:eastAsia="黑体"/>
          <w:b w:val="0"/>
          <w:color w:val="auto"/>
          <w:highlight w:val="none"/>
          <w:lang w:val="en-US" w:eastAsia="zh-CN"/>
        </w:rPr>
        <w:t>预算绩效管理情况</w:t>
      </w:r>
    </w:p>
    <w:p>
      <w:pPr>
        <w:keepNext w:val="0"/>
        <w:keepLines w:val="0"/>
        <w:pageBreakBefore w:val="0"/>
        <w:widowControl w:val="0"/>
        <w:kinsoku/>
        <w:wordWrap/>
        <w:overflowPunct/>
        <w:topLinePunct w:val="0"/>
        <w:bidi w:val="0"/>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根据预算绩效管理要求，本单位在</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rPr>
        <w:t>预算编制阶段，组织对财政管理专项工作经费项目</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lang w:val="en-US" w:eastAsia="zh-CN"/>
        </w:rPr>
        <w:t>13个项目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13</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13</w:t>
      </w:r>
      <w:r>
        <w:rPr>
          <w:rFonts w:hint="eastAsia" w:ascii="仿宋_GB2312" w:hAnsi="仿宋_GB2312" w:eastAsia="仿宋_GB2312" w:cs="仿宋_GB2312"/>
          <w:color w:val="auto"/>
          <w:sz w:val="32"/>
          <w:szCs w:val="32"/>
          <w:highlight w:val="none"/>
        </w:rPr>
        <w:t>个项目开展绩效监控，年终执行完毕后，对</w:t>
      </w:r>
      <w:r>
        <w:rPr>
          <w:rFonts w:hint="eastAsia" w:ascii="仿宋_GB2312" w:hAnsi="仿宋_GB2312" w:eastAsia="仿宋_GB2312" w:cs="仿宋_GB2312"/>
          <w:color w:val="auto"/>
          <w:sz w:val="32"/>
          <w:szCs w:val="32"/>
          <w:highlight w:val="none"/>
          <w:lang w:val="en-US" w:eastAsia="zh-CN"/>
        </w:rPr>
        <w:t>13</w:t>
      </w:r>
      <w:r>
        <w:rPr>
          <w:rFonts w:hint="eastAsia" w:ascii="仿宋_GB2312" w:hAnsi="仿宋_GB2312" w:eastAsia="仿宋_GB2312" w:cs="仿宋_GB2312"/>
          <w:color w:val="auto"/>
          <w:sz w:val="32"/>
          <w:szCs w:val="32"/>
          <w:highlight w:val="none"/>
        </w:rPr>
        <w:t>个项目开展了绩效自评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2021年部门预算项目绩效目标自评表见附件（第四部分）</w:t>
      </w:r>
      <w:r>
        <w:rPr>
          <w:rFonts w:hint="eastAsia" w:ascii="仿宋_GB2312" w:hAnsi="仿宋_GB2312" w:eastAsia="仿宋_GB2312" w:cs="仿宋_GB2312"/>
          <w:color w:val="auto"/>
          <w:sz w:val="32"/>
          <w:szCs w:val="32"/>
          <w:highlight w:val="none"/>
        </w:rPr>
        <w:t>。</w:t>
      </w:r>
    </w:p>
    <w:p>
      <w:pPr>
        <w:keepNext w:val="0"/>
        <w:keepLines w:val="0"/>
        <w:pageBreakBefore w:val="0"/>
        <w:widowControl w:val="0"/>
        <w:numPr>
          <w:ilvl w:val="0"/>
          <w:numId w:val="1"/>
        </w:numPr>
        <w:kinsoku/>
        <w:wordWrap/>
        <w:overflowPunct/>
        <w:topLinePunct w:val="0"/>
        <w:bidi w:val="0"/>
        <w:spacing w:line="600" w:lineRule="exact"/>
        <w:ind w:firstLine="640"/>
        <w:outlineLvl w:val="1"/>
        <w:rPr>
          <w:rStyle w:val="26"/>
          <w:rFonts w:hint="eastAsia" w:ascii="黑体" w:hAnsi="黑体" w:eastAsia="黑体"/>
          <w:b w:val="0"/>
          <w:color w:val="auto"/>
          <w:highlight w:val="none"/>
        </w:rPr>
      </w:pPr>
      <w:r>
        <w:rPr>
          <w:rStyle w:val="26"/>
          <w:rFonts w:hint="eastAsia" w:ascii="黑体" w:hAnsi="黑体" w:eastAsia="黑体"/>
          <w:b w:val="0"/>
          <w:color w:val="auto"/>
          <w:highlight w:val="none"/>
        </w:rPr>
        <w:t>其他重要事项的情况说明</w:t>
      </w:r>
      <w:bookmarkEnd w:id="44"/>
      <w:bookmarkEnd w:id="45"/>
    </w:p>
    <w:p>
      <w:pPr>
        <w:keepNext w:val="0"/>
        <w:keepLines w:val="0"/>
        <w:pageBreakBefore w:val="0"/>
        <w:widowControl w:val="0"/>
        <w:kinsoku/>
        <w:wordWrap/>
        <w:overflowPunct/>
        <w:topLinePunct w:val="0"/>
        <w:bidi w:val="0"/>
        <w:spacing w:line="600" w:lineRule="exact"/>
        <w:ind w:firstLine="640" w:firstLineChars="200"/>
        <w:outlineLvl w:val="2"/>
        <w:rPr>
          <w:rFonts w:hint="eastAsia" w:ascii="楷体_GB2312" w:hAnsi="楷体_GB2312" w:eastAsia="楷体_GB2312" w:cs="楷体_GB2312"/>
          <w:b w:val="0"/>
          <w:bCs/>
          <w:color w:val="auto"/>
          <w:sz w:val="32"/>
          <w:szCs w:val="32"/>
          <w:highlight w:val="none"/>
        </w:rPr>
      </w:pPr>
      <w:bookmarkStart w:id="46" w:name="_Toc15377222"/>
      <w:r>
        <w:rPr>
          <w:rFonts w:hint="eastAsia" w:ascii="楷体_GB2312" w:hAnsi="楷体_GB2312" w:eastAsia="楷体_GB2312" w:cs="楷体_GB2312"/>
          <w:b w:val="0"/>
          <w:bCs/>
          <w:color w:val="auto"/>
          <w:sz w:val="32"/>
          <w:szCs w:val="32"/>
          <w:highlight w:val="none"/>
        </w:rPr>
        <w:t>（一）机关运行经费支出情况</w:t>
      </w:r>
      <w:bookmarkEnd w:id="46"/>
    </w:p>
    <w:p>
      <w:pPr>
        <w:keepNext w:val="0"/>
        <w:keepLines w:val="0"/>
        <w:pageBreakBefore w:val="0"/>
        <w:widowControl w:val="0"/>
        <w:kinsoku/>
        <w:wordWrap/>
        <w:overflowPunct/>
        <w:topLinePunct w:val="0"/>
        <w:bidi w:val="0"/>
        <w:spacing w:line="600" w:lineRule="exact"/>
        <w:ind w:firstLine="640" w:firstLineChars="200"/>
        <w:rPr>
          <w:rFonts w:ascii="仿宋" w:hAnsi="仿宋" w:eastAsia="仿宋"/>
          <w:b/>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广元市财政局</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383.72</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106.7</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38.52</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主要原因</w:t>
      </w:r>
      <w:r>
        <w:rPr>
          <w:rFonts w:hint="eastAsia" w:ascii="仿宋_GB2312" w:eastAsia="仿宋_GB2312"/>
          <w:color w:val="auto"/>
          <w:sz w:val="32"/>
          <w:szCs w:val="32"/>
          <w:highlight w:val="none"/>
          <w:lang w:val="en-US" w:eastAsia="zh-CN"/>
        </w:rPr>
        <w:t>一是人员增加引起的运行经费增加；二是2020年年末下达的经费结转到2021年实现支出。</w:t>
      </w:r>
    </w:p>
    <w:p>
      <w:pPr>
        <w:keepNext w:val="0"/>
        <w:keepLines w:val="0"/>
        <w:pageBreakBefore w:val="0"/>
        <w:widowControl w:val="0"/>
        <w:kinsoku/>
        <w:wordWrap/>
        <w:overflowPunct/>
        <w:topLinePunct w:val="0"/>
        <w:autoSpaceDE w:val="0"/>
        <w:autoSpaceDN w:val="0"/>
        <w:bidi w:val="0"/>
        <w:adjustRightInd w:val="0"/>
        <w:spacing w:line="600" w:lineRule="exact"/>
        <w:ind w:firstLine="640" w:firstLineChars="200"/>
        <w:jc w:val="left"/>
        <w:outlineLvl w:val="2"/>
        <w:rPr>
          <w:rFonts w:hint="eastAsia" w:ascii="楷体_GB2312" w:hAnsi="楷体_GB2312" w:eastAsia="楷体_GB2312" w:cs="楷体_GB2312"/>
          <w:b w:val="0"/>
          <w:bCs/>
          <w:color w:val="auto"/>
          <w:sz w:val="32"/>
          <w:szCs w:val="32"/>
          <w:highlight w:val="none"/>
        </w:rPr>
      </w:pPr>
      <w:bookmarkStart w:id="47" w:name="_Toc15377223"/>
      <w:r>
        <w:rPr>
          <w:rFonts w:hint="eastAsia" w:ascii="楷体_GB2312" w:hAnsi="楷体_GB2312" w:eastAsia="楷体_GB2312" w:cs="楷体_GB2312"/>
          <w:b w:val="0"/>
          <w:bCs/>
          <w:color w:val="auto"/>
          <w:sz w:val="32"/>
          <w:szCs w:val="32"/>
          <w:highlight w:val="none"/>
        </w:rPr>
        <w:t>（二）政府采购支出情况</w:t>
      </w:r>
      <w:bookmarkEnd w:id="47"/>
    </w:p>
    <w:p>
      <w:pPr>
        <w:keepNext w:val="0"/>
        <w:keepLines w:val="0"/>
        <w:pageBreakBefore w:val="0"/>
        <w:widowControl w:val="0"/>
        <w:kinsoku/>
        <w:wordWrap/>
        <w:overflowPunct/>
        <w:topLinePunct w:val="0"/>
        <w:bidi w:val="0"/>
        <w:spacing w:line="600" w:lineRule="exact"/>
        <w:ind w:firstLine="640" w:firstLineChars="200"/>
        <w:rPr>
          <w:rFonts w:ascii="仿宋" w:hAnsi="仿宋" w:eastAsia="仿宋"/>
          <w:b/>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广元市财政局</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108.45</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108.45</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eastAsia="zh-CN"/>
        </w:rPr>
        <w:t>网络安全及信息化建设、</w:t>
      </w:r>
      <w:r>
        <w:rPr>
          <w:rFonts w:hint="eastAsia" w:ascii="仿宋_GB2312" w:eastAsia="仿宋_GB2312"/>
          <w:color w:val="auto"/>
          <w:sz w:val="32"/>
          <w:szCs w:val="32"/>
          <w:highlight w:val="none"/>
          <w:lang w:val="en-US" w:eastAsia="zh-CN"/>
        </w:rPr>
        <w:t>办公设备采购等</w:t>
      </w:r>
      <w:r>
        <w:rPr>
          <w:rFonts w:hint="eastAsia" w:ascii="仿宋_GB2312" w:eastAsia="仿宋_GB2312"/>
          <w:color w:val="auto"/>
          <w:sz w:val="32"/>
          <w:szCs w:val="32"/>
          <w:highlight w:val="none"/>
        </w:rPr>
        <w:t>。授予中小企业合同金额</w:t>
      </w:r>
      <w:r>
        <w:rPr>
          <w:rFonts w:hint="eastAsia" w:ascii="仿宋_GB2312" w:eastAsia="仿宋_GB2312"/>
          <w:color w:val="auto"/>
          <w:sz w:val="32"/>
          <w:szCs w:val="32"/>
          <w:highlight w:val="none"/>
          <w:lang w:val="en-US" w:eastAsia="zh-CN"/>
        </w:rPr>
        <w:t>108.45</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108.45</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keepNext w:val="0"/>
        <w:keepLines w:val="0"/>
        <w:pageBreakBefore w:val="0"/>
        <w:widowControl w:val="0"/>
        <w:kinsoku/>
        <w:wordWrap/>
        <w:overflowPunct/>
        <w:topLinePunct w:val="0"/>
        <w:autoSpaceDE w:val="0"/>
        <w:autoSpaceDN w:val="0"/>
        <w:bidi w:val="0"/>
        <w:adjustRightInd w:val="0"/>
        <w:spacing w:line="600" w:lineRule="exact"/>
        <w:ind w:firstLine="640" w:firstLineChars="200"/>
        <w:jc w:val="left"/>
        <w:outlineLvl w:val="2"/>
        <w:rPr>
          <w:rFonts w:hint="eastAsia" w:ascii="楷体_GB2312" w:hAnsi="楷体_GB2312" w:eastAsia="楷体_GB2312" w:cs="楷体_GB2312"/>
          <w:b w:val="0"/>
          <w:bCs/>
          <w:color w:val="auto"/>
          <w:sz w:val="32"/>
          <w:szCs w:val="32"/>
          <w:highlight w:val="none"/>
        </w:rPr>
      </w:pPr>
      <w:bookmarkStart w:id="48" w:name="_Toc15377224"/>
      <w:r>
        <w:rPr>
          <w:rFonts w:hint="eastAsia" w:ascii="楷体_GB2312" w:hAnsi="楷体_GB2312" w:eastAsia="楷体_GB2312" w:cs="楷体_GB2312"/>
          <w:b w:val="0"/>
          <w:bCs/>
          <w:color w:val="auto"/>
          <w:sz w:val="32"/>
          <w:szCs w:val="32"/>
          <w:highlight w:val="none"/>
        </w:rPr>
        <w:t>（三）国有资产占有使用情况</w:t>
      </w:r>
      <w:bookmarkEnd w:id="48"/>
    </w:p>
    <w:p>
      <w:pPr>
        <w:keepNext w:val="0"/>
        <w:keepLines w:val="0"/>
        <w:pageBreakBefore w:val="0"/>
        <w:widowControl w:val="0"/>
        <w:kinsoku/>
        <w:wordWrap/>
        <w:overflowPunct/>
        <w:topLinePunct w:val="0"/>
        <w:autoSpaceDE w:val="0"/>
        <w:autoSpaceDN w:val="0"/>
        <w:bidi w:val="0"/>
        <w:adjustRightInd w:val="0"/>
        <w:spacing w:line="600" w:lineRule="exact"/>
        <w:ind w:firstLine="640" w:firstLineChars="200"/>
        <w:jc w:val="left"/>
        <w:rPr>
          <w:highlight w:val="yellow"/>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val="en-US" w:eastAsia="zh-CN"/>
        </w:rPr>
        <w:t>广元市财政局</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辆，其中：其他用车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其他用车主要是用于</w:t>
      </w:r>
      <w:r>
        <w:rPr>
          <w:rFonts w:hint="eastAsia" w:ascii="仿宋_GB2312" w:eastAsia="仿宋_GB2312"/>
          <w:color w:val="000000"/>
          <w:sz w:val="32"/>
          <w:szCs w:val="32"/>
        </w:rPr>
        <w:t>一般公务</w:t>
      </w:r>
      <w:r>
        <w:rPr>
          <w:rFonts w:hint="eastAsia" w:ascii="仿宋_GB2312" w:eastAsia="仿宋_GB2312"/>
          <w:color w:val="000000"/>
          <w:sz w:val="32"/>
          <w:szCs w:val="32"/>
          <w:lang w:val="en-US" w:eastAsia="zh-CN"/>
        </w:rPr>
        <w:t>出行。</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keepNext w:val="0"/>
        <w:keepLines w:val="0"/>
        <w:pageBreakBefore w:val="0"/>
        <w:widowControl w:val="0"/>
        <w:kinsoku/>
        <w:wordWrap/>
        <w:overflowPunct/>
        <w:topLinePunct w:val="0"/>
        <w:bidi w:val="0"/>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pStyle w:val="3"/>
        <w:keepNext w:val="0"/>
        <w:keepLines w:val="0"/>
        <w:pageBreakBefore w:val="0"/>
        <w:widowControl w:val="0"/>
        <w:kinsoku/>
        <w:wordWrap/>
        <w:overflowPunct/>
        <w:topLinePunct w:val="0"/>
        <w:autoSpaceDE/>
        <w:autoSpaceDN/>
        <w:bidi w:val="0"/>
        <w:adjustRightInd/>
        <w:snapToGrid/>
        <w:spacing w:before="157" w:beforeLines="50" w:after="469" w:afterLines="150" w:line="576" w:lineRule="exact"/>
        <w:jc w:val="center"/>
        <w:textAlignment w:val="auto"/>
        <w:rPr>
          <w:rFonts w:hint="eastAsia" w:ascii="方正小标宋简体" w:hAnsi="方正小标宋简体" w:eastAsia="方正小标宋简体" w:cs="方正小标宋简体"/>
          <w:b w:val="0"/>
          <w:color w:val="auto"/>
          <w:sz w:val="44"/>
          <w:szCs w:val="44"/>
          <w:highlight w:val="none"/>
        </w:rPr>
      </w:pPr>
      <w:bookmarkStart w:id="49" w:name="_Toc15396613"/>
      <w:bookmarkStart w:id="50" w:name="_Toc15377225"/>
      <w:r>
        <w:rPr>
          <w:rFonts w:hint="eastAsia" w:ascii="方正小标宋简体" w:hAnsi="方正小标宋简体" w:eastAsia="方正小标宋简体" w:cs="方正小标宋简体"/>
          <w:b w:val="0"/>
          <w:color w:val="auto"/>
          <w:sz w:val="44"/>
          <w:szCs w:val="44"/>
          <w:highlight w:val="none"/>
          <w:lang w:eastAsia="zh-CN"/>
        </w:rPr>
        <w:t>第三部分</w:t>
      </w:r>
      <w:r>
        <w:rPr>
          <w:rFonts w:hint="eastAsia" w:ascii="方正小标宋简体" w:hAnsi="方正小标宋简体" w:eastAsia="方正小标宋简体" w:cs="方正小标宋简体"/>
          <w:b w:val="0"/>
          <w:color w:val="auto"/>
          <w:sz w:val="44"/>
          <w:szCs w:val="44"/>
          <w:highlight w:val="none"/>
          <w:lang w:val="en-US" w:eastAsia="zh-CN"/>
        </w:rPr>
        <w:t xml:space="preserve"> </w:t>
      </w:r>
      <w:r>
        <w:rPr>
          <w:rFonts w:hint="eastAsia" w:ascii="方正小标宋简体" w:hAnsi="方正小标宋简体" w:eastAsia="方正小标宋简体" w:cs="方正小标宋简体"/>
          <w:b w:val="0"/>
          <w:color w:val="auto"/>
          <w:sz w:val="44"/>
          <w:szCs w:val="44"/>
          <w:highlight w:val="none"/>
        </w:rPr>
        <w:t>名词解释</w:t>
      </w:r>
      <w:bookmarkEnd w:id="49"/>
      <w:bookmarkEnd w:id="50"/>
    </w:p>
    <w:p>
      <w:pPr>
        <w:pStyle w:val="23"/>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3"/>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其他收入：指单位取得的除上述收入以外的各项收入。主要是</w:t>
      </w:r>
      <w:r>
        <w:rPr>
          <w:rFonts w:hint="eastAsia" w:ascii="仿宋_GB2312" w:eastAsia="仿宋_GB2312"/>
          <w:color w:val="auto"/>
          <w:sz w:val="32"/>
          <w:szCs w:val="32"/>
          <w:highlight w:val="none"/>
          <w:lang w:val="en-US" w:eastAsia="zh-CN"/>
        </w:rPr>
        <w:t>利息收入、疫情防控专项收入</w:t>
      </w:r>
      <w:r>
        <w:rPr>
          <w:rFonts w:hint="eastAsia" w:ascii="仿宋_GB2312" w:eastAsia="仿宋_GB2312"/>
          <w:color w:val="auto"/>
          <w:sz w:val="32"/>
          <w:szCs w:val="32"/>
          <w:highlight w:val="none"/>
        </w:rPr>
        <w:t>等。</w:t>
      </w:r>
      <w:r>
        <w:rPr>
          <w:rFonts w:ascii="仿宋_GB2312" w:eastAsia="仿宋_GB2312"/>
          <w:color w:val="auto"/>
          <w:sz w:val="32"/>
          <w:szCs w:val="32"/>
          <w:highlight w:val="none"/>
        </w:rPr>
        <w:t xml:space="preserve"> </w:t>
      </w:r>
    </w:p>
    <w:p>
      <w:pPr>
        <w:pStyle w:val="23"/>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ascii="仿宋_GB2312" w:eastAsia="仿宋_GB2312"/>
          <w:color w:val="auto"/>
          <w:sz w:val="32"/>
          <w:szCs w:val="32"/>
          <w:highlight w:val="none"/>
        </w:rPr>
        <w:t>.</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23"/>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4</w:t>
      </w:r>
      <w:r>
        <w:rPr>
          <w:rFonts w:ascii="仿宋_GB2312" w:eastAsia="仿宋_GB2312"/>
          <w:color w:val="auto"/>
          <w:sz w:val="32"/>
          <w:szCs w:val="32"/>
          <w:highlight w:val="none"/>
        </w:rPr>
        <w:t>.</w:t>
      </w:r>
      <w:r>
        <w:rPr>
          <w:rFonts w:hint="eastAsia" w:ascii="仿宋_GB2312" w:eastAsia="仿宋_GB2312"/>
          <w:color w:val="auto"/>
          <w:sz w:val="32"/>
          <w:szCs w:val="32"/>
          <w:highlight w:val="none"/>
        </w:rPr>
        <w:t>年末结转和结余：指单位按有关规定结转到下年或以后年度继续使用的资金。</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rPr>
        <w:t>5.一般公共服务（类）</w:t>
      </w:r>
      <w:r>
        <w:rPr>
          <w:rFonts w:hint="eastAsia" w:ascii="仿宋_GB2312" w:hAnsi="仿宋_GB2312" w:eastAsia="仿宋_GB2312" w:cs="仿宋_GB2312"/>
          <w:color w:val="auto"/>
          <w:sz w:val="32"/>
          <w:szCs w:val="32"/>
          <w:shd w:val="clear" w:color="auto" w:fill="FFFFFF"/>
        </w:rPr>
        <w:t>财政事务（款）行政运行（项）：指局机关用于保障机构正常运行、开展日常工作的基本支出。</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6.一般公共服务（类）财政事务（款）一般行政管理事务（项）：指局机关开展财政综合业务专门性财政管理工作的项目支出。</w:t>
      </w:r>
    </w:p>
    <w:p>
      <w:pPr>
        <w:pStyle w:val="6"/>
        <w:keepNext w:val="0"/>
        <w:keepLines w:val="0"/>
        <w:pageBreakBefore w:val="0"/>
        <w:widowControl w:val="0"/>
        <w:kinsoku/>
        <w:wordWrap/>
        <w:overflowPunct/>
        <w:topLinePunct w:val="0"/>
        <w:bidi w:val="0"/>
        <w:snapToGrid/>
        <w:spacing w:beforeLines="0" w:line="576" w:lineRule="exact"/>
        <w:ind w:firstLine="640" w:firstLineChars="200"/>
        <w:textAlignment w:val="auto"/>
        <w:rPr>
          <w:rFonts w:hint="default" w:eastAsia="仿宋_GB2312"/>
          <w:color w:val="auto"/>
          <w:sz w:val="32"/>
          <w:szCs w:val="32"/>
          <w:lang w:val="en-US" w:eastAsia="zh-CN"/>
        </w:rPr>
      </w:pPr>
      <w:r>
        <w:rPr>
          <w:rFonts w:hint="eastAsia" w:hAnsi="仿宋_GB2312" w:cs="仿宋_GB2312"/>
          <w:color w:val="auto"/>
          <w:sz w:val="32"/>
          <w:szCs w:val="32"/>
          <w:shd w:val="clear" w:color="auto" w:fill="FFFFFF"/>
          <w:lang w:val="en-US" w:eastAsia="zh-CN"/>
        </w:rPr>
        <w:t>7</w:t>
      </w:r>
      <w:r>
        <w:rPr>
          <w:rFonts w:hint="eastAsia" w:ascii="仿宋_GB2312" w:hAnsi="仿宋_GB2312" w:eastAsia="仿宋_GB2312" w:cs="仿宋_GB2312"/>
          <w:color w:val="auto"/>
          <w:sz w:val="32"/>
          <w:szCs w:val="32"/>
          <w:shd w:val="clear" w:color="auto" w:fill="FFFFFF"/>
        </w:rPr>
        <w:t>.一般公共服务（类）财政事务（款）</w:t>
      </w:r>
      <w:r>
        <w:rPr>
          <w:rFonts w:hint="eastAsia" w:hAnsi="仿宋_GB2312" w:cs="仿宋_GB2312"/>
          <w:color w:val="auto"/>
          <w:sz w:val="32"/>
          <w:szCs w:val="32"/>
          <w:shd w:val="clear" w:color="auto" w:fill="FFFFFF"/>
          <w:lang w:val="en-US" w:eastAsia="zh-CN"/>
        </w:rPr>
        <w:t>机关服务</w:t>
      </w:r>
      <w:r>
        <w:rPr>
          <w:rFonts w:hint="eastAsia" w:ascii="仿宋_GB2312" w:hAnsi="仿宋_GB2312" w:eastAsia="仿宋_GB2312" w:cs="仿宋_GB2312"/>
          <w:color w:val="auto"/>
          <w:sz w:val="32"/>
          <w:szCs w:val="32"/>
          <w:shd w:val="clear" w:color="auto" w:fill="FFFFFF"/>
        </w:rPr>
        <w:t>（项）：</w:t>
      </w:r>
      <w:r>
        <w:rPr>
          <w:rFonts w:hint="eastAsia" w:hAnsi="仿宋_GB2312" w:cs="仿宋_GB2312"/>
          <w:color w:val="auto"/>
          <w:sz w:val="32"/>
          <w:szCs w:val="32"/>
          <w:shd w:val="clear" w:color="auto" w:fill="FFFFFF"/>
          <w:lang w:val="en-US" w:eastAsia="zh-CN"/>
        </w:rPr>
        <w:t>指局机关开展后勤服务管理发生的支出。</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val="en-US" w:eastAsia="zh-CN"/>
        </w:rPr>
        <w:t>8</w:t>
      </w:r>
      <w:r>
        <w:rPr>
          <w:rFonts w:hint="eastAsia" w:ascii="仿宋_GB2312" w:hAnsi="仿宋_GB2312" w:eastAsia="仿宋_GB2312" w:cs="仿宋_GB2312"/>
          <w:color w:val="auto"/>
          <w:sz w:val="32"/>
          <w:szCs w:val="32"/>
          <w:shd w:val="clear" w:color="auto" w:fill="FFFFFF"/>
        </w:rPr>
        <w:t>.一般公共服务（类）财政事务（款）信息化建设（项）：指财政局用于财政信息化建设等方面的项目支出。</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val="en-US" w:eastAsia="zh-CN"/>
        </w:rPr>
        <w:t>9</w:t>
      </w:r>
      <w:r>
        <w:rPr>
          <w:rFonts w:hint="eastAsia" w:ascii="仿宋_GB2312" w:hAnsi="仿宋_GB2312" w:eastAsia="仿宋_GB2312" w:cs="仿宋_GB2312"/>
          <w:color w:val="auto"/>
          <w:sz w:val="32"/>
          <w:szCs w:val="32"/>
          <w:shd w:val="clear" w:color="auto" w:fill="FFFFFF"/>
        </w:rPr>
        <w:t>.一般公共服务（类）财政事务（款）财政委托业务支出（项）：指局机关及事业单位委托评审机构进行财政投资评审业务发生的支出。</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val="en-US" w:eastAsia="zh-CN"/>
        </w:rPr>
        <w:t>10</w:t>
      </w:r>
      <w:r>
        <w:rPr>
          <w:rFonts w:hint="eastAsia" w:ascii="仿宋_GB2312" w:hAnsi="仿宋_GB2312" w:eastAsia="仿宋_GB2312" w:cs="仿宋_GB2312"/>
          <w:color w:val="auto"/>
          <w:sz w:val="32"/>
          <w:szCs w:val="32"/>
          <w:shd w:val="clear" w:color="auto" w:fill="FFFFFF"/>
        </w:rPr>
        <w:t>.一般公共服务（类）财政事务（款）事业运行（项）：指事业单位用于保障机构正常运行、开展日常工作的基本支出。</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eastAsia="仿宋_GB2312"/>
          <w:color w:val="auto"/>
          <w:sz w:val="32"/>
          <w:szCs w:val="32"/>
          <w:lang w:val="en-US" w:eastAsia="zh-CN"/>
        </w:rPr>
      </w:pPr>
      <w:r>
        <w:rPr>
          <w:rFonts w:hint="eastAsia" w:ascii="仿宋_GB2312" w:hAnsi="仿宋_GB2312" w:eastAsia="仿宋_GB2312" w:cs="仿宋_GB2312"/>
          <w:color w:val="auto"/>
          <w:sz w:val="32"/>
          <w:szCs w:val="32"/>
          <w:shd w:val="clear" w:color="auto" w:fill="FFFFFF"/>
        </w:rPr>
        <w:t>1</w:t>
      </w:r>
      <w:r>
        <w:rPr>
          <w:rFonts w:hint="eastAsia" w:ascii="仿宋_GB2312" w:hAnsi="仿宋_GB2312" w:eastAsia="仿宋_GB2312" w:cs="仿宋_GB2312"/>
          <w:color w:val="auto"/>
          <w:sz w:val="32"/>
          <w:szCs w:val="32"/>
          <w:shd w:val="clear" w:color="auto" w:fill="FFFFFF"/>
          <w:lang w:val="en-US" w:eastAsia="zh-CN"/>
        </w:rPr>
        <w:t>1</w:t>
      </w:r>
      <w:r>
        <w:rPr>
          <w:rFonts w:hint="eastAsia" w:ascii="仿宋_GB2312" w:hAnsi="仿宋_GB2312" w:eastAsia="仿宋_GB2312" w:cs="仿宋_GB2312"/>
          <w:color w:val="auto"/>
          <w:sz w:val="32"/>
          <w:szCs w:val="32"/>
          <w:shd w:val="clear" w:color="auto" w:fill="FFFFFF"/>
        </w:rPr>
        <w:t>.</w:t>
      </w:r>
      <w:r>
        <w:rPr>
          <w:rStyle w:val="15"/>
          <w:rFonts w:hint="eastAsia" w:ascii="仿宋_GB2312" w:hAnsi="仿宋_GB2312" w:eastAsia="仿宋_GB2312" w:cs="仿宋_GB2312"/>
          <w:b w:val="0"/>
          <w:color w:val="auto"/>
          <w:sz w:val="32"/>
          <w:szCs w:val="32"/>
        </w:rPr>
        <w:t>社会保障和就业（类）</w:t>
      </w:r>
      <w:r>
        <w:rPr>
          <w:rStyle w:val="15"/>
          <w:rFonts w:hint="eastAsia" w:ascii="仿宋_GB2312" w:hAnsi="仿宋_GB2312" w:eastAsia="仿宋_GB2312" w:cs="仿宋_GB2312"/>
          <w:b w:val="0"/>
          <w:color w:val="auto"/>
          <w:sz w:val="32"/>
          <w:szCs w:val="32"/>
          <w:lang w:val="en-US" w:eastAsia="zh-CN"/>
        </w:rPr>
        <w:t>人力资源和社会保障管理事务</w:t>
      </w:r>
      <w:r>
        <w:rPr>
          <w:rStyle w:val="15"/>
          <w:rFonts w:hint="eastAsia" w:ascii="仿宋_GB2312" w:hAnsi="仿宋_GB2312" w:eastAsia="仿宋_GB2312" w:cs="仿宋_GB2312"/>
          <w:b w:val="0"/>
          <w:color w:val="auto"/>
          <w:sz w:val="32"/>
          <w:szCs w:val="32"/>
        </w:rPr>
        <w:t>（款）</w:t>
      </w:r>
      <w:r>
        <w:rPr>
          <w:rStyle w:val="15"/>
          <w:rFonts w:hint="eastAsia" w:ascii="仿宋_GB2312" w:hAnsi="仿宋_GB2312" w:eastAsia="仿宋_GB2312" w:cs="仿宋_GB2312"/>
          <w:b w:val="0"/>
          <w:color w:val="auto"/>
          <w:sz w:val="32"/>
          <w:szCs w:val="32"/>
          <w:lang w:val="en-US" w:eastAsia="zh-CN"/>
        </w:rPr>
        <w:t>其他人力资源和社会保障管理事务支出</w:t>
      </w:r>
      <w:r>
        <w:rPr>
          <w:rStyle w:val="15"/>
          <w:rFonts w:hint="eastAsia" w:ascii="仿宋_GB2312" w:hAnsi="仿宋_GB2312" w:eastAsia="仿宋_GB2312" w:cs="仿宋_GB2312"/>
          <w:b w:val="0"/>
          <w:color w:val="auto"/>
          <w:sz w:val="32"/>
          <w:szCs w:val="32"/>
        </w:rPr>
        <w:t>（项）</w:t>
      </w:r>
      <w:r>
        <w:rPr>
          <w:rStyle w:val="15"/>
          <w:rFonts w:hint="eastAsia" w:ascii="仿宋_GB2312" w:hAnsi="仿宋_GB2312" w:eastAsia="仿宋_GB2312" w:cs="仿宋_GB2312"/>
          <w:b w:val="0"/>
          <w:color w:val="auto"/>
          <w:sz w:val="32"/>
          <w:szCs w:val="32"/>
          <w:lang w:eastAsia="zh-CN"/>
        </w:rPr>
        <w:t>：</w:t>
      </w:r>
      <w:r>
        <w:rPr>
          <w:rStyle w:val="15"/>
          <w:rFonts w:hint="eastAsia" w:ascii="仿宋_GB2312" w:hAnsi="仿宋_GB2312" w:eastAsia="仿宋_GB2312" w:cs="仿宋_GB2312"/>
          <w:b w:val="0"/>
          <w:color w:val="auto"/>
          <w:sz w:val="32"/>
          <w:szCs w:val="32"/>
          <w:lang w:val="en-US" w:eastAsia="zh-CN"/>
        </w:rPr>
        <w:t>指局机关及事业单位其他用于人力资源和社会保障管理事务方面的支出，主要是指引进高层次人才工作补助。</w:t>
      </w:r>
    </w:p>
    <w:p>
      <w:pPr>
        <w:keepNext w:val="0"/>
        <w:keepLines w:val="0"/>
        <w:pageBreakBefore w:val="0"/>
        <w:widowControl w:val="0"/>
        <w:kinsoku/>
        <w:wordWrap/>
        <w:overflowPunct/>
        <w:topLinePunct w:val="0"/>
        <w:bidi w:val="0"/>
        <w:snapToGrid/>
        <w:spacing w:line="576" w:lineRule="exact"/>
        <w:ind w:firstLine="640" w:firstLineChars="200"/>
        <w:textAlignment w:val="auto"/>
        <w:rPr>
          <w:rStyle w:val="15"/>
          <w:rFonts w:ascii="仿宋_GB2312" w:hAnsi="仿宋_GB2312" w:eastAsia="仿宋_GB2312" w:cs="仿宋_GB2312"/>
          <w:b w:val="0"/>
          <w:color w:val="auto"/>
          <w:sz w:val="32"/>
          <w:szCs w:val="32"/>
        </w:rPr>
      </w:pPr>
      <w:r>
        <w:rPr>
          <w:rStyle w:val="15"/>
          <w:rFonts w:hint="eastAsia" w:ascii="仿宋_GB2312" w:hAnsi="仿宋_GB2312" w:eastAsia="仿宋_GB2312" w:cs="仿宋_GB2312"/>
          <w:b w:val="0"/>
          <w:color w:val="auto"/>
          <w:sz w:val="32"/>
          <w:szCs w:val="32"/>
        </w:rPr>
        <w:t>1</w:t>
      </w:r>
      <w:r>
        <w:rPr>
          <w:rStyle w:val="15"/>
          <w:rFonts w:hint="eastAsia" w:ascii="仿宋_GB2312" w:hAnsi="仿宋_GB2312" w:eastAsia="仿宋_GB2312" w:cs="仿宋_GB2312"/>
          <w:b w:val="0"/>
          <w:color w:val="auto"/>
          <w:sz w:val="32"/>
          <w:szCs w:val="32"/>
          <w:lang w:val="en-US" w:eastAsia="zh-CN"/>
        </w:rPr>
        <w:t>2</w:t>
      </w:r>
      <w:r>
        <w:rPr>
          <w:rStyle w:val="15"/>
          <w:rFonts w:hint="eastAsia" w:ascii="仿宋_GB2312" w:hAnsi="仿宋_GB2312" w:eastAsia="仿宋_GB2312" w:cs="仿宋_GB2312"/>
          <w:b w:val="0"/>
          <w:color w:val="auto"/>
          <w:sz w:val="32"/>
          <w:szCs w:val="32"/>
        </w:rPr>
        <w:t>.社会保障和就业（类）行政事业单位养老支出（款）机关事业单位基本养老保险缴费</w:t>
      </w:r>
      <w:r>
        <w:rPr>
          <w:rStyle w:val="15"/>
          <w:rFonts w:hint="eastAsia" w:ascii="仿宋_GB2312" w:hAnsi="仿宋_GB2312" w:eastAsia="仿宋_GB2312" w:cs="仿宋_GB2312"/>
          <w:b w:val="0"/>
          <w:color w:val="auto"/>
          <w:sz w:val="32"/>
          <w:szCs w:val="32"/>
          <w:lang w:val="en-US" w:eastAsia="zh-CN"/>
        </w:rPr>
        <w:t>支出</w:t>
      </w:r>
      <w:r>
        <w:rPr>
          <w:rStyle w:val="15"/>
          <w:rFonts w:hint="eastAsia" w:ascii="仿宋_GB2312" w:hAnsi="仿宋_GB2312" w:eastAsia="仿宋_GB2312" w:cs="仿宋_GB2312"/>
          <w:b w:val="0"/>
          <w:color w:val="auto"/>
          <w:sz w:val="32"/>
          <w:szCs w:val="32"/>
        </w:rPr>
        <w:t>（项）：指机关事业单位实施养老保险制度由单位缴纳的基本养老保险费支出。</w:t>
      </w:r>
    </w:p>
    <w:p>
      <w:pPr>
        <w:keepNext w:val="0"/>
        <w:keepLines w:val="0"/>
        <w:pageBreakBefore w:val="0"/>
        <w:widowControl w:val="0"/>
        <w:kinsoku/>
        <w:wordWrap/>
        <w:overflowPunct/>
        <w:topLinePunct w:val="0"/>
        <w:bidi w:val="0"/>
        <w:snapToGrid/>
        <w:spacing w:line="576" w:lineRule="exact"/>
        <w:ind w:firstLine="640" w:firstLineChars="200"/>
        <w:textAlignment w:val="auto"/>
        <w:rPr>
          <w:rStyle w:val="15"/>
          <w:rFonts w:ascii="仿宋_GB2312" w:hAnsi="仿宋_GB2312" w:eastAsia="仿宋_GB2312" w:cs="仿宋_GB2312"/>
          <w:b w:val="0"/>
          <w:color w:val="auto"/>
          <w:sz w:val="32"/>
          <w:szCs w:val="32"/>
        </w:rPr>
      </w:pPr>
      <w:r>
        <w:rPr>
          <w:rStyle w:val="15"/>
          <w:rFonts w:hint="eastAsia" w:ascii="仿宋_GB2312" w:hAnsi="仿宋_GB2312" w:eastAsia="仿宋_GB2312" w:cs="仿宋_GB2312"/>
          <w:b w:val="0"/>
          <w:color w:val="auto"/>
          <w:sz w:val="32"/>
          <w:szCs w:val="32"/>
        </w:rPr>
        <w:t>1</w:t>
      </w:r>
      <w:r>
        <w:rPr>
          <w:rStyle w:val="15"/>
          <w:rFonts w:hint="eastAsia" w:ascii="仿宋_GB2312" w:hAnsi="仿宋_GB2312" w:eastAsia="仿宋_GB2312" w:cs="仿宋_GB2312"/>
          <w:b w:val="0"/>
          <w:color w:val="auto"/>
          <w:sz w:val="32"/>
          <w:szCs w:val="32"/>
          <w:lang w:val="en-US" w:eastAsia="zh-CN"/>
        </w:rPr>
        <w:t>3</w:t>
      </w:r>
      <w:r>
        <w:rPr>
          <w:rStyle w:val="15"/>
          <w:rFonts w:hint="eastAsia" w:ascii="仿宋_GB2312" w:hAnsi="仿宋_GB2312" w:eastAsia="仿宋_GB2312" w:cs="仿宋_GB2312"/>
          <w:b w:val="0"/>
          <w:color w:val="auto"/>
          <w:sz w:val="32"/>
          <w:szCs w:val="32"/>
        </w:rPr>
        <w:t>.社会保障和就业（类）行政事业单位养老支出（款）机关事业单位职业年金缴费</w:t>
      </w:r>
      <w:r>
        <w:rPr>
          <w:rStyle w:val="15"/>
          <w:rFonts w:hint="eastAsia" w:ascii="仿宋_GB2312" w:hAnsi="仿宋_GB2312" w:eastAsia="仿宋_GB2312" w:cs="仿宋_GB2312"/>
          <w:b w:val="0"/>
          <w:color w:val="auto"/>
          <w:sz w:val="32"/>
          <w:szCs w:val="32"/>
          <w:lang w:val="en-US" w:eastAsia="zh-CN"/>
        </w:rPr>
        <w:t>支出</w:t>
      </w:r>
      <w:r>
        <w:rPr>
          <w:rStyle w:val="15"/>
          <w:rFonts w:hint="eastAsia" w:ascii="仿宋_GB2312" w:hAnsi="仿宋_GB2312" w:eastAsia="仿宋_GB2312" w:cs="仿宋_GB2312"/>
          <w:b w:val="0"/>
          <w:color w:val="auto"/>
          <w:sz w:val="32"/>
          <w:szCs w:val="32"/>
        </w:rPr>
        <w:t>（项）：指机关事业单位实施养老保险制度由单位实际缴纳的职业年金支出。</w:t>
      </w:r>
    </w:p>
    <w:p>
      <w:pPr>
        <w:keepNext w:val="0"/>
        <w:keepLines w:val="0"/>
        <w:pageBreakBefore w:val="0"/>
        <w:widowControl w:val="0"/>
        <w:kinsoku/>
        <w:wordWrap/>
        <w:overflowPunct/>
        <w:topLinePunct w:val="0"/>
        <w:bidi w:val="0"/>
        <w:snapToGrid/>
        <w:spacing w:line="576" w:lineRule="exact"/>
        <w:ind w:firstLine="640" w:firstLineChars="200"/>
        <w:textAlignment w:val="auto"/>
        <w:rPr>
          <w:rStyle w:val="15"/>
          <w:rFonts w:ascii="仿宋_GB2312" w:hAnsi="仿宋_GB2312" w:eastAsia="仿宋_GB2312" w:cs="仿宋_GB2312"/>
          <w:b w:val="0"/>
          <w:color w:val="auto"/>
          <w:sz w:val="32"/>
          <w:szCs w:val="32"/>
        </w:rPr>
      </w:pPr>
      <w:r>
        <w:rPr>
          <w:rStyle w:val="15"/>
          <w:rFonts w:hint="eastAsia" w:ascii="仿宋_GB2312" w:hAnsi="仿宋_GB2312" w:eastAsia="仿宋_GB2312" w:cs="仿宋_GB2312"/>
          <w:b w:val="0"/>
          <w:color w:val="auto"/>
          <w:sz w:val="32"/>
          <w:szCs w:val="32"/>
        </w:rPr>
        <w:t>1</w:t>
      </w:r>
      <w:r>
        <w:rPr>
          <w:rStyle w:val="15"/>
          <w:rFonts w:hint="eastAsia" w:ascii="仿宋_GB2312" w:hAnsi="仿宋_GB2312" w:eastAsia="仿宋_GB2312" w:cs="仿宋_GB2312"/>
          <w:b w:val="0"/>
          <w:color w:val="auto"/>
          <w:sz w:val="32"/>
          <w:szCs w:val="32"/>
          <w:lang w:val="en-US" w:eastAsia="zh-CN"/>
        </w:rPr>
        <w:t>4</w:t>
      </w:r>
      <w:r>
        <w:rPr>
          <w:rStyle w:val="15"/>
          <w:rFonts w:hint="eastAsia" w:ascii="仿宋_GB2312" w:hAnsi="仿宋_GB2312" w:eastAsia="仿宋_GB2312" w:cs="仿宋_GB2312"/>
          <w:b w:val="0"/>
          <w:color w:val="auto"/>
          <w:sz w:val="32"/>
          <w:szCs w:val="32"/>
        </w:rPr>
        <w:t>.社会保障和就业（类）其他社会保障和就业支出（款）其他社会保障和就业支出（类）：反映其他用于社会保障和就业方面的支出。</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Style w:val="15"/>
          <w:rFonts w:hint="eastAsia" w:ascii="仿宋_GB2312" w:hAnsi="仿宋_GB2312" w:eastAsia="仿宋_GB2312" w:cs="仿宋_GB2312"/>
          <w:b w:val="0"/>
          <w:color w:val="auto"/>
          <w:sz w:val="32"/>
          <w:szCs w:val="32"/>
        </w:rPr>
        <w:t>1</w:t>
      </w:r>
      <w:r>
        <w:rPr>
          <w:rStyle w:val="15"/>
          <w:rFonts w:hint="eastAsia" w:ascii="仿宋_GB2312" w:hAnsi="仿宋_GB2312" w:eastAsia="仿宋_GB2312" w:cs="仿宋_GB2312"/>
          <w:b w:val="0"/>
          <w:color w:val="auto"/>
          <w:sz w:val="32"/>
          <w:szCs w:val="32"/>
          <w:lang w:val="en-US" w:eastAsia="zh-CN"/>
        </w:rPr>
        <w:t>5</w:t>
      </w:r>
      <w:r>
        <w:rPr>
          <w:rStyle w:val="15"/>
          <w:rFonts w:hint="eastAsia" w:ascii="仿宋_GB2312" w:hAnsi="仿宋_GB2312" w:eastAsia="仿宋_GB2312" w:cs="仿宋_GB2312"/>
          <w:b w:val="0"/>
          <w:color w:val="auto"/>
          <w:sz w:val="32"/>
          <w:szCs w:val="32"/>
        </w:rPr>
        <w:t>.卫生健康支出（类）行政事业单位医疗（款）行政单位医疗（项）：指局机关</w:t>
      </w:r>
      <w:r>
        <w:rPr>
          <w:rFonts w:hint="eastAsia" w:ascii="仿宋_GB2312" w:hAnsi="仿宋_GB2312" w:eastAsia="仿宋_GB2312" w:cs="仿宋_GB2312"/>
          <w:color w:val="auto"/>
          <w:sz w:val="32"/>
          <w:szCs w:val="32"/>
          <w:shd w:val="clear" w:color="auto" w:fill="FFFFFF"/>
        </w:rPr>
        <w:t>用于缴纳单位基本医疗保险支出。</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.住房保障（类）住房改革（款）住房公积金（项）：指局机关及事业单位按行政事业单位按人力资源部和社会保障部、财政部规定的基本工资和津贴补贴以及规定比例为职工缴纳的住房公积金。</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17</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18</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pStyle w:val="23"/>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19</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20</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办公用房水电费、办公用房取暖费、办公用房物业管理费、公务用车运行维护费以及其他费用。</w:t>
      </w:r>
    </w:p>
    <w:p>
      <w:pPr>
        <w:keepNext w:val="0"/>
        <w:keepLines w:val="0"/>
        <w:pageBreakBefore w:val="0"/>
        <w:widowControl w:val="0"/>
        <w:kinsoku/>
        <w:wordWrap/>
        <w:overflowPunct/>
        <w:topLinePunct w:val="0"/>
        <w:bidi w:val="0"/>
        <w:ind w:firstLine="642" w:firstLineChars="200"/>
        <w:rPr>
          <w:rFonts w:ascii="仿宋" w:hAnsi="仿宋" w:eastAsia="仿宋"/>
          <w:b/>
          <w:color w:val="auto"/>
          <w:sz w:val="32"/>
          <w:szCs w:val="32"/>
          <w:highlight w:val="none"/>
        </w:rPr>
      </w:pPr>
    </w:p>
    <w:p>
      <w:pPr>
        <w:keepNext w:val="0"/>
        <w:keepLines w:val="0"/>
        <w:pageBreakBefore w:val="0"/>
        <w:widowControl w:val="0"/>
        <w:kinsoku/>
        <w:wordWrap/>
        <w:overflowPunct/>
        <w:topLinePunct w:val="0"/>
        <w:bidi w:val="0"/>
        <w:spacing w:line="600" w:lineRule="exact"/>
        <w:jc w:val="center"/>
        <w:outlineLvl w:val="0"/>
        <w:rPr>
          <w:rStyle w:val="25"/>
          <w:rFonts w:hint="eastAsia" w:ascii="方正小标宋简体" w:hAnsi="方正小标宋简体" w:eastAsia="方正小标宋简体" w:cs="方正小标宋简体"/>
          <w:b w:val="0"/>
          <w:color w:val="auto"/>
          <w:highlight w:val="none"/>
        </w:rPr>
      </w:pPr>
      <w:bookmarkStart w:id="51" w:name="_Toc15377226"/>
      <w:r>
        <w:rPr>
          <w:rFonts w:ascii="宋体"/>
          <w:b/>
          <w:color w:val="auto"/>
          <w:sz w:val="44"/>
          <w:szCs w:val="44"/>
          <w:highlight w:val="none"/>
        </w:rPr>
        <w:br w:type="page"/>
      </w:r>
      <w:bookmarkStart w:id="52" w:name="_Toc15396614"/>
      <w:r>
        <w:rPr>
          <w:rFonts w:hint="eastAsia" w:ascii="方正小标宋简体" w:hAnsi="方正小标宋简体" w:eastAsia="方正小标宋简体" w:cs="方正小标宋简体"/>
          <w:color w:val="auto"/>
          <w:sz w:val="44"/>
          <w:szCs w:val="44"/>
          <w:highlight w:val="none"/>
        </w:rPr>
        <w:t>第</w:t>
      </w:r>
      <w:r>
        <w:rPr>
          <w:rStyle w:val="25"/>
          <w:rFonts w:hint="eastAsia" w:ascii="方正小标宋简体" w:hAnsi="方正小标宋简体" w:eastAsia="方正小标宋简体" w:cs="方正小标宋简体"/>
          <w:b w:val="0"/>
          <w:color w:val="auto"/>
          <w:highlight w:val="none"/>
        </w:rPr>
        <w:t>四部分 附件</w:t>
      </w:r>
      <w:bookmarkEnd w:id="52"/>
    </w:p>
    <w:p>
      <w:pPr>
        <w:pStyle w:val="31"/>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宋体" w:eastAsia="方正小标宋简体"/>
          <w:b w:val="0"/>
          <w:bCs w:val="0"/>
          <w:sz w:val="44"/>
          <w:szCs w:val="44"/>
        </w:rPr>
      </w:pPr>
      <w:bookmarkStart w:id="53" w:name="_Toc15396618"/>
      <w:r>
        <w:rPr>
          <w:rFonts w:hint="eastAsia" w:ascii="方正小标宋简体" w:hAnsi="宋体" w:eastAsia="方正小标宋简体"/>
          <w:b w:val="0"/>
          <w:bCs w:val="0"/>
          <w:sz w:val="44"/>
          <w:szCs w:val="44"/>
          <w:lang w:val="en-US" w:eastAsia="zh-CN"/>
        </w:rPr>
        <w:t>广元市财政局关于2021年</w:t>
      </w:r>
      <w:r>
        <w:rPr>
          <w:rFonts w:hint="eastAsia" w:ascii="方正小标宋简体" w:eastAsia="方正小标宋简体"/>
          <w:sz w:val="44"/>
          <w:szCs w:val="44"/>
        </w:rPr>
        <w:t>财政管理电子平台建设维护费</w:t>
      </w:r>
      <w:r>
        <w:rPr>
          <w:rFonts w:hint="eastAsia" w:ascii="方正小标宋简体" w:hAnsi="宋体" w:eastAsia="方正小标宋简体"/>
          <w:b w:val="0"/>
          <w:bCs w:val="0"/>
          <w:sz w:val="44"/>
          <w:szCs w:val="44"/>
          <w:lang w:eastAsia="zh-CN"/>
        </w:rPr>
        <w:t>项目</w:t>
      </w:r>
      <w:r>
        <w:rPr>
          <w:rFonts w:hint="eastAsia" w:ascii="方正小标宋简体" w:hAnsi="宋体" w:eastAsia="方正小标宋简体"/>
          <w:b w:val="0"/>
          <w:bCs w:val="0"/>
          <w:sz w:val="44"/>
          <w:szCs w:val="44"/>
        </w:rPr>
        <w:t>绩效</w:t>
      </w:r>
      <w:r>
        <w:rPr>
          <w:rFonts w:hint="eastAsia" w:ascii="方正小标宋简体" w:hAnsi="宋体" w:eastAsia="方正小标宋简体"/>
          <w:b w:val="0"/>
          <w:bCs w:val="0"/>
          <w:sz w:val="44"/>
          <w:szCs w:val="44"/>
          <w:lang w:val="en-US" w:eastAsia="zh-CN"/>
        </w:rPr>
        <w:t>的</w:t>
      </w:r>
      <w:r>
        <w:rPr>
          <w:rFonts w:hint="eastAsia" w:ascii="方正小标宋简体" w:hAnsi="宋体" w:eastAsia="方正小标宋简体"/>
          <w:b w:val="0"/>
          <w:bCs w:val="0"/>
          <w:sz w:val="44"/>
          <w:szCs w:val="44"/>
        </w:rPr>
        <w:t>自评报告</w:t>
      </w:r>
    </w:p>
    <w:p>
      <w:pPr>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hint="eastAsia" w:ascii="黑体" w:hAnsi="宋体" w:eastAsia="黑体"/>
          <w:b w:val="0"/>
          <w:bCs w:val="0"/>
          <w:sz w:val="32"/>
          <w:szCs w:val="32"/>
        </w:rPr>
      </w:pP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b w:val="0"/>
          <w:bCs w:val="0"/>
          <w:sz w:val="32"/>
          <w:szCs w:val="32"/>
          <w:lang w:val="zh-CN"/>
        </w:rPr>
      </w:pPr>
      <w:r>
        <w:rPr>
          <w:rFonts w:hint="eastAsia" w:ascii="黑体" w:hAnsi="宋体" w:eastAsia="黑体"/>
          <w:b w:val="0"/>
          <w:bCs w:val="0"/>
          <w:sz w:val="32"/>
          <w:szCs w:val="32"/>
        </w:rPr>
        <w:t>一、</w:t>
      </w:r>
      <w:r>
        <w:rPr>
          <w:rFonts w:hint="eastAsia" w:ascii="黑体" w:hAnsi="宋体" w:eastAsia="黑体"/>
          <w:b w:val="0"/>
          <w:bCs w:val="0"/>
          <w:sz w:val="32"/>
          <w:szCs w:val="32"/>
          <w:lang w:val="zh-CN"/>
        </w:rPr>
        <w:t>项目概况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本项目根据市委市政府授予市财政局职能职责所设立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项目经局党组会审定同意申报预算资金30万元，《广元市财政局关于批复2021年市级部门预算的通知》（广财预〔2021〕1号）批复该项目预算30万元。</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_GB2312" w:hAnsi="宋体" w:eastAsia="楷体_GB2312"/>
          <w:b w:val="0"/>
          <w:bCs w:val="0"/>
          <w:sz w:val="32"/>
          <w:szCs w:val="32"/>
          <w:lang w:val="zh-CN"/>
        </w:rPr>
      </w:pPr>
      <w:r>
        <w:rPr>
          <w:rFonts w:hint="eastAsia" w:ascii="楷体_GB2312" w:hAnsi="宋体" w:eastAsia="楷体_GB2312"/>
          <w:b w:val="0"/>
          <w:bCs w:val="0"/>
          <w:sz w:val="32"/>
          <w:szCs w:val="32"/>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项目主要内容。</w:t>
      </w:r>
      <w:r>
        <w:rPr>
          <w:rFonts w:hint="eastAsia" w:ascii="仿宋_GB2312" w:hAnsi="仿宋_GB2312" w:eastAsia="仿宋_GB2312" w:cs="仿宋_GB2312"/>
          <w:sz w:val="32"/>
          <w:szCs w:val="32"/>
          <w:lang w:val="en-US" w:eastAsia="zh-CN"/>
        </w:rPr>
        <w:t>该项目内容为确保</w:t>
      </w:r>
      <w:r>
        <w:rPr>
          <w:rFonts w:hint="eastAsia" w:ascii="仿宋_GB2312" w:hAnsi="仿宋_GB2312" w:eastAsia="仿宋_GB2312" w:cs="仿宋_GB2312"/>
          <w:sz w:val="32"/>
          <w:szCs w:val="32"/>
        </w:rPr>
        <w:t>0A协同办公系统、财政视频会议系统</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金财网络</w:t>
      </w:r>
      <w:r>
        <w:rPr>
          <w:rFonts w:hint="eastAsia" w:ascii="仿宋_GB2312" w:hAnsi="仿宋_GB2312" w:eastAsia="仿宋_GB2312" w:cs="仿宋_GB2312"/>
          <w:sz w:val="32"/>
          <w:szCs w:val="32"/>
          <w:lang w:val="en-US" w:eastAsia="zh-CN"/>
        </w:rPr>
        <w:t>等系统和网站正常运行</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2. 项目绩效目标。保障财政各项系统的顺利运转，确保全市财政资金的顺利拨付和工作开展。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rPr>
        <w:t>项目资金申报相符性。</w:t>
      </w:r>
      <w:r>
        <w:rPr>
          <w:rFonts w:hint="eastAsia" w:ascii="仿宋_GB2312" w:hAnsi="仿宋_GB2312" w:eastAsia="仿宋_GB2312" w:cs="仿宋_GB2312"/>
          <w:sz w:val="32"/>
          <w:szCs w:val="32"/>
          <w:lang w:val="en-US" w:eastAsia="zh-CN"/>
        </w:rPr>
        <w:t>该</w:t>
      </w:r>
      <w:r>
        <w:rPr>
          <w:rFonts w:hint="eastAsia" w:ascii="仿宋_GB2312" w:hAnsi="仿宋_GB2312" w:eastAsia="仿宋_GB2312" w:cs="仿宋_GB2312"/>
          <w:sz w:val="32"/>
          <w:szCs w:val="32"/>
          <w:lang w:val="zh-CN"/>
        </w:rPr>
        <w:t>项目</w:t>
      </w:r>
      <w:r>
        <w:rPr>
          <w:rFonts w:hint="eastAsia" w:ascii="仿宋_GB2312" w:hAnsi="仿宋_GB2312" w:eastAsia="仿宋_GB2312" w:cs="仿宋_GB2312"/>
          <w:sz w:val="32"/>
          <w:szCs w:val="32"/>
          <w:lang w:val="en-US" w:eastAsia="zh-CN"/>
        </w:rPr>
        <w:t>根据单位职能职责设定具体工作内容，</w:t>
      </w:r>
      <w:r>
        <w:rPr>
          <w:rFonts w:hint="eastAsia" w:ascii="仿宋_GB2312" w:hAnsi="仿宋_GB2312" w:eastAsia="仿宋_GB2312" w:cs="仿宋_GB2312"/>
          <w:sz w:val="32"/>
          <w:szCs w:val="32"/>
          <w:lang w:val="zh-CN"/>
        </w:rPr>
        <w:t>申报内容</w:t>
      </w:r>
      <w:r>
        <w:rPr>
          <w:rFonts w:hint="eastAsia" w:ascii="仿宋_GB2312" w:hAnsi="仿宋_GB2312" w:eastAsia="仿宋_GB2312" w:cs="仿宋_GB2312"/>
          <w:sz w:val="32"/>
          <w:szCs w:val="32"/>
          <w:lang w:val="en-US" w:eastAsia="zh-CN"/>
        </w:rPr>
        <w:t>和项目绩效</w:t>
      </w:r>
      <w:r>
        <w:rPr>
          <w:rFonts w:hint="eastAsia" w:ascii="仿宋_GB2312" w:hAnsi="仿宋_GB2312" w:eastAsia="仿宋_GB2312" w:cs="仿宋_GB2312"/>
          <w:sz w:val="32"/>
          <w:szCs w:val="32"/>
          <w:lang w:val="zh-CN"/>
        </w:rPr>
        <w:t>目标</w:t>
      </w:r>
      <w:r>
        <w:rPr>
          <w:rFonts w:hint="eastAsia" w:ascii="仿宋_GB2312" w:hAnsi="仿宋_GB2312" w:eastAsia="仿宋_GB2312" w:cs="仿宋_GB2312"/>
          <w:sz w:val="32"/>
          <w:szCs w:val="32"/>
          <w:lang w:val="en-US" w:eastAsia="zh-CN"/>
        </w:rPr>
        <w:t>与财政管理业务工作</w:t>
      </w:r>
      <w:r>
        <w:rPr>
          <w:rFonts w:hint="eastAsia" w:ascii="仿宋_GB2312" w:hAnsi="仿宋_GB2312" w:eastAsia="仿宋_GB2312" w:cs="仿宋_GB2312"/>
          <w:sz w:val="32"/>
          <w:szCs w:val="32"/>
          <w:lang w:val="zh-CN"/>
        </w:rPr>
        <w:t>相符，</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lang w:val="zh-CN"/>
        </w:rPr>
        <w:t>合理可行。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（三）项目自评步骤及方法</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sz w:val="32"/>
          <w:szCs w:val="32"/>
        </w:rPr>
      </w:pPr>
      <w:r>
        <w:rPr>
          <w:rFonts w:hint="eastAsia" w:ascii="仿宋_GB2312" w:hAnsi="仿宋_GB2312" w:eastAsia="仿宋_GB2312" w:cs="仿宋_GB2312"/>
          <w:sz w:val="32"/>
          <w:szCs w:val="32"/>
        </w:rPr>
        <w:t>按照项目评价要求，明确自评责任人，通过查验资料、报告工作等形式严格自评，做到自评真实不走形式。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宋体" w:eastAsia="黑体"/>
          <w:b w:val="0"/>
          <w:bCs w:val="0"/>
          <w:sz w:val="32"/>
          <w:szCs w:val="32"/>
        </w:rPr>
      </w:pPr>
      <w:r>
        <w:rPr>
          <w:rFonts w:hint="eastAsia" w:ascii="黑体" w:hAnsi="宋体" w:eastAsia="黑体"/>
          <w:b w:val="0"/>
          <w:bCs w:val="0"/>
          <w:sz w:val="32"/>
          <w:szCs w:val="32"/>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按照一般公共预算管理要求， 市财政局申报项目资金预算，202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年由广元市财政局通过</w:t>
      </w:r>
      <w:r>
        <w:rPr>
          <w:rFonts w:hint="eastAsia" w:ascii="仿宋_GB2312" w:hAnsi="仿宋_GB2312" w:eastAsia="仿宋_GB2312" w:cs="仿宋_GB2312"/>
          <w:sz w:val="32"/>
          <w:szCs w:val="32"/>
          <w:lang w:val="en-US" w:eastAsia="zh-CN"/>
        </w:rPr>
        <w:t>《广元市财政局关于批复2021年市级部门预算的通知》（广财预〔2021〕1号）</w:t>
      </w:r>
      <w:r>
        <w:rPr>
          <w:rFonts w:hint="eastAsia" w:ascii="仿宋_GB2312" w:hAnsi="仿宋_GB2312" w:eastAsia="仿宋_GB2312" w:cs="仿宋_GB2312"/>
          <w:sz w:val="32"/>
          <w:szCs w:val="32"/>
        </w:rPr>
        <w:t>文件下达我单位项目资金</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宋体" w:eastAsia="楷体_GB2312"/>
          <w:b w:val="0"/>
          <w:bCs w:val="0"/>
          <w:sz w:val="32"/>
          <w:szCs w:val="32"/>
          <w:lang w:val="zh-CN"/>
        </w:rPr>
      </w:pPr>
      <w:r>
        <w:rPr>
          <w:rFonts w:hint="eastAsia" w:ascii="楷体_GB2312" w:hAnsi="宋体" w:eastAsia="楷体_GB2312"/>
          <w:b w:val="0"/>
          <w:bCs w:val="0"/>
          <w:sz w:val="32"/>
          <w:szCs w:val="32"/>
          <w:lang w:val="zh-CN"/>
        </w:rPr>
        <w:t>（二）资金计划、到位及使用情况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1．资金计划及到位。</w:t>
      </w:r>
      <w:r>
        <w:rPr>
          <w:rFonts w:hint="eastAsia" w:ascii="仿宋_GB2312" w:hAnsi="仿宋_GB2312" w:eastAsia="仿宋_GB2312" w:cs="仿宋_GB2312"/>
          <w:sz w:val="32"/>
          <w:szCs w:val="32"/>
        </w:rPr>
        <w:t>本项目预算</w:t>
      </w:r>
      <w:r>
        <w:rPr>
          <w:rFonts w:hint="eastAsia" w:ascii="仿宋_GB2312" w:hAnsi="仿宋_GB2312" w:eastAsia="仿宋_GB2312" w:cs="仿宋_GB2312"/>
          <w:sz w:val="32"/>
          <w:szCs w:val="32"/>
          <w:lang w:val="en-US" w:eastAsia="zh-CN"/>
        </w:rPr>
        <w:t>批复资金</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万元，截至202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年底，</w:t>
      </w:r>
      <w:r>
        <w:rPr>
          <w:rFonts w:hint="eastAsia" w:ascii="仿宋_GB2312" w:hAnsi="仿宋_GB2312" w:eastAsia="仿宋_GB2312" w:cs="仿宋_GB2312"/>
          <w:sz w:val="32"/>
          <w:szCs w:val="32"/>
          <w:lang w:val="en-US" w:eastAsia="zh-CN"/>
        </w:rPr>
        <w:t>该项目</w:t>
      </w:r>
      <w:r>
        <w:rPr>
          <w:rFonts w:hint="eastAsia" w:ascii="仿宋_GB2312" w:hAnsi="仿宋_GB2312" w:eastAsia="仿宋_GB2312" w:cs="仿宋_GB2312"/>
          <w:sz w:val="32"/>
          <w:szCs w:val="32"/>
        </w:rPr>
        <w:t>实际拨付</w:t>
      </w:r>
      <w:r>
        <w:rPr>
          <w:rFonts w:hint="eastAsia" w:ascii="仿宋_GB2312" w:hAnsi="仿宋_GB2312" w:eastAsia="仿宋_GB2312" w:cs="仿宋_GB2312"/>
          <w:sz w:val="32"/>
          <w:szCs w:val="32"/>
          <w:lang w:val="en-US" w:eastAsia="zh-CN"/>
        </w:rPr>
        <w:t>到位</w:t>
      </w:r>
      <w:r>
        <w:rPr>
          <w:rFonts w:hint="eastAsia" w:ascii="仿宋_GB2312" w:hAnsi="仿宋_GB2312" w:eastAsia="仿宋_GB2312" w:cs="仿宋_GB2312"/>
          <w:sz w:val="32"/>
          <w:szCs w:val="32"/>
        </w:rPr>
        <w:t>资金</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万元，资金拨付率为100%。</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2．资金使用。</w:t>
      </w:r>
      <w:r>
        <w:rPr>
          <w:rFonts w:hint="eastAsia" w:ascii="仿宋_GB2312" w:hAnsi="仿宋_GB2312" w:eastAsia="仿宋_GB2312" w:cs="仿宋_GB2312"/>
          <w:sz w:val="32"/>
          <w:szCs w:val="32"/>
        </w:rPr>
        <w:t>该项目资金全年共支出30万元，支出进度为100%，主要是用于财政各类信息管理系统及门户网站运行维护。在项目执行过程中，严格按照预算批复执行，不随意改变该项目资金支付范围、支付标准，严控预算执行进度和经费支出情况，确保资金使用安全、规范、高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w:t>
      </w:r>
      <w:r>
        <w:rPr>
          <w:rFonts w:hint="eastAsia" w:ascii="楷体_GB2312" w:hAnsi="宋体" w:eastAsia="楷体_GB2312"/>
          <w:b w:val="0"/>
          <w:bCs w:val="0"/>
          <w:sz w:val="32"/>
          <w:szCs w:val="32"/>
          <w:lang w:val="en-US" w:eastAsia="zh-CN"/>
        </w:rPr>
        <w:t>三</w:t>
      </w:r>
      <w:r>
        <w:rPr>
          <w:rFonts w:hint="eastAsia" w:ascii="楷体_GB2312" w:hAnsi="宋体" w:eastAsia="楷体_GB2312"/>
          <w:b w:val="0"/>
          <w:bCs w:val="0"/>
          <w:sz w:val="32"/>
          <w:szCs w:val="32"/>
          <w:lang w:val="zh-CN"/>
        </w:rPr>
        <w:t>）项目财务管理情况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我单位严格按照财务管理相关制度规定，建立健全财务管理制度及内控制度，加强对财政管理专项经费的使用管理，按照专项资金管理办法做好项目实施和监管，及时、规范进行账务处理及会计核算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切实做到专款专用，最大可能发挥专项资金作用。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楷体_GB2312" w:hAnsi="宋体" w:eastAsia="楷体_GB2312"/>
          <w:b w:val="0"/>
          <w:bCs w:val="0"/>
          <w:sz w:val="32"/>
          <w:szCs w:val="32"/>
          <w:lang w:val="zh-CN"/>
        </w:rPr>
      </w:pPr>
      <w:r>
        <w:rPr>
          <w:rFonts w:hint="eastAsia" w:ascii="黑体" w:hAnsi="宋体" w:eastAsia="黑体"/>
          <w:b w:val="0"/>
          <w:bCs w:val="0"/>
          <w:sz w:val="32"/>
          <w:szCs w:val="32"/>
          <w:lang w:val="en-US" w:eastAsia="zh-CN"/>
        </w:rPr>
        <w:t>三</w:t>
      </w:r>
      <w:r>
        <w:rPr>
          <w:rFonts w:hint="eastAsia" w:ascii="黑体" w:hAnsi="宋体" w:eastAsia="黑体"/>
          <w:b w:val="0"/>
          <w:bCs w:val="0"/>
          <w:sz w:val="32"/>
          <w:szCs w:val="32"/>
        </w:rPr>
        <w:t>、项目实施及管理情况</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sz w:val="32"/>
          <w:szCs w:val="32"/>
        </w:rPr>
      </w:pPr>
      <w:r>
        <w:rPr>
          <w:rFonts w:hint="eastAsia" w:ascii="仿宋_GB2312" w:hAnsi="仿宋_GB2312" w:eastAsia="仿宋_GB2312" w:cs="仿宋_GB2312"/>
          <w:sz w:val="32"/>
          <w:szCs w:val="32"/>
        </w:rPr>
        <w:t>我单位严格按照项目管理有关规定管理专项经费，为保障项目资金安全，确保资金专款专用， 从资金申请、资金使用、会计核算三个环节加强资金管理，在项目资金申请环节，严格按照国库集中支付流程申请财政资金；在资金使用环节，严格遵守相关法律法规规定，严格按照单位财务管理审批流程办理款项支付；在会计核算环节，对本项目资金实行单独核算，确保专款专用。通过上述三个环节的管理，极力避免了挪用、挤占、截留项目资金的现象，保证财政资金安全有效使用。同时经费管理主动接受驻局纪检监察组和审计部门的监督检查，对预算执行实行动态监控，无违纪违法现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宋体"/>
          <w:b w:val="0"/>
          <w:bCs w:val="0"/>
          <w:sz w:val="32"/>
          <w:szCs w:val="32"/>
          <w:lang w:val="zh-CN"/>
        </w:rPr>
      </w:pPr>
      <w:r>
        <w:rPr>
          <w:rFonts w:hint="eastAsia" w:ascii="黑体" w:hAnsi="宋体" w:eastAsia="黑体"/>
          <w:b w:val="0"/>
          <w:bCs w:val="0"/>
          <w:sz w:val="32"/>
          <w:szCs w:val="32"/>
          <w:lang w:val="en-US" w:eastAsia="zh-CN"/>
        </w:rPr>
        <w:t>四</w:t>
      </w:r>
      <w:r>
        <w:rPr>
          <w:rFonts w:hint="eastAsia" w:ascii="黑体" w:hAnsi="宋体" w:eastAsia="黑体"/>
          <w:b w:val="0"/>
          <w:bCs w:val="0"/>
          <w:sz w:val="32"/>
          <w:szCs w:val="32"/>
        </w:rPr>
        <w:t>、项目绩效情况</w:t>
      </w:r>
      <w:r>
        <w:rPr>
          <w:rFonts w:hint="eastAsia" w:ascii="仿宋_GB2312" w:hAnsi="宋体"/>
          <w:b w:val="0"/>
          <w:bCs w:val="0"/>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通过项目实施，保障财政各项系统的顺利运转，确保</w:t>
      </w:r>
      <w:r>
        <w:rPr>
          <w:rFonts w:hint="eastAsia" w:ascii="仿宋_GB2312" w:hAnsi="仿宋_GB2312" w:eastAsia="仿宋_GB2312" w:cs="仿宋_GB2312"/>
          <w:sz w:val="32"/>
          <w:szCs w:val="32"/>
          <w:lang w:val="en-US" w:eastAsia="zh-CN"/>
        </w:rPr>
        <w:t>2021年</w:t>
      </w:r>
      <w:r>
        <w:rPr>
          <w:rFonts w:hint="eastAsia" w:ascii="仿宋_GB2312" w:hAnsi="仿宋_GB2312" w:eastAsia="仿宋_GB2312" w:cs="仿宋_GB2312"/>
          <w:sz w:val="32"/>
          <w:szCs w:val="32"/>
        </w:rPr>
        <w:t>全市财政资金的顺利拨付和工作开展。</w:t>
      </w:r>
    </w:p>
    <w:p>
      <w:pPr>
        <w:keepNext w:val="0"/>
        <w:keepLines w:val="0"/>
        <w:pageBreakBefore w:val="0"/>
        <w:widowControl w:val="0"/>
        <w:numPr>
          <w:ilvl w:val="0"/>
          <w:numId w:val="2"/>
        </w:numPr>
        <w:kinsoku/>
        <w:wordWrap/>
        <w:overflowPunct/>
        <w:topLinePunct w:val="0"/>
        <w:autoSpaceDE/>
        <w:autoSpaceDN/>
        <w:bidi w:val="0"/>
        <w:spacing w:line="560" w:lineRule="exact"/>
        <w:ind w:firstLine="640" w:firstLineChars="200"/>
        <w:textAlignment w:val="auto"/>
        <w:rPr>
          <w:rFonts w:hint="eastAsia" w:ascii="楷体_GB2312" w:hAnsi="宋体" w:eastAsia="楷体_GB2312"/>
          <w:b w:val="0"/>
          <w:bCs w:val="0"/>
          <w:sz w:val="32"/>
          <w:szCs w:val="32"/>
          <w:lang w:val="zh-CN"/>
        </w:rPr>
      </w:pPr>
      <w:r>
        <w:rPr>
          <w:rFonts w:hint="eastAsia" w:ascii="楷体_GB2312" w:hAnsi="宋体" w:eastAsia="楷体_GB2312"/>
          <w:b w:val="0"/>
          <w:bCs w:val="0"/>
          <w:sz w:val="32"/>
          <w:szCs w:val="32"/>
          <w:lang w:val="zh-CN"/>
        </w:rPr>
        <w:t>项目效益情况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1.项目实施对经济和社会的影响。通过该项目顺利实施，保障了各项财政业务正常开展和财政资金及时拨付，为全市经济社会高质量发展提供了坚实保障。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2.项目服务对象满意度。使用对象满意度达95%以上。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宋体" w:eastAsia="黑体"/>
          <w:b w:val="0"/>
          <w:bCs w:val="0"/>
          <w:sz w:val="32"/>
          <w:szCs w:val="32"/>
        </w:rPr>
      </w:pPr>
      <w:r>
        <w:rPr>
          <w:rFonts w:hint="eastAsia" w:ascii="黑体" w:hAnsi="宋体" w:eastAsia="黑体"/>
          <w:b w:val="0"/>
          <w:bCs w:val="0"/>
          <w:sz w:val="32"/>
          <w:szCs w:val="32"/>
        </w:rPr>
        <w:t>五、评价结论及建议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（一）评价结论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结合项目自身特点、评价重点及管理办法等要求，</w:t>
      </w:r>
      <w:r>
        <w:rPr>
          <w:rFonts w:hint="eastAsia" w:ascii="仿宋_GB2312" w:hAnsi="仿宋_GB2312" w:eastAsia="仿宋_GB2312" w:cs="仿宋_GB2312"/>
          <w:sz w:val="32"/>
          <w:szCs w:val="32"/>
          <w:lang w:val="en-US" w:eastAsia="zh-CN"/>
        </w:rPr>
        <w:t>根据</w:t>
      </w:r>
      <w:r>
        <w:rPr>
          <w:rFonts w:hint="eastAsia" w:ascii="仿宋_GB2312" w:hAnsi="仿宋_GB2312" w:eastAsia="仿宋_GB2312" w:cs="仿宋_GB2312"/>
          <w:sz w:val="32"/>
          <w:szCs w:val="32"/>
          <w:lang w:val="zh-CN"/>
        </w:rPr>
        <w:t>专项项目支出绩效评价指标体系，</w:t>
      </w:r>
      <w:r>
        <w:rPr>
          <w:rFonts w:hint="eastAsia" w:ascii="仿宋_GB2312" w:hAnsi="仿宋_GB2312" w:eastAsia="仿宋_GB2312" w:cs="仿宋_GB2312"/>
          <w:sz w:val="32"/>
          <w:szCs w:val="32"/>
          <w:lang w:val="en-US" w:eastAsia="zh-CN"/>
        </w:rPr>
        <w:t>该</w:t>
      </w:r>
      <w:r>
        <w:rPr>
          <w:rFonts w:hint="eastAsia" w:ascii="仿宋_GB2312" w:hAnsi="仿宋_GB2312" w:eastAsia="仿宋_GB2312" w:cs="仿宋_GB2312"/>
          <w:sz w:val="32"/>
          <w:szCs w:val="32"/>
          <w:lang w:val="zh-CN"/>
        </w:rPr>
        <w:t>项目</w:t>
      </w:r>
      <w:r>
        <w:rPr>
          <w:rFonts w:hint="eastAsia" w:ascii="仿宋_GB2312" w:hAnsi="仿宋_GB2312" w:eastAsia="仿宋_GB2312" w:cs="仿宋_GB2312"/>
          <w:sz w:val="32"/>
          <w:szCs w:val="32"/>
          <w:lang w:val="en-US" w:eastAsia="zh-CN"/>
        </w:rPr>
        <w:t>自评得分为100分</w:t>
      </w:r>
      <w:r>
        <w:rPr>
          <w:rFonts w:hint="eastAsia" w:ascii="仿宋_GB2312" w:hAnsi="仿宋_GB2312" w:eastAsia="仿宋_GB2312" w:cs="仿宋_GB2312"/>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（二）存在的问题</w:t>
      </w:r>
      <w:r>
        <w:rPr>
          <w:rFonts w:hint="eastAsia" w:ascii="楷体_GB2312" w:hAnsi="宋体" w:eastAsia="楷体_GB2312"/>
          <w:b w:val="0"/>
          <w:bCs w:val="0"/>
          <w:sz w:val="32"/>
          <w:szCs w:val="32"/>
          <w:lang w:val="en-US" w:eastAsia="zh-CN"/>
        </w:rPr>
        <w:t>和</w:t>
      </w:r>
      <w:r>
        <w:rPr>
          <w:rFonts w:hint="eastAsia" w:ascii="楷体_GB2312" w:hAnsi="宋体" w:eastAsia="楷体_GB2312"/>
          <w:b w:val="0"/>
          <w:bCs w:val="0"/>
          <w:sz w:val="32"/>
          <w:szCs w:val="32"/>
          <w:lang w:val="zh-CN"/>
        </w:rPr>
        <w:t>相关建议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宋体"/>
          <w:b w:val="0"/>
          <w:bCs w:val="0"/>
          <w:sz w:val="32"/>
          <w:szCs w:val="32"/>
          <w:lang w:val="en-US" w:eastAsia="zh-CN"/>
        </w:rPr>
        <w:t xml:space="preserve"> </w:t>
      </w:r>
      <w:r>
        <w:rPr>
          <w:rFonts w:hint="eastAsia" w:ascii="仿宋_GB2312" w:hAnsi="宋体"/>
          <w:b w:val="0"/>
          <w:bCs w:val="0"/>
          <w:sz w:val="32"/>
          <w:szCs w:val="32"/>
          <w:lang w:val="zh-CN"/>
        </w:rPr>
        <w:tab/>
      </w:r>
      <w:r>
        <w:rPr>
          <w:rFonts w:hint="eastAsia" w:ascii="仿宋_GB2312" w:hAnsi="仿宋_GB2312" w:eastAsia="仿宋_GB2312" w:cs="仿宋_GB2312"/>
          <w:sz w:val="32"/>
          <w:szCs w:val="32"/>
          <w:lang w:val="en-US" w:eastAsia="zh-CN"/>
        </w:rPr>
        <w:t>无。</w:t>
      </w: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tbl>
      <w:tblPr>
        <w:tblStyle w:val="13"/>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29"/>
        <w:gridCol w:w="1039"/>
        <w:gridCol w:w="1442"/>
        <w:gridCol w:w="1489"/>
        <w:gridCol w:w="2030"/>
        <w:gridCol w:w="1848"/>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line="560" w:lineRule="exact"/>
              <w:jc w:val="center"/>
              <w:textAlignment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2021年部门预算</w:t>
            </w:r>
            <w:r>
              <w:rPr>
                <w:rFonts w:hint="eastAsia" w:ascii="方正小标宋简体" w:hAnsi="方正小标宋简体" w:eastAsia="方正小标宋简体" w:cs="方正小标宋简体"/>
                <w:sz w:val="44"/>
                <w:szCs w:val="44"/>
              </w:rPr>
              <w:t>财政管理电子平台建设维护费</w:t>
            </w:r>
          </w:p>
          <w:p>
            <w:pPr>
              <w:keepNext w:val="0"/>
              <w:keepLines w:val="0"/>
              <w:pageBreakBefore w:val="0"/>
              <w:widowControl w:val="0"/>
              <w:suppressLineNumbers w:val="0"/>
              <w:kinsoku/>
              <w:wordWrap/>
              <w:overflowPunct/>
              <w:topLinePunct w:val="0"/>
              <w:autoSpaceDE/>
              <w:autoSpaceDN/>
              <w:bidi w:val="0"/>
              <w:adjustRightInd/>
              <w:snapToGrid/>
              <w:spacing w:beforeAutospacing="0" w:line="560" w:lineRule="exact"/>
              <w:jc w:val="center"/>
              <w:textAlignment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项目绩效目标自评</w:t>
            </w:r>
          </w:p>
          <w:p>
            <w:pPr>
              <w:pStyle w:val="2"/>
              <w:rPr>
                <w:rFonts w:hint="eastAsia"/>
              </w:rPr>
            </w:pPr>
          </w:p>
        </w:tc>
        <w:tc>
          <w:tcPr>
            <w:tcW w:w="234" w:type="dxa"/>
            <w:tcBorders>
              <w:top w:val="nil"/>
              <w:left w:val="nil"/>
              <w:bottom w:val="nil"/>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i w:val="0"/>
                <w:color w:val="auto"/>
                <w:kern w:val="0"/>
                <w:sz w:val="44"/>
                <w:szCs w:val="4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54" w:hRule="atLeast"/>
        </w:trPr>
        <w:tc>
          <w:tcPr>
            <w:tcW w:w="2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主管部门及代码</w:t>
            </w:r>
          </w:p>
        </w:tc>
        <w:tc>
          <w:tcPr>
            <w:tcW w:w="2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广元市财政局</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实施单位</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cs="宋体"/>
                <w:i w:val="0"/>
                <w:color w:val="auto"/>
                <w:sz w:val="24"/>
                <w:szCs w:val="24"/>
                <w:highlight w:val="none"/>
                <w:u w:val="none"/>
                <w:lang w:val="en-US" w:eastAsia="zh-CN"/>
              </w:rPr>
              <w:t>广元市财政局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27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项目预算</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执行情况</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（万元）</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预算数：</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30</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执行数：</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27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其中：</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财政拨款</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30</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其中：</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财政拨款</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27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其他资金</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其他资金</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99" w:hRule="atLeast"/>
        </w:trPr>
        <w:tc>
          <w:tcPr>
            <w:tcW w:w="17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年度总体目标</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完成情况</w:t>
            </w:r>
          </w:p>
        </w:tc>
        <w:tc>
          <w:tcPr>
            <w:tcW w:w="39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预期目标</w:t>
            </w:r>
          </w:p>
        </w:tc>
        <w:tc>
          <w:tcPr>
            <w:tcW w:w="3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39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4"/>
                <w:szCs w:val="24"/>
                <w:highlight w:val="none"/>
                <w:u w:val="none"/>
              </w:rPr>
              <w:t>保证财政各项系统的顺利运转，确保财政工作顺利开展。</w:t>
            </w:r>
          </w:p>
        </w:tc>
        <w:tc>
          <w:tcPr>
            <w:tcW w:w="387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top"/>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已完成目标任务。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08" w:hRule="atLeast"/>
        </w:trPr>
        <w:tc>
          <w:tcPr>
            <w:tcW w:w="172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年度绩效指标完成情况</w:t>
            </w:r>
          </w:p>
        </w:tc>
        <w:tc>
          <w:tcPr>
            <w:tcW w:w="103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一级</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指标</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二级</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指标</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三级</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指标</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预期指标值</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877" w:hRule="atLeast"/>
        </w:trPr>
        <w:tc>
          <w:tcPr>
            <w:tcW w:w="172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p>
        </w:tc>
        <w:tc>
          <w:tcPr>
            <w:tcW w:w="10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完成</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指标</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数量指标</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信息系统及网站</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lang w:val="en-US" w:eastAsia="zh-CN"/>
              </w:rPr>
              <w:t>完成</w:t>
            </w:r>
            <w:r>
              <w:rPr>
                <w:rFonts w:hint="eastAsia" w:asciiTheme="minorEastAsia" w:hAnsiTheme="minorEastAsia" w:eastAsiaTheme="minorEastAsia" w:cstheme="minorEastAsia"/>
                <w:i w:val="0"/>
                <w:color w:val="auto"/>
                <w:sz w:val="21"/>
                <w:szCs w:val="21"/>
                <w:highlight w:val="none"/>
                <w:u w:val="none"/>
              </w:rPr>
              <w:t>OA协同办公办公系统、财政视频会议系统维护。</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heme="minorEastAsia" w:hAnsiTheme="minorEastAsia" w:eastAsiaTheme="minorEastAsia" w:cstheme="minorEastAsia"/>
                <w:i w:val="0"/>
                <w:color w:val="auto"/>
                <w:sz w:val="21"/>
                <w:szCs w:val="21"/>
                <w:highlight w:val="none"/>
                <w:u w:val="none"/>
                <w:lang w:val="en-US" w:eastAsia="zh-CN"/>
              </w:rPr>
            </w:pPr>
            <w:r>
              <w:rPr>
                <w:rFonts w:hint="eastAsia" w:asciiTheme="minorEastAsia" w:hAnsiTheme="minorEastAsia" w:eastAsiaTheme="minorEastAsia" w:cstheme="minorEastAsia"/>
                <w:i w:val="0"/>
                <w:color w:val="auto"/>
                <w:sz w:val="21"/>
                <w:szCs w:val="21"/>
                <w:highlight w:val="none"/>
                <w:u w:val="none"/>
                <w:lang w:val="en-US" w:eastAsia="zh-CN"/>
              </w:rPr>
              <w:t>完成维护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72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质量指标</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信息系统及网站运行</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保障顺利运行</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heme="minorEastAsia" w:hAnsiTheme="minorEastAsia" w:eastAsiaTheme="minorEastAsia" w:cstheme="minorEastAsia"/>
                <w:i w:val="0"/>
                <w:color w:val="auto"/>
                <w:sz w:val="21"/>
                <w:szCs w:val="21"/>
                <w:highlight w:val="none"/>
                <w:u w:val="none"/>
                <w:lang w:val="en-US" w:eastAsia="zh-CN"/>
              </w:rPr>
            </w:pPr>
            <w:r>
              <w:rPr>
                <w:rFonts w:hint="eastAsia" w:asciiTheme="minorEastAsia" w:hAnsiTheme="minorEastAsia" w:eastAsiaTheme="minorEastAsia" w:cstheme="minorEastAsia"/>
                <w:i w:val="0"/>
                <w:color w:val="auto"/>
                <w:sz w:val="21"/>
                <w:szCs w:val="21"/>
                <w:highlight w:val="none"/>
                <w:u w:val="none"/>
                <w:lang w:val="en-US"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72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时效指标</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信息系统及网站运行</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按合同约定完成</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lang w:val="en-US"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72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成本指标</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日常维护及服务费</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30万元</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heme="minorEastAsia" w:hAnsiTheme="minorEastAsia" w:eastAsiaTheme="minorEastAsia" w:cstheme="minorEastAsia"/>
                <w:i w:val="0"/>
                <w:color w:val="auto"/>
                <w:sz w:val="21"/>
                <w:szCs w:val="21"/>
                <w:highlight w:val="none"/>
                <w:u w:val="none"/>
                <w:lang w:val="en-US" w:eastAsia="zh-CN"/>
              </w:rPr>
            </w:pPr>
            <w:r>
              <w:rPr>
                <w:rFonts w:hint="eastAsia" w:asciiTheme="minorEastAsia" w:hAnsiTheme="minorEastAsia" w:eastAsiaTheme="minorEastAsia" w:cstheme="minorEastAsia"/>
                <w:i w:val="0"/>
                <w:color w:val="auto"/>
                <w:sz w:val="21"/>
                <w:szCs w:val="21"/>
                <w:highlight w:val="none"/>
                <w:u w:val="none"/>
                <w:lang w:val="en-US" w:eastAsia="zh-CN"/>
              </w:rPr>
              <w:t>30万元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72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效益</w:t>
            </w:r>
          </w:p>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指标</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社会效益</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指标</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财政工作</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为财政工作顺利开展提供技术保证</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lang w:val="en-US"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30" w:hRule="atLeast"/>
        </w:trPr>
        <w:tc>
          <w:tcPr>
            <w:tcW w:w="172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满意</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度指标</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满意度</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指标</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系统运行满意度</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100%</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heme="minorEastAsia" w:hAnsiTheme="minorEastAsia" w:eastAsiaTheme="minorEastAsia" w:cstheme="minorEastAsia"/>
                <w:i w:val="0"/>
                <w:color w:val="auto"/>
                <w:sz w:val="21"/>
                <w:szCs w:val="21"/>
                <w:highlight w:val="none"/>
                <w:u w:val="none"/>
                <w:lang w:val="en-US" w:eastAsia="zh-CN"/>
              </w:rPr>
            </w:pPr>
            <w:r>
              <w:rPr>
                <w:rFonts w:hint="eastAsia" w:asciiTheme="minorEastAsia" w:hAnsiTheme="minorEastAsia" w:eastAsiaTheme="minorEastAsia" w:cstheme="minorEastAsia"/>
                <w:i w:val="0"/>
                <w:color w:val="auto"/>
                <w:sz w:val="21"/>
                <w:szCs w:val="21"/>
                <w:highlight w:val="none"/>
                <w:u w:val="none"/>
                <w:lang w:val="en-US" w:eastAsia="zh-CN"/>
              </w:rPr>
              <w:t>100%</w:t>
            </w:r>
          </w:p>
        </w:tc>
      </w:tr>
    </w:tbl>
    <w:p>
      <w:pPr>
        <w:keepNext w:val="0"/>
        <w:keepLines w:val="0"/>
        <w:pageBreakBefore w:val="0"/>
        <w:widowControl w:val="0"/>
        <w:kinsoku/>
        <w:wordWrap/>
        <w:overflowPunct/>
        <w:topLinePunct w:val="0"/>
        <w:autoSpaceDE/>
        <w:autoSpaceDN/>
        <w:bidi w:val="0"/>
        <w:adjustRightInd w:val="0"/>
        <w:snapToGrid w:val="0"/>
        <w:spacing w:afterAutospacing="0" w:line="580" w:lineRule="exact"/>
        <w:contextualSpacing/>
        <w:jc w:val="both"/>
        <w:textAlignment w:val="auto"/>
        <w:rPr>
          <w:rFonts w:hint="eastAsia" w:ascii="黑体" w:hAnsi="黑体" w:eastAsia="黑体" w:cs="黑体"/>
          <w:b w:val="0"/>
          <w:bCs w:val="0"/>
          <w:color w:val="auto"/>
          <w:kern w:val="0"/>
          <w:sz w:val="32"/>
          <w:szCs w:val="32"/>
          <w:highlight w:val="none"/>
          <w:shd w:val="clear" w:color="auto" w:fill="FFFFFF"/>
          <w:lang w:val="zh-CN"/>
        </w:rPr>
      </w:pPr>
      <w:r>
        <w:rPr>
          <w:rFonts w:hint="eastAsia" w:ascii="黑体" w:hAnsi="黑体" w:eastAsia="黑体" w:cs="黑体"/>
          <w:b w:val="0"/>
          <w:bCs w:val="0"/>
          <w:color w:val="auto"/>
          <w:kern w:val="0"/>
          <w:sz w:val="32"/>
          <w:szCs w:val="32"/>
          <w:highlight w:val="none"/>
          <w:shd w:val="clear" w:color="auto" w:fill="FFFFFF"/>
          <w:lang w:val="zh-CN"/>
        </w:rPr>
        <w:t>附表</w:t>
      </w:r>
    </w:p>
    <w:p>
      <w:pPr>
        <w:keepNext w:val="0"/>
        <w:keepLines w:val="0"/>
        <w:pageBreakBefore w:val="0"/>
        <w:widowControl w:val="0"/>
        <w:kinsoku/>
        <w:wordWrap/>
        <w:overflowPunct/>
        <w:topLinePunct w:val="0"/>
        <w:bidi w:val="0"/>
        <w:spacing w:line="580" w:lineRule="exact"/>
        <w:rPr>
          <w:rStyle w:val="25"/>
          <w:rFonts w:ascii="黑体" w:hAnsi="黑体" w:eastAsia="黑体"/>
          <w:b w:val="0"/>
          <w:color w:val="auto"/>
          <w:highlight w:val="none"/>
        </w:rPr>
      </w:pPr>
    </w:p>
    <w:p>
      <w:pPr>
        <w:keepNext w:val="0"/>
        <w:keepLines w:val="0"/>
        <w:pageBreakBefore w:val="0"/>
        <w:widowControl w:val="0"/>
        <w:kinsoku/>
        <w:wordWrap/>
        <w:overflowPunct/>
        <w:topLinePunct w:val="0"/>
        <w:bidi w:val="0"/>
        <w:jc w:val="left"/>
        <w:rPr>
          <w:rStyle w:val="25"/>
          <w:rFonts w:ascii="黑体" w:hAnsi="黑体" w:eastAsia="黑体"/>
          <w:b w:val="0"/>
          <w:color w:val="auto"/>
          <w:highlight w:val="none"/>
        </w:rPr>
      </w:pPr>
      <w:r>
        <w:rPr>
          <w:rStyle w:val="25"/>
          <w:rFonts w:ascii="黑体" w:hAnsi="黑体" w:eastAsia="黑体"/>
          <w:b w:val="0"/>
          <w:color w:val="auto"/>
          <w:highlight w:val="none"/>
        </w:rPr>
        <w:br w:type="page"/>
      </w:r>
    </w:p>
    <w:p>
      <w:pPr>
        <w:pStyle w:val="31"/>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宋体" w:eastAsia="方正小标宋简体"/>
          <w:b w:val="0"/>
          <w:bCs w:val="0"/>
          <w:sz w:val="44"/>
          <w:szCs w:val="44"/>
        </w:rPr>
      </w:pPr>
      <w:r>
        <w:rPr>
          <w:rFonts w:hint="eastAsia" w:ascii="方正小标宋简体" w:hAnsi="宋体" w:eastAsia="方正小标宋简体"/>
          <w:b w:val="0"/>
          <w:bCs w:val="0"/>
          <w:sz w:val="44"/>
          <w:szCs w:val="44"/>
          <w:lang w:val="en-US" w:eastAsia="zh-CN"/>
        </w:rPr>
        <w:t>广元市财政局关于2021年市级预算管理核算平台</w:t>
      </w:r>
      <w:r>
        <w:rPr>
          <w:rFonts w:hint="eastAsia" w:ascii="方正小标宋简体" w:hAnsi="宋体" w:eastAsia="方正小标宋简体"/>
          <w:b w:val="0"/>
          <w:bCs w:val="0"/>
          <w:sz w:val="44"/>
          <w:szCs w:val="44"/>
          <w:lang w:eastAsia="zh-CN"/>
        </w:rPr>
        <w:t>项目</w:t>
      </w:r>
      <w:r>
        <w:rPr>
          <w:rFonts w:hint="eastAsia" w:ascii="方正小标宋简体" w:hAnsi="宋体" w:eastAsia="方正小标宋简体"/>
          <w:b w:val="0"/>
          <w:bCs w:val="0"/>
          <w:sz w:val="44"/>
          <w:szCs w:val="44"/>
        </w:rPr>
        <w:t>绩效</w:t>
      </w:r>
      <w:r>
        <w:rPr>
          <w:rFonts w:hint="eastAsia" w:ascii="方正小标宋简体" w:hAnsi="宋体" w:eastAsia="方正小标宋简体"/>
          <w:b w:val="0"/>
          <w:bCs w:val="0"/>
          <w:sz w:val="44"/>
          <w:szCs w:val="44"/>
          <w:lang w:val="en-US" w:eastAsia="zh-CN"/>
        </w:rPr>
        <w:t>的</w:t>
      </w:r>
      <w:r>
        <w:rPr>
          <w:rFonts w:hint="eastAsia" w:ascii="方正小标宋简体" w:hAnsi="宋体" w:eastAsia="方正小标宋简体"/>
          <w:b w:val="0"/>
          <w:bCs w:val="0"/>
          <w:sz w:val="44"/>
          <w:szCs w:val="44"/>
        </w:rPr>
        <w:t>自评报告</w:t>
      </w:r>
    </w:p>
    <w:p>
      <w:pPr>
        <w:pStyle w:val="31"/>
        <w:keepNext w:val="0"/>
        <w:keepLines w:val="0"/>
        <w:pageBreakBefore w:val="0"/>
        <w:widowControl w:val="0"/>
        <w:kinsoku/>
        <w:wordWrap/>
        <w:overflowPunct/>
        <w:topLinePunct w:val="0"/>
        <w:autoSpaceDE/>
        <w:autoSpaceDN/>
        <w:bidi w:val="0"/>
        <w:spacing w:line="576" w:lineRule="exact"/>
        <w:ind w:firstLine="640"/>
        <w:jc w:val="center"/>
        <w:textAlignment w:val="auto"/>
        <w:rPr>
          <w:rFonts w:ascii="宋体" w:hAnsi="宋体"/>
          <w:b w:val="0"/>
          <w:bCs w:val="0"/>
          <w:color w:val="auto"/>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宋体" w:eastAsia="楷体_GB2312"/>
          <w:b w:val="0"/>
          <w:bCs w:val="0"/>
          <w:sz w:val="32"/>
          <w:szCs w:val="32"/>
          <w:lang w:val="zh-CN"/>
        </w:rPr>
      </w:pPr>
      <w:r>
        <w:rPr>
          <w:rFonts w:hint="eastAsia" w:ascii="黑体" w:hAnsi="宋体" w:eastAsia="黑体"/>
          <w:b w:val="0"/>
          <w:bCs w:val="0"/>
          <w:sz w:val="32"/>
          <w:szCs w:val="32"/>
        </w:rPr>
        <w:t>一、</w:t>
      </w:r>
      <w:r>
        <w:rPr>
          <w:rFonts w:hint="eastAsia" w:ascii="黑体" w:hAnsi="宋体" w:eastAsia="黑体"/>
          <w:b w:val="0"/>
          <w:bCs w:val="0"/>
          <w:sz w:val="32"/>
          <w:szCs w:val="32"/>
          <w:lang w:val="zh-CN"/>
        </w:rPr>
        <w:t>项目概况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（一）项目基本情况</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本项目根据市委市政府授予市财政局职能职责所设立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项目经局党组会审定同意申报预算资金27.94万元，《广元市财政局关于批复2021年市级部门预算的通知》（广财预〔2021〕1号）批复该项目预算27.94万元。</w:t>
      </w:r>
    </w:p>
    <w:p>
      <w:pPr>
        <w:keepNext w:val="0"/>
        <w:keepLines w:val="0"/>
        <w:pageBreakBefore w:val="0"/>
        <w:widowControl w:val="0"/>
        <w:numPr>
          <w:ilvl w:val="0"/>
          <w:numId w:val="3"/>
        </w:numPr>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宋体" w:eastAsia="楷体_GB2312"/>
          <w:b w:val="0"/>
          <w:bCs w:val="0"/>
          <w:sz w:val="32"/>
          <w:szCs w:val="32"/>
          <w:lang w:val="zh-CN"/>
        </w:rPr>
      </w:pPr>
      <w:r>
        <w:rPr>
          <w:rFonts w:hint="eastAsia" w:ascii="楷体_GB2312" w:hAnsi="宋体" w:eastAsia="楷体_GB2312"/>
          <w:b w:val="0"/>
          <w:bCs w:val="0"/>
          <w:sz w:val="32"/>
          <w:szCs w:val="32"/>
          <w:lang w:val="zh-CN"/>
        </w:rPr>
        <w:t>项目绩效目标</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项目主要内容</w:t>
      </w:r>
      <w:r>
        <w:rPr>
          <w:rFonts w:hint="eastAsia" w:ascii="仿宋_GB2312" w:hAnsi="仿宋_GB2312" w:eastAsia="仿宋_GB2312" w:cs="仿宋_GB2312"/>
          <w:sz w:val="32"/>
          <w:szCs w:val="32"/>
          <w:lang w:val="en-US" w:eastAsia="zh-CN"/>
        </w:rPr>
        <w:t>及绩效目标</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该项目内容为市级预算单位会计核算管理平台运行维护，实现市级225个预算单位2021年会计核算完成账务处理、报表查询，实现数据实时查询，财政部门实时监控的目标。</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项目资金申报相符性。</w:t>
      </w:r>
      <w:r>
        <w:rPr>
          <w:rFonts w:hint="eastAsia" w:ascii="仿宋_GB2312" w:hAnsi="仿宋_GB2312" w:eastAsia="仿宋_GB2312" w:cs="仿宋_GB2312"/>
          <w:sz w:val="32"/>
          <w:szCs w:val="32"/>
          <w:lang w:val="en-US" w:eastAsia="zh-CN"/>
        </w:rPr>
        <w:t>该项目属于续发项目，每年定期支付运行维护费，项目申报内容与项目实施内容相符，绩效目标合理可行。</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宋体" w:eastAsia="黑体"/>
          <w:b w:val="0"/>
          <w:bCs w:val="0"/>
          <w:sz w:val="32"/>
          <w:szCs w:val="32"/>
        </w:rPr>
      </w:pPr>
      <w:r>
        <w:rPr>
          <w:rFonts w:hint="eastAsia" w:ascii="仿宋_GB2312" w:hAnsi="仿宋_GB2312" w:eastAsia="仿宋_GB2312" w:cs="仿宋_GB2312"/>
          <w:sz w:val="32"/>
          <w:szCs w:val="32"/>
        </w:rPr>
        <w:t>按照项目评价要求，明确自评责任人，通过查验资料、报告工作等形式严格自评，做到自评真实不走形式。</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b w:val="0"/>
          <w:bCs w:val="0"/>
          <w:sz w:val="32"/>
          <w:szCs w:val="32"/>
        </w:rPr>
      </w:pPr>
      <w:r>
        <w:rPr>
          <w:rFonts w:hint="eastAsia" w:ascii="黑体" w:hAnsi="宋体" w:eastAsia="黑体"/>
          <w:b w:val="0"/>
          <w:bCs w:val="0"/>
          <w:sz w:val="32"/>
          <w:szCs w:val="32"/>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（一）项目资金申报及批复情况</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按照一般公共预算管理要求，市财政局申报项目资金预算，202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年由广元市财政局通过</w:t>
      </w:r>
      <w:r>
        <w:rPr>
          <w:rFonts w:hint="eastAsia" w:ascii="仿宋_GB2312" w:hAnsi="仿宋_GB2312" w:eastAsia="仿宋_GB2312" w:cs="仿宋_GB2312"/>
          <w:sz w:val="32"/>
          <w:szCs w:val="32"/>
          <w:lang w:val="en-US" w:eastAsia="zh-CN"/>
        </w:rPr>
        <w:t>《广元市财政局关于批复2021年市级部门预算的通知》（广财预〔2021〕1号）</w:t>
      </w:r>
      <w:r>
        <w:rPr>
          <w:rFonts w:hint="eastAsia" w:ascii="仿宋_GB2312" w:hAnsi="仿宋_GB2312" w:eastAsia="仿宋_GB2312" w:cs="仿宋_GB2312"/>
          <w:sz w:val="32"/>
          <w:szCs w:val="32"/>
        </w:rPr>
        <w:t>文件下达我单位项目资金</w:t>
      </w:r>
      <w:r>
        <w:rPr>
          <w:rFonts w:hint="eastAsia" w:ascii="仿宋_GB2312" w:hAnsi="仿宋_GB2312" w:eastAsia="仿宋_GB2312" w:cs="仿宋_GB2312"/>
          <w:sz w:val="32"/>
          <w:szCs w:val="32"/>
          <w:lang w:val="en-US" w:eastAsia="zh-CN"/>
        </w:rPr>
        <w:t>27.94</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w:t>
      </w:r>
      <w:r>
        <w:rPr>
          <w:rFonts w:hint="eastAsia" w:ascii="楷体_GB2312" w:hAnsi="宋体" w:eastAsia="楷体_GB2312"/>
          <w:b w:val="0"/>
          <w:bCs w:val="0"/>
          <w:sz w:val="32"/>
          <w:szCs w:val="32"/>
          <w:lang w:val="en-US" w:eastAsia="zh-CN"/>
        </w:rPr>
        <w:t>二</w:t>
      </w:r>
      <w:r>
        <w:rPr>
          <w:rFonts w:hint="eastAsia" w:ascii="楷体_GB2312" w:hAnsi="宋体" w:eastAsia="楷体_GB2312"/>
          <w:b w:val="0"/>
          <w:bCs w:val="0"/>
          <w:sz w:val="32"/>
          <w:szCs w:val="32"/>
          <w:lang w:val="zh-CN"/>
        </w:rPr>
        <w:t>）资金计划、到位及使用情况</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1．资金计划及到位。</w:t>
      </w:r>
      <w:r>
        <w:rPr>
          <w:rFonts w:hint="eastAsia" w:ascii="仿宋_GB2312" w:hAnsi="仿宋_GB2312" w:eastAsia="仿宋_GB2312" w:cs="仿宋_GB2312"/>
          <w:sz w:val="32"/>
          <w:szCs w:val="32"/>
        </w:rPr>
        <w:t>本项目预算</w:t>
      </w:r>
      <w:r>
        <w:rPr>
          <w:rFonts w:hint="eastAsia" w:ascii="仿宋_GB2312" w:hAnsi="仿宋_GB2312" w:eastAsia="仿宋_GB2312" w:cs="仿宋_GB2312"/>
          <w:sz w:val="32"/>
          <w:szCs w:val="32"/>
          <w:lang w:val="en-US" w:eastAsia="zh-CN"/>
        </w:rPr>
        <w:t>批复资金</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27.94</w:t>
      </w:r>
      <w:r>
        <w:rPr>
          <w:rFonts w:hint="eastAsia" w:ascii="仿宋_GB2312" w:hAnsi="仿宋_GB2312" w:eastAsia="仿宋_GB2312" w:cs="仿宋_GB2312"/>
          <w:sz w:val="32"/>
          <w:szCs w:val="32"/>
        </w:rPr>
        <w:t>万元，截至202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年底，</w:t>
      </w:r>
      <w:r>
        <w:rPr>
          <w:rFonts w:hint="eastAsia" w:ascii="仿宋_GB2312" w:hAnsi="仿宋_GB2312" w:eastAsia="仿宋_GB2312" w:cs="仿宋_GB2312"/>
          <w:sz w:val="32"/>
          <w:szCs w:val="32"/>
          <w:lang w:val="en-US" w:eastAsia="zh-CN"/>
        </w:rPr>
        <w:t>该项目</w:t>
      </w:r>
      <w:r>
        <w:rPr>
          <w:rFonts w:hint="eastAsia" w:ascii="仿宋_GB2312" w:hAnsi="仿宋_GB2312" w:eastAsia="仿宋_GB2312" w:cs="仿宋_GB2312"/>
          <w:sz w:val="32"/>
          <w:szCs w:val="32"/>
        </w:rPr>
        <w:t>实际拨付</w:t>
      </w:r>
      <w:r>
        <w:rPr>
          <w:rFonts w:hint="eastAsia" w:ascii="仿宋_GB2312" w:hAnsi="仿宋_GB2312" w:eastAsia="仿宋_GB2312" w:cs="仿宋_GB2312"/>
          <w:sz w:val="32"/>
          <w:szCs w:val="32"/>
          <w:lang w:val="en-US" w:eastAsia="zh-CN"/>
        </w:rPr>
        <w:t>到位</w:t>
      </w:r>
      <w:r>
        <w:rPr>
          <w:rFonts w:hint="eastAsia" w:ascii="仿宋_GB2312" w:hAnsi="仿宋_GB2312" w:eastAsia="仿宋_GB2312" w:cs="仿宋_GB2312"/>
          <w:sz w:val="32"/>
          <w:szCs w:val="32"/>
        </w:rPr>
        <w:t>资金</w:t>
      </w:r>
      <w:r>
        <w:rPr>
          <w:rFonts w:hint="eastAsia" w:ascii="仿宋_GB2312" w:hAnsi="仿宋_GB2312" w:eastAsia="仿宋_GB2312" w:cs="仿宋_GB2312"/>
          <w:sz w:val="32"/>
          <w:szCs w:val="32"/>
          <w:lang w:val="en-US" w:eastAsia="zh-CN"/>
        </w:rPr>
        <w:t>27.94</w:t>
      </w:r>
      <w:r>
        <w:rPr>
          <w:rFonts w:hint="eastAsia" w:ascii="仿宋_GB2312" w:hAnsi="仿宋_GB2312" w:eastAsia="仿宋_GB2312" w:cs="仿宋_GB2312"/>
          <w:sz w:val="32"/>
          <w:szCs w:val="32"/>
        </w:rPr>
        <w:t>万元，资金拨付率为100%。</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ascii="仿宋_GB2312" w:eastAsia="仿宋_GB2312"/>
          <w:sz w:val="32"/>
          <w:szCs w:val="32"/>
        </w:rPr>
      </w:pPr>
      <w:r>
        <w:rPr>
          <w:rFonts w:hint="eastAsia" w:ascii="仿宋_GB2312" w:hAnsi="仿宋_GB2312" w:eastAsia="仿宋_GB2312" w:cs="仿宋_GB2312"/>
          <w:sz w:val="32"/>
          <w:szCs w:val="32"/>
          <w:lang w:val="zh-CN"/>
        </w:rPr>
        <w:t>2．资金使用。</w:t>
      </w:r>
      <w:r>
        <w:rPr>
          <w:rFonts w:hint="eastAsia" w:ascii="仿宋_GB2312" w:hAnsi="仿宋_GB2312" w:eastAsia="仿宋_GB2312" w:cs="仿宋_GB2312"/>
          <w:sz w:val="32"/>
          <w:szCs w:val="32"/>
        </w:rPr>
        <w:t>该项目资金全年共支出</w:t>
      </w:r>
      <w:r>
        <w:rPr>
          <w:rFonts w:hint="eastAsia" w:ascii="仿宋_GB2312" w:hAnsi="仿宋_GB2312" w:eastAsia="仿宋_GB2312" w:cs="仿宋_GB2312"/>
          <w:sz w:val="32"/>
          <w:szCs w:val="32"/>
          <w:lang w:val="en-US" w:eastAsia="zh-CN"/>
        </w:rPr>
        <w:t>27.94</w:t>
      </w:r>
      <w:r>
        <w:rPr>
          <w:rFonts w:hint="eastAsia" w:ascii="仿宋_GB2312" w:hAnsi="仿宋_GB2312" w:eastAsia="仿宋_GB2312" w:cs="仿宋_GB2312"/>
          <w:sz w:val="32"/>
          <w:szCs w:val="32"/>
        </w:rPr>
        <w:t>万元，支出进度为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%，主要是用于</w:t>
      </w:r>
      <w:r>
        <w:rPr>
          <w:rFonts w:hint="eastAsia" w:ascii="仿宋_GB2312" w:hAnsi="仿宋_GB2312" w:eastAsia="仿宋_GB2312" w:cs="仿宋_GB2312"/>
          <w:sz w:val="32"/>
          <w:szCs w:val="32"/>
          <w:lang w:val="en-US" w:eastAsia="zh-CN"/>
        </w:rPr>
        <w:t>会计核算平台运行维护。</w:t>
      </w:r>
      <w:r>
        <w:rPr>
          <w:rFonts w:hint="eastAsia" w:ascii="仿宋_GB2312" w:hAnsi="仿宋_GB2312" w:eastAsia="仿宋_GB2312" w:cs="仿宋_GB2312"/>
          <w:sz w:val="32"/>
          <w:szCs w:val="32"/>
        </w:rPr>
        <w:t>在项目执行过程中，严格按照预算批复执行，不随意改变该项目资金支付范围、支付标准，严控预算执行进度和经费支出情况，</w:t>
      </w:r>
      <w:r>
        <w:rPr>
          <w:rFonts w:hint="eastAsia" w:ascii="仿宋_GB2312" w:hAnsi="仿宋_GB2312" w:eastAsia="仿宋_GB2312" w:cs="仿宋_GB2312"/>
          <w:sz w:val="32"/>
          <w:szCs w:val="32"/>
          <w:lang w:val="en-US" w:eastAsia="zh-CN"/>
        </w:rPr>
        <w:t>资金支付与预算相符，</w:t>
      </w:r>
      <w:r>
        <w:rPr>
          <w:rFonts w:hint="eastAsia" w:ascii="仿宋_GB2312" w:hAnsi="仿宋_GB2312" w:eastAsia="仿宋_GB2312" w:cs="仿宋_GB2312"/>
          <w:sz w:val="32"/>
          <w:szCs w:val="32"/>
        </w:rPr>
        <w:t>确保资金使用安全、规范、高效。</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w:t>
      </w:r>
      <w:r>
        <w:rPr>
          <w:rFonts w:hint="eastAsia" w:ascii="楷体_GB2312" w:hAnsi="宋体" w:eastAsia="楷体_GB2312"/>
          <w:b w:val="0"/>
          <w:bCs w:val="0"/>
          <w:sz w:val="32"/>
          <w:szCs w:val="32"/>
          <w:lang w:val="en-US" w:eastAsia="zh-CN"/>
        </w:rPr>
        <w:t>三</w:t>
      </w:r>
      <w:r>
        <w:rPr>
          <w:rFonts w:hint="eastAsia" w:ascii="楷体_GB2312" w:hAnsi="宋体" w:eastAsia="楷体_GB2312"/>
          <w:b w:val="0"/>
          <w:bCs w:val="0"/>
          <w:sz w:val="32"/>
          <w:szCs w:val="32"/>
          <w:lang w:val="zh-CN"/>
        </w:rPr>
        <w:t>）项目财务管理情况</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单位严格按照财务管理相关制度规定，建立健全财务管理制度及内控制度，加强对财政管理专项经费的使用管理，按照专项资金管理办法做好项目实施和监管，及时、规范进行账务处理及会计核算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切实做到专款专用，最大可能发挥专项资金作用。</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eastAsia="仿宋_GB2312"/>
          <w:sz w:val="32"/>
          <w:szCs w:val="32"/>
        </w:rPr>
      </w:pPr>
      <w:r>
        <w:rPr>
          <w:rFonts w:hint="eastAsia" w:ascii="黑体" w:hAnsi="宋体" w:eastAsia="黑体"/>
          <w:b w:val="0"/>
          <w:bCs w:val="0"/>
          <w:sz w:val="32"/>
          <w:szCs w:val="32"/>
        </w:rPr>
        <w:t>三、项目实施及管理情况</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严格按照项目管理有关规定管理专项经费，为保障项目资金安全，确保资金专款专用，从资金申请、资金使用、会计核算三个环节加强资金管理。在项目资金申请环节，严格按照国库集中支付流程申请财政资金;在资金使用环节，严格遵守相关法律法规规定，严格按照单位财务管理审批流程办理款项支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会计核算环节，对本项目资金实行单独核算，确保专款专用。通过上述三个环节的管理，极力避免了挪用、挤占、截留项目资金的现象，保证财政资金安全有效使用。同时经费管理主动接受驻局纪检监察组和审计部门的监督检查，对预算执行实行动态监控，无违纪违法现象。</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该项目不属于政府采购，项目审批及实施、费用报销均严格执行相关管理规定</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通过该系统的运行维护，能够有效监控预警，主动发现问题，快速排查故障，使市级预算单位能够安全高效的使用账务系统，做好决策分析。</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b w:val="0"/>
          <w:bCs w:val="0"/>
          <w:sz w:val="32"/>
          <w:szCs w:val="32"/>
          <w:lang w:val="zh-CN"/>
        </w:rPr>
      </w:pPr>
      <w:r>
        <w:rPr>
          <w:rFonts w:hint="eastAsia" w:ascii="黑体" w:hAnsi="宋体" w:eastAsia="黑体"/>
          <w:b w:val="0"/>
          <w:bCs w:val="0"/>
          <w:sz w:val="32"/>
          <w:szCs w:val="32"/>
          <w:lang w:val="en-US" w:eastAsia="zh-CN"/>
        </w:rPr>
        <w:t>四</w:t>
      </w:r>
      <w:r>
        <w:rPr>
          <w:rFonts w:hint="eastAsia" w:ascii="黑体" w:hAnsi="宋体" w:eastAsia="黑体"/>
          <w:b w:val="0"/>
          <w:bCs w:val="0"/>
          <w:sz w:val="32"/>
          <w:szCs w:val="32"/>
        </w:rPr>
        <w:t>、项目绩效情况</w:t>
      </w:r>
      <w:r>
        <w:rPr>
          <w:rFonts w:hint="eastAsia" w:ascii="仿宋_GB2312" w:hAnsi="宋体"/>
          <w:b w:val="0"/>
          <w:bCs w:val="0"/>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（一）项目完成情况</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通过项目实施，市级225个预算单位顺利完成2021年度账务处理、资产动态管理、部门决算分析上报，进一步提高了市级财政财务管理水平，该项目资金全部实现支付无结余。</w:t>
      </w:r>
    </w:p>
    <w:p>
      <w:pPr>
        <w:keepNext w:val="0"/>
        <w:keepLines w:val="0"/>
        <w:pageBreakBefore w:val="0"/>
        <w:widowControl w:val="0"/>
        <w:numPr>
          <w:ilvl w:val="0"/>
          <w:numId w:val="4"/>
        </w:numPr>
        <w:kinsoku/>
        <w:wordWrap/>
        <w:overflowPunct/>
        <w:topLinePunct w:val="0"/>
        <w:autoSpaceDE/>
        <w:autoSpaceDN/>
        <w:bidi w:val="0"/>
        <w:spacing w:line="576" w:lineRule="exact"/>
        <w:ind w:firstLine="640" w:firstLineChars="200"/>
        <w:textAlignment w:val="auto"/>
        <w:rPr>
          <w:rFonts w:hint="default" w:ascii="仿宋_GB2312" w:eastAsia="仿宋_GB2312"/>
          <w:sz w:val="32"/>
          <w:szCs w:val="32"/>
          <w:lang w:val="en-US"/>
        </w:rPr>
      </w:pPr>
      <w:r>
        <w:rPr>
          <w:rFonts w:hint="eastAsia" w:ascii="楷体_GB2312" w:hAnsi="宋体" w:eastAsia="楷体_GB2312"/>
          <w:b w:val="0"/>
          <w:bCs w:val="0"/>
          <w:sz w:val="32"/>
          <w:szCs w:val="32"/>
          <w:lang w:val="zh-CN"/>
        </w:rPr>
        <w:t>项目效益情况</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1.通过</w:t>
      </w:r>
      <w:r>
        <w:rPr>
          <w:rFonts w:hint="eastAsia" w:ascii="仿宋_GB2312" w:hAnsi="仿宋_GB2312" w:eastAsia="仿宋_GB2312" w:cs="仿宋_GB2312"/>
          <w:sz w:val="32"/>
          <w:szCs w:val="32"/>
        </w:rPr>
        <w:t>该项目顺利实施，我市</w:t>
      </w:r>
      <w:r>
        <w:rPr>
          <w:rFonts w:hint="eastAsia" w:ascii="仿宋_GB2312" w:hAnsi="仿宋_GB2312" w:eastAsia="仿宋_GB2312" w:cs="仿宋_GB2312"/>
          <w:sz w:val="32"/>
          <w:szCs w:val="32"/>
          <w:lang w:val="en-US" w:eastAsia="zh-CN"/>
        </w:rPr>
        <w:t>会计核算水平进一步提高，为财务工作的顺利开展提高了技术支持。</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eastAsia="仿宋_GB2312"/>
          <w:sz w:val="32"/>
          <w:szCs w:val="32"/>
        </w:rPr>
      </w:pPr>
      <w:r>
        <w:rPr>
          <w:rFonts w:hint="eastAsia" w:ascii="仿宋_GB2312" w:hAnsi="仿宋_GB2312" w:eastAsia="仿宋_GB2312" w:cs="仿宋_GB2312"/>
          <w:sz w:val="32"/>
          <w:szCs w:val="32"/>
        </w:rPr>
        <w:t>2.项目服务对象满意度。</w:t>
      </w:r>
      <w:r>
        <w:rPr>
          <w:rFonts w:hint="eastAsia" w:ascii="仿宋_GB2312" w:hAnsi="仿宋_GB2312" w:eastAsia="仿宋_GB2312" w:cs="仿宋_GB2312"/>
          <w:sz w:val="32"/>
          <w:szCs w:val="32"/>
          <w:lang w:val="en-US" w:eastAsia="zh-CN"/>
        </w:rPr>
        <w:t>系统使用人员满意度100%</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b w:val="0"/>
          <w:bCs w:val="0"/>
          <w:sz w:val="32"/>
          <w:szCs w:val="32"/>
        </w:rPr>
      </w:pPr>
      <w:r>
        <w:rPr>
          <w:rFonts w:hint="eastAsia" w:ascii="黑体" w:hAnsi="宋体" w:eastAsia="黑体"/>
          <w:b w:val="0"/>
          <w:bCs w:val="0"/>
          <w:sz w:val="32"/>
          <w:szCs w:val="32"/>
        </w:rPr>
        <w:t>五、评价结论及建议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（一）评价结论</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结合项目自身特点、评价重点及管理办法等要求，</w:t>
      </w:r>
      <w:r>
        <w:rPr>
          <w:rFonts w:hint="eastAsia" w:ascii="仿宋_GB2312" w:hAnsi="仿宋_GB2312" w:eastAsia="仿宋_GB2312" w:cs="仿宋_GB2312"/>
          <w:sz w:val="32"/>
          <w:szCs w:val="32"/>
          <w:lang w:val="en-US" w:eastAsia="zh-CN"/>
        </w:rPr>
        <w:t>根据</w:t>
      </w:r>
      <w:r>
        <w:rPr>
          <w:rFonts w:hint="eastAsia" w:ascii="仿宋_GB2312" w:hAnsi="仿宋_GB2312" w:eastAsia="仿宋_GB2312" w:cs="仿宋_GB2312"/>
          <w:sz w:val="32"/>
          <w:szCs w:val="32"/>
          <w:lang w:val="zh-CN"/>
        </w:rPr>
        <w:t>专项项目支出绩效评价指标体系，</w:t>
      </w:r>
      <w:r>
        <w:rPr>
          <w:rFonts w:hint="eastAsia" w:ascii="仿宋_GB2312" w:hAnsi="仿宋_GB2312" w:eastAsia="仿宋_GB2312" w:cs="仿宋_GB2312"/>
          <w:sz w:val="32"/>
          <w:szCs w:val="32"/>
          <w:lang w:val="en-US" w:eastAsia="zh-CN"/>
        </w:rPr>
        <w:t>该</w:t>
      </w:r>
      <w:r>
        <w:rPr>
          <w:rFonts w:hint="eastAsia" w:ascii="仿宋_GB2312" w:hAnsi="仿宋_GB2312" w:eastAsia="仿宋_GB2312" w:cs="仿宋_GB2312"/>
          <w:sz w:val="32"/>
          <w:szCs w:val="32"/>
          <w:lang w:val="zh-CN"/>
        </w:rPr>
        <w:t>项目</w:t>
      </w:r>
      <w:r>
        <w:rPr>
          <w:rFonts w:hint="eastAsia" w:ascii="仿宋_GB2312" w:hAnsi="仿宋_GB2312" w:eastAsia="仿宋_GB2312" w:cs="仿宋_GB2312"/>
          <w:sz w:val="32"/>
          <w:szCs w:val="32"/>
          <w:lang w:val="en-US" w:eastAsia="zh-CN"/>
        </w:rPr>
        <w:t>自评得分为100分</w:t>
      </w:r>
      <w:r>
        <w:rPr>
          <w:rFonts w:hint="eastAsia" w:ascii="仿宋_GB2312" w:hAnsi="仿宋_GB2312" w:eastAsia="仿宋_GB2312" w:cs="仿宋_GB2312"/>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宋体" w:eastAsia="楷体_GB2312"/>
          <w:b w:val="0"/>
          <w:bCs w:val="0"/>
          <w:sz w:val="32"/>
          <w:szCs w:val="32"/>
          <w:lang w:val="zh-CN"/>
        </w:rPr>
      </w:pPr>
      <w:r>
        <w:rPr>
          <w:rFonts w:hint="eastAsia" w:ascii="楷体_GB2312" w:hAnsi="宋体" w:eastAsia="楷体_GB2312"/>
          <w:b w:val="0"/>
          <w:bCs w:val="0"/>
          <w:sz w:val="32"/>
          <w:szCs w:val="32"/>
          <w:lang w:val="zh-CN"/>
        </w:rPr>
        <w:t>（</w:t>
      </w:r>
      <w:r>
        <w:rPr>
          <w:rFonts w:hint="eastAsia" w:ascii="楷体_GB2312" w:hAnsi="宋体" w:eastAsia="楷体_GB2312"/>
          <w:b w:val="0"/>
          <w:bCs w:val="0"/>
          <w:sz w:val="32"/>
          <w:szCs w:val="32"/>
          <w:lang w:val="en-US" w:eastAsia="zh-CN"/>
        </w:rPr>
        <w:t>二</w:t>
      </w:r>
      <w:r>
        <w:rPr>
          <w:rFonts w:hint="eastAsia" w:ascii="楷体_GB2312" w:hAnsi="宋体" w:eastAsia="楷体_GB2312"/>
          <w:b w:val="0"/>
          <w:bCs w:val="0"/>
          <w:sz w:val="32"/>
          <w:szCs w:val="32"/>
          <w:lang w:val="zh-CN"/>
        </w:rPr>
        <w:t>）存在的问题</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宋体" w:eastAsia="楷体_GB2312"/>
          <w:b w:val="0"/>
          <w:bCs w:val="0"/>
          <w:sz w:val="32"/>
          <w:szCs w:val="32"/>
          <w:lang w:val="zh-CN"/>
        </w:rPr>
      </w:pPr>
      <w:r>
        <w:rPr>
          <w:rFonts w:hint="eastAsia" w:ascii="楷体_GB2312" w:hAnsi="宋体" w:eastAsia="楷体_GB2312"/>
          <w:b w:val="0"/>
          <w:bCs w:val="0"/>
          <w:sz w:val="32"/>
          <w:szCs w:val="32"/>
          <w:lang w:val="zh-CN"/>
        </w:rPr>
        <w:t>（二）相关建议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sz w:val="32"/>
          <w:szCs w:val="32"/>
          <w:lang w:val="en-US" w:eastAsia="zh-CN"/>
        </w:rPr>
        <w:t>对核算平台使用功能进一步优化，满足差异化、个性化需求。</w:t>
      </w:r>
    </w:p>
    <w:p>
      <w:pPr>
        <w:keepNext w:val="0"/>
        <w:keepLines w:val="0"/>
        <w:pageBreakBefore w:val="0"/>
        <w:widowControl w:val="0"/>
        <w:kinsoku/>
        <w:wordWrap/>
        <w:overflowPunct/>
        <w:topLinePunct w:val="0"/>
        <w:bidi w:val="0"/>
        <w:spacing w:line="600" w:lineRule="exact"/>
        <w:jc w:val="center"/>
        <w:outlineLvl w:val="0"/>
        <w:rPr>
          <w:rFonts w:hint="eastAsia" w:ascii="黑体" w:hAnsi="黑体" w:eastAsia="黑体"/>
          <w:color w:val="auto"/>
          <w:sz w:val="44"/>
          <w:szCs w:val="44"/>
          <w:highlight w:val="none"/>
        </w:rPr>
      </w:pPr>
    </w:p>
    <w:p>
      <w:pPr>
        <w:keepNext w:val="0"/>
        <w:keepLines w:val="0"/>
        <w:pageBreakBefore w:val="0"/>
        <w:widowControl w:val="0"/>
        <w:kinsoku/>
        <w:wordWrap/>
        <w:overflowPunct/>
        <w:topLinePunct w:val="0"/>
        <w:bidi w:val="0"/>
        <w:spacing w:line="600" w:lineRule="exact"/>
        <w:jc w:val="center"/>
        <w:outlineLvl w:val="0"/>
        <w:rPr>
          <w:rFonts w:hint="eastAsia" w:ascii="黑体" w:hAnsi="黑体" w:eastAsia="黑体"/>
          <w:color w:val="auto"/>
          <w:sz w:val="44"/>
          <w:szCs w:val="44"/>
          <w:highlight w:val="none"/>
        </w:rPr>
      </w:pPr>
    </w:p>
    <w:p>
      <w:pPr>
        <w:keepNext w:val="0"/>
        <w:keepLines w:val="0"/>
        <w:pageBreakBefore w:val="0"/>
        <w:widowControl w:val="0"/>
        <w:kinsoku/>
        <w:wordWrap/>
        <w:overflowPunct/>
        <w:topLinePunct w:val="0"/>
        <w:bidi w:val="0"/>
        <w:spacing w:line="600" w:lineRule="exact"/>
        <w:jc w:val="center"/>
        <w:outlineLvl w:val="0"/>
        <w:rPr>
          <w:rFonts w:hint="eastAsia" w:ascii="黑体" w:hAnsi="黑体" w:eastAsia="黑体"/>
          <w:color w:val="auto"/>
          <w:sz w:val="44"/>
          <w:szCs w:val="44"/>
          <w:highlight w:val="none"/>
        </w:rPr>
      </w:pPr>
    </w:p>
    <w:p>
      <w:pPr>
        <w:keepNext w:val="0"/>
        <w:keepLines w:val="0"/>
        <w:pageBreakBefore w:val="0"/>
        <w:widowControl w:val="0"/>
        <w:kinsoku/>
        <w:wordWrap/>
        <w:overflowPunct/>
        <w:topLinePunct w:val="0"/>
        <w:bidi w:val="0"/>
        <w:spacing w:line="600" w:lineRule="exact"/>
        <w:jc w:val="center"/>
        <w:outlineLvl w:val="0"/>
        <w:rPr>
          <w:rFonts w:hint="eastAsia" w:ascii="黑体" w:hAnsi="黑体" w:eastAsia="黑体"/>
          <w:color w:val="auto"/>
          <w:sz w:val="44"/>
          <w:szCs w:val="44"/>
          <w:highlight w:val="none"/>
        </w:rPr>
      </w:pPr>
    </w:p>
    <w:p>
      <w:pPr>
        <w:keepNext w:val="0"/>
        <w:keepLines w:val="0"/>
        <w:pageBreakBefore w:val="0"/>
        <w:widowControl w:val="0"/>
        <w:kinsoku/>
        <w:wordWrap/>
        <w:overflowPunct/>
        <w:topLinePunct w:val="0"/>
        <w:bidi w:val="0"/>
        <w:spacing w:line="600" w:lineRule="exact"/>
        <w:jc w:val="center"/>
        <w:outlineLvl w:val="0"/>
        <w:rPr>
          <w:rFonts w:hint="eastAsia" w:ascii="黑体" w:hAnsi="黑体" w:eastAsia="黑体"/>
          <w:color w:val="auto"/>
          <w:sz w:val="44"/>
          <w:szCs w:val="44"/>
          <w:highlight w:val="none"/>
        </w:rPr>
      </w:pPr>
    </w:p>
    <w:p>
      <w:pPr>
        <w:keepNext w:val="0"/>
        <w:keepLines w:val="0"/>
        <w:pageBreakBefore w:val="0"/>
        <w:widowControl w:val="0"/>
        <w:kinsoku/>
        <w:wordWrap/>
        <w:overflowPunct/>
        <w:topLinePunct w:val="0"/>
        <w:bidi w:val="0"/>
        <w:spacing w:line="600" w:lineRule="exact"/>
        <w:jc w:val="center"/>
        <w:outlineLvl w:val="0"/>
        <w:rPr>
          <w:rFonts w:hint="eastAsia" w:ascii="黑体" w:hAnsi="黑体" w:eastAsia="黑体"/>
          <w:color w:val="auto"/>
          <w:sz w:val="44"/>
          <w:szCs w:val="44"/>
          <w:highlight w:val="none"/>
        </w:rPr>
      </w:pPr>
    </w:p>
    <w:p>
      <w:pPr>
        <w:keepNext w:val="0"/>
        <w:keepLines w:val="0"/>
        <w:pageBreakBefore w:val="0"/>
        <w:widowControl w:val="0"/>
        <w:kinsoku/>
        <w:wordWrap/>
        <w:overflowPunct/>
        <w:topLinePunct w:val="0"/>
        <w:bidi w:val="0"/>
        <w:spacing w:line="600" w:lineRule="exact"/>
        <w:jc w:val="center"/>
        <w:outlineLvl w:val="0"/>
        <w:rPr>
          <w:rFonts w:hint="eastAsia" w:ascii="黑体" w:hAnsi="黑体" w:eastAsia="黑体"/>
          <w:color w:val="auto"/>
          <w:sz w:val="44"/>
          <w:szCs w:val="44"/>
          <w:highlight w:val="none"/>
        </w:rPr>
      </w:pPr>
    </w:p>
    <w:p>
      <w:pPr>
        <w:keepNext w:val="0"/>
        <w:keepLines w:val="0"/>
        <w:pageBreakBefore w:val="0"/>
        <w:widowControl w:val="0"/>
        <w:kinsoku/>
        <w:wordWrap/>
        <w:overflowPunct/>
        <w:topLinePunct w:val="0"/>
        <w:bidi w:val="0"/>
        <w:spacing w:line="600" w:lineRule="exact"/>
        <w:jc w:val="center"/>
        <w:outlineLvl w:val="0"/>
        <w:rPr>
          <w:rFonts w:hint="eastAsia" w:ascii="黑体" w:hAnsi="黑体" w:eastAsia="黑体"/>
          <w:color w:val="auto"/>
          <w:sz w:val="44"/>
          <w:szCs w:val="44"/>
          <w:highlight w:val="none"/>
        </w:rPr>
      </w:pPr>
    </w:p>
    <w:p>
      <w:pPr>
        <w:keepNext w:val="0"/>
        <w:keepLines w:val="0"/>
        <w:pageBreakBefore w:val="0"/>
        <w:widowControl w:val="0"/>
        <w:kinsoku/>
        <w:wordWrap/>
        <w:overflowPunct/>
        <w:topLinePunct w:val="0"/>
        <w:bidi w:val="0"/>
        <w:spacing w:line="600" w:lineRule="exact"/>
        <w:jc w:val="center"/>
        <w:outlineLvl w:val="0"/>
        <w:rPr>
          <w:rFonts w:hint="eastAsia" w:ascii="黑体" w:hAnsi="黑体" w:eastAsia="黑体"/>
          <w:color w:val="auto"/>
          <w:sz w:val="44"/>
          <w:szCs w:val="44"/>
          <w:highlight w:val="none"/>
        </w:rPr>
      </w:pPr>
    </w:p>
    <w:p>
      <w:pPr>
        <w:keepNext w:val="0"/>
        <w:keepLines w:val="0"/>
        <w:pageBreakBefore w:val="0"/>
        <w:widowControl w:val="0"/>
        <w:kinsoku/>
        <w:wordWrap/>
        <w:overflowPunct/>
        <w:topLinePunct w:val="0"/>
        <w:bidi w:val="0"/>
        <w:spacing w:line="600" w:lineRule="exact"/>
        <w:jc w:val="center"/>
        <w:outlineLvl w:val="0"/>
        <w:rPr>
          <w:rFonts w:hint="eastAsia" w:ascii="黑体" w:hAnsi="黑体" w:eastAsia="黑体"/>
          <w:color w:val="auto"/>
          <w:sz w:val="44"/>
          <w:szCs w:val="44"/>
          <w:highlight w:val="none"/>
        </w:rPr>
      </w:pPr>
    </w:p>
    <w:p>
      <w:pPr>
        <w:keepNext w:val="0"/>
        <w:keepLines w:val="0"/>
        <w:pageBreakBefore w:val="0"/>
        <w:widowControl w:val="0"/>
        <w:kinsoku/>
        <w:wordWrap/>
        <w:overflowPunct/>
        <w:topLinePunct w:val="0"/>
        <w:bidi w:val="0"/>
        <w:spacing w:line="600" w:lineRule="exact"/>
        <w:jc w:val="center"/>
        <w:outlineLvl w:val="0"/>
        <w:rPr>
          <w:rFonts w:hint="eastAsia" w:ascii="黑体" w:hAnsi="黑体" w:eastAsia="黑体"/>
          <w:color w:val="auto"/>
          <w:sz w:val="44"/>
          <w:szCs w:val="44"/>
          <w:highlight w:val="none"/>
        </w:rPr>
      </w:pPr>
    </w:p>
    <w:p>
      <w:pPr>
        <w:keepNext w:val="0"/>
        <w:keepLines w:val="0"/>
        <w:pageBreakBefore w:val="0"/>
        <w:widowControl w:val="0"/>
        <w:kinsoku/>
        <w:wordWrap/>
        <w:overflowPunct/>
        <w:topLinePunct w:val="0"/>
        <w:bidi w:val="0"/>
        <w:spacing w:line="600" w:lineRule="exact"/>
        <w:jc w:val="center"/>
        <w:outlineLvl w:val="0"/>
        <w:rPr>
          <w:rFonts w:hint="eastAsia" w:ascii="黑体" w:hAnsi="黑体" w:eastAsia="黑体"/>
          <w:color w:val="auto"/>
          <w:sz w:val="44"/>
          <w:szCs w:val="44"/>
          <w:highlight w:val="none"/>
        </w:rPr>
      </w:pPr>
    </w:p>
    <w:p>
      <w:pPr>
        <w:keepNext w:val="0"/>
        <w:keepLines w:val="0"/>
        <w:pageBreakBefore w:val="0"/>
        <w:widowControl w:val="0"/>
        <w:kinsoku/>
        <w:wordWrap/>
        <w:overflowPunct/>
        <w:topLinePunct w:val="0"/>
        <w:bidi w:val="0"/>
        <w:spacing w:line="600" w:lineRule="exact"/>
        <w:jc w:val="center"/>
        <w:outlineLvl w:val="0"/>
        <w:rPr>
          <w:rFonts w:hint="eastAsia" w:ascii="黑体" w:hAnsi="黑体" w:eastAsia="黑体"/>
          <w:color w:val="auto"/>
          <w:sz w:val="44"/>
          <w:szCs w:val="44"/>
          <w:highlight w:val="none"/>
        </w:rPr>
      </w:pPr>
    </w:p>
    <w:p>
      <w:pPr>
        <w:keepNext w:val="0"/>
        <w:keepLines w:val="0"/>
        <w:pageBreakBefore w:val="0"/>
        <w:widowControl w:val="0"/>
        <w:kinsoku/>
        <w:wordWrap/>
        <w:overflowPunct/>
        <w:topLinePunct w:val="0"/>
        <w:bidi w:val="0"/>
        <w:spacing w:line="600" w:lineRule="exact"/>
        <w:jc w:val="center"/>
        <w:outlineLvl w:val="0"/>
        <w:rPr>
          <w:rFonts w:hint="eastAsia" w:ascii="黑体" w:hAnsi="黑体" w:eastAsia="黑体"/>
          <w:color w:val="auto"/>
          <w:sz w:val="44"/>
          <w:szCs w:val="44"/>
          <w:highlight w:val="none"/>
        </w:rPr>
      </w:pPr>
    </w:p>
    <w:p>
      <w:pPr>
        <w:keepNext w:val="0"/>
        <w:keepLines w:val="0"/>
        <w:pageBreakBefore w:val="0"/>
        <w:widowControl w:val="0"/>
        <w:kinsoku/>
        <w:wordWrap/>
        <w:overflowPunct/>
        <w:topLinePunct w:val="0"/>
        <w:bidi w:val="0"/>
        <w:spacing w:line="600" w:lineRule="exact"/>
        <w:jc w:val="center"/>
        <w:outlineLvl w:val="0"/>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6"/>
        <w:keepNext w:val="0"/>
        <w:keepLines w:val="0"/>
        <w:pageBreakBefore w:val="0"/>
        <w:widowControl w:val="0"/>
        <w:kinsoku/>
        <w:wordWrap/>
        <w:overflowPunct/>
        <w:topLinePunct w:val="0"/>
        <w:bidi w:val="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附表</w:t>
      </w:r>
    </w:p>
    <w:tbl>
      <w:tblPr>
        <w:tblStyle w:val="13"/>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29"/>
        <w:gridCol w:w="1039"/>
        <w:gridCol w:w="1442"/>
        <w:gridCol w:w="1489"/>
        <w:gridCol w:w="2030"/>
        <w:gridCol w:w="1848"/>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line="560" w:lineRule="exact"/>
              <w:jc w:val="center"/>
              <w:textAlignment w:val="center"/>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i w:val="0"/>
                <w:color w:val="auto"/>
                <w:sz w:val="44"/>
                <w:szCs w:val="44"/>
                <w:highlight w:val="none"/>
                <w:u w:val="none"/>
                <w:lang w:val="en-US" w:eastAsia="zh-CN"/>
              </w:rPr>
              <w:t>2021年部门预算</w:t>
            </w:r>
            <w:r>
              <w:rPr>
                <w:rFonts w:hint="eastAsia" w:ascii="方正小标宋简体" w:hAnsi="方正小标宋简体" w:eastAsia="方正小标宋简体" w:cs="方正小标宋简体"/>
                <w:b w:val="0"/>
                <w:bCs/>
                <w:sz w:val="44"/>
                <w:szCs w:val="44"/>
                <w:lang w:val="en-US" w:eastAsia="zh-CN"/>
              </w:rPr>
              <w:t>市级预算管理核算平台</w:t>
            </w:r>
            <w:r>
              <w:rPr>
                <w:rFonts w:hint="eastAsia" w:ascii="方正小标宋简体" w:hAnsi="方正小标宋简体" w:eastAsia="方正小标宋简体" w:cs="方正小标宋简体"/>
                <w:b w:val="0"/>
                <w:bCs/>
                <w:sz w:val="44"/>
                <w:szCs w:val="44"/>
                <w:lang w:eastAsia="zh-CN"/>
              </w:rPr>
              <w:t>项目</w:t>
            </w:r>
          </w:p>
          <w:p>
            <w:pPr>
              <w:keepNext w:val="0"/>
              <w:keepLines w:val="0"/>
              <w:pageBreakBefore w:val="0"/>
              <w:widowControl w:val="0"/>
              <w:suppressLineNumbers w:val="0"/>
              <w:kinsoku/>
              <w:wordWrap/>
              <w:overflowPunct/>
              <w:topLinePunct w:val="0"/>
              <w:autoSpaceDE/>
              <w:autoSpaceDN/>
              <w:bidi w:val="0"/>
              <w:adjustRightInd/>
              <w:snapToGrid/>
              <w:spacing w:beforeAutospacing="0" w:line="560" w:lineRule="exact"/>
              <w:jc w:val="center"/>
              <w:textAlignment w:val="center"/>
              <w:rPr>
                <w:rFonts w:hint="eastAsia" w:ascii="宋体" w:hAnsi="宋体" w:eastAsia="宋体" w:cs="宋体"/>
                <w:b/>
                <w:i w:val="0"/>
                <w:color w:val="auto"/>
                <w:sz w:val="32"/>
                <w:szCs w:val="32"/>
                <w:highlight w:val="none"/>
                <w:u w:val="none"/>
              </w:rPr>
            </w:pPr>
            <w:r>
              <w:rPr>
                <w:rFonts w:hint="eastAsia" w:ascii="方正小标宋简体" w:hAnsi="方正小标宋简体" w:eastAsia="方正小标宋简体" w:cs="方正小标宋简体"/>
                <w:b w:val="0"/>
                <w:bCs/>
                <w:i w:val="0"/>
                <w:color w:val="auto"/>
                <w:sz w:val="44"/>
                <w:szCs w:val="44"/>
                <w:highlight w:val="none"/>
                <w:u w:val="none"/>
                <w:lang w:val="en-US" w:eastAsia="zh-CN"/>
              </w:rPr>
              <w:t>绩效目标自评</w:t>
            </w:r>
          </w:p>
        </w:tc>
        <w:tc>
          <w:tcPr>
            <w:tcW w:w="234" w:type="dxa"/>
            <w:tcBorders>
              <w:top w:val="nil"/>
              <w:left w:val="nil"/>
              <w:bottom w:val="nil"/>
              <w:right w:val="nil"/>
            </w:tcBorders>
            <w:shd w:val="clear" w:color="auto" w:fill="auto"/>
            <w:vAlign w:val="center"/>
          </w:tcPr>
          <w:p>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b/>
                <w:i w:val="0"/>
                <w:color w:val="auto"/>
                <w:kern w:val="0"/>
                <w:sz w:val="32"/>
                <w:szCs w:val="3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54" w:hRule="atLeast"/>
        </w:trPr>
        <w:tc>
          <w:tcPr>
            <w:tcW w:w="2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主管部门及代码</w:t>
            </w:r>
          </w:p>
        </w:tc>
        <w:tc>
          <w:tcPr>
            <w:tcW w:w="2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广元市财政局</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实施单位</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cs="宋体"/>
                <w:i w:val="0"/>
                <w:color w:val="auto"/>
                <w:sz w:val="24"/>
                <w:szCs w:val="24"/>
                <w:highlight w:val="none"/>
                <w:u w:val="none"/>
                <w:lang w:val="en-US" w:eastAsia="zh-CN"/>
              </w:rPr>
              <w:t>广元市财政局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27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项目预算</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执行情况</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（万元）</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预算数：</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27.94</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执行数：</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27.94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27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其中：</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财政拨款</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27.94</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其中：</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财政拨款</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27.94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27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其他资金</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其他资金</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99" w:hRule="atLeast"/>
        </w:trPr>
        <w:tc>
          <w:tcPr>
            <w:tcW w:w="17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年度总体目标</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完成情况</w:t>
            </w:r>
          </w:p>
        </w:tc>
        <w:tc>
          <w:tcPr>
            <w:tcW w:w="39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预期目标</w:t>
            </w:r>
          </w:p>
        </w:tc>
        <w:tc>
          <w:tcPr>
            <w:tcW w:w="3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39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4"/>
                <w:szCs w:val="24"/>
                <w:highlight w:val="none"/>
                <w:u w:val="none"/>
              </w:rPr>
              <w:t>完成市级预算单位会计核算管理平台优化维护，实现“核算标准化、软件规范化、信息共享化、分析科学化”。</w:t>
            </w:r>
          </w:p>
        </w:tc>
        <w:tc>
          <w:tcPr>
            <w:tcW w:w="387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top"/>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已完成目标任务。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05" w:hRule="atLeast"/>
        </w:trPr>
        <w:tc>
          <w:tcPr>
            <w:tcW w:w="172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年度绩效指标完成情况</w:t>
            </w:r>
          </w:p>
        </w:tc>
        <w:tc>
          <w:tcPr>
            <w:tcW w:w="103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一级</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指标</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二级</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指标</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三级</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指标</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预期指标值</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实际完成</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877" w:hRule="atLeast"/>
        </w:trPr>
        <w:tc>
          <w:tcPr>
            <w:tcW w:w="172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p>
        </w:tc>
        <w:tc>
          <w:tcPr>
            <w:tcW w:w="10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完成</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指标</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数量指标</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市级预算单位会计核算平台</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lang w:val="en-US" w:eastAsia="zh-CN"/>
              </w:rPr>
              <w:t>完</w:t>
            </w:r>
            <w:bookmarkStart w:id="67" w:name="_GoBack"/>
            <w:r>
              <w:rPr>
                <w:rFonts w:hint="eastAsia" w:asciiTheme="minorEastAsia" w:hAnsiTheme="minorEastAsia" w:eastAsiaTheme="minorEastAsia" w:cstheme="minorEastAsia"/>
                <w:i w:val="0"/>
                <w:color w:val="auto"/>
                <w:sz w:val="21"/>
                <w:szCs w:val="21"/>
                <w:highlight w:val="none"/>
                <w:u w:val="none"/>
                <w:lang w:val="en-US" w:eastAsia="zh-CN"/>
              </w:rPr>
              <w:t>成市级预算单位会计核算管理平台</w:t>
            </w:r>
            <w:r>
              <w:rPr>
                <w:rFonts w:hint="eastAsia" w:asciiTheme="minorEastAsia" w:hAnsiTheme="minorEastAsia" w:eastAsiaTheme="minorEastAsia" w:cstheme="minorEastAsia"/>
                <w:i w:val="0"/>
                <w:color w:val="auto"/>
                <w:sz w:val="21"/>
                <w:szCs w:val="21"/>
                <w:highlight w:val="none"/>
                <w:u w:val="none"/>
              </w:rPr>
              <w:t>维护。</w:t>
            </w:r>
            <w:bookmarkEnd w:id="67"/>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heme="minorEastAsia" w:hAnsiTheme="minorEastAsia" w:eastAsiaTheme="minorEastAsia" w:cstheme="minorEastAsia"/>
                <w:i w:val="0"/>
                <w:color w:val="auto"/>
                <w:sz w:val="21"/>
                <w:szCs w:val="21"/>
                <w:highlight w:val="none"/>
                <w:u w:val="none"/>
                <w:lang w:val="en-US" w:eastAsia="zh-CN"/>
              </w:rPr>
            </w:pPr>
            <w:r>
              <w:rPr>
                <w:rFonts w:hint="eastAsia" w:asciiTheme="minorEastAsia" w:hAnsiTheme="minorEastAsia" w:eastAsiaTheme="minorEastAsia" w:cstheme="minorEastAsia"/>
                <w:i w:val="0"/>
                <w:color w:val="auto"/>
                <w:sz w:val="21"/>
                <w:szCs w:val="21"/>
                <w:highlight w:val="none"/>
                <w:u w:val="none"/>
                <w:lang w:val="en-US" w:eastAsia="zh-CN"/>
              </w:rPr>
              <w:t>完成会计核算平台运行维护。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72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质量指标</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平台运行</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保障平台正常运行，实现市级预算单位账务核算网络化。</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heme="minorEastAsia" w:hAnsiTheme="minorEastAsia" w:eastAsiaTheme="minorEastAsia" w:cstheme="minorEastAsia"/>
                <w:i w:val="0"/>
                <w:color w:val="auto"/>
                <w:sz w:val="21"/>
                <w:szCs w:val="21"/>
                <w:highlight w:val="none"/>
                <w:u w:val="none"/>
                <w:lang w:val="en-US" w:eastAsia="zh-CN"/>
              </w:rPr>
            </w:pPr>
            <w:r>
              <w:rPr>
                <w:rFonts w:hint="eastAsia" w:asciiTheme="minorEastAsia" w:hAnsiTheme="minorEastAsia" w:eastAsiaTheme="minorEastAsia" w:cstheme="minorEastAsia"/>
                <w:i w:val="0"/>
                <w:color w:val="auto"/>
                <w:sz w:val="21"/>
                <w:szCs w:val="21"/>
                <w:highlight w:val="none"/>
                <w:u w:val="none"/>
                <w:lang w:val="en-US"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72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时效指标</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平台运行维护</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按合同约定完成</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lang w:val="en-US"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72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成本指标</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运行维护费用</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lang w:val="en-US" w:eastAsia="zh-CN"/>
              </w:rPr>
              <w:t>27.94</w:t>
            </w:r>
            <w:r>
              <w:rPr>
                <w:rFonts w:hint="eastAsia" w:asciiTheme="minorEastAsia" w:hAnsiTheme="minorEastAsia" w:eastAsiaTheme="minorEastAsia" w:cstheme="minorEastAsia"/>
                <w:i w:val="0"/>
                <w:color w:val="auto"/>
                <w:sz w:val="21"/>
                <w:szCs w:val="21"/>
                <w:highlight w:val="none"/>
                <w:u w:val="none"/>
              </w:rPr>
              <w:t>万元</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heme="minorEastAsia" w:hAnsiTheme="minorEastAsia" w:eastAsiaTheme="minorEastAsia" w:cstheme="minorEastAsia"/>
                <w:i w:val="0"/>
                <w:color w:val="auto"/>
                <w:sz w:val="21"/>
                <w:szCs w:val="21"/>
                <w:highlight w:val="none"/>
                <w:u w:val="none"/>
                <w:lang w:val="en-US" w:eastAsia="zh-CN"/>
              </w:rPr>
            </w:pPr>
            <w:r>
              <w:rPr>
                <w:rFonts w:hint="eastAsia" w:asciiTheme="minorEastAsia" w:hAnsiTheme="minorEastAsia" w:eastAsiaTheme="minorEastAsia" w:cstheme="minorEastAsia"/>
                <w:i w:val="0"/>
                <w:color w:val="auto"/>
                <w:sz w:val="21"/>
                <w:szCs w:val="21"/>
                <w:highlight w:val="none"/>
                <w:u w:val="none"/>
                <w:lang w:val="en-US" w:eastAsia="zh-CN"/>
              </w:rPr>
              <w:t>27.94万元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72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效益</w:t>
            </w:r>
          </w:p>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指标</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社会效益  指标</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财政工作</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为财政工作顺利开展提供技术保证</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lang w:val="en-US"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30" w:hRule="atLeast"/>
        </w:trPr>
        <w:tc>
          <w:tcPr>
            <w:tcW w:w="172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满意</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度指标</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满意度</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指标</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系统运行</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满意度</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100%</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heme="minorEastAsia" w:hAnsiTheme="minorEastAsia" w:eastAsiaTheme="minorEastAsia" w:cstheme="minorEastAsia"/>
                <w:i w:val="0"/>
                <w:color w:val="auto"/>
                <w:sz w:val="21"/>
                <w:szCs w:val="21"/>
                <w:highlight w:val="none"/>
                <w:u w:val="none"/>
                <w:lang w:val="en-US" w:eastAsia="zh-CN"/>
              </w:rPr>
            </w:pPr>
            <w:r>
              <w:rPr>
                <w:rFonts w:hint="eastAsia" w:asciiTheme="minorEastAsia" w:hAnsiTheme="minorEastAsia" w:eastAsiaTheme="minorEastAsia" w:cstheme="minorEastAsia"/>
                <w:i w:val="0"/>
                <w:color w:val="auto"/>
                <w:sz w:val="21"/>
                <w:szCs w:val="21"/>
                <w:highlight w:val="none"/>
                <w:u w:val="none"/>
                <w:lang w:val="en-US" w:eastAsia="zh-CN"/>
              </w:rPr>
              <w:t>100%</w:t>
            </w:r>
          </w:p>
        </w:tc>
      </w:tr>
    </w:tbl>
    <w:p>
      <w:pPr>
        <w:pStyle w:val="6"/>
        <w:keepNext w:val="0"/>
        <w:keepLines w:val="0"/>
        <w:pageBreakBefore w:val="0"/>
        <w:widowControl w:val="0"/>
        <w:kinsoku/>
        <w:wordWrap/>
        <w:overflowPunct/>
        <w:topLinePunct w:val="0"/>
        <w:bidi w:val="0"/>
        <w:rPr>
          <w:rFonts w:hint="eastAsia" w:ascii="黑体" w:hAnsi="黑体" w:eastAsia="黑体"/>
          <w:color w:val="auto"/>
          <w:sz w:val="44"/>
          <w:szCs w:val="44"/>
          <w:highlight w:val="none"/>
          <w:lang w:val="en-US" w:eastAsia="zh-CN"/>
        </w:rPr>
      </w:pPr>
    </w:p>
    <w:p>
      <w:pPr>
        <w:pStyle w:val="6"/>
        <w:keepNext w:val="0"/>
        <w:keepLines w:val="0"/>
        <w:pageBreakBefore w:val="0"/>
        <w:widowControl w:val="0"/>
        <w:kinsoku/>
        <w:wordWrap/>
        <w:overflowPunct/>
        <w:topLinePunct w:val="0"/>
        <w:bidi w:val="0"/>
        <w:rPr>
          <w:rFonts w:hint="eastAsia" w:ascii="黑体" w:hAnsi="黑体" w:eastAsia="黑体"/>
          <w:color w:val="auto"/>
          <w:sz w:val="44"/>
          <w:szCs w:val="44"/>
          <w:highlight w:val="none"/>
          <w:lang w:val="en-US" w:eastAsia="zh-CN"/>
        </w:rPr>
      </w:pPr>
    </w:p>
    <w:p>
      <w:pPr>
        <w:pStyle w:val="6"/>
        <w:keepNext w:val="0"/>
        <w:keepLines w:val="0"/>
        <w:pageBreakBefore w:val="0"/>
        <w:widowControl w:val="0"/>
        <w:kinsoku/>
        <w:wordWrap/>
        <w:overflowPunct/>
        <w:topLinePunct w:val="0"/>
        <w:bidi w:val="0"/>
        <w:rPr>
          <w:rFonts w:hint="eastAsia" w:ascii="黑体" w:hAnsi="黑体" w:eastAsia="黑体"/>
          <w:color w:val="auto"/>
          <w:sz w:val="44"/>
          <w:szCs w:val="44"/>
          <w:highlight w:val="none"/>
          <w:lang w:val="en-US" w:eastAsia="zh-CN"/>
        </w:rPr>
      </w:pPr>
    </w:p>
    <w:p>
      <w:pPr>
        <w:pStyle w:val="31"/>
        <w:keepNext w:val="0"/>
        <w:keepLines w:val="0"/>
        <w:pageBreakBefore w:val="0"/>
        <w:widowControl w:val="0"/>
        <w:kinsoku/>
        <w:wordWrap/>
        <w:overflowPunct/>
        <w:topLinePunct w:val="0"/>
        <w:bidi w:val="0"/>
        <w:spacing w:line="576" w:lineRule="exact"/>
        <w:jc w:val="center"/>
        <w:rPr>
          <w:rFonts w:hint="eastAsia" w:ascii="方正小标宋简体" w:hAnsi="方正小标宋简体" w:eastAsia="方正小标宋简体" w:cs="方正小标宋简体"/>
          <w:color w:val="auto"/>
          <w:kern w:val="2"/>
          <w:sz w:val="44"/>
          <w:szCs w:val="44"/>
          <w:lang w:val="en-US"/>
        </w:rPr>
      </w:pPr>
    </w:p>
    <w:p>
      <w:pPr>
        <w:pStyle w:val="31"/>
        <w:keepNext w:val="0"/>
        <w:keepLines w:val="0"/>
        <w:pageBreakBefore w:val="0"/>
        <w:widowControl w:val="0"/>
        <w:kinsoku/>
        <w:wordWrap/>
        <w:overflowPunct/>
        <w:topLinePunct w:val="0"/>
        <w:bidi w:val="0"/>
        <w:spacing w:line="576" w:lineRule="exact"/>
        <w:jc w:val="center"/>
        <w:rPr>
          <w:rFonts w:ascii="楷体_GB2312" w:hAnsi="楷体_GB2312" w:eastAsia="楷体_GB2312" w:cs="楷体_GB2312"/>
          <w:color w:val="auto"/>
          <w:kern w:val="2"/>
          <w:sz w:val="32"/>
          <w:szCs w:val="32"/>
        </w:rPr>
      </w:pPr>
      <w:r>
        <w:rPr>
          <w:rFonts w:hint="eastAsia" w:ascii="方正小标宋简体" w:hAnsi="方正小标宋简体" w:eastAsia="方正小标宋简体" w:cs="方正小标宋简体"/>
          <w:color w:val="auto"/>
          <w:kern w:val="2"/>
          <w:sz w:val="44"/>
          <w:szCs w:val="44"/>
          <w:lang w:val="en-US"/>
        </w:rPr>
        <w:t>广</w:t>
      </w:r>
      <w:r>
        <w:rPr>
          <w:rFonts w:ascii="方正小标宋简体" w:hAnsi="方正小标宋简体" w:eastAsia="方正小标宋简体" w:cs="方正小标宋简体"/>
          <w:color w:val="auto"/>
          <w:kern w:val="2"/>
          <w:sz w:val="44"/>
          <w:szCs w:val="44"/>
          <w:lang w:val="en-US"/>
        </w:rPr>
        <w:t>元市财政局</w:t>
      </w:r>
      <w:r>
        <w:rPr>
          <w:rFonts w:hint="eastAsia" w:ascii="方正小标宋简体" w:hAnsi="方正小标宋简体" w:eastAsia="方正小标宋简体" w:cs="方正小标宋简体"/>
          <w:color w:val="auto"/>
          <w:kern w:val="2"/>
          <w:sz w:val="44"/>
          <w:szCs w:val="44"/>
          <w:lang w:val="en-US"/>
        </w:rPr>
        <w:t>关于202</w:t>
      </w:r>
      <w:r>
        <w:rPr>
          <w:rFonts w:ascii="方正小标宋简体" w:hAnsi="方正小标宋简体" w:eastAsia="方正小标宋简体" w:cs="方正小标宋简体"/>
          <w:color w:val="auto"/>
          <w:kern w:val="2"/>
          <w:sz w:val="44"/>
          <w:szCs w:val="44"/>
          <w:lang w:val="en-US"/>
        </w:rPr>
        <w:t>1</w:t>
      </w:r>
      <w:r>
        <w:rPr>
          <w:rFonts w:hint="eastAsia" w:ascii="方正小标宋简体" w:hAnsi="方正小标宋简体" w:eastAsia="方正小标宋简体" w:cs="方正小标宋简体"/>
          <w:color w:val="auto"/>
          <w:kern w:val="2"/>
          <w:sz w:val="44"/>
          <w:szCs w:val="44"/>
          <w:lang w:val="en-US"/>
        </w:rPr>
        <w:t>年信息</w:t>
      </w:r>
      <w:r>
        <w:rPr>
          <w:rFonts w:ascii="方正小标宋简体" w:hAnsi="方正小标宋简体" w:eastAsia="方正小标宋简体" w:cs="方正小标宋简体"/>
          <w:color w:val="auto"/>
          <w:kern w:val="2"/>
          <w:sz w:val="44"/>
          <w:szCs w:val="44"/>
          <w:lang w:val="en-US"/>
        </w:rPr>
        <w:t>系统等保测评</w:t>
      </w:r>
      <w:r>
        <w:rPr>
          <w:rFonts w:hint="eastAsia" w:ascii="方正小标宋简体" w:hAnsi="方正小标宋简体" w:eastAsia="方正小标宋简体" w:cs="方正小标宋简体"/>
          <w:color w:val="auto"/>
          <w:kern w:val="2"/>
          <w:sz w:val="44"/>
          <w:szCs w:val="44"/>
        </w:rPr>
        <w:t>项目绩效</w:t>
      </w:r>
      <w:r>
        <w:rPr>
          <w:rFonts w:hint="eastAsia" w:ascii="方正小标宋简体" w:hAnsi="方正小标宋简体" w:eastAsia="方正小标宋简体" w:cs="方正小标宋简体"/>
          <w:color w:val="auto"/>
          <w:kern w:val="2"/>
          <w:sz w:val="44"/>
          <w:szCs w:val="44"/>
          <w:lang w:val="en-US" w:eastAsia="zh-CN"/>
        </w:rPr>
        <w:t>的</w:t>
      </w:r>
      <w:r>
        <w:rPr>
          <w:rFonts w:hint="eastAsia" w:ascii="方正小标宋简体" w:hAnsi="方正小标宋简体" w:eastAsia="方正小标宋简体" w:cs="方正小标宋简体"/>
          <w:color w:val="auto"/>
          <w:kern w:val="2"/>
          <w:sz w:val="44"/>
          <w:szCs w:val="44"/>
        </w:rPr>
        <w:t>自评报告</w:t>
      </w:r>
    </w:p>
    <w:p>
      <w:pPr>
        <w:keepNext w:val="0"/>
        <w:keepLines w:val="0"/>
        <w:pageBreakBefore w:val="0"/>
        <w:widowControl w:val="0"/>
        <w:kinsoku/>
        <w:wordWrap/>
        <w:overflowPunct/>
        <w:topLinePunct w:val="0"/>
        <w:bidi w:val="0"/>
        <w:adjustRightInd w:val="0"/>
        <w:snapToGrid w:val="0"/>
        <w:spacing w:line="576" w:lineRule="exact"/>
        <w:ind w:firstLine="720"/>
        <w:rPr>
          <w:rFonts w:ascii="黑体" w:hAnsi="宋体" w:eastAsia="黑体"/>
        </w:rPr>
      </w:pP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sz w:val="32"/>
          <w:szCs w:val="32"/>
          <w:lang w:val="zh-CN"/>
        </w:rPr>
      </w:pPr>
      <w:r>
        <w:rPr>
          <w:rFonts w:hint="eastAsia" w:ascii="楷体_GB2312" w:hAnsi="宋体" w:eastAsia="楷体_GB2312"/>
          <w:sz w:val="32"/>
          <w:szCs w:val="32"/>
          <w:lang w:val="zh-CN"/>
        </w:rPr>
        <w:t>（一）项目基本情况</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本项目根据市委市政府授予市财政局职能职责所设立，项目经局党组会审定同意申报项目预算。</w:t>
      </w:r>
      <w:r>
        <w:rPr>
          <w:rFonts w:hint="eastAsia" w:ascii="仿宋_GB2312" w:hAnsi="仿宋_GB2312" w:eastAsia="仿宋_GB2312" w:cs="仿宋_GB2312"/>
          <w:sz w:val="32"/>
          <w:szCs w:val="32"/>
          <w:lang w:val="en-US" w:eastAsia="zh-CN"/>
        </w:rPr>
        <w:t>《广元市财政局关于批复2021年市级部门预算的通知》（广财预〔2021〕1号）批复该项目预算32.8万元。</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sz w:val="32"/>
          <w:szCs w:val="32"/>
          <w:lang w:val="zh-CN"/>
        </w:rPr>
      </w:pPr>
      <w:r>
        <w:rPr>
          <w:rFonts w:hint="eastAsia" w:ascii="楷体_GB2312" w:hAnsi="宋体" w:eastAsia="楷体_GB2312"/>
          <w:sz w:val="32"/>
          <w:szCs w:val="32"/>
          <w:lang w:val="zh-CN"/>
        </w:rPr>
        <w:t>（二）项目绩效目标</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1．项目主要内容。本次测评主要是根据GB 17859-1999《计算机信息系统安全保护等级划分准则》信息安全的相关标准，对我局的部门预算管理系统（三级）、广元市市级预算单位会计核算与管理平台（二级）、广元市网上竞价采购系统（二级）、广元市财政局网站（二级）、财政人员供养管理信息系统（二级）和预算执行系统（二级）等6个业务系统，在技术和管理两个方面的10个大项内容进行逐一的检查和测试，其内容涉及信息系统的物理安全、网络安全、主机安全、应用安全、数据安全和管理安全等，核查6个信息系统已有的信息安全防护措施是否达到国家关于信息安全等级保护相应等级的防护要求，找出系统在信息安全方面存在的脆弱点，并提出安全整改建议。</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2．项目绩效目标。通过测评来发现问题、解决问题，从而帮助系统的使用者规避信息安全风险。</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3.项目资金申报相符性。该项目根据单位职能职责设定具体工作内容，申报内容和项目绩效目标与财政管理业务工作相符，项目合理可行。</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sz w:val="32"/>
          <w:szCs w:val="32"/>
          <w:lang w:val="zh-CN"/>
        </w:rPr>
      </w:pPr>
      <w:r>
        <w:rPr>
          <w:rFonts w:hint="eastAsia" w:ascii="楷体_GB2312" w:hAnsi="宋体" w:eastAsia="楷体_GB2312"/>
          <w:sz w:val="32"/>
          <w:szCs w:val="32"/>
          <w:lang w:val="zh-CN"/>
        </w:rPr>
        <w:t>（三）项目自评步骤及方法</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按照项目评价要求，明确自评责任人，通过查验资料、报告工作等形式严格自评，做到自评真实不走形式。</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sz w:val="32"/>
          <w:szCs w:val="32"/>
        </w:rPr>
      </w:pPr>
      <w:r>
        <w:rPr>
          <w:rFonts w:hint="eastAsia" w:ascii="黑体" w:hAnsi="宋体" w:eastAsia="黑体"/>
          <w:sz w:val="32"/>
          <w:szCs w:val="32"/>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sz w:val="32"/>
          <w:szCs w:val="32"/>
          <w:lang w:val="zh-CN"/>
        </w:rPr>
      </w:pPr>
      <w:r>
        <w:rPr>
          <w:rFonts w:hint="eastAsia" w:ascii="楷体_GB2312" w:hAnsi="宋体" w:eastAsia="楷体_GB2312"/>
          <w:sz w:val="32"/>
          <w:szCs w:val="32"/>
          <w:lang w:val="zh-CN"/>
        </w:rPr>
        <w:t>（一）项目资金申报及批复情况</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按照一般公共预算管理要求， 市财政局申报项目资金预算，202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rPr>
        <w:t>年由广元市财政局通过</w:t>
      </w:r>
      <w:r>
        <w:rPr>
          <w:rFonts w:hint="eastAsia" w:ascii="仿宋_GB2312" w:hAnsi="仿宋_GB2312" w:eastAsia="仿宋_GB2312" w:cs="仿宋_GB2312"/>
          <w:sz w:val="32"/>
          <w:szCs w:val="32"/>
          <w:lang w:val="en-US" w:eastAsia="zh-CN"/>
        </w:rPr>
        <w:t>《广元市财政局关于批复2021年市级部门预算的通知》（广财预〔2021〕1号）</w:t>
      </w:r>
      <w:r>
        <w:rPr>
          <w:rFonts w:hint="eastAsia" w:ascii="仿宋_GB2312" w:hAnsi="仿宋_GB2312" w:eastAsia="仿宋_GB2312" w:cs="仿宋_GB2312"/>
          <w:sz w:val="32"/>
          <w:szCs w:val="32"/>
          <w:lang w:val="zh-CN"/>
        </w:rPr>
        <w:t>文件下达我单位项目资金</w:t>
      </w:r>
      <w:r>
        <w:rPr>
          <w:rFonts w:hint="eastAsia" w:ascii="仿宋_GB2312" w:hAnsi="仿宋_GB2312" w:eastAsia="仿宋_GB2312" w:cs="仿宋_GB2312"/>
          <w:sz w:val="32"/>
          <w:szCs w:val="32"/>
          <w:lang w:val="en-US" w:eastAsia="zh-CN"/>
        </w:rPr>
        <w:t>32.8</w:t>
      </w:r>
      <w:r>
        <w:rPr>
          <w:rFonts w:hint="eastAsia" w:ascii="仿宋_GB2312" w:hAnsi="仿宋_GB2312" w:eastAsia="仿宋_GB2312" w:cs="仿宋_GB2312"/>
          <w:sz w:val="32"/>
          <w:szCs w:val="32"/>
          <w:lang w:val="zh-CN"/>
        </w:rPr>
        <w:t>万元。</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sz w:val="32"/>
          <w:szCs w:val="32"/>
          <w:lang w:val="zh-CN"/>
        </w:rPr>
      </w:pPr>
      <w:r>
        <w:rPr>
          <w:rFonts w:hint="eastAsia" w:ascii="楷体_GB2312" w:hAnsi="宋体" w:eastAsia="楷体_GB2312"/>
          <w:sz w:val="32"/>
          <w:szCs w:val="32"/>
          <w:lang w:val="zh-CN"/>
        </w:rPr>
        <w:t>（二）资金计划、到位及使用情况</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1．资金计划及到位。本项目预算</w:t>
      </w:r>
      <w:r>
        <w:rPr>
          <w:rFonts w:hint="eastAsia" w:ascii="仿宋_GB2312" w:hAnsi="仿宋_GB2312" w:eastAsia="仿宋_GB2312" w:cs="仿宋_GB2312"/>
          <w:sz w:val="32"/>
          <w:szCs w:val="32"/>
          <w:lang w:val="en-US" w:eastAsia="zh-CN"/>
        </w:rPr>
        <w:t>批复资金</w:t>
      </w:r>
      <w:r>
        <w:rPr>
          <w:rFonts w:hint="eastAsia" w:ascii="仿宋_GB2312" w:hAnsi="仿宋_GB2312" w:eastAsia="仿宋_GB2312" w:cs="仿宋_GB2312"/>
          <w:sz w:val="32"/>
          <w:szCs w:val="32"/>
          <w:lang w:val="zh-CN"/>
        </w:rPr>
        <w:t>为</w:t>
      </w:r>
      <w:r>
        <w:rPr>
          <w:rFonts w:hint="eastAsia" w:ascii="仿宋_GB2312" w:hAnsi="仿宋_GB2312" w:eastAsia="仿宋_GB2312" w:cs="仿宋_GB2312"/>
          <w:sz w:val="32"/>
          <w:szCs w:val="32"/>
          <w:lang w:val="en-US" w:eastAsia="zh-CN"/>
        </w:rPr>
        <w:t>32.8</w:t>
      </w:r>
      <w:r>
        <w:rPr>
          <w:rFonts w:hint="eastAsia" w:ascii="仿宋_GB2312" w:hAnsi="仿宋_GB2312" w:eastAsia="仿宋_GB2312" w:cs="仿宋_GB2312"/>
          <w:sz w:val="32"/>
          <w:szCs w:val="32"/>
          <w:lang w:val="zh-CN"/>
        </w:rPr>
        <w:t>万元，截至202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rPr>
        <w:t>年底，</w:t>
      </w:r>
      <w:r>
        <w:rPr>
          <w:rFonts w:hint="eastAsia" w:ascii="仿宋_GB2312" w:hAnsi="仿宋_GB2312" w:eastAsia="仿宋_GB2312" w:cs="仿宋_GB2312"/>
          <w:sz w:val="32"/>
          <w:szCs w:val="32"/>
          <w:lang w:val="en-US" w:eastAsia="zh-CN"/>
        </w:rPr>
        <w:t>该项目</w:t>
      </w:r>
      <w:r>
        <w:rPr>
          <w:rFonts w:hint="eastAsia" w:ascii="仿宋_GB2312" w:hAnsi="仿宋_GB2312" w:eastAsia="仿宋_GB2312" w:cs="仿宋_GB2312"/>
          <w:sz w:val="32"/>
          <w:szCs w:val="32"/>
          <w:lang w:val="zh-CN"/>
        </w:rPr>
        <w:t>实际拨付</w:t>
      </w:r>
      <w:r>
        <w:rPr>
          <w:rFonts w:hint="eastAsia" w:ascii="仿宋_GB2312" w:hAnsi="仿宋_GB2312" w:eastAsia="仿宋_GB2312" w:cs="仿宋_GB2312"/>
          <w:sz w:val="32"/>
          <w:szCs w:val="32"/>
          <w:lang w:val="en-US" w:eastAsia="zh-CN"/>
        </w:rPr>
        <w:t>到位</w:t>
      </w:r>
      <w:r>
        <w:rPr>
          <w:rFonts w:hint="eastAsia" w:ascii="仿宋_GB2312" w:hAnsi="仿宋_GB2312" w:eastAsia="仿宋_GB2312" w:cs="仿宋_GB2312"/>
          <w:sz w:val="32"/>
          <w:szCs w:val="32"/>
          <w:lang w:val="zh-CN"/>
        </w:rPr>
        <w:t>资金</w:t>
      </w:r>
      <w:r>
        <w:rPr>
          <w:rFonts w:hint="eastAsia" w:ascii="仿宋_GB2312" w:hAnsi="仿宋_GB2312" w:eastAsia="仿宋_GB2312" w:cs="仿宋_GB2312"/>
          <w:sz w:val="32"/>
          <w:szCs w:val="32"/>
          <w:lang w:val="en-US" w:eastAsia="zh-CN"/>
        </w:rPr>
        <w:t>32.8</w:t>
      </w:r>
      <w:r>
        <w:rPr>
          <w:rFonts w:hint="eastAsia" w:ascii="仿宋_GB2312" w:hAnsi="仿宋_GB2312" w:eastAsia="仿宋_GB2312" w:cs="仿宋_GB2312"/>
          <w:sz w:val="32"/>
          <w:szCs w:val="32"/>
          <w:lang w:val="zh-CN"/>
        </w:rPr>
        <w:t>万元，资金拨付率为100%。</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2．资金使用。该项目资金全年共支出</w:t>
      </w:r>
      <w:r>
        <w:rPr>
          <w:rFonts w:hint="eastAsia" w:ascii="仿宋_GB2312" w:hAnsi="仿宋_GB2312" w:eastAsia="仿宋_GB2312" w:cs="仿宋_GB2312"/>
          <w:sz w:val="32"/>
          <w:szCs w:val="32"/>
          <w:lang w:val="en-US" w:eastAsia="zh-CN"/>
        </w:rPr>
        <w:t>32.8</w:t>
      </w:r>
      <w:r>
        <w:rPr>
          <w:rFonts w:hint="eastAsia" w:ascii="仿宋_GB2312" w:hAnsi="仿宋_GB2312" w:eastAsia="仿宋_GB2312" w:cs="仿宋_GB2312"/>
          <w:sz w:val="32"/>
          <w:szCs w:val="32"/>
          <w:lang w:val="zh-CN"/>
        </w:rPr>
        <w:t>万元，支出进度为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val="zh-CN"/>
        </w:rPr>
        <w:t>%，主要是通过测评</w:t>
      </w:r>
      <w:r>
        <w:rPr>
          <w:rFonts w:hint="eastAsia" w:ascii="仿宋_GB2312" w:hAnsi="仿宋_GB2312" w:eastAsia="仿宋_GB2312" w:cs="仿宋_GB2312"/>
          <w:sz w:val="32"/>
          <w:szCs w:val="32"/>
          <w:lang w:val="en-US" w:eastAsia="zh-CN"/>
        </w:rPr>
        <w:t>6个财政管理业务系统</w:t>
      </w:r>
      <w:r>
        <w:rPr>
          <w:rFonts w:hint="eastAsia" w:ascii="仿宋_GB2312" w:hAnsi="仿宋_GB2312" w:eastAsia="仿宋_GB2312" w:cs="仿宋_GB2312"/>
          <w:sz w:val="32"/>
          <w:szCs w:val="32"/>
          <w:lang w:val="zh-CN"/>
        </w:rPr>
        <w:t>来发现问题、解决问题，从而帮助使用者规避信息安全风险。在项目执行过程中，严格按照预算批复执行，不随意改变该项目资金支付范围、支付标准，严控预算执行进度和经费支出情况，确保资金使用安全、规范、高效。</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sz w:val="32"/>
          <w:szCs w:val="32"/>
          <w:lang w:val="zh-CN"/>
        </w:rPr>
      </w:pPr>
      <w:r>
        <w:rPr>
          <w:rFonts w:hint="eastAsia" w:ascii="楷体_GB2312" w:hAnsi="宋体" w:eastAsia="楷体_GB2312"/>
          <w:sz w:val="32"/>
          <w:szCs w:val="32"/>
          <w:lang w:val="zh-CN"/>
        </w:rPr>
        <w:t>（三）项目财务管理情况</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总体评价各项目实施单位财务管理制度是否健全，是否严格执行财务管理制度，账务处理是否及时，会计核算是否规范等。</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sz w:val="32"/>
          <w:szCs w:val="32"/>
        </w:rPr>
      </w:pPr>
      <w:r>
        <w:rPr>
          <w:rFonts w:hint="eastAsia" w:ascii="黑体" w:hAnsi="宋体" w:eastAsia="黑体"/>
          <w:sz w:val="32"/>
          <w:szCs w:val="32"/>
        </w:rPr>
        <w:t>三、项目实施及管理情况</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该项目属于政府采购项目，相关科室严格按照政府采购流程组织实施，在开展财政信息系统等保测评工作前履行审批工作，报销环节严格按照我单位财务管理规定报销费用。我单位严格按照项目管理有关规定管理专项经费，为保障项目资金安全，确保资金专款专用，从资金申请、资金使用、会计核算三个环节加强资金管理。在项目资金申请环节，严格按照国库集中支付流程申请财政资金;在资金使用环节，严格遵守相关法律法规规定，严格按照单位财务管理审批流程办理款项支付；在会计核算环节，对本项目资金实行单独核算，确保专款专用。通过上述三个环节的管理，极力避免了挪用、挤占、截留项目资金的现象，保证财政资金安全有效使用。同时经费管理主动接受驻局纪检监察组和审计部门的监督检查，对预算执行实行动态监控，无违纪违法现象。</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sz w:val="32"/>
          <w:szCs w:val="32"/>
          <w:lang w:val="zh-CN"/>
        </w:rPr>
      </w:pPr>
      <w:r>
        <w:rPr>
          <w:rFonts w:hint="eastAsia" w:ascii="黑体" w:hAnsi="宋体" w:eastAsia="黑体"/>
          <w:sz w:val="32"/>
          <w:szCs w:val="32"/>
        </w:rPr>
        <w:t>四、项目绩效情况</w:t>
      </w:r>
      <w:r>
        <w:rPr>
          <w:rFonts w:hint="eastAsia" w:ascii="仿宋_GB2312" w:hAnsi="宋体"/>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sz w:val="32"/>
          <w:szCs w:val="32"/>
          <w:lang w:val="zh-CN"/>
        </w:rPr>
      </w:pPr>
      <w:r>
        <w:rPr>
          <w:rFonts w:hint="eastAsia" w:ascii="楷体_GB2312" w:hAnsi="宋体" w:eastAsia="楷体_GB2312"/>
          <w:sz w:val="32"/>
          <w:szCs w:val="32"/>
          <w:lang w:val="zh-CN"/>
        </w:rPr>
        <w:t>（一）项目完成情况</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通过项目实施，完成部门预算管理系统（三级）、广元市市级预算单位会计核算与管理平台（二级）、广元市网上竞价采购系统（二级）、广元市财政局网站（二级）、财政人员供养管理信息系统（二级）和预算执行系统（二级）等6个信息系统的等级保护测评服务，并提出了整改建议，提供渗透测试服务和每个系统每年两次的漏洞扫描服务及《网络安全系统漏洞扫描报告》《网络安全等级整改建议》《网络安全等级测评报告》和《渗透测试报告》。</w:t>
      </w:r>
    </w:p>
    <w:p>
      <w:pPr>
        <w:keepNext w:val="0"/>
        <w:keepLines w:val="0"/>
        <w:pageBreakBefore w:val="0"/>
        <w:widowControl w:val="0"/>
        <w:numPr>
          <w:ilvl w:val="0"/>
          <w:numId w:val="5"/>
        </w:numPr>
        <w:kinsoku/>
        <w:wordWrap/>
        <w:overflowPunct/>
        <w:topLinePunct w:val="0"/>
        <w:autoSpaceDE/>
        <w:autoSpaceDN/>
        <w:bidi w:val="0"/>
        <w:spacing w:line="576" w:lineRule="exact"/>
        <w:ind w:firstLine="640" w:firstLineChars="200"/>
        <w:textAlignment w:val="auto"/>
        <w:rPr>
          <w:rFonts w:ascii="楷体_GB2312" w:hAnsi="宋体" w:eastAsia="楷体_GB2312"/>
          <w:sz w:val="32"/>
          <w:szCs w:val="32"/>
          <w:lang w:val="zh-CN"/>
        </w:rPr>
      </w:pPr>
      <w:r>
        <w:rPr>
          <w:rFonts w:hint="eastAsia" w:ascii="楷体_GB2312" w:hAnsi="宋体" w:eastAsia="楷体_GB2312"/>
          <w:sz w:val="32"/>
          <w:szCs w:val="32"/>
          <w:lang w:val="zh-CN"/>
        </w:rPr>
        <w:t>项目效益情况</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项目实施对经济和社会的影响。通过该项目顺利实施，确保了部门预算管理系统、广元市市级预算单位会计核算与管理平台、广元市网上竞价采购系统、广元市财政局网站、财政人员供养管理信息系统和预算执行系统等6个财政业务信息系统的安全，保障了全市财政基础数据的安全，推动财政高质量服务</w:t>
      </w:r>
      <w:r>
        <w:rPr>
          <w:rFonts w:hint="eastAsia" w:ascii="仿宋_GB2312" w:hAnsi="仿宋_GB2312" w:eastAsia="仿宋_GB2312" w:cs="仿宋_GB2312"/>
          <w:sz w:val="32"/>
          <w:szCs w:val="32"/>
          <w:lang w:val="en-US" w:eastAsia="zh-CN"/>
        </w:rPr>
        <w:t>再上</w:t>
      </w:r>
      <w:r>
        <w:rPr>
          <w:rFonts w:hint="eastAsia" w:ascii="仿宋_GB2312" w:hAnsi="仿宋_GB2312" w:eastAsia="仿宋_GB2312" w:cs="仿宋_GB2312"/>
          <w:sz w:val="32"/>
          <w:szCs w:val="32"/>
          <w:lang w:val="zh-CN"/>
        </w:rPr>
        <w:t>新台阶。</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ascii="楷体_GB2312" w:hAnsi="宋体" w:eastAsia="楷体_GB2312"/>
          <w:sz w:val="32"/>
          <w:szCs w:val="32"/>
          <w:lang w:val="zh-CN"/>
        </w:rPr>
      </w:pPr>
      <w:r>
        <w:rPr>
          <w:rFonts w:hint="eastAsia" w:ascii="仿宋_GB2312" w:hAnsi="仿宋_GB2312" w:eastAsia="仿宋_GB2312" w:cs="仿宋_GB2312"/>
          <w:sz w:val="32"/>
          <w:szCs w:val="32"/>
          <w:lang w:val="zh-CN"/>
        </w:rPr>
        <w:t>2.项目服务对象满意度。预算单位满意度达96%。</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sz w:val="32"/>
          <w:szCs w:val="32"/>
        </w:rPr>
      </w:pPr>
      <w:r>
        <w:rPr>
          <w:rFonts w:hint="eastAsia" w:ascii="黑体" w:hAnsi="宋体" w:eastAsia="黑体"/>
          <w:sz w:val="32"/>
          <w:szCs w:val="32"/>
        </w:rPr>
        <w:t>五、问题及建议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sz w:val="32"/>
          <w:szCs w:val="32"/>
          <w:lang w:val="zh-CN"/>
        </w:rPr>
      </w:pPr>
      <w:r>
        <w:rPr>
          <w:rFonts w:hint="eastAsia" w:ascii="楷体_GB2312" w:hAnsi="宋体" w:eastAsia="楷体_GB2312"/>
          <w:sz w:val="32"/>
          <w:szCs w:val="32"/>
          <w:lang w:val="zh-CN"/>
        </w:rPr>
        <w:t>（一）评价结论</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结合项目自身特点、评价重点及管理办法等要求，根据专项项目支出绩效评价指标体系，该项目自评得分为100分。</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ascii="楷体_GB2312" w:hAnsi="宋体" w:eastAsia="楷体_GB2312"/>
          <w:sz w:val="32"/>
          <w:szCs w:val="32"/>
          <w:lang w:val="zh-CN"/>
        </w:rPr>
      </w:pPr>
      <w:r>
        <w:rPr>
          <w:rFonts w:hint="eastAsia" w:ascii="楷体_GB2312" w:hAnsi="宋体" w:eastAsia="楷体_GB2312"/>
          <w:sz w:val="32"/>
          <w:szCs w:val="32"/>
          <w:lang w:val="zh-CN"/>
        </w:rPr>
        <w:t>（</w:t>
      </w:r>
      <w:r>
        <w:rPr>
          <w:rFonts w:hint="eastAsia" w:ascii="楷体_GB2312" w:hAnsi="宋体" w:eastAsia="楷体_GB2312"/>
          <w:sz w:val="32"/>
          <w:szCs w:val="32"/>
        </w:rPr>
        <w:t>二</w:t>
      </w:r>
      <w:r>
        <w:rPr>
          <w:rFonts w:hint="eastAsia" w:ascii="楷体_GB2312" w:hAnsi="宋体" w:eastAsia="楷体_GB2312"/>
          <w:sz w:val="32"/>
          <w:szCs w:val="32"/>
          <w:lang w:val="zh-CN"/>
        </w:rPr>
        <w:t>）存在的问题</w:t>
      </w:r>
      <w:r>
        <w:rPr>
          <w:rFonts w:hint="eastAsia" w:ascii="楷体_GB2312" w:hAnsi="宋体" w:eastAsia="楷体_GB2312"/>
          <w:sz w:val="32"/>
          <w:szCs w:val="32"/>
          <w:lang w:val="en-US" w:eastAsia="zh-CN"/>
        </w:rPr>
        <w:t>及</w:t>
      </w:r>
      <w:r>
        <w:rPr>
          <w:rFonts w:hint="eastAsia" w:ascii="楷体_GB2312" w:hAnsi="宋体" w:eastAsia="楷体_GB2312"/>
          <w:sz w:val="32"/>
          <w:szCs w:val="32"/>
          <w:lang w:val="zh-CN"/>
        </w:rPr>
        <w:t>相关建议</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pPr>
        <w:pStyle w:val="6"/>
        <w:keepNext w:val="0"/>
        <w:keepLines w:val="0"/>
        <w:pageBreakBefore w:val="0"/>
        <w:widowControl w:val="0"/>
        <w:kinsoku/>
        <w:wordWrap/>
        <w:overflowPunct/>
        <w:topLinePunct w:val="0"/>
        <w:bidi w:val="0"/>
        <w:rPr>
          <w:rFonts w:hint="eastAsia" w:ascii="仿宋_GB2312" w:hAnsi="仿宋_GB2312" w:eastAsia="仿宋_GB2312" w:cs="仿宋_GB2312"/>
          <w:color w:val="auto"/>
          <w:sz w:val="32"/>
          <w:szCs w:val="32"/>
          <w:highlight w:val="none"/>
          <w:lang w:val="en-US" w:eastAsia="zh-CN"/>
        </w:rPr>
      </w:pPr>
    </w:p>
    <w:p>
      <w:pPr>
        <w:pStyle w:val="6"/>
        <w:keepNext w:val="0"/>
        <w:keepLines w:val="0"/>
        <w:pageBreakBefore w:val="0"/>
        <w:widowControl w:val="0"/>
        <w:kinsoku/>
        <w:wordWrap/>
        <w:overflowPunct/>
        <w:topLinePunct w:val="0"/>
        <w:bidi w:val="0"/>
        <w:rPr>
          <w:rFonts w:hint="eastAsia" w:ascii="仿宋_GB2312" w:hAnsi="仿宋_GB2312" w:eastAsia="仿宋_GB2312" w:cs="仿宋_GB2312"/>
          <w:color w:val="auto"/>
          <w:sz w:val="32"/>
          <w:szCs w:val="32"/>
          <w:highlight w:val="none"/>
          <w:lang w:val="en-US" w:eastAsia="zh-CN"/>
        </w:rPr>
      </w:pPr>
    </w:p>
    <w:p>
      <w:pPr>
        <w:pStyle w:val="6"/>
        <w:keepNext w:val="0"/>
        <w:keepLines w:val="0"/>
        <w:pageBreakBefore w:val="0"/>
        <w:widowControl w:val="0"/>
        <w:kinsoku/>
        <w:wordWrap/>
        <w:overflowPunct/>
        <w:topLinePunct w:val="0"/>
        <w:bidi w:val="0"/>
        <w:rPr>
          <w:rFonts w:hint="eastAsia" w:ascii="仿宋_GB2312" w:hAnsi="仿宋_GB2312" w:eastAsia="仿宋_GB2312" w:cs="仿宋_GB2312"/>
          <w:color w:val="auto"/>
          <w:sz w:val="32"/>
          <w:szCs w:val="32"/>
          <w:highlight w:val="none"/>
          <w:lang w:val="en-US" w:eastAsia="zh-CN"/>
        </w:rPr>
      </w:pPr>
    </w:p>
    <w:p>
      <w:pPr>
        <w:pStyle w:val="6"/>
        <w:keepNext w:val="0"/>
        <w:keepLines w:val="0"/>
        <w:pageBreakBefore w:val="0"/>
        <w:widowControl w:val="0"/>
        <w:kinsoku/>
        <w:wordWrap/>
        <w:overflowPunct/>
        <w:topLinePunct w:val="0"/>
        <w:bidi w:val="0"/>
        <w:rPr>
          <w:rFonts w:hint="eastAsia" w:ascii="仿宋_GB2312" w:hAnsi="仿宋_GB2312" w:eastAsia="仿宋_GB2312" w:cs="仿宋_GB2312"/>
          <w:color w:val="auto"/>
          <w:sz w:val="32"/>
          <w:szCs w:val="32"/>
          <w:highlight w:val="none"/>
          <w:lang w:val="en-US" w:eastAsia="zh-CN"/>
        </w:rPr>
      </w:pPr>
    </w:p>
    <w:p>
      <w:pPr>
        <w:pStyle w:val="6"/>
        <w:keepNext w:val="0"/>
        <w:keepLines w:val="0"/>
        <w:pageBreakBefore w:val="0"/>
        <w:widowControl w:val="0"/>
        <w:kinsoku/>
        <w:wordWrap/>
        <w:overflowPunct/>
        <w:topLinePunct w:val="0"/>
        <w:bidi w:val="0"/>
        <w:rPr>
          <w:rFonts w:hint="eastAsia" w:ascii="仿宋_GB2312" w:hAnsi="仿宋_GB2312" w:eastAsia="仿宋_GB2312" w:cs="仿宋_GB2312"/>
          <w:color w:val="auto"/>
          <w:sz w:val="32"/>
          <w:szCs w:val="32"/>
          <w:highlight w:val="none"/>
          <w:lang w:val="en-US" w:eastAsia="zh-CN"/>
        </w:rPr>
      </w:pPr>
    </w:p>
    <w:p>
      <w:pPr>
        <w:pStyle w:val="6"/>
        <w:keepNext w:val="0"/>
        <w:keepLines w:val="0"/>
        <w:pageBreakBefore w:val="0"/>
        <w:widowControl w:val="0"/>
        <w:kinsoku/>
        <w:wordWrap/>
        <w:overflowPunct/>
        <w:topLinePunct w:val="0"/>
        <w:bidi w:val="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附表</w:t>
      </w:r>
    </w:p>
    <w:tbl>
      <w:tblPr>
        <w:tblStyle w:val="13"/>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29"/>
        <w:gridCol w:w="1039"/>
        <w:gridCol w:w="1442"/>
        <w:gridCol w:w="1489"/>
        <w:gridCol w:w="2030"/>
        <w:gridCol w:w="1848"/>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line="560" w:lineRule="exact"/>
              <w:jc w:val="center"/>
              <w:textAlignment w:val="center"/>
              <w:rPr>
                <w:rFonts w:hint="eastAsia" w:ascii="方正小标宋简体" w:hAnsi="方正小标宋简体" w:eastAsia="方正小标宋简体" w:cs="方正小标宋简体"/>
                <w:b w:val="0"/>
                <w:bCs/>
                <w:i w:val="0"/>
                <w:color w:val="auto"/>
                <w:sz w:val="44"/>
                <w:szCs w:val="44"/>
                <w:highlight w:val="none"/>
                <w:u w:val="none"/>
                <w:lang w:val="en-US" w:eastAsia="zh-CN"/>
              </w:rPr>
            </w:pPr>
            <w:r>
              <w:rPr>
                <w:rFonts w:hint="eastAsia" w:ascii="方正小标宋简体" w:hAnsi="方正小标宋简体" w:eastAsia="方正小标宋简体" w:cs="方正小标宋简体"/>
                <w:b w:val="0"/>
                <w:bCs/>
                <w:i w:val="0"/>
                <w:color w:val="auto"/>
                <w:sz w:val="44"/>
                <w:szCs w:val="44"/>
                <w:highlight w:val="none"/>
                <w:u w:val="none"/>
                <w:lang w:val="en-US" w:eastAsia="zh-CN"/>
              </w:rPr>
              <w:t>2021年部门预算</w:t>
            </w:r>
            <w:r>
              <w:rPr>
                <w:rFonts w:hint="eastAsia" w:ascii="方正小标宋简体" w:hAnsi="方正小标宋简体" w:eastAsia="方正小标宋简体" w:cs="方正小标宋简体"/>
                <w:b w:val="0"/>
                <w:bCs/>
                <w:color w:val="auto"/>
                <w:kern w:val="2"/>
                <w:sz w:val="44"/>
                <w:szCs w:val="44"/>
                <w:lang w:val="en-US"/>
              </w:rPr>
              <w:t>信息系统等保测评</w:t>
            </w:r>
            <w:r>
              <w:rPr>
                <w:rFonts w:hint="eastAsia" w:ascii="方正小标宋简体" w:hAnsi="方正小标宋简体" w:eastAsia="方正小标宋简体" w:cs="方正小标宋简体"/>
                <w:b w:val="0"/>
                <w:bCs/>
                <w:i w:val="0"/>
                <w:color w:val="auto"/>
                <w:sz w:val="44"/>
                <w:szCs w:val="44"/>
                <w:highlight w:val="none"/>
                <w:u w:val="none"/>
                <w:lang w:val="en-US" w:eastAsia="zh-CN"/>
              </w:rPr>
              <w:t>项目</w:t>
            </w:r>
          </w:p>
          <w:p>
            <w:pPr>
              <w:keepNext w:val="0"/>
              <w:keepLines w:val="0"/>
              <w:pageBreakBefore w:val="0"/>
              <w:widowControl w:val="0"/>
              <w:suppressLineNumbers w:val="0"/>
              <w:kinsoku/>
              <w:wordWrap/>
              <w:overflowPunct/>
              <w:topLinePunct w:val="0"/>
              <w:autoSpaceDE/>
              <w:autoSpaceDN/>
              <w:bidi w:val="0"/>
              <w:adjustRightInd/>
              <w:snapToGrid/>
              <w:spacing w:beforeAutospacing="0" w:line="560" w:lineRule="exact"/>
              <w:jc w:val="center"/>
              <w:textAlignment w:val="center"/>
              <w:rPr>
                <w:rFonts w:hint="eastAsia" w:ascii="宋体" w:hAnsi="宋体" w:eastAsia="宋体" w:cs="宋体"/>
                <w:b/>
                <w:i w:val="0"/>
                <w:color w:val="auto"/>
                <w:sz w:val="32"/>
                <w:szCs w:val="32"/>
                <w:highlight w:val="none"/>
                <w:u w:val="none"/>
              </w:rPr>
            </w:pPr>
            <w:r>
              <w:rPr>
                <w:rFonts w:hint="eastAsia" w:ascii="方正小标宋简体" w:hAnsi="方正小标宋简体" w:eastAsia="方正小标宋简体" w:cs="方正小标宋简体"/>
                <w:b w:val="0"/>
                <w:bCs/>
                <w:i w:val="0"/>
                <w:color w:val="auto"/>
                <w:sz w:val="44"/>
                <w:szCs w:val="44"/>
                <w:highlight w:val="none"/>
                <w:u w:val="none"/>
                <w:lang w:val="en-US" w:eastAsia="zh-CN"/>
              </w:rPr>
              <w:t>绩效目标自评</w:t>
            </w:r>
          </w:p>
        </w:tc>
        <w:tc>
          <w:tcPr>
            <w:tcW w:w="234" w:type="dxa"/>
            <w:tcBorders>
              <w:top w:val="nil"/>
              <w:left w:val="nil"/>
              <w:bottom w:val="nil"/>
              <w:right w:val="nil"/>
            </w:tcBorders>
            <w:shd w:val="clear" w:color="auto" w:fill="auto"/>
            <w:vAlign w:val="center"/>
          </w:tcPr>
          <w:p>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b/>
                <w:i w:val="0"/>
                <w:color w:val="auto"/>
                <w:kern w:val="0"/>
                <w:sz w:val="32"/>
                <w:szCs w:val="3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54" w:hRule="atLeast"/>
        </w:trPr>
        <w:tc>
          <w:tcPr>
            <w:tcW w:w="2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主管部门及代码</w:t>
            </w:r>
          </w:p>
        </w:tc>
        <w:tc>
          <w:tcPr>
            <w:tcW w:w="2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广元市财政局</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实施单位</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cs="宋体"/>
                <w:i w:val="0"/>
                <w:color w:val="auto"/>
                <w:sz w:val="24"/>
                <w:szCs w:val="24"/>
                <w:highlight w:val="none"/>
                <w:u w:val="none"/>
                <w:lang w:val="en-US" w:eastAsia="zh-CN"/>
              </w:rPr>
              <w:t>广元市财政局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27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项目预算</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执行情况</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（万元）</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预算数：</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32.8</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执行数：</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32.8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27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其中：</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财政拨款</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32.8</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其中：</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财政拨款</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32.8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27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其他资金</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其他资金</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99" w:hRule="atLeast"/>
        </w:trPr>
        <w:tc>
          <w:tcPr>
            <w:tcW w:w="17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年度总体目标</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完成情况</w:t>
            </w:r>
          </w:p>
        </w:tc>
        <w:tc>
          <w:tcPr>
            <w:tcW w:w="39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预期目标</w:t>
            </w:r>
          </w:p>
        </w:tc>
        <w:tc>
          <w:tcPr>
            <w:tcW w:w="3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39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4"/>
                <w:szCs w:val="24"/>
                <w:highlight w:val="none"/>
                <w:u w:val="none"/>
              </w:rPr>
              <w:t>对部门预算、供养系统、会计核算平台、预算执行系统、采购竞价系统和门户网站等6个系统进行等保测评，保证财政各项系统的顺利运转。</w:t>
            </w:r>
          </w:p>
        </w:tc>
        <w:tc>
          <w:tcPr>
            <w:tcW w:w="387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top"/>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已完成目标任务。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08" w:hRule="atLeast"/>
        </w:trPr>
        <w:tc>
          <w:tcPr>
            <w:tcW w:w="172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年度绩效指标完成情况</w:t>
            </w:r>
          </w:p>
        </w:tc>
        <w:tc>
          <w:tcPr>
            <w:tcW w:w="103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一级</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指标</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二级</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指标</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三级</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指标</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预期指标值</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实际完成指</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877" w:hRule="atLeast"/>
        </w:trPr>
        <w:tc>
          <w:tcPr>
            <w:tcW w:w="172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p>
        </w:tc>
        <w:tc>
          <w:tcPr>
            <w:tcW w:w="10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完成</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指标</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数量指标</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4"/>
                <w:szCs w:val="24"/>
                <w:highlight w:val="none"/>
                <w:u w:val="none"/>
              </w:rPr>
              <w:t>部门预算、供养系统、会计核算平台、预算执行系统、采购竞价系统和门户网站</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4"/>
                <w:szCs w:val="24"/>
                <w:highlight w:val="none"/>
                <w:u w:val="none"/>
                <w:lang w:val="en-US" w:eastAsia="zh-CN"/>
              </w:rPr>
              <w:t>完成6个系统的等保测评。</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top"/>
              <w:rPr>
                <w:rFonts w:hint="default" w:ascii="宋体" w:hAnsi="宋体" w:eastAsia="宋体" w:cs="宋体"/>
                <w:i w:val="0"/>
                <w:color w:val="auto"/>
                <w:sz w:val="24"/>
                <w:szCs w:val="24"/>
                <w:highlight w:val="none"/>
                <w:u w:val="none"/>
                <w:lang w:val="en-US" w:eastAsia="zh-CN"/>
              </w:rPr>
            </w:pPr>
            <w:r>
              <w:rPr>
                <w:rFonts w:hint="eastAsia" w:ascii="宋体" w:hAnsi="宋体" w:eastAsia="宋体" w:cs="宋体"/>
                <w:i w:val="0"/>
                <w:color w:val="auto"/>
                <w:sz w:val="24"/>
                <w:szCs w:val="24"/>
                <w:highlight w:val="none"/>
                <w:u w:val="none"/>
                <w:lang w:val="en-US" w:eastAsia="zh-CN"/>
              </w:rPr>
              <w:t>完成目标任务。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72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质量指标</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4"/>
                <w:szCs w:val="24"/>
                <w:highlight w:val="none"/>
                <w:u w:val="none"/>
              </w:rPr>
              <w:t>系统运行</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4"/>
                <w:szCs w:val="24"/>
                <w:highlight w:val="none"/>
                <w:u w:val="none"/>
              </w:rPr>
              <w:t>保障系统安全高效运行。</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top"/>
              <w:rPr>
                <w:rFonts w:hint="default" w:ascii="宋体" w:hAnsi="宋体" w:eastAsia="宋体" w:cs="宋体"/>
                <w:i w:val="0"/>
                <w:color w:val="auto"/>
                <w:sz w:val="24"/>
                <w:szCs w:val="24"/>
                <w:highlight w:val="none"/>
                <w:u w:val="none"/>
                <w:lang w:val="en-US" w:eastAsia="zh-CN"/>
              </w:rPr>
            </w:pPr>
            <w:r>
              <w:rPr>
                <w:rFonts w:hint="eastAsia" w:ascii="宋体" w:hAnsi="宋体" w:eastAsia="宋体" w:cs="宋体"/>
                <w:i w:val="0"/>
                <w:color w:val="auto"/>
                <w:sz w:val="24"/>
                <w:szCs w:val="24"/>
                <w:highlight w:val="none"/>
                <w:u w:val="none"/>
                <w:lang w:val="en-US"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72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时效指标</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4"/>
                <w:szCs w:val="24"/>
                <w:highlight w:val="none"/>
                <w:u w:val="none"/>
              </w:rPr>
              <w:t>信息系统及网站运行</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4"/>
                <w:szCs w:val="24"/>
                <w:highlight w:val="none"/>
                <w:u w:val="none"/>
              </w:rPr>
              <w:t>按合同约定完成</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4"/>
                <w:szCs w:val="24"/>
                <w:highlight w:val="none"/>
                <w:u w:val="none"/>
                <w:lang w:val="en-US"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72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成本指标</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4"/>
                <w:szCs w:val="24"/>
                <w:highlight w:val="none"/>
                <w:u w:val="none"/>
              </w:rPr>
              <w:t>等保测评</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4"/>
                <w:szCs w:val="24"/>
                <w:highlight w:val="none"/>
                <w:u w:val="none"/>
              </w:rPr>
              <w:t>费用</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4"/>
                <w:szCs w:val="24"/>
                <w:highlight w:val="none"/>
                <w:u w:val="none"/>
                <w:lang w:val="en-US" w:eastAsia="zh-CN"/>
              </w:rPr>
              <w:t>32.8</w:t>
            </w:r>
            <w:r>
              <w:rPr>
                <w:rFonts w:hint="eastAsia" w:ascii="宋体" w:hAnsi="宋体" w:eastAsia="宋体" w:cs="宋体"/>
                <w:i w:val="0"/>
                <w:color w:val="auto"/>
                <w:sz w:val="24"/>
                <w:szCs w:val="24"/>
                <w:highlight w:val="none"/>
                <w:u w:val="none"/>
              </w:rPr>
              <w:t>万元</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top"/>
              <w:rPr>
                <w:rFonts w:hint="default" w:ascii="宋体" w:hAnsi="宋体" w:eastAsia="宋体" w:cs="宋体"/>
                <w:i w:val="0"/>
                <w:color w:val="auto"/>
                <w:sz w:val="24"/>
                <w:szCs w:val="24"/>
                <w:highlight w:val="none"/>
                <w:u w:val="none"/>
                <w:lang w:val="en-US" w:eastAsia="zh-CN"/>
              </w:rPr>
            </w:pPr>
            <w:r>
              <w:rPr>
                <w:rFonts w:hint="eastAsia" w:ascii="宋体" w:hAnsi="宋体" w:eastAsia="宋体" w:cs="宋体"/>
                <w:i w:val="0"/>
                <w:color w:val="auto"/>
                <w:sz w:val="24"/>
                <w:szCs w:val="24"/>
                <w:highlight w:val="none"/>
                <w:u w:val="none"/>
                <w:lang w:val="en-US" w:eastAsia="zh-CN"/>
              </w:rPr>
              <w:t>32.8万元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72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效益</w:t>
            </w:r>
          </w:p>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指标</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社会效益</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指标</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4"/>
                <w:szCs w:val="24"/>
                <w:highlight w:val="none"/>
                <w:u w:val="none"/>
              </w:rPr>
              <w:t>财政工作</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4"/>
                <w:szCs w:val="24"/>
                <w:highlight w:val="none"/>
                <w:u w:val="none"/>
              </w:rPr>
              <w:t>为财政工作顺利开展提供技术</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4"/>
                <w:szCs w:val="24"/>
                <w:highlight w:val="none"/>
                <w:u w:val="none"/>
              </w:rPr>
              <w:t>保证</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4"/>
                <w:szCs w:val="24"/>
                <w:highlight w:val="none"/>
                <w:u w:val="none"/>
                <w:lang w:val="en-US"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30" w:hRule="atLeast"/>
        </w:trPr>
        <w:tc>
          <w:tcPr>
            <w:tcW w:w="172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满意</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度指标</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满意度</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指标</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4"/>
                <w:szCs w:val="24"/>
                <w:highlight w:val="none"/>
                <w:u w:val="none"/>
              </w:rPr>
              <w:t>系统运行满意度</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4"/>
                <w:szCs w:val="24"/>
                <w:highlight w:val="none"/>
                <w:u w:val="none"/>
              </w:rPr>
              <w:t>100%</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top"/>
              <w:rPr>
                <w:rFonts w:hint="default" w:ascii="宋体" w:hAnsi="宋体" w:eastAsia="宋体" w:cs="宋体"/>
                <w:i w:val="0"/>
                <w:color w:val="auto"/>
                <w:sz w:val="24"/>
                <w:szCs w:val="24"/>
                <w:highlight w:val="none"/>
                <w:u w:val="none"/>
                <w:lang w:val="en-US" w:eastAsia="zh-CN"/>
              </w:rPr>
            </w:pPr>
            <w:r>
              <w:rPr>
                <w:rFonts w:hint="eastAsia" w:ascii="宋体" w:hAnsi="宋体" w:eastAsia="宋体" w:cs="宋体"/>
                <w:i w:val="0"/>
                <w:color w:val="auto"/>
                <w:sz w:val="24"/>
                <w:szCs w:val="24"/>
                <w:highlight w:val="none"/>
                <w:u w:val="none"/>
                <w:lang w:val="en-US" w:eastAsia="zh-CN"/>
              </w:rPr>
              <w:t>100%</w:t>
            </w:r>
          </w:p>
        </w:tc>
      </w:tr>
    </w:tbl>
    <w:p>
      <w:pPr>
        <w:pStyle w:val="6"/>
        <w:keepNext w:val="0"/>
        <w:keepLines w:val="0"/>
        <w:pageBreakBefore w:val="0"/>
        <w:widowControl w:val="0"/>
        <w:kinsoku/>
        <w:wordWrap/>
        <w:overflowPunct/>
        <w:topLinePunct w:val="0"/>
        <w:bidi w:val="0"/>
        <w:rPr>
          <w:rFonts w:hint="eastAsia" w:ascii="仿宋_GB2312" w:hAnsi="仿宋_GB2312" w:eastAsia="仿宋_GB2312" w:cs="仿宋_GB2312"/>
          <w:color w:val="auto"/>
          <w:sz w:val="32"/>
          <w:szCs w:val="32"/>
          <w:highlight w:val="none"/>
          <w:lang w:val="en-US" w:eastAsia="zh-CN"/>
        </w:rPr>
      </w:pPr>
    </w:p>
    <w:p>
      <w:pPr>
        <w:pStyle w:val="31"/>
        <w:keepNext w:val="0"/>
        <w:keepLines w:val="0"/>
        <w:pageBreakBefore w:val="0"/>
        <w:widowControl w:val="0"/>
        <w:kinsoku/>
        <w:wordWrap/>
        <w:overflowPunct/>
        <w:topLinePunct w:val="0"/>
        <w:bidi w:val="0"/>
        <w:spacing w:line="576" w:lineRule="exact"/>
        <w:jc w:val="center"/>
        <w:rPr>
          <w:rFonts w:ascii="楷体_GB2312" w:hAnsi="楷体_GB2312" w:eastAsia="楷体_GB2312" w:cs="楷体_GB2312"/>
          <w:color w:val="auto"/>
          <w:kern w:val="2"/>
          <w:sz w:val="44"/>
          <w:szCs w:val="44"/>
        </w:rPr>
      </w:pPr>
      <w:r>
        <w:rPr>
          <w:rFonts w:hint="eastAsia" w:ascii="方正小标宋简体" w:hAnsi="方正小标宋简体" w:eastAsia="方正小标宋简体" w:cs="方正小标宋简体"/>
          <w:color w:val="auto"/>
          <w:kern w:val="2"/>
          <w:sz w:val="44"/>
          <w:szCs w:val="44"/>
          <w:lang w:val="en-US"/>
        </w:rPr>
        <w:t>广</w:t>
      </w:r>
      <w:r>
        <w:rPr>
          <w:rFonts w:ascii="方正小标宋简体" w:hAnsi="方正小标宋简体" w:eastAsia="方正小标宋简体" w:cs="方正小标宋简体"/>
          <w:color w:val="auto"/>
          <w:kern w:val="2"/>
          <w:sz w:val="44"/>
          <w:szCs w:val="44"/>
          <w:lang w:val="en-US"/>
        </w:rPr>
        <w:t>元市财政局</w:t>
      </w:r>
      <w:r>
        <w:rPr>
          <w:rFonts w:hint="eastAsia" w:ascii="方正小标宋简体" w:hAnsi="方正小标宋简体" w:eastAsia="方正小标宋简体" w:cs="方正小标宋简体"/>
          <w:color w:val="auto"/>
          <w:kern w:val="2"/>
          <w:sz w:val="44"/>
          <w:szCs w:val="44"/>
          <w:lang w:val="en-US"/>
        </w:rPr>
        <w:t>关于202</w:t>
      </w:r>
      <w:r>
        <w:rPr>
          <w:rFonts w:ascii="方正小标宋简体" w:hAnsi="方正小标宋简体" w:eastAsia="方正小标宋简体" w:cs="方正小标宋简体"/>
          <w:color w:val="auto"/>
          <w:kern w:val="2"/>
          <w:sz w:val="44"/>
          <w:szCs w:val="44"/>
          <w:lang w:val="en-US"/>
        </w:rPr>
        <w:t>1</w:t>
      </w:r>
      <w:r>
        <w:rPr>
          <w:rFonts w:hint="eastAsia" w:ascii="方正小标宋简体" w:hAnsi="方正小标宋简体" w:eastAsia="方正小标宋简体" w:cs="方正小标宋简体"/>
          <w:color w:val="auto"/>
          <w:kern w:val="2"/>
          <w:sz w:val="44"/>
          <w:szCs w:val="44"/>
          <w:lang w:val="en-US"/>
        </w:rPr>
        <w:t>年网络</w:t>
      </w:r>
      <w:r>
        <w:rPr>
          <w:rFonts w:ascii="方正小标宋简体" w:hAnsi="方正小标宋简体" w:eastAsia="方正小标宋简体" w:cs="方正小标宋简体"/>
          <w:color w:val="auto"/>
          <w:kern w:val="2"/>
          <w:sz w:val="44"/>
          <w:szCs w:val="44"/>
          <w:lang w:val="en-US"/>
        </w:rPr>
        <w:t>安全和信息化</w:t>
      </w:r>
      <w:r>
        <w:rPr>
          <w:rFonts w:hint="eastAsia" w:ascii="方正小标宋简体" w:hAnsi="方正小标宋简体" w:eastAsia="方正小标宋简体" w:cs="方正小标宋简体"/>
          <w:color w:val="auto"/>
          <w:kern w:val="2"/>
          <w:sz w:val="44"/>
          <w:szCs w:val="44"/>
          <w:lang w:val="en-US"/>
        </w:rPr>
        <w:t>建设</w:t>
      </w:r>
      <w:r>
        <w:rPr>
          <w:rFonts w:hint="eastAsia" w:ascii="方正小标宋简体" w:hAnsi="方正小标宋简体" w:eastAsia="方正小标宋简体" w:cs="方正小标宋简体"/>
          <w:color w:val="auto"/>
          <w:kern w:val="2"/>
          <w:sz w:val="44"/>
          <w:szCs w:val="44"/>
        </w:rPr>
        <w:t>项目绩效</w:t>
      </w:r>
      <w:r>
        <w:rPr>
          <w:rFonts w:hint="eastAsia" w:ascii="方正小标宋简体" w:hAnsi="方正小标宋简体" w:eastAsia="方正小标宋简体" w:cs="方正小标宋简体"/>
          <w:color w:val="auto"/>
          <w:kern w:val="2"/>
          <w:sz w:val="44"/>
          <w:szCs w:val="44"/>
          <w:lang w:val="en-US" w:eastAsia="zh-CN"/>
        </w:rPr>
        <w:t>的</w:t>
      </w:r>
      <w:r>
        <w:rPr>
          <w:rFonts w:hint="eastAsia" w:ascii="方正小标宋简体" w:hAnsi="方正小标宋简体" w:eastAsia="方正小标宋简体" w:cs="方正小标宋简体"/>
          <w:color w:val="auto"/>
          <w:kern w:val="2"/>
          <w:sz w:val="44"/>
          <w:szCs w:val="44"/>
        </w:rPr>
        <w:t>自评报告</w:t>
      </w:r>
    </w:p>
    <w:p>
      <w:pPr>
        <w:keepNext w:val="0"/>
        <w:keepLines w:val="0"/>
        <w:pageBreakBefore w:val="0"/>
        <w:widowControl w:val="0"/>
        <w:kinsoku/>
        <w:wordWrap/>
        <w:overflowPunct/>
        <w:topLinePunct w:val="0"/>
        <w:bidi w:val="0"/>
        <w:adjustRightInd w:val="0"/>
        <w:snapToGrid w:val="0"/>
        <w:spacing w:line="576" w:lineRule="exact"/>
        <w:ind w:firstLine="720"/>
        <w:rPr>
          <w:rFonts w:ascii="黑体" w:hAnsi="宋体" w:eastAsia="黑体"/>
          <w:sz w:val="32"/>
          <w:szCs w:val="32"/>
        </w:rPr>
      </w:pP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sz w:val="32"/>
          <w:szCs w:val="32"/>
          <w:lang w:val="zh-CN"/>
        </w:rPr>
      </w:pPr>
      <w:r>
        <w:rPr>
          <w:rFonts w:hint="eastAsia" w:ascii="楷体_GB2312" w:hAnsi="宋体" w:eastAsia="楷体_GB2312"/>
          <w:sz w:val="32"/>
          <w:szCs w:val="32"/>
          <w:lang w:val="zh-CN"/>
        </w:rPr>
        <w:t>（一）项目基本情况</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本项目根据市委市政府授予市财政局职能职责所设立，项目经局党组会审定同意申报项目预算。</w:t>
      </w:r>
      <w:r>
        <w:rPr>
          <w:rFonts w:hint="eastAsia" w:ascii="仿宋_GB2312" w:hAnsi="仿宋_GB2312" w:eastAsia="仿宋_GB2312" w:cs="仿宋_GB2312"/>
          <w:sz w:val="32"/>
          <w:szCs w:val="32"/>
          <w:lang w:val="en-US" w:eastAsia="zh-CN"/>
        </w:rPr>
        <w:t>《广元市财政局关于批复2021年市级部门预算的通知》（广财预〔2021〕1号）批复该项目预算100万元。</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sz w:val="32"/>
          <w:szCs w:val="32"/>
          <w:lang w:val="zh-CN"/>
        </w:rPr>
      </w:pPr>
      <w:r>
        <w:rPr>
          <w:rFonts w:hint="eastAsia" w:ascii="楷体_GB2312" w:hAnsi="宋体" w:eastAsia="楷体_GB2312"/>
          <w:sz w:val="32"/>
          <w:szCs w:val="32"/>
          <w:lang w:val="zh-CN"/>
        </w:rPr>
        <w:t>（二）项目绩效目标</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1．项目主要内容。广元市财政局财政业务专网安全项目主要内容为：核心交换机、防火墙、路由器、网络运维软件、安全态势感知平台、潜伏威胁探针系统和桌面管控等网络及安全设备；</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2．项目绩效目标。通过增加网络及安全设备对全市财政业务专网进行网络结构改造。</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3.项目资金申报相符性。该项目根据单位职能职责设定具体工作内容，申报内容和项目绩效目标与财政管理业务工作相符，项目合理可行。</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sz w:val="32"/>
          <w:szCs w:val="32"/>
          <w:lang w:val="zh-CN"/>
        </w:rPr>
      </w:pPr>
      <w:r>
        <w:rPr>
          <w:rFonts w:hint="eastAsia" w:ascii="楷体_GB2312" w:hAnsi="宋体" w:eastAsia="楷体_GB2312"/>
          <w:sz w:val="32"/>
          <w:szCs w:val="32"/>
          <w:lang w:val="zh-CN"/>
        </w:rPr>
        <w:t>（三）项目自评步骤及方法</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按照项目评价要求，明确自评责任人，通过查验资料、报告工作等形式严格自评，做到自评真实不走形式。</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sz w:val="32"/>
          <w:szCs w:val="32"/>
        </w:rPr>
      </w:pPr>
      <w:r>
        <w:rPr>
          <w:rFonts w:hint="eastAsia" w:ascii="黑体" w:hAnsi="宋体" w:eastAsia="黑体"/>
          <w:sz w:val="32"/>
          <w:szCs w:val="32"/>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（一）项目资金申报及批复情况</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按照一般公共预算管理要求， 市财政局申报项目资金预算，202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rPr>
        <w:t>年由广元市财政局通过</w:t>
      </w:r>
      <w:r>
        <w:rPr>
          <w:rFonts w:hint="eastAsia" w:ascii="仿宋_GB2312" w:hAnsi="仿宋_GB2312" w:eastAsia="仿宋_GB2312" w:cs="仿宋_GB2312"/>
          <w:sz w:val="32"/>
          <w:szCs w:val="32"/>
          <w:lang w:val="en-US" w:eastAsia="zh-CN"/>
        </w:rPr>
        <w:t>《广元市财政局关于批复2021年市级部门预算的通知》（广财预〔2021〕1号）</w:t>
      </w:r>
      <w:r>
        <w:rPr>
          <w:rFonts w:hint="eastAsia" w:ascii="仿宋_GB2312" w:hAnsi="仿宋_GB2312" w:eastAsia="仿宋_GB2312" w:cs="仿宋_GB2312"/>
          <w:sz w:val="32"/>
          <w:szCs w:val="32"/>
          <w:lang w:val="zh-CN"/>
        </w:rPr>
        <w:t>文件下达我单位项目资金</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val="zh-CN"/>
        </w:rPr>
        <w:t>万元。</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sz w:val="32"/>
          <w:szCs w:val="32"/>
          <w:lang w:val="zh-CN"/>
        </w:rPr>
      </w:pPr>
      <w:r>
        <w:rPr>
          <w:rFonts w:hint="eastAsia" w:ascii="楷体_GB2312" w:hAnsi="宋体" w:eastAsia="楷体_GB2312"/>
          <w:sz w:val="32"/>
          <w:szCs w:val="32"/>
          <w:lang w:val="zh-CN"/>
        </w:rPr>
        <w:t>（二）资金计划、到位及使用情况</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1．资金计划及到位。本项目预算</w:t>
      </w:r>
      <w:r>
        <w:rPr>
          <w:rFonts w:hint="eastAsia" w:ascii="仿宋_GB2312" w:hAnsi="仿宋_GB2312" w:eastAsia="仿宋_GB2312" w:cs="仿宋_GB2312"/>
          <w:sz w:val="32"/>
          <w:szCs w:val="32"/>
          <w:lang w:val="en-US" w:eastAsia="zh-CN"/>
        </w:rPr>
        <w:t>批复资金</w:t>
      </w:r>
      <w:r>
        <w:rPr>
          <w:rFonts w:hint="eastAsia" w:ascii="仿宋_GB2312" w:hAnsi="仿宋_GB2312" w:eastAsia="仿宋_GB2312" w:cs="仿宋_GB2312"/>
          <w:sz w:val="32"/>
          <w:szCs w:val="32"/>
          <w:lang w:val="zh-CN"/>
        </w:rPr>
        <w:t>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val="zh-CN"/>
        </w:rPr>
        <w:t>万元，截至202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rPr>
        <w:t>年底，</w:t>
      </w:r>
      <w:r>
        <w:rPr>
          <w:rFonts w:hint="eastAsia" w:ascii="仿宋_GB2312" w:hAnsi="仿宋_GB2312" w:eastAsia="仿宋_GB2312" w:cs="仿宋_GB2312"/>
          <w:sz w:val="32"/>
          <w:szCs w:val="32"/>
          <w:lang w:val="en-US" w:eastAsia="zh-CN"/>
        </w:rPr>
        <w:t>该项目</w:t>
      </w:r>
      <w:r>
        <w:rPr>
          <w:rFonts w:hint="eastAsia" w:ascii="仿宋_GB2312" w:hAnsi="仿宋_GB2312" w:eastAsia="仿宋_GB2312" w:cs="仿宋_GB2312"/>
          <w:sz w:val="32"/>
          <w:szCs w:val="32"/>
          <w:lang w:val="zh-CN"/>
        </w:rPr>
        <w:t>实际拨付</w:t>
      </w:r>
      <w:r>
        <w:rPr>
          <w:rFonts w:hint="eastAsia" w:ascii="仿宋_GB2312" w:hAnsi="仿宋_GB2312" w:eastAsia="仿宋_GB2312" w:cs="仿宋_GB2312"/>
          <w:sz w:val="32"/>
          <w:szCs w:val="32"/>
          <w:lang w:val="en-US" w:eastAsia="zh-CN"/>
        </w:rPr>
        <w:t>到位</w:t>
      </w:r>
      <w:r>
        <w:rPr>
          <w:rFonts w:hint="eastAsia" w:ascii="仿宋_GB2312" w:hAnsi="仿宋_GB2312" w:eastAsia="仿宋_GB2312" w:cs="仿宋_GB2312"/>
          <w:sz w:val="32"/>
          <w:szCs w:val="32"/>
          <w:lang w:val="zh-CN"/>
        </w:rPr>
        <w:t>资金</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val="zh-CN"/>
        </w:rPr>
        <w:t>万元，资金拨付率为100%。</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2．资金使用。该项目资金全年共支出</w:t>
      </w:r>
      <w:r>
        <w:rPr>
          <w:rFonts w:hint="eastAsia" w:ascii="仿宋_GB2312" w:hAnsi="仿宋_GB2312" w:eastAsia="仿宋_GB2312" w:cs="仿宋_GB2312"/>
          <w:sz w:val="32"/>
          <w:szCs w:val="32"/>
          <w:lang w:val="en-US" w:eastAsia="zh-CN"/>
        </w:rPr>
        <w:t>93.67</w:t>
      </w:r>
      <w:r>
        <w:rPr>
          <w:rFonts w:hint="eastAsia" w:ascii="仿宋_GB2312" w:hAnsi="仿宋_GB2312" w:eastAsia="仿宋_GB2312" w:cs="仿宋_GB2312"/>
          <w:sz w:val="32"/>
          <w:szCs w:val="32"/>
          <w:lang w:val="zh-CN"/>
        </w:rPr>
        <w:t>万元，支出进度为</w:t>
      </w:r>
      <w:r>
        <w:rPr>
          <w:rFonts w:hint="eastAsia" w:ascii="仿宋_GB2312" w:hAnsi="仿宋_GB2312" w:eastAsia="仿宋_GB2312" w:cs="仿宋_GB2312"/>
          <w:sz w:val="32"/>
          <w:szCs w:val="32"/>
          <w:lang w:val="en-US" w:eastAsia="zh-CN"/>
        </w:rPr>
        <w:t>93.67</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未全部支付的</w:t>
      </w:r>
      <w:r>
        <w:rPr>
          <w:rFonts w:hint="eastAsia" w:ascii="仿宋_GB2312" w:hAnsi="仿宋_GB2312" w:eastAsia="仿宋_GB2312" w:cs="仿宋_GB2312"/>
          <w:sz w:val="32"/>
          <w:szCs w:val="32"/>
          <w:lang w:val="zh-CN"/>
        </w:rPr>
        <w:t>主要</w:t>
      </w:r>
      <w:r>
        <w:rPr>
          <w:rFonts w:hint="eastAsia" w:ascii="仿宋_GB2312" w:hAnsi="仿宋_GB2312" w:eastAsia="仿宋_GB2312" w:cs="仿宋_GB2312"/>
          <w:sz w:val="32"/>
          <w:szCs w:val="32"/>
          <w:lang w:val="en-US" w:eastAsia="zh-CN"/>
        </w:rPr>
        <w:t>原因是该项目按合同约定付款，剩余款项为质保金，待质保期满后支付。该项目</w:t>
      </w:r>
      <w:r>
        <w:rPr>
          <w:rFonts w:hint="eastAsia" w:ascii="仿宋_GB2312" w:hAnsi="仿宋_GB2312" w:eastAsia="仿宋_GB2312" w:cs="仿宋_GB2312"/>
          <w:sz w:val="32"/>
          <w:szCs w:val="32"/>
          <w:lang w:val="zh-CN"/>
        </w:rPr>
        <w:t>用于增加</w:t>
      </w:r>
      <w:r>
        <w:rPr>
          <w:rFonts w:hint="eastAsia" w:ascii="仿宋_GB2312" w:hAnsi="仿宋_GB2312" w:eastAsia="仿宋_GB2312" w:cs="仿宋_GB2312"/>
          <w:sz w:val="32"/>
          <w:szCs w:val="32"/>
          <w:lang w:val="en-US" w:eastAsia="zh-CN"/>
        </w:rPr>
        <w:t>财政</w:t>
      </w:r>
      <w:r>
        <w:rPr>
          <w:rFonts w:hint="eastAsia" w:ascii="仿宋_GB2312" w:hAnsi="仿宋_GB2312" w:eastAsia="仿宋_GB2312" w:cs="仿宋_GB2312"/>
          <w:sz w:val="32"/>
          <w:szCs w:val="32"/>
          <w:lang w:val="zh-CN"/>
        </w:rPr>
        <w:t>网络及安全设备对全市财政业务专网进行网络结构改造工作。在项目执行过程中，严格按照预算批复执行，不随意改变该项目资金支付范围、支付标准，严控预算执行进度和经费支出情况，确保资金使用安全、规范、高效。</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sz w:val="32"/>
          <w:szCs w:val="32"/>
          <w:lang w:val="zh-CN"/>
        </w:rPr>
      </w:pPr>
      <w:r>
        <w:rPr>
          <w:rFonts w:hint="eastAsia" w:ascii="楷体_GB2312" w:hAnsi="宋体" w:eastAsia="楷体_GB2312"/>
          <w:sz w:val="32"/>
          <w:szCs w:val="32"/>
          <w:lang w:val="zh-CN"/>
        </w:rPr>
        <w:t>（三）项目财务管理情况</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我单位严格按照财务管理相关制度规定，建立健全财务管理制度及内控制度，加强对财政管理专项经费的使用管理，按照专项资金管理办法做好项目实施和监管，及时、规范进行账务处理及会计核算</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zh-CN"/>
        </w:rPr>
        <w:t>切实做到专款专用，最大可能发挥专项资金作用。</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sz w:val="32"/>
          <w:szCs w:val="32"/>
        </w:rPr>
      </w:pPr>
      <w:r>
        <w:rPr>
          <w:rFonts w:hint="eastAsia" w:ascii="黑体" w:hAnsi="宋体" w:eastAsia="黑体"/>
          <w:sz w:val="32"/>
          <w:szCs w:val="32"/>
        </w:rPr>
        <w:t>三、项目实施及管理情况</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该项目属于政府采购项目，相关科室严格按照政府采购流程组织实施，在开展财政业务专网网络安全及信息建设工作前履行审批工作，报销环节严格按照我单位财务管理规定报销费用。我单位严格按照项目管理有关规定管理专项经费，为保障项目资金安全，确保资金专款专用，从资金申请、资金使用、会计核算三个环节加强资金管理。在项目资金申请环节，严格按照国库集中支付流程申请财政资金;在资金使用环节，严格遵守相关法律法规规定，严格按照单位财务管理审批流程办理款项支付；在会计核算环节，对本项目资金实行单独核算，确保专款专用。通过上述三个环节的管理，极力避免了挪用、挤占、截留项目资金的现象，保证财政资金安全有效使用。同时经费管理主动接受驻局纪检监察组和审计部门的监督检查，对预算执行实行动态监控，无违纪违法现象。</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sz w:val="32"/>
          <w:szCs w:val="32"/>
          <w:lang w:val="zh-CN"/>
        </w:rPr>
      </w:pPr>
      <w:r>
        <w:rPr>
          <w:rFonts w:hint="eastAsia" w:ascii="黑体" w:hAnsi="宋体" w:eastAsia="黑体"/>
          <w:sz w:val="32"/>
          <w:szCs w:val="32"/>
        </w:rPr>
        <w:t>四、项目绩效情况</w:t>
      </w:r>
      <w:r>
        <w:rPr>
          <w:rFonts w:hint="eastAsia" w:ascii="仿宋_GB2312" w:hAnsi="宋体"/>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sz w:val="32"/>
          <w:szCs w:val="32"/>
          <w:lang w:val="zh-CN"/>
        </w:rPr>
      </w:pPr>
      <w:r>
        <w:rPr>
          <w:rFonts w:hint="eastAsia" w:ascii="楷体_GB2312" w:hAnsi="宋体" w:eastAsia="楷体_GB2312"/>
          <w:sz w:val="32"/>
          <w:szCs w:val="32"/>
          <w:lang w:val="zh-CN"/>
        </w:rPr>
        <w:t>（一）项目完成情况</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通过项目实施，完成了全市财政业务专网络结构改造，符合了省财政厅对各市州财政业务专网的网络结构的要求，全市财政业务专网也具备了基础的网络安全防护功能。</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val="zh-CN"/>
        </w:rPr>
        <w:t>）项目效益情况</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1.项目实施对经济和社会的影响。通过该项目顺利实施，确保了全市财政业务专网的安全，保障了全市财政业务系统安全、稳定运行，推动了全市经济高质量发展。</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2.项目服务对象满意度。金融部门、预算单位满意度达96%。</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sz w:val="32"/>
          <w:szCs w:val="32"/>
        </w:rPr>
      </w:pPr>
      <w:r>
        <w:rPr>
          <w:rFonts w:hint="eastAsia" w:ascii="黑体" w:hAnsi="宋体" w:eastAsia="黑体"/>
          <w:sz w:val="32"/>
          <w:szCs w:val="32"/>
        </w:rPr>
        <w:t>五、问题及建议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sz w:val="32"/>
          <w:szCs w:val="32"/>
          <w:lang w:val="zh-CN"/>
        </w:rPr>
      </w:pPr>
      <w:r>
        <w:rPr>
          <w:rFonts w:hint="eastAsia" w:ascii="楷体_GB2312" w:hAnsi="宋体" w:eastAsia="楷体_GB2312"/>
          <w:sz w:val="32"/>
          <w:szCs w:val="32"/>
          <w:lang w:val="zh-CN"/>
        </w:rPr>
        <w:t>（一）评价结论</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结合项目自身特点、评价重点及管理办法等要求，根据专项项目支出绩效评价指标体系，该项目自评得分为100分。</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ascii="楷体_GB2312" w:hAnsi="宋体" w:eastAsia="楷体_GB2312"/>
          <w:sz w:val="32"/>
          <w:szCs w:val="32"/>
          <w:lang w:val="zh-CN"/>
        </w:rPr>
      </w:pPr>
      <w:r>
        <w:rPr>
          <w:rFonts w:hint="eastAsia" w:ascii="楷体_GB2312" w:hAnsi="宋体" w:eastAsia="楷体_GB2312"/>
          <w:sz w:val="32"/>
          <w:szCs w:val="32"/>
          <w:lang w:val="zh-CN"/>
        </w:rPr>
        <w:t>（</w:t>
      </w:r>
      <w:r>
        <w:rPr>
          <w:rFonts w:hint="eastAsia" w:ascii="楷体_GB2312" w:hAnsi="宋体" w:eastAsia="楷体_GB2312"/>
          <w:sz w:val="32"/>
          <w:szCs w:val="32"/>
        </w:rPr>
        <w:t>二</w:t>
      </w:r>
      <w:r>
        <w:rPr>
          <w:rFonts w:hint="eastAsia" w:ascii="楷体_GB2312" w:hAnsi="宋体" w:eastAsia="楷体_GB2312"/>
          <w:sz w:val="32"/>
          <w:szCs w:val="32"/>
          <w:lang w:val="zh-CN"/>
        </w:rPr>
        <w:t>）存在的问题</w:t>
      </w:r>
      <w:r>
        <w:rPr>
          <w:rFonts w:hint="eastAsia" w:ascii="楷体_GB2312" w:hAnsi="宋体" w:eastAsia="楷体_GB2312"/>
          <w:sz w:val="32"/>
          <w:szCs w:val="32"/>
          <w:lang w:val="en-US" w:eastAsia="zh-CN"/>
        </w:rPr>
        <w:t>及相关建议</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pPr>
        <w:pStyle w:val="6"/>
        <w:keepNext w:val="0"/>
        <w:keepLines w:val="0"/>
        <w:pageBreakBefore w:val="0"/>
        <w:widowControl w:val="0"/>
        <w:kinsoku/>
        <w:wordWrap/>
        <w:overflowPunct/>
        <w:topLinePunct w:val="0"/>
        <w:autoSpaceDE/>
        <w:autoSpaceDN/>
        <w:bidi w:val="0"/>
        <w:spacing w:beforeLines="0" w:line="576"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p>
    <w:p>
      <w:pPr>
        <w:pStyle w:val="6"/>
        <w:keepNext w:val="0"/>
        <w:keepLines w:val="0"/>
        <w:pageBreakBefore w:val="0"/>
        <w:widowControl w:val="0"/>
        <w:kinsoku/>
        <w:wordWrap/>
        <w:overflowPunct/>
        <w:topLinePunct w:val="0"/>
        <w:autoSpaceDE/>
        <w:autoSpaceDN/>
        <w:bidi w:val="0"/>
        <w:spacing w:beforeLines="0" w:line="576"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p>
    <w:p>
      <w:pPr>
        <w:pStyle w:val="6"/>
        <w:keepNext w:val="0"/>
        <w:keepLines w:val="0"/>
        <w:pageBreakBefore w:val="0"/>
        <w:widowControl w:val="0"/>
        <w:kinsoku/>
        <w:wordWrap/>
        <w:overflowPunct/>
        <w:topLinePunct w:val="0"/>
        <w:autoSpaceDE/>
        <w:autoSpaceDN/>
        <w:bidi w:val="0"/>
        <w:spacing w:beforeLines="0" w:line="576" w:lineRule="exact"/>
        <w:ind w:firstLine="880" w:firstLineChars="200"/>
        <w:textAlignment w:val="auto"/>
        <w:rPr>
          <w:rFonts w:hint="eastAsia" w:ascii="黑体" w:hAnsi="黑体" w:eastAsia="黑体"/>
          <w:color w:val="auto"/>
          <w:sz w:val="44"/>
          <w:szCs w:val="44"/>
          <w:highlight w:val="none"/>
          <w:lang w:val="en-US" w:eastAsia="zh-CN"/>
        </w:rPr>
      </w:pPr>
    </w:p>
    <w:p>
      <w:pPr>
        <w:pStyle w:val="6"/>
        <w:keepNext w:val="0"/>
        <w:keepLines w:val="0"/>
        <w:pageBreakBefore w:val="0"/>
        <w:widowControl w:val="0"/>
        <w:kinsoku/>
        <w:wordWrap/>
        <w:overflowPunct/>
        <w:topLinePunct w:val="0"/>
        <w:autoSpaceDE/>
        <w:autoSpaceDN/>
        <w:bidi w:val="0"/>
        <w:spacing w:beforeLines="0" w:line="576" w:lineRule="exact"/>
        <w:ind w:firstLine="880" w:firstLineChars="200"/>
        <w:textAlignment w:val="auto"/>
        <w:rPr>
          <w:rFonts w:hint="eastAsia" w:ascii="黑体" w:hAnsi="黑体" w:eastAsia="黑体"/>
          <w:color w:val="auto"/>
          <w:sz w:val="44"/>
          <w:szCs w:val="44"/>
          <w:highlight w:val="none"/>
          <w:lang w:val="en-US" w:eastAsia="zh-CN"/>
        </w:rPr>
      </w:pPr>
    </w:p>
    <w:p>
      <w:pPr>
        <w:pStyle w:val="6"/>
        <w:keepNext w:val="0"/>
        <w:keepLines w:val="0"/>
        <w:pageBreakBefore w:val="0"/>
        <w:widowControl w:val="0"/>
        <w:kinsoku/>
        <w:wordWrap/>
        <w:overflowPunct/>
        <w:topLinePunct w:val="0"/>
        <w:bidi w:val="0"/>
        <w:rPr>
          <w:rFonts w:hint="eastAsia" w:ascii="黑体" w:hAnsi="黑体" w:eastAsia="黑体"/>
          <w:color w:val="auto"/>
          <w:sz w:val="44"/>
          <w:szCs w:val="44"/>
          <w:highlight w:val="none"/>
          <w:lang w:val="en-US" w:eastAsia="zh-CN"/>
        </w:rPr>
      </w:pPr>
    </w:p>
    <w:p>
      <w:pPr>
        <w:pStyle w:val="6"/>
        <w:keepNext w:val="0"/>
        <w:keepLines w:val="0"/>
        <w:pageBreakBefore w:val="0"/>
        <w:widowControl w:val="0"/>
        <w:kinsoku/>
        <w:wordWrap/>
        <w:overflowPunct/>
        <w:topLinePunct w:val="0"/>
        <w:bidi w:val="0"/>
        <w:rPr>
          <w:rFonts w:hint="eastAsia" w:ascii="黑体" w:hAnsi="黑体" w:eastAsia="黑体"/>
          <w:color w:val="auto"/>
          <w:sz w:val="44"/>
          <w:szCs w:val="44"/>
          <w:highlight w:val="none"/>
          <w:lang w:val="en-US" w:eastAsia="zh-CN"/>
        </w:rPr>
      </w:pPr>
    </w:p>
    <w:p>
      <w:pPr>
        <w:pStyle w:val="6"/>
        <w:keepNext w:val="0"/>
        <w:keepLines w:val="0"/>
        <w:pageBreakBefore w:val="0"/>
        <w:widowControl w:val="0"/>
        <w:kinsoku/>
        <w:wordWrap/>
        <w:overflowPunct/>
        <w:topLinePunct w:val="0"/>
        <w:bidi w:val="0"/>
        <w:rPr>
          <w:rFonts w:hint="eastAsia" w:ascii="黑体" w:hAnsi="黑体" w:eastAsia="黑体"/>
          <w:color w:val="auto"/>
          <w:sz w:val="44"/>
          <w:szCs w:val="44"/>
          <w:highlight w:val="none"/>
          <w:lang w:val="en-US" w:eastAsia="zh-CN"/>
        </w:rPr>
      </w:pPr>
    </w:p>
    <w:p>
      <w:pPr>
        <w:pStyle w:val="6"/>
        <w:keepNext w:val="0"/>
        <w:keepLines w:val="0"/>
        <w:pageBreakBefore w:val="0"/>
        <w:widowControl w:val="0"/>
        <w:kinsoku/>
        <w:wordWrap/>
        <w:overflowPunct/>
        <w:topLinePunct w:val="0"/>
        <w:bidi w:val="0"/>
        <w:rPr>
          <w:rFonts w:hint="eastAsia" w:ascii="黑体" w:hAnsi="黑体" w:eastAsia="黑体"/>
          <w:color w:val="auto"/>
          <w:sz w:val="44"/>
          <w:szCs w:val="44"/>
          <w:highlight w:val="none"/>
          <w:lang w:val="en-US" w:eastAsia="zh-CN"/>
        </w:rPr>
      </w:pPr>
    </w:p>
    <w:p>
      <w:pPr>
        <w:pStyle w:val="6"/>
        <w:keepNext w:val="0"/>
        <w:keepLines w:val="0"/>
        <w:pageBreakBefore w:val="0"/>
        <w:widowControl w:val="0"/>
        <w:kinsoku/>
        <w:wordWrap/>
        <w:overflowPunct/>
        <w:topLinePunct w:val="0"/>
        <w:bidi w:val="0"/>
        <w:rPr>
          <w:rFonts w:hint="eastAsia" w:ascii="黑体" w:hAnsi="黑体" w:eastAsia="黑体"/>
          <w:color w:val="auto"/>
          <w:sz w:val="44"/>
          <w:szCs w:val="44"/>
          <w:highlight w:val="none"/>
          <w:lang w:val="en-US" w:eastAsia="zh-CN"/>
        </w:rPr>
      </w:pPr>
    </w:p>
    <w:p>
      <w:pPr>
        <w:pStyle w:val="6"/>
        <w:keepNext w:val="0"/>
        <w:keepLines w:val="0"/>
        <w:pageBreakBefore w:val="0"/>
        <w:widowControl w:val="0"/>
        <w:kinsoku/>
        <w:wordWrap/>
        <w:overflowPunct/>
        <w:topLinePunct w:val="0"/>
        <w:bidi w:val="0"/>
        <w:rPr>
          <w:rFonts w:hint="eastAsia" w:ascii="黑体" w:hAnsi="黑体" w:eastAsia="黑体"/>
          <w:color w:val="auto"/>
          <w:sz w:val="44"/>
          <w:szCs w:val="44"/>
          <w:highlight w:val="none"/>
          <w:lang w:val="en-US" w:eastAsia="zh-CN"/>
        </w:rPr>
      </w:pPr>
    </w:p>
    <w:p>
      <w:pPr>
        <w:pStyle w:val="6"/>
        <w:keepNext w:val="0"/>
        <w:keepLines w:val="0"/>
        <w:pageBreakBefore w:val="0"/>
        <w:widowControl w:val="0"/>
        <w:kinsoku/>
        <w:wordWrap/>
        <w:overflowPunct/>
        <w:topLinePunct w:val="0"/>
        <w:bidi w:val="0"/>
        <w:rPr>
          <w:rFonts w:hint="eastAsia" w:ascii="黑体" w:hAnsi="黑体" w:eastAsia="黑体"/>
          <w:color w:val="auto"/>
          <w:sz w:val="44"/>
          <w:szCs w:val="44"/>
          <w:highlight w:val="none"/>
          <w:lang w:val="en-US" w:eastAsia="zh-CN"/>
        </w:rPr>
      </w:pPr>
    </w:p>
    <w:p>
      <w:pPr>
        <w:pStyle w:val="6"/>
        <w:keepNext w:val="0"/>
        <w:keepLines w:val="0"/>
        <w:pageBreakBefore w:val="0"/>
        <w:widowControl w:val="0"/>
        <w:kinsoku/>
        <w:wordWrap/>
        <w:overflowPunct/>
        <w:topLinePunct w:val="0"/>
        <w:bidi w:val="0"/>
        <w:rPr>
          <w:rFonts w:hint="eastAsia" w:ascii="黑体" w:hAnsi="黑体" w:eastAsia="黑体"/>
          <w:color w:val="auto"/>
          <w:sz w:val="44"/>
          <w:szCs w:val="44"/>
          <w:highlight w:val="none"/>
          <w:lang w:val="en-US" w:eastAsia="zh-CN"/>
        </w:rPr>
      </w:pPr>
    </w:p>
    <w:p>
      <w:pPr>
        <w:pStyle w:val="6"/>
        <w:keepNext w:val="0"/>
        <w:keepLines w:val="0"/>
        <w:pageBreakBefore w:val="0"/>
        <w:widowControl w:val="0"/>
        <w:kinsoku/>
        <w:wordWrap/>
        <w:overflowPunct/>
        <w:topLinePunct w:val="0"/>
        <w:bidi w:val="0"/>
        <w:rPr>
          <w:rFonts w:hint="eastAsia" w:ascii="黑体" w:hAnsi="黑体" w:eastAsia="黑体"/>
          <w:color w:val="auto"/>
          <w:sz w:val="44"/>
          <w:szCs w:val="44"/>
          <w:highlight w:val="none"/>
          <w:lang w:val="en-US" w:eastAsia="zh-CN"/>
        </w:rPr>
      </w:pPr>
    </w:p>
    <w:p>
      <w:pPr>
        <w:pStyle w:val="6"/>
        <w:keepNext w:val="0"/>
        <w:keepLines w:val="0"/>
        <w:pageBreakBefore w:val="0"/>
        <w:widowControl w:val="0"/>
        <w:kinsoku/>
        <w:wordWrap/>
        <w:overflowPunct/>
        <w:topLinePunct w:val="0"/>
        <w:bidi w:val="0"/>
        <w:rPr>
          <w:rFonts w:hint="eastAsia" w:ascii="黑体" w:hAnsi="黑体" w:eastAsia="黑体"/>
          <w:color w:val="auto"/>
          <w:sz w:val="44"/>
          <w:szCs w:val="44"/>
          <w:highlight w:val="none"/>
          <w:lang w:val="en-US" w:eastAsia="zh-CN"/>
        </w:rPr>
      </w:pPr>
    </w:p>
    <w:p>
      <w:pPr>
        <w:pStyle w:val="6"/>
        <w:keepNext w:val="0"/>
        <w:keepLines w:val="0"/>
        <w:pageBreakBefore w:val="0"/>
        <w:widowControl w:val="0"/>
        <w:kinsoku/>
        <w:wordWrap/>
        <w:overflowPunct/>
        <w:topLinePunct w:val="0"/>
        <w:bidi w:val="0"/>
        <w:rPr>
          <w:rFonts w:hint="eastAsia" w:ascii="黑体" w:hAnsi="黑体" w:eastAsia="黑体"/>
          <w:color w:val="auto"/>
          <w:sz w:val="44"/>
          <w:szCs w:val="44"/>
          <w:highlight w:val="none"/>
          <w:lang w:val="en-US" w:eastAsia="zh-CN"/>
        </w:rPr>
      </w:pPr>
    </w:p>
    <w:p>
      <w:pPr>
        <w:pStyle w:val="6"/>
        <w:keepNext w:val="0"/>
        <w:keepLines w:val="0"/>
        <w:pageBreakBefore w:val="0"/>
        <w:widowControl w:val="0"/>
        <w:kinsoku/>
        <w:wordWrap/>
        <w:overflowPunct/>
        <w:topLinePunct w:val="0"/>
        <w:bidi w:val="0"/>
        <w:rPr>
          <w:rFonts w:hint="eastAsia" w:ascii="黑体" w:hAnsi="黑体" w:eastAsia="黑体"/>
          <w:color w:val="auto"/>
          <w:sz w:val="44"/>
          <w:szCs w:val="44"/>
          <w:highlight w:val="none"/>
          <w:lang w:val="en-US" w:eastAsia="zh-CN"/>
        </w:rPr>
      </w:pPr>
    </w:p>
    <w:p>
      <w:pPr>
        <w:pStyle w:val="6"/>
        <w:keepNext w:val="0"/>
        <w:keepLines w:val="0"/>
        <w:pageBreakBefore w:val="0"/>
        <w:widowControl w:val="0"/>
        <w:kinsoku/>
        <w:wordWrap/>
        <w:overflowPunct/>
        <w:topLinePunct w:val="0"/>
        <w:bidi w:val="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附表</w:t>
      </w:r>
    </w:p>
    <w:tbl>
      <w:tblPr>
        <w:tblStyle w:val="13"/>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29"/>
        <w:gridCol w:w="1039"/>
        <w:gridCol w:w="1442"/>
        <w:gridCol w:w="1489"/>
        <w:gridCol w:w="2030"/>
        <w:gridCol w:w="1848"/>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line="560" w:lineRule="exact"/>
              <w:jc w:val="center"/>
              <w:textAlignment w:val="center"/>
              <w:rPr>
                <w:rFonts w:hint="eastAsia" w:ascii="方正小标宋简体" w:hAnsi="方正小标宋简体" w:eastAsia="方正小标宋简体" w:cs="方正小标宋简体"/>
                <w:b w:val="0"/>
                <w:bCs/>
                <w:i w:val="0"/>
                <w:color w:val="auto"/>
                <w:sz w:val="44"/>
                <w:szCs w:val="44"/>
                <w:highlight w:val="none"/>
                <w:u w:val="none"/>
                <w:lang w:val="en-US" w:eastAsia="zh-CN"/>
              </w:rPr>
            </w:pPr>
            <w:r>
              <w:rPr>
                <w:rFonts w:hint="eastAsia" w:ascii="方正小标宋简体" w:hAnsi="方正小标宋简体" w:eastAsia="方正小标宋简体" w:cs="方正小标宋简体"/>
                <w:b w:val="0"/>
                <w:bCs/>
                <w:i w:val="0"/>
                <w:color w:val="auto"/>
                <w:sz w:val="44"/>
                <w:szCs w:val="44"/>
                <w:highlight w:val="none"/>
                <w:u w:val="none"/>
                <w:lang w:val="en-US" w:eastAsia="zh-CN"/>
              </w:rPr>
              <w:t>2021年部门预算</w:t>
            </w:r>
            <w:r>
              <w:rPr>
                <w:rFonts w:hint="eastAsia" w:ascii="方正小标宋简体" w:hAnsi="方正小标宋简体" w:eastAsia="方正小标宋简体" w:cs="方正小标宋简体"/>
                <w:b w:val="0"/>
                <w:bCs/>
                <w:color w:val="auto"/>
                <w:kern w:val="2"/>
                <w:sz w:val="44"/>
                <w:szCs w:val="44"/>
                <w:lang w:val="en-US"/>
              </w:rPr>
              <w:t>网络安全和信息化建设</w:t>
            </w:r>
            <w:r>
              <w:rPr>
                <w:rFonts w:hint="eastAsia" w:ascii="方正小标宋简体" w:hAnsi="方正小标宋简体" w:eastAsia="方正小标宋简体" w:cs="方正小标宋简体"/>
                <w:b w:val="0"/>
                <w:bCs/>
                <w:i w:val="0"/>
                <w:color w:val="auto"/>
                <w:sz w:val="44"/>
                <w:szCs w:val="44"/>
                <w:highlight w:val="none"/>
                <w:u w:val="none"/>
                <w:lang w:val="en-US" w:eastAsia="zh-CN"/>
              </w:rPr>
              <w:t>项目</w:t>
            </w:r>
          </w:p>
          <w:p>
            <w:pPr>
              <w:keepNext w:val="0"/>
              <w:keepLines w:val="0"/>
              <w:pageBreakBefore w:val="0"/>
              <w:widowControl w:val="0"/>
              <w:suppressLineNumbers w:val="0"/>
              <w:kinsoku/>
              <w:wordWrap/>
              <w:overflowPunct/>
              <w:topLinePunct w:val="0"/>
              <w:autoSpaceDE/>
              <w:autoSpaceDN/>
              <w:bidi w:val="0"/>
              <w:adjustRightInd/>
              <w:snapToGrid/>
              <w:spacing w:beforeAutospacing="0" w:line="560" w:lineRule="exact"/>
              <w:jc w:val="center"/>
              <w:textAlignment w:val="center"/>
              <w:rPr>
                <w:rFonts w:hint="eastAsia" w:ascii="方正小标宋简体" w:hAnsi="方正小标宋简体" w:eastAsia="方正小标宋简体" w:cs="方正小标宋简体"/>
                <w:b w:val="0"/>
                <w:bCs/>
                <w:i w:val="0"/>
                <w:color w:val="auto"/>
                <w:sz w:val="44"/>
                <w:szCs w:val="44"/>
                <w:highlight w:val="none"/>
                <w:u w:val="none"/>
              </w:rPr>
            </w:pPr>
            <w:r>
              <w:rPr>
                <w:rFonts w:hint="eastAsia" w:ascii="方正小标宋简体" w:hAnsi="方正小标宋简体" w:eastAsia="方正小标宋简体" w:cs="方正小标宋简体"/>
                <w:b w:val="0"/>
                <w:bCs/>
                <w:i w:val="0"/>
                <w:color w:val="auto"/>
                <w:sz w:val="44"/>
                <w:szCs w:val="44"/>
                <w:highlight w:val="none"/>
                <w:u w:val="none"/>
                <w:lang w:val="en-US" w:eastAsia="zh-CN"/>
              </w:rPr>
              <w:t>绩效目标自评</w:t>
            </w:r>
          </w:p>
        </w:tc>
        <w:tc>
          <w:tcPr>
            <w:tcW w:w="234" w:type="dxa"/>
            <w:tcBorders>
              <w:top w:val="nil"/>
              <w:left w:val="nil"/>
              <w:bottom w:val="nil"/>
              <w:right w:val="nil"/>
            </w:tcBorders>
            <w:shd w:val="clear" w:color="auto" w:fill="auto"/>
            <w:vAlign w:val="center"/>
          </w:tcPr>
          <w:p>
            <w:pPr>
              <w:keepNext w:val="0"/>
              <w:keepLines w:val="0"/>
              <w:pageBreakBefore w:val="0"/>
              <w:widowControl w:val="0"/>
              <w:suppressLineNumbers w:val="0"/>
              <w:kinsoku/>
              <w:wordWrap/>
              <w:overflowPunct/>
              <w:topLinePunct w:val="0"/>
              <w:bidi w:val="0"/>
              <w:jc w:val="center"/>
              <w:textAlignment w:val="center"/>
              <w:rPr>
                <w:rFonts w:hint="eastAsia" w:ascii="方正小标宋简体" w:hAnsi="方正小标宋简体" w:eastAsia="方正小标宋简体" w:cs="方正小标宋简体"/>
                <w:b w:val="0"/>
                <w:bCs/>
                <w:i w:val="0"/>
                <w:color w:val="auto"/>
                <w:kern w:val="0"/>
                <w:sz w:val="44"/>
                <w:szCs w:val="4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54" w:hRule="atLeast"/>
        </w:trPr>
        <w:tc>
          <w:tcPr>
            <w:tcW w:w="2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主管部门及代码</w:t>
            </w:r>
          </w:p>
        </w:tc>
        <w:tc>
          <w:tcPr>
            <w:tcW w:w="2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广元市财政局</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实施单位</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cs="宋体"/>
                <w:i w:val="0"/>
                <w:color w:val="auto"/>
                <w:sz w:val="24"/>
                <w:szCs w:val="24"/>
                <w:highlight w:val="none"/>
                <w:u w:val="none"/>
                <w:lang w:val="en-US" w:eastAsia="zh-CN"/>
              </w:rPr>
              <w:t>广元市财政局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27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项目预算</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执行情况</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（万元）</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预算数：</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100</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执行数：</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93.67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27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其中：</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财政拨款</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100</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其中：</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财政拨款</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93.67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27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其他资金</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其他资金</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99" w:hRule="atLeast"/>
        </w:trPr>
        <w:tc>
          <w:tcPr>
            <w:tcW w:w="17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年度总体目标</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完成情况</w:t>
            </w:r>
          </w:p>
        </w:tc>
        <w:tc>
          <w:tcPr>
            <w:tcW w:w="39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预期目标</w:t>
            </w:r>
          </w:p>
        </w:tc>
        <w:tc>
          <w:tcPr>
            <w:tcW w:w="3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39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4"/>
                <w:szCs w:val="24"/>
                <w:highlight w:val="none"/>
                <w:u w:val="none"/>
              </w:rPr>
              <w:t>保证财政各项系统的顺利运转，确保我市金财网络安全高效运行。</w:t>
            </w:r>
          </w:p>
        </w:tc>
        <w:tc>
          <w:tcPr>
            <w:tcW w:w="387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top"/>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已完成目标任务。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08" w:hRule="atLeast"/>
        </w:trPr>
        <w:tc>
          <w:tcPr>
            <w:tcW w:w="172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年度绩效指标完成情况</w:t>
            </w:r>
          </w:p>
        </w:tc>
        <w:tc>
          <w:tcPr>
            <w:tcW w:w="103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一级</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指标</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二级</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指标</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三级</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指标</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预期指标值</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877" w:hRule="atLeast"/>
        </w:trPr>
        <w:tc>
          <w:tcPr>
            <w:tcW w:w="172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p>
        </w:tc>
        <w:tc>
          <w:tcPr>
            <w:tcW w:w="10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完成</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指标</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数量指标</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金财网络安全信息化建设</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lang w:val="en-US" w:eastAsia="zh-CN"/>
              </w:rPr>
              <w:t>金财网络安全信息化建设</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heme="minorEastAsia" w:hAnsiTheme="minorEastAsia" w:eastAsiaTheme="minorEastAsia" w:cstheme="minorEastAsia"/>
                <w:i w:val="0"/>
                <w:color w:val="auto"/>
                <w:sz w:val="21"/>
                <w:szCs w:val="21"/>
                <w:highlight w:val="none"/>
                <w:u w:val="none"/>
                <w:lang w:val="en-US" w:eastAsia="zh-CN"/>
              </w:rPr>
            </w:pPr>
            <w:r>
              <w:rPr>
                <w:rFonts w:hint="eastAsia" w:asciiTheme="minorEastAsia" w:hAnsiTheme="minorEastAsia" w:eastAsiaTheme="minorEastAsia" w:cstheme="minorEastAsia"/>
                <w:i w:val="0"/>
                <w:color w:val="auto"/>
                <w:sz w:val="21"/>
                <w:szCs w:val="21"/>
                <w:highlight w:val="none"/>
                <w:u w:val="none"/>
                <w:lang w:val="en-US" w:eastAsia="zh-CN"/>
              </w:rPr>
              <w:t>完成建设。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72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质量指标</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金财网络运行</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保障金财网络安全高效运行。</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heme="minorEastAsia" w:hAnsiTheme="minorEastAsia" w:eastAsiaTheme="minorEastAsia" w:cstheme="minorEastAsia"/>
                <w:i w:val="0"/>
                <w:color w:val="auto"/>
                <w:sz w:val="21"/>
                <w:szCs w:val="21"/>
                <w:highlight w:val="none"/>
                <w:u w:val="none"/>
                <w:lang w:val="en-US" w:eastAsia="zh-CN"/>
              </w:rPr>
            </w:pPr>
            <w:r>
              <w:rPr>
                <w:rFonts w:hint="eastAsia" w:asciiTheme="minorEastAsia" w:hAnsiTheme="minorEastAsia" w:eastAsiaTheme="minorEastAsia" w:cstheme="minorEastAsia"/>
                <w:i w:val="0"/>
                <w:color w:val="auto"/>
                <w:sz w:val="21"/>
                <w:szCs w:val="21"/>
                <w:highlight w:val="none"/>
                <w:u w:val="none"/>
                <w:lang w:val="en-US"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72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时效指标</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信息系统及网站运行</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按合同约定完成</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lang w:val="en-US"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72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成本指标</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运行维护费用</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lang w:val="en-US" w:eastAsia="zh-CN"/>
              </w:rPr>
              <w:t>100</w:t>
            </w:r>
            <w:r>
              <w:rPr>
                <w:rFonts w:hint="eastAsia" w:asciiTheme="minorEastAsia" w:hAnsiTheme="minorEastAsia" w:eastAsiaTheme="minorEastAsia" w:cstheme="minorEastAsia"/>
                <w:i w:val="0"/>
                <w:color w:val="auto"/>
                <w:sz w:val="21"/>
                <w:szCs w:val="21"/>
                <w:highlight w:val="none"/>
                <w:u w:val="none"/>
              </w:rPr>
              <w:t>万元</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heme="minorEastAsia" w:hAnsiTheme="minorEastAsia" w:eastAsiaTheme="minorEastAsia" w:cstheme="minorEastAsia"/>
                <w:i w:val="0"/>
                <w:color w:val="auto"/>
                <w:sz w:val="21"/>
                <w:szCs w:val="21"/>
                <w:highlight w:val="none"/>
                <w:u w:val="none"/>
                <w:lang w:val="en-US" w:eastAsia="zh-CN"/>
              </w:rPr>
            </w:pPr>
            <w:r>
              <w:rPr>
                <w:rFonts w:hint="eastAsia" w:asciiTheme="minorEastAsia" w:hAnsiTheme="minorEastAsia" w:eastAsiaTheme="minorEastAsia" w:cstheme="minorEastAsia"/>
                <w:i w:val="0"/>
                <w:color w:val="auto"/>
                <w:sz w:val="21"/>
                <w:szCs w:val="21"/>
                <w:highlight w:val="none"/>
                <w:u w:val="none"/>
                <w:lang w:val="en-US" w:eastAsia="zh-CN"/>
              </w:rPr>
              <w:t>93.67万元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72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效益</w:t>
            </w:r>
          </w:p>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指标</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社会效益  指标</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财政工作</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为财政工作顺利开展提供技术保证</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lang w:val="en-US"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30" w:hRule="atLeast"/>
        </w:trPr>
        <w:tc>
          <w:tcPr>
            <w:tcW w:w="172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满意</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度指标</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满意度</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指标</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系统运行满意度</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100%</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heme="minorEastAsia" w:hAnsiTheme="minorEastAsia" w:eastAsiaTheme="minorEastAsia" w:cstheme="minorEastAsia"/>
                <w:i w:val="0"/>
                <w:color w:val="auto"/>
                <w:sz w:val="21"/>
                <w:szCs w:val="21"/>
                <w:highlight w:val="none"/>
                <w:u w:val="none"/>
                <w:lang w:val="en-US" w:eastAsia="zh-CN"/>
              </w:rPr>
            </w:pPr>
            <w:r>
              <w:rPr>
                <w:rFonts w:hint="eastAsia" w:asciiTheme="minorEastAsia" w:hAnsiTheme="minorEastAsia" w:eastAsiaTheme="minorEastAsia" w:cstheme="minorEastAsia"/>
                <w:i w:val="0"/>
                <w:color w:val="auto"/>
                <w:sz w:val="21"/>
                <w:szCs w:val="21"/>
                <w:highlight w:val="none"/>
                <w:u w:val="none"/>
                <w:lang w:val="en-US" w:eastAsia="zh-CN"/>
              </w:rPr>
              <w:t>100%</w:t>
            </w:r>
          </w:p>
        </w:tc>
      </w:tr>
    </w:tbl>
    <w:p>
      <w:pPr>
        <w:pStyle w:val="6"/>
        <w:keepNext w:val="0"/>
        <w:keepLines w:val="0"/>
        <w:pageBreakBefore w:val="0"/>
        <w:widowControl w:val="0"/>
        <w:kinsoku/>
        <w:wordWrap/>
        <w:overflowPunct/>
        <w:topLinePunct w:val="0"/>
        <w:bidi w:val="0"/>
        <w:rPr>
          <w:rFonts w:hint="eastAsia" w:ascii="黑体" w:hAnsi="黑体" w:eastAsia="黑体"/>
          <w:color w:val="auto"/>
          <w:sz w:val="44"/>
          <w:szCs w:val="44"/>
          <w:highlight w:val="none"/>
          <w:lang w:val="en-US" w:eastAsia="zh-CN"/>
        </w:rPr>
      </w:pPr>
    </w:p>
    <w:p>
      <w:pPr>
        <w:pStyle w:val="6"/>
        <w:keepNext w:val="0"/>
        <w:keepLines w:val="0"/>
        <w:pageBreakBefore w:val="0"/>
        <w:widowControl w:val="0"/>
        <w:kinsoku/>
        <w:wordWrap/>
        <w:overflowPunct/>
        <w:topLinePunct w:val="0"/>
        <w:bidi w:val="0"/>
        <w:rPr>
          <w:rFonts w:hint="eastAsia" w:ascii="黑体" w:hAnsi="黑体" w:eastAsia="黑体"/>
          <w:color w:val="auto"/>
          <w:sz w:val="44"/>
          <w:szCs w:val="44"/>
          <w:highlight w:val="none"/>
          <w:lang w:val="en-US" w:eastAsia="zh-CN"/>
        </w:rPr>
      </w:pPr>
    </w:p>
    <w:p>
      <w:pPr>
        <w:pStyle w:val="6"/>
        <w:keepNext w:val="0"/>
        <w:keepLines w:val="0"/>
        <w:pageBreakBefore w:val="0"/>
        <w:widowControl w:val="0"/>
        <w:kinsoku/>
        <w:wordWrap/>
        <w:overflowPunct/>
        <w:topLinePunct w:val="0"/>
        <w:bidi w:val="0"/>
        <w:rPr>
          <w:rFonts w:hint="eastAsia" w:ascii="黑体" w:hAnsi="黑体" w:eastAsia="黑体"/>
          <w:color w:val="auto"/>
          <w:sz w:val="44"/>
          <w:szCs w:val="44"/>
          <w:highlight w:val="none"/>
          <w:lang w:val="en-US" w:eastAsia="zh-CN"/>
        </w:rPr>
      </w:pPr>
    </w:p>
    <w:p>
      <w:pPr>
        <w:pStyle w:val="6"/>
        <w:keepNext w:val="0"/>
        <w:keepLines w:val="0"/>
        <w:pageBreakBefore w:val="0"/>
        <w:widowControl w:val="0"/>
        <w:kinsoku/>
        <w:wordWrap/>
        <w:overflowPunct/>
        <w:topLinePunct w:val="0"/>
        <w:bidi w:val="0"/>
        <w:rPr>
          <w:rFonts w:hint="eastAsia" w:ascii="黑体" w:hAnsi="黑体" w:eastAsia="黑体"/>
          <w:color w:val="auto"/>
          <w:sz w:val="44"/>
          <w:szCs w:val="44"/>
          <w:highlight w:val="none"/>
          <w:lang w:val="en-US" w:eastAsia="zh-CN"/>
        </w:rPr>
      </w:pPr>
    </w:p>
    <w:p>
      <w:pPr>
        <w:pStyle w:val="6"/>
        <w:keepNext w:val="0"/>
        <w:keepLines w:val="0"/>
        <w:pageBreakBefore w:val="0"/>
        <w:widowControl w:val="0"/>
        <w:kinsoku/>
        <w:wordWrap/>
        <w:overflowPunct/>
        <w:topLinePunct w:val="0"/>
        <w:bidi w:val="0"/>
        <w:rPr>
          <w:rFonts w:hint="eastAsia" w:ascii="黑体" w:hAnsi="黑体" w:eastAsia="黑体"/>
          <w:color w:val="auto"/>
          <w:sz w:val="44"/>
          <w:szCs w:val="44"/>
          <w:highlight w:val="none"/>
          <w:lang w:val="en-US" w:eastAsia="zh-CN"/>
        </w:rPr>
      </w:pPr>
    </w:p>
    <w:p>
      <w:pPr>
        <w:pStyle w:val="31"/>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宋体" w:eastAsia="方正小标宋简体"/>
          <w:b w:val="0"/>
          <w:bCs w:val="0"/>
          <w:sz w:val="44"/>
          <w:szCs w:val="44"/>
        </w:rPr>
      </w:pPr>
      <w:r>
        <w:rPr>
          <w:rFonts w:hint="eastAsia" w:ascii="方正小标宋简体" w:hAnsi="宋体" w:eastAsia="方正小标宋简体"/>
          <w:b w:val="0"/>
          <w:bCs w:val="0"/>
          <w:sz w:val="44"/>
          <w:szCs w:val="44"/>
          <w:lang w:val="en-US" w:eastAsia="zh-CN"/>
        </w:rPr>
        <w:t>广元市财政局关于2021年省级财政业务服务</w:t>
      </w:r>
      <w:r>
        <w:rPr>
          <w:rFonts w:hint="eastAsia" w:ascii="方正小标宋简体" w:hAnsi="宋体" w:eastAsia="方正小标宋简体"/>
          <w:b w:val="0"/>
          <w:bCs w:val="0"/>
          <w:sz w:val="44"/>
          <w:szCs w:val="44"/>
          <w:lang w:eastAsia="zh-CN"/>
        </w:rPr>
        <w:t>项目</w:t>
      </w:r>
      <w:r>
        <w:rPr>
          <w:rFonts w:hint="eastAsia" w:ascii="方正小标宋简体" w:hAnsi="宋体" w:eastAsia="方正小标宋简体"/>
          <w:b w:val="0"/>
          <w:bCs w:val="0"/>
          <w:sz w:val="44"/>
          <w:szCs w:val="44"/>
        </w:rPr>
        <w:t>绩效</w:t>
      </w:r>
      <w:r>
        <w:rPr>
          <w:rFonts w:hint="eastAsia" w:ascii="方正小标宋简体" w:hAnsi="宋体" w:eastAsia="方正小标宋简体"/>
          <w:b w:val="0"/>
          <w:bCs w:val="0"/>
          <w:sz w:val="44"/>
          <w:szCs w:val="44"/>
          <w:lang w:val="en-US" w:eastAsia="zh-CN"/>
        </w:rPr>
        <w:t>的</w:t>
      </w:r>
      <w:r>
        <w:rPr>
          <w:rFonts w:hint="eastAsia" w:ascii="方正小标宋简体" w:hAnsi="宋体" w:eastAsia="方正小标宋简体"/>
          <w:b w:val="0"/>
          <w:bCs w:val="0"/>
          <w:sz w:val="44"/>
          <w:szCs w:val="44"/>
        </w:rPr>
        <w:t>自评报告</w:t>
      </w:r>
    </w:p>
    <w:p>
      <w:pPr>
        <w:pStyle w:val="31"/>
        <w:keepNext w:val="0"/>
        <w:keepLines w:val="0"/>
        <w:pageBreakBefore w:val="0"/>
        <w:widowControl w:val="0"/>
        <w:kinsoku/>
        <w:wordWrap/>
        <w:overflowPunct/>
        <w:topLinePunct w:val="0"/>
        <w:autoSpaceDE/>
        <w:autoSpaceDN/>
        <w:bidi w:val="0"/>
        <w:spacing w:line="576" w:lineRule="exact"/>
        <w:ind w:firstLine="640"/>
        <w:jc w:val="center"/>
        <w:textAlignment w:val="auto"/>
        <w:rPr>
          <w:rFonts w:ascii="宋体" w:hAnsi="宋体"/>
          <w:b w:val="0"/>
          <w:bCs w:val="0"/>
          <w:color w:val="auto"/>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b w:val="0"/>
          <w:bCs w:val="0"/>
          <w:sz w:val="32"/>
          <w:szCs w:val="32"/>
          <w:lang w:val="zh-CN"/>
        </w:rPr>
      </w:pPr>
      <w:r>
        <w:rPr>
          <w:rFonts w:hint="eastAsia" w:ascii="黑体" w:hAnsi="宋体" w:eastAsia="黑体"/>
          <w:b w:val="0"/>
          <w:bCs w:val="0"/>
          <w:sz w:val="32"/>
          <w:szCs w:val="32"/>
        </w:rPr>
        <w:t>一、</w:t>
      </w:r>
      <w:r>
        <w:rPr>
          <w:rFonts w:hint="eastAsia" w:ascii="黑体" w:hAnsi="宋体" w:eastAsia="黑体"/>
          <w:b w:val="0"/>
          <w:bCs w:val="0"/>
          <w:sz w:val="32"/>
          <w:szCs w:val="32"/>
          <w:lang w:val="zh-CN"/>
        </w:rPr>
        <w:t>项目概况</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（一）项目基本情况</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sz w:val="32"/>
          <w:szCs w:val="32"/>
        </w:rPr>
        <w:t>本项目根据市委市政府授予市财政局职能职责所设立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项目经局党组会审定同意申报预算资金26万元，《广元市财政局关于批复2021年市级部门预算的通知》（广财预〔2021〕1号）批复该项目预算26万元。</w:t>
      </w:r>
    </w:p>
    <w:p>
      <w:pPr>
        <w:keepNext w:val="0"/>
        <w:keepLines w:val="0"/>
        <w:pageBreakBefore w:val="0"/>
        <w:widowControl w:val="0"/>
        <w:numPr>
          <w:ilvl w:val="0"/>
          <w:numId w:val="6"/>
        </w:numPr>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宋体" w:eastAsia="楷体_GB2312"/>
          <w:b w:val="0"/>
          <w:bCs w:val="0"/>
          <w:sz w:val="32"/>
          <w:szCs w:val="32"/>
          <w:lang w:val="zh-CN"/>
        </w:rPr>
      </w:pPr>
      <w:r>
        <w:rPr>
          <w:rFonts w:hint="eastAsia" w:ascii="楷体_GB2312" w:hAnsi="宋体" w:eastAsia="楷体_GB2312"/>
          <w:b w:val="0"/>
          <w:bCs w:val="0"/>
          <w:sz w:val="32"/>
          <w:szCs w:val="32"/>
          <w:lang w:val="zh-CN"/>
        </w:rPr>
        <w:t>项目绩效目标</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rPr>
        <w:t>项目主要内容</w:t>
      </w:r>
      <w:r>
        <w:rPr>
          <w:rFonts w:hint="eastAsia" w:ascii="仿宋_GB2312" w:hAnsi="仿宋_GB2312" w:eastAsia="仿宋_GB2312" w:cs="仿宋_GB2312"/>
          <w:sz w:val="32"/>
          <w:szCs w:val="32"/>
          <w:lang w:val="en-US" w:eastAsia="zh-CN"/>
        </w:rPr>
        <w:t>及绩效目标</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通过维护省级财政业务系统，确保债务管理、资产管理和财政票据管理工作正常开展。</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项目资金申报相符性。</w:t>
      </w:r>
      <w:r>
        <w:rPr>
          <w:rFonts w:hint="eastAsia" w:ascii="仿宋_GB2312" w:hAnsi="仿宋_GB2312" w:eastAsia="仿宋_GB2312" w:cs="仿宋_GB2312"/>
          <w:sz w:val="32"/>
          <w:szCs w:val="32"/>
          <w:lang w:val="en-US" w:eastAsia="zh-CN"/>
        </w:rPr>
        <w:t>该</w:t>
      </w:r>
      <w:r>
        <w:rPr>
          <w:rFonts w:hint="eastAsia" w:ascii="仿宋_GB2312" w:hAnsi="仿宋_GB2312" w:eastAsia="仿宋_GB2312" w:cs="仿宋_GB2312"/>
          <w:sz w:val="32"/>
          <w:szCs w:val="32"/>
          <w:lang w:val="zh-CN"/>
        </w:rPr>
        <w:t>项目</w:t>
      </w:r>
      <w:r>
        <w:rPr>
          <w:rFonts w:hint="eastAsia" w:ascii="仿宋_GB2312" w:hAnsi="仿宋_GB2312" w:eastAsia="仿宋_GB2312" w:cs="仿宋_GB2312"/>
          <w:sz w:val="32"/>
          <w:szCs w:val="32"/>
          <w:lang w:val="en-US" w:eastAsia="zh-CN"/>
        </w:rPr>
        <w:t>根据单位职能职责设定具体工作内容，</w:t>
      </w:r>
      <w:r>
        <w:rPr>
          <w:rFonts w:hint="eastAsia" w:ascii="仿宋_GB2312" w:hAnsi="仿宋_GB2312" w:eastAsia="仿宋_GB2312" w:cs="仿宋_GB2312"/>
          <w:sz w:val="32"/>
          <w:szCs w:val="32"/>
          <w:lang w:val="zh-CN"/>
        </w:rPr>
        <w:t>申报内容</w:t>
      </w:r>
      <w:r>
        <w:rPr>
          <w:rFonts w:hint="eastAsia" w:ascii="仿宋_GB2312" w:hAnsi="仿宋_GB2312" w:eastAsia="仿宋_GB2312" w:cs="仿宋_GB2312"/>
          <w:sz w:val="32"/>
          <w:szCs w:val="32"/>
          <w:lang w:val="en-US" w:eastAsia="zh-CN"/>
        </w:rPr>
        <w:t>和项目绩效</w:t>
      </w:r>
      <w:r>
        <w:rPr>
          <w:rFonts w:hint="eastAsia" w:ascii="仿宋_GB2312" w:hAnsi="仿宋_GB2312" w:eastAsia="仿宋_GB2312" w:cs="仿宋_GB2312"/>
          <w:sz w:val="32"/>
          <w:szCs w:val="32"/>
          <w:lang w:val="zh-CN"/>
        </w:rPr>
        <w:t>目标</w:t>
      </w:r>
      <w:r>
        <w:rPr>
          <w:rFonts w:hint="eastAsia" w:ascii="仿宋_GB2312" w:hAnsi="仿宋_GB2312" w:eastAsia="仿宋_GB2312" w:cs="仿宋_GB2312"/>
          <w:sz w:val="32"/>
          <w:szCs w:val="32"/>
          <w:lang w:val="en-US" w:eastAsia="zh-CN"/>
        </w:rPr>
        <w:t>与财政管理业务工作</w:t>
      </w:r>
      <w:r>
        <w:rPr>
          <w:rFonts w:hint="eastAsia" w:ascii="仿宋_GB2312" w:hAnsi="仿宋_GB2312" w:eastAsia="仿宋_GB2312" w:cs="仿宋_GB2312"/>
          <w:sz w:val="32"/>
          <w:szCs w:val="32"/>
          <w:lang w:val="zh-CN"/>
        </w:rPr>
        <w:t>相符，</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lang w:val="zh-CN"/>
        </w:rPr>
        <w:t>合理可行。</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（三）项目自评步骤及方法</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按照项目评价要求，明确自评责任人，通过查验资料、报告工作等形式严格自评，做到自评真实不走形式。</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b w:val="0"/>
          <w:bCs w:val="0"/>
          <w:sz w:val="32"/>
          <w:szCs w:val="32"/>
        </w:rPr>
      </w:pPr>
      <w:r>
        <w:rPr>
          <w:rFonts w:hint="eastAsia" w:ascii="黑体" w:hAnsi="宋体" w:eastAsia="黑体"/>
          <w:b w:val="0"/>
          <w:bCs w:val="0"/>
          <w:sz w:val="32"/>
          <w:szCs w:val="32"/>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（一）项目资金申报及批复情况</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按照一般公共预算管理要求，市财政局申报项目资金预算，202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年由广元市财政局通过</w:t>
      </w:r>
      <w:r>
        <w:rPr>
          <w:rFonts w:hint="eastAsia" w:ascii="仿宋_GB2312" w:hAnsi="仿宋_GB2312" w:eastAsia="仿宋_GB2312" w:cs="仿宋_GB2312"/>
          <w:sz w:val="32"/>
          <w:szCs w:val="32"/>
          <w:lang w:val="en-US" w:eastAsia="zh-CN"/>
        </w:rPr>
        <w:t>《广元市财政局关于批复2021年市级部门预算的通知》（广财预〔2021〕1号）</w:t>
      </w:r>
      <w:r>
        <w:rPr>
          <w:rFonts w:hint="eastAsia" w:ascii="仿宋_GB2312" w:hAnsi="仿宋_GB2312" w:eastAsia="仿宋_GB2312" w:cs="仿宋_GB2312"/>
          <w:sz w:val="32"/>
          <w:szCs w:val="32"/>
        </w:rPr>
        <w:t>文件下达我单位项目资金</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w:t>
      </w:r>
      <w:r>
        <w:rPr>
          <w:rFonts w:hint="eastAsia" w:ascii="楷体_GB2312" w:hAnsi="宋体" w:eastAsia="楷体_GB2312"/>
          <w:b w:val="0"/>
          <w:bCs w:val="0"/>
          <w:sz w:val="32"/>
          <w:szCs w:val="32"/>
          <w:lang w:val="en-US" w:eastAsia="zh-CN"/>
        </w:rPr>
        <w:t>二</w:t>
      </w:r>
      <w:r>
        <w:rPr>
          <w:rFonts w:hint="eastAsia" w:ascii="楷体_GB2312" w:hAnsi="宋体" w:eastAsia="楷体_GB2312"/>
          <w:b w:val="0"/>
          <w:bCs w:val="0"/>
          <w:sz w:val="32"/>
          <w:szCs w:val="32"/>
          <w:lang w:val="zh-CN"/>
        </w:rPr>
        <w:t>）资金计划、到位及使用情况</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1．资金计划及到位。</w:t>
      </w:r>
      <w:r>
        <w:rPr>
          <w:rFonts w:hint="eastAsia" w:ascii="仿宋_GB2312" w:hAnsi="仿宋_GB2312" w:eastAsia="仿宋_GB2312" w:cs="仿宋_GB2312"/>
          <w:sz w:val="32"/>
          <w:szCs w:val="32"/>
          <w:lang w:val="en-US" w:eastAsia="zh-CN"/>
        </w:rPr>
        <w:t>该</w:t>
      </w:r>
      <w:r>
        <w:rPr>
          <w:rFonts w:hint="eastAsia" w:ascii="仿宋_GB2312" w:hAnsi="仿宋_GB2312" w:eastAsia="仿宋_GB2312" w:cs="仿宋_GB2312"/>
          <w:sz w:val="32"/>
          <w:szCs w:val="32"/>
        </w:rPr>
        <w:t>项目预算</w:t>
      </w:r>
      <w:r>
        <w:rPr>
          <w:rFonts w:hint="eastAsia" w:ascii="仿宋_GB2312" w:hAnsi="仿宋_GB2312" w:eastAsia="仿宋_GB2312" w:cs="仿宋_GB2312"/>
          <w:sz w:val="32"/>
          <w:szCs w:val="32"/>
          <w:lang w:val="en-US" w:eastAsia="zh-CN"/>
        </w:rPr>
        <w:t>批复资金</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万元，截至202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年底，</w:t>
      </w:r>
      <w:r>
        <w:rPr>
          <w:rFonts w:hint="eastAsia" w:ascii="仿宋_GB2312" w:hAnsi="仿宋_GB2312" w:eastAsia="仿宋_GB2312" w:cs="仿宋_GB2312"/>
          <w:sz w:val="32"/>
          <w:szCs w:val="32"/>
          <w:lang w:val="en-US" w:eastAsia="zh-CN"/>
        </w:rPr>
        <w:t>该项目</w:t>
      </w:r>
      <w:r>
        <w:rPr>
          <w:rFonts w:hint="eastAsia" w:ascii="仿宋_GB2312" w:hAnsi="仿宋_GB2312" w:eastAsia="仿宋_GB2312" w:cs="仿宋_GB2312"/>
          <w:sz w:val="32"/>
          <w:szCs w:val="32"/>
        </w:rPr>
        <w:t>实际拨付</w:t>
      </w:r>
      <w:r>
        <w:rPr>
          <w:rFonts w:hint="eastAsia" w:ascii="仿宋_GB2312" w:hAnsi="仿宋_GB2312" w:eastAsia="仿宋_GB2312" w:cs="仿宋_GB2312"/>
          <w:sz w:val="32"/>
          <w:szCs w:val="32"/>
          <w:lang w:val="en-US" w:eastAsia="zh-CN"/>
        </w:rPr>
        <w:t>到位</w:t>
      </w:r>
      <w:r>
        <w:rPr>
          <w:rFonts w:hint="eastAsia" w:ascii="仿宋_GB2312" w:hAnsi="仿宋_GB2312" w:eastAsia="仿宋_GB2312" w:cs="仿宋_GB2312"/>
          <w:sz w:val="32"/>
          <w:szCs w:val="32"/>
        </w:rPr>
        <w:t>资金</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万元，资金拨付率为100%。</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ascii="仿宋_GB2312" w:hAnsi="宋体"/>
          <w:b w:val="0"/>
          <w:bCs w:val="0"/>
          <w:sz w:val="32"/>
          <w:szCs w:val="32"/>
          <w:lang w:val="zh-CN"/>
        </w:rPr>
      </w:pPr>
      <w:r>
        <w:rPr>
          <w:rFonts w:hint="eastAsia" w:ascii="仿宋_GB2312" w:hAnsi="仿宋_GB2312" w:eastAsia="仿宋_GB2312" w:cs="仿宋_GB2312"/>
          <w:sz w:val="32"/>
          <w:szCs w:val="32"/>
          <w:lang w:val="zh-CN"/>
        </w:rPr>
        <w:t>2．资金使用。</w:t>
      </w:r>
      <w:r>
        <w:rPr>
          <w:rFonts w:hint="eastAsia" w:ascii="仿宋_GB2312" w:hAnsi="仿宋_GB2312" w:eastAsia="仿宋_GB2312" w:cs="仿宋_GB2312"/>
          <w:sz w:val="32"/>
          <w:szCs w:val="32"/>
        </w:rPr>
        <w:t>该项目资金全年共支出</w:t>
      </w:r>
      <w:r>
        <w:rPr>
          <w:rFonts w:hint="eastAsia" w:ascii="仿宋_GB2312" w:hAnsi="仿宋_GB2312" w:eastAsia="仿宋_GB2312" w:cs="仿宋_GB2312"/>
          <w:sz w:val="32"/>
          <w:szCs w:val="32"/>
          <w:lang w:val="en-US" w:eastAsia="zh-CN"/>
        </w:rPr>
        <w:t>25.85</w:t>
      </w:r>
      <w:r>
        <w:rPr>
          <w:rFonts w:hint="eastAsia" w:ascii="仿宋_GB2312" w:hAnsi="仿宋_GB2312" w:eastAsia="仿宋_GB2312" w:cs="仿宋_GB2312"/>
          <w:sz w:val="32"/>
          <w:szCs w:val="32"/>
        </w:rPr>
        <w:t>万元，支出进度为</w:t>
      </w:r>
      <w:r>
        <w:rPr>
          <w:rFonts w:hint="eastAsia" w:ascii="仿宋_GB2312" w:hAnsi="仿宋_GB2312" w:eastAsia="仿宋_GB2312" w:cs="仿宋_GB2312"/>
          <w:sz w:val="32"/>
          <w:szCs w:val="32"/>
          <w:lang w:val="en-US" w:eastAsia="zh-CN"/>
        </w:rPr>
        <w:t>99.42</w:t>
      </w:r>
      <w:r>
        <w:rPr>
          <w:rFonts w:hint="eastAsia" w:ascii="仿宋_GB2312" w:hAnsi="仿宋_GB2312" w:eastAsia="仿宋_GB2312" w:cs="仿宋_GB2312"/>
          <w:sz w:val="32"/>
          <w:szCs w:val="32"/>
        </w:rPr>
        <w:t>%，主要是用于</w:t>
      </w:r>
      <w:r>
        <w:rPr>
          <w:rFonts w:hint="eastAsia" w:ascii="仿宋_GB2312" w:hAnsi="仿宋_GB2312" w:eastAsia="仿宋_GB2312" w:cs="仿宋_GB2312"/>
          <w:sz w:val="32"/>
          <w:szCs w:val="32"/>
          <w:lang w:val="en-US" w:eastAsia="zh-CN"/>
        </w:rPr>
        <w:t>政府性债务系统、资产管理系统和财政票据管理系统等3个省级业务系统的运行维护。</w:t>
      </w:r>
      <w:r>
        <w:rPr>
          <w:rFonts w:hint="eastAsia" w:ascii="仿宋_GB2312" w:hAnsi="仿宋_GB2312" w:eastAsia="仿宋_GB2312" w:cs="仿宋_GB2312"/>
          <w:sz w:val="32"/>
          <w:szCs w:val="32"/>
        </w:rPr>
        <w:t>在项目执行过程中，严格按照预算批复执行，不随意改变该项目资金支付范围、支付标准，严控预算执行进度和经费支出情况，确保资金使用安全、规范、高效。</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宋体" w:eastAsia="楷体_GB2312"/>
          <w:b w:val="0"/>
          <w:bCs w:val="0"/>
          <w:sz w:val="32"/>
          <w:szCs w:val="32"/>
          <w:lang w:val="zh-CN"/>
        </w:rPr>
      </w:pPr>
      <w:r>
        <w:rPr>
          <w:rFonts w:hint="eastAsia" w:ascii="楷体_GB2312" w:hAnsi="宋体" w:eastAsia="楷体_GB2312"/>
          <w:b w:val="0"/>
          <w:bCs w:val="0"/>
          <w:sz w:val="32"/>
          <w:szCs w:val="32"/>
          <w:lang w:val="zh-CN"/>
        </w:rPr>
        <w:t>（</w:t>
      </w:r>
      <w:r>
        <w:rPr>
          <w:rFonts w:hint="eastAsia" w:ascii="楷体_GB2312" w:hAnsi="宋体" w:eastAsia="楷体_GB2312"/>
          <w:b w:val="0"/>
          <w:bCs w:val="0"/>
          <w:sz w:val="32"/>
          <w:szCs w:val="32"/>
          <w:lang w:val="en-US" w:eastAsia="zh-CN"/>
        </w:rPr>
        <w:t>三</w:t>
      </w:r>
      <w:r>
        <w:rPr>
          <w:rFonts w:hint="eastAsia" w:ascii="楷体_GB2312" w:hAnsi="宋体" w:eastAsia="楷体_GB2312"/>
          <w:b w:val="0"/>
          <w:bCs w:val="0"/>
          <w:sz w:val="32"/>
          <w:szCs w:val="32"/>
          <w:lang w:val="zh-CN"/>
        </w:rPr>
        <w:t>）项目财务管理情况</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我单位严格按照财务管理相关制度规定，建立健全财务管理制度及内控制度，加强对财政管理专项经费的使用管理，按照专项资金管理办法做好项目实施和监管，及时、规范进行账务处理及会计核算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切实做到专款专用，最大可能发挥专项资金作用。</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eastAsia="仿宋_GB2312"/>
          <w:sz w:val="32"/>
          <w:szCs w:val="32"/>
        </w:rPr>
      </w:pPr>
      <w:r>
        <w:rPr>
          <w:rFonts w:hint="eastAsia" w:ascii="黑体" w:hAnsi="宋体" w:eastAsia="黑体"/>
          <w:b w:val="0"/>
          <w:bCs w:val="0"/>
          <w:sz w:val="32"/>
          <w:szCs w:val="32"/>
        </w:rPr>
        <w:t>三、项目实施及管理情况</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该项目不属于政府采购，项目审批及实施、费用报销均严格执行相关管理规定</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该项目所含的政府性债务系统、资产管理系统和财政票据管理系统等3个省级业务系统均按合同约定实施维护并支付款项，确保了财政工作正常开展。</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ascii="仿宋_GB2312" w:hAnsi="宋体"/>
          <w:b w:val="0"/>
          <w:bCs w:val="0"/>
          <w:sz w:val="32"/>
          <w:szCs w:val="32"/>
          <w:lang w:val="zh-CN"/>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严格按照项目管理有关规定管理专项经费，为保障项目资金安全，确保资金专款专用，从资金申请、资金使用、会计核算三个环节加强资金管理。在项目资金申请环节，严格按照国库集中支付流程申请财政资金;在资金使用环节，严格遵守相关法律法规规定，严格按照单位财务管理审批流程办理款项支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会计核算环节，对本项目资金实行单独核算，确保专款专用。通过上述三个环节的管理，极力避免了挪用、挤占、截留项目资金的现象，保证财政资金安全有效使用。同时经费管理主动接受驻局纪检监察组和审计部门的监督检查，对预算执行实行动态监控，无违纪违法现象。</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b w:val="0"/>
          <w:bCs w:val="0"/>
          <w:sz w:val="32"/>
          <w:szCs w:val="32"/>
          <w:lang w:val="zh-CN"/>
        </w:rPr>
      </w:pPr>
      <w:r>
        <w:rPr>
          <w:rFonts w:hint="eastAsia" w:ascii="黑体" w:hAnsi="宋体" w:eastAsia="黑体"/>
          <w:b w:val="0"/>
          <w:bCs w:val="0"/>
          <w:sz w:val="32"/>
          <w:szCs w:val="32"/>
          <w:lang w:val="en-US" w:eastAsia="zh-CN"/>
        </w:rPr>
        <w:t>四</w:t>
      </w:r>
      <w:r>
        <w:rPr>
          <w:rFonts w:hint="eastAsia" w:ascii="黑体" w:hAnsi="宋体" w:eastAsia="黑体"/>
          <w:b w:val="0"/>
          <w:bCs w:val="0"/>
          <w:sz w:val="32"/>
          <w:szCs w:val="32"/>
        </w:rPr>
        <w:t>、项目绩效情况</w:t>
      </w:r>
      <w:r>
        <w:rPr>
          <w:rFonts w:hint="eastAsia" w:ascii="仿宋_GB2312" w:hAnsi="宋体"/>
          <w:b w:val="0"/>
          <w:bCs w:val="0"/>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（一）项目完成情况</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实施该项目，我市政府性债务系统、资产管理系统和财政票据管理系统等3个省级业务系统正常运行，完成全市预算单位的财政电子票据管理，完成全市债务数据分析，及时监控债务风险状况。完成全市单位国有资产信息录入及维护，顺利完成年度资产报告报送工作。</w:t>
      </w:r>
    </w:p>
    <w:p>
      <w:pPr>
        <w:keepNext w:val="0"/>
        <w:keepLines w:val="0"/>
        <w:pageBreakBefore w:val="0"/>
        <w:widowControl w:val="0"/>
        <w:numPr>
          <w:ilvl w:val="0"/>
          <w:numId w:val="7"/>
        </w:numPr>
        <w:kinsoku/>
        <w:wordWrap/>
        <w:overflowPunct/>
        <w:topLinePunct w:val="0"/>
        <w:autoSpaceDE/>
        <w:autoSpaceDN/>
        <w:bidi w:val="0"/>
        <w:spacing w:line="576" w:lineRule="exact"/>
        <w:ind w:firstLine="640" w:firstLineChars="200"/>
        <w:textAlignment w:val="auto"/>
        <w:rPr>
          <w:rFonts w:hint="eastAsia" w:ascii="楷体_GB2312" w:hAnsi="宋体" w:eastAsia="楷体_GB2312"/>
          <w:b w:val="0"/>
          <w:bCs w:val="0"/>
          <w:sz w:val="32"/>
          <w:szCs w:val="32"/>
          <w:lang w:val="zh-CN"/>
        </w:rPr>
      </w:pPr>
      <w:r>
        <w:rPr>
          <w:rFonts w:hint="eastAsia" w:ascii="楷体_GB2312" w:hAnsi="宋体" w:eastAsia="楷体_GB2312"/>
          <w:b w:val="0"/>
          <w:bCs w:val="0"/>
          <w:sz w:val="32"/>
          <w:szCs w:val="32"/>
          <w:lang w:val="zh-CN"/>
        </w:rPr>
        <w:t>项目效益情况</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1.项目实施对经济和社会的影响。通过该项目顺利实施，保障了各项财政业务正常开展和财政资金及时拨付，为全市经济社会高质量发展提供了坚实保障。</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2.项目服务对象满意度。使用对象满意度达95%以上。</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b w:val="0"/>
          <w:bCs w:val="0"/>
          <w:sz w:val="32"/>
          <w:szCs w:val="32"/>
        </w:rPr>
      </w:pPr>
      <w:r>
        <w:rPr>
          <w:rFonts w:hint="eastAsia" w:ascii="黑体" w:hAnsi="宋体" w:eastAsia="黑体"/>
          <w:b w:val="0"/>
          <w:bCs w:val="0"/>
          <w:sz w:val="32"/>
          <w:szCs w:val="32"/>
        </w:rPr>
        <w:t>五、评价结论及建议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（一）评价结论</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结合项目自身特点、评价重点及管理办法等要求，</w:t>
      </w:r>
      <w:r>
        <w:rPr>
          <w:rFonts w:hint="eastAsia" w:ascii="仿宋_GB2312" w:hAnsi="仿宋_GB2312" w:eastAsia="仿宋_GB2312" w:cs="仿宋_GB2312"/>
          <w:sz w:val="32"/>
          <w:szCs w:val="32"/>
          <w:lang w:val="en-US" w:eastAsia="zh-CN"/>
        </w:rPr>
        <w:t>根据</w:t>
      </w:r>
      <w:r>
        <w:rPr>
          <w:rFonts w:hint="eastAsia" w:ascii="仿宋_GB2312" w:hAnsi="仿宋_GB2312" w:eastAsia="仿宋_GB2312" w:cs="仿宋_GB2312"/>
          <w:sz w:val="32"/>
          <w:szCs w:val="32"/>
          <w:lang w:val="zh-CN"/>
        </w:rPr>
        <w:t>专项项目支出绩效评价指标体系，</w:t>
      </w:r>
      <w:r>
        <w:rPr>
          <w:rFonts w:hint="eastAsia" w:ascii="仿宋_GB2312" w:hAnsi="仿宋_GB2312" w:eastAsia="仿宋_GB2312" w:cs="仿宋_GB2312"/>
          <w:sz w:val="32"/>
          <w:szCs w:val="32"/>
          <w:lang w:val="en-US" w:eastAsia="zh-CN"/>
        </w:rPr>
        <w:t>该</w:t>
      </w:r>
      <w:r>
        <w:rPr>
          <w:rFonts w:hint="eastAsia" w:ascii="仿宋_GB2312" w:hAnsi="仿宋_GB2312" w:eastAsia="仿宋_GB2312" w:cs="仿宋_GB2312"/>
          <w:sz w:val="32"/>
          <w:szCs w:val="32"/>
          <w:lang w:val="zh-CN"/>
        </w:rPr>
        <w:t>项目</w:t>
      </w:r>
      <w:r>
        <w:rPr>
          <w:rFonts w:hint="eastAsia" w:ascii="仿宋_GB2312" w:hAnsi="仿宋_GB2312" w:eastAsia="仿宋_GB2312" w:cs="仿宋_GB2312"/>
          <w:sz w:val="32"/>
          <w:szCs w:val="32"/>
          <w:lang w:val="en-US" w:eastAsia="zh-CN"/>
        </w:rPr>
        <w:t>自评得分为100分</w:t>
      </w:r>
      <w:r>
        <w:rPr>
          <w:rFonts w:hint="eastAsia" w:ascii="仿宋_GB2312" w:hAnsi="仿宋_GB2312" w:eastAsia="仿宋_GB2312" w:cs="仿宋_GB2312"/>
          <w:sz w:val="32"/>
          <w:szCs w:val="32"/>
          <w:lang w:val="zh-CN"/>
        </w:rPr>
        <w:t>。</w:t>
      </w:r>
    </w:p>
    <w:p>
      <w:pPr>
        <w:keepNext w:val="0"/>
        <w:keepLines w:val="0"/>
        <w:pageBreakBefore w:val="0"/>
        <w:widowControl w:val="0"/>
        <w:numPr>
          <w:ilvl w:val="0"/>
          <w:numId w:val="7"/>
        </w:numPr>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楷体_GB2312" w:hAnsi="宋体" w:eastAsia="楷体_GB2312"/>
          <w:b w:val="0"/>
          <w:bCs w:val="0"/>
          <w:sz w:val="32"/>
          <w:szCs w:val="32"/>
          <w:lang w:val="zh-CN"/>
        </w:rPr>
      </w:pPr>
      <w:r>
        <w:rPr>
          <w:rFonts w:hint="eastAsia" w:ascii="楷体_GB2312" w:hAnsi="宋体" w:eastAsia="楷体_GB2312"/>
          <w:b w:val="0"/>
          <w:bCs w:val="0"/>
          <w:sz w:val="32"/>
          <w:szCs w:val="32"/>
          <w:lang w:val="zh-CN"/>
        </w:rPr>
        <w:t>存在的问题</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项目绩效目标细化和量化不够明细。</w:t>
      </w:r>
    </w:p>
    <w:p>
      <w:pPr>
        <w:pStyle w:val="12"/>
        <w:keepNext w:val="0"/>
        <w:keepLines w:val="0"/>
        <w:pageBreakBefore w:val="0"/>
        <w:widowControl w:val="0"/>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76" w:lineRule="exact"/>
        <w:ind w:left="0" w:leftChars="0" w:right="0" w:firstLine="640" w:firstLineChars="200"/>
        <w:textAlignment w:val="auto"/>
        <w:rPr>
          <w:rFonts w:hint="eastAsia" w:ascii="楷体_GB2312" w:hAnsi="宋体" w:eastAsia="楷体_GB2312"/>
          <w:b w:val="0"/>
          <w:bCs w:val="0"/>
          <w:sz w:val="32"/>
          <w:szCs w:val="32"/>
          <w:lang w:val="zh-CN"/>
        </w:rPr>
      </w:pPr>
      <w:r>
        <w:rPr>
          <w:rFonts w:hint="eastAsia" w:ascii="楷体_GB2312" w:hAnsi="宋体" w:eastAsia="楷体_GB2312"/>
          <w:b w:val="0"/>
          <w:bCs w:val="0"/>
          <w:sz w:val="32"/>
          <w:szCs w:val="32"/>
          <w:lang w:val="zh-CN"/>
        </w:rPr>
        <w:t>相关建议</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强化预算编制管理</w:t>
      </w:r>
      <w:r>
        <w:rPr>
          <w:rFonts w:hint="eastAsia" w:ascii="仿宋_GB2312" w:hAnsi="仿宋_GB2312" w:eastAsia="仿宋_GB2312" w:cs="仿宋_GB2312"/>
          <w:sz w:val="32"/>
          <w:szCs w:val="32"/>
        </w:rPr>
        <w:t>，提高资金支出时效。</w:t>
      </w:r>
    </w:p>
    <w:p>
      <w:pPr>
        <w:keepNext w:val="0"/>
        <w:keepLines w:val="0"/>
        <w:pageBreakBefore w:val="0"/>
        <w:widowControl w:val="0"/>
        <w:kinsoku/>
        <w:wordWrap/>
        <w:overflowPunct/>
        <w:topLinePunct w:val="0"/>
        <w:bidi w:val="0"/>
        <w:spacing w:line="560" w:lineRule="exact"/>
        <w:ind w:firstLine="880" w:firstLineChars="200"/>
        <w:rPr>
          <w:rFonts w:hint="eastAsia" w:ascii="黑体" w:hAnsi="黑体" w:eastAsia="黑体"/>
          <w:color w:val="auto"/>
          <w:sz w:val="44"/>
          <w:szCs w:val="44"/>
          <w:highlight w:val="none"/>
        </w:rPr>
      </w:pPr>
    </w:p>
    <w:p>
      <w:pPr>
        <w:keepNext w:val="0"/>
        <w:keepLines w:val="0"/>
        <w:pageBreakBefore w:val="0"/>
        <w:widowControl w:val="0"/>
        <w:kinsoku/>
        <w:wordWrap/>
        <w:overflowPunct/>
        <w:topLinePunct w:val="0"/>
        <w:bidi w:val="0"/>
        <w:spacing w:line="560" w:lineRule="exact"/>
        <w:ind w:firstLine="880" w:firstLineChars="200"/>
        <w:rPr>
          <w:rFonts w:hint="eastAsia" w:ascii="黑体" w:hAnsi="黑体" w:eastAsia="黑体"/>
          <w:color w:val="auto"/>
          <w:sz w:val="44"/>
          <w:szCs w:val="44"/>
          <w:highlight w:val="none"/>
        </w:rPr>
      </w:pPr>
    </w:p>
    <w:p>
      <w:pPr>
        <w:pStyle w:val="6"/>
        <w:keepNext w:val="0"/>
        <w:keepLines w:val="0"/>
        <w:pageBreakBefore w:val="0"/>
        <w:widowControl w:val="0"/>
        <w:kinsoku/>
        <w:wordWrap/>
        <w:overflowPunct/>
        <w:topLinePunct w:val="0"/>
        <w:bidi w:val="0"/>
        <w:rPr>
          <w:rFonts w:hint="eastAsia" w:ascii="黑体" w:hAnsi="黑体" w:eastAsia="黑体"/>
          <w:color w:val="auto"/>
          <w:sz w:val="44"/>
          <w:szCs w:val="44"/>
          <w:highlight w:val="none"/>
        </w:rPr>
      </w:pPr>
    </w:p>
    <w:p>
      <w:pPr>
        <w:pStyle w:val="6"/>
        <w:keepNext w:val="0"/>
        <w:keepLines w:val="0"/>
        <w:pageBreakBefore w:val="0"/>
        <w:widowControl w:val="0"/>
        <w:kinsoku/>
        <w:wordWrap/>
        <w:overflowPunct/>
        <w:topLinePunct w:val="0"/>
        <w:bidi w:val="0"/>
        <w:rPr>
          <w:rFonts w:hint="eastAsia" w:ascii="黑体" w:hAnsi="黑体" w:eastAsia="黑体"/>
          <w:color w:val="auto"/>
          <w:sz w:val="44"/>
          <w:szCs w:val="44"/>
          <w:highlight w:val="none"/>
        </w:rPr>
      </w:pPr>
    </w:p>
    <w:p>
      <w:pPr>
        <w:pStyle w:val="6"/>
        <w:keepNext w:val="0"/>
        <w:keepLines w:val="0"/>
        <w:pageBreakBefore w:val="0"/>
        <w:widowControl w:val="0"/>
        <w:kinsoku/>
        <w:wordWrap/>
        <w:overflowPunct/>
        <w:topLinePunct w:val="0"/>
        <w:bidi w:val="0"/>
        <w:rPr>
          <w:rFonts w:hint="eastAsia" w:ascii="黑体" w:hAnsi="黑体" w:eastAsia="黑体"/>
          <w:color w:val="auto"/>
          <w:sz w:val="44"/>
          <w:szCs w:val="44"/>
          <w:highlight w:val="none"/>
        </w:rPr>
      </w:pPr>
    </w:p>
    <w:p>
      <w:pPr>
        <w:rPr>
          <w:rFonts w:hint="eastAsia" w:ascii="黑体" w:hAnsi="黑体" w:eastAsia="黑体"/>
          <w:color w:val="auto"/>
          <w:sz w:val="44"/>
          <w:szCs w:val="44"/>
          <w:highlight w:val="none"/>
        </w:rPr>
      </w:pPr>
      <w:r>
        <w:rPr>
          <w:rFonts w:hint="eastAsia" w:ascii="黑体" w:hAnsi="黑体" w:eastAsia="黑体"/>
          <w:color w:val="auto"/>
          <w:sz w:val="44"/>
          <w:szCs w:val="44"/>
          <w:highlight w:val="none"/>
        </w:rPr>
        <w:br w:type="page"/>
      </w:r>
    </w:p>
    <w:tbl>
      <w:tblPr>
        <w:tblStyle w:val="13"/>
        <w:tblpPr w:leftFromText="180" w:rightFromText="180" w:vertAnchor="text" w:horzAnchor="page" w:tblpX="1141" w:tblpY="577"/>
        <w:tblOverlap w:val="never"/>
        <w:tblW w:w="102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29"/>
        <w:gridCol w:w="1039"/>
        <w:gridCol w:w="1442"/>
        <w:gridCol w:w="1489"/>
        <w:gridCol w:w="2030"/>
        <w:gridCol w:w="2285"/>
        <w:gridCol w:w="2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10014" w:type="dxa"/>
            <w:gridSpan w:val="6"/>
            <w:tcBorders>
              <w:top w:val="nil"/>
              <w:left w:val="nil"/>
              <w:bottom w:val="nil"/>
              <w:right w:val="nil"/>
            </w:tcBorders>
            <w:shd w:val="clear" w:color="auto" w:fill="auto"/>
            <w:vAlign w:val="center"/>
          </w:tcPr>
          <w:p>
            <w:pPr>
              <w:pStyle w:val="6"/>
              <w:keepNext w:val="0"/>
              <w:keepLines w:val="0"/>
              <w:pageBreakBefore w:val="0"/>
              <w:widowControl w:val="0"/>
              <w:kinsoku/>
              <w:wordWrap/>
              <w:overflowPunct/>
              <w:topLinePunct w:val="0"/>
              <w:bidi w:val="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附表</w:t>
            </w:r>
          </w:p>
          <w:p>
            <w:pPr>
              <w:keepNext w:val="0"/>
              <w:keepLines w:val="0"/>
              <w:pageBreakBefore w:val="0"/>
              <w:widowControl w:val="0"/>
              <w:suppressLineNumbers w:val="0"/>
              <w:kinsoku/>
              <w:wordWrap/>
              <w:overflowPunct/>
              <w:topLinePunct w:val="0"/>
              <w:autoSpaceDE/>
              <w:autoSpaceDN/>
              <w:bidi w:val="0"/>
              <w:adjustRightInd/>
              <w:snapToGrid/>
              <w:spacing w:beforeAutospacing="0" w:line="560" w:lineRule="exact"/>
              <w:jc w:val="center"/>
              <w:textAlignment w:val="center"/>
              <w:rPr>
                <w:rFonts w:hint="eastAsia" w:ascii="方正小标宋简体" w:hAnsi="方正小标宋简体" w:eastAsia="方正小标宋简体" w:cs="方正小标宋简体"/>
                <w:b w:val="0"/>
                <w:bCs/>
                <w:i w:val="0"/>
                <w:color w:val="auto"/>
                <w:sz w:val="44"/>
                <w:szCs w:val="44"/>
                <w:highlight w:val="none"/>
                <w:u w:val="none"/>
                <w:lang w:val="en-US" w:eastAsia="zh-CN"/>
              </w:rPr>
            </w:pPr>
            <w:r>
              <w:rPr>
                <w:rFonts w:hint="eastAsia" w:ascii="方正小标宋简体" w:hAnsi="方正小标宋简体" w:eastAsia="方正小标宋简体" w:cs="方正小标宋简体"/>
                <w:b w:val="0"/>
                <w:bCs/>
                <w:i w:val="0"/>
                <w:color w:val="auto"/>
                <w:sz w:val="44"/>
                <w:szCs w:val="44"/>
                <w:highlight w:val="none"/>
                <w:u w:val="none"/>
                <w:lang w:val="en-US" w:eastAsia="zh-CN"/>
              </w:rPr>
              <w:t>2021年部门预算</w:t>
            </w:r>
            <w:r>
              <w:rPr>
                <w:rFonts w:hint="eastAsia" w:ascii="方正小标宋简体" w:hAnsi="方正小标宋简体" w:eastAsia="方正小标宋简体" w:cs="方正小标宋简体"/>
                <w:b w:val="0"/>
                <w:bCs/>
                <w:sz w:val="44"/>
                <w:szCs w:val="44"/>
                <w:lang w:val="en-US" w:eastAsia="zh-CN"/>
              </w:rPr>
              <w:t>省级财政业务服务</w:t>
            </w:r>
            <w:r>
              <w:rPr>
                <w:rFonts w:hint="eastAsia" w:ascii="方正小标宋简体" w:hAnsi="方正小标宋简体" w:eastAsia="方正小标宋简体" w:cs="方正小标宋简体"/>
                <w:b w:val="0"/>
                <w:bCs/>
                <w:i w:val="0"/>
                <w:color w:val="auto"/>
                <w:sz w:val="44"/>
                <w:szCs w:val="44"/>
                <w:highlight w:val="none"/>
                <w:u w:val="none"/>
                <w:lang w:val="en-US" w:eastAsia="zh-CN"/>
              </w:rPr>
              <w:t>项目</w:t>
            </w:r>
          </w:p>
          <w:p>
            <w:pPr>
              <w:keepNext w:val="0"/>
              <w:keepLines w:val="0"/>
              <w:pageBreakBefore w:val="0"/>
              <w:widowControl w:val="0"/>
              <w:suppressLineNumbers w:val="0"/>
              <w:kinsoku/>
              <w:wordWrap/>
              <w:overflowPunct/>
              <w:topLinePunct w:val="0"/>
              <w:autoSpaceDE/>
              <w:autoSpaceDN/>
              <w:bidi w:val="0"/>
              <w:adjustRightInd/>
              <w:snapToGrid/>
              <w:spacing w:beforeAutospacing="0" w:line="560" w:lineRule="exact"/>
              <w:jc w:val="center"/>
              <w:textAlignment w:val="center"/>
              <w:rPr>
                <w:rFonts w:hint="eastAsia" w:ascii="宋体" w:hAnsi="宋体" w:eastAsia="宋体" w:cs="宋体"/>
                <w:b/>
                <w:i w:val="0"/>
                <w:color w:val="auto"/>
                <w:sz w:val="32"/>
                <w:szCs w:val="32"/>
                <w:highlight w:val="none"/>
                <w:u w:val="none"/>
              </w:rPr>
            </w:pPr>
            <w:r>
              <w:rPr>
                <w:rFonts w:hint="eastAsia" w:ascii="方正小标宋简体" w:hAnsi="方正小标宋简体" w:eastAsia="方正小标宋简体" w:cs="方正小标宋简体"/>
                <w:b w:val="0"/>
                <w:bCs/>
                <w:i w:val="0"/>
                <w:color w:val="auto"/>
                <w:sz w:val="44"/>
                <w:szCs w:val="44"/>
                <w:highlight w:val="none"/>
                <w:u w:val="none"/>
                <w:lang w:val="en-US" w:eastAsia="zh-CN"/>
              </w:rPr>
              <w:t>绩效目标自评</w:t>
            </w:r>
          </w:p>
        </w:tc>
        <w:tc>
          <w:tcPr>
            <w:tcW w:w="236" w:type="dxa"/>
            <w:tcBorders>
              <w:top w:val="nil"/>
              <w:left w:val="nil"/>
              <w:bottom w:val="nil"/>
              <w:right w:val="nil"/>
            </w:tcBorders>
            <w:shd w:val="clear" w:color="auto" w:fill="auto"/>
            <w:vAlign w:val="center"/>
          </w:tcPr>
          <w:p>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b/>
                <w:i w:val="0"/>
                <w:color w:val="auto"/>
                <w:kern w:val="0"/>
                <w:sz w:val="32"/>
                <w:szCs w:val="3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254" w:hRule="atLeast"/>
          <w:jc w:val="center"/>
        </w:trPr>
        <w:tc>
          <w:tcPr>
            <w:tcW w:w="2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主管部门及代码</w:t>
            </w:r>
          </w:p>
        </w:tc>
        <w:tc>
          <w:tcPr>
            <w:tcW w:w="2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广元市财政局</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实施单位</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cs="宋体"/>
                <w:i w:val="0"/>
                <w:color w:val="auto"/>
                <w:sz w:val="24"/>
                <w:szCs w:val="24"/>
                <w:highlight w:val="none"/>
                <w:u w:val="none"/>
                <w:lang w:val="en-US" w:eastAsia="zh-CN"/>
              </w:rPr>
              <w:t>广元市财政局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41" w:hRule="atLeast"/>
          <w:jc w:val="center"/>
        </w:trPr>
        <w:tc>
          <w:tcPr>
            <w:tcW w:w="27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项目预算</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执行情况</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（万元）</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预算数：</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26</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执行数：</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25.85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55" w:hRule="atLeast"/>
          <w:jc w:val="center"/>
        </w:trPr>
        <w:tc>
          <w:tcPr>
            <w:tcW w:w="27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其中：</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财政拨款</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26</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其中：</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财政拨款</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25.85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41" w:hRule="atLeast"/>
          <w:jc w:val="center"/>
        </w:trPr>
        <w:tc>
          <w:tcPr>
            <w:tcW w:w="27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其他资金</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其他资金</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99" w:hRule="atLeast"/>
          <w:jc w:val="center"/>
        </w:trPr>
        <w:tc>
          <w:tcPr>
            <w:tcW w:w="17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年度总体目标</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完成情况</w:t>
            </w:r>
          </w:p>
        </w:tc>
        <w:tc>
          <w:tcPr>
            <w:tcW w:w="39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预期目标</w:t>
            </w:r>
          </w:p>
        </w:tc>
        <w:tc>
          <w:tcPr>
            <w:tcW w:w="4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97" w:hRule="atLeast"/>
          <w:jc w:val="center"/>
        </w:trPr>
        <w:tc>
          <w:tcPr>
            <w:tcW w:w="1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39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4"/>
                <w:szCs w:val="24"/>
                <w:highlight w:val="none"/>
                <w:u w:val="none"/>
              </w:rPr>
              <w:t>保障省级财政业务系统顺利运转，确保财政工作正常开展。</w:t>
            </w:r>
          </w:p>
        </w:tc>
        <w:tc>
          <w:tcPr>
            <w:tcW w:w="431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top"/>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已完成目标任务。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08" w:hRule="atLeast"/>
          <w:jc w:val="center"/>
        </w:trPr>
        <w:tc>
          <w:tcPr>
            <w:tcW w:w="172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年度绩效指标完成情况</w:t>
            </w:r>
          </w:p>
        </w:tc>
        <w:tc>
          <w:tcPr>
            <w:tcW w:w="103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一级</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指标</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二级</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指标</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三级</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指标</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预期指标值</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877" w:hRule="atLeast"/>
          <w:jc w:val="center"/>
        </w:trPr>
        <w:tc>
          <w:tcPr>
            <w:tcW w:w="172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p>
        </w:tc>
        <w:tc>
          <w:tcPr>
            <w:tcW w:w="103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完成</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指标</w:t>
            </w:r>
          </w:p>
        </w:tc>
        <w:tc>
          <w:tcPr>
            <w:tcW w:w="144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数量指标</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四川省资产管理信息系统</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lang w:val="en-US" w:eastAsia="zh-CN"/>
              </w:rPr>
              <w:t>全市国有资产信息管理</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heme="minorEastAsia" w:hAnsiTheme="minorEastAsia" w:eastAsiaTheme="minorEastAsia" w:cstheme="minorEastAsia"/>
                <w:i w:val="0"/>
                <w:color w:val="auto"/>
                <w:sz w:val="21"/>
                <w:szCs w:val="21"/>
                <w:highlight w:val="none"/>
                <w:u w:val="none"/>
                <w:lang w:val="en-US" w:eastAsia="zh-CN"/>
              </w:rPr>
            </w:pPr>
            <w:r>
              <w:rPr>
                <w:rFonts w:hint="eastAsia" w:asciiTheme="minorEastAsia" w:hAnsiTheme="minorEastAsia" w:eastAsiaTheme="minorEastAsia" w:cstheme="minorEastAsia"/>
                <w:i w:val="0"/>
                <w:color w:val="auto"/>
                <w:sz w:val="21"/>
                <w:szCs w:val="21"/>
                <w:highlight w:val="none"/>
                <w:u w:val="none"/>
                <w:lang w:val="en-US" w:eastAsia="zh-CN"/>
              </w:rPr>
              <w:t>完成系统维护。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877" w:hRule="atLeast"/>
          <w:jc w:val="center"/>
        </w:trPr>
        <w:tc>
          <w:tcPr>
            <w:tcW w:w="172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p>
        </w:tc>
        <w:tc>
          <w:tcPr>
            <w:tcW w:w="103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4"/>
                <w:szCs w:val="24"/>
                <w:highlight w:val="none"/>
                <w:u w:val="none"/>
                <w:lang w:val="en-US" w:eastAsia="zh-CN" w:bidi="ar"/>
              </w:rPr>
            </w:pPr>
          </w:p>
        </w:tc>
        <w:tc>
          <w:tcPr>
            <w:tcW w:w="144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4"/>
                <w:szCs w:val="24"/>
                <w:highlight w:val="none"/>
                <w:u w:val="none"/>
                <w:lang w:val="en-US" w:eastAsia="zh-CN" w:bidi="ar"/>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四川省财政非税收缴暨财政票据管理系统</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bottom"/>
              <w:rPr>
                <w:rFonts w:hint="eastAsia" w:asciiTheme="minorEastAsia" w:hAnsiTheme="minorEastAsia" w:eastAsiaTheme="minorEastAsia" w:cstheme="minorEastAsia"/>
                <w:i w:val="0"/>
                <w:color w:val="auto"/>
                <w:sz w:val="21"/>
                <w:szCs w:val="21"/>
                <w:highlight w:val="none"/>
                <w:u w:val="none"/>
                <w:lang w:val="en-US" w:eastAsia="zh-CN"/>
              </w:rPr>
            </w:pPr>
            <w:r>
              <w:rPr>
                <w:rFonts w:hint="eastAsia" w:asciiTheme="minorEastAsia" w:hAnsiTheme="minorEastAsia" w:eastAsiaTheme="minorEastAsia" w:cstheme="minorEastAsia"/>
                <w:i w:val="0"/>
                <w:color w:val="auto"/>
                <w:sz w:val="21"/>
                <w:szCs w:val="21"/>
                <w:highlight w:val="none"/>
                <w:u w:val="none"/>
                <w:lang w:val="en-US" w:eastAsia="zh-CN"/>
              </w:rPr>
              <w:t>完成对至少150个单位的财政电子票据管理</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highlight w:val="none"/>
                <w:u w:val="none"/>
                <w:lang w:val="en-US" w:eastAsia="zh-CN"/>
              </w:rPr>
            </w:pPr>
            <w:r>
              <w:rPr>
                <w:rFonts w:hint="eastAsia" w:asciiTheme="minorEastAsia" w:hAnsiTheme="minorEastAsia" w:eastAsiaTheme="minorEastAsia" w:cstheme="minorEastAsia"/>
                <w:i w:val="0"/>
                <w:color w:val="auto"/>
                <w:sz w:val="21"/>
                <w:szCs w:val="21"/>
                <w:highlight w:val="none"/>
                <w:u w:val="none"/>
                <w:lang w:val="en-US"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877" w:hRule="atLeast"/>
          <w:jc w:val="center"/>
        </w:trPr>
        <w:tc>
          <w:tcPr>
            <w:tcW w:w="172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p>
        </w:tc>
        <w:tc>
          <w:tcPr>
            <w:tcW w:w="103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4"/>
                <w:szCs w:val="24"/>
                <w:highlight w:val="none"/>
                <w:u w:val="none"/>
                <w:lang w:val="en-US" w:eastAsia="zh-CN" w:bidi="ar"/>
              </w:rPr>
            </w:pPr>
          </w:p>
        </w:tc>
        <w:tc>
          <w:tcPr>
            <w:tcW w:w="144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4"/>
                <w:szCs w:val="24"/>
                <w:highlight w:val="none"/>
                <w:u w:val="none"/>
                <w:lang w:val="en-US" w:eastAsia="zh-CN" w:bidi="ar"/>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政府债务数据综合服务</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bottom"/>
              <w:rPr>
                <w:rFonts w:hint="eastAsia" w:asciiTheme="minorEastAsia" w:hAnsiTheme="minorEastAsia" w:eastAsiaTheme="minorEastAsia" w:cstheme="minorEastAsia"/>
                <w:i w:val="0"/>
                <w:color w:val="auto"/>
                <w:sz w:val="21"/>
                <w:szCs w:val="21"/>
                <w:highlight w:val="none"/>
                <w:u w:val="none"/>
                <w:lang w:val="en-US" w:eastAsia="zh-CN"/>
              </w:rPr>
            </w:pPr>
            <w:r>
              <w:rPr>
                <w:rFonts w:hint="eastAsia" w:asciiTheme="minorEastAsia" w:hAnsiTheme="minorEastAsia" w:eastAsiaTheme="minorEastAsia" w:cstheme="minorEastAsia"/>
                <w:i w:val="0"/>
                <w:color w:val="auto"/>
                <w:sz w:val="21"/>
                <w:szCs w:val="21"/>
                <w:highlight w:val="none"/>
                <w:u w:val="none"/>
                <w:lang w:val="en-US" w:eastAsia="zh-CN"/>
              </w:rPr>
              <w:t>完成全市债务数据分析，及时监控债务风险状况</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highlight w:val="none"/>
                <w:u w:val="none"/>
                <w:lang w:val="en-US" w:eastAsia="zh-CN"/>
              </w:rPr>
            </w:pPr>
            <w:r>
              <w:rPr>
                <w:rFonts w:hint="eastAsia" w:asciiTheme="minorEastAsia" w:hAnsiTheme="minorEastAsia" w:eastAsiaTheme="minorEastAsia" w:cstheme="minorEastAsia"/>
                <w:i w:val="0"/>
                <w:color w:val="auto"/>
                <w:sz w:val="21"/>
                <w:szCs w:val="21"/>
                <w:highlight w:val="none"/>
                <w:u w:val="none"/>
                <w:lang w:val="en-US"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15" w:hRule="atLeast"/>
          <w:jc w:val="center"/>
        </w:trPr>
        <w:tc>
          <w:tcPr>
            <w:tcW w:w="172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p>
        </w:tc>
        <w:tc>
          <w:tcPr>
            <w:tcW w:w="103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质量指标</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系统运行</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保障省级财政业务系统正常运行，顺利完成各项财政工作</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heme="minorEastAsia" w:hAnsiTheme="minorEastAsia" w:eastAsiaTheme="minorEastAsia" w:cstheme="minorEastAsia"/>
                <w:i w:val="0"/>
                <w:color w:val="auto"/>
                <w:sz w:val="21"/>
                <w:szCs w:val="21"/>
                <w:highlight w:val="none"/>
                <w:u w:val="none"/>
                <w:lang w:val="en-US" w:eastAsia="zh-CN"/>
              </w:rPr>
            </w:pPr>
            <w:r>
              <w:rPr>
                <w:rFonts w:hint="eastAsia" w:asciiTheme="minorEastAsia" w:hAnsiTheme="minorEastAsia" w:eastAsiaTheme="minorEastAsia" w:cstheme="minorEastAsia"/>
                <w:i w:val="0"/>
                <w:color w:val="auto"/>
                <w:sz w:val="21"/>
                <w:szCs w:val="21"/>
                <w:highlight w:val="none"/>
                <w:u w:val="none"/>
                <w:lang w:val="en-US"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15" w:hRule="atLeast"/>
          <w:jc w:val="center"/>
        </w:trPr>
        <w:tc>
          <w:tcPr>
            <w:tcW w:w="172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p>
        </w:tc>
        <w:tc>
          <w:tcPr>
            <w:tcW w:w="103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时效指标</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系统技术服务时效</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按合同约定完成</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lang w:val="en-US"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70" w:hRule="atLeast"/>
          <w:jc w:val="center"/>
        </w:trPr>
        <w:tc>
          <w:tcPr>
            <w:tcW w:w="172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p>
        </w:tc>
        <w:tc>
          <w:tcPr>
            <w:tcW w:w="103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p>
        </w:tc>
        <w:tc>
          <w:tcPr>
            <w:tcW w:w="144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成本指标</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四川省资产管理信息系统</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lang w:val="en-US" w:eastAsia="zh-CN"/>
              </w:rPr>
              <w:t>8</w:t>
            </w:r>
            <w:r>
              <w:rPr>
                <w:rFonts w:hint="eastAsia" w:asciiTheme="minorEastAsia" w:hAnsiTheme="minorEastAsia" w:eastAsiaTheme="minorEastAsia" w:cstheme="minorEastAsia"/>
                <w:i w:val="0"/>
                <w:color w:val="auto"/>
                <w:sz w:val="21"/>
                <w:szCs w:val="21"/>
                <w:highlight w:val="none"/>
                <w:u w:val="none"/>
              </w:rPr>
              <w:t>万元</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heme="minorEastAsia" w:hAnsiTheme="minorEastAsia" w:eastAsiaTheme="minorEastAsia" w:cstheme="minorEastAsia"/>
                <w:i w:val="0"/>
                <w:color w:val="auto"/>
                <w:sz w:val="21"/>
                <w:szCs w:val="21"/>
                <w:highlight w:val="none"/>
                <w:u w:val="none"/>
                <w:lang w:val="en-US" w:eastAsia="zh-CN"/>
              </w:rPr>
            </w:pPr>
            <w:r>
              <w:rPr>
                <w:rFonts w:hint="eastAsia" w:asciiTheme="minorEastAsia" w:hAnsiTheme="minorEastAsia" w:eastAsiaTheme="minorEastAsia" w:cstheme="minorEastAsia"/>
                <w:i w:val="0"/>
                <w:color w:val="auto"/>
                <w:sz w:val="21"/>
                <w:szCs w:val="21"/>
                <w:highlight w:val="none"/>
                <w:u w:val="none"/>
                <w:lang w:val="en-US" w:eastAsia="zh-CN"/>
              </w:rPr>
              <w:t>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822" w:hRule="atLeast"/>
          <w:jc w:val="center"/>
        </w:trPr>
        <w:tc>
          <w:tcPr>
            <w:tcW w:w="172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p>
        </w:tc>
        <w:tc>
          <w:tcPr>
            <w:tcW w:w="103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p>
        </w:tc>
        <w:tc>
          <w:tcPr>
            <w:tcW w:w="144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4"/>
                <w:szCs w:val="24"/>
                <w:highlight w:val="none"/>
                <w:u w:val="none"/>
                <w:lang w:val="en-US" w:eastAsia="zh-CN" w:bidi="ar"/>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四川省财政非税收缴暨财政票据管理系统</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bottom"/>
              <w:rPr>
                <w:rFonts w:hint="default" w:asciiTheme="minorEastAsia" w:hAnsiTheme="minorEastAsia" w:eastAsiaTheme="minorEastAsia" w:cstheme="minorEastAsia"/>
                <w:i w:val="0"/>
                <w:color w:val="auto"/>
                <w:sz w:val="21"/>
                <w:szCs w:val="21"/>
                <w:highlight w:val="none"/>
                <w:u w:val="none"/>
                <w:lang w:val="en-US" w:eastAsia="zh-CN"/>
              </w:rPr>
            </w:pPr>
            <w:r>
              <w:rPr>
                <w:rFonts w:hint="eastAsia" w:asciiTheme="minorEastAsia" w:hAnsiTheme="minorEastAsia" w:eastAsiaTheme="minorEastAsia" w:cstheme="minorEastAsia"/>
                <w:i w:val="0"/>
                <w:color w:val="auto"/>
                <w:sz w:val="21"/>
                <w:szCs w:val="21"/>
                <w:highlight w:val="none"/>
                <w:u w:val="none"/>
                <w:lang w:val="en-US" w:eastAsia="zh-CN"/>
              </w:rPr>
              <w:t>10万元</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heme="minorEastAsia" w:hAnsiTheme="minorEastAsia" w:eastAsiaTheme="minorEastAsia" w:cstheme="minorEastAsia"/>
                <w:i w:val="0"/>
                <w:color w:val="auto"/>
                <w:sz w:val="21"/>
                <w:szCs w:val="21"/>
                <w:highlight w:val="none"/>
                <w:u w:val="none"/>
                <w:lang w:val="en-US" w:eastAsia="zh-CN"/>
              </w:rPr>
            </w:pPr>
            <w:r>
              <w:rPr>
                <w:rFonts w:hint="eastAsia" w:asciiTheme="minorEastAsia" w:hAnsiTheme="minorEastAsia" w:eastAsiaTheme="minorEastAsia" w:cstheme="minorEastAsia"/>
                <w:i w:val="0"/>
                <w:color w:val="auto"/>
                <w:sz w:val="21"/>
                <w:szCs w:val="21"/>
                <w:highlight w:val="none"/>
                <w:u w:val="none"/>
                <w:lang w:val="en-US" w:eastAsia="zh-CN"/>
              </w:rPr>
              <w:t>9.85万元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80" w:hRule="atLeast"/>
          <w:jc w:val="center"/>
        </w:trPr>
        <w:tc>
          <w:tcPr>
            <w:tcW w:w="172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p>
        </w:tc>
        <w:tc>
          <w:tcPr>
            <w:tcW w:w="103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p>
        </w:tc>
        <w:tc>
          <w:tcPr>
            <w:tcW w:w="144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4"/>
                <w:szCs w:val="24"/>
                <w:highlight w:val="none"/>
                <w:u w:val="none"/>
                <w:lang w:val="en-US" w:eastAsia="zh-CN" w:bidi="ar"/>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政府债务数据综合服务</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bottom"/>
              <w:rPr>
                <w:rFonts w:hint="eastAsia" w:asciiTheme="minorEastAsia" w:hAnsiTheme="minorEastAsia" w:eastAsiaTheme="minorEastAsia" w:cstheme="minorEastAsia"/>
                <w:i w:val="0"/>
                <w:color w:val="auto"/>
                <w:sz w:val="21"/>
                <w:szCs w:val="21"/>
                <w:highlight w:val="none"/>
                <w:u w:val="none"/>
                <w:lang w:val="en-US" w:eastAsia="zh-CN"/>
              </w:rPr>
            </w:pPr>
            <w:r>
              <w:rPr>
                <w:rFonts w:hint="eastAsia" w:asciiTheme="minorEastAsia" w:hAnsiTheme="minorEastAsia" w:eastAsiaTheme="minorEastAsia" w:cstheme="minorEastAsia"/>
                <w:i w:val="0"/>
                <w:color w:val="auto"/>
                <w:sz w:val="21"/>
                <w:szCs w:val="21"/>
                <w:highlight w:val="none"/>
                <w:u w:val="none"/>
                <w:lang w:val="en-US" w:eastAsia="zh-CN"/>
              </w:rPr>
              <w:t>8</w:t>
            </w:r>
            <w:r>
              <w:rPr>
                <w:rFonts w:hint="eastAsia" w:asciiTheme="minorEastAsia" w:hAnsiTheme="minorEastAsia" w:eastAsiaTheme="minorEastAsia" w:cstheme="minorEastAsia"/>
                <w:i w:val="0"/>
                <w:color w:val="auto"/>
                <w:sz w:val="21"/>
                <w:szCs w:val="21"/>
                <w:highlight w:val="none"/>
                <w:u w:val="none"/>
              </w:rPr>
              <w:t>万元</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highlight w:val="none"/>
                <w:u w:val="none"/>
                <w:lang w:val="en-US" w:eastAsia="zh-CN"/>
              </w:rPr>
            </w:pPr>
            <w:r>
              <w:rPr>
                <w:rFonts w:hint="eastAsia" w:asciiTheme="minorEastAsia" w:hAnsiTheme="minorEastAsia" w:eastAsiaTheme="minorEastAsia" w:cstheme="minorEastAsia"/>
                <w:i w:val="0"/>
                <w:color w:val="auto"/>
                <w:sz w:val="21"/>
                <w:szCs w:val="21"/>
                <w:highlight w:val="none"/>
                <w:u w:val="none"/>
                <w:lang w:val="en-US" w:eastAsia="zh-CN"/>
              </w:rPr>
              <w:t>8</w:t>
            </w:r>
            <w:r>
              <w:rPr>
                <w:rFonts w:hint="eastAsia" w:asciiTheme="minorEastAsia" w:hAnsiTheme="minorEastAsia" w:eastAsiaTheme="minorEastAsia" w:cstheme="minorEastAsia"/>
                <w:i w:val="0"/>
                <w:color w:val="auto"/>
                <w:sz w:val="21"/>
                <w:szCs w:val="21"/>
                <w:highlight w:val="none"/>
                <w:u w:val="none"/>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80" w:hRule="atLeast"/>
          <w:jc w:val="center"/>
        </w:trPr>
        <w:tc>
          <w:tcPr>
            <w:tcW w:w="172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效益</w:t>
            </w:r>
          </w:p>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指标</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社会效益  指标</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财政工作</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为财政工作顺利开展提供技术保证</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lang w:val="en-US"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30" w:hRule="atLeast"/>
          <w:jc w:val="center"/>
        </w:trPr>
        <w:tc>
          <w:tcPr>
            <w:tcW w:w="172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满意</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度指标</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满意度</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指标</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系统运行满意度</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100%</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heme="minorEastAsia" w:hAnsiTheme="minorEastAsia" w:eastAsiaTheme="minorEastAsia" w:cstheme="minorEastAsia"/>
                <w:i w:val="0"/>
                <w:color w:val="auto"/>
                <w:sz w:val="21"/>
                <w:szCs w:val="21"/>
                <w:highlight w:val="none"/>
                <w:u w:val="none"/>
                <w:lang w:val="en-US" w:eastAsia="zh-CN"/>
              </w:rPr>
            </w:pPr>
            <w:r>
              <w:rPr>
                <w:rFonts w:hint="eastAsia" w:asciiTheme="minorEastAsia" w:hAnsiTheme="minorEastAsia" w:eastAsiaTheme="minorEastAsia" w:cstheme="minorEastAsia"/>
                <w:i w:val="0"/>
                <w:color w:val="auto"/>
                <w:sz w:val="21"/>
                <w:szCs w:val="21"/>
                <w:highlight w:val="none"/>
                <w:u w:val="none"/>
                <w:lang w:val="en-US" w:eastAsia="zh-CN"/>
              </w:rPr>
              <w:t>100%</w:t>
            </w:r>
          </w:p>
        </w:tc>
      </w:tr>
    </w:tbl>
    <w:p>
      <w:pPr>
        <w:keepNext w:val="0"/>
        <w:keepLines w:val="0"/>
        <w:pageBreakBefore w:val="0"/>
        <w:widowControl w:val="0"/>
        <w:kinsoku/>
        <w:wordWrap/>
        <w:overflowPunct/>
        <w:topLinePunct w:val="0"/>
        <w:bidi w:val="0"/>
        <w:spacing w:line="560" w:lineRule="exact"/>
        <w:ind w:firstLine="880" w:firstLineChars="200"/>
        <w:rPr>
          <w:rFonts w:hint="eastAsia" w:ascii="黑体" w:hAnsi="黑体" w:eastAsia="黑体"/>
          <w:color w:val="auto"/>
          <w:sz w:val="44"/>
          <w:szCs w:val="44"/>
          <w:highlight w:val="none"/>
        </w:rPr>
      </w:pPr>
    </w:p>
    <w:p>
      <w:pPr>
        <w:rPr>
          <w:rFonts w:hint="eastAsia" w:ascii="黑体" w:hAnsi="黑体" w:eastAsia="黑体"/>
          <w:color w:val="auto"/>
          <w:sz w:val="44"/>
          <w:szCs w:val="44"/>
          <w:highlight w:val="none"/>
        </w:rPr>
      </w:pPr>
      <w:r>
        <w:rPr>
          <w:rFonts w:hint="eastAsia" w:ascii="黑体" w:hAnsi="黑体" w:eastAsia="黑体"/>
          <w:color w:val="auto"/>
          <w:sz w:val="44"/>
          <w:szCs w:val="44"/>
          <w:highlight w:val="none"/>
        </w:rPr>
        <w:br w:type="page"/>
      </w:r>
    </w:p>
    <w:p>
      <w:pPr>
        <w:pStyle w:val="2"/>
        <w:rPr>
          <w:rFonts w:hint="eastAsia"/>
        </w:rPr>
        <w:sectPr>
          <w:footerReference r:id="rId8" w:type="first"/>
          <w:footerReference r:id="rId7" w:type="default"/>
          <w:pgSz w:w="11906" w:h="16838"/>
          <w:pgMar w:top="1531" w:right="1474" w:bottom="1984" w:left="1587" w:header="851" w:footer="1559" w:gutter="0"/>
          <w:pgNumType w:fmt="decimal" w:start="1"/>
          <w:cols w:space="425" w:num="1"/>
          <w:titlePg/>
          <w:docGrid w:type="lines" w:linePitch="312" w:charSpace="0"/>
        </w:sectPr>
      </w:pPr>
    </w:p>
    <w:p>
      <w:pPr>
        <w:pStyle w:val="3"/>
        <w:keepNext w:val="0"/>
        <w:keepLines w:val="0"/>
        <w:pageBreakBefore w:val="0"/>
        <w:widowControl w:val="0"/>
        <w:kinsoku/>
        <w:wordWrap/>
        <w:overflowPunct/>
        <w:topLinePunct w:val="0"/>
        <w:autoSpaceDE/>
        <w:autoSpaceDN/>
        <w:bidi w:val="0"/>
        <w:adjustRightInd/>
        <w:snapToGrid/>
        <w:spacing w:before="157" w:beforeLines="50" w:after="469" w:afterLines="150" w:line="576" w:lineRule="exact"/>
        <w:jc w:val="center"/>
        <w:textAlignment w:val="auto"/>
        <w:rPr>
          <w:rFonts w:hint="eastAsia" w:ascii="方正小标宋简体" w:hAnsi="方正小标宋简体" w:eastAsia="方正小标宋简体" w:cs="方正小标宋简体"/>
          <w:b w:val="0"/>
          <w:color w:val="auto"/>
          <w:sz w:val="44"/>
          <w:szCs w:val="44"/>
          <w:highlight w:val="none"/>
        </w:rPr>
      </w:pPr>
      <w:r>
        <w:rPr>
          <w:rFonts w:hint="eastAsia" w:ascii="方正小标宋简体" w:hAnsi="方正小标宋简体" w:eastAsia="方正小标宋简体" w:cs="方正小标宋简体"/>
          <w:b w:val="0"/>
          <w:color w:val="auto"/>
          <w:sz w:val="44"/>
          <w:szCs w:val="44"/>
          <w:highlight w:val="none"/>
        </w:rPr>
        <w:t>第五部分</w:t>
      </w:r>
      <w:r>
        <w:rPr>
          <w:rFonts w:hint="eastAsia" w:ascii="方正小标宋简体" w:hAnsi="方正小标宋简体" w:eastAsia="方正小标宋简体" w:cs="方正小标宋简体"/>
          <w:b w:val="0"/>
          <w:color w:val="auto"/>
          <w:sz w:val="44"/>
          <w:szCs w:val="44"/>
          <w:highlight w:val="none"/>
          <w:lang w:val="en-US" w:eastAsia="zh-CN"/>
        </w:rPr>
        <w:t xml:space="preserve"> </w:t>
      </w:r>
      <w:r>
        <w:rPr>
          <w:rFonts w:hint="eastAsia" w:ascii="方正小标宋简体" w:hAnsi="方正小标宋简体" w:eastAsia="方正小标宋简体" w:cs="方正小标宋简体"/>
          <w:b w:val="0"/>
          <w:color w:val="auto"/>
          <w:sz w:val="44"/>
          <w:szCs w:val="44"/>
          <w:highlight w:val="none"/>
        </w:rPr>
        <w:t>附</w:t>
      </w:r>
      <w:r>
        <w:rPr>
          <w:rFonts w:hint="eastAsia" w:ascii="方正小标宋简体" w:hAnsi="方正小标宋简体" w:eastAsia="方正小标宋简体" w:cs="方正小标宋简体"/>
          <w:b w:val="0"/>
          <w:color w:val="auto"/>
          <w:sz w:val="44"/>
          <w:szCs w:val="44"/>
          <w:highlight w:val="none"/>
          <w:lang w:val="en-US" w:eastAsia="zh-CN"/>
        </w:rPr>
        <w:t xml:space="preserve">  </w:t>
      </w:r>
      <w:r>
        <w:rPr>
          <w:rFonts w:hint="eastAsia" w:ascii="方正小标宋简体" w:hAnsi="方正小标宋简体" w:eastAsia="方正小标宋简体" w:cs="方正小标宋简体"/>
          <w:b w:val="0"/>
          <w:color w:val="auto"/>
          <w:sz w:val="44"/>
          <w:szCs w:val="44"/>
          <w:highlight w:val="none"/>
        </w:rPr>
        <w:t>表</w:t>
      </w:r>
      <w:bookmarkEnd w:id="51"/>
      <w:bookmarkEnd w:id="53"/>
      <w:bookmarkStart w:id="54" w:name="_Toc15396619"/>
    </w:p>
    <w:p>
      <w:pPr>
        <w:pStyle w:val="4"/>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color w:val="auto"/>
          <w:sz w:val="32"/>
          <w:szCs w:val="32"/>
          <w:highlight w:val="none"/>
        </w:rPr>
        <w:t>一、收</w:t>
      </w:r>
      <w:r>
        <w:rPr>
          <w:rStyle w:val="26"/>
          <w:rFonts w:hint="eastAsia" w:ascii="仿宋_GB2312" w:hAnsi="仿宋_GB2312" w:eastAsia="仿宋_GB2312" w:cs="仿宋_GB2312"/>
          <w:b w:val="0"/>
          <w:bCs w:val="0"/>
          <w:color w:val="auto"/>
          <w:sz w:val="32"/>
          <w:szCs w:val="32"/>
          <w:highlight w:val="none"/>
        </w:rPr>
        <w:t>入支出决算总表</w:t>
      </w:r>
      <w:bookmarkEnd w:id="54"/>
    </w:p>
    <w:p>
      <w:pPr>
        <w:pStyle w:val="4"/>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color w:val="auto"/>
          <w:sz w:val="32"/>
          <w:szCs w:val="32"/>
          <w:highlight w:val="none"/>
        </w:rPr>
      </w:pPr>
      <w:bookmarkStart w:id="55" w:name="_Toc15396620"/>
      <w:r>
        <w:rPr>
          <w:rFonts w:hint="eastAsia" w:ascii="仿宋_GB2312" w:hAnsi="仿宋_GB2312" w:eastAsia="仿宋_GB2312" w:cs="仿宋_GB2312"/>
          <w:b w:val="0"/>
          <w:color w:val="auto"/>
          <w:sz w:val="32"/>
          <w:szCs w:val="32"/>
          <w:highlight w:val="none"/>
        </w:rPr>
        <w:t>二、收</w:t>
      </w:r>
      <w:r>
        <w:rPr>
          <w:rStyle w:val="26"/>
          <w:rFonts w:hint="eastAsia" w:ascii="仿宋_GB2312" w:hAnsi="仿宋_GB2312" w:eastAsia="仿宋_GB2312" w:cs="仿宋_GB2312"/>
          <w:b w:val="0"/>
          <w:bCs w:val="0"/>
          <w:color w:val="auto"/>
          <w:sz w:val="32"/>
          <w:szCs w:val="32"/>
          <w:highlight w:val="none"/>
        </w:rPr>
        <w:t>入决算表</w:t>
      </w:r>
      <w:bookmarkEnd w:id="55"/>
    </w:p>
    <w:p>
      <w:pPr>
        <w:pStyle w:val="4"/>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color w:val="auto"/>
          <w:sz w:val="32"/>
          <w:szCs w:val="32"/>
          <w:highlight w:val="none"/>
        </w:rPr>
      </w:pPr>
      <w:bookmarkStart w:id="56" w:name="_Toc15396621"/>
      <w:r>
        <w:rPr>
          <w:rStyle w:val="26"/>
          <w:rFonts w:hint="eastAsia" w:ascii="仿宋_GB2312" w:hAnsi="仿宋_GB2312" w:eastAsia="仿宋_GB2312" w:cs="仿宋_GB2312"/>
          <w:b w:val="0"/>
          <w:bCs w:val="0"/>
          <w:color w:val="auto"/>
          <w:sz w:val="32"/>
          <w:szCs w:val="32"/>
          <w:highlight w:val="none"/>
        </w:rPr>
        <w:t>三、</w:t>
      </w:r>
      <w:r>
        <w:rPr>
          <w:rFonts w:hint="eastAsia" w:ascii="仿宋_GB2312" w:hAnsi="仿宋_GB2312" w:eastAsia="仿宋_GB2312" w:cs="仿宋_GB2312"/>
          <w:b w:val="0"/>
          <w:color w:val="auto"/>
          <w:sz w:val="32"/>
          <w:szCs w:val="32"/>
          <w:highlight w:val="none"/>
        </w:rPr>
        <w:t>支</w:t>
      </w:r>
      <w:r>
        <w:rPr>
          <w:rStyle w:val="26"/>
          <w:rFonts w:hint="eastAsia" w:ascii="仿宋_GB2312" w:hAnsi="仿宋_GB2312" w:eastAsia="仿宋_GB2312" w:cs="仿宋_GB2312"/>
          <w:b w:val="0"/>
          <w:bCs w:val="0"/>
          <w:color w:val="auto"/>
          <w:sz w:val="32"/>
          <w:szCs w:val="32"/>
          <w:highlight w:val="none"/>
        </w:rPr>
        <w:t>出决算表</w:t>
      </w:r>
      <w:bookmarkEnd w:id="56"/>
    </w:p>
    <w:p>
      <w:pPr>
        <w:pStyle w:val="4"/>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b w:val="0"/>
          <w:color w:val="auto"/>
          <w:sz w:val="32"/>
          <w:szCs w:val="32"/>
          <w:highlight w:val="none"/>
        </w:rPr>
      </w:pPr>
      <w:bookmarkStart w:id="57" w:name="_Toc15396622"/>
      <w:r>
        <w:rPr>
          <w:rStyle w:val="26"/>
          <w:rFonts w:hint="eastAsia" w:ascii="仿宋_GB2312" w:hAnsi="仿宋_GB2312" w:eastAsia="仿宋_GB2312" w:cs="仿宋_GB2312"/>
          <w:b w:val="0"/>
          <w:bCs w:val="0"/>
          <w:color w:val="auto"/>
          <w:sz w:val="32"/>
          <w:szCs w:val="32"/>
          <w:highlight w:val="none"/>
        </w:rPr>
        <w:t>四、</w:t>
      </w:r>
      <w:r>
        <w:rPr>
          <w:rFonts w:hint="eastAsia" w:ascii="仿宋_GB2312" w:hAnsi="仿宋_GB2312" w:eastAsia="仿宋_GB2312" w:cs="仿宋_GB2312"/>
          <w:b w:val="0"/>
          <w:color w:val="auto"/>
          <w:sz w:val="32"/>
          <w:szCs w:val="32"/>
          <w:highlight w:val="none"/>
        </w:rPr>
        <w:t>财</w:t>
      </w:r>
      <w:r>
        <w:rPr>
          <w:rStyle w:val="26"/>
          <w:rFonts w:hint="eastAsia" w:ascii="仿宋_GB2312" w:hAnsi="仿宋_GB2312" w:eastAsia="仿宋_GB2312" w:cs="仿宋_GB2312"/>
          <w:b w:val="0"/>
          <w:bCs w:val="0"/>
          <w:color w:val="auto"/>
          <w:sz w:val="32"/>
          <w:szCs w:val="32"/>
          <w:highlight w:val="none"/>
        </w:rPr>
        <w:t>政拨款收入支出决算总表</w:t>
      </w:r>
      <w:bookmarkEnd w:id="57"/>
    </w:p>
    <w:p>
      <w:pPr>
        <w:pStyle w:val="4"/>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Style w:val="26"/>
          <w:rFonts w:hint="eastAsia" w:ascii="仿宋_GB2312" w:hAnsi="仿宋_GB2312" w:eastAsia="仿宋_GB2312" w:cs="仿宋_GB2312"/>
          <w:b w:val="0"/>
          <w:bCs w:val="0"/>
          <w:color w:val="auto"/>
          <w:sz w:val="32"/>
          <w:szCs w:val="32"/>
          <w:highlight w:val="none"/>
        </w:rPr>
      </w:pPr>
      <w:bookmarkStart w:id="58" w:name="_Toc15396623"/>
      <w:r>
        <w:rPr>
          <w:rStyle w:val="26"/>
          <w:rFonts w:hint="eastAsia" w:ascii="仿宋_GB2312" w:hAnsi="仿宋_GB2312" w:eastAsia="仿宋_GB2312" w:cs="仿宋_GB2312"/>
          <w:b w:val="0"/>
          <w:bCs w:val="0"/>
          <w:color w:val="auto"/>
          <w:sz w:val="32"/>
          <w:szCs w:val="32"/>
          <w:highlight w:val="none"/>
        </w:rPr>
        <w:t>五、</w:t>
      </w:r>
      <w:r>
        <w:rPr>
          <w:rFonts w:hint="eastAsia" w:ascii="仿宋_GB2312" w:hAnsi="仿宋_GB2312" w:eastAsia="仿宋_GB2312" w:cs="仿宋_GB2312"/>
          <w:b w:val="0"/>
          <w:color w:val="auto"/>
          <w:sz w:val="32"/>
          <w:szCs w:val="32"/>
          <w:highlight w:val="none"/>
        </w:rPr>
        <w:t>财</w:t>
      </w:r>
      <w:r>
        <w:rPr>
          <w:rStyle w:val="26"/>
          <w:rFonts w:hint="eastAsia" w:ascii="仿宋_GB2312" w:hAnsi="仿宋_GB2312" w:eastAsia="仿宋_GB2312" w:cs="仿宋_GB2312"/>
          <w:b w:val="0"/>
          <w:bCs w:val="0"/>
          <w:color w:val="auto"/>
          <w:sz w:val="32"/>
          <w:szCs w:val="32"/>
          <w:highlight w:val="none"/>
        </w:rPr>
        <w:t>政拨款支出决算明细表</w:t>
      </w:r>
      <w:bookmarkEnd w:id="58"/>
      <w:bookmarkStart w:id="59" w:name="_Toc15396624"/>
    </w:p>
    <w:p>
      <w:pPr>
        <w:pStyle w:val="4"/>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color w:val="auto"/>
          <w:sz w:val="32"/>
          <w:szCs w:val="32"/>
          <w:highlight w:val="none"/>
        </w:rPr>
      </w:pPr>
      <w:r>
        <w:rPr>
          <w:rStyle w:val="26"/>
          <w:rFonts w:hint="eastAsia" w:ascii="仿宋_GB2312" w:hAnsi="仿宋_GB2312" w:eastAsia="仿宋_GB2312" w:cs="仿宋_GB2312"/>
          <w:b w:val="0"/>
          <w:bCs w:val="0"/>
          <w:color w:val="auto"/>
          <w:sz w:val="32"/>
          <w:szCs w:val="32"/>
          <w:highlight w:val="none"/>
        </w:rPr>
        <w:t>六、</w:t>
      </w:r>
      <w:r>
        <w:rPr>
          <w:rFonts w:hint="eastAsia" w:ascii="仿宋_GB2312" w:hAnsi="仿宋_GB2312" w:eastAsia="仿宋_GB2312" w:cs="仿宋_GB2312"/>
          <w:b w:val="0"/>
          <w:color w:val="auto"/>
          <w:sz w:val="32"/>
          <w:szCs w:val="32"/>
          <w:highlight w:val="none"/>
        </w:rPr>
        <w:t>一</w:t>
      </w:r>
      <w:r>
        <w:rPr>
          <w:rStyle w:val="26"/>
          <w:rFonts w:hint="eastAsia" w:ascii="仿宋_GB2312" w:hAnsi="仿宋_GB2312" w:eastAsia="仿宋_GB2312" w:cs="仿宋_GB2312"/>
          <w:b w:val="0"/>
          <w:bCs w:val="0"/>
          <w:color w:val="auto"/>
          <w:sz w:val="32"/>
          <w:szCs w:val="32"/>
          <w:highlight w:val="none"/>
        </w:rPr>
        <w:t>般公共预算财政拨款支出决算表</w:t>
      </w:r>
      <w:bookmarkEnd w:id="59"/>
    </w:p>
    <w:p>
      <w:pPr>
        <w:pStyle w:val="4"/>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color w:val="auto"/>
          <w:sz w:val="32"/>
          <w:szCs w:val="32"/>
          <w:highlight w:val="none"/>
        </w:rPr>
      </w:pPr>
      <w:bookmarkStart w:id="60" w:name="_Toc15396625"/>
      <w:r>
        <w:rPr>
          <w:rStyle w:val="26"/>
          <w:rFonts w:hint="eastAsia" w:ascii="仿宋_GB2312" w:hAnsi="仿宋_GB2312" w:eastAsia="仿宋_GB2312" w:cs="仿宋_GB2312"/>
          <w:b w:val="0"/>
          <w:bCs w:val="0"/>
          <w:color w:val="auto"/>
          <w:sz w:val="32"/>
          <w:szCs w:val="32"/>
          <w:highlight w:val="none"/>
        </w:rPr>
        <w:t>七、</w:t>
      </w:r>
      <w:r>
        <w:rPr>
          <w:rFonts w:hint="eastAsia" w:ascii="仿宋_GB2312" w:hAnsi="仿宋_GB2312" w:eastAsia="仿宋_GB2312" w:cs="仿宋_GB2312"/>
          <w:b w:val="0"/>
          <w:color w:val="auto"/>
          <w:sz w:val="32"/>
          <w:szCs w:val="32"/>
          <w:highlight w:val="none"/>
        </w:rPr>
        <w:t>一</w:t>
      </w:r>
      <w:r>
        <w:rPr>
          <w:rStyle w:val="26"/>
          <w:rFonts w:hint="eastAsia" w:ascii="仿宋_GB2312" w:hAnsi="仿宋_GB2312" w:eastAsia="仿宋_GB2312" w:cs="仿宋_GB2312"/>
          <w:b w:val="0"/>
          <w:bCs w:val="0"/>
          <w:color w:val="auto"/>
          <w:sz w:val="32"/>
          <w:szCs w:val="32"/>
          <w:highlight w:val="none"/>
        </w:rPr>
        <w:t>般公共预算财政拨款支出决算明细表</w:t>
      </w:r>
      <w:bookmarkEnd w:id="60"/>
    </w:p>
    <w:p>
      <w:pPr>
        <w:pStyle w:val="4"/>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color w:val="auto"/>
          <w:sz w:val="32"/>
          <w:szCs w:val="32"/>
          <w:highlight w:val="none"/>
        </w:rPr>
      </w:pPr>
      <w:bookmarkStart w:id="61" w:name="_Toc15396626"/>
      <w:r>
        <w:rPr>
          <w:rStyle w:val="26"/>
          <w:rFonts w:hint="eastAsia" w:ascii="仿宋_GB2312" w:hAnsi="仿宋_GB2312" w:eastAsia="仿宋_GB2312" w:cs="仿宋_GB2312"/>
          <w:b w:val="0"/>
          <w:bCs w:val="0"/>
          <w:color w:val="auto"/>
          <w:sz w:val="32"/>
          <w:szCs w:val="32"/>
          <w:highlight w:val="none"/>
        </w:rPr>
        <w:t>八、</w:t>
      </w:r>
      <w:r>
        <w:rPr>
          <w:rFonts w:hint="eastAsia" w:ascii="仿宋_GB2312" w:hAnsi="仿宋_GB2312" w:eastAsia="仿宋_GB2312" w:cs="仿宋_GB2312"/>
          <w:b w:val="0"/>
          <w:color w:val="auto"/>
          <w:sz w:val="32"/>
          <w:szCs w:val="32"/>
          <w:highlight w:val="none"/>
        </w:rPr>
        <w:t>一</w:t>
      </w:r>
      <w:r>
        <w:rPr>
          <w:rStyle w:val="26"/>
          <w:rFonts w:hint="eastAsia" w:ascii="仿宋_GB2312" w:hAnsi="仿宋_GB2312" w:eastAsia="仿宋_GB2312" w:cs="仿宋_GB2312"/>
          <w:b w:val="0"/>
          <w:bCs w:val="0"/>
          <w:color w:val="auto"/>
          <w:sz w:val="32"/>
          <w:szCs w:val="32"/>
          <w:highlight w:val="none"/>
        </w:rPr>
        <w:t>般公共预算财政拨款基本支出决算表</w:t>
      </w:r>
      <w:bookmarkEnd w:id="61"/>
    </w:p>
    <w:p>
      <w:pPr>
        <w:pStyle w:val="4"/>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color w:val="auto"/>
          <w:sz w:val="32"/>
          <w:szCs w:val="32"/>
          <w:highlight w:val="none"/>
        </w:rPr>
      </w:pPr>
      <w:bookmarkStart w:id="62" w:name="_Toc15396627"/>
      <w:r>
        <w:rPr>
          <w:rStyle w:val="26"/>
          <w:rFonts w:hint="eastAsia" w:ascii="仿宋_GB2312" w:hAnsi="仿宋_GB2312" w:eastAsia="仿宋_GB2312" w:cs="仿宋_GB2312"/>
          <w:b w:val="0"/>
          <w:bCs w:val="0"/>
          <w:color w:val="auto"/>
          <w:sz w:val="32"/>
          <w:szCs w:val="32"/>
          <w:highlight w:val="none"/>
        </w:rPr>
        <w:t>九、</w:t>
      </w:r>
      <w:r>
        <w:rPr>
          <w:rFonts w:hint="eastAsia" w:ascii="仿宋_GB2312" w:hAnsi="仿宋_GB2312" w:eastAsia="仿宋_GB2312" w:cs="仿宋_GB2312"/>
          <w:b w:val="0"/>
          <w:color w:val="auto"/>
          <w:sz w:val="32"/>
          <w:szCs w:val="32"/>
          <w:highlight w:val="none"/>
        </w:rPr>
        <w:t>一</w:t>
      </w:r>
      <w:r>
        <w:rPr>
          <w:rStyle w:val="26"/>
          <w:rFonts w:hint="eastAsia" w:ascii="仿宋_GB2312" w:hAnsi="仿宋_GB2312" w:eastAsia="仿宋_GB2312" w:cs="仿宋_GB2312"/>
          <w:b w:val="0"/>
          <w:bCs w:val="0"/>
          <w:color w:val="auto"/>
          <w:sz w:val="32"/>
          <w:szCs w:val="32"/>
          <w:highlight w:val="none"/>
        </w:rPr>
        <w:t>般公共预算财政拨款项目支出决算表</w:t>
      </w:r>
      <w:bookmarkEnd w:id="62"/>
    </w:p>
    <w:p>
      <w:pPr>
        <w:pStyle w:val="4"/>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color w:val="auto"/>
          <w:sz w:val="32"/>
          <w:szCs w:val="32"/>
          <w:highlight w:val="none"/>
        </w:rPr>
      </w:pPr>
      <w:bookmarkStart w:id="63" w:name="_Toc15396628"/>
      <w:r>
        <w:rPr>
          <w:rStyle w:val="26"/>
          <w:rFonts w:hint="eastAsia" w:ascii="仿宋_GB2312" w:hAnsi="仿宋_GB2312" w:eastAsia="仿宋_GB2312" w:cs="仿宋_GB2312"/>
          <w:b w:val="0"/>
          <w:bCs w:val="0"/>
          <w:color w:val="auto"/>
          <w:sz w:val="32"/>
          <w:szCs w:val="32"/>
          <w:highlight w:val="none"/>
        </w:rPr>
        <w:t>十、</w:t>
      </w:r>
      <w:r>
        <w:rPr>
          <w:rFonts w:hint="eastAsia" w:ascii="仿宋_GB2312" w:hAnsi="仿宋_GB2312" w:eastAsia="仿宋_GB2312" w:cs="仿宋_GB2312"/>
          <w:b w:val="0"/>
          <w:color w:val="auto"/>
          <w:sz w:val="32"/>
          <w:szCs w:val="32"/>
          <w:highlight w:val="none"/>
        </w:rPr>
        <w:t>一</w:t>
      </w:r>
      <w:r>
        <w:rPr>
          <w:rStyle w:val="26"/>
          <w:rFonts w:hint="eastAsia" w:ascii="仿宋_GB2312" w:hAnsi="仿宋_GB2312" w:eastAsia="仿宋_GB2312" w:cs="仿宋_GB2312"/>
          <w:b w:val="0"/>
          <w:bCs w:val="0"/>
          <w:color w:val="auto"/>
          <w:sz w:val="32"/>
          <w:szCs w:val="32"/>
          <w:highlight w:val="none"/>
        </w:rPr>
        <w:t>般公共预算财政拨款“三公”经费支出决算表</w:t>
      </w:r>
      <w:bookmarkEnd w:id="63"/>
    </w:p>
    <w:p>
      <w:pPr>
        <w:pStyle w:val="4"/>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color w:val="auto"/>
          <w:sz w:val="32"/>
          <w:szCs w:val="32"/>
          <w:highlight w:val="none"/>
        </w:rPr>
      </w:pPr>
      <w:bookmarkStart w:id="64" w:name="_Toc15396629"/>
      <w:r>
        <w:rPr>
          <w:rStyle w:val="26"/>
          <w:rFonts w:hint="eastAsia" w:ascii="仿宋_GB2312" w:hAnsi="仿宋_GB2312" w:eastAsia="仿宋_GB2312" w:cs="仿宋_GB2312"/>
          <w:b w:val="0"/>
          <w:bCs w:val="0"/>
          <w:color w:val="auto"/>
          <w:sz w:val="32"/>
          <w:szCs w:val="32"/>
          <w:highlight w:val="none"/>
        </w:rPr>
        <w:t>十一、</w:t>
      </w:r>
      <w:r>
        <w:rPr>
          <w:rFonts w:hint="eastAsia" w:ascii="仿宋_GB2312" w:hAnsi="仿宋_GB2312" w:eastAsia="仿宋_GB2312" w:cs="仿宋_GB2312"/>
          <w:b w:val="0"/>
          <w:color w:val="auto"/>
          <w:sz w:val="32"/>
          <w:szCs w:val="32"/>
          <w:highlight w:val="none"/>
        </w:rPr>
        <w:t>政</w:t>
      </w:r>
      <w:r>
        <w:rPr>
          <w:rStyle w:val="26"/>
          <w:rFonts w:hint="eastAsia" w:ascii="仿宋_GB2312" w:hAnsi="仿宋_GB2312" w:eastAsia="仿宋_GB2312" w:cs="仿宋_GB2312"/>
          <w:b w:val="0"/>
          <w:bCs w:val="0"/>
          <w:color w:val="auto"/>
          <w:sz w:val="32"/>
          <w:szCs w:val="32"/>
          <w:highlight w:val="none"/>
        </w:rPr>
        <w:t>府性基金预算财政拨款收入支出决算表</w:t>
      </w:r>
      <w:bookmarkEnd w:id="64"/>
    </w:p>
    <w:p>
      <w:pPr>
        <w:pStyle w:val="4"/>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color w:val="auto"/>
          <w:sz w:val="32"/>
          <w:szCs w:val="32"/>
          <w:highlight w:val="none"/>
        </w:rPr>
      </w:pPr>
      <w:bookmarkStart w:id="65" w:name="_Toc15396630"/>
      <w:r>
        <w:rPr>
          <w:rStyle w:val="26"/>
          <w:rFonts w:hint="eastAsia" w:ascii="仿宋_GB2312" w:hAnsi="仿宋_GB2312" w:eastAsia="仿宋_GB2312" w:cs="仿宋_GB2312"/>
          <w:b w:val="0"/>
          <w:bCs w:val="0"/>
          <w:color w:val="auto"/>
          <w:sz w:val="32"/>
          <w:szCs w:val="32"/>
          <w:highlight w:val="none"/>
        </w:rPr>
        <w:t>十二、</w:t>
      </w:r>
      <w:r>
        <w:rPr>
          <w:rFonts w:hint="eastAsia" w:ascii="仿宋_GB2312" w:hAnsi="仿宋_GB2312" w:eastAsia="仿宋_GB2312" w:cs="仿宋_GB2312"/>
          <w:b w:val="0"/>
          <w:color w:val="auto"/>
          <w:sz w:val="32"/>
          <w:szCs w:val="32"/>
          <w:highlight w:val="none"/>
        </w:rPr>
        <w:t>政</w:t>
      </w:r>
      <w:r>
        <w:rPr>
          <w:rStyle w:val="26"/>
          <w:rFonts w:hint="eastAsia" w:ascii="仿宋_GB2312" w:hAnsi="仿宋_GB2312" w:eastAsia="仿宋_GB2312" w:cs="仿宋_GB2312"/>
          <w:b w:val="0"/>
          <w:bCs w:val="0"/>
          <w:color w:val="auto"/>
          <w:sz w:val="32"/>
          <w:szCs w:val="32"/>
          <w:highlight w:val="none"/>
        </w:rPr>
        <w:t>府性基金预算财政拨款“三公”经费支出决算表</w:t>
      </w:r>
      <w:bookmarkEnd w:id="65"/>
    </w:p>
    <w:p>
      <w:pPr>
        <w:pStyle w:val="4"/>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Style w:val="26"/>
          <w:rFonts w:hint="eastAsia" w:ascii="仿宋_GB2312" w:hAnsi="仿宋_GB2312" w:eastAsia="仿宋_GB2312" w:cs="仿宋_GB2312"/>
          <w:b w:val="0"/>
          <w:bCs w:val="0"/>
          <w:color w:val="auto"/>
          <w:sz w:val="32"/>
          <w:szCs w:val="32"/>
          <w:highlight w:val="none"/>
        </w:rPr>
      </w:pPr>
      <w:bookmarkStart w:id="66" w:name="_Toc15396631"/>
      <w:r>
        <w:rPr>
          <w:rStyle w:val="26"/>
          <w:rFonts w:hint="eastAsia" w:ascii="仿宋_GB2312" w:hAnsi="仿宋_GB2312" w:eastAsia="仿宋_GB2312" w:cs="仿宋_GB2312"/>
          <w:b w:val="0"/>
          <w:bCs w:val="0"/>
          <w:color w:val="auto"/>
          <w:sz w:val="32"/>
          <w:szCs w:val="32"/>
          <w:highlight w:val="none"/>
        </w:rPr>
        <w:t>十三、</w:t>
      </w:r>
      <w:r>
        <w:rPr>
          <w:rFonts w:hint="eastAsia" w:ascii="仿宋_GB2312" w:hAnsi="仿宋_GB2312" w:eastAsia="仿宋_GB2312" w:cs="仿宋_GB2312"/>
          <w:b w:val="0"/>
          <w:color w:val="auto"/>
          <w:sz w:val="32"/>
          <w:szCs w:val="32"/>
          <w:highlight w:val="none"/>
        </w:rPr>
        <w:t>国</w:t>
      </w:r>
      <w:r>
        <w:rPr>
          <w:rStyle w:val="26"/>
          <w:rFonts w:hint="eastAsia" w:ascii="仿宋_GB2312" w:hAnsi="仿宋_GB2312" w:eastAsia="仿宋_GB2312" w:cs="仿宋_GB2312"/>
          <w:b w:val="0"/>
          <w:bCs w:val="0"/>
          <w:color w:val="auto"/>
          <w:sz w:val="32"/>
          <w:szCs w:val="32"/>
          <w:highlight w:val="none"/>
        </w:rPr>
        <w:t>有资本经营预算</w:t>
      </w:r>
      <w:r>
        <w:rPr>
          <w:rStyle w:val="26"/>
          <w:rFonts w:hint="eastAsia" w:ascii="仿宋_GB2312" w:hAnsi="仿宋_GB2312" w:eastAsia="仿宋_GB2312" w:cs="仿宋_GB2312"/>
          <w:b w:val="0"/>
          <w:bCs w:val="0"/>
          <w:color w:val="auto"/>
          <w:sz w:val="32"/>
          <w:szCs w:val="32"/>
          <w:highlight w:val="none"/>
          <w:lang w:eastAsia="zh-CN"/>
        </w:rPr>
        <w:t>财政拨款收入</w:t>
      </w:r>
      <w:r>
        <w:rPr>
          <w:rStyle w:val="26"/>
          <w:rFonts w:hint="eastAsia" w:ascii="仿宋_GB2312" w:hAnsi="仿宋_GB2312" w:eastAsia="仿宋_GB2312" w:cs="仿宋_GB2312"/>
          <w:b w:val="0"/>
          <w:bCs w:val="0"/>
          <w:color w:val="auto"/>
          <w:sz w:val="32"/>
          <w:szCs w:val="32"/>
          <w:highlight w:val="none"/>
        </w:rPr>
        <w:t>支出决算表</w:t>
      </w:r>
      <w:bookmarkEnd w:id="66"/>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Style w:val="26"/>
          <w:rFonts w:hint="eastAsia" w:ascii="仿宋_GB2312" w:hAnsi="仿宋_GB2312" w:eastAsia="仿宋_GB2312" w:cs="仿宋_GB2312"/>
          <w:b w:val="0"/>
          <w:bCs w:val="0"/>
          <w:color w:val="auto"/>
          <w:sz w:val="32"/>
          <w:szCs w:val="32"/>
          <w:highlight w:val="none"/>
          <w:lang w:eastAsia="zh-CN"/>
        </w:rPr>
        <w:t>十四、国有资本经营预算财政拨款支出决算表</w:t>
      </w:r>
    </w:p>
    <w:sectPr>
      <w:footerReference r:id="rId10" w:type="first"/>
      <w:footerReference r:id="rId9" w:type="default"/>
      <w:pgSz w:w="11906" w:h="16838"/>
      <w:pgMar w:top="2098" w:right="1474" w:bottom="1984" w:left="1587" w:header="851" w:footer="1559" w:gutter="0"/>
      <w:pgNumType w:fmt="decimal" w:start="44"/>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
    <w:altName w:val="URW Book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URW Bookman">
    <w:panose1 w:val="000004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2"/>
          <w:jc w:val="center"/>
        </w:pPr>
        <w:r>
          <w:fldChar w:fldCharType="begin"/>
        </w:r>
        <w:r>
          <w:instrText xml:space="preserve">PAGE   \* MERGEFORMAT</w:instrText>
        </w:r>
        <w:r>
          <w:fldChar w:fldCharType="separate"/>
        </w:r>
        <w:r>
          <w:rPr>
            <w:lang w:val="zh-CN"/>
          </w:rPr>
          <w:t>8</w:t>
        </w:r>
        <w: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p>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ry2DMHAIAACkEAAAOAAAAZHJz&#10;L2Uyb0RvYy54bWytU82O0zAQviPxDpbvNGkRq27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K8tgzBwCAAApBAAADgAAAAAAAAABACAAAAA1AQAAZHJzL2Uyb0RvYy54bWxQSwUG&#10;AAAAAAYABgBZAQAAwwU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FsIeAxwCAAArBAAADgAAAAAAAAABACAAAAA1AQAAZHJzL2Uyb0RvYy54bWxQSwUG&#10;AAAAAAYABgBZAQAAwwU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p>
    <w:pPr>
      <w:pStyle w:val="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GQA+L8aAgAAKw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FD545C"/>
    <w:multiLevelType w:val="singleLevel"/>
    <w:tmpl w:val="80FD545C"/>
    <w:lvl w:ilvl="0" w:tentative="0">
      <w:start w:val="2"/>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F4B785F6"/>
    <w:multiLevelType w:val="singleLevel"/>
    <w:tmpl w:val="F4B785F6"/>
    <w:lvl w:ilvl="0" w:tentative="0">
      <w:start w:val="2"/>
      <w:numFmt w:val="chineseCounting"/>
      <w:suff w:val="nothing"/>
      <w:lvlText w:val="（%1）"/>
      <w:lvlJc w:val="left"/>
      <w:rPr>
        <w:rFonts w:hint="eastAsia"/>
      </w:rPr>
    </w:lvl>
  </w:abstractNum>
  <w:abstractNum w:abstractNumId="3">
    <w:nsid w:val="06E69FFC"/>
    <w:multiLevelType w:val="singleLevel"/>
    <w:tmpl w:val="06E69FFC"/>
    <w:lvl w:ilvl="0" w:tentative="0">
      <w:start w:val="2"/>
      <w:numFmt w:val="chineseCounting"/>
      <w:suff w:val="nothing"/>
      <w:lvlText w:val="（%1）"/>
      <w:lvlJc w:val="left"/>
      <w:rPr>
        <w:rFonts w:hint="eastAsia"/>
      </w:rPr>
    </w:lvl>
  </w:abstractNum>
  <w:abstractNum w:abstractNumId="4">
    <w:nsid w:val="331DA487"/>
    <w:multiLevelType w:val="singleLevel"/>
    <w:tmpl w:val="331DA487"/>
    <w:lvl w:ilvl="0" w:tentative="0">
      <w:start w:val="2"/>
      <w:numFmt w:val="chineseCounting"/>
      <w:suff w:val="nothing"/>
      <w:lvlText w:val="（%1）"/>
      <w:lvlJc w:val="left"/>
      <w:rPr>
        <w:rFonts w:hint="eastAsia"/>
      </w:rPr>
    </w:lvl>
  </w:abstractNum>
  <w:abstractNum w:abstractNumId="5">
    <w:nsid w:val="3583FC3E"/>
    <w:multiLevelType w:val="singleLevel"/>
    <w:tmpl w:val="3583FC3E"/>
    <w:lvl w:ilvl="0" w:tentative="0">
      <w:start w:val="2"/>
      <w:numFmt w:val="chineseCounting"/>
      <w:suff w:val="nothing"/>
      <w:lvlText w:val="（%1）"/>
      <w:lvlJc w:val="left"/>
      <w:rPr>
        <w:rFonts w:hint="eastAsia"/>
      </w:rPr>
    </w:lvl>
  </w:abstractNum>
  <w:abstractNum w:abstractNumId="6">
    <w:nsid w:val="6048B6E0"/>
    <w:multiLevelType w:val="singleLevel"/>
    <w:tmpl w:val="6048B6E0"/>
    <w:lvl w:ilvl="0" w:tentative="0">
      <w:start w:val="2"/>
      <w:numFmt w:val="chineseCounting"/>
      <w:suff w:val="nothing"/>
      <w:lvlText w:val="（%1）"/>
      <w:lvlJc w:val="left"/>
      <w:rPr>
        <w:rFonts w:hint="eastAsia"/>
      </w:rPr>
    </w:lvl>
  </w:abstractNum>
  <w:num w:numId="1">
    <w:abstractNumId w:val="1"/>
  </w:num>
  <w:num w:numId="2">
    <w:abstractNumId w:val="2"/>
  </w:num>
  <w:num w:numId="3">
    <w:abstractNumId w:val="6"/>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0NjAxODZjOWE0OTJiNzY5YmM0NTIyMWMxNDQ0ZD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A01"/>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42903"/>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4160FA"/>
    <w:rsid w:val="02122288"/>
    <w:rsid w:val="02C32C27"/>
    <w:rsid w:val="039935DF"/>
    <w:rsid w:val="04C15D11"/>
    <w:rsid w:val="05703268"/>
    <w:rsid w:val="06D45D11"/>
    <w:rsid w:val="075821E2"/>
    <w:rsid w:val="07B87B44"/>
    <w:rsid w:val="0A2032A3"/>
    <w:rsid w:val="0A6C7D7D"/>
    <w:rsid w:val="0B04003E"/>
    <w:rsid w:val="0B8A37D8"/>
    <w:rsid w:val="0E5B2DFE"/>
    <w:rsid w:val="0EC34283"/>
    <w:rsid w:val="0F847B38"/>
    <w:rsid w:val="108D0020"/>
    <w:rsid w:val="10C055FF"/>
    <w:rsid w:val="11637370"/>
    <w:rsid w:val="118107EC"/>
    <w:rsid w:val="11884A3B"/>
    <w:rsid w:val="11DD6519"/>
    <w:rsid w:val="13365929"/>
    <w:rsid w:val="135C36F9"/>
    <w:rsid w:val="13F2171F"/>
    <w:rsid w:val="144C09BC"/>
    <w:rsid w:val="151A6BAC"/>
    <w:rsid w:val="154043DD"/>
    <w:rsid w:val="166310AA"/>
    <w:rsid w:val="16BB723D"/>
    <w:rsid w:val="17217075"/>
    <w:rsid w:val="18015F3F"/>
    <w:rsid w:val="18616DB1"/>
    <w:rsid w:val="196A5988"/>
    <w:rsid w:val="1BE8440E"/>
    <w:rsid w:val="1BFD58CF"/>
    <w:rsid w:val="1C98012A"/>
    <w:rsid w:val="1CBC51C2"/>
    <w:rsid w:val="1D155CEE"/>
    <w:rsid w:val="1F6144E4"/>
    <w:rsid w:val="1F95174C"/>
    <w:rsid w:val="20447481"/>
    <w:rsid w:val="20F57F95"/>
    <w:rsid w:val="21FA2934"/>
    <w:rsid w:val="221C4963"/>
    <w:rsid w:val="224D59BE"/>
    <w:rsid w:val="239F6A1A"/>
    <w:rsid w:val="240371BF"/>
    <w:rsid w:val="25C741E6"/>
    <w:rsid w:val="262A6BB3"/>
    <w:rsid w:val="27543307"/>
    <w:rsid w:val="27842671"/>
    <w:rsid w:val="297C0F44"/>
    <w:rsid w:val="29FD04D3"/>
    <w:rsid w:val="2ABE7A3E"/>
    <w:rsid w:val="2EFA178C"/>
    <w:rsid w:val="30B46D73"/>
    <w:rsid w:val="30E917A8"/>
    <w:rsid w:val="318B0AEF"/>
    <w:rsid w:val="319F7F4E"/>
    <w:rsid w:val="31C247E2"/>
    <w:rsid w:val="3202443C"/>
    <w:rsid w:val="352129A7"/>
    <w:rsid w:val="3537735F"/>
    <w:rsid w:val="35D57FF4"/>
    <w:rsid w:val="37311051"/>
    <w:rsid w:val="376022AD"/>
    <w:rsid w:val="388425A6"/>
    <w:rsid w:val="38E5294F"/>
    <w:rsid w:val="39AE70AB"/>
    <w:rsid w:val="3C0C0783"/>
    <w:rsid w:val="3E64682F"/>
    <w:rsid w:val="3F781145"/>
    <w:rsid w:val="3F795B0E"/>
    <w:rsid w:val="3F88478F"/>
    <w:rsid w:val="3F9F3A96"/>
    <w:rsid w:val="40350D30"/>
    <w:rsid w:val="40F55310"/>
    <w:rsid w:val="4194386E"/>
    <w:rsid w:val="43D43272"/>
    <w:rsid w:val="43F171C9"/>
    <w:rsid w:val="44321AE0"/>
    <w:rsid w:val="44B12DD4"/>
    <w:rsid w:val="44BA514C"/>
    <w:rsid w:val="46722A5B"/>
    <w:rsid w:val="4685687F"/>
    <w:rsid w:val="485C1D39"/>
    <w:rsid w:val="48FE2523"/>
    <w:rsid w:val="493C27E9"/>
    <w:rsid w:val="496F39ED"/>
    <w:rsid w:val="49FF41D3"/>
    <w:rsid w:val="4A0357FC"/>
    <w:rsid w:val="4A185DC8"/>
    <w:rsid w:val="4BE068DB"/>
    <w:rsid w:val="4BF6002B"/>
    <w:rsid w:val="4E4D7B9A"/>
    <w:rsid w:val="4E7D6883"/>
    <w:rsid w:val="4ECE2238"/>
    <w:rsid w:val="51DB4B86"/>
    <w:rsid w:val="51F07A9F"/>
    <w:rsid w:val="52574A2A"/>
    <w:rsid w:val="531D658F"/>
    <w:rsid w:val="53321FCC"/>
    <w:rsid w:val="54074D4E"/>
    <w:rsid w:val="54321F80"/>
    <w:rsid w:val="55333C3E"/>
    <w:rsid w:val="55F96420"/>
    <w:rsid w:val="56F56780"/>
    <w:rsid w:val="571A0D6D"/>
    <w:rsid w:val="588026D0"/>
    <w:rsid w:val="58B47A1A"/>
    <w:rsid w:val="5AF93AFB"/>
    <w:rsid w:val="5BB64D4A"/>
    <w:rsid w:val="5C1E3624"/>
    <w:rsid w:val="5D04226E"/>
    <w:rsid w:val="5E892110"/>
    <w:rsid w:val="5FC12E93"/>
    <w:rsid w:val="5FDD7AF2"/>
    <w:rsid w:val="5FF732A1"/>
    <w:rsid w:val="606A6FAF"/>
    <w:rsid w:val="63875136"/>
    <w:rsid w:val="63BB6ECB"/>
    <w:rsid w:val="64CA39A1"/>
    <w:rsid w:val="64DE43C5"/>
    <w:rsid w:val="65040517"/>
    <w:rsid w:val="657D6F96"/>
    <w:rsid w:val="65CC7C1F"/>
    <w:rsid w:val="65EE2913"/>
    <w:rsid w:val="666053FD"/>
    <w:rsid w:val="66B53721"/>
    <w:rsid w:val="66ED3F8F"/>
    <w:rsid w:val="69583331"/>
    <w:rsid w:val="6A4402FA"/>
    <w:rsid w:val="6BEA1039"/>
    <w:rsid w:val="6BEB4D02"/>
    <w:rsid w:val="6C4A05C8"/>
    <w:rsid w:val="6C887148"/>
    <w:rsid w:val="6D0D12DA"/>
    <w:rsid w:val="6E9236ED"/>
    <w:rsid w:val="6F4A59E7"/>
    <w:rsid w:val="700E3BC5"/>
    <w:rsid w:val="70931903"/>
    <w:rsid w:val="715C6B1A"/>
    <w:rsid w:val="72734D90"/>
    <w:rsid w:val="74855CBB"/>
    <w:rsid w:val="75176807"/>
    <w:rsid w:val="75305A54"/>
    <w:rsid w:val="7556558F"/>
    <w:rsid w:val="75C206B3"/>
    <w:rsid w:val="76A92C46"/>
    <w:rsid w:val="79302D9E"/>
    <w:rsid w:val="79485E51"/>
    <w:rsid w:val="79B7029A"/>
    <w:rsid w:val="79BF34A1"/>
    <w:rsid w:val="79D56F8B"/>
    <w:rsid w:val="79E7B28D"/>
    <w:rsid w:val="7A87699B"/>
    <w:rsid w:val="7C775BAB"/>
    <w:rsid w:val="7DC9771A"/>
    <w:rsid w:val="7E6339BC"/>
    <w:rsid w:val="7EB12C30"/>
    <w:rsid w:val="7ECEA026"/>
    <w:rsid w:val="7F9F20EE"/>
    <w:rsid w:val="7FCB0433"/>
    <w:rsid w:val="9E3A10E2"/>
    <w:rsid w:val="DBEEBA6E"/>
    <w:rsid w:val="F2E1F9D4"/>
    <w:rsid w:val="F3BE98B6"/>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6">
    <w:name w:val="Body Text"/>
    <w:basedOn w:val="1"/>
    <w:link w:val="22"/>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8"/>
    <w:semiHidden/>
    <w:unhideWhenUsed/>
    <w:qFormat/>
    <w:uiPriority w:val="99"/>
    <w:rPr>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2"/>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6"/>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3"/>
    <w:qFormat/>
    <w:uiPriority w:val="9"/>
    <w:rPr>
      <w:rFonts w:ascii="Times New Roman" w:hAnsi="Times New Roman"/>
      <w:b/>
      <w:bCs/>
      <w:kern w:val="44"/>
      <w:sz w:val="44"/>
      <w:szCs w:val="44"/>
    </w:rPr>
  </w:style>
  <w:style w:type="character" w:customStyle="1" w:styleId="26">
    <w:name w:val="标题 2 Char"/>
    <w:basedOn w:val="14"/>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Char"/>
    <w:basedOn w:val="14"/>
    <w:link w:val="8"/>
    <w:semiHidden/>
    <w:qFormat/>
    <w:uiPriority w:val="99"/>
    <w:rPr>
      <w:rFonts w:ascii="Times New Roman" w:hAnsi="Times New Roman"/>
      <w:kern w:val="2"/>
      <w:sz w:val="18"/>
      <w:szCs w:val="18"/>
    </w:rPr>
  </w:style>
  <w:style w:type="character" w:customStyle="1" w:styleId="29">
    <w:name w:val="标题 3 Char"/>
    <w:basedOn w:val="14"/>
    <w:link w:val="5"/>
    <w:qFormat/>
    <w:uiPriority w:val="9"/>
    <w:rPr>
      <w:rFonts w:ascii="Times New Roman" w:hAnsi="Times New Roman"/>
      <w:b/>
      <w:bCs/>
      <w:kern w:val="2"/>
      <w:sz w:val="32"/>
      <w:szCs w:val="32"/>
    </w:rPr>
  </w:style>
  <w:style w:type="paragraph" w:customStyle="1" w:styleId="30">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1">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chart" Target="charts/chart7.xml"/><Relationship Id="rId17" Type="http://schemas.openxmlformats.org/officeDocument/2006/relationships/chart" Target="charts/chart6.xml"/><Relationship Id="rId16" Type="http://schemas.openxmlformats.org/officeDocument/2006/relationships/chart" Target="charts/chart5.xml"/><Relationship Id="rId15" Type="http://schemas.openxmlformats.org/officeDocument/2006/relationships/chart" Target="charts/chart4.xml"/><Relationship Id="rId14" Type="http://schemas.openxmlformats.org/officeDocument/2006/relationships/chart" Target="charts/chart3.xml"/><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1"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c:rich>
      </c:tx>
      <c:layout/>
      <c:overlay val="false"/>
      <c:spPr>
        <a:noFill/>
        <a:ln>
          <a:noFill/>
        </a:ln>
        <a:effectLst/>
      </c:spPr>
    </c:title>
    <c:autoTitleDeleted val="false"/>
    <c:plotArea>
      <c:layout/>
      <c:barChart>
        <c:barDir val="col"/>
        <c:grouping val="clustered"/>
        <c:varyColors val="false"/>
        <c:ser>
          <c:idx val="0"/>
          <c:order val="0"/>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[工作簿1]Sheet1!$C$3:$C$4</c:f>
              <c:strCache>
                <c:ptCount val="2"/>
                <c:pt idx="0">
                  <c:v>2021年度收、支</c:v>
                </c:pt>
                <c:pt idx="1">
                  <c:v>2020年度收、支</c:v>
                </c:pt>
              </c:strCache>
            </c:strRef>
          </c:cat>
          <c:val>
            <c:numRef>
              <c:f>[工作簿1]Sheet1!$D$3:$D$4</c:f>
              <c:numCache>
                <c:formatCode>General</c:formatCode>
                <c:ptCount val="2"/>
                <c:pt idx="0">
                  <c:v>2935.61</c:v>
                </c:pt>
                <c:pt idx="1">
                  <c:v>2942.37</c:v>
                </c:pt>
              </c:numCache>
            </c:numRef>
          </c:val>
        </c:ser>
        <c:dLbls>
          <c:showLegendKey val="false"/>
          <c:showVal val="true"/>
          <c:showCatName val="false"/>
          <c:showSerName val="false"/>
          <c:showPercent val="false"/>
          <c:showBubbleSize val="false"/>
        </c:dLbls>
        <c:gapWidth val="219"/>
        <c:overlap val="-27"/>
        <c:axId val="416627767"/>
        <c:axId val="426440645"/>
      </c:barChart>
      <c:catAx>
        <c:axId val="416627767"/>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426440645"/>
        <c:crosses val="autoZero"/>
        <c:auto val="true"/>
        <c:lblAlgn val="ctr"/>
        <c:lblOffset val="100"/>
        <c:noMultiLvlLbl val="false"/>
      </c:catAx>
      <c:valAx>
        <c:axId val="426440645"/>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416627767"/>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dLbl>
              <c:idx val="0"/>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一般公共预算财政拨款收入 </a:t>
                    </a:r>
                    <a:r>
                      <a:rPr lang="en-US" altLang="zh-CN"/>
                      <a:t>99.77</a:t>
                    </a:r>
                    <a:r>
                      <a:t>%</a:t>
                    </a:r>
                  </a:p>
                </c:rich>
              </c:tx>
              <c:dLblPos val="ctr"/>
              <c:showLegendKey val="false"/>
              <c:showVal val="true"/>
              <c:showCatName val="true"/>
              <c:showSerName val="false"/>
              <c:showPercent val="true"/>
              <c:showBubbleSize val="false"/>
              <c:extLst>
                <c:ext xmlns:c15="http://schemas.microsoft.com/office/drawing/2012/chart" uri="{CE6537A1-D6FC-4f65-9D91-7224C49458BB}">
                  <c15:layout>
                    <c:manualLayout>
                      <c:w val="0.346999627282892"/>
                      <c:h val="0.228469288267793"/>
                    </c:manualLayout>
                  </c15:layout>
                </c:ext>
              </c:extLst>
            </c:dLbl>
            <c:dLbl>
              <c:idx val="1"/>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其他收入 0</a:t>
                    </a:r>
                    <a:r>
                      <a:rPr lang="en-US" altLang="zh-CN"/>
                      <a:t>.23</a:t>
                    </a:r>
                    <a:r>
                      <a:t>%</a:t>
                    </a:r>
                  </a:p>
                </c:rich>
              </c:tx>
              <c:dLblPos val="ctr"/>
              <c:showLegendKey val="false"/>
              <c:showVal val="true"/>
              <c:showCatName val="true"/>
              <c:showSerName val="false"/>
              <c:showPercent val="true"/>
              <c:showBubbleSize val="false"/>
              <c:extLst>
                <c:ext xmlns:c15="http://schemas.microsoft.com/office/drawing/2012/chart" uri="{CE6537A1-D6FC-4f65-9D91-7224C49458BB}">
                  <c15:layout>
                    <c:manualLayout>
                      <c:w val="0.281774133432725"/>
                      <c:h val="0.134221644458889"/>
                    </c:manualLayout>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false"/>
            <c:showVal val="true"/>
            <c:showCatName val="tru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[工作簿1]Sheet1!$C$3:$C$4</c:f>
              <c:strCache>
                <c:ptCount val="2"/>
                <c:pt idx="0">
                  <c:v>一般公共预算财政拨款收入</c:v>
                </c:pt>
                <c:pt idx="1">
                  <c:v>其他收入</c:v>
                </c:pt>
              </c:strCache>
            </c:strRef>
          </c:cat>
          <c:val>
            <c:numRef>
              <c:f>[工作簿1]Sheet1!$D$3:$D$4</c:f>
              <c:numCache>
                <c:formatCode>General</c:formatCode>
                <c:ptCount val="2"/>
                <c:pt idx="0">
                  <c:v>2292.84</c:v>
                </c:pt>
                <c:pt idx="1">
                  <c:v>5.24</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manualLayout>
          <c:xMode val="edge"/>
          <c:yMode val="edge"/>
          <c:x val="0.335555555555556"/>
          <c:y val="0.0594405594405594"/>
        </c:manualLayout>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dLbl>
              <c:idx val="0"/>
              <c:layout>
                <c:manualLayout>
                  <c:x val="-0.130952380952381"/>
                  <c:y val="-0.0874125874125874"/>
                </c:manualLayout>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70.05%</a:t>
                    </a:r>
                  </a:p>
                </c:rich>
              </c:tx>
              <c:dLblPos val="bestFit"/>
              <c:showLegendKey val="false"/>
              <c:showVal val="true"/>
              <c:showCatName val="true"/>
              <c:showSerName val="false"/>
              <c:showPercent val="true"/>
              <c:showBubbleSize val="false"/>
              <c:extLst>
                <c:ext xmlns:c15="http://schemas.microsoft.com/office/drawing/2012/chart" uri="{CE6537A1-D6FC-4f65-9D91-7224C49458BB}">
                  <c15:layout/>
                </c:ext>
              </c:extLst>
            </c:dLbl>
            <c:dLbl>
              <c:idx val="1"/>
              <c:layout>
                <c:manualLayout>
                  <c:x val="0.138095238095238"/>
                  <c:y val="0.104895104895105"/>
                </c:manualLayout>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29.95%</a:t>
                    </a:r>
                  </a:p>
                </c:rich>
              </c:tx>
              <c:dLblPos val="bestFit"/>
              <c:showLegendKey val="false"/>
              <c:showVal val="true"/>
              <c:showCatName val="true"/>
              <c:showSerName val="false"/>
              <c:showPercent val="tru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tru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[工作簿1]Sheet1!$C$3:$C$4</c:f>
              <c:strCache>
                <c:ptCount val="2"/>
                <c:pt idx="0">
                  <c:v>基本支出</c:v>
                </c:pt>
                <c:pt idx="1">
                  <c:v>项目支出</c:v>
                </c:pt>
              </c:strCache>
            </c:strRef>
          </c:cat>
          <c:val>
            <c:numRef>
              <c:f>[工作簿1]Sheet1!$D$3:$D$4</c:f>
              <c:numCache>
                <c:formatCode>General</c:formatCode>
                <c:ptCount val="2"/>
                <c:pt idx="0">
                  <c:v>1862.9</c:v>
                </c:pt>
                <c:pt idx="1">
                  <c:v>796.43</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overlay val="false"/>
      <c:spPr>
        <a:noFill/>
        <a:ln>
          <a:noFill/>
        </a:ln>
        <a:effectLst/>
      </c:spPr>
    </c:title>
    <c:autoTitleDeleted val="false"/>
    <c:plotArea>
      <c:layout/>
      <c:barChart>
        <c:barDir val="col"/>
        <c:grouping val="clustered"/>
        <c:varyColors val="false"/>
        <c:ser>
          <c:idx val="0"/>
          <c:order val="0"/>
          <c:spPr>
            <a:solidFill>
              <a:schemeClr val="accent1"/>
            </a:solidFill>
            <a:ln>
              <a:noFill/>
            </a:ln>
            <a:effectLst/>
          </c:spPr>
          <c:invertIfNegative val="false"/>
          <c:dLbls>
            <c:dLbl>
              <c:idx val="0"/>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rPr sz="750"/>
                      <a:t>2869.21万元</a:t>
                    </a:r>
                    <a:endParaRPr sz="750"/>
                  </a:p>
                </c:rich>
              </c:tx>
              <c:dLblPos val="outEnd"/>
              <c:showLegendKey val="false"/>
              <c:showVal val="true"/>
              <c:showCatName val="false"/>
              <c:showSerName val="false"/>
              <c:showPercent val="false"/>
              <c:showBubbleSize val="false"/>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rPr sz="750"/>
                      <a:t>2879.12万元</a:t>
                    </a:r>
                    <a:endParaRPr sz="750"/>
                  </a:p>
                </c:rich>
              </c:tx>
              <c:dLblPos val="outEnd"/>
              <c:showLegendKey val="false"/>
              <c:showVal val="true"/>
              <c:showCatName val="false"/>
              <c:showSerName val="false"/>
              <c:showPercent val="false"/>
              <c:showBubbleSize val="false"/>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[工作簿1]Sheet1!$C$3:$C$4</c:f>
              <c:strCache>
                <c:ptCount val="2"/>
                <c:pt idx="0">
                  <c:v>2021年财政拨款收、支</c:v>
                </c:pt>
                <c:pt idx="1">
                  <c:v>2020年财政拨款收、支</c:v>
                </c:pt>
              </c:strCache>
            </c:strRef>
          </c:cat>
          <c:val>
            <c:numRef>
              <c:f>[工作簿1]Sheet1!$D$3:$D$4</c:f>
              <c:numCache>
                <c:formatCode>General</c:formatCode>
                <c:ptCount val="2"/>
                <c:pt idx="0">
                  <c:v>2869.21</c:v>
                </c:pt>
                <c:pt idx="1">
                  <c:v>2879.12</c:v>
                </c:pt>
              </c:numCache>
            </c:numRef>
          </c:val>
        </c:ser>
        <c:dLbls>
          <c:showLegendKey val="false"/>
          <c:showVal val="true"/>
          <c:showCatName val="false"/>
          <c:showSerName val="false"/>
          <c:showPercent val="false"/>
          <c:showBubbleSize val="false"/>
        </c:dLbls>
        <c:gapWidth val="219"/>
        <c:overlap val="-27"/>
        <c:axId val="961516493"/>
        <c:axId val="302069019"/>
      </c:barChart>
      <c:catAx>
        <c:axId val="961516493"/>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302069019"/>
        <c:crosses val="autoZero"/>
        <c:auto val="true"/>
        <c:lblAlgn val="ctr"/>
        <c:lblOffset val="100"/>
        <c:noMultiLvlLbl val="false"/>
      </c:catAx>
      <c:valAx>
        <c:axId val="302069019"/>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61516493"/>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c:rich>
      </c:tx>
      <c:layout/>
      <c:overlay val="false"/>
      <c:spPr>
        <a:noFill/>
        <a:ln>
          <a:noFill/>
        </a:ln>
        <a:effectLst/>
      </c:spPr>
    </c:title>
    <c:autoTitleDeleted val="false"/>
    <c:plotArea>
      <c:layout/>
      <c:barChart>
        <c:barDir val="col"/>
        <c:grouping val="clustered"/>
        <c:varyColors val="false"/>
        <c:ser>
          <c:idx val="0"/>
          <c:order val="0"/>
          <c:spPr>
            <a:solidFill>
              <a:schemeClr val="accent1"/>
            </a:solidFill>
            <a:ln>
              <a:noFill/>
            </a:ln>
            <a:effectLst/>
          </c:spPr>
          <c:invertIfNegative val="false"/>
          <c:dLbls>
            <c:dLbl>
              <c:idx val="0"/>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2654.25万元</a:t>
                    </a:r>
                  </a:p>
                </c:rich>
              </c:tx>
              <c:dLblPos val="outEnd"/>
              <c:showLegendKey val="false"/>
              <c:showVal val="true"/>
              <c:showCatName val="false"/>
              <c:showSerName val="false"/>
              <c:showPercent val="false"/>
              <c:showBubbleSize val="false"/>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2130.44万元</a:t>
                    </a:r>
                  </a:p>
                </c:rich>
              </c:tx>
              <c:dLblPos val="outEnd"/>
              <c:showLegendKey val="false"/>
              <c:showVal val="true"/>
              <c:showCatName val="false"/>
              <c:showSerName val="false"/>
              <c:showPercent val="false"/>
              <c:showBubbleSize val="false"/>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[工作簿1]Sheet1!$C$3:$C$4</c:f>
              <c:strCache>
                <c:ptCount val="2"/>
                <c:pt idx="0">
                  <c:v>2021年一般公共预算财政拨款支出</c:v>
                </c:pt>
                <c:pt idx="1">
                  <c:v>2020年一般公共预算财政拨款支出</c:v>
                </c:pt>
              </c:strCache>
            </c:strRef>
          </c:cat>
          <c:val>
            <c:numRef>
              <c:f>[工作簿1]Sheet1!$D$3:$D$4</c:f>
              <c:numCache>
                <c:formatCode>General</c:formatCode>
                <c:ptCount val="2"/>
                <c:pt idx="0">
                  <c:v>2654.25</c:v>
                </c:pt>
                <c:pt idx="1">
                  <c:v>2130.44</c:v>
                </c:pt>
              </c:numCache>
            </c:numRef>
          </c:val>
        </c:ser>
        <c:dLbls>
          <c:showLegendKey val="false"/>
          <c:showVal val="true"/>
          <c:showCatName val="false"/>
          <c:showSerName val="false"/>
          <c:showPercent val="false"/>
          <c:showBubbleSize val="false"/>
        </c:dLbls>
        <c:gapWidth val="219"/>
        <c:overlap val="-27"/>
        <c:axId val="190328653"/>
        <c:axId val="883020755"/>
      </c:barChart>
      <c:catAx>
        <c:axId val="190328653"/>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750" b="0" i="0" u="none" strike="noStrike" kern="1200" baseline="0">
                <a:solidFill>
                  <a:schemeClr val="tx1">
                    <a:lumMod val="65000"/>
                    <a:lumOff val="35000"/>
                  </a:schemeClr>
                </a:solidFill>
                <a:latin typeface="+mn-lt"/>
                <a:ea typeface="+mn-ea"/>
                <a:cs typeface="+mn-cs"/>
              </a:defRPr>
            </a:pPr>
          </a:p>
        </c:txPr>
        <c:crossAx val="883020755"/>
        <c:crosses val="autoZero"/>
        <c:auto val="true"/>
        <c:lblAlgn val="ctr"/>
        <c:lblOffset val="100"/>
        <c:noMultiLvlLbl val="false"/>
      </c:catAx>
      <c:valAx>
        <c:axId val="883020755"/>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90328653"/>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Lbls>
            <c:dLbl>
              <c:idx val="0"/>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83.77%</a:t>
                    </a:r>
                  </a:p>
                </c:rich>
              </c:tx>
              <c:dLblPos val="bestFit"/>
              <c:showLegendKey val="false"/>
              <c:showVal val="true"/>
              <c:showCatName val="false"/>
              <c:showSerName val="false"/>
              <c:showPercent val="false"/>
              <c:showBubbleSize val="false"/>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6.75%</a:t>
                    </a:r>
                  </a:p>
                </c:rich>
              </c:tx>
              <c:dLblPos val="bestFit"/>
              <c:showLegendKey val="false"/>
              <c:showVal val="true"/>
              <c:showCatName val="false"/>
              <c:showSerName val="false"/>
              <c:showPercent val="false"/>
              <c:showBubbleSize val="false"/>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1.81%</a:t>
                    </a:r>
                  </a:p>
                </c:rich>
              </c:tx>
              <c:dLblPos val="bestFit"/>
              <c:showLegendKey val="false"/>
              <c:showVal val="true"/>
              <c:showCatName val="false"/>
              <c:showSerName val="false"/>
              <c:showPercent val="false"/>
              <c:showBubbleSize val="false"/>
              <c:extLst>
                <c:ext xmlns:c15="http://schemas.microsoft.com/office/drawing/2012/chart" uri="{CE6537A1-D6FC-4f65-9D91-7224C49458BB}"/>
              </c:extLst>
            </c:dLbl>
            <c:dLbl>
              <c:idx val="3"/>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7.67%</a:t>
                    </a:r>
                  </a:p>
                </c:rich>
              </c:tx>
              <c:dLblPos val="bestFit"/>
              <c:showLegendKey val="false"/>
              <c:showVal val="true"/>
              <c:showCatName val="false"/>
              <c:showSerName val="false"/>
              <c:showPercent val="false"/>
              <c:showBubbleSize val="false"/>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[工作簿1]Sheet1!$C$3:$C$6</c:f>
              <c:strCache>
                <c:ptCount val="4"/>
                <c:pt idx="0">
                  <c:v>一般公共服务</c:v>
                </c:pt>
                <c:pt idx="1">
                  <c:v>社会保障和就业</c:v>
                </c:pt>
                <c:pt idx="2">
                  <c:v>卫生健康支出</c:v>
                </c:pt>
                <c:pt idx="3">
                  <c:v>住房保障支出</c:v>
                </c:pt>
              </c:strCache>
            </c:strRef>
          </c:cat>
          <c:val>
            <c:numRef>
              <c:f>[工作簿1]Sheet1!$D$3:$D$6</c:f>
              <c:numCache>
                <c:formatCode>General</c:formatCode>
                <c:ptCount val="4"/>
                <c:pt idx="0">
                  <c:v>2223.19</c:v>
                </c:pt>
                <c:pt idx="1">
                  <c:v>179.22</c:v>
                </c:pt>
                <c:pt idx="2">
                  <c:v>48.14</c:v>
                </c:pt>
                <c:pt idx="3">
                  <c:v>203.7</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“三公”经费财政拨款支出结构</a:t>
            </a:r>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Lbls>
            <c:dLbl>
              <c:idx val="0"/>
              <c:layout>
                <c:manualLayout>
                  <c:x val="0.0414350687312671"/>
                  <c:y val="-0.0226785378873226"/>
                </c:manualLayout>
              </c:layout>
              <c:dLblPos val="bestFit"/>
              <c:showLegendKey val="false"/>
              <c:showVal val="true"/>
              <c:showCatName val="false"/>
              <c:showSerName val="false"/>
              <c:showPercent val="true"/>
              <c:showBubbleSize val="false"/>
              <c:extLst>
                <c:ext xmlns:c15="http://schemas.microsoft.com/office/drawing/2012/chart" uri="{CE6537A1-D6FC-4f65-9D91-7224C49458BB}">
                  <c15:layout/>
                </c:ext>
              </c:extLst>
            </c:dLbl>
            <c:dLbl>
              <c:idx val="1"/>
              <c:layout>
                <c:manualLayout>
                  <c:x val="-0.0545632114788062"/>
                  <c:y val="-0.152514682864596"/>
                </c:manualLayout>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90.95%</a:t>
                    </a:r>
                  </a:p>
                </c:rich>
              </c:tx>
              <c:dLblPos val="bestFit"/>
              <c:showLegendKey val="false"/>
              <c:showVal val="true"/>
              <c:showCatName val="false"/>
              <c:showSerName val="false"/>
              <c:showPercent val="true"/>
              <c:showBubbleSize val="false"/>
              <c:extLst>
                <c:ext xmlns:c15="http://schemas.microsoft.com/office/drawing/2012/chart" uri="{CE6537A1-D6FC-4f65-9D91-7224C49458BB}">
                  <c15:layout/>
                </c:ext>
              </c:extLst>
            </c:dLbl>
            <c:dLbl>
              <c:idx val="2"/>
              <c:layout>
                <c:manualLayout>
                  <c:x val="-0.0288597684908949"/>
                  <c:y val="0.0300782137331468"/>
                </c:manualLayout>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9.05%</a:t>
                    </a:r>
                  </a:p>
                </c:rich>
              </c:tx>
              <c:dLblPos val="bestFit"/>
              <c:showLegendKey val="false"/>
              <c:showVal val="true"/>
              <c:showCatName val="false"/>
              <c:showSerName val="false"/>
              <c:showPercent val="tru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false"/>
            <c:showVal val="tru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[工作簿1]Sheet1!$C$18:$C$20</c:f>
              <c:strCache>
                <c:ptCount val="3"/>
                <c:pt idx="0">
                  <c:v>因公出国（境）费支出</c:v>
                </c:pt>
                <c:pt idx="1">
                  <c:v>公务用车购置及运行维护费支出</c:v>
                </c:pt>
                <c:pt idx="2">
                  <c:v>公务接待费支出</c:v>
                </c:pt>
              </c:strCache>
            </c:strRef>
          </c:cat>
          <c:val>
            <c:numRef>
              <c:f>[工作簿1]Sheet1!$D$18:$D$20</c:f>
              <c:numCache>
                <c:formatCode>General</c:formatCode>
                <c:ptCount val="3"/>
                <c:pt idx="0">
                  <c:v>0</c:v>
                </c:pt>
                <c:pt idx="1">
                  <c:v>16.08</c:v>
                </c:pt>
                <c:pt idx="2">
                  <c:v>1.6</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48</Pages>
  <Words>19171</Words>
  <Characters>20350</Characters>
  <Lines>61</Lines>
  <Paragraphs>17</Paragraphs>
  <TotalTime>0</TotalTime>
  <ScaleCrop>false</ScaleCrop>
  <LinksUpToDate>false</LinksUpToDate>
  <CharactersWithSpaces>20429</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2020-08-06T09:49:00Z</dcterms:created>
  <dc:creator>曹颖</dc:creator>
  <cp:lastModifiedBy> </cp:lastModifiedBy>
  <cp:lastPrinted>2022-08-07T10:23:00Z</cp:lastPrinted>
  <dcterms:modified xsi:type="dcterms:W3CDTF">2023-06-27T11:43:50Z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C490E839624046CF83A0A544C2D2A103</vt:lpwstr>
  </property>
</Properties>
</file>