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96475"/>
      <w:bookmarkStart w:id="4" w:name="_Toc15377425"/>
      <w:bookmarkStart w:id="5" w:name="_Toc15377193"/>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96598"/>
      <w:bookmarkStart w:id="9" w:name="_Toc15377194"/>
      <w:bookmarkStart w:id="10" w:name="_Toc15396476"/>
      <w:r>
        <w:rPr>
          <w:rFonts w:hint="eastAsia" w:ascii="方正小标宋简体" w:hAnsi="方正小标宋简体" w:eastAsia="方正小标宋简体" w:cs="方正小标宋简体"/>
          <w:sz w:val="72"/>
          <w:szCs w:val="72"/>
        </w:rPr>
        <w:t>广元</w:t>
      </w:r>
      <w:bookmarkEnd w:id="0"/>
      <w:bookmarkStart w:id="11" w:name="_Toc15306268"/>
      <w:r>
        <w:rPr>
          <w:rFonts w:hint="eastAsia" w:ascii="方正小标宋简体" w:hAnsi="方正小标宋简体" w:eastAsia="方正小标宋简体" w:cs="方正小标宋简体"/>
          <w:sz w:val="72"/>
          <w:szCs w:val="72"/>
        </w:rPr>
        <w:t>经济技术开发区盘龙镇人民政府单位决算</w:t>
      </w:r>
      <w:bookmarkEnd w:id="6"/>
      <w:bookmarkEnd w:id="7"/>
      <w:bookmarkEnd w:id="8"/>
      <w:bookmarkEnd w:id="9"/>
      <w:bookmarkEnd w:id="10"/>
      <w:bookmarkEnd w:id="11"/>
    </w:p>
    <w:p>
      <w:pPr>
        <w:widowControl/>
        <w:spacing w:line="1400" w:lineRule="exact"/>
        <w:jc w:val="center"/>
        <w:rPr>
          <w:rFonts w:ascii="黑体" w:hAnsi="黑体" w:eastAsia="黑体" w:cstheme="minorBidi"/>
          <w:sz w:val="28"/>
          <w:szCs w:val="28"/>
        </w:rPr>
      </w:pPr>
      <w:r>
        <w:rPr>
          <w:rFonts w:ascii="方正小标宋简体" w:hAnsi="宋体" w:eastAsia="方正小标宋简体"/>
          <w:sz w:val="36"/>
          <w:szCs w:val="36"/>
        </w:rPr>
        <w:br w:type="page"/>
      </w:r>
      <w:bookmarkStart w:id="12" w:name="_Toc15377196"/>
      <w:bookmarkStart w:id="13" w:name="_Toc15396599"/>
      <w:r>
        <w:rPr>
          <w:rFonts w:hint="eastAsia" w:ascii="黑体" w:hAnsi="黑体" w:eastAsia="黑体"/>
          <w:sz w:val="48"/>
          <w:szCs w:val="48"/>
        </w:rPr>
        <w:t>目   录</w:t>
      </w:r>
    </w:p>
    <w:p>
      <w:pPr>
        <w:pStyle w:val="13"/>
        <w:spacing w:line="576" w:lineRule="exact"/>
      </w:pPr>
      <w:r>
        <w:rPr>
          <w:rFonts w:hint="eastAsia"/>
        </w:rPr>
        <w:t>公开时间：2022年</w:t>
      </w:r>
      <w:r>
        <w:rPr>
          <w:rFonts w:hint="eastAsia"/>
          <w:lang w:val="en-US" w:eastAsia="zh-CN"/>
        </w:rPr>
        <w:t>4</w:t>
      </w:r>
      <w:r>
        <w:rPr>
          <w:rFonts w:hint="eastAsia"/>
        </w:rPr>
        <w:t>月27日</w:t>
      </w:r>
    </w:p>
    <w:p>
      <w:pPr>
        <w:pStyle w:val="13"/>
        <w:spacing w:line="576" w:lineRule="exact"/>
        <w:jc w:val="both"/>
        <w:rPr>
          <w:rFonts w:cstheme="minorBidi"/>
          <w:u w:color="FFFFFF" w:themeColor="background1"/>
        </w:rPr>
      </w:pPr>
      <w:r>
        <w:fldChar w:fldCharType="begin"/>
      </w:r>
      <w:r>
        <w:instrText xml:space="preserve"> HYPERLINK \l "_Toc15396599" </w:instrText>
      </w:r>
      <w:r>
        <w:fldChar w:fldCharType="separate"/>
      </w:r>
      <w:r>
        <w:rPr>
          <w:rFonts w:hint="eastAsia"/>
        </w:rPr>
        <w:t>第一部分部门概况</w:t>
      </w:r>
      <w:r>
        <w:rPr>
          <w:u w:color="FFFFFF" w:themeColor="background1"/>
        </w:rPr>
        <w:tab/>
      </w:r>
      <w:r>
        <w:rPr>
          <w:rFonts w:hint="eastAsia"/>
          <w:u w:color="FFFFFF" w:themeColor="background1"/>
        </w:rPr>
        <w:t>4</w:t>
      </w:r>
      <w:r>
        <w:rPr>
          <w:rFonts w:hint="eastAsia"/>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"_Toc15396600" </w:instrText>
      </w:r>
      <w:r>
        <w:fldChar w:fldCharType="separate"/>
      </w:r>
      <w:r>
        <w:rPr>
          <w:rFonts w:hint="eastAsia" w:ascii="仿宋" w:hAnsi="仿宋" w:eastAsia="仿宋"/>
          <w:sz w:val="28"/>
          <w:szCs w:val="28"/>
        </w:rPr>
        <w:t>一、基本职能及主要工作</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4</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"_Toc15396601" </w:instrText>
      </w:r>
      <w:r>
        <w:fldChar w:fldCharType="separate"/>
      </w:r>
      <w:r>
        <w:rPr>
          <w:rFonts w:hint="eastAsia" w:ascii="仿宋" w:hAnsi="仿宋" w:eastAsia="仿宋"/>
          <w:sz w:val="28"/>
          <w:szCs w:val="28"/>
        </w:rPr>
        <w:t>二、机构设置</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7</w:t>
      </w:r>
      <w:r>
        <w:rPr>
          <w:rFonts w:hint="eastAsia" w:ascii="仿宋" w:hAnsi="仿宋" w:eastAsia="仿宋"/>
          <w:sz w:val="28"/>
          <w:szCs w:val="28"/>
          <w:u w:color="FFFFFF" w:themeColor="background1"/>
        </w:rPr>
        <w:fldChar w:fldCharType="end"/>
      </w:r>
    </w:p>
    <w:p>
      <w:pPr>
        <w:pStyle w:val="13"/>
        <w:spacing w:line="576" w:lineRule="exact"/>
        <w:jc w:val="both"/>
        <w:rPr>
          <w:u w:color="FFFFFF" w:themeColor="background1"/>
        </w:rPr>
      </w:pPr>
      <w:r>
        <w:fldChar w:fldCharType="begin"/>
      </w:r>
      <w:r>
        <w:instrText xml:space="preserve"> HYPERLINK \l "_Toc15396602" </w:instrText>
      </w:r>
      <w:r>
        <w:fldChar w:fldCharType="separate"/>
      </w:r>
      <w:r>
        <w:rPr>
          <w:rFonts w:hint="eastAsia"/>
        </w:rPr>
        <w:t>第二部分 202</w:t>
      </w:r>
      <w:r>
        <w:rPr>
          <w:rFonts w:hint="default"/>
          <w:woUserID w:val="1"/>
        </w:rPr>
        <w:t>1</w:t>
      </w:r>
      <w:r>
        <w:rPr>
          <w:rFonts w:hint="eastAsia"/>
        </w:rPr>
        <w:t>年度部门决算情况说明</w:t>
      </w:r>
      <w:r>
        <w:rPr>
          <w:u w:color="FFFFFF" w:themeColor="background1"/>
        </w:rPr>
        <w:tab/>
      </w:r>
      <w:r>
        <w:rPr>
          <w:rFonts w:hint="eastAsia"/>
          <w:u w:color="FFFFFF" w:themeColor="background1"/>
        </w:rPr>
        <w:t>8</w:t>
      </w:r>
      <w:r>
        <w:rPr>
          <w:rFonts w:hint="eastAsia"/>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"_Toc15396603" </w:instrText>
      </w:r>
      <w:r>
        <w:fldChar w:fldCharType="separate"/>
      </w:r>
      <w:r>
        <w:rPr>
          <w:rFonts w:hint="eastAsia" w:ascii="仿宋" w:hAnsi="仿宋" w:eastAsia="仿宋"/>
          <w:sz w:val="28"/>
          <w:szCs w:val="28"/>
        </w:rPr>
        <w:t>一、收入支出决算总体情况说明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8</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"_Toc15396604" </w:instrText>
      </w:r>
      <w:r>
        <w:fldChar w:fldCharType="separate"/>
      </w:r>
      <w:r>
        <w:rPr>
          <w:rFonts w:hint="eastAsia" w:ascii="仿宋" w:hAnsi="仿宋" w:eastAsia="仿宋"/>
          <w:sz w:val="28"/>
          <w:szCs w:val="28"/>
        </w:rPr>
        <w:t>二、收入决算情况说明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"_Toc15396605" </w:instrText>
      </w:r>
      <w:r>
        <w:fldChar w:fldCharType="separate"/>
      </w:r>
      <w:r>
        <w:rPr>
          <w:rFonts w:hint="eastAsia" w:ascii="仿宋" w:hAnsi="仿宋" w:eastAsia="仿宋"/>
          <w:sz w:val="28"/>
          <w:szCs w:val="28"/>
        </w:rPr>
        <w:t>三、支出决算情况说明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"_Toc15396606" </w:instrText>
      </w:r>
      <w:r>
        <w:fldChar w:fldCharType="separate"/>
      </w:r>
      <w:r>
        <w:rPr>
          <w:rFonts w:hint="eastAsia" w:ascii="仿宋" w:hAnsi="仿宋" w:eastAsia="仿宋"/>
          <w:sz w:val="28"/>
          <w:szCs w:val="28"/>
        </w:rPr>
        <w:t>四、财政拨款收入支出决算总体情况说明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rPr>
        <w:t>0</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"_Toc15396607" </w:instrText>
      </w:r>
      <w:r>
        <w:fldChar w:fldCharType="separate"/>
      </w:r>
      <w:r>
        <w:rPr>
          <w:rFonts w:hint="eastAsia" w:ascii="仿宋" w:hAnsi="仿宋" w:eastAsia="仿宋"/>
          <w:sz w:val="28"/>
          <w:szCs w:val="28"/>
        </w:rPr>
        <w:t>五、一般公共预算财政拨款支出决算情况说明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0</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"_Toc15396608" </w:instrText>
      </w:r>
      <w:r>
        <w:fldChar w:fldCharType="separate"/>
      </w:r>
      <w:r>
        <w:rPr>
          <w:rFonts w:hint="eastAsia" w:ascii="仿宋" w:hAnsi="仿宋" w:eastAsia="仿宋"/>
          <w:sz w:val="28"/>
          <w:szCs w:val="28"/>
        </w:rPr>
        <w:t>六、一般公共预算财政拨款基本支出决算情况说明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3</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"_Toc15396609" </w:instrText>
      </w:r>
      <w:r>
        <w:fldChar w:fldCharType="separate"/>
      </w:r>
      <w:r>
        <w:rPr>
          <w:rFonts w:hint="eastAsia" w:ascii="仿宋" w:hAnsi="仿宋" w:eastAsia="仿宋"/>
          <w:sz w:val="28"/>
          <w:szCs w:val="28"/>
        </w:rPr>
        <w:t>七、“三公”经费财政拨款支出决算情况说明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3</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"_Toc15396610" </w:instrText>
      </w:r>
      <w:r>
        <w:fldChar w:fldCharType="separate"/>
      </w:r>
      <w:r>
        <w:rPr>
          <w:rFonts w:hint="eastAsia" w:ascii="仿宋" w:hAnsi="仿宋" w:eastAsia="仿宋"/>
          <w:sz w:val="28"/>
          <w:szCs w:val="28"/>
        </w:rPr>
        <w:t>八、政府性基金预算支出决算情况说明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4</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"_Toc15396611" </w:instrText>
      </w:r>
      <w:r>
        <w:fldChar w:fldCharType="separate"/>
      </w:r>
      <w:r>
        <w:rPr>
          <w:rFonts w:hint="eastAsia" w:ascii="仿宋" w:hAnsi="仿宋" w:eastAsia="仿宋"/>
          <w:sz w:val="28"/>
          <w:szCs w:val="28"/>
        </w:rPr>
        <w:t>九、 国有资本经营预算支出决算情况说明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4</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"_Toc15396612" </w:instrText>
      </w:r>
      <w:r>
        <w:fldChar w:fldCharType="separate"/>
      </w:r>
      <w:r>
        <w:rPr>
          <w:rFonts w:hint="eastAsia" w:ascii="仿宋" w:hAnsi="仿宋" w:eastAsia="仿宋"/>
          <w:sz w:val="28"/>
          <w:szCs w:val="28"/>
        </w:rPr>
        <w:t>十、其他重要事项的情况说明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5</w:t>
      </w:r>
    </w:p>
    <w:p>
      <w:pPr>
        <w:pStyle w:val="13"/>
        <w:spacing w:line="576" w:lineRule="exact"/>
        <w:jc w:val="both"/>
        <w:rPr>
          <w:rFonts w:hint="eastAsia" w:eastAsia="仿宋" w:cstheme="minorBidi"/>
          <w:u w:color="FFFFFF" w:themeColor="background1"/>
          <w:lang w:eastAsia="zh-CN"/>
        </w:rPr>
      </w:pPr>
      <w:r>
        <w:fldChar w:fldCharType="begin"/>
      </w:r>
      <w:r>
        <w:instrText xml:space="preserve"> HYPERLINK \l "_Toc15396613" </w:instrText>
      </w:r>
      <w:r>
        <w:fldChar w:fldCharType="separate"/>
      </w:r>
      <w:r>
        <w:rPr>
          <w:rFonts w:hint="eastAsia"/>
        </w:rPr>
        <w:t>第三部分 名词解释</w:t>
      </w:r>
      <w:r>
        <w:rPr>
          <w:u w:color="FFFFFF" w:themeColor="background1"/>
        </w:rPr>
        <w:tab/>
      </w:r>
      <w:r>
        <w:rPr>
          <w:rFonts w:hint="eastAsia"/>
          <w:u w:color="FFFFFF" w:themeColor="background1"/>
        </w:rPr>
        <w:t>1</w:t>
      </w:r>
      <w:r>
        <w:rPr>
          <w:rFonts w:hint="eastAsia"/>
          <w:u w:color="FFFFFF" w:themeColor="background1"/>
        </w:rPr>
        <w:fldChar w:fldCharType="end"/>
      </w:r>
      <w:r>
        <w:rPr>
          <w:rFonts w:hint="eastAsia"/>
          <w:u w:color="FFFFFF" w:themeColor="background1"/>
          <w:lang w:val="en-US" w:eastAsia="zh-CN"/>
        </w:rPr>
        <w:t>5</w:t>
      </w:r>
    </w:p>
    <w:p>
      <w:pPr>
        <w:pStyle w:val="13"/>
        <w:spacing w:line="576" w:lineRule="exact"/>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rPr>
        <w:t>第四部分附表</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 算明细表（政府经济分类科目）</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asciiTheme="minorEastAsia" w:hAnsiTheme="minorEastAsia" w:eastAsiaTheme="minorEastAsia" w:cstheme="minorEastAsia"/>
          <w:sz w:val="24"/>
        </w:rPr>
      </w:pPr>
      <w:r>
        <w:rPr>
          <w:rFonts w:hint="eastAsia" w:ascii="仿宋" w:hAnsi="仿宋" w:eastAsia="仿宋"/>
          <w:sz w:val="28"/>
          <w:szCs w:val="28"/>
        </w:rPr>
        <w:t>（十）、</w:t>
      </w:r>
      <w:r>
        <w:fldChar w:fldCharType="begin"/>
      </w:r>
      <w:r>
        <w:instrText xml:space="preserve"> HYPERLINK \l "_Toc15396628" </w:instrText>
      </w:r>
      <w:r>
        <w:fldChar w:fldCharType="separate"/>
      </w:r>
      <w:r>
        <w:rPr>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6</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(十一)、政府性基金预算财政拨款收入支出决算表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eastAsia="仿宋" w:asciiTheme="minorEastAsia" w:hAnsiTheme="minorEastAsia" w:cstheme="minorEastAsia"/>
          <w:sz w:val="24"/>
          <w:lang w:eastAsia="zh-CN"/>
        </w:rPr>
      </w:pPr>
      <w:r>
        <w:rPr>
          <w:rFonts w:hint="eastAsia" w:ascii="仿宋" w:hAnsi="仿宋" w:eastAsia="仿宋"/>
          <w:sz w:val="28"/>
          <w:szCs w:val="28"/>
        </w:rPr>
        <w:t>(十二)、政府性基金预算财政拨款“三公”经费支出决算</w:t>
      </w:r>
      <w:r>
        <w:rPr>
          <w:rFonts w:hint="eastAsia" w:asciiTheme="minorEastAsia" w:hAnsiTheme="minorEastAsia" w:eastAsiaTheme="minorEastAsia" w:cstheme="minorEastAsia"/>
          <w:sz w:val="24"/>
        </w:rPr>
        <w:t>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val="en-US" w:eastAsia="zh-CN"/>
        </w:rPr>
      </w:pPr>
      <w:r>
        <w:rPr>
          <w:rFonts w:hint="eastAsia" w:ascii="仿宋" w:hAnsi="仿宋" w:eastAsia="仿宋"/>
          <w:sz w:val="28"/>
          <w:szCs w:val="28"/>
        </w:rPr>
        <w:t>(十三)、国有资本经营预算财政拨款收入支出决算表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(十四)、国有资本经营预算财政拨款支出决算表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widowControl/>
        <w:spacing w:line="576" w:lineRule="exact"/>
        <w:rPr>
          <w:rFonts w:ascii="仿宋" w:hAnsi="仿宋" w:eastAsia="仿宋"/>
          <w:bCs/>
          <w:kern w:val="44"/>
          <w:sz w:val="24"/>
        </w:rPr>
      </w:pPr>
      <w:r>
        <w:rPr>
          <w:rFonts w:ascii="仿宋" w:hAnsi="仿宋" w:eastAsia="仿宋"/>
          <w:b/>
          <w:sz w:val="24"/>
        </w:rPr>
        <w:br w:type="page"/>
      </w:r>
    </w:p>
    <w:p>
      <w:pPr>
        <w:pStyle w:val="3"/>
        <w:ind w:firstLine="1320" w:firstLineChars="300"/>
        <w:jc w:val="both"/>
        <w:rPr>
          <w:rStyle w:val="28"/>
          <w:rFonts w:ascii="黑体" w:hAnsi="黑体" w:eastAsia="黑体"/>
          <w:b w:val="0"/>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bookmarkStart w:id="14" w:name="_Toc15377197"/>
      <w:bookmarkStart w:id="15" w:name="_Toc15396600"/>
    </w:p>
    <w:p>
      <w:pPr>
        <w:spacing w:line="576" w:lineRule="exact"/>
        <w:ind w:firstLine="640" w:firstLineChars="200"/>
        <w:rPr>
          <w:rStyle w:val="29"/>
          <w:rFonts w:ascii="仿宋" w:hAnsi="仿宋" w:eastAsia="仿宋"/>
          <w:b w:val="0"/>
          <w:bCs w:val="0"/>
        </w:rPr>
      </w:pPr>
      <w:r>
        <w:rPr>
          <w:rFonts w:hint="eastAsia" w:ascii="黑体" w:hAnsi="黑体" w:eastAsia="黑体"/>
          <w:sz w:val="32"/>
          <w:szCs w:val="32"/>
        </w:rPr>
        <w:t>一、基</w:t>
      </w:r>
      <w:r>
        <w:rPr>
          <w:rStyle w:val="29"/>
          <w:rFonts w:hint="eastAsia" w:ascii="黑体" w:hAnsi="黑体" w:eastAsia="黑体"/>
          <w:b w:val="0"/>
          <w:bCs w:val="0"/>
        </w:rPr>
        <w:t>本职能及主要工作</w:t>
      </w:r>
    </w:p>
    <w:p>
      <w:pPr>
        <w:pStyle w:val="2"/>
        <w:adjustRightInd w:val="0"/>
        <w:snapToGrid w:val="0"/>
        <w:spacing w:before="93" w:line="576" w:lineRule="exact"/>
        <w:ind w:firstLine="672" w:firstLineChars="210"/>
        <w:rPr>
          <w:rFonts w:hint="eastAsia" w:ascii="仿宋" w:hAnsi="仿宋" w:eastAsia="仿宋"/>
          <w:bCs/>
          <w:sz w:val="32"/>
          <w:szCs w:val="32"/>
        </w:rPr>
      </w:pPr>
      <w:bookmarkStart w:id="16" w:name="_Toc15378445"/>
      <w:bookmarkStart w:id="17" w:name="_Toc15377198"/>
      <w:r>
        <w:rPr>
          <w:rFonts w:hint="eastAsia" w:ascii="仿宋" w:hAnsi="仿宋" w:eastAsia="仿宋"/>
          <w:bCs/>
          <w:sz w:val="32"/>
          <w:szCs w:val="32"/>
        </w:rPr>
        <w:t>（一）主要职能。</w:t>
      </w:r>
      <w:bookmarkEnd w:id="16"/>
      <w:bookmarkEnd w:id="17"/>
    </w:p>
    <w:p>
      <w:pPr>
        <w:pStyle w:val="2"/>
        <w:adjustRightInd w:val="0"/>
        <w:snapToGrid w:val="0"/>
        <w:spacing w:before="93" w:line="576" w:lineRule="exact"/>
        <w:ind w:firstLine="672" w:firstLineChars="210"/>
        <w:rPr>
          <w:rFonts w:hint="eastAsia" w:ascii="楷体" w:hAnsi="楷体" w:eastAsia="楷体" w:cs="楷体"/>
          <w:b w:val="0"/>
          <w:kern w:val="2"/>
          <w:sz w:val="32"/>
          <w:szCs w:val="32"/>
        </w:rPr>
      </w:pPr>
      <w:r>
        <w:rPr>
          <w:rFonts w:hint="eastAsia" w:ascii="楷体" w:hAnsi="楷体" w:eastAsia="楷体" w:cs="楷体"/>
          <w:b w:val="0"/>
          <w:kern w:val="2"/>
          <w:sz w:val="32"/>
          <w:szCs w:val="32"/>
        </w:rPr>
        <w:t>主要职责为：负责辖区内扶贫攻坚、固定资产投资、安全生产、信访维稳、房屋征收与补偿、计划生育、民政、劳动就业、社会保障、环境卫生等工作。</w:t>
      </w:r>
      <w:bookmarkStart w:id="18" w:name="_Toc15377199"/>
      <w:bookmarkStart w:id="19" w:name="_Toc15378446"/>
    </w:p>
    <w:p>
      <w:pPr>
        <w:pStyle w:val="2"/>
        <w:adjustRightInd w:val="0"/>
        <w:snapToGrid w:val="0"/>
        <w:spacing w:before="93" w:line="576" w:lineRule="exact"/>
        <w:ind w:firstLine="672" w:firstLineChars="210"/>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bookmarkEnd w:id="14"/>
    <w:bookmarkEnd w:id="15"/>
    <w:p>
      <w:pPr>
        <w:spacing w:line="560" w:lineRule="exact"/>
        <w:ind w:firstLine="961" w:firstLineChars="300"/>
        <w:outlineLvl w:val="1"/>
        <w:rPr>
          <w:rFonts w:ascii="仿宋" w:hAnsi="仿宋" w:eastAsia="仿宋" w:cs="仿宋"/>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持之以恒改作风、抓落实，组织建设全面加强。</w:t>
      </w:r>
      <w:r>
        <w:rPr>
          <w:rFonts w:hint="eastAsia" w:ascii="仿宋" w:hAnsi="仿宋" w:eastAsia="仿宋" w:cs="仿宋"/>
          <w:sz w:val="32"/>
          <w:szCs w:val="32"/>
        </w:rPr>
        <w:t>一是多层次广泛开展习近平新时代中国特色社会主义思想、党的十九大、十九届三中、四中、五中、六中全会、市委七届十三次、十四次全会和市第八次党代会精神学习教育，学习型党组织建设迈出新步伐。二是扎实开展党史学习教育系列活动，组织党委理论中心组学习12期，开展学习交流活动15场次，开展参观学习暨红色教育活动14场次。纵深推进“我为群众办实事”系列活动，解决群众“急难愁盼”问题493件。三是严格履行全面从严治党主体责任，认真落实全市干部纪律作风整顿工作的安排部署，召开镇党委专题会议6次，查摆镇、村两级干部职工纪律作风方面问题821个，并全面完成整改。全年廉政教育谈话共420人（次），警示教育约谈17人，党纪政务处分5人。四是带头贯彻落实上级关于意识形态工作的安排部署，全年专题研究意识形态工作5次，在各级新闻媒介发布稿件200余条，回复网络舆情296件。五是圆满完成镇党委、政府、人大班子换届工作。六是西南村党群服务中心正式投入使用，新龙村党群服务中心建设顺利推进，陵江社区便民服务中心亲民化改造全面完成。盘龙镇党委于2021年4月被广元市委授予“广元市先进基层党组织”荣誉称号。</w:t>
      </w:r>
    </w:p>
    <w:p>
      <w:pPr>
        <w:pStyle w:val="6"/>
        <w:spacing w:line="560" w:lineRule="exact"/>
        <w:ind w:firstLine="643"/>
        <w:rPr>
          <w:rFonts w:ascii="仿宋" w:hAnsi="仿宋" w:eastAsia="仿宋" w:cs="仿宋"/>
        </w:rPr>
      </w:pPr>
      <w:r>
        <w:rPr>
          <w:rFonts w:hint="eastAsia" w:ascii="楷体" w:hAnsi="楷体" w:eastAsia="楷体" w:cs="楷体"/>
          <w:b/>
          <w:bCs/>
          <w:lang w:val="en-US" w:eastAsia="zh-CN"/>
        </w:rPr>
        <w:t>2、</w:t>
      </w:r>
      <w:r>
        <w:rPr>
          <w:rFonts w:hint="eastAsia" w:ascii="楷体" w:hAnsi="楷体" w:eastAsia="楷体" w:cs="楷体"/>
          <w:b/>
          <w:bCs/>
        </w:rPr>
        <w:t>创新举措强机制、防风险，基层治理有序有效。</w:t>
      </w:r>
      <w:r>
        <w:rPr>
          <w:rFonts w:hint="eastAsia" w:ascii="仿宋" w:hAnsi="仿宋" w:eastAsia="仿宋" w:cs="仿宋"/>
        </w:rPr>
        <w:t>一是积极探索农村司法体系建设与基层治理能力现代化有机融合，逐步构建“政治、自治、法治、德治、智治”“五治融合”的基层社会治理体系。二是结合“零信访”村（社区）创建活动，扎实开展信访疑难案件和历史遗留问题化解攻坚，截止11月份，我镇信访总量29件，同比下降30%。三是安全生产持续稳定，防汛抗旱、森林防火、地质灾害防救等工作取得了阶段性成效。深沟村成功创建省级乡村治理示范村和省级“六无”平安村。四是以“六有三延”为主要内容，积极引导辖区企业共同参与应急管理、抢险救援工作，建立镇、村应急管理队伍14支290人，建立应急物资标准储备库1个、民政救灾物资储备库1个、村级应急物资储备站（点）15个。</w:t>
      </w:r>
    </w:p>
    <w:p>
      <w:pPr>
        <w:spacing w:line="560" w:lineRule="exact"/>
        <w:ind w:firstLine="641" w:firstLineChars="200"/>
        <w:rPr>
          <w:rFonts w:ascii="仿宋" w:hAnsi="仿宋" w:eastAsia="仿宋" w:cs="仿宋"/>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坚持不懈惠民生、暖民心，民生福祉持续增进。</w:t>
      </w:r>
      <w:r>
        <w:rPr>
          <w:rFonts w:hint="eastAsia" w:ascii="仿宋" w:hAnsi="仿宋" w:eastAsia="仿宋" w:cs="仿宋"/>
          <w:sz w:val="32"/>
          <w:szCs w:val="32"/>
        </w:rPr>
        <w:t>一是冒包梁安置点电力工程、供水站技改、走马岭社区停车场、盘龙敬老院改造提升、盘龙公共文化服务中心等一大批民生基础设施建设项目圆满完成。二是城乡居民医疗保险实现全覆盖，深入落实各类惠民救助政策，累计发放各类民政、救助、补贴资金778.72万元。三是辖区群众均等化公共教育、卫生服务全面保障，老年人免费体检、育龄妇女健康指导、儿童免疫接种等卫生健康政策全面落实。四是开展职业技能培训4场次，累计培训210人次，开展就业专场招聘会3场次，实现新增就业485人。五是深入落实常态化疫情防控措施，我镇疫苗接种“双重预约制度”被市疫情防控指挥部通报表扬，并在全市范围内推广。六是完成走马岭盘龙中学片区污水处理工程。严格落实河（湖）长制，深入贯彻落实长江十年禁渔部署，协助检察院、公安等部门，查处违规捕鱼案件1起，黄垭村秸秆综合利用站顺利投入使用。</w:t>
      </w:r>
    </w:p>
    <w:p>
      <w:pPr>
        <w:spacing w:line="560" w:lineRule="exact"/>
        <w:ind w:firstLine="641" w:firstLineChars="200"/>
        <w:outlineLvl w:val="1"/>
        <w:rPr>
          <w:rFonts w:ascii="仿宋" w:hAnsi="仿宋" w:eastAsia="仿宋" w:cs="仿宋"/>
          <w:sz w:val="32"/>
          <w:szCs w:val="32"/>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不遗余力夯基础、补短板，乡村振兴深入推进。</w:t>
      </w:r>
      <w:r>
        <w:rPr>
          <w:rFonts w:hint="eastAsia" w:ascii="仿宋" w:hAnsi="仿宋" w:eastAsia="仿宋" w:cs="仿宋"/>
          <w:sz w:val="32"/>
          <w:szCs w:val="32"/>
        </w:rPr>
        <w:t>一是聚焦脱贫不稳定户、边缘易致贫户、突发严重困难户三类重点人群，坚持常态化、网格化、精准化监测帮扶机制，全镇无新增致贫和返贫情况。二是整合农业、林业、移民后扶等行业资金600余万元，完成红光村、新龙村11.2公里路面整治、上石村村道拓宽、南山村曼春种养殖专业合作社产业基础配套、黄垭病险水库、南山村孔家垭水库整治等基础设施建设。三是完成789亩撂荒耕地复耕工作，全年兑付耕地地力补贴130.57万元。四是发展中药材种植120亩、生姜250亩、魔芋230亩，完成王家梁现代农业（中药材）园区规划工作，扎实开展深沟枇杷、五爱黄金梨产业提质增量工作，成功创建“花下肥泥巴”区域公共品牌，顺利通过“广元市农产品质量安全示范乡镇”复审。五是全面开展村（居）民环境卫生“红黑榜”评比，结合第七届全国文明城市创建和“红色星期六”党员志愿服务活动，扎实开展农村人居环境整治，努力实现农村“三净三美”工作目标。</w:t>
      </w:r>
    </w:p>
    <w:p>
      <w:pPr>
        <w:spacing w:line="560" w:lineRule="exact"/>
        <w:ind w:firstLine="641" w:firstLineChars="200"/>
        <w:outlineLvl w:val="1"/>
        <w:rPr>
          <w:rFonts w:ascii="仿宋" w:hAnsi="仿宋" w:eastAsia="仿宋" w:cs="仿宋"/>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全力以赴破难题、优环境，发展根基不断夯实。</w:t>
      </w:r>
      <w:r>
        <w:rPr>
          <w:rFonts w:hint="eastAsia" w:ascii="仿宋" w:hAnsi="仿宋" w:eastAsia="仿宋" w:cs="仿宋"/>
          <w:sz w:val="32"/>
          <w:szCs w:val="32"/>
        </w:rPr>
        <w:t>一是紧紧围绕石盘工业园、动车运用所、高铁快运物流基地、西二环延伸段、摆宴大桥等省、市重点项目及项目落地建设要素保障工作，累计完成征地3140.44亩，农转非401人，拆迁农房104户，拆迁安置266人，兑付征拆资金1.93亿元。二是圆满完成“项目投资及经济运行50天攻坚战”工作任务，1-10月份累计完成固定资产投资32.75亿元，库内结余51.58亿元，占全区固投总任务比重的32.93%，全年预计完成35.32亿元，完成目标任务数的110.34%。三是坚决贯彻落实区党工委关于项目和产业攻坚行动的决策部署，抽调20名精干力量充实到空港、医药两大园区指挥部。围绕园区企业配套服务工作，协调解决企业人员“衣、食、住、行、游”需求，大力推动走马岭体育休闲社区建设，打造产业园区优美外环境。</w:t>
      </w:r>
    </w:p>
    <w:p>
      <w:pPr>
        <w:spacing w:line="576" w:lineRule="exact"/>
        <w:ind w:firstLine="640" w:firstLineChars="200"/>
        <w:rPr>
          <w:rStyle w:val="29"/>
          <w:b w:val="0"/>
          <w:bCs w:val="0"/>
        </w:rPr>
      </w:pPr>
      <w:bookmarkStart w:id="20" w:name="_Toc15377200"/>
      <w:bookmarkStart w:id="21" w:name="_Toc15396601"/>
      <w:r>
        <w:rPr>
          <w:rFonts w:hint="eastAsia" w:ascii="黑体" w:eastAsia="黑体"/>
          <w:sz w:val="32"/>
          <w:szCs w:val="32"/>
        </w:rPr>
        <w:t>二、</w:t>
      </w:r>
      <w:r>
        <w:rPr>
          <w:rFonts w:hint="eastAsia" w:ascii="黑体" w:hAnsi="黑体" w:eastAsia="黑体"/>
          <w:sz w:val="32"/>
          <w:szCs w:val="32"/>
        </w:rPr>
        <w:t>机</w:t>
      </w:r>
      <w:r>
        <w:rPr>
          <w:rStyle w:val="29"/>
          <w:rFonts w:hint="eastAsia" w:ascii="黑体" w:hAnsi="黑体" w:eastAsia="黑体"/>
          <w:b w:val="0"/>
          <w:bCs w:val="0"/>
        </w:rPr>
        <w:t>构设置</w:t>
      </w:r>
      <w:bookmarkEnd w:id="20"/>
      <w:bookmarkEnd w:id="21"/>
    </w:p>
    <w:p>
      <w:pPr>
        <w:spacing w:line="560" w:lineRule="exact"/>
        <w:ind w:firstLine="640" w:firstLineChars="200"/>
        <w:rPr>
          <w:rFonts w:ascii="仿宋" w:hAnsi="仿宋" w:eastAsia="仿宋"/>
          <w:sz w:val="32"/>
          <w:szCs w:val="32"/>
        </w:rPr>
      </w:pPr>
      <w:r>
        <w:rPr>
          <w:rFonts w:hint="eastAsia" w:ascii="仿宋" w:hAnsi="仿宋" w:eastAsia="仿宋"/>
          <w:sz w:val="32"/>
          <w:szCs w:val="32"/>
        </w:rPr>
        <w:t>盘龙镇地处广元城区西入口，东临袁家坝工业园区、川浙合作产业园区，西连宝轮镇，南接昭化古城，北靠天曌山森林公园。全镇幅员面积67平方公里，辖9行政村，4个社区，66个村(居)民小组，4904户，20503人，耕地10245亩，林地36043亩。财政编制65人（公务员29人、事业人员37人、机关工勤人员1人）</w:t>
      </w:r>
    </w:p>
    <w:p>
      <w:pPr>
        <w:spacing w:line="560" w:lineRule="exact"/>
        <w:ind w:firstLine="640"/>
        <w:rPr>
          <w:rFonts w:ascii="仿宋" w:hAnsi="仿宋" w:eastAsia="仿宋"/>
          <w:sz w:val="32"/>
          <w:szCs w:val="32"/>
        </w:rPr>
      </w:pPr>
      <w:r>
        <w:rPr>
          <w:rFonts w:hint="eastAsia" w:ascii="仿宋" w:hAnsi="仿宋" w:eastAsia="仿宋"/>
          <w:sz w:val="32"/>
          <w:szCs w:val="32"/>
        </w:rPr>
        <w:t>年末实有人数</w:t>
      </w:r>
      <w:r>
        <w:rPr>
          <w:rFonts w:hint="eastAsia" w:ascii="仿宋" w:hAnsi="仿宋" w:eastAsia="仿宋"/>
          <w:sz w:val="32"/>
          <w:szCs w:val="32"/>
          <w:lang w:val="en-US" w:eastAsia="zh-CN"/>
        </w:rPr>
        <w:t>43</w:t>
      </w:r>
      <w:r>
        <w:rPr>
          <w:rFonts w:hint="eastAsia" w:ascii="仿宋" w:hAnsi="仿宋" w:eastAsia="仿宋"/>
          <w:sz w:val="32"/>
          <w:szCs w:val="32"/>
        </w:rPr>
        <w:t>人，</w:t>
      </w:r>
      <w:r>
        <w:rPr>
          <w:rFonts w:hint="eastAsia" w:ascii="仿宋" w:hAnsi="仿宋" w:eastAsia="仿宋" w:cs="仿宋_GB2312"/>
          <w:sz w:val="32"/>
          <w:szCs w:val="32"/>
        </w:rPr>
        <w:t>其中：在职正式人员</w:t>
      </w:r>
      <w:r>
        <w:rPr>
          <w:rFonts w:hint="eastAsia" w:ascii="仿宋" w:hAnsi="仿宋" w:eastAsia="仿宋" w:cs="仿宋_GB2312"/>
          <w:sz w:val="32"/>
          <w:szCs w:val="32"/>
          <w:lang w:val="en-US" w:eastAsia="zh-CN"/>
        </w:rPr>
        <w:t>33</w:t>
      </w:r>
      <w:r>
        <w:rPr>
          <w:rFonts w:hint="eastAsia" w:ascii="仿宋" w:hAnsi="仿宋" w:eastAsia="仿宋" w:cs="仿宋_GB2312"/>
          <w:sz w:val="32"/>
          <w:szCs w:val="32"/>
        </w:rPr>
        <w:t>人，聘用人员10人。</w:t>
      </w:r>
      <w:r>
        <w:rPr>
          <w:rFonts w:hint="eastAsia" w:ascii="仿宋" w:hAnsi="仿宋" w:eastAsia="仿宋"/>
          <w:sz w:val="32"/>
          <w:szCs w:val="32"/>
        </w:rPr>
        <w:t>内设党政办公室、便民服务中心、乡村振新办公室、项目服务中心、综治维稳中心及财政所六个部门。</w:t>
      </w:r>
    </w:p>
    <w:p>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ind w:right="440" w:firstLine="440" w:firstLineChars="100"/>
        <w:jc w:val="both"/>
        <w:rPr>
          <w:rStyle w:val="28"/>
          <w:rFonts w:ascii="黑体" w:hAnsi="黑体" w:eastAsia="黑体"/>
          <w:b w:val="0"/>
          <w:bCs/>
        </w:rPr>
      </w:pPr>
      <w:bookmarkStart w:id="22" w:name="_Toc15377204"/>
      <w:bookmarkStart w:id="23" w:name="_Toc15396602"/>
      <w:r>
        <w:rPr>
          <w:rFonts w:hint="eastAsia" w:ascii="黑体" w:hAnsi="黑体" w:eastAsia="黑体"/>
          <w:b w:val="0"/>
        </w:rPr>
        <w:t>第二部分 2021年度</w:t>
      </w:r>
      <w:r>
        <w:rPr>
          <w:rStyle w:val="28"/>
          <w:rFonts w:hint="eastAsia" w:ascii="黑体" w:hAnsi="黑体" w:eastAsia="黑体"/>
          <w:b w:val="0"/>
          <w:bCs/>
        </w:rPr>
        <w:t>单位决算情况说明</w:t>
      </w:r>
      <w:bookmarkEnd w:id="22"/>
      <w:bookmarkEnd w:id="23"/>
    </w:p>
    <w:p/>
    <w:p>
      <w:pPr>
        <w:pStyle w:val="27"/>
        <w:numPr>
          <w:ilvl w:val="0"/>
          <w:numId w:val="1"/>
        </w:numPr>
        <w:spacing w:line="600" w:lineRule="exact"/>
        <w:ind w:firstLineChars="0"/>
        <w:outlineLvl w:val="1"/>
        <w:rPr>
          <w:rStyle w:val="29"/>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2021年度收、支总计1801.43万元。与2020年相比，收</w:t>
      </w:r>
      <w:r>
        <w:rPr>
          <w:rFonts w:hint="eastAsia" w:ascii="仿宋" w:hAnsi="仿宋" w:eastAsia="仿宋"/>
          <w:sz w:val="32"/>
          <w:szCs w:val="32"/>
          <w:lang w:eastAsia="zh-CN"/>
        </w:rPr>
        <w:t>入</w:t>
      </w:r>
      <w:r>
        <w:rPr>
          <w:rFonts w:hint="eastAsia" w:ascii="仿宋" w:hAnsi="仿宋" w:eastAsia="仿宋"/>
          <w:sz w:val="32"/>
          <w:szCs w:val="32"/>
        </w:rPr>
        <w:t>增加</w:t>
      </w:r>
      <w:r>
        <w:rPr>
          <w:rFonts w:hint="eastAsia" w:ascii="仿宋" w:hAnsi="仿宋" w:eastAsia="仿宋"/>
          <w:sz w:val="32"/>
          <w:szCs w:val="32"/>
          <w:lang w:val="en-US" w:eastAsia="zh-CN"/>
        </w:rPr>
        <w:t>193.34万元，</w:t>
      </w:r>
      <w:r>
        <w:rPr>
          <w:rFonts w:hint="eastAsia" w:ascii="仿宋" w:hAnsi="仿宋" w:eastAsia="仿宋"/>
          <w:sz w:val="32"/>
          <w:szCs w:val="32"/>
        </w:rPr>
        <w:t>增长</w:t>
      </w:r>
      <w:r>
        <w:rPr>
          <w:rFonts w:hint="eastAsia" w:ascii="仿宋" w:hAnsi="仿宋" w:eastAsia="仿宋"/>
          <w:sz w:val="32"/>
          <w:szCs w:val="32"/>
          <w:lang w:val="en-US" w:eastAsia="zh-CN"/>
        </w:rPr>
        <w:t>12.02</w:t>
      </w:r>
      <w:r>
        <w:rPr>
          <w:rFonts w:ascii="仿宋" w:hAnsi="仿宋" w:eastAsia="仿宋"/>
          <w:sz w:val="32"/>
          <w:szCs w:val="32"/>
        </w:rPr>
        <w:t>%</w:t>
      </w:r>
      <w:r>
        <w:rPr>
          <w:rFonts w:hint="eastAsia" w:ascii="仿宋" w:hAnsi="仿宋" w:eastAsia="仿宋"/>
          <w:sz w:val="32"/>
          <w:szCs w:val="32"/>
          <w:lang w:val="en-US" w:eastAsia="zh-CN"/>
        </w:rPr>
        <w:t>，支出增加</w:t>
      </w:r>
      <w:r>
        <w:rPr>
          <w:rFonts w:hint="eastAsia" w:ascii="仿宋" w:hAnsi="仿宋" w:eastAsia="仿宋"/>
          <w:sz w:val="32"/>
          <w:szCs w:val="32"/>
        </w:rPr>
        <w:t>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spacing w:before="93"/>
        <w:ind w:firstLine="1350" w:firstLineChars="450"/>
      </w:pPr>
      <w:r>
        <w:rPr>
          <w:rFonts w:hint="eastAsia"/>
        </w:rPr>
        <w:drawing>
          <wp:anchor distT="0" distB="0" distL="114300" distR="114300" simplePos="0" relativeHeight="251659264" behindDoc="0" locked="0" layoutInCell="1" allowOverlap="1">
            <wp:simplePos x="0" y="0"/>
            <wp:positionH relativeFrom="column">
              <wp:posOffset>904875</wp:posOffset>
            </wp:positionH>
            <wp:positionV relativeFrom="paragraph">
              <wp:posOffset>296545</wp:posOffset>
            </wp:positionV>
            <wp:extent cx="3920490" cy="3028950"/>
            <wp:effectExtent l="4445" t="4445" r="18415" b="1460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color w:val="000000" w:themeColor="text1"/>
          <w:sz w:val="32"/>
          <w:szCs w:val="32"/>
        </w:rPr>
        <w:t>（图1：收、支决算总计变动情况图）</w:t>
      </w:r>
    </w:p>
    <w:p>
      <w:pPr>
        <w:spacing w:line="600" w:lineRule="exact"/>
        <w:ind w:firstLine="320" w:firstLineChars="100"/>
        <w:outlineLvl w:val="1"/>
        <w:rPr>
          <w:rStyle w:val="29"/>
          <w:rFonts w:ascii="黑体" w:hAnsi="黑体" w:eastAsia="黑体"/>
          <w:b w:val="0"/>
        </w:rPr>
      </w:pPr>
      <w:bookmarkStart w:id="26" w:name="_Toc15377206"/>
      <w:bookmarkStart w:id="27" w:name="_Toc15396604"/>
      <w:r>
        <w:rPr>
          <w:rFonts w:hint="eastAsia" w:ascii="黑体" w:hAnsi="黑体" w:eastAsia="黑体"/>
          <w:sz w:val="32"/>
          <w:szCs w:val="32"/>
        </w:rPr>
        <w:t>二、收</w:t>
      </w:r>
      <w:r>
        <w:rPr>
          <w:rStyle w:val="29"/>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21年本年收入合计1801.43万元，其中：一般公共预算财政拨款收入1801.43万元，占100</w:t>
      </w:r>
      <w:r>
        <w:rPr>
          <w:rFonts w:ascii="仿宋" w:hAnsi="仿宋" w:eastAsia="仿宋"/>
          <w:sz w:val="32"/>
          <w:szCs w:val="32"/>
        </w:rPr>
        <w:t>%</w:t>
      </w:r>
      <w:r>
        <w:rPr>
          <w:rFonts w:hint="eastAsia" w:ascii="仿宋" w:hAnsi="仿宋" w:eastAsia="仿宋"/>
          <w:sz w:val="32"/>
          <w:szCs w:val="32"/>
        </w:rPr>
        <w:t>。</w:t>
      </w:r>
    </w:p>
    <w:p>
      <w:pPr>
        <w:pStyle w:val="2"/>
        <w:spacing w:before="93"/>
      </w:pPr>
    </w:p>
    <w:p>
      <w:pPr>
        <w:pStyle w:val="2"/>
        <w:spacing w:before="93"/>
        <w:ind w:firstLine="1950" w:firstLineChars="650"/>
        <w:rPr>
          <w:rStyle w:val="29"/>
          <w:rFonts w:ascii="仿宋_GB2312" w:hAnsi="Times New Roman" w:eastAsia="仿宋_GB2312" w:cs="Times New Roman"/>
          <w:b w:val="0"/>
          <w:bCs w:val="0"/>
          <w:kern w:val="0"/>
          <w:sz w:val="30"/>
          <w:szCs w:val="24"/>
        </w:rPr>
      </w:pPr>
      <w:r>
        <w:rPr>
          <w:rFonts w:hint="eastAsia"/>
        </w:rPr>
        <w:drawing>
          <wp:anchor distT="0" distB="0" distL="114300" distR="114300" simplePos="0" relativeHeight="251660288" behindDoc="0" locked="0" layoutInCell="1" allowOverlap="1">
            <wp:simplePos x="0" y="0"/>
            <wp:positionH relativeFrom="column">
              <wp:posOffset>495300</wp:posOffset>
            </wp:positionH>
            <wp:positionV relativeFrom="page">
              <wp:posOffset>981075</wp:posOffset>
            </wp:positionV>
            <wp:extent cx="4707890" cy="2453005"/>
            <wp:effectExtent l="19050" t="0" r="16510" b="4445"/>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cs="黑体"/>
          <w:color w:val="000000" w:themeColor="text1"/>
          <w:sz w:val="32"/>
          <w:szCs w:val="32"/>
        </w:rPr>
        <w:t>（图2：收入决算结构图）</w:t>
      </w:r>
    </w:p>
    <w:p>
      <w:pPr>
        <w:spacing w:line="600" w:lineRule="exact"/>
        <w:ind w:firstLine="480" w:firstLineChars="150"/>
        <w:outlineLvl w:val="1"/>
        <w:rPr>
          <w:rStyle w:val="29"/>
          <w:rFonts w:ascii="黑体" w:hAnsi="黑体" w:eastAsia="黑体"/>
          <w:b w:val="0"/>
        </w:rPr>
      </w:pPr>
      <w:bookmarkStart w:id="28" w:name="_Toc15396605"/>
      <w:bookmarkStart w:id="29" w:name="_Toc15377207"/>
      <w:r>
        <w:rPr>
          <w:rFonts w:hint="eastAsia" w:ascii="黑体" w:hAnsi="黑体" w:eastAsia="黑体"/>
          <w:sz w:val="32"/>
          <w:szCs w:val="32"/>
        </w:rPr>
        <w:t>三、支</w:t>
      </w:r>
      <w:r>
        <w:rPr>
          <w:rStyle w:val="29"/>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21年本年支出合计1801.43万元，其中：基本支出1589.17万元，占88.22</w:t>
      </w:r>
      <w:r>
        <w:rPr>
          <w:rFonts w:ascii="仿宋" w:hAnsi="仿宋" w:eastAsia="仿宋"/>
          <w:sz w:val="32"/>
          <w:szCs w:val="32"/>
        </w:rPr>
        <w:t>%</w:t>
      </w:r>
      <w:r>
        <w:rPr>
          <w:rFonts w:hint="eastAsia" w:ascii="仿宋" w:hAnsi="仿宋" w:eastAsia="仿宋"/>
          <w:sz w:val="32"/>
          <w:szCs w:val="32"/>
        </w:rPr>
        <w:t>；项目支出212.26万元，占11.78</w:t>
      </w:r>
      <w:r>
        <w:rPr>
          <w:rFonts w:ascii="仿宋" w:hAnsi="仿宋" w:eastAsia="仿宋"/>
          <w:sz w:val="32"/>
          <w:szCs w:val="32"/>
        </w:rPr>
        <w:t>%</w:t>
      </w:r>
      <w:r>
        <w:rPr>
          <w:rFonts w:hint="eastAsia" w:ascii="仿宋" w:hAnsi="仿宋" w:eastAsia="仿宋"/>
          <w:sz w:val="32"/>
          <w:szCs w:val="32"/>
        </w:rPr>
        <w:t>。</w:t>
      </w:r>
    </w:p>
    <w:p>
      <w:pPr>
        <w:pStyle w:val="2"/>
        <w:spacing w:before="93"/>
      </w:pPr>
      <w:r>
        <w:rPr>
          <w:rFonts w:hint="eastAsia"/>
        </w:rPr>
        <w:drawing>
          <wp:anchor distT="0" distB="0" distL="114300" distR="114300" simplePos="0" relativeHeight="251661312" behindDoc="0" locked="0" layoutInCell="1" allowOverlap="1">
            <wp:simplePos x="0" y="0"/>
            <wp:positionH relativeFrom="column">
              <wp:posOffset>704850</wp:posOffset>
            </wp:positionH>
            <wp:positionV relativeFrom="paragraph">
              <wp:posOffset>497205</wp:posOffset>
            </wp:positionV>
            <wp:extent cx="4401185" cy="2453640"/>
            <wp:effectExtent l="19050" t="0" r="18415" b="3810"/>
            <wp:wrapTopAndBottom/>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spacing w:before="93"/>
        <w:ind w:firstLine="1800" w:firstLineChars="600"/>
        <w:rPr>
          <w:rStyle w:val="29"/>
          <w:rFonts w:ascii="仿宋_GB2312" w:hAnsi="Times New Roman" w:eastAsia="仿宋_GB2312" w:cs="Times New Roman"/>
          <w:b w:val="0"/>
          <w:bCs w:val="0"/>
          <w:kern w:val="0"/>
          <w:sz w:val="30"/>
          <w:szCs w:val="24"/>
        </w:rPr>
      </w:pPr>
      <w:r>
        <w:rPr>
          <w:rFonts w:hint="eastAsia"/>
        </w:rPr>
        <w:drawing>
          <wp:anchor distT="0" distB="0" distL="114300" distR="114300" simplePos="0" relativeHeight="251662336" behindDoc="0" locked="0" layoutInCell="1" allowOverlap="1">
            <wp:simplePos x="0" y="0"/>
            <wp:positionH relativeFrom="column">
              <wp:posOffset>495300</wp:posOffset>
            </wp:positionH>
            <wp:positionV relativeFrom="page">
              <wp:posOffset>981075</wp:posOffset>
            </wp:positionV>
            <wp:extent cx="4707890" cy="2453005"/>
            <wp:effectExtent l="19050" t="0" r="16510" b="4445"/>
            <wp:wrapTopAndBottom/>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黑体" w:hAnsi="黑体" w:eastAsia="黑体" w:cs="黑体"/>
          <w:color w:val="000000" w:themeColor="text1"/>
          <w:sz w:val="32"/>
          <w:szCs w:val="32"/>
        </w:rPr>
        <w:t>（图3：支出决算结构图）</w:t>
      </w:r>
    </w:p>
    <w:p>
      <w:pPr>
        <w:spacing w:line="600" w:lineRule="exact"/>
        <w:ind w:firstLine="480" w:firstLineChars="150"/>
        <w:outlineLvl w:val="1"/>
        <w:rPr>
          <w:rStyle w:val="29"/>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0"/>
      <w:bookmarkEnd w:id="31"/>
    </w:p>
    <w:p>
      <w:pPr>
        <w:pStyle w:val="2"/>
        <w:ind w:firstLine="640" w:firstLineChars="200"/>
        <w:rPr>
          <w:rFonts w:hint="eastAsia" w:ascii="仿宋" w:hAnsi="仿宋" w:eastAsia="仿宋"/>
          <w:sz w:val="32"/>
          <w:szCs w:val="32"/>
        </w:rPr>
      </w:pPr>
      <w:bookmarkStart w:id="32" w:name="_Toc15377209"/>
      <w:bookmarkStart w:id="33" w:name="_Toc15396607"/>
      <w:r>
        <w:rPr>
          <w:rFonts w:hint="eastAsia" w:ascii="仿宋" w:hAnsi="仿宋" w:eastAsia="仿宋"/>
          <w:sz w:val="32"/>
          <w:szCs w:val="32"/>
        </w:rPr>
        <w:t>2021年度收、支总计1801.43万元。与2020年相比，收</w:t>
      </w:r>
      <w:r>
        <w:rPr>
          <w:rFonts w:hint="eastAsia" w:ascii="仿宋" w:hAnsi="仿宋" w:eastAsia="仿宋"/>
          <w:sz w:val="32"/>
          <w:szCs w:val="32"/>
          <w:lang w:eastAsia="zh-CN"/>
        </w:rPr>
        <w:t>入</w:t>
      </w:r>
      <w:r>
        <w:rPr>
          <w:rFonts w:hint="eastAsia" w:ascii="仿宋" w:hAnsi="仿宋" w:eastAsia="仿宋"/>
          <w:sz w:val="32"/>
          <w:szCs w:val="32"/>
        </w:rPr>
        <w:t>增加</w:t>
      </w:r>
      <w:r>
        <w:rPr>
          <w:rFonts w:hint="eastAsia" w:ascii="仿宋" w:hAnsi="仿宋" w:eastAsia="仿宋"/>
          <w:sz w:val="32"/>
          <w:szCs w:val="32"/>
          <w:lang w:val="en-US" w:eastAsia="zh-CN"/>
        </w:rPr>
        <w:t>193.34万元，</w:t>
      </w:r>
      <w:r>
        <w:rPr>
          <w:rFonts w:hint="eastAsia" w:ascii="仿宋" w:hAnsi="仿宋" w:eastAsia="仿宋"/>
          <w:sz w:val="32"/>
          <w:szCs w:val="32"/>
        </w:rPr>
        <w:t>增长</w:t>
      </w:r>
      <w:r>
        <w:rPr>
          <w:rFonts w:hint="eastAsia" w:ascii="仿宋" w:hAnsi="仿宋" w:eastAsia="仿宋"/>
          <w:sz w:val="32"/>
          <w:szCs w:val="32"/>
          <w:lang w:val="en-US" w:eastAsia="zh-CN"/>
        </w:rPr>
        <w:t>12.02</w:t>
      </w:r>
      <w:r>
        <w:rPr>
          <w:rFonts w:ascii="仿宋" w:hAnsi="仿宋" w:eastAsia="仿宋"/>
          <w:sz w:val="32"/>
          <w:szCs w:val="32"/>
        </w:rPr>
        <w:t>%</w:t>
      </w:r>
      <w:r>
        <w:rPr>
          <w:rFonts w:hint="eastAsia" w:ascii="仿宋" w:hAnsi="仿宋" w:eastAsia="仿宋"/>
          <w:sz w:val="32"/>
          <w:szCs w:val="32"/>
          <w:lang w:val="en-US" w:eastAsia="zh-CN"/>
        </w:rPr>
        <w:t>，支出增加</w:t>
      </w:r>
      <w:r>
        <w:rPr>
          <w:rFonts w:hint="eastAsia" w:ascii="仿宋" w:hAnsi="仿宋" w:eastAsia="仿宋"/>
          <w:sz w:val="32"/>
          <w:szCs w:val="32"/>
        </w:rPr>
        <w:t>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ind w:firstLine="960" w:firstLineChars="300"/>
        <w:rPr>
          <w:rFonts w:hint="eastAsia" w:ascii="仿宋" w:hAnsi="仿宋" w:eastAsia="仿宋"/>
          <w:color w:val="000000" w:themeColor="text1"/>
          <w:sz w:val="32"/>
          <w:szCs w:val="32"/>
        </w:rPr>
      </w:pPr>
      <w:r>
        <w:rPr>
          <w:rFonts w:hint="eastAsia" w:ascii="仿宋" w:hAnsi="仿宋" w:eastAsia="仿宋"/>
          <w:b/>
          <w:bCs/>
          <w:sz w:val="32"/>
          <w:szCs w:val="32"/>
        </w:rPr>
        <w:t>（图4：财政拨款收、支决算总计变动情况）</w:t>
      </w: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480695</wp:posOffset>
            </wp:positionH>
            <wp:positionV relativeFrom="page">
              <wp:posOffset>2010410</wp:posOffset>
            </wp:positionV>
            <wp:extent cx="5039360" cy="3411855"/>
            <wp:effectExtent l="4445" t="4445" r="23495" b="1270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ind w:firstLine="640" w:firstLineChars="200"/>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21年一般公共预算财政拨款支出1801.43万元，占本年支出合计的100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ind w:firstLine="640" w:firstLineChars="200"/>
        <w:rPr>
          <w:rFonts w:hint="eastAsia" w:ascii="仿宋" w:hAnsi="仿宋" w:eastAsia="仿宋"/>
          <w:sz w:val="32"/>
          <w:szCs w:val="32"/>
        </w:rPr>
      </w:pPr>
      <w:r>
        <w:rPr>
          <w:rFonts w:hint="eastAsia" w:ascii="仿宋" w:hAnsi="仿宋" w:eastAsia="仿宋"/>
          <w:b/>
          <w:bCs/>
          <w:sz w:val="32"/>
          <w:szCs w:val="32"/>
        </w:rPr>
        <w:t>（图5：一般公共预算财政拨款支出决算变动情况）</w:t>
      </w:r>
      <w:bookmarkStart w:id="71" w:name="_GoBack"/>
      <w:r>
        <w:rPr>
          <w:rFonts w:hint="eastAsia" w:ascii="仿宋" w:hAnsi="仿宋" w:eastAsia="仿宋"/>
          <w:color w:val="000000" w:themeColor="text1"/>
          <w:sz w:val="32"/>
          <w:szCs w:val="32"/>
        </w:rPr>
        <w:drawing>
          <wp:anchor distT="0" distB="0" distL="114300" distR="114300" simplePos="0" relativeHeight="251664384" behindDoc="0" locked="0" layoutInCell="1" allowOverlap="1">
            <wp:simplePos x="0" y="0"/>
            <wp:positionH relativeFrom="column">
              <wp:posOffset>404495</wp:posOffset>
            </wp:positionH>
            <wp:positionV relativeFrom="page">
              <wp:posOffset>194945</wp:posOffset>
            </wp:positionV>
            <wp:extent cx="5039360" cy="3411855"/>
            <wp:effectExtent l="4445" t="4445" r="23495" b="1270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End w:id="71"/>
    </w:p>
    <w:p>
      <w:pPr>
        <w:spacing w:line="600" w:lineRule="exact"/>
        <w:ind w:firstLine="320" w:firstLineChars="1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21年一般公共预算财政拨款支出1801.43万元，主要用于以下方面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支出801.31万元，占44.48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公共安全支</w:t>
      </w:r>
      <w:r>
        <w:rPr>
          <w:rFonts w:hint="eastAsia" w:ascii="仿宋" w:hAnsi="仿宋" w:eastAsia="仿宋"/>
          <w:b/>
          <w:sz w:val="32"/>
          <w:szCs w:val="32"/>
        </w:rPr>
        <w:t>出（类）</w:t>
      </w:r>
      <w:r>
        <w:rPr>
          <w:rFonts w:hint="eastAsia" w:ascii="仿宋" w:hAnsi="仿宋" w:eastAsia="仿宋"/>
          <w:sz w:val="32"/>
          <w:szCs w:val="32"/>
        </w:rPr>
        <w:t>9万元，占0.</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文化旅游体育与传媒（类）支出106.86万元，占5.93</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支出142.98万元，占7.94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19.78万元，占1.</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w:t>
      </w:r>
      <w:r>
        <w:rPr>
          <w:rFonts w:hint="eastAsia" w:ascii="仿宋" w:hAnsi="仿宋" w:eastAsia="仿宋"/>
          <w:sz w:val="32"/>
          <w:szCs w:val="32"/>
        </w:rPr>
        <w:t>7.63万元，占0.42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61</w:t>
      </w:r>
      <w:r>
        <w:rPr>
          <w:rFonts w:hint="eastAsia" w:ascii="仿宋" w:hAnsi="仿宋" w:eastAsia="仿宋"/>
          <w:sz w:val="32"/>
          <w:szCs w:val="32"/>
          <w:lang w:val="en-US" w:eastAsia="zh-CN"/>
        </w:rPr>
        <w:t>8</w:t>
      </w:r>
      <w:r>
        <w:rPr>
          <w:rFonts w:hint="eastAsia" w:ascii="仿宋" w:hAnsi="仿宋" w:eastAsia="仿宋"/>
          <w:sz w:val="32"/>
          <w:szCs w:val="32"/>
        </w:rPr>
        <w:t>.17万元，占34.3</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交通运输</w:t>
      </w:r>
      <w:r>
        <w:rPr>
          <w:rFonts w:hint="eastAsia" w:ascii="仿宋" w:hAnsi="仿宋" w:eastAsia="仿宋"/>
          <w:b/>
          <w:bCs/>
          <w:sz w:val="32"/>
          <w:szCs w:val="32"/>
        </w:rPr>
        <w:t>支出</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57.17万元，占3.17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37.53万元，占2.08</w:t>
      </w:r>
      <w:r>
        <w:rPr>
          <w:rFonts w:ascii="仿宋" w:hAnsi="仿宋" w:eastAsia="仿宋"/>
          <w:sz w:val="32"/>
          <w:szCs w:val="32"/>
        </w:rPr>
        <w:t>%</w:t>
      </w:r>
      <w:r>
        <w:rPr>
          <w:rFonts w:hint="eastAsia" w:ascii="仿宋" w:hAnsi="仿宋" w:eastAsia="仿宋"/>
          <w:sz w:val="32"/>
          <w:szCs w:val="32"/>
        </w:rPr>
        <w:t xml:space="preserve">。 </w:t>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pStyle w:val="2"/>
        <w:ind w:firstLine="960" w:firstLineChars="300"/>
        <w:rPr>
          <w:rFonts w:hint="eastAsia"/>
        </w:rPr>
      </w:pPr>
      <w:r>
        <w:rPr>
          <w:rFonts w:hint="eastAsia" w:ascii="仿宋" w:hAnsi="仿宋" w:eastAsia="仿宋"/>
          <w:b/>
          <w:bCs/>
          <w:sz w:val="32"/>
          <w:szCs w:val="32"/>
        </w:rPr>
        <w:t>（图</w:t>
      </w:r>
      <w:r>
        <w:rPr>
          <w:rFonts w:hint="eastAsia" w:ascii="仿宋" w:hAnsi="仿宋" w:eastAsia="仿宋"/>
          <w:b/>
          <w:bCs/>
          <w:sz w:val="32"/>
          <w:szCs w:val="32"/>
          <w:lang w:val="en-US" w:eastAsia="zh-CN"/>
        </w:rPr>
        <w:t>6</w:t>
      </w:r>
      <w:r>
        <w:rPr>
          <w:rFonts w:hint="eastAsia" w:ascii="仿宋" w:hAnsi="仿宋" w:eastAsia="仿宋"/>
          <w:b/>
          <w:bCs/>
          <w:sz w:val="32"/>
          <w:szCs w:val="32"/>
        </w:rPr>
        <w:t>：一般公共预算财政拨款支出</w:t>
      </w:r>
      <w:r>
        <w:rPr>
          <w:rFonts w:hint="eastAsia" w:ascii="仿宋" w:hAnsi="仿宋" w:eastAsia="仿宋"/>
          <w:b/>
          <w:bCs/>
          <w:sz w:val="32"/>
          <w:szCs w:val="32"/>
          <w:lang w:eastAsia="zh-CN"/>
        </w:rPr>
        <w:t>决算结构</w:t>
      </w:r>
      <w:r>
        <w:rPr>
          <w:rFonts w:hint="eastAsia" w:ascii="仿宋" w:hAnsi="仿宋" w:eastAsia="仿宋"/>
          <w:b/>
          <w:bCs/>
          <w:sz w:val="32"/>
          <w:szCs w:val="32"/>
        </w:rPr>
        <w:t>）</w:t>
      </w:r>
    </w:p>
    <w:p>
      <w:pPr>
        <w:spacing w:line="600" w:lineRule="exact"/>
        <w:ind w:firstLine="640"/>
        <w:rPr>
          <w:rFonts w:ascii="仿宋" w:hAnsi="仿宋" w:eastAsia="仿宋"/>
          <w:b/>
          <w:sz w:val="32"/>
          <w:szCs w:val="32"/>
        </w:rPr>
      </w:pPr>
      <w:r>
        <w:rPr>
          <w:rFonts w:hint="eastAsia" w:ascii="仿宋" w:hAnsi="仿宋" w:eastAsia="仿宋"/>
          <w:color w:val="000000" w:themeColor="text1"/>
          <w:sz w:val="32"/>
          <w:szCs w:val="32"/>
        </w:rPr>
        <w:drawing>
          <wp:anchor distT="0" distB="0" distL="114300" distR="114300" simplePos="0" relativeHeight="251665408" behindDoc="0" locked="0" layoutInCell="1" allowOverlap="1">
            <wp:simplePos x="0" y="0"/>
            <wp:positionH relativeFrom="column">
              <wp:posOffset>318770</wp:posOffset>
            </wp:positionH>
            <wp:positionV relativeFrom="paragraph">
              <wp:posOffset>-995680</wp:posOffset>
            </wp:positionV>
            <wp:extent cx="5134610" cy="2649220"/>
            <wp:effectExtent l="4445" t="4445" r="23495" b="1333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sz w:val="32"/>
          <w:szCs w:val="32"/>
        </w:rPr>
        <w:t>2021</w:t>
      </w:r>
      <w:bookmarkEnd w:id="37"/>
      <w:bookmarkEnd w:id="38"/>
      <w:bookmarkEnd w:id="39"/>
      <w:r>
        <w:rPr>
          <w:rFonts w:hint="eastAsia" w:ascii="仿宋" w:hAnsi="仿宋" w:eastAsia="仿宋"/>
          <w:b/>
          <w:color w:val="000000"/>
          <w:sz w:val="32"/>
          <w:szCs w:val="32"/>
        </w:rPr>
        <w:t>年一般公共预算支出决算数为1801.43万元</w:t>
      </w:r>
      <w:r>
        <w:rPr>
          <w:rFonts w:hint="eastAsia" w:ascii="仿宋" w:hAnsi="仿宋" w:eastAsia="仿宋"/>
          <w:color w:val="000000"/>
          <w:sz w:val="32"/>
          <w:szCs w:val="32"/>
        </w:rPr>
        <w:t>，</w:t>
      </w:r>
      <w:r>
        <w:rPr>
          <w:rStyle w:val="18"/>
          <w:rFonts w:hint="eastAsia" w:ascii="仿宋" w:hAnsi="仿宋" w:eastAsia="仿宋"/>
          <w:bCs/>
          <w:color w:val="000000"/>
          <w:sz w:val="32"/>
          <w:szCs w:val="32"/>
        </w:rPr>
        <w:t>完成预算100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p>
    <w:p>
      <w:pPr>
        <w:numPr>
          <w:ilvl w:val="0"/>
          <w:numId w:val="2"/>
        </w:numPr>
        <w:spacing w:line="600" w:lineRule="exact"/>
        <w:ind w:left="-223" w:leftChars="0" w:firstLine="643" w:firstLineChars="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一般公共服务（类）政府办公厅（室）及相关机构事务（款）行政运行（项）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350.09</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numPr>
          <w:ilvl w:val="0"/>
          <w:numId w:val="2"/>
        </w:numPr>
        <w:ind w:left="-223" w:leftChars="0" w:firstLine="643" w:firstLineChars="0"/>
        <w:rPr>
          <w:rStyle w:val="18"/>
          <w:rFonts w:hint="eastAsia" w:ascii="仿宋" w:hAnsi="仿宋" w:eastAsia="仿宋" w:cs="Calibri"/>
          <w:b w:val="0"/>
          <w:bCs/>
          <w:color w:val="000000"/>
          <w:kern w:val="2"/>
          <w:sz w:val="32"/>
          <w:szCs w:val="32"/>
          <w:lang w:val="en-US" w:eastAsia="zh-CN" w:bidi="ar-SA"/>
        </w:rPr>
      </w:pPr>
      <w:r>
        <w:rPr>
          <w:rStyle w:val="18"/>
          <w:rFonts w:hint="eastAsia" w:ascii="仿宋" w:hAnsi="仿宋" w:eastAsia="仿宋" w:cs="Calibri"/>
          <w:bCs/>
          <w:color w:val="000000"/>
          <w:kern w:val="2"/>
          <w:sz w:val="32"/>
          <w:szCs w:val="32"/>
          <w:lang w:val="en-US" w:eastAsia="zh-CN" w:bidi="ar-SA"/>
        </w:rPr>
        <w:t>一般公共服务（类）政府办公厅（室）及相关机构事务（款）一般行政管理事务（项）</w:t>
      </w:r>
      <w:r>
        <w:rPr>
          <w:rFonts w:hint="eastAsia"/>
          <w:lang w:val="en-US" w:eastAsia="zh-CN"/>
        </w:rPr>
        <w:t>：</w:t>
      </w:r>
      <w:r>
        <w:rPr>
          <w:rStyle w:val="18"/>
          <w:rFonts w:hint="eastAsia" w:ascii="仿宋" w:hAnsi="仿宋" w:eastAsia="仿宋" w:cs="Calibri"/>
          <w:b w:val="0"/>
          <w:bCs/>
          <w:color w:val="000000"/>
          <w:kern w:val="2"/>
          <w:sz w:val="32"/>
          <w:szCs w:val="32"/>
          <w:lang w:val="en-US" w:eastAsia="zh-CN" w:bidi="ar-SA"/>
        </w:rPr>
        <w:t>支出决算为68.9万元，完成预算100%。</w:t>
      </w:r>
    </w:p>
    <w:p>
      <w:pPr>
        <w:pStyle w:val="2"/>
        <w:numPr>
          <w:ilvl w:val="0"/>
          <w:numId w:val="2"/>
        </w:numPr>
        <w:ind w:left="-223" w:leftChars="0" w:firstLine="643" w:firstLineChars="0"/>
        <w:rPr>
          <w:rStyle w:val="18"/>
          <w:rFonts w:hint="eastAsia" w:ascii="仿宋" w:hAnsi="仿宋" w:eastAsia="仿宋" w:cs="Calibri"/>
          <w:b w:val="0"/>
          <w:bCs/>
          <w:color w:val="000000"/>
          <w:kern w:val="2"/>
          <w:sz w:val="32"/>
          <w:szCs w:val="32"/>
          <w:lang w:val="en-US" w:eastAsia="zh-CN" w:bidi="ar-SA"/>
        </w:rPr>
      </w:pPr>
      <w:r>
        <w:rPr>
          <w:rStyle w:val="18"/>
          <w:rFonts w:hint="eastAsia" w:ascii="仿宋" w:hAnsi="仿宋" w:eastAsia="仿宋" w:cs="Calibri"/>
          <w:bCs/>
          <w:color w:val="000000"/>
          <w:kern w:val="2"/>
          <w:sz w:val="32"/>
          <w:szCs w:val="32"/>
          <w:lang w:val="en-US" w:eastAsia="zh-CN" w:bidi="ar-SA"/>
        </w:rPr>
        <w:t>一般公共服务（类）政府办公厅（室）及相关机构事务（款）机关服务（项）</w:t>
      </w:r>
      <w:r>
        <w:rPr>
          <w:rFonts w:hint="eastAsia"/>
          <w:lang w:val="en-US" w:eastAsia="zh-CN"/>
        </w:rPr>
        <w:t>：</w:t>
      </w:r>
      <w:r>
        <w:rPr>
          <w:rStyle w:val="18"/>
          <w:rFonts w:hint="eastAsia" w:ascii="仿宋" w:hAnsi="仿宋" w:eastAsia="仿宋" w:cs="Calibri"/>
          <w:b w:val="0"/>
          <w:bCs/>
          <w:color w:val="000000"/>
          <w:kern w:val="2"/>
          <w:sz w:val="32"/>
          <w:szCs w:val="32"/>
          <w:lang w:val="en-US" w:eastAsia="zh-CN" w:bidi="ar-SA"/>
        </w:rPr>
        <w:t>支出决算为15.12万元，完成预算100%。</w:t>
      </w:r>
    </w:p>
    <w:p>
      <w:pPr>
        <w:pStyle w:val="2"/>
        <w:numPr>
          <w:ilvl w:val="0"/>
          <w:numId w:val="2"/>
        </w:numPr>
        <w:ind w:left="-223" w:leftChars="0" w:firstLine="600" w:firstLineChars="0"/>
        <w:rPr>
          <w:rStyle w:val="18"/>
          <w:rFonts w:hint="eastAsia" w:ascii="仿宋" w:hAnsi="仿宋" w:eastAsia="仿宋" w:cs="仿宋"/>
          <w:b w:val="0"/>
          <w:bCs/>
          <w:color w:val="000000"/>
          <w:kern w:val="2"/>
          <w:sz w:val="32"/>
          <w:szCs w:val="32"/>
          <w:lang w:val="en-US" w:eastAsia="zh-CN" w:bidi="ar-SA"/>
        </w:rPr>
      </w:pPr>
      <w:r>
        <w:rPr>
          <w:rFonts w:hint="eastAsia"/>
          <w:lang w:val="en-US" w:eastAsia="zh-CN"/>
        </w:rPr>
        <w:t>一</w:t>
      </w:r>
      <w:r>
        <w:rPr>
          <w:rStyle w:val="18"/>
          <w:rFonts w:hint="eastAsia" w:ascii="仿宋" w:hAnsi="仿宋" w:eastAsia="仿宋" w:cs="Calibri"/>
          <w:bCs/>
          <w:color w:val="000000"/>
          <w:kern w:val="2"/>
          <w:sz w:val="32"/>
          <w:szCs w:val="32"/>
          <w:lang w:val="en-US" w:eastAsia="zh-CN" w:bidi="ar-SA"/>
        </w:rPr>
        <w:t>般公共服务（类）政府办公厅（室）及相关机构事务（款）专项业务及机关事务管理（项）</w:t>
      </w:r>
      <w:r>
        <w:rPr>
          <w:rFonts w:hint="eastAsia"/>
          <w:lang w:val="en-US" w:eastAsia="zh-CN"/>
        </w:rPr>
        <w:t>：</w:t>
      </w:r>
      <w:r>
        <w:rPr>
          <w:rFonts w:hint="eastAsia" w:ascii="仿宋" w:hAnsi="仿宋" w:eastAsia="仿宋" w:cs="仿宋"/>
          <w:sz w:val="32"/>
          <w:szCs w:val="32"/>
          <w:lang w:val="en-US" w:eastAsia="zh-CN"/>
        </w:rPr>
        <w:t>支</w:t>
      </w:r>
      <w:r>
        <w:rPr>
          <w:rStyle w:val="18"/>
          <w:rFonts w:hint="eastAsia" w:ascii="仿宋" w:hAnsi="仿宋" w:eastAsia="仿宋" w:cs="仿宋"/>
          <w:b w:val="0"/>
          <w:bCs/>
          <w:color w:val="000000"/>
          <w:kern w:val="2"/>
          <w:sz w:val="32"/>
          <w:szCs w:val="32"/>
          <w:lang w:val="en-US" w:eastAsia="zh-CN" w:bidi="ar-SA"/>
        </w:rPr>
        <w:t>出决算为2.8万元，完成预算100%。</w:t>
      </w:r>
    </w:p>
    <w:p>
      <w:pPr>
        <w:pStyle w:val="2"/>
        <w:numPr>
          <w:ilvl w:val="0"/>
          <w:numId w:val="2"/>
        </w:numPr>
        <w:ind w:left="-223" w:leftChars="0" w:firstLine="600" w:firstLineChars="0"/>
        <w:rPr>
          <w:rStyle w:val="18"/>
          <w:rFonts w:hint="eastAsia" w:ascii="仿宋" w:hAnsi="仿宋" w:eastAsia="仿宋" w:cs="仿宋"/>
          <w:b w:val="0"/>
          <w:bCs/>
          <w:color w:val="000000"/>
          <w:kern w:val="2"/>
          <w:sz w:val="32"/>
          <w:szCs w:val="32"/>
          <w:lang w:val="en-US" w:eastAsia="zh-CN" w:bidi="ar-SA"/>
        </w:rPr>
      </w:pPr>
      <w:r>
        <w:rPr>
          <w:rStyle w:val="18"/>
          <w:rFonts w:hint="eastAsia" w:ascii="仿宋" w:hAnsi="仿宋" w:eastAsia="仿宋" w:cs="仿宋"/>
          <w:b/>
          <w:bCs w:val="0"/>
          <w:color w:val="000000"/>
          <w:kern w:val="2"/>
          <w:sz w:val="32"/>
          <w:szCs w:val="32"/>
          <w:lang w:val="en-US" w:eastAsia="zh-CN" w:bidi="ar-SA"/>
        </w:rPr>
        <w:t>一般公共服务（类）发展与改革事务（款）日常经济运行调节（项）</w:t>
      </w:r>
      <w:r>
        <w:rPr>
          <w:rStyle w:val="18"/>
          <w:rFonts w:hint="eastAsia" w:ascii="仿宋" w:hAnsi="仿宋" w:eastAsia="仿宋" w:cs="仿宋"/>
          <w:b w:val="0"/>
          <w:bCs/>
          <w:color w:val="000000"/>
          <w:kern w:val="2"/>
          <w:sz w:val="32"/>
          <w:szCs w:val="32"/>
          <w:lang w:val="en-US" w:eastAsia="zh-CN" w:bidi="ar-SA"/>
        </w:rPr>
        <w:t>：支出决算为90万元，完成预算100%。</w:t>
      </w:r>
    </w:p>
    <w:p>
      <w:pPr>
        <w:pStyle w:val="2"/>
        <w:numPr>
          <w:ilvl w:val="0"/>
          <w:numId w:val="0"/>
        </w:numPr>
        <w:ind w:firstLine="600" w:firstLineChars="200"/>
        <w:rPr>
          <w:rFonts w:hint="eastAsia"/>
          <w:sz w:val="32"/>
          <w:szCs w:val="32"/>
          <w:lang w:val="en-US" w:eastAsia="zh-CN"/>
        </w:rPr>
      </w:pPr>
      <w:r>
        <w:rPr>
          <w:rFonts w:hint="eastAsia"/>
          <w:b/>
          <w:bCs/>
          <w:lang w:val="en-US" w:eastAsia="zh-CN"/>
        </w:rPr>
        <w:t>6.一般公共服务（类）审计事务（款）审计业务（项）</w:t>
      </w:r>
      <w:r>
        <w:rPr>
          <w:rFonts w:hint="eastAsia"/>
          <w:lang w:val="en-US" w:eastAsia="zh-CN"/>
        </w:rPr>
        <w:t>：</w:t>
      </w:r>
      <w:r>
        <w:rPr>
          <w:rFonts w:hint="eastAsia"/>
          <w:sz w:val="32"/>
          <w:szCs w:val="32"/>
          <w:lang w:val="en-US" w:eastAsia="zh-CN"/>
        </w:rPr>
        <w:t>支出决算为16万元，完成预算100%。</w:t>
      </w:r>
    </w:p>
    <w:p>
      <w:pPr>
        <w:pStyle w:val="2"/>
        <w:numPr>
          <w:ilvl w:val="0"/>
          <w:numId w:val="0"/>
        </w:numPr>
        <w:ind w:firstLine="600" w:firstLineChars="200"/>
        <w:rPr>
          <w:rFonts w:hint="eastAsia"/>
          <w:b w:val="0"/>
          <w:bCs w:val="0"/>
          <w:sz w:val="32"/>
          <w:szCs w:val="32"/>
          <w:lang w:val="en-US" w:eastAsia="zh-CN"/>
        </w:rPr>
      </w:pPr>
      <w:r>
        <w:rPr>
          <w:rFonts w:hint="eastAsia"/>
          <w:b/>
          <w:bCs/>
          <w:lang w:val="en-US" w:eastAsia="zh-CN"/>
        </w:rPr>
        <w:t>7</w:t>
      </w:r>
      <w:r>
        <w:rPr>
          <w:rFonts w:hint="eastAsia"/>
          <w:b w:val="0"/>
          <w:bCs w:val="0"/>
          <w:lang w:val="en-US" w:eastAsia="zh-CN"/>
        </w:rPr>
        <w:t>.</w:t>
      </w:r>
      <w:r>
        <w:rPr>
          <w:rFonts w:hint="eastAsia"/>
          <w:b/>
          <w:bCs/>
          <w:lang w:val="en-US" w:eastAsia="zh-CN"/>
        </w:rPr>
        <w:t>一般公共服务（类）纪检监察事务（款）一般行政管理事务（项）</w:t>
      </w:r>
      <w:r>
        <w:rPr>
          <w:rFonts w:hint="eastAsia"/>
          <w:b w:val="0"/>
          <w:bCs w:val="0"/>
          <w:lang w:val="en-US" w:eastAsia="zh-CN"/>
        </w:rPr>
        <w:t>：</w:t>
      </w:r>
      <w:r>
        <w:rPr>
          <w:rFonts w:hint="eastAsia"/>
          <w:b w:val="0"/>
          <w:bCs w:val="0"/>
          <w:sz w:val="32"/>
          <w:szCs w:val="32"/>
          <w:lang w:val="en-US" w:eastAsia="zh-CN"/>
        </w:rPr>
        <w:t>支出决算为2万元，完成预算100%。</w:t>
      </w:r>
    </w:p>
    <w:p>
      <w:pPr>
        <w:pStyle w:val="2"/>
        <w:numPr>
          <w:ilvl w:val="0"/>
          <w:numId w:val="0"/>
        </w:numPr>
        <w:ind w:firstLine="600" w:firstLineChars="200"/>
        <w:rPr>
          <w:rFonts w:hint="eastAsia"/>
          <w:b w:val="0"/>
          <w:bCs w:val="0"/>
          <w:sz w:val="32"/>
          <w:szCs w:val="32"/>
          <w:lang w:val="en-US" w:eastAsia="zh-CN"/>
        </w:rPr>
      </w:pPr>
      <w:r>
        <w:rPr>
          <w:rFonts w:hint="eastAsia"/>
          <w:b/>
          <w:bCs/>
          <w:lang w:val="en-US" w:eastAsia="zh-CN"/>
        </w:rPr>
        <w:t>8</w:t>
      </w:r>
      <w:r>
        <w:rPr>
          <w:rFonts w:hint="eastAsia"/>
          <w:b w:val="0"/>
          <w:bCs w:val="0"/>
          <w:lang w:val="en-US" w:eastAsia="zh-CN"/>
        </w:rPr>
        <w:t>.</w:t>
      </w:r>
      <w:r>
        <w:rPr>
          <w:rFonts w:hint="eastAsia"/>
          <w:b/>
          <w:bCs/>
          <w:lang w:val="en-US" w:eastAsia="zh-CN"/>
        </w:rPr>
        <w:t>一般公共服务（类）组织事务（款）一般行政管理事务（项）</w:t>
      </w:r>
      <w:r>
        <w:rPr>
          <w:rFonts w:hint="eastAsia"/>
          <w:b w:val="0"/>
          <w:bCs w:val="0"/>
          <w:lang w:val="en-US" w:eastAsia="zh-CN"/>
        </w:rPr>
        <w:t>：</w:t>
      </w:r>
      <w:r>
        <w:rPr>
          <w:rFonts w:hint="eastAsia"/>
          <w:b w:val="0"/>
          <w:bCs w:val="0"/>
          <w:sz w:val="32"/>
          <w:szCs w:val="32"/>
          <w:lang w:val="en-US" w:eastAsia="zh-CN"/>
        </w:rPr>
        <w:t>支出决算为4.5万元，完成预算100%。</w:t>
      </w:r>
    </w:p>
    <w:p>
      <w:pPr>
        <w:pStyle w:val="2"/>
        <w:numPr>
          <w:ilvl w:val="0"/>
          <w:numId w:val="0"/>
        </w:numPr>
        <w:ind w:firstLine="600" w:firstLineChars="200"/>
        <w:rPr>
          <w:rFonts w:hint="eastAsia"/>
          <w:b w:val="0"/>
          <w:bCs w:val="0"/>
          <w:lang w:val="en-US" w:eastAsia="zh-CN"/>
        </w:rPr>
      </w:pPr>
      <w:r>
        <w:rPr>
          <w:rFonts w:hint="eastAsia"/>
          <w:b/>
          <w:bCs/>
          <w:lang w:val="en-US" w:eastAsia="zh-CN"/>
        </w:rPr>
        <w:t>9</w:t>
      </w:r>
      <w:r>
        <w:rPr>
          <w:rFonts w:hint="eastAsia"/>
          <w:b w:val="0"/>
          <w:bCs w:val="0"/>
          <w:lang w:val="en-US" w:eastAsia="zh-CN"/>
        </w:rPr>
        <w:t>.</w:t>
      </w:r>
      <w:r>
        <w:rPr>
          <w:rFonts w:hint="eastAsia"/>
          <w:b/>
          <w:bCs/>
          <w:lang w:val="en-US" w:eastAsia="zh-CN"/>
        </w:rPr>
        <w:t>一般公共服务（类）市场监督管理事务（款）其他市场监督管理事务（项）</w:t>
      </w:r>
      <w:r>
        <w:rPr>
          <w:rFonts w:hint="eastAsia"/>
          <w:b w:val="0"/>
          <w:bCs w:val="0"/>
          <w:lang w:val="en-US" w:eastAsia="zh-CN"/>
        </w:rPr>
        <w:t>：</w:t>
      </w:r>
      <w:r>
        <w:rPr>
          <w:rFonts w:hint="eastAsia"/>
          <w:b w:val="0"/>
          <w:bCs w:val="0"/>
          <w:sz w:val="32"/>
          <w:szCs w:val="32"/>
          <w:lang w:val="en-US" w:eastAsia="zh-CN"/>
        </w:rPr>
        <w:t>支出决算为3万元，完成预算100%。</w:t>
      </w:r>
    </w:p>
    <w:p>
      <w:pPr>
        <w:spacing w:line="600" w:lineRule="exact"/>
        <w:ind w:firstLine="640"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10</w:t>
      </w:r>
      <w:r>
        <w:rPr>
          <w:rStyle w:val="18"/>
          <w:rFonts w:ascii="仿宋" w:hAnsi="仿宋" w:eastAsia="仿宋"/>
          <w:bCs/>
          <w:color w:val="000000"/>
          <w:sz w:val="32"/>
          <w:szCs w:val="32"/>
        </w:rPr>
        <w:t>.</w:t>
      </w:r>
      <w:r>
        <w:rPr>
          <w:rStyle w:val="18"/>
          <w:rFonts w:hint="eastAsia" w:ascii="仿宋" w:hAnsi="仿宋" w:eastAsia="仿宋"/>
          <w:bCs/>
          <w:color w:val="000000"/>
          <w:sz w:val="32"/>
          <w:szCs w:val="32"/>
          <w:lang w:val="en-US" w:eastAsia="zh-CN"/>
        </w:rPr>
        <w:t>公共安全支出（类）国家安全（款）其他国家安全支出（项）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11</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文化旅游体育与传媒（类）</w:t>
      </w:r>
      <w:r>
        <w:rPr>
          <w:rStyle w:val="18"/>
          <w:rFonts w:hint="eastAsia" w:ascii="仿宋" w:hAnsi="仿宋" w:eastAsia="仿宋"/>
          <w:bCs/>
          <w:color w:val="000000"/>
          <w:sz w:val="32"/>
          <w:szCs w:val="32"/>
          <w:lang w:val="en-US" w:eastAsia="zh-CN"/>
        </w:rPr>
        <w:t>文化和旅游（款）其他文化和旅游支出（项）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支出决算为106.86万元，完成预算100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bCs/>
          <w:color w:val="000000"/>
          <w:sz w:val="32"/>
          <w:szCs w:val="32"/>
          <w:lang w:val="en-US" w:eastAsia="zh-CN"/>
        </w:rPr>
        <w:t>12</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社会保障和就业（类）行政事业单位养老支出（款）行政单位离退休（项）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49.35</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00" w:firstLineChars="200"/>
        <w:rPr>
          <w:rFonts w:hint="eastAsia"/>
          <w:b w:val="0"/>
          <w:bCs w:val="0"/>
          <w:sz w:val="32"/>
          <w:szCs w:val="32"/>
          <w:lang w:val="en-US" w:eastAsia="zh-CN"/>
        </w:rPr>
      </w:pPr>
      <w:r>
        <w:rPr>
          <w:rFonts w:hint="eastAsia"/>
          <w:b/>
          <w:bCs/>
          <w:lang w:val="en-US" w:eastAsia="zh-CN"/>
        </w:rPr>
        <w:t>13</w:t>
      </w:r>
      <w:r>
        <w:rPr>
          <w:rFonts w:hint="eastAsia"/>
          <w:lang w:val="en-US" w:eastAsia="zh-CN"/>
        </w:rPr>
        <w:t>.</w:t>
      </w:r>
      <w:r>
        <w:rPr>
          <w:rFonts w:hint="eastAsia"/>
          <w:b/>
          <w:bCs/>
          <w:lang w:val="en-US" w:eastAsia="zh-CN"/>
        </w:rPr>
        <w:t>社会保障和就业（类）行政事业单位养老支出（款）机关事业单位基本养老保险缴费支出（项）：</w:t>
      </w:r>
      <w:r>
        <w:rPr>
          <w:rFonts w:hint="eastAsia"/>
          <w:b w:val="0"/>
          <w:bCs w:val="0"/>
          <w:sz w:val="32"/>
          <w:szCs w:val="32"/>
          <w:lang w:val="en-US" w:eastAsia="zh-CN"/>
        </w:rPr>
        <w:t>支出决算为39.56万元，完成预算100%。</w:t>
      </w:r>
    </w:p>
    <w:p>
      <w:pPr>
        <w:pStyle w:val="2"/>
        <w:ind w:firstLine="600" w:firstLineChars="200"/>
        <w:rPr>
          <w:rFonts w:hint="eastAsia"/>
          <w:b w:val="0"/>
          <w:bCs w:val="0"/>
          <w:sz w:val="32"/>
          <w:szCs w:val="32"/>
          <w:lang w:val="en-US" w:eastAsia="zh-CN"/>
        </w:rPr>
      </w:pPr>
      <w:r>
        <w:rPr>
          <w:rFonts w:hint="eastAsia"/>
          <w:b/>
          <w:bCs/>
          <w:lang w:val="en-US" w:eastAsia="zh-CN"/>
        </w:rPr>
        <w:t>14</w:t>
      </w:r>
      <w:r>
        <w:rPr>
          <w:rFonts w:hint="eastAsia"/>
          <w:b w:val="0"/>
          <w:bCs w:val="0"/>
          <w:lang w:val="en-US" w:eastAsia="zh-CN"/>
        </w:rPr>
        <w:t>.</w:t>
      </w:r>
      <w:r>
        <w:rPr>
          <w:rFonts w:hint="eastAsia"/>
          <w:b/>
          <w:bCs/>
          <w:lang w:val="en-US" w:eastAsia="zh-CN"/>
        </w:rPr>
        <w:t>社会保障和就业（类）行政事业单位养老支出（款）机关事业单位职业年金缴费支出（项）：</w:t>
      </w:r>
      <w:r>
        <w:rPr>
          <w:rFonts w:hint="eastAsia"/>
          <w:b w:val="0"/>
          <w:bCs w:val="0"/>
          <w:sz w:val="32"/>
          <w:szCs w:val="32"/>
          <w:lang w:val="en-US" w:eastAsia="zh-CN"/>
        </w:rPr>
        <w:t>支出决算为16.57万元，完成预算100%。</w:t>
      </w:r>
    </w:p>
    <w:p>
      <w:pPr>
        <w:pStyle w:val="2"/>
        <w:ind w:firstLine="600" w:firstLineChars="200"/>
        <w:rPr>
          <w:rFonts w:hint="eastAsia"/>
          <w:b w:val="0"/>
          <w:bCs w:val="0"/>
          <w:sz w:val="32"/>
          <w:szCs w:val="32"/>
          <w:lang w:val="en-US" w:eastAsia="zh-CN"/>
        </w:rPr>
      </w:pPr>
      <w:r>
        <w:rPr>
          <w:rFonts w:hint="eastAsia"/>
          <w:b/>
          <w:bCs/>
          <w:lang w:val="en-US" w:eastAsia="zh-CN"/>
        </w:rPr>
        <w:t>15.社会保障和就业（类）抚恤（款）死亡抚恤（项）：</w:t>
      </w:r>
      <w:r>
        <w:rPr>
          <w:rFonts w:hint="eastAsia"/>
          <w:b w:val="0"/>
          <w:bCs w:val="0"/>
          <w:sz w:val="32"/>
          <w:szCs w:val="32"/>
          <w:lang w:val="en-US" w:eastAsia="zh-CN"/>
        </w:rPr>
        <w:t>支出决算为15.01万元，完成预算100%。</w:t>
      </w:r>
    </w:p>
    <w:p>
      <w:pPr>
        <w:pStyle w:val="2"/>
        <w:ind w:firstLine="600" w:firstLineChars="200"/>
        <w:rPr>
          <w:rFonts w:hint="eastAsia"/>
          <w:b w:val="0"/>
          <w:bCs w:val="0"/>
          <w:sz w:val="32"/>
          <w:szCs w:val="32"/>
          <w:lang w:val="en-US" w:eastAsia="zh-CN"/>
        </w:rPr>
      </w:pPr>
      <w:r>
        <w:rPr>
          <w:rFonts w:hint="eastAsia"/>
          <w:b/>
          <w:bCs/>
          <w:lang w:val="en-US" w:eastAsia="zh-CN"/>
        </w:rPr>
        <w:t>16</w:t>
      </w:r>
      <w:r>
        <w:rPr>
          <w:rFonts w:hint="eastAsia"/>
          <w:b w:val="0"/>
          <w:bCs w:val="0"/>
          <w:lang w:val="en-US" w:eastAsia="zh-CN"/>
        </w:rPr>
        <w:t>.</w:t>
      </w:r>
      <w:r>
        <w:rPr>
          <w:rFonts w:hint="eastAsia"/>
          <w:b/>
          <w:bCs/>
          <w:lang w:val="en-US" w:eastAsia="zh-CN"/>
        </w:rPr>
        <w:t>社会保障和就业（类）抚恤（款）伤残抚恤（项）：</w:t>
      </w:r>
      <w:r>
        <w:rPr>
          <w:rFonts w:hint="eastAsia"/>
          <w:b w:val="0"/>
          <w:bCs w:val="0"/>
          <w:sz w:val="32"/>
          <w:szCs w:val="32"/>
          <w:lang w:val="en-US" w:eastAsia="zh-CN"/>
        </w:rPr>
        <w:t>支出决算为2.48万元，完成预算100%。</w:t>
      </w:r>
    </w:p>
    <w:p>
      <w:pPr>
        <w:pStyle w:val="2"/>
        <w:ind w:firstLine="640" w:firstLineChars="200"/>
        <w:rPr>
          <w:rFonts w:hint="eastAsia"/>
          <w:b w:val="0"/>
          <w:bCs w:val="0"/>
          <w:sz w:val="32"/>
          <w:szCs w:val="32"/>
          <w:lang w:val="en-US" w:eastAsia="zh-CN"/>
        </w:rPr>
      </w:pPr>
      <w:r>
        <w:rPr>
          <w:rFonts w:hint="eastAsia"/>
          <w:b/>
          <w:bCs/>
          <w:sz w:val="32"/>
          <w:szCs w:val="32"/>
          <w:lang w:val="en-US" w:eastAsia="zh-CN"/>
        </w:rPr>
        <w:t>17</w:t>
      </w:r>
      <w:r>
        <w:rPr>
          <w:rFonts w:hint="eastAsia"/>
          <w:b w:val="0"/>
          <w:bCs w:val="0"/>
          <w:sz w:val="32"/>
          <w:szCs w:val="32"/>
          <w:lang w:val="en-US" w:eastAsia="zh-CN"/>
        </w:rPr>
        <w:t>.</w:t>
      </w:r>
      <w:r>
        <w:rPr>
          <w:rFonts w:hint="eastAsia"/>
          <w:b/>
          <w:bCs/>
          <w:sz w:val="32"/>
          <w:szCs w:val="32"/>
          <w:lang w:val="en-US" w:eastAsia="zh-CN"/>
        </w:rPr>
        <w:t>社会保障和就业（类）特困人员救助供养（款）农村特困人员救助供养支出（项）：</w:t>
      </w:r>
      <w:r>
        <w:rPr>
          <w:rFonts w:hint="eastAsia"/>
          <w:b w:val="0"/>
          <w:bCs w:val="0"/>
          <w:sz w:val="32"/>
          <w:szCs w:val="32"/>
          <w:lang w:val="en-US" w:eastAsia="zh-CN"/>
        </w:rPr>
        <w:t>支出决算为20万元，完成预算100%。</w:t>
      </w:r>
    </w:p>
    <w:p>
      <w:pPr>
        <w:spacing w:line="600" w:lineRule="exact"/>
        <w:ind w:firstLine="640"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18</w:t>
      </w:r>
      <w:r>
        <w:rPr>
          <w:rStyle w:val="18"/>
          <w:rFonts w:ascii="仿宋" w:hAnsi="仿宋" w:eastAsia="仿宋"/>
          <w:b w:val="0"/>
          <w:bCs w:val="0"/>
          <w:color w:val="000000"/>
          <w:sz w:val="32"/>
          <w:szCs w:val="32"/>
        </w:rPr>
        <w:t>.</w:t>
      </w:r>
      <w:r>
        <w:rPr>
          <w:rStyle w:val="18"/>
          <w:rFonts w:hint="eastAsia" w:ascii="仿宋" w:hAnsi="仿宋" w:eastAsia="仿宋"/>
          <w:bCs/>
          <w:color w:val="000000"/>
          <w:sz w:val="32"/>
          <w:szCs w:val="32"/>
          <w:lang w:val="en-US" w:eastAsia="zh-CN"/>
        </w:rPr>
        <w:t>卫生健康（类）行政事业单位医疗（款）行政单位医疗（项）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支出决算为19.78万元，完成预算100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bCs/>
          <w:color w:val="000000"/>
          <w:sz w:val="32"/>
          <w:szCs w:val="32"/>
          <w:lang w:val="en-US" w:eastAsia="zh-CN"/>
        </w:rPr>
        <w:t>19</w:t>
      </w:r>
      <w:r>
        <w:rPr>
          <w:rStyle w:val="18"/>
          <w:rFonts w:ascii="仿宋" w:hAnsi="仿宋" w:eastAsia="仿宋"/>
          <w:bCs/>
          <w:color w:val="000000"/>
          <w:sz w:val="32"/>
          <w:szCs w:val="32"/>
        </w:rPr>
        <w:t>.</w:t>
      </w:r>
      <w:r>
        <w:rPr>
          <w:rFonts w:hint="eastAsia" w:ascii="仿宋" w:hAnsi="仿宋" w:eastAsia="仿宋"/>
          <w:b/>
          <w:bCs/>
          <w:color w:val="000000"/>
          <w:sz w:val="32"/>
          <w:szCs w:val="32"/>
          <w:lang w:val="en-US" w:eastAsia="zh-CN"/>
        </w:rPr>
        <w:t>城乡社区支出（类）城乡社区环境管理事务（款城管执法（项）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00" w:firstLineChars="200"/>
        <w:rPr>
          <w:rFonts w:hint="eastAsia"/>
          <w:lang w:val="en-US" w:eastAsia="zh-CN"/>
        </w:rPr>
      </w:pPr>
      <w:r>
        <w:rPr>
          <w:rFonts w:hint="eastAsia"/>
          <w:b/>
          <w:bCs/>
          <w:lang w:val="en-US" w:eastAsia="zh-CN"/>
        </w:rPr>
        <w:t>20</w:t>
      </w:r>
      <w:r>
        <w:rPr>
          <w:rFonts w:hint="eastAsia"/>
          <w:lang w:val="en-US" w:eastAsia="zh-CN"/>
        </w:rPr>
        <w:t>.</w:t>
      </w:r>
      <w:r>
        <w:rPr>
          <w:rFonts w:hint="eastAsia"/>
          <w:b/>
          <w:bCs/>
          <w:lang w:val="en-US" w:eastAsia="zh-CN"/>
        </w:rPr>
        <w:t>城乡社区支出（类）城乡社区环境卫生（款）城乡社区环境卫生（项）</w:t>
      </w:r>
      <w:r>
        <w:rPr>
          <w:rFonts w:hint="eastAsia"/>
          <w:lang w:val="en-US" w:eastAsia="zh-CN"/>
        </w:rPr>
        <w:t>：</w:t>
      </w:r>
      <w:r>
        <w:rPr>
          <w:rFonts w:hint="eastAsia"/>
          <w:sz w:val="32"/>
          <w:szCs w:val="32"/>
          <w:lang w:val="en-US" w:eastAsia="zh-CN"/>
        </w:rPr>
        <w:t>支出决算为6.63万元，完成预算100%。</w:t>
      </w:r>
    </w:p>
    <w:p>
      <w:pPr>
        <w:pStyle w:val="2"/>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bCs w:val="0"/>
          <w:color w:val="000000"/>
          <w:sz w:val="32"/>
          <w:szCs w:val="32"/>
          <w:lang w:val="en-US" w:eastAsia="zh-CN"/>
        </w:rPr>
        <w:t>21</w:t>
      </w:r>
      <w:r>
        <w:rPr>
          <w:rStyle w:val="18"/>
          <w:rFonts w:hint="eastAsia" w:ascii="仿宋" w:hAnsi="仿宋" w:eastAsia="仿宋"/>
          <w:b w:val="0"/>
          <w:bCs/>
          <w:color w:val="000000"/>
          <w:sz w:val="32"/>
          <w:szCs w:val="32"/>
        </w:rPr>
        <w:t>.</w:t>
      </w:r>
      <w:r>
        <w:rPr>
          <w:rFonts w:hint="eastAsia" w:ascii="仿宋" w:hAnsi="仿宋" w:eastAsia="仿宋"/>
          <w:b/>
          <w:bCs/>
          <w:color w:val="000000"/>
          <w:sz w:val="32"/>
          <w:szCs w:val="32"/>
          <w:lang w:val="en-US" w:eastAsia="zh-CN"/>
        </w:rPr>
        <w:t>农林水支出（类）农业农村（款）病虫害防治（项）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2.7</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40"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22</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农林水支出（类）农业农村（款）对高校毕业生到基层任职补助（项）:</w:t>
      </w:r>
      <w:r>
        <w:rPr>
          <w:rStyle w:val="18"/>
          <w:rFonts w:hint="eastAsia" w:ascii="仿宋" w:hAnsi="仿宋" w:eastAsia="仿宋"/>
          <w:b w:val="0"/>
          <w:bCs/>
          <w:color w:val="000000"/>
          <w:sz w:val="32"/>
          <w:szCs w:val="32"/>
          <w:lang w:val="en-US" w:eastAsia="zh-CN"/>
        </w:rPr>
        <w:t>支出决算为11.2万元，完成预算100%。</w:t>
      </w:r>
    </w:p>
    <w:p>
      <w:pPr>
        <w:pStyle w:val="2"/>
        <w:ind w:firstLine="640"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23</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农林水支出（类）水利（款）防汛（项）：</w:t>
      </w:r>
      <w:r>
        <w:rPr>
          <w:rStyle w:val="18"/>
          <w:rFonts w:hint="eastAsia" w:ascii="仿宋" w:hAnsi="仿宋" w:eastAsia="仿宋"/>
          <w:b w:val="0"/>
          <w:bCs/>
          <w:color w:val="000000"/>
          <w:sz w:val="32"/>
          <w:szCs w:val="32"/>
          <w:lang w:val="en-US" w:eastAsia="zh-CN"/>
        </w:rPr>
        <w:t>支出决算为1.8万元，完成预算100%。</w:t>
      </w:r>
    </w:p>
    <w:p>
      <w:pPr>
        <w:pStyle w:val="2"/>
        <w:ind w:firstLine="640"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24</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农林水支出（类）水利（款）农村人畜饮水（项）</w:t>
      </w:r>
      <w:r>
        <w:rPr>
          <w:rStyle w:val="18"/>
          <w:rFonts w:hint="eastAsia" w:ascii="仿宋" w:hAnsi="仿宋" w:eastAsia="仿宋"/>
          <w:b w:val="0"/>
          <w:bCs/>
          <w:color w:val="000000"/>
          <w:sz w:val="32"/>
          <w:szCs w:val="32"/>
          <w:lang w:val="en-US" w:eastAsia="zh-CN"/>
        </w:rPr>
        <w:t>：支出决算为5万元，完成预算100%。</w:t>
      </w:r>
    </w:p>
    <w:p>
      <w:pPr>
        <w:pStyle w:val="2"/>
        <w:ind w:firstLine="640"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25</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农林水支出（类）农村综合改革（款）对村民委员会和村党支部的补助（项）:</w:t>
      </w:r>
      <w:r>
        <w:rPr>
          <w:rStyle w:val="18"/>
          <w:rFonts w:hint="eastAsia" w:ascii="仿宋" w:hAnsi="仿宋" w:eastAsia="仿宋"/>
          <w:b w:val="0"/>
          <w:bCs/>
          <w:color w:val="000000"/>
          <w:sz w:val="32"/>
          <w:szCs w:val="32"/>
          <w:lang w:val="en-US" w:eastAsia="zh-CN"/>
        </w:rPr>
        <w:t>支出决算为567.47万元，完成预算100%。</w:t>
      </w:r>
    </w:p>
    <w:p>
      <w:pPr>
        <w:pStyle w:val="2"/>
        <w:ind w:firstLine="640"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26..农林水支出（类）农村综合改革（款）其他农村综合改革支出（项）:</w:t>
      </w:r>
      <w:r>
        <w:rPr>
          <w:rStyle w:val="18"/>
          <w:rFonts w:hint="eastAsia" w:ascii="仿宋" w:hAnsi="仿宋" w:eastAsia="仿宋"/>
          <w:b w:val="0"/>
          <w:bCs/>
          <w:color w:val="000000"/>
          <w:sz w:val="32"/>
          <w:szCs w:val="32"/>
          <w:lang w:val="en-US" w:eastAsia="zh-CN"/>
        </w:rPr>
        <w:t>支出决算为30万元，完成预算100%。</w:t>
      </w:r>
    </w:p>
    <w:p>
      <w:pPr>
        <w:spacing w:line="600" w:lineRule="exact"/>
        <w:ind w:firstLine="640" w:firstLineChars="200"/>
        <w:rPr>
          <w:rStyle w:val="18"/>
          <w:rFonts w:ascii="仿宋" w:hAnsi="仿宋" w:eastAsia="仿宋"/>
          <w:b w:val="0"/>
          <w:bCs/>
          <w:color w:val="000000"/>
          <w:sz w:val="32"/>
          <w:szCs w:val="32"/>
        </w:rPr>
      </w:pPr>
      <w:r>
        <w:rPr>
          <w:rStyle w:val="18"/>
          <w:rFonts w:hint="eastAsia" w:ascii="仿宋" w:hAnsi="仿宋" w:eastAsia="仿宋"/>
          <w:b/>
          <w:bCs w:val="0"/>
          <w:color w:val="000000"/>
          <w:sz w:val="32"/>
          <w:szCs w:val="32"/>
          <w:lang w:val="en-US" w:eastAsia="zh-CN"/>
        </w:rPr>
        <w:t>27</w:t>
      </w:r>
      <w:r>
        <w:rPr>
          <w:rStyle w:val="18"/>
          <w:rFonts w:hint="eastAsia" w:ascii="仿宋" w:hAnsi="仿宋" w:eastAsia="仿宋"/>
          <w:b w:val="0"/>
          <w:bCs/>
          <w:color w:val="000000"/>
          <w:sz w:val="32"/>
          <w:szCs w:val="32"/>
        </w:rPr>
        <w:t>.</w:t>
      </w:r>
      <w:r>
        <w:rPr>
          <w:rFonts w:hint="eastAsia" w:ascii="仿宋" w:hAnsi="仿宋" w:eastAsia="仿宋"/>
          <w:b/>
          <w:bCs/>
          <w:color w:val="000000"/>
          <w:sz w:val="32"/>
          <w:szCs w:val="32"/>
          <w:lang w:val="en-US" w:eastAsia="zh-CN"/>
        </w:rPr>
        <w:t>交通运输支出（类）公路水路运输（款）公路和运输安全（项）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rPr>
          <w:rStyle w:val="18"/>
          <w:rFonts w:ascii="仿宋" w:hAnsi="仿宋" w:eastAsia="仿宋"/>
          <w:b w:val="0"/>
          <w:bCs/>
          <w:color w:val="000000"/>
          <w:sz w:val="32"/>
          <w:szCs w:val="32"/>
        </w:rPr>
      </w:pPr>
      <w:r>
        <w:rPr>
          <w:rStyle w:val="18"/>
          <w:rFonts w:hint="eastAsia" w:ascii="仿宋" w:hAnsi="仿宋" w:eastAsia="仿宋"/>
          <w:color w:val="000000"/>
          <w:sz w:val="32"/>
          <w:szCs w:val="32"/>
        </w:rPr>
        <w:t xml:space="preserve">  </w:t>
      </w:r>
      <w:r>
        <w:rPr>
          <w:rStyle w:val="18"/>
          <w:rFonts w:hint="eastAsia" w:ascii="仿宋" w:hAnsi="仿宋" w:eastAsia="仿宋"/>
          <w:b/>
          <w:bCs w:val="0"/>
          <w:color w:val="000000"/>
          <w:sz w:val="32"/>
          <w:szCs w:val="32"/>
        </w:rPr>
        <w:t xml:space="preserve">  </w:t>
      </w:r>
      <w:r>
        <w:rPr>
          <w:rStyle w:val="18"/>
          <w:rFonts w:hint="eastAsia" w:ascii="仿宋" w:hAnsi="仿宋" w:eastAsia="仿宋"/>
          <w:b/>
          <w:bCs w:val="0"/>
          <w:color w:val="000000"/>
          <w:sz w:val="32"/>
          <w:szCs w:val="32"/>
          <w:lang w:val="en-US" w:eastAsia="zh-CN"/>
        </w:rPr>
        <w:t>28</w:t>
      </w:r>
      <w:r>
        <w:rPr>
          <w:rStyle w:val="18"/>
          <w:rFonts w:hint="eastAsia" w:ascii="仿宋" w:hAnsi="仿宋" w:eastAsia="仿宋"/>
          <w:color w:val="000000"/>
          <w:sz w:val="32"/>
          <w:szCs w:val="32"/>
        </w:rPr>
        <w:t>.</w:t>
      </w:r>
      <w:r>
        <w:rPr>
          <w:rStyle w:val="18"/>
          <w:rFonts w:hint="eastAsia" w:ascii="仿宋" w:hAnsi="仿宋" w:eastAsia="仿宋"/>
          <w:color w:val="000000"/>
          <w:sz w:val="32"/>
          <w:szCs w:val="32"/>
          <w:lang w:val="en-US" w:eastAsia="zh-CN"/>
        </w:rPr>
        <w:t>住房保障支出（类）住房改革支出（款）住房公积金（项）</w:t>
      </w:r>
      <w:r>
        <w:rPr>
          <w:rStyle w:val="18"/>
          <w:rFonts w:hint="eastAsia" w:ascii="仿宋" w:hAnsi="仿宋" w:eastAsia="仿宋"/>
          <w:color w:val="000000"/>
          <w:sz w:val="32"/>
          <w:szCs w:val="32"/>
        </w:rPr>
        <w:t>:</w:t>
      </w:r>
      <w:r>
        <w:rPr>
          <w:rStyle w:val="18"/>
          <w:rFonts w:hint="eastAsia" w:ascii="仿宋" w:hAnsi="仿宋" w:eastAsia="仿宋"/>
          <w:b w:val="0"/>
          <w:bCs/>
          <w:color w:val="000000"/>
          <w:sz w:val="32"/>
          <w:szCs w:val="32"/>
        </w:rPr>
        <w:t>支出决算为57.17万元，完成预算100%。</w:t>
      </w:r>
    </w:p>
    <w:p>
      <w:pPr>
        <w:spacing w:line="60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lang w:val="en-US" w:eastAsia="zh-CN"/>
        </w:rPr>
        <w:t>29</w:t>
      </w:r>
      <w:r>
        <w:rPr>
          <w:rStyle w:val="18"/>
          <w:rFonts w:hint="eastAsia" w:ascii="仿宋" w:hAnsi="仿宋" w:eastAsia="仿宋"/>
          <w:color w:val="000000"/>
          <w:sz w:val="32"/>
          <w:szCs w:val="32"/>
        </w:rPr>
        <w:t>.</w:t>
      </w:r>
      <w:r>
        <w:rPr>
          <w:rStyle w:val="18"/>
          <w:rFonts w:hint="eastAsia" w:ascii="仿宋" w:hAnsi="仿宋" w:eastAsia="仿宋"/>
          <w:color w:val="000000"/>
          <w:sz w:val="32"/>
          <w:szCs w:val="32"/>
          <w:lang w:val="en-US" w:eastAsia="zh-CN"/>
        </w:rPr>
        <w:t>灾害防治及应急管理支出（类）应急管理事务（款）安全监管（项）</w:t>
      </w:r>
      <w:r>
        <w:rPr>
          <w:rStyle w:val="18"/>
          <w:rFonts w:hint="eastAsia" w:ascii="仿宋" w:hAnsi="仿宋" w:eastAsia="仿宋"/>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w:t>
      </w:r>
      <w:r>
        <w:rPr>
          <w:rStyle w:val="18"/>
          <w:rFonts w:hint="eastAsia" w:ascii="仿宋" w:hAnsi="仿宋" w:eastAsia="仿宋"/>
          <w:b w:val="0"/>
          <w:bCs/>
          <w:color w:val="000000"/>
          <w:sz w:val="32"/>
          <w:szCs w:val="32"/>
        </w:rPr>
        <w:t>万元，完成预算100%。</w:t>
      </w:r>
    </w:p>
    <w:p>
      <w:pPr>
        <w:pStyle w:val="2"/>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 xml:space="preserve">    30.灾害防治及应急管理支出（类）应急管理事务（款）应急救援（项）:</w:t>
      </w:r>
      <w:r>
        <w:rPr>
          <w:rStyle w:val="18"/>
          <w:rFonts w:hint="eastAsia" w:ascii="仿宋" w:hAnsi="仿宋" w:eastAsia="仿宋"/>
          <w:b w:val="0"/>
          <w:bCs/>
          <w:color w:val="000000"/>
          <w:sz w:val="32"/>
          <w:szCs w:val="32"/>
          <w:lang w:val="en-US" w:eastAsia="zh-CN"/>
        </w:rPr>
        <w:t>支出决算为17.83万元，完成预算100%。</w:t>
      </w:r>
    </w:p>
    <w:p>
      <w:pPr>
        <w:pStyle w:val="2"/>
        <w:ind w:firstLine="642"/>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31.灾害防治及应急管理支出（类）森林消防事务（款）森林消防应急救援（项）:</w:t>
      </w:r>
      <w:r>
        <w:rPr>
          <w:rStyle w:val="18"/>
          <w:rFonts w:hint="eastAsia" w:ascii="仿宋" w:hAnsi="仿宋" w:eastAsia="仿宋"/>
          <w:b w:val="0"/>
          <w:bCs/>
          <w:color w:val="000000"/>
          <w:sz w:val="32"/>
          <w:szCs w:val="32"/>
          <w:lang w:val="en-US" w:eastAsia="zh-CN"/>
        </w:rPr>
        <w:t>支出决算为8万元，完成预算100%。</w:t>
      </w:r>
    </w:p>
    <w:p>
      <w:pPr>
        <w:tabs>
          <w:tab w:val="right" w:pos="8306"/>
        </w:tabs>
        <w:spacing w:line="600" w:lineRule="exact"/>
        <w:ind w:firstLine="640" w:firstLineChars="200"/>
        <w:outlineLvl w:val="1"/>
        <w:rPr>
          <w:rStyle w:val="18"/>
          <w:rFonts w:hint="default"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32</w:t>
      </w:r>
      <w:r>
        <w:rPr>
          <w:rStyle w:val="18"/>
          <w:rFonts w:hint="eastAsia" w:ascii="仿宋" w:hAnsi="仿宋" w:eastAsia="仿宋"/>
          <w:b w:val="0"/>
          <w:bCs/>
          <w:color w:val="000000"/>
          <w:sz w:val="32"/>
          <w:szCs w:val="32"/>
          <w:lang w:val="en-US" w:eastAsia="zh-CN"/>
        </w:rPr>
        <w:t>.</w:t>
      </w:r>
      <w:bookmarkStart w:id="40" w:name="_Toc15377214"/>
      <w:bookmarkStart w:id="41" w:name="_Toc15396608"/>
      <w:r>
        <w:rPr>
          <w:rStyle w:val="18"/>
          <w:rFonts w:hint="default" w:ascii="仿宋" w:hAnsi="仿宋" w:eastAsia="仿宋"/>
          <w:b/>
          <w:bCs w:val="0"/>
          <w:color w:val="000000"/>
          <w:sz w:val="32"/>
          <w:szCs w:val="32"/>
          <w:lang w:val="en-US" w:eastAsia="zh-CN"/>
        </w:rPr>
        <w:t>灾害防治及应急管理支出（类）森林消防事务（款）</w:t>
      </w:r>
      <w:r>
        <w:rPr>
          <w:rStyle w:val="18"/>
          <w:rFonts w:hint="eastAsia" w:ascii="仿宋" w:hAnsi="仿宋" w:eastAsia="仿宋"/>
          <w:b/>
          <w:bCs w:val="0"/>
          <w:color w:val="000000"/>
          <w:sz w:val="32"/>
          <w:szCs w:val="32"/>
          <w:lang w:val="en-US" w:eastAsia="zh-CN"/>
        </w:rPr>
        <w:t>其他</w:t>
      </w:r>
      <w:r>
        <w:rPr>
          <w:rStyle w:val="18"/>
          <w:rFonts w:hint="default" w:ascii="仿宋" w:hAnsi="仿宋" w:eastAsia="仿宋"/>
          <w:b/>
          <w:bCs w:val="0"/>
          <w:color w:val="000000"/>
          <w:sz w:val="32"/>
          <w:szCs w:val="32"/>
          <w:lang w:val="en-US" w:eastAsia="zh-CN"/>
        </w:rPr>
        <w:t>森林消防</w:t>
      </w:r>
      <w:r>
        <w:rPr>
          <w:rStyle w:val="18"/>
          <w:rFonts w:hint="eastAsia" w:ascii="仿宋" w:hAnsi="仿宋" w:eastAsia="仿宋"/>
          <w:b/>
          <w:bCs w:val="0"/>
          <w:color w:val="000000"/>
          <w:sz w:val="32"/>
          <w:szCs w:val="32"/>
          <w:lang w:val="en-US" w:eastAsia="zh-CN"/>
        </w:rPr>
        <w:t>事务支出</w:t>
      </w:r>
      <w:r>
        <w:rPr>
          <w:rStyle w:val="18"/>
          <w:rFonts w:hint="default" w:ascii="仿宋" w:hAnsi="仿宋" w:eastAsia="仿宋"/>
          <w:b/>
          <w:bCs w:val="0"/>
          <w:color w:val="000000"/>
          <w:sz w:val="32"/>
          <w:szCs w:val="32"/>
          <w:lang w:val="en-US" w:eastAsia="zh-CN"/>
        </w:rPr>
        <w:t>（项）</w:t>
      </w:r>
      <w:r>
        <w:rPr>
          <w:rStyle w:val="18"/>
          <w:rFonts w:hint="default" w:ascii="仿宋" w:hAnsi="仿宋" w:eastAsia="仿宋"/>
          <w:b w:val="0"/>
          <w:bCs/>
          <w:color w:val="000000"/>
          <w:sz w:val="32"/>
          <w:szCs w:val="32"/>
          <w:lang w:val="en-US" w:eastAsia="zh-CN"/>
        </w:rPr>
        <w:t>:支出决算为</w:t>
      </w:r>
      <w:r>
        <w:rPr>
          <w:rStyle w:val="18"/>
          <w:rFonts w:hint="eastAsia" w:ascii="仿宋" w:hAnsi="仿宋" w:eastAsia="仿宋"/>
          <w:b w:val="0"/>
          <w:bCs/>
          <w:color w:val="000000"/>
          <w:sz w:val="32"/>
          <w:szCs w:val="32"/>
          <w:lang w:val="en-US" w:eastAsia="zh-CN"/>
        </w:rPr>
        <w:t>2</w:t>
      </w:r>
      <w:r>
        <w:rPr>
          <w:rStyle w:val="18"/>
          <w:rFonts w:hint="default" w:ascii="仿宋" w:hAnsi="仿宋" w:eastAsia="仿宋"/>
          <w:b w:val="0"/>
          <w:bCs/>
          <w:color w:val="000000"/>
          <w:sz w:val="32"/>
          <w:szCs w:val="32"/>
          <w:lang w:val="en-US" w:eastAsia="zh-CN"/>
        </w:rPr>
        <w:t>万元，完成预算100%。</w:t>
      </w:r>
    </w:p>
    <w:p>
      <w:pPr>
        <w:pStyle w:val="2"/>
        <w:ind w:firstLine="640"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33.灾害防治及应急管理支出（类）其他灾害防治及应急管理支出（款）其他灾害防治及应急管理支出（项）:</w:t>
      </w:r>
      <w:r>
        <w:rPr>
          <w:rStyle w:val="18"/>
          <w:rFonts w:hint="eastAsia" w:ascii="仿宋" w:hAnsi="仿宋" w:eastAsia="仿宋"/>
          <w:b w:val="0"/>
          <w:bCs/>
          <w:color w:val="000000"/>
          <w:sz w:val="32"/>
          <w:szCs w:val="32"/>
          <w:lang w:val="en-US" w:eastAsia="zh-CN"/>
        </w:rPr>
        <w:t>支出决算为6.7万元，完成预算100%。</w:t>
      </w:r>
    </w:p>
    <w:p>
      <w:pPr>
        <w:tabs>
          <w:tab w:val="right" w:pos="8306"/>
        </w:tabs>
        <w:spacing w:line="600" w:lineRule="exact"/>
        <w:ind w:firstLine="640" w:firstLineChars="20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21年一般公共预算财政拨款基本支出1589.17万元，其中：</w:t>
      </w:r>
    </w:p>
    <w:p>
      <w:pPr>
        <w:spacing w:line="600" w:lineRule="exact"/>
        <w:ind w:firstLine="645"/>
        <w:rPr>
          <w:rFonts w:hint="eastAsia" w:ascii="仿宋" w:hAnsi="仿宋" w:eastAsia="仿宋"/>
          <w:sz w:val="32"/>
          <w:szCs w:val="32"/>
          <w:highlight w:val="none"/>
          <w:lang w:val="en-US" w:eastAsia="zh-CN"/>
        </w:rPr>
      </w:pPr>
      <w:r>
        <w:rPr>
          <w:rFonts w:hint="eastAsia" w:ascii="仿宋" w:hAnsi="仿宋" w:eastAsia="仿宋"/>
          <w:sz w:val="32"/>
          <w:szCs w:val="32"/>
        </w:rPr>
        <w:t>人员经费</w:t>
      </w:r>
      <w:r>
        <w:rPr>
          <w:rFonts w:hint="eastAsia" w:ascii="仿宋" w:hAnsi="仿宋" w:eastAsia="仿宋"/>
          <w:sz w:val="32"/>
          <w:szCs w:val="32"/>
          <w:lang w:val="en-US" w:eastAsia="zh-CN"/>
        </w:rPr>
        <w:t>833.31</w:t>
      </w:r>
      <w:r>
        <w:rPr>
          <w:rFonts w:hint="eastAsia" w:ascii="仿宋" w:hAnsi="仿宋" w:eastAsia="仿宋"/>
          <w:sz w:val="32"/>
          <w:szCs w:val="32"/>
        </w:rPr>
        <w:t>万元，</w:t>
      </w:r>
      <w:r>
        <w:rPr>
          <w:rFonts w:hint="eastAsia" w:ascii="仿宋" w:hAnsi="仿宋" w:eastAsia="仿宋"/>
          <w:sz w:val="32"/>
          <w:szCs w:val="32"/>
          <w:highlight w:val="none"/>
        </w:rPr>
        <w:t>主要包括：基本工资</w:t>
      </w:r>
      <w:r>
        <w:rPr>
          <w:rFonts w:hint="eastAsia" w:ascii="仿宋" w:hAnsi="仿宋" w:eastAsia="仿宋"/>
          <w:sz w:val="32"/>
          <w:szCs w:val="32"/>
          <w:highlight w:val="none"/>
          <w:lang w:val="en-US" w:eastAsia="zh-CN"/>
        </w:rPr>
        <w:t>112.37万元</w:t>
      </w:r>
      <w:r>
        <w:rPr>
          <w:rFonts w:hint="eastAsia" w:ascii="仿宋" w:hAnsi="仿宋" w:eastAsia="仿宋"/>
          <w:sz w:val="32"/>
          <w:szCs w:val="32"/>
          <w:highlight w:val="none"/>
        </w:rPr>
        <w:t>、津贴补贴</w:t>
      </w:r>
      <w:r>
        <w:rPr>
          <w:rFonts w:hint="eastAsia" w:ascii="仿宋" w:hAnsi="仿宋" w:eastAsia="仿宋"/>
          <w:sz w:val="32"/>
          <w:szCs w:val="32"/>
          <w:highlight w:val="none"/>
          <w:lang w:val="en-US" w:eastAsia="zh-CN"/>
        </w:rPr>
        <w:t>101.02万元</w:t>
      </w:r>
      <w:r>
        <w:rPr>
          <w:rFonts w:hint="eastAsia" w:ascii="仿宋" w:hAnsi="仿宋" w:eastAsia="仿宋"/>
          <w:sz w:val="32"/>
          <w:szCs w:val="32"/>
          <w:highlight w:val="none"/>
        </w:rPr>
        <w:t>、奖金</w:t>
      </w:r>
      <w:r>
        <w:rPr>
          <w:rFonts w:hint="eastAsia" w:ascii="仿宋" w:hAnsi="仿宋" w:eastAsia="仿宋"/>
          <w:sz w:val="32"/>
          <w:szCs w:val="32"/>
          <w:highlight w:val="none"/>
          <w:lang w:val="en-US" w:eastAsia="zh-CN"/>
        </w:rPr>
        <w:t>9.68万元</w:t>
      </w:r>
      <w:r>
        <w:rPr>
          <w:rFonts w:hint="eastAsia" w:ascii="仿宋" w:hAnsi="仿宋" w:eastAsia="仿宋"/>
          <w:sz w:val="32"/>
          <w:szCs w:val="32"/>
          <w:highlight w:val="none"/>
        </w:rPr>
        <w:t>、伙食补助费</w:t>
      </w:r>
      <w:r>
        <w:rPr>
          <w:rFonts w:hint="eastAsia" w:ascii="仿宋" w:hAnsi="仿宋" w:eastAsia="仿宋"/>
          <w:sz w:val="32"/>
          <w:szCs w:val="32"/>
          <w:highlight w:val="none"/>
          <w:lang w:val="en-US" w:eastAsia="zh-CN"/>
        </w:rPr>
        <w:t>15.87万元</w:t>
      </w:r>
      <w:r>
        <w:rPr>
          <w:rFonts w:hint="eastAsia" w:ascii="仿宋" w:hAnsi="仿宋" w:eastAsia="仿宋"/>
          <w:sz w:val="32"/>
          <w:szCs w:val="32"/>
          <w:highlight w:val="none"/>
        </w:rPr>
        <w:t>、机关事业单位基本养老保险缴费</w:t>
      </w:r>
      <w:r>
        <w:rPr>
          <w:rFonts w:hint="eastAsia" w:ascii="仿宋" w:hAnsi="仿宋" w:eastAsia="仿宋"/>
          <w:sz w:val="32"/>
          <w:szCs w:val="32"/>
          <w:highlight w:val="none"/>
          <w:lang w:val="en-US" w:eastAsia="zh-CN"/>
        </w:rPr>
        <w:t>39.56万元</w:t>
      </w:r>
      <w:r>
        <w:rPr>
          <w:rFonts w:hint="eastAsia" w:ascii="仿宋" w:hAnsi="仿宋" w:eastAsia="仿宋"/>
          <w:sz w:val="32"/>
          <w:szCs w:val="32"/>
          <w:highlight w:val="none"/>
        </w:rPr>
        <w:t>、职业年金缴费</w:t>
      </w:r>
      <w:r>
        <w:rPr>
          <w:rFonts w:hint="eastAsia" w:ascii="仿宋" w:hAnsi="仿宋" w:eastAsia="仿宋"/>
          <w:sz w:val="32"/>
          <w:szCs w:val="32"/>
          <w:highlight w:val="none"/>
          <w:lang w:val="en-US" w:eastAsia="zh-CN"/>
        </w:rPr>
        <w:t>16.57万元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职工医疗保险缴费</w:t>
      </w:r>
      <w:r>
        <w:rPr>
          <w:rFonts w:hint="eastAsia" w:ascii="仿宋" w:hAnsi="仿宋" w:eastAsia="仿宋"/>
          <w:sz w:val="32"/>
          <w:szCs w:val="32"/>
          <w:highlight w:val="none"/>
          <w:lang w:val="en-US" w:eastAsia="zh-CN"/>
        </w:rPr>
        <w:t>19.78万元、</w:t>
      </w:r>
      <w:r>
        <w:rPr>
          <w:rFonts w:hint="eastAsia" w:ascii="仿宋" w:hAnsi="仿宋" w:eastAsia="仿宋"/>
          <w:sz w:val="32"/>
          <w:szCs w:val="32"/>
          <w:highlight w:val="none"/>
        </w:rPr>
        <w:t>其他社会保障缴费</w:t>
      </w:r>
      <w:r>
        <w:rPr>
          <w:rFonts w:hint="eastAsia" w:ascii="仿宋" w:hAnsi="仿宋" w:eastAsia="仿宋"/>
          <w:sz w:val="32"/>
          <w:szCs w:val="32"/>
          <w:highlight w:val="none"/>
          <w:lang w:val="en-US" w:eastAsia="zh-CN"/>
        </w:rPr>
        <w:t>22.18万元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住房公积金</w:t>
      </w:r>
      <w:r>
        <w:rPr>
          <w:rFonts w:hint="eastAsia" w:ascii="仿宋" w:hAnsi="仿宋" w:eastAsia="仿宋"/>
          <w:sz w:val="32"/>
          <w:szCs w:val="32"/>
          <w:highlight w:val="none"/>
          <w:lang w:val="en-US" w:eastAsia="zh-CN"/>
        </w:rPr>
        <w:t>57.17万元、</w:t>
      </w:r>
      <w:r>
        <w:rPr>
          <w:rFonts w:hint="eastAsia" w:ascii="仿宋" w:hAnsi="仿宋" w:eastAsia="仿宋"/>
          <w:sz w:val="32"/>
          <w:szCs w:val="32"/>
          <w:highlight w:val="none"/>
        </w:rPr>
        <w:t>其他工资福利支出</w:t>
      </w:r>
      <w:r>
        <w:rPr>
          <w:rFonts w:hint="eastAsia" w:ascii="仿宋" w:hAnsi="仿宋" w:eastAsia="仿宋"/>
          <w:sz w:val="32"/>
          <w:szCs w:val="32"/>
          <w:highlight w:val="none"/>
          <w:lang w:val="en-US" w:eastAsia="zh-CN"/>
        </w:rPr>
        <w:t>18.42万元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退职（役）费</w:t>
      </w:r>
      <w:r>
        <w:rPr>
          <w:rFonts w:hint="eastAsia" w:ascii="仿宋" w:hAnsi="仿宋" w:eastAsia="仿宋"/>
          <w:sz w:val="32"/>
          <w:szCs w:val="32"/>
          <w:highlight w:val="none"/>
          <w:lang w:val="en-US" w:eastAsia="zh-CN"/>
        </w:rPr>
        <w:t>5.19 万元</w:t>
      </w:r>
      <w:r>
        <w:rPr>
          <w:rFonts w:hint="eastAsia" w:ascii="仿宋" w:hAnsi="仿宋" w:eastAsia="仿宋"/>
          <w:sz w:val="32"/>
          <w:szCs w:val="32"/>
          <w:highlight w:val="none"/>
        </w:rPr>
        <w:t>、抚恤金</w:t>
      </w:r>
      <w:r>
        <w:rPr>
          <w:rFonts w:hint="eastAsia" w:ascii="仿宋" w:hAnsi="仿宋" w:eastAsia="仿宋"/>
          <w:sz w:val="32"/>
          <w:szCs w:val="32"/>
          <w:highlight w:val="none"/>
          <w:lang w:val="en-US" w:eastAsia="zh-CN"/>
        </w:rPr>
        <w:t>17.5万元</w:t>
      </w:r>
      <w:r>
        <w:rPr>
          <w:rFonts w:hint="eastAsia" w:ascii="仿宋" w:hAnsi="仿宋" w:eastAsia="仿宋"/>
          <w:sz w:val="32"/>
          <w:szCs w:val="32"/>
          <w:highlight w:val="none"/>
        </w:rPr>
        <w:t>、生活补助</w:t>
      </w:r>
      <w:r>
        <w:rPr>
          <w:rFonts w:hint="eastAsia" w:ascii="仿宋" w:hAnsi="仿宋" w:eastAsia="仿宋"/>
          <w:sz w:val="32"/>
          <w:szCs w:val="32"/>
          <w:highlight w:val="none"/>
          <w:lang w:val="en-US" w:eastAsia="zh-CN"/>
        </w:rPr>
        <w:t>376.18万元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救济费</w:t>
      </w:r>
      <w:r>
        <w:rPr>
          <w:rFonts w:hint="eastAsia" w:ascii="仿宋" w:hAnsi="仿宋" w:eastAsia="仿宋"/>
          <w:sz w:val="32"/>
          <w:szCs w:val="32"/>
          <w:highlight w:val="none"/>
          <w:lang w:val="en-US" w:eastAsia="zh-CN"/>
        </w:rPr>
        <w:t>21.82万元。</w:t>
      </w:r>
    </w:p>
    <w:p>
      <w:pPr>
        <w:spacing w:line="600" w:lineRule="exact"/>
        <w:ind w:firstLine="645"/>
        <w:rPr>
          <w:rFonts w:ascii="仿宋" w:hAnsi="仿宋" w:eastAsia="仿宋"/>
          <w:sz w:val="32"/>
          <w:szCs w:val="32"/>
          <w:highlight w:val="none"/>
        </w:rPr>
      </w:pPr>
      <w:r>
        <w:rPr>
          <w:rFonts w:hint="eastAsia" w:ascii="仿宋" w:hAnsi="仿宋" w:eastAsia="仿宋"/>
          <w:sz w:val="32"/>
          <w:szCs w:val="32"/>
        </w:rPr>
        <w:t>公用经费755.86万元，</w:t>
      </w:r>
      <w:r>
        <w:rPr>
          <w:rFonts w:hint="eastAsia" w:ascii="仿宋" w:hAnsi="仿宋" w:eastAsia="仿宋"/>
          <w:sz w:val="32"/>
          <w:szCs w:val="32"/>
          <w:highlight w:val="none"/>
        </w:rPr>
        <w:t>主要包括：办公费</w:t>
      </w:r>
      <w:r>
        <w:rPr>
          <w:rFonts w:hint="eastAsia" w:ascii="仿宋" w:hAnsi="仿宋" w:eastAsia="仿宋"/>
          <w:sz w:val="32"/>
          <w:szCs w:val="32"/>
          <w:highlight w:val="none"/>
          <w:lang w:val="en-US" w:eastAsia="zh-CN"/>
        </w:rPr>
        <w:t>325.55万元</w:t>
      </w:r>
      <w:r>
        <w:rPr>
          <w:rFonts w:hint="eastAsia" w:ascii="仿宋" w:hAnsi="仿宋" w:eastAsia="仿宋"/>
          <w:sz w:val="32"/>
          <w:szCs w:val="32"/>
          <w:highlight w:val="none"/>
        </w:rPr>
        <w:t>、印刷费</w:t>
      </w:r>
      <w:r>
        <w:rPr>
          <w:rFonts w:hint="eastAsia" w:ascii="仿宋" w:hAnsi="仿宋" w:eastAsia="仿宋"/>
          <w:sz w:val="32"/>
          <w:szCs w:val="32"/>
          <w:highlight w:val="none"/>
          <w:lang w:val="en-US" w:eastAsia="zh-CN"/>
        </w:rPr>
        <w:t>67.4万元</w:t>
      </w:r>
      <w:r>
        <w:rPr>
          <w:rFonts w:hint="eastAsia" w:ascii="仿宋" w:hAnsi="仿宋" w:eastAsia="仿宋"/>
          <w:sz w:val="32"/>
          <w:szCs w:val="32"/>
          <w:highlight w:val="none"/>
        </w:rPr>
        <w:t>、咨询费</w:t>
      </w:r>
      <w:r>
        <w:rPr>
          <w:rFonts w:hint="eastAsia" w:ascii="仿宋" w:hAnsi="仿宋" w:eastAsia="仿宋"/>
          <w:sz w:val="32"/>
          <w:szCs w:val="32"/>
          <w:highlight w:val="none"/>
          <w:lang w:val="en-US" w:eastAsia="zh-CN"/>
        </w:rPr>
        <w:t>16万元</w:t>
      </w:r>
      <w:r>
        <w:rPr>
          <w:rFonts w:hint="eastAsia" w:ascii="仿宋" w:hAnsi="仿宋" w:eastAsia="仿宋"/>
          <w:sz w:val="32"/>
          <w:szCs w:val="32"/>
          <w:highlight w:val="none"/>
        </w:rPr>
        <w:t>、手续费</w:t>
      </w:r>
      <w:r>
        <w:rPr>
          <w:rFonts w:hint="eastAsia" w:ascii="仿宋" w:hAnsi="仿宋" w:eastAsia="仿宋"/>
          <w:sz w:val="32"/>
          <w:szCs w:val="32"/>
          <w:highlight w:val="none"/>
          <w:lang w:val="en-US" w:eastAsia="zh-CN"/>
        </w:rPr>
        <w:t>0.04万元</w:t>
      </w:r>
      <w:r>
        <w:rPr>
          <w:rFonts w:hint="eastAsia" w:ascii="仿宋" w:hAnsi="仿宋" w:eastAsia="仿宋"/>
          <w:sz w:val="32"/>
          <w:szCs w:val="32"/>
          <w:highlight w:val="none"/>
        </w:rPr>
        <w:t>、水费</w:t>
      </w:r>
      <w:r>
        <w:rPr>
          <w:rFonts w:hint="eastAsia" w:ascii="仿宋" w:hAnsi="仿宋" w:eastAsia="仿宋"/>
          <w:sz w:val="32"/>
          <w:szCs w:val="32"/>
          <w:highlight w:val="none"/>
          <w:lang w:val="en-US" w:eastAsia="zh-CN"/>
        </w:rPr>
        <w:t>0.88万元</w:t>
      </w:r>
      <w:r>
        <w:rPr>
          <w:rFonts w:hint="eastAsia" w:ascii="仿宋" w:hAnsi="仿宋" w:eastAsia="仿宋"/>
          <w:sz w:val="32"/>
          <w:szCs w:val="32"/>
          <w:highlight w:val="none"/>
        </w:rPr>
        <w:t>、电费</w:t>
      </w:r>
      <w:r>
        <w:rPr>
          <w:rFonts w:hint="eastAsia" w:ascii="仿宋" w:hAnsi="仿宋" w:eastAsia="仿宋"/>
          <w:sz w:val="32"/>
          <w:szCs w:val="32"/>
          <w:highlight w:val="none"/>
          <w:lang w:val="en-US" w:eastAsia="zh-CN"/>
        </w:rPr>
        <w:t>7.05万元</w:t>
      </w:r>
      <w:r>
        <w:rPr>
          <w:rFonts w:hint="eastAsia" w:ascii="仿宋" w:hAnsi="仿宋" w:eastAsia="仿宋"/>
          <w:sz w:val="32"/>
          <w:szCs w:val="32"/>
          <w:highlight w:val="none"/>
        </w:rPr>
        <w:t>、邮电费</w:t>
      </w:r>
      <w:r>
        <w:rPr>
          <w:rFonts w:hint="eastAsia" w:ascii="仿宋" w:hAnsi="仿宋" w:eastAsia="仿宋"/>
          <w:sz w:val="32"/>
          <w:szCs w:val="32"/>
          <w:highlight w:val="none"/>
          <w:lang w:val="en-US" w:eastAsia="zh-CN"/>
        </w:rPr>
        <w:t>4.75万元</w:t>
      </w:r>
      <w:r>
        <w:rPr>
          <w:rFonts w:hint="eastAsia" w:ascii="仿宋" w:hAnsi="仿宋" w:eastAsia="仿宋"/>
          <w:sz w:val="32"/>
          <w:szCs w:val="32"/>
          <w:highlight w:val="none"/>
        </w:rPr>
        <w:t>、差旅费</w:t>
      </w:r>
      <w:r>
        <w:rPr>
          <w:rFonts w:hint="eastAsia" w:ascii="仿宋" w:hAnsi="仿宋" w:eastAsia="仿宋"/>
          <w:sz w:val="32"/>
          <w:szCs w:val="32"/>
          <w:highlight w:val="none"/>
          <w:lang w:val="en-US" w:eastAsia="zh-CN"/>
        </w:rPr>
        <w:t>17.21万元、</w:t>
      </w:r>
      <w:r>
        <w:rPr>
          <w:rFonts w:hint="eastAsia" w:ascii="仿宋" w:hAnsi="仿宋" w:eastAsia="仿宋"/>
          <w:sz w:val="32"/>
          <w:szCs w:val="32"/>
          <w:highlight w:val="none"/>
        </w:rPr>
        <w:t>维修（护）费</w:t>
      </w:r>
      <w:r>
        <w:rPr>
          <w:rFonts w:hint="eastAsia" w:ascii="仿宋" w:hAnsi="仿宋" w:eastAsia="仿宋"/>
          <w:sz w:val="32"/>
          <w:szCs w:val="32"/>
          <w:highlight w:val="none"/>
          <w:lang w:val="en-US" w:eastAsia="zh-CN"/>
        </w:rPr>
        <w:t>5.5万元</w:t>
      </w:r>
      <w:r>
        <w:rPr>
          <w:rFonts w:hint="eastAsia" w:ascii="仿宋" w:hAnsi="仿宋" w:eastAsia="仿宋"/>
          <w:sz w:val="32"/>
          <w:szCs w:val="32"/>
          <w:highlight w:val="none"/>
        </w:rPr>
        <w:t>、会议费</w:t>
      </w:r>
      <w:r>
        <w:rPr>
          <w:rFonts w:hint="eastAsia" w:ascii="仿宋" w:hAnsi="仿宋" w:eastAsia="仿宋"/>
          <w:sz w:val="32"/>
          <w:szCs w:val="32"/>
          <w:highlight w:val="none"/>
          <w:lang w:val="en-US" w:eastAsia="zh-CN"/>
        </w:rPr>
        <w:t>1万元</w:t>
      </w:r>
      <w:r>
        <w:rPr>
          <w:rFonts w:hint="eastAsia" w:ascii="仿宋" w:hAnsi="仿宋" w:eastAsia="仿宋"/>
          <w:sz w:val="32"/>
          <w:szCs w:val="32"/>
          <w:highlight w:val="none"/>
        </w:rPr>
        <w:t>、公务接待费</w:t>
      </w:r>
      <w:r>
        <w:rPr>
          <w:rFonts w:hint="eastAsia" w:ascii="仿宋" w:hAnsi="仿宋" w:eastAsia="仿宋"/>
          <w:sz w:val="32"/>
          <w:szCs w:val="32"/>
          <w:highlight w:val="none"/>
          <w:lang w:val="en-US" w:eastAsia="zh-CN"/>
        </w:rPr>
        <w:t>0.87万元</w:t>
      </w:r>
      <w:r>
        <w:rPr>
          <w:rFonts w:hint="eastAsia" w:ascii="仿宋" w:hAnsi="仿宋" w:eastAsia="仿宋"/>
          <w:sz w:val="32"/>
          <w:szCs w:val="32"/>
          <w:highlight w:val="none"/>
        </w:rPr>
        <w:t>、劳务费</w:t>
      </w:r>
      <w:r>
        <w:rPr>
          <w:rFonts w:hint="eastAsia" w:ascii="仿宋" w:hAnsi="仿宋" w:eastAsia="仿宋"/>
          <w:sz w:val="32"/>
          <w:szCs w:val="32"/>
          <w:highlight w:val="none"/>
          <w:lang w:val="en-US" w:eastAsia="zh-CN"/>
        </w:rPr>
        <w:t>287.64万元</w:t>
      </w:r>
      <w:r>
        <w:rPr>
          <w:rFonts w:hint="eastAsia" w:ascii="仿宋" w:hAnsi="仿宋" w:eastAsia="仿宋"/>
          <w:sz w:val="32"/>
          <w:szCs w:val="32"/>
          <w:highlight w:val="none"/>
        </w:rPr>
        <w:t>、工会经费</w:t>
      </w:r>
      <w:r>
        <w:rPr>
          <w:rFonts w:hint="eastAsia" w:ascii="仿宋" w:hAnsi="仿宋" w:eastAsia="仿宋"/>
          <w:sz w:val="32"/>
          <w:szCs w:val="32"/>
          <w:highlight w:val="none"/>
          <w:lang w:val="en-US" w:eastAsia="zh-CN"/>
        </w:rPr>
        <w:t>3.24万元</w:t>
      </w:r>
      <w:r>
        <w:rPr>
          <w:rFonts w:hint="eastAsia" w:ascii="仿宋" w:hAnsi="仿宋" w:eastAsia="仿宋"/>
          <w:sz w:val="32"/>
          <w:szCs w:val="32"/>
          <w:highlight w:val="none"/>
        </w:rPr>
        <w:t>、福利费</w:t>
      </w:r>
      <w:r>
        <w:rPr>
          <w:rFonts w:hint="eastAsia" w:ascii="仿宋" w:hAnsi="仿宋" w:eastAsia="仿宋"/>
          <w:sz w:val="32"/>
          <w:szCs w:val="32"/>
          <w:highlight w:val="none"/>
          <w:lang w:val="en-US" w:eastAsia="zh-CN"/>
        </w:rPr>
        <w:t>4.63万元</w:t>
      </w:r>
      <w:r>
        <w:rPr>
          <w:rFonts w:hint="eastAsia" w:ascii="仿宋" w:hAnsi="仿宋" w:eastAsia="仿宋"/>
          <w:sz w:val="32"/>
          <w:szCs w:val="32"/>
          <w:highlight w:val="none"/>
        </w:rPr>
        <w:t>、其他交通费</w:t>
      </w:r>
      <w:r>
        <w:rPr>
          <w:rFonts w:hint="eastAsia" w:ascii="仿宋" w:hAnsi="仿宋" w:eastAsia="仿宋"/>
          <w:sz w:val="32"/>
          <w:szCs w:val="32"/>
          <w:highlight w:val="none"/>
          <w:lang w:val="en-US" w:eastAsia="zh-CN"/>
        </w:rPr>
        <w:t>12.25万元、</w:t>
      </w:r>
      <w:r>
        <w:rPr>
          <w:rFonts w:hint="eastAsia" w:ascii="仿宋" w:hAnsi="仿宋" w:eastAsia="仿宋"/>
          <w:sz w:val="32"/>
          <w:szCs w:val="32"/>
          <w:highlight w:val="none"/>
        </w:rPr>
        <w:t>其他商品和服务支出</w:t>
      </w:r>
      <w:r>
        <w:rPr>
          <w:rFonts w:hint="eastAsia" w:ascii="仿宋" w:hAnsi="仿宋" w:eastAsia="仿宋"/>
          <w:sz w:val="32"/>
          <w:szCs w:val="32"/>
          <w:highlight w:val="none"/>
          <w:lang w:val="en-US" w:eastAsia="zh-CN"/>
        </w:rPr>
        <w:t>1.87万元</w:t>
      </w:r>
      <w:r>
        <w:rPr>
          <w:rFonts w:hint="eastAsia" w:ascii="仿宋" w:hAnsi="仿宋" w:eastAsia="仿宋"/>
          <w:sz w:val="32"/>
          <w:szCs w:val="32"/>
          <w:highlight w:val="none"/>
        </w:rPr>
        <w:t>。</w:t>
      </w:r>
    </w:p>
    <w:p>
      <w:pPr>
        <w:spacing w:line="600" w:lineRule="exact"/>
        <w:ind w:firstLine="640" w:firstLineChars="200"/>
        <w:outlineLvl w:val="1"/>
        <w:rPr>
          <w:rStyle w:val="29"/>
          <w:rFonts w:ascii="黑体" w:hAnsi="黑体" w:eastAsia="黑体"/>
          <w:b w:val="0"/>
        </w:rPr>
      </w:pPr>
      <w:bookmarkStart w:id="42" w:name="_Toc15377215"/>
      <w:bookmarkStart w:id="43" w:name="_Toc15396609"/>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21年“三公”经费财政拨款支出决算为6.2万元，完成预算</w:t>
      </w:r>
      <w:r>
        <w:rPr>
          <w:rFonts w:hint="eastAsia" w:ascii="仿宋" w:hAnsi="仿宋" w:eastAsia="仿宋"/>
          <w:color w:val="auto"/>
          <w:sz w:val="32"/>
          <w:szCs w:val="32"/>
          <w:highlight w:val="none"/>
          <w:lang w:val="en-US" w:eastAsia="zh-CN"/>
        </w:rPr>
        <w:t>95.05</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,决算数</w:t>
      </w:r>
      <w:r>
        <w:rPr>
          <w:rFonts w:hint="eastAsia" w:ascii="仿宋" w:hAnsi="仿宋" w:eastAsia="仿宋"/>
          <w:color w:val="auto"/>
          <w:sz w:val="32"/>
          <w:szCs w:val="32"/>
          <w:highlight w:val="none"/>
        </w:rPr>
        <w:t>与预算数持平</w:t>
      </w:r>
      <w:r>
        <w:rPr>
          <w:rFonts w:hint="eastAsia" w:ascii="仿宋" w:hAnsi="仿宋" w:eastAsia="仿宋"/>
          <w:sz w:val="32"/>
          <w:szCs w:val="32"/>
        </w:rPr>
        <w:t>的主要原因是新成立秦巴生物医药产业园、空港物流产业园两个项目园区，招商引资任务加大，公务接待增加。</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21年“三公”经费财政拨款支出决算中，因公出国（境）费支出决算0万元，年初未安排预算；公务用车购置及运行维护费支出决算0万元，年初未安排预算；公务接待费支出决算6.2万元，占100</w:t>
      </w:r>
      <w:r>
        <w:rPr>
          <w:rFonts w:ascii="仿宋" w:hAnsi="仿宋" w:eastAsia="仿宋"/>
          <w:sz w:val="32"/>
          <w:szCs w:val="32"/>
        </w:rPr>
        <w:t>%</w:t>
      </w:r>
      <w:r>
        <w:rPr>
          <w:rFonts w:hint="eastAsia" w:ascii="仿宋" w:hAnsi="仿宋" w:eastAsia="仿宋"/>
          <w:sz w:val="32"/>
          <w:szCs w:val="32"/>
        </w:rPr>
        <w:t>。具体情况如下：</w:t>
      </w:r>
    </w:p>
    <w:p>
      <w:pPr>
        <w:numPr>
          <w:ilvl w:val="0"/>
          <w:numId w:val="3"/>
        </w:numPr>
        <w:spacing w:line="576" w:lineRule="exact"/>
        <w:ind w:firstLine="680"/>
        <w:rPr>
          <w:rFonts w:hint="eastAsia" w:ascii="仿宋_GB2312" w:eastAsia="仿宋_GB2312"/>
          <w:sz w:val="32"/>
          <w:szCs w:val="32"/>
        </w:rPr>
      </w:pPr>
      <w:r>
        <w:rPr>
          <w:rFonts w:hint="eastAsia" w:ascii="仿宋" w:hAnsi="仿宋" w:eastAsia="仿宋"/>
          <w:b/>
          <w:bCs/>
          <w:sz w:val="32"/>
          <w:szCs w:val="32"/>
        </w:rPr>
        <w:t>因公出国（境）经费支出</w:t>
      </w:r>
      <w:r>
        <w:rPr>
          <w:rFonts w:hint="eastAsia" w:ascii="仿宋" w:hAnsi="仿宋" w:eastAsia="仿宋"/>
          <w:sz w:val="32"/>
          <w:szCs w:val="32"/>
        </w:rPr>
        <w:t>0万元，年初未安排预算</w:t>
      </w:r>
      <w:r>
        <w:rPr>
          <w:rFonts w:hint="eastAsia" w:ascii="仿宋" w:hAnsi="仿宋" w:eastAsia="仿宋"/>
          <w:sz w:val="32"/>
          <w:szCs w:val="32"/>
          <w:lang w:eastAsia="zh-CN"/>
        </w:rPr>
        <w:t>，</w:t>
      </w:r>
      <w:r>
        <w:rPr>
          <w:rFonts w:hint="eastAsia" w:ascii="仿宋_GB2312" w:eastAsia="仿宋_GB2312"/>
          <w:sz w:val="32"/>
          <w:szCs w:val="32"/>
        </w:rPr>
        <w:t>因公出国（境）支出决算比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 xml:space="preserve">。             </w:t>
      </w:r>
    </w:p>
    <w:p>
      <w:pPr>
        <w:spacing w:line="600" w:lineRule="exact"/>
        <w:ind w:firstLine="640"/>
        <w:rPr>
          <w:rFonts w:ascii="仿宋_GB2312" w:eastAsia="仿宋_GB2312"/>
          <w:sz w:val="32"/>
          <w:szCs w:val="32"/>
        </w:rPr>
      </w:pPr>
      <w:r>
        <w:rPr>
          <w:rFonts w:ascii="仿宋" w:hAnsi="仿宋" w:eastAsia="仿宋"/>
          <w:sz w:val="32"/>
          <w:szCs w:val="32"/>
        </w:rPr>
        <w:t>2.</w:t>
      </w:r>
      <w:r>
        <w:rPr>
          <w:rFonts w:hint="eastAsia" w:ascii="仿宋" w:hAnsi="仿宋" w:eastAsia="仿宋"/>
          <w:b/>
          <w:bCs/>
          <w:sz w:val="32"/>
          <w:szCs w:val="32"/>
        </w:rPr>
        <w:t>公务用车购置及运行维护费支出</w:t>
      </w:r>
      <w:r>
        <w:rPr>
          <w:rFonts w:hint="eastAsia" w:ascii="仿宋" w:hAnsi="仿宋" w:eastAsia="仿宋"/>
          <w:sz w:val="32"/>
          <w:szCs w:val="32"/>
        </w:rPr>
        <w:t>0万元,年初未安排预算。</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hint="eastAsia"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6.2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88.57</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5.52</w:t>
      </w:r>
      <w:r>
        <w:rPr>
          <w:rFonts w:hint="eastAsia" w:ascii="仿宋_GB2312" w:eastAsia="仿宋_GB2312"/>
          <w:sz w:val="32"/>
          <w:szCs w:val="32"/>
        </w:rPr>
        <w:t>万元，增长</w:t>
      </w:r>
      <w:r>
        <w:rPr>
          <w:rFonts w:hint="eastAsia" w:ascii="仿宋_GB2312" w:eastAsia="仿宋_GB2312"/>
          <w:sz w:val="32"/>
          <w:szCs w:val="32"/>
          <w:lang w:val="en-US" w:eastAsia="zh-CN"/>
        </w:rPr>
        <w:t>811.76</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秦巴生物医药产业园、空港物流产业园两个项目园区，招商引资任务加大，公务接待增加。其中：</w:t>
      </w:r>
    </w:p>
    <w:p>
      <w:pPr>
        <w:spacing w:line="600" w:lineRule="exact"/>
        <w:ind w:firstLine="640"/>
        <w:rPr>
          <w:rFonts w:hint="eastAsia" w:ascii="仿宋" w:hAnsi="仿宋" w:eastAsia="仿宋"/>
          <w:sz w:val="32"/>
          <w:szCs w:val="32"/>
        </w:rPr>
      </w:pPr>
      <w:r>
        <w:rPr>
          <w:rFonts w:hint="eastAsia" w:ascii="仿宋" w:hAnsi="仿宋" w:eastAsia="仿宋"/>
          <w:sz w:val="32"/>
          <w:szCs w:val="32"/>
        </w:rPr>
        <w:t>国内公务接待支出6.2万元，主要用于招商引资业务活动开支的用餐费。国内公务接待82批次，650人次（不包括陪同人员），共计支出6.2万元，具体内容包括：接待中建新疆建工集团有限公司华南公司川渝分公司洽谈娃哈哈桶装水项目、江西国之学管理集团有限公司考察项目、上海月星集团考察项目、四川开元创亿生物科技有限责任考察项目、北京联众同行集团有限公司考察项目、湖北舜格药业等公司招商引资</w:t>
      </w:r>
      <w:bookmarkStart w:id="46" w:name="_Toc15377218"/>
      <w:bookmarkStart w:id="47" w:name="_Toc15396610"/>
      <w:r>
        <w:rPr>
          <w:rFonts w:hint="eastAsia" w:ascii="仿宋" w:hAnsi="仿宋" w:eastAsia="仿宋"/>
          <w:sz w:val="32"/>
          <w:szCs w:val="32"/>
        </w:rPr>
        <w:t>。</w:t>
      </w:r>
    </w:p>
    <w:p>
      <w:pPr>
        <w:spacing w:line="576" w:lineRule="exact"/>
        <w:ind w:firstLine="640" w:firstLineChars="20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p>
    <w:p>
      <w:pPr>
        <w:spacing w:line="576"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0"/>
        </w:numPr>
        <w:spacing w:line="576" w:lineRule="exact"/>
        <w:ind w:leftChars="0" w:firstLine="640" w:firstLineChars="200"/>
        <w:outlineLvl w:val="1"/>
        <w:rPr>
          <w:rStyle w:val="29"/>
          <w:rFonts w:ascii="黑体" w:hAnsi="黑体" w:eastAsia="黑体"/>
          <w:b w:val="0"/>
        </w:rPr>
      </w:pPr>
      <w:bookmarkStart w:id="48" w:name="_Toc15396611"/>
      <w:bookmarkStart w:id="49" w:name="_Toc15377219"/>
      <w:r>
        <w:rPr>
          <w:rStyle w:val="29"/>
          <w:rFonts w:hint="eastAsia" w:ascii="黑体" w:hAnsi="黑体" w:eastAsia="黑体"/>
          <w:b w:val="0"/>
          <w:lang w:val="en-US" w:eastAsia="zh-CN"/>
        </w:rPr>
        <w:t>九、</w:t>
      </w:r>
      <w:r>
        <w:rPr>
          <w:rStyle w:val="29"/>
          <w:rFonts w:hint="eastAsia" w:ascii="黑体" w:hAnsi="黑体" w:eastAsia="黑体"/>
          <w:b w:val="0"/>
        </w:rPr>
        <w:t>国有资本经营预算支出决算情况说明</w:t>
      </w:r>
      <w:bookmarkEnd w:id="48"/>
      <w:bookmarkEnd w:id="49"/>
    </w:p>
    <w:p>
      <w:pPr>
        <w:spacing w:line="576"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0"/>
        </w:numPr>
        <w:spacing w:line="576" w:lineRule="exact"/>
        <w:ind w:leftChars="0" w:firstLine="640" w:firstLineChars="200"/>
        <w:outlineLvl w:val="1"/>
        <w:rPr>
          <w:rStyle w:val="29"/>
          <w:rFonts w:hint="eastAsia" w:ascii="黑体" w:hAnsi="黑体" w:eastAsia="黑体"/>
          <w:b w:val="0"/>
          <w:lang w:val="en-US" w:eastAsia="zh-CN"/>
        </w:rPr>
      </w:pPr>
      <w:r>
        <w:rPr>
          <w:rStyle w:val="29"/>
          <w:rFonts w:hint="eastAsia" w:ascii="黑体" w:hAnsi="黑体" w:eastAsia="黑体"/>
          <w:b w:val="0"/>
          <w:lang w:val="en-US" w:eastAsia="zh-CN"/>
        </w:rPr>
        <w:t>十、预算绩效管理情况</w:t>
      </w:r>
    </w:p>
    <w:p>
      <w:pPr>
        <w:spacing w:line="576"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根据预算绩效管理要求，本单位在2021年度预算编制阶段，组织对XXX项目（项目名称）等XX个项目开展了预算事前绩效评估，对XX个项目编制了绩效目标，预算执行过程中，选取XX个项目开展绩效监控，年终执行完毕后，对XX个项目开展了绩效自评，2021年部门预算项目绩效目标自评表见附件（第四部分）。</w:t>
      </w:r>
    </w:p>
    <w:p>
      <w:pPr>
        <w:spacing w:line="600" w:lineRule="exact"/>
        <w:ind w:firstLine="640" w:firstLineChars="200"/>
        <w:outlineLvl w:val="1"/>
        <w:rPr>
          <w:rStyle w:val="29"/>
          <w:rFonts w:ascii="黑体" w:hAnsi="黑体" w:eastAsia="黑体"/>
          <w:b w:val="0"/>
        </w:rPr>
      </w:pPr>
      <w:r>
        <w:rPr>
          <w:rFonts w:hint="eastAsia" w:ascii="黑体" w:eastAsia="黑体"/>
          <w:sz w:val="32"/>
          <w:szCs w:val="32"/>
          <w:lang w:eastAsia="zh-CN"/>
        </w:rPr>
        <w:t>十</w:t>
      </w:r>
      <w:r>
        <w:rPr>
          <w:rFonts w:hint="eastAsia" w:ascii="黑体" w:eastAsia="黑体"/>
          <w:sz w:val="32"/>
          <w:szCs w:val="32"/>
          <w:lang w:val="en-US" w:eastAsia="zh-CN"/>
        </w:rPr>
        <w:t>一</w:t>
      </w:r>
      <w:r>
        <w:rPr>
          <w:rFonts w:hint="eastAsia" w:ascii="黑体" w:eastAsia="黑体"/>
          <w:sz w:val="32"/>
          <w:szCs w:val="32"/>
        </w:rPr>
        <w:t>、</w:t>
      </w:r>
      <w:bookmarkEnd w:id="46"/>
      <w:bookmarkEnd w:id="47"/>
      <w:bookmarkStart w:id="50" w:name="_Toc15377221"/>
      <w:bookmarkStart w:id="51" w:name="_Toc15396612"/>
      <w:r>
        <w:rPr>
          <w:rStyle w:val="29"/>
          <w:rFonts w:hint="eastAsia" w:ascii="黑体" w:hAnsi="黑体" w:eastAsia="黑体"/>
          <w:b w:val="0"/>
        </w:rPr>
        <w:t>其他重要事项的情况说明</w:t>
      </w:r>
      <w:bookmarkEnd w:id="50"/>
      <w:bookmarkEnd w:id="51"/>
    </w:p>
    <w:p>
      <w:pPr>
        <w:tabs>
          <w:tab w:val="left" w:pos="816"/>
        </w:tabs>
        <w:spacing w:line="600" w:lineRule="exact"/>
        <w:ind w:firstLine="640" w:firstLineChars="200"/>
        <w:outlineLvl w:val="2"/>
        <w:rPr>
          <w:rFonts w:ascii="仿宋" w:hAnsi="仿宋" w:eastAsia="仿宋"/>
          <w:sz w:val="32"/>
          <w:szCs w:val="32"/>
        </w:rPr>
      </w:pPr>
      <w:bookmarkStart w:id="52" w:name="_Toc15377222"/>
      <w:r>
        <w:rPr>
          <w:rFonts w:hint="eastAsia" w:ascii="仿宋" w:hAnsi="仿宋" w:eastAsia="仿宋"/>
          <w:b/>
          <w:sz w:val="32"/>
          <w:szCs w:val="32"/>
          <w:lang w:eastAsia="zh-CN"/>
        </w:rPr>
        <w:t>（一）</w:t>
      </w:r>
      <w:r>
        <w:rPr>
          <w:rFonts w:hint="eastAsia" w:ascii="仿宋" w:hAnsi="仿宋" w:eastAsia="仿宋"/>
          <w:b/>
          <w:sz w:val="32"/>
          <w:szCs w:val="32"/>
        </w:rPr>
        <w:t>机关运行经费支出情况</w:t>
      </w:r>
      <w:bookmarkEnd w:id="52"/>
    </w:p>
    <w:p>
      <w:pPr>
        <w:spacing w:line="576" w:lineRule="exact"/>
        <w:ind w:firstLine="640" w:firstLineChars="200"/>
        <w:rPr>
          <w:rFonts w:hint="eastAsia" w:ascii="仿宋_GB2312" w:eastAsia="仿宋_GB2312"/>
          <w:sz w:val="32"/>
          <w:szCs w:val="32"/>
        </w:rPr>
      </w:pPr>
      <w:r>
        <w:rPr>
          <w:rFonts w:ascii="仿宋" w:hAnsi="仿宋" w:eastAsia="仿宋"/>
          <w:sz w:val="32"/>
          <w:szCs w:val="32"/>
        </w:rPr>
        <w:t>20</w:t>
      </w:r>
      <w:r>
        <w:rPr>
          <w:rFonts w:hint="eastAsia" w:ascii="仿宋" w:hAnsi="仿宋" w:eastAsia="仿宋"/>
          <w:sz w:val="32"/>
          <w:szCs w:val="32"/>
        </w:rPr>
        <w:t>21年，盘龙镇机关运行经费支出755.86万元，比</w:t>
      </w:r>
      <w:r>
        <w:rPr>
          <w:rFonts w:ascii="仿宋" w:hAnsi="仿宋" w:eastAsia="仿宋"/>
          <w:sz w:val="32"/>
          <w:szCs w:val="32"/>
        </w:rPr>
        <w:t>20</w:t>
      </w:r>
      <w:r>
        <w:rPr>
          <w:rFonts w:hint="eastAsia" w:ascii="仿宋" w:hAnsi="仿宋" w:eastAsia="仿宋"/>
          <w:sz w:val="32"/>
          <w:szCs w:val="32"/>
        </w:rPr>
        <w:t>20年增加313.08万元，增长70.7</w:t>
      </w:r>
      <w:r>
        <w:rPr>
          <w:rFonts w:ascii="仿宋" w:hAnsi="仿宋" w:eastAsia="仿宋"/>
          <w:sz w:val="32"/>
          <w:szCs w:val="32"/>
        </w:rPr>
        <w:t>%</w:t>
      </w:r>
      <w:r>
        <w:rPr>
          <w:rFonts w:hint="eastAsia" w:ascii="仿宋" w:hAnsi="仿宋" w:eastAsia="仿宋"/>
          <w:sz w:val="32"/>
          <w:szCs w:val="32"/>
        </w:rPr>
        <w:t>。主要原因是</w:t>
      </w:r>
      <w:r>
        <w:rPr>
          <w:rFonts w:hint="eastAsia" w:ascii="仿宋_GB2312" w:eastAsia="仿宋_GB2312"/>
          <w:sz w:val="32"/>
          <w:szCs w:val="32"/>
        </w:rPr>
        <w:t>主要原因是将财力补助由2020年项目经费调整到运行经费。</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年，盘龙镇政府采购支出总额0万元。</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pStyle w:val="2"/>
        <w:ind w:firstLine="640" w:firstLineChars="200"/>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日，盘龙镇共有车辆0辆。</w:t>
      </w:r>
    </w:p>
    <w:p>
      <w:pPr>
        <w:pStyle w:val="2"/>
        <w:numPr>
          <w:ilvl w:val="0"/>
          <w:numId w:val="0"/>
        </w:numPr>
        <w:rPr>
          <w:rFonts w:hint="eastAsia"/>
          <w:sz w:val="32"/>
          <w:szCs w:val="32"/>
          <w:lang w:val="en-US" w:eastAsia="zh-CN"/>
        </w:rPr>
      </w:pPr>
    </w:p>
    <w:p>
      <w:pPr>
        <w:spacing w:line="600" w:lineRule="exact"/>
        <w:ind w:firstLine="1320" w:firstLineChars="300"/>
        <w:outlineLvl w:val="0"/>
        <w:rPr>
          <w:rStyle w:val="28"/>
          <w:rFonts w:ascii="黑体" w:hAnsi="黑体" w:eastAsia="黑体"/>
          <w:b w:val="0"/>
        </w:rPr>
      </w:pPr>
      <w:bookmarkStart w:id="55" w:name="_Toc15377225"/>
      <w:bookmarkStart w:id="56" w:name="_Toc15396613"/>
      <w:r>
        <w:rPr>
          <w:rFonts w:hint="eastAsia" w:ascii="黑体" w:hAnsi="黑体" w:eastAsia="黑体"/>
          <w:sz w:val="44"/>
          <w:szCs w:val="44"/>
        </w:rPr>
        <w:t>第三部份   名</w:t>
      </w:r>
      <w:r>
        <w:rPr>
          <w:rStyle w:val="28"/>
          <w:rFonts w:hint="eastAsia" w:ascii="黑体" w:hAnsi="黑体" w:eastAsia="黑体"/>
          <w:b w:val="0"/>
        </w:rPr>
        <w:t>词解释</w:t>
      </w:r>
      <w:bookmarkEnd w:id="55"/>
      <w:bookmarkEnd w:id="56"/>
    </w:p>
    <w:p>
      <w:pPr>
        <w:pStyle w:val="26"/>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6"/>
        <w:spacing w:line="576" w:lineRule="exact"/>
        <w:ind w:firstLine="640" w:firstLineChars="200"/>
        <w:jc w:val="both"/>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sz w:val="32"/>
          <w:szCs w:val="32"/>
        </w:rPr>
        <w:t>一般公共服务支出（类）201政府办公厅（室）及相关机构事务（款）03行政运行（项）01：指反映行政单位（包括实行公务员管理的事业单位）的基本支出。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pStyle w:val="15"/>
        <w:spacing w:line="576" w:lineRule="exact"/>
        <w:ind w:left="0" w:leftChars="0" w:firstLine="64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一般公共服务支出（类）201政府办公厅（室）及相关机构事务（款）03机关服务</w:t>
      </w:r>
      <w:r>
        <w:rPr>
          <w:rFonts w:hint="eastAsia" w:ascii="仿宋_GB2312" w:eastAsia="仿宋_GB2312"/>
          <w:color w:val="000000"/>
          <w:sz w:val="32"/>
          <w:szCs w:val="32"/>
        </w:rPr>
        <w:t>（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专项业务活动（项）05：指反映各级政府举行各类重大活动、召开重要会议（如国务院一类会议、国庆招待会、全国劳模大会）的支出，政府机关房地产管理、公务用车管理等方面的支出。</w:t>
      </w:r>
    </w:p>
    <w:p>
      <w:pPr>
        <w:spacing w:line="576"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 发展与改革事务（款）04日常经济运行调节</w:t>
      </w:r>
      <w:r>
        <w:rPr>
          <w:rFonts w:hint="eastAsia" w:ascii="仿宋_GB2312" w:eastAsia="仿宋_GB2312"/>
          <w:color w:val="000000"/>
          <w:sz w:val="32"/>
          <w:szCs w:val="32"/>
        </w:rPr>
        <w:t>（项）05</w:t>
      </w:r>
      <w:r>
        <w:rPr>
          <w:rFonts w:hint="eastAsia" w:ascii="仿宋_GB2312" w:eastAsia="仿宋_GB2312"/>
          <w:sz w:val="32"/>
          <w:szCs w:val="32"/>
        </w:rPr>
        <w:t>：反映日常经济运行调节方面的支出。</w:t>
      </w:r>
    </w:p>
    <w:p>
      <w:pPr>
        <w:spacing w:line="576" w:lineRule="exact"/>
        <w:ind w:firstLine="640" w:firstLineChars="200"/>
        <w:rPr>
          <w:rFonts w:hint="eastAsia" w:ascii="仿宋_GB2312" w:eastAsia="仿宋_GB2312"/>
          <w:sz w:val="32"/>
          <w:szCs w:val="32"/>
        </w:rPr>
      </w:pPr>
      <w:r>
        <w:rPr>
          <w:rFonts w:hint="eastAsia"/>
          <w:sz w:val="32"/>
          <w:szCs w:val="32"/>
          <w:lang w:val="en-US" w:eastAsia="zh-CN"/>
        </w:rPr>
        <w:t>7.</w:t>
      </w:r>
      <w:r>
        <w:rPr>
          <w:rFonts w:hint="eastAsia" w:ascii="仿宋_GB2312" w:hAnsi="仿宋_GB2312" w:eastAsia="仿宋_GB2312" w:cs="仿宋_GB2312"/>
          <w:kern w:val="0"/>
          <w:sz w:val="32"/>
          <w:szCs w:val="32"/>
        </w:rPr>
        <w:t xml:space="preserve">一般公共服务支出（类）201 </w:t>
      </w:r>
      <w:r>
        <w:rPr>
          <w:rFonts w:hint="eastAsia" w:ascii="仿宋_GB2312" w:hAnsi="仿宋_GB2312" w:eastAsia="仿宋_GB2312" w:cs="仿宋_GB2312"/>
          <w:kern w:val="0"/>
          <w:sz w:val="32"/>
          <w:szCs w:val="32"/>
          <w:lang w:eastAsia="zh-CN"/>
        </w:rPr>
        <w:t>审计事务（</w:t>
      </w:r>
      <w:r>
        <w:rPr>
          <w:rFonts w:hint="eastAsia" w:ascii="仿宋_GB2312" w:hAnsi="仿宋_GB2312" w:eastAsia="仿宋_GB2312" w:cs="仿宋_GB2312"/>
          <w:kern w:val="0"/>
          <w:sz w:val="32"/>
          <w:szCs w:val="32"/>
        </w:rPr>
        <w:t>款）0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审计业务</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4</w:t>
      </w:r>
      <w:r>
        <w:rPr>
          <w:rFonts w:hint="eastAsia" w:ascii="仿宋_GB2312" w:eastAsia="仿宋_GB2312"/>
          <w:sz w:val="32"/>
          <w:szCs w:val="32"/>
        </w:rPr>
        <w:t>：反映</w:t>
      </w:r>
      <w:r>
        <w:rPr>
          <w:rFonts w:hint="eastAsia" w:ascii="仿宋_GB2312" w:eastAsia="仿宋_GB2312"/>
          <w:sz w:val="32"/>
          <w:szCs w:val="32"/>
          <w:lang w:eastAsia="zh-CN"/>
        </w:rPr>
        <w:t>各级审计机构的审计、专项审计调查、聘请社会审计组织人员及技术专家等方面</w:t>
      </w:r>
      <w:r>
        <w:rPr>
          <w:rFonts w:hint="eastAsia" w:ascii="仿宋_GB2312" w:eastAsia="仿宋_GB2312"/>
          <w:sz w:val="32"/>
          <w:szCs w:val="32"/>
        </w:rPr>
        <w:t>的支出。</w:t>
      </w:r>
    </w:p>
    <w:p>
      <w:pPr>
        <w:spacing w:line="576" w:lineRule="exact"/>
        <w:ind w:firstLine="640" w:firstLineChars="200"/>
        <w:rPr>
          <w:rStyle w:val="18"/>
          <w:rFonts w:ascii="仿宋_GB2312" w:eastAsia="仿宋_GB2312"/>
          <w:b w:val="0"/>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一般公共服务支出（类）201纪检监察事务（款）11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一般行政管理事务（项）02</w:t>
      </w:r>
      <w:r>
        <w:rPr>
          <w:rStyle w:val="18"/>
          <w:rFonts w:hint="eastAsia" w:ascii="仿宋_GB2312" w:eastAsia="仿宋_GB2312"/>
          <w:b w:val="0"/>
          <w:color w:val="000000"/>
          <w:sz w:val="32"/>
          <w:szCs w:val="32"/>
        </w:rPr>
        <w:t xml:space="preserve">：反映行政单位（包括实行公务员管理的事业单位）未单独设置项目科目的其他项目支出。 </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一般公共服务支出（类）201组织事务（款）32</w:t>
      </w:r>
      <w:r>
        <w:rPr>
          <w:rFonts w:hint="eastAsia" w:ascii="仿宋_GB2312" w:eastAsia="仿宋_GB2312"/>
          <w:color w:val="000000"/>
          <w:sz w:val="32"/>
          <w:szCs w:val="32"/>
        </w:rPr>
        <w:t>其 一般行政管理事务（项）02</w:t>
      </w:r>
      <w:r>
        <w:rPr>
          <w:rFonts w:hint="eastAsia" w:ascii="仿宋_GB2312" w:eastAsia="仿宋_GB2312"/>
          <w:sz w:val="32"/>
          <w:szCs w:val="32"/>
        </w:rPr>
        <w:t>：指反映行政单位（包括实行公务员管理的事业单位）未单独设置顶级科目的</w:t>
      </w:r>
      <w:r>
        <w:rPr>
          <w:rFonts w:hint="eastAsia" w:ascii="仿宋_GB2312" w:eastAsia="仿宋_GB2312"/>
          <w:sz w:val="32"/>
          <w:szCs w:val="32"/>
          <w:lang w:eastAsia="zh-CN"/>
        </w:rPr>
        <w:t>其他</w:t>
      </w:r>
      <w:r>
        <w:rPr>
          <w:rFonts w:hint="eastAsia" w:ascii="仿宋_GB2312" w:eastAsia="仿宋_GB2312"/>
          <w:sz w:val="32"/>
          <w:szCs w:val="32"/>
        </w:rPr>
        <w:t>项目支出。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 xml:space="preserve"> 其他市场监督管理事务（项）99：</w:t>
      </w:r>
      <w:r>
        <w:rPr>
          <w:rFonts w:hint="eastAsia" w:ascii="仿宋_GB2312" w:eastAsia="仿宋_GB2312"/>
          <w:sz w:val="32"/>
          <w:szCs w:val="32"/>
        </w:rPr>
        <w:t>反映用于除上述项目以外其他市场监督管理事务方面的支出。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 其他一般公共服务支出（项）99：反映除上述项目为包括的一般公共服务支出。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w:t>
      </w:r>
      <w:r>
        <w:rPr>
          <w:rFonts w:hint="eastAsia" w:ascii="仿宋_GB2312" w:eastAsia="仿宋_GB2312"/>
          <w:color w:val="000000"/>
          <w:sz w:val="32"/>
          <w:szCs w:val="32"/>
          <w:lang w:eastAsia="zh-CN"/>
        </w:rPr>
        <w:t>文化旅游与传媒</w:t>
      </w:r>
      <w:r>
        <w:rPr>
          <w:rFonts w:hint="eastAsia" w:ascii="仿宋_GB2312" w:eastAsia="仿宋_GB2312"/>
          <w:color w:val="000000"/>
          <w:sz w:val="32"/>
          <w:szCs w:val="32"/>
        </w:rPr>
        <w:t>支出（类）20</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lang w:eastAsia="zh-CN"/>
        </w:rPr>
        <w:t>文化和旅游</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其他</w:t>
      </w:r>
      <w:r>
        <w:rPr>
          <w:rFonts w:hint="eastAsia" w:ascii="仿宋_GB2312" w:eastAsia="仿宋_GB2312"/>
          <w:color w:val="000000"/>
          <w:sz w:val="32"/>
          <w:szCs w:val="32"/>
          <w:lang w:eastAsia="zh-CN"/>
        </w:rPr>
        <w:t>文化和旅游</w:t>
      </w:r>
      <w:r>
        <w:rPr>
          <w:rFonts w:hint="eastAsia" w:ascii="仿宋_GB2312" w:eastAsia="仿宋_GB2312"/>
          <w:color w:val="000000"/>
          <w:sz w:val="32"/>
          <w:szCs w:val="32"/>
        </w:rPr>
        <w:t>支出（项）99：反映除上述项目</w:t>
      </w:r>
      <w:r>
        <w:rPr>
          <w:rFonts w:hint="eastAsia" w:ascii="仿宋_GB2312" w:eastAsia="仿宋_GB2312"/>
          <w:color w:val="000000"/>
          <w:sz w:val="32"/>
          <w:szCs w:val="32"/>
          <w:lang w:eastAsia="zh-CN"/>
        </w:rPr>
        <w:t>以外其他用于文化和旅游方面的</w:t>
      </w:r>
      <w:r>
        <w:rPr>
          <w:rFonts w:hint="eastAsia" w:ascii="仿宋_GB2312" w:eastAsia="仿宋_GB2312"/>
          <w:color w:val="000000"/>
          <w:sz w:val="32"/>
          <w:szCs w:val="32"/>
        </w:rPr>
        <w:t>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公共安全支出（类）204国家安全（款）03其他国家安全支出（项）99：指反映用于安全方面的支出。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.社会保障和就业支出（类）208行政事业单位离退休（款）05</w:t>
      </w:r>
      <w:r>
        <w:rPr>
          <w:rFonts w:hint="eastAsia" w:ascii="仿宋_GB2312" w:eastAsia="仿宋_GB2312"/>
          <w:color w:val="000000"/>
          <w:sz w:val="32"/>
          <w:szCs w:val="32"/>
          <w:lang w:eastAsia="zh-CN"/>
        </w:rPr>
        <w:t>行政单位离退休</w:t>
      </w:r>
      <w:r>
        <w:rPr>
          <w:rFonts w:hint="eastAsia" w:ascii="仿宋_GB2312" w:eastAsia="仿宋_GB2312"/>
          <w:color w:val="000000"/>
          <w:sz w:val="32"/>
          <w:szCs w:val="32"/>
        </w:rPr>
        <w:t>支出（项）0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行政</w:t>
      </w:r>
      <w:r>
        <w:rPr>
          <w:rFonts w:hint="eastAsia" w:ascii="仿宋_GB2312" w:eastAsia="仿宋_GB2312"/>
          <w:color w:val="000000"/>
          <w:sz w:val="32"/>
          <w:szCs w:val="32"/>
        </w:rPr>
        <w:t>单位</w:t>
      </w:r>
      <w:r>
        <w:rPr>
          <w:rStyle w:val="18"/>
          <w:rFonts w:hint="eastAsia" w:ascii="仿宋_GB2312" w:eastAsia="仿宋_GB2312"/>
          <w:b w:val="0"/>
          <w:color w:val="000000"/>
          <w:sz w:val="32"/>
          <w:szCs w:val="32"/>
        </w:rPr>
        <w:t>（包括实行公务员管理的事业单位）</w:t>
      </w:r>
      <w:r>
        <w:rPr>
          <w:rFonts w:hint="eastAsia" w:ascii="仿宋_GB2312" w:eastAsia="仿宋_GB2312"/>
          <w:color w:val="000000"/>
          <w:sz w:val="32"/>
          <w:szCs w:val="32"/>
          <w:lang w:eastAsia="zh-CN"/>
        </w:rPr>
        <w:t>开支的离退休经费</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.社会保障和就业支出（类）208行政事业单位离退休（款）05机关事业单位基本养老保险缴费支出（项）05：指反映机关事业单位实施养老保险制度由单位缴纳的基本养老保险费支出。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.社会保障和就业支出（类）208行政事业单位离退休（款）05机关事业单位职业年金缴费支出（项）06：指反映机关事业单位实施养老保险制度由单位实际缴纳的职业年金支出。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死亡抚恤</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按规定用于烈士和牺牲、病故人员家属的一次性和定期抚恤金、丧葬补助费以及烈士褒扬金</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伤残抚恤</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按规定用于伤残人员抚恤金、丧葬补助费和按规定开支的各种伤残补助费</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特困人员救助供养</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21农村</w:t>
      </w:r>
      <w:r>
        <w:rPr>
          <w:rFonts w:hint="eastAsia" w:ascii="仿宋_GB2312" w:eastAsia="仿宋_GB2312"/>
          <w:color w:val="000000"/>
          <w:sz w:val="32"/>
          <w:szCs w:val="32"/>
          <w:lang w:eastAsia="zh-CN"/>
        </w:rPr>
        <w:t>特困人员救助供养</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w:t>
      </w:r>
      <w:r>
        <w:rPr>
          <w:rFonts w:hint="eastAsia" w:ascii="仿宋_GB2312" w:eastAsia="仿宋_GB2312"/>
          <w:color w:val="000000"/>
          <w:sz w:val="32"/>
          <w:szCs w:val="32"/>
          <w:lang w:val="en-US" w:eastAsia="zh-CN"/>
        </w:rPr>
        <w:t>农村</w:t>
      </w:r>
      <w:r>
        <w:rPr>
          <w:rFonts w:hint="eastAsia" w:ascii="仿宋_GB2312" w:eastAsia="仿宋_GB2312"/>
          <w:color w:val="000000"/>
          <w:sz w:val="32"/>
          <w:szCs w:val="32"/>
          <w:lang w:eastAsia="zh-CN"/>
        </w:rPr>
        <w:t>特困人员救助供养支出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.卫生健康支出（类）210行政事业单位医疗（款）11行政事业单位医疗（项）01：</w:t>
      </w:r>
      <w:r>
        <w:rPr>
          <w:rFonts w:hint="eastAsia" w:ascii="仿宋_GB2312" w:eastAsia="仿宋_GB2312"/>
          <w:sz w:val="32"/>
          <w:szCs w:val="32"/>
        </w:rPr>
        <w:t>指反映</w:t>
      </w:r>
      <w:r>
        <w:rPr>
          <w:rFonts w:hint="eastAsia" w:ascii="仿宋_GB2312" w:eastAsia="仿宋_GB2312"/>
          <w:color w:val="000000"/>
          <w:sz w:val="32"/>
          <w:szCs w:val="32"/>
        </w:rPr>
        <w:t>财政部门集中安排的行政单位（包括实行公务员管理事业单位，下同）基本医疗保险缴费经费，未参加医疗保险的行政单位的公费医疗经费，按国家规定享受离休人员、红军老战士待遇的医疗经费。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.城乡社区支出（类）212城乡社区管理事务（款）01城管执法（项）01：放映城市综合管理执法、加强城市市容和环境卫生管理等方面支出。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.城乡社区支出（类）212城乡社区环境卫生（款）05城乡社区环境卫生（项）01：反映城乡社区道路清扫、垃圾清运与处理、公厕建设与维护、园林绿化等方面的支出。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.农林水支出（类）213农业（款）01</w:t>
      </w:r>
      <w:r>
        <w:rPr>
          <w:rFonts w:hint="eastAsia" w:ascii="仿宋_GB2312" w:eastAsia="仿宋_GB2312"/>
          <w:color w:val="000000"/>
          <w:sz w:val="32"/>
          <w:szCs w:val="32"/>
          <w:lang w:eastAsia="zh-CN"/>
        </w:rPr>
        <w:t>对高校毕业生到基层任职补助</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52</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按规定对高校毕业生到基层任职的补助</w:t>
      </w:r>
      <w:r>
        <w:rPr>
          <w:rFonts w:hint="eastAsia" w:ascii="仿宋_GB2312" w:eastAsia="仿宋_GB2312"/>
          <w:color w:val="000000"/>
          <w:sz w:val="32"/>
          <w:szCs w:val="32"/>
        </w:rPr>
        <w:t>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2"/>
        <w:ind w:firstLine="640" w:firstLineChars="200"/>
        <w:rPr>
          <w:rFonts w:hint="eastAsia" w:eastAsia="仿宋_GB2312"/>
          <w:lang w:eastAsia="zh-CN"/>
        </w:rPr>
      </w:pPr>
      <w:r>
        <w:rPr>
          <w:rFonts w:hint="eastAsia"/>
          <w:color w:val="000000"/>
          <w:sz w:val="32"/>
          <w:szCs w:val="32"/>
          <w:lang w:val="en-US" w:eastAsia="zh-CN"/>
        </w:rPr>
        <w:t>26.</w:t>
      </w:r>
      <w:r>
        <w:rPr>
          <w:rFonts w:hint="eastAsia" w:ascii="仿宋_GB2312" w:eastAsia="仿宋_GB2312"/>
          <w:color w:val="000000"/>
          <w:sz w:val="32"/>
          <w:szCs w:val="32"/>
        </w:rPr>
        <w:t>农林水支出（类）213水利（款）03</w:t>
      </w:r>
      <w:r>
        <w:rPr>
          <w:rFonts w:hint="eastAsia"/>
          <w:color w:val="000000"/>
          <w:sz w:val="32"/>
          <w:szCs w:val="32"/>
          <w:lang w:eastAsia="zh-CN"/>
        </w:rPr>
        <w:t>农村人畜饮水</w:t>
      </w:r>
      <w:r>
        <w:rPr>
          <w:rFonts w:hint="eastAsia" w:ascii="仿宋_GB2312" w:eastAsia="仿宋_GB2312"/>
          <w:color w:val="000000"/>
          <w:sz w:val="32"/>
          <w:szCs w:val="32"/>
        </w:rPr>
        <w:t>（项）</w:t>
      </w:r>
      <w:r>
        <w:rPr>
          <w:rFonts w:hint="eastAsia"/>
          <w:color w:val="000000"/>
          <w:sz w:val="32"/>
          <w:szCs w:val="32"/>
          <w:lang w:val="en-US" w:eastAsia="zh-CN"/>
        </w:rPr>
        <w:t>35</w:t>
      </w:r>
      <w:r>
        <w:rPr>
          <w:rFonts w:hint="eastAsia" w:ascii="仿宋_GB2312" w:eastAsia="仿宋_GB2312"/>
          <w:color w:val="000000"/>
          <w:sz w:val="32"/>
          <w:szCs w:val="32"/>
        </w:rPr>
        <w:t>：反映</w:t>
      </w:r>
      <w:r>
        <w:rPr>
          <w:rFonts w:hint="eastAsia"/>
          <w:color w:val="000000"/>
          <w:sz w:val="32"/>
          <w:szCs w:val="32"/>
          <w:lang w:eastAsia="zh-CN"/>
        </w:rPr>
        <w:t>用于农村人畜饮水工程建设等方面的支出。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.农林水支出（类）213农村综合改革（款）07对村民委员会和村党支部的补助（项）05：反映各级财政对村民委员会和村党支部的补助支出，以及支持建立县级基本财力保障机制安排的村级组织运转奖补资金。</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.农林水支出（类）213农村综合改革（款）07</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农村综合改革（项）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：反映除上述项目</w:t>
      </w:r>
      <w:r>
        <w:rPr>
          <w:rFonts w:hint="eastAsia" w:ascii="仿宋_GB2312" w:eastAsia="仿宋_GB2312"/>
          <w:color w:val="000000"/>
          <w:sz w:val="32"/>
          <w:szCs w:val="32"/>
          <w:lang w:eastAsia="zh-CN"/>
        </w:rPr>
        <w:t>以外其他用农村综合改革方面的</w:t>
      </w:r>
      <w:r>
        <w:rPr>
          <w:rFonts w:hint="eastAsia" w:ascii="仿宋_GB2312" w:eastAsia="仿宋_GB2312"/>
          <w:color w:val="000000"/>
          <w:sz w:val="32"/>
          <w:szCs w:val="32"/>
        </w:rPr>
        <w:t>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.交通运输支出（类）214公路水路运输（款）01公路和运输安全（项）10：指反映公路和运输安全支出。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3</w:t>
      </w:r>
      <w:r>
        <w:rPr>
          <w:rFonts w:hint="eastAsia" w:ascii="仿宋_GB2312" w:eastAsia="仿宋_GB2312"/>
          <w:sz w:val="32"/>
          <w:szCs w:val="32"/>
          <w:lang w:val="en-US" w:eastAsia="zh-CN"/>
        </w:rPr>
        <w:t>1.</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w:t>
      </w:r>
      <w:r>
        <w:rPr>
          <w:rFonts w:hint="eastAsia" w:ascii="仿宋_GB2312" w:eastAsia="仿宋_GB2312"/>
          <w:color w:val="000000"/>
          <w:sz w:val="32"/>
          <w:szCs w:val="32"/>
        </w:rPr>
        <w:t>应急管理事务（款）01安全监管（项）06：反映安全生产监管方面的支出。</w:t>
      </w:r>
    </w:p>
    <w:p>
      <w:pPr>
        <w:spacing w:line="576" w:lineRule="exact"/>
        <w:ind w:firstLine="640" w:firstLineChars="200"/>
        <w:rPr>
          <w:rFonts w:hint="eastAsia" w:ascii="仿宋_GB2312" w:eastAsia="仿宋_GB2312"/>
          <w:color w:val="000000"/>
          <w:sz w:val="32"/>
          <w:szCs w:val="32"/>
          <w:lang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w:t>
      </w:r>
      <w:r>
        <w:rPr>
          <w:rFonts w:hint="eastAsia" w:ascii="仿宋_GB2312" w:eastAsia="仿宋_GB2312"/>
          <w:color w:val="000000"/>
          <w:sz w:val="32"/>
          <w:szCs w:val="32"/>
        </w:rPr>
        <w:t>应急管理事务（款）01</w:t>
      </w:r>
      <w:r>
        <w:rPr>
          <w:rFonts w:hint="eastAsia" w:ascii="仿宋_GB2312" w:eastAsia="仿宋_GB2312"/>
          <w:color w:val="000000"/>
          <w:sz w:val="32"/>
          <w:szCs w:val="32"/>
          <w:lang w:eastAsia="zh-CN"/>
        </w:rPr>
        <w:t>应急救援</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安全生产、自然灾害应急救援方面的支出。</w:t>
      </w:r>
    </w:p>
    <w:p>
      <w:pPr>
        <w:spacing w:line="576" w:lineRule="exact"/>
        <w:ind w:firstLine="640" w:firstLineChars="200"/>
        <w:rPr>
          <w:rFonts w:ascii="仿宋_GB2312" w:eastAsia="仿宋_GB2312"/>
          <w:b w:val="0"/>
          <w:bCs w:val="0"/>
          <w:color w:val="auto"/>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支出（类）224森林消防事务</w:t>
      </w:r>
      <w:r>
        <w:rPr>
          <w:rFonts w:hint="eastAsia" w:ascii="仿宋_GB2312" w:eastAsia="仿宋_GB2312"/>
          <w:color w:val="000000"/>
          <w:sz w:val="32"/>
          <w:szCs w:val="32"/>
        </w:rPr>
        <w:t>（款）03森林消防</w:t>
      </w:r>
      <w:r>
        <w:rPr>
          <w:rFonts w:hint="eastAsia" w:ascii="仿宋_GB2312" w:eastAsia="仿宋_GB2312"/>
          <w:color w:val="000000"/>
          <w:sz w:val="32"/>
          <w:szCs w:val="32"/>
          <w:lang w:eastAsia="zh-CN"/>
        </w:rPr>
        <w:t>应急救援</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：反映</w:t>
      </w:r>
      <w:r>
        <w:rPr>
          <w:rFonts w:hint="eastAsia" w:ascii="仿宋_GB2312" w:eastAsia="仿宋_GB2312"/>
          <w:b w:val="0"/>
          <w:bCs w:val="0"/>
          <w:color w:val="auto"/>
          <w:sz w:val="32"/>
          <w:szCs w:val="32"/>
        </w:rPr>
        <w:t>用于森林消防</w:t>
      </w:r>
      <w:r>
        <w:rPr>
          <w:rFonts w:hint="eastAsia" w:ascii="仿宋_GB2312" w:eastAsia="仿宋_GB2312"/>
          <w:b w:val="0"/>
          <w:bCs w:val="0"/>
          <w:color w:val="auto"/>
          <w:sz w:val="32"/>
          <w:szCs w:val="32"/>
          <w:lang w:eastAsia="zh-CN"/>
        </w:rPr>
        <w:t>应急救援队伍（不包括行政单位）人员基本支出、装备购置、基础设施及运行维护等</w:t>
      </w:r>
      <w:r>
        <w:rPr>
          <w:rFonts w:hint="eastAsia" w:ascii="仿宋_GB2312" w:eastAsia="仿宋_GB2312"/>
          <w:b w:val="0"/>
          <w:bCs w:val="0"/>
          <w:color w:val="auto"/>
          <w:sz w:val="32"/>
          <w:szCs w:val="32"/>
        </w:rPr>
        <w:t>方面支出。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支出（类）224森林消防事务</w:t>
      </w:r>
      <w:r>
        <w:rPr>
          <w:rFonts w:hint="eastAsia" w:ascii="仿宋_GB2312" w:eastAsia="仿宋_GB2312"/>
          <w:color w:val="000000"/>
          <w:sz w:val="32"/>
          <w:szCs w:val="32"/>
        </w:rPr>
        <w:t>（款）03其他森林消防事务支出（项）99：反映除上述项目外其他用于森林消防方面的支出。</w:t>
      </w:r>
    </w:p>
    <w:p>
      <w:pPr>
        <w:pStyle w:val="2"/>
        <w:ind w:firstLine="640" w:firstLineChars="200"/>
        <w:rPr>
          <w:rFonts w:hint="eastAsia"/>
          <w:color w:val="000000"/>
          <w:sz w:val="32"/>
          <w:szCs w:val="32"/>
          <w:lang w:val="en-US" w:eastAsia="zh-CN"/>
        </w:rPr>
      </w:pPr>
      <w:r>
        <w:rPr>
          <w:rFonts w:hint="eastAsia"/>
          <w:color w:val="000000"/>
          <w:sz w:val="32"/>
          <w:szCs w:val="32"/>
          <w:lang w:val="en-US" w:eastAsia="zh-CN"/>
        </w:rPr>
        <w:t>35.灾害防治及应急管理支出（类）224其他灾害防治及应急管理支出（款）其他灾害防治及应急管理支出（项）99：反映除上述项目外其他应急管理方面的支出。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37</w:t>
      </w:r>
      <w:r>
        <w:rPr>
          <w:rFonts w:hint="eastAsia" w:ascii="仿宋_GB2312" w:eastAsia="仿宋_GB2312"/>
          <w:color w:val="000000"/>
          <w:sz w:val="32"/>
          <w:szCs w:val="32"/>
        </w:rPr>
        <w:t xml:space="preserve">.项目支出：指在基本支出之外为完成特定行政任务和事业发展目标所发生的支出。 </w:t>
      </w:r>
    </w:p>
    <w:p>
      <w:pPr>
        <w:pStyle w:val="26"/>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39</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76" w:lineRule="exact"/>
        <w:ind w:firstLine="640" w:firstLineChars="200"/>
        <w:jc w:val="both"/>
        <w:rPr>
          <w:rFonts w:hint="eastAsia" w:ascii="仿宋_GB2312" w:eastAsia="仿宋_GB2312"/>
          <w:sz w:val="32"/>
          <w:szCs w:val="32"/>
        </w:rPr>
      </w:pPr>
    </w:p>
    <w:p>
      <w:pPr>
        <w:pStyle w:val="26"/>
        <w:spacing w:line="576" w:lineRule="exact"/>
        <w:ind w:firstLine="640" w:firstLineChars="200"/>
        <w:jc w:val="both"/>
        <w:rPr>
          <w:rFonts w:hint="eastAsia" w:ascii="仿宋_GB2312" w:eastAsia="仿宋_GB2312"/>
          <w:sz w:val="32"/>
          <w:szCs w:val="32"/>
        </w:rPr>
      </w:pPr>
    </w:p>
    <w:p>
      <w:pPr>
        <w:spacing w:line="600" w:lineRule="exact"/>
        <w:ind w:firstLine="2200" w:firstLineChars="500"/>
        <w:outlineLvl w:val="0"/>
        <w:rPr>
          <w:rFonts w:hint="eastAsia" w:ascii="黑体" w:hAnsi="黑体" w:eastAsia="黑体"/>
          <w:sz w:val="44"/>
          <w:szCs w:val="44"/>
          <w:lang w:val="en-US" w:eastAsia="zh-CN"/>
        </w:rPr>
      </w:pPr>
      <w:bookmarkStart w:id="57" w:name="_Toc15396614"/>
      <w:r>
        <w:rPr>
          <w:rFonts w:hint="eastAsia" w:ascii="黑体" w:hAnsi="黑体" w:eastAsia="黑体"/>
          <w:sz w:val="44"/>
          <w:szCs w:val="44"/>
          <w:lang w:val="en-US" w:eastAsia="zh-CN"/>
        </w:rPr>
        <w:t>第四部分  附件</w:t>
      </w:r>
    </w:p>
    <w:p>
      <w:pPr>
        <w:spacing w:line="600" w:lineRule="exact"/>
        <w:ind w:firstLine="1320" w:firstLineChars="300"/>
        <w:outlineLvl w:val="0"/>
        <w:rPr>
          <w:rFonts w:hint="eastAsia" w:ascii="黑体" w:hAnsi="黑体" w:eastAsia="黑体"/>
          <w:sz w:val="44"/>
          <w:szCs w:val="44"/>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p>
    <w:p>
      <w:pPr>
        <w:pStyle w:val="26"/>
        <w:spacing w:line="576" w:lineRule="exact"/>
        <w:ind w:firstLine="1602" w:firstLineChars="5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广元经济技术开发区盘龙镇人民政府</w:t>
      </w:r>
    </w:p>
    <w:p>
      <w:pPr>
        <w:pStyle w:val="26"/>
        <w:spacing w:line="576" w:lineRule="exact"/>
        <w:ind w:firstLine="641" w:firstLineChars="2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关于维稳、信访、扫黑、防邪、禁毒资金项目支出绩效自评报告</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根据财政局关于财政支出绩效评价工作的相关要求，现将我镇维稳、信访、防邪、禁毒、扫黑除恶项目支出绩效自评报告如下。</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en-US" w:eastAsia="zh-CN"/>
        </w:rPr>
        <w:t>一、</w:t>
      </w:r>
      <w:r>
        <w:rPr>
          <w:rFonts w:hint="eastAsia" w:ascii="仿宋_GB2312" w:eastAsia="仿宋_GB2312"/>
          <w:sz w:val="32"/>
          <w:szCs w:val="32"/>
          <w:lang w:val="zh-CN" w:eastAsia="zh-CN"/>
        </w:rPr>
        <w:t>项目概况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（一）项目资金申报及批复情况。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按照广开财预〔2021〕6号预算通知执行。</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（二）项目绩效目标。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1、保障盘龙镇信访、维稳、防邪、禁毒、扫黑除恶宣传等日常工作正常运行。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2、通过深入开展扫黑除恶工作，切实增强广大群众的安全感和满意度。</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（三）项目资金申报相符性。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项目申报内容均为</w:t>
      </w:r>
      <w:r>
        <w:rPr>
          <w:rFonts w:hint="eastAsia" w:ascii="仿宋_GB2312" w:eastAsia="仿宋_GB2312"/>
          <w:sz w:val="32"/>
          <w:szCs w:val="32"/>
          <w:lang w:val="en-US" w:eastAsia="zh-CN"/>
        </w:rPr>
        <w:t>信访、维稳、防邪、禁毒、扫黑工作</w:t>
      </w:r>
      <w:r>
        <w:rPr>
          <w:rFonts w:hint="eastAsia" w:ascii="仿宋_GB2312" w:eastAsia="仿宋_GB2312"/>
          <w:sz w:val="32"/>
          <w:szCs w:val="32"/>
          <w:lang w:val="zh-CN" w:eastAsia="zh-CN"/>
        </w:rPr>
        <w:t>相关内容，与具体实施内容相符、申报目标合理可行。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二、项目实施及管理情况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（一）项目资金到位情况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资金到位9万元。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（二）资金使用</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合计使用9万元，其中宣传单制作、信访条例制作宣传费用发生3万元，其他工作开展6万元。</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（三）项目财务管理情况。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我单位严格执行单位财务管理制度，报账履行逐级审批手续，附有实施方案、合同、发票、实物照片、现场照片、等。手续齐全，真实有效。</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（四）项目组织实施情况。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宣传由经办部门按照经批准的实施方案实施，主要是制作信访条例手册、宣传栏等。</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三、项目完成情况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完成了宣传资料的制作、宣传100册。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四、项目效益情况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盘龙镇治安环境不断改善，群众幸福度上升，群众违法犯罪指数不断下降，努力营造了盘龙辖区安居乐业的良好社会环境。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五、结论及建议</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（一）评价结论。</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项目完成了预期计划，实现了预期目标。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（二）存在的问题</w:t>
      </w:r>
      <w:r>
        <w:rPr>
          <w:rFonts w:hint="eastAsia" w:ascii="仿宋_GB2312" w:eastAsia="仿宋_GB2312"/>
          <w:sz w:val="32"/>
          <w:szCs w:val="32"/>
          <w:lang w:val="en-US" w:eastAsia="zh-CN"/>
        </w:rPr>
        <w:t>。无</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（三）建议。</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做好信访条例等宣传教育，提高群众法治意识，对一些干部在行使公务权利有异议，引导群众采取正当合法信访。</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26"/>
        <w:spacing w:line="576" w:lineRule="exact"/>
        <w:ind w:firstLine="2560" w:firstLineChars="8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广元经济技术开发盘龙镇人民政府</w:t>
      </w:r>
    </w:p>
    <w:p>
      <w:pPr>
        <w:pStyle w:val="26"/>
        <w:spacing w:line="576" w:lineRule="exact"/>
        <w:ind w:firstLine="4160" w:firstLineChars="13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2022年4月20日</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项目支出绩效目标自评表</w:t>
      </w:r>
    </w:p>
    <w:tbl>
      <w:tblPr>
        <w:tblStyle w:val="16"/>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90"/>
        <w:gridCol w:w="116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项目名称</w:t>
            </w:r>
          </w:p>
        </w:tc>
        <w:tc>
          <w:tcPr>
            <w:tcW w:w="2240" w:type="dxa"/>
            <w:gridSpan w:val="3"/>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信访、维稳、扫黑、防邪、禁毒项目资金</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项目属性</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□新增项目 </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预算单位</w:t>
            </w:r>
          </w:p>
        </w:tc>
        <w:tc>
          <w:tcPr>
            <w:tcW w:w="2240" w:type="dxa"/>
            <w:gridSpan w:val="3"/>
            <w:vMerge w:val="restart"/>
            <w:tcBorders>
              <w:tl2br w:val="nil"/>
              <w:tr2bl w:val="nil"/>
            </w:tcBorders>
            <w:shd w:val="clear" w:color="auto" w:fill="auto"/>
            <w:vAlign w:val="center"/>
          </w:tcPr>
          <w:p>
            <w:pPr>
              <w:pStyle w:val="26"/>
              <w:spacing w:line="576"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广元经济技术开发区盘龙镇人民政府</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项目口径</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□经常性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□阶段性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240" w:type="dxa"/>
            <w:gridSpan w:val="3"/>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项目起止时间</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执行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（元）</w:t>
            </w: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预算金额（万元）</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实际执行（万元）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其中：一般公共预算（万元）</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其中：一般公共预算（万元）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政府性基金预算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政府性基金预算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国有资本经营预算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国有资本经营预算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社会保险基金预算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社会保险基金预算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年度</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tc>
        <w:tc>
          <w:tcPr>
            <w:tcW w:w="3478" w:type="dxa"/>
            <w:gridSpan w:val="4"/>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预期目标</w:t>
            </w:r>
          </w:p>
        </w:tc>
        <w:tc>
          <w:tcPr>
            <w:tcW w:w="4273"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3478" w:type="dxa"/>
            <w:gridSpan w:val="4"/>
            <w:tcBorders>
              <w:tl2br w:val="nil"/>
              <w:tr2bl w:val="nil"/>
            </w:tcBorders>
            <w:shd w:val="clear" w:color="auto" w:fill="auto"/>
            <w:vAlign w:val="center"/>
          </w:tcPr>
          <w:p>
            <w:pPr>
              <w:pStyle w:val="26"/>
              <w:spacing w:line="576" w:lineRule="exact"/>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c>
          <w:tcPr>
            <w:tcW w:w="4273"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全年无群访事件发生，辖区社会环境安全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年度</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绩效</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tc>
        <w:tc>
          <w:tcPr>
            <w:tcW w:w="1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一级指标</w:t>
            </w:r>
          </w:p>
        </w:tc>
        <w:tc>
          <w:tcPr>
            <w:tcW w:w="1078" w:type="dxa"/>
            <w:gridSpan w:val="2"/>
            <w:tcBorders>
              <w:tl2br w:val="nil"/>
              <w:tr2bl w:val="nil"/>
            </w:tcBorders>
            <w:shd w:val="clear" w:color="auto" w:fill="auto"/>
            <w:vAlign w:val="center"/>
          </w:tcPr>
          <w:p>
            <w:pPr>
              <w:pStyle w:val="26"/>
              <w:spacing w:line="240" w:lineRule="auto"/>
              <w:ind w:firstLine="0" w:firstLineChars="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二级</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162" w:type="dxa"/>
            <w:tcBorders>
              <w:tl2br w:val="nil"/>
              <w:tr2bl w:val="nil"/>
            </w:tcBorders>
            <w:shd w:val="clear" w:color="auto" w:fill="auto"/>
            <w:vAlign w:val="center"/>
          </w:tcPr>
          <w:p>
            <w:pPr>
              <w:pStyle w:val="26"/>
              <w:spacing w:line="240" w:lineRule="auto"/>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三级指标</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预期指标值（包含数字及文字描述）</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restart"/>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项目完成指标</w:t>
            </w:r>
          </w:p>
        </w:tc>
        <w:tc>
          <w:tcPr>
            <w:tcW w:w="888" w:type="dxa"/>
            <w:vMerge w:val="restart"/>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数量</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指标1：值班人次</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≥70次</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全年安全维稳值班等100人次以上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指标2：宣传册印刷</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≥70册</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100册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质量指标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指标1：有效预防和制止违法犯罪</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较上年度街面违法犯罪案件下降</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较上年度街面违法犯罪案件下降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时效指标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指标1：完成时效</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成本</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指标1：宣传业务费</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9万元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restart"/>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项目效果指标</w:t>
            </w:r>
          </w:p>
        </w:tc>
        <w:tc>
          <w:tcPr>
            <w:tcW w:w="888" w:type="dxa"/>
            <w:vMerge w:val="restart"/>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效益</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指标1：维护稳定</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指标2：社会环境</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保障辖区社会环境安全</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保障辖区社会环境安全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可持续影响指标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指标1：防邪、禁毒、扫黑除恶宣传</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有效预防和制止违法犯罪，促进社会和谐稳定</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有效预防和制止违法犯罪，促进社会和谐稳定</w:t>
            </w:r>
          </w:p>
        </w:tc>
      </w:tr>
    </w:tbl>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附件2</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1602" w:firstLineChars="5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广元经济技术开发盘龙镇人民政府</w:t>
      </w:r>
    </w:p>
    <w:p>
      <w:pPr>
        <w:pStyle w:val="26"/>
        <w:spacing w:line="576" w:lineRule="exact"/>
        <w:ind w:firstLine="961" w:firstLineChars="3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关于安全生产资金项目支出绩效自评报告</w:t>
      </w:r>
    </w:p>
    <w:p>
      <w:pPr>
        <w:pStyle w:val="26"/>
        <w:spacing w:line="576" w:lineRule="exact"/>
        <w:ind w:firstLine="641" w:firstLineChars="200"/>
        <w:jc w:val="both"/>
        <w:rPr>
          <w:rFonts w:hint="eastAsia" w:ascii="宋体" w:hAnsi="宋体" w:eastAsia="宋体" w:cs="宋体"/>
          <w:b/>
          <w:bCs/>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根据财政局关于财政支出绩效评价工作的相关要求，现将我镇安全生产项目支出绩效自评报告如下。</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en-US" w:eastAsia="zh-CN"/>
        </w:rPr>
        <w:t>一、</w:t>
      </w:r>
      <w:r>
        <w:rPr>
          <w:rFonts w:hint="eastAsia" w:ascii="仿宋_GB2312" w:eastAsia="仿宋_GB2312"/>
          <w:sz w:val="32"/>
          <w:szCs w:val="32"/>
          <w:lang w:val="zh-CN" w:eastAsia="zh-CN"/>
        </w:rPr>
        <w:t>项目概况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（一）项目资金申报及批复情况。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按照按照广开财预〔2021〕6号预算通知执行。</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（二）项目绩效目标。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主要是对辖区安全生产监管、安全生产宣传等。提高企业、居民（村民）安全防范意识，经常开展宣传教育与培训活动，营造安全文化氛围。宣传教育与培训活动应针对不同层次人群的安全意识与能力要求制定相应的方案，以提高辖区企业及居民安全意识和防范事故与伤害的能力。</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2、辖区全年安全检查20次，开展入企业、入户安全宣传20次。</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3、通过对安全隐患排查、整改安全隐患，全年无重大安全事故发生。</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（三）项目资金申报相符性。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项目申报内容均为安全</w:t>
      </w:r>
      <w:r>
        <w:rPr>
          <w:rFonts w:hint="eastAsia" w:ascii="仿宋_GB2312" w:eastAsia="仿宋_GB2312"/>
          <w:sz w:val="32"/>
          <w:szCs w:val="32"/>
          <w:lang w:val="en-US" w:eastAsia="zh-CN"/>
        </w:rPr>
        <w:t>监管</w:t>
      </w:r>
      <w:r>
        <w:rPr>
          <w:rFonts w:hint="eastAsia" w:ascii="仿宋_GB2312" w:eastAsia="仿宋_GB2312"/>
          <w:sz w:val="32"/>
          <w:szCs w:val="32"/>
          <w:lang w:val="zh-CN" w:eastAsia="zh-CN"/>
        </w:rPr>
        <w:t>方案相关内容，与具体实施内容相符、申报目标合理可行。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二、项目实施及管理情况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（一）项目资金到位情况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资金到位3万元。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（二）资金使用</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合计使用3万元，其中宣传业务费发生3万元。</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（三）项目财务管理情况。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我单位严格执行单位财务管理制度，报账履行逐级审批手续，附有实施方案、合同、发票、实物照片、现场照片、等。手续齐全，真实有效。</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（四）项目组织实施情况。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宣传由经办部门按照经批准的实施方案实施，主要是制作安全手册、宣传栏、告示牌等。</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三、项目完成情况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完成了宣传资料的制作、宣传20余次，全年隐患排查15个，整改15个，完成100%，全年无安全事故发生。</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四、项目效益情况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盘龙镇辖区安全生产环境不断改善，各类事故指数不断下降，交通安全事故下降50%、消防事故下降80%、社会治安案件下降56%、生产安全事故为0，努力营造了盘龙辖区安居乐业的良好安全环境。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五、结论及建议</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（一）评价结论。</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项目完成了预期计划，实现了预期目标。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（二）存在的问题</w:t>
      </w:r>
      <w:r>
        <w:rPr>
          <w:rFonts w:hint="eastAsia" w:ascii="仿宋_GB2312" w:eastAsia="仿宋_GB2312"/>
          <w:sz w:val="32"/>
          <w:szCs w:val="32"/>
          <w:lang w:val="en-US" w:eastAsia="zh-CN"/>
        </w:rPr>
        <w:t>。无</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（三）建议。</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做好安全宣传教育进企业、进校园、进机关、进社区、进农村、进家庭、进公共场所等活动，多渠道开展安全知识和日常安全常识的宣传，提高社区人员安全意识。最大限度地预防和降低伤害事故， 改善企业安全状况，提高辖区安全保障，构建平安和谐社会。</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2880" w:firstLineChars="9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广元经济技术开发区盘龙镇人民政</w:t>
      </w:r>
    </w:p>
    <w:p>
      <w:pPr>
        <w:pStyle w:val="26"/>
        <w:spacing w:line="576" w:lineRule="exact"/>
        <w:ind w:firstLine="4480" w:firstLineChars="14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2022年4月20日</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bookmarkEnd w:id="57"/>
    <w:p>
      <w:pPr>
        <w:widowControl/>
        <w:spacing w:line="576" w:lineRule="exact"/>
        <w:jc w:val="center"/>
        <w:rPr>
          <w:rStyle w:val="28"/>
          <w:rFonts w:ascii="黑体" w:hAnsi="黑体" w:eastAsia="黑体"/>
          <w:b w:val="0"/>
        </w:rPr>
      </w:pPr>
      <w:r>
        <w:rPr>
          <w:rStyle w:val="28"/>
          <w:rFonts w:hint="eastAsia" w:ascii="黑体" w:hAnsi="黑体" w:eastAsia="黑体"/>
          <w:b w:val="0"/>
        </w:rPr>
        <w:t>第</w:t>
      </w:r>
      <w:r>
        <w:rPr>
          <w:rStyle w:val="28"/>
          <w:rFonts w:hint="eastAsia" w:ascii="黑体" w:hAnsi="黑体" w:eastAsia="黑体"/>
          <w:b w:val="0"/>
          <w:lang w:val="en-US" w:eastAsia="zh-CN"/>
        </w:rPr>
        <w:t>五</w:t>
      </w:r>
      <w:r>
        <w:rPr>
          <w:rStyle w:val="28"/>
          <w:rFonts w:hint="eastAsia" w:ascii="黑体" w:hAnsi="黑体" w:eastAsia="黑体"/>
          <w:b w:val="0"/>
        </w:rPr>
        <w:t>部分附表</w:t>
      </w:r>
      <w:bookmarkStart w:id="58" w:name="_Toc15396619"/>
    </w:p>
    <w:p>
      <w:pPr>
        <w:pStyle w:val="2"/>
        <w:spacing w:before="93" w:line="576" w:lineRule="exact"/>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一、收</w:t>
      </w:r>
      <w:r>
        <w:rPr>
          <w:rStyle w:val="29"/>
          <w:rFonts w:hint="eastAsia" w:ascii="黑体" w:hAnsi="黑体" w:eastAsia="黑体" w:cs="黑体"/>
          <w:b w:val="0"/>
          <w:bCs w:val="0"/>
        </w:rPr>
        <w:t>入支出决算总表</w:t>
      </w:r>
      <w:bookmarkEnd w:id="58"/>
    </w:p>
    <w:p>
      <w:pPr>
        <w:spacing w:line="576" w:lineRule="exact"/>
        <w:ind w:firstLine="640" w:firstLineChars="200"/>
        <w:rPr>
          <w:rFonts w:ascii="黑体" w:hAnsi="黑体" w:eastAsia="黑体" w:cs="黑体"/>
          <w:sz w:val="32"/>
          <w:szCs w:val="32"/>
        </w:rPr>
      </w:pPr>
      <w:bookmarkStart w:id="59" w:name="_Toc15396620"/>
      <w:r>
        <w:rPr>
          <w:rFonts w:hint="eastAsia" w:ascii="黑体" w:hAnsi="黑体" w:eastAsia="黑体" w:cs="黑体"/>
          <w:sz w:val="32"/>
          <w:szCs w:val="32"/>
        </w:rPr>
        <w:t>二、收</w:t>
      </w:r>
      <w:r>
        <w:rPr>
          <w:rStyle w:val="29"/>
          <w:rFonts w:hint="eastAsia" w:ascii="黑体" w:hAnsi="黑体" w:eastAsia="黑体" w:cs="黑体"/>
          <w:b w:val="0"/>
          <w:bCs w:val="0"/>
        </w:rPr>
        <w:t>入决算表</w:t>
      </w:r>
      <w:bookmarkEnd w:id="59"/>
    </w:p>
    <w:p>
      <w:pPr>
        <w:spacing w:line="576" w:lineRule="atLeast"/>
        <w:ind w:firstLine="640" w:firstLineChars="200"/>
        <w:rPr>
          <w:rFonts w:ascii="黑体" w:hAnsi="黑体" w:eastAsia="黑体" w:cs="黑体"/>
          <w:sz w:val="32"/>
          <w:szCs w:val="32"/>
        </w:rPr>
      </w:pPr>
      <w:bookmarkStart w:id="60" w:name="_Toc15396621"/>
      <w:r>
        <w:rPr>
          <w:rStyle w:val="29"/>
          <w:rFonts w:hint="eastAsia" w:ascii="黑体" w:hAnsi="黑体" w:eastAsia="黑体" w:cs="黑体"/>
          <w:b w:val="0"/>
          <w:bCs w:val="0"/>
        </w:rPr>
        <w:t>三、</w:t>
      </w:r>
      <w:r>
        <w:rPr>
          <w:rFonts w:hint="eastAsia" w:ascii="黑体" w:hAnsi="黑体" w:eastAsia="黑体" w:cs="黑体"/>
          <w:sz w:val="32"/>
          <w:szCs w:val="32"/>
        </w:rPr>
        <w:t>支</w:t>
      </w:r>
      <w:r>
        <w:rPr>
          <w:rStyle w:val="29"/>
          <w:rFonts w:hint="eastAsia" w:ascii="黑体" w:hAnsi="黑体" w:eastAsia="黑体" w:cs="黑体"/>
          <w:b w:val="0"/>
          <w:bCs w:val="0"/>
        </w:rPr>
        <w:t>出决算表</w:t>
      </w:r>
      <w:bookmarkEnd w:id="60"/>
    </w:p>
    <w:p>
      <w:pPr>
        <w:spacing w:line="576" w:lineRule="atLeast"/>
        <w:ind w:firstLine="640" w:firstLineChars="200"/>
        <w:rPr>
          <w:rFonts w:ascii="黑体" w:hAnsi="黑体" w:eastAsia="黑体" w:cs="黑体"/>
          <w:sz w:val="32"/>
          <w:szCs w:val="32"/>
        </w:rPr>
      </w:pPr>
      <w:bookmarkStart w:id="61" w:name="_Toc15396622"/>
      <w:r>
        <w:rPr>
          <w:rStyle w:val="29"/>
          <w:rFonts w:hint="eastAsia" w:ascii="黑体" w:hAnsi="黑体" w:eastAsia="黑体" w:cs="黑体"/>
          <w:b w:val="0"/>
          <w:bCs w:val="0"/>
        </w:rPr>
        <w:t>四、</w:t>
      </w:r>
      <w:r>
        <w:rPr>
          <w:rFonts w:hint="eastAsia" w:ascii="黑体" w:hAnsi="黑体" w:eastAsia="黑体" w:cs="黑体"/>
          <w:sz w:val="32"/>
          <w:szCs w:val="32"/>
        </w:rPr>
        <w:t>财</w:t>
      </w:r>
      <w:r>
        <w:rPr>
          <w:rStyle w:val="29"/>
          <w:rFonts w:hint="eastAsia" w:ascii="黑体" w:hAnsi="黑体" w:eastAsia="黑体" w:cs="黑体"/>
          <w:b w:val="0"/>
          <w:bCs w:val="0"/>
        </w:rPr>
        <w:t>政拨款收入支出决算总表</w:t>
      </w:r>
      <w:bookmarkEnd w:id="61"/>
    </w:p>
    <w:p>
      <w:pPr>
        <w:spacing w:line="576" w:lineRule="exact"/>
        <w:ind w:firstLine="640" w:firstLineChars="200"/>
        <w:rPr>
          <w:rStyle w:val="29"/>
          <w:rFonts w:ascii="黑体" w:hAnsi="黑体" w:eastAsia="黑体" w:cs="黑体"/>
          <w:b w:val="0"/>
          <w:bCs w:val="0"/>
        </w:rPr>
      </w:pPr>
      <w:bookmarkStart w:id="62" w:name="_Toc15396623"/>
      <w:r>
        <w:rPr>
          <w:rStyle w:val="29"/>
          <w:rFonts w:hint="eastAsia" w:ascii="黑体" w:hAnsi="黑体" w:eastAsia="黑体" w:cs="黑体"/>
          <w:b w:val="0"/>
          <w:bCs w:val="0"/>
        </w:rPr>
        <w:t>五、</w:t>
      </w:r>
      <w:r>
        <w:rPr>
          <w:rFonts w:hint="eastAsia" w:ascii="黑体" w:hAnsi="黑体" w:eastAsia="黑体" w:cs="黑体"/>
          <w:sz w:val="32"/>
          <w:szCs w:val="32"/>
        </w:rPr>
        <w:t>财</w:t>
      </w:r>
      <w:r>
        <w:rPr>
          <w:rStyle w:val="29"/>
          <w:rFonts w:hint="eastAsia" w:ascii="黑体" w:hAnsi="黑体" w:eastAsia="黑体" w:cs="黑体"/>
          <w:b w:val="0"/>
          <w:bCs w:val="0"/>
        </w:rPr>
        <w:t>政拨款支出决算明细表</w:t>
      </w:r>
      <w:bookmarkEnd w:id="62"/>
      <w:bookmarkStart w:id="63" w:name="_Toc15396624"/>
    </w:p>
    <w:p>
      <w:pPr>
        <w:spacing w:line="576" w:lineRule="exact"/>
        <w:ind w:firstLine="640" w:firstLineChars="200"/>
        <w:rPr>
          <w:rFonts w:ascii="黑体" w:hAnsi="黑体" w:eastAsia="黑体" w:cs="黑体"/>
          <w:sz w:val="32"/>
          <w:szCs w:val="32"/>
        </w:rPr>
      </w:pPr>
      <w:r>
        <w:rPr>
          <w:rStyle w:val="29"/>
          <w:rFonts w:hint="eastAsia" w:ascii="黑体" w:hAnsi="黑体" w:eastAsia="黑体" w:cs="黑体"/>
          <w:b w:val="0"/>
          <w:bCs w:val="0"/>
        </w:rPr>
        <w:t>六、</w:t>
      </w:r>
      <w:r>
        <w:rPr>
          <w:rFonts w:hint="eastAsia" w:ascii="黑体" w:hAnsi="黑体" w:eastAsia="黑体" w:cs="黑体"/>
          <w:sz w:val="32"/>
          <w:szCs w:val="32"/>
        </w:rPr>
        <w:t>一</w:t>
      </w:r>
      <w:r>
        <w:rPr>
          <w:rStyle w:val="29"/>
          <w:rFonts w:hint="eastAsia" w:ascii="黑体" w:hAnsi="黑体" w:eastAsia="黑体" w:cs="黑体"/>
          <w:b w:val="0"/>
          <w:bCs w:val="0"/>
        </w:rPr>
        <w:t>般公共预算财政拨款支出决算表</w:t>
      </w:r>
      <w:bookmarkEnd w:id="63"/>
    </w:p>
    <w:p>
      <w:pPr>
        <w:spacing w:line="576" w:lineRule="exact"/>
        <w:ind w:firstLine="640" w:firstLineChars="200"/>
        <w:rPr>
          <w:rFonts w:ascii="黑体" w:hAnsi="黑体" w:eastAsia="黑体" w:cs="黑体"/>
          <w:sz w:val="32"/>
          <w:szCs w:val="32"/>
        </w:rPr>
      </w:pPr>
      <w:bookmarkStart w:id="64" w:name="_Toc15396625"/>
      <w:r>
        <w:rPr>
          <w:rStyle w:val="29"/>
          <w:rFonts w:hint="eastAsia" w:ascii="黑体" w:hAnsi="黑体" w:eastAsia="黑体" w:cs="黑体"/>
          <w:b w:val="0"/>
          <w:bCs w:val="0"/>
        </w:rPr>
        <w:t>七、</w:t>
      </w:r>
      <w:r>
        <w:rPr>
          <w:rFonts w:hint="eastAsia" w:ascii="黑体" w:hAnsi="黑体" w:eastAsia="黑体" w:cs="黑体"/>
          <w:sz w:val="32"/>
          <w:szCs w:val="32"/>
        </w:rPr>
        <w:t>一</w:t>
      </w:r>
      <w:r>
        <w:rPr>
          <w:rStyle w:val="29"/>
          <w:rFonts w:hint="eastAsia" w:ascii="黑体" w:hAnsi="黑体" w:eastAsia="黑体" w:cs="黑体"/>
          <w:b w:val="0"/>
          <w:bCs w:val="0"/>
        </w:rPr>
        <w:t>般公共预算财政拨款支出决算明细表</w:t>
      </w:r>
      <w:bookmarkEnd w:id="64"/>
    </w:p>
    <w:p>
      <w:pPr>
        <w:spacing w:line="576" w:lineRule="exact"/>
        <w:ind w:firstLine="640" w:firstLineChars="200"/>
        <w:rPr>
          <w:rFonts w:ascii="黑体" w:hAnsi="黑体" w:eastAsia="黑体" w:cs="黑体"/>
          <w:sz w:val="32"/>
          <w:szCs w:val="32"/>
        </w:rPr>
      </w:pPr>
      <w:bookmarkStart w:id="65" w:name="_Toc15396626"/>
      <w:r>
        <w:rPr>
          <w:rStyle w:val="29"/>
          <w:rFonts w:hint="eastAsia" w:ascii="黑体" w:hAnsi="黑体" w:eastAsia="黑体" w:cs="黑体"/>
          <w:b w:val="0"/>
          <w:bCs w:val="0"/>
        </w:rPr>
        <w:t>八、</w:t>
      </w:r>
      <w:r>
        <w:rPr>
          <w:rFonts w:hint="eastAsia" w:ascii="黑体" w:hAnsi="黑体" w:eastAsia="黑体" w:cs="黑体"/>
          <w:sz w:val="32"/>
          <w:szCs w:val="32"/>
        </w:rPr>
        <w:t>一</w:t>
      </w:r>
      <w:r>
        <w:rPr>
          <w:rStyle w:val="29"/>
          <w:rFonts w:hint="eastAsia" w:ascii="黑体" w:hAnsi="黑体" w:eastAsia="黑体" w:cs="黑体"/>
          <w:b w:val="0"/>
          <w:bCs w:val="0"/>
        </w:rPr>
        <w:t>般公共预算财政拨款基本支出决算表</w:t>
      </w:r>
      <w:bookmarkEnd w:id="65"/>
    </w:p>
    <w:p>
      <w:pPr>
        <w:spacing w:line="576" w:lineRule="exact"/>
        <w:ind w:firstLine="640" w:firstLineChars="200"/>
        <w:rPr>
          <w:rStyle w:val="29"/>
          <w:rFonts w:ascii="黑体" w:hAnsi="黑体" w:eastAsia="黑体" w:cs="黑体"/>
          <w:b w:val="0"/>
          <w:bCs w:val="0"/>
        </w:rPr>
      </w:pPr>
      <w:bookmarkStart w:id="66" w:name="_Toc15396627"/>
      <w:r>
        <w:rPr>
          <w:rStyle w:val="29"/>
          <w:rFonts w:hint="eastAsia" w:ascii="黑体" w:hAnsi="黑体" w:eastAsia="黑体" w:cs="黑体"/>
          <w:b w:val="0"/>
          <w:bCs w:val="0"/>
        </w:rPr>
        <w:t>九、一般公共预算财政拨款项目支出决算表</w:t>
      </w:r>
      <w:bookmarkEnd w:id="66"/>
    </w:p>
    <w:p>
      <w:pPr>
        <w:spacing w:line="576" w:lineRule="exact"/>
        <w:ind w:firstLine="640" w:firstLineChars="200"/>
        <w:rPr>
          <w:rStyle w:val="29"/>
          <w:rFonts w:ascii="黑体" w:hAnsi="黑体" w:eastAsia="黑体" w:cs="黑体"/>
          <w:b w:val="0"/>
          <w:bCs w:val="0"/>
        </w:rPr>
      </w:pPr>
      <w:bookmarkStart w:id="67" w:name="_Toc15396628"/>
      <w:r>
        <w:rPr>
          <w:rStyle w:val="29"/>
          <w:rFonts w:hint="eastAsia" w:ascii="黑体" w:hAnsi="黑体" w:eastAsia="黑体" w:cs="黑体"/>
          <w:b w:val="0"/>
          <w:bCs w:val="0"/>
        </w:rPr>
        <w:t>十、一般公共预算财政拨款“三公”经费支出决算表</w:t>
      </w:r>
      <w:bookmarkEnd w:id="67"/>
    </w:p>
    <w:p>
      <w:pPr>
        <w:spacing w:line="576" w:lineRule="exact"/>
        <w:ind w:firstLine="640" w:firstLineChars="200"/>
        <w:rPr>
          <w:rStyle w:val="29"/>
          <w:rFonts w:hint="default" w:ascii="黑体" w:hAnsi="黑体" w:eastAsia="黑体" w:cs="黑体"/>
          <w:b w:val="0"/>
          <w:bCs w:val="0"/>
          <w:lang w:val="en-US" w:eastAsia="zh-CN"/>
        </w:rPr>
      </w:pPr>
      <w:bookmarkStart w:id="68" w:name="_Toc15396629"/>
      <w:r>
        <w:rPr>
          <w:rStyle w:val="29"/>
          <w:rFonts w:hint="eastAsia" w:ascii="黑体" w:hAnsi="黑体" w:eastAsia="黑体" w:cs="黑体"/>
          <w:b w:val="0"/>
          <w:bCs w:val="0"/>
        </w:rPr>
        <w:t>十一、政府性基金预算财政拨款收入支出决算表</w:t>
      </w:r>
      <w:bookmarkEnd w:id="68"/>
      <w:r>
        <w:rPr>
          <w:rStyle w:val="29"/>
          <w:rFonts w:hint="eastAsia" w:ascii="黑体" w:hAnsi="黑体" w:eastAsia="黑体" w:cs="黑体"/>
          <w:b w:val="0"/>
          <w:bCs w:val="0"/>
          <w:lang w:val="en-US" w:eastAsia="zh-CN"/>
        </w:rPr>
        <w:t>(无数据)</w:t>
      </w:r>
    </w:p>
    <w:p>
      <w:pPr>
        <w:spacing w:line="576" w:lineRule="exact"/>
        <w:ind w:firstLine="640" w:firstLineChars="200"/>
        <w:rPr>
          <w:rStyle w:val="29"/>
          <w:rFonts w:hint="eastAsia" w:ascii="黑体" w:hAnsi="黑体" w:eastAsia="黑体" w:cs="黑体"/>
          <w:b w:val="0"/>
          <w:bCs w:val="0"/>
          <w:spacing w:val="-20"/>
          <w:lang w:eastAsia="zh-CN"/>
        </w:rPr>
      </w:pPr>
      <w:bookmarkStart w:id="69" w:name="_Toc15396630"/>
      <w:r>
        <w:rPr>
          <w:rStyle w:val="29"/>
          <w:rFonts w:hint="eastAsia" w:ascii="黑体" w:hAnsi="黑体" w:eastAsia="黑体" w:cs="黑体"/>
          <w:b w:val="0"/>
          <w:bCs w:val="0"/>
        </w:rPr>
        <w:t>十二、</w:t>
      </w:r>
      <w:r>
        <w:rPr>
          <w:rStyle w:val="29"/>
          <w:rFonts w:hint="eastAsia" w:ascii="黑体" w:hAnsi="黑体" w:eastAsia="黑体" w:cs="黑体"/>
          <w:b w:val="0"/>
          <w:bCs w:val="0"/>
          <w:spacing w:val="-20"/>
        </w:rPr>
        <w:t>政府性基金预算财政拨款“三公”经费支出决算表</w:t>
      </w:r>
      <w:bookmarkEnd w:id="69"/>
      <w:r>
        <w:rPr>
          <w:rStyle w:val="29"/>
          <w:rFonts w:hint="eastAsia" w:ascii="黑体" w:hAnsi="黑体" w:eastAsia="黑体" w:cs="黑体"/>
          <w:b w:val="0"/>
          <w:bCs w:val="0"/>
          <w:spacing w:val="-20"/>
          <w:lang w:eastAsia="zh-CN"/>
        </w:rPr>
        <w:t>（无数据）</w:t>
      </w:r>
    </w:p>
    <w:p>
      <w:pPr>
        <w:spacing w:line="576" w:lineRule="exact"/>
        <w:ind w:firstLine="640" w:firstLineChars="200"/>
        <w:rPr>
          <w:rStyle w:val="29"/>
          <w:rFonts w:hint="default" w:ascii="黑体" w:hAnsi="黑体" w:eastAsia="黑体" w:cs="黑体"/>
          <w:b w:val="0"/>
          <w:bCs w:val="0"/>
          <w:lang w:val="en-US" w:eastAsia="zh-CN"/>
        </w:rPr>
      </w:pPr>
      <w:bookmarkStart w:id="70" w:name="_Toc15396631"/>
      <w:r>
        <w:rPr>
          <w:rStyle w:val="29"/>
          <w:rFonts w:hint="eastAsia" w:ascii="黑体" w:hAnsi="黑体" w:eastAsia="黑体" w:cs="黑体"/>
          <w:b w:val="0"/>
          <w:bCs w:val="0"/>
        </w:rPr>
        <w:t>十三、国有资本经营预算财政拨款收入支出决算表</w:t>
      </w:r>
      <w:bookmarkEnd w:id="70"/>
      <w:r>
        <w:rPr>
          <w:rStyle w:val="29"/>
          <w:rFonts w:hint="eastAsia" w:ascii="黑体" w:hAnsi="黑体" w:eastAsia="黑体" w:cs="黑体"/>
          <w:b w:val="0"/>
          <w:bCs w:val="0"/>
          <w:lang w:eastAsia="zh-CN"/>
        </w:rPr>
        <w:t>（无数据）</w:t>
      </w:r>
    </w:p>
    <w:p>
      <w:pPr>
        <w:spacing w:line="576" w:lineRule="exact"/>
        <w:ind w:firstLine="640" w:firstLineChars="200"/>
        <w:rPr>
          <w:rStyle w:val="29"/>
          <w:rFonts w:hint="eastAsia" w:ascii="黑体" w:hAnsi="黑体" w:eastAsia="黑体" w:cs="黑体"/>
          <w:b w:val="0"/>
          <w:bCs w:val="0"/>
          <w:lang w:eastAsia="zh-CN"/>
        </w:rPr>
      </w:pPr>
      <w:r>
        <w:rPr>
          <w:rStyle w:val="29"/>
          <w:rFonts w:hint="eastAsia" w:ascii="黑体" w:hAnsi="黑体" w:eastAsia="黑体" w:cs="黑体"/>
          <w:b w:val="0"/>
          <w:bCs w:val="0"/>
        </w:rPr>
        <w:t>十四、国有资本经营预算财政拨款支出决算表</w:t>
      </w:r>
      <w:r>
        <w:rPr>
          <w:rStyle w:val="29"/>
          <w:rFonts w:hint="eastAsia" w:ascii="黑体" w:hAnsi="黑体" w:eastAsia="黑体" w:cs="黑体"/>
          <w:b w:val="0"/>
          <w:bCs w:val="0"/>
          <w:lang w:eastAsia="zh-CN"/>
        </w:rPr>
        <w:t>（无数据）</w:t>
      </w:r>
    </w:p>
    <w:p>
      <w:pPr>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Arial"/>
    <w:panose1 w:val="02010609030101010101"/>
    <w:charset w:val="86"/>
    <w:family w:val="modern"/>
    <w:pitch w:val="default"/>
    <w:sig w:usb0="00000000" w:usb1="00000000" w:usb2="00000000" w:usb3="00000000" w:csb0="00040000" w:csb1="00000000"/>
  </w:font>
  <w:font w:name="仿宋">
    <w:altName w:val="Arial"/>
    <w:panose1 w:val="02010609060101010101"/>
    <w:charset w:val="86"/>
    <w:family w:val="auto"/>
    <w:pitch w:val="default"/>
    <w:sig w:usb0="00000000" w:usb1="00000000" w:usb2="00000016" w:usb3="00000000" w:csb0="00040001" w:csb1="00000000"/>
  </w:font>
  <w:font w:name="方正小标宋简体">
    <w:altName w:val="Arial"/>
    <w:panose1 w:val="02000000000000000000"/>
    <w:charset w:val="86"/>
    <w:family w:val="script"/>
    <w:pitch w:val="default"/>
    <w:sig w:usb0="00000000" w:usb1="00000000" w:usb2="00000012"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方正仿宋_GBK">
    <w:altName w:val="Arial"/>
    <w:panose1 w:val="00000000000000000000"/>
    <w:charset w:val="00"/>
    <w:family w:val="auto"/>
    <w:pitch w:val="default"/>
    <w:sig w:usb0="00000000" w:usb1="00000000" w:usb2="00000000" w:usb3="00000000" w:csb0="00000000" w:csb1="00000000"/>
  </w:font>
  <w:font w:name="方正小标宋_GBK">
    <w:altName w:val="Arial"/>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13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F9866"/>
    <w:multiLevelType w:val="singleLevel"/>
    <w:tmpl w:val="EE6F9866"/>
    <w:lvl w:ilvl="0" w:tentative="0">
      <w:start w:val="1"/>
      <w:numFmt w:val="decimal"/>
      <w:lvlText w:val="%1."/>
      <w:lvlJc w:val="left"/>
      <w:pPr>
        <w:tabs>
          <w:tab w:val="left" w:pos="312"/>
        </w:tabs>
      </w:p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F9667B4"/>
    <w:multiLevelType w:val="singleLevel"/>
    <w:tmpl w:val="4F9667B4"/>
    <w:lvl w:ilvl="0" w:tentative="0">
      <w:start w:val="1"/>
      <w:numFmt w:val="decimal"/>
      <w:lvlText w:val="%1."/>
      <w:lvlJc w:val="left"/>
      <w:pPr>
        <w:tabs>
          <w:tab w:val="left" w:pos="312"/>
        </w:tabs>
        <w:ind w:left="-223"/>
      </w:pPr>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354E"/>
    <w:rsid w:val="000B5923"/>
    <w:rsid w:val="000B5A48"/>
    <w:rsid w:val="000B6FF3"/>
    <w:rsid w:val="000C3467"/>
    <w:rsid w:val="000C3CA6"/>
    <w:rsid w:val="000D1267"/>
    <w:rsid w:val="000D1D50"/>
    <w:rsid w:val="000D5782"/>
    <w:rsid w:val="000E38E8"/>
    <w:rsid w:val="000E6613"/>
    <w:rsid w:val="000E7119"/>
    <w:rsid w:val="00114E9B"/>
    <w:rsid w:val="00142216"/>
    <w:rsid w:val="00144D6A"/>
    <w:rsid w:val="0014729F"/>
    <w:rsid w:val="00157BAB"/>
    <w:rsid w:val="001654D1"/>
    <w:rsid w:val="00174518"/>
    <w:rsid w:val="0018106D"/>
    <w:rsid w:val="001877A7"/>
    <w:rsid w:val="00191536"/>
    <w:rsid w:val="00196687"/>
    <w:rsid w:val="001A5F12"/>
    <w:rsid w:val="001C0962"/>
    <w:rsid w:val="001D7531"/>
    <w:rsid w:val="001E737D"/>
    <w:rsid w:val="001F0592"/>
    <w:rsid w:val="001F7506"/>
    <w:rsid w:val="002006CD"/>
    <w:rsid w:val="00202B36"/>
    <w:rsid w:val="00204B7A"/>
    <w:rsid w:val="00204CDE"/>
    <w:rsid w:val="0021101A"/>
    <w:rsid w:val="00220536"/>
    <w:rsid w:val="00220A0B"/>
    <w:rsid w:val="00235629"/>
    <w:rsid w:val="00260C38"/>
    <w:rsid w:val="002616C0"/>
    <w:rsid w:val="00265372"/>
    <w:rsid w:val="002662AA"/>
    <w:rsid w:val="00280496"/>
    <w:rsid w:val="00294DC9"/>
    <w:rsid w:val="00295495"/>
    <w:rsid w:val="002A31DE"/>
    <w:rsid w:val="002B2613"/>
    <w:rsid w:val="002C6D5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5954"/>
    <w:rsid w:val="00406254"/>
    <w:rsid w:val="004118E9"/>
    <w:rsid w:val="004223DE"/>
    <w:rsid w:val="00434489"/>
    <w:rsid w:val="00437085"/>
    <w:rsid w:val="00443880"/>
    <w:rsid w:val="004464F4"/>
    <w:rsid w:val="004553D4"/>
    <w:rsid w:val="00471401"/>
    <w:rsid w:val="00473F31"/>
    <w:rsid w:val="0048263A"/>
    <w:rsid w:val="00487E5D"/>
    <w:rsid w:val="004A711F"/>
    <w:rsid w:val="004B199D"/>
    <w:rsid w:val="004B4690"/>
    <w:rsid w:val="004E0A2D"/>
    <w:rsid w:val="004E1D8A"/>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6C78"/>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79CF"/>
    <w:rsid w:val="0066343B"/>
    <w:rsid w:val="00664777"/>
    <w:rsid w:val="006748A4"/>
    <w:rsid w:val="00681A31"/>
    <w:rsid w:val="00683E73"/>
    <w:rsid w:val="006A3141"/>
    <w:rsid w:val="006A5E34"/>
    <w:rsid w:val="006B2422"/>
    <w:rsid w:val="006B2B9A"/>
    <w:rsid w:val="006C1937"/>
    <w:rsid w:val="006E74B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1F53"/>
    <w:rsid w:val="00853718"/>
    <w:rsid w:val="00855221"/>
    <w:rsid w:val="00860645"/>
    <w:rsid w:val="00871F71"/>
    <w:rsid w:val="00872FD8"/>
    <w:rsid w:val="00885AF4"/>
    <w:rsid w:val="008939CD"/>
    <w:rsid w:val="008B768C"/>
    <w:rsid w:val="008C4DB1"/>
    <w:rsid w:val="008C4EAF"/>
    <w:rsid w:val="008C5176"/>
    <w:rsid w:val="008C7FD0"/>
    <w:rsid w:val="008E1DE7"/>
    <w:rsid w:val="008E4D0E"/>
    <w:rsid w:val="008E707C"/>
    <w:rsid w:val="00900B08"/>
    <w:rsid w:val="00902155"/>
    <w:rsid w:val="00902FA3"/>
    <w:rsid w:val="00903AFE"/>
    <w:rsid w:val="0092325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ACB"/>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E55"/>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4D38"/>
    <w:rsid w:val="00BF5BD6"/>
    <w:rsid w:val="00C03755"/>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E7C7C"/>
    <w:rsid w:val="00D00095"/>
    <w:rsid w:val="00D114F0"/>
    <w:rsid w:val="00D20620"/>
    <w:rsid w:val="00D254F7"/>
    <w:rsid w:val="00D26091"/>
    <w:rsid w:val="00D2685C"/>
    <w:rsid w:val="00D34E7C"/>
    <w:rsid w:val="00D35489"/>
    <w:rsid w:val="00D36AFE"/>
    <w:rsid w:val="00D50257"/>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803"/>
    <w:rsid w:val="00E568DF"/>
    <w:rsid w:val="00E64269"/>
    <w:rsid w:val="00E82267"/>
    <w:rsid w:val="00E853CE"/>
    <w:rsid w:val="00E867B6"/>
    <w:rsid w:val="00EA010F"/>
    <w:rsid w:val="00ED1B63"/>
    <w:rsid w:val="00ED3C1F"/>
    <w:rsid w:val="00ED4085"/>
    <w:rsid w:val="00ED420E"/>
    <w:rsid w:val="00ED6FBE"/>
    <w:rsid w:val="00EE2F57"/>
    <w:rsid w:val="00EF27D1"/>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227BB2"/>
    <w:rsid w:val="046B6B65"/>
    <w:rsid w:val="048A61A9"/>
    <w:rsid w:val="04D42CED"/>
    <w:rsid w:val="05755524"/>
    <w:rsid w:val="072C146F"/>
    <w:rsid w:val="07C3023E"/>
    <w:rsid w:val="0A2032A3"/>
    <w:rsid w:val="0A7F6A94"/>
    <w:rsid w:val="0B8A37D8"/>
    <w:rsid w:val="0C557C1E"/>
    <w:rsid w:val="0E2D0742"/>
    <w:rsid w:val="0F362494"/>
    <w:rsid w:val="0F68240D"/>
    <w:rsid w:val="10971406"/>
    <w:rsid w:val="10C055FF"/>
    <w:rsid w:val="10DA43D7"/>
    <w:rsid w:val="118107EC"/>
    <w:rsid w:val="11DD6519"/>
    <w:rsid w:val="14E004BA"/>
    <w:rsid w:val="16BB723D"/>
    <w:rsid w:val="18015F3F"/>
    <w:rsid w:val="18356546"/>
    <w:rsid w:val="1B272DC8"/>
    <w:rsid w:val="1BE8440E"/>
    <w:rsid w:val="1D155CEE"/>
    <w:rsid w:val="20CC5EA8"/>
    <w:rsid w:val="20F57F95"/>
    <w:rsid w:val="22B16EA9"/>
    <w:rsid w:val="240371BF"/>
    <w:rsid w:val="25B164AA"/>
    <w:rsid w:val="25C741E6"/>
    <w:rsid w:val="260C3ED1"/>
    <w:rsid w:val="27842671"/>
    <w:rsid w:val="28A30CD1"/>
    <w:rsid w:val="299E54CD"/>
    <w:rsid w:val="29BD1C38"/>
    <w:rsid w:val="29FD04D3"/>
    <w:rsid w:val="2ABE7A3E"/>
    <w:rsid w:val="2C4A1C64"/>
    <w:rsid w:val="2EFA178C"/>
    <w:rsid w:val="30B46D73"/>
    <w:rsid w:val="30BB4F36"/>
    <w:rsid w:val="30EB000C"/>
    <w:rsid w:val="319F7F4E"/>
    <w:rsid w:val="37747C68"/>
    <w:rsid w:val="39AE70AB"/>
    <w:rsid w:val="3A291ECF"/>
    <w:rsid w:val="3B235B7F"/>
    <w:rsid w:val="3C0C0783"/>
    <w:rsid w:val="3F795B0E"/>
    <w:rsid w:val="3F9F3A96"/>
    <w:rsid w:val="40350D30"/>
    <w:rsid w:val="45020C9C"/>
    <w:rsid w:val="47206E93"/>
    <w:rsid w:val="493C27E9"/>
    <w:rsid w:val="496F39ED"/>
    <w:rsid w:val="49FF41D3"/>
    <w:rsid w:val="4A185DC8"/>
    <w:rsid w:val="4B853BCB"/>
    <w:rsid w:val="4BE068DB"/>
    <w:rsid w:val="4BF6002B"/>
    <w:rsid w:val="4ECE2238"/>
    <w:rsid w:val="51927ED9"/>
    <w:rsid w:val="51B40170"/>
    <w:rsid w:val="51DB4B86"/>
    <w:rsid w:val="53D12AAE"/>
    <w:rsid w:val="55333C3E"/>
    <w:rsid w:val="57D8793A"/>
    <w:rsid w:val="5BD9024E"/>
    <w:rsid w:val="5E2D210C"/>
    <w:rsid w:val="600D7DEA"/>
    <w:rsid w:val="61520213"/>
    <w:rsid w:val="64CA39A1"/>
    <w:rsid w:val="667827DF"/>
    <w:rsid w:val="69101515"/>
    <w:rsid w:val="69463975"/>
    <w:rsid w:val="6C3A5BCA"/>
    <w:rsid w:val="6C4A05C8"/>
    <w:rsid w:val="719D3058"/>
    <w:rsid w:val="71B65F34"/>
    <w:rsid w:val="72734D90"/>
    <w:rsid w:val="73701855"/>
    <w:rsid w:val="74B93B9B"/>
    <w:rsid w:val="77FA5FB0"/>
    <w:rsid w:val="79E7B28D"/>
    <w:rsid w:val="7BC10ED0"/>
    <w:rsid w:val="7C775BAB"/>
    <w:rsid w:val="7D2D533A"/>
    <w:rsid w:val="7F9F20EE"/>
    <w:rsid w:val="7FFF42E6"/>
    <w:rsid w:val="9E3A10E2"/>
    <w:rsid w:val="F2E1F9D4"/>
    <w:rsid w:val="F7880819"/>
    <w:rsid w:val="FFE738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rPr>
      <w:rFonts w:eastAsia="仿宋_GB2312"/>
      <w:sz w:val="32"/>
      <w:szCs w:val="32"/>
    </w:rPr>
  </w:style>
  <w:style w:type="paragraph" w:styleId="7">
    <w:name w:val="Body Text Indent"/>
    <w:basedOn w:val="1"/>
    <w:next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cs="宋体"/>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next w:val="1"/>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249293141295696"/>
          <c:y val="0.00637890708058688"/>
        </c:manualLayout>
      </c:layout>
      <c:overlay val="0"/>
      <c:spPr>
        <a:noFill/>
        <a:ln>
          <a:noFill/>
        </a:ln>
        <a:effectLst/>
      </c:spPr>
    </c:title>
    <c:autoTitleDeleted val="0"/>
    <c:plotArea>
      <c:layout>
        <c:manualLayout>
          <c:layoutTarget val="inner"/>
          <c:xMode val="edge"/>
          <c:yMode val="edge"/>
          <c:x val="0.0736445073078736"/>
          <c:y val="0.0697394796893386"/>
          <c:w val="0.883601795616585"/>
          <c:h val="0.722125474436259"/>
        </c:manualLayout>
      </c:layout>
      <c:barChart>
        <c:barDir val="col"/>
        <c:grouping val="clustered"/>
        <c:varyColors val="0"/>
        <c:ser>
          <c:idx val="0"/>
          <c:order val="0"/>
          <c:tx>
            <c:strRef>
              <c:f>Sheet1!$B$1</c:f>
              <c:strCache>
                <c:ptCount val="1"/>
                <c:pt idx="0">
                  <c:v>年度收支决算总计</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1608.09</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1801.43</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2020年收支决算总计</c:v>
                </c:pt>
                <c:pt idx="1">
                  <c:v>2021年收支决算总计</c:v>
                </c:pt>
              </c:strCache>
            </c:strRef>
          </c:cat>
          <c:val>
            <c:numRef>
              <c:f>Sheet1!$B$2:$B$3</c:f>
              <c:numCache>
                <c:formatCode>General</c:formatCode>
                <c:ptCount val="2"/>
                <c:pt idx="0">
                  <c:v>1608.08</c:v>
                </c:pt>
                <c:pt idx="1">
                  <c:v>1801.43</c:v>
                </c:pt>
              </c:numCache>
            </c:numRef>
          </c:val>
        </c:ser>
        <c:dLbls>
          <c:showLegendKey val="0"/>
          <c:showVal val="1"/>
          <c:showCatName val="0"/>
          <c:showSerName val="0"/>
          <c:showPercent val="0"/>
          <c:showBubbleSize val="0"/>
        </c:dLbls>
        <c:gapWidth val="219"/>
        <c:overlap val="-27"/>
        <c:axId val="98011392"/>
        <c:axId val="104598144"/>
      </c:barChart>
      <c:catAx>
        <c:axId val="980113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598144"/>
        <c:crosses val="autoZero"/>
        <c:auto val="1"/>
        <c:lblAlgn val="ctr"/>
        <c:lblOffset val="100"/>
        <c:noMultiLvlLbl val="0"/>
      </c:catAx>
      <c:valAx>
        <c:axId val="10459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0113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27090178897408"/>
          <c:y val="0.00877449546651068"/>
        </c:manualLayout>
      </c:layout>
      <c:overlay val="0"/>
      <c:spPr>
        <a:noFill/>
        <a:ln>
          <a:noFill/>
        </a:ln>
        <a:effectLst/>
      </c:spPr>
    </c:title>
    <c:autoTitleDeleted val="0"/>
    <c:plotArea>
      <c:layout>
        <c:manualLayout>
          <c:layoutTarget val="inner"/>
          <c:xMode val="edge"/>
          <c:yMode val="edge"/>
          <c:x val="0.278153418951753"/>
          <c:y val="0.107107692307692"/>
          <c:w val="0.376008330440819"/>
          <c:h val="0.555528205128205"/>
        </c:manualLayout>
      </c:layout>
      <c:pieChart>
        <c:varyColors val="1"/>
        <c:ser>
          <c:idx val="0"/>
          <c:order val="0"/>
          <c:tx>
            <c:strRef>
              <c:f>Sheet1!$B$1</c:f>
              <c:strCache>
                <c:ptCount val="1"/>
                <c:pt idx="0">
                  <c:v>2021年本年收入（万元）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153340635268346"/>
                  <c:y val="-0.1442803160425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1801.43</c:v>
                </c:pt>
                <c:pt idx="1" c:formatCode="#,##0.0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17642298354466"/>
          <c:y val="0.9059097978227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0"/>
      <c:spPr>
        <a:noFill/>
        <a:ln>
          <a:noFill/>
        </a:ln>
        <a:effectLst/>
      </c:spPr>
    </c:title>
    <c:autoTitleDeleted val="0"/>
    <c:plotArea>
      <c:layout/>
      <c:pieChart>
        <c:varyColors val="1"/>
        <c:ser>
          <c:idx val="0"/>
          <c:order val="0"/>
          <c:tx>
            <c:strRef>
              <c:f>Sheet1!$B$1</c:f>
              <c:strCache>
                <c:ptCount val="1"/>
                <c:pt idx="0">
                  <c:v>2021年本年支出（万元）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212.26</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1589.17</c:v>
                </c:pt>
                <c:pt idx="1">
                  <c:v>230.17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27090178897408"/>
          <c:y val="0.00877449546651068"/>
        </c:manualLayout>
      </c:layout>
      <c:overlay val="0"/>
      <c:spPr>
        <a:noFill/>
        <a:ln>
          <a:noFill/>
        </a:ln>
        <a:effectLst/>
      </c:spPr>
    </c:title>
    <c:autoTitleDeleted val="0"/>
    <c:plotArea>
      <c:layout>
        <c:manualLayout>
          <c:layoutTarget val="inner"/>
          <c:xMode val="edge"/>
          <c:yMode val="edge"/>
          <c:x val="0.278153418951753"/>
          <c:y val="0.107107692307692"/>
          <c:w val="0.376008330440819"/>
          <c:h val="0.555528205128205"/>
        </c:manualLayout>
      </c:layout>
      <c:pieChart>
        <c:varyColors val="1"/>
        <c:ser>
          <c:idx val="0"/>
          <c:order val="0"/>
          <c:tx>
            <c:strRef>
              <c:f>Sheet1!$B$1</c:f>
              <c:strCache>
                <c:ptCount val="1"/>
                <c:pt idx="0">
                  <c:v>2021年本年收入（万元）</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153340635268346"/>
                  <c:y val="-0.1442803160425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1801.43</c:v>
                </c:pt>
                <c:pt idx="1" c:formatCode="#,##0.0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17642298354466"/>
          <c:y val="0.9059097978227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0998502306594571"/>
          <c:y val="0.00558347292015634"/>
        </c:manualLayout>
      </c:layout>
      <c:overlay val="0"/>
      <c:spPr>
        <a:noFill/>
        <a:ln>
          <a:noFill/>
        </a:ln>
        <a:effectLst/>
      </c:spPr>
    </c:title>
    <c:autoTitleDeleted val="0"/>
    <c:plotArea>
      <c:layout>
        <c:manualLayout>
          <c:layoutTarget val="inner"/>
          <c:xMode val="edge"/>
          <c:yMode val="edge"/>
          <c:x val="0.110583722881458"/>
          <c:y val="0.120196832430658"/>
          <c:w val="0.927925"/>
          <c:h val="0.716566666666667"/>
        </c:manualLayout>
      </c:layout>
      <c:barChart>
        <c:barDir val="col"/>
        <c:grouping val="clustered"/>
        <c:varyColors val="0"/>
        <c:ser>
          <c:idx val="0"/>
          <c:order val="0"/>
          <c:tx>
            <c:strRef>
              <c:f>Sheet1!$B$1</c:f>
              <c:strCache>
                <c:ptCount val="1"/>
                <c:pt idx="0">
                  <c:v>一般公共预算财政拨款支出决算总计</c:v>
                </c:pt>
              </c:strCache>
            </c:strRef>
          </c:tx>
          <c:spPr>
            <a:solidFill>
              <a:schemeClr val="accent1"/>
            </a:solidFill>
            <a:ln>
              <a:noFill/>
            </a:ln>
            <a:effectLst/>
          </c:spPr>
          <c:invertIfNegative val="0"/>
          <c:dLbls>
            <c:dLbl>
              <c:idx val="1"/>
              <c:layout>
                <c:manualLayout>
                  <c:x val="-0.00381315538608198"/>
                  <c:y val="0.0070210631895687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1608.09</c:v>
                </c:pt>
                <c:pt idx="1">
                  <c:v>1801.43</c:v>
                </c:pt>
              </c:numCache>
            </c:numRef>
          </c:val>
        </c:ser>
        <c:dLbls>
          <c:showLegendKey val="0"/>
          <c:showVal val="1"/>
          <c:showCatName val="0"/>
          <c:showSerName val="0"/>
          <c:showPercent val="0"/>
          <c:showBubbleSize val="0"/>
        </c:dLbls>
        <c:gapWidth val="219"/>
        <c:overlap val="-27"/>
        <c:axId val="87074688"/>
        <c:axId val="90038656"/>
      </c:barChart>
      <c:catAx>
        <c:axId val="87074688"/>
        <c:scaling>
          <c:orientation val="minMax"/>
        </c:scaling>
        <c:delete val="0"/>
        <c:axPos val="b"/>
        <c:majorTickMark val="none"/>
        <c:minorTickMark val="none"/>
        <c:tickLblPos val="nextTo"/>
        <c:spPr>
          <a:noFill/>
          <a:ln w="9525" cap="flat" cmpd="sng" algn="ctr">
            <a:solidFill>
              <a:schemeClr val="bg1">
                <a:lumMod val="6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38656"/>
        <c:crosses val="autoZero"/>
        <c:auto val="1"/>
        <c:lblAlgn val="ctr"/>
        <c:lblOffset val="100"/>
        <c:noMultiLvlLbl val="0"/>
      </c:catAx>
      <c:valAx>
        <c:axId val="90038656"/>
        <c:scaling>
          <c:orientation val="minMax"/>
        </c:scaling>
        <c:delete val="0"/>
        <c:axPos val="l"/>
        <c:majorGridlines>
          <c:spPr>
            <a:ln w="9525" cap="flat" cmpd="sng" algn="ctr">
              <a:solidFill>
                <a:schemeClr val="bg1">
                  <a:lumMod val="6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4688"/>
        <c:crosses val="autoZero"/>
        <c:crossBetween val="between"/>
      </c:valAx>
      <c:spPr>
        <a:noFill/>
        <a:ln>
          <a:noFill/>
        </a:ln>
        <a:effectLst/>
      </c:spPr>
    </c:plotArea>
    <c:legend>
      <c:legendPos val="b"/>
      <c:layout>
        <c:manualLayout>
          <c:xMode val="edge"/>
          <c:yMode val="edge"/>
          <c:x val="0.307254770302106"/>
          <c:y val="0.9227988090174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6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0998502306594571"/>
          <c:y val="0.00558347292015634"/>
        </c:manualLayout>
      </c:layout>
      <c:overlay val="0"/>
      <c:spPr>
        <a:noFill/>
        <a:ln>
          <a:noFill/>
        </a:ln>
        <a:effectLst/>
      </c:spPr>
    </c:title>
    <c:autoTitleDeleted val="0"/>
    <c:plotArea>
      <c:layout>
        <c:manualLayout>
          <c:layoutTarget val="inner"/>
          <c:xMode val="edge"/>
          <c:yMode val="edge"/>
          <c:x val="0.110583722881458"/>
          <c:y val="0.120196832430658"/>
          <c:w val="0.927925"/>
          <c:h val="0.716566666666667"/>
        </c:manualLayout>
      </c:layout>
      <c:barChart>
        <c:barDir val="col"/>
        <c:grouping val="clustered"/>
        <c:varyColors val="0"/>
        <c:ser>
          <c:idx val="0"/>
          <c:order val="0"/>
          <c:tx>
            <c:strRef>
              <c:f>Sheet1!$B$1</c:f>
              <c:strCache>
                <c:ptCount val="1"/>
                <c:pt idx="0">
                  <c:v>一般公共预算财政拨款支出决算总计</c:v>
                </c:pt>
              </c:strCache>
            </c:strRef>
          </c:tx>
          <c:spPr>
            <a:solidFill>
              <a:schemeClr val="accent1"/>
            </a:solidFill>
            <a:ln>
              <a:noFill/>
            </a:ln>
            <a:effectLst/>
          </c:spPr>
          <c:invertIfNegative val="0"/>
          <c:dLbls>
            <c:dLbl>
              <c:idx val="1"/>
              <c:layout>
                <c:manualLayout>
                  <c:x val="-0.00381315538608198"/>
                  <c:y val="0.0070210631895687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1608.09</c:v>
                </c:pt>
                <c:pt idx="1">
                  <c:v>1801.43</c:v>
                </c:pt>
              </c:numCache>
            </c:numRef>
          </c:val>
        </c:ser>
        <c:dLbls>
          <c:showLegendKey val="0"/>
          <c:showVal val="1"/>
          <c:showCatName val="0"/>
          <c:showSerName val="0"/>
          <c:showPercent val="0"/>
          <c:showBubbleSize val="0"/>
        </c:dLbls>
        <c:gapWidth val="219"/>
        <c:overlap val="-27"/>
        <c:axId val="87074688"/>
        <c:axId val="90038656"/>
      </c:barChart>
      <c:catAx>
        <c:axId val="87074688"/>
        <c:scaling>
          <c:orientation val="minMax"/>
        </c:scaling>
        <c:delete val="0"/>
        <c:axPos val="b"/>
        <c:majorTickMark val="none"/>
        <c:minorTickMark val="none"/>
        <c:tickLblPos val="nextTo"/>
        <c:spPr>
          <a:noFill/>
          <a:ln w="9525" cap="flat" cmpd="sng" algn="ctr">
            <a:solidFill>
              <a:schemeClr val="bg1">
                <a:lumMod val="6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38656"/>
        <c:crosses val="autoZero"/>
        <c:auto val="1"/>
        <c:lblAlgn val="ctr"/>
        <c:lblOffset val="100"/>
        <c:noMultiLvlLbl val="0"/>
      </c:catAx>
      <c:valAx>
        <c:axId val="90038656"/>
        <c:scaling>
          <c:orientation val="minMax"/>
        </c:scaling>
        <c:delete val="0"/>
        <c:axPos val="l"/>
        <c:majorGridlines>
          <c:spPr>
            <a:ln w="9525" cap="flat" cmpd="sng" algn="ctr">
              <a:solidFill>
                <a:schemeClr val="bg1">
                  <a:lumMod val="6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4688"/>
        <c:crosses val="autoZero"/>
        <c:crossBetween val="between"/>
      </c:valAx>
      <c:spPr>
        <a:noFill/>
        <a:ln>
          <a:noFill/>
        </a:ln>
        <a:effectLst/>
      </c:spPr>
    </c:plotArea>
    <c:legend>
      <c:legendPos val="b"/>
      <c:layout>
        <c:manualLayout>
          <c:xMode val="edge"/>
          <c:yMode val="edge"/>
          <c:x val="0.307254770302106"/>
          <c:y val="0.9227988090174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6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r>
              <a:rPr lang="en-US" altLang="zh-CN"/>
              <a:t>%</a:t>
            </a:r>
            <a:r>
              <a:t>）</a:t>
            </a:r>
          </a:p>
        </c:rich>
      </c:tx>
      <c:layout>
        <c:manualLayout>
          <c:xMode val="edge"/>
          <c:yMode val="edge"/>
          <c:x val="0.283297698402717"/>
          <c:y val="0.018897951064253"/>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Sheet1!$A$2:$A$17</c:f>
              <c:strCache>
                <c:ptCount val="16"/>
                <c:pt idx="0">
                  <c:v>一般公共服务支出</c:v>
                </c:pt>
                <c:pt idx="1">
                  <c:v>国防支出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交通运输</c:v>
                </c:pt>
                <c:pt idx="11">
                  <c:v>商业服务等支出</c:v>
                </c:pt>
                <c:pt idx="12">
                  <c:v>金融支出</c:v>
                </c:pt>
                <c:pt idx="13">
                  <c:v>住房保障支出</c:v>
                </c:pt>
                <c:pt idx="14">
                  <c:v>灾害防治及应急管理支出</c:v>
                </c:pt>
                <c:pt idx="15">
                  <c:v>其他支出</c:v>
                </c:pt>
              </c:strCache>
            </c:strRef>
          </c:cat>
          <c:val>
            <c:numRef>
              <c:f>Sheet1!$B$2:$B$17</c:f>
              <c:numCache>
                <c:formatCode>0.00%</c:formatCode>
                <c:ptCount val="16"/>
                <c:pt idx="0">
                  <c:v>0.4448</c:v>
                </c:pt>
                <c:pt idx="1">
                  <c:v>0</c:v>
                </c:pt>
                <c:pt idx="2">
                  <c:v>0.005</c:v>
                </c:pt>
                <c:pt idx="3">
                  <c:v>0</c:v>
                </c:pt>
                <c:pt idx="4">
                  <c:v>0.0593</c:v>
                </c:pt>
                <c:pt idx="5">
                  <c:v>0.0794</c:v>
                </c:pt>
                <c:pt idx="6">
                  <c:v>0.011</c:v>
                </c:pt>
                <c:pt idx="7">
                  <c:v>0</c:v>
                </c:pt>
                <c:pt idx="8">
                  <c:v>0.0042</c:v>
                </c:pt>
                <c:pt idx="9">
                  <c:v>0.3432</c:v>
                </c:pt>
                <c:pt idx="10">
                  <c:v>0.0006</c:v>
                </c:pt>
                <c:pt idx="11">
                  <c:v>0</c:v>
                </c:pt>
                <c:pt idx="12">
                  <c:v>0</c:v>
                </c:pt>
                <c:pt idx="13">
                  <c:v>0.0317</c:v>
                </c:pt>
                <c:pt idx="14">
                  <c:v>0.0208</c:v>
                </c:pt>
                <c:pt idx="1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21</Pages>
  <Words>8118</Words>
  <Characters>8881</Characters>
  <Lines>43</Lines>
  <Paragraphs>12</Paragraphs>
  <TotalTime>14</TotalTime>
  <ScaleCrop>false</ScaleCrop>
  <LinksUpToDate>false</LinksUpToDate>
  <CharactersWithSpaces>8956</CharactersWithSpaces>
  <Application>WPS Office WWO_wpscloud_20230720202225-4baa9b4cf6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2022-09-15T09:37:00Z</dcterms:created>
  <dc:creator>曹颖</dc:creator>
  <cp:lastModifiedBy>aoc</cp:lastModifiedBy>
  <cp:lastPrinted>2022-08-06T10:23:00Z</cp:lastPrinted>
  <dcterms:modified xsi:type="dcterms:W3CDTF">2023-07-24T17:13:18Z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