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78441"/>
      <w:bookmarkStart w:id="2" w:name="_Toc15377193"/>
      <w:bookmarkStart w:id="3" w:name="_Toc15306267"/>
      <w:bookmarkStart w:id="4" w:name="_Toc15396597"/>
      <w:bookmarkStart w:id="5" w:name="_Toc15396475"/>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8442"/>
      <w:bookmarkStart w:id="8" w:name="_Toc15396598"/>
      <w:bookmarkStart w:id="9" w:name="_Toc15377194"/>
      <w:bookmarkStart w:id="10" w:name="_Toc15377426"/>
      <w:r>
        <w:rPr>
          <w:rFonts w:hint="eastAsia" w:ascii="方正小标宋简体" w:hAnsi="方正小标宋简体" w:eastAsia="方正小标宋简体" w:cs="方正小标宋简体"/>
          <w:sz w:val="72"/>
          <w:szCs w:val="72"/>
        </w:rPr>
        <w:t>广元市</w:t>
      </w:r>
      <w:bookmarkStart w:id="11" w:name="_Toc15306268"/>
      <w:r>
        <w:rPr>
          <w:rFonts w:hint="eastAsia" w:ascii="方正小标宋简体" w:hAnsi="方正小标宋简体" w:eastAsia="方正小标宋简体" w:cs="方正小标宋简体"/>
          <w:sz w:val="72"/>
          <w:szCs w:val="72"/>
        </w:rPr>
        <w:t>交通技工学校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widowControl/>
        <w:jc w:val="left"/>
        <w:rPr>
          <w:rFonts w:ascii="方正小标宋简体" w:hAnsi="宋体" w:eastAsia="方正小标宋简体"/>
          <w:sz w:val="72"/>
          <w:szCs w:val="72"/>
        </w:rPr>
      </w:pPr>
      <w:r>
        <w:rPr>
          <w:rFonts w:ascii="方正小标宋简体" w:hAnsi="宋体" w:eastAsia="方正小标宋简体"/>
          <w:sz w:val="72"/>
          <w:szCs w:val="72"/>
        </w:rPr>
        <w:br w:type="page"/>
      </w:r>
    </w:p>
    <w:bookmarkEnd w:id="0"/>
    <w:bookmarkEnd w:id="1"/>
    <w:bookmarkEnd w:id="2"/>
    <w:bookmarkEnd w:id="3"/>
    <w:bookmarkEnd w:id="4"/>
    <w:bookmarkEnd w:id="5"/>
    <w:p>
      <w:pPr>
        <w:widowControl/>
        <w:jc w:val="center"/>
        <w:rPr>
          <w:rFonts w:ascii="黑体" w:hAnsi="黑体" w:eastAsia="黑体"/>
          <w:sz w:val="48"/>
          <w:szCs w:val="48"/>
        </w:rPr>
      </w:pPr>
      <w:bookmarkStart w:id="72" w:name="_GoBack"/>
      <w:bookmarkEnd w:id="72"/>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公开时间：2022年9月27日</w:t>
      </w:r>
    </w:p>
    <w:p/>
    <w:p>
      <w:pPr>
        <w:pStyle w:val="10"/>
        <w:adjustRightInd w:val="0"/>
        <w:snapToGrid w:val="0"/>
        <w:spacing w:before="0" w:line="440" w:lineRule="exact"/>
        <w:jc w:val="left"/>
        <w:rPr>
          <w:rFonts w:cstheme="minorBidi"/>
          <w:sz w:val="24"/>
          <w:szCs w:val="24"/>
        </w:rPr>
      </w:pPr>
      <w:r>
        <w:rPr>
          <w:rFonts w:hint="eastAsia"/>
          <w:sz w:val="24"/>
        </w:rPr>
        <w:t>第一部分部门概况</w:t>
      </w:r>
      <w:r>
        <w:rPr>
          <w:sz w:val="24"/>
        </w:rPr>
        <w:t>……………………………………………</w:t>
      </w:r>
      <w:r>
        <w:rPr>
          <w:rFonts w:hint="eastAsia"/>
          <w:sz w:val="24"/>
        </w:rPr>
        <w:t>.</w:t>
      </w:r>
      <w:r>
        <w:rPr>
          <w:sz w:val="24"/>
        </w:rPr>
        <w:t>……………………</w:t>
      </w:r>
      <w:r>
        <w:rPr>
          <w:rFonts w:hint="eastAsia"/>
          <w:sz w:val="24"/>
        </w:rPr>
        <w:t>5</w:t>
      </w:r>
    </w:p>
    <w:p>
      <w:pPr>
        <w:pStyle w:val="11"/>
        <w:adjustRightInd w:val="0"/>
        <w:snapToGrid w:val="0"/>
        <w:spacing w:line="440" w:lineRule="exact"/>
        <w:jc w:val="left"/>
        <w:rPr>
          <w:rFonts w:ascii="仿宋" w:hAnsi="仿宋" w:eastAsia="仿宋"/>
          <w:sz w:val="24"/>
        </w:rPr>
      </w:pPr>
      <w:r>
        <w:rPr>
          <w:rFonts w:hint="eastAsia"/>
          <w:sz w:val="24"/>
        </w:rPr>
        <w:t>一、基本职能及主要工作</w:t>
      </w:r>
      <w:r>
        <w:rPr>
          <w:sz w:val="24"/>
        </w:rPr>
        <w:t>………………………………………………………</w:t>
      </w:r>
      <w:r>
        <w:rPr>
          <w:rFonts w:hint="eastAsia"/>
          <w:sz w:val="24"/>
        </w:rPr>
        <w:t>5</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r>
        <w:rPr>
          <w:sz w:val="24"/>
        </w:rPr>
        <w:t>……………………………………………………………………</w:t>
      </w:r>
      <w:r>
        <w:rPr>
          <w:rFonts w:hint="eastAsia"/>
          <w:sz w:val="24"/>
        </w:rPr>
        <w:t>6</w:t>
      </w:r>
    </w:p>
    <w:p>
      <w:pPr>
        <w:pStyle w:val="10"/>
        <w:adjustRightInd w:val="0"/>
        <w:snapToGrid w:val="0"/>
        <w:spacing w:before="0" w:line="440" w:lineRule="exact"/>
        <w:jc w:val="left"/>
        <w:rPr>
          <w:sz w:val="24"/>
          <w:szCs w:val="24"/>
        </w:rPr>
      </w:pPr>
      <w:r>
        <w:rPr>
          <w:rFonts w:hint="eastAsia"/>
          <w:sz w:val="24"/>
        </w:rPr>
        <w:t>第二部分 2021年度部门决算情况说明</w:t>
      </w:r>
      <w:r>
        <w:rPr>
          <w:sz w:val="24"/>
        </w:rPr>
        <w:t>……………………………………………</w:t>
      </w:r>
      <w:r>
        <w:rPr>
          <w:rFonts w:hint="eastAsia"/>
          <w:sz w:val="24"/>
        </w:rPr>
        <w:t>7</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sz w:val="24"/>
        </w:rPr>
        <w:t>………………………………………………</w:t>
      </w:r>
      <w:r>
        <w:rPr>
          <w:rFonts w:hint="eastAsia"/>
          <w:sz w:val="24"/>
        </w:rPr>
        <w:t>7</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r>
        <w:rPr>
          <w:sz w:val="24"/>
        </w:rPr>
        <w:t>…………………………………………………………</w:t>
      </w:r>
      <w:r>
        <w:rPr>
          <w:rFonts w:hint="eastAsia"/>
          <w:sz w:val="24"/>
        </w:rPr>
        <w:t>7</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r>
        <w:rPr>
          <w:sz w:val="24"/>
        </w:rPr>
        <w:t>…………………………………………………………</w:t>
      </w:r>
      <w:r>
        <w:rPr>
          <w:rFonts w:hint="eastAsia"/>
          <w:sz w:val="24"/>
        </w:rPr>
        <w:t>8</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sz w:val="24"/>
        </w:rPr>
        <w:t>……………………………………</w:t>
      </w:r>
      <w:r>
        <w:rPr>
          <w:rFonts w:hint="eastAsia"/>
          <w:sz w:val="24"/>
        </w:rPr>
        <w:t>8</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sz w:val="24"/>
        </w:rPr>
        <w:t>………………………………</w:t>
      </w:r>
      <w:r>
        <w:rPr>
          <w:rFonts w:hint="eastAsia"/>
          <w:sz w:val="24"/>
        </w:rPr>
        <w:t>9</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sz w:val="24"/>
        </w:rPr>
        <w:t>…………………………</w:t>
      </w:r>
      <w:r>
        <w:rPr>
          <w:rFonts w:hint="eastAsia"/>
          <w:sz w:val="24"/>
        </w:rPr>
        <w:t>11</w:t>
      </w:r>
    </w:p>
    <w:p>
      <w:pPr>
        <w:pStyle w:val="11"/>
        <w:adjustRightInd w:val="0"/>
        <w:snapToGrid w:val="0"/>
        <w:spacing w:line="440" w:lineRule="exact"/>
        <w:jc w:val="left"/>
        <w:rPr>
          <w:rFonts w:ascii="仿宋" w:hAnsi="仿宋" w:eastAsia="仿宋" w:cstheme="minorBidi"/>
          <w:sz w:val="24"/>
        </w:rPr>
      </w:pPr>
      <w:r>
        <w:rPr>
          <w:rFonts w:hint="eastAsia"/>
          <w:sz w:val="24"/>
        </w:rPr>
        <w:t>七、“三公”经费财政拨款支出决算情况说明</w:t>
      </w:r>
      <w:r>
        <w:rPr>
          <w:sz w:val="24"/>
        </w:rPr>
        <w:t>………………………………</w:t>
      </w:r>
      <w:r>
        <w:rPr>
          <w:rFonts w:hint="eastAsia"/>
          <w:sz w:val="24"/>
        </w:rPr>
        <w:t>12</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sz w:val="24"/>
        </w:rPr>
        <w:t>………………………………………</w:t>
      </w:r>
      <w:r>
        <w:rPr>
          <w:rFonts w:hint="eastAsia"/>
          <w:sz w:val="24"/>
        </w:rPr>
        <w:t>13</w:t>
      </w:r>
    </w:p>
    <w:p>
      <w:pPr>
        <w:pStyle w:val="11"/>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r>
        <w:rPr>
          <w:sz w:val="24"/>
        </w:rPr>
        <w:t>……………………………………</w:t>
      </w:r>
      <w:r>
        <w:rPr>
          <w:rFonts w:hint="eastAsia"/>
          <w:sz w:val="24"/>
        </w:rPr>
        <w:t>13</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7"/>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预算绩效管理情况</w:t>
      </w:r>
      <w:r>
        <w:rPr>
          <w:sz w:val="24"/>
        </w:rPr>
        <w:t>…………………………………………………………</w:t>
      </w:r>
      <w:r>
        <w:rPr>
          <w:rFonts w:hint="eastAsia"/>
          <w:sz w:val="24"/>
        </w:rPr>
        <w:t>14</w:t>
      </w:r>
    </w:p>
    <w:p>
      <w:pPr>
        <w:adjustRightInd w:val="0"/>
        <w:snapToGrid w:val="0"/>
        <w:spacing w:line="440" w:lineRule="exact"/>
        <w:ind w:firstLine="420" w:firstLineChars="175"/>
        <w:jc w:val="left"/>
        <w:rPr>
          <w:rFonts w:eastAsiaTheme="minorEastAsia"/>
        </w:rPr>
      </w:pPr>
      <w:r>
        <w:rPr>
          <w:rFonts w:hint="eastAsia" w:asciiTheme="minorEastAsia" w:hAnsiTheme="minorEastAsia" w:eastAsiaTheme="minorEastAsia" w:cstheme="minorEastAsia"/>
          <w:sz w:val="24"/>
        </w:rPr>
        <w:t>十一、其他重要事项的情况说明</w:t>
      </w:r>
      <w:r>
        <w:rPr>
          <w:sz w:val="24"/>
        </w:rPr>
        <w:t>………………………………………………</w:t>
      </w:r>
      <w:r>
        <w:rPr>
          <w:rFonts w:hint="eastAsia"/>
          <w:sz w:val="24"/>
        </w:rPr>
        <w:t>14</w:t>
      </w:r>
    </w:p>
    <w:p>
      <w:pPr>
        <w:pStyle w:val="10"/>
        <w:adjustRightInd w:val="0"/>
        <w:snapToGrid w:val="0"/>
        <w:spacing w:before="0" w:line="440" w:lineRule="exact"/>
        <w:jc w:val="left"/>
        <w:rPr>
          <w:rFonts w:cstheme="minorBidi"/>
          <w:sz w:val="24"/>
          <w:szCs w:val="24"/>
        </w:rPr>
      </w:pPr>
      <w:r>
        <w:rPr>
          <w:rFonts w:hint="eastAsia"/>
          <w:sz w:val="24"/>
        </w:rPr>
        <w:t>第三部分名词解释</w:t>
      </w:r>
      <w:r>
        <w:rPr>
          <w:sz w:val="24"/>
        </w:rPr>
        <w:t>…………………………………………………………………</w:t>
      </w:r>
      <w:r>
        <w:rPr>
          <w:rFonts w:hint="eastAsia"/>
          <w:sz w:val="24"/>
        </w:rPr>
        <w:t>15</w:t>
      </w:r>
    </w:p>
    <w:p>
      <w:pPr>
        <w:pStyle w:val="10"/>
        <w:adjustRightInd w:val="0"/>
        <w:snapToGrid w:val="0"/>
        <w:spacing w:before="0" w:line="440" w:lineRule="exact"/>
        <w:jc w:val="left"/>
        <w:rPr>
          <w:rFonts w:cstheme="minorBidi"/>
          <w:sz w:val="24"/>
          <w:szCs w:val="24"/>
        </w:rPr>
      </w:pPr>
      <w:r>
        <w:rPr>
          <w:rFonts w:hint="eastAsia"/>
          <w:sz w:val="24"/>
        </w:rPr>
        <w:t>第四部分附件</w:t>
      </w:r>
      <w:r>
        <w:rPr>
          <w:sz w:val="24"/>
        </w:rPr>
        <w:t>………………………………………………………………………</w:t>
      </w:r>
      <w:r>
        <w:rPr>
          <w:rFonts w:hint="eastAsia"/>
          <w:sz w:val="24"/>
        </w:rPr>
        <w:t>17第五部分附表</w:t>
      </w:r>
      <w:r>
        <w:rPr>
          <w:sz w:val="24"/>
        </w:rPr>
        <w:t>………………………………………………………………………</w:t>
      </w:r>
      <w:r>
        <w:rPr>
          <w:rFonts w:hint="eastAsia"/>
          <w:sz w:val="24"/>
        </w:rPr>
        <w:t>51</w:t>
      </w:r>
    </w:p>
    <w:p>
      <w:pPr>
        <w:pStyle w:val="11"/>
        <w:adjustRightInd w:val="0"/>
        <w:snapToGrid w:val="0"/>
        <w:spacing w:line="440" w:lineRule="exact"/>
        <w:jc w:val="left"/>
        <w:rPr>
          <w:rFonts w:asciiTheme="minorEastAsia" w:hAnsiTheme="minorEastAsia" w:cstheme="minorEastAsia"/>
          <w:sz w:val="24"/>
        </w:rPr>
      </w:pPr>
      <w:r>
        <w:rPr>
          <w:rFonts w:hint="eastAsia" w:ascii="仿宋" w:hAnsi="仿宋" w:eastAsia="仿宋"/>
          <w:sz w:val="24"/>
        </w:rPr>
        <w:t>一、</w:t>
      </w:r>
      <w:r>
        <w:rPr>
          <w:rFonts w:hint="eastAsia"/>
          <w:sz w:val="24"/>
        </w:rPr>
        <w:t>收入支出决算总表</w:t>
      </w:r>
      <w:r>
        <w:rPr>
          <w:sz w:val="24"/>
        </w:rPr>
        <w:t>…………………………………………………………</w:t>
      </w:r>
      <w:r>
        <w:rPr>
          <w:rFonts w:hint="eastAsia"/>
          <w:sz w:val="24"/>
        </w:rPr>
        <w:t>51</w:t>
      </w:r>
      <w:r>
        <w:rPr>
          <w:rFonts w:hint="eastAsia" w:asciiTheme="minorEastAsia" w:hAnsiTheme="minorEastAsia" w:eastAsiaTheme="minorEastAsia" w:cstheme="minorEastAsia"/>
          <w:sz w:val="24"/>
        </w:rPr>
        <w:t>二、收入决算表</w:t>
      </w:r>
      <w:r>
        <w:rPr>
          <w:sz w:val="24"/>
        </w:rPr>
        <w:t>…………………………………………………………………</w:t>
      </w:r>
      <w:r>
        <w:rPr>
          <w:rFonts w:hint="eastAsia"/>
          <w:sz w:val="24"/>
        </w:rPr>
        <w:t>51</w:t>
      </w:r>
      <w:r>
        <w:rPr>
          <w:rFonts w:hint="eastAsia" w:asciiTheme="minorEastAsia" w:hAnsiTheme="minorEastAsia" w:eastAsiaTheme="minorEastAsia" w:cstheme="minorEastAsia"/>
          <w:sz w:val="24"/>
        </w:rPr>
        <w:t>三、支出决算表</w:t>
      </w:r>
      <w:r>
        <w:rPr>
          <w:sz w:val="24"/>
        </w:rPr>
        <w:t>…………………………………………………………………</w:t>
      </w:r>
      <w:r>
        <w:rPr>
          <w:rFonts w:hint="eastAsia"/>
          <w:sz w:val="24"/>
        </w:rPr>
        <w:t>51</w:t>
      </w:r>
      <w:r>
        <w:rPr>
          <w:rFonts w:hint="eastAsia" w:asciiTheme="minorEastAsia" w:hAnsiTheme="minorEastAsia" w:eastAsiaTheme="minorEastAsia" w:cstheme="minorEastAsia"/>
          <w:sz w:val="24"/>
        </w:rPr>
        <w:t>四、财政拨款收入支出决算总表</w:t>
      </w:r>
      <w:r>
        <w:rPr>
          <w:sz w:val="24"/>
        </w:rPr>
        <w:t>………………………………………………</w:t>
      </w:r>
      <w:r>
        <w:rPr>
          <w:rFonts w:hint="eastAsia"/>
          <w:sz w:val="24"/>
        </w:rPr>
        <w:t>51</w:t>
      </w:r>
      <w:r>
        <w:rPr>
          <w:rFonts w:hint="eastAsia" w:asciiTheme="minorEastAsia" w:hAnsiTheme="minorEastAsia" w:eastAsiaTheme="minorEastAsia" w:cstheme="minorEastAsia"/>
          <w:sz w:val="24"/>
        </w:rPr>
        <w:t>五、财政拨款支出决算明细表</w:t>
      </w:r>
      <w:r>
        <w:rPr>
          <w:sz w:val="24"/>
        </w:rPr>
        <w:t>…………………………………………………</w:t>
      </w:r>
      <w:r>
        <w:rPr>
          <w:rFonts w:hint="eastAsia"/>
          <w:sz w:val="24"/>
        </w:rPr>
        <w:t>51</w:t>
      </w:r>
      <w:r>
        <w:rPr>
          <w:rFonts w:hint="eastAsia" w:asciiTheme="minorEastAsia" w:hAnsiTheme="minorEastAsia" w:eastAsiaTheme="minorEastAsia" w:cstheme="minorEastAsia"/>
          <w:sz w:val="24"/>
        </w:rPr>
        <w:t>六、一般公共预算财政拨款支出决算表</w:t>
      </w:r>
      <w:r>
        <w:rPr>
          <w:sz w:val="24"/>
        </w:rPr>
        <w:t>………………………………………</w:t>
      </w:r>
      <w:r>
        <w:rPr>
          <w:rFonts w:hint="eastAsia"/>
          <w:sz w:val="24"/>
        </w:rPr>
        <w:t>51</w:t>
      </w:r>
    </w:p>
    <w:p>
      <w:pPr>
        <w:pStyle w:val="11"/>
        <w:adjustRightInd w:val="0"/>
        <w:snapToGrid w:val="0"/>
        <w:spacing w:line="440" w:lineRule="exact"/>
        <w:jc w:val="left"/>
        <w:rPr>
          <w:rFonts w:asciiTheme="minorEastAsia" w:hAnsiTheme="minorEastAsia" w:cstheme="minorEastAsia"/>
          <w:sz w:val="24"/>
        </w:rPr>
      </w:pPr>
      <w:r>
        <w:rPr>
          <w:rFonts w:hint="eastAsia" w:asciiTheme="minorEastAsia" w:hAnsiTheme="minorEastAsia" w:eastAsiaTheme="minorEastAsia" w:cstheme="minorEastAsia"/>
          <w:sz w:val="24"/>
        </w:rPr>
        <w:t>七、一般公共预算财政拨款支出决算明细表</w:t>
      </w:r>
      <w:r>
        <w:rPr>
          <w:sz w:val="24"/>
        </w:rPr>
        <w:t>…………………………………</w:t>
      </w:r>
      <w:r>
        <w:rPr>
          <w:rFonts w:hint="eastAsia"/>
          <w:sz w:val="24"/>
        </w:rPr>
        <w:t>51</w:t>
      </w:r>
      <w:r>
        <w:rPr>
          <w:rFonts w:hint="eastAsia" w:asciiTheme="minorEastAsia" w:hAnsiTheme="minorEastAsia" w:eastAsiaTheme="minorEastAsia" w:cstheme="minorEastAsia"/>
          <w:sz w:val="24"/>
        </w:rPr>
        <w:t>八、一般公共预算财政拨款基本支出决算表</w:t>
      </w:r>
      <w:r>
        <w:rPr>
          <w:sz w:val="24"/>
        </w:rPr>
        <w:t>…………………………………</w:t>
      </w:r>
      <w:r>
        <w:rPr>
          <w:rFonts w:hint="eastAsia"/>
          <w:sz w:val="24"/>
        </w:rPr>
        <w:t>51</w:t>
      </w:r>
      <w:r>
        <w:rPr>
          <w:rFonts w:hint="eastAsia" w:asciiTheme="minorEastAsia" w:hAnsiTheme="minorEastAsia" w:eastAsiaTheme="minorEastAsia" w:cstheme="minorEastAsia"/>
          <w:sz w:val="24"/>
        </w:rPr>
        <w:t>九、一般公共预算财政拨款项目支出决算表</w:t>
      </w:r>
      <w:r>
        <w:rPr>
          <w:sz w:val="24"/>
        </w:rPr>
        <w:t>…………………………………</w:t>
      </w:r>
      <w:r>
        <w:rPr>
          <w:rFonts w:hint="eastAsia"/>
          <w:sz w:val="24"/>
        </w:rPr>
        <w:t>51</w:t>
      </w:r>
      <w:r>
        <w:rPr>
          <w:rFonts w:hint="eastAsia" w:asciiTheme="minorEastAsia" w:hAnsiTheme="minorEastAsia" w:eastAsiaTheme="minorEastAsia" w:cstheme="minorEastAsia"/>
          <w:sz w:val="24"/>
        </w:rPr>
        <w:t>十、一般公共预算财政拨款“三公”经费支出决算表</w:t>
      </w:r>
      <w:r>
        <w:rPr>
          <w:sz w:val="24"/>
        </w:rPr>
        <w:t>…………………………</w:t>
      </w:r>
      <w:r>
        <w:rPr>
          <w:rFonts w:hint="eastAsia"/>
          <w:sz w:val="24"/>
        </w:rPr>
        <w:t>51</w:t>
      </w:r>
    </w:p>
    <w:p>
      <w:pPr>
        <w:pStyle w:val="11"/>
        <w:adjustRightInd w:val="0"/>
        <w:snapToGrid w:val="0"/>
        <w:spacing w:line="440" w:lineRule="exact"/>
        <w:jc w:val="left"/>
        <w:rPr>
          <w:rFonts w:asciiTheme="minorEastAsia" w:hAnsiTheme="minorEastAsia" w:cstheme="minorEastAsia"/>
          <w:sz w:val="24"/>
        </w:rPr>
      </w:pPr>
      <w:r>
        <w:rPr>
          <w:rFonts w:hint="eastAsia" w:asciiTheme="minorEastAsia" w:hAnsiTheme="minorEastAsia" w:eastAsiaTheme="minorEastAsia" w:cstheme="minorEastAsia"/>
          <w:sz w:val="24"/>
        </w:rPr>
        <w:t>十一、政府性基金预算财政拨款收入支出决算表</w:t>
      </w:r>
      <w:r>
        <w:rPr>
          <w:sz w:val="24"/>
        </w:rPr>
        <w:t>……………………………</w:t>
      </w:r>
      <w:r>
        <w:rPr>
          <w:rFonts w:hint="eastAsia"/>
          <w:sz w:val="24"/>
        </w:rPr>
        <w:t>51</w:t>
      </w:r>
      <w:r>
        <w:rPr>
          <w:rFonts w:hint="eastAsia" w:asciiTheme="minorEastAsia" w:hAnsiTheme="minorEastAsia" w:eastAsiaTheme="minorEastAsia" w:cstheme="minorEastAsia"/>
          <w:sz w:val="24"/>
        </w:rPr>
        <w:t>十二、政府性基金预算财政拨款“三公”经费支出决算表</w:t>
      </w:r>
      <w:r>
        <w:rPr>
          <w:sz w:val="24"/>
        </w:rPr>
        <w:t>……………………</w:t>
      </w:r>
      <w:r>
        <w:rPr>
          <w:rFonts w:hint="eastAsia"/>
          <w:sz w:val="24"/>
        </w:rPr>
        <w:t>51</w:t>
      </w:r>
      <w:r>
        <w:rPr>
          <w:rFonts w:hint="eastAsia" w:asciiTheme="minorEastAsia" w:hAnsiTheme="minorEastAsia" w:eastAsiaTheme="minorEastAsia" w:cstheme="minorEastAsia"/>
          <w:sz w:val="24"/>
        </w:rPr>
        <w:t>十三、国有资本经营预算财政拨款收入支出决算表</w:t>
      </w:r>
      <w:r>
        <w:rPr>
          <w:sz w:val="24"/>
        </w:rPr>
        <w:t>…………………………</w:t>
      </w:r>
      <w:r>
        <w:rPr>
          <w:rFonts w:hint="eastAsia"/>
          <w:sz w:val="24"/>
        </w:rPr>
        <w:t>51</w:t>
      </w:r>
      <w:r>
        <w:rPr>
          <w:rFonts w:hint="eastAsia" w:asciiTheme="minorEastAsia" w:hAnsiTheme="minorEastAsia" w:eastAsiaTheme="minorEastAsia" w:cstheme="minorEastAsia"/>
          <w:sz w:val="24"/>
        </w:rPr>
        <w:t>十四、国有资本经营预算财政拨款支出决算表</w:t>
      </w:r>
      <w:r>
        <w:rPr>
          <w:sz w:val="24"/>
        </w:rPr>
        <w:t>………………………………</w:t>
      </w:r>
      <w:r>
        <w:rPr>
          <w:rFonts w:hint="eastAsia"/>
          <w:sz w:val="24"/>
        </w:rPr>
        <w:t>51</w:t>
      </w:r>
    </w:p>
    <w:p>
      <w:pPr>
        <w:widowControl/>
        <w:adjustRightInd w:val="0"/>
        <w:snapToGrid w:val="0"/>
        <w:spacing w:line="440" w:lineRule="exact"/>
        <w:ind w:firstLine="1320" w:firstLineChars="550"/>
        <w:jc w:val="left"/>
        <w:rPr>
          <w:rFonts w:ascii="仿宋" w:hAnsi="仿宋" w:eastAsia="仿宋"/>
          <w:sz w:val="24"/>
          <w:highlight w:val="yellow"/>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18"/>
          <w:rFonts w:ascii="黑体" w:hAnsi="黑体" w:eastAsia="黑体"/>
          <w:b/>
          <w:bCs w:val="0"/>
        </w:rPr>
      </w:pPr>
      <w:r>
        <w:rPr>
          <w:rFonts w:hint="eastAsia" w:ascii="黑体" w:hAnsi="黑体" w:eastAsia="黑体"/>
          <w:b w:val="0"/>
        </w:rPr>
        <w:t xml:space="preserve">第一部分 </w:t>
      </w:r>
      <w:r>
        <w:rPr>
          <w:rStyle w:val="18"/>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rPr>
          <w:rStyle w:val="19"/>
          <w:rFonts w:ascii="仿宋" w:hAnsi="仿宋" w:eastAsia="仿宋"/>
          <w:b w:val="0"/>
          <w:bCs w:val="0"/>
        </w:rPr>
      </w:pPr>
      <w:bookmarkStart w:id="14" w:name="_一、基本职能及主要工作"/>
      <w:bookmarkEnd w:id="14"/>
      <w:bookmarkStart w:id="15" w:name="_Toc15396600"/>
      <w:bookmarkStart w:id="16" w:name="_Toc15377197"/>
      <w:r>
        <w:rPr>
          <w:rFonts w:hint="eastAsia" w:ascii="黑体" w:hAnsi="黑体" w:eastAsia="黑体"/>
          <w:b w:val="0"/>
        </w:rPr>
        <w:t>一、基</w:t>
      </w:r>
      <w:r>
        <w:rPr>
          <w:rFonts w:hint="eastAsia" w:ascii="黑体" w:hAnsi="黑体" w:eastAsia="黑体"/>
        </w:rPr>
        <w:t>本职能及主要工作</w:t>
      </w:r>
      <w:bookmarkEnd w:id="15"/>
      <w:bookmarkEnd w:id="16"/>
    </w:p>
    <w:p>
      <w:pPr>
        <w:pStyle w:val="2"/>
        <w:adjustRightInd w:val="0"/>
        <w:snapToGrid w:val="0"/>
        <w:spacing w:before="93" w:line="600" w:lineRule="exact"/>
        <w:ind w:firstLine="672" w:firstLineChars="210"/>
        <w:outlineLvl w:val="2"/>
        <w:rPr>
          <w:rFonts w:ascii="楷体_GB2312" w:hAnsi="仿宋" w:eastAsia="楷体_GB2312" w:cs="仿宋"/>
          <w:sz w:val="32"/>
          <w:szCs w:val="32"/>
        </w:rPr>
      </w:pPr>
      <w:bookmarkStart w:id="17" w:name="_Toc15377198"/>
      <w:bookmarkStart w:id="18" w:name="_Toc15378445"/>
      <w:r>
        <w:rPr>
          <w:rFonts w:hint="eastAsia" w:ascii="楷体_GB2312" w:hAnsi="仿宋" w:eastAsia="楷体_GB2312"/>
          <w:bCs/>
          <w:sz w:val="32"/>
          <w:szCs w:val="32"/>
        </w:rPr>
        <w:t>（一）</w:t>
      </w:r>
      <w:r>
        <w:rPr>
          <w:rFonts w:hint="eastAsia" w:ascii="楷体_GB2312" w:hAnsi="仿宋" w:eastAsia="楷体_GB2312" w:cs="仿宋"/>
          <w:sz w:val="32"/>
          <w:szCs w:val="32"/>
        </w:rPr>
        <w:t>基本情况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主要职能。广元市交通技工学校成立于1985年10月，直属广元市交通运输局，差额拨款事业单位性质。学校主要从事中职学历教育、大专及以上学历层次函授教育、职业技能鉴定、道路运输从业资格证培训、汽车驾驶员培训、内河船舶船员培训、交通执法人员培训及其他短期培训。学校具有年教学培训6000人以上办学规模。</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机构资产。学校现有固定资产5156.9万元，校区3处，其中：南校区位于南河老鹰嘴，东校区位于东坝滨河北路，在大石镇龙洞碥与当地村组联办机动车驾驶员训练场1处，另有大石镇青岩村中职教育基础能力建设项目1处。学校总占地面积120余亩，现有教学综合楼2幢，建筑面积11728.44m</w:t>
      </w:r>
      <w:r>
        <w:rPr>
          <w:rFonts w:hint="eastAsia" w:ascii="仿宋" w:hAnsi="仿宋" w:eastAsia="仿宋" w:cs="仿宋"/>
          <w:sz w:val="32"/>
          <w:szCs w:val="32"/>
          <w:vertAlign w:val="superscript"/>
        </w:rPr>
        <w:t>2</w:t>
      </w:r>
      <w:r>
        <w:rPr>
          <w:rFonts w:hint="eastAsia" w:ascii="仿宋" w:hAnsi="仿宋" w:eastAsia="仿宋" w:cs="仿宋"/>
          <w:sz w:val="32"/>
          <w:szCs w:val="32"/>
        </w:rPr>
        <w:t>，设有教室、电教室、模拟教室、多媒体教学室和实习车间，配备了全套教学模拟设备和电教系统。学校现有驾驶教练车辆52台。建校以来，累计为社会培养输送各类专业人才10万人，为全市交通运输事业发展提供了智力支持和人才保障。</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3.人员编制。学校现有64人，人员构成多样，有全额事业编制，差额事业编制，自收自支事业编制，还有临时聘用人员。广元市机构编制委员会核定学校人员编制33人，年末实际在编19人，退休16人。</w:t>
      </w:r>
    </w:p>
    <w:bookmarkEnd w:id="17"/>
    <w:bookmarkEnd w:id="18"/>
    <w:p>
      <w:pPr>
        <w:pStyle w:val="2"/>
        <w:adjustRightInd w:val="0"/>
        <w:snapToGrid w:val="0"/>
        <w:spacing w:before="93" w:line="600" w:lineRule="exact"/>
        <w:ind w:firstLine="672" w:firstLineChars="210"/>
        <w:outlineLvl w:val="2"/>
        <w:rPr>
          <w:rFonts w:ascii="楷体_GB2312" w:hAnsi="仿宋" w:eastAsia="楷体_GB2312"/>
          <w:bCs/>
          <w:sz w:val="32"/>
          <w:szCs w:val="32"/>
        </w:rPr>
      </w:pPr>
      <w:bookmarkStart w:id="19" w:name="_Toc15378446"/>
      <w:bookmarkStart w:id="20" w:name="_Toc15377199"/>
      <w:r>
        <w:rPr>
          <w:rFonts w:hint="eastAsia" w:ascii="楷体_GB2312" w:hAnsi="仿宋" w:eastAsia="楷体_GB2312"/>
          <w:bCs/>
          <w:sz w:val="32"/>
          <w:szCs w:val="32"/>
        </w:rPr>
        <w:t>（二）2021年重点工作完成情况</w:t>
      </w:r>
      <w:bookmarkEnd w:id="19"/>
      <w:bookmarkEnd w:id="20"/>
    </w:p>
    <w:p>
      <w:pPr>
        <w:spacing w:line="540" w:lineRule="exact"/>
        <w:ind w:firstLine="640"/>
        <w:rPr>
          <w:rFonts w:ascii="仿宋" w:hAnsi="仿宋" w:eastAsia="仿宋" w:cs="仿宋"/>
          <w:sz w:val="32"/>
          <w:szCs w:val="32"/>
        </w:rPr>
      </w:pPr>
      <w:r>
        <w:rPr>
          <w:rFonts w:hint="eastAsia" w:ascii="仿宋" w:hAnsi="仿宋" w:eastAsia="仿宋" w:cs="仿宋"/>
          <w:sz w:val="32"/>
          <w:szCs w:val="32"/>
        </w:rPr>
        <w:t>1.非税收入方面。全年完成收入共计753.92万元（其中：行政事业性收费605.13万元，房租收入148.79万元。与去年同期完成数698.35万元增长7.95%。</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2.驾驶培训方面。全年完成招生1200人。与去年同期完成数（结业1021人）增长17.53%。</w:t>
      </w:r>
    </w:p>
    <w:p>
      <w:pPr>
        <w:pStyle w:val="2"/>
        <w:adjustRightInd w:val="0"/>
        <w:snapToGrid w:val="0"/>
        <w:spacing w:before="93" w:line="600" w:lineRule="exact"/>
        <w:ind w:firstLine="672" w:firstLineChars="210"/>
        <w:outlineLvl w:val="2"/>
        <w:rPr>
          <w:rFonts w:ascii="仿宋" w:hAnsi="仿宋" w:eastAsia="仿宋" w:cs="仿宋"/>
          <w:sz w:val="32"/>
          <w:szCs w:val="32"/>
        </w:rPr>
      </w:pPr>
      <w:r>
        <w:rPr>
          <w:rFonts w:hint="eastAsia" w:ascii="仿宋" w:hAnsi="仿宋" w:eastAsia="仿宋" w:cs="仿宋"/>
          <w:sz w:val="32"/>
          <w:szCs w:val="32"/>
        </w:rPr>
        <w:t>3.职业培训方面。全年完成数1548人（其中：道路运输从业资格证培训计划数1123人（含网约、巡游出租车及货运车驾驶员从业培训）；内河船舶船员培训计划数105人；滴滴代驾培训120人；市人社技能提升行动汽车维修初级培训1批200人，与去年同期完成数（职业培训2376人）减少34.84%。</w:t>
      </w:r>
    </w:p>
    <w:p>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cs="仿宋"/>
          <w:sz w:val="32"/>
          <w:szCs w:val="32"/>
        </w:rPr>
        <w:t>4.市交通运输局道路运输企业两类人员安全考核6期12批603人），与去年同期完成数（504人）相比增长19.64%。</w:t>
      </w:r>
    </w:p>
    <w:p>
      <w:pPr>
        <w:pStyle w:val="4"/>
        <w:rPr>
          <w:rStyle w:val="19"/>
          <w:b w:val="0"/>
          <w:bCs w:val="0"/>
        </w:rPr>
      </w:pPr>
      <w:bookmarkStart w:id="21" w:name="_Toc15396601"/>
      <w:bookmarkStart w:id="22" w:name="_Toc15377200"/>
      <w:r>
        <w:rPr>
          <w:rFonts w:hint="eastAsia" w:ascii="黑体" w:eastAsia="黑体"/>
          <w:b w:val="0"/>
        </w:rPr>
        <w:t>二、</w:t>
      </w:r>
      <w:r>
        <w:rPr>
          <w:rFonts w:hint="eastAsia" w:ascii="黑体" w:hAnsi="黑体" w:eastAsia="黑体"/>
          <w:b w:val="0"/>
        </w:rPr>
        <w:t>机</w:t>
      </w:r>
      <w:r>
        <w:rPr>
          <w:rStyle w:val="19"/>
          <w:rFonts w:hint="eastAsia" w:ascii="黑体" w:hAnsi="黑体" w:eastAsia="黑体"/>
          <w:b w:val="0"/>
          <w:bCs w:val="0"/>
        </w:rPr>
        <w:t>构设置</w:t>
      </w:r>
      <w:bookmarkEnd w:id="21"/>
      <w:bookmarkEnd w:id="22"/>
    </w:p>
    <w:p>
      <w:pPr>
        <w:ind w:firstLine="800" w:firstLineChars="250"/>
        <w:rPr>
          <w:rFonts w:ascii="仿宋" w:hAnsi="仿宋" w:eastAsia="仿宋"/>
          <w:sz w:val="32"/>
          <w:szCs w:val="32"/>
        </w:rPr>
      </w:pPr>
      <w:r>
        <w:rPr>
          <w:rFonts w:hint="eastAsia" w:ascii="仿宋" w:hAnsi="仿宋" w:eastAsia="仿宋"/>
          <w:sz w:val="32"/>
          <w:szCs w:val="32"/>
        </w:rPr>
        <w:t>广元市交通技工学校无下属单位。</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18"/>
          <w:rFonts w:ascii="黑体" w:hAnsi="黑体" w:eastAsia="黑体"/>
          <w:b w:val="0"/>
          <w:bCs/>
        </w:rPr>
      </w:pPr>
      <w:bookmarkStart w:id="23" w:name="_Toc15396602"/>
      <w:bookmarkStart w:id="24" w:name="_Toc15377204"/>
      <w:r>
        <w:rPr>
          <w:rFonts w:hint="eastAsia" w:ascii="黑体" w:hAnsi="黑体" w:eastAsia="黑体"/>
          <w:b w:val="0"/>
        </w:rPr>
        <w:t>第二部分 2021年度</w:t>
      </w:r>
      <w:r>
        <w:rPr>
          <w:rStyle w:val="18"/>
          <w:rFonts w:hint="eastAsia" w:ascii="黑体" w:hAnsi="黑体" w:eastAsia="黑体"/>
          <w:b w:val="0"/>
          <w:bCs/>
        </w:rPr>
        <w:t>部门决算情况说明</w:t>
      </w:r>
      <w:bookmarkEnd w:id="23"/>
      <w:bookmarkEnd w:id="24"/>
    </w:p>
    <w:p/>
    <w:p>
      <w:pPr>
        <w:pStyle w:val="29"/>
        <w:numPr>
          <w:ilvl w:val="0"/>
          <w:numId w:val="1"/>
        </w:numPr>
        <w:spacing w:line="600" w:lineRule="exact"/>
        <w:ind w:firstLineChars="0"/>
        <w:outlineLvl w:val="1"/>
        <w:rPr>
          <w:rStyle w:val="19"/>
          <w:rFonts w:ascii="黑体" w:hAnsi="黑体" w:eastAsia="黑体"/>
          <w:b w:val="0"/>
        </w:rPr>
      </w:pPr>
      <w:bookmarkStart w:id="25" w:name="_Toc15396603"/>
      <w:bookmarkStart w:id="26" w:name="_Toc15377205"/>
      <w:r>
        <w:rPr>
          <w:rFonts w:hint="eastAsia" w:ascii="黑体" w:hAnsi="黑体" w:eastAsia="黑体"/>
          <w:sz w:val="32"/>
          <w:szCs w:val="32"/>
        </w:rPr>
        <w:t>收</w:t>
      </w:r>
      <w:r>
        <w:rPr>
          <w:rStyle w:val="19"/>
          <w:rFonts w:hint="eastAsia" w:ascii="黑体" w:hAnsi="黑体" w:eastAsia="黑体"/>
          <w:b w:val="0"/>
        </w:rPr>
        <w:t>入支出决算总体情况说明</w:t>
      </w:r>
      <w:bookmarkEnd w:id="25"/>
      <w:bookmarkEnd w:id="26"/>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2021年度收入总计1126.04万元，与2020年相比，收、支总计各减少250.1万元，下降18.17</w:t>
      </w:r>
      <w:r>
        <w:rPr>
          <w:rFonts w:ascii="仿宋" w:hAnsi="仿宋" w:eastAsia="仿宋"/>
          <w:sz w:val="32"/>
          <w:szCs w:val="32"/>
        </w:rPr>
        <w:t>%</w:t>
      </w:r>
      <w:r>
        <w:rPr>
          <w:rFonts w:hint="eastAsia" w:ascii="仿宋" w:hAnsi="仿宋" w:eastAsia="仿宋"/>
          <w:sz w:val="32"/>
          <w:szCs w:val="32"/>
        </w:rPr>
        <w:t>。主要变动原因是2020年土地补偿款用于学生宿舍建设项目310.95万元为一次性项目。</w:t>
      </w:r>
    </w:p>
    <w:p>
      <w:pPr>
        <w:ind w:firstLine="420" w:firstLineChars="200"/>
        <w:rPr>
          <w:rFonts w:ascii="仿宋_GB2312" w:eastAsia="仿宋_GB2312"/>
          <w:sz w:val="32"/>
          <w:szCs w:val="32"/>
        </w:rPr>
      </w:pPr>
      <w:r>
        <w:drawing>
          <wp:inline distT="0" distB="0" distL="114300" distR="114300">
            <wp:extent cx="4571365" cy="2743200"/>
            <wp:effectExtent l="4445" t="4445" r="15240" b="14605"/>
            <wp:docPr id="10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9"/>
        <w:numPr>
          <w:ilvl w:val="0"/>
          <w:numId w:val="1"/>
        </w:numPr>
        <w:spacing w:line="600" w:lineRule="exact"/>
        <w:ind w:firstLineChars="0"/>
        <w:outlineLvl w:val="1"/>
        <w:rPr>
          <w:rStyle w:val="19"/>
          <w:rFonts w:ascii="黑体" w:hAnsi="黑体" w:eastAsia="黑体"/>
          <w:b w:val="0"/>
        </w:rPr>
      </w:pPr>
      <w:bookmarkStart w:id="27" w:name="_Toc15396604"/>
      <w:bookmarkStart w:id="28" w:name="_Toc15377206"/>
      <w:r>
        <w:rPr>
          <w:rFonts w:hint="eastAsia" w:ascii="黑体" w:hAnsi="黑体" w:eastAsia="黑体"/>
          <w:sz w:val="32"/>
          <w:szCs w:val="32"/>
        </w:rPr>
        <w:t>收</w:t>
      </w:r>
      <w:r>
        <w:rPr>
          <w:rStyle w:val="19"/>
          <w:rFonts w:hint="eastAsia" w:ascii="黑体" w:hAnsi="黑体" w:eastAsia="黑体"/>
          <w:b w:val="0"/>
        </w:rPr>
        <w:t>入决算情况说明</w:t>
      </w:r>
      <w:bookmarkEnd w:id="27"/>
      <w:bookmarkEnd w:id="28"/>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21年本年收入合计778.3万元，其中：一般公共预算财政拨款收入778.27万元，占99.99</w:t>
      </w:r>
      <w:r>
        <w:rPr>
          <w:rFonts w:ascii="仿宋" w:hAnsi="仿宋" w:eastAsia="仿宋"/>
          <w:sz w:val="32"/>
          <w:szCs w:val="32"/>
        </w:rPr>
        <w:t>%</w:t>
      </w:r>
      <w:r>
        <w:rPr>
          <w:rFonts w:hint="eastAsia" w:ascii="仿宋" w:hAnsi="仿宋" w:eastAsia="仿宋"/>
          <w:sz w:val="32"/>
          <w:szCs w:val="32"/>
        </w:rPr>
        <w:t>；其他收入0.03万元，占比0.01</w:t>
      </w:r>
      <w:r>
        <w:rPr>
          <w:rFonts w:ascii="仿宋" w:hAnsi="仿宋" w:eastAsia="仿宋"/>
          <w:sz w:val="32"/>
          <w:szCs w:val="32"/>
        </w:rPr>
        <w:t>%</w:t>
      </w:r>
      <w:r>
        <w:rPr>
          <w:rFonts w:hint="eastAsia" w:ascii="仿宋" w:hAnsi="仿宋" w:eastAsia="仿宋"/>
          <w:sz w:val="32"/>
          <w:szCs w:val="32"/>
        </w:rPr>
        <w:t>。</w:t>
      </w:r>
    </w:p>
    <w:p>
      <w:pPr>
        <w:ind w:firstLine="420" w:firstLineChars="200"/>
        <w:rPr>
          <w:rFonts w:ascii="仿宋_GB2312" w:eastAsia="仿宋_GB2312"/>
          <w:sz w:val="32"/>
          <w:szCs w:val="32"/>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9"/>
        <w:numPr>
          <w:ilvl w:val="0"/>
          <w:numId w:val="1"/>
        </w:numPr>
        <w:spacing w:line="600" w:lineRule="exact"/>
        <w:ind w:firstLineChars="0"/>
        <w:outlineLvl w:val="1"/>
        <w:rPr>
          <w:rStyle w:val="19"/>
          <w:rFonts w:ascii="黑体" w:hAnsi="黑体" w:eastAsia="黑体"/>
          <w:b w:val="0"/>
        </w:rPr>
      </w:pPr>
      <w:bookmarkStart w:id="29" w:name="_Toc15396605"/>
      <w:bookmarkStart w:id="30" w:name="_Toc15377207"/>
      <w:r>
        <w:rPr>
          <w:rFonts w:hint="eastAsia" w:ascii="黑体" w:hAnsi="黑体" w:eastAsia="黑体"/>
          <w:sz w:val="32"/>
          <w:szCs w:val="32"/>
        </w:rPr>
        <w:t>支</w:t>
      </w:r>
      <w:r>
        <w:rPr>
          <w:rStyle w:val="19"/>
          <w:rFonts w:hint="eastAsia" w:ascii="黑体" w:hAnsi="黑体" w:eastAsia="黑体"/>
          <w:b w:val="0"/>
        </w:rPr>
        <w:t>出决算情况说明</w:t>
      </w:r>
      <w:bookmarkEnd w:id="29"/>
      <w:bookmarkEnd w:id="30"/>
    </w:p>
    <w:p>
      <w:pPr>
        <w:spacing w:line="600" w:lineRule="exact"/>
        <w:ind w:firstLine="640" w:firstLineChars="200"/>
        <w:outlineLvl w:val="1"/>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21年本年支出合计734.51万元，其中：基本支出734.51万元，占100%。</w:t>
      </w:r>
    </w:p>
    <w:p>
      <w:pPr>
        <w:ind w:firstLine="641"/>
        <w:rPr>
          <w:rFonts w:ascii="仿宋_GB2312" w:eastAsia="仿宋_GB2312"/>
          <w:sz w:val="32"/>
          <w:szCs w:val="32"/>
        </w:rPr>
      </w:pPr>
      <w:r>
        <w:drawing>
          <wp:inline distT="0" distB="0" distL="114300" distR="114300">
            <wp:extent cx="457200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19"/>
          <w:rFonts w:ascii="黑体" w:hAnsi="黑体" w:eastAsia="黑体"/>
          <w:b w:val="0"/>
        </w:rPr>
      </w:pPr>
      <w:bookmarkStart w:id="31" w:name="_Toc15377208"/>
      <w:bookmarkStart w:id="32" w:name="_Toc15396606"/>
      <w:r>
        <w:rPr>
          <w:rFonts w:hint="eastAsia" w:ascii="黑体" w:hAnsi="黑体" w:eastAsia="黑体"/>
          <w:sz w:val="32"/>
          <w:szCs w:val="32"/>
        </w:rPr>
        <w:t>四、财</w:t>
      </w:r>
      <w:r>
        <w:rPr>
          <w:rStyle w:val="19"/>
          <w:rFonts w:hint="eastAsia" w:ascii="黑体" w:hAnsi="黑体" w:eastAsia="黑体"/>
          <w:b w:val="0"/>
        </w:rPr>
        <w:t>政拨款收入支出决算总体情况说明</w:t>
      </w:r>
      <w:bookmarkEnd w:id="31"/>
      <w:bookmarkEnd w:id="3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21年财政拨款收入总计1118.34万元，与2020年1218.9万元相比，财政拨款收、支总计各减少100.56万元，下降率8.25</w:t>
      </w:r>
      <w:r>
        <w:rPr>
          <w:rFonts w:ascii="仿宋" w:hAnsi="仿宋" w:eastAsia="仿宋"/>
          <w:sz w:val="32"/>
          <w:szCs w:val="32"/>
        </w:rPr>
        <w:t>%</w:t>
      </w:r>
      <w:r>
        <w:rPr>
          <w:rFonts w:hint="eastAsia" w:ascii="仿宋" w:hAnsi="仿宋" w:eastAsia="仿宋"/>
          <w:sz w:val="32"/>
          <w:szCs w:val="32"/>
        </w:rPr>
        <w:t>。主要变动原因是2020年土地补偿款用于学生宿舍建设项目为一次性项目。</w:t>
      </w:r>
    </w:p>
    <w:p>
      <w:pPr>
        <w:jc w:val="center"/>
        <w:rPr>
          <w:rFonts w:ascii="仿宋" w:hAnsi="仿宋" w:eastAsia="仿宋"/>
          <w:sz w:val="32"/>
          <w:szCs w:val="32"/>
        </w:rPr>
      </w:pPr>
      <w:r>
        <w:drawing>
          <wp:inline distT="0" distB="0" distL="114300" distR="114300">
            <wp:extent cx="4572000" cy="2743200"/>
            <wp:effectExtent l="4445" t="4445" r="14605" b="14605"/>
            <wp:docPr id="205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19"/>
          <w:rFonts w:ascii="黑体" w:hAnsi="黑体" w:eastAsia="黑体"/>
          <w:b w:val="0"/>
        </w:rPr>
      </w:pPr>
      <w:bookmarkStart w:id="33" w:name="_Toc15377209"/>
      <w:bookmarkStart w:id="34" w:name="_Toc15396607"/>
      <w:r>
        <w:rPr>
          <w:rFonts w:hint="eastAsia" w:ascii="黑体" w:hAnsi="黑体" w:eastAsia="黑体"/>
          <w:sz w:val="32"/>
          <w:szCs w:val="32"/>
        </w:rPr>
        <w:t>五、</w:t>
      </w:r>
      <w:r>
        <w:rPr>
          <w:rFonts w:hint="eastAsia" w:ascii="黑体" w:hAnsi="黑体" w:eastAsia="黑体"/>
          <w:b/>
          <w:sz w:val="32"/>
          <w:szCs w:val="32"/>
        </w:rPr>
        <w:t>一</w:t>
      </w:r>
      <w:r>
        <w:rPr>
          <w:rStyle w:val="19"/>
          <w:rFonts w:hint="eastAsia" w:ascii="黑体" w:hAnsi="黑体" w:eastAsia="黑体"/>
          <w:b w:val="0"/>
        </w:rPr>
        <w:t>般公共预算财政拨款支出决算情况说明</w:t>
      </w:r>
      <w:bookmarkEnd w:id="33"/>
      <w:bookmarkEnd w:id="34"/>
    </w:p>
    <w:p>
      <w:pPr>
        <w:spacing w:line="600" w:lineRule="exact"/>
        <w:ind w:firstLine="640" w:firstLineChars="200"/>
        <w:outlineLvl w:val="2"/>
        <w:rPr>
          <w:rFonts w:ascii="仿宋" w:hAnsi="仿宋" w:eastAsia="仿宋"/>
          <w:b/>
          <w:sz w:val="32"/>
          <w:szCs w:val="32"/>
        </w:rPr>
      </w:pPr>
      <w:bookmarkStart w:id="35" w:name="_Toc15377210"/>
      <w:r>
        <w:rPr>
          <w:rFonts w:hint="eastAsia" w:ascii="仿宋" w:hAnsi="仿宋" w:eastAsia="仿宋"/>
          <w:b/>
          <w:sz w:val="32"/>
          <w:szCs w:val="32"/>
        </w:rPr>
        <w:t>（一）一般公共预算财政拨款支出决算总体情况</w:t>
      </w:r>
      <w:bookmarkEnd w:id="3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21年一般公共预算财政拨款支出733.26万元，占本年支出合计的99.83</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20年668.83万元相比，一般公共预算财政拨款支出增加64.43万元，增长9.63</w:t>
      </w:r>
      <w:r>
        <w:rPr>
          <w:rFonts w:ascii="仿宋" w:hAnsi="仿宋" w:eastAsia="仿宋"/>
          <w:sz w:val="32"/>
          <w:szCs w:val="32"/>
        </w:rPr>
        <w:t>%</w:t>
      </w:r>
      <w:r>
        <w:rPr>
          <w:rFonts w:hint="eastAsia" w:ascii="仿宋" w:hAnsi="仿宋" w:eastAsia="仿宋"/>
          <w:sz w:val="32"/>
          <w:szCs w:val="32"/>
        </w:rPr>
        <w:t>。</w:t>
      </w:r>
    </w:p>
    <w:p>
      <w:pPr>
        <w:ind w:firstLine="420" w:firstLineChars="200"/>
        <w:rPr>
          <w:rFonts w:ascii="仿宋" w:hAnsi="仿宋" w:eastAsia="仿宋"/>
          <w:sz w:val="32"/>
          <w:szCs w:val="32"/>
        </w:rPr>
      </w:pPr>
      <w:r>
        <w:drawing>
          <wp:inline distT="0" distB="0" distL="114300" distR="114300">
            <wp:extent cx="4572000" cy="2743200"/>
            <wp:effectExtent l="4445" t="4445" r="14605" b="14605"/>
            <wp:docPr id="307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2"/>
        <w:rPr>
          <w:rFonts w:ascii="仿宋" w:hAnsi="仿宋" w:eastAsia="仿宋"/>
          <w:b/>
          <w:sz w:val="32"/>
          <w:szCs w:val="32"/>
        </w:rPr>
      </w:pPr>
      <w:bookmarkStart w:id="36" w:name="_Toc15377211"/>
      <w:r>
        <w:rPr>
          <w:rFonts w:hint="eastAsia" w:ascii="仿宋" w:hAnsi="仿宋" w:eastAsia="仿宋"/>
          <w:b/>
          <w:sz w:val="32"/>
          <w:szCs w:val="32"/>
        </w:rPr>
        <w:t>（二）一般公共预算财政拨款支出决算结构情况</w:t>
      </w:r>
      <w:bookmarkEnd w:id="3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21年一般公共预算财政拨款支出733.26万元，主要用于以下方面</w:t>
      </w:r>
      <w:r>
        <w:rPr>
          <w:rFonts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642.69万元，占87.65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sz w:val="32"/>
          <w:szCs w:val="32"/>
        </w:rPr>
        <w:t>（类）</w:t>
      </w:r>
      <w:r>
        <w:rPr>
          <w:rFonts w:hint="eastAsia" w:ascii="仿宋" w:hAnsi="仿宋" w:eastAsia="仿宋"/>
          <w:sz w:val="32"/>
          <w:szCs w:val="32"/>
        </w:rPr>
        <w:t>53.02万元，占7.23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卫生健康支出（类）</w:t>
      </w:r>
      <w:r>
        <w:rPr>
          <w:rFonts w:hint="eastAsia" w:ascii="仿宋" w:hAnsi="仿宋" w:eastAsia="仿宋"/>
          <w:sz w:val="32"/>
          <w:szCs w:val="32"/>
        </w:rPr>
        <w:t>14.89万元，占2.03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住房保障支出（类）</w:t>
      </w:r>
      <w:r>
        <w:rPr>
          <w:rFonts w:hint="eastAsia" w:ascii="仿宋" w:hAnsi="仿宋" w:eastAsia="仿宋"/>
          <w:sz w:val="32"/>
          <w:szCs w:val="32"/>
        </w:rPr>
        <w:t>22.67万元，占3.09</w:t>
      </w:r>
      <w:r>
        <w:rPr>
          <w:rFonts w:ascii="仿宋" w:hAnsi="仿宋" w:eastAsia="仿宋"/>
          <w:sz w:val="32"/>
          <w:szCs w:val="32"/>
        </w:rPr>
        <w:t>%</w:t>
      </w:r>
      <w:r>
        <w:rPr>
          <w:rFonts w:hint="eastAsia" w:ascii="仿宋" w:hAnsi="仿宋" w:eastAsia="仿宋"/>
          <w:sz w:val="32"/>
          <w:szCs w:val="32"/>
        </w:rPr>
        <w:t>。</w:t>
      </w:r>
    </w:p>
    <w:p>
      <w:pPr>
        <w:ind w:firstLine="420" w:firstLineChars="200"/>
        <w:rPr>
          <w:rFonts w:ascii="仿宋" w:hAnsi="仿宋" w:eastAsia="仿宋"/>
          <w:sz w:val="32"/>
          <w:szCs w:val="32"/>
        </w:rPr>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2"/>
        <w:rPr>
          <w:rFonts w:ascii="仿宋" w:hAnsi="仿宋" w:eastAsia="仿宋"/>
          <w:b/>
          <w:sz w:val="32"/>
          <w:szCs w:val="32"/>
        </w:rPr>
      </w:pPr>
      <w:bookmarkStart w:id="37" w:name="_Toc15377212"/>
      <w:r>
        <w:rPr>
          <w:rFonts w:hint="eastAsia" w:ascii="仿宋" w:hAnsi="仿宋" w:eastAsia="仿宋"/>
          <w:b/>
          <w:sz w:val="32"/>
          <w:szCs w:val="32"/>
        </w:rPr>
        <w:t>（三）一般公共预算财政拨款支出决算具体情况</w:t>
      </w:r>
      <w:bookmarkEnd w:id="37"/>
    </w:p>
    <w:p>
      <w:pPr>
        <w:spacing w:line="600" w:lineRule="exact"/>
        <w:ind w:firstLine="640" w:firstLineChars="200"/>
        <w:outlineLvl w:val="2"/>
        <w:rPr>
          <w:rFonts w:ascii="仿宋" w:hAnsi="仿宋" w:eastAsia="仿宋"/>
          <w:b/>
          <w:sz w:val="32"/>
          <w:szCs w:val="32"/>
        </w:rPr>
      </w:pPr>
      <w:bookmarkStart w:id="38" w:name="_Toc15377444"/>
      <w:bookmarkStart w:id="39" w:name="_Toc15378460"/>
      <w:bookmarkStart w:id="40" w:name="_Toc15377213"/>
      <w:r>
        <w:rPr>
          <w:rFonts w:hint="eastAsia" w:ascii="仿宋" w:hAnsi="仿宋" w:eastAsia="仿宋"/>
          <w:b/>
          <w:sz w:val="32"/>
          <w:szCs w:val="32"/>
        </w:rPr>
        <w:t>2021年一般公共预算支出决算数为733.25万元</w:t>
      </w:r>
      <w:r>
        <w:rPr>
          <w:rFonts w:hint="eastAsia" w:ascii="仿宋" w:hAnsi="仿宋" w:eastAsia="仿宋"/>
          <w:sz w:val="32"/>
          <w:szCs w:val="32"/>
        </w:rPr>
        <w:t>，</w:t>
      </w:r>
      <w:r>
        <w:rPr>
          <w:rStyle w:val="16"/>
          <w:rFonts w:hint="eastAsia" w:ascii="仿宋" w:hAnsi="仿宋" w:eastAsia="仿宋"/>
          <w:bCs/>
          <w:sz w:val="32"/>
          <w:szCs w:val="32"/>
        </w:rPr>
        <w:t>完成预算807.39万元的90.82</w:t>
      </w:r>
      <w:r>
        <w:rPr>
          <w:rStyle w:val="16"/>
          <w:rFonts w:ascii="仿宋" w:hAnsi="仿宋" w:eastAsia="仿宋"/>
          <w:bCs/>
          <w:sz w:val="32"/>
          <w:szCs w:val="32"/>
        </w:rPr>
        <w:t>%</w:t>
      </w:r>
      <w:r>
        <w:rPr>
          <w:rStyle w:val="16"/>
          <w:rFonts w:hint="eastAsia" w:ascii="仿宋" w:hAnsi="仿宋" w:eastAsia="仿宋"/>
          <w:bCs/>
          <w:sz w:val="32"/>
          <w:szCs w:val="32"/>
        </w:rPr>
        <w:t>。其中：</w:t>
      </w:r>
      <w:bookmarkEnd w:id="38"/>
      <w:bookmarkEnd w:id="39"/>
      <w:bookmarkEnd w:id="40"/>
    </w:p>
    <w:p>
      <w:pPr>
        <w:spacing w:line="600" w:lineRule="exact"/>
        <w:ind w:firstLine="640" w:firstLineChars="200"/>
        <w:rPr>
          <w:rFonts w:ascii="仿宋" w:hAnsi="仿宋" w:eastAsia="仿宋"/>
          <w:b/>
          <w:sz w:val="32"/>
          <w:szCs w:val="32"/>
        </w:rPr>
      </w:pPr>
      <w:r>
        <w:rPr>
          <w:rStyle w:val="16"/>
          <w:rFonts w:hint="eastAsia" w:ascii="仿宋" w:hAnsi="仿宋" w:eastAsia="仿宋"/>
          <w:bCs/>
          <w:sz w:val="32"/>
          <w:szCs w:val="32"/>
        </w:rPr>
        <w:t>1</w:t>
      </w:r>
      <w:r>
        <w:rPr>
          <w:rStyle w:val="16"/>
          <w:rFonts w:ascii="仿宋" w:hAnsi="仿宋" w:eastAsia="仿宋"/>
          <w:bCs/>
          <w:sz w:val="32"/>
          <w:szCs w:val="32"/>
        </w:rPr>
        <w:t>.</w:t>
      </w:r>
      <w:r>
        <w:rPr>
          <w:rStyle w:val="16"/>
          <w:rFonts w:hint="eastAsia" w:ascii="仿宋" w:hAnsi="仿宋" w:eastAsia="仿宋"/>
          <w:bCs/>
          <w:sz w:val="32"/>
          <w:szCs w:val="32"/>
        </w:rPr>
        <w:t>教育支出（类）职业教育（款）技校教育（项）</w:t>
      </w:r>
      <w:r>
        <w:rPr>
          <w:rStyle w:val="16"/>
          <w:rFonts w:ascii="仿宋" w:hAnsi="仿宋" w:eastAsia="仿宋"/>
          <w:bCs/>
          <w:sz w:val="32"/>
          <w:szCs w:val="32"/>
        </w:rPr>
        <w:t>:</w:t>
      </w:r>
      <w:r>
        <w:rPr>
          <w:rStyle w:val="16"/>
          <w:rFonts w:hint="eastAsia" w:ascii="仿宋" w:hAnsi="仿宋" w:eastAsia="仿宋"/>
          <w:b w:val="0"/>
          <w:bCs/>
          <w:sz w:val="32"/>
          <w:szCs w:val="32"/>
        </w:rPr>
        <w:t>支出决算为642.69万元，完成预算716.83万元的89.66</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w:t>
      </w:r>
      <w:r>
        <w:rPr>
          <w:rFonts w:hint="eastAsia" w:ascii="仿宋" w:hAnsi="仿宋" w:eastAsia="仿宋"/>
          <w:sz w:val="32"/>
          <w:szCs w:val="32"/>
        </w:rPr>
        <w:t>2020年受疫情影响，教学方面支出减少</w:t>
      </w:r>
      <w:r>
        <w:rPr>
          <w:rStyle w:val="16"/>
          <w:rFonts w:hint="eastAsia" w:ascii="仿宋" w:hAnsi="仿宋" w:eastAsia="仿宋"/>
          <w:b w:val="0"/>
          <w:bCs/>
          <w:sz w:val="32"/>
          <w:szCs w:val="32"/>
        </w:rPr>
        <w:t>。</w:t>
      </w:r>
    </w:p>
    <w:p>
      <w:pPr>
        <w:spacing w:line="600" w:lineRule="exact"/>
        <w:ind w:firstLine="640" w:firstLineChars="200"/>
        <w:rPr>
          <w:rStyle w:val="16"/>
          <w:rFonts w:ascii="仿宋" w:hAnsi="仿宋" w:eastAsia="仿宋"/>
          <w:b w:val="0"/>
          <w:bCs/>
          <w:sz w:val="32"/>
          <w:szCs w:val="32"/>
        </w:rPr>
      </w:pPr>
      <w:r>
        <w:rPr>
          <w:rStyle w:val="16"/>
          <w:rFonts w:hint="eastAsia" w:ascii="仿宋" w:hAnsi="仿宋" w:eastAsia="仿宋"/>
          <w:bCs/>
          <w:sz w:val="32"/>
          <w:szCs w:val="32"/>
        </w:rPr>
        <w:t>2</w:t>
      </w:r>
      <w:r>
        <w:rPr>
          <w:rStyle w:val="16"/>
          <w:rFonts w:ascii="仿宋" w:hAnsi="仿宋" w:eastAsia="仿宋"/>
          <w:bCs/>
          <w:sz w:val="32"/>
          <w:szCs w:val="32"/>
        </w:rPr>
        <w:t>.</w:t>
      </w:r>
      <w:r>
        <w:rPr>
          <w:rStyle w:val="16"/>
          <w:rFonts w:hint="eastAsia" w:ascii="仿宋" w:hAnsi="仿宋" w:eastAsia="仿宋"/>
          <w:bCs/>
          <w:sz w:val="32"/>
          <w:szCs w:val="32"/>
        </w:rPr>
        <w:t>社会保障和就业支出（类）行政事业单位养老支出（款）机关事业单位基本养老保险缴费支出（项）</w:t>
      </w:r>
      <w:r>
        <w:rPr>
          <w:rStyle w:val="16"/>
          <w:rFonts w:ascii="仿宋" w:hAnsi="仿宋" w:eastAsia="仿宋"/>
          <w:bCs/>
          <w:sz w:val="32"/>
          <w:szCs w:val="32"/>
        </w:rPr>
        <w:t>:</w:t>
      </w:r>
      <w:r>
        <w:rPr>
          <w:rStyle w:val="16"/>
          <w:rFonts w:hint="eastAsia" w:ascii="仿宋" w:hAnsi="仿宋" w:eastAsia="仿宋"/>
          <w:b w:val="0"/>
          <w:bCs/>
          <w:sz w:val="32"/>
          <w:szCs w:val="32"/>
        </w:rPr>
        <w:t>支出决算为22.24万元，完成预算100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pStyle w:val="2"/>
        <w:spacing w:before="93"/>
        <w:ind w:firstLine="640" w:firstLineChars="200"/>
        <w:rPr>
          <w:rStyle w:val="16"/>
          <w:rFonts w:ascii="仿宋" w:hAnsi="仿宋" w:eastAsia="仿宋"/>
          <w:b w:val="0"/>
          <w:sz w:val="32"/>
          <w:szCs w:val="32"/>
        </w:rPr>
      </w:pPr>
      <w:r>
        <w:rPr>
          <w:rStyle w:val="16"/>
          <w:rFonts w:hint="eastAsia" w:ascii="仿宋" w:hAnsi="仿宋" w:eastAsia="仿宋"/>
          <w:bCs/>
          <w:sz w:val="32"/>
          <w:szCs w:val="32"/>
        </w:rPr>
        <w:t>3</w:t>
      </w:r>
      <w:r>
        <w:rPr>
          <w:rStyle w:val="16"/>
          <w:rFonts w:ascii="仿宋" w:hAnsi="仿宋" w:eastAsia="仿宋"/>
          <w:bCs/>
          <w:sz w:val="32"/>
          <w:szCs w:val="32"/>
        </w:rPr>
        <w:t>.</w:t>
      </w:r>
      <w:r>
        <w:rPr>
          <w:rStyle w:val="16"/>
          <w:rFonts w:hint="eastAsia" w:ascii="仿宋" w:hAnsi="仿宋" w:eastAsia="仿宋"/>
          <w:bCs/>
          <w:sz w:val="32"/>
          <w:szCs w:val="32"/>
        </w:rPr>
        <w:t>社会保障和就业支出（类）行政事业单位养老支出（款）机关事业单位职业年金缴费支出（项）：</w:t>
      </w:r>
      <w:r>
        <w:rPr>
          <w:rStyle w:val="16"/>
          <w:rFonts w:hint="eastAsia" w:ascii="仿宋" w:hAnsi="仿宋" w:eastAsia="仿宋"/>
          <w:b w:val="0"/>
          <w:sz w:val="32"/>
          <w:szCs w:val="32"/>
        </w:rPr>
        <w:t>支出决算为11.22万元，完成预算100%。</w:t>
      </w:r>
    </w:p>
    <w:p>
      <w:pPr>
        <w:pStyle w:val="2"/>
        <w:spacing w:before="93"/>
        <w:ind w:firstLine="640" w:firstLineChars="200"/>
        <w:rPr>
          <w:rStyle w:val="16"/>
          <w:rFonts w:ascii="仿宋" w:hAnsi="仿宋" w:eastAsia="仿宋"/>
          <w:b w:val="0"/>
          <w:sz w:val="32"/>
          <w:szCs w:val="32"/>
        </w:rPr>
      </w:pPr>
      <w:r>
        <w:rPr>
          <w:rStyle w:val="16"/>
          <w:rFonts w:hint="eastAsia" w:ascii="仿宋" w:hAnsi="仿宋" w:eastAsia="仿宋"/>
          <w:bCs/>
          <w:sz w:val="32"/>
          <w:szCs w:val="32"/>
        </w:rPr>
        <w:t>4.社会保障和就业支出（类）抚恤（款）死亡抚恤（项）：</w:t>
      </w:r>
      <w:r>
        <w:rPr>
          <w:rStyle w:val="16"/>
          <w:rFonts w:hint="eastAsia" w:ascii="仿宋" w:hAnsi="仿宋" w:eastAsia="仿宋"/>
          <w:b w:val="0"/>
          <w:sz w:val="32"/>
          <w:szCs w:val="32"/>
        </w:rPr>
        <w:t>支出决算为4.05万元，完成预算100%。</w:t>
      </w:r>
    </w:p>
    <w:p>
      <w:pPr>
        <w:pStyle w:val="2"/>
        <w:spacing w:before="93"/>
        <w:ind w:firstLine="640" w:firstLineChars="200"/>
        <w:rPr>
          <w:rStyle w:val="16"/>
          <w:rFonts w:ascii="仿宋" w:hAnsi="仿宋" w:eastAsia="仿宋"/>
          <w:b w:val="0"/>
          <w:sz w:val="32"/>
          <w:szCs w:val="32"/>
        </w:rPr>
      </w:pPr>
      <w:r>
        <w:rPr>
          <w:rStyle w:val="16"/>
          <w:rFonts w:hint="eastAsia" w:ascii="仿宋" w:hAnsi="仿宋" w:eastAsia="仿宋"/>
          <w:bCs/>
          <w:sz w:val="32"/>
          <w:szCs w:val="32"/>
        </w:rPr>
        <w:t>5.社会保障和就业支出（类）其他社会保障和就业支出（款）其他社会保障和就业支出（项）：</w:t>
      </w:r>
      <w:r>
        <w:rPr>
          <w:rStyle w:val="16"/>
          <w:rFonts w:hint="eastAsia" w:ascii="仿宋" w:hAnsi="仿宋" w:eastAsia="仿宋"/>
          <w:b w:val="0"/>
          <w:sz w:val="32"/>
          <w:szCs w:val="32"/>
        </w:rPr>
        <w:t>支出决算为15.51万元，完成预算100%。</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Cs/>
          <w:sz w:val="32"/>
          <w:szCs w:val="32"/>
        </w:rPr>
        <w:t>6.</w:t>
      </w:r>
      <w:r>
        <w:rPr>
          <w:rFonts w:hint="eastAsia" w:ascii="仿宋" w:hAnsi="仿宋" w:eastAsia="仿宋"/>
          <w:b/>
          <w:bCs/>
          <w:sz w:val="32"/>
          <w:szCs w:val="32"/>
        </w:rPr>
        <w:t>卫生健康支出</w:t>
      </w:r>
      <w:r>
        <w:rPr>
          <w:rStyle w:val="16"/>
          <w:rFonts w:hint="eastAsia" w:ascii="仿宋" w:hAnsi="仿宋" w:eastAsia="仿宋"/>
          <w:bCs/>
          <w:sz w:val="32"/>
          <w:szCs w:val="32"/>
        </w:rPr>
        <w:t>（类）行政事业单位医疗（款）事业单位医疗（项）</w:t>
      </w:r>
      <w:r>
        <w:rPr>
          <w:rStyle w:val="16"/>
          <w:rFonts w:ascii="仿宋" w:hAnsi="仿宋" w:eastAsia="仿宋"/>
          <w:bCs/>
          <w:sz w:val="32"/>
          <w:szCs w:val="32"/>
        </w:rPr>
        <w:t>:</w:t>
      </w:r>
      <w:r>
        <w:rPr>
          <w:rStyle w:val="16"/>
          <w:rFonts w:hint="eastAsia" w:ascii="仿宋" w:hAnsi="仿宋" w:eastAsia="仿宋"/>
          <w:b w:val="0"/>
          <w:bCs/>
          <w:sz w:val="32"/>
          <w:szCs w:val="32"/>
        </w:rPr>
        <w:t>支出决算为14.89万元，完成预算100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pStyle w:val="2"/>
        <w:spacing w:before="93"/>
        <w:ind w:firstLine="640" w:firstLineChars="200"/>
        <w:rPr>
          <w:rFonts w:eastAsia="仿宋"/>
        </w:rPr>
      </w:pPr>
      <w:r>
        <w:rPr>
          <w:rStyle w:val="16"/>
          <w:rFonts w:hint="eastAsia" w:ascii="仿宋" w:hAnsi="仿宋" w:eastAsia="仿宋"/>
          <w:sz w:val="32"/>
          <w:szCs w:val="32"/>
        </w:rPr>
        <w:t>7.住房保障支出（类）住房改革支出（款）住房公积金（项）：</w:t>
      </w:r>
      <w:r>
        <w:rPr>
          <w:rStyle w:val="16"/>
          <w:rFonts w:hint="eastAsia" w:ascii="仿宋" w:hAnsi="仿宋" w:eastAsia="仿宋"/>
          <w:b w:val="0"/>
          <w:bCs/>
          <w:sz w:val="32"/>
          <w:szCs w:val="32"/>
        </w:rPr>
        <w:t>支出决算为22.67万元，完成预算100%。</w:t>
      </w:r>
    </w:p>
    <w:p>
      <w:pPr>
        <w:tabs>
          <w:tab w:val="right" w:pos="8306"/>
        </w:tabs>
        <w:spacing w:line="600" w:lineRule="exact"/>
        <w:ind w:firstLine="640"/>
        <w:outlineLvl w:val="1"/>
        <w:rPr>
          <w:rStyle w:val="19"/>
        </w:rPr>
      </w:pPr>
      <w:bookmarkStart w:id="41" w:name="_Toc15377214"/>
      <w:bookmarkStart w:id="42"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9"/>
          <w:rFonts w:hint="eastAsia" w:ascii="黑体" w:hAnsi="黑体" w:eastAsia="黑体"/>
          <w:b w:val="0"/>
        </w:rPr>
        <w:t>般公共预算财政拨款基本支出决算情况说明</w:t>
      </w:r>
      <w:bookmarkEnd w:id="41"/>
      <w:bookmarkEnd w:id="42"/>
      <w:r>
        <w:rPr>
          <w:rStyle w:val="1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21年一般公共预算财政拨款基本支出733.26万元，其中：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309.71万元，主要包括：基本工资、津贴补贴、奖金、绩效工资、机关事业单位基本养老保险缴费、职业年金缴费、职工基本医疗保险缴费、其他社会保障缴费、住房公积金、其他工资福利支出、抚恤金、生活补助、奖励金、其他对个人和家庭的补助支出。</w:t>
      </w:r>
      <w:r>
        <w:rPr>
          <w:rFonts w:ascii="仿宋" w:hAnsi="仿宋" w:eastAsia="仿宋"/>
          <w:sz w:val="32"/>
          <w:szCs w:val="32"/>
        </w:rPr>
        <w:br w:type="textWrapping"/>
      </w:r>
      <w:r>
        <w:rPr>
          <w:rFonts w:hint="eastAsia" w:ascii="仿宋" w:hAnsi="仿宋" w:eastAsia="仿宋"/>
          <w:sz w:val="32"/>
          <w:szCs w:val="32"/>
        </w:rPr>
        <w:t>　　公用经费423.55万元，主要包括：办公费、印刷费、手续费、水费、电费、邮电费、物业管理费、差旅费、维修（护）费、租赁费、会议费、培训费、公务接待费、专用材料费、劳务费、工会经费、福利费、公务用车运行维护费、其他交通费用、其他商品和服务支出、办公设备购置。</w:t>
      </w:r>
    </w:p>
    <w:p>
      <w:pPr>
        <w:spacing w:line="600" w:lineRule="exact"/>
        <w:ind w:firstLine="640"/>
        <w:outlineLvl w:val="1"/>
        <w:rPr>
          <w:rStyle w:val="19"/>
          <w:rFonts w:ascii="黑体" w:hAnsi="黑体" w:eastAsia="黑体"/>
          <w:b w:val="0"/>
        </w:rPr>
      </w:pPr>
      <w:bookmarkStart w:id="43" w:name="_Toc15396609"/>
      <w:bookmarkStart w:id="44" w:name="_Toc15377215"/>
      <w:r>
        <w:rPr>
          <w:rFonts w:hint="eastAsia" w:ascii="黑体" w:eastAsia="黑体"/>
          <w:sz w:val="32"/>
          <w:szCs w:val="32"/>
        </w:rPr>
        <w:t>七、</w:t>
      </w:r>
      <w:r>
        <w:rPr>
          <w:rStyle w:val="19"/>
          <w:rFonts w:hint="eastAsia" w:ascii="黑体" w:hAnsi="黑体" w:eastAsia="黑体"/>
        </w:rPr>
        <w:t>“</w:t>
      </w:r>
      <w:r>
        <w:rPr>
          <w:rStyle w:val="19"/>
          <w:rFonts w:hint="eastAsia" w:ascii="黑体" w:hAnsi="黑体" w:eastAsia="黑体"/>
          <w:b w:val="0"/>
        </w:rPr>
        <w:t>三公”经费财政拨款支出决算情况说明</w:t>
      </w:r>
      <w:bookmarkEnd w:id="43"/>
      <w:bookmarkEnd w:id="44"/>
    </w:p>
    <w:p>
      <w:pPr>
        <w:spacing w:line="600" w:lineRule="exact"/>
        <w:ind w:firstLine="640"/>
        <w:outlineLvl w:val="2"/>
        <w:rPr>
          <w:rFonts w:ascii="仿宋" w:hAnsi="仿宋" w:eastAsia="仿宋"/>
          <w:b/>
          <w:sz w:val="32"/>
          <w:szCs w:val="32"/>
        </w:rPr>
      </w:pPr>
      <w:bookmarkStart w:id="45" w:name="_Toc15377216"/>
      <w:r>
        <w:rPr>
          <w:rFonts w:hint="eastAsia" w:ascii="仿宋" w:hAnsi="仿宋" w:eastAsia="仿宋"/>
          <w:b/>
          <w:sz w:val="32"/>
          <w:szCs w:val="32"/>
        </w:rPr>
        <w:t>（一）“三公”经费财政拨款支出决算总体情况说明</w:t>
      </w:r>
      <w:bookmarkEnd w:id="4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21年“三公”经费财政拨款支出决算为1.37万元，完成预算的81.55</w:t>
      </w:r>
      <w:r>
        <w:rPr>
          <w:rFonts w:ascii="仿宋" w:hAnsi="仿宋" w:eastAsia="仿宋"/>
          <w:sz w:val="32"/>
          <w:szCs w:val="32"/>
        </w:rPr>
        <w:t>%</w:t>
      </w:r>
      <w:r>
        <w:rPr>
          <w:rFonts w:hint="eastAsia" w:ascii="仿宋" w:hAnsi="仿宋" w:eastAsia="仿宋"/>
          <w:sz w:val="32"/>
          <w:szCs w:val="32"/>
        </w:rPr>
        <w:t>，决算数小于预算数的主要原因是节约开支，压缩“三公”经费。2021年“三公”经费财政拨款支出决算数较2020年1.05万元增加0.32万元，增长30.48%，主要原因是2020年受疫情影响较大，公务出行及公务接待均有所减少。</w:t>
      </w:r>
    </w:p>
    <w:p>
      <w:pPr>
        <w:spacing w:line="600" w:lineRule="exact"/>
        <w:ind w:firstLine="640"/>
        <w:outlineLvl w:val="2"/>
        <w:rPr>
          <w:rFonts w:ascii="仿宋" w:hAnsi="仿宋" w:eastAsia="仿宋"/>
          <w:b/>
          <w:sz w:val="32"/>
          <w:szCs w:val="32"/>
        </w:rPr>
      </w:pPr>
      <w:bookmarkStart w:id="46" w:name="_Toc15377217"/>
      <w:r>
        <w:rPr>
          <w:rFonts w:hint="eastAsia" w:ascii="仿宋" w:hAnsi="仿宋" w:eastAsia="仿宋"/>
          <w:b/>
          <w:sz w:val="32"/>
          <w:szCs w:val="32"/>
        </w:rPr>
        <w:t>（二）“三公”经费财政拨款支出决算具体情况说明</w:t>
      </w:r>
      <w:bookmarkEnd w:id="4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21年“三公”经费财政拨款支出决算中，因公出国（境）费支出决算0万元；公务用车购置及运行维护费支出决算1.19万元，占86.86</w:t>
      </w:r>
      <w:r>
        <w:rPr>
          <w:rFonts w:ascii="仿宋" w:hAnsi="仿宋" w:eastAsia="仿宋"/>
          <w:sz w:val="32"/>
          <w:szCs w:val="32"/>
        </w:rPr>
        <w:t>%</w:t>
      </w:r>
      <w:r>
        <w:rPr>
          <w:rFonts w:hint="eastAsia" w:ascii="仿宋" w:hAnsi="仿宋" w:eastAsia="仿宋"/>
          <w:sz w:val="32"/>
          <w:szCs w:val="32"/>
        </w:rPr>
        <w:t>；公务接待费支出决算0.18万元，占13.14</w:t>
      </w:r>
      <w:r>
        <w:rPr>
          <w:rFonts w:ascii="仿宋" w:hAnsi="仿宋" w:eastAsia="仿宋"/>
          <w:sz w:val="32"/>
          <w:szCs w:val="32"/>
        </w:rPr>
        <w:t>%</w:t>
      </w:r>
      <w:r>
        <w:rPr>
          <w:rFonts w:hint="eastAsia" w:ascii="仿宋" w:hAnsi="仿宋" w:eastAsia="仿宋"/>
          <w:sz w:val="32"/>
          <w:szCs w:val="32"/>
        </w:rPr>
        <w:t>。具体情况如下：</w:t>
      </w:r>
    </w:p>
    <w:p>
      <w:pPr>
        <w:pStyle w:val="2"/>
        <w:spacing w:before="93"/>
        <w:jc w:val="center"/>
      </w:pPr>
      <w: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pPr>
      <w:r>
        <w:rPr>
          <w:rFonts w:hint="eastAsia" w:ascii="仿宋_GB2312" w:eastAsia="仿宋_GB2312"/>
          <w:b/>
          <w:sz w:val="32"/>
          <w:szCs w:val="32"/>
        </w:rPr>
        <w:t>1.因公出国（境）经费支出</w:t>
      </w:r>
      <w:r>
        <w:rPr>
          <w:rFonts w:hint="eastAsia" w:ascii="仿宋_GB2312" w:eastAsia="仿宋_GB2312"/>
          <w:bCs/>
          <w:sz w:val="32"/>
          <w:szCs w:val="32"/>
        </w:rPr>
        <w:t>0万元，年初未安排因公出国（境）费用预算，决算较2020年无变化。</w:t>
      </w:r>
    </w:p>
    <w:p>
      <w:pPr>
        <w:spacing w:line="600" w:lineRule="exact"/>
        <w:ind w:firstLine="64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1.19万元,</w:t>
      </w:r>
      <w:r>
        <w:rPr>
          <w:rStyle w:val="16"/>
          <w:rFonts w:hint="eastAsia" w:ascii="仿宋" w:hAnsi="仿宋" w:eastAsia="仿宋"/>
          <w:b w:val="0"/>
          <w:bCs/>
          <w:sz w:val="32"/>
          <w:szCs w:val="32"/>
        </w:rPr>
        <w:t>完成预算1.5万元的79.33</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20年1.05万元增加0.14万元，增长13.33</w:t>
      </w:r>
      <w:r>
        <w:rPr>
          <w:rFonts w:ascii="仿宋_GB2312" w:eastAsia="仿宋_GB2312"/>
          <w:sz w:val="32"/>
          <w:szCs w:val="32"/>
        </w:rPr>
        <w:t>%</w:t>
      </w:r>
      <w:r>
        <w:rPr>
          <w:rFonts w:hint="eastAsia" w:ascii="仿宋_GB2312" w:eastAsia="仿宋_GB2312"/>
          <w:sz w:val="32"/>
          <w:szCs w:val="32"/>
        </w:rPr>
        <w:t>。主要原因是2021年车辆大修，维护费增加。</w:t>
      </w:r>
    </w:p>
    <w:p>
      <w:pPr>
        <w:pStyle w:val="2"/>
        <w:spacing w:before="93"/>
        <w:ind w:firstLine="640" w:firstLineChars="200"/>
      </w:pPr>
      <w:r>
        <w:rPr>
          <w:rFonts w:hint="eastAsia"/>
          <w:sz w:val="32"/>
          <w:szCs w:val="32"/>
        </w:rPr>
        <w:t>其中：</w:t>
      </w:r>
      <w:r>
        <w:rPr>
          <w:rFonts w:hint="eastAsia"/>
          <w:b/>
          <w:sz w:val="32"/>
          <w:szCs w:val="32"/>
        </w:rPr>
        <w:t>公务用车购置支出</w:t>
      </w:r>
      <w:r>
        <w:rPr>
          <w:rFonts w:hint="eastAsia"/>
          <w:sz w:val="32"/>
          <w:szCs w:val="32"/>
        </w:rPr>
        <w:t>0万元，年内未购置公务用车。截至</w:t>
      </w:r>
      <w:r>
        <w:rPr>
          <w:sz w:val="32"/>
          <w:szCs w:val="32"/>
        </w:rPr>
        <w:t>20</w:t>
      </w:r>
      <w:r>
        <w:rPr>
          <w:rFonts w:hint="eastAsia"/>
          <w:sz w:val="32"/>
          <w:szCs w:val="32"/>
        </w:rPr>
        <w:t>21年</w:t>
      </w:r>
      <w:r>
        <w:rPr>
          <w:sz w:val="32"/>
          <w:szCs w:val="32"/>
        </w:rPr>
        <w:t>12</w:t>
      </w:r>
      <w:r>
        <w:rPr>
          <w:rFonts w:hint="eastAsia"/>
          <w:sz w:val="32"/>
          <w:szCs w:val="32"/>
        </w:rPr>
        <w:t>月底，单位共有公务用车1辆，其中：轿车1辆。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1.19万元。主要用于乡村振兴、外出开会等所需的公务用车燃料费、维修费、过路过桥费、保险费等支出。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0.18万元，</w:t>
      </w:r>
      <w:r>
        <w:rPr>
          <w:rStyle w:val="16"/>
          <w:rFonts w:hint="eastAsia" w:ascii="仿宋" w:hAnsi="仿宋" w:eastAsia="仿宋"/>
          <w:b w:val="0"/>
          <w:bCs/>
          <w:sz w:val="32"/>
          <w:szCs w:val="32"/>
        </w:rPr>
        <w:t>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20年增加0.18万元，增长100</w:t>
      </w:r>
      <w:r>
        <w:rPr>
          <w:rFonts w:ascii="仿宋_GB2312" w:eastAsia="仿宋_GB2312"/>
          <w:sz w:val="32"/>
          <w:szCs w:val="32"/>
        </w:rPr>
        <w:t>%</w:t>
      </w:r>
      <w:r>
        <w:rPr>
          <w:rFonts w:hint="eastAsia" w:ascii="仿宋_GB2312" w:eastAsia="仿宋_GB2312"/>
          <w:sz w:val="32"/>
          <w:szCs w:val="32"/>
        </w:rPr>
        <w:t>。主要原因是2020年受疫情影响，未发生公务接待事项。其中：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0.18</w:t>
      </w:r>
      <w:r>
        <w:rPr>
          <w:rFonts w:hint="eastAsia" w:ascii="仿宋_GB2312" w:eastAsia="仿宋_GB2312"/>
          <w:sz w:val="32"/>
          <w:szCs w:val="32"/>
        </w:rPr>
        <w:t>万元，主要用于船员培训资质审核接待。国内公务接待2批次，18人次（不包括陪同人员），共计支出0.18万元，主要为船员培训资质审核接待。</w:t>
      </w:r>
      <w:bookmarkStart w:id="47" w:name="_Toc15396612"/>
      <w:bookmarkStart w:id="48" w:name="_Toc15377221"/>
    </w:p>
    <w:p>
      <w:pPr>
        <w:spacing w:line="600" w:lineRule="exact"/>
        <w:ind w:firstLine="640"/>
        <w:outlineLvl w:val="1"/>
        <w:rPr>
          <w:rStyle w:val="19"/>
          <w:rFonts w:ascii="黑体" w:hAnsi="黑体" w:eastAsia="黑体"/>
        </w:rPr>
      </w:pPr>
      <w:r>
        <w:rPr>
          <w:rFonts w:hint="eastAsia" w:ascii="黑体" w:eastAsia="黑体"/>
          <w:sz w:val="32"/>
          <w:szCs w:val="32"/>
        </w:rPr>
        <w:t>八、</w:t>
      </w:r>
      <w:r>
        <w:rPr>
          <w:rStyle w:val="19"/>
          <w:rFonts w:hint="eastAsia" w:ascii="黑体" w:hAnsi="黑体" w:eastAsia="黑体"/>
          <w:b w:val="0"/>
        </w:rPr>
        <w:t>政府性基金预算支出决算情况说明</w:t>
      </w:r>
    </w:p>
    <w:p>
      <w:pPr>
        <w:spacing w:line="600" w:lineRule="exact"/>
        <w:ind w:firstLine="640"/>
      </w:pPr>
      <w:r>
        <w:rPr>
          <w:rFonts w:ascii="仿宋_GB2312" w:eastAsia="仿宋_GB2312"/>
          <w:sz w:val="32"/>
          <w:szCs w:val="32"/>
        </w:rPr>
        <w:t>20</w:t>
      </w:r>
      <w:r>
        <w:rPr>
          <w:rFonts w:hint="eastAsia" w:ascii="仿宋_GB2312" w:eastAsia="仿宋_GB2312"/>
          <w:sz w:val="32"/>
          <w:szCs w:val="32"/>
        </w:rPr>
        <w:t>21年政府性基金预算财政拨款支出0万元，未在政府性基金预算财政拨款安排“三公”经费支出。</w:t>
      </w:r>
    </w:p>
    <w:p>
      <w:pPr>
        <w:numPr>
          <w:ilvl w:val="0"/>
          <w:numId w:val="2"/>
        </w:numPr>
        <w:spacing w:line="600" w:lineRule="exact"/>
        <w:ind w:firstLine="640"/>
        <w:outlineLvl w:val="1"/>
        <w:rPr>
          <w:rStyle w:val="19"/>
          <w:rFonts w:ascii="黑体" w:hAnsi="黑体" w:eastAsia="黑体"/>
          <w:b w:val="0"/>
        </w:rPr>
      </w:pPr>
      <w:bookmarkStart w:id="49" w:name="_Toc15377219"/>
      <w:bookmarkStart w:id="50" w:name="_Toc15396611"/>
      <w:r>
        <w:rPr>
          <w:rStyle w:val="19"/>
          <w:rFonts w:hint="eastAsia" w:ascii="黑体" w:hAnsi="黑体" w:eastAsia="黑体"/>
          <w:b w:val="0"/>
        </w:rPr>
        <w:t>国有资本经营预算支出决算情况说明</w:t>
      </w:r>
      <w:bookmarkEnd w:id="49"/>
      <w:bookmarkEnd w:id="50"/>
    </w:p>
    <w:p>
      <w:pPr>
        <w:spacing w:line="600" w:lineRule="exact"/>
        <w:ind w:firstLine="640"/>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2"/>
        </w:numPr>
        <w:spacing w:line="600" w:lineRule="exact"/>
        <w:ind w:firstLine="640"/>
        <w:outlineLvl w:val="1"/>
        <w:rPr>
          <w:rStyle w:val="19"/>
          <w:rFonts w:ascii="黑体" w:hAnsi="黑体" w:eastAsia="黑体"/>
          <w:b w:val="0"/>
        </w:rPr>
      </w:pPr>
      <w:r>
        <w:rPr>
          <w:rStyle w:val="19"/>
          <w:rFonts w:hint="eastAsia" w:ascii="黑体" w:hAnsi="黑体" w:eastAsia="黑体"/>
          <w:b w:val="0"/>
        </w:rPr>
        <w:t>预算绩效管理情况</w:t>
      </w:r>
    </w:p>
    <w:p>
      <w:pPr>
        <w:spacing w:line="600" w:lineRule="exact"/>
        <w:ind w:firstLine="640" w:firstLineChars="200"/>
        <w:outlineLvl w:val="1"/>
      </w:pPr>
      <w:r>
        <w:rPr>
          <w:rFonts w:hint="eastAsia" w:ascii="仿宋_GB2312" w:hAnsi="仿宋_GB2312" w:eastAsia="仿宋_GB2312" w:cs="仿宋_GB2312"/>
          <w:sz w:val="32"/>
          <w:szCs w:val="32"/>
        </w:rPr>
        <w:t>根据预算绩效管理要求，本部门在2021年度预算编制阶段，组织对扶贫工作经费、教学车辆运行支出、聘用教练员及聘用管理人员支出、设施设备维护、场地土地租用计物管费、开展短期培训经费支出、招生工作经费、各项税款8个项目开展了预算事前绩效评估，对8个项目编制了绩效目标，预算执行过程中，选取8个项目开展绩效监控，年终执行完毕后，对8个项目开展了绩效自评。同时，本部门对2021年部门整体开展绩效自评，《2021年广元市交通技工学校部门整体绩效评价报告》见附件（第四部分）。</w:t>
      </w:r>
    </w:p>
    <w:p>
      <w:pPr>
        <w:numPr>
          <w:ilvl w:val="0"/>
          <w:numId w:val="2"/>
        </w:numPr>
        <w:spacing w:line="600" w:lineRule="exact"/>
        <w:ind w:firstLine="640"/>
        <w:outlineLvl w:val="1"/>
        <w:rPr>
          <w:rStyle w:val="19"/>
          <w:rFonts w:ascii="黑体" w:hAnsi="黑体" w:eastAsia="黑体"/>
          <w:b w:val="0"/>
        </w:rPr>
      </w:pPr>
      <w:r>
        <w:rPr>
          <w:rStyle w:val="19"/>
          <w:rFonts w:hint="eastAsia" w:ascii="黑体" w:hAnsi="黑体" w:eastAsia="黑体"/>
          <w:b w:val="0"/>
        </w:rPr>
        <w:t>其他重要事项的情况说明</w:t>
      </w:r>
      <w:bookmarkEnd w:id="47"/>
      <w:bookmarkEnd w:id="48"/>
    </w:p>
    <w:p>
      <w:pPr>
        <w:spacing w:line="600" w:lineRule="exact"/>
        <w:ind w:firstLine="640" w:firstLineChars="200"/>
        <w:outlineLvl w:val="2"/>
        <w:rPr>
          <w:rFonts w:ascii="仿宋" w:hAnsi="仿宋" w:eastAsia="仿宋"/>
          <w:sz w:val="32"/>
          <w:szCs w:val="32"/>
        </w:rPr>
      </w:pPr>
      <w:bookmarkStart w:id="51" w:name="_Toc15377222"/>
      <w:bookmarkStart w:id="52" w:name="_Toc15377224"/>
      <w:r>
        <w:rPr>
          <w:rFonts w:hint="eastAsia" w:ascii="仿宋" w:hAnsi="仿宋" w:eastAsia="仿宋"/>
          <w:b/>
          <w:sz w:val="32"/>
          <w:szCs w:val="32"/>
        </w:rPr>
        <w:t>（一）机关运行经费支出情况</w:t>
      </w:r>
      <w:bookmarkEnd w:id="5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21年，机关运行经费支出0万元，与</w:t>
      </w:r>
      <w:r>
        <w:rPr>
          <w:rFonts w:ascii="仿宋_GB2312" w:eastAsia="仿宋_GB2312"/>
          <w:sz w:val="32"/>
          <w:szCs w:val="32"/>
        </w:rPr>
        <w:t>20</w:t>
      </w:r>
      <w:r>
        <w:rPr>
          <w:rFonts w:hint="eastAsia" w:ascii="仿宋_GB2312" w:eastAsia="仿宋_GB2312"/>
          <w:sz w:val="32"/>
          <w:szCs w:val="32"/>
        </w:rPr>
        <w:t>20年决算数持平）。主要原因是本单位属于其他事业单位，不产生机关运行经费。</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autoSpaceDE w:val="0"/>
        <w:autoSpaceDN w:val="0"/>
        <w:adjustRightInd w:val="0"/>
        <w:spacing w:line="600" w:lineRule="exact"/>
        <w:ind w:firstLine="640" w:firstLineChars="200"/>
        <w:jc w:val="left"/>
        <w:outlineLvl w:val="2"/>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21年，政府采购支出总额0万元。</w:t>
      </w:r>
    </w:p>
    <w:p>
      <w:pPr>
        <w:autoSpaceDE w:val="0"/>
        <w:autoSpaceDN w:val="0"/>
        <w:adjustRightInd w:val="0"/>
        <w:spacing w:line="600" w:lineRule="exact"/>
        <w:ind w:firstLine="640"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52"/>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日，广元市交通技工学校共有车辆52辆，其中：其他用车52辆，其他用车主要是用于公务外出用车1辆及驾驶员培训教学、学员接送等51辆。无单价50万元以上通用设备或单价100万元以上专用设备。</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18"/>
          <w:rFonts w:ascii="黑体" w:hAnsi="黑体" w:eastAsia="黑体"/>
          <w:b w:val="0"/>
        </w:rPr>
      </w:pPr>
      <w:bookmarkStart w:id="54" w:name="_Toc15377225"/>
      <w:bookmarkStart w:id="55" w:name="_Toc15396613"/>
      <w:r>
        <w:rPr>
          <w:rFonts w:hint="eastAsia" w:ascii="黑体" w:hAnsi="黑体" w:eastAsia="黑体"/>
          <w:sz w:val="44"/>
          <w:szCs w:val="44"/>
        </w:rPr>
        <w:t>名</w:t>
      </w:r>
      <w:r>
        <w:rPr>
          <w:rStyle w:val="18"/>
          <w:rFonts w:hint="eastAsia" w:ascii="黑体" w:hAnsi="黑体" w:eastAsia="黑体"/>
          <w:b w:val="0"/>
        </w:rPr>
        <w:t>词解释</w:t>
      </w:r>
      <w:bookmarkEnd w:id="54"/>
      <w:bookmarkEnd w:id="55"/>
    </w:p>
    <w:p>
      <w:pPr>
        <w:spacing w:line="600" w:lineRule="exact"/>
        <w:jc w:val="left"/>
        <w:rPr>
          <w:rFonts w:ascii="宋体"/>
          <w:b/>
          <w:sz w:val="44"/>
          <w:szCs w:val="44"/>
        </w:rPr>
      </w:pPr>
    </w:p>
    <w:p>
      <w:pPr>
        <w:pStyle w:val="28"/>
        <w:spacing w:line="50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pPr>
        <w:pStyle w:val="28"/>
        <w:spacing w:line="500" w:lineRule="exact"/>
        <w:ind w:firstLine="640" w:firstLineChars="200"/>
        <w:rPr>
          <w:rFonts w:hAnsi="仿宋"/>
          <w:color w:val="auto"/>
          <w:sz w:val="32"/>
          <w:szCs w:val="32"/>
        </w:rPr>
      </w:pPr>
      <w:r>
        <w:rPr>
          <w:rFonts w:hint="eastAsia" w:hAnsi="仿宋"/>
          <w:color w:val="auto"/>
          <w:sz w:val="32"/>
          <w:szCs w:val="32"/>
        </w:rPr>
        <w:t>2</w:t>
      </w:r>
      <w:r>
        <w:rPr>
          <w:rFonts w:hAnsi="仿宋"/>
          <w:color w:val="auto"/>
          <w:sz w:val="32"/>
          <w:szCs w:val="32"/>
        </w:rPr>
        <w:t>.</w:t>
      </w:r>
      <w:r>
        <w:rPr>
          <w:rFonts w:hint="eastAsia" w:hAnsi="仿宋"/>
          <w:color w:val="auto"/>
          <w:sz w:val="32"/>
          <w:szCs w:val="32"/>
        </w:rPr>
        <w:t>其他收入：指单位取得的除上述收入以外的各项收入。主要是银行存款利息收入。</w:t>
      </w:r>
    </w:p>
    <w:p>
      <w:pPr>
        <w:pStyle w:val="28"/>
        <w:spacing w:line="500" w:lineRule="exact"/>
        <w:ind w:firstLine="640" w:firstLineChars="200"/>
        <w:rPr>
          <w:rFonts w:hAnsi="仿宋"/>
          <w:color w:val="auto"/>
          <w:sz w:val="32"/>
          <w:szCs w:val="32"/>
        </w:rPr>
      </w:pPr>
      <w:r>
        <w:rPr>
          <w:rFonts w:hint="eastAsia" w:hAnsi="仿宋"/>
          <w:color w:val="auto"/>
          <w:sz w:val="32"/>
          <w:szCs w:val="32"/>
        </w:rPr>
        <w:t>3</w:t>
      </w:r>
      <w:r>
        <w:rPr>
          <w:rFonts w:hAnsi="仿宋"/>
          <w:color w:val="auto"/>
          <w:sz w:val="32"/>
          <w:szCs w:val="32"/>
        </w:rPr>
        <w:t>.</w:t>
      </w:r>
      <w:r>
        <w:rPr>
          <w:rFonts w:hint="eastAsia" w:hAnsi="仿宋"/>
          <w:color w:val="auto"/>
          <w:sz w:val="32"/>
          <w:szCs w:val="32"/>
        </w:rPr>
        <w:t>年初结转和结余：指以前年度尚未完成、结转到本年按有关规定继续使用的资金。</w:t>
      </w:r>
    </w:p>
    <w:p>
      <w:pPr>
        <w:pStyle w:val="28"/>
        <w:spacing w:line="500" w:lineRule="exact"/>
        <w:ind w:firstLine="640" w:firstLineChars="200"/>
        <w:rPr>
          <w:rFonts w:hAnsi="仿宋"/>
          <w:color w:val="auto"/>
          <w:sz w:val="32"/>
          <w:szCs w:val="32"/>
        </w:rPr>
      </w:pPr>
      <w:r>
        <w:rPr>
          <w:rFonts w:hint="eastAsia" w:hAnsi="仿宋"/>
          <w:color w:val="auto"/>
          <w:sz w:val="32"/>
          <w:szCs w:val="32"/>
        </w:rPr>
        <w:t>4.年末结转和结余：指单位按有关规定结转到下年或以后年度继续使用的资金。</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教育支出（类）职业教育（款）技校教育（项）：指人力资源社会保障部门举办的技校教育支出，政府各部门对社会组织等举办的技工学校的资助，如捐赠、补贴等。</w:t>
      </w:r>
    </w:p>
    <w:p>
      <w:pPr>
        <w:pStyle w:val="12"/>
        <w:spacing w:before="75" w:beforeAutospacing="0" w:after="75" w:afterAutospacing="0" w:line="50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6.社会保障和就业支出（类）行政事业单位养老支出（款）机关事业单位基本养老保险缴费支出（项）：指机关事业单位实施养老保险制度由单位实际缴纳的基本养老保险支出。</w:t>
      </w:r>
    </w:p>
    <w:p>
      <w:pPr>
        <w:pStyle w:val="12"/>
        <w:spacing w:before="75" w:beforeAutospacing="0" w:after="75" w:afterAutospacing="0" w:line="50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7.社会保障和就业支出（类）行政事业单位养老支出（款）机关事业单位职业年金缴费支出（项）：指机关事业单位实施养老保险制度由单位实际缴纳的职业年金支出。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8.社会保障和就业支出（类）抚恤（款）死亡抚恤（项）：指按规定用于烈士和牺牲、病故人员家属的一次性和定期抚恤金以及丧葬补助费。</w:t>
      </w:r>
    </w:p>
    <w:p>
      <w:pPr>
        <w:pStyle w:val="2"/>
        <w:spacing w:before="93" w:line="500" w:lineRule="exact"/>
        <w:ind w:firstLine="640" w:firstLineChars="200"/>
        <w:rPr>
          <w:rFonts w:ascii="仿宋" w:hAnsi="仿宋" w:eastAsia="仿宋"/>
          <w:sz w:val="32"/>
          <w:szCs w:val="32"/>
        </w:rPr>
      </w:pPr>
      <w:r>
        <w:rPr>
          <w:rFonts w:hint="eastAsia" w:ascii="仿宋" w:hAnsi="仿宋" w:eastAsia="仿宋"/>
          <w:sz w:val="32"/>
          <w:szCs w:val="32"/>
        </w:rPr>
        <w:t>9.社会保障和就业支出（类）其他社会保障和就业支出（款）其他社会保障和就业支出（项）：指除人力资源和社会保障管理事务、民政管理事务、补偿全国社保基金、行政事业单位养老支出、企业改革补助、就业补助、抚恤、退役安置、社会福利、残疾人事业、红十字事业、最低生活保障、临时救助、特困人员救助供养、补充道路交通事故社会救助基金、其他生活救助、财政对基本养老保险基金的补助、财政对其他社会保险基金的补助、退役军人管理事务、财政代缴社会保险费支出外，其他用于社会保障和就业方面的支出。</w:t>
      </w:r>
    </w:p>
    <w:p>
      <w:pPr>
        <w:pStyle w:val="12"/>
        <w:spacing w:before="75" w:beforeAutospacing="0" w:after="75" w:afterAutospacing="0" w:line="50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10.卫生健康支出（类）行政事业单位医疗（款）事业单位医疗（项）：指财政部门安排的事业单位基本医疗保险缴费经费，未参加医疗保险的事业单位的公费医疗经费，按国家规定享受离休人员待遇人员的医疗经费。</w:t>
      </w:r>
    </w:p>
    <w:p>
      <w:pPr>
        <w:pStyle w:val="12"/>
        <w:spacing w:before="75" w:beforeAutospacing="0" w:after="75" w:afterAutospacing="0" w:line="500" w:lineRule="exact"/>
        <w:ind w:firstLine="640" w:firstLineChars="200"/>
        <w:jc w:val="both"/>
        <w:rPr>
          <w:rFonts w:ascii="仿宋" w:hAnsi="仿宋" w:eastAsia="仿宋"/>
          <w:sz w:val="32"/>
          <w:szCs w:val="32"/>
        </w:rPr>
      </w:pPr>
      <w:r>
        <w:rPr>
          <w:rFonts w:hint="eastAsia" w:ascii="仿宋" w:hAnsi="仿宋" w:eastAsia="仿宋" w:cs="仿宋"/>
          <w:color w:val="000000"/>
          <w:sz w:val="32"/>
          <w:szCs w:val="32"/>
        </w:rPr>
        <w:t>11.住房保障支出（类）住房改革支出（款）住房公积金（项）：指行政事业单位按人力资源和社会保障部、财政部规定的基本工资和津贴补贴以及规定比例为职工缴纳的住房公积金。</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pPr>
        <w:pStyle w:val="28"/>
        <w:spacing w:line="500" w:lineRule="exact"/>
        <w:ind w:firstLine="640" w:firstLineChars="200"/>
        <w:rPr>
          <w:rFonts w:hAnsi="仿宋"/>
          <w:color w:val="auto"/>
          <w:sz w:val="32"/>
          <w:szCs w:val="32"/>
        </w:rPr>
      </w:pPr>
      <w:r>
        <w:rPr>
          <w:rFonts w:hint="eastAsia" w:hAnsi="仿宋"/>
          <w:color w:val="auto"/>
          <w:sz w:val="32"/>
          <w:szCs w:val="32"/>
        </w:rPr>
        <w:t>14</w:t>
      </w:r>
      <w:r>
        <w:rPr>
          <w:rFonts w:hAnsi="仿宋"/>
          <w:color w:val="auto"/>
          <w:sz w:val="32"/>
          <w:szCs w:val="32"/>
        </w:rPr>
        <w:t>.</w:t>
      </w:r>
      <w:r>
        <w:rPr>
          <w:rFonts w:hint="eastAsia" w:hAnsi="仿宋"/>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outlineLvl w:val="0"/>
        <w:rPr>
          <w:rStyle w:val="18"/>
          <w:rFonts w:ascii="黑体" w:hAnsi="黑体" w:eastAsia="黑体"/>
          <w:b w:val="0"/>
        </w:rPr>
      </w:pPr>
      <w:bookmarkStart w:id="56" w:name="_Toc15377226"/>
      <w:r>
        <w:rPr>
          <w:rFonts w:ascii="宋体"/>
          <w:b/>
          <w:sz w:val="44"/>
          <w:szCs w:val="44"/>
        </w:rPr>
        <w:br w:type="page"/>
      </w:r>
      <w:bookmarkStart w:id="57" w:name="_Toc15396614"/>
      <w:r>
        <w:rPr>
          <w:rFonts w:hint="eastAsia" w:ascii="黑体" w:hAnsi="黑体" w:eastAsia="黑体"/>
          <w:sz w:val="44"/>
          <w:szCs w:val="44"/>
        </w:rPr>
        <w:t>第</w:t>
      </w:r>
      <w:r>
        <w:rPr>
          <w:rStyle w:val="18"/>
          <w:rFonts w:hint="eastAsia" w:ascii="黑体" w:hAnsi="黑体" w:eastAsia="黑体"/>
          <w:b w:val="0"/>
        </w:rPr>
        <w:t>四部分 附件</w:t>
      </w:r>
      <w:bookmarkEnd w:id="57"/>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2021年广元市交通技工学校部门整体绩效评价报告</w:t>
      </w:r>
    </w:p>
    <w:p>
      <w:pPr>
        <w:widowControl/>
        <w:spacing w:line="572"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napToGrid w:val="0"/>
        <w:spacing w:line="572" w:lineRule="exact"/>
        <w:ind w:firstLine="600" w:firstLineChars="200"/>
        <w:contextualSpacing/>
        <w:jc w:val="left"/>
        <w:rPr>
          <w:rFonts w:ascii="仿宋" w:hAnsi="仿宋" w:eastAsia="仿宋" w:cs="仿宋"/>
          <w:kern w:val="0"/>
          <w:sz w:val="30"/>
          <w:szCs w:val="30"/>
          <w:shd w:val="clear" w:color="auto" w:fill="FFFFFF"/>
          <w:lang w:val="zh-CN"/>
        </w:rPr>
      </w:pPr>
      <w:r>
        <w:rPr>
          <w:rFonts w:hint="eastAsia" w:ascii="仿宋" w:hAnsi="仿宋" w:eastAsia="仿宋" w:cs="仿宋"/>
          <w:kern w:val="0"/>
          <w:sz w:val="30"/>
          <w:szCs w:val="30"/>
          <w:shd w:val="clear" w:color="auto" w:fill="FFFFFF"/>
          <w:lang w:val="zh-CN"/>
        </w:rPr>
        <w:t>（一）机构组成。</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lang w:val="zh-CN"/>
        </w:rPr>
      </w:pPr>
      <w:r>
        <w:rPr>
          <w:rFonts w:hint="eastAsia" w:ascii="仿宋" w:hAnsi="仿宋" w:eastAsia="仿宋" w:cs="仿宋"/>
          <w:sz w:val="30"/>
          <w:szCs w:val="30"/>
        </w:rPr>
        <w:t>广元市交通技工学校直属广元市交通运输局，差额拨款事业单位性质，市财政一级预算管理单位，内设办公室等6个科室，无下属单位，单位财务由校长负责，设会计2名，出纳1名，全部收入和支出纳入预算管理，按事业单位会计制度进行核算。</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（二）机构职能</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lang w:val="zh-CN"/>
        </w:rPr>
      </w:pPr>
      <w:r>
        <w:rPr>
          <w:rFonts w:hint="eastAsia" w:ascii="仿宋" w:hAnsi="仿宋" w:eastAsia="仿宋" w:cs="仿宋"/>
          <w:sz w:val="30"/>
          <w:szCs w:val="30"/>
        </w:rPr>
        <w:t>根据广编发[2007]11号文件，本部门主要职责是学从事中职学历教育、大专及以上学历层次函授教育、职业技能鉴定、道路运输从业资格证培训、汽车驾驶员培训、内河船舶船员培训、交通执法人员培训及其他短期培训。</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（三）人员概况</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我单位核定事业编制33人。2021年末，在职人员64人，事业人员19人，聘用管理人员及教练员45人。</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二、部门财政资金收支情况</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（一）部门财政资金收入情况</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 xml:space="preserve">2021年本年收入合计733.03万元，其中：一般公共预算财政拨款138.14 万元， 占 18.85%， 事业收入594.89万元， 占81.15%。  </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（二）部门财政资金支出情况</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2021年本年支出733.03万元，其中：基本支出319.38万元，占43.57%。项目支出413.65万元，占56.43%。</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三、部门整体预算绩效管理情况（根据适用指标体系进行调整，涉及到有专项预算的部门，专项预算项目自评报告根据要求另行单独报送）</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（一）部门预算项目绩效管理</w:t>
      </w:r>
    </w:p>
    <w:p>
      <w:pPr>
        <w:widowControl/>
        <w:adjustRightInd w:val="0"/>
        <w:snapToGrid w:val="0"/>
        <w:spacing w:line="576" w:lineRule="exact"/>
        <w:ind w:left="210" w:leftChars="100" w:firstLine="300" w:firstLineChars="100"/>
        <w:jc w:val="left"/>
        <w:rPr>
          <w:rFonts w:ascii="仿宋" w:hAnsi="仿宋" w:eastAsia="仿宋" w:cs="仿宋"/>
          <w:sz w:val="30"/>
          <w:szCs w:val="30"/>
        </w:rPr>
      </w:pPr>
      <w:r>
        <w:rPr>
          <w:rFonts w:hint="eastAsia" w:ascii="仿宋" w:hAnsi="仿宋" w:eastAsia="仿宋" w:cs="仿宋"/>
          <w:sz w:val="30"/>
          <w:szCs w:val="30"/>
        </w:rPr>
        <w:t>1.预算编制情况</w:t>
      </w:r>
    </w:p>
    <w:p>
      <w:pPr>
        <w:widowControl/>
        <w:adjustRightInd w:val="0"/>
        <w:snapToGrid w:val="0"/>
        <w:spacing w:line="576" w:lineRule="exact"/>
        <w:ind w:left="210" w:leftChars="100" w:firstLine="450" w:firstLineChars="150"/>
        <w:jc w:val="left"/>
        <w:rPr>
          <w:rFonts w:ascii="仿宋" w:hAnsi="仿宋" w:eastAsia="仿宋" w:cs="仿宋"/>
          <w:sz w:val="30"/>
          <w:szCs w:val="30"/>
        </w:rPr>
      </w:pPr>
      <w:r>
        <w:rPr>
          <w:rFonts w:hint="eastAsia" w:ascii="仿宋" w:hAnsi="仿宋" w:eastAsia="仿宋" w:cs="仿宋"/>
          <w:sz w:val="30"/>
          <w:szCs w:val="30"/>
        </w:rPr>
        <w:t>严格按照预算编制方案科学合理编制本单位预算，提前做好情况摸底、数据收集、填报绩效目标、细化专项预算，按照人员经费逐人核定编制，公用经费按定额编制；根据“总量控制、计划管理”的要求从严控制机关经费，严格编制“三公经费”预算，压缩公业务费，科学编制项目支出，编制部门预算项目绩效目标，按时完成预算编制报送工作。</w:t>
      </w:r>
    </w:p>
    <w:p>
      <w:pPr>
        <w:widowControl/>
        <w:adjustRightInd w:val="0"/>
        <w:snapToGrid w:val="0"/>
        <w:spacing w:line="576" w:lineRule="exact"/>
        <w:ind w:left="210" w:leftChars="100" w:firstLine="450" w:firstLineChars="150"/>
        <w:jc w:val="left"/>
        <w:rPr>
          <w:rFonts w:ascii="仿宋" w:hAnsi="仿宋" w:eastAsia="仿宋" w:cs="仿宋"/>
          <w:sz w:val="30"/>
          <w:szCs w:val="30"/>
        </w:rPr>
      </w:pPr>
      <w:r>
        <w:rPr>
          <w:rFonts w:hint="eastAsia" w:ascii="仿宋" w:hAnsi="仿宋" w:eastAsia="仿宋" w:cs="仿宋"/>
          <w:sz w:val="30"/>
          <w:szCs w:val="30"/>
        </w:rPr>
        <w:t>2.绩效目标填报、监控管理、评价情况</w:t>
      </w:r>
    </w:p>
    <w:p>
      <w:pPr>
        <w:widowControl/>
        <w:adjustRightInd w:val="0"/>
        <w:snapToGrid w:val="0"/>
        <w:spacing w:line="576" w:lineRule="exact"/>
        <w:ind w:left="210" w:leftChars="100" w:firstLine="450" w:firstLineChars="150"/>
        <w:jc w:val="left"/>
        <w:rPr>
          <w:rFonts w:ascii="仿宋" w:hAnsi="仿宋" w:eastAsia="仿宋" w:cs="仿宋"/>
          <w:sz w:val="30"/>
          <w:szCs w:val="30"/>
        </w:rPr>
      </w:pPr>
      <w:r>
        <w:rPr>
          <w:rFonts w:hint="eastAsia" w:ascii="仿宋" w:hAnsi="仿宋" w:eastAsia="仿宋" w:cs="仿宋"/>
          <w:sz w:val="30"/>
          <w:szCs w:val="30"/>
        </w:rPr>
        <w:t>绩效目标执行了实施绩效分配。在项目资金管理方面，单位建立和健全项目资金管理制度和管理办法。严格资金的使用和划拨流程，确保资金使用安全、公平、合理。项目资金做到了专款专用，及时支付。资金的支付均通过对公账户，直接支付到供应商,切实保障了资金使用的准确性和安全性。在绩效目标评价方面， 根据市财政局要求，我校成立自评工作小组，组织实施本单位2021年绩效管理自评工作。</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（二）结果应用情况</w:t>
      </w:r>
    </w:p>
    <w:p>
      <w:pPr>
        <w:widowControl/>
        <w:adjustRightInd w:val="0"/>
        <w:snapToGrid w:val="0"/>
        <w:spacing w:line="576" w:lineRule="exact"/>
        <w:ind w:firstLine="450" w:firstLineChars="150"/>
        <w:jc w:val="left"/>
        <w:rPr>
          <w:rFonts w:ascii="仿宋" w:hAnsi="仿宋" w:eastAsia="仿宋" w:cs="仿宋"/>
          <w:sz w:val="30"/>
          <w:szCs w:val="30"/>
        </w:rPr>
      </w:pPr>
      <w:r>
        <w:rPr>
          <w:rFonts w:hint="eastAsia" w:ascii="仿宋" w:hAnsi="仿宋" w:eastAsia="仿宋" w:cs="仿宋"/>
          <w:sz w:val="30"/>
          <w:szCs w:val="30"/>
        </w:rPr>
        <w:t>1.针对本部门绩效自评中存在的问题，增强单位的绩效评价主体责任意识，制定部门绩效管理办法及项目工作实施方案，及时调整和优化本部门后续项目和以后年度预算支出的方向和结构，合理配置资源，加强财务管理，切实提高项目管理水平、财政资金使用效益和部门工作效率。</w:t>
      </w:r>
    </w:p>
    <w:p>
      <w:pPr>
        <w:widowControl/>
        <w:adjustRightInd w:val="0"/>
        <w:snapToGrid w:val="0"/>
        <w:spacing w:line="576" w:lineRule="exact"/>
        <w:ind w:firstLine="450" w:firstLineChars="150"/>
        <w:jc w:val="left"/>
        <w:rPr>
          <w:rFonts w:ascii="仿宋" w:hAnsi="仿宋" w:eastAsia="仿宋" w:cs="仿宋"/>
          <w:sz w:val="30"/>
          <w:szCs w:val="30"/>
        </w:rPr>
      </w:pPr>
      <w:r>
        <w:rPr>
          <w:rFonts w:hint="eastAsia" w:ascii="仿宋" w:hAnsi="仿宋" w:eastAsia="仿宋" w:cs="仿宋"/>
          <w:sz w:val="30"/>
          <w:szCs w:val="30"/>
        </w:rPr>
        <w:t>2.建立激励与约束机制，强化评价结果在项目申报和预算编制中的有效应用。</w:t>
      </w:r>
    </w:p>
    <w:p>
      <w:pPr>
        <w:widowControl/>
        <w:adjustRightInd w:val="0"/>
        <w:snapToGrid w:val="0"/>
        <w:spacing w:line="576" w:lineRule="exact"/>
        <w:ind w:firstLine="450" w:firstLineChars="150"/>
        <w:jc w:val="left"/>
        <w:rPr>
          <w:rFonts w:ascii="仿宋" w:hAnsi="仿宋" w:eastAsia="仿宋" w:cs="仿宋"/>
          <w:color w:val="000000"/>
          <w:kern w:val="0"/>
          <w:sz w:val="30"/>
          <w:szCs w:val="30"/>
          <w:shd w:val="clear" w:color="auto" w:fill="FFFFFF"/>
          <w:lang w:val="zh-CN"/>
        </w:rPr>
      </w:pPr>
      <w:r>
        <w:rPr>
          <w:rFonts w:hint="eastAsia" w:ascii="仿宋" w:hAnsi="仿宋" w:eastAsia="仿宋" w:cs="仿宋"/>
          <w:sz w:val="30"/>
          <w:szCs w:val="30"/>
        </w:rPr>
        <w:t>3.我校将严格按照《预算法》等法律法规、文件要求，在相关门户网站上按时公开部门年度预算、决算、“三公”经费等信息。</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四、评价结论及建议</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（一）评价结论</w:t>
      </w:r>
    </w:p>
    <w:p>
      <w:pPr>
        <w:widowControl/>
        <w:adjustRightInd w:val="0"/>
        <w:snapToGrid w:val="0"/>
        <w:spacing w:line="576" w:lineRule="exact"/>
        <w:ind w:firstLine="600" w:firstLineChars="200"/>
        <w:jc w:val="left"/>
        <w:rPr>
          <w:rFonts w:ascii="仿宋" w:hAnsi="仿宋" w:eastAsia="仿宋" w:cs="仿宋"/>
          <w:sz w:val="30"/>
          <w:szCs w:val="30"/>
        </w:rPr>
      </w:pPr>
      <w:r>
        <w:rPr>
          <w:rFonts w:hint="eastAsia" w:ascii="仿宋" w:hAnsi="仿宋" w:eastAsia="仿宋" w:cs="仿宋"/>
          <w:sz w:val="30"/>
          <w:szCs w:val="30"/>
        </w:rPr>
        <w:t>2021年，我校将部门整体支出绩效自评作为财政预算资金使用管理的一项重要工作，切实加强预算收支管理，全面梳理内部管理流程，建立健全内部管理制度，提升部门整体支出管理水平。根据部门整体支出绩效自评指标体系，2021年度自评综合得分为83.4分。</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（二）存在问题</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lang w:val="zh-CN"/>
        </w:rPr>
      </w:pPr>
      <w:r>
        <w:rPr>
          <w:rFonts w:hint="eastAsia" w:ascii="仿宋" w:hAnsi="仿宋" w:eastAsia="仿宋" w:cs="仿宋"/>
          <w:sz w:val="30"/>
          <w:szCs w:val="30"/>
        </w:rPr>
        <w:t>因部门整体支出的预算资金安排和使用上仍有不可预见性，年中有些科目的开支会有调整，所以导致有时预算控制率低。</w:t>
      </w:r>
    </w:p>
    <w:p>
      <w:pPr>
        <w:widowControl/>
        <w:adjustRightInd w:val="0"/>
        <w:snapToGrid w:val="0"/>
        <w:spacing w:line="576" w:lineRule="exact"/>
        <w:ind w:firstLine="600" w:firstLineChars="200"/>
        <w:jc w:val="left"/>
        <w:rPr>
          <w:rFonts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（三）改进建议</w:t>
      </w:r>
    </w:p>
    <w:p>
      <w:pPr>
        <w:widowControl/>
        <w:adjustRightInd w:val="0"/>
        <w:snapToGrid w:val="0"/>
        <w:spacing w:line="576" w:lineRule="exact"/>
        <w:ind w:firstLine="600" w:firstLineChars="200"/>
        <w:jc w:val="left"/>
        <w:rPr>
          <w:rFonts w:ascii="仿宋" w:hAnsi="仿宋" w:eastAsia="仿宋" w:cs="仿宋"/>
          <w:sz w:val="30"/>
          <w:szCs w:val="30"/>
        </w:rPr>
      </w:pPr>
      <w:r>
        <w:rPr>
          <w:rFonts w:hint="eastAsia" w:ascii="仿宋" w:hAnsi="仿宋" w:eastAsia="仿宋" w:cs="仿宋"/>
          <w:sz w:val="30"/>
          <w:szCs w:val="30"/>
        </w:rPr>
        <w:t>经认真分析，2021年预算及执行还须进一步加强，我单位将会仔细评估申报来年预算金额，并在执行过程中不断加强管理和业务培训，加强科室协同和预算管理，严格预算执行，科学编制预算。</w:t>
      </w: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tbl>
      <w:tblPr>
        <w:tblStyle w:val="13"/>
        <w:tblpPr w:leftFromText="180" w:rightFromText="180" w:vertAnchor="text" w:horzAnchor="page" w:tblpXSpec="center" w:tblpY="660"/>
        <w:tblOverlap w:val="never"/>
        <w:tblW w:w="10409" w:type="dxa"/>
        <w:tblInd w:w="0" w:type="dxa"/>
        <w:tblLayout w:type="fixed"/>
        <w:tblCellMar>
          <w:top w:w="0" w:type="dxa"/>
          <w:left w:w="108" w:type="dxa"/>
          <w:bottom w:w="0" w:type="dxa"/>
          <w:right w:w="108" w:type="dxa"/>
        </w:tblCellMar>
      </w:tblPr>
      <w:tblGrid>
        <w:gridCol w:w="1526"/>
        <w:gridCol w:w="850"/>
        <w:gridCol w:w="1134"/>
        <w:gridCol w:w="1418"/>
        <w:gridCol w:w="1701"/>
        <w:gridCol w:w="3544"/>
        <w:gridCol w:w="236"/>
      </w:tblGrid>
      <w:tr>
        <w:tblPrEx>
          <w:tblCellMar>
            <w:top w:w="0" w:type="dxa"/>
            <w:left w:w="108" w:type="dxa"/>
            <w:bottom w:w="0" w:type="dxa"/>
            <w:right w:w="108" w:type="dxa"/>
          </w:tblCellMar>
        </w:tblPrEx>
        <w:trPr>
          <w:trHeight w:val="675" w:hRule="atLeast"/>
        </w:trPr>
        <w:tc>
          <w:tcPr>
            <w:tcW w:w="10173"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r>
              <w:rPr>
                <w:rFonts w:hint="eastAsia" w:ascii="仿宋" w:hAnsi="仿宋" w:eastAsia="仿宋" w:cs="宋体"/>
                <w:kern w:val="0"/>
                <w:szCs w:val="21"/>
              </w:rPr>
              <w:t>主管部门及代码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r>
              <w:rPr>
                <w:rFonts w:hint="eastAsia" w:ascii="仿宋" w:hAnsi="仿宋" w:eastAsia="仿宋" w:cs="宋体"/>
                <w:szCs w:val="21"/>
              </w:rPr>
              <w:t>616601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r>
              <w:rPr>
                <w:rFonts w:hint="eastAsia" w:ascii="仿宋" w:hAnsi="仿宋" w:eastAsia="仿宋" w:cs="宋体"/>
                <w:kern w:val="0"/>
                <w:szCs w:val="21"/>
              </w:rPr>
              <w:t>实施单位</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r>
              <w:rPr>
                <w:rFonts w:hint="eastAsia" w:ascii="仿宋" w:hAnsi="仿宋" w:eastAsia="仿宋" w:cs="宋体"/>
                <w:szCs w:val="21"/>
              </w:rPr>
              <w:t>广元市交通技工学校</w:t>
            </w:r>
          </w:p>
        </w:tc>
      </w:tr>
      <w:tr>
        <w:tblPrEx>
          <w:tblCellMar>
            <w:top w:w="0" w:type="dxa"/>
            <w:left w:w="108" w:type="dxa"/>
            <w:bottom w:w="0" w:type="dxa"/>
            <w:right w:w="108" w:type="dxa"/>
          </w:tblCellMar>
        </w:tblPrEx>
        <w:trPr>
          <w:gridAfter w:val="1"/>
          <w:wAfter w:w="236" w:type="dxa"/>
          <w:trHeight w:val="341" w:hRule="atLeast"/>
        </w:trPr>
        <w:tc>
          <w:tcPr>
            <w:tcW w:w="23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r>
              <w:rPr>
                <w:rFonts w:hint="eastAsia" w:ascii="仿宋" w:hAnsi="仿宋" w:eastAsia="仿宋" w:cs="宋体"/>
                <w:kern w:val="0"/>
                <w:szCs w:val="21"/>
              </w:rPr>
              <w:t>项目预算</w:t>
            </w:r>
            <w:r>
              <w:rPr>
                <w:rFonts w:hint="eastAsia" w:ascii="仿宋" w:hAnsi="仿宋" w:eastAsia="仿宋" w:cs="宋体"/>
                <w:kern w:val="0"/>
                <w:szCs w:val="21"/>
              </w:rPr>
              <w:br w:type="textWrapping"/>
            </w:r>
            <w:r>
              <w:rPr>
                <w:rFonts w:hint="eastAsia" w:ascii="仿宋" w:hAnsi="仿宋" w:eastAsia="仿宋" w:cs="宋体"/>
                <w:kern w:val="0"/>
                <w:szCs w:val="21"/>
              </w:rPr>
              <w:t>执行情况</w:t>
            </w:r>
            <w:r>
              <w:rPr>
                <w:rFonts w:hint="eastAsia" w:ascii="仿宋" w:hAnsi="仿宋" w:eastAsia="仿宋" w:cs="宋体"/>
                <w:kern w:val="0"/>
                <w:szCs w:val="21"/>
              </w:rPr>
              <w:br w:type="textWrapping"/>
            </w:r>
            <w:r>
              <w:rPr>
                <w:rFonts w:hint="eastAsia" w:ascii="仿宋" w:hAnsi="仿宋" w:eastAsia="仿宋" w:cs="宋体"/>
                <w:kern w:val="0"/>
                <w:szCs w:val="21"/>
              </w:rPr>
              <w:t>（万元）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r>
              <w:rPr>
                <w:rFonts w:hint="eastAsia" w:ascii="仿宋" w:hAnsi="仿宋" w:eastAsia="仿宋" w:cs="宋体"/>
                <w:kern w:val="0"/>
                <w:szCs w:val="21"/>
              </w:rPr>
              <w:t xml:space="preserve"> 预算数：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r>
              <w:rPr>
                <w:rFonts w:hint="eastAsia" w:ascii="仿宋" w:hAnsi="仿宋" w:eastAsia="仿宋" w:cs="宋体"/>
                <w:szCs w:val="21"/>
              </w:rPr>
              <w:t>774.1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r>
              <w:rPr>
                <w:rFonts w:hint="eastAsia" w:ascii="仿宋" w:hAnsi="仿宋" w:eastAsia="仿宋" w:cs="宋体"/>
                <w:kern w:val="0"/>
                <w:szCs w:val="21"/>
              </w:rPr>
              <w:t xml:space="preserve"> 执行数：</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r>
              <w:rPr>
                <w:rFonts w:hint="eastAsia" w:ascii="仿宋" w:hAnsi="仿宋" w:eastAsia="仿宋" w:cs="宋体"/>
                <w:szCs w:val="21"/>
              </w:rPr>
              <w:t>752.9</w:t>
            </w:r>
          </w:p>
        </w:tc>
      </w:tr>
      <w:tr>
        <w:tblPrEx>
          <w:tblCellMar>
            <w:top w:w="0" w:type="dxa"/>
            <w:left w:w="108" w:type="dxa"/>
            <w:bottom w:w="0" w:type="dxa"/>
            <w:right w:w="108" w:type="dxa"/>
          </w:tblCellMar>
        </w:tblPrEx>
        <w:trPr>
          <w:gridAfter w:val="1"/>
          <w:wAfter w:w="236" w:type="dxa"/>
          <w:trHeight w:val="555" w:hRule="atLeast"/>
        </w:trPr>
        <w:tc>
          <w:tcPr>
            <w:tcW w:w="2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kern w:val="0"/>
                <w:szCs w:val="21"/>
              </w:rPr>
            </w:pPr>
            <w:r>
              <w:rPr>
                <w:rFonts w:hint="eastAsia" w:ascii="仿宋" w:hAnsi="仿宋" w:eastAsia="仿宋" w:cs="宋体"/>
                <w:kern w:val="0"/>
                <w:szCs w:val="21"/>
              </w:rPr>
              <w:t>其中：</w:t>
            </w:r>
          </w:p>
          <w:p>
            <w:pPr>
              <w:widowControl/>
              <w:spacing w:line="240" w:lineRule="exact"/>
              <w:textAlignment w:val="center"/>
              <w:rPr>
                <w:rFonts w:ascii="仿宋" w:hAnsi="仿宋" w:eastAsia="仿宋" w:cs="宋体"/>
                <w:szCs w:val="21"/>
              </w:rPr>
            </w:pPr>
            <w:r>
              <w:rPr>
                <w:rFonts w:hint="eastAsia" w:ascii="仿宋" w:hAnsi="仿宋" w:eastAsia="仿宋" w:cs="宋体"/>
                <w:kern w:val="0"/>
                <w:szCs w:val="21"/>
              </w:rPr>
              <w:t>财政拨款</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r>
              <w:rPr>
                <w:rFonts w:hint="eastAsia" w:ascii="仿宋" w:hAnsi="仿宋" w:eastAsia="仿宋" w:cs="宋体"/>
                <w:szCs w:val="21"/>
              </w:rPr>
              <w:t>774.1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kern w:val="0"/>
                <w:szCs w:val="21"/>
              </w:rPr>
            </w:pPr>
            <w:r>
              <w:rPr>
                <w:rFonts w:hint="eastAsia" w:ascii="仿宋" w:hAnsi="仿宋" w:eastAsia="仿宋" w:cs="宋体"/>
                <w:kern w:val="0"/>
                <w:szCs w:val="21"/>
              </w:rPr>
              <w:t>其中：</w:t>
            </w:r>
          </w:p>
          <w:p>
            <w:pPr>
              <w:widowControl/>
              <w:spacing w:line="240" w:lineRule="exact"/>
              <w:textAlignment w:val="center"/>
              <w:rPr>
                <w:rFonts w:ascii="仿宋" w:hAnsi="仿宋" w:eastAsia="仿宋" w:cs="宋体"/>
                <w:szCs w:val="21"/>
              </w:rPr>
            </w:pPr>
            <w:r>
              <w:rPr>
                <w:rFonts w:hint="eastAsia" w:ascii="仿宋" w:hAnsi="仿宋" w:eastAsia="仿宋" w:cs="宋体"/>
                <w:kern w:val="0"/>
                <w:szCs w:val="21"/>
              </w:rPr>
              <w:t>财政拨款</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r>
              <w:rPr>
                <w:rFonts w:hint="eastAsia" w:ascii="仿宋" w:hAnsi="仿宋" w:eastAsia="仿宋" w:cs="宋体"/>
                <w:szCs w:val="21"/>
              </w:rPr>
              <w:t>752.9</w:t>
            </w:r>
          </w:p>
        </w:tc>
      </w:tr>
      <w:tr>
        <w:tblPrEx>
          <w:tblCellMar>
            <w:top w:w="0" w:type="dxa"/>
            <w:left w:w="108" w:type="dxa"/>
            <w:bottom w:w="0" w:type="dxa"/>
            <w:right w:w="108" w:type="dxa"/>
          </w:tblCellMar>
        </w:tblPrEx>
        <w:trPr>
          <w:gridAfter w:val="1"/>
          <w:wAfter w:w="236" w:type="dxa"/>
          <w:trHeight w:val="341" w:hRule="atLeast"/>
        </w:trPr>
        <w:tc>
          <w:tcPr>
            <w:tcW w:w="2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r>
              <w:rPr>
                <w:rFonts w:hint="eastAsia" w:ascii="仿宋" w:hAnsi="仿宋" w:eastAsia="仿宋" w:cs="宋体"/>
                <w:kern w:val="0"/>
                <w:szCs w:val="21"/>
              </w:rPr>
              <w:t>其他资金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r>
              <w:rPr>
                <w:rFonts w:hint="eastAsia" w:ascii="仿宋" w:hAnsi="仿宋" w:eastAsia="仿宋" w:cs="宋体"/>
                <w:kern w:val="0"/>
                <w:szCs w:val="21"/>
              </w:rPr>
              <w:t>其他资金</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p>
        </w:tc>
      </w:tr>
      <w:tr>
        <w:tblPrEx>
          <w:tblCellMar>
            <w:top w:w="0" w:type="dxa"/>
            <w:left w:w="108" w:type="dxa"/>
            <w:bottom w:w="0" w:type="dxa"/>
            <w:right w:w="108" w:type="dxa"/>
          </w:tblCellMar>
        </w:tblPrEx>
        <w:trPr>
          <w:gridAfter w:val="1"/>
          <w:wAfter w:w="236" w:type="dxa"/>
          <w:trHeight w:val="217" w:hRule="atLeast"/>
        </w:trPr>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kern w:val="0"/>
                <w:szCs w:val="21"/>
              </w:rPr>
            </w:pPr>
            <w:r>
              <w:rPr>
                <w:rFonts w:hint="eastAsia" w:ascii="仿宋" w:hAnsi="仿宋" w:eastAsia="仿宋" w:cs="宋体"/>
                <w:kern w:val="0"/>
                <w:szCs w:val="21"/>
              </w:rPr>
              <w:t>年度总体目标</w:t>
            </w:r>
          </w:p>
          <w:p>
            <w:pPr>
              <w:widowControl/>
              <w:spacing w:line="240" w:lineRule="exact"/>
              <w:textAlignment w:val="center"/>
              <w:rPr>
                <w:rFonts w:ascii="仿宋" w:hAnsi="仿宋" w:eastAsia="仿宋" w:cs="宋体"/>
                <w:szCs w:val="21"/>
              </w:rPr>
            </w:pPr>
            <w:r>
              <w:rPr>
                <w:rFonts w:hint="eastAsia" w:ascii="仿宋" w:hAnsi="仿宋" w:eastAsia="仿宋" w:cs="宋体"/>
                <w:kern w:val="0"/>
                <w:szCs w:val="21"/>
              </w:rPr>
              <w:t>完成情况</w:t>
            </w: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r>
              <w:rPr>
                <w:rFonts w:hint="eastAsia" w:ascii="仿宋" w:hAnsi="仿宋" w:eastAsia="仿宋" w:cs="宋体"/>
                <w:kern w:val="0"/>
                <w:szCs w:val="21"/>
              </w:rPr>
              <w:t>预期目标</w:t>
            </w:r>
          </w:p>
        </w:tc>
        <w:tc>
          <w:tcPr>
            <w:tcW w:w="5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szCs w:val="21"/>
              </w:rPr>
            </w:pPr>
            <w:r>
              <w:rPr>
                <w:rFonts w:hint="eastAsia" w:ascii="仿宋" w:hAnsi="仿宋" w:eastAsia="仿宋" w:cs="宋体"/>
                <w:kern w:val="0"/>
                <w:szCs w:val="21"/>
              </w:rPr>
              <w:t>目标实际完成情况</w:t>
            </w:r>
          </w:p>
        </w:tc>
      </w:tr>
      <w:tr>
        <w:tblPrEx>
          <w:tblCellMar>
            <w:top w:w="0" w:type="dxa"/>
            <w:left w:w="108" w:type="dxa"/>
            <w:bottom w:w="0" w:type="dxa"/>
            <w:right w:w="108" w:type="dxa"/>
          </w:tblCellMar>
        </w:tblPrEx>
        <w:trPr>
          <w:gridAfter w:val="1"/>
          <w:wAfter w:w="236" w:type="dxa"/>
          <w:trHeight w:val="797"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szCs w:val="21"/>
              </w:rPr>
            </w:pP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top"/>
              <w:rPr>
                <w:rFonts w:ascii="仿宋" w:hAnsi="仿宋" w:eastAsia="仿宋" w:cs="宋体"/>
                <w:szCs w:val="21"/>
              </w:rPr>
            </w:pPr>
            <w:r>
              <w:rPr>
                <w:rFonts w:hint="eastAsia" w:ascii="仿宋" w:hAnsi="仿宋" w:eastAsia="仿宋" w:cs="宋体"/>
                <w:szCs w:val="21"/>
              </w:rPr>
              <w:t>1.完成汽车驾驶员培训1300人（其中： C1型1200人，C2型30人，C5型40人，B2型30人）。</w:t>
            </w:r>
          </w:p>
          <w:p>
            <w:pPr>
              <w:widowControl/>
              <w:spacing w:line="240" w:lineRule="exact"/>
              <w:textAlignment w:val="top"/>
              <w:rPr>
                <w:rFonts w:ascii="仿宋" w:hAnsi="仿宋" w:eastAsia="仿宋" w:cs="宋体"/>
                <w:szCs w:val="21"/>
              </w:rPr>
            </w:pPr>
            <w:r>
              <w:rPr>
                <w:rFonts w:hint="eastAsia" w:ascii="仿宋" w:hAnsi="仿宋" w:eastAsia="仿宋" w:cs="宋体"/>
                <w:szCs w:val="21"/>
              </w:rPr>
              <w:t>2.完成职业培训1420人（其中：从业资格证培训1000人、内河船员培训200人、其他短期培训220人）。</w:t>
            </w:r>
          </w:p>
        </w:tc>
        <w:tc>
          <w:tcPr>
            <w:tcW w:w="5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top"/>
              <w:rPr>
                <w:rFonts w:ascii="仿宋" w:hAnsi="仿宋" w:eastAsia="仿宋" w:cs="宋体"/>
                <w:szCs w:val="21"/>
              </w:rPr>
            </w:pPr>
            <w:r>
              <w:rPr>
                <w:rFonts w:hint="eastAsia" w:ascii="仿宋" w:hAnsi="仿宋" w:eastAsia="仿宋" w:cs="宋体"/>
                <w:szCs w:val="21"/>
              </w:rPr>
              <w:t>1.全年完成驾驶培训1211人；2.全年完成职业培训1548人（其中：道路运输从业资格证培训完成数1123人（含网约、巡游出租车及货运车驾驶员从业培训）；内河船舶船员培训完成数105人；滴滴代驾培训120人；市人社局技能提升行动汽车维修初级培训1批200人）；3.是组织开展全市道路运输企业主要负责人和安全管理人员安全考核6期12批603人。</w:t>
            </w:r>
          </w:p>
        </w:tc>
      </w:tr>
      <w:tr>
        <w:tblPrEx>
          <w:tblCellMar>
            <w:top w:w="0" w:type="dxa"/>
            <w:left w:w="108" w:type="dxa"/>
            <w:bottom w:w="0" w:type="dxa"/>
            <w:right w:w="108" w:type="dxa"/>
          </w:tblCellMar>
        </w:tblPrEx>
        <w:trPr>
          <w:gridAfter w:val="1"/>
          <w:wAfter w:w="236" w:type="dxa"/>
          <w:trHeight w:val="693" w:hRule="atLeast"/>
        </w:trPr>
        <w:tc>
          <w:tcPr>
            <w:tcW w:w="1526"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仿宋_GB2312"/>
                <w:szCs w:val="21"/>
              </w:rPr>
            </w:pPr>
            <w:r>
              <w:rPr>
                <w:rFonts w:hint="eastAsia" w:ascii="仿宋" w:hAnsi="仿宋" w:eastAsia="仿宋" w:cs="仿宋_GB2312"/>
                <w:kern w:val="0"/>
                <w:szCs w:val="21"/>
              </w:rPr>
              <w:t>年度绩效指标完成情况</w:t>
            </w:r>
          </w:p>
        </w:tc>
        <w:tc>
          <w:tcPr>
            <w:tcW w:w="8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仿宋_GB2312"/>
                <w:kern w:val="0"/>
                <w:szCs w:val="21"/>
              </w:rPr>
            </w:pPr>
            <w:r>
              <w:rPr>
                <w:rFonts w:hint="eastAsia" w:ascii="仿宋" w:hAnsi="仿宋" w:eastAsia="仿宋" w:cs="仿宋_GB2312"/>
                <w:kern w:val="0"/>
                <w:szCs w:val="21"/>
              </w:rPr>
              <w:t>一级</w:t>
            </w:r>
          </w:p>
          <w:p>
            <w:pPr>
              <w:widowControl/>
              <w:spacing w:line="240" w:lineRule="exact"/>
              <w:textAlignment w:val="center"/>
              <w:rPr>
                <w:rFonts w:ascii="仿宋" w:hAnsi="仿宋" w:eastAsia="仿宋" w:cs="仿宋_GB2312"/>
                <w:szCs w:val="21"/>
              </w:rPr>
            </w:pPr>
            <w:r>
              <w:rPr>
                <w:rFonts w:hint="eastAsia" w:ascii="仿宋" w:hAnsi="仿宋" w:eastAsia="仿宋" w:cs="仿宋_GB2312"/>
                <w:kern w:val="0"/>
                <w:szCs w:val="21"/>
              </w:rPr>
              <w:t>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仿宋_GB2312"/>
                <w:kern w:val="0"/>
                <w:szCs w:val="21"/>
              </w:rPr>
            </w:pPr>
            <w:r>
              <w:rPr>
                <w:rFonts w:hint="eastAsia" w:ascii="仿宋" w:hAnsi="仿宋" w:eastAsia="仿宋" w:cs="仿宋_GB2312"/>
                <w:kern w:val="0"/>
                <w:szCs w:val="21"/>
              </w:rPr>
              <w:t>二级</w:t>
            </w:r>
          </w:p>
          <w:p>
            <w:pPr>
              <w:widowControl/>
              <w:spacing w:line="240" w:lineRule="exact"/>
              <w:textAlignment w:val="center"/>
              <w:rPr>
                <w:rFonts w:ascii="仿宋" w:hAnsi="仿宋" w:eastAsia="仿宋" w:cs="仿宋_GB2312"/>
                <w:szCs w:val="21"/>
              </w:rPr>
            </w:pPr>
            <w:r>
              <w:rPr>
                <w:rFonts w:hint="eastAsia" w:ascii="仿宋" w:hAnsi="仿宋" w:eastAsia="仿宋" w:cs="仿宋_GB2312"/>
                <w:kern w:val="0"/>
                <w:szCs w:val="21"/>
              </w:rPr>
              <w:t>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仿宋_GB2312"/>
                <w:kern w:val="0"/>
                <w:szCs w:val="21"/>
              </w:rPr>
            </w:pPr>
            <w:r>
              <w:rPr>
                <w:rFonts w:hint="eastAsia" w:ascii="仿宋" w:hAnsi="仿宋" w:eastAsia="仿宋" w:cs="仿宋_GB2312"/>
                <w:kern w:val="0"/>
                <w:szCs w:val="21"/>
              </w:rPr>
              <w:t>三级</w:t>
            </w:r>
          </w:p>
          <w:p>
            <w:pPr>
              <w:widowControl/>
              <w:spacing w:line="240" w:lineRule="exact"/>
              <w:textAlignment w:val="center"/>
              <w:rPr>
                <w:rFonts w:ascii="仿宋" w:hAnsi="仿宋" w:eastAsia="仿宋" w:cs="仿宋_GB2312"/>
                <w:szCs w:val="21"/>
              </w:rPr>
            </w:pPr>
            <w:r>
              <w:rPr>
                <w:rFonts w:hint="eastAsia" w:ascii="仿宋" w:hAnsi="仿宋" w:eastAsia="仿宋" w:cs="仿宋_GB2312"/>
                <w:kern w:val="0"/>
                <w:szCs w:val="21"/>
              </w:rPr>
              <w:t>指标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仿宋_GB2312"/>
                <w:szCs w:val="21"/>
              </w:rPr>
            </w:pPr>
            <w:r>
              <w:rPr>
                <w:rFonts w:hint="eastAsia" w:ascii="仿宋" w:hAnsi="仿宋" w:eastAsia="仿宋" w:cs="仿宋_GB2312"/>
                <w:kern w:val="0"/>
                <w:szCs w:val="21"/>
              </w:rPr>
              <w:t>预期指标值</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仿宋_GB2312"/>
                <w:szCs w:val="21"/>
              </w:rPr>
            </w:pPr>
            <w:r>
              <w:rPr>
                <w:rFonts w:hint="eastAsia" w:ascii="仿宋" w:hAnsi="仿宋" w:eastAsia="仿宋" w:cs="仿宋_GB2312"/>
                <w:kern w:val="0"/>
                <w:szCs w:val="21"/>
              </w:rPr>
              <w:t>实际完成指标值</w:t>
            </w:r>
          </w:p>
        </w:tc>
      </w:tr>
      <w:tr>
        <w:tblPrEx>
          <w:tblCellMar>
            <w:top w:w="0" w:type="dxa"/>
            <w:left w:w="108" w:type="dxa"/>
            <w:bottom w:w="0" w:type="dxa"/>
            <w:right w:w="108" w:type="dxa"/>
          </w:tblCellMar>
        </w:tblPrEx>
        <w:trPr>
          <w:gridAfter w:val="1"/>
          <w:wAfter w:w="236" w:type="dxa"/>
          <w:trHeight w:val="415" w:hRule="atLeast"/>
        </w:trPr>
        <w:tc>
          <w:tcPr>
            <w:tcW w:w="1526" w:type="dxa"/>
            <w:vMerge w:val="continue"/>
            <w:tcBorders>
              <w:left w:val="single" w:color="000000" w:sz="4" w:space="0"/>
              <w:right w:val="single" w:color="000000" w:sz="4" w:space="0"/>
            </w:tcBorders>
            <w:shd w:val="clear" w:color="auto" w:fill="auto"/>
            <w:vAlign w:val="center"/>
          </w:tcPr>
          <w:p>
            <w:pPr>
              <w:spacing w:line="240" w:lineRule="exact"/>
              <w:rPr>
                <w:rFonts w:ascii="仿宋" w:hAnsi="仿宋" w:eastAsia="仿宋" w:cs="仿宋_GB2312"/>
                <w:szCs w:val="21"/>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kern w:val="0"/>
                <w:szCs w:val="21"/>
              </w:rPr>
            </w:pPr>
            <w:r>
              <w:rPr>
                <w:rFonts w:hint="eastAsia" w:ascii="仿宋" w:hAnsi="仿宋" w:eastAsia="仿宋" w:cs="仿宋_GB2312"/>
                <w:kern w:val="0"/>
                <w:szCs w:val="21"/>
              </w:rPr>
              <w:t>完成</w:t>
            </w:r>
          </w:p>
          <w:p>
            <w:pPr>
              <w:widowControl/>
              <w:spacing w:line="240" w:lineRule="exact"/>
              <w:textAlignment w:val="bottom"/>
              <w:rPr>
                <w:rFonts w:ascii="仿宋" w:hAnsi="仿宋" w:eastAsia="仿宋" w:cs="仿宋_GB2312"/>
                <w:szCs w:val="21"/>
              </w:rPr>
            </w:pPr>
            <w:r>
              <w:rPr>
                <w:rFonts w:hint="eastAsia" w:ascii="仿宋" w:hAnsi="仿宋" w:eastAsia="仿宋" w:cs="仿宋_GB2312"/>
                <w:kern w:val="0"/>
                <w:szCs w:val="21"/>
              </w:rPr>
              <w:t>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kern w:val="0"/>
                <w:szCs w:val="21"/>
              </w:rPr>
              <w:t>数量指标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完成各项培训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 w:hAnsi="仿宋" w:eastAsia="仿宋" w:cs="宋体"/>
                <w:color w:val="000000"/>
                <w:szCs w:val="21"/>
              </w:rPr>
            </w:pPr>
            <w:r>
              <w:rPr>
                <w:rFonts w:hint="eastAsia" w:ascii="仿宋" w:hAnsi="仿宋" w:eastAsia="仿宋" w:cs="宋体"/>
                <w:color w:val="000000"/>
                <w:kern w:val="0"/>
                <w:szCs w:val="21"/>
              </w:rPr>
              <w:t>预计1300人。 C1型1200人，C2型30人，C5型40人，B2型30人；从业资格证培训1000人、内河船员培训200人、其他短期培训220人</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1211人，（C1型1080人，C2型43人，C5型40人，B2型48人）完成职业培训1548人。从业资格证培训完成数1123人，内河船舶船员培训完成数105人；滴滴代驾培训120人；技能提升行动汽车维修初级培训1批200人，道路运输企业主要负责人和安全管理人员安全考核6期12批603人。</w:t>
            </w:r>
          </w:p>
        </w:tc>
      </w:tr>
      <w:tr>
        <w:tblPrEx>
          <w:tblCellMar>
            <w:top w:w="0" w:type="dxa"/>
            <w:left w:w="108" w:type="dxa"/>
            <w:bottom w:w="0" w:type="dxa"/>
            <w:right w:w="108" w:type="dxa"/>
          </w:tblCellMar>
        </w:tblPrEx>
        <w:trPr>
          <w:gridAfter w:val="1"/>
          <w:wAfter w:w="236" w:type="dxa"/>
          <w:trHeight w:val="415" w:hRule="atLeast"/>
        </w:trPr>
        <w:tc>
          <w:tcPr>
            <w:tcW w:w="1526" w:type="dxa"/>
            <w:vMerge w:val="continue"/>
            <w:tcBorders>
              <w:left w:val="single" w:color="000000" w:sz="4" w:space="0"/>
              <w:right w:val="single" w:color="000000" w:sz="4" w:space="0"/>
            </w:tcBorders>
            <w:shd w:val="clear" w:color="auto" w:fill="auto"/>
            <w:vAlign w:val="center"/>
          </w:tcPr>
          <w:p>
            <w:pPr>
              <w:spacing w:line="240" w:lineRule="exact"/>
              <w:rPr>
                <w:rFonts w:ascii="仿宋" w:hAnsi="仿宋" w:eastAsia="仿宋" w:cs="仿宋_GB2312"/>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仿宋_GB2312"/>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kern w:val="0"/>
                <w:szCs w:val="21"/>
              </w:rPr>
              <w:t>质量指标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培训合格率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90%</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92.5%</w:t>
            </w:r>
          </w:p>
        </w:tc>
      </w:tr>
      <w:tr>
        <w:tblPrEx>
          <w:tblCellMar>
            <w:top w:w="0" w:type="dxa"/>
            <w:left w:w="108" w:type="dxa"/>
            <w:bottom w:w="0" w:type="dxa"/>
            <w:right w:w="108" w:type="dxa"/>
          </w:tblCellMar>
        </w:tblPrEx>
        <w:trPr>
          <w:gridAfter w:val="1"/>
          <w:wAfter w:w="236" w:type="dxa"/>
          <w:trHeight w:val="415" w:hRule="atLeast"/>
        </w:trPr>
        <w:tc>
          <w:tcPr>
            <w:tcW w:w="1526" w:type="dxa"/>
            <w:vMerge w:val="continue"/>
            <w:tcBorders>
              <w:left w:val="single" w:color="000000" w:sz="4" w:space="0"/>
              <w:right w:val="single" w:color="000000" w:sz="4" w:space="0"/>
            </w:tcBorders>
            <w:shd w:val="clear" w:color="auto" w:fill="auto"/>
            <w:vAlign w:val="center"/>
          </w:tcPr>
          <w:p>
            <w:pPr>
              <w:spacing w:line="240" w:lineRule="exact"/>
              <w:rPr>
                <w:rFonts w:ascii="仿宋" w:hAnsi="仿宋" w:eastAsia="仿宋" w:cs="仿宋_GB2312"/>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仿宋_GB2312"/>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kern w:val="0"/>
                <w:szCs w:val="21"/>
              </w:rPr>
              <w:t>时效指标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培训完成时间</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2021年12月底</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2021年12月底</w:t>
            </w:r>
          </w:p>
        </w:tc>
      </w:tr>
      <w:tr>
        <w:tblPrEx>
          <w:tblCellMar>
            <w:top w:w="0" w:type="dxa"/>
            <w:left w:w="108" w:type="dxa"/>
            <w:bottom w:w="0" w:type="dxa"/>
            <w:right w:w="108" w:type="dxa"/>
          </w:tblCellMar>
        </w:tblPrEx>
        <w:trPr>
          <w:gridAfter w:val="1"/>
          <w:wAfter w:w="236" w:type="dxa"/>
          <w:trHeight w:val="480" w:hRule="atLeast"/>
        </w:trPr>
        <w:tc>
          <w:tcPr>
            <w:tcW w:w="1526" w:type="dxa"/>
            <w:vMerge w:val="continue"/>
            <w:tcBorders>
              <w:left w:val="single" w:color="000000" w:sz="4" w:space="0"/>
              <w:right w:val="single" w:color="000000" w:sz="4" w:space="0"/>
            </w:tcBorders>
            <w:shd w:val="clear" w:color="auto" w:fill="auto"/>
            <w:vAlign w:val="center"/>
          </w:tcPr>
          <w:p>
            <w:pPr>
              <w:spacing w:line="240" w:lineRule="exact"/>
              <w:rPr>
                <w:rFonts w:ascii="仿宋" w:hAnsi="仿宋" w:eastAsia="仿宋" w:cs="仿宋_GB2312"/>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仿宋_GB2312"/>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kern w:val="0"/>
                <w:szCs w:val="21"/>
              </w:rPr>
              <w:t>成本指标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开展培训工作支出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500.75</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479.55</w:t>
            </w:r>
          </w:p>
        </w:tc>
      </w:tr>
      <w:tr>
        <w:tblPrEx>
          <w:tblCellMar>
            <w:top w:w="0" w:type="dxa"/>
            <w:left w:w="108" w:type="dxa"/>
            <w:bottom w:w="0" w:type="dxa"/>
            <w:right w:w="108" w:type="dxa"/>
          </w:tblCellMar>
        </w:tblPrEx>
        <w:trPr>
          <w:gridAfter w:val="1"/>
          <w:wAfter w:w="236" w:type="dxa"/>
          <w:trHeight w:val="480" w:hRule="atLeast"/>
        </w:trPr>
        <w:tc>
          <w:tcPr>
            <w:tcW w:w="1526" w:type="dxa"/>
            <w:vMerge w:val="continue"/>
            <w:tcBorders>
              <w:left w:val="single" w:color="000000" w:sz="4" w:space="0"/>
              <w:right w:val="single" w:color="000000" w:sz="4" w:space="0"/>
            </w:tcBorders>
            <w:shd w:val="clear" w:color="auto" w:fill="auto"/>
            <w:vAlign w:val="center"/>
          </w:tcPr>
          <w:p>
            <w:pPr>
              <w:spacing w:line="240" w:lineRule="exact"/>
              <w:rPr>
                <w:rFonts w:ascii="仿宋" w:hAnsi="仿宋" w:eastAsia="仿宋" w:cs="仿宋_GB2312"/>
                <w:szCs w:val="21"/>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kern w:val="0"/>
                <w:szCs w:val="21"/>
              </w:rPr>
              <w:t>效益</w:t>
            </w:r>
            <w:r>
              <w:rPr>
                <w:rFonts w:hint="eastAsia" w:ascii="仿宋" w:hAnsi="仿宋" w:eastAsia="仿宋" w:cs="仿宋_GB2312"/>
                <w:kern w:val="0"/>
                <w:szCs w:val="21"/>
              </w:rPr>
              <w:br w:type="textWrapping"/>
            </w:r>
            <w:r>
              <w:rPr>
                <w:rFonts w:hint="eastAsia" w:ascii="仿宋" w:hAnsi="仿宋" w:eastAsia="仿宋" w:cs="仿宋_GB2312"/>
                <w:kern w:val="0"/>
                <w:szCs w:val="21"/>
              </w:rPr>
              <w:t>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kern w:val="0"/>
                <w:szCs w:val="21"/>
              </w:rPr>
              <w:t>经济效益  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行政事业性收入</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676.8</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618.14</w:t>
            </w:r>
          </w:p>
        </w:tc>
      </w:tr>
      <w:tr>
        <w:tblPrEx>
          <w:tblCellMar>
            <w:top w:w="0" w:type="dxa"/>
            <w:left w:w="108" w:type="dxa"/>
            <w:bottom w:w="0" w:type="dxa"/>
            <w:right w:w="108" w:type="dxa"/>
          </w:tblCellMar>
        </w:tblPrEx>
        <w:trPr>
          <w:gridAfter w:val="1"/>
          <w:wAfter w:w="236" w:type="dxa"/>
          <w:trHeight w:val="480" w:hRule="atLeast"/>
        </w:trPr>
        <w:tc>
          <w:tcPr>
            <w:tcW w:w="1526" w:type="dxa"/>
            <w:vMerge w:val="continue"/>
            <w:tcBorders>
              <w:left w:val="single" w:color="000000" w:sz="4" w:space="0"/>
              <w:right w:val="single" w:color="000000" w:sz="4" w:space="0"/>
            </w:tcBorders>
            <w:shd w:val="clear" w:color="auto" w:fill="auto"/>
            <w:vAlign w:val="center"/>
          </w:tcPr>
          <w:p>
            <w:pPr>
              <w:spacing w:line="240" w:lineRule="exact"/>
              <w:rPr>
                <w:rFonts w:ascii="仿宋" w:hAnsi="仿宋" w:eastAsia="仿宋" w:cs="仿宋_GB2312"/>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仿宋_GB2312"/>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kern w:val="0"/>
                <w:szCs w:val="21"/>
              </w:rPr>
              <w:t>社会效益  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满足社会培训需求，实现事业单位公益服务宗旨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100%</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满足培训率及提供公益性服务100%</w:t>
            </w:r>
          </w:p>
        </w:tc>
      </w:tr>
      <w:tr>
        <w:tblPrEx>
          <w:tblCellMar>
            <w:top w:w="0" w:type="dxa"/>
            <w:left w:w="108" w:type="dxa"/>
            <w:bottom w:w="0" w:type="dxa"/>
            <w:right w:w="108" w:type="dxa"/>
          </w:tblCellMar>
        </w:tblPrEx>
        <w:trPr>
          <w:gridAfter w:val="1"/>
          <w:wAfter w:w="236" w:type="dxa"/>
          <w:trHeight w:val="577" w:hRule="atLeast"/>
        </w:trPr>
        <w:tc>
          <w:tcPr>
            <w:tcW w:w="1526" w:type="dxa"/>
            <w:vMerge w:val="continue"/>
            <w:tcBorders>
              <w:left w:val="single" w:color="000000" w:sz="4" w:space="0"/>
              <w:right w:val="single" w:color="000000" w:sz="4" w:space="0"/>
            </w:tcBorders>
            <w:shd w:val="clear" w:color="auto" w:fill="auto"/>
            <w:vAlign w:val="center"/>
          </w:tcPr>
          <w:p>
            <w:pPr>
              <w:spacing w:line="240" w:lineRule="exact"/>
              <w:rPr>
                <w:rFonts w:ascii="仿宋" w:hAnsi="仿宋" w:eastAsia="仿宋" w:cs="仿宋_GB2312"/>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仿宋_GB2312"/>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392" w:leftChars="87" w:hanging="210" w:hangingChars="100"/>
              <w:textAlignment w:val="bottom"/>
              <w:rPr>
                <w:rFonts w:ascii="仿宋" w:hAnsi="仿宋" w:eastAsia="仿宋" w:cs="仿宋_GB2312"/>
                <w:szCs w:val="21"/>
              </w:rPr>
            </w:pPr>
            <w:r>
              <w:rPr>
                <w:rFonts w:hint="eastAsia" w:ascii="仿宋" w:hAnsi="仿宋" w:eastAsia="仿宋" w:cs="仿宋_GB2312"/>
                <w:kern w:val="0"/>
                <w:szCs w:val="21"/>
              </w:rPr>
              <w:t>生态效益  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 xml:space="preserve"> 生态环境治理，文明城市创建</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100%</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100%</w:t>
            </w:r>
          </w:p>
        </w:tc>
      </w:tr>
      <w:tr>
        <w:tblPrEx>
          <w:tblCellMar>
            <w:top w:w="0" w:type="dxa"/>
            <w:left w:w="108" w:type="dxa"/>
            <w:bottom w:w="0" w:type="dxa"/>
            <w:right w:w="108" w:type="dxa"/>
          </w:tblCellMar>
        </w:tblPrEx>
        <w:trPr>
          <w:gridAfter w:val="1"/>
          <w:wAfter w:w="236" w:type="dxa"/>
          <w:trHeight w:val="480" w:hRule="atLeast"/>
        </w:trPr>
        <w:tc>
          <w:tcPr>
            <w:tcW w:w="1526" w:type="dxa"/>
            <w:vMerge w:val="continue"/>
            <w:tcBorders>
              <w:left w:val="single" w:color="000000" w:sz="4" w:space="0"/>
              <w:right w:val="single" w:color="000000" w:sz="4" w:space="0"/>
            </w:tcBorders>
            <w:shd w:val="clear" w:color="auto" w:fill="auto"/>
            <w:vAlign w:val="center"/>
          </w:tcPr>
          <w:p>
            <w:pPr>
              <w:spacing w:line="240" w:lineRule="exact"/>
              <w:rPr>
                <w:rFonts w:ascii="仿宋" w:hAnsi="仿宋" w:eastAsia="仿宋" w:cs="仿宋_GB2312"/>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仿宋_GB2312"/>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kern w:val="0"/>
                <w:szCs w:val="21"/>
              </w:rPr>
              <w:t>可持续影响 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 xml:space="preserve"> 推进事业单位分类改革，优化配置国有资源</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100%</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100%</w:t>
            </w:r>
          </w:p>
        </w:tc>
      </w:tr>
      <w:tr>
        <w:tblPrEx>
          <w:tblCellMar>
            <w:top w:w="0" w:type="dxa"/>
            <w:left w:w="108" w:type="dxa"/>
            <w:bottom w:w="0" w:type="dxa"/>
            <w:right w:w="108" w:type="dxa"/>
          </w:tblCellMar>
        </w:tblPrEx>
        <w:trPr>
          <w:gridAfter w:val="1"/>
          <w:wAfter w:w="236" w:type="dxa"/>
          <w:trHeight w:val="530" w:hRule="atLeast"/>
        </w:trPr>
        <w:tc>
          <w:tcPr>
            <w:tcW w:w="1526"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kern w:val="0"/>
                <w:szCs w:val="21"/>
              </w:rPr>
              <w:t>满意</w:t>
            </w:r>
            <w:r>
              <w:rPr>
                <w:rFonts w:hint="eastAsia" w:ascii="仿宋" w:hAnsi="仿宋" w:eastAsia="仿宋" w:cs="仿宋_GB2312"/>
                <w:kern w:val="0"/>
                <w:szCs w:val="21"/>
              </w:rPr>
              <w:br w:type="textWrapping"/>
            </w:r>
            <w:r>
              <w:rPr>
                <w:rFonts w:hint="eastAsia" w:ascii="仿宋" w:hAnsi="仿宋" w:eastAsia="仿宋" w:cs="仿宋_GB2312"/>
                <w:kern w:val="0"/>
                <w:szCs w:val="21"/>
              </w:rPr>
              <w:t>度指标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kern w:val="0"/>
                <w:szCs w:val="21"/>
              </w:rPr>
            </w:pPr>
            <w:r>
              <w:rPr>
                <w:rFonts w:hint="eastAsia" w:ascii="仿宋" w:hAnsi="仿宋" w:eastAsia="仿宋" w:cs="仿宋_GB2312"/>
                <w:kern w:val="0"/>
                <w:szCs w:val="21"/>
              </w:rPr>
              <w:t>满意度</w:t>
            </w:r>
          </w:p>
          <w:p>
            <w:pPr>
              <w:widowControl/>
              <w:spacing w:line="240" w:lineRule="exact"/>
              <w:textAlignment w:val="bottom"/>
              <w:rPr>
                <w:rFonts w:ascii="仿宋" w:hAnsi="仿宋" w:eastAsia="仿宋" w:cs="仿宋_GB2312"/>
                <w:szCs w:val="21"/>
              </w:rPr>
            </w:pPr>
            <w:r>
              <w:rPr>
                <w:rFonts w:hint="eastAsia" w:ascii="仿宋" w:hAnsi="仿宋" w:eastAsia="仿宋" w:cs="仿宋_GB2312"/>
                <w:kern w:val="0"/>
                <w:szCs w:val="21"/>
              </w:rPr>
              <w:t>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指标1：服务对象满意度；指标2：教职员工满意度；指标3：扶贫对象满意度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≥95％</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ascii="仿宋" w:hAnsi="仿宋" w:eastAsia="仿宋" w:cs="仿宋_GB2312"/>
                <w:szCs w:val="21"/>
              </w:rPr>
            </w:pPr>
            <w:r>
              <w:rPr>
                <w:rFonts w:hint="eastAsia" w:ascii="仿宋" w:hAnsi="仿宋" w:eastAsia="仿宋" w:cs="仿宋_GB2312"/>
                <w:szCs w:val="21"/>
              </w:rPr>
              <w:t>≥95％</w:t>
            </w:r>
          </w:p>
        </w:tc>
      </w:tr>
    </w:tbl>
    <w:p>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附表：</w:t>
      </w:r>
    </w:p>
    <w:p>
      <w:pPr>
        <w:spacing w:line="576" w:lineRule="exact"/>
        <w:jc w:val="center"/>
        <w:rPr>
          <w:rFonts w:ascii="方正小标宋简体" w:hAnsi="仿宋" w:eastAsia="方正小标宋简体"/>
          <w:sz w:val="44"/>
          <w:szCs w:val="32"/>
        </w:rPr>
      </w:pPr>
      <w:r>
        <w:rPr>
          <w:rStyle w:val="18"/>
          <w:rFonts w:ascii="黑体" w:hAnsi="黑体" w:eastAsia="黑体"/>
          <w:b w:val="0"/>
        </w:rPr>
        <w:br w:type="page"/>
      </w:r>
      <w:r>
        <w:rPr>
          <w:rFonts w:hint="eastAsia" w:ascii="方正小标宋简体" w:hAnsi="仿宋" w:eastAsia="方正小标宋简体"/>
          <w:sz w:val="44"/>
          <w:szCs w:val="32"/>
        </w:rPr>
        <w:t>广元市交通技工学校</w:t>
      </w:r>
    </w:p>
    <w:p>
      <w:pPr>
        <w:spacing w:line="576" w:lineRule="exact"/>
        <w:jc w:val="center"/>
        <w:rPr>
          <w:rFonts w:ascii="方正小标宋简体" w:hAnsi="仿宋" w:eastAsia="方正小标宋简体"/>
          <w:sz w:val="44"/>
          <w:szCs w:val="32"/>
        </w:rPr>
      </w:pPr>
      <w:r>
        <w:rPr>
          <w:rFonts w:hint="eastAsia" w:ascii="方正小标宋简体" w:hAnsi="仿宋" w:eastAsia="方正小标宋简体"/>
          <w:sz w:val="44"/>
          <w:szCs w:val="32"/>
        </w:rPr>
        <w:t>招生工作经费项目支出</w:t>
      </w:r>
    </w:p>
    <w:p>
      <w:pPr>
        <w:spacing w:line="576" w:lineRule="exact"/>
        <w:jc w:val="center"/>
        <w:rPr>
          <w:rFonts w:ascii="方正小标宋简体" w:hAnsi="仿宋" w:eastAsia="方正小标宋简体"/>
          <w:sz w:val="44"/>
          <w:szCs w:val="32"/>
        </w:rPr>
      </w:pPr>
      <w:r>
        <w:rPr>
          <w:rFonts w:hint="eastAsia" w:ascii="方正小标宋简体" w:hAnsi="仿宋" w:eastAsia="方正小标宋简体"/>
          <w:sz w:val="44"/>
          <w:szCs w:val="32"/>
        </w:rPr>
        <w:t>绩效自评报告</w:t>
      </w:r>
    </w:p>
    <w:p>
      <w:pPr>
        <w:spacing w:line="576" w:lineRule="exact"/>
        <w:ind w:firstLine="2420" w:firstLineChars="550"/>
        <w:rPr>
          <w:rFonts w:ascii="方正小标宋简体" w:hAnsi="仿宋" w:eastAsia="方正小标宋简体"/>
          <w:sz w:val="44"/>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一、项目概况</w:t>
      </w:r>
    </w:p>
    <w:p>
      <w:pPr>
        <w:spacing w:line="540" w:lineRule="exact"/>
        <w:ind w:firstLine="640" w:firstLineChars="200"/>
        <w:rPr>
          <w:rFonts w:ascii="楷体_GB2312" w:hAnsi="仿宋" w:eastAsia="楷体_GB2312"/>
          <w:sz w:val="32"/>
          <w:szCs w:val="32"/>
        </w:rPr>
      </w:pPr>
      <w:r>
        <w:rPr>
          <w:rFonts w:hint="eastAsia" w:ascii="楷体_GB2312" w:hAnsi="仿宋" w:eastAsia="楷体_GB2312"/>
          <w:sz w:val="32"/>
          <w:szCs w:val="32"/>
        </w:rPr>
        <w:t>（一）项目基本情况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广元市交通技工学校（广元市汽车驾驶员培训学校）创办于1985年，主要业务为汽车驾驶培训、各项短期培训工</w:t>
      </w:r>
      <w:r>
        <w:rPr>
          <w:rFonts w:hint="eastAsia"/>
          <w:sz w:val="32"/>
          <w:szCs w:val="32"/>
        </w:rPr>
        <w:t>作，</w:t>
      </w:r>
      <w:r>
        <w:rPr>
          <w:rFonts w:hint="eastAsia" w:ascii="仿宋" w:hAnsi="仿宋" w:eastAsia="仿宋"/>
          <w:sz w:val="32"/>
          <w:szCs w:val="32"/>
        </w:rPr>
        <w:t>设立此项目以发展产业，打造品牌、塑造品牌、树立新形象为抓手，拓宽宣传渠道。加大学校的宣传力度、提升学校知名度，和社会认知度，增加财政非税收入为主线。</w:t>
      </w:r>
    </w:p>
    <w:p>
      <w:pPr>
        <w:spacing w:line="540" w:lineRule="exact"/>
        <w:ind w:firstLine="640" w:firstLineChars="200"/>
        <w:rPr>
          <w:rFonts w:ascii="楷体_GB2312" w:hAnsi="仿宋" w:eastAsia="楷体_GB2312"/>
          <w:sz w:val="32"/>
          <w:szCs w:val="32"/>
        </w:rPr>
      </w:pPr>
      <w:r>
        <w:rPr>
          <w:rFonts w:hint="eastAsia" w:ascii="楷体_GB2312" w:hAnsi="仿宋" w:eastAsia="楷体_GB2312"/>
          <w:sz w:val="32"/>
          <w:szCs w:val="32"/>
        </w:rPr>
        <w:t>（二）项目绩效目标</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预算14.28万元驾校招生工作经费，全部用于招生工作的各项开支，包括招生广告、广播、印发资料宣传等，截止2021年12月，使用8.89万元，剩余资金结转下一年。该项目立项依据充分合理，绩效目标合理清晰，项目管理机制健全。</w:t>
      </w:r>
    </w:p>
    <w:p>
      <w:pPr>
        <w:spacing w:line="540" w:lineRule="exact"/>
        <w:ind w:firstLine="640" w:firstLineChars="200"/>
        <w:rPr>
          <w:rFonts w:ascii="楷体_GB2312" w:hAnsi="仿宋" w:eastAsia="楷体_GB2312"/>
          <w:sz w:val="32"/>
          <w:szCs w:val="32"/>
        </w:rPr>
      </w:pPr>
      <w:r>
        <w:rPr>
          <w:rFonts w:hint="eastAsia" w:ascii="楷体_GB2312" w:hAnsi="仿宋" w:eastAsia="楷体_GB2312"/>
          <w:sz w:val="32"/>
          <w:szCs w:val="32"/>
        </w:rPr>
        <w:t>（三）项目自评步骤及方法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1.前期准备情况：组织成立自评工作领导小组，按文件开展绩效自评工作。</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2.组织实施情况：严格按照部门整体支出和项目绩效自评方案实施，绩效工作小组分工明确，客观公正对该项目立项，实施，管理，资金管理和使用以及最终取得的绩效情况自我评价。</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二、项目资金申报及使用情况</w:t>
      </w:r>
    </w:p>
    <w:p>
      <w:pPr>
        <w:spacing w:line="540" w:lineRule="exact"/>
        <w:ind w:firstLine="640" w:firstLineChars="200"/>
        <w:rPr>
          <w:rFonts w:ascii="楷体_GB2312" w:hAnsi="仿宋" w:eastAsia="楷体_GB2312"/>
          <w:sz w:val="32"/>
          <w:szCs w:val="32"/>
        </w:rPr>
      </w:pPr>
      <w:r>
        <w:rPr>
          <w:rFonts w:hint="eastAsia" w:ascii="楷体_GB2312" w:hAnsi="仿宋" w:eastAsia="楷体_GB2312"/>
          <w:sz w:val="32"/>
          <w:szCs w:val="32"/>
        </w:rPr>
        <w:t>（一）项目资金申报及批复情况。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说明项目资金申报、批复及预算调整等程序的相关情况。</w:t>
      </w:r>
    </w:p>
    <w:p>
      <w:pPr>
        <w:spacing w:line="540" w:lineRule="exact"/>
        <w:ind w:firstLine="640" w:firstLineChars="200"/>
        <w:rPr>
          <w:rFonts w:ascii="楷体_GB2312" w:hAnsi="仿宋" w:eastAsia="楷体_GB2312"/>
          <w:sz w:val="32"/>
          <w:szCs w:val="32"/>
        </w:rPr>
      </w:pPr>
      <w:r>
        <w:rPr>
          <w:rFonts w:hint="eastAsia" w:ascii="楷体_GB2312" w:hAnsi="仿宋" w:eastAsia="楷体_GB2312"/>
          <w:sz w:val="32"/>
          <w:szCs w:val="32"/>
        </w:rPr>
        <w:t>（二）资金计划、到位及使用情况（可用表格形式反映）。</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1．资金计划：该项目到位资金</w:t>
      </w:r>
      <w:r>
        <w:rPr>
          <w:rFonts w:ascii="仿宋" w:hAnsi="仿宋" w:eastAsia="仿宋"/>
          <w:sz w:val="32"/>
          <w:szCs w:val="32"/>
        </w:rPr>
        <w:t>14.28</w:t>
      </w:r>
      <w:r>
        <w:rPr>
          <w:rFonts w:hint="eastAsia" w:ascii="仿宋" w:hAnsi="仿宋" w:eastAsia="仿宋"/>
          <w:sz w:val="32"/>
          <w:szCs w:val="32"/>
        </w:rPr>
        <w:t>万元。用于驾驶员培训招生及职业培训的广告支出。</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2．资金到位：财政下达预算资金8.89万元用于驾驶员培训招生及职业培训的广告中支出。</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3．资金使用：全年共支出8.89万元，用于固定长期广告宣传，广播、电视媒体宣传，印发宣传手册，科室培训管理等各种宣传单展架资料。</w:t>
      </w:r>
    </w:p>
    <w:p>
      <w:pPr>
        <w:spacing w:line="540" w:lineRule="exact"/>
        <w:ind w:firstLine="640" w:firstLineChars="200"/>
        <w:rPr>
          <w:rFonts w:ascii="楷体_GB2312" w:hAnsi="仿宋" w:eastAsia="楷体_GB2312"/>
          <w:sz w:val="32"/>
          <w:szCs w:val="32"/>
        </w:rPr>
      </w:pPr>
      <w:r>
        <w:rPr>
          <w:rFonts w:hint="eastAsia" w:ascii="楷体_GB2312" w:hAnsi="仿宋" w:eastAsia="楷体_GB2312"/>
          <w:sz w:val="32"/>
          <w:szCs w:val="32"/>
        </w:rPr>
        <w:t>（三）项目财务管理情况。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本单位财务管理制度、财政预算管理制度，对票就进行审核，附件发票完整齐全，符合本单位报账审批程序，及时进行财务核算。专款专用，保障我校招生的各项日常开支。</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三、项目实施及管理情况</w:t>
      </w:r>
    </w:p>
    <w:p>
      <w:pPr>
        <w:spacing w:line="540" w:lineRule="exact"/>
        <w:ind w:firstLine="640" w:firstLineChars="200"/>
        <w:rPr>
          <w:rFonts w:ascii="楷体_GB2312" w:hAnsi="仿宋" w:eastAsia="楷体_GB2312"/>
          <w:sz w:val="32"/>
          <w:szCs w:val="32"/>
        </w:rPr>
      </w:pPr>
      <w:r>
        <w:rPr>
          <w:rFonts w:hint="eastAsia" w:ascii="楷体_GB2312" w:hAnsi="仿宋" w:eastAsia="楷体_GB2312"/>
          <w:sz w:val="32"/>
          <w:szCs w:val="32"/>
        </w:rPr>
        <w:t>(一)项目组织架构及实施流程</w:t>
      </w:r>
    </w:p>
    <w:p>
      <w:pPr>
        <w:spacing w:line="540" w:lineRule="exact"/>
        <w:ind w:firstLine="640" w:firstLineChars="200"/>
        <w:rPr>
          <w:rFonts w:ascii="仿宋" w:hAnsi="仿宋" w:eastAsia="仿宋"/>
          <w:sz w:val="32"/>
          <w:szCs w:val="32"/>
        </w:rPr>
      </w:pPr>
      <w:r>
        <w:rPr>
          <w:rFonts w:hint="eastAsia" w:ascii="仿宋" w:hAnsi="仿宋" w:eastAsia="仿宋"/>
          <w:color w:val="333333"/>
          <w:sz w:val="32"/>
          <w:szCs w:val="32"/>
          <w:shd w:val="clear" w:color="auto" w:fill="FFFFFF"/>
        </w:rPr>
        <w:t>为了控制成本，必须事先对广告宣传的各项可能的开支（包括媒体的</w:t>
      </w:r>
      <w:r>
        <w:rPr>
          <w:rFonts w:hint="eastAsia" w:ascii="仿宋" w:hAnsi="仿宋" w:eastAsia="仿宋"/>
          <w:sz w:val="32"/>
          <w:szCs w:val="32"/>
        </w:rPr>
        <w:t>选择</w:t>
      </w:r>
      <w:r>
        <w:rPr>
          <w:rFonts w:hint="eastAsia" w:ascii="仿宋" w:hAnsi="仿宋" w:eastAsia="仿宋"/>
          <w:color w:val="333333"/>
          <w:sz w:val="32"/>
          <w:szCs w:val="32"/>
          <w:shd w:val="clear" w:color="auto" w:fill="FFFFFF"/>
        </w:rPr>
        <w:t>，宣传对象选择，宣传频率确定）进行预算。广告宣传费原则上不得超过经费预算规定的范围。</w:t>
      </w:r>
      <w:r>
        <w:rPr>
          <w:rFonts w:hint="eastAsia" w:ascii="仿宋" w:hAnsi="仿宋" w:eastAsia="仿宋"/>
          <w:sz w:val="32"/>
          <w:szCs w:val="32"/>
        </w:rPr>
        <w:t>由驾培科负责组织实施，并组织人员进行比选广告公司，并签订合同，选择广告安放位置，审核广告内容，布置现场查验。</w:t>
      </w:r>
      <w:r>
        <w:rPr>
          <w:rFonts w:hint="eastAsia" w:ascii="仿宋" w:hAnsi="仿宋" w:eastAsia="仿宋"/>
          <w:color w:val="333333"/>
          <w:sz w:val="32"/>
          <w:szCs w:val="32"/>
          <w:shd w:val="clear" w:color="auto" w:fill="FFFFFF"/>
        </w:rPr>
        <w:t>1．起草广告宣传方案；2.制作各种广告张贴宣传画；3．与广告公司进行交涉，联系广告制作业务；4．对广告效果进行测定与检验。</w:t>
      </w:r>
      <w:r>
        <w:rPr>
          <w:rFonts w:hint="eastAsia" w:ascii="仿宋" w:hAnsi="仿宋" w:eastAsia="仿宋"/>
          <w:sz w:val="32"/>
          <w:szCs w:val="32"/>
        </w:rPr>
        <w:t>根据合同时间监督质量和完工时间，广告发布后签订验收合格单，经领导签字后送达财务科按合同执行。</w:t>
      </w:r>
    </w:p>
    <w:p>
      <w:pPr>
        <w:spacing w:line="540" w:lineRule="exact"/>
        <w:ind w:firstLine="640" w:firstLineChars="200"/>
        <w:rPr>
          <w:rFonts w:ascii="楷体_GB2312" w:hAnsi="仿宋" w:eastAsia="楷体_GB2312"/>
          <w:sz w:val="32"/>
          <w:szCs w:val="32"/>
        </w:rPr>
      </w:pPr>
      <w:r>
        <w:rPr>
          <w:rFonts w:hint="eastAsia" w:ascii="楷体_GB2312" w:hAnsi="仿宋" w:eastAsia="楷体_GB2312"/>
          <w:sz w:val="32"/>
          <w:szCs w:val="32"/>
        </w:rPr>
        <w:t>(二)项目管理情况</w:t>
      </w:r>
    </w:p>
    <w:p>
      <w:pPr>
        <w:spacing w:line="540" w:lineRule="exact"/>
        <w:ind w:firstLine="640" w:firstLineChars="200"/>
        <w:rPr>
          <w:rFonts w:ascii="仿宋" w:hAnsi="仿宋" w:eastAsia="仿宋"/>
          <w:sz w:val="32"/>
          <w:szCs w:val="32"/>
        </w:rPr>
      </w:pPr>
      <w:r>
        <w:rPr>
          <w:rFonts w:hint="eastAsia" w:ascii="仿宋" w:hAnsi="仿宋" w:eastAsia="仿宋"/>
          <w:color w:val="333333"/>
          <w:sz w:val="32"/>
          <w:szCs w:val="32"/>
          <w:shd w:val="clear" w:color="auto" w:fill="FFFFFF"/>
        </w:rPr>
        <w:t>为了有效地进行广告宣传，必须定期和不定期地进行市场调查。驾培科在认为必要且适宜的时候，展开对外部的市场调查。市场调查的结果，必须有助于提高广告招生宣传工作。安排人员发放宣传手册。</w:t>
      </w:r>
    </w:p>
    <w:p>
      <w:pPr>
        <w:spacing w:line="540" w:lineRule="exact"/>
        <w:ind w:firstLine="640" w:firstLineChars="200"/>
        <w:rPr>
          <w:rFonts w:ascii="楷体_GB2312" w:hAnsi="仿宋" w:eastAsia="楷体_GB2312"/>
          <w:sz w:val="32"/>
          <w:szCs w:val="32"/>
        </w:rPr>
      </w:pPr>
      <w:r>
        <w:rPr>
          <w:rFonts w:hint="eastAsia" w:ascii="楷体_GB2312" w:hAnsi="仿宋" w:eastAsia="楷体_GB2312"/>
          <w:sz w:val="32"/>
          <w:szCs w:val="32"/>
        </w:rPr>
        <w:t>(三)项目监管情况</w:t>
      </w:r>
    </w:p>
    <w:p>
      <w:pPr>
        <w:pStyle w:val="29"/>
        <w:spacing w:line="540" w:lineRule="exact"/>
        <w:ind w:firstLine="640"/>
        <w:rPr>
          <w:rFonts w:ascii="仿宋" w:hAnsi="仿宋" w:eastAsia="仿宋"/>
          <w:sz w:val="32"/>
          <w:szCs w:val="32"/>
        </w:rPr>
      </w:pPr>
      <w:r>
        <w:rPr>
          <w:rFonts w:hint="eastAsia" w:ascii="仿宋" w:hAnsi="仿宋" w:eastAsia="仿宋"/>
          <w:sz w:val="32"/>
          <w:szCs w:val="32"/>
        </w:rPr>
        <w:t>为了达到招生宣传广告的效果和质量，必须定期和不定期就户外广告进行巡查，检查户外广告是否存在安全隐患，页面破损，污染，广告内容是否完整。安排人员定期进行免费发放宣传手册，</w:t>
      </w:r>
      <w:r>
        <w:rPr>
          <w:rFonts w:hint="eastAsia" w:ascii="仿宋" w:hAnsi="仿宋" w:eastAsia="仿宋"/>
          <w:color w:val="000000"/>
          <w:sz w:val="32"/>
          <w:szCs w:val="32"/>
          <w:shd w:val="clear" w:color="auto" w:fill="FFFFFF"/>
        </w:rPr>
        <w:t>手册印有学校简历，车辆情况，开展的业务等，联系人的手机号、办公地址等，免费送入群众手中，同时还利用“党员活动日”进一步扩大宣传，一对一为群众</w:t>
      </w:r>
      <w:r>
        <w:rPr>
          <w:rFonts w:hint="eastAsia" w:ascii="仿宋" w:hAnsi="仿宋" w:eastAsia="仿宋"/>
          <w:sz w:val="32"/>
          <w:szCs w:val="32"/>
        </w:rPr>
        <w:t>现场解答相关疑问。</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四、项目绩效情况</w:t>
      </w:r>
      <w:r>
        <w:rPr>
          <w:rFonts w:hint="eastAsia" w:ascii="黑体" w:hAnsi="黑体" w:eastAsia="黑体"/>
          <w:sz w:val="32"/>
          <w:szCs w:val="32"/>
        </w:rPr>
        <w:tab/>
      </w:r>
    </w:p>
    <w:p>
      <w:pPr>
        <w:spacing w:line="540" w:lineRule="exact"/>
        <w:ind w:firstLine="640" w:firstLineChars="200"/>
        <w:rPr>
          <w:rFonts w:ascii="楷体_GB2312" w:hAnsi="仿宋" w:eastAsia="楷体_GB2312"/>
          <w:sz w:val="32"/>
          <w:szCs w:val="32"/>
        </w:rPr>
      </w:pPr>
      <w:r>
        <w:rPr>
          <w:rFonts w:hint="eastAsia" w:ascii="楷体_GB2312" w:hAnsi="仿宋" w:eastAsia="楷体_GB2312"/>
          <w:sz w:val="32"/>
          <w:szCs w:val="32"/>
        </w:rPr>
        <w:t>（一）项目完成情况。</w:t>
      </w:r>
    </w:p>
    <w:p>
      <w:pPr>
        <w:pStyle w:val="29"/>
        <w:spacing w:line="540" w:lineRule="exact"/>
        <w:ind w:firstLine="640"/>
        <w:rPr>
          <w:rFonts w:ascii="仿宋" w:hAnsi="仿宋" w:eastAsia="仿宋"/>
          <w:sz w:val="32"/>
          <w:szCs w:val="32"/>
        </w:rPr>
      </w:pPr>
      <w:r>
        <w:rPr>
          <w:rFonts w:hint="eastAsia" w:ascii="仿宋" w:hAnsi="仿宋" w:eastAsia="仿宋"/>
          <w:sz w:val="32"/>
          <w:szCs w:val="32"/>
        </w:rPr>
        <w:t>1.数量指标：长期广告固定1处，广播、电视媒体1期播报，印发宣传手册1500份，展架2个对外宣传驾考政策及便民服务。</w:t>
      </w:r>
    </w:p>
    <w:p>
      <w:pPr>
        <w:pStyle w:val="29"/>
        <w:spacing w:line="540" w:lineRule="exact"/>
        <w:ind w:firstLine="640"/>
        <w:rPr>
          <w:rFonts w:ascii="仿宋" w:hAnsi="仿宋" w:eastAsia="仿宋"/>
          <w:sz w:val="32"/>
          <w:szCs w:val="32"/>
        </w:rPr>
      </w:pPr>
      <w:r>
        <w:rPr>
          <w:rFonts w:hint="eastAsia" w:ascii="仿宋" w:hAnsi="仿宋" w:eastAsia="仿宋"/>
          <w:sz w:val="32"/>
          <w:szCs w:val="32"/>
        </w:rPr>
        <w:t>2.质量指标：广告投放完成率100%。</w:t>
      </w:r>
    </w:p>
    <w:p>
      <w:pPr>
        <w:pStyle w:val="29"/>
        <w:spacing w:line="540" w:lineRule="exact"/>
        <w:ind w:firstLine="640"/>
        <w:rPr>
          <w:rFonts w:ascii="仿宋" w:hAnsi="仿宋" w:eastAsia="仿宋"/>
          <w:sz w:val="32"/>
          <w:szCs w:val="32"/>
        </w:rPr>
      </w:pPr>
      <w:r>
        <w:rPr>
          <w:rFonts w:hint="eastAsia" w:ascii="仿宋" w:hAnsi="仿宋" w:eastAsia="仿宋"/>
          <w:sz w:val="32"/>
          <w:szCs w:val="32"/>
        </w:rPr>
        <w:t>3.时效指标：2021年12月底已完成。</w:t>
      </w:r>
    </w:p>
    <w:p>
      <w:pPr>
        <w:pStyle w:val="29"/>
        <w:spacing w:line="540" w:lineRule="exact"/>
        <w:ind w:firstLine="640"/>
        <w:rPr>
          <w:rFonts w:ascii="仿宋" w:hAnsi="仿宋" w:eastAsia="仿宋"/>
          <w:sz w:val="32"/>
          <w:szCs w:val="32"/>
        </w:rPr>
      </w:pPr>
      <w:r>
        <w:rPr>
          <w:rFonts w:hint="eastAsia" w:ascii="仿宋" w:hAnsi="仿宋" w:eastAsia="仿宋"/>
          <w:sz w:val="32"/>
          <w:szCs w:val="32"/>
        </w:rPr>
        <w:t>4.成本指标：固定长期广告宣传，广播、电视媒体宣传，印发宣传手册，科室培训管理等各种宣传单展架资料完成率62.25%。</w:t>
      </w:r>
    </w:p>
    <w:p>
      <w:pPr>
        <w:spacing w:line="540" w:lineRule="exact"/>
        <w:ind w:firstLine="640" w:firstLineChars="200"/>
        <w:rPr>
          <w:rFonts w:ascii="楷体_GB2312" w:hAnsi="仿宋" w:eastAsia="楷体_GB2312"/>
          <w:sz w:val="32"/>
          <w:szCs w:val="32"/>
        </w:rPr>
      </w:pPr>
      <w:r>
        <w:rPr>
          <w:rFonts w:hint="eastAsia" w:ascii="楷体_GB2312" w:hAnsi="仿宋" w:eastAsia="楷体_GB2312"/>
          <w:sz w:val="32"/>
          <w:szCs w:val="32"/>
        </w:rPr>
        <w:t>（二）项目效益情况。</w:t>
      </w:r>
    </w:p>
    <w:p>
      <w:pPr>
        <w:pStyle w:val="29"/>
        <w:spacing w:line="540" w:lineRule="exact"/>
        <w:ind w:firstLine="640"/>
        <w:rPr>
          <w:rFonts w:ascii="仿宋" w:hAnsi="仿宋" w:eastAsia="仿宋"/>
          <w:sz w:val="32"/>
          <w:szCs w:val="32"/>
        </w:rPr>
      </w:pPr>
      <w:r>
        <w:rPr>
          <w:rFonts w:hint="eastAsia" w:ascii="仿宋" w:hAnsi="仿宋" w:eastAsia="仿宋"/>
          <w:sz w:val="32"/>
          <w:szCs w:val="32"/>
        </w:rPr>
        <w:t>1.经济效益：加大广告宣传，完成培训目标完成率100%</w:t>
      </w:r>
    </w:p>
    <w:p>
      <w:pPr>
        <w:pStyle w:val="29"/>
        <w:spacing w:line="540" w:lineRule="exact"/>
        <w:ind w:firstLine="640"/>
        <w:rPr>
          <w:rFonts w:ascii="仿宋" w:hAnsi="仿宋" w:eastAsia="仿宋"/>
          <w:sz w:val="32"/>
          <w:szCs w:val="32"/>
        </w:rPr>
      </w:pPr>
      <w:r>
        <w:rPr>
          <w:rFonts w:hint="eastAsia" w:ascii="仿宋" w:hAnsi="仿宋" w:eastAsia="仿宋"/>
          <w:sz w:val="32"/>
          <w:szCs w:val="32"/>
        </w:rPr>
        <w:t>2.社会效益：满足群众交通出行需求、实现社会就业增加完成率100%。</w:t>
      </w:r>
    </w:p>
    <w:p>
      <w:pPr>
        <w:pStyle w:val="29"/>
        <w:spacing w:line="540" w:lineRule="exact"/>
        <w:ind w:firstLine="640"/>
        <w:rPr>
          <w:rFonts w:ascii="仿宋" w:hAnsi="仿宋" w:eastAsia="仿宋"/>
          <w:sz w:val="32"/>
          <w:szCs w:val="32"/>
        </w:rPr>
      </w:pPr>
      <w:r>
        <w:rPr>
          <w:rFonts w:hint="eastAsia" w:ascii="仿宋" w:hAnsi="仿宋" w:eastAsia="仿宋"/>
          <w:sz w:val="32"/>
          <w:szCs w:val="32"/>
        </w:rPr>
        <w:t>3.生态效益：完成环境治理与园林城市建设、节能减拓降噪等生态化利用完成率100%。</w:t>
      </w:r>
    </w:p>
    <w:p>
      <w:pPr>
        <w:pStyle w:val="29"/>
        <w:spacing w:line="540" w:lineRule="exact"/>
        <w:ind w:firstLine="640"/>
        <w:rPr>
          <w:rFonts w:ascii="仿宋" w:hAnsi="仿宋" w:eastAsia="仿宋"/>
          <w:sz w:val="32"/>
          <w:szCs w:val="32"/>
        </w:rPr>
      </w:pPr>
      <w:r>
        <w:rPr>
          <w:rFonts w:hint="eastAsia" w:ascii="仿宋" w:hAnsi="仿宋" w:eastAsia="仿宋"/>
          <w:sz w:val="32"/>
          <w:szCs w:val="32"/>
        </w:rPr>
        <w:t>4.可持续影响：推进事业单位分类改革完成率100%。</w:t>
      </w:r>
    </w:p>
    <w:p>
      <w:pPr>
        <w:pStyle w:val="29"/>
        <w:spacing w:line="540" w:lineRule="exact"/>
        <w:ind w:firstLine="640"/>
        <w:rPr>
          <w:rFonts w:ascii="仿宋" w:hAnsi="仿宋" w:eastAsia="仿宋"/>
          <w:sz w:val="32"/>
          <w:szCs w:val="32"/>
        </w:rPr>
      </w:pPr>
      <w:r>
        <w:rPr>
          <w:rFonts w:hint="eastAsia" w:ascii="仿宋" w:hAnsi="仿宋" w:eastAsia="仿宋"/>
          <w:sz w:val="32"/>
          <w:szCs w:val="32"/>
        </w:rPr>
        <w:t>5.满意度指标：广告投放满意度≥98%。</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五、评价结论及建议</w:t>
      </w:r>
    </w:p>
    <w:p>
      <w:pPr>
        <w:spacing w:line="540" w:lineRule="exact"/>
        <w:ind w:firstLine="640" w:firstLineChars="200"/>
        <w:rPr>
          <w:rFonts w:ascii="楷体_GB2312" w:hAnsi="仿宋" w:eastAsia="楷体_GB2312"/>
          <w:sz w:val="32"/>
          <w:szCs w:val="32"/>
        </w:rPr>
      </w:pPr>
      <w:r>
        <w:rPr>
          <w:rFonts w:hint="eastAsia" w:ascii="楷体_GB2312" w:hAnsi="仿宋" w:eastAsia="楷体_GB2312"/>
          <w:sz w:val="32"/>
          <w:szCs w:val="32"/>
        </w:rPr>
        <w:t>（一）评价结论。</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我校的项目支出严格按照相关文件管理规定执行，绩效目标的设立符合驾校的实际需求，保障了我校招生工作的正常开展，绩效指标清晰，资金使用高效。自评分：89分。</w:t>
      </w:r>
    </w:p>
    <w:p>
      <w:pPr>
        <w:spacing w:line="540" w:lineRule="exact"/>
        <w:ind w:firstLine="640" w:firstLineChars="200"/>
        <w:rPr>
          <w:rFonts w:ascii="楷体_GB2312" w:hAnsi="仿宋" w:eastAsia="楷体_GB2312"/>
          <w:sz w:val="32"/>
          <w:szCs w:val="32"/>
        </w:rPr>
      </w:pPr>
      <w:r>
        <w:rPr>
          <w:rFonts w:hint="eastAsia" w:ascii="楷体_GB2312" w:hAnsi="仿宋" w:eastAsia="楷体_GB2312"/>
          <w:sz w:val="32"/>
          <w:szCs w:val="32"/>
        </w:rPr>
        <w:t>（二）存在的问题。</w:t>
      </w:r>
    </w:p>
    <w:p>
      <w:pPr>
        <w:spacing w:line="540" w:lineRule="exact"/>
        <w:ind w:firstLine="800" w:firstLineChars="250"/>
        <w:rPr>
          <w:rFonts w:ascii="仿宋" w:hAnsi="仿宋" w:eastAsia="仿宋"/>
          <w:sz w:val="32"/>
          <w:szCs w:val="32"/>
        </w:rPr>
      </w:pPr>
      <w:r>
        <w:rPr>
          <w:rFonts w:hint="eastAsia" w:ascii="仿宋" w:hAnsi="仿宋" w:eastAsia="仿宋"/>
          <w:sz w:val="32"/>
          <w:szCs w:val="32"/>
        </w:rPr>
        <w:t>无。</w:t>
      </w:r>
    </w:p>
    <w:p>
      <w:pPr>
        <w:spacing w:line="540" w:lineRule="exact"/>
        <w:ind w:firstLine="640" w:firstLineChars="200"/>
        <w:rPr>
          <w:rFonts w:ascii="楷体_GB2312" w:hAnsi="仿宋" w:eastAsia="楷体_GB2312"/>
          <w:sz w:val="32"/>
          <w:szCs w:val="32"/>
        </w:rPr>
      </w:pPr>
      <w:r>
        <w:rPr>
          <w:rFonts w:hint="eastAsia" w:ascii="楷体_GB2312" w:hAnsi="仿宋" w:eastAsia="楷体_GB2312"/>
          <w:sz w:val="32"/>
          <w:szCs w:val="32"/>
        </w:rPr>
        <w:t>（三）相关建议。</w:t>
      </w:r>
    </w:p>
    <w:p>
      <w:pPr>
        <w:spacing w:line="540" w:lineRule="exact"/>
        <w:ind w:firstLine="800" w:firstLineChars="250"/>
        <w:rPr>
          <w:rFonts w:ascii="仿宋" w:hAnsi="仿宋" w:eastAsia="仿宋"/>
          <w:sz w:val="32"/>
          <w:szCs w:val="32"/>
        </w:rPr>
      </w:pPr>
      <w:r>
        <w:rPr>
          <w:rFonts w:hint="eastAsia" w:ascii="仿宋" w:hAnsi="仿宋" w:eastAsia="仿宋"/>
          <w:sz w:val="32"/>
          <w:szCs w:val="32"/>
        </w:rPr>
        <w:t>无。</w:t>
      </w:r>
    </w:p>
    <w:p>
      <w:pPr>
        <w:pStyle w:val="2"/>
        <w:spacing w:before="93"/>
        <w:rPr>
          <w:rFonts w:ascii="仿宋" w:hAnsi="仿宋" w:eastAsia="仿宋"/>
          <w:sz w:val="32"/>
          <w:szCs w:val="32"/>
        </w:rPr>
      </w:pPr>
      <w:r>
        <w:drawing>
          <wp:inline distT="0" distB="0" distL="114300" distR="114300">
            <wp:extent cx="5271135" cy="8545830"/>
            <wp:effectExtent l="0" t="0" r="571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71135" cy="8545830"/>
                    </a:xfrm>
                    <a:prstGeom prst="rect">
                      <a:avLst/>
                    </a:prstGeom>
                    <a:noFill/>
                    <a:ln>
                      <a:noFill/>
                    </a:ln>
                  </pic:spPr>
                </pic:pic>
              </a:graphicData>
            </a:graphic>
          </wp:inline>
        </w:drawing>
      </w:r>
    </w:p>
    <w:p>
      <w:pPr>
        <w:spacing w:line="576" w:lineRule="exact"/>
        <w:ind w:firstLine="2200" w:firstLineChars="500"/>
        <w:rPr>
          <w:rFonts w:ascii="方正小标宋简体" w:hAnsi="仿宋" w:eastAsia="方正小标宋简体"/>
          <w:sz w:val="44"/>
        </w:rPr>
      </w:pPr>
      <w:r>
        <w:rPr>
          <w:rFonts w:hint="eastAsia" w:ascii="方正小标宋简体" w:hAnsi="仿宋" w:eastAsia="方正小标宋简体"/>
          <w:sz w:val="44"/>
        </w:rPr>
        <w:t>广元市交通技工学校</w:t>
      </w:r>
    </w:p>
    <w:p>
      <w:pPr>
        <w:spacing w:line="576" w:lineRule="exact"/>
        <w:ind w:firstLine="1100" w:firstLineChars="250"/>
        <w:rPr>
          <w:rFonts w:ascii="方正小标宋简体" w:hAnsi="仿宋" w:eastAsia="方正小标宋简体"/>
          <w:sz w:val="44"/>
        </w:rPr>
      </w:pPr>
      <w:r>
        <w:rPr>
          <w:rFonts w:hint="eastAsia" w:ascii="方正小标宋简体" w:hAnsi="仿宋" w:eastAsia="方正小标宋简体"/>
          <w:sz w:val="44"/>
        </w:rPr>
        <w:t>房产税项目支出绩效自评报告</w:t>
      </w:r>
    </w:p>
    <w:p>
      <w:pPr>
        <w:adjustRightInd w:val="0"/>
        <w:snapToGrid w:val="0"/>
        <w:spacing w:line="576" w:lineRule="exact"/>
        <w:rPr>
          <w:rFonts w:ascii="仿宋" w:hAnsi="仿宋" w:eastAsia="仿宋"/>
        </w:rPr>
      </w:pPr>
    </w:p>
    <w:p>
      <w:pPr>
        <w:adjustRightInd w:val="0"/>
        <w:snapToGrid w:val="0"/>
        <w:spacing w:line="576" w:lineRule="exact"/>
        <w:ind w:firstLine="640" w:firstLineChars="200"/>
        <w:rPr>
          <w:rFonts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pPr>
        <w:adjustRightInd w:val="0"/>
        <w:snapToGrid w:val="0"/>
        <w:spacing w:line="576" w:lineRule="exact"/>
        <w:ind w:firstLine="640" w:firstLineChars="200"/>
        <w:rPr>
          <w:rFonts w:ascii="楷体_GB2312" w:hAnsi="仿宋" w:eastAsia="楷体_GB2312"/>
          <w:sz w:val="32"/>
          <w:szCs w:val="32"/>
          <w:lang w:val="zh-CN"/>
        </w:rPr>
      </w:pPr>
      <w:r>
        <w:rPr>
          <w:rFonts w:hint="eastAsia" w:ascii="楷体_GB2312" w:hAnsi="仿宋" w:eastAsia="楷体_GB2312"/>
          <w:sz w:val="32"/>
          <w:szCs w:val="32"/>
          <w:lang w:val="zh-CN"/>
        </w:rPr>
        <w:t>（一）项目基本情况</w:t>
      </w:r>
    </w:p>
    <w:p>
      <w:pPr>
        <w:adjustRightInd w:val="0"/>
        <w:snapToGrid w:val="0"/>
        <w:spacing w:line="576" w:lineRule="exact"/>
        <w:ind w:left="105" w:leftChars="50" w:firstLine="480" w:firstLineChars="150"/>
        <w:rPr>
          <w:rFonts w:ascii="仿宋" w:hAnsi="仿宋" w:eastAsia="仿宋"/>
          <w:sz w:val="32"/>
          <w:szCs w:val="32"/>
          <w:lang w:val="zh-CN"/>
        </w:rPr>
      </w:pPr>
      <w:r>
        <w:rPr>
          <w:rFonts w:hint="eastAsia" w:ascii="仿宋" w:hAnsi="仿宋" w:eastAsia="仿宋"/>
          <w:sz w:val="32"/>
          <w:szCs w:val="32"/>
          <w:lang w:val="zh-CN"/>
        </w:rPr>
        <w:t xml:space="preserve">我校部分房屋进行对外出租，根据相关法规，应缴纳房产税，城镇土地使用税，土地增值税，资源税，印花税等 </w:t>
      </w:r>
    </w:p>
    <w:p>
      <w:pPr>
        <w:adjustRightInd w:val="0"/>
        <w:snapToGrid w:val="0"/>
        <w:spacing w:line="576" w:lineRule="exact"/>
        <w:ind w:firstLine="640" w:firstLineChars="200"/>
        <w:rPr>
          <w:rFonts w:ascii="楷体_GB2312" w:hAnsi="仿宋" w:eastAsia="楷体_GB2312"/>
          <w:sz w:val="32"/>
          <w:szCs w:val="32"/>
          <w:lang w:val="zh-CN"/>
        </w:rPr>
      </w:pPr>
      <w:r>
        <w:rPr>
          <w:rFonts w:hint="eastAsia" w:ascii="楷体_GB2312" w:hAnsi="仿宋" w:eastAsia="楷体_GB2312"/>
          <w:sz w:val="32"/>
          <w:szCs w:val="32"/>
          <w:lang w:val="zh-CN"/>
        </w:rPr>
        <w:t>（二）项目绩效目标。</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该项目出租房屋面积约3800平方米，实现非税收入124万元，全部上缴财政，应缴税款8余万元。</w:t>
      </w:r>
    </w:p>
    <w:p>
      <w:pPr>
        <w:adjustRightInd w:val="0"/>
        <w:snapToGrid w:val="0"/>
        <w:spacing w:line="576" w:lineRule="exact"/>
        <w:ind w:firstLine="640" w:firstLineChars="200"/>
        <w:rPr>
          <w:rFonts w:ascii="楷体_GB2312" w:hAnsi="仿宋" w:eastAsia="楷体_GB2312"/>
          <w:sz w:val="32"/>
          <w:szCs w:val="32"/>
          <w:lang w:val="zh-CN"/>
        </w:rPr>
      </w:pPr>
      <w:r>
        <w:rPr>
          <w:rFonts w:hint="eastAsia" w:ascii="楷体_GB2312" w:hAnsi="仿宋" w:eastAsia="楷体_GB2312"/>
          <w:sz w:val="32"/>
          <w:szCs w:val="32"/>
          <w:lang w:val="zh-CN"/>
        </w:rPr>
        <w:t>（三）项目自评步骤及方法。</w:t>
      </w:r>
    </w:p>
    <w:p>
      <w:pPr>
        <w:widowControl/>
        <w:shd w:val="clear" w:color="auto" w:fill="FFFFFF"/>
        <w:spacing w:line="576" w:lineRule="exact"/>
        <w:ind w:firstLine="480" w:firstLineChars="150"/>
        <w:jc w:val="left"/>
        <w:rPr>
          <w:rFonts w:ascii="仿宋" w:hAnsi="仿宋" w:eastAsia="仿宋"/>
          <w:sz w:val="32"/>
          <w:szCs w:val="32"/>
          <w:lang w:val="zh-CN"/>
        </w:rPr>
      </w:pPr>
      <w:r>
        <w:rPr>
          <w:rFonts w:hint="eastAsia" w:ascii="仿宋" w:hAnsi="仿宋" w:eastAsia="仿宋"/>
          <w:sz w:val="32"/>
          <w:szCs w:val="32"/>
          <w:lang w:val="zh-CN"/>
        </w:rPr>
        <w:t>（1）成立项目自评小组；</w:t>
      </w:r>
    </w:p>
    <w:p>
      <w:pPr>
        <w:widowControl/>
        <w:shd w:val="clear" w:color="auto" w:fill="FFFFFF"/>
        <w:spacing w:line="576" w:lineRule="exact"/>
        <w:ind w:firstLine="480" w:firstLineChars="150"/>
        <w:jc w:val="left"/>
        <w:rPr>
          <w:rFonts w:ascii="仿宋" w:hAnsi="仿宋" w:eastAsia="仿宋"/>
          <w:sz w:val="32"/>
          <w:szCs w:val="32"/>
          <w:lang w:val="zh-CN"/>
        </w:rPr>
      </w:pPr>
      <w:r>
        <w:rPr>
          <w:rFonts w:hint="eastAsia" w:ascii="仿宋" w:hAnsi="仿宋" w:eastAsia="仿宋"/>
          <w:sz w:val="32"/>
          <w:szCs w:val="32"/>
          <w:lang w:val="zh-CN"/>
        </w:rPr>
        <w:t>（2）收集项目相关资料，如预算资料，财务资料，合同资料等等。项目自评小组从项目管理部门和财务部门收集项目相关资料，组织召开项目座谈会，最终形成项目绩效评价材料；评价范围：2021年度房租收入项目，时间安排：2021年1月1日—2021年12月31日；</w:t>
      </w:r>
    </w:p>
    <w:p>
      <w:pPr>
        <w:widowControl/>
        <w:shd w:val="clear" w:color="auto" w:fill="FFFFFF"/>
        <w:spacing w:line="576" w:lineRule="exact"/>
        <w:ind w:firstLine="480" w:firstLineChars="150"/>
        <w:jc w:val="left"/>
        <w:rPr>
          <w:rFonts w:ascii="仿宋" w:hAnsi="仿宋" w:eastAsia="仿宋"/>
          <w:sz w:val="32"/>
          <w:szCs w:val="32"/>
          <w:lang w:val="zh-CN"/>
        </w:rPr>
      </w:pPr>
      <w:r>
        <w:rPr>
          <w:rFonts w:hint="eastAsia" w:ascii="仿宋" w:hAnsi="仿宋" w:eastAsia="仿宋"/>
          <w:sz w:val="32"/>
          <w:szCs w:val="32"/>
          <w:lang w:val="zh-CN"/>
        </w:rPr>
        <w:t>（3）开展绩效评价，评价主要围绕部门履职所需的资金投入、预算执行、管理情况；部门资产管理匹配情况；</w:t>
      </w:r>
      <w:r>
        <w:rPr>
          <w:rFonts w:ascii="仿宋" w:hAnsi="仿宋" w:eastAsia="仿宋"/>
          <w:sz w:val="32"/>
          <w:szCs w:val="32"/>
          <w:lang w:val="zh-CN"/>
        </w:rPr>
        <w:t>年初工作计划、目标及布置的重点工作任务所制定的制度、采取的有效措施及目标实现率；服务对象满意度等，形成自评报告初稿。依据收集的项目资料，自评小组通过运用相关性、效率、效果、可持续性准则对本项目进行评价；</w:t>
      </w:r>
    </w:p>
    <w:p>
      <w:pPr>
        <w:widowControl/>
        <w:shd w:val="clear" w:color="auto" w:fill="FFFFFF"/>
        <w:spacing w:line="576" w:lineRule="exact"/>
        <w:ind w:firstLine="480" w:firstLineChars="150"/>
        <w:jc w:val="left"/>
        <w:rPr>
          <w:rFonts w:ascii="仿宋" w:hAnsi="仿宋" w:eastAsia="仿宋"/>
          <w:sz w:val="32"/>
          <w:szCs w:val="32"/>
          <w:lang w:val="zh-CN"/>
        </w:rPr>
      </w:pPr>
      <w:r>
        <w:rPr>
          <w:rFonts w:ascii="仿宋" w:hAnsi="仿宋" w:eastAsia="仿宋"/>
          <w:sz w:val="32"/>
          <w:szCs w:val="32"/>
          <w:lang w:val="zh-CN"/>
        </w:rPr>
        <w:t>（4）征求相关部门意见，形成自评报告。绩效自评初稿形成之后，项目自评小组与项目相关人员进行沟通，听取他们的意见建议，避免出现重大遗漏。并在其基础上进行完善并形成绩效自评报告终稿。</w:t>
      </w:r>
    </w:p>
    <w:p>
      <w:pPr>
        <w:adjustRightInd w:val="0"/>
        <w:snapToGrid w:val="0"/>
        <w:spacing w:line="576" w:lineRule="exact"/>
        <w:ind w:firstLine="640" w:firstLineChars="200"/>
        <w:rPr>
          <w:rFonts w:ascii="黑体" w:hAnsi="黑体" w:eastAsia="黑体"/>
          <w:sz w:val="32"/>
          <w:szCs w:val="32"/>
        </w:rPr>
      </w:pPr>
      <w:r>
        <w:rPr>
          <w:rFonts w:hint="eastAsia" w:ascii="黑体" w:hAnsi="黑体" w:eastAsia="黑体"/>
          <w:sz w:val="32"/>
          <w:szCs w:val="32"/>
        </w:rPr>
        <w:t>二、项目资金申报及使用情况</w:t>
      </w:r>
    </w:p>
    <w:p>
      <w:pPr>
        <w:adjustRightInd w:val="0"/>
        <w:snapToGrid w:val="0"/>
        <w:spacing w:line="576" w:lineRule="exact"/>
        <w:ind w:firstLine="640" w:firstLineChars="200"/>
        <w:rPr>
          <w:rFonts w:ascii="楷体_GB2312" w:hAnsi="仿宋" w:eastAsia="楷体_GB2312"/>
          <w:sz w:val="32"/>
          <w:szCs w:val="32"/>
          <w:lang w:val="zh-CN"/>
        </w:rPr>
      </w:pPr>
      <w:r>
        <w:rPr>
          <w:rFonts w:hint="eastAsia" w:ascii="楷体_GB2312" w:hAnsi="仿宋" w:eastAsia="楷体_GB2312"/>
          <w:sz w:val="32"/>
          <w:szCs w:val="32"/>
          <w:lang w:val="zh-CN"/>
        </w:rPr>
        <w:t>（一）项目资金申报及批复情况</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项目资金申报预算资金8万元，财政批复8万元。</w:t>
      </w:r>
    </w:p>
    <w:p>
      <w:pPr>
        <w:adjustRightInd w:val="0"/>
        <w:snapToGrid w:val="0"/>
        <w:spacing w:line="576" w:lineRule="exact"/>
        <w:ind w:firstLine="640" w:firstLineChars="200"/>
        <w:rPr>
          <w:rFonts w:ascii="楷体_GB2312" w:hAnsi="仿宋" w:eastAsia="楷体_GB2312"/>
          <w:sz w:val="32"/>
          <w:szCs w:val="32"/>
          <w:lang w:val="zh-CN"/>
        </w:rPr>
      </w:pPr>
      <w:r>
        <w:rPr>
          <w:rFonts w:hint="eastAsia" w:ascii="楷体_GB2312" w:hAnsi="仿宋" w:eastAsia="楷体_GB2312"/>
          <w:sz w:val="32"/>
          <w:szCs w:val="32"/>
          <w:lang w:val="zh-CN"/>
        </w:rPr>
        <w:t>（二）资金计划、到位及使用情况（可用表格形式反映）</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cs="仿宋_GB2312"/>
          <w:bCs/>
          <w:sz w:val="32"/>
          <w:szCs w:val="32"/>
          <w:lang w:val="zh-CN"/>
        </w:rPr>
        <w:t>1．资金计划。</w:t>
      </w:r>
      <w:r>
        <w:rPr>
          <w:rFonts w:hint="eastAsia" w:ascii="仿宋" w:hAnsi="仿宋" w:eastAsia="仿宋"/>
          <w:sz w:val="32"/>
          <w:szCs w:val="32"/>
          <w:lang w:val="zh-CN"/>
        </w:rPr>
        <w:t>年初预算该项目资金为8万元，应缴纳房产税，城镇土地使用税，土地增值税，资源税，印花税等。</w:t>
      </w:r>
    </w:p>
    <w:p>
      <w:pPr>
        <w:adjustRightInd w:val="0"/>
        <w:snapToGrid w:val="0"/>
        <w:spacing w:line="576" w:lineRule="exact"/>
        <w:ind w:firstLine="563" w:firstLineChars="176"/>
        <w:rPr>
          <w:rFonts w:ascii="仿宋" w:hAnsi="仿宋" w:eastAsia="仿宋"/>
          <w:sz w:val="32"/>
          <w:szCs w:val="32"/>
          <w:lang w:val="zh-CN"/>
        </w:rPr>
      </w:pPr>
      <w:r>
        <w:rPr>
          <w:rFonts w:hint="eastAsia" w:ascii="仿宋" w:hAnsi="仿宋" w:eastAsia="仿宋" w:cs="仿宋_GB2312"/>
          <w:bCs/>
          <w:sz w:val="32"/>
          <w:szCs w:val="32"/>
          <w:lang w:val="zh-CN"/>
        </w:rPr>
        <w:t>2．资金到位。</w:t>
      </w:r>
      <w:r>
        <w:rPr>
          <w:rFonts w:hint="eastAsia" w:ascii="仿宋" w:hAnsi="仿宋" w:eastAsia="仿宋"/>
          <w:sz w:val="32"/>
          <w:szCs w:val="32"/>
          <w:lang w:val="zh-CN"/>
        </w:rPr>
        <w:t>财政拨款数额为8万元。</w:t>
      </w:r>
    </w:p>
    <w:p>
      <w:pPr>
        <w:adjustRightInd w:val="0"/>
        <w:snapToGrid w:val="0"/>
        <w:spacing w:line="576" w:lineRule="exact"/>
        <w:ind w:firstLine="563" w:firstLineChars="176"/>
        <w:rPr>
          <w:rFonts w:ascii="仿宋" w:hAnsi="仿宋" w:eastAsia="仿宋"/>
          <w:sz w:val="32"/>
          <w:szCs w:val="32"/>
          <w:lang w:val="zh-CN"/>
        </w:rPr>
      </w:pPr>
      <w:r>
        <w:rPr>
          <w:rFonts w:hint="eastAsia" w:ascii="仿宋" w:hAnsi="仿宋" w:eastAsia="仿宋" w:cs="仿宋_GB2312"/>
          <w:bCs/>
          <w:sz w:val="32"/>
          <w:szCs w:val="32"/>
          <w:lang w:val="zh-CN"/>
        </w:rPr>
        <w:t>3．资金使用。</w:t>
      </w:r>
      <w:r>
        <w:rPr>
          <w:rFonts w:hint="eastAsia" w:ascii="仿宋" w:hAnsi="仿宋" w:eastAsia="仿宋"/>
          <w:sz w:val="32"/>
          <w:szCs w:val="32"/>
          <w:lang w:val="zh-CN"/>
        </w:rPr>
        <w:t>财政拨款8万元，未使用。</w:t>
      </w:r>
    </w:p>
    <w:p>
      <w:pPr>
        <w:adjustRightInd w:val="0"/>
        <w:snapToGrid w:val="0"/>
        <w:spacing w:line="576" w:lineRule="exact"/>
        <w:ind w:firstLine="640" w:firstLineChars="200"/>
        <w:rPr>
          <w:rFonts w:ascii="楷体_GB2312" w:hAnsi="仿宋" w:eastAsia="楷体_GB2312"/>
          <w:sz w:val="32"/>
          <w:szCs w:val="32"/>
          <w:lang w:val="zh-CN"/>
        </w:rPr>
      </w:pPr>
      <w:r>
        <w:rPr>
          <w:rFonts w:hint="eastAsia" w:ascii="楷体_GB2312" w:hAnsi="仿宋" w:eastAsia="楷体_GB2312"/>
          <w:sz w:val="32"/>
          <w:szCs w:val="32"/>
          <w:lang w:val="zh-CN"/>
        </w:rPr>
        <w:t>（三）项目财务管理情况。</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项目资金使用，严格遵循财务管理制度要求，规范报支程序，做到专款专用，未列支的费用坚决不予开支。</w:t>
      </w:r>
    </w:p>
    <w:p>
      <w:pPr>
        <w:adjustRightInd w:val="0"/>
        <w:snapToGrid w:val="0"/>
        <w:spacing w:line="576" w:lineRule="exact"/>
        <w:ind w:firstLine="425" w:firstLineChars="133"/>
        <w:rPr>
          <w:rFonts w:ascii="黑体" w:hAnsi="黑体" w:eastAsia="黑体"/>
          <w:sz w:val="32"/>
          <w:szCs w:val="32"/>
        </w:rPr>
      </w:pPr>
      <w:r>
        <w:rPr>
          <w:rFonts w:hint="eastAsia" w:ascii="黑体" w:hAnsi="黑体" w:eastAsia="黑体"/>
          <w:sz w:val="32"/>
          <w:szCs w:val="32"/>
        </w:rPr>
        <w:t>三、项目实施及管理情况</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结合项目组织实施管理办法，重点围绕以下内容进行分析评价，并对自评中发现的问题进行说明。</w:t>
      </w:r>
    </w:p>
    <w:p>
      <w:pPr>
        <w:adjustRightInd w:val="0"/>
        <w:snapToGrid w:val="0"/>
        <w:spacing w:line="576" w:lineRule="exact"/>
        <w:ind w:firstLine="320" w:firstLineChars="100"/>
        <w:rPr>
          <w:rFonts w:ascii="仿宋" w:hAnsi="仿宋" w:eastAsia="仿宋"/>
          <w:sz w:val="32"/>
          <w:szCs w:val="32"/>
          <w:lang w:val="zh-CN"/>
        </w:rPr>
      </w:pPr>
      <w:r>
        <w:rPr>
          <w:rFonts w:hint="eastAsia" w:ascii="仿宋" w:hAnsi="仿宋" w:eastAsia="仿宋"/>
          <w:sz w:val="32"/>
          <w:szCs w:val="32"/>
          <w:lang w:val="zh-CN"/>
        </w:rPr>
        <w:t>项目组织架构及实施流程</w:t>
      </w:r>
    </w:p>
    <w:p>
      <w:pPr>
        <w:adjustRightInd w:val="0"/>
        <w:snapToGrid w:val="0"/>
        <w:spacing w:line="576" w:lineRule="exact"/>
        <w:ind w:firstLine="640" w:firstLineChars="200"/>
        <w:rPr>
          <w:rFonts w:ascii="楷体_GB2312" w:hAnsi="仿宋" w:eastAsia="楷体_GB2312"/>
          <w:sz w:val="32"/>
          <w:szCs w:val="32"/>
          <w:lang w:val="zh-CN"/>
        </w:rPr>
      </w:pPr>
      <w:r>
        <w:rPr>
          <w:rFonts w:hint="eastAsia" w:ascii="楷体_GB2312" w:hAnsi="仿宋" w:eastAsia="楷体_GB2312"/>
          <w:sz w:val="32"/>
          <w:szCs w:val="32"/>
          <w:lang w:val="zh-CN"/>
        </w:rPr>
        <w:t>(一)项目管理情况</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财务科负责税款的缴纳，严格落实相关政策，通过规范程序进行办理减免手续。</w:t>
      </w:r>
    </w:p>
    <w:p>
      <w:pPr>
        <w:adjustRightInd w:val="0"/>
        <w:snapToGrid w:val="0"/>
        <w:spacing w:line="576" w:lineRule="exact"/>
        <w:ind w:firstLine="640" w:firstLineChars="200"/>
        <w:rPr>
          <w:rFonts w:ascii="楷体_GB2312" w:hAnsi="仿宋" w:eastAsia="楷体_GB2312"/>
          <w:sz w:val="32"/>
          <w:szCs w:val="32"/>
          <w:lang w:val="zh-CN"/>
        </w:rPr>
      </w:pPr>
      <w:r>
        <w:rPr>
          <w:rFonts w:hint="eastAsia" w:ascii="楷体_GB2312" w:hAnsi="仿宋" w:eastAsia="楷体_GB2312"/>
          <w:sz w:val="32"/>
          <w:szCs w:val="32"/>
          <w:lang w:val="zh-CN"/>
        </w:rPr>
        <w:t>(二)项目监管情况</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专人负责，项目进行前，进行集体讨论，项目进行时有负责人及时跟踪项目实施情况，并及时提出意见和建议，由总务科监管。</w:t>
      </w:r>
    </w:p>
    <w:p>
      <w:pPr>
        <w:adjustRightInd w:val="0"/>
        <w:snapToGrid w:val="0"/>
        <w:spacing w:line="576" w:lineRule="exact"/>
        <w:ind w:firstLine="640" w:firstLineChars="200"/>
        <w:rPr>
          <w:rFonts w:ascii="黑体" w:hAnsi="黑体" w:eastAsia="黑体"/>
          <w:sz w:val="32"/>
          <w:szCs w:val="32"/>
          <w:lang w:val="zh-CN"/>
        </w:rPr>
      </w:pPr>
      <w:r>
        <w:rPr>
          <w:rFonts w:hint="eastAsia" w:ascii="黑体" w:hAnsi="黑体" w:eastAsia="黑体"/>
          <w:sz w:val="32"/>
          <w:szCs w:val="32"/>
        </w:rPr>
        <w:t>四、项目绩效情况</w:t>
      </w:r>
      <w:r>
        <w:rPr>
          <w:rFonts w:hint="eastAsia" w:ascii="黑体" w:hAnsi="黑体" w:eastAsia="黑体"/>
          <w:sz w:val="32"/>
          <w:szCs w:val="32"/>
          <w:lang w:val="zh-CN"/>
        </w:rPr>
        <w:tab/>
      </w:r>
    </w:p>
    <w:p>
      <w:pPr>
        <w:adjustRightInd w:val="0"/>
        <w:snapToGrid w:val="0"/>
        <w:spacing w:line="576" w:lineRule="exact"/>
        <w:ind w:firstLine="640" w:firstLineChars="200"/>
        <w:rPr>
          <w:rFonts w:ascii="楷体_GB2312" w:hAnsi="仿宋" w:eastAsia="楷体_GB2312"/>
          <w:sz w:val="32"/>
          <w:szCs w:val="32"/>
          <w:lang w:val="zh-CN"/>
        </w:rPr>
      </w:pPr>
      <w:r>
        <w:rPr>
          <w:rFonts w:hint="eastAsia" w:ascii="楷体_GB2312" w:hAnsi="仿宋" w:eastAsia="楷体_GB2312"/>
          <w:sz w:val="32"/>
          <w:szCs w:val="32"/>
          <w:lang w:val="zh-CN"/>
        </w:rPr>
        <w:t>（一）项目完成情况</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1.数量指标</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完成非税收入124万元，全部缴入财政专户。</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2.质量指标</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高效利用固定资产，全面完成非税收。</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3.时效指标</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已于</w:t>
      </w:r>
      <w:r>
        <w:rPr>
          <w:rFonts w:ascii="仿宋" w:hAnsi="仿宋" w:eastAsia="仿宋"/>
          <w:sz w:val="32"/>
          <w:szCs w:val="32"/>
          <w:lang w:val="zh-CN"/>
        </w:rPr>
        <w:t>2021</w:t>
      </w:r>
      <w:r>
        <w:rPr>
          <w:rFonts w:hint="eastAsia" w:ascii="仿宋" w:hAnsi="仿宋" w:eastAsia="仿宋"/>
          <w:sz w:val="32"/>
          <w:szCs w:val="32"/>
          <w:lang w:val="zh-CN"/>
        </w:rPr>
        <w:t>年</w:t>
      </w:r>
      <w:r>
        <w:rPr>
          <w:rFonts w:ascii="仿宋" w:hAnsi="仿宋" w:eastAsia="仿宋"/>
          <w:sz w:val="32"/>
          <w:szCs w:val="32"/>
          <w:lang w:val="zh-CN"/>
        </w:rPr>
        <w:t>12</w:t>
      </w:r>
      <w:r>
        <w:rPr>
          <w:rFonts w:hint="eastAsia" w:ascii="仿宋" w:hAnsi="仿宋" w:eastAsia="仿宋"/>
          <w:sz w:val="32"/>
          <w:szCs w:val="32"/>
          <w:lang w:val="zh-CN"/>
        </w:rPr>
        <w:t>月</w:t>
      </w:r>
      <w:r>
        <w:rPr>
          <w:rFonts w:ascii="仿宋" w:hAnsi="仿宋" w:eastAsia="仿宋"/>
          <w:sz w:val="32"/>
          <w:szCs w:val="32"/>
          <w:lang w:val="zh-CN"/>
        </w:rPr>
        <w:t>31</w:t>
      </w:r>
      <w:r>
        <w:rPr>
          <w:rFonts w:hint="eastAsia" w:ascii="仿宋" w:hAnsi="仿宋" w:eastAsia="仿宋"/>
          <w:sz w:val="32"/>
          <w:szCs w:val="32"/>
          <w:lang w:val="zh-CN"/>
        </w:rPr>
        <w:t>日完成。</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4.成本指标</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8万元房产税，预算资金未使用。</w:t>
      </w:r>
    </w:p>
    <w:p>
      <w:pPr>
        <w:adjustRightInd w:val="0"/>
        <w:snapToGrid w:val="0"/>
        <w:spacing w:line="576" w:lineRule="exact"/>
        <w:ind w:firstLine="640" w:firstLineChars="200"/>
        <w:rPr>
          <w:rFonts w:ascii="楷体_GB2312" w:hAnsi="仿宋" w:eastAsia="楷体_GB2312"/>
          <w:sz w:val="32"/>
          <w:szCs w:val="32"/>
          <w:lang w:val="zh-CN"/>
        </w:rPr>
      </w:pPr>
      <w:r>
        <w:rPr>
          <w:rFonts w:hint="eastAsia" w:ascii="楷体_GB2312" w:hAnsi="仿宋" w:eastAsia="楷体_GB2312"/>
          <w:sz w:val="32"/>
          <w:szCs w:val="32"/>
          <w:lang w:val="zh-CN"/>
        </w:rPr>
        <w:t>（二）项目效益情况。</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1.经济效益</w:t>
      </w:r>
    </w:p>
    <w:p>
      <w:pPr>
        <w:adjustRightInd w:val="0"/>
        <w:snapToGrid w:val="0"/>
        <w:spacing w:line="576" w:lineRule="exact"/>
        <w:ind w:firstLine="640" w:firstLineChars="200"/>
        <w:rPr>
          <w:rFonts w:ascii="仿宋" w:hAnsi="仿宋" w:eastAsia="仿宋"/>
          <w:sz w:val="32"/>
          <w:szCs w:val="32"/>
          <w:lang w:val="zh-CN"/>
        </w:rPr>
      </w:pPr>
      <w:r>
        <w:rPr>
          <w:rFonts w:ascii="仿宋" w:hAnsi="仿宋" w:eastAsia="仿宋"/>
          <w:sz w:val="32"/>
          <w:szCs w:val="32"/>
          <w:lang w:val="zh-CN"/>
        </w:rPr>
        <w:t>房屋店面按规定程序出租，出租率100%，房屋正常运行，保障各项工作正常运行，</w:t>
      </w:r>
      <w:r>
        <w:rPr>
          <w:rFonts w:hint="eastAsia" w:ascii="仿宋" w:hAnsi="仿宋" w:eastAsia="仿宋"/>
          <w:sz w:val="32"/>
          <w:szCs w:val="32"/>
          <w:lang w:val="zh-CN"/>
        </w:rPr>
        <w:t>房屋租赁收益入库率</w:t>
      </w:r>
      <w:r>
        <w:rPr>
          <w:rFonts w:ascii="仿宋" w:hAnsi="仿宋" w:eastAsia="仿宋"/>
          <w:sz w:val="32"/>
          <w:szCs w:val="32"/>
          <w:lang w:val="zh-CN"/>
        </w:rPr>
        <w:t>100%</w:t>
      </w:r>
      <w:r>
        <w:rPr>
          <w:rFonts w:hint="eastAsia" w:ascii="仿宋" w:hAnsi="仿宋" w:eastAsia="仿宋"/>
          <w:sz w:val="32"/>
          <w:szCs w:val="32"/>
          <w:lang w:val="zh-CN"/>
        </w:rPr>
        <w:t>。</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2.社会效益</w:t>
      </w:r>
    </w:p>
    <w:p>
      <w:pPr>
        <w:adjustRightInd w:val="0"/>
        <w:snapToGrid w:val="0"/>
        <w:spacing w:line="576" w:lineRule="exact"/>
        <w:ind w:firstLine="640" w:firstLineChars="200"/>
        <w:rPr>
          <w:rFonts w:ascii="仿宋" w:hAnsi="仿宋" w:eastAsia="仿宋"/>
          <w:sz w:val="32"/>
          <w:szCs w:val="32"/>
          <w:lang w:val="zh-CN"/>
        </w:rPr>
      </w:pPr>
      <w:r>
        <w:rPr>
          <w:rFonts w:ascii="仿宋" w:hAnsi="仿宋" w:eastAsia="仿宋"/>
          <w:sz w:val="32"/>
          <w:szCs w:val="32"/>
          <w:lang w:val="zh-CN"/>
        </w:rPr>
        <w:t>资产对外发布招租信息，让有经营头脑、有条件的经营者承租，签订租赁合同这样既能提高资产的利用效率，也能带来一定的经济收益。</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3.生态效益</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持续提升出租房的绿化、亮化形象，节能、减排、降噪促使我校区生态园林化符合国家相关要求。</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4.可持续效益</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确保国有资产保值增值，增加财政收入。</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5.服务对象满意度</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服务对象满意度</w:t>
      </w:r>
      <w:r>
        <w:rPr>
          <w:rFonts w:ascii="仿宋" w:hAnsi="仿宋" w:eastAsia="仿宋"/>
          <w:sz w:val="32"/>
          <w:szCs w:val="32"/>
          <w:lang w:val="zh-CN"/>
        </w:rPr>
        <w:t>9</w:t>
      </w:r>
      <w:r>
        <w:rPr>
          <w:rFonts w:hint="eastAsia" w:ascii="仿宋" w:hAnsi="仿宋" w:eastAsia="仿宋"/>
          <w:sz w:val="32"/>
          <w:szCs w:val="32"/>
          <w:lang w:val="zh-CN"/>
        </w:rPr>
        <w:t>8％以上。</w:t>
      </w:r>
    </w:p>
    <w:p>
      <w:pPr>
        <w:adjustRightInd w:val="0"/>
        <w:snapToGrid w:val="0"/>
        <w:spacing w:line="576" w:lineRule="exact"/>
        <w:ind w:firstLine="640" w:firstLineChars="200"/>
        <w:rPr>
          <w:rFonts w:ascii="黑体" w:hAnsi="黑体" w:eastAsia="黑体"/>
          <w:sz w:val="32"/>
          <w:szCs w:val="32"/>
        </w:rPr>
      </w:pPr>
      <w:r>
        <w:rPr>
          <w:rFonts w:hint="eastAsia" w:ascii="黑体" w:hAnsi="黑体" w:eastAsia="黑体"/>
          <w:sz w:val="32"/>
          <w:szCs w:val="32"/>
        </w:rPr>
        <w:t>五、评价结论及建议</w:t>
      </w:r>
    </w:p>
    <w:p>
      <w:pPr>
        <w:adjustRightInd w:val="0"/>
        <w:snapToGrid w:val="0"/>
        <w:spacing w:line="576" w:lineRule="exact"/>
        <w:ind w:firstLine="640" w:firstLineChars="200"/>
        <w:rPr>
          <w:rFonts w:ascii="楷体_GB2312" w:hAnsi="仿宋" w:eastAsia="楷体_GB2312"/>
          <w:sz w:val="32"/>
          <w:szCs w:val="32"/>
          <w:lang w:val="zh-CN"/>
        </w:rPr>
      </w:pPr>
      <w:r>
        <w:rPr>
          <w:rFonts w:hint="eastAsia" w:ascii="楷体_GB2312" w:hAnsi="仿宋" w:eastAsia="楷体_GB2312"/>
          <w:sz w:val="32"/>
          <w:szCs w:val="32"/>
          <w:lang w:val="zh-CN"/>
        </w:rPr>
        <w:t>（一）评价结论</w:t>
      </w:r>
    </w:p>
    <w:p>
      <w:pPr>
        <w:shd w:val="clear" w:color="auto" w:fill="FFFFFF"/>
        <w:spacing w:line="576" w:lineRule="exact"/>
        <w:ind w:firstLine="480" w:firstLineChars="150"/>
        <w:rPr>
          <w:rFonts w:ascii="仿宋" w:hAnsi="仿宋" w:eastAsia="仿宋"/>
          <w:sz w:val="32"/>
          <w:szCs w:val="32"/>
          <w:lang w:val="zh-CN"/>
        </w:rPr>
      </w:pPr>
      <w:r>
        <w:rPr>
          <w:rFonts w:hint="eastAsia" w:ascii="仿宋" w:hAnsi="仿宋" w:eastAsia="仿宋"/>
          <w:sz w:val="32"/>
          <w:szCs w:val="32"/>
          <w:lang w:val="zh-CN"/>
        </w:rPr>
        <w:t>本项目实施以来，有效保障国有资产保值增值，</w:t>
      </w:r>
      <w:r>
        <w:rPr>
          <w:rFonts w:ascii="仿宋" w:hAnsi="仿宋" w:eastAsia="仿宋"/>
          <w:sz w:val="32"/>
          <w:szCs w:val="32"/>
          <w:lang w:val="zh-CN"/>
        </w:rPr>
        <w:t>围绕绩效评价指标体系，通过数据采集及电话回访等方式，对该项目绩效进行了客观、公正的评价，最终评价</w:t>
      </w:r>
      <w:r>
        <w:rPr>
          <w:rFonts w:hint="eastAsia" w:ascii="仿宋" w:hAnsi="仿宋" w:eastAsia="仿宋"/>
          <w:sz w:val="32"/>
          <w:szCs w:val="32"/>
          <w:lang w:val="zh-CN"/>
        </w:rPr>
        <w:t>分:88分</w:t>
      </w:r>
      <w:r>
        <w:rPr>
          <w:rFonts w:ascii="仿宋" w:hAnsi="仿宋" w:eastAsia="仿宋"/>
          <w:sz w:val="32"/>
          <w:szCs w:val="32"/>
          <w:lang w:val="zh-CN"/>
        </w:rPr>
        <w:t>。</w:t>
      </w:r>
    </w:p>
    <w:p>
      <w:pPr>
        <w:adjustRightInd w:val="0"/>
        <w:snapToGrid w:val="0"/>
        <w:spacing w:line="576" w:lineRule="exact"/>
        <w:ind w:firstLine="640" w:firstLineChars="200"/>
        <w:rPr>
          <w:rFonts w:ascii="楷体_GB2312" w:hAnsi="仿宋" w:eastAsia="楷体_GB2312"/>
          <w:sz w:val="32"/>
          <w:szCs w:val="32"/>
          <w:lang w:val="zh-CN"/>
        </w:rPr>
      </w:pPr>
      <w:r>
        <w:rPr>
          <w:rFonts w:hint="eastAsia" w:ascii="楷体_GB2312" w:hAnsi="仿宋" w:eastAsia="楷体_GB2312"/>
          <w:sz w:val="32"/>
          <w:szCs w:val="32"/>
          <w:lang w:val="zh-CN"/>
        </w:rPr>
        <w:t>（二）存在的问题</w:t>
      </w:r>
    </w:p>
    <w:p>
      <w:pPr>
        <w:pStyle w:val="35"/>
        <w:spacing w:line="576" w:lineRule="exact"/>
        <w:ind w:firstLine="480" w:firstLineChars="150"/>
        <w:rPr>
          <w:rFonts w:ascii="仿宋" w:hAnsi="仿宋" w:eastAsia="仿宋"/>
          <w:sz w:val="32"/>
          <w:szCs w:val="32"/>
        </w:rPr>
      </w:pPr>
      <w:r>
        <w:rPr>
          <w:rFonts w:ascii="仿宋" w:hAnsi="仿宋" w:eastAsia="仿宋"/>
          <w:sz w:val="32"/>
          <w:szCs w:val="32"/>
        </w:rPr>
        <w:t>由于项目</w:t>
      </w:r>
      <w:r>
        <w:rPr>
          <w:rFonts w:ascii="仿宋" w:hAnsi="仿宋" w:eastAsia="仿宋"/>
          <w:sz w:val="32"/>
          <w:szCs w:val="32"/>
          <w:shd w:val="clear" w:color="auto" w:fill="FFFFFF"/>
        </w:rPr>
        <w:t>的专业性很强，细化专项资金管理制度，完善工作流程，专项支出标准必须有制度支撑。</w:t>
      </w:r>
      <w:r>
        <w:rPr>
          <w:rFonts w:hint="eastAsia" w:ascii="仿宋" w:hAnsi="仿宋" w:eastAsia="仿宋"/>
          <w:sz w:val="32"/>
          <w:szCs w:val="32"/>
        </w:rPr>
        <w:tab/>
      </w:r>
    </w:p>
    <w:p>
      <w:pPr>
        <w:pStyle w:val="2"/>
        <w:numPr>
          <w:ilvl w:val="0"/>
          <w:numId w:val="4"/>
        </w:numPr>
        <w:spacing w:before="93"/>
        <w:rPr>
          <w:rFonts w:ascii="仿宋" w:hAnsi="仿宋" w:eastAsia="仿宋"/>
          <w:sz w:val="32"/>
          <w:szCs w:val="32"/>
        </w:rPr>
      </w:pPr>
      <w:r>
        <w:rPr>
          <w:rFonts w:hint="eastAsia" w:ascii="仿宋" w:hAnsi="仿宋" w:eastAsia="仿宋"/>
          <w:sz w:val="32"/>
          <w:szCs w:val="32"/>
        </w:rPr>
        <w:t>相关建议</w:t>
      </w:r>
    </w:p>
    <w:p>
      <w:pPr>
        <w:pStyle w:val="2"/>
        <w:spacing w:before="93"/>
        <w:rPr>
          <w:rFonts w:ascii="仿宋" w:hAnsi="仿宋" w:eastAsia="仿宋"/>
          <w:sz w:val="32"/>
          <w:szCs w:val="32"/>
        </w:rPr>
      </w:pPr>
      <w:r>
        <w:rPr>
          <w:rFonts w:hint="eastAsia" w:ascii="仿宋" w:hAnsi="仿宋" w:eastAsia="仿宋"/>
          <w:sz w:val="32"/>
          <w:szCs w:val="32"/>
        </w:rPr>
        <w:t xml:space="preserve">   无</w:t>
      </w: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tbl>
      <w:tblPr>
        <w:tblStyle w:val="13"/>
        <w:tblW w:w="9229" w:type="dxa"/>
        <w:tblInd w:w="93" w:type="dxa"/>
        <w:tblLayout w:type="fixed"/>
        <w:tblCellMar>
          <w:top w:w="0" w:type="dxa"/>
          <w:left w:w="108" w:type="dxa"/>
          <w:bottom w:w="0" w:type="dxa"/>
          <w:right w:w="108" w:type="dxa"/>
        </w:tblCellMar>
      </w:tblPr>
      <w:tblGrid>
        <w:gridCol w:w="1149"/>
        <w:gridCol w:w="1276"/>
        <w:gridCol w:w="311"/>
        <w:gridCol w:w="823"/>
        <w:gridCol w:w="392"/>
        <w:gridCol w:w="236"/>
        <w:gridCol w:w="931"/>
        <w:gridCol w:w="843"/>
        <w:gridCol w:w="420"/>
        <w:gridCol w:w="297"/>
        <w:gridCol w:w="750"/>
        <w:gridCol w:w="748"/>
        <w:gridCol w:w="1053"/>
      </w:tblGrid>
      <w:tr>
        <w:tblPrEx>
          <w:tblCellMar>
            <w:top w:w="0" w:type="dxa"/>
            <w:left w:w="108" w:type="dxa"/>
            <w:bottom w:w="0" w:type="dxa"/>
            <w:right w:w="108" w:type="dxa"/>
          </w:tblCellMar>
        </w:tblPrEx>
        <w:trPr>
          <w:trHeight w:val="540" w:hRule="atLeast"/>
        </w:trPr>
        <w:tc>
          <w:tcPr>
            <w:tcW w:w="9229" w:type="dxa"/>
            <w:gridSpan w:val="13"/>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kern w:val="0"/>
                <w:sz w:val="44"/>
                <w:szCs w:val="44"/>
              </w:rPr>
              <w:t>项目支出绩效目标自评表</w:t>
            </w:r>
          </w:p>
        </w:tc>
      </w:tr>
      <w:tr>
        <w:tblPrEx>
          <w:tblCellMar>
            <w:top w:w="0" w:type="dxa"/>
            <w:left w:w="108" w:type="dxa"/>
            <w:bottom w:w="0" w:type="dxa"/>
            <w:right w:w="108" w:type="dxa"/>
          </w:tblCellMar>
        </w:tblPrEx>
        <w:trPr>
          <w:trHeight w:val="285" w:hRule="atLeast"/>
        </w:trPr>
        <w:tc>
          <w:tcPr>
            <w:tcW w:w="9229" w:type="dxa"/>
            <w:gridSpan w:val="13"/>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w:t>
            </w:r>
            <w:r>
              <w:rPr>
                <w:color w:val="000000"/>
                <w:kern w:val="0"/>
                <w:sz w:val="24"/>
              </w:rPr>
              <w:t xml:space="preserve">         2021 </w:t>
            </w:r>
            <w:r>
              <w:rPr>
                <w:rFonts w:hint="eastAsia" w:ascii="宋体" w:hAnsi="宋体" w:cs="宋体"/>
                <w:color w:val="000000"/>
                <w:kern w:val="0"/>
                <w:sz w:val="24"/>
              </w:rPr>
              <w:t>年度）</w:t>
            </w:r>
          </w:p>
        </w:tc>
      </w:tr>
      <w:tr>
        <w:tblPrEx>
          <w:tblCellMar>
            <w:top w:w="0" w:type="dxa"/>
            <w:left w:w="108" w:type="dxa"/>
            <w:bottom w:w="0" w:type="dxa"/>
            <w:right w:w="108" w:type="dxa"/>
          </w:tblCellMar>
        </w:tblPrEx>
        <w:trPr>
          <w:trHeight w:val="285" w:hRule="atLeast"/>
        </w:trPr>
        <w:tc>
          <w:tcPr>
            <w:tcW w:w="2736" w:type="dxa"/>
            <w:gridSpan w:val="3"/>
            <w:tcBorders>
              <w:top w:val="nil"/>
              <w:left w:val="nil"/>
              <w:bottom w:val="nil"/>
              <w:right w:val="nil"/>
            </w:tcBorders>
            <w:shd w:val="clear" w:color="auto" w:fill="auto"/>
            <w:vAlign w:val="center"/>
          </w:tcPr>
          <w:p>
            <w:pPr>
              <w:jc w:val="center"/>
              <w:rPr>
                <w:rFonts w:ascii="宋体" w:hAnsi="宋体" w:cs="宋体"/>
                <w:color w:val="000000"/>
                <w:sz w:val="24"/>
              </w:rPr>
            </w:pPr>
          </w:p>
        </w:tc>
        <w:tc>
          <w:tcPr>
            <w:tcW w:w="1215" w:type="dxa"/>
            <w:gridSpan w:val="2"/>
            <w:tcBorders>
              <w:top w:val="nil"/>
              <w:left w:val="nil"/>
              <w:bottom w:val="nil"/>
              <w:right w:val="nil"/>
            </w:tcBorders>
            <w:shd w:val="clear" w:color="auto" w:fill="auto"/>
            <w:vAlign w:val="center"/>
          </w:tcPr>
          <w:p>
            <w:pPr>
              <w:jc w:val="center"/>
              <w:rPr>
                <w:rFonts w:ascii="宋体" w:hAnsi="宋体" w:cs="宋体"/>
                <w:color w:val="000000"/>
                <w:sz w:val="24"/>
              </w:rPr>
            </w:pPr>
          </w:p>
        </w:tc>
        <w:tc>
          <w:tcPr>
            <w:tcW w:w="236" w:type="dxa"/>
            <w:tcBorders>
              <w:top w:val="nil"/>
              <w:left w:val="nil"/>
              <w:bottom w:val="nil"/>
              <w:right w:val="nil"/>
            </w:tcBorders>
            <w:shd w:val="clear" w:color="auto" w:fill="auto"/>
            <w:vAlign w:val="center"/>
          </w:tcPr>
          <w:p>
            <w:pPr>
              <w:jc w:val="center"/>
              <w:rPr>
                <w:rFonts w:ascii="宋体" w:hAnsi="宋体" w:cs="宋体"/>
                <w:color w:val="000000"/>
                <w:sz w:val="24"/>
              </w:rPr>
            </w:pPr>
          </w:p>
        </w:tc>
        <w:tc>
          <w:tcPr>
            <w:tcW w:w="1774" w:type="dxa"/>
            <w:gridSpan w:val="2"/>
            <w:tcBorders>
              <w:top w:val="nil"/>
              <w:left w:val="nil"/>
              <w:bottom w:val="nil"/>
              <w:right w:val="nil"/>
            </w:tcBorders>
            <w:shd w:val="clear" w:color="auto" w:fill="auto"/>
            <w:vAlign w:val="center"/>
          </w:tcPr>
          <w:p>
            <w:pPr>
              <w:jc w:val="center"/>
              <w:rPr>
                <w:rFonts w:ascii="宋体" w:hAnsi="宋体" w:cs="宋体"/>
                <w:color w:val="000000"/>
                <w:sz w:val="24"/>
              </w:rPr>
            </w:pPr>
          </w:p>
        </w:tc>
        <w:tc>
          <w:tcPr>
            <w:tcW w:w="420" w:type="dxa"/>
            <w:tcBorders>
              <w:top w:val="nil"/>
              <w:left w:val="nil"/>
              <w:bottom w:val="nil"/>
              <w:right w:val="nil"/>
            </w:tcBorders>
            <w:shd w:val="clear" w:color="auto" w:fill="auto"/>
            <w:vAlign w:val="center"/>
          </w:tcPr>
          <w:p>
            <w:pPr>
              <w:jc w:val="center"/>
              <w:rPr>
                <w:rFonts w:ascii="宋体" w:hAnsi="宋体" w:cs="宋体"/>
                <w:color w:val="000000"/>
                <w:sz w:val="24"/>
              </w:rPr>
            </w:pPr>
          </w:p>
        </w:tc>
        <w:tc>
          <w:tcPr>
            <w:tcW w:w="1047" w:type="dxa"/>
            <w:gridSpan w:val="2"/>
            <w:tcBorders>
              <w:top w:val="nil"/>
              <w:left w:val="nil"/>
              <w:bottom w:val="nil"/>
              <w:right w:val="nil"/>
            </w:tcBorders>
            <w:shd w:val="clear" w:color="auto" w:fill="auto"/>
            <w:vAlign w:val="center"/>
          </w:tcPr>
          <w:p>
            <w:pPr>
              <w:jc w:val="center"/>
              <w:rPr>
                <w:rFonts w:ascii="宋体" w:hAnsi="宋体" w:cs="宋体"/>
                <w:color w:val="000000"/>
                <w:sz w:val="24"/>
              </w:rPr>
            </w:pPr>
          </w:p>
        </w:tc>
        <w:tc>
          <w:tcPr>
            <w:tcW w:w="748" w:type="dxa"/>
            <w:tcBorders>
              <w:top w:val="nil"/>
              <w:left w:val="nil"/>
              <w:bottom w:val="nil"/>
              <w:right w:val="nil"/>
            </w:tcBorders>
            <w:shd w:val="clear" w:color="auto" w:fill="auto"/>
            <w:vAlign w:val="center"/>
          </w:tcPr>
          <w:p>
            <w:pPr>
              <w:jc w:val="center"/>
              <w:rPr>
                <w:rFonts w:ascii="宋体" w:hAnsi="宋体" w:cs="宋体"/>
                <w:color w:val="000000"/>
                <w:sz w:val="24"/>
              </w:rPr>
            </w:pPr>
          </w:p>
        </w:tc>
        <w:tc>
          <w:tcPr>
            <w:tcW w:w="1053" w:type="dxa"/>
            <w:tcBorders>
              <w:top w:val="nil"/>
              <w:left w:val="nil"/>
              <w:bottom w:val="nil"/>
              <w:right w:val="nil"/>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270" w:hRule="atLeast"/>
        </w:trPr>
        <w:tc>
          <w:tcPr>
            <w:tcW w:w="5961" w:type="dxa"/>
            <w:gridSpan w:val="8"/>
            <w:tcBorders>
              <w:top w:val="nil"/>
              <w:left w:val="nil"/>
              <w:bottom w:val="single" w:color="000000" w:sz="4" w:space="0"/>
              <w:right w:val="nil"/>
            </w:tcBorders>
            <w:shd w:val="clear" w:color="auto" w:fill="auto"/>
            <w:noWrap/>
            <w:vAlign w:val="center"/>
          </w:tcPr>
          <w:p>
            <w:pPr>
              <w:rPr>
                <w:rFonts w:ascii="宋体" w:hAnsi="宋体" w:cs="宋体"/>
                <w:color w:val="000000"/>
                <w:sz w:val="22"/>
                <w:szCs w:val="22"/>
              </w:rPr>
            </w:pPr>
            <w:r>
              <w:rPr>
                <w:rFonts w:hint="eastAsia" w:ascii="仿宋" w:hAnsi="仿宋" w:eastAsia="仿宋" w:cs="宋体"/>
                <w:color w:val="000000"/>
                <w:kern w:val="0"/>
                <w:szCs w:val="21"/>
              </w:rPr>
              <w:t>注：项目支出包括部门预算支出和专项预算支出</w:t>
            </w:r>
          </w:p>
        </w:tc>
        <w:tc>
          <w:tcPr>
            <w:tcW w:w="420" w:type="dxa"/>
            <w:tcBorders>
              <w:top w:val="nil"/>
              <w:left w:val="nil"/>
              <w:bottom w:val="nil"/>
              <w:right w:val="nil"/>
            </w:tcBorders>
            <w:shd w:val="clear" w:color="auto" w:fill="auto"/>
            <w:vAlign w:val="center"/>
          </w:tcPr>
          <w:p>
            <w:pPr>
              <w:rPr>
                <w:rFonts w:ascii="宋体" w:hAnsi="宋体" w:cs="宋体"/>
                <w:color w:val="000000"/>
                <w:sz w:val="22"/>
                <w:szCs w:val="22"/>
              </w:rPr>
            </w:pPr>
          </w:p>
        </w:tc>
        <w:tc>
          <w:tcPr>
            <w:tcW w:w="1047" w:type="dxa"/>
            <w:gridSpan w:val="2"/>
            <w:tcBorders>
              <w:top w:val="nil"/>
              <w:left w:val="nil"/>
              <w:bottom w:val="nil"/>
              <w:right w:val="nil"/>
            </w:tcBorders>
            <w:shd w:val="clear" w:color="auto" w:fill="auto"/>
            <w:vAlign w:val="center"/>
          </w:tcPr>
          <w:p>
            <w:pPr>
              <w:rPr>
                <w:rFonts w:ascii="宋体" w:hAnsi="宋体" w:cs="宋体"/>
                <w:color w:val="000000"/>
                <w:sz w:val="22"/>
                <w:szCs w:val="22"/>
              </w:rPr>
            </w:pPr>
          </w:p>
        </w:tc>
        <w:tc>
          <w:tcPr>
            <w:tcW w:w="748" w:type="dxa"/>
            <w:tcBorders>
              <w:top w:val="nil"/>
              <w:left w:val="nil"/>
              <w:bottom w:val="nil"/>
              <w:right w:val="nil"/>
            </w:tcBorders>
            <w:shd w:val="clear" w:color="auto" w:fill="auto"/>
            <w:vAlign w:val="center"/>
          </w:tcPr>
          <w:p>
            <w:pPr>
              <w:rPr>
                <w:rFonts w:ascii="宋体" w:hAnsi="宋体" w:cs="宋体"/>
                <w:color w:val="000000"/>
                <w:sz w:val="22"/>
                <w:szCs w:val="22"/>
              </w:rPr>
            </w:pPr>
          </w:p>
        </w:tc>
        <w:tc>
          <w:tcPr>
            <w:tcW w:w="1053" w:type="dxa"/>
            <w:tcBorders>
              <w:top w:val="nil"/>
              <w:left w:val="nil"/>
              <w:bottom w:val="nil"/>
              <w:right w:val="nil"/>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3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项目名称</w:t>
            </w:r>
          </w:p>
        </w:tc>
        <w:tc>
          <w:tcPr>
            <w:tcW w:w="56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各项税款</w:t>
            </w:r>
          </w:p>
        </w:tc>
      </w:tr>
      <w:tr>
        <w:tblPrEx>
          <w:tblCellMar>
            <w:top w:w="0" w:type="dxa"/>
            <w:left w:w="108" w:type="dxa"/>
            <w:bottom w:w="0" w:type="dxa"/>
            <w:right w:w="108" w:type="dxa"/>
          </w:tblCellMar>
        </w:tblPrEx>
        <w:trPr>
          <w:trHeight w:val="360" w:hRule="atLeast"/>
        </w:trPr>
        <w:tc>
          <w:tcPr>
            <w:tcW w:w="3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主管单位</w:t>
            </w:r>
          </w:p>
        </w:tc>
        <w:tc>
          <w:tcPr>
            <w:tcW w:w="1559" w:type="dxa"/>
            <w:gridSpan w:val="3"/>
            <w:tcBorders>
              <w:top w:val="single" w:color="000000" w:sz="4" w:space="0"/>
              <w:left w:val="single" w:color="000000" w:sz="4" w:space="0"/>
              <w:bottom w:val="single" w:color="000000" w:sz="4" w:space="0"/>
              <w:right w:val="nil"/>
            </w:tcBorders>
            <w:shd w:val="clear" w:color="auto" w:fill="auto"/>
            <w:vAlign w:val="center"/>
          </w:tcPr>
          <w:p>
            <w:pPr>
              <w:spacing w:line="240" w:lineRule="exact"/>
              <w:jc w:val="center"/>
              <w:rPr>
                <w:rFonts w:ascii="仿宋" w:hAnsi="仿宋" w:eastAsia="仿宋" w:cs="宋体"/>
                <w:color w:val="000000"/>
                <w:szCs w:val="21"/>
              </w:rPr>
            </w:pP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实施单位</w:t>
            </w:r>
          </w:p>
        </w:tc>
        <w:tc>
          <w:tcPr>
            <w:tcW w:w="2551"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广元市交通技工学校</w:t>
            </w:r>
          </w:p>
        </w:tc>
      </w:tr>
      <w:tr>
        <w:tblPrEx>
          <w:tblCellMar>
            <w:top w:w="0" w:type="dxa"/>
            <w:left w:w="108" w:type="dxa"/>
            <w:bottom w:w="0" w:type="dxa"/>
            <w:right w:w="108" w:type="dxa"/>
          </w:tblCellMar>
        </w:tblPrEx>
        <w:trPr>
          <w:trHeight w:val="360"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预算</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执行</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情况</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（万元）</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预算数：</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8</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执行数：</w:t>
            </w:r>
          </w:p>
        </w:tc>
        <w:tc>
          <w:tcPr>
            <w:tcW w:w="2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0</w:t>
            </w:r>
          </w:p>
        </w:tc>
      </w:tr>
      <w:tr>
        <w:tblPrEx>
          <w:tblCellMar>
            <w:top w:w="0" w:type="dxa"/>
            <w:left w:w="108" w:type="dxa"/>
            <w:bottom w:w="0" w:type="dxa"/>
            <w:right w:w="108" w:type="dxa"/>
          </w:tblCellMar>
        </w:tblPrEx>
        <w:trPr>
          <w:trHeight w:val="400"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宋体"/>
                <w:color w:val="000000"/>
                <w:szCs w:val="21"/>
              </w:rPr>
            </w:pP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其中：财政拨款</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8</w:t>
            </w:r>
          </w:p>
        </w:tc>
        <w:tc>
          <w:tcPr>
            <w:tcW w:w="1560" w:type="dxa"/>
            <w:gridSpan w:val="3"/>
            <w:tcBorders>
              <w:top w:val="single" w:color="000000" w:sz="4" w:space="0"/>
              <w:left w:val="nil"/>
              <w:bottom w:val="nil"/>
              <w:right w:val="single" w:color="000000" w:sz="4" w:space="0"/>
            </w:tcBorders>
            <w:shd w:val="clear" w:color="auto" w:fill="auto"/>
            <w:vAlign w:val="center"/>
          </w:tcPr>
          <w:p>
            <w:pPr>
              <w:widowControl/>
              <w:spacing w:line="240" w:lineRule="exact"/>
              <w:ind w:left="-107" w:leftChars="-51"/>
              <w:jc w:val="right"/>
              <w:textAlignment w:val="center"/>
              <w:rPr>
                <w:rFonts w:ascii="仿宋" w:hAnsi="仿宋" w:eastAsia="仿宋" w:cs="宋体"/>
                <w:color w:val="000000"/>
                <w:szCs w:val="21"/>
              </w:rPr>
            </w:pPr>
            <w:r>
              <w:rPr>
                <w:rFonts w:hint="eastAsia" w:ascii="仿宋" w:hAnsi="仿宋" w:eastAsia="仿宋" w:cs="宋体"/>
                <w:color w:val="000000"/>
                <w:kern w:val="0"/>
                <w:szCs w:val="21"/>
              </w:rPr>
              <w:t>其中：财政拨款</w:t>
            </w:r>
          </w:p>
        </w:tc>
        <w:tc>
          <w:tcPr>
            <w:tcW w:w="2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0</w:t>
            </w:r>
          </w:p>
        </w:tc>
      </w:tr>
      <w:tr>
        <w:tblPrEx>
          <w:tblCellMar>
            <w:top w:w="0" w:type="dxa"/>
            <w:left w:w="108" w:type="dxa"/>
            <w:bottom w:w="0" w:type="dxa"/>
            <w:right w:w="108" w:type="dxa"/>
          </w:tblCellMar>
        </w:tblPrEx>
        <w:trPr>
          <w:trHeight w:val="401"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宋体"/>
                <w:color w:val="000000"/>
                <w:szCs w:val="21"/>
              </w:rPr>
            </w:pP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其他资金</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宋体"/>
                <w:color w:val="000000"/>
                <w:szCs w:val="21"/>
              </w:rPr>
            </w:pPr>
          </w:p>
        </w:tc>
        <w:tc>
          <w:tcPr>
            <w:tcW w:w="1560" w:type="dxa"/>
            <w:gridSpan w:val="3"/>
            <w:tcBorders>
              <w:top w:val="single" w:color="000000" w:sz="4" w:space="0"/>
              <w:left w:val="nil"/>
              <w:bottom w:val="nil"/>
              <w:right w:val="single" w:color="000000"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其他资金</w:t>
            </w:r>
          </w:p>
        </w:tc>
        <w:tc>
          <w:tcPr>
            <w:tcW w:w="2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right"/>
              <w:rPr>
                <w:rFonts w:ascii="仿宋" w:hAnsi="仿宋" w:eastAsia="仿宋" w:cs="宋体"/>
                <w:color w:val="000000"/>
                <w:szCs w:val="21"/>
              </w:rPr>
            </w:pPr>
          </w:p>
        </w:tc>
      </w:tr>
      <w:tr>
        <w:tblPrEx>
          <w:tblCellMar>
            <w:top w:w="0" w:type="dxa"/>
            <w:left w:w="108" w:type="dxa"/>
            <w:bottom w:w="0" w:type="dxa"/>
            <w:right w:w="108" w:type="dxa"/>
          </w:tblCellMar>
        </w:tblPrEx>
        <w:trPr>
          <w:trHeight w:val="425"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年度</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目标</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完成</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情况</w:t>
            </w:r>
          </w:p>
        </w:tc>
        <w:tc>
          <w:tcPr>
            <w:tcW w:w="39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预期目标</w:t>
            </w:r>
          </w:p>
        </w:tc>
        <w:tc>
          <w:tcPr>
            <w:tcW w:w="41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实际完成目标</w:t>
            </w:r>
          </w:p>
        </w:tc>
      </w:tr>
      <w:tr>
        <w:tblPrEx>
          <w:tblCellMar>
            <w:top w:w="0" w:type="dxa"/>
            <w:left w:w="108" w:type="dxa"/>
            <w:bottom w:w="0" w:type="dxa"/>
            <w:right w:w="108" w:type="dxa"/>
          </w:tblCellMar>
        </w:tblPrEx>
        <w:trPr>
          <w:trHeight w:val="590" w:hRule="atLeast"/>
        </w:trPr>
        <w:tc>
          <w:tcPr>
            <w:tcW w:w="114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 w:hAnsi="仿宋" w:eastAsia="仿宋" w:cs="宋体"/>
                <w:color w:val="000000"/>
                <w:szCs w:val="21"/>
              </w:rPr>
            </w:pPr>
          </w:p>
        </w:tc>
        <w:tc>
          <w:tcPr>
            <w:tcW w:w="3969" w:type="dxa"/>
            <w:gridSpan w:val="6"/>
            <w:tcBorders>
              <w:top w:val="single" w:color="000000" w:sz="4" w:space="0"/>
              <w:left w:val="single" w:color="000000" w:sz="4" w:space="0"/>
              <w:bottom w:val="single" w:color="auto" w:sz="4" w:space="0"/>
              <w:right w:val="single" w:color="000000" w:sz="4" w:space="0"/>
            </w:tcBorders>
            <w:shd w:val="clear" w:color="auto" w:fill="auto"/>
          </w:tcPr>
          <w:p>
            <w:pPr>
              <w:widowControl/>
              <w:spacing w:line="240" w:lineRule="exact"/>
              <w:jc w:val="left"/>
              <w:textAlignment w:val="top"/>
              <w:rPr>
                <w:rFonts w:ascii="仿宋" w:hAnsi="仿宋" w:eastAsia="仿宋" w:cs="宋体"/>
                <w:color w:val="000000"/>
                <w:szCs w:val="21"/>
              </w:rPr>
            </w:pPr>
            <w:r>
              <w:rPr>
                <w:rFonts w:hint="eastAsia" w:ascii="仿宋" w:hAnsi="仿宋" w:eastAsia="仿宋" w:cs="宋体"/>
                <w:color w:val="000000"/>
                <w:kern w:val="0"/>
                <w:szCs w:val="21"/>
              </w:rPr>
              <w:t>完成房租出租收入124万元，依据税法相关规定应缴纳各项税款8万元。</w:t>
            </w:r>
          </w:p>
        </w:tc>
        <w:tc>
          <w:tcPr>
            <w:tcW w:w="4111" w:type="dxa"/>
            <w:gridSpan w:val="6"/>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exact"/>
              <w:jc w:val="left"/>
              <w:textAlignment w:val="top"/>
              <w:rPr>
                <w:rFonts w:ascii="仿宋" w:hAnsi="仿宋" w:eastAsia="仿宋" w:cs="宋体"/>
                <w:color w:val="000000"/>
                <w:szCs w:val="21"/>
              </w:rPr>
            </w:pPr>
          </w:p>
        </w:tc>
      </w:tr>
      <w:tr>
        <w:tblPrEx>
          <w:tblCellMar>
            <w:top w:w="0" w:type="dxa"/>
            <w:left w:w="108" w:type="dxa"/>
            <w:bottom w:w="0" w:type="dxa"/>
            <w:right w:w="108" w:type="dxa"/>
          </w:tblCellMar>
        </w:tblPrEx>
        <w:trPr>
          <w:trHeight w:val="1060"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年度</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绩效</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完成</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情况</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一级指标</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二级指标</w:t>
            </w:r>
          </w:p>
        </w:tc>
        <w:tc>
          <w:tcPr>
            <w:tcW w:w="15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三级指标</w:t>
            </w:r>
          </w:p>
        </w:tc>
        <w:tc>
          <w:tcPr>
            <w:tcW w:w="15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指标值（包含数字及文字描述）</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实际完成指标值（包含数字及文字描述）</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未完成原因及改进措施</w:t>
            </w:r>
          </w:p>
        </w:tc>
      </w:tr>
      <w:tr>
        <w:tblPrEx>
          <w:tblCellMar>
            <w:top w:w="0" w:type="dxa"/>
            <w:left w:w="108" w:type="dxa"/>
            <w:bottom w:w="0" w:type="dxa"/>
            <w:right w:w="108" w:type="dxa"/>
          </w:tblCellMar>
        </w:tblPrEx>
        <w:trPr>
          <w:trHeight w:val="820" w:hRule="atLeast"/>
        </w:trPr>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项目完成指标</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数量指标</w:t>
            </w:r>
          </w:p>
        </w:tc>
        <w:tc>
          <w:tcPr>
            <w:tcW w:w="15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指标1：完成房租收入124万</w:t>
            </w:r>
          </w:p>
        </w:tc>
        <w:tc>
          <w:tcPr>
            <w:tcW w:w="15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税款8万元</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完成所有收入，全部上缴财政。但税款未上缴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480" w:hRule="atLeast"/>
        </w:trPr>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质量指标</w:t>
            </w:r>
          </w:p>
        </w:tc>
        <w:tc>
          <w:tcPr>
            <w:tcW w:w="15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w:t>
            </w:r>
          </w:p>
        </w:tc>
        <w:tc>
          <w:tcPr>
            <w:tcW w:w="15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宋体"/>
                <w:color w:val="000000"/>
                <w:szCs w:val="21"/>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480" w:hRule="atLeast"/>
        </w:trPr>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时效指标</w:t>
            </w:r>
          </w:p>
        </w:tc>
        <w:tc>
          <w:tcPr>
            <w:tcW w:w="15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指标1：完成时间</w:t>
            </w:r>
          </w:p>
        </w:tc>
        <w:tc>
          <w:tcPr>
            <w:tcW w:w="15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2021年12月底</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2021年12月底</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480" w:hRule="atLeast"/>
        </w:trPr>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成本指标</w:t>
            </w:r>
          </w:p>
        </w:tc>
        <w:tc>
          <w:tcPr>
            <w:tcW w:w="15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w:t>
            </w:r>
          </w:p>
        </w:tc>
        <w:tc>
          <w:tcPr>
            <w:tcW w:w="15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宋体"/>
                <w:color w:val="000000"/>
                <w:szCs w:val="21"/>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570" w:hRule="atLeast"/>
        </w:trPr>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项目效果指标</w:t>
            </w: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经济效益</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15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指标1：完成非税收入，增加财政</w:t>
            </w:r>
          </w:p>
        </w:tc>
        <w:tc>
          <w:tcPr>
            <w:tcW w:w="15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完成率100%</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完成率100%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480" w:hRule="atLeast"/>
        </w:trPr>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5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指标2：</w:t>
            </w:r>
          </w:p>
        </w:tc>
        <w:tc>
          <w:tcPr>
            <w:tcW w:w="15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宋体"/>
                <w:color w:val="000000"/>
                <w:szCs w:val="21"/>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宋体"/>
                <w:color w:val="000000"/>
                <w:szCs w:val="21"/>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480" w:hRule="atLeast"/>
        </w:trPr>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5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w:t>
            </w:r>
          </w:p>
        </w:tc>
        <w:tc>
          <w:tcPr>
            <w:tcW w:w="15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宋体"/>
                <w:color w:val="000000"/>
                <w:szCs w:val="21"/>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宋体"/>
                <w:color w:val="000000"/>
                <w:szCs w:val="21"/>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840" w:hRule="atLeast"/>
        </w:trPr>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社会效益</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15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指标1：依法纳税，助力经济建设</w:t>
            </w:r>
          </w:p>
        </w:tc>
        <w:tc>
          <w:tcPr>
            <w:tcW w:w="15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完成率100%</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完成率100%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702" w:hRule="atLeast"/>
        </w:trPr>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生态效益</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15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w:t>
            </w:r>
          </w:p>
        </w:tc>
        <w:tc>
          <w:tcPr>
            <w:tcW w:w="15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宋体"/>
                <w:color w:val="000000"/>
                <w:szCs w:val="21"/>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619" w:hRule="atLeast"/>
        </w:trPr>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可持续影响</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15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w:t>
            </w:r>
          </w:p>
        </w:tc>
        <w:tc>
          <w:tcPr>
            <w:tcW w:w="15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宋体"/>
                <w:color w:val="000000"/>
                <w:szCs w:val="21"/>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720" w:hRule="atLeast"/>
        </w:trPr>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满意度</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满意度指标</w:t>
            </w:r>
          </w:p>
        </w:tc>
        <w:tc>
          <w:tcPr>
            <w:tcW w:w="15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指标1：服务对象满意度</w:t>
            </w:r>
          </w:p>
        </w:tc>
        <w:tc>
          <w:tcPr>
            <w:tcW w:w="15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≥98％</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bl>
    <w:p>
      <w:pPr>
        <w:widowControl/>
        <w:jc w:val="left"/>
        <w:rPr>
          <w:rFonts w:ascii="仿宋" w:hAnsi="仿宋" w:eastAsia="仿宋"/>
          <w:kern w:val="0"/>
          <w:sz w:val="32"/>
          <w:szCs w:val="32"/>
        </w:rPr>
      </w:pPr>
      <w:r>
        <w:rPr>
          <w:rFonts w:ascii="仿宋" w:hAnsi="仿宋" w:eastAsia="仿宋"/>
          <w:sz w:val="32"/>
          <w:szCs w:val="32"/>
        </w:rPr>
        <w:br w:type="page"/>
      </w:r>
    </w:p>
    <w:p>
      <w:pPr>
        <w:pStyle w:val="2"/>
        <w:spacing w:before="93"/>
        <w:rPr>
          <w:rFonts w:ascii="仿宋" w:hAnsi="仿宋" w:eastAsia="仿宋"/>
          <w:sz w:val="32"/>
          <w:szCs w:val="32"/>
        </w:rPr>
      </w:pPr>
    </w:p>
    <w:p>
      <w:pPr>
        <w:spacing w:line="576" w:lineRule="exact"/>
        <w:jc w:val="center"/>
        <w:rPr>
          <w:rFonts w:ascii="方正小标宋简体" w:hAnsi="仿宋" w:eastAsia="方正小标宋简体"/>
          <w:sz w:val="44"/>
        </w:rPr>
      </w:pPr>
      <w:r>
        <w:rPr>
          <w:rFonts w:hint="eastAsia" w:ascii="方正小标宋简体" w:hAnsi="仿宋" w:eastAsia="方正小标宋简体"/>
          <w:sz w:val="44"/>
        </w:rPr>
        <w:t>广元市交通技工学校</w:t>
      </w:r>
    </w:p>
    <w:p>
      <w:pPr>
        <w:spacing w:line="576" w:lineRule="exact"/>
        <w:jc w:val="center"/>
        <w:rPr>
          <w:rFonts w:ascii="方正小标宋简体" w:hAnsi="仿宋" w:eastAsia="方正小标宋简体"/>
          <w:sz w:val="44"/>
        </w:rPr>
      </w:pPr>
      <w:r>
        <w:rPr>
          <w:rFonts w:hint="eastAsia" w:ascii="方正小标宋简体" w:hAnsi="仿宋" w:eastAsia="方正小标宋简体"/>
          <w:sz w:val="44"/>
        </w:rPr>
        <w:t>扶贫工作经费项目支出</w:t>
      </w:r>
    </w:p>
    <w:p>
      <w:pPr>
        <w:spacing w:line="576" w:lineRule="exact"/>
        <w:jc w:val="center"/>
        <w:rPr>
          <w:rFonts w:ascii="方正小标宋简体" w:hAnsi="仿宋" w:eastAsia="方正小标宋简体"/>
          <w:sz w:val="44"/>
        </w:rPr>
      </w:pPr>
      <w:r>
        <w:rPr>
          <w:rFonts w:hint="eastAsia" w:ascii="方正小标宋简体" w:hAnsi="仿宋" w:eastAsia="方正小标宋简体"/>
          <w:sz w:val="44"/>
        </w:rPr>
        <w:t>绩效自评报告</w:t>
      </w:r>
    </w:p>
    <w:p>
      <w:pPr>
        <w:spacing w:line="576" w:lineRule="exact"/>
        <w:ind w:firstLine="2420" w:firstLineChars="550"/>
        <w:rPr>
          <w:rFonts w:ascii="方正小标宋简体" w:hAnsi="仿宋" w:eastAsia="方正小标宋简体"/>
          <w:sz w:val="44"/>
        </w:rPr>
      </w:pPr>
    </w:p>
    <w:p>
      <w:pPr>
        <w:adjustRightInd w:val="0"/>
        <w:snapToGrid w:val="0"/>
        <w:spacing w:line="540" w:lineRule="exact"/>
        <w:ind w:firstLine="600" w:firstLineChars="200"/>
        <w:rPr>
          <w:rFonts w:ascii="黑体" w:hAnsi="宋体" w:eastAsia="黑体"/>
          <w:sz w:val="30"/>
          <w:szCs w:val="30"/>
          <w:lang w:val="zh-CN"/>
        </w:rPr>
      </w:pPr>
      <w:r>
        <w:rPr>
          <w:rFonts w:hint="eastAsia" w:ascii="黑体" w:hAnsi="宋体" w:eastAsia="黑体"/>
          <w:sz w:val="30"/>
          <w:szCs w:val="30"/>
        </w:rPr>
        <w:t>一、</w:t>
      </w:r>
      <w:r>
        <w:rPr>
          <w:rFonts w:hint="eastAsia" w:ascii="黑体" w:hAnsi="宋体" w:eastAsia="黑体"/>
          <w:sz w:val="30"/>
          <w:szCs w:val="30"/>
          <w:lang w:val="zh-CN"/>
        </w:rPr>
        <w:t>项目概况</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（一）项目基本情况</w:t>
      </w:r>
    </w:p>
    <w:p>
      <w:pPr>
        <w:adjustRightInd w:val="0"/>
        <w:snapToGrid w:val="0"/>
        <w:spacing w:line="540" w:lineRule="exact"/>
        <w:ind w:firstLine="600" w:firstLineChars="200"/>
        <w:rPr>
          <w:rFonts w:ascii="仿宋_GB2312" w:hAnsi="宋体"/>
          <w:sz w:val="30"/>
          <w:szCs w:val="30"/>
          <w:lang w:val="zh-CN"/>
        </w:rPr>
      </w:pPr>
      <w:r>
        <w:rPr>
          <w:rFonts w:hint="eastAsia" w:ascii="仿宋_GB2312" w:hAnsi="宋体"/>
          <w:sz w:val="30"/>
          <w:szCs w:val="30"/>
          <w:lang w:val="zh-CN"/>
        </w:rPr>
        <w:t>扶贫工作是党中央、国务院的一项重要战略部署。为坚决落实市委脱贫攻坚工作部署，我校领导深入帮扶村指导开展脱贫攻坚工作，选派一名党员干部对白山乡84户贫困户开展精准脱贫，为帮助贫困户解决生活困难、开展生产，贯彻落实好扶贫工作。</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（二）项目绩效目标</w:t>
      </w:r>
    </w:p>
    <w:p>
      <w:pPr>
        <w:adjustRightInd w:val="0"/>
        <w:snapToGrid w:val="0"/>
        <w:spacing w:line="540" w:lineRule="exact"/>
        <w:ind w:firstLine="600" w:firstLineChars="200"/>
        <w:rPr>
          <w:rFonts w:ascii="仿宋_GB2312" w:hAnsi="宋体"/>
          <w:sz w:val="30"/>
          <w:szCs w:val="30"/>
          <w:lang w:val="zh-CN"/>
        </w:rPr>
      </w:pPr>
      <w:r>
        <w:rPr>
          <w:rFonts w:hint="eastAsia" w:ascii="仿宋_GB2312" w:hAnsi="宋体"/>
          <w:sz w:val="30"/>
          <w:szCs w:val="30"/>
          <w:lang w:val="zh-CN"/>
        </w:rPr>
        <w:t>1．项目主要内容。</w:t>
      </w:r>
    </w:p>
    <w:p>
      <w:pPr>
        <w:adjustRightInd w:val="0"/>
        <w:snapToGrid w:val="0"/>
        <w:spacing w:line="540" w:lineRule="exact"/>
        <w:ind w:firstLine="600" w:firstLineChars="200"/>
        <w:rPr>
          <w:rFonts w:ascii="仿宋_GB2312" w:hAnsi="宋体"/>
          <w:sz w:val="30"/>
          <w:szCs w:val="30"/>
          <w:lang w:val="zh-CN"/>
        </w:rPr>
      </w:pPr>
      <w:r>
        <w:rPr>
          <w:sz w:val="30"/>
          <w:szCs w:val="30"/>
        </w:rPr>
        <w:t>202</w:t>
      </w:r>
      <w:r>
        <w:rPr>
          <w:rFonts w:hint="eastAsia"/>
          <w:sz w:val="30"/>
          <w:szCs w:val="30"/>
        </w:rPr>
        <w:t>1</w:t>
      </w:r>
      <w:r>
        <w:rPr>
          <w:sz w:val="30"/>
          <w:szCs w:val="30"/>
        </w:rPr>
        <w:t>年扶贫工作经费主要用于扶贫工作办公、会议培训、差旅、扶贫工作宣传、驻村工作队员补助、办公设备购置等开支</w:t>
      </w:r>
      <w:r>
        <w:rPr>
          <w:rFonts w:hint="eastAsia"/>
          <w:sz w:val="30"/>
          <w:szCs w:val="30"/>
        </w:rPr>
        <w:t>。</w:t>
      </w:r>
    </w:p>
    <w:p>
      <w:pPr>
        <w:adjustRightInd w:val="0"/>
        <w:snapToGrid w:val="0"/>
        <w:spacing w:line="540" w:lineRule="exact"/>
        <w:ind w:firstLine="600" w:firstLineChars="200"/>
        <w:rPr>
          <w:rFonts w:ascii="仿宋_GB2312" w:hAnsi="宋体"/>
          <w:sz w:val="30"/>
          <w:szCs w:val="30"/>
          <w:lang w:val="zh-CN"/>
        </w:rPr>
      </w:pPr>
      <w:r>
        <w:rPr>
          <w:rFonts w:hint="eastAsia" w:ascii="仿宋_GB2312" w:hAnsi="宋体"/>
          <w:sz w:val="30"/>
          <w:szCs w:val="30"/>
          <w:lang w:val="zh-CN"/>
        </w:rPr>
        <w:t>2．项目应实现的具体绩效目标。</w:t>
      </w:r>
    </w:p>
    <w:p>
      <w:pPr>
        <w:adjustRightInd w:val="0"/>
        <w:snapToGrid w:val="0"/>
        <w:spacing w:line="540" w:lineRule="exact"/>
        <w:ind w:firstLine="600" w:firstLineChars="200"/>
        <w:rPr>
          <w:rFonts w:ascii="仿宋_GB2312" w:hAnsi="宋体"/>
          <w:sz w:val="30"/>
          <w:szCs w:val="30"/>
          <w:lang w:val="zh-CN"/>
        </w:rPr>
      </w:pPr>
      <w:r>
        <w:rPr>
          <w:sz w:val="30"/>
          <w:szCs w:val="30"/>
        </w:rPr>
        <w:t>202</w:t>
      </w:r>
      <w:r>
        <w:rPr>
          <w:rFonts w:hint="eastAsia"/>
          <w:sz w:val="30"/>
          <w:szCs w:val="30"/>
        </w:rPr>
        <w:t>1</w:t>
      </w:r>
      <w:r>
        <w:rPr>
          <w:sz w:val="30"/>
          <w:szCs w:val="30"/>
        </w:rPr>
        <w:t>年</w:t>
      </w:r>
      <w:r>
        <w:rPr>
          <w:rFonts w:hint="eastAsia"/>
          <w:sz w:val="30"/>
          <w:szCs w:val="30"/>
        </w:rPr>
        <w:t>我校</w:t>
      </w:r>
      <w:r>
        <w:rPr>
          <w:sz w:val="30"/>
          <w:szCs w:val="30"/>
        </w:rPr>
        <w:t>利用扶贫工作经、办公耗材、驻村工作队员补助、会议培训等费用，共支付了</w:t>
      </w:r>
      <w:r>
        <w:rPr>
          <w:rFonts w:hint="eastAsia"/>
          <w:sz w:val="30"/>
          <w:szCs w:val="30"/>
        </w:rPr>
        <w:t>0.75</w:t>
      </w:r>
      <w:r>
        <w:rPr>
          <w:sz w:val="30"/>
          <w:szCs w:val="30"/>
        </w:rPr>
        <w:t>万元。</w:t>
      </w:r>
    </w:p>
    <w:p>
      <w:pPr>
        <w:adjustRightInd w:val="0"/>
        <w:snapToGrid w:val="0"/>
        <w:spacing w:line="540" w:lineRule="exact"/>
        <w:ind w:firstLine="600" w:firstLineChars="200"/>
        <w:rPr>
          <w:rFonts w:ascii="仿宋_GB2312" w:hAnsi="宋体"/>
          <w:sz w:val="30"/>
          <w:szCs w:val="30"/>
          <w:lang w:val="zh-CN"/>
        </w:rPr>
      </w:pPr>
      <w:r>
        <w:rPr>
          <w:rFonts w:hint="eastAsia" w:ascii="仿宋_GB2312" w:hAnsi="宋体"/>
          <w:sz w:val="30"/>
          <w:szCs w:val="30"/>
          <w:lang w:val="zh-CN"/>
        </w:rPr>
        <w:t>3．评价申报内容是与实际相符，申报目标合理可行。</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（三）项目自评步骤及方法</w:t>
      </w:r>
    </w:p>
    <w:p>
      <w:pPr>
        <w:adjustRightInd w:val="0"/>
        <w:snapToGrid w:val="0"/>
        <w:spacing w:line="540" w:lineRule="exact"/>
        <w:ind w:firstLine="600" w:firstLineChars="200"/>
        <w:rPr>
          <w:rFonts w:ascii="楷体_GB2312" w:hAnsi="宋体" w:eastAsia="楷体_GB2312"/>
          <w:sz w:val="30"/>
          <w:szCs w:val="30"/>
          <w:lang w:val="zh-CN"/>
        </w:rPr>
      </w:pPr>
      <w:r>
        <w:rPr>
          <w:sz w:val="30"/>
          <w:szCs w:val="30"/>
        </w:rPr>
        <w:t>我</w:t>
      </w:r>
      <w:r>
        <w:rPr>
          <w:rFonts w:hint="eastAsia"/>
          <w:sz w:val="30"/>
          <w:szCs w:val="30"/>
        </w:rPr>
        <w:t>校</w:t>
      </w:r>
      <w:r>
        <w:rPr>
          <w:sz w:val="30"/>
          <w:szCs w:val="30"/>
        </w:rPr>
        <w:t>成立了绩效评价工作组，采取走访和集中讨论等形式对项目绩效进行总结评价，</w:t>
      </w:r>
      <w:r>
        <w:rPr>
          <w:rFonts w:hint="eastAsia"/>
          <w:sz w:val="30"/>
          <w:szCs w:val="30"/>
        </w:rPr>
        <w:t>并</w:t>
      </w:r>
      <w:r>
        <w:rPr>
          <w:sz w:val="30"/>
          <w:szCs w:val="30"/>
        </w:rPr>
        <w:t>完成了自评。</w:t>
      </w:r>
    </w:p>
    <w:p>
      <w:pPr>
        <w:adjustRightInd w:val="0"/>
        <w:snapToGrid w:val="0"/>
        <w:spacing w:line="540" w:lineRule="exact"/>
        <w:ind w:firstLine="600" w:firstLineChars="200"/>
        <w:rPr>
          <w:rFonts w:ascii="黑体" w:hAnsi="宋体" w:eastAsia="黑体"/>
          <w:sz w:val="30"/>
          <w:szCs w:val="30"/>
        </w:rPr>
      </w:pPr>
      <w:r>
        <w:rPr>
          <w:rFonts w:hint="eastAsia" w:ascii="黑体" w:hAnsi="宋体" w:eastAsia="黑体"/>
          <w:sz w:val="30"/>
          <w:szCs w:val="30"/>
        </w:rPr>
        <w:t>二、项目资金申报及使用情况</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（一）项目资金申报及批复情况</w:t>
      </w:r>
    </w:p>
    <w:p>
      <w:pPr>
        <w:adjustRightInd w:val="0"/>
        <w:snapToGrid w:val="0"/>
        <w:spacing w:line="540" w:lineRule="exact"/>
        <w:ind w:firstLine="600" w:firstLineChars="200"/>
        <w:rPr>
          <w:rFonts w:ascii="仿宋_GB2312" w:hAnsi="宋体"/>
          <w:sz w:val="30"/>
          <w:szCs w:val="30"/>
          <w:lang w:val="zh-CN"/>
        </w:rPr>
      </w:pPr>
      <w:r>
        <w:rPr>
          <w:rFonts w:hint="eastAsia" w:ascii="仿宋_GB2312" w:hAnsi="宋体"/>
          <w:sz w:val="30"/>
          <w:szCs w:val="30"/>
          <w:lang w:val="zh-CN"/>
        </w:rPr>
        <w:t>项目资金申报预算资金0.75万元，财政批复0.75万元。未进行预算调整。</w:t>
      </w:r>
    </w:p>
    <w:p>
      <w:pPr>
        <w:adjustRightInd w:val="0"/>
        <w:snapToGrid w:val="0"/>
        <w:spacing w:line="540" w:lineRule="exact"/>
        <w:ind w:firstLine="600" w:firstLineChars="200"/>
        <w:rPr>
          <w:rFonts w:ascii="仿宋_GB2312" w:hAnsi="宋体"/>
          <w:sz w:val="30"/>
          <w:szCs w:val="30"/>
          <w:lang w:val="zh-CN"/>
        </w:rPr>
      </w:pPr>
      <w:r>
        <w:rPr>
          <w:rFonts w:hint="eastAsia" w:ascii="楷体_GB2312" w:hAnsi="宋体" w:eastAsia="楷体_GB2312"/>
          <w:sz w:val="30"/>
          <w:szCs w:val="30"/>
          <w:lang w:val="zh-CN"/>
        </w:rPr>
        <w:t>（二）资金计划、到位及使用情况</w:t>
      </w:r>
    </w:p>
    <w:p>
      <w:pPr>
        <w:adjustRightInd w:val="0"/>
        <w:snapToGrid w:val="0"/>
        <w:spacing w:line="540" w:lineRule="exact"/>
        <w:ind w:firstLine="600" w:firstLineChars="200"/>
        <w:rPr>
          <w:rFonts w:ascii="仿宋_GB2312" w:hAnsi="仿宋_GB2312" w:cs="仿宋_GB2312"/>
          <w:b/>
          <w:bCs/>
          <w:sz w:val="30"/>
          <w:szCs w:val="30"/>
          <w:lang w:val="zh-CN"/>
        </w:rPr>
      </w:pPr>
      <w:r>
        <w:rPr>
          <w:rFonts w:hint="eastAsia" w:ascii="仿宋_GB2312" w:hAnsi="仿宋_GB2312" w:cs="仿宋_GB2312"/>
          <w:b/>
          <w:bCs/>
          <w:sz w:val="30"/>
          <w:szCs w:val="30"/>
          <w:lang w:val="zh-CN"/>
        </w:rPr>
        <w:t>1．资金计划</w:t>
      </w:r>
    </w:p>
    <w:p>
      <w:pPr>
        <w:adjustRightInd w:val="0"/>
        <w:snapToGrid w:val="0"/>
        <w:spacing w:line="540" w:lineRule="exact"/>
        <w:ind w:firstLine="750" w:firstLineChars="250"/>
        <w:rPr>
          <w:rFonts w:ascii="仿宋_GB2312" w:hAnsi="宋体"/>
          <w:sz w:val="30"/>
          <w:szCs w:val="30"/>
          <w:lang w:val="zh-CN"/>
        </w:rPr>
      </w:pPr>
      <w:r>
        <w:rPr>
          <w:rFonts w:hint="eastAsia" w:ascii="仿宋_GB2312" w:hAnsi="宋体"/>
          <w:sz w:val="30"/>
          <w:szCs w:val="30"/>
          <w:lang w:val="zh-CN"/>
        </w:rPr>
        <w:t>2021年该项目财政预算资金0.75万元，主要用于为驻村人员工作经费。</w:t>
      </w:r>
    </w:p>
    <w:p>
      <w:pPr>
        <w:adjustRightInd w:val="0"/>
        <w:snapToGrid w:val="0"/>
        <w:spacing w:line="540" w:lineRule="exact"/>
        <w:ind w:firstLine="600" w:firstLineChars="200"/>
        <w:rPr>
          <w:rFonts w:ascii="仿宋_GB2312" w:hAnsi="仿宋_GB2312" w:cs="仿宋_GB2312"/>
          <w:b/>
          <w:bCs/>
          <w:sz w:val="30"/>
          <w:szCs w:val="30"/>
          <w:lang w:val="zh-CN"/>
        </w:rPr>
      </w:pPr>
      <w:r>
        <w:rPr>
          <w:rFonts w:hint="eastAsia" w:ascii="仿宋_GB2312" w:hAnsi="仿宋_GB2312" w:cs="仿宋_GB2312"/>
          <w:b/>
          <w:bCs/>
          <w:sz w:val="30"/>
          <w:szCs w:val="30"/>
          <w:lang w:val="zh-CN"/>
        </w:rPr>
        <w:t>2．资金到位</w:t>
      </w:r>
    </w:p>
    <w:p>
      <w:pPr>
        <w:adjustRightInd w:val="0"/>
        <w:snapToGrid w:val="0"/>
        <w:spacing w:line="540" w:lineRule="exact"/>
        <w:ind w:firstLine="750" w:firstLineChars="250"/>
        <w:rPr>
          <w:rFonts w:ascii="仿宋_GB2312" w:hAnsi="宋体"/>
          <w:sz w:val="30"/>
          <w:szCs w:val="30"/>
          <w:lang w:val="zh-CN"/>
        </w:rPr>
      </w:pPr>
      <w:r>
        <w:rPr>
          <w:rFonts w:hint="eastAsia" w:ascii="仿宋_GB2312" w:hAnsi="宋体"/>
          <w:sz w:val="30"/>
          <w:szCs w:val="30"/>
          <w:lang w:val="zh-CN"/>
        </w:rPr>
        <w:t>2021年该项目财政下拨资金0.75万元。</w:t>
      </w:r>
    </w:p>
    <w:p>
      <w:pPr>
        <w:adjustRightInd w:val="0"/>
        <w:snapToGrid w:val="0"/>
        <w:spacing w:line="540" w:lineRule="exact"/>
        <w:ind w:firstLine="600" w:firstLineChars="200"/>
        <w:rPr>
          <w:rFonts w:ascii="仿宋_GB2312" w:hAnsi="仿宋_GB2312" w:cs="仿宋_GB2312"/>
          <w:b/>
          <w:bCs/>
          <w:sz w:val="30"/>
          <w:szCs w:val="30"/>
          <w:lang w:val="zh-CN"/>
        </w:rPr>
      </w:pPr>
      <w:r>
        <w:rPr>
          <w:rFonts w:hint="eastAsia" w:ascii="仿宋_GB2312" w:hAnsi="仿宋_GB2312" w:cs="仿宋_GB2312"/>
          <w:b/>
          <w:bCs/>
          <w:sz w:val="30"/>
          <w:szCs w:val="30"/>
          <w:lang w:val="zh-CN"/>
        </w:rPr>
        <w:t>3．资金使用</w:t>
      </w:r>
    </w:p>
    <w:p>
      <w:pPr>
        <w:adjustRightInd w:val="0"/>
        <w:snapToGrid w:val="0"/>
        <w:spacing w:line="540" w:lineRule="exact"/>
        <w:ind w:firstLine="600" w:firstLineChars="200"/>
        <w:rPr>
          <w:sz w:val="30"/>
          <w:szCs w:val="30"/>
        </w:rPr>
      </w:pPr>
      <w:r>
        <w:rPr>
          <w:rFonts w:hint="eastAsia"/>
          <w:sz w:val="30"/>
          <w:szCs w:val="30"/>
        </w:rPr>
        <w:t>该资金使用0.75万元，预算完成率100%，主要用于保障了驻村人员经费。</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（三）项目财务管理情况</w:t>
      </w:r>
    </w:p>
    <w:p>
      <w:pPr>
        <w:adjustRightInd w:val="0"/>
        <w:snapToGrid w:val="0"/>
        <w:spacing w:line="540" w:lineRule="exact"/>
        <w:ind w:firstLine="600" w:firstLineChars="200"/>
        <w:rPr>
          <w:rFonts w:ascii="仿宋_GB2312" w:hAnsi="宋体"/>
          <w:sz w:val="30"/>
          <w:szCs w:val="30"/>
          <w:lang w:val="zh-CN"/>
        </w:rPr>
      </w:pPr>
      <w:r>
        <w:rPr>
          <w:rFonts w:hint="eastAsia" w:ascii="仿宋_GB2312" w:hAnsi="宋体"/>
          <w:sz w:val="30"/>
          <w:szCs w:val="30"/>
          <w:lang w:val="zh-CN"/>
        </w:rPr>
        <w:t>总体评价该项目实施单位财务管理制度健全，严格执行财务管理制度，账务处理及时，会计核算规范，不存在截流，挤占，挪用项目资金情况，资金支付与预算相符。</w:t>
      </w:r>
    </w:p>
    <w:p>
      <w:pPr>
        <w:adjustRightInd w:val="0"/>
        <w:snapToGrid w:val="0"/>
        <w:spacing w:line="540" w:lineRule="exact"/>
        <w:ind w:firstLine="600" w:firstLineChars="200"/>
        <w:rPr>
          <w:rFonts w:ascii="黑体" w:hAnsi="宋体" w:eastAsia="黑体"/>
          <w:sz w:val="30"/>
          <w:szCs w:val="30"/>
        </w:rPr>
      </w:pPr>
      <w:r>
        <w:rPr>
          <w:rFonts w:hint="eastAsia" w:ascii="黑体" w:hAnsi="宋体" w:eastAsia="黑体"/>
          <w:sz w:val="30"/>
          <w:szCs w:val="30"/>
        </w:rPr>
        <w:t>三、项目实施及管理情况</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（一）项目组织架构及实施流程</w:t>
      </w:r>
    </w:p>
    <w:p>
      <w:pPr>
        <w:adjustRightInd w:val="0"/>
        <w:snapToGrid w:val="0"/>
        <w:spacing w:line="540" w:lineRule="exact"/>
        <w:ind w:firstLine="600" w:firstLineChars="200"/>
        <w:rPr>
          <w:sz w:val="30"/>
          <w:szCs w:val="30"/>
        </w:rPr>
      </w:pPr>
      <w:r>
        <w:rPr>
          <w:sz w:val="30"/>
          <w:szCs w:val="30"/>
        </w:rPr>
        <w:t>扶贫工作经费的支出均根据帮扶户的需求，经我</w:t>
      </w:r>
      <w:r>
        <w:rPr>
          <w:rFonts w:hint="eastAsia"/>
          <w:sz w:val="30"/>
          <w:szCs w:val="30"/>
        </w:rPr>
        <w:t>校</w:t>
      </w:r>
      <w:r>
        <w:rPr>
          <w:sz w:val="30"/>
          <w:szCs w:val="30"/>
        </w:rPr>
        <w:t>“三重一大”会议通过后执行。扶贫工作由</w:t>
      </w:r>
      <w:r>
        <w:rPr>
          <w:rFonts w:hint="eastAsia"/>
          <w:sz w:val="30"/>
          <w:szCs w:val="30"/>
        </w:rPr>
        <w:t>驻村</w:t>
      </w:r>
      <w:r>
        <w:rPr>
          <w:sz w:val="30"/>
          <w:szCs w:val="30"/>
        </w:rPr>
        <w:t>人员具体负责，经费使用由办公室统一安排，活动一切事务经领导班子通过方可执行。级级负责，层层审核，确保扶贫工作的有效开展。    </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（二）项目管理情况</w:t>
      </w:r>
    </w:p>
    <w:p>
      <w:pPr>
        <w:adjustRightInd w:val="0"/>
        <w:snapToGrid w:val="0"/>
        <w:spacing w:line="540" w:lineRule="exact"/>
        <w:ind w:firstLine="600" w:firstLineChars="200"/>
        <w:rPr>
          <w:sz w:val="30"/>
          <w:szCs w:val="30"/>
        </w:rPr>
      </w:pPr>
      <w:r>
        <w:rPr>
          <w:sz w:val="30"/>
          <w:szCs w:val="30"/>
        </w:rPr>
        <w:t>在经费的使用过程中，严格执行财务管理制度、财务</w:t>
      </w:r>
      <w:r>
        <w:rPr>
          <w:rFonts w:hint="eastAsia"/>
          <w:sz w:val="30"/>
          <w:szCs w:val="30"/>
        </w:rPr>
        <w:t>科</w:t>
      </w:r>
      <w:r>
        <w:rPr>
          <w:sz w:val="30"/>
          <w:szCs w:val="30"/>
        </w:rPr>
        <w:t>理及时、会计核算规范。严格遵循我</w:t>
      </w:r>
      <w:r>
        <w:rPr>
          <w:rFonts w:hint="eastAsia"/>
          <w:sz w:val="30"/>
          <w:szCs w:val="30"/>
        </w:rPr>
        <w:t>校</w:t>
      </w:r>
      <w:r>
        <w:rPr>
          <w:sz w:val="30"/>
          <w:szCs w:val="30"/>
        </w:rPr>
        <w:t>的内控流程及各项管理制度。使经费的使用做到合法合规，不超标，不浪费。</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（三）项目监管情况</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我校成立了扶贫领导小组，不定期对扶贫驻村队员进行指导，对贫困户进行走访了解，严格落实扶贫政策，有效帮扶贫困人员，积极帮助生产、增加贫困户年收入。</w:t>
      </w:r>
    </w:p>
    <w:p>
      <w:pPr>
        <w:adjustRightInd w:val="0"/>
        <w:snapToGrid w:val="0"/>
        <w:spacing w:line="540" w:lineRule="exact"/>
        <w:ind w:firstLine="600" w:firstLineChars="200"/>
        <w:rPr>
          <w:rFonts w:ascii="仿宋_GB2312" w:hAnsi="宋体"/>
          <w:sz w:val="30"/>
          <w:szCs w:val="30"/>
          <w:lang w:val="zh-CN"/>
        </w:rPr>
      </w:pPr>
      <w:r>
        <w:rPr>
          <w:rFonts w:hint="eastAsia" w:ascii="黑体" w:hAnsi="宋体" w:eastAsia="黑体"/>
          <w:sz w:val="30"/>
          <w:szCs w:val="30"/>
        </w:rPr>
        <w:t>四、项目绩效情况</w:t>
      </w:r>
      <w:r>
        <w:rPr>
          <w:rFonts w:hint="eastAsia" w:ascii="仿宋_GB2312" w:hAnsi="宋体"/>
          <w:sz w:val="30"/>
          <w:szCs w:val="30"/>
          <w:lang w:val="zh-CN"/>
        </w:rPr>
        <w:tab/>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（一）项目完成情况</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1.数量指标</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帮扶村1个,全覆盖走访慰问帮扶村贫困户84户,驻村工作队员1名长期驻村，驻村长达240余天，全年宣讲政策</w:t>
      </w:r>
      <w:r>
        <w:rPr>
          <w:rFonts w:ascii="楷体_GB2312" w:hAnsi="宋体" w:eastAsia="楷体_GB2312"/>
          <w:sz w:val="30"/>
          <w:szCs w:val="30"/>
          <w:lang w:val="zh-CN"/>
        </w:rPr>
        <w:t>12</w:t>
      </w:r>
      <w:r>
        <w:rPr>
          <w:rFonts w:hint="eastAsia" w:ascii="楷体_GB2312" w:hAnsi="宋体" w:eastAsia="楷体_GB2312"/>
          <w:sz w:val="30"/>
          <w:szCs w:val="30"/>
          <w:lang w:val="zh-CN"/>
        </w:rPr>
        <w:t>次。疫情防控培训</w:t>
      </w:r>
      <w:r>
        <w:rPr>
          <w:rFonts w:ascii="楷体_GB2312" w:hAnsi="宋体" w:eastAsia="楷体_GB2312"/>
          <w:sz w:val="30"/>
          <w:szCs w:val="30"/>
          <w:lang w:val="zh-CN"/>
        </w:rPr>
        <w:t>1</w:t>
      </w:r>
      <w:r>
        <w:rPr>
          <w:rFonts w:hint="eastAsia" w:ascii="楷体_GB2312" w:hAnsi="宋体" w:eastAsia="楷体_GB2312"/>
          <w:sz w:val="30"/>
          <w:szCs w:val="30"/>
          <w:lang w:val="zh-CN"/>
        </w:rPr>
        <w:t>次，就业培训</w:t>
      </w:r>
      <w:r>
        <w:rPr>
          <w:rFonts w:ascii="楷体_GB2312" w:hAnsi="宋体" w:eastAsia="楷体_GB2312"/>
          <w:sz w:val="30"/>
          <w:szCs w:val="30"/>
          <w:lang w:val="zh-CN"/>
        </w:rPr>
        <w:t>2</w:t>
      </w:r>
      <w:r>
        <w:rPr>
          <w:rFonts w:hint="eastAsia" w:ascii="楷体_GB2312" w:hAnsi="宋体" w:eastAsia="楷体_GB2312"/>
          <w:sz w:val="30"/>
          <w:szCs w:val="30"/>
          <w:lang w:val="zh-CN"/>
        </w:rPr>
        <w:t>次。全面完成脱贫工作。</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2.质量指标</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扶贫工作完成度</w:t>
      </w:r>
      <w:r>
        <w:rPr>
          <w:rFonts w:ascii="楷体_GB2312" w:hAnsi="宋体" w:eastAsia="楷体_GB2312"/>
          <w:sz w:val="30"/>
          <w:szCs w:val="30"/>
          <w:lang w:val="zh-CN"/>
        </w:rPr>
        <w:t>97</w:t>
      </w:r>
      <w:r>
        <w:rPr>
          <w:rFonts w:hint="eastAsia" w:ascii="楷体_GB2312" w:hAnsi="宋体" w:eastAsia="楷体_GB2312"/>
          <w:sz w:val="30"/>
          <w:szCs w:val="30"/>
          <w:lang w:val="zh-CN"/>
        </w:rPr>
        <w:t>％以上。</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3.时效指标</w:t>
      </w:r>
    </w:p>
    <w:p>
      <w:pPr>
        <w:adjustRightInd w:val="0"/>
        <w:snapToGrid w:val="0"/>
        <w:spacing w:line="540" w:lineRule="exact"/>
        <w:ind w:firstLine="600" w:firstLineChars="200"/>
        <w:rPr>
          <w:rFonts w:ascii="楷体_GB2312" w:hAnsi="宋体" w:eastAsia="楷体_GB2312"/>
          <w:sz w:val="30"/>
          <w:szCs w:val="30"/>
          <w:lang w:val="zh-CN"/>
        </w:rPr>
      </w:pPr>
      <w:r>
        <w:rPr>
          <w:rFonts w:ascii="楷体_GB2312" w:hAnsi="宋体" w:eastAsia="楷体_GB2312"/>
          <w:sz w:val="30"/>
          <w:szCs w:val="30"/>
          <w:lang w:val="zh-CN"/>
        </w:rPr>
        <w:t>2021</w:t>
      </w:r>
      <w:r>
        <w:rPr>
          <w:rFonts w:hint="eastAsia" w:ascii="楷体_GB2312" w:hAnsi="宋体" w:eastAsia="楷体_GB2312"/>
          <w:sz w:val="30"/>
          <w:szCs w:val="30"/>
          <w:lang w:val="zh-CN"/>
        </w:rPr>
        <w:t>年</w:t>
      </w:r>
      <w:r>
        <w:rPr>
          <w:rFonts w:ascii="楷体_GB2312" w:hAnsi="宋体" w:eastAsia="楷体_GB2312"/>
          <w:sz w:val="30"/>
          <w:szCs w:val="30"/>
          <w:lang w:val="zh-CN"/>
        </w:rPr>
        <w:t>12</w:t>
      </w:r>
      <w:r>
        <w:rPr>
          <w:rFonts w:hint="eastAsia" w:ascii="楷体_GB2312" w:hAnsi="宋体" w:eastAsia="楷体_GB2312"/>
          <w:sz w:val="30"/>
          <w:szCs w:val="30"/>
          <w:lang w:val="zh-CN"/>
        </w:rPr>
        <w:t>月底完成扶贫工作。</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4.成本指标</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为保障了驻村人员的工作开展，下拨驻村人员经费0.75万元。</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（二）项目效益情况</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1.经济效益指标</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以购代捐人均</w:t>
      </w:r>
      <w:r>
        <w:rPr>
          <w:rFonts w:ascii="楷体_GB2312" w:hAnsi="宋体" w:eastAsia="楷体_GB2312"/>
          <w:sz w:val="30"/>
          <w:szCs w:val="30"/>
          <w:lang w:val="zh-CN"/>
        </w:rPr>
        <w:t>200</w:t>
      </w:r>
      <w:r>
        <w:rPr>
          <w:rFonts w:hint="eastAsia" w:ascii="楷体_GB2312" w:hAnsi="宋体" w:eastAsia="楷体_GB2312"/>
          <w:sz w:val="30"/>
          <w:szCs w:val="30"/>
          <w:lang w:val="zh-CN"/>
        </w:rPr>
        <w:t>元。为贫困户增加收入。</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2.社会效益指标</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开展就业培训，带动就业，增加收入，疫情防控培训</w:t>
      </w:r>
      <w:r>
        <w:rPr>
          <w:rFonts w:ascii="楷体_GB2312" w:hAnsi="宋体" w:eastAsia="楷体_GB2312"/>
          <w:sz w:val="30"/>
          <w:szCs w:val="30"/>
          <w:lang w:val="zh-CN"/>
        </w:rPr>
        <w:t>1</w:t>
      </w:r>
      <w:r>
        <w:rPr>
          <w:rFonts w:hint="eastAsia" w:ascii="楷体_GB2312" w:hAnsi="宋体" w:eastAsia="楷体_GB2312"/>
          <w:sz w:val="30"/>
          <w:szCs w:val="30"/>
          <w:lang w:val="zh-CN"/>
        </w:rPr>
        <w:t>次，就业培训</w:t>
      </w:r>
      <w:r>
        <w:rPr>
          <w:rFonts w:ascii="楷体_GB2312" w:hAnsi="宋体" w:eastAsia="楷体_GB2312"/>
          <w:sz w:val="30"/>
          <w:szCs w:val="30"/>
          <w:lang w:val="zh-CN"/>
        </w:rPr>
        <w:t>2</w:t>
      </w:r>
      <w:r>
        <w:rPr>
          <w:rFonts w:hint="eastAsia" w:ascii="楷体_GB2312" w:hAnsi="宋体" w:eastAsia="楷体_GB2312"/>
          <w:sz w:val="30"/>
          <w:szCs w:val="30"/>
          <w:lang w:val="zh-CN"/>
        </w:rPr>
        <w:t>次，开展政策宣讲</w:t>
      </w:r>
      <w:r>
        <w:rPr>
          <w:rFonts w:ascii="楷体_GB2312" w:hAnsi="宋体" w:eastAsia="楷体_GB2312"/>
          <w:sz w:val="30"/>
          <w:szCs w:val="30"/>
          <w:lang w:val="zh-CN"/>
        </w:rPr>
        <w:t>12</w:t>
      </w:r>
      <w:r>
        <w:rPr>
          <w:rFonts w:hint="eastAsia" w:ascii="楷体_GB2312" w:hAnsi="宋体" w:eastAsia="楷体_GB2312"/>
          <w:sz w:val="30"/>
          <w:szCs w:val="30"/>
          <w:lang w:val="zh-CN"/>
        </w:rPr>
        <w:t>次。</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3.可持续影响指标</w:t>
      </w:r>
    </w:p>
    <w:p>
      <w:pPr>
        <w:adjustRightInd w:val="0"/>
        <w:snapToGrid w:val="0"/>
        <w:spacing w:line="540" w:lineRule="exact"/>
        <w:ind w:firstLine="600" w:firstLineChars="200"/>
        <w:rPr>
          <w:rFonts w:ascii="楷体_GB2312" w:hAnsi="宋体" w:eastAsia="楷体_GB2312"/>
          <w:sz w:val="30"/>
          <w:szCs w:val="30"/>
          <w:lang w:val="zh-CN"/>
        </w:rPr>
      </w:pPr>
      <w:r>
        <w:rPr>
          <w:rFonts w:ascii="楷体_GB2312" w:hAnsi="宋体" w:eastAsia="楷体_GB2312"/>
          <w:sz w:val="30"/>
          <w:szCs w:val="30"/>
          <w:lang w:val="zh-CN"/>
        </w:rPr>
        <w:t>2021</w:t>
      </w:r>
      <w:r>
        <w:rPr>
          <w:rFonts w:hint="eastAsia" w:ascii="楷体_GB2312" w:hAnsi="宋体" w:eastAsia="楷体_GB2312"/>
          <w:sz w:val="30"/>
          <w:szCs w:val="30"/>
          <w:lang w:val="zh-CN"/>
        </w:rPr>
        <w:t>年全面脱贫，达到预期目标。</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4.满意度指标</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贫困户，群众满意度</w:t>
      </w:r>
      <w:r>
        <w:rPr>
          <w:rFonts w:ascii="楷体_GB2312" w:hAnsi="宋体" w:eastAsia="楷体_GB2312"/>
          <w:sz w:val="30"/>
          <w:szCs w:val="30"/>
          <w:lang w:val="zh-CN"/>
        </w:rPr>
        <w:t>95%</w:t>
      </w:r>
      <w:r>
        <w:rPr>
          <w:rFonts w:hint="eastAsia" w:ascii="楷体_GB2312" w:hAnsi="宋体" w:eastAsia="楷体_GB2312"/>
          <w:sz w:val="30"/>
          <w:szCs w:val="30"/>
          <w:lang w:val="zh-CN"/>
        </w:rPr>
        <w:t>。</w:t>
      </w:r>
    </w:p>
    <w:p>
      <w:pPr>
        <w:adjustRightInd w:val="0"/>
        <w:snapToGrid w:val="0"/>
        <w:spacing w:line="540" w:lineRule="exact"/>
        <w:ind w:firstLine="600" w:firstLineChars="200"/>
        <w:rPr>
          <w:rFonts w:ascii="黑体" w:hAnsi="宋体" w:eastAsia="黑体"/>
          <w:sz w:val="30"/>
          <w:szCs w:val="30"/>
        </w:rPr>
      </w:pPr>
      <w:r>
        <w:rPr>
          <w:rFonts w:hint="eastAsia" w:ascii="黑体" w:hAnsi="宋体" w:eastAsia="黑体"/>
          <w:sz w:val="30"/>
          <w:szCs w:val="30"/>
        </w:rPr>
        <w:t>五、评价结论及建议</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（一）评价结论</w:t>
      </w:r>
    </w:p>
    <w:p>
      <w:pPr>
        <w:adjustRightInd w:val="0"/>
        <w:snapToGrid w:val="0"/>
        <w:spacing w:line="540" w:lineRule="exact"/>
        <w:ind w:firstLine="600" w:firstLineChars="200"/>
        <w:rPr>
          <w:rFonts w:ascii="仿宋_GB2312" w:hAnsi="宋体"/>
          <w:sz w:val="30"/>
          <w:szCs w:val="30"/>
          <w:bdr w:val="single" w:color="auto" w:sz="4" w:space="0"/>
          <w:lang w:val="zh-CN"/>
        </w:rPr>
      </w:pPr>
      <w:r>
        <w:rPr>
          <w:rFonts w:hint="eastAsia" w:ascii="仿宋_GB2312" w:hAnsi="宋体"/>
          <w:sz w:val="30"/>
          <w:szCs w:val="30"/>
          <w:lang w:val="zh-CN"/>
        </w:rPr>
        <w:t>严格按照市委政府有关规定及项目管理要求来开展各项工作，做到按计划实施、按规矩办事，确保项目顺利完成，安排专人负责预算绩效管理工作，提高绩效的管理水平。通过自评，自评分：91分。</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（二）存在的问题</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无。</w:t>
      </w:r>
    </w:p>
    <w:p>
      <w:pPr>
        <w:adjustRightInd w:val="0"/>
        <w:snapToGrid w:val="0"/>
        <w:spacing w:line="540" w:lineRule="exact"/>
        <w:ind w:firstLine="600" w:firstLineChars="200"/>
        <w:rPr>
          <w:rFonts w:ascii="楷体_GB2312" w:hAnsi="宋体" w:eastAsia="楷体_GB2312"/>
          <w:sz w:val="30"/>
          <w:szCs w:val="30"/>
          <w:lang w:val="zh-CN"/>
        </w:rPr>
      </w:pPr>
      <w:r>
        <w:rPr>
          <w:rFonts w:hint="eastAsia" w:ascii="楷体_GB2312" w:hAnsi="宋体" w:eastAsia="楷体_GB2312"/>
          <w:sz w:val="30"/>
          <w:szCs w:val="30"/>
          <w:lang w:val="zh-CN"/>
        </w:rPr>
        <w:t>（三）相关建议</w:t>
      </w:r>
    </w:p>
    <w:p>
      <w:pPr>
        <w:pStyle w:val="2"/>
        <w:spacing w:before="93"/>
        <w:rPr>
          <w:rFonts w:ascii="仿宋" w:hAnsi="仿宋" w:eastAsia="仿宋"/>
          <w:szCs w:val="30"/>
        </w:rPr>
      </w:pPr>
      <w:r>
        <w:rPr>
          <w:rFonts w:hint="eastAsia"/>
          <w:szCs w:val="30"/>
        </w:rPr>
        <w:t xml:space="preserve">    无</w:t>
      </w:r>
    </w:p>
    <w:p>
      <w:pPr>
        <w:widowControl/>
        <w:jc w:val="left"/>
        <w:rPr>
          <w:rFonts w:ascii="仿宋" w:hAnsi="仿宋" w:eastAsia="仿宋"/>
          <w:kern w:val="0"/>
          <w:sz w:val="32"/>
          <w:szCs w:val="32"/>
        </w:rPr>
      </w:pPr>
      <w:r>
        <w:rPr>
          <w:rFonts w:ascii="仿宋" w:hAnsi="仿宋" w:eastAsia="仿宋"/>
          <w:sz w:val="32"/>
          <w:szCs w:val="32"/>
        </w:rPr>
        <w:br w:type="page"/>
      </w:r>
    </w:p>
    <w:p>
      <w:pPr>
        <w:pStyle w:val="2"/>
        <w:spacing w:before="93"/>
        <w:rPr>
          <w:rFonts w:ascii="仿宋" w:hAnsi="仿宋" w:eastAsia="仿宋"/>
          <w:sz w:val="32"/>
          <w:szCs w:val="32"/>
        </w:rPr>
      </w:pPr>
    </w:p>
    <w:tbl>
      <w:tblPr>
        <w:tblStyle w:val="13"/>
        <w:tblW w:w="10437" w:type="dxa"/>
        <w:jc w:val="center"/>
        <w:tblLayout w:type="fixed"/>
        <w:tblCellMar>
          <w:top w:w="0" w:type="dxa"/>
          <w:left w:w="108" w:type="dxa"/>
          <w:bottom w:w="0" w:type="dxa"/>
          <w:right w:w="108" w:type="dxa"/>
        </w:tblCellMar>
      </w:tblPr>
      <w:tblGrid>
        <w:gridCol w:w="724"/>
        <w:gridCol w:w="1618"/>
        <w:gridCol w:w="1217"/>
        <w:gridCol w:w="782"/>
        <w:gridCol w:w="236"/>
        <w:gridCol w:w="49"/>
        <w:gridCol w:w="236"/>
        <w:gridCol w:w="740"/>
        <w:gridCol w:w="704"/>
        <w:gridCol w:w="236"/>
        <w:gridCol w:w="199"/>
        <w:gridCol w:w="362"/>
        <w:gridCol w:w="1170"/>
        <w:gridCol w:w="1015"/>
        <w:gridCol w:w="1149"/>
      </w:tblGrid>
      <w:tr>
        <w:tblPrEx>
          <w:tblCellMar>
            <w:top w:w="0" w:type="dxa"/>
            <w:left w:w="108" w:type="dxa"/>
            <w:bottom w:w="0" w:type="dxa"/>
            <w:right w:w="108" w:type="dxa"/>
          </w:tblCellMar>
        </w:tblPrEx>
        <w:trPr>
          <w:trHeight w:val="540" w:hRule="atLeast"/>
          <w:jc w:val="center"/>
        </w:trPr>
        <w:tc>
          <w:tcPr>
            <w:tcW w:w="10437" w:type="dxa"/>
            <w:gridSpan w:val="15"/>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kern w:val="0"/>
                <w:sz w:val="44"/>
                <w:szCs w:val="44"/>
              </w:rPr>
              <w:t>项目支出绩效目标自评表</w:t>
            </w:r>
          </w:p>
        </w:tc>
      </w:tr>
      <w:tr>
        <w:tblPrEx>
          <w:tblCellMar>
            <w:top w:w="0" w:type="dxa"/>
            <w:left w:w="108" w:type="dxa"/>
            <w:bottom w:w="0" w:type="dxa"/>
            <w:right w:w="108" w:type="dxa"/>
          </w:tblCellMar>
        </w:tblPrEx>
        <w:trPr>
          <w:trHeight w:val="285" w:hRule="atLeast"/>
          <w:jc w:val="center"/>
        </w:trPr>
        <w:tc>
          <w:tcPr>
            <w:tcW w:w="10437" w:type="dxa"/>
            <w:gridSpan w:val="15"/>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w:t>
            </w:r>
            <w:r>
              <w:rPr>
                <w:color w:val="000000"/>
                <w:kern w:val="0"/>
                <w:sz w:val="24"/>
              </w:rPr>
              <w:t xml:space="preserve">         2021 </w:t>
            </w:r>
            <w:r>
              <w:rPr>
                <w:rFonts w:hint="eastAsia" w:ascii="宋体" w:hAnsi="宋体" w:cs="宋体"/>
                <w:color w:val="000000"/>
                <w:kern w:val="0"/>
                <w:sz w:val="24"/>
              </w:rPr>
              <w:t>年度）</w:t>
            </w:r>
          </w:p>
        </w:tc>
      </w:tr>
      <w:tr>
        <w:tblPrEx>
          <w:tblCellMar>
            <w:top w:w="0" w:type="dxa"/>
            <w:left w:w="108" w:type="dxa"/>
            <w:bottom w:w="0" w:type="dxa"/>
            <w:right w:w="108" w:type="dxa"/>
          </w:tblCellMar>
        </w:tblPrEx>
        <w:trPr>
          <w:trHeight w:val="285" w:hRule="atLeast"/>
          <w:jc w:val="center"/>
        </w:trPr>
        <w:tc>
          <w:tcPr>
            <w:tcW w:w="2342" w:type="dxa"/>
            <w:gridSpan w:val="2"/>
            <w:tcBorders>
              <w:top w:val="nil"/>
              <w:left w:val="nil"/>
              <w:bottom w:val="nil"/>
              <w:right w:val="nil"/>
            </w:tcBorders>
            <w:shd w:val="clear" w:color="auto" w:fill="auto"/>
            <w:vAlign w:val="center"/>
          </w:tcPr>
          <w:p>
            <w:pPr>
              <w:jc w:val="center"/>
              <w:rPr>
                <w:rFonts w:ascii="宋体" w:hAnsi="宋体" w:cs="宋体"/>
                <w:color w:val="000000"/>
                <w:sz w:val="24"/>
              </w:rPr>
            </w:pPr>
          </w:p>
        </w:tc>
        <w:tc>
          <w:tcPr>
            <w:tcW w:w="1999" w:type="dxa"/>
            <w:gridSpan w:val="2"/>
            <w:tcBorders>
              <w:top w:val="nil"/>
              <w:left w:val="nil"/>
              <w:bottom w:val="nil"/>
              <w:right w:val="nil"/>
            </w:tcBorders>
            <w:shd w:val="clear" w:color="auto" w:fill="auto"/>
            <w:vAlign w:val="center"/>
          </w:tcPr>
          <w:p>
            <w:pPr>
              <w:jc w:val="center"/>
              <w:rPr>
                <w:rFonts w:ascii="宋体" w:hAnsi="宋体" w:cs="宋体"/>
                <w:color w:val="000000"/>
                <w:sz w:val="24"/>
              </w:rPr>
            </w:pPr>
          </w:p>
        </w:tc>
        <w:tc>
          <w:tcPr>
            <w:tcW w:w="236" w:type="dxa"/>
            <w:tcBorders>
              <w:top w:val="nil"/>
              <w:left w:val="nil"/>
              <w:bottom w:val="nil"/>
              <w:right w:val="nil"/>
            </w:tcBorders>
            <w:shd w:val="clear" w:color="auto" w:fill="auto"/>
            <w:vAlign w:val="center"/>
          </w:tcPr>
          <w:p>
            <w:pPr>
              <w:jc w:val="center"/>
              <w:rPr>
                <w:rFonts w:ascii="宋体" w:hAnsi="宋体" w:cs="宋体"/>
                <w:color w:val="000000"/>
                <w:sz w:val="24"/>
              </w:rPr>
            </w:pPr>
          </w:p>
        </w:tc>
        <w:tc>
          <w:tcPr>
            <w:tcW w:w="1729" w:type="dxa"/>
            <w:gridSpan w:val="4"/>
            <w:tcBorders>
              <w:top w:val="nil"/>
              <w:left w:val="nil"/>
              <w:bottom w:val="nil"/>
              <w:right w:val="nil"/>
            </w:tcBorders>
            <w:shd w:val="clear" w:color="auto" w:fill="auto"/>
            <w:vAlign w:val="center"/>
          </w:tcPr>
          <w:p>
            <w:pPr>
              <w:jc w:val="center"/>
              <w:rPr>
                <w:rFonts w:ascii="宋体" w:hAnsi="宋体" w:cs="宋体"/>
                <w:color w:val="000000"/>
                <w:sz w:val="24"/>
              </w:rPr>
            </w:pPr>
          </w:p>
        </w:tc>
        <w:tc>
          <w:tcPr>
            <w:tcW w:w="435" w:type="dxa"/>
            <w:gridSpan w:val="2"/>
            <w:tcBorders>
              <w:top w:val="nil"/>
              <w:left w:val="nil"/>
              <w:bottom w:val="nil"/>
              <w:right w:val="nil"/>
            </w:tcBorders>
            <w:shd w:val="clear" w:color="auto" w:fill="auto"/>
            <w:vAlign w:val="center"/>
          </w:tcPr>
          <w:p>
            <w:pPr>
              <w:jc w:val="center"/>
              <w:rPr>
                <w:rFonts w:ascii="宋体" w:hAnsi="宋体" w:cs="宋体"/>
                <w:color w:val="000000"/>
                <w:sz w:val="24"/>
              </w:rPr>
            </w:pPr>
          </w:p>
        </w:tc>
        <w:tc>
          <w:tcPr>
            <w:tcW w:w="1532" w:type="dxa"/>
            <w:gridSpan w:val="2"/>
            <w:tcBorders>
              <w:top w:val="nil"/>
              <w:left w:val="nil"/>
              <w:bottom w:val="nil"/>
              <w:right w:val="nil"/>
            </w:tcBorders>
            <w:shd w:val="clear" w:color="auto" w:fill="auto"/>
            <w:vAlign w:val="center"/>
          </w:tcPr>
          <w:p>
            <w:pPr>
              <w:jc w:val="center"/>
              <w:rPr>
                <w:rFonts w:ascii="宋体" w:hAnsi="宋体" w:cs="宋体"/>
                <w:color w:val="000000"/>
                <w:sz w:val="24"/>
              </w:rPr>
            </w:pPr>
          </w:p>
        </w:tc>
        <w:tc>
          <w:tcPr>
            <w:tcW w:w="1015" w:type="dxa"/>
            <w:tcBorders>
              <w:top w:val="nil"/>
              <w:left w:val="nil"/>
              <w:bottom w:val="nil"/>
              <w:right w:val="nil"/>
            </w:tcBorders>
            <w:shd w:val="clear" w:color="auto" w:fill="auto"/>
            <w:vAlign w:val="center"/>
          </w:tcPr>
          <w:p>
            <w:pPr>
              <w:jc w:val="center"/>
              <w:rPr>
                <w:rFonts w:ascii="宋体" w:hAnsi="宋体" w:cs="宋体"/>
                <w:color w:val="000000"/>
                <w:sz w:val="24"/>
              </w:rPr>
            </w:pPr>
          </w:p>
        </w:tc>
        <w:tc>
          <w:tcPr>
            <w:tcW w:w="1149" w:type="dxa"/>
            <w:tcBorders>
              <w:top w:val="nil"/>
              <w:left w:val="nil"/>
              <w:bottom w:val="nil"/>
              <w:right w:val="nil"/>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270" w:hRule="atLeast"/>
          <w:jc w:val="center"/>
        </w:trPr>
        <w:tc>
          <w:tcPr>
            <w:tcW w:w="2342" w:type="dxa"/>
            <w:gridSpan w:val="2"/>
            <w:tcBorders>
              <w:top w:val="nil"/>
              <w:left w:val="nil"/>
              <w:bottom w:val="single" w:color="000000" w:sz="4" w:space="0"/>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注：项目支出包括部门预算支出和专项预算支出</w:t>
            </w:r>
          </w:p>
        </w:tc>
        <w:tc>
          <w:tcPr>
            <w:tcW w:w="2284" w:type="dxa"/>
            <w:gridSpan w:val="4"/>
            <w:tcBorders>
              <w:top w:val="nil"/>
              <w:left w:val="nil"/>
              <w:bottom w:val="single" w:color="000000" w:sz="4" w:space="0"/>
              <w:right w:val="nil"/>
            </w:tcBorders>
            <w:shd w:val="clear" w:color="auto" w:fill="auto"/>
            <w:vAlign w:val="center"/>
          </w:tcPr>
          <w:p>
            <w:pPr>
              <w:rPr>
                <w:rFonts w:ascii="宋体" w:hAnsi="宋体" w:cs="宋体"/>
                <w:color w:val="000000"/>
                <w:sz w:val="22"/>
                <w:szCs w:val="22"/>
              </w:rPr>
            </w:pPr>
          </w:p>
        </w:tc>
        <w:tc>
          <w:tcPr>
            <w:tcW w:w="236" w:type="dxa"/>
            <w:tcBorders>
              <w:top w:val="nil"/>
              <w:left w:val="nil"/>
              <w:bottom w:val="nil"/>
              <w:right w:val="nil"/>
            </w:tcBorders>
            <w:shd w:val="clear" w:color="auto" w:fill="auto"/>
            <w:vAlign w:val="center"/>
          </w:tcPr>
          <w:p>
            <w:pPr>
              <w:rPr>
                <w:rFonts w:ascii="宋体" w:hAnsi="宋体" w:cs="宋体"/>
                <w:color w:val="000000"/>
                <w:sz w:val="22"/>
                <w:szCs w:val="22"/>
              </w:rPr>
            </w:pPr>
          </w:p>
        </w:tc>
        <w:tc>
          <w:tcPr>
            <w:tcW w:w="1444" w:type="dxa"/>
            <w:gridSpan w:val="2"/>
            <w:tcBorders>
              <w:top w:val="nil"/>
              <w:left w:val="nil"/>
              <w:bottom w:val="nil"/>
              <w:right w:val="nil"/>
            </w:tcBorders>
            <w:shd w:val="clear" w:color="auto" w:fill="auto"/>
            <w:vAlign w:val="center"/>
          </w:tcPr>
          <w:p>
            <w:pPr>
              <w:rPr>
                <w:rFonts w:ascii="宋体" w:hAnsi="宋体" w:cs="宋体"/>
                <w:color w:val="000000"/>
                <w:sz w:val="22"/>
                <w:szCs w:val="22"/>
              </w:rPr>
            </w:pPr>
          </w:p>
        </w:tc>
        <w:tc>
          <w:tcPr>
            <w:tcW w:w="435" w:type="dxa"/>
            <w:gridSpan w:val="2"/>
            <w:tcBorders>
              <w:top w:val="nil"/>
              <w:left w:val="nil"/>
              <w:bottom w:val="nil"/>
              <w:right w:val="nil"/>
            </w:tcBorders>
            <w:shd w:val="clear" w:color="auto" w:fill="auto"/>
            <w:vAlign w:val="center"/>
          </w:tcPr>
          <w:p>
            <w:pPr>
              <w:rPr>
                <w:rFonts w:ascii="宋体" w:hAnsi="宋体" w:cs="宋体"/>
                <w:color w:val="000000"/>
                <w:sz w:val="22"/>
                <w:szCs w:val="22"/>
              </w:rPr>
            </w:pPr>
          </w:p>
        </w:tc>
        <w:tc>
          <w:tcPr>
            <w:tcW w:w="1532" w:type="dxa"/>
            <w:gridSpan w:val="2"/>
            <w:tcBorders>
              <w:top w:val="nil"/>
              <w:left w:val="nil"/>
              <w:bottom w:val="nil"/>
              <w:right w:val="nil"/>
            </w:tcBorders>
            <w:shd w:val="clear" w:color="auto" w:fill="auto"/>
            <w:vAlign w:val="center"/>
          </w:tcPr>
          <w:p>
            <w:pPr>
              <w:rPr>
                <w:rFonts w:ascii="宋体" w:hAnsi="宋体" w:cs="宋体"/>
                <w:color w:val="000000"/>
                <w:sz w:val="22"/>
                <w:szCs w:val="22"/>
              </w:rPr>
            </w:pPr>
          </w:p>
        </w:tc>
        <w:tc>
          <w:tcPr>
            <w:tcW w:w="1015" w:type="dxa"/>
            <w:tcBorders>
              <w:top w:val="nil"/>
              <w:left w:val="nil"/>
              <w:bottom w:val="nil"/>
              <w:right w:val="nil"/>
            </w:tcBorders>
            <w:shd w:val="clear" w:color="auto" w:fill="auto"/>
            <w:vAlign w:val="center"/>
          </w:tcPr>
          <w:p>
            <w:pPr>
              <w:rPr>
                <w:rFonts w:ascii="宋体" w:hAnsi="宋体" w:cs="宋体"/>
                <w:color w:val="000000"/>
                <w:sz w:val="22"/>
                <w:szCs w:val="22"/>
              </w:rPr>
            </w:pPr>
          </w:p>
        </w:tc>
        <w:tc>
          <w:tcPr>
            <w:tcW w:w="1149" w:type="dxa"/>
            <w:tcBorders>
              <w:top w:val="nil"/>
              <w:left w:val="nil"/>
              <w:bottom w:val="nil"/>
              <w:right w:val="nil"/>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jc w:val="center"/>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项目名称</w:t>
            </w:r>
          </w:p>
        </w:tc>
        <w:tc>
          <w:tcPr>
            <w:tcW w:w="809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扶贫工作经费</w:t>
            </w:r>
          </w:p>
        </w:tc>
      </w:tr>
      <w:tr>
        <w:tblPrEx>
          <w:tblCellMar>
            <w:top w:w="0" w:type="dxa"/>
            <w:left w:w="108" w:type="dxa"/>
            <w:bottom w:w="0" w:type="dxa"/>
            <w:right w:w="108" w:type="dxa"/>
          </w:tblCellMar>
        </w:tblPrEx>
        <w:trPr>
          <w:trHeight w:val="360" w:hRule="atLeast"/>
          <w:jc w:val="center"/>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主管单位</w:t>
            </w:r>
          </w:p>
        </w:tc>
        <w:tc>
          <w:tcPr>
            <w:tcW w:w="3964" w:type="dxa"/>
            <w:gridSpan w:val="7"/>
            <w:tcBorders>
              <w:top w:val="single" w:color="000000" w:sz="4" w:space="0"/>
              <w:left w:val="single" w:color="000000" w:sz="4" w:space="0"/>
              <w:bottom w:val="single" w:color="000000" w:sz="4" w:space="0"/>
              <w:right w:val="nil"/>
            </w:tcBorders>
            <w:shd w:val="clear" w:color="auto" w:fill="auto"/>
            <w:vAlign w:val="center"/>
          </w:tcPr>
          <w:p>
            <w:pPr>
              <w:spacing w:line="240" w:lineRule="exact"/>
              <w:jc w:val="center"/>
              <w:rPr>
                <w:rFonts w:ascii="仿宋" w:hAnsi="仿宋" w:eastAsia="仿宋" w:cs="宋体"/>
                <w:color w:val="000000"/>
                <w:szCs w:val="21"/>
              </w:rPr>
            </w:pPr>
          </w:p>
        </w:tc>
        <w:tc>
          <w:tcPr>
            <w:tcW w:w="236" w:type="dxa"/>
            <w:tcBorders>
              <w:top w:val="single" w:color="000000" w:sz="4" w:space="0"/>
              <w:left w:val="nil"/>
              <w:bottom w:val="single" w:color="000000" w:sz="4" w:space="0"/>
              <w:right w:val="nil"/>
            </w:tcBorders>
            <w:shd w:val="clear" w:color="auto" w:fill="auto"/>
            <w:vAlign w:val="center"/>
          </w:tcPr>
          <w:p>
            <w:pPr>
              <w:spacing w:line="240" w:lineRule="exact"/>
              <w:jc w:val="center"/>
              <w:rPr>
                <w:rFonts w:ascii="仿宋" w:hAnsi="仿宋" w:eastAsia="仿宋" w:cs="宋体"/>
                <w:color w:val="000000"/>
                <w:szCs w:val="21"/>
              </w:rPr>
            </w:pPr>
          </w:p>
        </w:tc>
        <w:tc>
          <w:tcPr>
            <w:tcW w:w="1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实施单位</w:t>
            </w:r>
          </w:p>
        </w:tc>
        <w:tc>
          <w:tcPr>
            <w:tcW w:w="2164" w:type="dxa"/>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广元市交通技工学校</w:t>
            </w:r>
          </w:p>
        </w:tc>
      </w:tr>
      <w:tr>
        <w:tblPrEx>
          <w:tblCellMar>
            <w:top w:w="0" w:type="dxa"/>
            <w:left w:w="108" w:type="dxa"/>
            <w:bottom w:w="0" w:type="dxa"/>
            <w:right w:w="108" w:type="dxa"/>
          </w:tblCellMar>
        </w:tblPrEx>
        <w:trPr>
          <w:trHeight w:val="360"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预算</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执行</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情况</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（万元）</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预算数：</w:t>
            </w:r>
          </w:p>
        </w:tc>
        <w:tc>
          <w:tcPr>
            <w:tcW w:w="32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0.75</w:t>
            </w:r>
          </w:p>
        </w:tc>
        <w:tc>
          <w:tcPr>
            <w:tcW w:w="26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执行数：</w:t>
            </w:r>
          </w:p>
        </w:tc>
        <w:tc>
          <w:tcPr>
            <w:tcW w:w="1015" w:type="dxa"/>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0.75</w:t>
            </w:r>
          </w:p>
        </w:tc>
        <w:tc>
          <w:tcPr>
            <w:tcW w:w="1149" w:type="dxa"/>
            <w:tcBorders>
              <w:top w:val="single" w:color="000000" w:sz="4" w:space="0"/>
              <w:left w:val="nil"/>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463"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宋体"/>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其中：财政拨款</w:t>
            </w:r>
          </w:p>
        </w:tc>
        <w:tc>
          <w:tcPr>
            <w:tcW w:w="32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0.75</w:t>
            </w:r>
          </w:p>
        </w:tc>
        <w:tc>
          <w:tcPr>
            <w:tcW w:w="2671" w:type="dxa"/>
            <w:gridSpan w:val="5"/>
            <w:tcBorders>
              <w:top w:val="single" w:color="000000" w:sz="4" w:space="0"/>
              <w:left w:val="nil"/>
              <w:bottom w:val="nil"/>
              <w:right w:val="single" w:color="000000"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其中：财政拨款</w:t>
            </w:r>
          </w:p>
        </w:tc>
        <w:tc>
          <w:tcPr>
            <w:tcW w:w="1015" w:type="dxa"/>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0.75</w:t>
            </w:r>
          </w:p>
        </w:tc>
        <w:tc>
          <w:tcPr>
            <w:tcW w:w="1149" w:type="dxa"/>
            <w:tcBorders>
              <w:top w:val="single" w:color="000000" w:sz="4" w:space="0"/>
              <w:left w:val="nil"/>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398"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宋体"/>
                <w:color w:val="000000"/>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其他资金</w:t>
            </w:r>
          </w:p>
        </w:tc>
        <w:tc>
          <w:tcPr>
            <w:tcW w:w="32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宋体"/>
                <w:color w:val="000000"/>
                <w:szCs w:val="21"/>
              </w:rPr>
            </w:pPr>
          </w:p>
        </w:tc>
        <w:tc>
          <w:tcPr>
            <w:tcW w:w="2671" w:type="dxa"/>
            <w:gridSpan w:val="5"/>
            <w:tcBorders>
              <w:top w:val="single" w:color="000000" w:sz="4" w:space="0"/>
              <w:left w:val="nil"/>
              <w:bottom w:val="nil"/>
              <w:right w:val="single" w:color="000000"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其他资金</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right"/>
              <w:rPr>
                <w:rFonts w:ascii="仿宋" w:hAnsi="仿宋" w:eastAsia="仿宋" w:cs="宋体"/>
                <w:color w:val="000000"/>
                <w:szCs w:val="21"/>
              </w:rPr>
            </w:pPr>
          </w:p>
        </w:tc>
      </w:tr>
      <w:tr>
        <w:tblPrEx>
          <w:tblCellMar>
            <w:top w:w="0" w:type="dxa"/>
            <w:left w:w="108" w:type="dxa"/>
            <w:bottom w:w="0" w:type="dxa"/>
            <w:right w:w="108" w:type="dxa"/>
          </w:tblCellMar>
        </w:tblPrEx>
        <w:trPr>
          <w:trHeight w:val="418"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年度</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目标</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完成</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情况</w:t>
            </w:r>
          </w:p>
        </w:tc>
        <w:tc>
          <w:tcPr>
            <w:tcW w:w="48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预期目标</w:t>
            </w:r>
          </w:p>
        </w:tc>
        <w:tc>
          <w:tcPr>
            <w:tcW w:w="48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实际完成目标</w:t>
            </w:r>
          </w:p>
        </w:tc>
      </w:tr>
      <w:tr>
        <w:tblPrEx>
          <w:tblCellMar>
            <w:top w:w="0" w:type="dxa"/>
            <w:left w:w="108" w:type="dxa"/>
            <w:bottom w:w="0" w:type="dxa"/>
            <w:right w:w="108" w:type="dxa"/>
          </w:tblCellMar>
        </w:tblPrEx>
        <w:trPr>
          <w:trHeight w:val="1275"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宋体"/>
                <w:color w:val="000000"/>
                <w:szCs w:val="21"/>
              </w:rPr>
            </w:pPr>
          </w:p>
        </w:tc>
        <w:tc>
          <w:tcPr>
            <w:tcW w:w="4878" w:type="dxa"/>
            <w:gridSpan w:val="7"/>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exact"/>
              <w:jc w:val="left"/>
              <w:textAlignment w:val="top"/>
              <w:rPr>
                <w:rFonts w:ascii="仿宋" w:hAnsi="仿宋" w:eastAsia="仿宋" w:cs="宋体"/>
                <w:color w:val="000000"/>
                <w:szCs w:val="21"/>
              </w:rPr>
            </w:pPr>
            <w:r>
              <w:rPr>
                <w:rFonts w:hint="eastAsia" w:ascii="仿宋" w:hAnsi="仿宋" w:eastAsia="仿宋" w:cs="宋体"/>
                <w:color w:val="000000"/>
                <w:kern w:val="0"/>
                <w:szCs w:val="21"/>
              </w:rPr>
              <w:t>通过产业扶贫、危房改造、教育扶贫、基本医疗、社会救助、农村基础设施建设等，保障扶贫资金安全高效使用，实现精准脱贫目标打下了坚实基础。通过对市扶贫办扶贫事务管理经费项目财政支出绩效评价，强化单位财政支出管理，提高财政资金使用效益和政府管理效能。</w:t>
            </w:r>
          </w:p>
        </w:tc>
        <w:tc>
          <w:tcPr>
            <w:tcW w:w="4835" w:type="dxa"/>
            <w:gridSpan w:val="7"/>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exact"/>
              <w:jc w:val="left"/>
              <w:textAlignment w:val="top"/>
              <w:rPr>
                <w:rFonts w:ascii="仿宋" w:hAnsi="仿宋" w:eastAsia="仿宋" w:cs="宋体"/>
                <w:color w:val="000000"/>
                <w:szCs w:val="21"/>
              </w:rPr>
            </w:pP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对扶贫户全部走访慰问。</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下乡发放慰问品2次。完成100％。</w:t>
            </w:r>
          </w:p>
        </w:tc>
      </w:tr>
      <w:tr>
        <w:tblPrEx>
          <w:tblCellMar>
            <w:top w:w="0" w:type="dxa"/>
            <w:left w:w="108" w:type="dxa"/>
            <w:bottom w:w="0" w:type="dxa"/>
            <w:right w:w="108" w:type="dxa"/>
          </w:tblCellMar>
        </w:tblPrEx>
        <w:trPr>
          <w:trHeight w:val="656" w:hRule="atLeast"/>
          <w:jc w:val="center"/>
        </w:trPr>
        <w:tc>
          <w:tcPr>
            <w:tcW w:w="7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年度</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绩效</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完成</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情况</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一级指标</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二级指标</w:t>
            </w:r>
          </w:p>
        </w:tc>
        <w:tc>
          <w:tcPr>
            <w:tcW w:w="2043"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三级指标</w:t>
            </w: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指标值（包含数字及文字描述）</w:t>
            </w: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实际完成指标值（包含数字及文字描述）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未完成原因及改进措施</w:t>
            </w:r>
          </w:p>
        </w:tc>
      </w:tr>
      <w:tr>
        <w:tblPrEx>
          <w:tblCellMar>
            <w:top w:w="0" w:type="dxa"/>
            <w:left w:w="108" w:type="dxa"/>
            <w:bottom w:w="0" w:type="dxa"/>
            <w:right w:w="108" w:type="dxa"/>
          </w:tblCellMar>
        </w:tblPrEx>
        <w:trPr>
          <w:trHeight w:val="480"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6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项目完成指标</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数量指标</w:t>
            </w:r>
          </w:p>
        </w:tc>
        <w:tc>
          <w:tcPr>
            <w:tcW w:w="2043"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指标1：产业发展</w:t>
            </w: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107" w:leftChars="-51" w:right="-165" w:rightChars="-79"/>
              <w:jc w:val="left"/>
              <w:textAlignment w:val="center"/>
              <w:rPr>
                <w:rFonts w:ascii="仿宋" w:hAnsi="仿宋" w:eastAsia="仿宋" w:cs="宋体"/>
                <w:color w:val="000000"/>
                <w:szCs w:val="21"/>
              </w:rPr>
            </w:pPr>
            <w:r>
              <w:rPr>
                <w:rFonts w:hint="eastAsia" w:ascii="仿宋" w:hAnsi="仿宋" w:eastAsia="仿宋" w:cs="宋体"/>
                <w:color w:val="000000"/>
                <w:kern w:val="0"/>
                <w:szCs w:val="21"/>
              </w:rPr>
              <w:t>全覆盖走访慰问帮扶村贫困户</w:t>
            </w: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全覆盖走访慰问帮扶村贫困户，完成100%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432"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6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2043"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指标2：帮扶村个数</w:t>
            </w: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1个</w:t>
            </w: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宣讲政策12次</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411"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6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2043"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驻村工作队员</w:t>
            </w: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1人</w:t>
            </w: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长期驻村</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417"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6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质量指标</w:t>
            </w:r>
          </w:p>
        </w:tc>
        <w:tc>
          <w:tcPr>
            <w:tcW w:w="2043"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扶贫工作完成度</w:t>
            </w: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≥97％</w:t>
            </w: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≥97％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423"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6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时效指标</w:t>
            </w:r>
          </w:p>
        </w:tc>
        <w:tc>
          <w:tcPr>
            <w:tcW w:w="2043"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指标1：完成时间</w:t>
            </w: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2021年12月底</w:t>
            </w: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2021年12月底完成。</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660"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6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成本指标</w:t>
            </w:r>
          </w:p>
        </w:tc>
        <w:tc>
          <w:tcPr>
            <w:tcW w:w="2043"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指标1：驻村人员经费</w:t>
            </w: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0.75万元</w:t>
            </w: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保障了驻村人员经费。</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480"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6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项目效果指标</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经济效益</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2043"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指标1：以购代捐</w:t>
            </w: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以购代捐人均200元</w:t>
            </w: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以购代捐人均≥200元</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615"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6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社会效益</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2043"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指标1：开展就业培训</w:t>
            </w: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开展就业培训，带动就业，增加收入。</w:t>
            </w: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疫情防控培训1次，就业培训2次。</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600"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6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2043"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指标2：国家政策宣传</w:t>
            </w: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政策知晓度进一步提升</w:t>
            </w: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开展政策宣讲12次</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571"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6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可持续影响指标</w:t>
            </w:r>
          </w:p>
        </w:tc>
        <w:tc>
          <w:tcPr>
            <w:tcW w:w="2043"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指标1：2021年全面脱贫</w:t>
            </w: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达到预期目标</w:t>
            </w: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达到预期目标</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645"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满意度</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满意度指标</w:t>
            </w:r>
          </w:p>
        </w:tc>
        <w:tc>
          <w:tcPr>
            <w:tcW w:w="2043"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指标1：贫困户，群众满意度</w:t>
            </w: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满意度95%</w:t>
            </w: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询问调查满意度95%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仿宋" w:hAnsi="仿宋" w:eastAsia="仿宋" w:cs="宋体"/>
                <w:color w:val="000000"/>
                <w:szCs w:val="21"/>
              </w:rPr>
            </w:pPr>
          </w:p>
        </w:tc>
      </w:tr>
    </w:tbl>
    <w:p>
      <w:pPr>
        <w:spacing w:line="576" w:lineRule="exact"/>
        <w:jc w:val="center"/>
        <w:rPr>
          <w:rFonts w:ascii="方正小标宋简体" w:hAnsi="仿宋" w:eastAsia="方正小标宋简体"/>
          <w:sz w:val="44"/>
        </w:rPr>
      </w:pPr>
      <w:r>
        <w:rPr>
          <w:rFonts w:hint="eastAsia" w:ascii="方正小标宋简体" w:hAnsi="仿宋" w:eastAsia="方正小标宋简体"/>
          <w:sz w:val="44"/>
        </w:rPr>
        <w:t>广元市交通技工学校</w:t>
      </w:r>
    </w:p>
    <w:p>
      <w:pPr>
        <w:spacing w:line="576" w:lineRule="exact"/>
        <w:jc w:val="center"/>
        <w:rPr>
          <w:rFonts w:ascii="方正小标宋简体" w:hAnsi="仿宋" w:eastAsia="方正小标宋简体"/>
          <w:sz w:val="44"/>
        </w:rPr>
      </w:pPr>
      <w:r>
        <w:rPr>
          <w:rFonts w:hint="eastAsia" w:ascii="方正小标宋简体" w:hAnsi="仿宋" w:eastAsia="方正小标宋简体"/>
          <w:sz w:val="44"/>
        </w:rPr>
        <w:t>教练员及聘用管理人员工作经费项目支出绩效自评报告</w:t>
      </w:r>
    </w:p>
    <w:p>
      <w:pPr>
        <w:spacing w:line="576" w:lineRule="exact"/>
        <w:ind w:firstLine="750" w:firstLineChars="250"/>
        <w:jc w:val="center"/>
        <w:rPr>
          <w:rFonts w:ascii="仿宋" w:hAnsi="仿宋" w:eastAsia="仿宋" w:cs="仿宋"/>
          <w:sz w:val="30"/>
          <w:szCs w:val="30"/>
        </w:rPr>
      </w:pP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rPr>
        <w:t>一、</w:t>
      </w:r>
      <w:r>
        <w:rPr>
          <w:rFonts w:hint="eastAsia" w:ascii="仿宋" w:hAnsi="仿宋" w:eastAsia="仿宋" w:cs="仿宋"/>
          <w:sz w:val="30"/>
          <w:szCs w:val="30"/>
          <w:lang w:val="zh-CN"/>
        </w:rPr>
        <w:t>项目概况</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（一）项目基本情况</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我校现有聘用管理人员10人，教练员39人，该项目资金主要用于教练员和聘用人员保险、工资。人员工资.保险经费，是开展驾驶员培训，短期培训工作的保障，缓解了人员不足,经费不足的情况，确保工作顺利进行，社会效益和经济效益显著。</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（二）项目绩效目标</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1．项目主要内容</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产出指标：</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（1）数量指标。一是发放49名聘用人员工资及缴纳各项保险；二是人均月发放工资福利不低于3250元。三是人均缴纳各项保险1065元。</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（2）质量指标。聘用管理人员年终考核全部合格；培训学员合格率90%以上。</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（3）时效指标。每月15号左右完成工资发放。每月25号前完成各项保险的缴纳。</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（4）成本指标。人员经费支出不超预算。</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（5）成效指标。社会效益指标：</w:t>
      </w:r>
      <w:r>
        <w:rPr>
          <w:rFonts w:hint="eastAsia" w:ascii="仿宋" w:hAnsi="仿宋" w:eastAsia="仿宋" w:cs="仿宋"/>
          <w:kern w:val="0"/>
          <w:sz w:val="30"/>
          <w:szCs w:val="30"/>
        </w:rPr>
        <w:t>增加了社会就业率。满意度指标：95%以上的聘用人员对工资发放满意。</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2．项目应实现的具体绩效目标</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完成驾驶员培训工作实际完成1221人。完成短期培训工作完成职业培训1548人。</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3．评价申报内容是与实际相符，申报目标合理可行</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与申报项目相符，申报目标可行。</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（三）项目自评步骤及方法</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rPr>
        <w:t>我校成立了绩效评价工作组，采取了解和查看凭证等形式对项目绩效进行总结评价，并完成了自评。</w:t>
      </w:r>
    </w:p>
    <w:p>
      <w:pPr>
        <w:adjustRightInd w:val="0"/>
        <w:snapToGrid w:val="0"/>
        <w:spacing w:line="576" w:lineRule="exact"/>
        <w:ind w:firstLine="600" w:firstLineChars="200"/>
        <w:rPr>
          <w:rFonts w:ascii="仿宋" w:hAnsi="仿宋" w:eastAsia="仿宋" w:cs="仿宋"/>
          <w:sz w:val="30"/>
          <w:szCs w:val="30"/>
        </w:rPr>
      </w:pPr>
      <w:r>
        <w:rPr>
          <w:rFonts w:hint="eastAsia" w:ascii="仿宋" w:hAnsi="仿宋" w:eastAsia="仿宋" w:cs="仿宋"/>
          <w:sz w:val="30"/>
          <w:szCs w:val="30"/>
        </w:rPr>
        <w:t>二、项目资金申报及使用情况</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（一）项目资金申报及批复情况</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项目资金申报预算资金338.28万元，财政批复338.01万元。未进行预算调整。</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（二）资金计划、到位及使用情况</w:t>
      </w:r>
    </w:p>
    <w:p>
      <w:pPr>
        <w:adjustRightInd w:val="0"/>
        <w:snapToGrid w:val="0"/>
        <w:spacing w:line="576" w:lineRule="exact"/>
        <w:ind w:firstLine="600" w:firstLineChars="200"/>
        <w:rPr>
          <w:rFonts w:ascii="仿宋" w:hAnsi="仿宋" w:eastAsia="仿宋" w:cs="仿宋"/>
          <w:bCs/>
          <w:sz w:val="30"/>
          <w:szCs w:val="30"/>
          <w:lang w:val="zh-CN"/>
        </w:rPr>
      </w:pPr>
      <w:r>
        <w:rPr>
          <w:rFonts w:hint="eastAsia" w:ascii="仿宋" w:hAnsi="仿宋" w:eastAsia="仿宋" w:cs="仿宋"/>
          <w:bCs/>
          <w:sz w:val="30"/>
          <w:szCs w:val="30"/>
          <w:lang w:val="zh-CN"/>
        </w:rPr>
        <w:t>1.资金计划</w:t>
      </w:r>
    </w:p>
    <w:p>
      <w:pPr>
        <w:adjustRightInd w:val="0"/>
        <w:snapToGrid w:val="0"/>
        <w:spacing w:line="576" w:lineRule="exact"/>
        <w:ind w:firstLine="750" w:firstLineChars="250"/>
        <w:rPr>
          <w:rFonts w:ascii="仿宋" w:hAnsi="仿宋" w:eastAsia="仿宋" w:cs="仿宋"/>
          <w:sz w:val="30"/>
          <w:szCs w:val="30"/>
          <w:lang w:val="zh-CN"/>
        </w:rPr>
      </w:pPr>
      <w:r>
        <w:rPr>
          <w:rFonts w:hint="eastAsia" w:ascii="仿宋" w:hAnsi="仿宋" w:eastAsia="仿宋" w:cs="仿宋"/>
          <w:sz w:val="30"/>
          <w:szCs w:val="30"/>
          <w:lang w:val="zh-CN"/>
        </w:rPr>
        <w:t>2021年该项目财政预算资金338.28万元，主要用于聘用教练员及聘用管理人员工资.保险，等经费支出。</w:t>
      </w:r>
    </w:p>
    <w:p>
      <w:pPr>
        <w:adjustRightInd w:val="0"/>
        <w:snapToGrid w:val="0"/>
        <w:spacing w:line="576" w:lineRule="exact"/>
        <w:ind w:firstLine="600" w:firstLineChars="200"/>
        <w:rPr>
          <w:rFonts w:ascii="仿宋" w:hAnsi="仿宋" w:eastAsia="仿宋" w:cs="仿宋"/>
          <w:bCs/>
          <w:sz w:val="30"/>
          <w:szCs w:val="30"/>
          <w:lang w:val="zh-CN"/>
        </w:rPr>
      </w:pPr>
      <w:r>
        <w:rPr>
          <w:rFonts w:hint="eastAsia" w:ascii="仿宋" w:hAnsi="仿宋" w:eastAsia="仿宋" w:cs="仿宋"/>
          <w:bCs/>
          <w:sz w:val="30"/>
          <w:szCs w:val="30"/>
          <w:lang w:val="zh-CN"/>
        </w:rPr>
        <w:t>2.资金到位</w:t>
      </w:r>
    </w:p>
    <w:p>
      <w:pPr>
        <w:adjustRightInd w:val="0"/>
        <w:snapToGrid w:val="0"/>
        <w:spacing w:line="576" w:lineRule="exact"/>
        <w:ind w:firstLine="750" w:firstLineChars="250"/>
        <w:rPr>
          <w:rFonts w:ascii="仿宋" w:hAnsi="仿宋" w:eastAsia="仿宋" w:cs="仿宋"/>
          <w:sz w:val="30"/>
          <w:szCs w:val="30"/>
          <w:lang w:val="zh-CN"/>
        </w:rPr>
      </w:pPr>
      <w:r>
        <w:rPr>
          <w:rFonts w:hint="eastAsia" w:ascii="仿宋" w:hAnsi="仿宋" w:eastAsia="仿宋" w:cs="仿宋"/>
          <w:sz w:val="30"/>
          <w:szCs w:val="30"/>
          <w:lang w:val="zh-CN"/>
        </w:rPr>
        <w:t xml:space="preserve">2021年该项目财政下拨资金338.01万元。 </w:t>
      </w:r>
    </w:p>
    <w:p>
      <w:pPr>
        <w:adjustRightInd w:val="0"/>
        <w:snapToGrid w:val="0"/>
        <w:spacing w:line="576" w:lineRule="exact"/>
        <w:ind w:firstLine="600" w:firstLineChars="200"/>
        <w:rPr>
          <w:rFonts w:ascii="仿宋" w:hAnsi="仿宋" w:eastAsia="仿宋" w:cs="仿宋"/>
          <w:bCs/>
          <w:sz w:val="30"/>
          <w:szCs w:val="30"/>
          <w:lang w:val="zh-CN"/>
        </w:rPr>
      </w:pPr>
      <w:r>
        <w:rPr>
          <w:rFonts w:hint="eastAsia" w:ascii="仿宋" w:hAnsi="仿宋" w:eastAsia="仿宋" w:cs="仿宋"/>
          <w:bCs/>
          <w:sz w:val="30"/>
          <w:szCs w:val="30"/>
          <w:lang w:val="zh-CN"/>
        </w:rPr>
        <w:t>3.资金使用</w:t>
      </w:r>
    </w:p>
    <w:p>
      <w:pPr>
        <w:adjustRightInd w:val="0"/>
        <w:snapToGrid w:val="0"/>
        <w:spacing w:line="576" w:lineRule="exact"/>
        <w:ind w:firstLine="600" w:firstLineChars="200"/>
        <w:rPr>
          <w:rFonts w:ascii="仿宋" w:hAnsi="仿宋" w:eastAsia="仿宋" w:cs="仿宋"/>
          <w:sz w:val="30"/>
          <w:szCs w:val="30"/>
        </w:rPr>
      </w:pPr>
      <w:r>
        <w:rPr>
          <w:rFonts w:hint="eastAsia" w:ascii="仿宋" w:hAnsi="仿宋" w:eastAsia="仿宋" w:cs="仿宋"/>
          <w:sz w:val="30"/>
          <w:szCs w:val="30"/>
        </w:rPr>
        <w:t>该资金使用</w:t>
      </w:r>
      <w:r>
        <w:rPr>
          <w:rFonts w:hint="eastAsia" w:ascii="仿宋" w:hAnsi="仿宋" w:eastAsia="仿宋" w:cs="仿宋"/>
          <w:sz w:val="30"/>
          <w:szCs w:val="30"/>
          <w:lang w:val="zh-CN"/>
        </w:rPr>
        <w:t>338.01</w:t>
      </w:r>
      <w:r>
        <w:rPr>
          <w:rFonts w:hint="eastAsia" w:ascii="仿宋" w:hAnsi="仿宋" w:eastAsia="仿宋" w:cs="仿宋"/>
          <w:sz w:val="30"/>
          <w:szCs w:val="30"/>
        </w:rPr>
        <w:t>万元，预算完成率99%，全部用于</w:t>
      </w:r>
      <w:r>
        <w:rPr>
          <w:rFonts w:hint="eastAsia" w:ascii="仿宋" w:hAnsi="仿宋" w:eastAsia="仿宋" w:cs="仿宋"/>
          <w:sz w:val="30"/>
          <w:szCs w:val="30"/>
          <w:lang w:val="zh-CN"/>
        </w:rPr>
        <w:t>教练员及聘用管理人员工资.保险，等经费支出</w:t>
      </w:r>
      <w:r>
        <w:rPr>
          <w:rFonts w:hint="eastAsia" w:ascii="仿宋" w:hAnsi="仿宋" w:eastAsia="仿宋" w:cs="仿宋"/>
          <w:sz w:val="30"/>
          <w:szCs w:val="30"/>
        </w:rPr>
        <w:t>。</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（三）项目财务管理情况</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教练员及聘用管理人员工资及保险支出符合《财务管理制度》做到专款专用杜绝挤占、截留、挪用项目资金的情况发生，资金财务处理及时、会计核算规范，保障了项目的顺利进行。</w:t>
      </w:r>
    </w:p>
    <w:p>
      <w:pPr>
        <w:adjustRightInd w:val="0"/>
        <w:snapToGrid w:val="0"/>
        <w:spacing w:line="576" w:lineRule="exact"/>
        <w:ind w:firstLine="600" w:firstLineChars="200"/>
        <w:rPr>
          <w:rFonts w:ascii="仿宋" w:hAnsi="仿宋" w:eastAsia="仿宋" w:cs="仿宋"/>
          <w:sz w:val="30"/>
          <w:szCs w:val="30"/>
        </w:rPr>
      </w:pPr>
      <w:r>
        <w:rPr>
          <w:rFonts w:hint="eastAsia" w:ascii="仿宋" w:hAnsi="仿宋" w:eastAsia="仿宋" w:cs="仿宋"/>
          <w:sz w:val="30"/>
          <w:szCs w:val="30"/>
        </w:rPr>
        <w:t>三、项目实施及管理情况</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（一）项目组织架构及实施流程</w:t>
      </w:r>
    </w:p>
    <w:p>
      <w:pPr>
        <w:adjustRightInd w:val="0"/>
        <w:snapToGrid w:val="0"/>
        <w:spacing w:line="576" w:lineRule="exact"/>
        <w:ind w:firstLine="750" w:firstLineChars="250"/>
        <w:rPr>
          <w:rFonts w:ascii="仿宋" w:hAnsi="仿宋" w:eastAsia="仿宋" w:cs="仿宋"/>
          <w:sz w:val="30"/>
          <w:szCs w:val="30"/>
        </w:rPr>
      </w:pPr>
      <w:r>
        <w:rPr>
          <w:rFonts w:hint="eastAsia" w:ascii="仿宋" w:hAnsi="仿宋" w:eastAsia="仿宋" w:cs="仿宋"/>
          <w:sz w:val="30"/>
          <w:szCs w:val="30"/>
          <w:lang w:val="zh-CN"/>
        </w:rPr>
        <w:t>教练员及聘用管理人员</w:t>
      </w:r>
      <w:r>
        <w:rPr>
          <w:rFonts w:hint="eastAsia" w:ascii="仿宋" w:hAnsi="仿宋" w:eastAsia="仿宋" w:cs="仿宋"/>
          <w:sz w:val="30"/>
          <w:szCs w:val="30"/>
        </w:rPr>
        <w:t>工资的申报严格按照市财政资金管理的要求进行，该项目资金财政拨款到单位后及时进行了项目开展和资金投入。我校关于该项目进展严格按照相关要求执行，做好资金的审核审批工作。</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（二）项目管理情况</w:t>
      </w:r>
    </w:p>
    <w:p>
      <w:pPr>
        <w:adjustRightInd w:val="0"/>
        <w:snapToGrid w:val="0"/>
        <w:spacing w:line="576" w:lineRule="exact"/>
        <w:ind w:firstLine="600" w:firstLineChars="200"/>
        <w:rPr>
          <w:rFonts w:ascii="仿宋" w:hAnsi="仿宋" w:eastAsia="仿宋" w:cs="仿宋"/>
          <w:sz w:val="30"/>
          <w:szCs w:val="30"/>
        </w:rPr>
      </w:pPr>
      <w:r>
        <w:rPr>
          <w:rFonts w:hint="eastAsia" w:ascii="仿宋" w:hAnsi="仿宋" w:eastAsia="仿宋" w:cs="仿宋"/>
          <w:sz w:val="30"/>
          <w:szCs w:val="30"/>
        </w:rPr>
        <w:t>本项目支出均按照有关规章制度和项目实施完成情况进行支付。教练员及聘用管理人员工资、保险等各项支出由财务科完成，我校领导审核。做到专款专用，严禁虚报、挤占、挪用，项目过程中全部按照办法执行，无违反规定的发生。</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（三）项目监管情况</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本项目支出有专人负责工作进展，对项目进度及时跟进，由学校领导进行监督管理，驾培科、财务科共同实施。</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rPr>
        <w:t>四、项目绩效情况</w:t>
      </w:r>
      <w:r>
        <w:rPr>
          <w:rFonts w:hint="eastAsia" w:ascii="仿宋" w:hAnsi="仿宋" w:eastAsia="仿宋" w:cs="仿宋"/>
          <w:sz w:val="30"/>
          <w:szCs w:val="30"/>
          <w:lang w:val="zh-CN"/>
        </w:rPr>
        <w:tab/>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（一）项目完成情况</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1.数量指标</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截止2021年12月31日，项目实际投资338.01万元。完成率99%，项目数量指标全部完成。(1)工资全部发放；（2）各项保险全部缴纳。</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2.质量指标</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（1）经学校考核领导小组考核，聘用人员2021年度考核全部合格；</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（2）聘用人员工资基本按时发放；</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（3）保险按时缴纳；</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（4）项目经费自出不超预算。</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3.时效指标</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2021年12月底完成扶贫工作。</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4.成本指标</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聘用教练39人，月工资4300元。管理人员10人，月工资2200元。聘用人员各项保险62.64万元，聘用管理人员目标奖10万元，定补人员目标奖38万元。</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（二）项目效益情况</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1.经济效益指标</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完成非税收入618.4万元。</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2.社会效益指标</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满足群众交通出行需求，增加社会就业率100%。</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3.生态效益指标</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环境绿化亮化、节能减排降噪等生态化应用率100%。</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4.可持续影响指标</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合理配置资源，符合发展需求。</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5.满意度指标</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聘用教练员，管理人员满意度100%。</w:t>
      </w:r>
    </w:p>
    <w:p>
      <w:pPr>
        <w:adjustRightInd w:val="0"/>
        <w:snapToGrid w:val="0"/>
        <w:spacing w:line="576" w:lineRule="exact"/>
        <w:ind w:firstLine="600" w:firstLineChars="200"/>
        <w:rPr>
          <w:rFonts w:ascii="仿宋" w:hAnsi="仿宋" w:eastAsia="仿宋" w:cs="仿宋"/>
          <w:sz w:val="30"/>
          <w:szCs w:val="30"/>
        </w:rPr>
      </w:pPr>
      <w:r>
        <w:rPr>
          <w:rFonts w:hint="eastAsia" w:ascii="仿宋" w:hAnsi="仿宋" w:eastAsia="仿宋" w:cs="仿宋"/>
          <w:sz w:val="30"/>
          <w:szCs w:val="30"/>
        </w:rPr>
        <w:t>五、评价结论及建议</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（一）评价结论</w:t>
      </w:r>
    </w:p>
    <w:p>
      <w:pPr>
        <w:adjustRightInd w:val="0"/>
        <w:snapToGrid w:val="0"/>
        <w:spacing w:line="576" w:lineRule="exact"/>
        <w:ind w:firstLine="600" w:firstLineChars="200"/>
        <w:rPr>
          <w:rFonts w:ascii="仿宋" w:hAnsi="仿宋" w:eastAsia="仿宋" w:cs="仿宋"/>
          <w:sz w:val="30"/>
          <w:szCs w:val="30"/>
          <w:bdr w:val="single" w:color="auto" w:sz="4" w:space="0"/>
          <w:lang w:val="zh-CN"/>
        </w:rPr>
      </w:pPr>
      <w:r>
        <w:rPr>
          <w:rFonts w:hint="eastAsia" w:ascii="仿宋" w:hAnsi="仿宋" w:eastAsia="仿宋" w:cs="仿宋"/>
          <w:sz w:val="30"/>
          <w:szCs w:val="30"/>
          <w:lang w:val="zh-CN"/>
        </w:rPr>
        <w:t>严格按照市委政府有关规定及项目管理要求来开展各项工作，做到按计划实施、按规矩办事，确保项目顺利完成，安排专人负责预算绩效管理工作，提高绩效的管理水平。通过自评，自评分：92分。</w:t>
      </w:r>
    </w:p>
    <w:p>
      <w:pPr>
        <w:numPr>
          <w:ilvl w:val="0"/>
          <w:numId w:val="5"/>
        </w:num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存在的问题</w:t>
      </w:r>
    </w:p>
    <w:p>
      <w:pPr>
        <w:adjustRightInd w:val="0"/>
        <w:snapToGrid w:val="0"/>
        <w:spacing w:line="576"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无。</w:t>
      </w:r>
    </w:p>
    <w:tbl>
      <w:tblPr>
        <w:tblStyle w:val="13"/>
        <w:tblW w:w="10031" w:type="dxa"/>
        <w:jc w:val="center"/>
        <w:tblLayout w:type="fixed"/>
        <w:tblCellMar>
          <w:top w:w="0" w:type="dxa"/>
          <w:left w:w="108" w:type="dxa"/>
          <w:bottom w:w="0" w:type="dxa"/>
          <w:right w:w="108" w:type="dxa"/>
        </w:tblCellMar>
      </w:tblPr>
      <w:tblGrid>
        <w:gridCol w:w="724"/>
        <w:gridCol w:w="528"/>
        <w:gridCol w:w="464"/>
        <w:gridCol w:w="709"/>
        <w:gridCol w:w="777"/>
        <w:gridCol w:w="782"/>
        <w:gridCol w:w="103"/>
        <w:gridCol w:w="1312"/>
        <w:gridCol w:w="392"/>
        <w:gridCol w:w="236"/>
        <w:gridCol w:w="155"/>
        <w:gridCol w:w="870"/>
        <w:gridCol w:w="761"/>
        <w:gridCol w:w="138"/>
        <w:gridCol w:w="2080"/>
      </w:tblGrid>
      <w:tr>
        <w:tblPrEx>
          <w:tblCellMar>
            <w:top w:w="0" w:type="dxa"/>
            <w:left w:w="108" w:type="dxa"/>
            <w:bottom w:w="0" w:type="dxa"/>
            <w:right w:w="108" w:type="dxa"/>
          </w:tblCellMar>
        </w:tblPrEx>
        <w:trPr>
          <w:trHeight w:val="540" w:hRule="atLeast"/>
          <w:jc w:val="center"/>
        </w:trPr>
        <w:tc>
          <w:tcPr>
            <w:tcW w:w="10031" w:type="dxa"/>
            <w:gridSpan w:val="15"/>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kern w:val="0"/>
                <w:sz w:val="44"/>
                <w:szCs w:val="44"/>
              </w:rPr>
              <w:t>项目支出绩效目标自评表</w:t>
            </w:r>
          </w:p>
        </w:tc>
      </w:tr>
      <w:tr>
        <w:tblPrEx>
          <w:tblCellMar>
            <w:top w:w="0" w:type="dxa"/>
            <w:left w:w="108" w:type="dxa"/>
            <w:bottom w:w="0" w:type="dxa"/>
            <w:right w:w="108" w:type="dxa"/>
          </w:tblCellMar>
        </w:tblPrEx>
        <w:trPr>
          <w:trHeight w:val="285" w:hRule="atLeast"/>
          <w:jc w:val="center"/>
        </w:trPr>
        <w:tc>
          <w:tcPr>
            <w:tcW w:w="10031" w:type="dxa"/>
            <w:gridSpan w:val="15"/>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2021 年度）</w:t>
            </w:r>
          </w:p>
        </w:tc>
      </w:tr>
      <w:tr>
        <w:tblPrEx>
          <w:tblCellMar>
            <w:top w:w="0" w:type="dxa"/>
            <w:left w:w="108" w:type="dxa"/>
            <w:bottom w:w="0" w:type="dxa"/>
            <w:right w:w="108" w:type="dxa"/>
          </w:tblCellMar>
        </w:tblPrEx>
        <w:trPr>
          <w:trHeight w:val="285" w:hRule="atLeast"/>
          <w:jc w:val="center"/>
        </w:trPr>
        <w:tc>
          <w:tcPr>
            <w:tcW w:w="1252" w:type="dxa"/>
            <w:gridSpan w:val="2"/>
            <w:tcBorders>
              <w:top w:val="nil"/>
              <w:left w:val="nil"/>
              <w:bottom w:val="nil"/>
              <w:right w:val="nil"/>
            </w:tcBorders>
            <w:shd w:val="clear" w:color="auto" w:fill="auto"/>
            <w:vAlign w:val="center"/>
          </w:tcPr>
          <w:p>
            <w:pPr>
              <w:jc w:val="center"/>
              <w:rPr>
                <w:rFonts w:ascii="宋体" w:hAnsi="宋体" w:cs="宋体"/>
                <w:color w:val="000000"/>
                <w:sz w:val="18"/>
                <w:szCs w:val="18"/>
              </w:rPr>
            </w:pPr>
          </w:p>
        </w:tc>
        <w:tc>
          <w:tcPr>
            <w:tcW w:w="1950" w:type="dxa"/>
            <w:gridSpan w:val="3"/>
            <w:tcBorders>
              <w:top w:val="nil"/>
              <w:left w:val="nil"/>
              <w:bottom w:val="nil"/>
              <w:right w:val="nil"/>
            </w:tcBorders>
            <w:shd w:val="clear" w:color="auto" w:fill="auto"/>
            <w:vAlign w:val="center"/>
          </w:tcPr>
          <w:p>
            <w:pPr>
              <w:jc w:val="center"/>
              <w:rPr>
                <w:rFonts w:ascii="宋体" w:hAnsi="宋体" w:cs="宋体"/>
                <w:color w:val="000000"/>
                <w:sz w:val="18"/>
                <w:szCs w:val="18"/>
              </w:rPr>
            </w:pPr>
          </w:p>
        </w:tc>
        <w:tc>
          <w:tcPr>
            <w:tcW w:w="885" w:type="dxa"/>
            <w:gridSpan w:val="2"/>
            <w:tcBorders>
              <w:top w:val="nil"/>
              <w:left w:val="nil"/>
              <w:bottom w:val="nil"/>
              <w:right w:val="nil"/>
            </w:tcBorders>
            <w:shd w:val="clear" w:color="auto" w:fill="auto"/>
            <w:vAlign w:val="center"/>
          </w:tcPr>
          <w:p>
            <w:pPr>
              <w:jc w:val="center"/>
              <w:rPr>
                <w:rFonts w:ascii="宋体" w:hAnsi="宋体" w:cs="宋体"/>
                <w:color w:val="000000"/>
                <w:sz w:val="18"/>
                <w:szCs w:val="18"/>
              </w:rPr>
            </w:pPr>
          </w:p>
        </w:tc>
        <w:tc>
          <w:tcPr>
            <w:tcW w:w="1704" w:type="dxa"/>
            <w:gridSpan w:val="2"/>
            <w:tcBorders>
              <w:top w:val="nil"/>
              <w:left w:val="nil"/>
              <w:bottom w:val="nil"/>
              <w:right w:val="nil"/>
            </w:tcBorders>
            <w:shd w:val="clear" w:color="auto" w:fill="auto"/>
            <w:vAlign w:val="center"/>
          </w:tcPr>
          <w:p>
            <w:pPr>
              <w:jc w:val="center"/>
              <w:rPr>
                <w:rFonts w:ascii="宋体" w:hAnsi="宋体" w:cs="宋体"/>
                <w:color w:val="000000"/>
                <w:sz w:val="18"/>
                <w:szCs w:val="18"/>
              </w:rPr>
            </w:pPr>
          </w:p>
        </w:tc>
        <w:tc>
          <w:tcPr>
            <w:tcW w:w="391" w:type="dxa"/>
            <w:gridSpan w:val="2"/>
            <w:tcBorders>
              <w:top w:val="nil"/>
              <w:left w:val="nil"/>
              <w:bottom w:val="nil"/>
              <w:right w:val="nil"/>
            </w:tcBorders>
            <w:shd w:val="clear" w:color="auto" w:fill="auto"/>
            <w:vAlign w:val="center"/>
          </w:tcPr>
          <w:p>
            <w:pPr>
              <w:jc w:val="center"/>
              <w:rPr>
                <w:rFonts w:ascii="宋体" w:hAnsi="宋体" w:cs="宋体"/>
                <w:color w:val="000000"/>
                <w:sz w:val="18"/>
                <w:szCs w:val="18"/>
              </w:rPr>
            </w:pPr>
          </w:p>
        </w:tc>
        <w:tc>
          <w:tcPr>
            <w:tcW w:w="870" w:type="dxa"/>
            <w:tcBorders>
              <w:top w:val="nil"/>
              <w:left w:val="nil"/>
              <w:bottom w:val="nil"/>
              <w:right w:val="nil"/>
            </w:tcBorders>
            <w:shd w:val="clear" w:color="auto" w:fill="auto"/>
            <w:vAlign w:val="center"/>
          </w:tcPr>
          <w:p>
            <w:pPr>
              <w:jc w:val="center"/>
              <w:rPr>
                <w:rFonts w:ascii="宋体" w:hAnsi="宋体" w:cs="宋体"/>
                <w:color w:val="000000"/>
                <w:sz w:val="18"/>
                <w:szCs w:val="18"/>
              </w:rPr>
            </w:pPr>
          </w:p>
        </w:tc>
        <w:tc>
          <w:tcPr>
            <w:tcW w:w="761" w:type="dxa"/>
            <w:tcBorders>
              <w:top w:val="nil"/>
              <w:left w:val="nil"/>
              <w:bottom w:val="nil"/>
              <w:right w:val="nil"/>
            </w:tcBorders>
            <w:shd w:val="clear" w:color="auto" w:fill="auto"/>
            <w:vAlign w:val="center"/>
          </w:tcPr>
          <w:p>
            <w:pPr>
              <w:jc w:val="center"/>
              <w:rPr>
                <w:rFonts w:ascii="宋体" w:hAnsi="宋体" w:cs="宋体"/>
                <w:color w:val="000000"/>
                <w:sz w:val="18"/>
                <w:szCs w:val="18"/>
              </w:rPr>
            </w:pPr>
          </w:p>
        </w:tc>
        <w:tc>
          <w:tcPr>
            <w:tcW w:w="2218" w:type="dxa"/>
            <w:gridSpan w:val="2"/>
            <w:tcBorders>
              <w:top w:val="nil"/>
              <w:left w:val="nil"/>
              <w:bottom w:val="nil"/>
              <w:right w:val="nil"/>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jc w:val="center"/>
        </w:trPr>
        <w:tc>
          <w:tcPr>
            <w:tcW w:w="10031" w:type="dxa"/>
            <w:gridSpan w:val="15"/>
            <w:tcBorders>
              <w:top w:val="nil"/>
              <w:left w:val="nil"/>
              <w:bottom w:val="single" w:color="auto" w:sz="4" w:space="0"/>
              <w:right w:val="nil"/>
            </w:tcBorders>
            <w:shd w:val="clear" w:color="auto" w:fill="auto"/>
            <w:noWrap/>
            <w:vAlign w:val="center"/>
          </w:tcPr>
          <w:p>
            <w:pPr>
              <w:jc w:val="left"/>
              <w:rPr>
                <w:rFonts w:ascii="宋体" w:hAnsi="宋体" w:cs="宋体"/>
                <w:color w:val="000000"/>
                <w:sz w:val="18"/>
                <w:szCs w:val="18"/>
              </w:rPr>
            </w:pPr>
            <w:r>
              <w:rPr>
                <w:rFonts w:hint="eastAsia" w:ascii="宋体" w:hAnsi="宋体" w:cs="宋体"/>
                <w:color w:val="000000"/>
                <w:kern w:val="0"/>
                <w:sz w:val="18"/>
                <w:szCs w:val="18"/>
              </w:rPr>
              <w:t>注：项目支出包括部门预算支出和专项预算支出</w:t>
            </w:r>
          </w:p>
        </w:tc>
      </w:tr>
      <w:tr>
        <w:tblPrEx>
          <w:tblCellMar>
            <w:top w:w="0" w:type="dxa"/>
            <w:left w:w="108" w:type="dxa"/>
            <w:bottom w:w="0" w:type="dxa"/>
            <w:right w:w="108" w:type="dxa"/>
          </w:tblCellMar>
        </w:tblPrEx>
        <w:trPr>
          <w:trHeight w:val="360" w:hRule="atLeast"/>
          <w:jc w:val="center"/>
        </w:trPr>
        <w:tc>
          <w:tcPr>
            <w:tcW w:w="24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项目名称</w:t>
            </w:r>
          </w:p>
        </w:tc>
        <w:tc>
          <w:tcPr>
            <w:tcW w:w="760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聘用教练员及管理人员支出</w:t>
            </w:r>
          </w:p>
        </w:tc>
      </w:tr>
      <w:tr>
        <w:tblPrEx>
          <w:tblCellMar>
            <w:top w:w="0" w:type="dxa"/>
            <w:left w:w="108" w:type="dxa"/>
            <w:bottom w:w="0" w:type="dxa"/>
            <w:right w:w="108" w:type="dxa"/>
          </w:tblCellMar>
        </w:tblPrEx>
        <w:trPr>
          <w:trHeight w:val="360" w:hRule="atLeast"/>
          <w:jc w:val="center"/>
        </w:trPr>
        <w:tc>
          <w:tcPr>
            <w:tcW w:w="24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主管单位</w:t>
            </w:r>
          </w:p>
        </w:tc>
        <w:tc>
          <w:tcPr>
            <w:tcW w:w="33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2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实施单位</w:t>
            </w:r>
          </w:p>
        </w:tc>
        <w:tc>
          <w:tcPr>
            <w:tcW w:w="29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广元市交通技工学校</w:t>
            </w:r>
          </w:p>
        </w:tc>
      </w:tr>
      <w:tr>
        <w:tblPrEx>
          <w:tblCellMar>
            <w:top w:w="0" w:type="dxa"/>
            <w:left w:w="108" w:type="dxa"/>
            <w:bottom w:w="0" w:type="dxa"/>
            <w:right w:w="108" w:type="dxa"/>
          </w:tblCellMar>
        </w:tblPrEx>
        <w:trPr>
          <w:trHeight w:val="360" w:hRule="atLeast"/>
          <w:jc w:val="center"/>
        </w:trPr>
        <w:tc>
          <w:tcPr>
            <w:tcW w:w="7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预算</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执行</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情况</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（万元）</w:t>
            </w: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预算数：</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338.28</w:t>
            </w:r>
          </w:p>
        </w:tc>
        <w:tc>
          <w:tcPr>
            <w:tcW w:w="306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执行数：</w:t>
            </w:r>
          </w:p>
        </w:tc>
        <w:tc>
          <w:tcPr>
            <w:tcW w:w="29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338.01</w:t>
            </w:r>
          </w:p>
        </w:tc>
      </w:tr>
      <w:tr>
        <w:tblPrEx>
          <w:tblCellMar>
            <w:top w:w="0" w:type="dxa"/>
            <w:left w:w="108" w:type="dxa"/>
            <w:bottom w:w="0" w:type="dxa"/>
            <w:right w:w="108" w:type="dxa"/>
          </w:tblCellMar>
        </w:tblPrEx>
        <w:trPr>
          <w:trHeight w:val="398"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其中：财政拨款</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338.28</w:t>
            </w:r>
          </w:p>
        </w:tc>
        <w:tc>
          <w:tcPr>
            <w:tcW w:w="306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其中：财政拨款</w:t>
            </w:r>
          </w:p>
        </w:tc>
        <w:tc>
          <w:tcPr>
            <w:tcW w:w="29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338.01</w:t>
            </w:r>
          </w:p>
        </w:tc>
      </w:tr>
      <w:tr>
        <w:tblPrEx>
          <w:tblCellMar>
            <w:top w:w="0" w:type="dxa"/>
            <w:left w:w="108" w:type="dxa"/>
            <w:bottom w:w="0" w:type="dxa"/>
            <w:right w:w="108" w:type="dxa"/>
          </w:tblCellMar>
        </w:tblPrEx>
        <w:trPr>
          <w:trHeight w:val="419"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其他资金</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306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其他资金</w:t>
            </w:r>
          </w:p>
        </w:tc>
        <w:tc>
          <w:tcPr>
            <w:tcW w:w="29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right"/>
              <w:rPr>
                <w:rFonts w:ascii="仿宋" w:hAnsi="仿宋" w:eastAsia="仿宋" w:cs="宋体"/>
                <w:color w:val="000000"/>
                <w:szCs w:val="21"/>
              </w:rPr>
            </w:pPr>
          </w:p>
        </w:tc>
      </w:tr>
      <w:tr>
        <w:tblPrEx>
          <w:tblCellMar>
            <w:top w:w="0" w:type="dxa"/>
            <w:left w:w="108" w:type="dxa"/>
            <w:bottom w:w="0" w:type="dxa"/>
            <w:right w:w="108" w:type="dxa"/>
          </w:tblCellMar>
        </w:tblPrEx>
        <w:trPr>
          <w:trHeight w:val="411" w:hRule="atLeast"/>
          <w:jc w:val="center"/>
        </w:trPr>
        <w:tc>
          <w:tcPr>
            <w:tcW w:w="7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年度</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目标</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完成</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情况</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预期目标</w:t>
            </w:r>
          </w:p>
        </w:tc>
        <w:tc>
          <w:tcPr>
            <w:tcW w:w="604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实际完成目标</w:t>
            </w:r>
          </w:p>
        </w:tc>
      </w:tr>
      <w:tr>
        <w:tblPrEx>
          <w:tblCellMar>
            <w:top w:w="0" w:type="dxa"/>
            <w:left w:w="108" w:type="dxa"/>
            <w:bottom w:w="0" w:type="dxa"/>
            <w:right w:w="108" w:type="dxa"/>
          </w:tblCellMar>
        </w:tblPrEx>
        <w:trPr>
          <w:trHeight w:val="1267"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exact"/>
              <w:jc w:val="left"/>
              <w:textAlignment w:val="top"/>
              <w:rPr>
                <w:rFonts w:ascii="仿宋" w:hAnsi="仿宋" w:eastAsia="仿宋" w:cs="宋体"/>
                <w:color w:val="000000"/>
                <w:szCs w:val="21"/>
              </w:rPr>
            </w:pPr>
            <w:r>
              <w:rPr>
                <w:rFonts w:hint="eastAsia" w:ascii="仿宋" w:hAnsi="仿宋" w:eastAsia="仿宋" w:cs="宋体"/>
                <w:color w:val="000000"/>
                <w:kern w:val="0"/>
                <w:szCs w:val="21"/>
              </w:rPr>
              <w:t>人员工资.保险经费，是开展驾驶员培训，短期培训工作的保障，缓解了人员不足,经费不足的情况，确保工作顺利进行，社会效益和经济效益显著。</w:t>
            </w:r>
          </w:p>
        </w:tc>
        <w:tc>
          <w:tcPr>
            <w:tcW w:w="6047" w:type="dxa"/>
            <w:gridSpan w:val="9"/>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exact"/>
              <w:jc w:val="left"/>
              <w:textAlignment w:val="top"/>
              <w:rPr>
                <w:rFonts w:ascii="仿宋" w:hAnsi="仿宋" w:eastAsia="仿宋" w:cs="宋体"/>
                <w:color w:val="000000"/>
                <w:szCs w:val="21"/>
              </w:rPr>
            </w:pPr>
            <w:r>
              <w:rPr>
                <w:rFonts w:hint="eastAsia" w:ascii="仿宋" w:hAnsi="仿宋" w:eastAsia="仿宋" w:cs="宋体"/>
                <w:color w:val="000000"/>
                <w:kern w:val="0"/>
                <w:szCs w:val="21"/>
              </w:rPr>
              <w:t>完成聘用教练员及管理人员工资.保险，等经费支出，确保工作顺利进行.</w:t>
            </w:r>
          </w:p>
        </w:tc>
      </w:tr>
      <w:tr>
        <w:tblPrEx>
          <w:tblCellMar>
            <w:top w:w="0" w:type="dxa"/>
            <w:left w:w="108" w:type="dxa"/>
            <w:bottom w:w="0" w:type="dxa"/>
            <w:right w:w="108" w:type="dxa"/>
          </w:tblCellMar>
        </w:tblPrEx>
        <w:trPr>
          <w:trHeight w:val="1005" w:hRule="atLeast"/>
          <w:jc w:val="center"/>
        </w:trPr>
        <w:tc>
          <w:tcPr>
            <w:tcW w:w="7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年度</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绩效</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完成</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情况</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一级指标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二级指标</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三级指标</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指标值（包含数字及文字描述）</w:t>
            </w:r>
          </w:p>
        </w:tc>
        <w:tc>
          <w:tcPr>
            <w:tcW w:w="2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实际完成指标值（包含数字及文字描述）</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未完成原因及改进措施</w:t>
            </w:r>
          </w:p>
        </w:tc>
      </w:tr>
      <w:tr>
        <w:tblPrEx>
          <w:tblCellMar>
            <w:top w:w="0" w:type="dxa"/>
            <w:left w:w="108" w:type="dxa"/>
            <w:bottom w:w="0" w:type="dxa"/>
            <w:right w:w="108" w:type="dxa"/>
          </w:tblCellMar>
        </w:tblPrEx>
        <w:trPr>
          <w:trHeight w:val="1219"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项目完成指标</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数量指标</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指标1：完成驾驶员培训工作</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1300余人次</w:t>
            </w:r>
          </w:p>
        </w:tc>
        <w:tc>
          <w:tcPr>
            <w:tcW w:w="2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实际完成1221人。完成93％。同比上涨19%.</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未完成原因：因受疫情影响导致市场竞争压力大，人员流动性较低，招生人数未达标预计人数。</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改进措施：加大宣传力度，提升学校知名度，扩大招生地区</w:t>
            </w:r>
          </w:p>
        </w:tc>
      </w:tr>
      <w:tr>
        <w:tblPrEx>
          <w:tblCellMar>
            <w:top w:w="0" w:type="dxa"/>
            <w:left w:w="108" w:type="dxa"/>
            <w:bottom w:w="0" w:type="dxa"/>
            <w:right w:w="108" w:type="dxa"/>
          </w:tblCellMar>
        </w:tblPrEx>
        <w:trPr>
          <w:trHeight w:val="1770"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指标2： 完成短期培训工作</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1200余人次</w:t>
            </w:r>
          </w:p>
        </w:tc>
        <w:tc>
          <w:tcPr>
            <w:tcW w:w="2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完成职业培训1548人。从业资格证培训完成数1123人，内河船舶船员培训完成数105人；滴滴代驾培训120人；技能提升行动汽车维修初级培训1批200人，道路运输企业主要负责人和安全管理人员安全考核6期12批603人。</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540"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指标3：完成人事考工部分工种晋级教学</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220余人次</w:t>
            </w:r>
          </w:p>
        </w:tc>
        <w:tc>
          <w:tcPr>
            <w:tcW w:w="2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未开展此项活动</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人社部门机构改革后，考试培训业务收回不在下放。</w:t>
            </w:r>
          </w:p>
        </w:tc>
      </w:tr>
      <w:tr>
        <w:tblPrEx>
          <w:tblCellMar>
            <w:top w:w="0" w:type="dxa"/>
            <w:left w:w="108" w:type="dxa"/>
            <w:bottom w:w="0" w:type="dxa"/>
            <w:right w:w="108" w:type="dxa"/>
          </w:tblCellMar>
        </w:tblPrEx>
        <w:trPr>
          <w:trHeight w:val="559"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指标4：现有聘用人员</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教练：39人，管理人员10人。</w:t>
            </w:r>
          </w:p>
        </w:tc>
        <w:tc>
          <w:tcPr>
            <w:tcW w:w="2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教练：35人，管理人员10人。</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教练人员逐步退休、人员消减。</w:t>
            </w:r>
          </w:p>
        </w:tc>
      </w:tr>
      <w:tr>
        <w:tblPrEx>
          <w:tblCellMar>
            <w:top w:w="0" w:type="dxa"/>
            <w:left w:w="108" w:type="dxa"/>
            <w:bottom w:w="0" w:type="dxa"/>
            <w:right w:w="108" w:type="dxa"/>
          </w:tblCellMar>
        </w:tblPrEx>
        <w:trPr>
          <w:trHeight w:val="522"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质量指标</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指标1：驾驶员考试合格率</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大于80%</w:t>
            </w:r>
          </w:p>
        </w:tc>
        <w:tc>
          <w:tcPr>
            <w:tcW w:w="2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80.60%</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522"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指标2：职业培训合格率</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大于90%</w:t>
            </w:r>
          </w:p>
        </w:tc>
        <w:tc>
          <w:tcPr>
            <w:tcW w:w="2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92.80%</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582"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指标3：考工合格率</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大于90%</w:t>
            </w:r>
          </w:p>
        </w:tc>
        <w:tc>
          <w:tcPr>
            <w:tcW w:w="2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未开展此项活动</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人社部门机构改革后，考试培训业务收回不在下放。</w:t>
            </w:r>
          </w:p>
        </w:tc>
      </w:tr>
      <w:tr>
        <w:tblPrEx>
          <w:tblCellMar>
            <w:top w:w="0" w:type="dxa"/>
            <w:left w:w="108" w:type="dxa"/>
            <w:bottom w:w="0" w:type="dxa"/>
            <w:right w:w="108" w:type="dxa"/>
          </w:tblCellMar>
        </w:tblPrEx>
        <w:trPr>
          <w:trHeight w:val="522"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时效指标</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指标1：培训完成时间</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2021年12月底前</w:t>
            </w:r>
          </w:p>
        </w:tc>
        <w:tc>
          <w:tcPr>
            <w:tcW w:w="2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全面完成</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582"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成本指标</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指标1：聘用教练39人，月工资4300元</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201.24</w:t>
            </w:r>
          </w:p>
        </w:tc>
        <w:tc>
          <w:tcPr>
            <w:tcW w:w="255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338.01万元</w:t>
            </w:r>
          </w:p>
        </w:tc>
        <w:tc>
          <w:tcPr>
            <w:tcW w:w="2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聘用管理人员、定补人员目标奖未全额发放。</w:t>
            </w:r>
          </w:p>
        </w:tc>
      </w:tr>
      <w:tr>
        <w:tblPrEx>
          <w:tblCellMar>
            <w:top w:w="0" w:type="dxa"/>
            <w:left w:w="108" w:type="dxa"/>
            <w:bottom w:w="0" w:type="dxa"/>
            <w:right w:w="108" w:type="dxa"/>
          </w:tblCellMar>
        </w:tblPrEx>
        <w:trPr>
          <w:trHeight w:val="582"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指标2：管理人员10人，月工资2200元</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26.4</w:t>
            </w:r>
          </w:p>
        </w:tc>
        <w:tc>
          <w:tcPr>
            <w:tcW w:w="255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c>
          <w:tcPr>
            <w:tcW w:w="2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540"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指标3：聘用人员各项保险等</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62.64</w:t>
            </w:r>
          </w:p>
        </w:tc>
        <w:tc>
          <w:tcPr>
            <w:tcW w:w="255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c>
          <w:tcPr>
            <w:tcW w:w="2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480"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指标4：聘用管理人员目标奖</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10</w:t>
            </w:r>
          </w:p>
        </w:tc>
        <w:tc>
          <w:tcPr>
            <w:tcW w:w="255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c>
          <w:tcPr>
            <w:tcW w:w="2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450"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指标5：定补人员目标奖</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38</w:t>
            </w:r>
          </w:p>
        </w:tc>
        <w:tc>
          <w:tcPr>
            <w:tcW w:w="255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c>
          <w:tcPr>
            <w:tcW w:w="2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765"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项目效果指标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经济效益</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指标1：完成非税收入</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657.77</w:t>
            </w:r>
          </w:p>
        </w:tc>
        <w:tc>
          <w:tcPr>
            <w:tcW w:w="2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618.4</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未完成原因：因受疫情影响导致市场竞争压力大，人员流动性较低，招生人数未达标预计人数，收入减少。</w:t>
            </w:r>
          </w:p>
        </w:tc>
      </w:tr>
      <w:tr>
        <w:tblPrEx>
          <w:tblCellMar>
            <w:top w:w="0" w:type="dxa"/>
            <w:left w:w="108" w:type="dxa"/>
            <w:bottom w:w="0" w:type="dxa"/>
            <w:right w:w="108" w:type="dxa"/>
          </w:tblCellMar>
        </w:tblPrEx>
        <w:trPr>
          <w:trHeight w:val="540"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社会效益</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指标1：满足群众交通出行需求</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100%</w:t>
            </w:r>
          </w:p>
        </w:tc>
        <w:tc>
          <w:tcPr>
            <w:tcW w:w="2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已完成</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480"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指标2：增加社会就业</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100%</w:t>
            </w:r>
          </w:p>
        </w:tc>
        <w:tc>
          <w:tcPr>
            <w:tcW w:w="2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已完成</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525"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生态效益</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指标1：环境绿化亮化</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100%</w:t>
            </w:r>
          </w:p>
        </w:tc>
        <w:tc>
          <w:tcPr>
            <w:tcW w:w="2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已完成</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540"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指标2：节能减排降噪等生态化应用</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100%</w:t>
            </w:r>
          </w:p>
        </w:tc>
        <w:tc>
          <w:tcPr>
            <w:tcW w:w="2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已完成</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600"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可持续影响</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 合理配置资源，符合发展需求</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100%</w:t>
            </w:r>
          </w:p>
        </w:tc>
        <w:tc>
          <w:tcPr>
            <w:tcW w:w="2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已完成</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r>
      <w:tr>
        <w:tblPrEx>
          <w:tblCellMar>
            <w:top w:w="0" w:type="dxa"/>
            <w:left w:w="108" w:type="dxa"/>
            <w:bottom w:w="0" w:type="dxa"/>
            <w:right w:w="108" w:type="dxa"/>
          </w:tblCellMar>
        </w:tblPrEx>
        <w:trPr>
          <w:trHeight w:val="660" w:hRule="atLeast"/>
          <w:jc w:val="center"/>
        </w:trPr>
        <w:tc>
          <w:tcPr>
            <w:tcW w:w="7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满意度</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满意度指标</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指标1：聘用教练员，管理人员满意度</w:t>
            </w: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满意度≥90%</w:t>
            </w:r>
          </w:p>
        </w:tc>
        <w:tc>
          <w:tcPr>
            <w:tcW w:w="2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满意度≥90.6%</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 w:hAnsi="仿宋" w:eastAsia="仿宋" w:cs="宋体"/>
                <w:color w:val="000000"/>
                <w:szCs w:val="21"/>
              </w:rPr>
            </w:pPr>
          </w:p>
        </w:tc>
      </w:tr>
    </w:tbl>
    <w:p>
      <w:pPr>
        <w:pStyle w:val="2"/>
        <w:spacing w:before="93"/>
        <w:rPr>
          <w:lang w:val="zh-CN"/>
        </w:rPr>
      </w:pPr>
    </w:p>
    <w:p>
      <w:pPr>
        <w:widowControl/>
        <w:jc w:val="left"/>
        <w:rPr>
          <w:rFonts w:ascii="仿宋_GB2312" w:eastAsia="仿宋_GB2312"/>
          <w:kern w:val="0"/>
          <w:sz w:val="30"/>
          <w:lang w:val="zh-CN"/>
        </w:rPr>
      </w:pPr>
      <w:r>
        <w:rPr>
          <w:lang w:val="zh-CN"/>
        </w:rPr>
        <w:br w:type="page"/>
      </w:r>
    </w:p>
    <w:p>
      <w:pPr>
        <w:pStyle w:val="2"/>
        <w:spacing w:before="93"/>
        <w:rPr>
          <w:lang w:val="zh-CN"/>
        </w:rPr>
      </w:pPr>
    </w:p>
    <w:p>
      <w:pPr>
        <w:spacing w:line="576" w:lineRule="exact"/>
        <w:ind w:firstLine="2420" w:firstLineChars="550"/>
        <w:rPr>
          <w:rFonts w:ascii="方正小标宋简体" w:hAnsi="仿宋" w:eastAsia="方正小标宋简体"/>
          <w:sz w:val="44"/>
        </w:rPr>
      </w:pPr>
      <w:r>
        <w:rPr>
          <w:rFonts w:hint="eastAsia" w:ascii="方正小标宋简体" w:hAnsi="仿宋" w:eastAsia="方正小标宋简体"/>
          <w:sz w:val="44"/>
        </w:rPr>
        <w:t>广元市交通技工学校</w:t>
      </w:r>
    </w:p>
    <w:p>
      <w:pPr>
        <w:tabs>
          <w:tab w:val="left" w:pos="426"/>
        </w:tabs>
        <w:spacing w:line="576" w:lineRule="exact"/>
        <w:ind w:firstLine="422" w:firstLineChars="96"/>
        <w:jc w:val="center"/>
        <w:rPr>
          <w:rFonts w:ascii="方正小标宋简体" w:hAnsi="仿宋" w:eastAsia="方正小标宋简体"/>
          <w:sz w:val="44"/>
        </w:rPr>
      </w:pPr>
      <w:r>
        <w:rPr>
          <w:rFonts w:hint="eastAsia" w:ascii="方正小标宋简体" w:hAnsi="仿宋" w:eastAsia="方正小标宋简体"/>
          <w:sz w:val="44"/>
        </w:rPr>
        <w:t>训练场地土地租金及物业管理费支出工作经费项目支出绩效自评报告</w:t>
      </w:r>
    </w:p>
    <w:p>
      <w:pPr>
        <w:adjustRightInd w:val="0"/>
        <w:snapToGrid w:val="0"/>
        <w:spacing w:line="576" w:lineRule="exact"/>
        <w:rPr>
          <w:rFonts w:ascii="黑体" w:hAnsi="宋体" w:eastAsia="黑体"/>
        </w:rPr>
      </w:pP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rPr>
        <w:t>一、</w:t>
      </w:r>
      <w:r>
        <w:rPr>
          <w:rFonts w:hint="eastAsia" w:ascii="仿宋" w:hAnsi="仿宋" w:eastAsia="仿宋" w:cs="仿宋"/>
          <w:sz w:val="30"/>
          <w:szCs w:val="30"/>
          <w:lang w:val="zh-CN"/>
        </w:rPr>
        <w:t>项目概况</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（一）项目基本情况</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rPr>
        <w:t>我校确保汽车驾驶员培训正常开展，租用大石土地81.7亩作为训练场地，设立专项资金用于土地租金及物业管理。</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（二）项目绩效目标</w:t>
      </w:r>
    </w:p>
    <w:p>
      <w:pPr>
        <w:adjustRightInd w:val="0"/>
        <w:snapToGrid w:val="0"/>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该项目绩效目标是确保汽车驾驶员培训正常开展，支付大石土地81.7亩作为训练场地租金。支付物管公司物管费，并加强各校区安全保卫、车辆管理、保洁绿化及设备设施维修等。</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（三）项目自评步骤及方法</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rPr>
        <w:t>我校成立了绩效评价工作组，采取了解和查看凭证等形式对项目绩效进行总结评价，并完成了自评。</w:t>
      </w:r>
    </w:p>
    <w:p>
      <w:pPr>
        <w:adjustRightInd w:val="0"/>
        <w:snapToGrid w:val="0"/>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二、项目资金申报及使用情况</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（一）项目资金申报及批复情况</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项目资金申报预算资金40万元，财政批复39.84万元进行预算调整。</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（二）资金计划、到位及使用情况（可用表格形式反映）</w:t>
      </w:r>
    </w:p>
    <w:p>
      <w:pPr>
        <w:adjustRightInd w:val="0"/>
        <w:snapToGrid w:val="0"/>
        <w:spacing w:line="540" w:lineRule="exact"/>
        <w:ind w:firstLine="600" w:firstLineChars="200"/>
        <w:rPr>
          <w:rFonts w:ascii="仿宋" w:hAnsi="仿宋" w:eastAsia="仿宋" w:cs="仿宋"/>
          <w:bCs/>
          <w:sz w:val="30"/>
          <w:szCs w:val="30"/>
          <w:lang w:val="zh-CN"/>
        </w:rPr>
      </w:pPr>
      <w:r>
        <w:rPr>
          <w:rFonts w:hint="eastAsia" w:ascii="仿宋" w:hAnsi="仿宋" w:eastAsia="仿宋" w:cs="仿宋"/>
          <w:bCs/>
          <w:sz w:val="30"/>
          <w:szCs w:val="30"/>
          <w:lang w:val="zh-CN"/>
        </w:rPr>
        <w:t>1．资金计划。</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rPr>
        <w:t>年初预算该项目资金为40万元，用于大石训练场81.7亩场地租金及物业管理费用。</w:t>
      </w:r>
    </w:p>
    <w:p>
      <w:pPr>
        <w:adjustRightInd w:val="0"/>
        <w:snapToGrid w:val="0"/>
        <w:spacing w:line="540" w:lineRule="exact"/>
        <w:ind w:firstLine="600" w:firstLineChars="200"/>
        <w:rPr>
          <w:rFonts w:ascii="仿宋" w:hAnsi="仿宋" w:eastAsia="仿宋" w:cs="仿宋"/>
          <w:bCs/>
          <w:sz w:val="30"/>
          <w:szCs w:val="30"/>
          <w:lang w:val="zh-CN"/>
        </w:rPr>
      </w:pPr>
      <w:r>
        <w:rPr>
          <w:rFonts w:hint="eastAsia" w:ascii="仿宋" w:hAnsi="仿宋" w:eastAsia="仿宋" w:cs="仿宋"/>
          <w:bCs/>
          <w:sz w:val="30"/>
          <w:szCs w:val="30"/>
          <w:lang w:val="zh-CN"/>
        </w:rPr>
        <w:t>2．资金到位。</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财政拨款数额为39.84万元用于场地租金及物业管理费。</w:t>
      </w:r>
    </w:p>
    <w:p>
      <w:pPr>
        <w:adjustRightInd w:val="0"/>
        <w:snapToGrid w:val="0"/>
        <w:spacing w:line="540" w:lineRule="exact"/>
        <w:ind w:firstLine="600" w:firstLineChars="200"/>
        <w:rPr>
          <w:rFonts w:ascii="仿宋" w:hAnsi="仿宋" w:eastAsia="仿宋" w:cs="仿宋"/>
          <w:bCs/>
          <w:sz w:val="30"/>
          <w:szCs w:val="30"/>
          <w:lang w:val="zh-CN"/>
        </w:rPr>
      </w:pPr>
      <w:r>
        <w:rPr>
          <w:rFonts w:hint="eastAsia" w:ascii="仿宋" w:hAnsi="仿宋" w:eastAsia="仿宋" w:cs="仿宋"/>
          <w:bCs/>
          <w:sz w:val="30"/>
          <w:szCs w:val="30"/>
          <w:lang w:val="zh-CN"/>
        </w:rPr>
        <w:t>3．资金使用。</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财政拨款39.84万元已全部用于支付大石训练场地租金及物管公司物管费，并加强各校区安全保卫、车辆管理、保洁绿化及设备设施维修等。</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（三）项目财务管理情况</w:t>
      </w:r>
    </w:p>
    <w:p>
      <w:pPr>
        <w:adjustRightInd w:val="0"/>
        <w:snapToGrid w:val="0"/>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项目资金使用，严格遵循财务管理制度要求，规范报支程序，一切依照相关合同支付资金，做到专款专用，手续完备，财务资料完整，不该列支的费用坚决不予开支。</w:t>
      </w:r>
    </w:p>
    <w:p>
      <w:pPr>
        <w:adjustRightInd w:val="0"/>
        <w:snapToGrid w:val="0"/>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三、项目实施及管理情况</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结合项目组织实施管理办法，重点围绕以下内容进行分析评价，并对自评中发现的问题分析说明。</w:t>
      </w:r>
    </w:p>
    <w:p>
      <w:pPr>
        <w:pStyle w:val="29"/>
        <w:numPr>
          <w:ilvl w:val="0"/>
          <w:numId w:val="6"/>
        </w:numPr>
        <w:adjustRightInd w:val="0"/>
        <w:snapToGrid w:val="0"/>
        <w:spacing w:line="540" w:lineRule="exact"/>
        <w:ind w:firstLineChars="0"/>
        <w:rPr>
          <w:rFonts w:ascii="仿宋" w:hAnsi="仿宋" w:eastAsia="仿宋" w:cs="仿宋"/>
          <w:sz w:val="30"/>
          <w:szCs w:val="30"/>
          <w:lang w:val="zh-CN"/>
        </w:rPr>
      </w:pPr>
      <w:r>
        <w:rPr>
          <w:rFonts w:hint="eastAsia" w:ascii="仿宋" w:hAnsi="仿宋" w:eastAsia="仿宋" w:cs="仿宋"/>
          <w:sz w:val="30"/>
          <w:szCs w:val="30"/>
          <w:lang w:val="zh-CN"/>
        </w:rPr>
        <w:t>项目组织架构及实施流程</w:t>
      </w:r>
    </w:p>
    <w:p>
      <w:pPr>
        <w:adjustRightInd w:val="0"/>
        <w:snapToGrid w:val="0"/>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根据相关合同，通过规范程序，支付训练场地土地租赁费、物业管理费用（保洁、人工、水电费用）。</w:t>
      </w:r>
    </w:p>
    <w:p>
      <w:pPr>
        <w:pStyle w:val="29"/>
        <w:numPr>
          <w:ilvl w:val="0"/>
          <w:numId w:val="6"/>
        </w:numPr>
        <w:adjustRightInd w:val="0"/>
        <w:snapToGrid w:val="0"/>
        <w:spacing w:line="540" w:lineRule="exact"/>
        <w:ind w:firstLineChars="0"/>
        <w:rPr>
          <w:rFonts w:ascii="仿宋" w:hAnsi="仿宋" w:eastAsia="仿宋" w:cs="仿宋"/>
          <w:sz w:val="30"/>
          <w:szCs w:val="30"/>
          <w:lang w:val="zh-CN"/>
        </w:rPr>
      </w:pPr>
      <w:r>
        <w:rPr>
          <w:rFonts w:hint="eastAsia" w:ascii="仿宋" w:hAnsi="仿宋" w:eastAsia="仿宋" w:cs="仿宋"/>
          <w:sz w:val="30"/>
          <w:szCs w:val="30"/>
          <w:lang w:val="zh-CN"/>
        </w:rPr>
        <w:t>项目管理情况</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总务科专管大石训练场场地及物业管理范围，严格落实相关政策。</w:t>
      </w:r>
    </w:p>
    <w:p>
      <w:pPr>
        <w:pStyle w:val="29"/>
        <w:numPr>
          <w:ilvl w:val="0"/>
          <w:numId w:val="6"/>
        </w:numPr>
        <w:adjustRightInd w:val="0"/>
        <w:snapToGrid w:val="0"/>
        <w:spacing w:line="540" w:lineRule="exact"/>
        <w:ind w:firstLineChars="0"/>
        <w:rPr>
          <w:rFonts w:ascii="仿宋" w:hAnsi="仿宋" w:eastAsia="仿宋" w:cs="仿宋"/>
          <w:sz w:val="30"/>
          <w:szCs w:val="30"/>
          <w:lang w:val="zh-CN"/>
        </w:rPr>
      </w:pPr>
      <w:r>
        <w:rPr>
          <w:rFonts w:hint="eastAsia" w:ascii="仿宋" w:hAnsi="仿宋" w:eastAsia="仿宋" w:cs="仿宋"/>
          <w:sz w:val="30"/>
          <w:szCs w:val="30"/>
          <w:lang w:val="zh-CN"/>
        </w:rPr>
        <w:t>项目监管情况</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由专人负责，该项目进行前进行集体讨论，项目进行时有负责人及时跟踪项目实施情况，并及时提出意见和建议，由我校领导一同监管。</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rPr>
        <w:t>四、项目绩效情况</w:t>
      </w:r>
      <w:r>
        <w:rPr>
          <w:rFonts w:hint="eastAsia" w:ascii="仿宋" w:hAnsi="仿宋" w:eastAsia="仿宋" w:cs="仿宋"/>
          <w:sz w:val="30"/>
          <w:szCs w:val="30"/>
          <w:lang w:val="zh-CN"/>
        </w:rPr>
        <w:tab/>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（一）项目完成情况</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1.数量指标</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长期租用大石土地81亩用于培训场地，东校区训练区10亩正常使用。</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2.质量指标</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驾驶培训用地保障率100%，土地利用率100%。</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3.时效指标</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已于2021年12月31日完成。</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4.成本指标</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训练场地土地租赁费用12.84万元，物业管理费用（保洁、人工、水电费用）24.6万元全额支付，校区设备设施维修费用（电梯、消防）全额支付2.4万元。</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（二）项目效益情况</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1.经济效益</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驾驶培训收益保障率100%，职业培训收益保障率100%。</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2.社会效益</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全年培训新增驾驶员1086人、提高方便群众交通出行，</w:t>
      </w:r>
    </w:p>
    <w:p>
      <w:pPr>
        <w:adjustRightInd w:val="0"/>
        <w:snapToGrid w:val="0"/>
        <w:spacing w:line="540" w:lineRule="exact"/>
        <w:rPr>
          <w:rFonts w:ascii="仿宋" w:hAnsi="仿宋" w:eastAsia="仿宋" w:cs="仿宋"/>
          <w:sz w:val="30"/>
          <w:szCs w:val="30"/>
          <w:lang w:val="zh-CN"/>
        </w:rPr>
      </w:pPr>
      <w:r>
        <w:rPr>
          <w:rFonts w:hint="eastAsia" w:ascii="仿宋" w:hAnsi="仿宋" w:eastAsia="仿宋" w:cs="仿宋"/>
          <w:sz w:val="30"/>
          <w:szCs w:val="30"/>
          <w:lang w:val="zh-CN"/>
        </w:rPr>
        <w:t>职业培训1548人、增加技能培训就业率。</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3.生态效益</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完成环境治理与园林城市建设，节能减排、降噪等生态化利用</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4.可持续效益</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推进事业单位分类改革。</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5.服务对象满意度</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教职员工及培训学员满意度98％以上。</w:t>
      </w:r>
    </w:p>
    <w:p>
      <w:pPr>
        <w:adjustRightInd w:val="0"/>
        <w:snapToGrid w:val="0"/>
        <w:spacing w:line="540" w:lineRule="exact"/>
        <w:ind w:firstLine="600" w:firstLineChars="200"/>
        <w:rPr>
          <w:rFonts w:ascii="仿宋" w:hAnsi="仿宋" w:eastAsia="仿宋" w:cs="仿宋"/>
          <w:sz w:val="30"/>
          <w:szCs w:val="30"/>
        </w:rPr>
      </w:pPr>
      <w:r>
        <w:rPr>
          <w:rFonts w:hint="eastAsia" w:ascii="仿宋" w:hAnsi="仿宋" w:eastAsia="仿宋" w:cs="仿宋"/>
          <w:sz w:val="30"/>
          <w:szCs w:val="30"/>
        </w:rPr>
        <w:t>五、评价结论及建议</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（一）评价结论</w:t>
      </w:r>
    </w:p>
    <w:p>
      <w:p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本项目实施以来，有效保障了大石训练场汽车驾驶员培训正常开展，与物业管理公司合作，加强各校区安全保卫、车辆管理、保洁绿化及设备设施维修等。逐步提高后勤管理水平，确保学校安全与稳定。围绕绩效评价指标体系，通过数据采集及电话回访等方式，对该项目绩效进行了客观、公正的评价，最终评价分:88分。</w:t>
      </w:r>
    </w:p>
    <w:p>
      <w:pPr>
        <w:numPr>
          <w:ilvl w:val="0"/>
          <w:numId w:val="5"/>
        </w:numPr>
        <w:adjustRightInd w:val="0"/>
        <w:snapToGrid w:val="0"/>
        <w:spacing w:line="54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存在的问题</w:t>
      </w: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widowControl/>
        <w:jc w:val="left"/>
        <w:rPr>
          <w:rFonts w:ascii="仿宋_GB2312" w:eastAsia="仿宋_GB2312"/>
          <w:kern w:val="0"/>
          <w:sz w:val="30"/>
          <w:lang w:val="zh-CN"/>
        </w:rPr>
      </w:pPr>
      <w:r>
        <w:rPr>
          <w:lang w:val="zh-CN"/>
        </w:rPr>
        <w:br w:type="page"/>
      </w:r>
    </w:p>
    <w:p>
      <w:pPr>
        <w:pStyle w:val="2"/>
        <w:spacing w:before="93"/>
        <w:rPr>
          <w:lang w:val="zh-CN"/>
        </w:rPr>
      </w:pPr>
    </w:p>
    <w:tbl>
      <w:tblPr>
        <w:tblStyle w:val="13"/>
        <w:tblW w:w="9818" w:type="dxa"/>
        <w:jc w:val="center"/>
        <w:tblLayout w:type="fixed"/>
        <w:tblCellMar>
          <w:top w:w="0" w:type="dxa"/>
          <w:left w:w="108" w:type="dxa"/>
          <w:bottom w:w="0" w:type="dxa"/>
          <w:right w:w="108" w:type="dxa"/>
        </w:tblCellMar>
      </w:tblPr>
      <w:tblGrid>
        <w:gridCol w:w="866"/>
        <w:gridCol w:w="131"/>
        <w:gridCol w:w="945"/>
        <w:gridCol w:w="1155"/>
        <w:gridCol w:w="1290"/>
        <w:gridCol w:w="1189"/>
        <w:gridCol w:w="1417"/>
        <w:gridCol w:w="2825"/>
      </w:tblGrid>
      <w:tr>
        <w:tblPrEx>
          <w:tblCellMar>
            <w:top w:w="0" w:type="dxa"/>
            <w:left w:w="108" w:type="dxa"/>
            <w:bottom w:w="0" w:type="dxa"/>
            <w:right w:w="108" w:type="dxa"/>
          </w:tblCellMar>
        </w:tblPrEx>
        <w:trPr>
          <w:trHeight w:val="540" w:hRule="atLeast"/>
          <w:jc w:val="center"/>
        </w:trPr>
        <w:tc>
          <w:tcPr>
            <w:tcW w:w="9818" w:type="dxa"/>
            <w:gridSpan w:val="8"/>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kern w:val="0"/>
                <w:sz w:val="44"/>
                <w:szCs w:val="44"/>
              </w:rPr>
              <w:t>项目支出绩效目标自评表</w:t>
            </w:r>
          </w:p>
        </w:tc>
      </w:tr>
      <w:tr>
        <w:tblPrEx>
          <w:tblCellMar>
            <w:top w:w="0" w:type="dxa"/>
            <w:left w:w="108" w:type="dxa"/>
            <w:bottom w:w="0" w:type="dxa"/>
            <w:right w:w="108" w:type="dxa"/>
          </w:tblCellMar>
        </w:tblPrEx>
        <w:trPr>
          <w:trHeight w:val="285" w:hRule="atLeast"/>
          <w:jc w:val="center"/>
        </w:trPr>
        <w:tc>
          <w:tcPr>
            <w:tcW w:w="9818"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w:t>
            </w:r>
            <w:r>
              <w:rPr>
                <w:color w:val="000000"/>
                <w:kern w:val="0"/>
                <w:sz w:val="24"/>
              </w:rPr>
              <w:t xml:space="preserve">         2021 </w:t>
            </w:r>
            <w:r>
              <w:rPr>
                <w:rFonts w:hint="eastAsia" w:ascii="宋体" w:hAnsi="宋体" w:cs="宋体"/>
                <w:color w:val="000000"/>
                <w:kern w:val="0"/>
                <w:sz w:val="24"/>
              </w:rPr>
              <w:t>年度）</w:t>
            </w:r>
          </w:p>
        </w:tc>
      </w:tr>
      <w:tr>
        <w:tblPrEx>
          <w:tblCellMar>
            <w:top w:w="0" w:type="dxa"/>
            <w:left w:w="108" w:type="dxa"/>
            <w:bottom w:w="0" w:type="dxa"/>
            <w:right w:w="108" w:type="dxa"/>
          </w:tblCellMar>
        </w:tblPrEx>
        <w:trPr>
          <w:trHeight w:val="285" w:hRule="atLeast"/>
          <w:jc w:val="center"/>
        </w:trPr>
        <w:tc>
          <w:tcPr>
            <w:tcW w:w="997" w:type="dxa"/>
            <w:gridSpan w:val="2"/>
            <w:tcBorders>
              <w:top w:val="nil"/>
              <w:left w:val="nil"/>
              <w:bottom w:val="nil"/>
              <w:right w:val="nil"/>
            </w:tcBorders>
            <w:shd w:val="clear" w:color="auto" w:fill="auto"/>
            <w:vAlign w:val="center"/>
          </w:tcPr>
          <w:p>
            <w:pPr>
              <w:jc w:val="center"/>
              <w:rPr>
                <w:rFonts w:ascii="宋体" w:hAnsi="宋体" w:cs="宋体"/>
                <w:color w:val="000000"/>
                <w:sz w:val="24"/>
              </w:rPr>
            </w:pPr>
          </w:p>
        </w:tc>
        <w:tc>
          <w:tcPr>
            <w:tcW w:w="945" w:type="dxa"/>
            <w:tcBorders>
              <w:top w:val="nil"/>
              <w:left w:val="nil"/>
              <w:bottom w:val="nil"/>
              <w:right w:val="nil"/>
            </w:tcBorders>
            <w:shd w:val="clear" w:color="auto" w:fill="auto"/>
            <w:vAlign w:val="center"/>
          </w:tcPr>
          <w:p>
            <w:pPr>
              <w:jc w:val="center"/>
              <w:rPr>
                <w:rFonts w:ascii="宋体" w:hAnsi="宋体" w:cs="宋体"/>
                <w:color w:val="000000"/>
                <w:sz w:val="24"/>
              </w:rPr>
            </w:pPr>
          </w:p>
        </w:tc>
        <w:tc>
          <w:tcPr>
            <w:tcW w:w="1155" w:type="dxa"/>
            <w:tcBorders>
              <w:top w:val="nil"/>
              <w:left w:val="nil"/>
              <w:bottom w:val="nil"/>
              <w:right w:val="nil"/>
            </w:tcBorders>
            <w:shd w:val="clear" w:color="auto" w:fill="auto"/>
            <w:vAlign w:val="center"/>
          </w:tcPr>
          <w:p>
            <w:pPr>
              <w:jc w:val="center"/>
              <w:rPr>
                <w:rFonts w:ascii="宋体" w:hAnsi="宋体" w:cs="宋体"/>
                <w:color w:val="000000"/>
                <w:sz w:val="24"/>
              </w:rPr>
            </w:pPr>
          </w:p>
        </w:tc>
        <w:tc>
          <w:tcPr>
            <w:tcW w:w="1290" w:type="dxa"/>
            <w:tcBorders>
              <w:top w:val="nil"/>
              <w:left w:val="nil"/>
              <w:bottom w:val="nil"/>
              <w:right w:val="nil"/>
            </w:tcBorders>
            <w:shd w:val="clear" w:color="auto" w:fill="auto"/>
            <w:vAlign w:val="center"/>
          </w:tcPr>
          <w:p>
            <w:pPr>
              <w:jc w:val="center"/>
              <w:rPr>
                <w:rFonts w:ascii="宋体" w:hAnsi="宋体" w:cs="宋体"/>
                <w:color w:val="000000"/>
                <w:sz w:val="24"/>
              </w:rPr>
            </w:pPr>
          </w:p>
        </w:tc>
        <w:tc>
          <w:tcPr>
            <w:tcW w:w="1189" w:type="dxa"/>
            <w:tcBorders>
              <w:top w:val="nil"/>
              <w:left w:val="nil"/>
              <w:bottom w:val="nil"/>
              <w:right w:val="nil"/>
            </w:tcBorders>
            <w:shd w:val="clear" w:color="auto" w:fill="auto"/>
            <w:vAlign w:val="center"/>
          </w:tcPr>
          <w:p>
            <w:pPr>
              <w:jc w:val="center"/>
              <w:rPr>
                <w:rFonts w:ascii="宋体" w:hAnsi="宋体" w:cs="宋体"/>
                <w:color w:val="000000"/>
                <w:sz w:val="24"/>
              </w:rPr>
            </w:pPr>
          </w:p>
        </w:tc>
        <w:tc>
          <w:tcPr>
            <w:tcW w:w="1417" w:type="dxa"/>
            <w:tcBorders>
              <w:top w:val="nil"/>
              <w:left w:val="nil"/>
              <w:bottom w:val="nil"/>
              <w:right w:val="nil"/>
            </w:tcBorders>
            <w:shd w:val="clear" w:color="auto" w:fill="auto"/>
            <w:vAlign w:val="center"/>
          </w:tcPr>
          <w:p>
            <w:pPr>
              <w:jc w:val="center"/>
              <w:rPr>
                <w:rFonts w:ascii="宋体" w:hAnsi="宋体" w:cs="宋体"/>
                <w:color w:val="000000"/>
                <w:sz w:val="24"/>
              </w:rPr>
            </w:pPr>
          </w:p>
        </w:tc>
        <w:tc>
          <w:tcPr>
            <w:tcW w:w="2825" w:type="dxa"/>
            <w:tcBorders>
              <w:top w:val="nil"/>
              <w:left w:val="nil"/>
              <w:bottom w:val="nil"/>
              <w:right w:val="nil"/>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270" w:hRule="atLeast"/>
          <w:jc w:val="center"/>
        </w:trPr>
        <w:tc>
          <w:tcPr>
            <w:tcW w:w="9818" w:type="dxa"/>
            <w:gridSpan w:val="8"/>
            <w:tcBorders>
              <w:top w:val="nil"/>
              <w:left w:val="nil"/>
              <w:bottom w:val="single" w:color="auto" w:sz="4" w:space="0"/>
              <w:right w:val="nil"/>
            </w:tcBorders>
            <w:shd w:val="clear" w:color="auto" w:fill="auto"/>
            <w:noWrap/>
            <w:vAlign w:val="center"/>
          </w:tcPr>
          <w:p>
            <w:pPr>
              <w:rPr>
                <w:rFonts w:ascii="宋体" w:hAnsi="宋体" w:cs="宋体"/>
                <w:color w:val="000000"/>
                <w:sz w:val="22"/>
                <w:szCs w:val="22"/>
              </w:rPr>
            </w:pPr>
            <w:r>
              <w:rPr>
                <w:rFonts w:hint="eastAsia" w:ascii="宋体" w:hAnsi="宋体" w:cs="宋体"/>
                <w:color w:val="000000"/>
                <w:kern w:val="0"/>
                <w:sz w:val="22"/>
                <w:szCs w:val="22"/>
              </w:rPr>
              <w:t>注：项目支出包括部门预算支出和专项预算支出</w:t>
            </w:r>
          </w:p>
        </w:tc>
      </w:tr>
      <w:tr>
        <w:tblPrEx>
          <w:tblCellMar>
            <w:top w:w="0" w:type="dxa"/>
            <w:left w:w="108" w:type="dxa"/>
            <w:bottom w:w="0" w:type="dxa"/>
            <w:right w:w="108" w:type="dxa"/>
          </w:tblCellMar>
        </w:tblPrEx>
        <w:trPr>
          <w:trHeight w:val="360" w:hRule="atLeast"/>
          <w:jc w:val="center"/>
        </w:trPr>
        <w:tc>
          <w:tcPr>
            <w:tcW w:w="30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项目名称</w:t>
            </w:r>
          </w:p>
        </w:tc>
        <w:tc>
          <w:tcPr>
            <w:tcW w:w="67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开展短期培训经费支出</w:t>
            </w:r>
          </w:p>
        </w:tc>
      </w:tr>
      <w:tr>
        <w:tblPrEx>
          <w:tblCellMar>
            <w:top w:w="0" w:type="dxa"/>
            <w:left w:w="108" w:type="dxa"/>
            <w:bottom w:w="0" w:type="dxa"/>
            <w:right w:w="108" w:type="dxa"/>
          </w:tblCellMar>
        </w:tblPrEx>
        <w:trPr>
          <w:trHeight w:val="360" w:hRule="atLeast"/>
          <w:jc w:val="center"/>
        </w:trPr>
        <w:tc>
          <w:tcPr>
            <w:tcW w:w="30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主管单位</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实施单位</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广元市交通技工学校</w:t>
            </w:r>
          </w:p>
        </w:tc>
      </w:tr>
      <w:tr>
        <w:tblPrEx>
          <w:tblCellMar>
            <w:top w:w="0" w:type="dxa"/>
            <w:left w:w="108" w:type="dxa"/>
            <w:bottom w:w="0" w:type="dxa"/>
            <w:right w:w="108" w:type="dxa"/>
          </w:tblCellMar>
        </w:tblPrEx>
        <w:trPr>
          <w:trHeight w:val="360" w:hRule="atLeast"/>
          <w:jc w:val="center"/>
        </w:trPr>
        <w:tc>
          <w:tcPr>
            <w:tcW w:w="8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92" w:leftChars="-44" w:right="-107" w:rightChars="-51"/>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预算</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执行</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情况</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（万元）</w:t>
            </w:r>
          </w:p>
        </w:tc>
        <w:tc>
          <w:tcPr>
            <w:tcW w:w="2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预算数：</w:t>
            </w: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20.32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执行数：</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19.93</w:t>
            </w:r>
          </w:p>
        </w:tc>
      </w:tr>
      <w:tr>
        <w:tblPrEx>
          <w:tblCellMar>
            <w:top w:w="0" w:type="dxa"/>
            <w:left w:w="108" w:type="dxa"/>
            <w:bottom w:w="0" w:type="dxa"/>
            <w:right w:w="108" w:type="dxa"/>
          </w:tblCellMar>
        </w:tblPrEx>
        <w:trPr>
          <w:trHeight w:val="480"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2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其中：财政拨款</w:t>
            </w: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20.32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其中：财政拨款</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19.93</w:t>
            </w:r>
          </w:p>
        </w:tc>
      </w:tr>
      <w:tr>
        <w:tblPrEx>
          <w:tblCellMar>
            <w:top w:w="0" w:type="dxa"/>
            <w:left w:w="108" w:type="dxa"/>
            <w:bottom w:w="0" w:type="dxa"/>
            <w:right w:w="108" w:type="dxa"/>
          </w:tblCellMar>
        </w:tblPrEx>
        <w:trPr>
          <w:trHeight w:val="505"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2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其他资金</w:t>
            </w: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textAlignment w:val="center"/>
              <w:rPr>
                <w:rFonts w:ascii="仿宋" w:hAnsi="仿宋" w:eastAsia="仿宋" w:cs="宋体"/>
                <w:color w:val="000000"/>
                <w:szCs w:val="21"/>
              </w:rPr>
            </w:pPr>
            <w:r>
              <w:rPr>
                <w:rFonts w:hint="eastAsia" w:ascii="仿宋" w:hAnsi="仿宋" w:eastAsia="仿宋" w:cs="宋体"/>
                <w:color w:val="000000"/>
                <w:kern w:val="0"/>
                <w:szCs w:val="21"/>
              </w:rPr>
              <w:t>其他资金</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right"/>
              <w:rPr>
                <w:rFonts w:ascii="仿宋" w:hAnsi="仿宋" w:eastAsia="仿宋" w:cs="宋体"/>
                <w:color w:val="000000"/>
                <w:szCs w:val="21"/>
              </w:rPr>
            </w:pPr>
          </w:p>
        </w:tc>
      </w:tr>
      <w:tr>
        <w:tblPrEx>
          <w:tblCellMar>
            <w:top w:w="0" w:type="dxa"/>
            <w:left w:w="108" w:type="dxa"/>
            <w:bottom w:w="0" w:type="dxa"/>
            <w:right w:w="108" w:type="dxa"/>
          </w:tblCellMar>
        </w:tblPrEx>
        <w:trPr>
          <w:trHeight w:val="467" w:hRule="atLeast"/>
          <w:jc w:val="center"/>
        </w:trPr>
        <w:tc>
          <w:tcPr>
            <w:tcW w:w="8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年度</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目标</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完成</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情况</w:t>
            </w:r>
          </w:p>
        </w:tc>
        <w:tc>
          <w:tcPr>
            <w:tcW w:w="471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预期目标</w:t>
            </w:r>
          </w:p>
        </w:tc>
        <w:tc>
          <w:tcPr>
            <w:tcW w:w="42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实际完成目标</w:t>
            </w:r>
          </w:p>
        </w:tc>
      </w:tr>
      <w:tr>
        <w:tblPrEx>
          <w:tblCellMar>
            <w:top w:w="0" w:type="dxa"/>
            <w:left w:w="108" w:type="dxa"/>
            <w:bottom w:w="0" w:type="dxa"/>
            <w:right w:w="108" w:type="dxa"/>
          </w:tblCellMar>
        </w:tblPrEx>
        <w:trPr>
          <w:trHeight w:val="1990"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4710" w:type="dxa"/>
            <w:gridSpan w:val="5"/>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exact"/>
              <w:jc w:val="left"/>
              <w:textAlignment w:val="top"/>
              <w:rPr>
                <w:rFonts w:ascii="仿宋" w:hAnsi="仿宋" w:eastAsia="仿宋" w:cs="宋体"/>
                <w:color w:val="000000"/>
                <w:szCs w:val="21"/>
              </w:rPr>
            </w:pPr>
            <w:r>
              <w:rPr>
                <w:rFonts w:hint="eastAsia" w:ascii="仿宋" w:hAnsi="仿宋" w:eastAsia="仿宋" w:cs="宋体"/>
                <w:color w:val="000000"/>
                <w:kern w:val="0"/>
                <w:szCs w:val="21"/>
              </w:rPr>
              <w:t>年完成营运车辆驾驶员从业资格证培训1000人次，海事.渔业船员培训200人次，完成广元市人事考工部分专业等级培训220人次，通过从业资格证培训，海事.渔业船员培训，考工等级培训资质年度审核验收。</w:t>
            </w:r>
          </w:p>
        </w:tc>
        <w:tc>
          <w:tcPr>
            <w:tcW w:w="424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exact"/>
              <w:jc w:val="left"/>
              <w:textAlignment w:val="top"/>
              <w:rPr>
                <w:rFonts w:ascii="仿宋" w:hAnsi="仿宋" w:eastAsia="仿宋" w:cs="宋体"/>
                <w:color w:val="000000"/>
                <w:szCs w:val="21"/>
              </w:rPr>
            </w:pPr>
            <w:r>
              <w:rPr>
                <w:rFonts w:hint="eastAsia" w:ascii="仿宋" w:hAnsi="仿宋" w:eastAsia="仿宋" w:cs="宋体"/>
                <w:color w:val="000000"/>
                <w:kern w:val="0"/>
                <w:szCs w:val="21"/>
              </w:rPr>
              <w:t>1、全年完成职业培训1548人（其中：道路运输从业资格证培训完成数1123人（含网约、巡游出租车及货运车驾驶员从业培训）；内河船舶船员培训完成数105人；滴滴代驾培训120人；市人社局技能提升行动汽车维修初级培训1批200人）；2.是组织开展全市道路运输企业主要负责人和安全管理人员安全考核6期12批603人。</w:t>
            </w:r>
          </w:p>
        </w:tc>
      </w:tr>
      <w:tr>
        <w:tblPrEx>
          <w:tblCellMar>
            <w:top w:w="0" w:type="dxa"/>
            <w:left w:w="108" w:type="dxa"/>
            <w:bottom w:w="0" w:type="dxa"/>
            <w:right w:w="108" w:type="dxa"/>
          </w:tblCellMar>
        </w:tblPrEx>
        <w:trPr>
          <w:trHeight w:val="780" w:hRule="atLeast"/>
          <w:jc w:val="center"/>
        </w:trPr>
        <w:tc>
          <w:tcPr>
            <w:tcW w:w="8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年度</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绩效</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完成</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情况</w:t>
            </w:r>
          </w:p>
        </w:tc>
        <w:tc>
          <w:tcPr>
            <w:tcW w:w="10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一级指标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二级指标</w:t>
            </w: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三级指标</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指标值（包含数字及文字描述）</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实际完成指标值（包含数字及文字描述）</w:t>
            </w:r>
          </w:p>
        </w:tc>
      </w:tr>
      <w:tr>
        <w:tblPrEx>
          <w:tblCellMar>
            <w:top w:w="0" w:type="dxa"/>
            <w:left w:w="108" w:type="dxa"/>
            <w:bottom w:w="0" w:type="dxa"/>
            <w:right w:w="108" w:type="dxa"/>
          </w:tblCellMar>
        </w:tblPrEx>
        <w:trPr>
          <w:trHeight w:val="540"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项目完成指标</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数量指标</w:t>
            </w: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指标1：营运车辆驾驶员从业资格证培训12期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1000人次</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完成1123人</w:t>
            </w:r>
          </w:p>
        </w:tc>
      </w:tr>
      <w:tr>
        <w:tblPrEx>
          <w:tblCellMar>
            <w:top w:w="0" w:type="dxa"/>
            <w:left w:w="108" w:type="dxa"/>
            <w:bottom w:w="0" w:type="dxa"/>
            <w:right w:w="108" w:type="dxa"/>
          </w:tblCellMar>
        </w:tblPrEx>
        <w:trPr>
          <w:trHeight w:val="540"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指标2：海事.渔业船员培训</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200人次</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完成105人</w:t>
            </w:r>
          </w:p>
        </w:tc>
      </w:tr>
      <w:tr>
        <w:tblPrEx>
          <w:tblCellMar>
            <w:top w:w="0" w:type="dxa"/>
            <w:left w:w="108" w:type="dxa"/>
            <w:bottom w:w="0" w:type="dxa"/>
            <w:right w:w="108" w:type="dxa"/>
          </w:tblCellMar>
        </w:tblPrEx>
        <w:trPr>
          <w:trHeight w:val="540"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指标3：道路运输两类人员培训</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500人次</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完成603人</w:t>
            </w:r>
          </w:p>
        </w:tc>
      </w:tr>
      <w:tr>
        <w:tblPrEx>
          <w:tblCellMar>
            <w:top w:w="0" w:type="dxa"/>
            <w:left w:w="108" w:type="dxa"/>
            <w:bottom w:w="0" w:type="dxa"/>
            <w:right w:w="108" w:type="dxa"/>
          </w:tblCellMar>
        </w:tblPrEx>
        <w:trPr>
          <w:trHeight w:val="739"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指标4：从业资格证培训，海事.渔业船员培训，考工等级培训资质年度审核</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资质审核通过</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资质审核通过</w:t>
            </w:r>
          </w:p>
        </w:tc>
      </w:tr>
      <w:tr>
        <w:tblPrEx>
          <w:tblCellMar>
            <w:top w:w="0" w:type="dxa"/>
            <w:left w:w="108" w:type="dxa"/>
            <w:bottom w:w="0" w:type="dxa"/>
            <w:right w:w="108" w:type="dxa"/>
          </w:tblCellMar>
        </w:tblPrEx>
        <w:trPr>
          <w:trHeight w:val="540"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质量指标</w:t>
            </w: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指标1：培训合格率</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≥90％</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≥90％</w:t>
            </w:r>
          </w:p>
        </w:tc>
      </w:tr>
      <w:tr>
        <w:tblPrEx>
          <w:tblCellMar>
            <w:top w:w="0" w:type="dxa"/>
            <w:left w:w="108" w:type="dxa"/>
            <w:bottom w:w="0" w:type="dxa"/>
            <w:right w:w="108" w:type="dxa"/>
          </w:tblCellMar>
        </w:tblPrEx>
        <w:trPr>
          <w:trHeight w:val="540"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时效指标</w:t>
            </w: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指标1：完成时间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2021年12月底</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2021年12月30日已完成</w:t>
            </w:r>
          </w:p>
        </w:tc>
      </w:tr>
      <w:tr>
        <w:tblPrEx>
          <w:tblCellMar>
            <w:top w:w="0" w:type="dxa"/>
            <w:left w:w="108" w:type="dxa"/>
            <w:bottom w:w="0" w:type="dxa"/>
            <w:right w:w="108" w:type="dxa"/>
          </w:tblCellMar>
        </w:tblPrEx>
        <w:trPr>
          <w:trHeight w:val="822"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成本指标</w:t>
            </w: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指标1：短期培训课时费费用。0.375万元/期，共20期。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7.5</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7.5</w:t>
            </w:r>
          </w:p>
        </w:tc>
      </w:tr>
      <w:tr>
        <w:tblPrEx>
          <w:tblCellMar>
            <w:top w:w="0" w:type="dxa"/>
            <w:left w:w="108" w:type="dxa"/>
            <w:bottom w:w="0" w:type="dxa"/>
            <w:right w:w="108" w:type="dxa"/>
          </w:tblCellMar>
        </w:tblPrEx>
        <w:trPr>
          <w:trHeight w:val="780"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指标2：短期培训教材费，41元/本，预计培训1420余人。</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5.82</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6.272</w:t>
            </w:r>
          </w:p>
        </w:tc>
      </w:tr>
      <w:tr>
        <w:tblPrEx>
          <w:tblCellMar>
            <w:top w:w="0" w:type="dxa"/>
            <w:left w:w="108" w:type="dxa"/>
            <w:bottom w:w="0" w:type="dxa"/>
            <w:right w:w="108" w:type="dxa"/>
          </w:tblCellMar>
        </w:tblPrEx>
        <w:trPr>
          <w:trHeight w:val="859"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指标3：海事.渔业船员培训船舶租用费，1万元/期，共3期。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3</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3</w:t>
            </w:r>
          </w:p>
        </w:tc>
      </w:tr>
      <w:tr>
        <w:tblPrEx>
          <w:tblCellMar>
            <w:top w:w="0" w:type="dxa"/>
            <w:left w:w="108" w:type="dxa"/>
            <w:bottom w:w="0" w:type="dxa"/>
            <w:right w:w="108" w:type="dxa"/>
          </w:tblCellMar>
        </w:tblPrEx>
        <w:trPr>
          <w:trHeight w:val="739"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指标4：培训资质审核费用，1万元/项目，共3项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3</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2</w:t>
            </w:r>
          </w:p>
        </w:tc>
      </w:tr>
      <w:tr>
        <w:tblPrEx>
          <w:tblCellMar>
            <w:top w:w="0" w:type="dxa"/>
            <w:left w:w="108" w:type="dxa"/>
            <w:bottom w:w="0" w:type="dxa"/>
            <w:right w:w="108" w:type="dxa"/>
          </w:tblCellMar>
        </w:tblPrEx>
        <w:trPr>
          <w:trHeight w:val="540"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指标5：短期培训网络服务费，10元/人</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1</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1.548</w:t>
            </w:r>
          </w:p>
        </w:tc>
      </w:tr>
      <w:tr>
        <w:tblPrEx>
          <w:tblCellMar>
            <w:top w:w="0" w:type="dxa"/>
            <w:left w:w="108" w:type="dxa"/>
            <w:bottom w:w="0" w:type="dxa"/>
            <w:right w:w="108" w:type="dxa"/>
          </w:tblCellMar>
        </w:tblPrEx>
        <w:trPr>
          <w:trHeight w:val="540"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项目效果指标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经济效益</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指标1：职业培训收入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60</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40.87</w:t>
            </w:r>
          </w:p>
        </w:tc>
      </w:tr>
      <w:tr>
        <w:tblPrEx>
          <w:tblCellMar>
            <w:top w:w="0" w:type="dxa"/>
            <w:left w:w="108" w:type="dxa"/>
            <w:bottom w:w="0" w:type="dxa"/>
            <w:right w:w="108" w:type="dxa"/>
          </w:tblCellMar>
        </w:tblPrEx>
        <w:trPr>
          <w:trHeight w:val="660"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社会效益</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指标1：握驾驶技能、满足群众交通出行需求</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掌握驾驶技能、满足群众交通出行需求</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全年培训新增技能人员1086人、提高方便群众交通出行</w:t>
            </w:r>
          </w:p>
        </w:tc>
      </w:tr>
      <w:tr>
        <w:tblPrEx>
          <w:tblCellMar>
            <w:top w:w="0" w:type="dxa"/>
            <w:left w:w="108" w:type="dxa"/>
            <w:bottom w:w="0" w:type="dxa"/>
            <w:right w:w="108" w:type="dxa"/>
          </w:tblCellMar>
        </w:tblPrEx>
        <w:trPr>
          <w:trHeight w:val="540"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指标2：实现社会就业增加</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实现培训就业人员增加</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职业培训1548人、增加技能培训就业率</w:t>
            </w:r>
          </w:p>
        </w:tc>
      </w:tr>
      <w:tr>
        <w:tblPrEx>
          <w:tblCellMar>
            <w:top w:w="0" w:type="dxa"/>
            <w:left w:w="108" w:type="dxa"/>
            <w:bottom w:w="0" w:type="dxa"/>
            <w:right w:w="108" w:type="dxa"/>
          </w:tblCellMar>
        </w:tblPrEx>
        <w:trPr>
          <w:trHeight w:val="540"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生态效益</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指标1：完成环境治理与园林城市建设</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符合政府文明城市创建标准</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符合政府文明城市创建要求</w:t>
            </w:r>
          </w:p>
        </w:tc>
      </w:tr>
      <w:tr>
        <w:tblPrEx>
          <w:tblCellMar>
            <w:top w:w="0" w:type="dxa"/>
            <w:left w:w="108" w:type="dxa"/>
            <w:bottom w:w="0" w:type="dxa"/>
            <w:right w:w="108" w:type="dxa"/>
          </w:tblCellMar>
        </w:tblPrEx>
        <w:trPr>
          <w:trHeight w:val="540"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指标2：节能减拓降噪等生态化利用</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符合国家相关要求</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符合国家相关要求</w:t>
            </w:r>
          </w:p>
        </w:tc>
      </w:tr>
      <w:tr>
        <w:tblPrEx>
          <w:tblCellMar>
            <w:top w:w="0" w:type="dxa"/>
            <w:left w:w="108" w:type="dxa"/>
            <w:bottom w:w="0" w:type="dxa"/>
            <w:right w:w="108" w:type="dxa"/>
          </w:tblCellMar>
        </w:tblPrEx>
        <w:trPr>
          <w:trHeight w:val="540"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可持续影响</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指标1：推进事业单位分类改革</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完成上级单位文件精神</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完成上级单位工作要求</w:t>
            </w:r>
          </w:p>
        </w:tc>
      </w:tr>
      <w:tr>
        <w:tblPrEx>
          <w:tblCellMar>
            <w:top w:w="0" w:type="dxa"/>
            <w:left w:w="108" w:type="dxa"/>
            <w:bottom w:w="0" w:type="dxa"/>
            <w:right w:w="108" w:type="dxa"/>
          </w:tblCellMar>
        </w:tblPrEx>
        <w:trPr>
          <w:trHeight w:val="540" w:hRule="atLeast"/>
          <w:jc w:val="center"/>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宋体"/>
                <w:color w:val="000000"/>
                <w:szCs w:val="21"/>
              </w:rPr>
            </w:pPr>
          </w:p>
        </w:tc>
        <w:tc>
          <w:tcPr>
            <w:tcW w:w="10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满意度</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指标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满意度指标</w:t>
            </w:r>
          </w:p>
        </w:tc>
        <w:tc>
          <w:tcPr>
            <w:tcW w:w="2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 指标1：短期培训学员满意度</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≥98％</w:t>
            </w:r>
          </w:p>
        </w:tc>
        <w:tc>
          <w:tcPr>
            <w:tcW w:w="2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≥98.5％</w:t>
            </w:r>
          </w:p>
        </w:tc>
      </w:tr>
    </w:tbl>
    <w:p>
      <w:pPr>
        <w:pStyle w:val="2"/>
        <w:spacing w:before="93"/>
        <w:rPr>
          <w:rFonts w:ascii="仿宋" w:hAnsi="仿宋" w:eastAsia="仿宋"/>
          <w:sz w:val="32"/>
          <w:szCs w:val="32"/>
        </w:rPr>
      </w:pPr>
    </w:p>
    <w:p>
      <w:pPr>
        <w:widowControl/>
        <w:jc w:val="left"/>
        <w:rPr>
          <w:rFonts w:ascii="仿宋" w:hAnsi="仿宋" w:eastAsia="仿宋"/>
          <w:kern w:val="0"/>
          <w:sz w:val="32"/>
          <w:szCs w:val="32"/>
        </w:rPr>
      </w:pPr>
      <w:r>
        <w:rPr>
          <w:rFonts w:ascii="仿宋" w:hAnsi="仿宋" w:eastAsia="仿宋"/>
          <w:sz w:val="32"/>
          <w:szCs w:val="32"/>
        </w:rPr>
        <w:br w:type="page"/>
      </w:r>
    </w:p>
    <w:p>
      <w:pPr>
        <w:spacing w:line="600" w:lineRule="exact"/>
        <w:outlineLvl w:val="0"/>
        <w:rPr>
          <w:rFonts w:ascii="仿宋" w:hAnsi="仿宋" w:eastAsia="仿宋"/>
        </w:rPr>
      </w:pPr>
      <w:bookmarkStart w:id="58" w:name="_Toc15396618"/>
      <w:r>
        <w:rPr>
          <w:rFonts w:hint="eastAsia" w:ascii="黑体" w:hAnsi="黑体" w:eastAsia="黑体"/>
          <w:sz w:val="44"/>
          <w:szCs w:val="44"/>
        </w:rPr>
        <w:t>第</w:t>
      </w:r>
      <w:r>
        <w:rPr>
          <w:rStyle w:val="18"/>
          <w:rFonts w:hint="eastAsia" w:ascii="黑体" w:hAnsi="黑体" w:eastAsia="黑体"/>
          <w:b w:val="0"/>
        </w:rPr>
        <w:t>五部分 附表</w:t>
      </w:r>
      <w:bookmarkStart w:id="59" w:name="_Toc15396619"/>
    </w:p>
    <w:p>
      <w:pPr>
        <w:pStyle w:val="4"/>
        <w:rPr>
          <w:rStyle w:val="19"/>
          <w:rFonts w:ascii="仿宋" w:hAnsi="仿宋" w:eastAsia="仿宋"/>
          <w:b/>
          <w:bCs/>
        </w:rPr>
      </w:pPr>
      <w:r>
        <w:rPr>
          <w:rFonts w:hint="eastAsia" w:ascii="仿宋" w:hAnsi="仿宋" w:eastAsia="仿宋"/>
          <w:b w:val="0"/>
        </w:rPr>
        <w:t>一、收</w:t>
      </w:r>
      <w:r>
        <w:rPr>
          <w:rStyle w:val="19"/>
          <w:rFonts w:hint="eastAsia" w:ascii="仿宋" w:hAnsi="仿宋" w:eastAsia="仿宋"/>
          <w:b w:val="0"/>
          <w:bCs w:val="0"/>
        </w:rPr>
        <w:t>入支出决算总表</w:t>
      </w:r>
      <w:bookmarkEnd w:id="59"/>
    </w:p>
    <w:p>
      <w:pPr>
        <w:pStyle w:val="4"/>
        <w:rPr>
          <w:rStyle w:val="19"/>
          <w:rFonts w:ascii="仿宋" w:hAnsi="仿宋" w:eastAsia="仿宋"/>
          <w:b/>
          <w:bCs/>
        </w:rPr>
      </w:pPr>
      <w:bookmarkStart w:id="60" w:name="_Toc15396620"/>
      <w:r>
        <w:rPr>
          <w:rFonts w:hint="eastAsia" w:ascii="仿宋" w:hAnsi="仿宋" w:eastAsia="仿宋"/>
          <w:b w:val="0"/>
        </w:rPr>
        <w:t>二、收</w:t>
      </w:r>
      <w:r>
        <w:rPr>
          <w:rStyle w:val="19"/>
          <w:rFonts w:hint="eastAsia" w:ascii="仿宋" w:hAnsi="仿宋" w:eastAsia="仿宋"/>
          <w:b w:val="0"/>
          <w:bCs w:val="0"/>
        </w:rPr>
        <w:t>入决算表</w:t>
      </w:r>
      <w:bookmarkEnd w:id="60"/>
    </w:p>
    <w:p>
      <w:pPr>
        <w:pStyle w:val="4"/>
        <w:rPr>
          <w:rStyle w:val="19"/>
          <w:rFonts w:ascii="仿宋" w:hAnsi="仿宋" w:eastAsia="仿宋"/>
          <w:b/>
          <w:bCs/>
        </w:rPr>
      </w:pPr>
      <w:bookmarkStart w:id="61" w:name="_Toc15396621"/>
      <w:r>
        <w:rPr>
          <w:rStyle w:val="19"/>
          <w:rFonts w:hint="eastAsia" w:ascii="仿宋" w:hAnsi="仿宋" w:eastAsia="仿宋"/>
          <w:b w:val="0"/>
          <w:bCs w:val="0"/>
        </w:rPr>
        <w:t>三、</w:t>
      </w:r>
      <w:r>
        <w:rPr>
          <w:rFonts w:hint="eastAsia" w:ascii="仿宋" w:hAnsi="仿宋" w:eastAsia="仿宋"/>
          <w:b w:val="0"/>
        </w:rPr>
        <w:t>支</w:t>
      </w:r>
      <w:r>
        <w:rPr>
          <w:rStyle w:val="19"/>
          <w:rFonts w:hint="eastAsia" w:ascii="仿宋" w:hAnsi="仿宋" w:eastAsia="仿宋"/>
          <w:b w:val="0"/>
          <w:bCs w:val="0"/>
        </w:rPr>
        <w:t>出决算表</w:t>
      </w:r>
      <w:bookmarkEnd w:id="61"/>
    </w:p>
    <w:p>
      <w:pPr>
        <w:pStyle w:val="4"/>
        <w:rPr>
          <w:rStyle w:val="19"/>
          <w:rFonts w:ascii="仿宋" w:hAnsi="仿宋" w:eastAsia="仿宋"/>
          <w:b/>
          <w:bCs/>
        </w:rPr>
      </w:pPr>
      <w:bookmarkStart w:id="62" w:name="_Toc15396622"/>
      <w:r>
        <w:rPr>
          <w:rStyle w:val="19"/>
          <w:rFonts w:hint="eastAsia" w:ascii="仿宋" w:hAnsi="仿宋" w:eastAsia="仿宋"/>
          <w:b w:val="0"/>
          <w:bCs w:val="0"/>
        </w:rPr>
        <w:t>四、</w:t>
      </w:r>
      <w:r>
        <w:rPr>
          <w:rFonts w:hint="eastAsia" w:ascii="仿宋" w:hAnsi="仿宋" w:eastAsia="仿宋"/>
          <w:b w:val="0"/>
        </w:rPr>
        <w:t>财</w:t>
      </w:r>
      <w:r>
        <w:rPr>
          <w:rStyle w:val="19"/>
          <w:rFonts w:hint="eastAsia" w:ascii="仿宋" w:hAnsi="仿宋" w:eastAsia="仿宋"/>
          <w:b w:val="0"/>
          <w:bCs w:val="0"/>
        </w:rPr>
        <w:t>政拨款收入支出决算总表</w:t>
      </w:r>
      <w:bookmarkEnd w:id="62"/>
    </w:p>
    <w:p>
      <w:pPr>
        <w:pStyle w:val="4"/>
        <w:rPr>
          <w:rStyle w:val="19"/>
          <w:rFonts w:ascii="仿宋" w:hAnsi="仿宋" w:eastAsia="仿宋"/>
          <w:b/>
          <w:bCs/>
        </w:rPr>
      </w:pPr>
      <w:bookmarkStart w:id="63" w:name="_Toc15396623"/>
      <w:r>
        <w:rPr>
          <w:rStyle w:val="19"/>
          <w:rFonts w:hint="eastAsia" w:ascii="仿宋" w:hAnsi="仿宋" w:eastAsia="仿宋"/>
          <w:b w:val="0"/>
          <w:bCs w:val="0"/>
        </w:rPr>
        <w:t>五、</w:t>
      </w:r>
      <w:r>
        <w:rPr>
          <w:rFonts w:hint="eastAsia" w:ascii="仿宋" w:hAnsi="仿宋" w:eastAsia="仿宋"/>
          <w:b w:val="0"/>
        </w:rPr>
        <w:t>财</w:t>
      </w:r>
      <w:r>
        <w:rPr>
          <w:rStyle w:val="19"/>
          <w:rFonts w:hint="eastAsia" w:ascii="仿宋" w:hAnsi="仿宋" w:eastAsia="仿宋"/>
          <w:b w:val="0"/>
          <w:bCs w:val="0"/>
        </w:rPr>
        <w:t>政拨款支出决算明细表</w:t>
      </w:r>
      <w:bookmarkEnd w:id="63"/>
      <w:bookmarkStart w:id="64" w:name="_Toc15396624"/>
    </w:p>
    <w:p>
      <w:pPr>
        <w:pStyle w:val="4"/>
        <w:rPr>
          <w:rStyle w:val="19"/>
          <w:rFonts w:ascii="仿宋" w:hAnsi="仿宋" w:eastAsia="仿宋"/>
          <w:b/>
          <w:bCs/>
        </w:rPr>
      </w:pPr>
      <w:r>
        <w:rPr>
          <w:rStyle w:val="19"/>
          <w:rFonts w:hint="eastAsia" w:ascii="仿宋" w:hAnsi="仿宋" w:eastAsia="仿宋"/>
          <w:b w:val="0"/>
          <w:bCs w:val="0"/>
        </w:rPr>
        <w:t>六、</w:t>
      </w:r>
      <w:r>
        <w:rPr>
          <w:rFonts w:hint="eastAsia" w:ascii="仿宋" w:hAnsi="仿宋" w:eastAsia="仿宋"/>
          <w:b w:val="0"/>
        </w:rPr>
        <w:t>一</w:t>
      </w:r>
      <w:r>
        <w:rPr>
          <w:rStyle w:val="19"/>
          <w:rFonts w:hint="eastAsia" w:ascii="仿宋" w:hAnsi="仿宋" w:eastAsia="仿宋"/>
          <w:b w:val="0"/>
          <w:bCs w:val="0"/>
        </w:rPr>
        <w:t>般公共预算财政拨款支出决算表</w:t>
      </w:r>
      <w:bookmarkEnd w:id="64"/>
    </w:p>
    <w:p>
      <w:pPr>
        <w:pStyle w:val="4"/>
        <w:rPr>
          <w:rStyle w:val="19"/>
          <w:rFonts w:ascii="仿宋" w:hAnsi="仿宋" w:eastAsia="仿宋"/>
          <w:b/>
          <w:bCs/>
        </w:rPr>
      </w:pPr>
      <w:bookmarkStart w:id="65" w:name="_Toc15396625"/>
      <w:r>
        <w:rPr>
          <w:rStyle w:val="19"/>
          <w:rFonts w:hint="eastAsia" w:ascii="仿宋" w:hAnsi="仿宋" w:eastAsia="仿宋"/>
          <w:b w:val="0"/>
          <w:bCs w:val="0"/>
        </w:rPr>
        <w:t>七、</w:t>
      </w:r>
      <w:r>
        <w:rPr>
          <w:rFonts w:hint="eastAsia" w:ascii="仿宋" w:hAnsi="仿宋" w:eastAsia="仿宋"/>
          <w:b w:val="0"/>
        </w:rPr>
        <w:t>一</w:t>
      </w:r>
      <w:r>
        <w:rPr>
          <w:rStyle w:val="19"/>
          <w:rFonts w:hint="eastAsia" w:ascii="仿宋" w:hAnsi="仿宋" w:eastAsia="仿宋"/>
          <w:b w:val="0"/>
          <w:bCs w:val="0"/>
        </w:rPr>
        <w:t>般公共预算财政拨款支出决算明细表</w:t>
      </w:r>
      <w:bookmarkEnd w:id="65"/>
    </w:p>
    <w:p>
      <w:pPr>
        <w:pStyle w:val="4"/>
        <w:rPr>
          <w:rStyle w:val="19"/>
          <w:rFonts w:ascii="仿宋" w:hAnsi="仿宋" w:eastAsia="仿宋"/>
          <w:b/>
          <w:bCs/>
        </w:rPr>
      </w:pPr>
      <w:bookmarkStart w:id="66" w:name="_Toc15396626"/>
      <w:r>
        <w:rPr>
          <w:rStyle w:val="19"/>
          <w:rFonts w:hint="eastAsia" w:ascii="仿宋" w:hAnsi="仿宋" w:eastAsia="仿宋"/>
          <w:b w:val="0"/>
          <w:bCs w:val="0"/>
        </w:rPr>
        <w:t>八、</w:t>
      </w:r>
      <w:r>
        <w:rPr>
          <w:rFonts w:hint="eastAsia" w:ascii="仿宋" w:hAnsi="仿宋" w:eastAsia="仿宋"/>
          <w:b w:val="0"/>
        </w:rPr>
        <w:t>一</w:t>
      </w:r>
      <w:r>
        <w:rPr>
          <w:rStyle w:val="19"/>
          <w:rFonts w:hint="eastAsia" w:ascii="仿宋" w:hAnsi="仿宋" w:eastAsia="仿宋"/>
          <w:b w:val="0"/>
          <w:bCs w:val="0"/>
        </w:rPr>
        <w:t>般公共预算财政拨款基本支出决算表</w:t>
      </w:r>
      <w:bookmarkEnd w:id="66"/>
    </w:p>
    <w:p>
      <w:pPr>
        <w:pStyle w:val="4"/>
        <w:rPr>
          <w:rStyle w:val="19"/>
          <w:rFonts w:ascii="仿宋" w:hAnsi="仿宋" w:eastAsia="仿宋"/>
          <w:b/>
          <w:bCs/>
        </w:rPr>
      </w:pPr>
      <w:bookmarkStart w:id="67" w:name="_Toc15396627"/>
      <w:r>
        <w:rPr>
          <w:rStyle w:val="19"/>
          <w:rFonts w:hint="eastAsia" w:ascii="仿宋" w:hAnsi="仿宋" w:eastAsia="仿宋"/>
          <w:b w:val="0"/>
          <w:bCs w:val="0"/>
        </w:rPr>
        <w:t>九、</w:t>
      </w:r>
      <w:r>
        <w:rPr>
          <w:rFonts w:hint="eastAsia" w:ascii="仿宋" w:hAnsi="仿宋" w:eastAsia="仿宋"/>
          <w:b w:val="0"/>
        </w:rPr>
        <w:t>一</w:t>
      </w:r>
      <w:r>
        <w:rPr>
          <w:rStyle w:val="19"/>
          <w:rFonts w:hint="eastAsia" w:ascii="仿宋" w:hAnsi="仿宋" w:eastAsia="仿宋"/>
          <w:b w:val="0"/>
          <w:bCs w:val="0"/>
        </w:rPr>
        <w:t>般公共预算财政拨款项目支出决算表</w:t>
      </w:r>
      <w:bookmarkEnd w:id="67"/>
    </w:p>
    <w:p>
      <w:pPr>
        <w:pStyle w:val="4"/>
        <w:rPr>
          <w:rStyle w:val="19"/>
          <w:rFonts w:ascii="仿宋" w:hAnsi="仿宋" w:eastAsia="仿宋"/>
          <w:b/>
          <w:bCs/>
        </w:rPr>
      </w:pPr>
      <w:bookmarkStart w:id="68" w:name="_Toc15396628"/>
      <w:r>
        <w:rPr>
          <w:rStyle w:val="19"/>
          <w:rFonts w:hint="eastAsia" w:ascii="仿宋" w:hAnsi="仿宋" w:eastAsia="仿宋"/>
          <w:b w:val="0"/>
          <w:bCs w:val="0"/>
        </w:rPr>
        <w:t>十、</w:t>
      </w:r>
      <w:r>
        <w:rPr>
          <w:rFonts w:hint="eastAsia" w:ascii="仿宋" w:hAnsi="仿宋" w:eastAsia="仿宋"/>
          <w:b w:val="0"/>
        </w:rPr>
        <w:t>一</w:t>
      </w:r>
      <w:r>
        <w:rPr>
          <w:rStyle w:val="19"/>
          <w:rFonts w:hint="eastAsia" w:ascii="仿宋" w:hAnsi="仿宋" w:eastAsia="仿宋"/>
          <w:b w:val="0"/>
          <w:bCs w:val="0"/>
        </w:rPr>
        <w:t>般公共预算财政拨款“三公”经费支出决算表</w:t>
      </w:r>
      <w:bookmarkEnd w:id="68"/>
    </w:p>
    <w:p>
      <w:pPr>
        <w:pStyle w:val="4"/>
        <w:rPr>
          <w:rStyle w:val="19"/>
          <w:rFonts w:ascii="仿宋" w:hAnsi="仿宋" w:eastAsia="仿宋"/>
          <w:b/>
          <w:bCs/>
        </w:rPr>
      </w:pPr>
      <w:bookmarkStart w:id="69" w:name="_Toc15396629"/>
      <w:r>
        <w:rPr>
          <w:rStyle w:val="19"/>
          <w:rFonts w:hint="eastAsia" w:ascii="仿宋" w:hAnsi="仿宋" w:eastAsia="仿宋"/>
          <w:b w:val="0"/>
          <w:bCs w:val="0"/>
        </w:rPr>
        <w:t>十一、</w:t>
      </w:r>
      <w:r>
        <w:rPr>
          <w:rFonts w:hint="eastAsia" w:ascii="仿宋" w:hAnsi="仿宋" w:eastAsia="仿宋"/>
          <w:b w:val="0"/>
        </w:rPr>
        <w:t>政</w:t>
      </w:r>
      <w:r>
        <w:rPr>
          <w:rStyle w:val="19"/>
          <w:rFonts w:hint="eastAsia" w:ascii="仿宋" w:hAnsi="仿宋" w:eastAsia="仿宋"/>
          <w:b w:val="0"/>
          <w:bCs w:val="0"/>
        </w:rPr>
        <w:t>府性基金预算财政拨款收入支出决算表</w:t>
      </w:r>
      <w:bookmarkEnd w:id="69"/>
    </w:p>
    <w:p>
      <w:pPr>
        <w:pStyle w:val="4"/>
        <w:rPr>
          <w:rStyle w:val="19"/>
          <w:rFonts w:ascii="仿宋" w:hAnsi="仿宋" w:eastAsia="仿宋"/>
          <w:b/>
          <w:bCs/>
        </w:rPr>
      </w:pPr>
      <w:bookmarkStart w:id="70" w:name="_Toc15396630"/>
      <w:r>
        <w:rPr>
          <w:rStyle w:val="19"/>
          <w:rFonts w:hint="eastAsia" w:ascii="仿宋" w:hAnsi="仿宋" w:eastAsia="仿宋"/>
          <w:b w:val="0"/>
          <w:bCs w:val="0"/>
        </w:rPr>
        <w:t>十二、</w:t>
      </w:r>
      <w:r>
        <w:rPr>
          <w:rFonts w:hint="eastAsia" w:ascii="仿宋" w:hAnsi="仿宋" w:eastAsia="仿宋"/>
          <w:b w:val="0"/>
        </w:rPr>
        <w:t>政</w:t>
      </w:r>
      <w:r>
        <w:rPr>
          <w:rStyle w:val="19"/>
          <w:rFonts w:hint="eastAsia" w:ascii="仿宋" w:hAnsi="仿宋" w:eastAsia="仿宋"/>
          <w:b w:val="0"/>
          <w:bCs w:val="0"/>
        </w:rPr>
        <w:t>府性基金预算财政拨款“三公”经费支出决算表</w:t>
      </w:r>
      <w:bookmarkEnd w:id="70"/>
    </w:p>
    <w:p>
      <w:pPr>
        <w:pStyle w:val="4"/>
        <w:rPr>
          <w:rStyle w:val="19"/>
          <w:rFonts w:ascii="仿宋" w:hAnsi="仿宋" w:eastAsia="仿宋"/>
          <w:b w:val="0"/>
          <w:bCs w:val="0"/>
        </w:rPr>
      </w:pPr>
      <w:bookmarkStart w:id="71" w:name="_Toc15396631"/>
      <w:r>
        <w:rPr>
          <w:rStyle w:val="19"/>
          <w:rFonts w:hint="eastAsia" w:ascii="仿宋" w:hAnsi="仿宋" w:eastAsia="仿宋"/>
          <w:b w:val="0"/>
          <w:bCs w:val="0"/>
        </w:rPr>
        <w:t>十三、</w:t>
      </w:r>
      <w:r>
        <w:rPr>
          <w:rFonts w:hint="eastAsia" w:ascii="仿宋" w:hAnsi="仿宋" w:eastAsia="仿宋"/>
          <w:b w:val="0"/>
        </w:rPr>
        <w:t>国</w:t>
      </w:r>
      <w:r>
        <w:rPr>
          <w:rStyle w:val="19"/>
          <w:rFonts w:hint="eastAsia" w:ascii="仿宋" w:hAnsi="仿宋" w:eastAsia="仿宋"/>
          <w:b w:val="0"/>
          <w:bCs w:val="0"/>
        </w:rPr>
        <w:t>有资本经营预算财政拨款收入支出决算表</w:t>
      </w:r>
      <w:bookmarkEnd w:id="71"/>
    </w:p>
    <w:p>
      <w:pPr>
        <w:pStyle w:val="4"/>
        <w:rPr>
          <w:rStyle w:val="19"/>
          <w:rFonts w:ascii="仿宋" w:hAnsi="仿宋" w:eastAsia="仿宋"/>
          <w:b w:val="0"/>
          <w:bCs/>
        </w:rPr>
      </w:pPr>
      <w:r>
        <w:rPr>
          <w:rStyle w:val="19"/>
          <w:rFonts w:hint="eastAsia" w:ascii="仿宋" w:hAnsi="仿宋" w:eastAsia="仿宋"/>
          <w:b w:val="0"/>
          <w:bCs/>
        </w:rPr>
        <w:t>十四、国有资本经营预算财政拨款支出决算表</w:t>
      </w:r>
    </w:p>
    <w:bookmarkEnd w:id="56"/>
    <w:bookmarkEnd w:id="58"/>
    <w:p>
      <w:pPr>
        <w:pStyle w:val="2"/>
        <w:spacing w:before="93"/>
      </w:pPr>
    </w:p>
    <w:sectPr>
      <w:headerReference r:id="rId3" w:type="default"/>
      <w:footerReference r:id="rId4" w:type="default"/>
      <w:pgSz w:w="11906" w:h="16838"/>
      <w:pgMar w:top="1440" w:right="1797" w:bottom="1440" w:left="1797" w:header="851" w:footer="992" w:gutter="0"/>
      <w:pgNumType w:start="1"/>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85F514-4302-4119-A6EC-4F8EF31CBC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91E304CF-51D5-434E-9AC1-ED34E386CEDB}"/>
  </w:font>
  <w:font w:name="Cambria">
    <w:panose1 w:val="02040503050406030204"/>
    <w:charset w:val="00"/>
    <w:family w:val="roman"/>
    <w:pitch w:val="default"/>
    <w:sig w:usb0="E00006FF" w:usb1="420024FF" w:usb2="02000000" w:usb3="00000000" w:csb0="2000019F" w:csb1="00000000"/>
    <w:embedRegular r:id="rId3" w:fontKey="{BFC64C52-63AE-4A16-8FC7-06A068E625F0}"/>
  </w:font>
  <w:font w:name="仿宋">
    <w:panose1 w:val="02010609060101010101"/>
    <w:charset w:val="86"/>
    <w:family w:val="modern"/>
    <w:pitch w:val="default"/>
    <w:sig w:usb0="800002BF" w:usb1="38CF7CFA" w:usb2="00000016" w:usb3="00000000" w:csb0="00040001" w:csb1="00000000"/>
    <w:embedRegular r:id="rId4" w:fontKey="{00A1F7C6-A9FE-4EBE-A135-3DC1124566DA}"/>
  </w:font>
  <w:font w:name="??">
    <w:altName w:val="Segoe Print"/>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5" w:fontKey="{AC5F72FF-F483-405B-86D1-7B492FD93C04}"/>
  </w:font>
  <w:font w:name="楷体_GB2312">
    <w:altName w:val="楷体"/>
    <w:panose1 w:val="00000000000000000000"/>
    <w:charset w:val="86"/>
    <w:family w:val="modern"/>
    <w:pitch w:val="default"/>
    <w:sig w:usb0="00000000" w:usb1="00000000" w:usb2="00000000" w:usb3="00000000" w:csb0="00040000" w:csb1="00000000"/>
    <w:embedRegular r:id="rId6" w:fontKey="{67EACA4C-115C-41F7-A873-5A3FB32502C1}"/>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9</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E0385"/>
    <w:multiLevelType w:val="singleLevel"/>
    <w:tmpl w:val="999E0385"/>
    <w:lvl w:ilvl="0" w:tentative="0">
      <w:start w:val="2"/>
      <w:numFmt w:val="chineseCounting"/>
      <w:suff w:val="nothing"/>
      <w:lvlText w:val="（%1）"/>
      <w:lvlJc w:val="left"/>
      <w:rPr>
        <w:rFonts w:hint="eastAsia"/>
      </w:rPr>
    </w:lvl>
  </w:abstractNum>
  <w:abstractNum w:abstractNumId="1">
    <w:nsid w:val="CF0DF9A2"/>
    <w:multiLevelType w:val="singleLevel"/>
    <w:tmpl w:val="CF0DF9A2"/>
    <w:lvl w:ilvl="0" w:tentative="0">
      <w:start w:val="3"/>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3F47831"/>
    <w:multiLevelType w:val="multilevel"/>
    <w:tmpl w:val="23F47831"/>
    <w:lvl w:ilvl="0" w:tentative="0">
      <w:start w:val="1"/>
      <w:numFmt w:val="japaneseCounting"/>
      <w:lvlText w:val="（%1）"/>
      <w:lvlJc w:val="left"/>
      <w:pPr>
        <w:ind w:left="1585" w:hanging="94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2"/>
  </w:num>
  <w:num w:numId="3">
    <w:abstractNumId w:val="3"/>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c2ZGZiNzZiNDVlOGViOWVmM2JhOTY0NGJkNjUyYzgifQ=="/>
  </w:docVars>
  <w:rsids>
    <w:rsidRoot w:val="00172A27"/>
    <w:rsid w:val="000222C6"/>
    <w:rsid w:val="0002549F"/>
    <w:rsid w:val="000468DB"/>
    <w:rsid w:val="0006487A"/>
    <w:rsid w:val="00064A30"/>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083"/>
    <w:rsid w:val="000E7119"/>
    <w:rsid w:val="00114E9B"/>
    <w:rsid w:val="00141A93"/>
    <w:rsid w:val="00142216"/>
    <w:rsid w:val="00144D6A"/>
    <w:rsid w:val="0014688E"/>
    <w:rsid w:val="0014729F"/>
    <w:rsid w:val="00157BAB"/>
    <w:rsid w:val="001654D1"/>
    <w:rsid w:val="00172A27"/>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DFD"/>
    <w:rsid w:val="00220536"/>
    <w:rsid w:val="00235629"/>
    <w:rsid w:val="00246D9A"/>
    <w:rsid w:val="00260C38"/>
    <w:rsid w:val="002616C0"/>
    <w:rsid w:val="00265372"/>
    <w:rsid w:val="002662AA"/>
    <w:rsid w:val="00280496"/>
    <w:rsid w:val="00294DC9"/>
    <w:rsid w:val="00295495"/>
    <w:rsid w:val="002A31DE"/>
    <w:rsid w:val="002B2613"/>
    <w:rsid w:val="002D6D05"/>
    <w:rsid w:val="002E055E"/>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16B"/>
    <w:rsid w:val="003D66DA"/>
    <w:rsid w:val="003E1310"/>
    <w:rsid w:val="003E6F55"/>
    <w:rsid w:val="00406254"/>
    <w:rsid w:val="00412214"/>
    <w:rsid w:val="004223DE"/>
    <w:rsid w:val="00434489"/>
    <w:rsid w:val="00437085"/>
    <w:rsid w:val="00443880"/>
    <w:rsid w:val="004464F4"/>
    <w:rsid w:val="00471401"/>
    <w:rsid w:val="00473F31"/>
    <w:rsid w:val="0048263A"/>
    <w:rsid w:val="00487E5D"/>
    <w:rsid w:val="004A711F"/>
    <w:rsid w:val="004B199D"/>
    <w:rsid w:val="004B1BF6"/>
    <w:rsid w:val="004B4690"/>
    <w:rsid w:val="004B6E8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199"/>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A7609"/>
    <w:rsid w:val="006A7E42"/>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7F66F2"/>
    <w:rsid w:val="00800112"/>
    <w:rsid w:val="00804E5E"/>
    <w:rsid w:val="00810523"/>
    <w:rsid w:val="00813348"/>
    <w:rsid w:val="008253BB"/>
    <w:rsid w:val="0083706E"/>
    <w:rsid w:val="008408F6"/>
    <w:rsid w:val="008423A5"/>
    <w:rsid w:val="00850625"/>
    <w:rsid w:val="00853718"/>
    <w:rsid w:val="00855221"/>
    <w:rsid w:val="00860645"/>
    <w:rsid w:val="00862963"/>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0491"/>
    <w:rsid w:val="00967708"/>
    <w:rsid w:val="0097099F"/>
    <w:rsid w:val="00971997"/>
    <w:rsid w:val="00971FFC"/>
    <w:rsid w:val="0098660A"/>
    <w:rsid w:val="009931C3"/>
    <w:rsid w:val="009B2C43"/>
    <w:rsid w:val="009B4EAE"/>
    <w:rsid w:val="009B7573"/>
    <w:rsid w:val="009C22F4"/>
    <w:rsid w:val="009C2A4B"/>
    <w:rsid w:val="009C2E98"/>
    <w:rsid w:val="009D3447"/>
    <w:rsid w:val="009D399A"/>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446F"/>
    <w:rsid w:val="00B060AE"/>
    <w:rsid w:val="00B10517"/>
    <w:rsid w:val="00B14DF0"/>
    <w:rsid w:val="00B14E76"/>
    <w:rsid w:val="00B161B8"/>
    <w:rsid w:val="00B2048C"/>
    <w:rsid w:val="00B310B9"/>
    <w:rsid w:val="00B35F3F"/>
    <w:rsid w:val="00B36CBB"/>
    <w:rsid w:val="00B425E0"/>
    <w:rsid w:val="00B440AA"/>
    <w:rsid w:val="00B44B70"/>
    <w:rsid w:val="00B53C56"/>
    <w:rsid w:val="00B57DAF"/>
    <w:rsid w:val="00B73CDB"/>
    <w:rsid w:val="00B77EA6"/>
    <w:rsid w:val="00B81598"/>
    <w:rsid w:val="00B841F1"/>
    <w:rsid w:val="00B944D6"/>
    <w:rsid w:val="00BB4DF0"/>
    <w:rsid w:val="00BC289F"/>
    <w:rsid w:val="00BC2D50"/>
    <w:rsid w:val="00BC5288"/>
    <w:rsid w:val="00BC5361"/>
    <w:rsid w:val="00BC5460"/>
    <w:rsid w:val="00BC6B50"/>
    <w:rsid w:val="00BD0E25"/>
    <w:rsid w:val="00BF5BD6"/>
    <w:rsid w:val="00C03E31"/>
    <w:rsid w:val="00C11623"/>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14C1"/>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1782"/>
    <w:rsid w:val="00D7035F"/>
    <w:rsid w:val="00DA634F"/>
    <w:rsid w:val="00DA65AC"/>
    <w:rsid w:val="00DB1682"/>
    <w:rsid w:val="00DB1913"/>
    <w:rsid w:val="00DC410D"/>
    <w:rsid w:val="00DC5A81"/>
    <w:rsid w:val="00DC68CA"/>
    <w:rsid w:val="00DC7CBA"/>
    <w:rsid w:val="00DD73B7"/>
    <w:rsid w:val="00DF0ABB"/>
    <w:rsid w:val="00DF28BC"/>
    <w:rsid w:val="00DF34B9"/>
    <w:rsid w:val="00E01053"/>
    <w:rsid w:val="00E07ACF"/>
    <w:rsid w:val="00E331A1"/>
    <w:rsid w:val="00E33202"/>
    <w:rsid w:val="00E33321"/>
    <w:rsid w:val="00E336A9"/>
    <w:rsid w:val="00E472B1"/>
    <w:rsid w:val="00E50624"/>
    <w:rsid w:val="00E568DF"/>
    <w:rsid w:val="00E64269"/>
    <w:rsid w:val="00E82267"/>
    <w:rsid w:val="00E853CE"/>
    <w:rsid w:val="00E867B6"/>
    <w:rsid w:val="00EA010F"/>
    <w:rsid w:val="00EB321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5517"/>
    <w:rsid w:val="00F754A1"/>
    <w:rsid w:val="00F81FD9"/>
    <w:rsid w:val="00F841AA"/>
    <w:rsid w:val="00F84A94"/>
    <w:rsid w:val="00F87E96"/>
    <w:rsid w:val="00FA23E8"/>
    <w:rsid w:val="00FD3CC1"/>
    <w:rsid w:val="00FD5FDC"/>
    <w:rsid w:val="00FF1E02"/>
    <w:rsid w:val="00FF30B4"/>
    <w:rsid w:val="01017684"/>
    <w:rsid w:val="018D476A"/>
    <w:rsid w:val="035B3F7B"/>
    <w:rsid w:val="066E0107"/>
    <w:rsid w:val="07996F6E"/>
    <w:rsid w:val="0A2032A3"/>
    <w:rsid w:val="0A7930CB"/>
    <w:rsid w:val="0BB372A0"/>
    <w:rsid w:val="101860EC"/>
    <w:rsid w:val="10C055FF"/>
    <w:rsid w:val="118107EC"/>
    <w:rsid w:val="12557610"/>
    <w:rsid w:val="13D50BC4"/>
    <w:rsid w:val="158B6157"/>
    <w:rsid w:val="15D85F15"/>
    <w:rsid w:val="16916AD6"/>
    <w:rsid w:val="16BB723D"/>
    <w:rsid w:val="1BE8440E"/>
    <w:rsid w:val="1BFD8690"/>
    <w:rsid w:val="1D155CEE"/>
    <w:rsid w:val="229D7C38"/>
    <w:rsid w:val="23860B96"/>
    <w:rsid w:val="240371BF"/>
    <w:rsid w:val="29FD04D3"/>
    <w:rsid w:val="2A5440F2"/>
    <w:rsid w:val="2B4537DA"/>
    <w:rsid w:val="2C8A61B5"/>
    <w:rsid w:val="2D5E1EDC"/>
    <w:rsid w:val="2DF04E50"/>
    <w:rsid w:val="2EF91EFD"/>
    <w:rsid w:val="30481E1D"/>
    <w:rsid w:val="319F7F4E"/>
    <w:rsid w:val="32F800C0"/>
    <w:rsid w:val="351F5D4F"/>
    <w:rsid w:val="359F7AA1"/>
    <w:rsid w:val="36AA5135"/>
    <w:rsid w:val="37E16F03"/>
    <w:rsid w:val="3D98207C"/>
    <w:rsid w:val="40386A67"/>
    <w:rsid w:val="434162F2"/>
    <w:rsid w:val="44E268DA"/>
    <w:rsid w:val="48F27955"/>
    <w:rsid w:val="4A627F82"/>
    <w:rsid w:val="4B4F25DA"/>
    <w:rsid w:val="4BE068DB"/>
    <w:rsid w:val="4C6B4E31"/>
    <w:rsid w:val="4D577224"/>
    <w:rsid w:val="4EAB630A"/>
    <w:rsid w:val="4ECE2238"/>
    <w:rsid w:val="4F8A4990"/>
    <w:rsid w:val="56585DA5"/>
    <w:rsid w:val="5AF92295"/>
    <w:rsid w:val="5CD71FC4"/>
    <w:rsid w:val="5ED05363"/>
    <w:rsid w:val="5F2345A8"/>
    <w:rsid w:val="5F9E019E"/>
    <w:rsid w:val="62A31A64"/>
    <w:rsid w:val="631177A9"/>
    <w:rsid w:val="658912D8"/>
    <w:rsid w:val="66376316"/>
    <w:rsid w:val="6BCA1D28"/>
    <w:rsid w:val="6C4A05C8"/>
    <w:rsid w:val="6DC437AE"/>
    <w:rsid w:val="6E7E3605"/>
    <w:rsid w:val="6FF5CC65"/>
    <w:rsid w:val="715C0E4B"/>
    <w:rsid w:val="71FE0139"/>
    <w:rsid w:val="72734D90"/>
    <w:rsid w:val="73AD73D5"/>
    <w:rsid w:val="73B6EB34"/>
    <w:rsid w:val="79EE5BA4"/>
    <w:rsid w:val="7A894339"/>
    <w:rsid w:val="7CF386D1"/>
    <w:rsid w:val="7EEF11D3"/>
    <w:rsid w:val="7F144824"/>
    <w:rsid w:val="7FA30C79"/>
    <w:rsid w:val="7FC96657"/>
    <w:rsid w:val="7FFE62F0"/>
    <w:rsid w:val="9B37D96C"/>
    <w:rsid w:val="ABBBECC2"/>
    <w:rsid w:val="D8D6DB89"/>
    <w:rsid w:val="DB6F4CAB"/>
    <w:rsid w:val="DF6F9789"/>
    <w:rsid w:val="EF9532A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2"/>
    <w:semiHidden/>
    <w:unhideWhenUsed/>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标题 1 Char"/>
    <w:basedOn w:val="15"/>
    <w:link w:val="3"/>
    <w:qFormat/>
    <w:uiPriority w:val="9"/>
    <w:rPr>
      <w:rFonts w:ascii="Times New Roman" w:hAnsi="Times New Roman"/>
      <w:b/>
      <w:bCs/>
      <w:kern w:val="44"/>
      <w:sz w:val="44"/>
      <w:szCs w:val="44"/>
    </w:rPr>
  </w:style>
  <w:style w:type="character" w:customStyle="1" w:styleId="19">
    <w:name w:val="标题 2 Char"/>
    <w:basedOn w:val="15"/>
    <w:link w:val="4"/>
    <w:qFormat/>
    <w:uiPriority w:val="9"/>
    <w:rPr>
      <w:rFonts w:asciiTheme="majorHAnsi" w:hAnsiTheme="majorHAnsi" w:eastAsiaTheme="majorEastAsia" w:cstheme="majorBidi"/>
      <w:b/>
      <w:bCs/>
      <w:kern w:val="2"/>
      <w:sz w:val="32"/>
      <w:szCs w:val="32"/>
    </w:rPr>
  </w:style>
  <w:style w:type="character" w:customStyle="1" w:styleId="20">
    <w:name w:val="标题 3 Char"/>
    <w:basedOn w:val="15"/>
    <w:link w:val="5"/>
    <w:qFormat/>
    <w:uiPriority w:val="9"/>
    <w:rPr>
      <w:rFonts w:ascii="Times New Roman" w:hAnsi="Times New Roman"/>
      <w:b/>
      <w:bCs/>
      <w:kern w:val="2"/>
      <w:sz w:val="32"/>
      <w:szCs w:val="32"/>
    </w:rPr>
  </w:style>
  <w:style w:type="character" w:customStyle="1" w:styleId="21">
    <w:name w:val="正文文本 Char"/>
    <w:link w:val="2"/>
    <w:qFormat/>
    <w:locked/>
    <w:uiPriority w:val="99"/>
    <w:rPr>
      <w:rFonts w:ascii="仿宋_GB2312" w:hAnsi="Times New Roman" w:eastAsia="仿宋_GB2312"/>
      <w:sz w:val="24"/>
    </w:rPr>
  </w:style>
  <w:style w:type="character" w:customStyle="1" w:styleId="22">
    <w:name w:val="批注框文本 Char"/>
    <w:basedOn w:val="15"/>
    <w:link w:val="7"/>
    <w:semiHidden/>
    <w:qFormat/>
    <w:uiPriority w:val="99"/>
    <w:rPr>
      <w:rFonts w:ascii="Times New Roman" w:hAnsi="Times New Roman"/>
      <w:kern w:val="2"/>
      <w:sz w:val="18"/>
      <w:szCs w:val="18"/>
    </w:rPr>
  </w:style>
  <w:style w:type="character" w:customStyle="1" w:styleId="23">
    <w:name w:val="页脚 Char"/>
    <w:link w:val="8"/>
    <w:qFormat/>
    <w:locked/>
    <w:uiPriority w:val="99"/>
    <w:rPr>
      <w:sz w:val="18"/>
    </w:rPr>
  </w:style>
  <w:style w:type="character" w:customStyle="1" w:styleId="24">
    <w:name w:val="页眉 Char"/>
    <w:link w:val="9"/>
    <w:semiHidden/>
    <w:qFormat/>
    <w:locked/>
    <w:uiPriority w:val="99"/>
    <w:rPr>
      <w:sz w:val="18"/>
    </w:rPr>
  </w:style>
  <w:style w:type="character" w:customStyle="1" w:styleId="25">
    <w:name w:val="Header Char"/>
    <w:basedOn w:val="15"/>
    <w:semiHidden/>
    <w:qFormat/>
    <w:uiPriority w:val="99"/>
    <w:rPr>
      <w:rFonts w:ascii="Times New Roman" w:hAnsi="Times New Roman"/>
      <w:sz w:val="18"/>
      <w:szCs w:val="18"/>
    </w:rPr>
  </w:style>
  <w:style w:type="character" w:customStyle="1" w:styleId="26">
    <w:name w:val="Footer Char"/>
    <w:basedOn w:val="15"/>
    <w:semiHidden/>
    <w:qFormat/>
    <w:uiPriority w:val="99"/>
    <w:rPr>
      <w:rFonts w:ascii="Times New Roman" w:hAnsi="Times New Roman"/>
      <w:sz w:val="18"/>
      <w:szCs w:val="18"/>
    </w:rPr>
  </w:style>
  <w:style w:type="character" w:customStyle="1" w:styleId="27">
    <w:name w:val="Body Text Char"/>
    <w:basedOn w:val="15"/>
    <w:semiHidden/>
    <w:qFormat/>
    <w:uiPriority w:val="99"/>
    <w:rPr>
      <w:rFonts w:ascii="Times New Roman" w:hAnsi="Times New Roman"/>
      <w:szCs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font11"/>
    <w:basedOn w:val="15"/>
    <w:qFormat/>
    <w:uiPriority w:val="0"/>
    <w:rPr>
      <w:rFonts w:hint="eastAsia" w:ascii="宋体" w:hAnsi="宋体" w:eastAsia="宋体" w:cs="宋体"/>
      <w:color w:val="000000"/>
      <w:sz w:val="24"/>
      <w:szCs w:val="24"/>
      <w:u w:val="none"/>
    </w:rPr>
  </w:style>
  <w:style w:type="character" w:customStyle="1" w:styleId="33">
    <w:name w:val="font61"/>
    <w:basedOn w:val="15"/>
    <w:qFormat/>
    <w:uiPriority w:val="0"/>
    <w:rPr>
      <w:rFonts w:hint="default" w:ascii="Times New Roman" w:hAnsi="Times New Roman" w:cs="Times New Roman"/>
      <w:color w:val="000000"/>
      <w:sz w:val="24"/>
      <w:szCs w:val="24"/>
      <w:u w:val="none"/>
    </w:rPr>
  </w:style>
  <w:style w:type="character" w:customStyle="1" w:styleId="34">
    <w:name w:val="font51"/>
    <w:basedOn w:val="15"/>
    <w:qFormat/>
    <w:uiPriority w:val="0"/>
    <w:rPr>
      <w:rFonts w:hint="eastAsia" w:ascii="宋体" w:hAnsi="宋体" w:eastAsia="宋体" w:cs="宋体"/>
      <w:color w:val="000000"/>
      <w:sz w:val="16"/>
      <w:szCs w:val="16"/>
      <w:u w:val="none"/>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font21"/>
    <w:basedOn w:val="15"/>
    <w:qFormat/>
    <w:uiPriority w:val="0"/>
    <w:rPr>
      <w:rFonts w:hint="eastAsia" w:ascii="宋体" w:hAnsi="宋体" w:eastAsia="宋体" w:cs="宋体"/>
      <w:color w:val="000000"/>
      <w:sz w:val="24"/>
      <w:szCs w:val="24"/>
      <w:u w:val="none"/>
    </w:rPr>
  </w:style>
  <w:style w:type="character" w:customStyle="1" w:styleId="37">
    <w:name w:val="font41"/>
    <w:basedOn w:val="15"/>
    <w:qFormat/>
    <w:uiPriority w:val="0"/>
    <w:rPr>
      <w:rFonts w:hint="eastAsia" w:ascii="宋体" w:hAnsi="宋体" w:eastAsia="宋体" w:cs="宋体"/>
      <w:color w:val="000000"/>
      <w:sz w:val="16"/>
      <w:szCs w:val="16"/>
      <w:u w:val="none"/>
    </w:rPr>
  </w:style>
  <w:style w:type="character" w:customStyle="1" w:styleId="38">
    <w:name w:val="font31"/>
    <w:basedOn w:val="15"/>
    <w:qFormat/>
    <w:uiPriority w:val="0"/>
    <w:rPr>
      <w:rFonts w:hint="eastAsia" w:ascii="宋体" w:hAnsi="宋体" w:eastAsia="宋体" w:cs="宋体"/>
      <w:color w:val="000000"/>
      <w:sz w:val="24"/>
      <w:szCs w:val="24"/>
      <w:u w:val="none"/>
    </w:rPr>
  </w:style>
  <w:style w:type="character" w:customStyle="1" w:styleId="39">
    <w:name w:val="font71"/>
    <w:basedOn w:val="15"/>
    <w:qFormat/>
    <w:uiPriority w:val="0"/>
    <w:rPr>
      <w:rFonts w:hint="default" w:ascii="Times New Roman" w:hAnsi="Times New Roman" w:cs="Times New Roman"/>
      <w:color w:val="000000"/>
      <w:sz w:val="24"/>
      <w:szCs w:val="24"/>
      <w:u w:val="none"/>
    </w:rPr>
  </w:style>
  <w:style w:type="paragraph" w:customStyle="1" w:styleId="40">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xl66"/>
    <w:basedOn w:val="1"/>
    <w:qFormat/>
    <w:uiPriority w:val="0"/>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2">
    <w:name w:val="xl67"/>
    <w:basedOn w:val="1"/>
    <w:qFormat/>
    <w:uiPriority w:val="0"/>
    <w:pPr>
      <w:widowControl/>
      <w:pBdr>
        <w:bottom w:val="single" w:color="000000" w:sz="4" w:space="0"/>
        <w:right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43">
    <w:name w:val="xl68"/>
    <w:basedOn w:val="1"/>
    <w:qFormat/>
    <w:uiPriority w:val="0"/>
    <w:pPr>
      <w:widowControl/>
      <w:spacing w:before="100" w:beforeAutospacing="1" w:after="100" w:afterAutospacing="1"/>
      <w:jc w:val="right"/>
    </w:pPr>
    <w:rPr>
      <w:rFonts w:ascii="宋体" w:hAnsi="宋体" w:cs="宋体"/>
      <w:kern w:val="0"/>
      <w:sz w:val="24"/>
    </w:rPr>
  </w:style>
  <w:style w:type="paragraph" w:customStyle="1" w:styleId="44">
    <w:name w:val="xl6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5">
    <w:name w:val="xl70"/>
    <w:basedOn w:val="1"/>
    <w:qFormat/>
    <w:uiPriority w:val="0"/>
    <w:pPr>
      <w:widowControl/>
      <w:pBdr>
        <w:bottom w:val="single" w:color="000000" w:sz="4" w:space="0"/>
        <w:right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46">
    <w:name w:val="xl71"/>
    <w:basedOn w:val="1"/>
    <w:qFormat/>
    <w:uiPriority w:val="0"/>
    <w:pPr>
      <w:widowControl/>
      <w:pBdr>
        <w:bottom w:val="single" w:color="000000" w:sz="4" w:space="0"/>
        <w:right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47">
    <w:name w:val="xl72"/>
    <w:basedOn w:val="1"/>
    <w:qFormat/>
    <w:uiPriority w:val="0"/>
    <w:pPr>
      <w:widowControl/>
      <w:pBdr>
        <w:bottom w:val="single" w:color="000000" w:sz="8" w:space="0"/>
        <w:right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48">
    <w:name w:val="xl73"/>
    <w:basedOn w:val="1"/>
    <w:qFormat/>
    <w:uiPriority w:val="0"/>
    <w:pPr>
      <w:widowControl/>
      <w:pBdr>
        <w:bottom w:val="single" w:color="000000" w:sz="8" w:space="0"/>
        <w:right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49">
    <w:name w:val="xl74"/>
    <w:basedOn w:val="1"/>
    <w:qFormat/>
    <w:uiPriority w:val="0"/>
    <w:pPr>
      <w:widowControl/>
      <w:pBdr>
        <w:bottom w:val="single" w:color="000000" w:sz="8" w:space="0"/>
        <w:right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50">
    <w:name w:val="xl75"/>
    <w:basedOn w:val="1"/>
    <w:qFormat/>
    <w:uiPriority w:val="0"/>
    <w:pPr>
      <w:widowControl/>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51">
    <w:name w:val="xl76"/>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52">
    <w:name w:val="xl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53">
    <w:name w:val="xl78"/>
    <w:basedOn w:val="1"/>
    <w:qFormat/>
    <w:uiPriority w:val="0"/>
    <w:pPr>
      <w:widowControl/>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54">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55">
    <w:name w:val="xl80"/>
    <w:basedOn w:val="1"/>
    <w:qFormat/>
    <w:uiPriority w:val="0"/>
    <w:pPr>
      <w:widowControl/>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4"/>
    </w:rPr>
  </w:style>
  <w:style w:type="paragraph" w:customStyle="1" w:styleId="56">
    <w:name w:val="xl81"/>
    <w:basedOn w:val="1"/>
    <w:qFormat/>
    <w:uiPriority w:val="0"/>
    <w:pPr>
      <w:widowControl/>
      <w:pBdr>
        <w:left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57">
    <w:name w:val="xl82"/>
    <w:basedOn w:val="1"/>
    <w:qFormat/>
    <w:uiPriority w:val="0"/>
    <w:pPr>
      <w:widowControl/>
      <w:spacing w:before="100" w:beforeAutospacing="1" w:after="100" w:afterAutospacing="1"/>
      <w:jc w:val="center"/>
    </w:pPr>
    <w:rPr>
      <w:rFonts w:ascii="宋体" w:hAnsi="宋体" w:cs="宋体"/>
      <w:kern w:val="0"/>
      <w:sz w:val="44"/>
      <w:szCs w:val="44"/>
    </w:rPr>
  </w:style>
  <w:style w:type="paragraph" w:customStyle="1" w:styleId="58">
    <w:name w:val="xl83"/>
    <w:basedOn w:val="1"/>
    <w:qFormat/>
    <w:uiPriority w:val="0"/>
    <w:pPr>
      <w:widowControl/>
      <w:pBdr>
        <w:left w:val="single" w:color="000000" w:sz="4" w:space="0"/>
        <w:bottom w:val="single" w:color="000000" w:sz="8" w:space="0"/>
        <w:right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84"/>
    <w:basedOn w:val="1"/>
    <w:qFormat/>
    <w:uiPriority w:val="0"/>
    <w:pPr>
      <w:widowControl/>
      <w:spacing w:before="100" w:beforeAutospacing="1" w:after="100" w:afterAutospacing="1"/>
      <w:jc w:val="left"/>
      <w:textAlignment w:val="center"/>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emf"/><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图</a:t>
            </a:r>
            <a:r>
              <a:rPr lang="en-US" altLang="zh-CN"/>
              <a:t>1</a:t>
            </a:r>
            <a:r>
              <a:rPr altLang="en-US"/>
              <a:t>：收、支决算总计变动情况图</a:t>
            </a:r>
            <a:endParaRPr altLang="en-US"/>
          </a:p>
        </c:rich>
      </c:tx>
      <c:layout/>
      <c:overlay val="0"/>
    </c:title>
    <c:autoTitleDeleted val="0"/>
    <c:plotArea>
      <c:layout/>
      <c:barChart>
        <c:barDir val="col"/>
        <c:grouping val="clustered"/>
        <c:varyColors val="0"/>
        <c:ser>
          <c:idx val="0"/>
          <c:order val="0"/>
          <c:tx>
            <c:strRef>
              <c:f>[新建Excel文档.xls]Sheet1!$A$2</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[新建Excel文档.xls]Sheet1!$B$1:$C$1</c:f>
              <c:strCache>
                <c:ptCount val="2"/>
                <c:pt idx="0">
                  <c:v>收入决算数</c:v>
                </c:pt>
                <c:pt idx="1">
                  <c:v>支出决算数</c:v>
                </c:pt>
              </c:strCache>
            </c:strRef>
          </c:cat>
          <c:val>
            <c:numRef>
              <c:f>[新建Excel文档.xls]Sheet1!$B$2:$C$2</c:f>
              <c:numCache>
                <c:formatCode>General</c:formatCode>
                <c:ptCount val="2"/>
                <c:pt idx="0">
                  <c:v>1376.14</c:v>
                </c:pt>
                <c:pt idx="1">
                  <c:v>1376.14</c:v>
                </c:pt>
              </c:numCache>
            </c:numRef>
          </c:val>
        </c:ser>
        <c:ser>
          <c:idx val="1"/>
          <c:order val="1"/>
          <c:tx>
            <c:strRef>
              <c:f>[新建Excel文档.xls]Sheet1!$A$3</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[新建Excel文档.xls]Sheet1!$B$1:$C$1</c:f>
              <c:strCache>
                <c:ptCount val="2"/>
                <c:pt idx="0">
                  <c:v>收入决算数</c:v>
                </c:pt>
                <c:pt idx="1">
                  <c:v>支出决算数</c:v>
                </c:pt>
              </c:strCache>
            </c:strRef>
          </c:cat>
          <c:val>
            <c:numRef>
              <c:f>[新建Excel文档.xls]Sheet1!$B$3:$C$3</c:f>
              <c:numCache>
                <c:formatCode>General</c:formatCode>
                <c:ptCount val="2"/>
                <c:pt idx="0">
                  <c:v>1126.04</c:v>
                </c:pt>
                <c:pt idx="1">
                  <c:v>1126.04</c:v>
                </c:pt>
              </c:numCache>
            </c:numRef>
          </c:val>
        </c:ser>
        <c:dLbls>
          <c:showLegendKey val="0"/>
          <c:showVal val="1"/>
          <c:showCatName val="0"/>
          <c:showSerName val="0"/>
          <c:showPercent val="0"/>
          <c:showBubbleSize val="0"/>
        </c:dLbls>
        <c:gapWidth val="219"/>
        <c:overlap val="-27"/>
        <c:axId val="152742912"/>
        <c:axId val="152748800"/>
      </c:barChart>
      <c:catAx>
        <c:axId val="15274291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748800"/>
        <c:crosses val="autoZero"/>
        <c:auto val="1"/>
        <c:lblAlgn val="ctr"/>
        <c:lblOffset val="100"/>
        <c:noMultiLvlLbl val="0"/>
      </c:catAx>
      <c:valAx>
        <c:axId val="1527488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7429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atin typeface="黑体" panose="02010609060101010101" charset="-122"/>
                <a:ea typeface="黑体" panose="02010609060101010101" charset="-122"/>
                <a:cs typeface="黑体" panose="02010609060101010101" charset="-122"/>
              </a:rPr>
              <a:t>图</a:t>
            </a:r>
            <a:r>
              <a:rPr lang="en-US" altLang="zh-CN">
                <a:latin typeface="黑体" panose="02010609060101010101" charset="-122"/>
                <a:ea typeface="黑体" panose="02010609060101010101" charset="-122"/>
                <a:cs typeface="黑体" panose="02010609060101010101" charset="-122"/>
              </a:rPr>
              <a:t>2</a:t>
            </a:r>
            <a:r>
              <a:rPr altLang="en-US">
                <a:latin typeface="黑体" panose="02010609060101010101" charset="-122"/>
                <a:ea typeface="黑体" panose="02010609060101010101" charset="-122"/>
                <a:cs typeface="黑体" panose="02010609060101010101" charset="-122"/>
              </a:rPr>
              <a:t>：收入决算结构图</a:t>
            </a:r>
            <a:endParaRPr altLang="en-US">
              <a:latin typeface="黑体" panose="02010609060101010101" charset="-122"/>
              <a:ea typeface="黑体" panose="02010609060101010101" charset="-122"/>
              <a:cs typeface="黑体" panose="02010609060101010101" charset="-122"/>
            </a:endParaRP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[新建Excel文档.xls]Sheet5!$A$2:$A$3</c:f>
              <c:strCache>
                <c:ptCount val="2"/>
                <c:pt idx="0">
                  <c:v>一般公共预算财政拨款收入</c:v>
                </c:pt>
                <c:pt idx="1">
                  <c:v>其他收入</c:v>
                </c:pt>
              </c:strCache>
            </c:strRef>
          </c:cat>
          <c:val>
            <c:numRef>
              <c:f>[新建Excel文档.xls]Sheet5!$B$2:$B$3</c:f>
              <c:numCache>
                <c:formatCode>General</c:formatCode>
                <c:ptCount val="2"/>
                <c:pt idx="0">
                  <c:v>778.270000000001</c:v>
                </c:pt>
                <c:pt idx="1">
                  <c:v>0.03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atin typeface="黑体" panose="02010609060101010101" charset="-122"/>
                <a:ea typeface="黑体" panose="02010609060101010101" charset="-122"/>
                <a:cs typeface="黑体" panose="02010609060101010101" charset="-122"/>
              </a:rPr>
              <a:t>图</a:t>
            </a:r>
            <a:r>
              <a:rPr lang="en-US" altLang="zh-CN">
                <a:latin typeface="黑体" panose="02010609060101010101" charset="-122"/>
                <a:ea typeface="黑体" panose="02010609060101010101" charset="-122"/>
                <a:cs typeface="黑体" panose="02010609060101010101" charset="-122"/>
              </a:rPr>
              <a:t>3</a:t>
            </a:r>
            <a:r>
              <a:rPr altLang="en-US">
                <a:latin typeface="黑体" panose="02010609060101010101" charset="-122"/>
                <a:ea typeface="黑体" panose="02010609060101010101" charset="-122"/>
                <a:cs typeface="黑体" panose="02010609060101010101" charset="-122"/>
              </a:rPr>
              <a:t>：支出决算结构图</a:t>
            </a:r>
            <a:endParaRPr altLang="en-US">
              <a:latin typeface="黑体" panose="02010609060101010101" charset="-122"/>
              <a:ea typeface="黑体" panose="02010609060101010101" charset="-122"/>
              <a:cs typeface="黑体" panose="02010609060101010101" charset="-122"/>
            </a:endParaRP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[新建Excel文档.xls]Sheet6!$A$2:$A$3</c:f>
              <c:strCache>
                <c:ptCount val="2"/>
                <c:pt idx="0">
                  <c:v>基本支出</c:v>
                </c:pt>
                <c:pt idx="1">
                  <c:v>项目支出</c:v>
                </c:pt>
              </c:strCache>
            </c:strRef>
          </c:cat>
          <c:val>
            <c:numRef>
              <c:f>[新建Excel文档.xls]Sheet6!$B$2:$B$3</c:f>
              <c:numCache>
                <c:formatCode>General</c:formatCode>
                <c:ptCount val="2"/>
                <c:pt idx="0">
                  <c:v>734.51</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sz="1400"/>
              <a:t>图</a:t>
            </a:r>
            <a:r>
              <a:rPr lang="en-US" altLang="zh-CN" sz="1400"/>
              <a:t>4</a:t>
            </a:r>
            <a:r>
              <a:rPr altLang="en-US" sz="1400"/>
              <a:t>：财政拨款收、支决算总计变动情况图</a:t>
            </a:r>
            <a:endParaRPr altLang="en-US" sz="1400"/>
          </a:p>
        </c:rich>
      </c:tx>
      <c:layout/>
      <c:overlay val="0"/>
    </c:title>
    <c:autoTitleDeleted val="0"/>
    <c:plotArea>
      <c:layout/>
      <c:barChart>
        <c:barDir val="col"/>
        <c:grouping val="clustered"/>
        <c:varyColors val="0"/>
        <c:ser>
          <c:idx val="0"/>
          <c:order val="0"/>
          <c:tx>
            <c:strRef>
              <c:f>[新建Excel文档.xls]Sheet2!$A$2</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[新建Excel文档.xls]Sheet2!$B$1:$C$1</c:f>
              <c:strCache>
                <c:ptCount val="2"/>
                <c:pt idx="0">
                  <c:v>财政拨款收入决算数</c:v>
                </c:pt>
                <c:pt idx="1">
                  <c:v>财政拨款支出决算数</c:v>
                </c:pt>
              </c:strCache>
            </c:strRef>
          </c:cat>
          <c:val>
            <c:numRef>
              <c:f>[新建Excel文档.xls]Sheet2!$B$2:$C$2</c:f>
              <c:numCache>
                <c:formatCode>General</c:formatCode>
                <c:ptCount val="2"/>
                <c:pt idx="0">
                  <c:v>1218.9</c:v>
                </c:pt>
                <c:pt idx="1">
                  <c:v>1218.9</c:v>
                </c:pt>
              </c:numCache>
            </c:numRef>
          </c:val>
        </c:ser>
        <c:ser>
          <c:idx val="1"/>
          <c:order val="1"/>
          <c:tx>
            <c:strRef>
              <c:f>[新建Excel文档.xls]Sheet2!$A$3</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[新建Excel文档.xls]Sheet2!$B$1:$C$1</c:f>
              <c:strCache>
                <c:ptCount val="2"/>
                <c:pt idx="0">
                  <c:v>财政拨款收入决算数</c:v>
                </c:pt>
                <c:pt idx="1">
                  <c:v>财政拨款支出决算数</c:v>
                </c:pt>
              </c:strCache>
            </c:strRef>
          </c:cat>
          <c:val>
            <c:numRef>
              <c:f>[新建Excel文档.xls]Sheet2!$B$3:$C$3</c:f>
              <c:numCache>
                <c:formatCode>General</c:formatCode>
                <c:ptCount val="2"/>
                <c:pt idx="0">
                  <c:v>1118.34</c:v>
                </c:pt>
                <c:pt idx="1">
                  <c:v>1118.34</c:v>
                </c:pt>
              </c:numCache>
            </c:numRef>
          </c:val>
        </c:ser>
        <c:dLbls>
          <c:showLegendKey val="0"/>
          <c:showVal val="1"/>
          <c:showCatName val="0"/>
          <c:showSerName val="0"/>
          <c:showPercent val="0"/>
          <c:showBubbleSize val="0"/>
        </c:dLbls>
        <c:gapWidth val="219"/>
        <c:overlap val="-27"/>
        <c:axId val="163168640"/>
        <c:axId val="163170176"/>
      </c:barChart>
      <c:catAx>
        <c:axId val="16316864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3170176"/>
        <c:crosses val="autoZero"/>
        <c:auto val="1"/>
        <c:lblAlgn val="ctr"/>
        <c:lblOffset val="100"/>
        <c:noMultiLvlLbl val="0"/>
      </c:catAx>
      <c:valAx>
        <c:axId val="1631701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31686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图</a:t>
            </a:r>
            <a:r>
              <a:rPr lang="en-US" altLang="zh-CN"/>
              <a:t>5</a:t>
            </a:r>
            <a:r>
              <a:rPr altLang="en-US"/>
              <a:t>：一般公共预算财政拨款支出决算变动情况图</a:t>
            </a:r>
            <a:endParaRPr altLang="en-US"/>
          </a:p>
        </c:rich>
      </c:tx>
      <c:layout/>
      <c:overlay val="0"/>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[新建Excel文档.xls]Sheet3!$A$2:$A$3</c:f>
              <c:strCache>
                <c:ptCount val="2"/>
                <c:pt idx="0">
                  <c:v>2020年</c:v>
                </c:pt>
                <c:pt idx="1">
                  <c:v>2021年</c:v>
                </c:pt>
              </c:strCache>
            </c:strRef>
          </c:cat>
          <c:val>
            <c:numRef>
              <c:f>[新建Excel文档.xls]Sheet3!$B$2:$B$3</c:f>
              <c:numCache>
                <c:formatCode>General</c:formatCode>
                <c:ptCount val="2"/>
                <c:pt idx="0">
                  <c:v>668.829999999999</c:v>
                </c:pt>
                <c:pt idx="1">
                  <c:v>733.26</c:v>
                </c:pt>
              </c:numCache>
            </c:numRef>
          </c:val>
        </c:ser>
        <c:dLbls>
          <c:showLegendKey val="0"/>
          <c:showVal val="1"/>
          <c:showCatName val="0"/>
          <c:showSerName val="0"/>
          <c:showPercent val="0"/>
          <c:showBubbleSize val="0"/>
        </c:dLbls>
        <c:gapWidth val="219"/>
        <c:overlap val="-27"/>
        <c:axId val="163190656"/>
        <c:axId val="163192192"/>
      </c:barChart>
      <c:catAx>
        <c:axId val="16319065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3192192"/>
        <c:crosses val="autoZero"/>
        <c:auto val="1"/>
        <c:lblAlgn val="ctr"/>
        <c:lblOffset val="100"/>
        <c:noMultiLvlLbl val="0"/>
      </c:catAx>
      <c:valAx>
        <c:axId val="1631921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3190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atin typeface="黑体" panose="02010609060101010101" charset="-122"/>
                <a:ea typeface="黑体" panose="02010609060101010101" charset="-122"/>
                <a:cs typeface="黑体" panose="02010609060101010101" charset="-122"/>
              </a:rPr>
              <a:t>图</a:t>
            </a:r>
            <a:r>
              <a:rPr lang="en-US" altLang="zh-CN">
                <a:latin typeface="黑体" panose="02010609060101010101" charset="-122"/>
                <a:ea typeface="黑体" panose="02010609060101010101" charset="-122"/>
                <a:cs typeface="黑体" panose="02010609060101010101" charset="-122"/>
              </a:rPr>
              <a:t>6</a:t>
            </a:r>
            <a:r>
              <a:rPr altLang="en-US">
                <a:latin typeface="黑体" panose="02010609060101010101" charset="-122"/>
                <a:ea typeface="黑体" panose="02010609060101010101" charset="-122"/>
                <a:cs typeface="黑体" panose="02010609060101010101" charset="-122"/>
              </a:rPr>
              <a:t>：一般公共预算财政拨款支出决算结构图</a:t>
            </a:r>
            <a:endParaRPr altLang="en-US">
              <a:latin typeface="黑体" panose="02010609060101010101" charset="-122"/>
              <a:ea typeface="黑体" panose="02010609060101010101" charset="-122"/>
              <a:cs typeface="黑体" panose="02010609060101010101" charset="-122"/>
            </a:endParaRP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681836834208001"/>
                  <c:y val="0.008261553684981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69565758800685"/>
                  <c:y val="-0.019214180120926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72034621181907"/>
                  <c:y val="0.0047026317947841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[新建Excel文档.xls]Sheet4!$A$2:$A$5</c:f>
              <c:strCache>
                <c:ptCount val="4"/>
                <c:pt idx="0">
                  <c:v>教育支出</c:v>
                </c:pt>
                <c:pt idx="1">
                  <c:v>社会保障和就业支出</c:v>
                </c:pt>
                <c:pt idx="2">
                  <c:v>卫生健康支出</c:v>
                </c:pt>
                <c:pt idx="3">
                  <c:v>住房保障支出</c:v>
                </c:pt>
              </c:strCache>
            </c:strRef>
          </c:cat>
          <c:val>
            <c:numRef>
              <c:f>[新建Excel文档.xls]Sheet4!$B$2:$B$5</c:f>
              <c:numCache>
                <c:formatCode>General</c:formatCode>
                <c:ptCount val="4"/>
                <c:pt idx="0">
                  <c:v>642.69</c:v>
                </c:pt>
                <c:pt idx="1">
                  <c:v>53.02</c:v>
                </c:pt>
                <c:pt idx="2">
                  <c:v>14.89</c:v>
                </c:pt>
                <c:pt idx="3">
                  <c:v>22.67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7</a:t>
            </a:r>
            <a:r>
              <a:rPr altLang="en-US"/>
              <a:t>：“三公”经费财政拨款支出结构图</a:t>
            </a:r>
            <a:endParaRPr altLang="en-US"/>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[新建Excel文档.xls]Sheet7!$A$2:$A$4</c:f>
              <c:strCache>
                <c:ptCount val="3"/>
                <c:pt idx="0">
                  <c:v>因公出国（境）费用</c:v>
                </c:pt>
                <c:pt idx="1">
                  <c:v>公务用车购置及运行维护费</c:v>
                </c:pt>
                <c:pt idx="2">
                  <c:v>公务接待费</c:v>
                </c:pt>
              </c:strCache>
            </c:strRef>
          </c:cat>
          <c:val>
            <c:numRef>
              <c:f>[新建Excel文档.xls]Sheet7!$B$2:$B$4</c:f>
              <c:numCache>
                <c:formatCode>General</c:formatCode>
                <c:ptCount val="3"/>
                <c:pt idx="0">
                  <c:v>0</c:v>
                </c:pt>
                <c:pt idx="1">
                  <c:v>1.19</c:v>
                </c:pt>
                <c:pt idx="2">
                  <c:v>0.18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B49DF-525E-4B1C-9CDC-BC3C234AD304}">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49</Pages>
  <Words>3133</Words>
  <Characters>17861</Characters>
  <Lines>148</Lines>
  <Paragraphs>41</Paragraphs>
  <TotalTime>1</TotalTime>
  <ScaleCrop>false</ScaleCrop>
  <LinksUpToDate>false</LinksUpToDate>
  <CharactersWithSpaces>20953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2023-07-07T06:29:00Z</dcterms:created>
  <dc:creator>七夜</dc:creator>
  <cp:lastModifiedBy>玖千余为春秋</cp:lastModifiedBy>
  <cp:lastPrinted>2022-09-26T19:00:00Z</cp:lastPrinted>
  <dcterms:modified xsi:type="dcterms:W3CDTF">2023-08-03T06:02:59Z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AB394025E59B4356838F3503E83F5A4A</vt:lpwstr>
  </property>
</Properties>
</file>