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Theme="majorEastAsia" w:hAnsiTheme="majorEastAsia" w:eastAsiaTheme="majorEastAsia" w:cstheme="majorEastAsia"/>
          <w:b/>
          <w:bCs/>
          <w:color w:val="auto"/>
          <w:sz w:val="72"/>
          <w:szCs w:val="72"/>
          <w:highlight w:val="none"/>
        </w:rPr>
      </w:pPr>
      <w:bookmarkStart w:id="1" w:name="_Toc15378441"/>
      <w:bookmarkStart w:id="2" w:name="_Toc21545"/>
      <w:bookmarkStart w:id="3" w:name="_Toc5038"/>
      <w:bookmarkStart w:id="4" w:name="_Toc15396597"/>
      <w:bookmarkStart w:id="5" w:name="_Toc15396475"/>
      <w:bookmarkStart w:id="6" w:name="_Toc15377425"/>
      <w:bookmarkStart w:id="7" w:name="_Toc17079"/>
      <w:bookmarkStart w:id="8" w:name="_Toc15377193"/>
      <w:bookmarkStart w:id="9" w:name="_Toc13809"/>
      <w:bookmarkStart w:id="10" w:name="_Toc11414"/>
      <w:r>
        <w:rPr>
          <w:rFonts w:hint="eastAsia" w:asciiTheme="majorEastAsia" w:hAnsiTheme="majorEastAsia" w:eastAsiaTheme="majorEastAsia" w:cstheme="majorEastAsia"/>
          <w:b/>
          <w:bCs/>
          <w:color w:val="auto"/>
          <w:sz w:val="72"/>
          <w:szCs w:val="72"/>
          <w:highlight w:val="none"/>
        </w:rPr>
        <w:t>20</w:t>
      </w:r>
      <w:r>
        <w:rPr>
          <w:rFonts w:hint="eastAsia" w:asciiTheme="majorEastAsia" w:hAnsiTheme="majorEastAsia" w:eastAsiaTheme="majorEastAsia" w:cstheme="majorEastAsia"/>
          <w:b/>
          <w:bCs/>
          <w:color w:val="auto"/>
          <w:sz w:val="72"/>
          <w:szCs w:val="72"/>
          <w:highlight w:val="none"/>
          <w:lang w:val="en-US" w:eastAsia="zh-CN"/>
        </w:rPr>
        <w:t>21</w:t>
      </w:r>
      <w:r>
        <w:rPr>
          <w:rFonts w:hint="eastAsia" w:asciiTheme="majorEastAsia" w:hAnsiTheme="majorEastAsia" w:eastAsiaTheme="majorEastAsia" w:cstheme="majorEastAsia"/>
          <w:b/>
          <w:bCs/>
          <w:color w:val="auto"/>
          <w:sz w:val="72"/>
          <w:szCs w:val="72"/>
          <w:highlight w:val="none"/>
        </w:rPr>
        <w:t>年度</w:t>
      </w:r>
      <w:bookmarkEnd w:id="1"/>
      <w:bookmarkEnd w:id="2"/>
      <w:bookmarkEnd w:id="3"/>
      <w:bookmarkEnd w:id="4"/>
      <w:bookmarkEnd w:id="5"/>
      <w:bookmarkEnd w:id="6"/>
      <w:bookmarkEnd w:id="7"/>
      <w:bookmarkEnd w:id="8"/>
      <w:bookmarkEnd w:id="9"/>
      <w:bookmarkEnd w:id="10"/>
    </w:p>
    <w:p>
      <w:pPr>
        <w:adjustRightInd w:val="0"/>
        <w:snapToGrid w:val="0"/>
        <w:spacing w:line="360" w:lineRule="auto"/>
        <w:jc w:val="center"/>
        <w:outlineLvl w:val="0"/>
        <w:rPr>
          <w:rFonts w:hint="eastAsia" w:asciiTheme="majorEastAsia" w:hAnsiTheme="majorEastAsia" w:eastAsiaTheme="majorEastAsia" w:cstheme="majorEastAsia"/>
          <w:b/>
          <w:bCs/>
          <w:color w:val="auto"/>
          <w:sz w:val="72"/>
          <w:szCs w:val="72"/>
          <w:highlight w:val="none"/>
          <w:lang w:val="en-US" w:eastAsia="zh-CN"/>
        </w:rPr>
      </w:pPr>
      <w:bookmarkStart w:id="11" w:name="_Toc25570"/>
      <w:bookmarkStart w:id="12" w:name="_Toc10625"/>
      <w:bookmarkStart w:id="13" w:name="_Toc15377426"/>
      <w:bookmarkStart w:id="14" w:name="_Toc15396476"/>
      <w:bookmarkStart w:id="15" w:name="_Toc15378442"/>
      <w:bookmarkStart w:id="16" w:name="_Toc15377194"/>
      <w:bookmarkStart w:id="17" w:name="_Toc9243"/>
      <w:bookmarkStart w:id="18" w:name="_Toc15396598"/>
      <w:bookmarkStart w:id="19" w:name="_Toc8438"/>
      <w:bookmarkStart w:id="20" w:name="_Toc9733"/>
      <w:r>
        <w:rPr>
          <w:rFonts w:hint="eastAsia" w:asciiTheme="majorEastAsia" w:hAnsiTheme="majorEastAsia" w:eastAsiaTheme="majorEastAsia" w:cstheme="majorEastAsia"/>
          <w:b/>
          <w:bCs/>
          <w:color w:val="auto"/>
          <w:sz w:val="72"/>
          <w:szCs w:val="72"/>
          <w:highlight w:val="none"/>
          <w:lang w:val="en-US" w:eastAsia="zh-CN"/>
        </w:rPr>
        <w:t>广元市</w:t>
      </w:r>
      <w:bookmarkEnd w:id="0"/>
      <w:bookmarkStart w:id="21" w:name="_Toc15306268"/>
      <w:r>
        <w:rPr>
          <w:rFonts w:hint="eastAsia" w:asciiTheme="majorEastAsia" w:hAnsiTheme="majorEastAsia" w:eastAsiaTheme="majorEastAsia" w:cstheme="majorEastAsia"/>
          <w:b/>
          <w:bCs/>
          <w:color w:val="auto"/>
          <w:sz w:val="72"/>
          <w:szCs w:val="72"/>
          <w:highlight w:val="none"/>
          <w:lang w:val="en-US" w:eastAsia="zh-CN"/>
        </w:rPr>
        <w:t>社会福利院</w:t>
      </w:r>
      <w:bookmarkEnd w:id="11"/>
      <w:bookmarkEnd w:id="12"/>
    </w:p>
    <w:p>
      <w:pPr>
        <w:adjustRightInd w:val="0"/>
        <w:snapToGrid w:val="0"/>
        <w:spacing w:line="360" w:lineRule="auto"/>
        <w:jc w:val="center"/>
        <w:outlineLvl w:val="0"/>
        <w:rPr>
          <w:rFonts w:hint="eastAsia" w:ascii="方正小标宋简体" w:hAnsi="方正小标宋简体" w:cs="方正小标宋简体" w:eastAsiaTheme="majorEastAsia"/>
          <w:b w:val="0"/>
          <w:bCs w:val="0"/>
          <w:color w:val="auto"/>
          <w:sz w:val="72"/>
          <w:szCs w:val="72"/>
          <w:highlight w:val="none"/>
          <w:lang w:eastAsia="zh-CN"/>
        </w:rPr>
      </w:pPr>
      <w:bookmarkStart w:id="22" w:name="_Toc1439"/>
      <w:bookmarkStart w:id="23" w:name="_Toc14662"/>
      <w:r>
        <w:rPr>
          <w:rFonts w:hint="eastAsia" w:asciiTheme="majorEastAsia" w:hAnsiTheme="majorEastAsia" w:eastAsiaTheme="majorEastAsia" w:cstheme="majorEastAsia"/>
          <w:b/>
          <w:bCs/>
          <w:color w:val="auto"/>
          <w:sz w:val="72"/>
          <w:szCs w:val="72"/>
          <w:highlight w:val="none"/>
          <w:lang w:eastAsia="zh-CN"/>
        </w:rPr>
        <w:t>单位</w:t>
      </w:r>
      <w:r>
        <w:rPr>
          <w:rFonts w:hint="eastAsia" w:asciiTheme="majorEastAsia" w:hAnsiTheme="majorEastAsia" w:eastAsiaTheme="majorEastAsia" w:cstheme="majorEastAsia"/>
          <w:b/>
          <w:bCs/>
          <w:color w:val="auto"/>
          <w:sz w:val="72"/>
          <w:szCs w:val="72"/>
          <w:highlight w:val="none"/>
        </w:rPr>
        <w:t>决算</w:t>
      </w:r>
      <w:bookmarkEnd w:id="13"/>
      <w:bookmarkEnd w:id="14"/>
      <w:bookmarkEnd w:id="15"/>
      <w:bookmarkEnd w:id="16"/>
      <w:bookmarkEnd w:id="17"/>
      <w:bookmarkEnd w:id="18"/>
      <w:bookmarkEnd w:id="19"/>
      <w:bookmarkEnd w:id="20"/>
      <w:bookmarkEnd w:id="21"/>
      <w:r>
        <w:rPr>
          <w:rFonts w:hint="eastAsia" w:asciiTheme="majorEastAsia" w:hAnsiTheme="majorEastAsia" w:eastAsiaTheme="majorEastAsia" w:cstheme="majorEastAsia"/>
          <w:b/>
          <w:bCs/>
          <w:color w:val="auto"/>
          <w:sz w:val="72"/>
          <w:szCs w:val="72"/>
          <w:highlight w:val="none"/>
          <w:lang w:eastAsia="zh-CN"/>
        </w:rPr>
        <w:t>公开</w:t>
      </w:r>
      <w:bookmarkEnd w:id="22"/>
      <w:bookmarkEnd w:id="23"/>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hint="default" w:ascii="方正小标宋简体" w:hAnsi="宋体" w:eastAsia="方正小标宋简体"/>
          <w:color w:val="auto"/>
          <w:sz w:val="52"/>
          <w:szCs w:val="52"/>
          <w:highlight w:val="none"/>
          <w:lang w:val="en-US" w:eastAsia="zh-CN"/>
        </w:rPr>
      </w:pPr>
    </w:p>
    <w:p>
      <w:pPr>
        <w:pStyle w:val="2"/>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公开时间：2022年10月17日</w:t>
      </w:r>
    </w:p>
    <w:p>
      <w:pPr>
        <w:pStyle w:val="2"/>
        <w:jc w:val="both"/>
        <w:rPr>
          <w:rFonts w:hint="eastAsia" w:ascii="仿宋" w:hAnsi="仿宋" w:eastAsia="仿宋" w:cs="仿宋"/>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imes New Roman"/>
          <w:kern w:val="2"/>
          <w:sz w:val="21"/>
          <w:szCs w:val="24"/>
          <w:lang w:val="en-US" w:eastAsia="zh-CN" w:bidi="ar-SA"/>
        </w:rPr>
        <w:id w:val="147454298"/>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pPr>
          <w:bookmarkStart w:id="24" w:name="_Toc31338"/>
          <w:r>
            <w:rPr>
              <w:rFonts w:ascii="宋体" w:hAnsi="宋体" w:eastAsia="宋体"/>
              <w:sz w:val="32"/>
              <w:szCs w:val="32"/>
            </w:rPr>
            <w:t>目录</w:t>
          </w:r>
        </w:p>
        <w:p>
          <w:pPr>
            <w:pStyle w:val="30"/>
            <w:tabs>
              <w:tab w:val="right" w:leader="dot" w:pos="8306"/>
            </w:tabs>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_Toc3673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_Toc3673 \h </w:instrText>
          </w:r>
          <w:r>
            <w:rPr>
              <w:b/>
            </w:rPr>
            <w:fldChar w:fldCharType="separate"/>
          </w:r>
          <w:r>
            <w:rPr>
              <w:b/>
            </w:rPr>
            <w:t>1</w:t>
          </w:r>
          <w:r>
            <w:rPr>
              <w:b/>
            </w:rPr>
            <w:fldChar w:fldCharType="end"/>
          </w:r>
          <w:r>
            <w:rPr>
              <w:b/>
            </w:rPr>
            <w:fldChar w:fldCharType="end"/>
          </w:r>
        </w:p>
        <w:p>
          <w:pPr>
            <w:pStyle w:val="31"/>
            <w:tabs>
              <w:tab w:val="right" w:leader="dot" w:pos="8306"/>
            </w:tabs>
          </w:pPr>
          <w:r>
            <w:fldChar w:fldCharType="begin"/>
          </w:r>
          <w:r>
            <w:instrText xml:space="preserve"> HYPERLINK \l _Toc31277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rPr>
            <w:t>职能</w:t>
          </w:r>
          <w:r>
            <w:rPr>
              <w:rFonts w:hint="eastAsia" w:ascii="黑体" w:hAnsi="黑体" w:eastAsia="黑体"/>
              <w:bCs w:val="0"/>
              <w:highlight w:val="none"/>
              <w:lang w:eastAsia="zh-CN"/>
            </w:rPr>
            <w:t>简介</w:t>
          </w:r>
          <w:r>
            <w:tab/>
          </w:r>
          <w:r>
            <w:fldChar w:fldCharType="begin"/>
          </w:r>
          <w:r>
            <w:instrText xml:space="preserve"> PAGEREF _Toc31277 \h </w:instrText>
          </w:r>
          <w:r>
            <w:fldChar w:fldCharType="separate"/>
          </w:r>
          <w:r>
            <w:t>1</w:t>
          </w:r>
          <w:r>
            <w:fldChar w:fldCharType="end"/>
          </w:r>
          <w:r>
            <w:fldChar w:fldCharType="end"/>
          </w:r>
        </w:p>
        <w:p>
          <w:pPr>
            <w:pStyle w:val="31"/>
            <w:tabs>
              <w:tab w:val="right" w:leader="dot" w:pos="8306"/>
            </w:tabs>
          </w:pPr>
          <w:r>
            <w:fldChar w:fldCharType="begin"/>
          </w:r>
          <w:r>
            <w:instrText xml:space="preserve"> HYPERLINK \l _Toc19332 </w:instrText>
          </w:r>
          <w:r>
            <w:fldChar w:fldCharType="separate"/>
          </w:r>
          <w:r>
            <w:rPr>
              <w:rFonts w:hint="eastAsia" w:ascii="黑体" w:hAnsi="黑体" w:eastAsia="黑体"/>
              <w:highlight w:val="none"/>
              <w:lang w:val="en-US" w:eastAsia="zh-CN"/>
            </w:rPr>
            <w:t>二、2021年重点</w:t>
          </w:r>
          <w:r>
            <w:rPr>
              <w:rFonts w:hint="eastAsia" w:ascii="黑体" w:hAnsi="黑体" w:eastAsia="黑体"/>
              <w:highlight w:val="none"/>
            </w:rPr>
            <w:t>工作</w:t>
          </w:r>
          <w:r>
            <w:rPr>
              <w:rFonts w:hint="eastAsia" w:ascii="黑体" w:hAnsi="黑体" w:eastAsia="黑体"/>
              <w:highlight w:val="none"/>
              <w:lang w:eastAsia="zh-CN"/>
            </w:rPr>
            <w:t>完成情况</w:t>
          </w:r>
          <w:r>
            <w:tab/>
          </w:r>
          <w:r>
            <w:fldChar w:fldCharType="begin"/>
          </w:r>
          <w:r>
            <w:instrText xml:space="preserve"> PAGEREF _Toc19332 \h </w:instrText>
          </w:r>
          <w:r>
            <w:fldChar w:fldCharType="separate"/>
          </w:r>
          <w:r>
            <w:t>1</w:t>
          </w:r>
          <w:r>
            <w:fldChar w:fldCharType="end"/>
          </w:r>
          <w:r>
            <w:fldChar w:fldCharType="end"/>
          </w:r>
        </w:p>
        <w:p>
          <w:pPr>
            <w:pStyle w:val="30"/>
            <w:tabs>
              <w:tab w:val="right" w:leader="dot" w:pos="8306"/>
            </w:tabs>
            <w:rPr>
              <w:b/>
            </w:rPr>
          </w:pPr>
          <w:r>
            <w:rPr>
              <w:b/>
            </w:rPr>
            <w:fldChar w:fldCharType="begin"/>
          </w:r>
          <w:r>
            <w:rPr>
              <w:b/>
            </w:rPr>
            <w:instrText xml:space="preserve"> HYPERLINK \l _Toc32271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2021年度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_Toc32271 \h </w:instrText>
          </w:r>
          <w:r>
            <w:rPr>
              <w:b/>
            </w:rPr>
            <w:fldChar w:fldCharType="separate"/>
          </w:r>
          <w:r>
            <w:rPr>
              <w:b/>
            </w:rPr>
            <w:t>4</w:t>
          </w:r>
          <w:r>
            <w:rPr>
              <w:b/>
            </w:rPr>
            <w:fldChar w:fldCharType="end"/>
          </w:r>
          <w:r>
            <w:rPr>
              <w:b/>
            </w:rPr>
            <w:fldChar w:fldCharType="end"/>
          </w:r>
        </w:p>
        <w:p>
          <w:pPr>
            <w:pStyle w:val="31"/>
            <w:tabs>
              <w:tab w:val="right" w:leader="dot" w:pos="8306"/>
            </w:tabs>
          </w:pPr>
          <w:r>
            <w:fldChar w:fldCharType="begin"/>
          </w:r>
          <w:r>
            <w:instrText xml:space="preserve"> HYPERLINK \l _Toc25335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_Toc25335 \h </w:instrText>
          </w:r>
          <w:r>
            <w:fldChar w:fldCharType="separate"/>
          </w:r>
          <w:r>
            <w:t>4</w:t>
          </w:r>
          <w:r>
            <w:fldChar w:fldCharType="end"/>
          </w:r>
          <w:r>
            <w:fldChar w:fldCharType="end"/>
          </w:r>
          <w:bookmarkStart w:id="295" w:name="_GoBack"/>
          <w:bookmarkEnd w:id="295"/>
        </w:p>
        <w:p>
          <w:pPr>
            <w:pStyle w:val="31"/>
            <w:tabs>
              <w:tab w:val="right" w:leader="dot" w:pos="8306"/>
            </w:tabs>
          </w:pPr>
          <w:r>
            <w:fldChar w:fldCharType="begin"/>
          </w:r>
          <w:r>
            <w:instrText xml:space="preserve"> HYPERLINK \l _Toc26902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_Toc26902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_Toc24827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_Toc24827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_Toc16473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_Toc16473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_Toc9611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_Toc9611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_Toc8266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_Toc8266 \h </w:instrText>
          </w:r>
          <w:r>
            <w:fldChar w:fldCharType="separate"/>
          </w:r>
          <w:r>
            <w:t>9</w:t>
          </w:r>
          <w:r>
            <w:fldChar w:fldCharType="end"/>
          </w:r>
          <w:r>
            <w:fldChar w:fldCharType="end"/>
          </w:r>
        </w:p>
        <w:p>
          <w:pPr>
            <w:pStyle w:val="31"/>
            <w:tabs>
              <w:tab w:val="right" w:leader="dot" w:pos="8306"/>
            </w:tabs>
          </w:pPr>
          <w:r>
            <w:fldChar w:fldCharType="begin"/>
          </w:r>
          <w:r>
            <w:instrText xml:space="preserve"> HYPERLINK \l _Toc31032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_Toc31032 \h </w:instrText>
          </w:r>
          <w:r>
            <w:fldChar w:fldCharType="separate"/>
          </w:r>
          <w:r>
            <w:t>9</w:t>
          </w:r>
          <w:r>
            <w:fldChar w:fldCharType="end"/>
          </w:r>
          <w:r>
            <w:fldChar w:fldCharType="end"/>
          </w:r>
        </w:p>
        <w:p>
          <w:pPr>
            <w:pStyle w:val="31"/>
            <w:tabs>
              <w:tab w:val="right" w:leader="dot" w:pos="8306"/>
            </w:tabs>
          </w:pPr>
          <w:r>
            <w:fldChar w:fldCharType="begin"/>
          </w:r>
          <w:r>
            <w:instrText xml:space="preserve"> HYPERLINK \l _Toc9895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_Toc9895 \h </w:instrText>
          </w:r>
          <w:r>
            <w:fldChar w:fldCharType="separate"/>
          </w:r>
          <w:r>
            <w:t>11</w:t>
          </w:r>
          <w:r>
            <w:fldChar w:fldCharType="end"/>
          </w:r>
          <w:r>
            <w:fldChar w:fldCharType="end"/>
          </w:r>
        </w:p>
        <w:p>
          <w:pPr>
            <w:pStyle w:val="31"/>
            <w:tabs>
              <w:tab w:val="right" w:leader="dot" w:pos="8306"/>
            </w:tabs>
          </w:pPr>
          <w:r>
            <w:fldChar w:fldCharType="begin"/>
          </w:r>
          <w:r>
            <w:instrText xml:space="preserve"> HYPERLINK \l _Toc6562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_Toc6562 \h </w:instrText>
          </w:r>
          <w:r>
            <w:fldChar w:fldCharType="separate"/>
          </w:r>
          <w:r>
            <w:t>11</w:t>
          </w:r>
          <w:r>
            <w:fldChar w:fldCharType="end"/>
          </w:r>
          <w:r>
            <w:fldChar w:fldCharType="end"/>
          </w:r>
        </w:p>
        <w:p>
          <w:pPr>
            <w:pStyle w:val="31"/>
            <w:tabs>
              <w:tab w:val="right" w:leader="dot" w:pos="8306"/>
            </w:tabs>
          </w:pPr>
          <w:r>
            <w:fldChar w:fldCharType="begin"/>
          </w:r>
          <w:r>
            <w:instrText xml:space="preserve"> HYPERLINK \l _Toc8971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_Toc8971 \h </w:instrText>
          </w:r>
          <w:r>
            <w:fldChar w:fldCharType="separate"/>
          </w:r>
          <w:r>
            <w:t>12</w:t>
          </w:r>
          <w:r>
            <w:fldChar w:fldCharType="end"/>
          </w:r>
          <w:r>
            <w:fldChar w:fldCharType="end"/>
          </w:r>
        </w:p>
        <w:p>
          <w:pPr>
            <w:pStyle w:val="31"/>
            <w:tabs>
              <w:tab w:val="right" w:leader="dot" w:pos="8306"/>
            </w:tabs>
          </w:pPr>
          <w:r>
            <w:fldChar w:fldCharType="begin"/>
          </w:r>
          <w:r>
            <w:instrText xml:space="preserve"> HYPERLINK \l _Toc9011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_Toc9011 \h </w:instrText>
          </w:r>
          <w:r>
            <w:fldChar w:fldCharType="separate"/>
          </w:r>
          <w:r>
            <w:t>12</w:t>
          </w:r>
          <w:r>
            <w:fldChar w:fldCharType="end"/>
          </w:r>
          <w:r>
            <w:fldChar w:fldCharType="end"/>
          </w:r>
        </w:p>
        <w:p>
          <w:pPr>
            <w:pStyle w:val="30"/>
            <w:tabs>
              <w:tab w:val="right" w:leader="dot" w:pos="8306"/>
            </w:tabs>
          </w:pPr>
          <w:r>
            <w:rPr>
              <w:b/>
            </w:rPr>
            <w:fldChar w:fldCharType="begin"/>
          </w:r>
          <w:r>
            <w:rPr>
              <w:b/>
            </w:rPr>
            <w:instrText xml:space="preserve"> HYPERLINK \l _Toc17221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_Toc17221 \h </w:instrText>
          </w:r>
          <w:r>
            <w:rPr>
              <w:b/>
            </w:rPr>
            <w:fldChar w:fldCharType="separate"/>
          </w:r>
          <w:r>
            <w:rPr>
              <w:b/>
            </w:rPr>
            <w:t>13</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_Toc3349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_Toc3349 \h </w:instrText>
          </w:r>
          <w:r>
            <w:rPr>
              <w:b/>
            </w:rPr>
            <w:fldChar w:fldCharType="separate"/>
          </w:r>
          <w:r>
            <w:rPr>
              <w:b/>
            </w:rPr>
            <w:t>16</w:t>
          </w:r>
          <w:r>
            <w:rPr>
              <w:b/>
            </w:rPr>
            <w:fldChar w:fldCharType="end"/>
          </w:r>
          <w:r>
            <w:rPr>
              <w:b/>
            </w:rPr>
            <w:fldChar w:fldCharType="end"/>
          </w:r>
        </w:p>
        <w:p>
          <w:pPr>
            <w:pStyle w:val="31"/>
            <w:tabs>
              <w:tab w:val="right" w:leader="dot" w:pos="8306"/>
            </w:tabs>
          </w:pPr>
          <w:r>
            <w:fldChar w:fldCharType="begin"/>
          </w:r>
          <w:r>
            <w:instrText xml:space="preserve"> HYPERLINK \l _Toc16787 </w:instrText>
          </w:r>
          <w:r>
            <w:fldChar w:fldCharType="separate"/>
          </w:r>
          <w:r>
            <w:rPr>
              <w:rFonts w:hint="eastAsia" w:ascii="仿宋" w:hAnsi="仿宋" w:eastAsia="仿宋" w:cs="仿宋"/>
              <w:bCs/>
              <w:kern w:val="2"/>
              <w:szCs w:val="40"/>
              <w:highlight w:val="none"/>
              <w:lang w:val="en-US" w:eastAsia="zh-CN" w:bidi="ar-SA"/>
            </w:rPr>
            <w:t>2022年</w:t>
          </w:r>
          <w:r>
            <w:rPr>
              <w:rFonts w:hint="eastAsia" w:ascii="仿宋" w:hAnsi="仿宋" w:eastAsia="仿宋" w:cs="仿宋"/>
              <w:bCs/>
              <w:kern w:val="2"/>
              <w:szCs w:val="40"/>
              <w:highlight w:val="none"/>
              <w:lang w:val="zh-CN" w:eastAsia="zh-CN" w:bidi="ar-SA"/>
            </w:rPr>
            <w:t>专项预算项目支出绩效自评报告范本</w:t>
          </w:r>
          <w:r>
            <w:tab/>
          </w:r>
          <w:r>
            <w:fldChar w:fldCharType="begin"/>
          </w:r>
          <w:r>
            <w:instrText xml:space="preserve"> PAGEREF _Toc16787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_Toc29147 </w:instrText>
          </w:r>
          <w:r>
            <w:fldChar w:fldCharType="separate"/>
          </w:r>
          <w:r>
            <w:rPr>
              <w:rFonts w:hint="eastAsia" w:ascii="仿宋_GB2312" w:hAnsi="宋体" w:eastAsia="仿宋_GB2312" w:cs="Times New Roman"/>
              <w:kern w:val="2"/>
              <w:szCs w:val="32"/>
              <w:highlight w:val="none"/>
              <w:lang w:val="zh-CN" w:eastAsia="zh-CN" w:bidi="ar-SA"/>
            </w:rPr>
            <w:t>（主管部门自评）</w:t>
          </w:r>
          <w:r>
            <w:tab/>
          </w:r>
          <w:r>
            <w:fldChar w:fldCharType="begin"/>
          </w:r>
          <w:r>
            <w:instrText xml:space="preserve"> PAGEREF _Toc29147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_Toc6633 </w:instrText>
          </w:r>
          <w:r>
            <w:fldChar w:fldCharType="separate"/>
          </w:r>
          <w:r>
            <w:rPr>
              <w:rFonts w:hint="eastAsia" w:ascii="黑体" w:hAnsi="宋体" w:eastAsia="黑体" w:cs="Times New Roman"/>
              <w:szCs w:val="32"/>
              <w:highlight w:val="none"/>
            </w:rPr>
            <w:t>一、</w:t>
          </w:r>
          <w:r>
            <w:rPr>
              <w:rFonts w:hint="eastAsia" w:ascii="黑体" w:hAnsi="宋体" w:eastAsia="黑体" w:cs="Times New Roman"/>
              <w:szCs w:val="32"/>
              <w:highlight w:val="none"/>
              <w:lang w:val="zh-CN"/>
            </w:rPr>
            <w:t>项目概况</w:t>
          </w:r>
          <w:r>
            <w:tab/>
          </w:r>
          <w:r>
            <w:fldChar w:fldCharType="begin"/>
          </w:r>
          <w:r>
            <w:instrText xml:space="preserve"> PAGEREF _Toc6633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_Toc20600 </w:instrText>
          </w:r>
          <w:r>
            <w:fldChar w:fldCharType="separate"/>
          </w:r>
          <w:r>
            <w:rPr>
              <w:rFonts w:hint="eastAsia" w:ascii="黑体" w:hAnsi="宋体" w:eastAsia="黑体" w:cs="Times New Roman"/>
              <w:szCs w:val="32"/>
              <w:highlight w:val="none"/>
            </w:rPr>
            <w:t>二、项目资金申报及使用情况</w:t>
          </w:r>
          <w:r>
            <w:tab/>
          </w:r>
          <w:r>
            <w:fldChar w:fldCharType="begin"/>
          </w:r>
          <w:r>
            <w:instrText xml:space="preserve"> PAGEREF _Toc20600 \h </w:instrText>
          </w:r>
          <w:r>
            <w:fldChar w:fldCharType="separate"/>
          </w:r>
          <w:r>
            <w:t>18</w:t>
          </w:r>
          <w:r>
            <w:fldChar w:fldCharType="end"/>
          </w:r>
          <w:r>
            <w:fldChar w:fldCharType="end"/>
          </w:r>
        </w:p>
        <w:p>
          <w:pPr>
            <w:pStyle w:val="31"/>
            <w:tabs>
              <w:tab w:val="right" w:leader="dot" w:pos="8306"/>
            </w:tabs>
          </w:pPr>
          <w:r>
            <w:fldChar w:fldCharType="begin"/>
          </w:r>
          <w:r>
            <w:instrText xml:space="preserve"> HYPERLINK \l _Toc21584 </w:instrText>
          </w:r>
          <w:r>
            <w:fldChar w:fldCharType="separate"/>
          </w:r>
          <w:r>
            <w:rPr>
              <w:rFonts w:hint="eastAsia" w:ascii="黑体" w:hAnsi="宋体" w:eastAsia="黑体" w:cs="Times New Roman"/>
              <w:szCs w:val="32"/>
              <w:highlight w:val="none"/>
            </w:rPr>
            <w:t>三、项目实施及管理情况</w:t>
          </w:r>
          <w:r>
            <w:tab/>
          </w:r>
          <w:r>
            <w:fldChar w:fldCharType="begin"/>
          </w:r>
          <w:r>
            <w:instrText xml:space="preserve"> PAGEREF _Toc21584 \h </w:instrText>
          </w:r>
          <w:r>
            <w:fldChar w:fldCharType="separate"/>
          </w:r>
          <w:r>
            <w:t>19</w:t>
          </w:r>
          <w:r>
            <w:fldChar w:fldCharType="end"/>
          </w:r>
          <w:r>
            <w:fldChar w:fldCharType="end"/>
          </w:r>
        </w:p>
        <w:p>
          <w:pPr>
            <w:pStyle w:val="31"/>
            <w:tabs>
              <w:tab w:val="right" w:leader="dot" w:pos="8306"/>
            </w:tabs>
          </w:pPr>
          <w:r>
            <w:fldChar w:fldCharType="begin"/>
          </w:r>
          <w:r>
            <w:instrText xml:space="preserve"> HYPERLINK \l _Toc30506 </w:instrText>
          </w:r>
          <w:r>
            <w:fldChar w:fldCharType="separate"/>
          </w:r>
          <w:r>
            <w:rPr>
              <w:rFonts w:hint="eastAsia" w:ascii="黑体" w:hAnsi="宋体" w:eastAsia="黑体" w:cs="Times New Roman"/>
              <w:szCs w:val="32"/>
              <w:highlight w:val="none"/>
            </w:rPr>
            <w:t>四、项目绩效情况</w:t>
          </w:r>
          <w:r>
            <w:tab/>
          </w:r>
          <w:r>
            <w:fldChar w:fldCharType="begin"/>
          </w:r>
          <w:r>
            <w:instrText xml:space="preserve"> PAGEREF _Toc30506 \h </w:instrText>
          </w:r>
          <w:r>
            <w:fldChar w:fldCharType="separate"/>
          </w:r>
          <w:r>
            <w:t>19</w:t>
          </w:r>
          <w:r>
            <w:fldChar w:fldCharType="end"/>
          </w:r>
          <w:r>
            <w:fldChar w:fldCharType="end"/>
          </w:r>
        </w:p>
        <w:p>
          <w:pPr>
            <w:pStyle w:val="31"/>
            <w:tabs>
              <w:tab w:val="right" w:leader="dot" w:pos="8306"/>
            </w:tabs>
          </w:pPr>
          <w:r>
            <w:fldChar w:fldCharType="begin"/>
          </w:r>
          <w:r>
            <w:instrText xml:space="preserve"> HYPERLINK \l _Toc21669 </w:instrText>
          </w:r>
          <w:r>
            <w:fldChar w:fldCharType="separate"/>
          </w:r>
          <w:r>
            <w:rPr>
              <w:rFonts w:hint="eastAsia" w:ascii="黑体" w:hAnsi="宋体" w:eastAsia="黑体" w:cs="Times New Roman"/>
              <w:szCs w:val="32"/>
              <w:highlight w:val="none"/>
            </w:rPr>
            <w:t>五、评价结论及建议</w:t>
          </w:r>
          <w:r>
            <w:tab/>
          </w:r>
          <w:r>
            <w:fldChar w:fldCharType="begin"/>
          </w:r>
          <w:r>
            <w:instrText xml:space="preserve"> PAGEREF _Toc21669 \h </w:instrText>
          </w:r>
          <w:r>
            <w:fldChar w:fldCharType="separate"/>
          </w:r>
          <w:r>
            <w:t>20</w:t>
          </w:r>
          <w:r>
            <w:fldChar w:fldCharType="end"/>
          </w:r>
          <w:r>
            <w:fldChar w:fldCharType="end"/>
          </w:r>
        </w:p>
        <w:p>
          <w:pPr>
            <w:pStyle w:val="30"/>
            <w:tabs>
              <w:tab w:val="right" w:leader="dot" w:pos="8306"/>
            </w:tabs>
            <w:rPr>
              <w:b/>
            </w:rPr>
          </w:pPr>
          <w:r>
            <w:rPr>
              <w:b/>
            </w:rPr>
            <w:fldChar w:fldCharType="begin"/>
          </w:r>
          <w:r>
            <w:rPr>
              <w:b/>
            </w:rPr>
            <w:instrText xml:space="preserve"> HYPERLINK \l _Toc13963 </w:instrText>
          </w:r>
          <w:r>
            <w:rPr>
              <w:b/>
            </w:rPr>
            <w:fldChar w:fldCharType="separate"/>
          </w:r>
          <w:r>
            <w:rPr>
              <w:rFonts w:hint="eastAsia" w:ascii="黑体" w:hAnsi="黑体" w:eastAsia="黑体" w:cs="黑体"/>
              <w:b/>
              <w:szCs w:val="32"/>
              <w:highlight w:val="none"/>
            </w:rPr>
            <w:t>附</w:t>
          </w:r>
          <w:r>
            <w:rPr>
              <w:rFonts w:hint="eastAsia" w:ascii="黑体" w:hAnsi="黑体" w:eastAsia="黑体" w:cs="黑体"/>
              <w:b/>
              <w:szCs w:val="32"/>
              <w:highlight w:val="none"/>
              <w:lang w:val="en-US" w:eastAsia="zh-CN"/>
            </w:rPr>
            <w:t>表</w:t>
          </w:r>
          <w:r>
            <w:rPr>
              <w:b/>
            </w:rPr>
            <w:tab/>
          </w:r>
          <w:r>
            <w:rPr>
              <w:b/>
            </w:rPr>
            <w:fldChar w:fldCharType="begin"/>
          </w:r>
          <w:r>
            <w:rPr>
              <w:b/>
            </w:rPr>
            <w:instrText xml:space="preserve"> PAGEREF _Toc13963 \h </w:instrText>
          </w:r>
          <w:r>
            <w:rPr>
              <w:b/>
            </w:rPr>
            <w:fldChar w:fldCharType="separate"/>
          </w:r>
          <w:r>
            <w:rPr>
              <w:b/>
            </w:rPr>
            <w:t>21</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_Toc31876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_Toc31876 \h </w:instrText>
          </w:r>
          <w:r>
            <w:rPr>
              <w:b/>
            </w:rPr>
            <w:fldChar w:fldCharType="separate"/>
          </w:r>
          <w:r>
            <w:rPr>
              <w:b/>
            </w:rPr>
            <w:t>23</w:t>
          </w:r>
          <w:r>
            <w:rPr>
              <w:b/>
            </w:rPr>
            <w:fldChar w:fldCharType="end"/>
          </w:r>
          <w:r>
            <w:rPr>
              <w:b/>
            </w:rPr>
            <w:fldChar w:fldCharType="end"/>
          </w:r>
        </w:p>
        <w:p>
          <w:pPr>
            <w:pStyle w:val="31"/>
            <w:tabs>
              <w:tab w:val="right" w:leader="dot" w:pos="8306"/>
            </w:tabs>
          </w:pPr>
          <w:r>
            <w:fldChar w:fldCharType="begin"/>
          </w:r>
          <w:r>
            <w:instrText xml:space="preserve"> HYPERLINK \l _Toc6024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_Toc6024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_Toc12258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_Toc12258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_Toc23059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_Toc23059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_Toc13167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_Toc13167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_Toc19074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_Toc19074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_Toc23302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_Toc23302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_Toc10928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_Toc10928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_Toc28863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_Toc28863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_Toc5469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_Toc5469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_Toc16726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_Toc16726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_Toc13666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_Toc13666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_Toc24838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_Toc24838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_Toc14260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_Toc14260 \h </w:instrText>
          </w:r>
          <w:r>
            <w:fldChar w:fldCharType="separate"/>
          </w:r>
          <w:r>
            <w:t>23</w:t>
          </w:r>
          <w:r>
            <w:fldChar w:fldCharType="end"/>
          </w:r>
          <w:r>
            <w:fldChar w:fldCharType="end"/>
          </w:r>
        </w:p>
        <w:p>
          <w:pPr>
            <w:pStyle w:val="31"/>
            <w:tabs>
              <w:tab w:val="right" w:leader="dot" w:pos="8306"/>
            </w:tabs>
          </w:pPr>
          <w:r>
            <w:fldChar w:fldCharType="begin"/>
          </w:r>
          <w:r>
            <w:instrText xml:space="preserve"> HYPERLINK \l _Toc5132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_Toc5132 \h </w:instrText>
          </w:r>
          <w:r>
            <w:fldChar w:fldCharType="separate"/>
          </w:r>
          <w:r>
            <w:t>23</w:t>
          </w:r>
          <w:r>
            <w:fldChar w:fldCharType="end"/>
          </w:r>
          <w:r>
            <w:fldChar w:fldCharType="end"/>
          </w:r>
        </w:p>
        <w:p>
          <w:r>
            <w:rPr>
              <w:b/>
            </w:rPr>
            <w:fldChar w:fldCharType="end"/>
          </w:r>
        </w:p>
      </w:sdtContent>
    </w:sdt>
    <w:p>
      <w:pPr>
        <w:pStyle w:val="3"/>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25" w:name="_Toc3673"/>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24"/>
      <w:bookmarkEnd w:id="25"/>
    </w:p>
    <w:p>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25"/>
          <w:rFonts w:hint="eastAsia" w:ascii="黑体" w:hAnsi="黑体" w:eastAsia="黑体"/>
          <w:b w:val="0"/>
          <w:bCs w:val="0"/>
          <w:color w:val="auto"/>
          <w:highlight w:val="none"/>
          <w:lang w:eastAsia="zh-CN"/>
        </w:rPr>
      </w:pPr>
      <w:bookmarkStart w:id="26" w:name="_Toc10698"/>
      <w:bookmarkStart w:id="27" w:name="_Toc9357"/>
      <w:bookmarkStart w:id="28" w:name="_Toc31579"/>
      <w:bookmarkStart w:id="29" w:name="_Toc14323"/>
      <w:bookmarkStart w:id="30" w:name="_Toc31277"/>
      <w:bookmarkStart w:id="31" w:name="_Toc15396600"/>
      <w:bookmarkStart w:id="32" w:name="_Toc15377197"/>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26"/>
      <w:bookmarkEnd w:id="27"/>
      <w:bookmarkEnd w:id="28"/>
      <w:bookmarkEnd w:id="29"/>
      <w:bookmarkEnd w:id="30"/>
    </w:p>
    <w:p>
      <w:pPr>
        <w:pStyle w:val="4"/>
        <w:keepNext/>
        <w:keepLines/>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highlight w:val="none"/>
        </w:rPr>
      </w:pPr>
      <w:bookmarkStart w:id="33" w:name="_Toc10209"/>
      <w:bookmarkStart w:id="34" w:name="_Toc31111"/>
      <w:bookmarkStart w:id="35" w:name="_Toc20039"/>
      <w:bookmarkStart w:id="36" w:name="_Toc28106"/>
      <w:bookmarkStart w:id="37" w:name="_Toc19701"/>
      <w:r>
        <w:rPr>
          <w:rFonts w:hint="eastAsia" w:ascii="仿宋" w:hAnsi="仿宋" w:eastAsia="仿宋" w:cs="仿宋"/>
          <w:b w:val="0"/>
          <w:bCs w:val="0"/>
          <w:color w:val="auto"/>
          <w:sz w:val="32"/>
          <w:szCs w:val="32"/>
          <w:lang w:val="en-US" w:eastAsia="zh-CN"/>
        </w:rPr>
        <w:t>负责城市特困人员集中供养；为低收入养老人、经济困难的失能半失能老人、计划生育特殊家庭老人提供无偿和低收费托养服务。</w:t>
      </w:r>
      <w:bookmarkEnd w:id="33"/>
      <w:bookmarkEnd w:id="34"/>
      <w:bookmarkEnd w:id="35"/>
      <w:bookmarkEnd w:id="36"/>
      <w:bookmarkEnd w:id="37"/>
    </w:p>
    <w:p>
      <w:pPr>
        <w:pStyle w:val="5"/>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b w:val="0"/>
          <w:color w:val="auto"/>
          <w:highlight w:val="none"/>
          <w:lang w:eastAsia="zh-CN"/>
        </w:rPr>
      </w:pPr>
      <w:bookmarkStart w:id="38" w:name="_Toc9175"/>
      <w:bookmarkStart w:id="39" w:name="_Toc12804"/>
      <w:bookmarkStart w:id="40" w:name="_Toc23467"/>
      <w:bookmarkStart w:id="41" w:name="_Toc31334"/>
      <w:bookmarkStart w:id="42" w:name="_Toc1933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31"/>
      <w:bookmarkEnd w:id="32"/>
      <w:r>
        <w:rPr>
          <w:rFonts w:hint="eastAsia" w:ascii="黑体" w:hAnsi="黑体" w:eastAsia="黑体"/>
          <w:b w:val="0"/>
          <w:color w:val="auto"/>
          <w:highlight w:val="none"/>
          <w:lang w:eastAsia="zh-CN"/>
        </w:rPr>
        <w:t>完成情况</w:t>
      </w:r>
      <w:bookmarkEnd w:id="38"/>
      <w:bookmarkEnd w:id="39"/>
      <w:bookmarkEnd w:id="40"/>
      <w:bookmarkEnd w:id="41"/>
      <w:bookmarkEnd w:id="42"/>
    </w:p>
    <w:p>
      <w:pPr>
        <w:pStyle w:val="5"/>
        <w:keepNext/>
        <w:keepLines/>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1.保障全院日常支出（工资、水电气、保险）、正常运转，工资发放、车辆、差旅费、项目等支出。</w:t>
      </w:r>
    </w:p>
    <w:p>
      <w:pPr>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2.做好财务审核报帐工作，加强内控管理。</w:t>
      </w:r>
    </w:p>
    <w:p>
      <w:pPr>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3.完成2021年预算编制工作。广元市社会福利院基本支出38.62万元和专项支出214.28万元，合计252.9万元。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4.老年人代养费收缴工作。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5.完成县区寄养、代养费的收缴工作，8人共21.25万元。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6.云盘梁老院资产的移交。</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val="0"/>
          <w:bCs/>
          <w:kern w:val="2"/>
          <w:sz w:val="32"/>
          <w:szCs w:val="32"/>
          <w:lang w:val="en-US" w:eastAsia="zh-CN" w:bidi="ar-SA"/>
        </w:rPr>
        <w:t>7</w:t>
      </w:r>
      <w:r>
        <w:rPr>
          <w:rFonts w:hint="eastAsia" w:ascii="仿宋" w:hAnsi="仿宋" w:eastAsia="仿宋" w:cs="仿宋"/>
          <w:bCs/>
          <w:kern w:val="2"/>
          <w:sz w:val="32"/>
          <w:szCs w:val="32"/>
          <w:lang w:val="en-US" w:eastAsia="zh-CN" w:bidi="ar-SA"/>
        </w:rPr>
        <w:t>.落实省委第五巡查组政府采购巡视反馈意见的整改工作。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8.完成食堂改造，前期准备工作，设计、造价、政府请示 、支付、审计。</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9.申请返还2020年度以前项目资金，落实财返工作，2020年度以前项目资金，社会福利院适老化改造109.54</w:t>
      </w:r>
      <w:r>
        <w:rPr>
          <w:rFonts w:hint="eastAsia" w:ascii="仿宋" w:hAnsi="仿宋" w:eastAsia="仿宋" w:cs="仿宋"/>
          <w:bCs/>
          <w:sz w:val="32"/>
          <w:szCs w:val="32"/>
          <w:lang w:val="en-US" w:eastAsia="zh-CN"/>
        </w:rPr>
        <w:t>万</w:t>
      </w:r>
      <w:r>
        <w:rPr>
          <w:rFonts w:hint="eastAsia" w:ascii="仿宋" w:hAnsi="仿宋" w:eastAsia="仿宋" w:cs="仿宋"/>
          <w:bCs/>
          <w:sz w:val="32"/>
          <w:szCs w:val="32"/>
        </w:rPr>
        <w:t>元</w:t>
      </w:r>
      <w:r>
        <w:rPr>
          <w:rFonts w:hint="eastAsia" w:ascii="仿宋" w:hAnsi="仿宋" w:eastAsia="仿宋" w:cs="仿宋"/>
          <w:bCs/>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10.资产清理报废工作。采用网络竞价形式对资产进行处置,减少人群聚集、降低安全风险。</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11.枣树湾新院财务竣工决算，在建工程转固定资产前期准备工作。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12.落实深入推进严肃财经纪律及部门财务管理风险排查工作。贯彻</w:t>
      </w:r>
      <w:r>
        <w:rPr>
          <w:rFonts w:hint="eastAsia" w:ascii="仿宋" w:hAnsi="仿宋" w:eastAsia="仿宋" w:cs="仿宋"/>
          <w:sz w:val="32"/>
          <w:szCs w:val="32"/>
          <w:lang w:val="en-US" w:eastAsia="zh-CN"/>
        </w:rPr>
        <w:t>川财监督〔2020〕22号文件及广财监督〔2020〕2号文件精神，以严肃财经纪律，规范财务管理，筑牢财政资金安全防线，防范财政资金管理风险为目标，加强对预算管理、支付管理、货币资金管理、会计管理、内控管理、政府采购管理、资产管理、账户管理、往来款项管理、票据管理、决算管理、存量资金清理等方面进行重点排查检查，堵住管理漏洞，消除风险隐患。</w:t>
      </w:r>
      <w:r>
        <w:rPr>
          <w:rFonts w:hint="eastAsia" w:ascii="仿宋" w:hAnsi="仿宋" w:eastAsia="仿宋" w:cs="仿宋"/>
          <w:sz w:val="32"/>
          <w:szCs w:val="32"/>
          <w:vertAlign w:val="baseline"/>
          <w:lang w:val="en-US" w:eastAsia="zh-CN"/>
        </w:rPr>
        <w:t>风险防控点：</w:t>
      </w:r>
      <w:r>
        <w:rPr>
          <w:rFonts w:hint="eastAsia" w:ascii="仿宋" w:hAnsi="仿宋" w:eastAsia="仿宋" w:cs="仿宋"/>
          <w:sz w:val="32"/>
          <w:szCs w:val="32"/>
          <w:lang w:eastAsia="zh-CN"/>
        </w:rPr>
        <w:t>福彩公益金、城乡医疗救助资金、公办养老机构床位建设资金、养老服务专业发展专项补助资金、代养费收缴。</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13.完成政府采购专项清理检查工作的自查（采购人政府采购内控制度建设）。</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14.完成关于审计疑点情况说明工作，共32点，认真梳理审计问题，规范今后的财务工作。</w:t>
      </w:r>
    </w:p>
    <w:p>
      <w:pPr>
        <w:pStyle w:val="5"/>
        <w:keepNext/>
        <w:keepLines/>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15.完成退休职工基础数据核对和申报工作。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16.完成采购人政府采购内控制度建设专项检查工作，并建立本单位内控管理制度。</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17.落实政府投资工程项目资金预算安排情况和财政资金拨付情况的检查工作。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18.完成2021年对公建民营企业东晨医院资产的清理盘点。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19.完成财政票据使用管理的自查、上报表工作。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20.落实对苍溪禅林乡向中理、张兴林两户计划生育特殊家庭的帮扶工作。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22.完成2022年预算编制工作，广元市社会福利院：人员类支出51.32万元，运转类（定额公用支出）9.14万元，特定目标类261.87万元，三项合计322.33万元。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23.2021年个人所得税汇算清缴工作。</w:t>
      </w:r>
    </w:p>
    <w:p>
      <w:pPr>
        <w:pStyle w:val="4"/>
        <w:numPr>
          <w:ilvl w:val="0"/>
          <w:numId w:val="0"/>
        </w:numPr>
        <w:outlineLvl w:val="9"/>
        <w:rPr>
          <w:rFonts w:hint="eastAsia" w:ascii="仿宋" w:hAnsi="仿宋" w:eastAsia="仿宋" w:cs="仿宋"/>
          <w:b w:val="0"/>
          <w:color w:val="auto"/>
          <w:highlight w:val="none"/>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43" w:name="_Toc314"/>
      <w:bookmarkStart w:id="44" w:name="_Toc15396602"/>
      <w:bookmarkStart w:id="45" w:name="_Toc15377204"/>
      <w:bookmarkStart w:id="46" w:name="_Toc1811"/>
      <w:bookmarkStart w:id="47" w:name="_Toc8095"/>
      <w:bookmarkStart w:id="48" w:name="_Toc7645"/>
      <w:bookmarkStart w:id="49" w:name="_Toc3227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43"/>
      <w:bookmarkEnd w:id="44"/>
      <w:bookmarkEnd w:id="45"/>
      <w:bookmarkEnd w:id="46"/>
      <w:bookmarkEnd w:id="47"/>
      <w:bookmarkEnd w:id="48"/>
      <w:bookmarkEnd w:id="49"/>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0" w:name="_Toc27506"/>
      <w:bookmarkStart w:id="51" w:name="_Toc15396603"/>
      <w:bookmarkStart w:id="52" w:name="_Toc16530"/>
      <w:bookmarkStart w:id="53" w:name="_Toc15377205"/>
      <w:bookmarkStart w:id="54" w:name="_Toc7951"/>
      <w:bookmarkStart w:id="55" w:name="_Toc7299"/>
      <w:bookmarkStart w:id="56" w:name="_Toc2533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50"/>
      <w:bookmarkEnd w:id="51"/>
      <w:bookmarkEnd w:id="52"/>
      <w:bookmarkEnd w:id="53"/>
      <w:bookmarkEnd w:id="54"/>
      <w:bookmarkEnd w:id="55"/>
      <w:bookmarkEnd w:id="5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2419.81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1208.99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99.85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支付广元市综合养老服务中心项目征地补偿费</w:t>
      </w:r>
      <w:r>
        <w:rPr>
          <w:rFonts w:hint="eastAsia" w:ascii="仿宋" w:hAnsi="仿宋" w:eastAsia="仿宋"/>
          <w:color w:val="auto"/>
          <w:sz w:val="32"/>
          <w:szCs w:val="32"/>
          <w:highlight w:val="none"/>
          <w:lang w:val="en-US" w:eastAsia="zh-CN"/>
        </w:rPr>
        <w:t>1970万元；机构改革，2021年广元市社会福利院和广元市儿童福利院财务开始分开核算。</w:t>
      </w:r>
    </w:p>
    <w:p>
      <w:pPr>
        <w:pStyle w:val="2"/>
        <w:ind w:firstLine="396" w:firstLineChars="0"/>
        <w:rPr>
          <w:rFonts w:hint="default"/>
          <w:lang w:val="en-US" w:eastAsia="zh-CN"/>
        </w:rPr>
      </w:pPr>
      <w:r>
        <w:drawing>
          <wp:inline distT="0" distB="0" distL="114300" distR="114300">
            <wp:extent cx="4448175" cy="2639060"/>
            <wp:effectExtent l="4445" t="4445" r="5080" b="2349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7" w:name="_Toc15396604"/>
      <w:bookmarkStart w:id="58" w:name="_Toc17349"/>
      <w:bookmarkStart w:id="59" w:name="_Toc15377206"/>
      <w:bookmarkStart w:id="60" w:name="_Toc696"/>
      <w:bookmarkStart w:id="61" w:name="_Toc6626"/>
      <w:bookmarkStart w:id="62" w:name="_Toc22177"/>
      <w:bookmarkStart w:id="63" w:name="_Toc2690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b/>
          <w:color w:val="auto"/>
          <w:sz w:val="32"/>
          <w:szCs w:val="32"/>
          <w:highlight w:val="none"/>
        </w:rPr>
      </w:pPr>
      <w:bookmarkStart w:id="64" w:name="_Toc9779"/>
      <w:bookmarkStart w:id="65" w:name="_Toc24376"/>
      <w:bookmarkStart w:id="66" w:name="_Toc10588"/>
      <w:bookmarkStart w:id="67" w:name="_Toc29318"/>
      <w:bookmarkStart w:id="68" w:name="_Toc3094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1023.02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146.86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14.36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876.16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85.64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64"/>
      <w:bookmarkEnd w:id="65"/>
      <w:bookmarkEnd w:id="66"/>
      <w:bookmarkEnd w:id="67"/>
      <w:bookmarkEnd w:id="68"/>
    </w:p>
    <w:p>
      <w:pPr>
        <w:spacing w:line="600" w:lineRule="exact"/>
        <w:ind w:firstLine="640" w:firstLineChars="200"/>
        <w:outlineLvl w:val="9"/>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drawing>
          <wp:inline distT="0" distB="0" distL="114300" distR="114300">
            <wp:extent cx="4570730" cy="2743200"/>
            <wp:effectExtent l="4445" t="4445" r="15875" b="14605"/>
            <wp:docPr id="102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69" w:name="_Toc22570"/>
      <w:bookmarkStart w:id="70" w:name="_Toc25151"/>
      <w:bookmarkStart w:id="71" w:name="_Toc15396605"/>
      <w:bookmarkStart w:id="72" w:name="_Toc15377207"/>
      <w:bookmarkStart w:id="73" w:name="_Toc32399"/>
      <w:bookmarkStart w:id="74" w:name="_Toc15049"/>
      <w:bookmarkStart w:id="75" w:name="_Toc2482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69"/>
      <w:bookmarkEnd w:id="70"/>
      <w:bookmarkEnd w:id="71"/>
      <w:bookmarkEnd w:id="72"/>
      <w:bookmarkEnd w:id="73"/>
      <w:bookmarkEnd w:id="74"/>
      <w:bookmarkEnd w:id="75"/>
    </w:p>
    <w:p>
      <w:pPr>
        <w:spacing w:line="600" w:lineRule="exact"/>
        <w:ind w:firstLine="640" w:firstLineChars="200"/>
        <w:outlineLvl w:val="1"/>
        <w:rPr>
          <w:rFonts w:ascii="仿宋" w:hAnsi="仿宋" w:eastAsia="仿宋"/>
          <w:color w:val="auto"/>
          <w:sz w:val="32"/>
          <w:szCs w:val="32"/>
          <w:highlight w:val="none"/>
          <w:shd w:val="pct10" w:color="auto" w:fill="FFFFFF"/>
        </w:rPr>
      </w:pPr>
      <w:bookmarkStart w:id="76" w:name="_Toc25217"/>
      <w:bookmarkStart w:id="77" w:name="_Toc7200"/>
      <w:bookmarkStart w:id="78" w:name="_Toc6803"/>
      <w:bookmarkStart w:id="79" w:name="_Toc24088"/>
      <w:bookmarkStart w:id="80" w:name="_Toc1034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2240.44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2190.48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97.77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76"/>
      <w:bookmarkEnd w:id="77"/>
      <w:bookmarkEnd w:id="78"/>
      <w:bookmarkEnd w:id="79"/>
      <w:bookmarkEnd w:id="80"/>
    </w:p>
    <w:p>
      <w:pPr>
        <w:pStyle w:val="2"/>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4605" b="14605"/>
            <wp:docPr id="102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960" w:firstLineChars="3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81" w:name="_Toc20940"/>
      <w:bookmarkStart w:id="82" w:name="_Toc15377208"/>
      <w:bookmarkStart w:id="83" w:name="_Toc15396606"/>
      <w:bookmarkStart w:id="84" w:name="_Toc3917"/>
      <w:bookmarkStart w:id="85" w:name="_Toc15828"/>
      <w:bookmarkStart w:id="86" w:name="_Toc20505"/>
      <w:bookmarkStart w:id="87" w:name="_Toc16473"/>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81"/>
      <w:bookmarkEnd w:id="82"/>
      <w:bookmarkEnd w:id="83"/>
      <w:bookmarkEnd w:id="84"/>
      <w:bookmarkEnd w:id="85"/>
      <w:bookmarkEnd w:id="86"/>
      <w:bookmarkEnd w:id="87"/>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2419.81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1208.99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99.85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是支付广元市综合养老服务中心项目征地补偿费</w:t>
      </w:r>
      <w:r>
        <w:rPr>
          <w:rFonts w:hint="eastAsia" w:ascii="仿宋" w:hAnsi="仿宋" w:eastAsia="仿宋"/>
          <w:color w:val="auto"/>
          <w:sz w:val="32"/>
          <w:szCs w:val="32"/>
          <w:highlight w:val="none"/>
          <w:lang w:val="en-US" w:eastAsia="zh-CN"/>
        </w:rPr>
        <w:t>1970万元，机构改革，2021年广元市社会福利院和广元市儿童福利院财务开始分开核算。</w:t>
      </w:r>
    </w:p>
    <w:p>
      <w:pPr>
        <w:pStyle w:val="2"/>
        <w:rPr>
          <w:rFonts w:hint="eastAsia" w:ascii="仿宋" w:hAnsi="仿宋" w:eastAsia="仿宋"/>
          <w:b/>
          <w:color w:val="auto"/>
          <w:sz w:val="32"/>
          <w:szCs w:val="32"/>
          <w:highlight w:val="none"/>
          <w:lang w:val="en-US" w:eastAsia="zh-CN"/>
        </w:rPr>
      </w:pPr>
      <w:r>
        <w:drawing>
          <wp:inline distT="0" distB="0" distL="114300" distR="114300">
            <wp:extent cx="4400550" cy="2590800"/>
            <wp:effectExtent l="4445" t="4445" r="14605" b="1460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88" w:name="_Toc15396607"/>
      <w:bookmarkStart w:id="89" w:name="_Toc16969"/>
      <w:bookmarkStart w:id="90" w:name="_Toc15377209"/>
      <w:bookmarkStart w:id="91" w:name="_Toc24559"/>
      <w:bookmarkStart w:id="92" w:name="_Toc20423"/>
      <w:bookmarkStart w:id="93" w:name="_Toc13757"/>
      <w:bookmarkStart w:id="94" w:name="_Toc961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88"/>
      <w:bookmarkEnd w:id="89"/>
      <w:bookmarkEnd w:id="90"/>
      <w:bookmarkEnd w:id="91"/>
      <w:bookmarkEnd w:id="92"/>
      <w:bookmarkEnd w:id="93"/>
      <w:bookmarkEnd w:id="94"/>
    </w:p>
    <w:p>
      <w:pPr>
        <w:spacing w:line="600" w:lineRule="exact"/>
        <w:ind w:firstLine="643" w:firstLineChars="200"/>
        <w:outlineLvl w:val="2"/>
        <w:rPr>
          <w:rFonts w:ascii="仿宋" w:hAnsi="仿宋" w:eastAsia="仿宋"/>
          <w:b/>
          <w:color w:val="auto"/>
          <w:sz w:val="32"/>
          <w:szCs w:val="32"/>
          <w:highlight w:val="none"/>
        </w:rPr>
      </w:pPr>
      <w:bookmarkStart w:id="95" w:name="_Toc15377210"/>
      <w:r>
        <w:rPr>
          <w:rFonts w:hint="eastAsia" w:ascii="仿宋" w:hAnsi="仿宋" w:eastAsia="仿宋"/>
          <w:b/>
          <w:color w:val="auto"/>
          <w:sz w:val="32"/>
          <w:szCs w:val="32"/>
          <w:highlight w:val="none"/>
        </w:rPr>
        <w:t>（一）一般公共预算财政拨款支出决算总体情况</w:t>
      </w:r>
      <w:bookmarkEnd w:id="9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1343.31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59.96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659.8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96.53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是支付广元市综合养老服务中心基建项目前期费用。</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56760" cy="3333750"/>
            <wp:effectExtent l="4445" t="4445" r="1079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rPr>
          <w:rFonts w:ascii="仿宋" w:hAnsi="仿宋" w:eastAsia="仿宋"/>
          <w:color w:val="FF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96" w:name="_Toc15377211"/>
      <w:r>
        <w:rPr>
          <w:rFonts w:hint="eastAsia" w:ascii="仿宋" w:hAnsi="仿宋" w:eastAsia="仿宋"/>
          <w:b/>
          <w:color w:val="auto"/>
          <w:sz w:val="32"/>
          <w:szCs w:val="32"/>
          <w:highlight w:val="none"/>
        </w:rPr>
        <w:t>（二）一般公共预算财政拨款支出决算结构情况</w:t>
      </w:r>
      <w:bookmarkEnd w:id="96"/>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1343.31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1335.11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4.33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300855" cy="2945130"/>
            <wp:effectExtent l="4445" t="4445" r="19050" b="222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（图6：一般公共预算财政拨款支出决算结构）（饼状图）</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97" w:name="_Toc15377212"/>
      <w:r>
        <w:rPr>
          <w:rFonts w:hint="eastAsia" w:ascii="仿宋" w:hAnsi="仿宋" w:eastAsia="仿宋"/>
          <w:b/>
          <w:color w:val="000000" w:themeColor="text1"/>
          <w:sz w:val="32"/>
          <w:szCs w:val="32"/>
          <w:highlight w:val="none"/>
          <w14:textFill>
            <w14:solidFill>
              <w14:schemeClr w14:val="tx1"/>
            </w14:solidFill>
          </w14:textFill>
        </w:rPr>
        <w:t>（三）一般公共预算财政拨款支出决算具体情况</w:t>
      </w:r>
      <w:bookmarkEnd w:id="97"/>
    </w:p>
    <w:p>
      <w:pPr>
        <w:spacing w:line="600" w:lineRule="exact"/>
        <w:ind w:firstLine="643" w:firstLineChars="200"/>
        <w:outlineLvl w:val="1"/>
        <w:rPr>
          <w:rFonts w:ascii="仿宋" w:hAnsi="仿宋" w:eastAsia="仿宋"/>
          <w:color w:val="000000" w:themeColor="text1"/>
          <w:sz w:val="32"/>
          <w:szCs w:val="32"/>
          <w:highlight w:val="red"/>
          <w14:textFill>
            <w14:solidFill>
              <w14:schemeClr w14:val="tx1"/>
            </w14:solidFill>
          </w14:textFill>
        </w:rPr>
      </w:pPr>
      <w:bookmarkStart w:id="98" w:name="_Toc14784"/>
      <w:bookmarkStart w:id="99" w:name="_Toc17784"/>
      <w:bookmarkStart w:id="100" w:name="_Toc15378460"/>
      <w:bookmarkStart w:id="101" w:name="_Toc1578"/>
      <w:bookmarkStart w:id="102" w:name="_Toc15377444"/>
      <w:bookmarkStart w:id="103" w:name="_Toc15377213"/>
      <w:bookmarkStart w:id="104" w:name="_Toc9095"/>
      <w:bookmarkStart w:id="105" w:name="_Toc18402"/>
      <w:r>
        <w:rPr>
          <w:rFonts w:hint="eastAsia" w:ascii="仿宋" w:hAnsi="仿宋" w:eastAsia="仿宋"/>
          <w:b/>
          <w:color w:val="000000" w:themeColor="text1"/>
          <w:sz w:val="32"/>
          <w:szCs w:val="32"/>
          <w:highlight w:val="none"/>
          <w14:textFill>
            <w14:solidFill>
              <w14:schemeClr w14:val="tx1"/>
            </w14:solidFill>
          </w14:textFill>
        </w:rPr>
        <w:t>20</w:t>
      </w:r>
      <w:r>
        <w:rPr>
          <w:rFonts w:hint="eastAsia" w:ascii="仿宋" w:hAnsi="仿宋" w:eastAsia="仿宋"/>
          <w:b/>
          <w:color w:val="000000" w:themeColor="text1"/>
          <w:sz w:val="32"/>
          <w:szCs w:val="32"/>
          <w:highlight w:val="none"/>
          <w:lang w:val="en-US" w:eastAsia="zh-CN"/>
          <w14:textFill>
            <w14:solidFill>
              <w14:schemeClr w14:val="tx1"/>
            </w14:solidFill>
          </w14:textFill>
        </w:rPr>
        <w:t>21</w:t>
      </w:r>
      <w:r>
        <w:rPr>
          <w:rFonts w:hint="eastAsia" w:ascii="仿宋" w:hAnsi="仿宋" w:eastAsia="仿宋"/>
          <w:b/>
          <w:color w:val="000000" w:themeColor="text1"/>
          <w:sz w:val="32"/>
          <w:szCs w:val="32"/>
          <w:highlight w:val="none"/>
          <w14:textFill>
            <w14:solidFill>
              <w14:schemeClr w14:val="tx1"/>
            </w14:solidFill>
          </w14:textFill>
        </w:rPr>
        <w:t>年</w:t>
      </w:r>
      <w:r>
        <w:rPr>
          <w:rFonts w:hint="eastAsia" w:ascii="仿宋" w:hAnsi="仿宋" w:eastAsia="仿宋"/>
          <w:b/>
          <w:color w:val="000000" w:themeColor="text1"/>
          <w:sz w:val="32"/>
          <w:szCs w:val="32"/>
          <w:highlight w:val="none"/>
          <w:lang w:eastAsia="zh-CN"/>
          <w14:textFill>
            <w14:solidFill>
              <w14:schemeClr w14:val="tx1"/>
            </w14:solidFill>
          </w14:textFill>
        </w:rPr>
        <w:t>一</w:t>
      </w:r>
      <w:r>
        <w:rPr>
          <w:rFonts w:hint="eastAsia" w:ascii="仿宋" w:hAnsi="仿宋" w:eastAsia="仿宋"/>
          <w:b/>
          <w:color w:val="000000" w:themeColor="text1"/>
          <w:sz w:val="32"/>
          <w:szCs w:val="32"/>
          <w:highlight w:val="none"/>
          <w14:textFill>
            <w14:solidFill>
              <w14:schemeClr w14:val="tx1"/>
            </w14:solidFill>
          </w14:textFill>
        </w:rPr>
        <w:t>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1343.31万元</w:t>
      </w:r>
      <w:r>
        <w:rPr>
          <w:rFonts w:hint="eastAsia" w:ascii="仿宋" w:hAnsi="仿宋" w:eastAsia="仿宋"/>
          <w:color w:val="000000" w:themeColor="text1"/>
          <w:sz w:val="32"/>
          <w:szCs w:val="32"/>
          <w:highlight w:val="none"/>
          <w14:textFill>
            <w14:solidFill>
              <w14:schemeClr w14:val="tx1"/>
            </w14:solidFill>
          </w14:textFill>
        </w:rPr>
        <w:t>，</w:t>
      </w:r>
      <w:r>
        <w:rPr>
          <w:rStyle w:val="14"/>
          <w:rFonts w:hint="eastAsia" w:ascii="仿宋" w:hAnsi="仿宋" w:eastAsia="仿宋"/>
          <w:bCs/>
          <w:color w:val="000000" w:themeColor="text1"/>
          <w:sz w:val="32"/>
          <w:szCs w:val="32"/>
          <w:highlight w:val="none"/>
          <w14:textFill>
            <w14:solidFill>
              <w14:schemeClr w14:val="tx1"/>
            </w14:solidFill>
          </w14:textFill>
        </w:rPr>
        <w:t>完成预算</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86.52%</w:t>
      </w:r>
      <w:r>
        <w:rPr>
          <w:rStyle w:val="14"/>
          <w:rFonts w:hint="eastAsia" w:ascii="仿宋" w:hAnsi="仿宋" w:eastAsia="仿宋"/>
          <w:bCs/>
          <w:color w:val="000000" w:themeColor="text1"/>
          <w:sz w:val="32"/>
          <w:szCs w:val="32"/>
          <w:highlight w:val="none"/>
          <w14:textFill>
            <w14:solidFill>
              <w14:schemeClr w14:val="tx1"/>
            </w14:solidFill>
          </w14:textFill>
        </w:rPr>
        <w:t>其中：</w:t>
      </w:r>
      <w:bookmarkEnd w:id="98"/>
      <w:bookmarkEnd w:id="99"/>
      <w:bookmarkEnd w:id="100"/>
      <w:bookmarkEnd w:id="101"/>
      <w:bookmarkEnd w:id="102"/>
      <w:bookmarkEnd w:id="103"/>
      <w:bookmarkEnd w:id="104"/>
      <w:bookmarkEnd w:id="105"/>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机关事业单位基本养老保险缴费支出</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val="0"/>
          <w:color w:val="auto"/>
          <w:sz w:val="32"/>
          <w:szCs w:val="32"/>
          <w:highlight w:val="none"/>
          <w:lang w:eastAsia="zh-CN"/>
        </w:rPr>
        <w:t>支出决算为</w:t>
      </w:r>
      <w:r>
        <w:rPr>
          <w:rStyle w:val="14"/>
          <w:rFonts w:ascii="仿宋" w:hAnsi="仿宋" w:eastAsia="仿宋"/>
          <w:b w:val="0"/>
          <w:bCs w:val="0"/>
          <w:color w:val="auto"/>
          <w:sz w:val="32"/>
          <w:szCs w:val="32"/>
          <w:highlight w:val="none"/>
        </w:rPr>
        <w:t xml:space="preserve"> </w:t>
      </w:r>
      <w:r>
        <w:rPr>
          <w:rStyle w:val="14"/>
          <w:rFonts w:hint="eastAsia" w:ascii="仿宋" w:hAnsi="仿宋" w:eastAsia="仿宋"/>
          <w:b w:val="0"/>
          <w:bCs/>
          <w:color w:val="auto"/>
          <w:sz w:val="32"/>
          <w:szCs w:val="32"/>
          <w:highlight w:val="none"/>
          <w:lang w:val="en-US" w:eastAsia="zh-CN"/>
        </w:rPr>
        <w:t>3.25万元，完成预算100%。</w:t>
      </w:r>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bCs w:val="0"/>
          <w:color w:val="auto"/>
          <w:sz w:val="32"/>
          <w:szCs w:val="32"/>
          <w:highlight w:val="none"/>
          <w:lang w:val="en-US" w:eastAsia="zh-CN"/>
        </w:rPr>
        <w:t>2.</w:t>
      </w:r>
      <w:r>
        <w:rPr>
          <w:rStyle w:val="14"/>
          <w:rFonts w:hint="eastAsia" w:ascii="仿宋" w:hAnsi="仿宋" w:eastAsia="仿宋"/>
          <w:b/>
          <w:bCs w:val="0"/>
          <w:color w:val="auto"/>
          <w:sz w:val="32"/>
          <w:szCs w:val="32"/>
          <w:highlight w:val="none"/>
        </w:rPr>
        <w:t>社会</w:t>
      </w:r>
      <w:r>
        <w:rPr>
          <w:rStyle w:val="14"/>
          <w:rFonts w:hint="eastAsia" w:ascii="仿宋" w:hAnsi="仿宋" w:eastAsia="仿宋"/>
          <w:bCs/>
          <w:color w:val="auto"/>
          <w:sz w:val="32"/>
          <w:szCs w:val="32"/>
          <w:highlight w:val="none"/>
        </w:rPr>
        <w:t>保障和就业（类</w:t>
      </w:r>
      <w:r>
        <w:rPr>
          <w:rStyle w:val="14"/>
          <w:rFonts w:hint="eastAsia"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lang w:val="en-US" w:eastAsia="zh-CN"/>
        </w:rPr>
        <w:t>社会福利（款）儿童福利（项）：</w:t>
      </w:r>
      <w:r>
        <w:rPr>
          <w:rStyle w:val="14"/>
          <w:rFonts w:hint="eastAsia" w:ascii="仿宋" w:hAnsi="仿宋" w:eastAsia="仿宋"/>
          <w:b w:val="0"/>
          <w:bCs/>
          <w:color w:val="auto"/>
          <w:sz w:val="32"/>
          <w:szCs w:val="32"/>
          <w:highlight w:val="none"/>
          <w:lang w:val="en-US" w:eastAsia="zh-CN"/>
        </w:rPr>
        <w:t>支出决算为5.59万元，完成预算100%。</w:t>
      </w:r>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
          <w:bCs w:val="0"/>
          <w:color w:val="auto"/>
          <w:sz w:val="32"/>
          <w:szCs w:val="32"/>
          <w:highlight w:val="none"/>
          <w:lang w:val="en-US" w:eastAsia="zh-CN"/>
        </w:rPr>
        <w:t>3.</w:t>
      </w:r>
      <w:r>
        <w:rPr>
          <w:rStyle w:val="14"/>
          <w:rFonts w:hint="eastAsia" w:ascii="仿宋" w:hAnsi="仿宋" w:eastAsia="仿宋"/>
          <w:b/>
          <w:bCs w:val="0"/>
          <w:color w:val="auto"/>
          <w:sz w:val="32"/>
          <w:szCs w:val="32"/>
          <w:highlight w:val="none"/>
        </w:rPr>
        <w:t>社</w:t>
      </w:r>
      <w:r>
        <w:rPr>
          <w:rStyle w:val="14"/>
          <w:rFonts w:hint="eastAsia" w:ascii="仿宋" w:hAnsi="仿宋" w:eastAsia="仿宋"/>
          <w:bCs/>
          <w:color w:val="auto"/>
          <w:sz w:val="32"/>
          <w:szCs w:val="32"/>
          <w:highlight w:val="none"/>
        </w:rPr>
        <w:t>会保障和就业（类）</w:t>
      </w:r>
      <w:r>
        <w:rPr>
          <w:rStyle w:val="14"/>
          <w:rFonts w:hint="eastAsia" w:ascii="仿宋" w:hAnsi="仿宋" w:eastAsia="仿宋"/>
          <w:b/>
          <w:bCs w:val="0"/>
          <w:color w:val="auto"/>
          <w:sz w:val="32"/>
          <w:szCs w:val="32"/>
          <w:highlight w:val="none"/>
          <w:lang w:val="en-US" w:eastAsia="zh-CN"/>
        </w:rPr>
        <w:t>社会福利（款）社会福利事业单位（项）：</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90.64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pStyle w:val="2"/>
        <w:ind w:firstLine="643" w:firstLineChars="200"/>
        <w:rPr>
          <w:rStyle w:val="14"/>
          <w:rFonts w:hint="default" w:ascii="仿宋" w:hAnsi="仿宋" w:eastAsia="仿宋"/>
          <w:b w:val="0"/>
          <w:bCs w:val="0"/>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4.</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社会福利（款）养老服务（项）：</w:t>
      </w:r>
      <w:r>
        <w:rPr>
          <w:rStyle w:val="14"/>
          <w:rFonts w:hint="eastAsia" w:ascii="仿宋" w:hAnsi="仿宋" w:eastAsia="仿宋"/>
          <w:b w:val="0"/>
          <w:bCs w:val="0"/>
          <w:color w:val="auto"/>
          <w:sz w:val="32"/>
          <w:szCs w:val="32"/>
          <w:highlight w:val="none"/>
          <w:lang w:eastAsia="zh-CN"/>
        </w:rPr>
        <w:t>支出决算为</w:t>
      </w:r>
      <w:r>
        <w:rPr>
          <w:rStyle w:val="14"/>
          <w:rFonts w:hint="eastAsia" w:ascii="仿宋" w:hAnsi="仿宋" w:eastAsia="仿宋"/>
          <w:b w:val="0"/>
          <w:bCs w:val="0"/>
          <w:color w:val="auto"/>
          <w:sz w:val="32"/>
          <w:szCs w:val="32"/>
          <w:highlight w:val="none"/>
          <w:lang w:val="en-US" w:eastAsia="zh-CN"/>
        </w:rPr>
        <w:t>1214.92万元，完成预算98.82%。决算数小于预算数的主要原因是因为疫情封院结余项目尾款。</w:t>
      </w:r>
    </w:p>
    <w:p>
      <w:pPr>
        <w:pStyle w:val="2"/>
        <w:ind w:firstLine="643" w:firstLineChars="200"/>
        <w:rPr>
          <w:rStyle w:val="14"/>
          <w:rFonts w:hint="default" w:ascii="仿宋" w:hAnsi="仿宋" w:eastAsia="仿宋"/>
          <w:b w:val="0"/>
          <w:bCs w:val="0"/>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5.</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其他社会保障和就业支出（款）其他社会保障和就业支出（项）：</w:t>
      </w:r>
      <w:r>
        <w:rPr>
          <w:rStyle w:val="14"/>
          <w:rFonts w:hint="eastAsia" w:ascii="仿宋" w:hAnsi="仿宋" w:eastAsia="仿宋"/>
          <w:b w:val="0"/>
          <w:bCs w:val="0"/>
          <w:color w:val="auto"/>
          <w:sz w:val="32"/>
          <w:szCs w:val="32"/>
          <w:highlight w:val="none"/>
          <w:lang w:eastAsia="zh-CN"/>
        </w:rPr>
        <w:t>支出决算为</w:t>
      </w:r>
      <w:r>
        <w:rPr>
          <w:rStyle w:val="14"/>
          <w:rFonts w:hint="eastAsia" w:ascii="仿宋" w:hAnsi="仿宋" w:eastAsia="仿宋"/>
          <w:b w:val="0"/>
          <w:bCs w:val="0"/>
          <w:color w:val="auto"/>
          <w:sz w:val="32"/>
          <w:szCs w:val="32"/>
          <w:highlight w:val="none"/>
          <w:lang w:val="en-US" w:eastAsia="zh-CN"/>
        </w:rPr>
        <w:t>20.71万元，完成预算11.17%。决算数小于预算数的主要原因是因为疫情封院导致项目无法按进度实施。</w:t>
      </w:r>
    </w:p>
    <w:p>
      <w:pPr>
        <w:spacing w:line="600" w:lineRule="exact"/>
        <w:ind w:firstLine="643" w:firstLineChars="200"/>
        <w:rPr>
          <w:rFonts w:hint="eastAsia" w:ascii="仿宋" w:hAnsi="仿宋" w:eastAsia="仿宋"/>
          <w:b/>
          <w:color w:val="auto"/>
          <w:sz w:val="32"/>
          <w:szCs w:val="32"/>
          <w:highlight w:val="none"/>
          <w:lang w:eastAsia="zh-CN"/>
        </w:rPr>
      </w:pPr>
      <w:r>
        <w:rPr>
          <w:rStyle w:val="14"/>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0" w:firstLineChars="200"/>
        <w:rPr>
          <w:rStyle w:val="14"/>
          <w:rFonts w:hint="eastAsia" w:ascii="仿宋" w:hAnsi="仿宋" w:eastAsia="仿宋"/>
          <w:b w:val="0"/>
          <w:bCs w:val="0"/>
          <w:color w:val="auto"/>
          <w:sz w:val="32"/>
          <w:szCs w:val="32"/>
          <w:lang w:val="en-US" w:eastAsia="zh-CN"/>
        </w:rPr>
      </w:pPr>
      <w:r>
        <w:rPr>
          <w:rFonts w:hint="eastAsia" w:ascii="仿宋" w:hAnsi="仿宋" w:eastAsia="仿宋"/>
          <w:color w:val="auto"/>
          <w:sz w:val="32"/>
          <w:szCs w:val="32"/>
          <w:highlight w:val="none"/>
          <w:lang w:val="en-US" w:eastAsia="zh-CN"/>
        </w:rPr>
        <w:t>7.</w:t>
      </w:r>
      <w:r>
        <w:rPr>
          <w:rFonts w:hint="eastAsia" w:ascii="仿宋" w:hAnsi="仿宋" w:eastAsia="仿宋"/>
          <w:b/>
          <w:bCs/>
          <w:color w:val="auto"/>
          <w:sz w:val="32"/>
          <w:szCs w:val="32"/>
          <w:lang w:eastAsia="zh-CN"/>
        </w:rPr>
        <w:t>住房保障支出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住房改革支出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住房公积金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val="0"/>
          <w:color w:val="auto"/>
          <w:sz w:val="32"/>
          <w:szCs w:val="32"/>
          <w:lang w:eastAsia="zh-CN"/>
        </w:rPr>
        <w:t>支出决算为</w:t>
      </w:r>
      <w:r>
        <w:rPr>
          <w:rStyle w:val="14"/>
          <w:rFonts w:hint="eastAsia" w:ascii="仿宋" w:hAnsi="仿宋" w:eastAsia="仿宋"/>
          <w:b w:val="0"/>
          <w:bCs w:val="0"/>
          <w:color w:val="auto"/>
          <w:sz w:val="32"/>
          <w:szCs w:val="32"/>
          <w:lang w:val="en-US" w:eastAsia="zh-CN"/>
        </w:rPr>
        <w:t>3.87万元，完成预算100%。</w:t>
      </w:r>
    </w:p>
    <w:p>
      <w:pPr>
        <w:pStyle w:val="2"/>
      </w:pPr>
    </w:p>
    <w:p>
      <w:pPr>
        <w:tabs>
          <w:tab w:val="right" w:pos="8306"/>
        </w:tabs>
        <w:spacing w:line="600" w:lineRule="exact"/>
        <w:ind w:firstLine="640"/>
        <w:outlineLvl w:val="1"/>
        <w:rPr>
          <w:rStyle w:val="25"/>
          <w:color w:val="auto"/>
          <w:highlight w:val="none"/>
        </w:rPr>
      </w:pPr>
      <w:bookmarkStart w:id="106" w:name="_Toc17852"/>
      <w:bookmarkStart w:id="107" w:name="_Toc13194"/>
      <w:bookmarkStart w:id="108" w:name="_Toc16450"/>
      <w:bookmarkStart w:id="109" w:name="_Toc15396608"/>
      <w:bookmarkStart w:id="110" w:name="_Toc15377214"/>
      <w:bookmarkStart w:id="111" w:name="_Toc18678"/>
      <w:bookmarkStart w:id="112" w:name="_Toc826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106"/>
      <w:bookmarkEnd w:id="107"/>
      <w:bookmarkEnd w:id="108"/>
      <w:bookmarkEnd w:id="109"/>
      <w:bookmarkEnd w:id="110"/>
      <w:bookmarkEnd w:id="111"/>
      <w:bookmarkEnd w:id="112"/>
      <w:r>
        <w:rPr>
          <w:rStyle w:val="25"/>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45.17</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其他社会保障缴费、其他工资福利支出、住房公积金</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4.79</w:t>
      </w:r>
      <w:r>
        <w:rPr>
          <w:rFonts w:hint="eastAsia" w:ascii="仿宋" w:hAnsi="仿宋" w:eastAsia="仿宋"/>
          <w:color w:val="auto"/>
          <w:sz w:val="32"/>
          <w:szCs w:val="32"/>
          <w:highlight w:val="none"/>
        </w:rPr>
        <w:t>万元，主要包括：办公费、印刷费、手续费、差旅费、培训费、公务接待费、劳务费、工会经费、福利费、公务用车运行维护费、其他商品和服务支出。</w:t>
      </w:r>
    </w:p>
    <w:p>
      <w:pPr>
        <w:pStyle w:val="2"/>
      </w:pPr>
    </w:p>
    <w:p>
      <w:pPr>
        <w:spacing w:line="600" w:lineRule="exact"/>
        <w:ind w:firstLine="640"/>
        <w:outlineLvl w:val="1"/>
        <w:rPr>
          <w:rStyle w:val="25"/>
          <w:rFonts w:ascii="黑体" w:hAnsi="黑体" w:eastAsia="黑体"/>
          <w:b w:val="0"/>
          <w:color w:val="auto"/>
          <w:highlight w:val="none"/>
        </w:rPr>
      </w:pPr>
      <w:bookmarkStart w:id="113" w:name="_Toc13593"/>
      <w:bookmarkStart w:id="114" w:name="_Toc20220"/>
      <w:bookmarkStart w:id="115" w:name="_Toc15396609"/>
      <w:bookmarkStart w:id="116" w:name="_Toc15377215"/>
      <w:bookmarkStart w:id="117" w:name="_Toc20963"/>
      <w:bookmarkStart w:id="118" w:name="_Toc27503"/>
      <w:bookmarkStart w:id="119" w:name="_Toc31032"/>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113"/>
      <w:bookmarkEnd w:id="114"/>
      <w:bookmarkEnd w:id="115"/>
      <w:bookmarkEnd w:id="116"/>
      <w:bookmarkEnd w:id="117"/>
      <w:bookmarkEnd w:id="118"/>
      <w:bookmarkEnd w:id="119"/>
    </w:p>
    <w:p>
      <w:pPr>
        <w:spacing w:line="600" w:lineRule="exact"/>
        <w:ind w:firstLine="640"/>
        <w:outlineLvl w:val="2"/>
        <w:rPr>
          <w:rFonts w:hint="eastAsia" w:ascii="仿宋" w:hAnsi="仿宋" w:eastAsia="仿宋" w:cs="仿宋"/>
          <w:b/>
          <w:color w:val="auto"/>
          <w:sz w:val="32"/>
          <w:szCs w:val="32"/>
          <w:highlight w:val="none"/>
        </w:rPr>
      </w:pPr>
      <w:bookmarkStart w:id="120" w:name="_Toc15377216"/>
      <w:r>
        <w:rPr>
          <w:rFonts w:hint="eastAsia" w:ascii="仿宋" w:hAnsi="仿宋" w:eastAsia="仿宋" w:cs="仿宋"/>
          <w:b/>
          <w:color w:val="auto"/>
          <w:sz w:val="32"/>
          <w:szCs w:val="32"/>
          <w:highlight w:val="none"/>
        </w:rPr>
        <w:t>（一）“三公”经费财政拨款支出决算总体情况说明</w:t>
      </w:r>
      <w:bookmarkEnd w:id="120"/>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年“三公”经费财政拨款支出决算为</w:t>
      </w:r>
      <w:r>
        <w:rPr>
          <w:rFonts w:hint="eastAsia" w:ascii="仿宋" w:hAnsi="仿宋" w:eastAsia="仿宋" w:cs="仿宋"/>
          <w:color w:val="auto"/>
          <w:sz w:val="32"/>
          <w:szCs w:val="32"/>
          <w:highlight w:val="none"/>
          <w:lang w:val="en-US" w:eastAsia="zh-CN"/>
        </w:rPr>
        <w:t>2.04</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97.14</w:t>
      </w:r>
      <w:r>
        <w:rPr>
          <w:rFonts w:hint="eastAsia" w:ascii="仿宋" w:hAnsi="仿宋" w:eastAsia="仿宋" w:cs="仿宋"/>
          <w:color w:val="auto"/>
          <w:sz w:val="32"/>
          <w:szCs w:val="32"/>
          <w:highlight w:val="none"/>
        </w:rPr>
        <w:t>%，决算数小于预算数的主要原因</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根</w:t>
      </w:r>
      <w:r>
        <w:rPr>
          <w:rFonts w:hint="eastAsia" w:ascii="仿宋" w:hAnsi="仿宋" w:eastAsia="仿宋" w:cs="仿宋"/>
          <w:color w:val="000000"/>
          <w:sz w:val="32"/>
          <w:szCs w:val="32"/>
          <w:lang w:eastAsia="zh-CN"/>
        </w:rPr>
        <w:t>据市委市政府《市级部门单位“过紧日子”十三条措施（修订）》文件精神，</w:t>
      </w:r>
      <w:r>
        <w:rPr>
          <w:rFonts w:hint="eastAsia" w:ascii="仿宋" w:hAnsi="仿宋" w:eastAsia="仿宋" w:cs="仿宋"/>
          <w:color w:val="000000"/>
          <w:sz w:val="32"/>
          <w:szCs w:val="32"/>
        </w:rPr>
        <w:t>严格控制“三公”经费支出。</w:t>
      </w:r>
    </w:p>
    <w:p>
      <w:pPr>
        <w:spacing w:line="600" w:lineRule="exact"/>
        <w:ind w:firstLine="640"/>
        <w:outlineLvl w:val="2"/>
        <w:rPr>
          <w:rFonts w:hint="eastAsia" w:ascii="仿宋" w:hAnsi="仿宋" w:eastAsia="仿宋" w:cs="仿宋"/>
          <w:b/>
          <w:color w:val="auto"/>
          <w:sz w:val="32"/>
          <w:szCs w:val="32"/>
          <w:highlight w:val="none"/>
        </w:rPr>
      </w:pPr>
      <w:bookmarkStart w:id="121" w:name="_Toc15377217"/>
      <w:r>
        <w:rPr>
          <w:rFonts w:hint="eastAsia" w:ascii="仿宋" w:hAnsi="仿宋" w:eastAsia="仿宋" w:cs="仿宋"/>
          <w:b/>
          <w:color w:val="auto"/>
          <w:sz w:val="32"/>
          <w:szCs w:val="32"/>
          <w:highlight w:val="none"/>
        </w:rPr>
        <w:t>（二）“三公”经费财政拨款支出决算具体情况说明</w:t>
      </w:r>
      <w:bookmarkEnd w:id="121"/>
    </w:p>
    <w:p>
      <w:pPr>
        <w:spacing w:line="600" w:lineRule="exact"/>
        <w:ind w:firstLine="640"/>
        <w:rPr>
          <w:rFonts w:hint="eastAsia" w:ascii="仿宋" w:hAnsi="仿宋" w:eastAsia="仿宋" w:cs="仿宋"/>
          <w:sz w:val="32"/>
          <w:szCs w:val="32"/>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年“三公”经费财政拨款支出决算中，因公出国（境）费支出决算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val="en-US" w:eastAsia="zh-CN"/>
        </w:rPr>
        <w:t>1.54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75.49</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24.51</w:t>
      </w:r>
      <w:r>
        <w:rPr>
          <w:rFonts w:hint="eastAsia" w:ascii="仿宋" w:hAnsi="仿宋" w:eastAsia="仿宋" w:cs="仿宋"/>
          <w:color w:val="auto"/>
          <w:sz w:val="32"/>
          <w:szCs w:val="32"/>
          <w:highlight w:val="none"/>
        </w:rPr>
        <w:t>%。具体情况如下：</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651375" cy="3315335"/>
            <wp:effectExtent l="4445" t="4445" r="11430"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（图7：“三公”经费财政拨款支出结构）（饼状图）</w:t>
      </w:r>
    </w:p>
    <w:p>
      <w:pPr>
        <w:spacing w:line="60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年初未安排预算</w:t>
      </w:r>
      <w:r>
        <w:rPr>
          <w:rFonts w:hint="eastAsia" w:ascii="仿宋_GB2312" w:hAnsi="仿宋_GB2312" w:eastAsia="仿宋_GB2312" w:cs="仿宋_GB2312"/>
          <w:sz w:val="32"/>
          <w:szCs w:val="32"/>
        </w:rPr>
        <w:t>因</w:t>
      </w:r>
      <w:r>
        <w:rPr>
          <w:rFonts w:hint="eastAsia" w:ascii="仿宋" w:hAnsi="仿宋" w:eastAsia="仿宋" w:cs="仿宋"/>
          <w:sz w:val="32"/>
          <w:szCs w:val="32"/>
        </w:rPr>
        <w:t>公出国（境）支出决算较2020年无变化</w:t>
      </w:r>
      <w:r>
        <w:rPr>
          <w:rStyle w:val="14"/>
          <w:rFonts w:hint="eastAsia" w:ascii="仿宋" w:hAnsi="仿宋" w:eastAsia="仿宋" w:cs="仿宋"/>
          <w:b w:val="0"/>
          <w:bCs/>
          <w:sz w:val="32"/>
          <w:szCs w:val="32"/>
        </w:rPr>
        <w:t>。</w:t>
      </w:r>
    </w:p>
    <w:p>
      <w:pPr>
        <w:spacing w:line="600" w:lineRule="exact"/>
        <w:ind w:firstLine="643"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1.54</w:t>
      </w:r>
      <w:r>
        <w:rPr>
          <w:rFonts w:hint="eastAsia" w:ascii="仿宋" w:hAnsi="仿宋" w:eastAsia="仿宋" w:cs="仿宋"/>
          <w:color w:val="auto"/>
          <w:sz w:val="32"/>
          <w:szCs w:val="32"/>
          <w:highlight w:val="none"/>
        </w:rPr>
        <w:t>万元,</w:t>
      </w:r>
      <w:r>
        <w:rPr>
          <w:rStyle w:val="14"/>
          <w:rFonts w:hint="eastAsia" w:ascii="仿宋" w:hAnsi="仿宋" w:eastAsia="仿宋" w:cs="仿宋"/>
          <w:b w:val="0"/>
          <w:bCs/>
          <w:color w:val="auto"/>
          <w:sz w:val="32"/>
          <w:szCs w:val="32"/>
          <w:highlight w:val="none"/>
        </w:rPr>
        <w:t>完成预算</w:t>
      </w:r>
      <w:r>
        <w:rPr>
          <w:rStyle w:val="14"/>
          <w:rFonts w:hint="eastAsia" w:ascii="仿宋" w:hAnsi="仿宋" w:eastAsia="仿宋" w:cs="仿宋"/>
          <w:b w:val="0"/>
          <w:bCs/>
          <w:color w:val="auto"/>
          <w:sz w:val="32"/>
          <w:szCs w:val="32"/>
          <w:highlight w:val="none"/>
          <w:lang w:val="en-US" w:eastAsia="zh-CN"/>
        </w:rPr>
        <w:t>96.25</w:t>
      </w:r>
      <w:r>
        <w:rPr>
          <w:rStyle w:val="14"/>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年减少</w:t>
      </w:r>
      <w:r>
        <w:rPr>
          <w:rFonts w:hint="eastAsia" w:ascii="仿宋" w:hAnsi="仿宋" w:eastAsia="仿宋" w:cs="仿宋"/>
          <w:color w:val="auto"/>
          <w:sz w:val="32"/>
          <w:szCs w:val="32"/>
          <w:highlight w:val="none"/>
          <w:lang w:val="en-US" w:eastAsia="zh-CN"/>
        </w:rPr>
        <w:t>5.82</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79.08</w:t>
      </w:r>
      <w:r>
        <w:rPr>
          <w:rFonts w:hint="eastAsia" w:ascii="仿宋" w:hAnsi="仿宋" w:eastAsia="仿宋" w:cs="仿宋"/>
          <w:color w:val="auto"/>
          <w:sz w:val="32"/>
          <w:szCs w:val="32"/>
          <w:highlight w:val="none"/>
        </w:rPr>
        <w:t>%。</w:t>
      </w:r>
      <w:r>
        <w:rPr>
          <w:rFonts w:hint="eastAsia" w:ascii="仿宋" w:hAnsi="仿宋" w:eastAsia="仿宋" w:cs="仿宋"/>
          <w:sz w:val="28"/>
          <w:szCs w:val="28"/>
        </w:rPr>
        <w:t>主要原因是机构改革及压缩开支。</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无</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 xml:space="preserve"> 3</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皮卡车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，载客汽车</w:t>
      </w:r>
      <w:r>
        <w:rPr>
          <w:rFonts w:hint="eastAsia" w:ascii="仿宋_GB2312" w:eastAsia="仿宋_GB2312"/>
          <w:color w:val="auto"/>
          <w:sz w:val="32"/>
          <w:szCs w:val="32"/>
          <w:highlight w:val="none"/>
          <w:lang w:val="en-US" w:eastAsia="zh-CN"/>
        </w:rPr>
        <w:t>1辆。</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b w:val="0"/>
          <w:bCs/>
          <w:color w:val="auto"/>
          <w:sz w:val="32"/>
          <w:szCs w:val="32"/>
          <w:highlight w:val="none"/>
          <w:lang w:val="en-US" w:eastAsia="zh-CN"/>
        </w:rPr>
        <w:t>1.54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，完成预算</w:t>
      </w:r>
      <w:r>
        <w:rPr>
          <w:rFonts w:hint="eastAsia" w:ascii="仿宋" w:hAnsi="仿宋" w:eastAsia="仿宋" w:cs="仿宋"/>
          <w:color w:val="auto"/>
          <w:sz w:val="32"/>
          <w:szCs w:val="32"/>
          <w:highlight w:val="none"/>
          <w:lang w:val="en-US" w:eastAsia="zh-CN"/>
        </w:rPr>
        <w:t>96.25%。</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lang w:eastAsia="zh-CN"/>
        </w:rPr>
        <w:t>院内儿童老人外出上学就医、寄养家庭回访、下乡帮扶、走访困难计生家庭</w:t>
      </w:r>
      <w:r>
        <w:rPr>
          <w:rFonts w:hint="eastAsia" w:ascii="仿宋" w:hAnsi="仿宋" w:eastAsia="仿宋" w:cs="仿宋"/>
          <w:color w:val="auto"/>
          <w:sz w:val="32"/>
          <w:szCs w:val="32"/>
          <w:highlight w:val="none"/>
        </w:rPr>
        <w:t>等所需的公务用车燃料费、维修费、过路过桥费、保险费等支出。</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3.公务接待费支出</w:t>
      </w:r>
      <w:r>
        <w:rPr>
          <w:rFonts w:hint="eastAsia" w:ascii="仿宋" w:hAnsi="仿宋" w:eastAsia="仿宋" w:cs="仿宋"/>
          <w:b w:val="0"/>
          <w:bCs/>
          <w:color w:val="auto"/>
          <w:sz w:val="32"/>
          <w:szCs w:val="32"/>
          <w:highlight w:val="none"/>
          <w:lang w:val="en-US" w:eastAsia="zh-CN"/>
        </w:rPr>
        <w:t>0.5</w:t>
      </w:r>
      <w:r>
        <w:rPr>
          <w:rFonts w:hint="eastAsia" w:ascii="仿宋" w:hAnsi="仿宋" w:eastAsia="仿宋" w:cs="仿宋"/>
          <w:color w:val="auto"/>
          <w:sz w:val="32"/>
          <w:szCs w:val="32"/>
          <w:highlight w:val="none"/>
        </w:rPr>
        <w:t>万元，</w:t>
      </w:r>
      <w:r>
        <w:rPr>
          <w:rStyle w:val="14"/>
          <w:rFonts w:hint="eastAsia" w:ascii="仿宋" w:hAnsi="仿宋" w:eastAsia="仿宋" w:cs="仿宋"/>
          <w:b w:val="0"/>
          <w:bCs/>
          <w:color w:val="auto"/>
          <w:sz w:val="32"/>
          <w:szCs w:val="32"/>
          <w:highlight w:val="none"/>
        </w:rPr>
        <w:t>完成预算</w:t>
      </w:r>
      <w:r>
        <w:rPr>
          <w:rStyle w:val="14"/>
          <w:rFonts w:hint="eastAsia" w:ascii="仿宋" w:hAnsi="仿宋" w:eastAsia="仿宋" w:cs="仿宋"/>
          <w:b w:val="0"/>
          <w:bCs/>
          <w:color w:val="auto"/>
          <w:sz w:val="32"/>
          <w:szCs w:val="32"/>
          <w:highlight w:val="none"/>
          <w:lang w:val="en-US" w:eastAsia="zh-CN"/>
        </w:rPr>
        <w:t>100</w:t>
      </w:r>
      <w:r>
        <w:rPr>
          <w:rStyle w:val="14"/>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eastAsia="zh-CN"/>
        </w:rPr>
        <w:t>数较</w:t>
      </w:r>
      <w:r>
        <w:rPr>
          <w:rFonts w:hint="eastAsia" w:ascii="仿宋" w:hAnsi="仿宋" w:eastAsia="仿宋" w:cs="仿宋"/>
          <w:color w:val="auto"/>
          <w:sz w:val="32"/>
          <w:szCs w:val="32"/>
          <w:highlight w:val="none"/>
          <w:lang w:val="en-US" w:eastAsia="zh-CN"/>
        </w:rPr>
        <w:t>2020年无变化</w:t>
      </w:r>
      <w:r>
        <w:rPr>
          <w:rFonts w:hint="eastAsia" w:ascii="仿宋" w:hAnsi="仿宋" w:eastAsia="仿宋" w:cs="仿宋"/>
          <w:color w:val="auto"/>
          <w:sz w:val="32"/>
          <w:szCs w:val="32"/>
          <w:highlight w:val="none"/>
          <w:lang w:eastAsia="zh-CN"/>
        </w:rPr>
        <w:t>。</w:t>
      </w:r>
    </w:p>
    <w:p>
      <w:pPr>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highlight w:val="none"/>
        </w:rPr>
        <w:t>国内公务接待支出</w:t>
      </w:r>
      <w:r>
        <w:rPr>
          <w:rFonts w:hint="eastAsia" w:ascii="仿宋" w:hAnsi="仿宋" w:eastAsia="仿宋" w:cs="仿宋"/>
          <w:b w:val="0"/>
          <w:bCs/>
          <w:color w:val="auto"/>
          <w:sz w:val="32"/>
          <w:szCs w:val="32"/>
          <w:highlight w:val="none"/>
          <w:lang w:val="en-US" w:eastAsia="zh-CN"/>
        </w:rPr>
        <w:t>0.5</w:t>
      </w:r>
      <w:r>
        <w:rPr>
          <w:rFonts w:hint="eastAsia" w:ascii="仿宋" w:hAnsi="仿宋" w:eastAsia="仿宋" w:cs="仿宋"/>
          <w:color w:val="auto"/>
          <w:sz w:val="32"/>
          <w:szCs w:val="32"/>
          <w:highlight w:val="none"/>
        </w:rPr>
        <w:t>万元，主要用于执行公务、开展业务活动开支的交通费、住宿费、用餐费等。国内公务接待</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48</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rPr>
        <w:t>一是开展</w:t>
      </w:r>
      <w:r>
        <w:rPr>
          <w:rFonts w:hint="eastAsia" w:ascii="仿宋" w:hAnsi="仿宋" w:eastAsia="仿宋" w:cs="仿宋"/>
          <w:color w:val="auto"/>
          <w:sz w:val="32"/>
          <w:szCs w:val="32"/>
          <w:lang w:eastAsia="zh-CN"/>
        </w:rPr>
        <w:t>康复</w:t>
      </w:r>
      <w:r>
        <w:rPr>
          <w:rFonts w:hint="eastAsia" w:ascii="仿宋" w:hAnsi="仿宋" w:eastAsia="仿宋" w:cs="仿宋"/>
          <w:color w:val="auto"/>
          <w:sz w:val="32"/>
          <w:szCs w:val="32"/>
        </w:rPr>
        <w:t>项目活动接待</w:t>
      </w:r>
      <w:r>
        <w:rPr>
          <w:rFonts w:hint="eastAsia" w:ascii="仿宋" w:hAnsi="仿宋" w:eastAsia="仿宋" w:cs="仿宋"/>
          <w:color w:val="auto"/>
          <w:sz w:val="32"/>
          <w:szCs w:val="32"/>
          <w:lang w:val="en-US" w:eastAsia="zh-CN"/>
        </w:rPr>
        <w:t>0.14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二是省市县工作接待费</w:t>
      </w:r>
      <w:r>
        <w:rPr>
          <w:rFonts w:hint="eastAsia" w:ascii="仿宋" w:hAnsi="仿宋" w:eastAsia="仿宋" w:cs="仿宋"/>
          <w:color w:val="auto"/>
          <w:sz w:val="32"/>
          <w:szCs w:val="32"/>
          <w:lang w:val="en-US" w:eastAsia="zh-CN"/>
        </w:rPr>
        <w:t>0.36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主要用于</w:t>
      </w:r>
      <w:r>
        <w:rPr>
          <w:rFonts w:hint="eastAsia" w:ascii="仿宋" w:hAnsi="仿宋" w:eastAsia="仿宋" w:cs="仿宋"/>
          <w:color w:val="auto"/>
          <w:sz w:val="32"/>
          <w:szCs w:val="32"/>
          <w:lang w:eastAsia="zh-CN"/>
        </w:rPr>
        <w:t>康复项目</w:t>
      </w:r>
      <w:r>
        <w:rPr>
          <w:rFonts w:hint="eastAsia" w:ascii="仿宋" w:hAnsi="仿宋" w:eastAsia="仿宋" w:cs="仿宋"/>
          <w:color w:val="auto"/>
          <w:sz w:val="32"/>
          <w:szCs w:val="32"/>
        </w:rPr>
        <w:t>及有关单位来广调研、指导、</w:t>
      </w:r>
      <w:r>
        <w:rPr>
          <w:rFonts w:hint="eastAsia" w:ascii="仿宋" w:hAnsi="仿宋" w:eastAsia="仿宋" w:cs="仿宋"/>
          <w:color w:val="auto"/>
          <w:sz w:val="32"/>
          <w:szCs w:val="32"/>
          <w:lang w:eastAsia="zh-CN"/>
        </w:rPr>
        <w:t>考察</w:t>
      </w:r>
      <w:r>
        <w:rPr>
          <w:rFonts w:hint="eastAsia" w:ascii="仿宋" w:hAnsi="仿宋" w:eastAsia="仿宋" w:cs="仿宋"/>
          <w:color w:val="auto"/>
          <w:sz w:val="32"/>
          <w:szCs w:val="32"/>
        </w:rPr>
        <w:t>、学习交流所发生的接待支出。</w:t>
      </w:r>
      <w:bookmarkStart w:id="122" w:name="_Toc15377218"/>
      <w:bookmarkStart w:id="123" w:name="_Toc15396610"/>
    </w:p>
    <w:p>
      <w:pPr>
        <w:spacing w:line="600" w:lineRule="exact"/>
        <w:ind w:firstLine="643" w:firstLineChars="200"/>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w:t>
      </w:r>
    </w:p>
    <w:p>
      <w:pPr>
        <w:spacing w:line="600" w:lineRule="exact"/>
        <w:ind w:firstLine="640"/>
        <w:outlineLvl w:val="1"/>
        <w:rPr>
          <w:rStyle w:val="25"/>
          <w:rFonts w:ascii="黑体" w:hAnsi="黑体" w:eastAsia="黑体"/>
          <w:color w:val="auto"/>
          <w:highlight w:val="none"/>
        </w:rPr>
      </w:pPr>
      <w:bookmarkStart w:id="124" w:name="_Toc16701"/>
      <w:bookmarkStart w:id="125" w:name="_Toc6644"/>
      <w:bookmarkStart w:id="126" w:name="_Toc12122"/>
      <w:bookmarkStart w:id="127" w:name="_Toc28194"/>
      <w:bookmarkStart w:id="128" w:name="_Toc9895"/>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122"/>
      <w:bookmarkEnd w:id="123"/>
      <w:bookmarkEnd w:id="124"/>
      <w:bookmarkEnd w:id="125"/>
      <w:bookmarkEnd w:id="126"/>
      <w:bookmarkEnd w:id="127"/>
      <w:bookmarkEnd w:id="128"/>
    </w:p>
    <w:p>
      <w:pPr>
        <w:spacing w:line="600" w:lineRule="exact"/>
        <w:ind w:firstLine="640"/>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897.13</w:t>
      </w:r>
      <w:r>
        <w:rPr>
          <w:rFonts w:hint="eastAsia" w:ascii="仿宋" w:hAnsi="仿宋" w:eastAsia="仿宋" w:cs="仿宋"/>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129" w:name="_Toc15396611"/>
      <w:bookmarkStart w:id="130" w:name="_Toc2110"/>
      <w:bookmarkStart w:id="131" w:name="_Toc16279"/>
      <w:bookmarkStart w:id="132" w:name="_Toc15377219"/>
      <w:bookmarkStart w:id="133" w:name="_Toc10657"/>
      <w:bookmarkStart w:id="134" w:name="_Toc95"/>
      <w:bookmarkStart w:id="135" w:name="_Toc6562"/>
      <w:r>
        <w:rPr>
          <w:rStyle w:val="25"/>
          <w:rFonts w:hint="eastAsia" w:ascii="黑体" w:hAnsi="黑体" w:eastAsia="黑体"/>
          <w:b w:val="0"/>
          <w:color w:val="auto"/>
          <w:highlight w:val="none"/>
        </w:rPr>
        <w:t>国有资本经营预算支出决算情况说明</w:t>
      </w:r>
      <w:bookmarkEnd w:id="129"/>
      <w:bookmarkEnd w:id="130"/>
      <w:bookmarkEnd w:id="131"/>
      <w:bookmarkEnd w:id="132"/>
      <w:bookmarkEnd w:id="133"/>
      <w:bookmarkEnd w:id="134"/>
      <w:bookmarkEnd w:id="135"/>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pStyle w:val="2"/>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136" w:name="_Toc29671"/>
      <w:bookmarkStart w:id="137" w:name="_Toc1472"/>
      <w:bookmarkStart w:id="138" w:name="_Toc3640"/>
      <w:bookmarkStart w:id="139" w:name="_Toc12443"/>
      <w:bookmarkStart w:id="140" w:name="_Toc8971"/>
      <w:bookmarkStart w:id="141" w:name="_Toc15377221"/>
      <w:bookmarkStart w:id="142" w:name="_Toc15396612"/>
      <w:r>
        <w:rPr>
          <w:rStyle w:val="25"/>
          <w:rFonts w:hint="eastAsia" w:ascii="黑体" w:hAnsi="黑体" w:eastAsia="黑体"/>
          <w:b w:val="0"/>
          <w:color w:val="auto"/>
          <w:highlight w:val="none"/>
          <w:lang w:val="en-US" w:eastAsia="zh-CN"/>
        </w:rPr>
        <w:t>预算绩效管理情况</w:t>
      </w:r>
      <w:bookmarkEnd w:id="136"/>
      <w:bookmarkEnd w:id="137"/>
      <w:bookmarkEnd w:id="138"/>
      <w:bookmarkEnd w:id="139"/>
      <w:bookmarkEnd w:id="140"/>
    </w:p>
    <w:p>
      <w:pPr>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根据预算绩效管理要求，本单位在</w:t>
      </w:r>
      <w:r>
        <w:rPr>
          <w:rFonts w:hint="eastAsia" w:ascii="仿宋" w:hAnsi="仿宋" w:eastAsia="仿宋" w:cs="仿宋"/>
          <w:color w:val="auto"/>
          <w:sz w:val="32"/>
          <w:szCs w:val="32"/>
          <w:highlight w:val="none"/>
          <w:lang w:val="en-US" w:eastAsia="zh-CN"/>
        </w:rPr>
        <w:t>2021年度</w:t>
      </w:r>
      <w:r>
        <w:rPr>
          <w:rFonts w:hint="eastAsia" w:ascii="仿宋" w:hAnsi="仿宋" w:eastAsia="仿宋" w:cs="仿宋"/>
          <w:color w:val="auto"/>
          <w:sz w:val="32"/>
          <w:szCs w:val="32"/>
          <w:highlight w:val="none"/>
        </w:rPr>
        <w:t>预算编制阶段，组织对</w:t>
      </w:r>
      <w:r>
        <w:rPr>
          <w:rFonts w:hint="eastAsia" w:ascii="仿宋" w:hAnsi="仿宋" w:eastAsia="仿宋" w:cs="仿宋"/>
          <w:color w:val="auto"/>
          <w:sz w:val="32"/>
          <w:szCs w:val="32"/>
          <w:highlight w:val="none"/>
          <w:lang w:eastAsia="zh-CN"/>
        </w:rPr>
        <w:t>代养老人费用</w:t>
      </w:r>
      <w:r>
        <w:rPr>
          <w:rFonts w:hint="eastAsia" w:ascii="仿宋" w:hAnsi="仿宋" w:eastAsia="仿宋" w:cs="仿宋"/>
          <w:color w:val="auto"/>
          <w:sz w:val="32"/>
          <w:szCs w:val="32"/>
          <w:highlight w:val="none"/>
          <w:lang w:val="en-US" w:eastAsia="zh-CN"/>
        </w:rPr>
        <w:t>1个项目</w:t>
      </w:r>
      <w:r>
        <w:rPr>
          <w:rFonts w:hint="eastAsia" w:ascii="仿宋" w:hAnsi="仿宋" w:eastAsia="仿宋" w:cs="仿宋"/>
          <w:color w:val="auto"/>
          <w:sz w:val="32"/>
          <w:szCs w:val="32"/>
          <w:highlight w:val="none"/>
        </w:rPr>
        <w:t>开展了预算事前绩效评估，对</w:t>
      </w:r>
      <w:r>
        <w:rPr>
          <w:rFonts w:hint="eastAsia" w:ascii="仿宋" w:hAnsi="仿宋" w:eastAsia="仿宋" w:cs="仿宋"/>
          <w:color w:val="auto"/>
          <w:sz w:val="32"/>
          <w:szCs w:val="32"/>
          <w:highlight w:val="none"/>
          <w:lang w:val="en-US" w:eastAsia="zh-CN"/>
        </w:rPr>
        <w:t>1个</w:t>
      </w:r>
      <w:r>
        <w:rPr>
          <w:rFonts w:hint="eastAsia" w:ascii="仿宋" w:hAnsi="仿宋" w:eastAsia="仿宋" w:cs="仿宋"/>
          <w:color w:val="auto"/>
          <w:sz w:val="32"/>
          <w:szCs w:val="32"/>
          <w:highlight w:val="none"/>
        </w:rPr>
        <w:t>项目编制了绩效目标，预算执行过程中，选取</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个项目开展绩效监控，年终执行完毕后，对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个项目开展了绩效自评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2021年部门预算项目绩效目标自评表见附件（第四部分）</w:t>
      </w:r>
      <w:r>
        <w:rPr>
          <w:rFonts w:hint="eastAsia" w:ascii="仿宋" w:hAnsi="仿宋" w:eastAsia="仿宋" w:cs="仿宋"/>
          <w:color w:val="auto"/>
          <w:sz w:val="32"/>
          <w:szCs w:val="32"/>
          <w:highlight w:val="none"/>
        </w:rPr>
        <w:t>。</w:t>
      </w:r>
    </w:p>
    <w:p>
      <w:pPr>
        <w:pStyle w:val="2"/>
        <w:rPr>
          <w:rFonts w:hint="eastAsia"/>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143" w:name="_Toc31953"/>
      <w:bookmarkStart w:id="144" w:name="_Toc5964"/>
      <w:bookmarkStart w:id="145" w:name="_Toc990"/>
      <w:bookmarkStart w:id="146" w:name="_Toc2369"/>
      <w:bookmarkStart w:id="147" w:name="_Toc9011"/>
      <w:r>
        <w:rPr>
          <w:rStyle w:val="25"/>
          <w:rFonts w:hint="eastAsia" w:ascii="黑体" w:hAnsi="黑体" w:eastAsia="黑体"/>
          <w:b w:val="0"/>
          <w:color w:val="auto"/>
          <w:highlight w:val="none"/>
        </w:rPr>
        <w:t>其他重要事项的情况说明</w:t>
      </w:r>
      <w:bookmarkEnd w:id="141"/>
      <w:bookmarkEnd w:id="142"/>
      <w:bookmarkEnd w:id="143"/>
      <w:bookmarkEnd w:id="144"/>
      <w:bookmarkEnd w:id="145"/>
      <w:bookmarkEnd w:id="146"/>
      <w:bookmarkEnd w:id="147"/>
    </w:p>
    <w:p>
      <w:pPr>
        <w:spacing w:line="600" w:lineRule="exact"/>
        <w:ind w:firstLine="643" w:firstLineChars="200"/>
        <w:outlineLvl w:val="2"/>
        <w:rPr>
          <w:rFonts w:ascii="仿宋" w:hAnsi="仿宋" w:eastAsia="仿宋"/>
          <w:color w:val="auto"/>
          <w:sz w:val="32"/>
          <w:szCs w:val="32"/>
          <w:highlight w:val="none"/>
        </w:rPr>
      </w:pPr>
      <w:bookmarkStart w:id="148" w:name="_Toc15377222"/>
      <w:r>
        <w:rPr>
          <w:rFonts w:hint="eastAsia" w:ascii="仿宋" w:hAnsi="仿宋" w:eastAsia="仿宋"/>
          <w:b/>
          <w:color w:val="auto"/>
          <w:sz w:val="32"/>
          <w:szCs w:val="32"/>
          <w:highlight w:val="none"/>
        </w:rPr>
        <w:t>（一）机关运行经费支出情况</w:t>
      </w:r>
      <w:bookmarkEnd w:id="148"/>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49" w:name="_Toc15377223"/>
      <w:r>
        <w:rPr>
          <w:rFonts w:hint="eastAsia" w:ascii="仿宋" w:hAnsi="仿宋" w:eastAsia="仿宋"/>
          <w:b/>
          <w:color w:val="auto"/>
          <w:sz w:val="32"/>
          <w:szCs w:val="32"/>
          <w:highlight w:val="none"/>
        </w:rPr>
        <w:t>（二）政府采购支出情况</w:t>
      </w:r>
      <w:bookmarkEnd w:id="149"/>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广元市社会福利院</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52.45</w:t>
      </w:r>
      <w:r>
        <w:rPr>
          <w:rFonts w:hint="eastAsia" w:ascii="仿宋" w:hAnsi="仿宋" w:eastAsia="仿宋" w:cs="仿宋"/>
          <w:color w:val="auto"/>
          <w:sz w:val="32"/>
          <w:szCs w:val="32"/>
          <w:highlight w:val="none"/>
        </w:rPr>
        <w:t>万元，其中：政府采购工程支出</w:t>
      </w:r>
      <w:r>
        <w:rPr>
          <w:rFonts w:hint="eastAsia" w:ascii="仿宋" w:hAnsi="仿宋" w:eastAsia="仿宋" w:cs="仿宋"/>
          <w:color w:val="auto"/>
          <w:sz w:val="32"/>
          <w:szCs w:val="32"/>
          <w:highlight w:val="none"/>
          <w:lang w:val="en-US" w:eastAsia="zh-CN"/>
        </w:rPr>
        <w:t>52.45</w:t>
      </w:r>
      <w:r>
        <w:rPr>
          <w:rFonts w:hint="eastAsia" w:ascii="仿宋" w:hAnsi="仿宋" w:eastAsia="仿宋" w:cs="仿宋"/>
          <w:color w:val="auto"/>
          <w:sz w:val="32"/>
          <w:szCs w:val="32"/>
          <w:highlight w:val="none"/>
        </w:rPr>
        <w:t>万元。主要</w:t>
      </w:r>
      <w:r>
        <w:rPr>
          <w:rFonts w:hint="eastAsia" w:ascii="仿宋" w:hAnsi="仿宋" w:eastAsia="仿宋" w:cs="仿宋"/>
          <w:color w:val="auto"/>
          <w:sz w:val="32"/>
          <w:szCs w:val="32"/>
          <w:highlight w:val="none"/>
          <w:lang w:eastAsia="zh-CN"/>
        </w:rPr>
        <w:t>用于适老化改造项目</w:t>
      </w:r>
      <w:r>
        <w:rPr>
          <w:rFonts w:hint="eastAsia" w:ascii="仿宋" w:hAnsi="仿宋" w:eastAsia="仿宋" w:cs="仿宋"/>
          <w:color w:val="auto"/>
          <w:sz w:val="32"/>
          <w:szCs w:val="32"/>
          <w:highlight w:val="none"/>
        </w:rPr>
        <w:t>。授予中小企业合同金额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50" w:name="_Toc15377224"/>
      <w:r>
        <w:rPr>
          <w:rFonts w:hint="eastAsia" w:ascii="仿宋" w:hAnsi="仿宋" w:eastAsia="仿宋"/>
          <w:b/>
          <w:color w:val="auto"/>
          <w:sz w:val="32"/>
          <w:szCs w:val="32"/>
          <w:highlight w:val="none"/>
        </w:rPr>
        <w:t>（三）国有资产占有使用情况</w:t>
      </w:r>
      <w:bookmarkEnd w:id="150"/>
    </w:p>
    <w:p>
      <w:pPr>
        <w:autoSpaceDE w:val="0"/>
        <w:autoSpaceDN w:val="0"/>
        <w:adjustRightInd w:val="0"/>
        <w:spacing w:line="600" w:lineRule="exact"/>
        <w:ind w:firstLine="640" w:firstLineChars="200"/>
        <w:jc w:val="left"/>
        <w:rPr>
          <w:highlight w:val="yellow"/>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广元市社会福利院</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辆，其中：</w:t>
      </w:r>
      <w:r>
        <w:rPr>
          <w:rFonts w:hint="eastAsia" w:ascii="仿宋" w:hAnsi="仿宋" w:eastAsia="仿宋" w:cs="仿宋"/>
          <w:color w:val="auto"/>
          <w:sz w:val="32"/>
          <w:szCs w:val="32"/>
          <w:highlight w:val="none"/>
          <w:lang w:eastAsia="zh-CN"/>
        </w:rPr>
        <w:t>其他用车</w:t>
      </w:r>
      <w:r>
        <w:rPr>
          <w:rFonts w:hint="eastAsia" w:ascii="仿宋" w:hAnsi="仿宋" w:eastAsia="仿宋" w:cs="仿宋"/>
          <w:color w:val="auto"/>
          <w:sz w:val="32"/>
          <w:szCs w:val="32"/>
          <w:highlight w:val="none"/>
          <w:lang w:val="en-US" w:eastAsia="zh-CN"/>
        </w:rPr>
        <w:t>3辆，</w:t>
      </w:r>
      <w:r>
        <w:rPr>
          <w:rFonts w:hint="eastAsia" w:ascii="仿宋" w:hAnsi="仿宋" w:eastAsia="仿宋" w:cs="仿宋"/>
          <w:color w:val="auto"/>
          <w:sz w:val="32"/>
          <w:szCs w:val="32"/>
        </w:rPr>
        <w:t>其他用车主要是用于</w:t>
      </w:r>
      <w:r>
        <w:rPr>
          <w:rFonts w:hint="eastAsia" w:ascii="仿宋" w:hAnsi="仿宋" w:eastAsia="仿宋" w:cs="仿宋"/>
          <w:color w:val="auto"/>
          <w:sz w:val="32"/>
          <w:szCs w:val="32"/>
          <w:lang w:eastAsia="zh-CN"/>
        </w:rPr>
        <w:t>院内儿童老人外出上学就医、寄养家庭回访、下乡帮扶、走访困难计生家庭</w:t>
      </w:r>
      <w:r>
        <w:rPr>
          <w:rFonts w:hint="eastAsia" w:ascii="仿宋" w:hAnsi="仿宋" w:eastAsia="仿宋" w:cs="仿宋"/>
          <w:color w:val="auto"/>
          <w:sz w:val="32"/>
          <w:szCs w:val="32"/>
        </w:rPr>
        <w:t>等。单价50万元以上通用设备</w:t>
      </w:r>
      <w:r>
        <w:rPr>
          <w:rFonts w:hint="eastAsia" w:ascii="仿宋" w:hAnsi="仿宋" w:eastAsia="仿宋" w:cs="仿宋"/>
          <w:color w:val="auto"/>
          <w:sz w:val="32"/>
          <w:szCs w:val="32"/>
          <w:lang w:val="en-US" w:eastAsia="zh-CN"/>
        </w:rPr>
        <w:t>0台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单价100万元以上专用设备</w:t>
      </w:r>
      <w:r>
        <w:rPr>
          <w:rFonts w:hint="eastAsia" w:ascii="仿宋" w:hAnsi="仿宋" w:eastAsia="仿宋" w:cs="仿宋"/>
          <w:color w:val="auto"/>
          <w:sz w:val="32"/>
          <w:szCs w:val="32"/>
          <w:lang w:val="en-US" w:eastAsia="zh-CN"/>
        </w:rPr>
        <w:t>0台</w:t>
      </w:r>
      <w:r>
        <w:rPr>
          <w:rFonts w:hint="eastAsia" w:ascii="仿宋" w:hAnsi="仿宋" w:eastAsia="仿宋" w:cs="仿宋"/>
          <w:color w:val="auto"/>
          <w:sz w:val="32"/>
          <w:szCs w:val="32"/>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151" w:name="_Toc15377225"/>
      <w:bookmarkStart w:id="152" w:name="_Toc5296"/>
      <w:bookmarkStart w:id="153" w:name="_Toc23264"/>
      <w:bookmarkStart w:id="154" w:name="_Toc15396613"/>
      <w:bookmarkStart w:id="155" w:name="_Toc8085"/>
      <w:bookmarkStart w:id="156" w:name="_Toc10414"/>
      <w:bookmarkStart w:id="157" w:name="_Toc17221"/>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151"/>
      <w:bookmarkEnd w:id="152"/>
      <w:bookmarkEnd w:id="153"/>
      <w:bookmarkEnd w:id="154"/>
      <w:bookmarkEnd w:id="155"/>
      <w:bookmarkEnd w:id="156"/>
      <w:bookmarkEnd w:id="157"/>
    </w:p>
    <w:p>
      <w:pPr>
        <w:spacing w:line="600" w:lineRule="exact"/>
        <w:jc w:val="left"/>
        <w:rPr>
          <w:rFonts w:ascii="宋体"/>
          <w:b/>
          <w:color w:val="auto"/>
          <w:sz w:val="44"/>
          <w:szCs w:val="44"/>
          <w:highlight w:val="none"/>
        </w:rPr>
      </w:pPr>
    </w:p>
    <w:p>
      <w:pPr>
        <w:pStyle w:val="22"/>
        <w:numPr>
          <w:ilvl w:val="0"/>
          <w:numId w:val="0"/>
        </w:numPr>
        <w:spacing w:line="560" w:lineRule="exact"/>
        <w:ind w:firstLine="640" w:firstLineChars="200"/>
        <w:outlineLvl w:val="1"/>
        <w:rPr>
          <w:rFonts w:hint="eastAsia" w:ascii="仿宋" w:hAnsi="仿宋" w:eastAsia="仿宋" w:cs="仿宋"/>
          <w:color w:val="auto"/>
          <w:sz w:val="32"/>
          <w:szCs w:val="32"/>
          <w:highlight w:val="none"/>
        </w:rPr>
      </w:pPr>
      <w:bookmarkStart w:id="158" w:name="_Toc9262"/>
      <w:bookmarkStart w:id="159" w:name="_Toc2218"/>
      <w:bookmarkStart w:id="160" w:name="_Toc24998"/>
      <w:bookmarkStart w:id="161" w:name="_Toc24056"/>
      <w:bookmarkStart w:id="162" w:name="_Toc24670"/>
      <w:r>
        <w:rPr>
          <w:rFonts w:hint="eastAsia" w:hAnsi="仿宋" w:cs="仿宋"/>
          <w:color w:val="auto"/>
          <w:sz w:val="32"/>
          <w:szCs w:val="32"/>
          <w:highlight w:val="none"/>
          <w:lang w:val="en-US" w:eastAsia="zh-CN"/>
        </w:rPr>
        <w:t>1.</w:t>
      </w:r>
      <w:r>
        <w:rPr>
          <w:rFonts w:hint="eastAsia" w:ascii="仿宋" w:hAnsi="仿宋" w:eastAsia="仿宋" w:cs="仿宋"/>
          <w:color w:val="auto"/>
          <w:sz w:val="32"/>
          <w:szCs w:val="32"/>
          <w:highlight w:val="none"/>
        </w:rPr>
        <w:t>财政拨款收入：指单位从同级财政部门取得的财政预算资金。</w:t>
      </w:r>
      <w:bookmarkEnd w:id="158"/>
      <w:bookmarkEnd w:id="159"/>
      <w:bookmarkEnd w:id="160"/>
      <w:bookmarkEnd w:id="161"/>
      <w:bookmarkEnd w:id="162"/>
    </w:p>
    <w:p>
      <w:pPr>
        <w:pStyle w:val="22"/>
        <w:numPr>
          <w:ilvl w:val="0"/>
          <w:numId w:val="0"/>
        </w:numPr>
        <w:spacing w:line="560" w:lineRule="exact"/>
        <w:ind w:firstLine="640" w:firstLineChars="200"/>
        <w:outlineLvl w:val="1"/>
        <w:rPr>
          <w:rFonts w:hint="eastAsia" w:ascii="仿宋" w:hAnsi="仿宋" w:eastAsia="仿宋" w:cs="仿宋"/>
          <w:color w:val="auto"/>
          <w:sz w:val="32"/>
          <w:szCs w:val="32"/>
          <w:highlight w:val="none"/>
        </w:rPr>
      </w:pPr>
      <w:bookmarkStart w:id="163" w:name="_Toc5210"/>
      <w:bookmarkStart w:id="164" w:name="_Toc13398"/>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政府性基金预算财政拨款：应当遵循“扶老、助残、救孤、济困”，老年</w:t>
      </w:r>
      <w:r>
        <w:rPr>
          <w:rFonts w:hint="eastAsia" w:ascii="仿宋" w:hAnsi="仿宋" w:eastAsia="仿宋" w:cs="仿宋"/>
          <w:sz w:val="32"/>
          <w:szCs w:val="32"/>
          <w:lang w:val="en-US" w:eastAsia="zh-CN"/>
        </w:rPr>
        <w:t>人</w:t>
      </w:r>
      <w:r>
        <w:rPr>
          <w:rFonts w:hint="eastAsia" w:ascii="仿宋" w:hAnsi="仿宋" w:eastAsia="仿宋" w:cs="仿宋"/>
          <w:sz w:val="32"/>
          <w:szCs w:val="32"/>
          <w:lang w:eastAsia="zh-CN"/>
        </w:rPr>
        <w:t>福利类项目、儿童福利类项目、社会公益类项目。</w:t>
      </w:r>
      <w:bookmarkEnd w:id="163"/>
      <w:bookmarkEnd w:id="164"/>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3</w:t>
      </w:r>
      <w:r>
        <w:rPr>
          <w:rFonts w:hint="eastAsia" w:ascii="仿宋" w:hAnsi="仿宋" w:eastAsia="仿宋" w:cs="仿宋"/>
          <w:sz w:val="32"/>
          <w:szCs w:val="32"/>
        </w:rPr>
        <w:t>.年初结转和结余：指以前年度尚未完成、结转到本年按有关规定继续使用的资金。</w:t>
      </w:r>
    </w:p>
    <w:p>
      <w:pPr>
        <w:pStyle w:val="22"/>
        <w:spacing w:line="560" w:lineRule="exact"/>
        <w:ind w:firstLine="640" w:firstLineChars="200"/>
        <w:rPr>
          <w:rFonts w:hint="eastAsia" w:ascii="仿宋" w:hAnsi="仿宋" w:eastAsia="仿宋" w:cs="仿宋"/>
          <w:sz w:val="32"/>
          <w:szCs w:val="32"/>
          <w:highlight w:val="red"/>
        </w:rPr>
      </w:pPr>
      <w:r>
        <w:rPr>
          <w:rFonts w:hint="eastAsia" w:hAnsi="仿宋" w:cs="仿宋"/>
          <w:sz w:val="32"/>
          <w:szCs w:val="32"/>
          <w:highlight w:val="none"/>
          <w:lang w:val="en-US" w:eastAsia="zh-CN"/>
        </w:rPr>
        <w:t>4.年末结转和结余：</w:t>
      </w:r>
      <w:r>
        <w:rPr>
          <w:rFonts w:hint="eastAsia" w:ascii="仿宋_GB2312" w:eastAsia="仿宋_GB2312"/>
          <w:sz w:val="32"/>
          <w:szCs w:val="32"/>
          <w:highlight w:val="none"/>
        </w:rPr>
        <w:t>指本年度或以前年度预算安排、因</w:t>
      </w:r>
      <w:r>
        <w:rPr>
          <w:rFonts w:hint="eastAsia" w:ascii="仿宋_GB2312" w:eastAsia="仿宋_GB2312"/>
          <w:sz w:val="32"/>
          <w:szCs w:val="32"/>
        </w:rPr>
        <w:t>客观条件发生变化无法按原计划实施，需延迟到以后年度按有关规定继续使用的资金。</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eastAsia="zh-CN"/>
        </w:rPr>
        <w:t>机关事业单位基本养老保险缴费支出</w:t>
      </w:r>
      <w:r>
        <w:rPr>
          <w:rFonts w:hint="eastAsia" w:ascii="仿宋" w:hAnsi="仿宋" w:eastAsia="仿宋" w:cs="仿宋"/>
          <w:sz w:val="32"/>
          <w:szCs w:val="32"/>
        </w:rPr>
        <w:t>（项）</w:t>
      </w:r>
      <w:r>
        <w:rPr>
          <w:rFonts w:hint="eastAsia" w:hAnsi="仿宋" w:cs="仿宋"/>
          <w:sz w:val="32"/>
          <w:szCs w:val="32"/>
          <w:lang w:eastAsia="zh-CN"/>
        </w:rPr>
        <w:t>：</w:t>
      </w:r>
      <w:r>
        <w:rPr>
          <w:rFonts w:hint="eastAsia" w:ascii="仿宋" w:hAnsi="仿宋" w:eastAsia="仿宋" w:cs="仿宋"/>
          <w:sz w:val="32"/>
          <w:szCs w:val="32"/>
        </w:rPr>
        <w:t>反映</w:t>
      </w:r>
      <w:r>
        <w:rPr>
          <w:rFonts w:hint="eastAsia" w:ascii="仿宋" w:hAnsi="仿宋" w:eastAsia="仿宋" w:cs="仿宋"/>
          <w:sz w:val="32"/>
          <w:szCs w:val="32"/>
          <w:lang w:eastAsia="zh-CN"/>
        </w:rPr>
        <w:t>机关事业单位实施养老保险制度由单位缴纳基本养老保险费支出</w:t>
      </w:r>
      <w:r>
        <w:rPr>
          <w:rFonts w:hint="eastAsia" w:ascii="仿宋" w:hAnsi="仿宋" w:eastAsia="仿宋" w:cs="仿宋"/>
          <w:sz w:val="32"/>
          <w:szCs w:val="32"/>
        </w:rPr>
        <w:t>。</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6.</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社会福利（款）</w:t>
      </w:r>
      <w:r>
        <w:rPr>
          <w:rFonts w:hint="eastAsia" w:ascii="仿宋" w:hAnsi="仿宋" w:eastAsia="仿宋" w:cs="仿宋"/>
          <w:sz w:val="32"/>
          <w:szCs w:val="32"/>
        </w:rPr>
        <w:t>儿童福利（</w:t>
      </w:r>
      <w:r>
        <w:rPr>
          <w:rFonts w:hint="eastAsia" w:hAnsi="仿宋" w:cs="仿宋"/>
          <w:sz w:val="32"/>
          <w:szCs w:val="32"/>
          <w:lang w:eastAsia="zh-CN"/>
        </w:rPr>
        <w:t>项</w:t>
      </w:r>
      <w:r>
        <w:rPr>
          <w:rFonts w:hint="eastAsia" w:ascii="仿宋" w:hAnsi="仿宋" w:eastAsia="仿宋" w:cs="仿宋"/>
          <w:sz w:val="32"/>
          <w:szCs w:val="32"/>
        </w:rPr>
        <w:t>）反映对儿童提供福利服务方面的支出。</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7.</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社会福利（款）社会福利事业单位（项）是反映民政部门举办的社会福利事业单位的支出，以及对集体社会福利事业单位的补助费。</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8.</w:t>
      </w:r>
      <w:r>
        <w:rPr>
          <w:rFonts w:hint="eastAsia" w:ascii="仿宋" w:hAnsi="仿宋" w:eastAsia="仿宋" w:cs="仿宋"/>
          <w:sz w:val="32"/>
          <w:szCs w:val="32"/>
          <w:lang w:eastAsia="zh-CN"/>
        </w:rPr>
        <w:t>社会福利（款）养老服务（项）是反映财政在养老服务方面的补助支出，包括支持居家养老服务、社区养老服务和机构养老服务的支出，对养老服务机构的运营、建设补助支出等，不包括对社会福利事业单位的补助支出。</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9.</w:t>
      </w:r>
      <w:r>
        <w:rPr>
          <w:rFonts w:hint="eastAsia" w:ascii="仿宋" w:hAnsi="仿宋" w:eastAsia="仿宋" w:cs="仿宋"/>
          <w:sz w:val="32"/>
          <w:szCs w:val="32"/>
        </w:rPr>
        <w:t>社会保障和就业（类）其他社会</w:t>
      </w:r>
      <w:r>
        <w:rPr>
          <w:rFonts w:hint="eastAsia" w:ascii="仿宋" w:hAnsi="仿宋" w:eastAsia="仿宋" w:cs="仿宋"/>
          <w:sz w:val="32"/>
          <w:szCs w:val="32"/>
          <w:lang w:eastAsia="zh-CN"/>
        </w:rPr>
        <w:t>保障和就业</w:t>
      </w:r>
      <w:r>
        <w:rPr>
          <w:rFonts w:hint="eastAsia" w:ascii="仿宋" w:hAnsi="仿宋" w:eastAsia="仿宋" w:cs="仿宋"/>
          <w:sz w:val="32"/>
          <w:szCs w:val="32"/>
        </w:rPr>
        <w:t>支出（</w:t>
      </w:r>
      <w:r>
        <w:rPr>
          <w:rFonts w:hint="eastAsia" w:ascii="仿宋" w:hAnsi="仿宋" w:eastAsia="仿宋" w:cs="仿宋"/>
          <w:sz w:val="32"/>
          <w:szCs w:val="32"/>
          <w:lang w:eastAsia="zh-CN"/>
        </w:rPr>
        <w:t>款</w:t>
      </w:r>
      <w:r>
        <w:rPr>
          <w:rFonts w:hint="eastAsia" w:ascii="仿宋" w:hAnsi="仿宋" w:eastAsia="仿宋" w:cs="仿宋"/>
          <w:sz w:val="32"/>
          <w:szCs w:val="32"/>
        </w:rPr>
        <w:t>）其他社会</w:t>
      </w:r>
      <w:r>
        <w:rPr>
          <w:rFonts w:hint="eastAsia" w:ascii="仿宋" w:hAnsi="仿宋" w:eastAsia="仿宋" w:cs="仿宋"/>
          <w:sz w:val="32"/>
          <w:szCs w:val="32"/>
          <w:lang w:eastAsia="zh-CN"/>
        </w:rPr>
        <w:t>保障和就业</w:t>
      </w:r>
      <w:r>
        <w:rPr>
          <w:rFonts w:hint="eastAsia" w:ascii="仿宋" w:hAnsi="仿宋" w:eastAsia="仿宋" w:cs="仿宋"/>
          <w:sz w:val="32"/>
          <w:szCs w:val="32"/>
        </w:rPr>
        <w:t>支出</w:t>
      </w:r>
      <w:r>
        <w:rPr>
          <w:rFonts w:hint="eastAsia" w:ascii="仿宋" w:hAnsi="仿宋" w:eastAsia="仿宋" w:cs="仿宋"/>
          <w:sz w:val="32"/>
          <w:szCs w:val="32"/>
          <w:lang w:eastAsia="zh-CN"/>
        </w:rPr>
        <w:t>（项）是</w:t>
      </w:r>
      <w:r>
        <w:rPr>
          <w:rFonts w:hint="eastAsia" w:ascii="仿宋" w:hAnsi="仿宋" w:eastAsia="仿宋" w:cs="仿宋"/>
          <w:sz w:val="32"/>
          <w:szCs w:val="32"/>
        </w:rPr>
        <w:t>反映除上述项目以外其他用于社会</w:t>
      </w:r>
      <w:r>
        <w:rPr>
          <w:rFonts w:hint="eastAsia" w:ascii="仿宋" w:hAnsi="仿宋" w:eastAsia="仿宋" w:cs="仿宋"/>
          <w:sz w:val="32"/>
          <w:szCs w:val="32"/>
          <w:lang w:eastAsia="zh-CN"/>
        </w:rPr>
        <w:t>保障和就业</w:t>
      </w:r>
      <w:r>
        <w:rPr>
          <w:rFonts w:hint="eastAsia" w:ascii="仿宋" w:hAnsi="仿宋" w:eastAsia="仿宋" w:cs="仿宋"/>
          <w:sz w:val="32"/>
          <w:szCs w:val="32"/>
        </w:rPr>
        <w:t>方面的支出。</w:t>
      </w:r>
    </w:p>
    <w:p>
      <w:pPr>
        <w:pStyle w:val="22"/>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10</w:t>
      </w:r>
      <w:r>
        <w:rPr>
          <w:rFonts w:hint="eastAsia" w:ascii="仿宋" w:hAnsi="仿宋" w:eastAsia="仿宋" w:cs="仿宋"/>
          <w:sz w:val="32"/>
          <w:szCs w:val="32"/>
          <w:lang w:val="en-US" w:eastAsia="zh-CN"/>
        </w:rPr>
        <w:t>.卫生健康支出（类）行政事业单位医疗（款）事业单位医疗（项）反映财政部门安排的事业单位基本医疗保险缴费经费，未参加医疗保险的事业单位的公费医疗经费，按国家规定享受离退休人员待遇的医疗经费。</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11</w:t>
      </w:r>
      <w:r>
        <w:rPr>
          <w:rFonts w:hint="eastAsia" w:ascii="仿宋" w:hAnsi="仿宋" w:eastAsia="仿宋" w:cs="仿宋"/>
          <w:sz w:val="32"/>
          <w:szCs w:val="32"/>
          <w:lang w:val="en-US" w:eastAsia="zh-CN"/>
        </w:rPr>
        <w:t>.</w:t>
      </w:r>
      <w:r>
        <w:rPr>
          <w:rFonts w:hint="eastAsia" w:ascii="仿宋" w:hAnsi="仿宋" w:eastAsia="仿宋" w:cs="仿宋"/>
          <w:sz w:val="32"/>
          <w:szCs w:val="32"/>
        </w:rPr>
        <w:t>住房保障支出（类）集住房改革支出（款）反住房公积金（项）反映行政事业单位按人力资源和社会保障部、财政部规定的基本工资和津贴补贴以及规定比例为职工缴纳的住房公积金。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12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其他支出（类）彩票公益金安排的支出（款）用于社会福利的彩票公益金支出（项）反映用于社会福利和社会救助的彩票公益金支出。</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13.</w:t>
      </w:r>
      <w:r>
        <w:rPr>
          <w:rFonts w:hint="eastAsia" w:ascii="仿宋" w:hAnsi="仿宋" w:eastAsia="仿宋" w:cs="仿宋"/>
          <w:sz w:val="32"/>
          <w:szCs w:val="32"/>
          <w:lang w:eastAsia="zh-CN"/>
        </w:rPr>
        <w:t>其他支出（类）彩票公益金安排的支出（款用于城乡医疗救助的彩票公益金支出（项）反映用于城乡医疗救助的彩票公益金支出。</w:t>
      </w:r>
    </w:p>
    <w:p>
      <w:pPr>
        <w:pStyle w:val="22"/>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hAnsi="仿宋" w:cs="仿宋"/>
          <w:color w:val="auto"/>
          <w:sz w:val="32"/>
          <w:szCs w:val="32"/>
          <w:highlight w:val="none"/>
          <w:lang w:val="en-US" w:eastAsia="zh-CN"/>
        </w:rPr>
        <w:t>4</w:t>
      </w:r>
      <w:r>
        <w:rPr>
          <w:rFonts w:hint="eastAsia" w:ascii="仿宋" w:hAnsi="仿宋" w:eastAsia="仿宋" w:cs="仿宋"/>
          <w:color w:val="auto"/>
          <w:sz w:val="32"/>
          <w:szCs w:val="32"/>
          <w:highlight w:val="none"/>
        </w:rPr>
        <w:t>.基本支出：指为保障机构正常运转、完成日常工作任务而发生的人员支出和公用支出。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pPr>
        <w:pStyle w:val="22"/>
        <w:spacing w:line="560" w:lineRule="exact"/>
        <w:ind w:firstLine="640" w:firstLineChars="200"/>
        <w:rPr>
          <w:rFonts w:hint="eastAsia" w:ascii="仿宋" w:hAnsi="仿宋" w:eastAsia="仿宋" w:cs="仿宋"/>
          <w:color w:val="auto"/>
          <w:sz w:val="32"/>
          <w:szCs w:val="32"/>
          <w:highlight w:val="none"/>
        </w:rPr>
      </w:pPr>
      <w:r>
        <w:rPr>
          <w:rFonts w:hint="eastAsia" w:hAnsi="仿宋" w:cs="仿宋"/>
          <w:color w:val="auto"/>
          <w:sz w:val="32"/>
          <w:szCs w:val="32"/>
          <w:highlight w:val="none"/>
          <w:lang w:val="en-US" w:eastAsia="zh-CN"/>
        </w:rPr>
        <w:t>16</w:t>
      </w:r>
      <w:r>
        <w:rPr>
          <w:rFonts w:hint="eastAsia" w:ascii="仿宋" w:hAnsi="仿宋" w:eastAsia="仿宋" w:cs="仿宋"/>
          <w:color w:val="auto"/>
          <w:sz w:val="32"/>
          <w:szCs w:val="32"/>
          <w:highlight w:val="none"/>
        </w:rPr>
        <w:t>.“三公”经费：指</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165" w:name="_Toc15377226"/>
      <w:r>
        <w:rPr>
          <w:rFonts w:ascii="宋体"/>
          <w:b/>
          <w:color w:val="auto"/>
          <w:sz w:val="44"/>
          <w:szCs w:val="44"/>
          <w:highlight w:val="none"/>
        </w:rPr>
        <w:br w:type="page"/>
      </w:r>
      <w:bookmarkStart w:id="166" w:name="_Toc15396614"/>
      <w:bookmarkStart w:id="167" w:name="_Toc16300"/>
      <w:bookmarkStart w:id="168" w:name="_Toc22037"/>
      <w:bookmarkStart w:id="169" w:name="_Toc31301"/>
      <w:bookmarkStart w:id="170" w:name="_Toc31649"/>
      <w:bookmarkStart w:id="171" w:name="_Toc3349"/>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166"/>
      <w:bookmarkEnd w:id="167"/>
      <w:bookmarkEnd w:id="168"/>
      <w:bookmarkEnd w:id="169"/>
      <w:bookmarkEnd w:id="170"/>
      <w:bookmarkEnd w:id="171"/>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72" w:name="_Toc16122"/>
      <w:bookmarkStart w:id="173" w:name="_Toc16787"/>
      <w:r>
        <w:rPr>
          <w:rFonts w:hint="eastAsia" w:ascii="仿宋" w:hAnsi="仿宋" w:eastAsia="仿宋" w:cs="仿宋"/>
          <w:b/>
          <w:bCs/>
          <w:color w:val="auto"/>
          <w:kern w:val="2"/>
          <w:sz w:val="40"/>
          <w:szCs w:val="40"/>
          <w:highlight w:val="none"/>
          <w:lang w:val="en-US" w:eastAsia="zh-CN" w:bidi="ar-SA"/>
        </w:rPr>
        <w:t>2022年</w:t>
      </w:r>
      <w:r>
        <w:rPr>
          <w:rFonts w:hint="eastAsia" w:ascii="仿宋" w:hAnsi="仿宋" w:eastAsia="仿宋" w:cs="仿宋"/>
          <w:b/>
          <w:bCs/>
          <w:color w:val="auto"/>
          <w:kern w:val="2"/>
          <w:sz w:val="40"/>
          <w:szCs w:val="40"/>
          <w:highlight w:val="none"/>
          <w:lang w:val="zh-CN" w:eastAsia="zh-CN" w:bidi="ar-SA"/>
        </w:rPr>
        <w:t>专项预算项目支出绩效自评报告范本</w:t>
      </w:r>
      <w:bookmarkEnd w:id="172"/>
      <w:bookmarkEnd w:id="173"/>
    </w:p>
    <w:p>
      <w:pPr>
        <w:keepNext w:val="0"/>
        <w:keepLines w:val="0"/>
        <w:pageBreakBefore w:val="0"/>
        <w:widowControl w:val="0"/>
        <w:kinsoku/>
        <w:wordWrap/>
        <w:overflowPunct/>
        <w:topLinePunct w:val="0"/>
        <w:autoSpaceDE/>
        <w:autoSpaceDN/>
        <w:bidi w:val="0"/>
        <w:spacing w:line="600" w:lineRule="exact"/>
        <w:ind w:firstLine="883"/>
        <w:jc w:val="center"/>
        <w:textAlignment w:val="auto"/>
        <w:outlineLvl w:val="1"/>
        <w:rPr>
          <w:rFonts w:ascii="仿宋_GB2312" w:hAnsi="宋体" w:eastAsia="仿宋_GB2312" w:cs="Times New Roman"/>
          <w:color w:val="auto"/>
          <w:kern w:val="2"/>
          <w:sz w:val="32"/>
          <w:szCs w:val="32"/>
          <w:highlight w:val="none"/>
          <w:lang w:val="zh-CN" w:eastAsia="zh-CN" w:bidi="ar-SA"/>
        </w:rPr>
      </w:pPr>
      <w:bookmarkStart w:id="174" w:name="_Toc19"/>
      <w:bookmarkStart w:id="175" w:name="_Toc29147"/>
      <w:r>
        <w:rPr>
          <w:rFonts w:hint="eastAsia" w:ascii="仿宋_GB2312" w:hAnsi="宋体" w:eastAsia="仿宋_GB2312" w:cs="Times New Roman"/>
          <w:color w:val="auto"/>
          <w:kern w:val="2"/>
          <w:sz w:val="32"/>
          <w:szCs w:val="32"/>
          <w:highlight w:val="none"/>
          <w:lang w:val="zh-CN" w:eastAsia="zh-CN" w:bidi="ar-SA"/>
        </w:rPr>
        <w:t>（主管部门自评）</w:t>
      </w:r>
      <w:bookmarkEnd w:id="174"/>
      <w:bookmarkEnd w:id="175"/>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176" w:name="_Toc31002"/>
      <w:bookmarkStart w:id="177" w:name="_Toc30884"/>
      <w:bookmarkStart w:id="178" w:name="_Toc20680"/>
      <w:bookmarkStart w:id="179" w:name="_Toc30534"/>
      <w:bookmarkStart w:id="180" w:name="_Toc6633"/>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76"/>
      <w:bookmarkEnd w:id="177"/>
      <w:bookmarkEnd w:id="178"/>
      <w:bookmarkEnd w:id="179"/>
      <w:bookmarkEnd w:id="18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1．说明项目主管部门（单位）在该项目管理中的职能。</w:t>
      </w:r>
      <w:r>
        <w:rPr>
          <w:rFonts w:hint="eastAsia" w:ascii="仿宋" w:hAnsi="仿宋" w:eastAsia="仿宋" w:cs="仿宋"/>
          <w:sz w:val="32"/>
          <w:szCs w:val="32"/>
          <w:lang w:val="en-US" w:eastAsia="zh-CN"/>
        </w:rPr>
        <w:t>完成十三五规划养老服务和关于《中共中央关于制定国民经济和社会发展第十四个五年规划和二〇三五年远景目标的建议》，公办养老机构建设，强化托底保障功能。社会代养老人，解决社会问题，办好社会服务事业。本单位在项目管理的职责包括具体实施、指导培训、监督检查等。</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2．项目立项、资金申报的依据。</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5"/>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资金管理办法制定情况，资金支持具体项目的条件、范围与支持方式概况。</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5"/>
        </w:numPr>
        <w:adjustRightInd w:val="0"/>
        <w:snapToGrid w:val="0"/>
        <w:spacing w:line="560" w:lineRule="exact"/>
        <w:ind w:left="0" w:leftChars="0"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资金分配的原则及考虑因素。</w:t>
      </w:r>
    </w:p>
    <w:p>
      <w:pPr>
        <w:numPr>
          <w:ilvl w:val="0"/>
          <w:numId w:val="0"/>
        </w:numPr>
        <w:adjustRightInd w:val="0"/>
        <w:snapToGrid w:val="0"/>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1．项目主要内容。</w:t>
      </w:r>
    </w:p>
    <w:p>
      <w:pPr>
        <w:adjustRightInd w:val="0"/>
        <w:snapToGrid w:val="0"/>
        <w:spacing w:line="560" w:lineRule="exact"/>
        <w:ind w:firstLine="720"/>
        <w:rPr>
          <w:rFonts w:hint="eastAsia" w:ascii="仿宋" w:hAnsi="仿宋" w:eastAsia="仿宋" w:cs="仿宋"/>
          <w:lang w:val="zh-CN"/>
        </w:rPr>
      </w:pPr>
      <w:r>
        <w:rPr>
          <w:rFonts w:hint="eastAsia" w:ascii="仿宋" w:hAnsi="仿宋" w:eastAsia="仿宋" w:cs="仿宋"/>
          <w:sz w:val="32"/>
          <w:szCs w:val="32"/>
          <w:lang w:val="zh-CN"/>
        </w:rPr>
        <w:t>完成十三五规划养老服务和关于《中共中央关于制定国民经济和社会发展第十四个五年规划和二〇三五年远景目标的建议》，公办养老机构建设，强化托底保障功能。社会代养老人，解决社会问题，办好社会服务事业。</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lang w:val="zh-CN"/>
        </w:rPr>
      </w:pPr>
      <w:r>
        <w:rPr>
          <w:rFonts w:hint="eastAsia" w:ascii="仿宋" w:hAnsi="仿宋" w:eastAsia="仿宋" w:cs="仿宋"/>
          <w:sz w:val="32"/>
          <w:szCs w:val="32"/>
          <w:lang w:val="zh-CN"/>
        </w:rPr>
        <w:t>项目申请时依据项目实际情况明确了具体的绩效目标，</w:t>
      </w:r>
      <w:r>
        <w:rPr>
          <w:rFonts w:hint="eastAsia" w:ascii="仿宋" w:hAnsi="仿宋" w:eastAsia="仿宋" w:cs="仿宋"/>
          <w:sz w:val="32"/>
          <w:szCs w:val="32"/>
          <w:highlight w:val="none"/>
          <w:lang w:val="zh-CN"/>
        </w:rPr>
        <w:t>包括数量指标代养老人费用：</w:t>
      </w:r>
      <w:r>
        <w:rPr>
          <w:rFonts w:hint="eastAsia" w:ascii="仿宋" w:hAnsi="仿宋" w:eastAsia="仿宋" w:cs="仿宋"/>
          <w:sz w:val="32"/>
          <w:szCs w:val="32"/>
          <w:highlight w:val="none"/>
          <w:lang w:val="en-US" w:eastAsia="zh-CN"/>
        </w:rPr>
        <w:t>60人</w:t>
      </w:r>
      <w:r>
        <w:rPr>
          <w:rFonts w:hint="eastAsia" w:ascii="仿宋" w:hAnsi="仿宋" w:eastAsia="仿宋" w:cs="仿宋"/>
          <w:sz w:val="32"/>
          <w:szCs w:val="32"/>
          <w:highlight w:val="none"/>
          <w:lang w:val="zh-CN"/>
        </w:rPr>
        <w:t>、质量指标代养老人费用：三无人员、孤残儿童、社会代养服务对象养育、服务质量。时效指标代养老人费用：2021年12月31日前、社会效益指标代养老人费用：促进社会稳定发展。成本指标</w:t>
      </w:r>
      <w:r>
        <w:rPr>
          <w:rFonts w:hint="eastAsia" w:ascii="仿宋" w:hAnsi="仿宋" w:eastAsia="仿宋" w:cs="仿宋"/>
          <w:sz w:val="32"/>
          <w:szCs w:val="32"/>
          <w:highlight w:val="none"/>
          <w:lang w:val="en-US" w:eastAsia="zh-CN"/>
        </w:rPr>
        <w:t>聘用人员工资及保险，退床位费，护理费，公杂费，设备维护费等</w:t>
      </w:r>
      <w:r>
        <w:rPr>
          <w:rFonts w:hint="eastAsia" w:ascii="仿宋" w:hAnsi="仿宋" w:eastAsia="仿宋" w:cs="仿宋"/>
          <w:sz w:val="32"/>
          <w:szCs w:val="32"/>
          <w:highlight w:val="none"/>
          <w:lang w:val="zh-CN"/>
        </w:rPr>
        <w:t>：临聘人员工资及社会保险支出，退床位费、护理费、公杂费，设备维修（维护）费。可持续影响等</w:t>
      </w:r>
      <w:r>
        <w:rPr>
          <w:rFonts w:hint="eastAsia" w:ascii="仿宋" w:hAnsi="仿宋" w:eastAsia="仿宋" w:cs="仿宋"/>
          <w:sz w:val="32"/>
          <w:szCs w:val="32"/>
          <w:highlight w:val="none"/>
          <w:lang w:val="en-US" w:eastAsia="zh-CN"/>
        </w:rPr>
        <w:t>6个指标</w:t>
      </w:r>
      <w:r>
        <w:rPr>
          <w:rFonts w:hint="eastAsia" w:ascii="仿宋" w:hAnsi="仿宋" w:eastAsia="仿宋" w:cs="仿宋"/>
          <w:sz w:val="32"/>
          <w:szCs w:val="32"/>
          <w:highlight w:val="none"/>
          <w:lang w:val="zh-CN"/>
        </w:rPr>
        <w:t>。并对指标值进行了量化、细化</w:t>
      </w:r>
      <w:r>
        <w:rPr>
          <w:rFonts w:hint="eastAsia" w:ascii="仿宋" w:hAnsi="仿宋" w:eastAsia="仿宋" w:cs="仿宋"/>
          <w:sz w:val="32"/>
          <w:szCs w:val="32"/>
          <w:highlight w:val="none"/>
          <w:lang w:val="en-US" w:eastAsia="zh-CN"/>
        </w:rPr>
        <w:t>。项目制定了</w:t>
      </w:r>
      <w:r>
        <w:rPr>
          <w:rFonts w:hint="eastAsia" w:ascii="仿宋" w:hAnsi="仿宋" w:eastAsia="仿宋" w:cs="仿宋"/>
          <w:sz w:val="32"/>
          <w:szCs w:val="32"/>
          <w:lang w:val="en-US" w:eastAsia="zh-CN"/>
        </w:rPr>
        <w:t>详细可行的进度计划，确保了项目顺利实施。</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分析评价申报内容是否与实际相符，申报目标是否合理可行。</w:t>
      </w:r>
    </w:p>
    <w:p>
      <w:pPr>
        <w:pStyle w:val="2"/>
        <w:numPr>
          <w:ilvl w:val="0"/>
          <w:numId w:val="0"/>
        </w:numPr>
        <w:ind w:firstLine="640" w:firstLineChars="200"/>
        <w:rPr>
          <w:lang w:val="zh-CN"/>
        </w:rPr>
      </w:pPr>
      <w:r>
        <w:rPr>
          <w:rFonts w:hint="eastAsia" w:ascii="仿宋" w:hAnsi="仿宋" w:eastAsia="仿宋" w:cs="仿宋"/>
          <w:sz w:val="32"/>
          <w:szCs w:val="32"/>
          <w:lang w:val="en-US" w:eastAsia="zh-CN"/>
        </w:rPr>
        <w:t>绩效自评结果表明，项目</w:t>
      </w:r>
      <w:r>
        <w:rPr>
          <w:rFonts w:hint="eastAsia" w:ascii="仿宋" w:hAnsi="仿宋" w:eastAsia="仿宋" w:cs="仿宋"/>
          <w:sz w:val="32"/>
          <w:szCs w:val="32"/>
          <w:lang w:val="zh-CN"/>
        </w:rPr>
        <w:t>申报内容与实际相符，申报目标合理可行。</w:t>
      </w:r>
    </w:p>
    <w:p>
      <w:pPr>
        <w:numPr>
          <w:ilvl w:val="0"/>
          <w:numId w:val="7"/>
        </w:numPr>
        <w:spacing w:line="500" w:lineRule="exact"/>
        <w:ind w:firstLine="643" w:firstLineChars="20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项目自评步骤及方法。</w:t>
      </w:r>
    </w:p>
    <w:p>
      <w:pPr>
        <w:numPr>
          <w:ilvl w:val="0"/>
          <w:numId w:val="0"/>
        </w:numPr>
        <w:spacing w:line="500" w:lineRule="exact"/>
        <w:ind w:firstLine="640" w:firstLineChars="200"/>
        <w:rPr>
          <w:rFonts w:hint="eastAsia" w:ascii="仿宋" w:hAnsi="仿宋" w:eastAsia="仿宋" w:cs="仿宋"/>
          <w:sz w:val="28"/>
          <w:szCs w:val="28"/>
        </w:rPr>
      </w:pPr>
      <w:r>
        <w:rPr>
          <w:rFonts w:hint="eastAsia" w:ascii="仿宋" w:hAnsi="仿宋" w:eastAsia="仿宋" w:cs="仿宋"/>
          <w:sz w:val="32"/>
          <w:szCs w:val="32"/>
          <w:lang w:val="en-US" w:eastAsia="zh-CN"/>
        </w:rPr>
        <w:t>我单位对此次自评工作高度重视，成立了绩效评价工作小组，按照下列程序实施：</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分解任务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根据部门支出绩效评价涉及的工作内容，分解到各科室；</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科室初评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业务科室根据计分标准对各自负责的工作逐一检查，翻阅资料，对标自评；</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小组复评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绩效评价工作小组对初评情况进行检查，并再次评价；</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整理上报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color w:val="auto"/>
          <w:sz w:val="32"/>
          <w:szCs w:val="32"/>
          <w:highlight w:val="none"/>
          <w:lang w:val="zh-CN"/>
        </w:rPr>
      </w:pPr>
      <w:r>
        <w:rPr>
          <w:rFonts w:hint="eastAsia" w:ascii="仿宋" w:hAnsi="仿宋" w:eastAsia="仿宋" w:cs="仿宋"/>
          <w:sz w:val="32"/>
          <w:szCs w:val="32"/>
          <w:lang w:val="en-US" w:eastAsia="zh-CN"/>
        </w:rPr>
        <w:t>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81" w:name="_Toc32596"/>
      <w:bookmarkStart w:id="182" w:name="_Toc28218"/>
      <w:bookmarkStart w:id="183" w:name="_Toc14020"/>
      <w:bookmarkStart w:id="184" w:name="_Toc3687"/>
      <w:bookmarkStart w:id="185" w:name="_Toc20600"/>
      <w:r>
        <w:rPr>
          <w:rFonts w:hint="eastAsia" w:ascii="黑体" w:hAnsi="宋体" w:eastAsia="黑体" w:cs="Times New Roman"/>
          <w:color w:val="auto"/>
          <w:sz w:val="32"/>
          <w:szCs w:val="32"/>
          <w:highlight w:val="none"/>
        </w:rPr>
        <w:t>二、项目资金申报及使用情况</w:t>
      </w:r>
      <w:bookmarkEnd w:id="181"/>
      <w:bookmarkEnd w:id="182"/>
      <w:bookmarkEnd w:id="183"/>
      <w:bookmarkEnd w:id="184"/>
      <w:bookmarkEnd w:id="18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keepNext w:val="0"/>
        <w:keepLines w:val="0"/>
        <w:pageBreakBefore w:val="0"/>
        <w:numPr>
          <w:ilvl w:val="0"/>
          <w:numId w:val="9"/>
        </w:numPr>
        <w:kinsoku/>
        <w:wordWrap/>
        <w:overflowPunct/>
        <w:topLinePunct w:val="0"/>
        <w:autoSpaceDE/>
        <w:autoSpaceDN/>
        <w:bidi w:val="0"/>
        <w:adjustRightInd w:val="0"/>
        <w:snapToGrid w:val="0"/>
        <w:spacing w:line="600" w:lineRule="exact"/>
        <w:ind w:firstLine="720"/>
        <w:textAlignment w:val="auto"/>
        <w:rPr>
          <w:color w:val="auto"/>
          <w:lang w:val="zh-CN"/>
        </w:rPr>
      </w:pPr>
      <w:r>
        <w:rPr>
          <w:rFonts w:hint="eastAsia" w:ascii="楷体_GB2312" w:hAnsi="宋体" w:eastAsia="楷体_GB2312" w:cs="Times New Roman"/>
          <w:b/>
          <w:color w:val="auto"/>
          <w:sz w:val="32"/>
          <w:szCs w:val="32"/>
          <w:highlight w:val="none"/>
          <w:lang w:val="zh-CN"/>
        </w:rPr>
        <w:t>资金计划、到位及使用情况。</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代养老人费用</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67" w:leftChars="0"/>
        <w:textAlignment w:val="auto"/>
        <w:rPr>
          <w:rFonts w:hint="eastAsia" w:ascii="仿宋" w:hAnsi="仿宋" w:eastAsia="仿宋" w:cs="仿宋"/>
          <w:sz w:val="32"/>
          <w:szCs w:val="32"/>
          <w:lang w:val="en-US" w:eastAsia="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 w:hAnsi="仿宋" w:eastAsia="仿宋" w:cs="仿宋"/>
          <w:sz w:val="32"/>
          <w:szCs w:val="32"/>
          <w:lang w:val="en-US" w:eastAsia="zh-CN"/>
        </w:rPr>
        <w:t>项目资金计划521366.83元，均为财政资金。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67" w:leftChars="0"/>
        <w:textAlignment w:val="auto"/>
        <w:rPr>
          <w:rFonts w:hint="eastAsia" w:ascii="仿宋" w:hAnsi="仿宋" w:eastAsia="仿宋" w:cs="仿宋"/>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资金到位。</w:t>
      </w:r>
      <w:r>
        <w:rPr>
          <w:rFonts w:hint="eastAsia" w:ascii="仿宋" w:hAnsi="仿宋" w:eastAsia="仿宋" w:cs="仿宋"/>
          <w:sz w:val="32"/>
          <w:szCs w:val="32"/>
          <w:lang w:val="zh-CN"/>
        </w:rPr>
        <w:t>资金到位率</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到位及时率</w:t>
      </w:r>
      <w:r>
        <w:rPr>
          <w:rFonts w:hint="eastAsia" w:ascii="仿宋" w:hAnsi="仿宋" w:eastAsia="仿宋" w:cs="仿宋"/>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sz w:val="32"/>
          <w:szCs w:val="32"/>
          <w:highlight w:val="none"/>
          <w:lang w:val="zh-CN"/>
        </w:rPr>
      </w:pPr>
      <w:r>
        <w:rPr>
          <w:rFonts w:hint="eastAsia" w:ascii="楷体_GB2312" w:hAnsi="宋体" w:eastAsia="楷体_GB2312" w:cs="Times New Roman"/>
          <w:color w:val="auto"/>
          <w:sz w:val="32"/>
          <w:szCs w:val="32"/>
          <w:highlight w:val="none"/>
          <w:lang w:val="en-US" w:eastAsia="zh-CN"/>
        </w:rPr>
        <w:t>3.</w:t>
      </w:r>
      <w:r>
        <w:rPr>
          <w:rFonts w:hint="eastAsia" w:ascii="楷体_GB2312" w:hAnsi="宋体" w:eastAsia="楷体_GB2312" w:cs="Times New Roman"/>
          <w:color w:val="auto"/>
          <w:sz w:val="32"/>
          <w:szCs w:val="32"/>
          <w:highlight w:val="none"/>
          <w:lang w:val="zh-CN"/>
        </w:rPr>
        <w:t>资金使用。</w:t>
      </w:r>
      <w:r>
        <w:rPr>
          <w:rFonts w:hint="eastAsia" w:ascii="仿宋" w:hAnsi="仿宋" w:eastAsia="仿宋" w:cs="仿宋"/>
          <w:sz w:val="32"/>
          <w:szCs w:val="32"/>
          <w:lang w:val="zh-CN"/>
        </w:rPr>
        <w:t>资金支出</w:t>
      </w:r>
      <w:r>
        <w:rPr>
          <w:rFonts w:hint="eastAsia" w:ascii="仿宋" w:hAnsi="仿宋" w:eastAsia="仿宋" w:cs="仿宋"/>
          <w:sz w:val="32"/>
          <w:szCs w:val="32"/>
          <w:lang w:val="en-US" w:eastAsia="zh-CN"/>
        </w:rPr>
        <w:t>5213636.83元，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lang w:val="en-US" w:eastAsia="zh-CN"/>
        </w:rPr>
        <w:t>全用于项目代养老人</w:t>
      </w:r>
      <w:r>
        <w:rPr>
          <w:rFonts w:hint="eastAsia" w:ascii="仿宋" w:hAnsi="仿宋" w:eastAsia="仿宋" w:cs="仿宋"/>
          <w:sz w:val="32"/>
          <w:szCs w:val="32"/>
          <w:lang w:val="zh-CN"/>
        </w:rPr>
        <w:t>。支付标准均按照财政资金管理限额（标准）执行。根据项目实施进度支付款项，支付依据合规合法</w:t>
      </w:r>
      <w:r>
        <w:rPr>
          <w:rFonts w:hint="eastAsia" w:ascii="仿宋" w:hAnsi="仿宋" w:eastAsia="仿宋" w:cs="仿宋"/>
          <w:sz w:val="32"/>
          <w:szCs w:val="32"/>
          <w:highlight w:val="none"/>
          <w:lang w:val="zh-CN"/>
        </w:rPr>
        <w:t>，支出金额与预算相符。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86" w:name="_Toc23260"/>
      <w:bookmarkStart w:id="187" w:name="_Toc4730"/>
      <w:bookmarkStart w:id="188" w:name="_Toc2561"/>
      <w:bookmarkStart w:id="189" w:name="_Toc3658"/>
      <w:bookmarkStart w:id="190" w:name="_Toc21584"/>
      <w:r>
        <w:rPr>
          <w:rFonts w:hint="eastAsia" w:ascii="黑体" w:hAnsi="宋体" w:eastAsia="黑体" w:cs="Times New Roman"/>
          <w:color w:val="auto"/>
          <w:sz w:val="32"/>
          <w:szCs w:val="32"/>
          <w:highlight w:val="none"/>
        </w:rPr>
        <w:t>三、项目实施及管理情况</w:t>
      </w:r>
      <w:bookmarkEnd w:id="186"/>
      <w:bookmarkEnd w:id="187"/>
      <w:bookmarkEnd w:id="188"/>
      <w:bookmarkEnd w:id="189"/>
      <w:bookmarkEnd w:id="19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val="zh-CN"/>
        </w:rPr>
        <w:t>单位成立</w:t>
      </w:r>
      <w:r>
        <w:rPr>
          <w:rFonts w:hint="eastAsia" w:ascii="仿宋" w:hAnsi="仿宋" w:eastAsia="仿宋" w:cs="仿宋"/>
          <w:sz w:val="32"/>
          <w:szCs w:val="32"/>
          <w:lang w:val="zh-CN"/>
        </w:rPr>
        <w:t>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 w:hAnsi="仿宋" w:eastAsia="仿宋" w:cs="仿宋"/>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 w:hAnsi="仿宋" w:eastAsia="仿宋" w:cs="仿宋"/>
          <w:sz w:val="32"/>
          <w:szCs w:val="32"/>
          <w:lang w:val="zh-CN"/>
        </w:rPr>
        <w:t>我单位项目主要</w:t>
      </w:r>
      <w:r>
        <w:rPr>
          <w:rFonts w:hint="eastAsia" w:ascii="仿宋" w:hAnsi="仿宋" w:eastAsia="仿宋" w:cs="仿宋"/>
          <w:sz w:val="32"/>
          <w:szCs w:val="32"/>
          <w:highlight w:val="none"/>
          <w:lang w:val="zh-CN"/>
        </w:rPr>
        <w:t>是</w:t>
      </w:r>
      <w:r>
        <w:rPr>
          <w:rFonts w:hint="eastAsia" w:ascii="仿宋" w:hAnsi="仿宋" w:eastAsia="仿宋" w:cs="仿宋"/>
          <w:sz w:val="32"/>
          <w:szCs w:val="32"/>
          <w:highlight w:val="none"/>
          <w:lang w:val="en-US" w:eastAsia="zh-CN"/>
        </w:rPr>
        <w:t>聘用人员工资及保险，退床位费，护理费公杂费设备维护费</w:t>
      </w:r>
      <w:r>
        <w:rPr>
          <w:rFonts w:hint="eastAsia" w:ascii="仿宋" w:hAnsi="仿宋" w:eastAsia="仿宋" w:cs="仿宋"/>
          <w:sz w:val="32"/>
          <w:szCs w:val="32"/>
          <w:highlight w:val="none"/>
          <w:lang w:val="zh-CN"/>
        </w:rPr>
        <w:t>，费用</w:t>
      </w:r>
      <w:r>
        <w:rPr>
          <w:rFonts w:hint="eastAsia" w:ascii="仿宋" w:hAnsi="仿宋" w:eastAsia="仿宋" w:cs="仿宋"/>
          <w:sz w:val="32"/>
          <w:szCs w:val="32"/>
          <w:lang w:val="zh-CN"/>
        </w:rPr>
        <w:t>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191" w:name="_Toc19578"/>
      <w:bookmarkStart w:id="192" w:name="_Toc29849"/>
      <w:bookmarkStart w:id="193" w:name="_Toc26378"/>
      <w:bookmarkStart w:id="194" w:name="_Toc19577"/>
      <w:bookmarkStart w:id="195" w:name="_Toc30506"/>
      <w:r>
        <w:rPr>
          <w:rFonts w:hint="eastAsia" w:ascii="黑体" w:hAnsi="宋体" w:eastAsia="黑体" w:cs="Times New Roman"/>
          <w:color w:val="auto"/>
          <w:sz w:val="32"/>
          <w:szCs w:val="32"/>
          <w:highlight w:val="none"/>
        </w:rPr>
        <w:t>四、项目绩效情况</w:t>
      </w:r>
      <w:bookmarkEnd w:id="191"/>
      <w:bookmarkEnd w:id="192"/>
      <w:bookmarkEnd w:id="193"/>
      <w:bookmarkEnd w:id="194"/>
      <w:bookmarkEnd w:id="195"/>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仿宋" w:hAnsi="仿宋" w:eastAsia="仿宋" w:cs="仿宋"/>
          <w:sz w:val="32"/>
          <w:szCs w:val="32"/>
          <w:lang w:val="zh-CN"/>
        </w:rPr>
        <w:t>项目全部完成预期目标，均达到数量计划值，质量良好、按时完成、未超预算，无资金结余，无违规违纪情况。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adjustRightInd w:val="0"/>
        <w:snapToGrid w:val="0"/>
        <w:spacing w:line="560" w:lineRule="exact"/>
        <w:ind w:firstLine="72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项目取得了良好的社会效益，</w:t>
      </w:r>
      <w:r>
        <w:rPr>
          <w:rFonts w:hint="eastAsia" w:ascii="仿宋" w:hAnsi="仿宋" w:eastAsia="仿宋" w:cs="仿宋"/>
          <w:sz w:val="32"/>
          <w:szCs w:val="32"/>
          <w:highlight w:val="none"/>
          <w:lang w:val="en-US" w:eastAsia="zh-CN"/>
        </w:rPr>
        <w:t>强化了托底保障功能收养三五人员社会代养老人，</w:t>
      </w:r>
      <w:r>
        <w:rPr>
          <w:rFonts w:hint="eastAsia" w:ascii="仿宋" w:hAnsi="仿宋" w:eastAsia="仿宋" w:cs="仿宋"/>
          <w:sz w:val="32"/>
          <w:szCs w:val="32"/>
          <w:highlight w:val="none"/>
          <w:lang w:val="zh-CN"/>
        </w:rPr>
        <w:t>促进社会稳定发展。</w:t>
      </w:r>
      <w:r>
        <w:rPr>
          <w:rFonts w:hint="eastAsia" w:ascii="仿宋" w:hAnsi="仿宋" w:eastAsia="仿宋" w:cs="仿宋"/>
          <w:sz w:val="32"/>
          <w:szCs w:val="32"/>
          <w:highlight w:val="none"/>
          <w:lang w:val="en-US" w:eastAsia="zh-CN"/>
        </w:rPr>
        <w:t>代养老人</w:t>
      </w:r>
      <w:r>
        <w:rPr>
          <w:rFonts w:hint="eastAsia" w:ascii="仿宋" w:hAnsi="仿宋" w:eastAsia="仿宋" w:cs="仿宋"/>
          <w:sz w:val="32"/>
          <w:szCs w:val="32"/>
          <w:highlight w:val="none"/>
          <w:lang w:val="zh-CN"/>
        </w:rPr>
        <w:t>满意度≥90%。</w:t>
      </w:r>
    </w:p>
    <w:p>
      <w:pPr>
        <w:keepNext w:val="0"/>
        <w:keepLines w:val="0"/>
        <w:pageBreakBefore w:val="0"/>
        <w:kinsoku/>
        <w:wordWrap/>
        <w:overflowPunct/>
        <w:topLinePunct w:val="0"/>
        <w:autoSpaceDE/>
        <w:autoSpaceDN/>
        <w:bidi w:val="0"/>
        <w:adjustRightInd w:val="0"/>
        <w:snapToGrid w:val="0"/>
        <w:spacing w:line="600" w:lineRule="exact"/>
        <w:ind w:firstLine="320" w:firstLineChars="100"/>
        <w:textAlignment w:val="auto"/>
        <w:outlineLvl w:val="1"/>
        <w:rPr>
          <w:rFonts w:ascii="黑体" w:hAnsi="宋体" w:eastAsia="黑体" w:cs="Times New Roman"/>
          <w:color w:val="auto"/>
          <w:sz w:val="32"/>
          <w:szCs w:val="32"/>
          <w:highlight w:val="none"/>
        </w:rPr>
      </w:pPr>
      <w:bookmarkStart w:id="196" w:name="_Toc28937"/>
      <w:bookmarkStart w:id="197" w:name="_Toc22724"/>
      <w:bookmarkStart w:id="198" w:name="_Toc21843"/>
      <w:bookmarkStart w:id="199" w:name="_Toc28497"/>
      <w:bookmarkStart w:id="200" w:name="_Toc21669"/>
      <w:r>
        <w:rPr>
          <w:rFonts w:hint="eastAsia" w:ascii="黑体" w:hAnsi="宋体" w:eastAsia="黑体" w:cs="Times New Roman"/>
          <w:color w:val="auto"/>
          <w:sz w:val="32"/>
          <w:szCs w:val="32"/>
          <w:highlight w:val="none"/>
        </w:rPr>
        <w:t>五、评价结论及建议</w:t>
      </w:r>
      <w:bookmarkEnd w:id="196"/>
      <w:bookmarkEnd w:id="197"/>
      <w:bookmarkEnd w:id="198"/>
      <w:bookmarkEnd w:id="199"/>
      <w:bookmarkEnd w:id="20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560" w:lineRule="exact"/>
        <w:ind w:firstLine="640" w:firstLineChars="200"/>
        <w:rPr>
          <w:rFonts w:ascii="仿宋_GB2312" w:hAnsi="宋体" w:eastAsia="仿宋_GB2312" w:cs="Times New Roman"/>
          <w:color w:val="auto"/>
          <w:sz w:val="32"/>
          <w:szCs w:val="32"/>
          <w:highlight w:val="none"/>
          <w:bdr w:val="single" w:color="auto" w:sz="4" w:space="0"/>
          <w:lang w:val="zh-CN"/>
        </w:rPr>
      </w:pPr>
      <w:r>
        <w:rPr>
          <w:rFonts w:hint="eastAsia" w:ascii="仿宋" w:hAnsi="仿宋" w:eastAsia="仿宋" w:cs="仿宋"/>
          <w:sz w:val="32"/>
          <w:szCs w:val="32"/>
          <w:lang w:val="en-US" w:eastAsia="zh-CN"/>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lang w:val="en-US" w:eastAsia="zh-CN"/>
        </w:rPr>
        <w:t>100分。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adjustRightInd w:val="0"/>
        <w:snapToGrid w:val="0"/>
        <w:spacing w:line="560" w:lineRule="exact"/>
        <w:ind w:firstLine="640" w:firstLineChars="200"/>
        <w:rPr>
          <w:rFonts w:hint="eastAsia" w:ascii="方正仿宋简体" w:hAnsi="宋体" w:eastAsia="方正仿宋简体"/>
          <w:sz w:val="32"/>
          <w:szCs w:val="32"/>
          <w:lang w:val="en-US" w:eastAsia="zh-CN"/>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201" w:name="_Toc23363"/>
      <w:bookmarkStart w:id="202" w:name="_Toc19382"/>
      <w:bookmarkStart w:id="203" w:name="_Toc8879"/>
      <w:bookmarkStart w:id="204" w:name="_Toc27083"/>
      <w:bookmarkStart w:id="205" w:name="_Toc13963"/>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201"/>
      <w:bookmarkEnd w:id="202"/>
      <w:bookmarkEnd w:id="203"/>
      <w:bookmarkEnd w:id="204"/>
      <w:bookmarkEnd w:id="205"/>
    </w:p>
    <w:tbl>
      <w:tblPr>
        <w:tblStyle w:val="12"/>
        <w:tblpPr w:leftFromText="180" w:rightFromText="180" w:vertAnchor="text" w:horzAnchor="page" w:tblpX="1281" w:tblpY="660"/>
        <w:tblOverlap w:val="never"/>
        <w:tblW w:w="98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206"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十四五规划养老服务中公办养老机构建设，强化托底保障功能。收养三无人员、社会代养老人，解决社会问题，办好社会事业。保障为在院老人服务的工作运行经费，聘用职工工资保险、老人护理费、设施设备维修维护费等支出。</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保障60名社会代养老人生活水平、服务质量。保证工作运行经费，聘用职工工资保险、老人护理费、设施设备维修维护费等支出。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代养老人人数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保障在院代养老人服务质量，达到标准水平。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保障在院代养老人服务质量，达到标准水平。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目标完成100%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聘用人员工资及保险、退床位费、护理费、公杂费、设备维修维护费等。</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聘用人员工资及保险、退床位费、护理费、公杂费、设备维修维护费52万元。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强化托底保障功能，收养三无人员、社会代养老人，促进社会稳定和谐发展。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强化托底保障功能，收养三无人员、社会代养老人，促进社会稳定和谐发展。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目标完成100%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代养老人满意度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9</w:t>
            </w:r>
            <w:r>
              <w:rPr>
                <w:rFonts w:hint="eastAsia" w:ascii="仿宋" w:hAnsi="仿宋" w:eastAsia="仿宋" w:cs="仿宋"/>
                <w:i w:val="0"/>
                <w:color w:val="auto"/>
                <w:sz w:val="28"/>
                <w:szCs w:val="28"/>
                <w:u w:val="none"/>
                <w:lang w:val="en-US" w:eastAsia="zh-CN"/>
              </w:rPr>
              <w:t>5</w:t>
            </w:r>
            <w:r>
              <w:rPr>
                <w:rFonts w:hint="eastAsia" w:ascii="仿宋" w:hAnsi="仿宋" w:eastAsia="仿宋" w:cs="仿宋"/>
                <w:i w:val="0"/>
                <w:color w:val="auto"/>
                <w:sz w:val="28"/>
                <w:szCs w:val="28"/>
                <w:u w:val="none"/>
              </w:rPr>
              <w:t>%</w:t>
            </w:r>
          </w:p>
        </w:tc>
      </w:tr>
    </w:tbl>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ascii="仿宋" w:hAnsi="仿宋" w:eastAsia="仿宋"/>
          <w:color w:val="auto"/>
          <w:highlight w:val="none"/>
        </w:rPr>
      </w:pPr>
      <w:bookmarkStart w:id="207" w:name="_Toc1257"/>
      <w:bookmarkStart w:id="208" w:name="_Toc13874"/>
      <w:bookmarkStart w:id="209" w:name="_Toc7575"/>
      <w:bookmarkStart w:id="210" w:name="_Toc8139"/>
      <w:bookmarkStart w:id="211" w:name="_Toc3187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165"/>
      <w:bookmarkEnd w:id="206"/>
      <w:bookmarkEnd w:id="207"/>
      <w:bookmarkEnd w:id="208"/>
      <w:bookmarkEnd w:id="209"/>
      <w:bookmarkEnd w:id="210"/>
      <w:bookmarkEnd w:id="211"/>
    </w:p>
    <w:p>
      <w:pPr>
        <w:pStyle w:val="4"/>
        <w:rPr>
          <w:rStyle w:val="25"/>
          <w:rFonts w:hint="eastAsia" w:ascii="仿宋" w:hAnsi="仿宋" w:eastAsia="仿宋"/>
          <w:b w:val="0"/>
          <w:bCs w:val="0"/>
          <w:color w:val="auto"/>
          <w:highlight w:val="none"/>
        </w:rPr>
      </w:pPr>
      <w:bookmarkStart w:id="212" w:name="_Toc15396619"/>
      <w:bookmarkStart w:id="213" w:name="_Toc29660"/>
      <w:bookmarkStart w:id="214" w:name="_Toc462"/>
      <w:bookmarkStart w:id="215" w:name="_Toc4623"/>
      <w:bookmarkStart w:id="216" w:name="_Toc25138"/>
      <w:bookmarkStart w:id="217" w:name="_Toc6024"/>
      <w:bookmarkStart w:id="218" w:name="_Toc1539662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212"/>
      <w:bookmarkEnd w:id="213"/>
      <w:bookmarkEnd w:id="214"/>
      <w:bookmarkEnd w:id="215"/>
      <w:bookmarkEnd w:id="216"/>
      <w:bookmarkEnd w:id="217"/>
    </w:p>
    <w:p>
      <w:pPr>
        <w:pStyle w:val="4"/>
        <w:rPr>
          <w:rFonts w:ascii="仿宋" w:hAnsi="仿宋" w:eastAsia="仿宋"/>
          <w:color w:val="auto"/>
          <w:highlight w:val="none"/>
        </w:rPr>
      </w:pPr>
      <w:bookmarkStart w:id="219" w:name="_Toc16047"/>
      <w:bookmarkStart w:id="220" w:name="_Toc17161"/>
      <w:bookmarkStart w:id="221" w:name="_Toc3136"/>
      <w:bookmarkStart w:id="222" w:name="_Toc12213"/>
      <w:bookmarkStart w:id="223" w:name="_Toc12258"/>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218"/>
      <w:bookmarkEnd w:id="219"/>
      <w:bookmarkEnd w:id="220"/>
      <w:bookmarkEnd w:id="221"/>
      <w:bookmarkEnd w:id="222"/>
      <w:bookmarkEnd w:id="223"/>
    </w:p>
    <w:p>
      <w:pPr>
        <w:pStyle w:val="4"/>
        <w:rPr>
          <w:rFonts w:ascii="仿宋" w:hAnsi="仿宋" w:eastAsia="仿宋"/>
          <w:color w:val="auto"/>
          <w:highlight w:val="none"/>
        </w:rPr>
      </w:pPr>
      <w:bookmarkStart w:id="224" w:name="_Toc24260"/>
      <w:bookmarkStart w:id="225" w:name="_Toc15396621"/>
      <w:bookmarkStart w:id="226" w:name="_Toc24805"/>
      <w:bookmarkStart w:id="227" w:name="_Toc18969"/>
      <w:bookmarkStart w:id="228" w:name="_Toc819"/>
      <w:bookmarkStart w:id="229" w:name="_Toc23059"/>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224"/>
      <w:bookmarkEnd w:id="225"/>
      <w:bookmarkEnd w:id="226"/>
      <w:bookmarkEnd w:id="227"/>
      <w:bookmarkEnd w:id="228"/>
      <w:bookmarkEnd w:id="229"/>
    </w:p>
    <w:p>
      <w:pPr>
        <w:pStyle w:val="4"/>
        <w:rPr>
          <w:rFonts w:ascii="仿宋" w:hAnsi="仿宋" w:eastAsia="仿宋"/>
          <w:b w:val="0"/>
          <w:color w:val="auto"/>
          <w:highlight w:val="none"/>
        </w:rPr>
      </w:pPr>
      <w:bookmarkStart w:id="230" w:name="_Toc15912"/>
      <w:bookmarkStart w:id="231" w:name="_Toc6093"/>
      <w:bookmarkStart w:id="232" w:name="_Toc31541"/>
      <w:bookmarkStart w:id="233" w:name="_Toc15396622"/>
      <w:bookmarkStart w:id="234" w:name="_Toc9753"/>
      <w:bookmarkStart w:id="235" w:name="_Toc13167"/>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230"/>
      <w:bookmarkEnd w:id="231"/>
      <w:bookmarkEnd w:id="232"/>
      <w:bookmarkEnd w:id="233"/>
      <w:bookmarkEnd w:id="234"/>
      <w:bookmarkEnd w:id="235"/>
    </w:p>
    <w:p>
      <w:pPr>
        <w:pStyle w:val="4"/>
        <w:rPr>
          <w:rStyle w:val="25"/>
          <w:rFonts w:ascii="仿宋" w:hAnsi="仿宋" w:eastAsia="仿宋"/>
          <w:b w:val="0"/>
          <w:bCs w:val="0"/>
          <w:color w:val="auto"/>
          <w:highlight w:val="none"/>
        </w:rPr>
      </w:pPr>
      <w:bookmarkStart w:id="236" w:name="_Toc16252"/>
      <w:bookmarkStart w:id="237" w:name="_Toc18890"/>
      <w:bookmarkStart w:id="238" w:name="_Toc15396623"/>
      <w:bookmarkStart w:id="239" w:name="_Toc20091"/>
      <w:bookmarkStart w:id="240" w:name="_Toc12536"/>
      <w:bookmarkStart w:id="241" w:name="_Toc19074"/>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236"/>
      <w:bookmarkEnd w:id="237"/>
      <w:bookmarkEnd w:id="238"/>
      <w:bookmarkEnd w:id="239"/>
      <w:bookmarkEnd w:id="240"/>
      <w:bookmarkEnd w:id="241"/>
      <w:bookmarkStart w:id="242" w:name="_Toc15396624"/>
    </w:p>
    <w:p>
      <w:pPr>
        <w:pStyle w:val="4"/>
        <w:rPr>
          <w:rFonts w:ascii="仿宋" w:hAnsi="仿宋" w:eastAsia="仿宋"/>
          <w:color w:val="auto"/>
          <w:highlight w:val="none"/>
        </w:rPr>
      </w:pPr>
      <w:bookmarkStart w:id="243" w:name="_Toc12132"/>
      <w:bookmarkStart w:id="244" w:name="_Toc27960"/>
      <w:bookmarkStart w:id="245" w:name="_Toc10685"/>
      <w:bookmarkStart w:id="246" w:name="_Toc4755"/>
      <w:bookmarkStart w:id="247" w:name="_Toc2330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242"/>
      <w:bookmarkEnd w:id="243"/>
      <w:bookmarkEnd w:id="244"/>
      <w:bookmarkEnd w:id="245"/>
      <w:bookmarkEnd w:id="246"/>
      <w:bookmarkEnd w:id="247"/>
    </w:p>
    <w:p>
      <w:pPr>
        <w:pStyle w:val="4"/>
        <w:rPr>
          <w:rFonts w:ascii="仿宋" w:hAnsi="仿宋" w:eastAsia="仿宋"/>
          <w:color w:val="auto"/>
          <w:highlight w:val="none"/>
        </w:rPr>
      </w:pPr>
      <w:bookmarkStart w:id="248" w:name="_Toc15396625"/>
      <w:bookmarkStart w:id="249" w:name="_Toc2504"/>
      <w:bookmarkStart w:id="250" w:name="_Toc25919"/>
      <w:bookmarkStart w:id="251" w:name="_Toc31227"/>
      <w:bookmarkStart w:id="252" w:name="_Toc4169"/>
      <w:bookmarkStart w:id="253" w:name="_Toc1092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248"/>
      <w:bookmarkEnd w:id="249"/>
      <w:bookmarkEnd w:id="250"/>
      <w:bookmarkEnd w:id="251"/>
      <w:bookmarkEnd w:id="252"/>
      <w:bookmarkEnd w:id="253"/>
    </w:p>
    <w:p>
      <w:pPr>
        <w:pStyle w:val="4"/>
        <w:rPr>
          <w:rFonts w:ascii="仿宋" w:hAnsi="仿宋" w:eastAsia="仿宋"/>
          <w:color w:val="auto"/>
          <w:highlight w:val="none"/>
        </w:rPr>
      </w:pPr>
      <w:bookmarkStart w:id="254" w:name="_Toc882"/>
      <w:bookmarkStart w:id="255" w:name="_Toc15396626"/>
      <w:bookmarkStart w:id="256" w:name="_Toc17012"/>
      <w:bookmarkStart w:id="257" w:name="_Toc20259"/>
      <w:bookmarkStart w:id="258" w:name="_Toc29700"/>
      <w:bookmarkStart w:id="259" w:name="_Toc28863"/>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254"/>
      <w:bookmarkEnd w:id="255"/>
      <w:bookmarkEnd w:id="256"/>
      <w:bookmarkEnd w:id="257"/>
      <w:bookmarkEnd w:id="258"/>
      <w:bookmarkEnd w:id="259"/>
    </w:p>
    <w:p>
      <w:pPr>
        <w:pStyle w:val="4"/>
        <w:rPr>
          <w:rFonts w:ascii="仿宋" w:hAnsi="仿宋" w:eastAsia="仿宋"/>
          <w:color w:val="auto"/>
          <w:highlight w:val="none"/>
        </w:rPr>
      </w:pPr>
      <w:bookmarkStart w:id="260" w:name="_Toc28875"/>
      <w:bookmarkStart w:id="261" w:name="_Toc17225"/>
      <w:bookmarkStart w:id="262" w:name="_Toc15396627"/>
      <w:bookmarkStart w:id="263" w:name="_Toc17134"/>
      <w:bookmarkStart w:id="264" w:name="_Toc9452"/>
      <w:bookmarkStart w:id="265" w:name="_Toc5469"/>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260"/>
      <w:bookmarkEnd w:id="261"/>
      <w:bookmarkEnd w:id="262"/>
      <w:bookmarkEnd w:id="263"/>
      <w:bookmarkEnd w:id="264"/>
      <w:bookmarkEnd w:id="265"/>
    </w:p>
    <w:p>
      <w:pPr>
        <w:pStyle w:val="4"/>
        <w:rPr>
          <w:rFonts w:ascii="仿宋" w:hAnsi="仿宋" w:eastAsia="仿宋"/>
          <w:color w:val="auto"/>
          <w:highlight w:val="none"/>
        </w:rPr>
      </w:pPr>
      <w:bookmarkStart w:id="266" w:name="_Toc15396628"/>
      <w:bookmarkStart w:id="267" w:name="_Toc20872"/>
      <w:bookmarkStart w:id="268" w:name="_Toc32366"/>
      <w:bookmarkStart w:id="269" w:name="_Toc10445"/>
      <w:bookmarkStart w:id="270" w:name="_Toc26074"/>
      <w:bookmarkStart w:id="271" w:name="_Toc16726"/>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266"/>
      <w:bookmarkEnd w:id="267"/>
      <w:bookmarkEnd w:id="268"/>
      <w:bookmarkEnd w:id="269"/>
      <w:bookmarkEnd w:id="270"/>
      <w:bookmarkEnd w:id="271"/>
    </w:p>
    <w:p>
      <w:pPr>
        <w:pStyle w:val="4"/>
        <w:rPr>
          <w:rFonts w:ascii="仿宋" w:hAnsi="仿宋" w:eastAsia="仿宋"/>
          <w:color w:val="auto"/>
          <w:highlight w:val="none"/>
        </w:rPr>
      </w:pPr>
      <w:bookmarkStart w:id="272" w:name="_Toc6534"/>
      <w:bookmarkStart w:id="273" w:name="_Toc15396629"/>
      <w:bookmarkStart w:id="274" w:name="_Toc23677"/>
      <w:bookmarkStart w:id="275" w:name="_Toc14601"/>
      <w:bookmarkStart w:id="276" w:name="_Toc12369"/>
      <w:bookmarkStart w:id="277" w:name="_Toc13666"/>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272"/>
      <w:bookmarkEnd w:id="273"/>
      <w:bookmarkEnd w:id="274"/>
      <w:bookmarkEnd w:id="275"/>
      <w:bookmarkEnd w:id="276"/>
      <w:bookmarkEnd w:id="277"/>
    </w:p>
    <w:p>
      <w:pPr>
        <w:pStyle w:val="4"/>
        <w:rPr>
          <w:rFonts w:ascii="仿宋" w:hAnsi="仿宋" w:eastAsia="仿宋"/>
          <w:color w:val="auto"/>
          <w:highlight w:val="none"/>
        </w:rPr>
      </w:pPr>
      <w:bookmarkStart w:id="278" w:name="_Toc4693"/>
      <w:bookmarkStart w:id="279" w:name="_Toc15396630"/>
      <w:bookmarkStart w:id="280" w:name="_Toc32131"/>
      <w:bookmarkStart w:id="281" w:name="_Toc29184"/>
      <w:bookmarkStart w:id="282" w:name="_Toc20628"/>
      <w:bookmarkStart w:id="283" w:name="_Toc24838"/>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278"/>
      <w:bookmarkEnd w:id="279"/>
      <w:bookmarkEnd w:id="280"/>
      <w:bookmarkEnd w:id="281"/>
      <w:bookmarkEnd w:id="282"/>
      <w:bookmarkEnd w:id="283"/>
    </w:p>
    <w:p>
      <w:pPr>
        <w:pStyle w:val="4"/>
        <w:rPr>
          <w:rStyle w:val="25"/>
          <w:rFonts w:hint="eastAsia" w:ascii="仿宋" w:hAnsi="仿宋" w:eastAsia="仿宋"/>
          <w:b w:val="0"/>
          <w:bCs w:val="0"/>
          <w:color w:val="auto"/>
          <w:highlight w:val="none"/>
        </w:rPr>
      </w:pPr>
      <w:bookmarkStart w:id="284" w:name="_Toc15396631"/>
      <w:bookmarkStart w:id="285" w:name="_Toc4811"/>
      <w:bookmarkStart w:id="286" w:name="_Toc25137"/>
      <w:bookmarkStart w:id="287" w:name="_Toc31378"/>
      <w:bookmarkStart w:id="288" w:name="_Toc14983"/>
      <w:bookmarkStart w:id="289" w:name="_Toc14260"/>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284"/>
      <w:bookmarkEnd w:id="285"/>
      <w:bookmarkEnd w:id="286"/>
      <w:bookmarkEnd w:id="287"/>
      <w:bookmarkEnd w:id="288"/>
      <w:bookmarkEnd w:id="289"/>
    </w:p>
    <w:p>
      <w:pPr>
        <w:rPr>
          <w:rFonts w:hint="eastAsia" w:eastAsia="仿宋"/>
          <w:color w:val="auto"/>
          <w:highlight w:val="none"/>
          <w:lang w:eastAsia="zh-CN"/>
        </w:rPr>
      </w:pPr>
      <w:bookmarkStart w:id="290" w:name="_Toc30477"/>
      <w:bookmarkStart w:id="291" w:name="_Toc29512"/>
      <w:bookmarkStart w:id="292" w:name="_Toc29842"/>
      <w:bookmarkStart w:id="293" w:name="_Toc32619"/>
      <w:bookmarkStart w:id="294" w:name="_Toc5132"/>
      <w:r>
        <w:rPr>
          <w:rStyle w:val="25"/>
          <w:rFonts w:hint="eastAsia" w:ascii="仿宋" w:hAnsi="仿宋" w:eastAsia="仿宋"/>
          <w:b w:val="0"/>
          <w:bCs w:val="0"/>
          <w:color w:val="auto"/>
          <w:highlight w:val="none"/>
          <w:lang w:eastAsia="zh-CN"/>
        </w:rPr>
        <w:t>十四、国有资本经营预算财政拨款支出决算表</w:t>
      </w:r>
      <w:bookmarkEnd w:id="290"/>
      <w:bookmarkEnd w:id="291"/>
      <w:bookmarkEnd w:id="292"/>
      <w:bookmarkEnd w:id="293"/>
      <w:bookmarkEnd w:id="294"/>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A1D5CA-BBDF-408D-8B47-CD04C86D65B5}"/>
  </w:font>
  <w:font w:name="Courier New">
    <w:altName w:val="PMingLiU-ExtB"/>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MingLiU">
    <w:panose1 w:val="02020509000000000000"/>
    <w:charset w:val="88"/>
    <w:family w:val="auto"/>
    <w:pitch w:val="default"/>
    <w:sig w:usb0="A00002FF" w:usb1="28CFFCFA" w:usb2="00000016" w:usb3="00000000" w:csb0="00100001" w:csb1="00000000"/>
  </w:font>
  <w:font w:name="Calibri">
    <w:altName w:val="Arial Rounded MT Bold"/>
    <w:panose1 w:val="020F0502020204030204"/>
    <w:charset w:val="00"/>
    <w:family w:val="swiss"/>
    <w:pitch w:val="default"/>
    <w:sig w:usb0="00000000" w:usb1="00000000" w:usb2="00000001"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embedRegular r:id="rId2" w:fontKey="{7A67DF23-4542-42FE-A81C-29D108CBCDD1}"/>
  </w:font>
  <w:font w:name="仿宋_GB2312">
    <w:altName w:val="仿宋"/>
    <w:panose1 w:val="02010609030101010101"/>
    <w:charset w:val="86"/>
    <w:family w:val="modern"/>
    <w:pitch w:val="default"/>
    <w:sig w:usb0="00000000" w:usb1="00000000" w:usb2="00000000" w:usb3="00000000" w:csb0="00040000" w:csb1="00000000"/>
    <w:embedRegular r:id="rId3" w:fontKey="{6D9D8CC2-14C4-42C4-91F2-8F271C13A691}"/>
  </w:font>
  <w:font w:name="仿宋">
    <w:panose1 w:val="02010609060101010101"/>
    <w:charset w:val="86"/>
    <w:family w:val="auto"/>
    <w:pitch w:val="default"/>
    <w:sig w:usb0="800002BF" w:usb1="38CF7CFA" w:usb2="00000016" w:usb3="00000000" w:csb0="00040001" w:csb1="00000000"/>
    <w:embedRegular r:id="rId4" w:fontKey="{8E8EF0CD-BDBC-4AED-AF6A-4528889753D5}"/>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5" w:fontKey="{414D28B2-4EA7-474E-ACC8-6E6AFD36B91B}"/>
  </w:font>
  <w:font w:name="楷体">
    <w:panose1 w:val="02010609060101010101"/>
    <w:charset w:val="86"/>
    <w:family w:val="auto"/>
    <w:pitch w:val="default"/>
    <w:sig w:usb0="800002BF" w:usb1="38CF7CFA" w:usb2="00000016" w:usb3="00000000" w:csb0="00040001" w:csb1="00000000"/>
  </w:font>
  <w:font w:name="Euphemia">
    <w:panose1 w:val="020B0503040102020104"/>
    <w:charset w:val="00"/>
    <w:family w:val="auto"/>
    <w:pitch w:val="default"/>
    <w:sig w:usb0="8000006F" w:usb1="0000004A" w:usb2="00002000" w:usb3="00000000" w:csb0="0000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7BG13eAgAAJAYAAA4AAAAAAAAAAQAgAAAAHwEAAGRycy9lMm9Eb2MueG1sUEsF&#10;BgAAAAAGAAYAWQEAAG8G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rKyvfAgAAJAYAAA4AAABkcnMvZTJvRG9jLnhtbK1UzY7TMBC+I/EO&#10;lu/ZJG22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D6ysr3wIAACQGAAAOAAAAAAAAAAEAIAAAAB8BAABkcnMvZTJvRG9jLnhtbFBL&#10;BQYAAAAABgAGAFkBAABw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03ED0"/>
    <w:multiLevelType w:val="singleLevel"/>
    <w:tmpl w:val="C0003ED0"/>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31C0694"/>
    <w:multiLevelType w:val="singleLevel"/>
    <w:tmpl w:val="F31C0694"/>
    <w:lvl w:ilvl="0" w:tentative="0">
      <w:start w:val="2"/>
      <w:numFmt w:val="decimal"/>
      <w:suff w:val="nothing"/>
      <w:lvlText w:val="%1．"/>
      <w:lvlJc w:val="left"/>
    </w:lvl>
  </w:abstractNum>
  <w:abstractNum w:abstractNumId="4">
    <w:nsid w:val="0C42FC9A"/>
    <w:multiLevelType w:val="singleLevel"/>
    <w:tmpl w:val="0C42FC9A"/>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B5ACAF7"/>
    <w:multiLevelType w:val="singleLevel"/>
    <w:tmpl w:val="1B5ACAF7"/>
    <w:lvl w:ilvl="0" w:tentative="0">
      <w:start w:val="1"/>
      <w:numFmt w:val="decimal"/>
      <w:suff w:val="nothing"/>
      <w:lvlText w:val="%1、"/>
      <w:lvlJc w:val="left"/>
    </w:lvl>
  </w:abstractNum>
  <w:abstractNum w:abstractNumId="7">
    <w:nsid w:val="6E14BA12"/>
    <w:multiLevelType w:val="singleLevel"/>
    <w:tmpl w:val="6E14BA12"/>
    <w:lvl w:ilvl="0" w:tentative="0">
      <w:start w:val="1"/>
      <w:numFmt w:val="chineseCounting"/>
      <w:suff w:val="nothing"/>
      <w:lvlText w:val="%1、"/>
      <w:lvlJc w:val="left"/>
      <w:rPr>
        <w:rFonts w:hint="eastAsia"/>
      </w:rPr>
    </w:lvl>
  </w:abstractNum>
  <w:abstractNum w:abstractNumId="8">
    <w:nsid w:val="76630448"/>
    <w:multiLevelType w:val="singleLevel"/>
    <w:tmpl w:val="76630448"/>
    <w:lvl w:ilvl="0" w:tentative="0">
      <w:start w:val="2"/>
      <w:numFmt w:val="chineseCounting"/>
      <w:suff w:val="nothing"/>
      <w:lvlText w:val="（%1）"/>
      <w:lvlJc w:val="left"/>
      <w:rPr>
        <w:rFonts w:hint="eastAsia"/>
      </w:rPr>
    </w:lvl>
  </w:abstractNum>
  <w:num w:numId="1">
    <w:abstractNumId w:val="7"/>
  </w:num>
  <w:num w:numId="2">
    <w:abstractNumId w:val="5"/>
  </w:num>
  <w:num w:numId="3">
    <w:abstractNumId w:val="1"/>
  </w:num>
  <w:num w:numId="4">
    <w:abstractNumId w:val="2"/>
  </w:num>
  <w:num w:numId="5">
    <w:abstractNumId w:val="0"/>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TQzOWRjZjUxN2I0Y2M1ZDRlOWE0YzYxYThm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A7661"/>
    <w:rsid w:val="019A5AD7"/>
    <w:rsid w:val="037F15F7"/>
    <w:rsid w:val="046F27CC"/>
    <w:rsid w:val="047D34C5"/>
    <w:rsid w:val="06634414"/>
    <w:rsid w:val="06A92EDA"/>
    <w:rsid w:val="07A3126D"/>
    <w:rsid w:val="08ED3D84"/>
    <w:rsid w:val="0A2032A3"/>
    <w:rsid w:val="0A40121D"/>
    <w:rsid w:val="0B8A37D8"/>
    <w:rsid w:val="0C33529C"/>
    <w:rsid w:val="0D8853B5"/>
    <w:rsid w:val="0DBD7FF2"/>
    <w:rsid w:val="10C055FF"/>
    <w:rsid w:val="118107EC"/>
    <w:rsid w:val="11DD6519"/>
    <w:rsid w:val="11E91952"/>
    <w:rsid w:val="13976985"/>
    <w:rsid w:val="16BB723D"/>
    <w:rsid w:val="170830C2"/>
    <w:rsid w:val="18015F3F"/>
    <w:rsid w:val="1BE8440E"/>
    <w:rsid w:val="1D155CEE"/>
    <w:rsid w:val="1E0C3498"/>
    <w:rsid w:val="1EAD4A21"/>
    <w:rsid w:val="1F901EA7"/>
    <w:rsid w:val="1FBC7140"/>
    <w:rsid w:val="20F57F95"/>
    <w:rsid w:val="23B4531E"/>
    <w:rsid w:val="240371BF"/>
    <w:rsid w:val="25C741E6"/>
    <w:rsid w:val="267225A5"/>
    <w:rsid w:val="26A61953"/>
    <w:rsid w:val="26BB7F24"/>
    <w:rsid w:val="27084A19"/>
    <w:rsid w:val="272C3547"/>
    <w:rsid w:val="27842671"/>
    <w:rsid w:val="29FD04D3"/>
    <w:rsid w:val="2ABE7A3E"/>
    <w:rsid w:val="2C70392E"/>
    <w:rsid w:val="2D076061"/>
    <w:rsid w:val="2D4B636E"/>
    <w:rsid w:val="2DE82D56"/>
    <w:rsid w:val="2EFA178C"/>
    <w:rsid w:val="2F1D1280"/>
    <w:rsid w:val="30141411"/>
    <w:rsid w:val="30B46D73"/>
    <w:rsid w:val="31066A2B"/>
    <w:rsid w:val="319F7F4E"/>
    <w:rsid w:val="36437CF1"/>
    <w:rsid w:val="36B1208B"/>
    <w:rsid w:val="37F107C7"/>
    <w:rsid w:val="38C52BAC"/>
    <w:rsid w:val="39AE70AB"/>
    <w:rsid w:val="39D013C6"/>
    <w:rsid w:val="3B426993"/>
    <w:rsid w:val="3C0C0783"/>
    <w:rsid w:val="3D08071D"/>
    <w:rsid w:val="3D3F6F8E"/>
    <w:rsid w:val="3F632CDC"/>
    <w:rsid w:val="3F795B0E"/>
    <w:rsid w:val="3F9F3A96"/>
    <w:rsid w:val="3FB5178A"/>
    <w:rsid w:val="40350D30"/>
    <w:rsid w:val="43151D4B"/>
    <w:rsid w:val="46311E2A"/>
    <w:rsid w:val="46CD6F18"/>
    <w:rsid w:val="478234F8"/>
    <w:rsid w:val="47E50144"/>
    <w:rsid w:val="493C27E9"/>
    <w:rsid w:val="496F39ED"/>
    <w:rsid w:val="49A23886"/>
    <w:rsid w:val="49C1138B"/>
    <w:rsid w:val="49FF41D3"/>
    <w:rsid w:val="4A185DC8"/>
    <w:rsid w:val="4B054C48"/>
    <w:rsid w:val="4BE068DB"/>
    <w:rsid w:val="4BF6002B"/>
    <w:rsid w:val="4E2C796E"/>
    <w:rsid w:val="4E3E689E"/>
    <w:rsid w:val="4EB175C0"/>
    <w:rsid w:val="4ECE2238"/>
    <w:rsid w:val="4F3D22CD"/>
    <w:rsid w:val="4FE94B38"/>
    <w:rsid w:val="50505FEF"/>
    <w:rsid w:val="51DB4B86"/>
    <w:rsid w:val="541F3B19"/>
    <w:rsid w:val="545E5F25"/>
    <w:rsid w:val="55333C3E"/>
    <w:rsid w:val="558A2919"/>
    <w:rsid w:val="598C4EB2"/>
    <w:rsid w:val="5A044031"/>
    <w:rsid w:val="5AF665B3"/>
    <w:rsid w:val="5BB36CC2"/>
    <w:rsid w:val="5C4C6B7A"/>
    <w:rsid w:val="5D5A7ACC"/>
    <w:rsid w:val="5E273498"/>
    <w:rsid w:val="5F4BFC1E"/>
    <w:rsid w:val="5F5244A8"/>
    <w:rsid w:val="5F6E5824"/>
    <w:rsid w:val="64AA668D"/>
    <w:rsid w:val="64CA39A1"/>
    <w:rsid w:val="66703465"/>
    <w:rsid w:val="68062F86"/>
    <w:rsid w:val="689F0032"/>
    <w:rsid w:val="6A0B0B40"/>
    <w:rsid w:val="6B361B88"/>
    <w:rsid w:val="6B6F1F3D"/>
    <w:rsid w:val="6C4A05C8"/>
    <w:rsid w:val="6D4E47D2"/>
    <w:rsid w:val="6DF37C67"/>
    <w:rsid w:val="6E324F65"/>
    <w:rsid w:val="6FE337A3"/>
    <w:rsid w:val="70F31F92"/>
    <w:rsid w:val="70FF1FB5"/>
    <w:rsid w:val="72734D90"/>
    <w:rsid w:val="7296542D"/>
    <w:rsid w:val="751A73BE"/>
    <w:rsid w:val="772B58B2"/>
    <w:rsid w:val="77BB1870"/>
    <w:rsid w:val="78ED5F51"/>
    <w:rsid w:val="78F5477D"/>
    <w:rsid w:val="79091C23"/>
    <w:rsid w:val="79E7B28D"/>
    <w:rsid w:val="7B751FD6"/>
    <w:rsid w:val="7C3D13B9"/>
    <w:rsid w:val="7C775BAB"/>
    <w:rsid w:val="7CA67789"/>
    <w:rsid w:val="7CEA114D"/>
    <w:rsid w:val="7D1717B6"/>
    <w:rsid w:val="7F2EFED2"/>
    <w:rsid w:val="7F9F20EE"/>
    <w:rsid w:val="7FBD51CD"/>
    <w:rsid w:val="7FD34D39"/>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常用样式（方正仿宋简）"/>
    <w:basedOn w:val="1"/>
    <w:qFormat/>
    <w:uiPriority w:val="0"/>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39044;&#20915;&#31639;\2021&#20915;&#31639;\&#22270;&#34920;&#29983;&#2510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39044;&#20915;&#31639;\2021&#20915;&#31639;\&#22270;&#34920;&#29983;&#2510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39044;&#20915;&#31639;\2021&#20915;&#31639;\&#22270;&#34920;&#29983;&#2510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39044;&#20915;&#31639;\2021&#20915;&#31639;\&#22270;&#34920;&#29983;&#2510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1210.82万元</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2419.81万元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[图表生成.xls]Sheet1!$D$1:$E$1</c:f>
              <c:strCache>
                <c:ptCount val="2"/>
                <c:pt idx="0">
                  <c:v>2020年</c:v>
                </c:pt>
                <c:pt idx="1">
                  <c:v>2021年</c:v>
                </c:pt>
              </c:strCache>
            </c:strRef>
          </c:cat>
          <c:val>
            <c:numRef>
              <c:f>[图表生成.xls]Sheet1!$D$2:$E$2</c:f>
              <c:numCache>
                <c:formatCode>General</c:formatCode>
                <c:ptCount val="2"/>
                <c:pt idx="0">
                  <c:v>1210.82</c:v>
                </c:pt>
                <c:pt idx="1">
                  <c:v>2419.81</c:v>
                </c:pt>
              </c:numCache>
            </c:numRef>
          </c:val>
        </c:ser>
        <c:dLbls>
          <c:showLegendKey val="0"/>
          <c:showVal val="0"/>
          <c:showCatName val="0"/>
          <c:showSerName val="0"/>
          <c:showPercent val="0"/>
          <c:showBubbleSize val="0"/>
        </c:dLbls>
        <c:gapWidth val="75"/>
        <c:overlap val="0"/>
        <c:axId val="89234384"/>
        <c:axId val="402107780"/>
      </c:barChart>
      <c:catAx>
        <c:axId val="892343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7780"/>
        <c:crosses val="autoZero"/>
        <c:auto val="1"/>
        <c:lblAlgn val="ctr"/>
        <c:lblOffset val="100"/>
        <c:noMultiLvlLbl val="0"/>
      </c:catAx>
      <c:valAx>
        <c:axId val="402107780"/>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spPr/>
          <c:explosion val="0"/>
          <c:dPt>
            <c:idx val="0"/>
            <c:bubble3D val="0"/>
            <c:explosion val="0"/>
            <c:spPr>
              <a:solidFill>
                <a:schemeClr val="accent3">
                  <a:tint val="76667"/>
                </a:schemeClr>
              </a:solidFill>
              <a:ln w="19050">
                <a:solidFill>
                  <a:schemeClr val="lt1"/>
                </a:solidFill>
              </a:ln>
              <a:effectLst/>
            </c:spPr>
          </c:dPt>
          <c:dPt>
            <c:idx val="1"/>
            <c:bubble3D val="0"/>
            <c:explosion val="0"/>
            <c:spPr>
              <a:solidFill>
                <a:schemeClr val="accent3">
                  <a:shade val="76667"/>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146.86</a:t>
                    </a:r>
                    <a:r>
                      <a:rPr altLang="en-US"/>
                      <a:t>万元</a:t>
                    </a:r>
                    <a:r>
                      <a:t>14.36%</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876.16</a:t>
                    </a:r>
                    <a:r>
                      <a:rPr altLang="en-US"/>
                      <a:t>万元</a:t>
                    </a:r>
                    <a:r>
                      <a:t>85.64%</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[图表生成.xls]Sheet1!$C$12:$D$12</c:f>
              <c:strCache>
                <c:ptCount val="2"/>
                <c:pt idx="0">
                  <c:v>一般公共预算财政拨款收入</c:v>
                </c:pt>
                <c:pt idx="1">
                  <c:v>政府性基金预算财政拨款收入</c:v>
                </c:pt>
              </c:strCache>
            </c:strRef>
          </c:cat>
          <c:val>
            <c:numRef>
              <c:f>[图表生成.xls]Sheet1!$C$13:$D$13</c:f>
              <c:numCache>
                <c:formatCode>General</c:formatCode>
                <c:ptCount val="2"/>
                <c:pt idx="0">
                  <c:v>146.86</c:v>
                </c:pt>
                <c:pt idx="1">
                  <c:v>876.16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spPr/>
          <c:explosion val="0"/>
          <c:dPt>
            <c:idx val="0"/>
            <c:bubble3D val="0"/>
            <c:explosion val="0"/>
            <c:spPr>
              <a:solidFill>
                <a:schemeClr val="accent3">
                  <a:tint val="76667"/>
                </a:schemeClr>
              </a:solidFill>
              <a:ln w="19050">
                <a:solidFill>
                  <a:schemeClr val="lt1"/>
                </a:solidFill>
              </a:ln>
              <a:effectLst/>
            </c:spPr>
          </c:dPt>
          <c:dPt>
            <c:idx val="1"/>
            <c:bubble3D val="0"/>
            <c:explosion val="0"/>
            <c:spPr>
              <a:solidFill>
                <a:schemeClr val="accent3">
                  <a:shade val="76667"/>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49.96</a:t>
                    </a:r>
                    <a:r>
                      <a:rPr altLang="en-US"/>
                      <a:t>万元，</a:t>
                    </a:r>
                    <a:r>
                      <a:t>2.23%</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2190.48</a:t>
                    </a:r>
                    <a:r>
                      <a:rPr altLang="en-US"/>
                      <a:t>万元，</a:t>
                    </a:r>
                    <a:r>
                      <a:t>97.77%</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[图表生成.xls]Sheet1!$C$44:$D$44</c:f>
              <c:strCache>
                <c:ptCount val="2"/>
                <c:pt idx="0">
                  <c:v>基本支出</c:v>
                </c:pt>
                <c:pt idx="1">
                  <c:v>项目支出</c:v>
                </c:pt>
              </c:strCache>
            </c:strRef>
          </c:cat>
          <c:val>
            <c:numRef>
              <c:f>[图表生成.xls]Sheet1!$C$45:$D$45</c:f>
              <c:numCache>
                <c:formatCode>General</c:formatCode>
                <c:ptCount val="2"/>
                <c:pt idx="0">
                  <c:v>49.96</c:v>
                </c:pt>
                <c:pt idx="1">
                  <c:v>2190.48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0853611111111111"/>
          <c:y val="0.0509259259259259"/>
          <c:w val="0.882"/>
          <c:h val="0.83712962962963"/>
        </c:manualLayout>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[图表生成.xls]Sheet1!$D$1:$E$1</c:f>
              <c:strCache>
                <c:ptCount val="2"/>
                <c:pt idx="0">
                  <c:v>2020年</c:v>
                </c:pt>
                <c:pt idx="1">
                  <c:v>2021年</c:v>
                </c:pt>
              </c:strCache>
            </c:strRef>
          </c:cat>
          <c:val>
            <c:numRef>
              <c:f>[图表生成.xls]Sheet1!$D$2:$E$2</c:f>
              <c:numCache>
                <c:formatCode>General</c:formatCode>
                <c:ptCount val="2"/>
                <c:pt idx="0">
                  <c:v>1210.82</c:v>
                </c:pt>
                <c:pt idx="1">
                  <c:v>2419.81</c:v>
                </c:pt>
              </c:numCache>
            </c:numRef>
          </c:val>
        </c:ser>
        <c:dLbls>
          <c:showLegendKey val="0"/>
          <c:showVal val="0"/>
          <c:showCatName val="0"/>
          <c:showSerName val="0"/>
          <c:showPercent val="0"/>
          <c:showBubbleSize val="0"/>
        </c:dLbls>
        <c:gapWidth val="75"/>
        <c:overlap val="0"/>
        <c:axId val="89234384"/>
        <c:axId val="402107780"/>
      </c:barChart>
      <c:catAx>
        <c:axId val="892343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7780"/>
        <c:crosses val="autoZero"/>
        <c:auto val="1"/>
        <c:lblAlgn val="ctr"/>
        <c:lblOffset val="100"/>
        <c:noMultiLvlLbl val="0"/>
      </c:catAx>
      <c:valAx>
        <c:axId val="402107780"/>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一般公共财政预算收入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683.51</c:v>
                </c:pt>
                <c:pt idx="1">
                  <c:v>1343.31</c:v>
                </c:pt>
              </c:numCache>
            </c:numRef>
          </c:val>
        </c:ser>
        <c:dLbls>
          <c:showLegendKey val="0"/>
          <c:showVal val="1"/>
          <c:showCatName val="0"/>
          <c:showSerName val="0"/>
          <c:showPercent val="0"/>
          <c:showBubbleSize val="0"/>
        </c:dLbls>
        <c:gapWidth val="75"/>
        <c:overlap val="0"/>
        <c:axId val="775455582"/>
        <c:axId val="128447112"/>
      </c:barChart>
      <c:catAx>
        <c:axId val="7754555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47112"/>
        <c:crosses val="autoZero"/>
        <c:auto val="1"/>
        <c:lblAlgn val="ctr"/>
        <c:lblOffset val="100"/>
        <c:noMultiLvlLbl val="0"/>
      </c:catAx>
      <c:valAx>
        <c:axId val="12844711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54555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55674082776128"/>
                  <c:y val="-0.031609183677977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1335.11万元，</a:t>
                    </a:r>
                    <a:r>
                      <a:rPr lang="en-US" altLang="zh-CN"/>
                      <a:t>99.38%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373675974367"/>
                  <c:y val="-0.012292798844507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4.33万元，</a:t>
                    </a:r>
                    <a:r>
                      <a:rPr lang="en-US" altLang="zh-CN"/>
                      <a:t>0.32%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9697023575859"/>
                  <c:y val="-0.040947410678442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3.87万元，</a:t>
                    </a:r>
                    <a:r>
                      <a:rPr lang="en-US" altLang="zh-CN"/>
                      <a:t>0.29%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卫生健康</c:v>
                </c:pt>
                <c:pt idx="2">
                  <c:v>住房保障</c:v>
                </c:pt>
              </c:strCache>
            </c:strRef>
          </c:cat>
          <c:val>
            <c:numRef>
              <c:f>Sheet1!$B$2:$B$4</c:f>
              <c:numCache>
                <c:formatCode>General</c:formatCode>
                <c:ptCount val="3"/>
                <c:pt idx="0">
                  <c:v>1335.11</c:v>
                </c:pt>
                <c:pt idx="1">
                  <c:v>4.33</c:v>
                </c:pt>
                <c:pt idx="2">
                  <c:v>3.87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3">
                  <a:tint val="76667"/>
                </a:schemeClr>
              </a:solidFill>
              <a:ln w="19050">
                <a:solidFill>
                  <a:schemeClr val="lt1"/>
                </a:solidFill>
              </a:ln>
              <a:effectLst/>
            </c:spPr>
          </c:dPt>
          <c:dPt>
            <c:idx val="1"/>
            <c:bubble3D val="0"/>
            <c:spPr>
              <a:solidFill>
                <a:schemeClr val="accent3">
                  <a:shade val="76667"/>
                </a:schemeClr>
              </a:solidFill>
              <a:ln w="19050">
                <a:solidFill>
                  <a:schemeClr val="lt1"/>
                </a:solidFill>
              </a:ln>
              <a:effectLst/>
            </c:spPr>
          </c:dPt>
          <c:dLbls>
            <c:dLbl>
              <c:idx val="0"/>
              <c:layout>
                <c:manualLayout>
                  <c:x val="0.0692677928763614"/>
                  <c:y val="0.059188291273906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0.5万元，</a:t>
                    </a:r>
                    <a:r>
                      <a:rPr lang="en-US" altLang="zh-CN"/>
                      <a:t>24.51%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87856400895626"/>
                  <c:y val="-0.01711185156744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1.54万元，</a:t>
                    </a:r>
                    <a:r>
                      <a:rPr lang="en-US" altLang="zh-CN"/>
                      <a:t>75.49%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公务公车购置及运行维护费</c:v>
                </c:pt>
              </c:strCache>
            </c:strRef>
          </c:cat>
          <c:val>
            <c:numRef>
              <c:f>Sheet1!$B$2:$B$3</c:f>
              <c:numCache>
                <c:formatCode>General</c:formatCode>
                <c:ptCount val="2"/>
                <c:pt idx="0">
                  <c:v>0.5</c:v>
                </c:pt>
                <c:pt idx="1">
                  <c:v>1.54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withinLinearReversed" id="23">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7855</Words>
  <Characters>8518</Characters>
  <Lines>61</Lines>
  <Paragraphs>17</Paragraphs>
  <TotalTime>0</TotalTime>
  <ScaleCrop>false</ScaleCrop>
  <LinksUpToDate>false</LinksUpToDate>
  <CharactersWithSpaces>8586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2022-08-06T10:23:00Z</cp:lastPrinted>
  <dcterms:modified xsi:type="dcterms:W3CDTF">2023-07-05T09:59:51Z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D25A2B1D3E7E457E891AC05478008F99</vt:lpwstr>
  </property>
</Properties>
</file>