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77425"/>
      <w:bookmarkStart w:id="2" w:name="_Toc15396597"/>
      <w:bookmarkStart w:id="3" w:name="_Toc15377193"/>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1000" w:lineRule="exact"/>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2021年度</w:t>
      </w:r>
      <w:bookmarkEnd w:id="0"/>
      <w:bookmarkEnd w:id="1"/>
      <w:bookmarkEnd w:id="2"/>
      <w:bookmarkEnd w:id="3"/>
      <w:bookmarkEnd w:id="4"/>
    </w:p>
    <w:p>
      <w:pPr>
        <w:adjustRightInd w:val="0"/>
        <w:snapToGrid w:val="0"/>
        <w:spacing w:line="1000" w:lineRule="exact"/>
        <w:jc w:val="center"/>
        <w:outlineLvl w:val="0"/>
        <w:rPr>
          <w:rFonts w:ascii="方正小标宋简体" w:hAnsi="方正小标宋简体" w:eastAsia="方正小标宋简体" w:cs="方正小标宋简体"/>
          <w:sz w:val="52"/>
          <w:szCs w:val="52"/>
        </w:rPr>
      </w:pPr>
      <w:bookmarkStart w:id="6" w:name="_Toc15396476"/>
      <w:bookmarkStart w:id="7" w:name="_Toc15378442"/>
      <w:bookmarkStart w:id="8" w:name="_Toc15377426"/>
      <w:bookmarkStart w:id="9" w:name="_Toc15396598"/>
      <w:bookmarkStart w:id="10" w:name="_Toc15377194"/>
      <w:r>
        <w:rPr>
          <w:rFonts w:hint="eastAsia" w:ascii="方正小标宋简体" w:hAnsi="方正小标宋简体" w:eastAsia="方正小标宋简体" w:cs="方正小标宋简体"/>
          <w:sz w:val="52"/>
          <w:szCs w:val="52"/>
        </w:rPr>
        <w:t>广元市</w:t>
      </w:r>
      <w:bookmarkEnd w:id="5"/>
      <w:bookmarkStart w:id="11" w:name="_Toc15306268"/>
      <w:r>
        <w:rPr>
          <w:rFonts w:hint="eastAsia" w:ascii="方正小标宋简体" w:hAnsi="方正小标宋简体" w:eastAsia="方正小标宋简体" w:cs="方正小标宋简体"/>
          <w:sz w:val="52"/>
          <w:szCs w:val="52"/>
        </w:rPr>
        <w:t>人民政府办公室部门决算</w:t>
      </w:r>
      <w:bookmarkEnd w:id="6"/>
      <w:bookmarkEnd w:id="7"/>
      <w:bookmarkEnd w:id="8"/>
      <w:bookmarkEnd w:id="9"/>
      <w:bookmarkEnd w:id="10"/>
      <w:bookmarkEnd w:id="11"/>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2"/>
      </w:pPr>
      <w:r>
        <w:rPr>
          <w:rFonts w:hint="eastAsia"/>
        </w:rPr>
        <w:t>公开时间：2022年9月27日</w:t>
      </w:r>
    </w:p>
    <w:p/>
    <w:p>
      <w:pPr>
        <w:rPr>
          <w:rFonts w:ascii="黑体" w:hAnsi="黑体" w:eastAsia="黑体"/>
          <w:sz w:val="24"/>
          <w:szCs w:val="28"/>
        </w:rPr>
      </w:pPr>
      <w:r>
        <w:rPr>
          <w:rFonts w:hint="eastAsia" w:ascii="黑体" w:hAnsi="黑体" w:eastAsia="黑体"/>
          <w:sz w:val="24"/>
          <w:szCs w:val="28"/>
        </w:rPr>
        <w:t>第一部分 部门概况</w:t>
      </w:r>
      <w:r>
        <w:rPr>
          <w:rFonts w:hint="eastAsia" w:ascii="仿宋_GB2312" w:hAnsi="黑体" w:eastAsia="仿宋_GB2312"/>
        </w:rPr>
        <w:t>………………………………………………………</w:t>
      </w:r>
      <w:r>
        <w:rPr>
          <w:rFonts w:hint="eastAsia" w:ascii="仿宋_GB2312" w:hAnsi="黑体" w:eastAsia="仿宋_GB2312"/>
          <w:spacing w:val="4"/>
        </w:rPr>
        <w:t>……</w:t>
      </w:r>
      <w:r>
        <w:rPr>
          <w:rFonts w:hint="eastAsia" w:ascii="仿宋_GB2312" w:hAnsi="黑体" w:eastAsia="仿宋_GB2312"/>
          <w:spacing w:val="10"/>
        </w:rPr>
        <w:t>……</w:t>
      </w:r>
      <w:r>
        <w:rPr>
          <w:rFonts w:hint="eastAsia" w:ascii="仿宋_GB2312" w:hAnsi="黑体" w:eastAsia="仿宋_GB2312"/>
        </w:rPr>
        <w:t>…………</w:t>
      </w:r>
      <w:r>
        <w:rPr>
          <w:rFonts w:hint="eastAsia" w:ascii="黑体" w:hAnsi="黑体" w:eastAsia="黑体"/>
          <w:sz w:val="24"/>
          <w:szCs w:val="28"/>
        </w:rPr>
        <w:t>4</w:t>
      </w:r>
    </w:p>
    <w:p>
      <w:pPr>
        <w:pStyle w:val="15"/>
        <w:adjustRightInd w:val="0"/>
        <w:snapToGrid w:val="0"/>
        <w:spacing w:line="440" w:lineRule="exact"/>
        <w:jc w:val="left"/>
        <w:rPr>
          <w:rFonts w:ascii="仿宋_GB2312" w:hAnsi="黑体" w:eastAsia="仿宋_GB2312"/>
        </w:rPr>
      </w:pPr>
      <w:r>
        <w:rPr>
          <w:rFonts w:hint="eastAsia" w:ascii="仿宋_GB2312" w:eastAsia="仿宋_GB2312"/>
          <w:sz w:val="24"/>
        </w:rPr>
        <w:t>一、基本职能及主要工作</w:t>
      </w:r>
      <w:r>
        <w:rPr>
          <w:rFonts w:hint="eastAsia" w:ascii="仿宋_GB2312" w:hAnsi="黑体" w:eastAsia="仿宋_GB2312"/>
        </w:rPr>
        <w:tab/>
      </w:r>
      <w:r>
        <w:rPr>
          <w:rFonts w:hint="eastAsia" w:ascii="仿宋_GB2312" w:hAnsi="黑体" w:eastAsia="仿宋_GB2312"/>
        </w:rPr>
        <w:t>4</w:t>
      </w:r>
    </w:p>
    <w:p>
      <w:pPr>
        <w:pStyle w:val="15"/>
        <w:adjustRightInd w:val="0"/>
        <w:snapToGrid w:val="0"/>
        <w:spacing w:line="440" w:lineRule="exact"/>
        <w:jc w:val="left"/>
        <w:rPr>
          <w:rFonts w:hint="eastAsia" w:ascii="仿宋_GB2312" w:hAnsi="黑体" w:eastAsia="仿宋_GB2312"/>
        </w:rPr>
      </w:pPr>
      <w:r>
        <w:rPr>
          <w:rFonts w:hint="eastAsia" w:ascii="仿宋_GB2312" w:eastAsia="仿宋_GB2312"/>
          <w:sz w:val="24"/>
        </w:rPr>
        <w:t>二、机构设置</w:t>
      </w:r>
      <w:r>
        <w:rPr>
          <w:rFonts w:hint="eastAsia" w:ascii="仿宋_GB2312" w:hAnsi="黑体" w:eastAsia="仿宋_GB2312"/>
        </w:rPr>
        <w:tab/>
      </w:r>
      <w:r>
        <w:rPr>
          <w:rFonts w:hint="eastAsia" w:ascii="仿宋_GB2312" w:hAnsi="黑体" w:eastAsia="仿宋_GB2312"/>
        </w:rPr>
        <w:t>14</w:t>
      </w:r>
    </w:p>
    <w:p>
      <w:pPr>
        <w:pStyle w:val="12"/>
        <w:adjustRightInd w:val="0"/>
        <w:snapToGrid w:val="0"/>
        <w:spacing w:before="0" w:line="440" w:lineRule="exact"/>
        <w:jc w:val="left"/>
        <w:rPr>
          <w:rFonts w:ascii="黑体" w:hAnsi="黑体" w:eastAsia="黑体"/>
          <w:sz w:val="24"/>
        </w:rPr>
      </w:pPr>
      <w:r>
        <w:rPr>
          <w:rFonts w:hint="eastAsia" w:ascii="黑体" w:hAnsi="黑体" w:eastAsia="黑体"/>
          <w:sz w:val="24"/>
        </w:rPr>
        <w:t>第二部分 2021年度部门决算情况说明</w:t>
      </w:r>
      <w:r>
        <w:rPr>
          <w:rFonts w:hint="eastAsia" w:ascii="黑体" w:hAnsi="黑体" w:eastAsia="黑体"/>
          <w:sz w:val="24"/>
        </w:rPr>
        <w:tab/>
      </w:r>
      <w:r>
        <w:rPr>
          <w:rFonts w:hint="eastAsia" w:ascii="黑体" w:hAnsi="黑体" w:eastAsia="黑体"/>
          <w:sz w:val="24"/>
        </w:rPr>
        <w:t>15</w:t>
      </w:r>
    </w:p>
    <w:p>
      <w:pPr>
        <w:pStyle w:val="15"/>
        <w:adjustRightInd w:val="0"/>
        <w:snapToGrid w:val="0"/>
        <w:spacing w:line="440" w:lineRule="exact"/>
        <w:jc w:val="left"/>
        <w:rPr>
          <w:rFonts w:ascii="仿宋_GB2312" w:hAnsi="仿宋" w:eastAsia="仿宋_GB2312" w:cstheme="minorBidi"/>
          <w:sz w:val="24"/>
        </w:rPr>
      </w:pPr>
      <w:r>
        <w:rPr>
          <w:rFonts w:hint="eastAsia" w:ascii="仿宋_GB2312" w:eastAsia="仿宋_GB2312"/>
          <w:sz w:val="24"/>
        </w:rPr>
        <w:t>一、收入支出决算总体情况说明</w:t>
      </w:r>
      <w:r>
        <w:rPr>
          <w:rFonts w:hint="eastAsia" w:ascii="仿宋_GB2312" w:hAnsi="黑体" w:eastAsia="仿宋_GB2312"/>
        </w:rPr>
        <w:tab/>
      </w:r>
      <w:r>
        <w:rPr>
          <w:rFonts w:hint="eastAsia" w:ascii="仿宋_GB2312" w:hAnsi="黑体" w:eastAsia="仿宋_GB2312"/>
        </w:rPr>
        <w:t>15</w:t>
      </w:r>
    </w:p>
    <w:p>
      <w:pPr>
        <w:pStyle w:val="15"/>
        <w:adjustRightInd w:val="0"/>
        <w:snapToGrid w:val="0"/>
        <w:spacing w:line="440" w:lineRule="exact"/>
        <w:jc w:val="left"/>
        <w:rPr>
          <w:rFonts w:ascii="仿宋_GB2312" w:hAnsi="仿宋" w:eastAsia="仿宋_GB2312" w:cstheme="minorBidi"/>
          <w:sz w:val="24"/>
        </w:rPr>
      </w:pPr>
      <w:r>
        <w:rPr>
          <w:rFonts w:hint="eastAsia" w:ascii="仿宋_GB2312" w:eastAsia="仿宋_GB2312"/>
          <w:sz w:val="24"/>
        </w:rPr>
        <w:t>二、收入决算情况说明</w:t>
      </w:r>
      <w:r>
        <w:rPr>
          <w:rFonts w:hint="eastAsia" w:ascii="仿宋_GB2312" w:hAnsi="黑体" w:eastAsia="仿宋_GB2312"/>
        </w:rPr>
        <w:tab/>
      </w:r>
      <w:r>
        <w:rPr>
          <w:rFonts w:hint="eastAsia" w:ascii="仿宋_GB2312" w:hAnsi="黑体" w:eastAsia="仿宋_GB2312"/>
        </w:rPr>
        <w:t>15</w:t>
      </w:r>
    </w:p>
    <w:p>
      <w:pPr>
        <w:pStyle w:val="15"/>
        <w:adjustRightInd w:val="0"/>
        <w:snapToGrid w:val="0"/>
        <w:spacing w:line="440" w:lineRule="exact"/>
        <w:jc w:val="left"/>
        <w:rPr>
          <w:rFonts w:ascii="仿宋_GB2312" w:hAnsi="仿宋" w:eastAsia="仿宋_GB2312" w:cstheme="minorBidi"/>
          <w:sz w:val="24"/>
        </w:rPr>
      </w:pPr>
      <w:r>
        <w:rPr>
          <w:rFonts w:hint="eastAsia" w:ascii="仿宋_GB2312" w:eastAsia="仿宋_GB2312"/>
          <w:sz w:val="24"/>
        </w:rPr>
        <w:t>三、支出决算情况说明</w:t>
      </w:r>
      <w:r>
        <w:rPr>
          <w:rFonts w:hint="eastAsia" w:ascii="仿宋_GB2312" w:hAnsi="黑体" w:eastAsia="仿宋_GB2312"/>
        </w:rPr>
        <w:tab/>
      </w:r>
      <w:r>
        <w:rPr>
          <w:rFonts w:hint="eastAsia" w:ascii="仿宋_GB2312" w:hAnsi="黑体" w:eastAsia="仿宋_GB2312"/>
        </w:rPr>
        <w:t>16</w:t>
      </w:r>
    </w:p>
    <w:p>
      <w:pPr>
        <w:pStyle w:val="15"/>
        <w:adjustRightInd w:val="0"/>
        <w:snapToGrid w:val="0"/>
        <w:spacing w:line="440" w:lineRule="exact"/>
        <w:jc w:val="left"/>
        <w:rPr>
          <w:rFonts w:ascii="仿宋_GB2312" w:hAnsi="仿宋" w:eastAsia="仿宋_GB2312" w:cstheme="minorBidi"/>
          <w:sz w:val="24"/>
        </w:rPr>
      </w:pPr>
      <w:r>
        <w:rPr>
          <w:rFonts w:hint="eastAsia" w:ascii="仿宋_GB2312" w:eastAsia="仿宋_GB2312"/>
          <w:sz w:val="24"/>
        </w:rPr>
        <w:t>四、财政拨款收入支出决算总体情况说明</w:t>
      </w:r>
      <w:r>
        <w:rPr>
          <w:rFonts w:hint="eastAsia" w:ascii="仿宋_GB2312" w:hAnsi="黑体" w:eastAsia="仿宋_GB2312"/>
        </w:rPr>
        <w:tab/>
      </w:r>
      <w:r>
        <w:rPr>
          <w:rFonts w:hint="eastAsia" w:ascii="仿宋_GB2312" w:hAnsi="黑体" w:eastAsia="仿宋_GB2312"/>
        </w:rPr>
        <w:t>16</w:t>
      </w:r>
    </w:p>
    <w:p>
      <w:pPr>
        <w:pStyle w:val="15"/>
        <w:adjustRightInd w:val="0"/>
        <w:snapToGrid w:val="0"/>
        <w:spacing w:line="440" w:lineRule="exact"/>
        <w:jc w:val="left"/>
        <w:rPr>
          <w:rFonts w:ascii="仿宋_GB2312" w:hAnsi="仿宋" w:eastAsia="仿宋_GB2312" w:cstheme="minorBidi"/>
          <w:sz w:val="24"/>
        </w:rPr>
      </w:pPr>
      <w:r>
        <w:rPr>
          <w:rFonts w:hint="eastAsia" w:ascii="仿宋_GB2312" w:eastAsia="仿宋_GB2312"/>
          <w:sz w:val="24"/>
        </w:rPr>
        <w:t>五、一般公共预算财政拨款支出决算情况说明</w:t>
      </w:r>
      <w:r>
        <w:rPr>
          <w:rFonts w:hint="eastAsia" w:ascii="仿宋_GB2312" w:hAnsi="黑体" w:eastAsia="仿宋_GB2312"/>
        </w:rPr>
        <w:tab/>
      </w:r>
      <w:r>
        <w:rPr>
          <w:rFonts w:hint="eastAsia" w:ascii="仿宋_GB2312" w:hAnsi="黑体" w:eastAsia="仿宋_GB2312"/>
        </w:rPr>
        <w:t>17</w:t>
      </w:r>
    </w:p>
    <w:p>
      <w:pPr>
        <w:pStyle w:val="15"/>
        <w:adjustRightInd w:val="0"/>
        <w:snapToGrid w:val="0"/>
        <w:spacing w:line="440" w:lineRule="exact"/>
        <w:jc w:val="left"/>
        <w:rPr>
          <w:rFonts w:ascii="仿宋_GB2312" w:hAnsi="仿宋" w:eastAsia="仿宋_GB2312" w:cstheme="minorBidi"/>
          <w:sz w:val="24"/>
        </w:rPr>
      </w:pPr>
      <w:r>
        <w:rPr>
          <w:rFonts w:hint="eastAsia" w:ascii="仿宋_GB2312" w:eastAsia="仿宋_GB2312"/>
          <w:sz w:val="24"/>
        </w:rPr>
        <w:t>六、一般公共预算财政拨款基本支出决算情况说明</w:t>
      </w:r>
      <w:r>
        <w:rPr>
          <w:rFonts w:hint="eastAsia" w:ascii="仿宋_GB2312" w:hAnsi="黑体" w:eastAsia="仿宋_GB2312"/>
        </w:rPr>
        <w:tab/>
      </w:r>
      <w:r>
        <w:rPr>
          <w:rFonts w:hint="eastAsia" w:ascii="仿宋_GB2312" w:hAnsi="黑体" w:eastAsia="仿宋_GB2312"/>
        </w:rPr>
        <w:t>20</w:t>
      </w:r>
    </w:p>
    <w:p>
      <w:pPr>
        <w:pStyle w:val="15"/>
        <w:adjustRightInd w:val="0"/>
        <w:snapToGrid w:val="0"/>
        <w:spacing w:line="440" w:lineRule="exact"/>
        <w:jc w:val="left"/>
        <w:rPr>
          <w:rFonts w:ascii="仿宋_GB2312" w:hAnsi="仿宋" w:eastAsia="仿宋_GB2312" w:cstheme="minorBidi"/>
          <w:sz w:val="24"/>
        </w:rPr>
      </w:pPr>
      <w:r>
        <w:rPr>
          <w:rFonts w:hint="eastAsia" w:ascii="仿宋_GB2312" w:eastAsia="仿宋_GB2312"/>
          <w:sz w:val="24"/>
        </w:rPr>
        <w:t>七、“三公”经费财政拨款支出决算情况说明</w:t>
      </w:r>
      <w:r>
        <w:rPr>
          <w:rFonts w:hint="eastAsia" w:ascii="仿宋_GB2312" w:hAnsi="黑体" w:eastAsia="仿宋_GB2312"/>
        </w:rPr>
        <w:tab/>
      </w:r>
      <w:r>
        <w:rPr>
          <w:rFonts w:hint="eastAsia" w:ascii="仿宋_GB2312" w:hAnsi="黑体" w:eastAsia="仿宋_GB2312"/>
        </w:rPr>
        <w:t>20</w:t>
      </w:r>
    </w:p>
    <w:p>
      <w:pPr>
        <w:pStyle w:val="15"/>
        <w:adjustRightInd w:val="0"/>
        <w:snapToGrid w:val="0"/>
        <w:spacing w:line="440" w:lineRule="exact"/>
        <w:jc w:val="left"/>
        <w:rPr>
          <w:rFonts w:ascii="仿宋_GB2312" w:hAnsi="仿宋" w:eastAsia="仿宋_GB2312" w:cstheme="minorBidi"/>
          <w:sz w:val="24"/>
        </w:rPr>
      </w:pPr>
      <w:r>
        <w:rPr>
          <w:rFonts w:hint="eastAsia" w:ascii="仿宋_GB2312" w:eastAsia="仿宋_GB2312"/>
          <w:sz w:val="24"/>
        </w:rPr>
        <w:t>八、政府性基金预算支出决算情况说明</w:t>
      </w:r>
      <w:r>
        <w:rPr>
          <w:rFonts w:hint="eastAsia" w:ascii="仿宋_GB2312" w:hAnsi="黑体" w:eastAsia="仿宋_GB2312"/>
        </w:rPr>
        <w:tab/>
      </w:r>
      <w:r>
        <w:rPr>
          <w:rFonts w:hint="eastAsia" w:ascii="仿宋_GB2312" w:hAnsi="黑体" w:eastAsia="仿宋_GB2312"/>
        </w:rPr>
        <w:t>22</w:t>
      </w:r>
    </w:p>
    <w:p>
      <w:pPr>
        <w:pStyle w:val="15"/>
        <w:adjustRightInd w:val="0"/>
        <w:snapToGrid w:val="0"/>
        <w:spacing w:line="440" w:lineRule="exact"/>
        <w:ind w:leftChars="0"/>
        <w:jc w:val="left"/>
        <w:rPr>
          <w:rFonts w:ascii="仿宋_GB2312" w:eastAsia="仿宋_GB2312" w:hAnsiTheme="minorEastAsia" w:cstheme="minorEastAsia"/>
          <w:sz w:val="24"/>
        </w:rPr>
      </w:pPr>
      <w:r>
        <w:rPr>
          <w:rFonts w:hint="eastAsia" w:ascii="仿宋_GB2312" w:eastAsia="仿宋_GB2312" w:hAnsiTheme="minorEastAsia" w:cstheme="minorEastAsia"/>
          <w:sz w:val="24"/>
        </w:rPr>
        <w:t>九、国有资本经营预算支出决算情况说明</w:t>
      </w:r>
      <w:r>
        <w:rPr>
          <w:rFonts w:hint="eastAsia" w:ascii="仿宋_GB2312" w:hAnsi="黑体" w:eastAsia="仿宋_GB2312"/>
        </w:rPr>
        <w:tab/>
      </w:r>
      <w:r>
        <w:rPr>
          <w:rFonts w:hint="eastAsia" w:ascii="仿宋_GB2312" w:hAnsi="黑体" w:eastAsia="仿宋_GB2312"/>
        </w:rPr>
        <w:t>22</w:t>
      </w:r>
    </w:p>
    <w:p>
      <w:pPr>
        <w:pStyle w:val="12"/>
        <w:adjustRightInd w:val="0"/>
        <w:snapToGrid w:val="0"/>
        <w:spacing w:before="0" w:line="440" w:lineRule="exact"/>
        <w:ind w:firstLine="560" w:firstLineChars="200"/>
        <w:jc w:val="left"/>
        <w:rPr>
          <w:rFonts w:ascii="仿宋_GB2312" w:hAnsi="Times New Roman" w:eastAsia="仿宋_GB2312"/>
          <w:sz w:val="24"/>
          <w:szCs w:val="24"/>
        </w:rPr>
      </w:pPr>
      <w:r>
        <w:rPr>
          <w:rFonts w:hint="eastAsia" w:hAnsi="Times New Roman"/>
          <w:szCs w:val="24"/>
        </w:rPr>
        <w:t>十、</w:t>
      </w:r>
      <w:r>
        <w:rPr>
          <w:rFonts w:hint="eastAsia" w:ascii="仿宋_GB2312" w:hAnsi="Times New Roman" w:eastAsia="仿宋_GB2312"/>
          <w:sz w:val="24"/>
          <w:szCs w:val="24"/>
        </w:rPr>
        <w:t>预算绩效管理情况</w:t>
      </w:r>
      <w:r>
        <w:rPr>
          <w:rFonts w:hint="eastAsia" w:ascii="仿宋_GB2312" w:hAnsi="Times New Roman" w:eastAsia="仿宋_GB2312"/>
          <w:sz w:val="24"/>
          <w:szCs w:val="24"/>
        </w:rPr>
        <w:tab/>
      </w:r>
      <w:r>
        <w:rPr>
          <w:rFonts w:hint="eastAsia" w:ascii="仿宋_GB2312" w:hAnsi="Times New Roman" w:eastAsia="仿宋_GB2312"/>
          <w:sz w:val="24"/>
          <w:szCs w:val="24"/>
        </w:rPr>
        <w:t>22</w:t>
      </w:r>
    </w:p>
    <w:p>
      <w:pPr>
        <w:pStyle w:val="12"/>
        <w:adjustRightInd w:val="0"/>
        <w:snapToGrid w:val="0"/>
        <w:spacing w:before="0" w:line="440" w:lineRule="exact"/>
        <w:ind w:firstLine="480" w:firstLineChars="200"/>
        <w:jc w:val="left"/>
        <w:rPr>
          <w:rFonts w:ascii="仿宋_GB2312" w:hAnsi="Times New Roman" w:eastAsia="仿宋_GB2312"/>
          <w:sz w:val="24"/>
          <w:szCs w:val="24"/>
        </w:rPr>
      </w:pPr>
      <w:r>
        <w:rPr>
          <w:rFonts w:hint="eastAsia" w:ascii="仿宋_GB2312" w:hAnsi="Times New Roman" w:eastAsia="仿宋_GB2312"/>
          <w:sz w:val="24"/>
          <w:szCs w:val="24"/>
        </w:rPr>
        <w:t>十一、其他重要事项的情况说明</w:t>
      </w:r>
      <w:r>
        <w:rPr>
          <w:rFonts w:hint="eastAsia" w:ascii="仿宋_GB2312" w:hAnsi="Times New Roman" w:eastAsia="仿宋_GB2312"/>
          <w:sz w:val="24"/>
          <w:szCs w:val="24"/>
        </w:rPr>
        <w:tab/>
      </w:r>
      <w:r>
        <w:rPr>
          <w:rFonts w:hint="eastAsia" w:ascii="仿宋_GB2312" w:hAnsi="Times New Roman" w:eastAsia="仿宋_GB2312"/>
          <w:sz w:val="24"/>
          <w:szCs w:val="24"/>
        </w:rPr>
        <w:t>22</w:t>
      </w:r>
    </w:p>
    <w:p>
      <w:pPr>
        <w:pStyle w:val="12"/>
        <w:adjustRightInd w:val="0"/>
        <w:snapToGrid w:val="0"/>
        <w:spacing w:before="0" w:line="440" w:lineRule="exact"/>
        <w:jc w:val="left"/>
        <w:rPr>
          <w:rFonts w:ascii="黑体" w:hAnsi="黑体" w:eastAsia="黑体"/>
          <w:sz w:val="24"/>
        </w:rPr>
      </w:pPr>
      <w:r>
        <w:rPr>
          <w:rFonts w:hint="eastAsia" w:ascii="黑体" w:hAnsi="黑体" w:eastAsia="黑体"/>
          <w:sz w:val="24"/>
        </w:rPr>
        <w:t>第三部分 名词解释</w:t>
      </w:r>
      <w:r>
        <w:rPr>
          <w:rFonts w:hint="eastAsia" w:ascii="黑体" w:hAnsi="黑体" w:eastAsia="黑体"/>
          <w:sz w:val="24"/>
        </w:rPr>
        <w:tab/>
      </w:r>
      <w:r>
        <w:rPr>
          <w:rFonts w:hint="eastAsia" w:ascii="黑体" w:hAnsi="黑体" w:eastAsia="黑体"/>
          <w:sz w:val="24"/>
        </w:rPr>
        <w:t>24</w:t>
      </w:r>
    </w:p>
    <w:p>
      <w:pPr>
        <w:pStyle w:val="12"/>
        <w:adjustRightInd w:val="0"/>
        <w:snapToGrid w:val="0"/>
        <w:spacing w:before="0" w:line="440" w:lineRule="exact"/>
        <w:jc w:val="left"/>
        <w:rPr>
          <w:rFonts w:ascii="黑体" w:hAnsi="黑体" w:eastAsia="黑体"/>
          <w:sz w:val="24"/>
        </w:rPr>
      </w:pPr>
      <w:r>
        <w:rPr>
          <w:rFonts w:hint="eastAsia" w:ascii="黑体" w:hAnsi="黑体" w:eastAsia="黑体"/>
          <w:sz w:val="24"/>
        </w:rPr>
        <w:t>第四部分 附件</w:t>
      </w:r>
      <w:r>
        <w:rPr>
          <w:rFonts w:hint="eastAsia" w:ascii="黑体" w:hAnsi="黑体" w:eastAsia="黑体"/>
          <w:sz w:val="24"/>
        </w:rPr>
        <w:tab/>
      </w:r>
      <w:r>
        <w:rPr>
          <w:rFonts w:hint="eastAsia" w:ascii="黑体" w:hAnsi="黑体" w:eastAsia="黑体"/>
          <w:sz w:val="24"/>
        </w:rPr>
        <w:t>27</w:t>
      </w:r>
    </w:p>
    <w:p>
      <w:pPr>
        <w:pStyle w:val="12"/>
        <w:adjustRightInd w:val="0"/>
        <w:snapToGrid w:val="0"/>
        <w:spacing w:before="0" w:line="440" w:lineRule="exact"/>
        <w:jc w:val="left"/>
        <w:rPr>
          <w:rFonts w:ascii="黑体" w:hAnsi="黑体" w:eastAsia="黑体"/>
          <w:sz w:val="24"/>
        </w:rPr>
      </w:pPr>
      <w:r>
        <w:rPr>
          <w:rFonts w:hint="eastAsia" w:ascii="黑体" w:hAnsi="黑体" w:eastAsia="黑体"/>
          <w:sz w:val="24"/>
        </w:rPr>
        <w:t>第五部分 附表</w:t>
      </w:r>
      <w:r>
        <w:rPr>
          <w:rFonts w:hint="eastAsia" w:ascii="黑体" w:hAnsi="黑体" w:eastAsia="黑体"/>
          <w:sz w:val="24"/>
        </w:rPr>
        <w:tab/>
      </w:r>
      <w:r>
        <w:rPr>
          <w:rFonts w:hint="eastAsia" w:ascii="黑体" w:hAnsi="黑体" w:eastAsia="黑体"/>
          <w:sz w:val="24"/>
        </w:rPr>
        <w:t>67</w:t>
      </w:r>
    </w:p>
    <w:p>
      <w:pPr>
        <w:pStyle w:val="12"/>
        <w:adjustRightInd w:val="0"/>
        <w:snapToGrid w:val="0"/>
        <w:spacing w:before="0" w:line="440" w:lineRule="exact"/>
        <w:ind w:firstLine="480" w:firstLineChars="200"/>
        <w:jc w:val="left"/>
        <w:rPr>
          <w:rFonts w:ascii="仿宋_GB2312" w:eastAsia="仿宋_GB2312" w:cstheme="minorBidi"/>
          <w:sz w:val="24"/>
        </w:rPr>
      </w:pPr>
      <w:r>
        <w:rPr>
          <w:rFonts w:hint="eastAsia" w:ascii="仿宋_GB2312" w:eastAsia="仿宋_GB2312"/>
          <w:sz w:val="24"/>
        </w:rPr>
        <w:t>一、收入支出决算总表</w:t>
      </w:r>
      <w:r>
        <w:rPr>
          <w:rFonts w:hint="eastAsia" w:ascii="仿宋_GB2312" w:hAnsi="黑体" w:eastAsia="仿宋_GB2312"/>
        </w:rPr>
        <w:tab/>
      </w:r>
      <w:r>
        <w:rPr>
          <w:rFonts w:hint="eastAsia" w:ascii="仿宋_GB2312" w:hAnsi="黑体" w:eastAsia="仿宋_GB2312"/>
        </w:rPr>
        <w:t>67</w:t>
      </w:r>
    </w:p>
    <w:p>
      <w:pPr>
        <w:pStyle w:val="12"/>
        <w:adjustRightInd w:val="0"/>
        <w:snapToGrid w:val="0"/>
        <w:spacing w:before="0" w:line="440" w:lineRule="exact"/>
        <w:ind w:firstLine="480" w:firstLineChars="200"/>
        <w:jc w:val="left"/>
        <w:rPr>
          <w:rFonts w:ascii="仿宋_GB2312" w:eastAsia="仿宋_GB2312" w:hAnsiTheme="minorEastAsia" w:cstheme="minorEastAsia"/>
          <w:sz w:val="24"/>
        </w:rPr>
      </w:pPr>
      <w:r>
        <w:rPr>
          <w:rFonts w:hint="eastAsia" w:ascii="仿宋_GB2312" w:eastAsia="仿宋_GB2312" w:hAnsiTheme="minorEastAsia" w:cstheme="minorEastAsia"/>
          <w:sz w:val="24"/>
        </w:rPr>
        <w:t>二、收入决算表</w:t>
      </w:r>
      <w:r>
        <w:rPr>
          <w:rFonts w:hint="eastAsia" w:ascii="仿宋_GB2312" w:hAnsi="黑体" w:eastAsia="仿宋_GB2312"/>
        </w:rPr>
        <w:tab/>
      </w:r>
      <w:r>
        <w:rPr>
          <w:rFonts w:hint="eastAsia" w:ascii="仿宋_GB2312" w:hAnsi="黑体" w:eastAsia="仿宋_GB2312"/>
        </w:rPr>
        <w:t>67</w:t>
      </w:r>
    </w:p>
    <w:p>
      <w:pPr>
        <w:pStyle w:val="12"/>
        <w:adjustRightInd w:val="0"/>
        <w:snapToGrid w:val="0"/>
        <w:spacing w:before="0" w:line="440" w:lineRule="exact"/>
        <w:ind w:firstLine="480" w:firstLineChars="200"/>
        <w:jc w:val="left"/>
        <w:rPr>
          <w:rFonts w:ascii="仿宋_GB2312" w:eastAsia="仿宋_GB2312" w:hAnsiTheme="minorEastAsia" w:cstheme="minorEastAsia"/>
          <w:sz w:val="24"/>
        </w:rPr>
      </w:pPr>
      <w:r>
        <w:rPr>
          <w:rFonts w:hint="eastAsia" w:ascii="仿宋_GB2312" w:eastAsia="仿宋_GB2312" w:hAnsiTheme="minorEastAsia" w:cstheme="minorEastAsia"/>
          <w:sz w:val="24"/>
        </w:rPr>
        <w:t>三、支出决算表</w:t>
      </w:r>
      <w:r>
        <w:rPr>
          <w:rFonts w:hint="eastAsia" w:ascii="仿宋_GB2312" w:hAnsi="黑体" w:eastAsia="仿宋_GB2312"/>
        </w:rPr>
        <w:tab/>
      </w:r>
      <w:r>
        <w:rPr>
          <w:rFonts w:hint="eastAsia" w:ascii="仿宋_GB2312" w:hAnsi="黑体" w:eastAsia="仿宋_GB2312"/>
        </w:rPr>
        <w:t>67</w:t>
      </w:r>
    </w:p>
    <w:p>
      <w:pPr>
        <w:pStyle w:val="12"/>
        <w:adjustRightInd w:val="0"/>
        <w:snapToGrid w:val="0"/>
        <w:spacing w:before="0" w:line="440" w:lineRule="exact"/>
        <w:ind w:firstLine="480" w:firstLineChars="200"/>
        <w:jc w:val="left"/>
        <w:rPr>
          <w:rFonts w:ascii="仿宋_GB2312" w:eastAsia="仿宋_GB2312" w:hAnsiTheme="minorEastAsia" w:cstheme="minorEastAsia"/>
          <w:sz w:val="24"/>
        </w:rPr>
      </w:pPr>
      <w:r>
        <w:rPr>
          <w:rFonts w:hint="eastAsia" w:ascii="仿宋_GB2312" w:eastAsia="仿宋_GB2312" w:hAnsiTheme="minorEastAsia" w:cstheme="minorEastAsia"/>
          <w:sz w:val="24"/>
        </w:rPr>
        <w:t>四、财政拨款收入支出决算总表</w:t>
      </w:r>
      <w:r>
        <w:rPr>
          <w:rFonts w:hint="eastAsia" w:ascii="仿宋_GB2312" w:hAnsi="黑体" w:eastAsia="仿宋_GB2312"/>
        </w:rPr>
        <w:tab/>
      </w:r>
      <w:r>
        <w:rPr>
          <w:rFonts w:hint="eastAsia" w:ascii="仿宋_GB2312" w:hAnsi="黑体" w:eastAsia="仿宋_GB2312"/>
        </w:rPr>
        <w:t>67</w:t>
      </w:r>
    </w:p>
    <w:p>
      <w:pPr>
        <w:pStyle w:val="12"/>
        <w:adjustRightInd w:val="0"/>
        <w:snapToGrid w:val="0"/>
        <w:spacing w:before="0" w:line="440" w:lineRule="exact"/>
        <w:ind w:firstLine="480" w:firstLineChars="200"/>
        <w:jc w:val="left"/>
        <w:rPr>
          <w:rFonts w:ascii="仿宋_GB2312" w:eastAsia="仿宋_GB2312"/>
          <w:sz w:val="24"/>
          <w:szCs w:val="24"/>
        </w:rPr>
      </w:pPr>
      <w:r>
        <w:rPr>
          <w:rFonts w:hint="eastAsia" w:ascii="仿宋_GB2312" w:eastAsia="仿宋_GB2312" w:hAnsiTheme="minorEastAsia" w:cstheme="minorEastAsia"/>
          <w:sz w:val="24"/>
        </w:rPr>
        <w:t>五、财政拨款支出决算明细表</w:t>
      </w:r>
      <w:r>
        <w:rPr>
          <w:rFonts w:hint="eastAsia" w:ascii="仿宋_GB2312" w:hAnsi="黑体" w:eastAsia="仿宋_GB2312"/>
        </w:rPr>
        <w:tab/>
      </w:r>
      <w:r>
        <w:rPr>
          <w:rFonts w:hint="eastAsia" w:ascii="仿宋_GB2312" w:hAnsi="黑体" w:eastAsia="仿宋_GB2312"/>
        </w:rPr>
        <w:t>67</w:t>
      </w:r>
    </w:p>
    <w:p>
      <w:pPr>
        <w:pStyle w:val="12"/>
        <w:adjustRightInd w:val="0"/>
        <w:snapToGrid w:val="0"/>
        <w:spacing w:before="0" w:line="440" w:lineRule="exact"/>
        <w:ind w:firstLine="480" w:firstLineChars="200"/>
        <w:jc w:val="left"/>
        <w:rPr>
          <w:rFonts w:ascii="仿宋_GB2312" w:eastAsia="仿宋_GB2312"/>
          <w:sz w:val="24"/>
          <w:szCs w:val="24"/>
        </w:rPr>
      </w:pPr>
      <w:r>
        <w:rPr>
          <w:rFonts w:hint="eastAsia" w:ascii="仿宋_GB2312" w:eastAsia="仿宋_GB2312" w:hAnsiTheme="minorEastAsia" w:cstheme="minorEastAsia"/>
          <w:sz w:val="24"/>
        </w:rPr>
        <w:t>六、一般公共预算财政拨款支出决算表</w:t>
      </w:r>
      <w:r>
        <w:rPr>
          <w:rFonts w:hint="eastAsia" w:ascii="仿宋_GB2312" w:hAnsi="黑体" w:eastAsia="仿宋_GB2312"/>
        </w:rPr>
        <w:tab/>
      </w:r>
      <w:r>
        <w:rPr>
          <w:rFonts w:hint="eastAsia" w:ascii="仿宋_GB2312" w:hAnsi="黑体" w:eastAsia="仿宋_GB2312"/>
        </w:rPr>
        <w:t>67</w:t>
      </w:r>
    </w:p>
    <w:p>
      <w:pPr>
        <w:pStyle w:val="12"/>
        <w:adjustRightInd w:val="0"/>
        <w:snapToGrid w:val="0"/>
        <w:spacing w:before="0" w:line="440" w:lineRule="exact"/>
        <w:ind w:firstLine="480" w:firstLineChars="200"/>
        <w:jc w:val="left"/>
        <w:rPr>
          <w:rFonts w:ascii="仿宋_GB2312" w:eastAsia="仿宋_GB2312"/>
          <w:sz w:val="24"/>
          <w:szCs w:val="24"/>
        </w:rPr>
      </w:pPr>
      <w:r>
        <w:rPr>
          <w:rFonts w:hint="eastAsia" w:ascii="仿宋_GB2312" w:eastAsia="仿宋_GB2312" w:hAnsiTheme="minorEastAsia" w:cstheme="minorEastAsia"/>
          <w:sz w:val="24"/>
        </w:rPr>
        <w:t>七、一般公共预算财政拨款支出决算明细表</w:t>
      </w:r>
      <w:r>
        <w:rPr>
          <w:rFonts w:hint="eastAsia" w:ascii="仿宋_GB2312" w:hAnsi="黑体" w:eastAsia="仿宋_GB2312"/>
        </w:rPr>
        <w:tab/>
      </w:r>
      <w:r>
        <w:rPr>
          <w:rFonts w:hint="eastAsia" w:ascii="仿宋_GB2312" w:hAnsi="黑体" w:eastAsia="仿宋_GB2312"/>
        </w:rPr>
        <w:t>67</w:t>
      </w:r>
    </w:p>
    <w:p>
      <w:pPr>
        <w:pStyle w:val="12"/>
        <w:adjustRightInd w:val="0"/>
        <w:snapToGrid w:val="0"/>
        <w:spacing w:before="0" w:line="440" w:lineRule="exact"/>
        <w:ind w:firstLine="480" w:firstLineChars="200"/>
        <w:jc w:val="left"/>
        <w:rPr>
          <w:rFonts w:ascii="仿宋_GB2312" w:eastAsia="仿宋_GB2312"/>
          <w:sz w:val="24"/>
          <w:szCs w:val="24"/>
        </w:rPr>
      </w:pPr>
      <w:r>
        <w:rPr>
          <w:rFonts w:hint="eastAsia" w:ascii="仿宋_GB2312" w:eastAsia="仿宋_GB2312" w:hAnsiTheme="minorEastAsia" w:cstheme="minorEastAsia"/>
          <w:sz w:val="24"/>
        </w:rPr>
        <w:t>八、一般公共预算财政拨款基本支出决算表</w:t>
      </w:r>
      <w:r>
        <w:rPr>
          <w:rFonts w:hint="eastAsia" w:ascii="仿宋_GB2312" w:hAnsi="黑体" w:eastAsia="仿宋_GB2312"/>
        </w:rPr>
        <w:tab/>
      </w:r>
      <w:r>
        <w:rPr>
          <w:rFonts w:hint="eastAsia" w:ascii="仿宋_GB2312" w:hAnsi="黑体" w:eastAsia="仿宋_GB2312"/>
        </w:rPr>
        <w:t>67</w:t>
      </w:r>
    </w:p>
    <w:p>
      <w:pPr>
        <w:pStyle w:val="12"/>
        <w:adjustRightInd w:val="0"/>
        <w:snapToGrid w:val="0"/>
        <w:spacing w:before="0" w:line="440" w:lineRule="exact"/>
        <w:ind w:firstLine="480" w:firstLineChars="200"/>
        <w:jc w:val="left"/>
        <w:rPr>
          <w:rFonts w:ascii="仿宋_GB2312" w:eastAsia="仿宋_GB2312"/>
          <w:sz w:val="24"/>
          <w:szCs w:val="24"/>
        </w:rPr>
      </w:pPr>
      <w:r>
        <w:rPr>
          <w:rFonts w:hint="eastAsia" w:ascii="仿宋_GB2312" w:eastAsia="仿宋_GB2312" w:hAnsiTheme="minorEastAsia" w:cstheme="minorEastAsia"/>
          <w:sz w:val="24"/>
        </w:rPr>
        <w:t>九、一般公共预算财政拨款项目支出决算表</w:t>
      </w:r>
      <w:r>
        <w:rPr>
          <w:rFonts w:hint="eastAsia" w:ascii="仿宋_GB2312" w:hAnsi="黑体" w:eastAsia="仿宋_GB2312"/>
        </w:rPr>
        <w:tab/>
      </w:r>
      <w:r>
        <w:rPr>
          <w:rFonts w:hint="eastAsia" w:ascii="仿宋_GB2312" w:hAnsi="黑体" w:eastAsia="仿宋_GB2312"/>
        </w:rPr>
        <w:t>67</w:t>
      </w:r>
    </w:p>
    <w:p>
      <w:pPr>
        <w:pStyle w:val="12"/>
        <w:adjustRightInd w:val="0"/>
        <w:snapToGrid w:val="0"/>
        <w:spacing w:before="0" w:line="440" w:lineRule="exact"/>
        <w:ind w:firstLine="480" w:firstLineChars="200"/>
        <w:jc w:val="left"/>
        <w:rPr>
          <w:rFonts w:ascii="仿宋_GB2312" w:eastAsia="仿宋_GB2312" w:hAnsiTheme="minorEastAsia" w:cstheme="minorEastAsia"/>
          <w:sz w:val="24"/>
        </w:rPr>
      </w:pPr>
      <w:r>
        <w:rPr>
          <w:rFonts w:hint="eastAsia" w:ascii="仿宋_GB2312" w:eastAsia="仿宋_GB2312" w:hAnsiTheme="minorEastAsia" w:cstheme="minorEastAsia"/>
          <w:sz w:val="24"/>
        </w:rPr>
        <w:t>十、一般公共预算财政拨款“三公”经费支出决算表</w:t>
      </w:r>
      <w:r>
        <w:rPr>
          <w:rFonts w:hint="eastAsia" w:ascii="仿宋_GB2312" w:hAnsi="黑体" w:eastAsia="仿宋_GB2312"/>
        </w:rPr>
        <w:tab/>
      </w:r>
      <w:r>
        <w:rPr>
          <w:rFonts w:hint="eastAsia" w:ascii="仿宋_GB2312" w:hAnsi="黑体" w:eastAsia="仿宋_GB2312"/>
        </w:rPr>
        <w:t>67</w:t>
      </w:r>
    </w:p>
    <w:p>
      <w:pPr>
        <w:pStyle w:val="12"/>
        <w:adjustRightInd w:val="0"/>
        <w:snapToGrid w:val="0"/>
        <w:spacing w:before="0" w:line="440" w:lineRule="exact"/>
        <w:ind w:firstLine="480" w:firstLineChars="200"/>
        <w:jc w:val="left"/>
        <w:rPr>
          <w:rFonts w:ascii="仿宋_GB2312" w:eastAsia="仿宋_GB2312"/>
          <w:sz w:val="24"/>
          <w:szCs w:val="24"/>
        </w:rPr>
      </w:pPr>
      <w:r>
        <w:rPr>
          <w:rFonts w:hint="eastAsia" w:ascii="仿宋_GB2312" w:eastAsia="仿宋_GB2312" w:hAnsiTheme="minorEastAsia" w:cstheme="minorEastAsia"/>
          <w:sz w:val="24"/>
        </w:rPr>
        <w:t>十一、政府性基金预算财政拨款收入支出决算表</w:t>
      </w:r>
      <w:r>
        <w:rPr>
          <w:rFonts w:hint="eastAsia" w:ascii="仿宋_GB2312" w:hAnsi="黑体" w:eastAsia="仿宋_GB2312"/>
        </w:rPr>
        <w:tab/>
      </w:r>
      <w:r>
        <w:rPr>
          <w:rFonts w:hint="eastAsia" w:ascii="仿宋_GB2312" w:hAnsi="黑体" w:eastAsia="仿宋_GB2312"/>
        </w:rPr>
        <w:t>67</w:t>
      </w:r>
    </w:p>
    <w:p>
      <w:pPr>
        <w:pStyle w:val="12"/>
        <w:adjustRightInd w:val="0"/>
        <w:snapToGrid w:val="0"/>
        <w:spacing w:before="0" w:line="440" w:lineRule="exact"/>
        <w:ind w:firstLine="480" w:firstLineChars="200"/>
        <w:jc w:val="left"/>
        <w:rPr>
          <w:rFonts w:ascii="仿宋_GB2312" w:eastAsia="仿宋_GB2312" w:hAnsiTheme="minorEastAsia" w:cstheme="minorEastAsia"/>
          <w:sz w:val="24"/>
        </w:rPr>
      </w:pPr>
      <w:r>
        <w:rPr>
          <w:rFonts w:hint="eastAsia" w:ascii="仿宋_GB2312" w:eastAsia="仿宋_GB2312" w:hAnsiTheme="minorEastAsia" w:cstheme="minorEastAsia"/>
          <w:sz w:val="24"/>
        </w:rPr>
        <w:t>十二、政府性基金预算财政拨款“三公”经费支出决算表</w:t>
      </w:r>
      <w:r>
        <w:rPr>
          <w:rFonts w:hint="eastAsia" w:ascii="仿宋_GB2312" w:hAnsi="黑体" w:eastAsia="仿宋_GB2312"/>
        </w:rPr>
        <w:tab/>
      </w:r>
      <w:r>
        <w:rPr>
          <w:rFonts w:hint="eastAsia" w:ascii="仿宋_GB2312" w:hAnsi="黑体" w:eastAsia="仿宋_GB2312"/>
        </w:rPr>
        <w:t>67</w:t>
      </w:r>
    </w:p>
    <w:p>
      <w:pPr>
        <w:pStyle w:val="12"/>
        <w:adjustRightInd w:val="0"/>
        <w:snapToGrid w:val="0"/>
        <w:spacing w:before="0" w:line="440" w:lineRule="exact"/>
        <w:ind w:firstLine="480" w:firstLineChars="200"/>
        <w:jc w:val="left"/>
        <w:rPr>
          <w:rFonts w:ascii="仿宋_GB2312" w:eastAsia="仿宋_GB2312" w:hAnsiTheme="minorEastAsia" w:cstheme="minorEastAsia"/>
          <w:sz w:val="24"/>
        </w:rPr>
      </w:pPr>
      <w:r>
        <w:rPr>
          <w:rFonts w:hint="eastAsia" w:ascii="仿宋_GB2312" w:eastAsia="仿宋_GB2312" w:hAnsiTheme="minorEastAsia" w:cstheme="minorEastAsia"/>
          <w:sz w:val="24"/>
        </w:rPr>
        <w:t>十三、国有资本经营预算财政拨款收入支出决算表</w:t>
      </w:r>
      <w:r>
        <w:rPr>
          <w:rFonts w:hint="eastAsia" w:ascii="仿宋_GB2312" w:hAnsi="黑体" w:eastAsia="仿宋_GB2312"/>
        </w:rPr>
        <w:tab/>
      </w:r>
      <w:r>
        <w:rPr>
          <w:rFonts w:hint="eastAsia" w:ascii="仿宋_GB2312" w:hAnsi="黑体" w:eastAsia="仿宋_GB2312"/>
        </w:rPr>
        <w:t>67</w:t>
      </w:r>
    </w:p>
    <w:p>
      <w:pPr>
        <w:pStyle w:val="12"/>
        <w:adjustRightInd w:val="0"/>
        <w:snapToGrid w:val="0"/>
        <w:spacing w:before="0" w:line="440" w:lineRule="exact"/>
        <w:ind w:firstLine="480" w:firstLineChars="200"/>
        <w:jc w:val="left"/>
        <w:rPr>
          <w:rFonts w:ascii="仿宋_GB2312" w:eastAsia="仿宋_GB2312"/>
          <w:sz w:val="24"/>
          <w:szCs w:val="24"/>
        </w:rPr>
      </w:pPr>
      <w:r>
        <w:rPr>
          <w:rFonts w:hint="eastAsia" w:ascii="仿宋_GB2312" w:eastAsia="仿宋_GB2312" w:hAnsiTheme="minorEastAsia" w:cstheme="minorEastAsia"/>
          <w:sz w:val="24"/>
        </w:rPr>
        <w:t>十四、国有资本经营预算财政拨款支出决算表</w:t>
      </w:r>
      <w:r>
        <w:rPr>
          <w:rFonts w:hint="eastAsia" w:ascii="仿宋_GB2312" w:hAnsi="黑体" w:eastAsia="仿宋_GB2312"/>
        </w:rPr>
        <w:tab/>
      </w:r>
      <w:r>
        <w:rPr>
          <w:rFonts w:hint="eastAsia" w:ascii="仿宋_GB2312" w:hAnsi="黑体" w:eastAsia="仿宋_GB2312"/>
        </w:rPr>
        <w:t>67</w:t>
      </w:r>
    </w:p>
    <w:p>
      <w:pPr>
        <w:pStyle w:val="15"/>
        <w:adjustRightInd w:val="0"/>
        <w:snapToGrid w:val="0"/>
        <w:spacing w:line="440" w:lineRule="exact"/>
        <w:jc w:val="left"/>
        <w:rPr>
          <w:rFonts w:asciiTheme="minorEastAsia" w:hAnsiTheme="minorEastAsia" w:eastAsiaTheme="minorEastAsia" w:cstheme="minorEastAsia"/>
          <w:sz w:val="24"/>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sz w:val="24"/>
        </w:rPr>
        <w:br w:type="page"/>
      </w:r>
    </w:p>
    <w:p>
      <w:pPr>
        <w:pStyle w:val="3"/>
        <w:keepNext w:val="0"/>
        <w:keepLines w:val="0"/>
        <w:spacing w:before="0" w:after="0" w:line="576" w:lineRule="exact"/>
        <w:jc w:val="center"/>
        <w:rPr>
          <w:rStyle w:val="23"/>
          <w:rFonts w:ascii="黑体" w:hAnsi="黑体" w:eastAsia="黑体"/>
          <w:b w:val="0"/>
          <w:bCs w:val="0"/>
        </w:rPr>
      </w:pPr>
      <w:r>
        <w:rPr>
          <w:rFonts w:hint="eastAsia" w:ascii="黑体" w:hAnsi="黑体" w:eastAsia="黑体"/>
          <w:b w:val="0"/>
        </w:rPr>
        <w:t xml:space="preserve">第一部分 </w:t>
      </w:r>
      <w:r>
        <w:rPr>
          <w:rStyle w:val="23"/>
          <w:rFonts w:hint="eastAsia" w:ascii="黑体" w:hAnsi="黑体" w:eastAsia="黑体"/>
          <w:b w:val="0"/>
          <w:bCs w:val="0"/>
        </w:rPr>
        <w:t>部门概况</w:t>
      </w:r>
      <w:bookmarkEnd w:id="12"/>
      <w:bookmarkEnd w:id="13"/>
    </w:p>
    <w:p>
      <w:pPr>
        <w:spacing w:line="576" w:lineRule="exact"/>
        <w:jc w:val="left"/>
        <w:rPr>
          <w:rFonts w:ascii="黑体" w:eastAsia="黑体"/>
          <w:sz w:val="32"/>
          <w:szCs w:val="32"/>
        </w:rPr>
      </w:pPr>
    </w:p>
    <w:p>
      <w:pPr>
        <w:pStyle w:val="4"/>
        <w:keepNext w:val="0"/>
        <w:keepLines w:val="0"/>
        <w:spacing w:before="0" w:after="0" w:line="576" w:lineRule="exact"/>
        <w:ind w:firstLine="640" w:firstLineChars="200"/>
        <w:rPr>
          <w:rStyle w:val="24"/>
          <w:rFonts w:ascii="仿宋" w:hAnsi="仿宋" w:eastAsia="仿宋"/>
          <w:b w:val="0"/>
          <w:bCs w:val="0"/>
        </w:rPr>
      </w:pPr>
      <w:bookmarkStart w:id="14" w:name="_Toc15396600"/>
      <w:bookmarkStart w:id="15" w:name="_Toc15377197"/>
      <w:r>
        <w:rPr>
          <w:rFonts w:hint="eastAsia" w:ascii="黑体" w:hAnsi="黑体" w:eastAsia="黑体"/>
          <w:b w:val="0"/>
        </w:rPr>
        <w:t>一、基</w:t>
      </w:r>
      <w:r>
        <w:rPr>
          <w:rStyle w:val="24"/>
          <w:rFonts w:hint="eastAsia" w:ascii="黑体" w:hAnsi="黑体" w:eastAsia="黑体"/>
          <w:b w:val="0"/>
          <w:bCs w:val="0"/>
        </w:rPr>
        <w:t>本职能及主要工作</w:t>
      </w:r>
      <w:bookmarkEnd w:id="14"/>
      <w:bookmarkEnd w:id="15"/>
    </w:p>
    <w:p>
      <w:pPr>
        <w:pStyle w:val="2"/>
        <w:adjustRightInd w:val="0"/>
        <w:snapToGrid w:val="0"/>
        <w:spacing w:beforeLines="0" w:line="576" w:lineRule="exact"/>
        <w:ind w:firstLine="672" w:firstLineChars="210"/>
        <w:outlineLvl w:val="2"/>
        <w:rPr>
          <w:rFonts w:ascii="楷体_GB2312" w:hAnsi="仿宋" w:eastAsia="楷体_GB2312"/>
          <w:bCs/>
          <w:sz w:val="32"/>
          <w:szCs w:val="32"/>
        </w:rPr>
      </w:pPr>
      <w:bookmarkStart w:id="16" w:name="_Toc15377198"/>
      <w:bookmarkStart w:id="17" w:name="_Toc15378445"/>
      <w:r>
        <w:rPr>
          <w:rFonts w:hint="eastAsia" w:ascii="楷体_GB2312" w:hAnsi="仿宋" w:eastAsia="楷体_GB2312"/>
          <w:bCs/>
          <w:sz w:val="32"/>
          <w:szCs w:val="32"/>
        </w:rPr>
        <w:t>（一）主要职能。</w:t>
      </w:r>
    </w:p>
    <w:bookmarkEnd w:id="16"/>
    <w:bookmarkEnd w:id="17"/>
    <w:p>
      <w:pPr>
        <w:pStyle w:val="16"/>
        <w:overflowPunct w:val="0"/>
        <w:spacing w:line="576" w:lineRule="exact"/>
        <w:ind w:firstLine="640" w:firstLineChars="200"/>
        <w:rPr>
          <w:rFonts w:ascii="仿宋_GB2312" w:hAnsi="宋体" w:eastAsia="仿宋_GB2312" w:cs="宋体"/>
          <w:color w:val="000000"/>
          <w:sz w:val="32"/>
          <w:szCs w:val="32"/>
        </w:rPr>
      </w:pPr>
      <w:bookmarkStart w:id="18" w:name="_Toc15377199"/>
      <w:bookmarkStart w:id="19" w:name="_Toc15378446"/>
      <w:r>
        <w:rPr>
          <w:rFonts w:hint="eastAsia" w:ascii="仿宋_GB2312" w:hAnsi="宋体" w:eastAsia="仿宋_GB2312" w:cs="宋体"/>
          <w:color w:val="000000"/>
          <w:sz w:val="32"/>
          <w:szCs w:val="32"/>
        </w:rPr>
        <w:t>广元市人民政府办公室是市人民政府的综合办事机构，主要是参与政务、管理事务和搞好服务。主要职责是负责承办市政府公文处理。起草或审核以市政府、市政府办公室名义发布的公文；办理国务院、国务院办公厅及各部委和省政府、省政府办公厅及各厅局发送市政府的文电；指导全市行政机关公文处理工作；研究市政府部门和县区政府请示市政府的事项，提出拟办意见，报市政府领导同志审批；负责市政府会议的会务办理工作，协助市政府领导同志组织实施会议决定事项；督促检查市政府部门和县区人民政府对市政府决定事项及市政府领导同志指示的贯彻落实情况，及时向市政府领导同志报告；根据市政府领导同志的指示，对市政府部门间争议问题提出处理意见和建议，报市政府领导同志决定；负责机关行政效能建设工作；负责推进、指导、督促全市政务公开、政府信息公开具体工作；负责全市政务信息采编和向国务院办公厅、省政府办公厅信息报送工作；负责政府系统电子政务外网工作和政府网站建设；组织协调办理涉及市政府工作的人大代表议案、批评、建议和政协委员提案、建议案工作；围绕市政府中心工作和市政府领导同志的指示，组织专题调查研究，及时反映情况，提出政策性建议；负责公共机构节约能源资源、公务用车、后勤服务等机关事务行政管理工作；贯彻执行金融工作方针政策和法律法规；制定全市金融业发展规划和政策措施；承担地方金融组织的行政管理工作，协助办理防范金融风险、维护地方金融秩序方面的行政事务；贯彻执行国家有关民营经济发展的方针政策和法律法规，制定全市民营经济发展工作目标，指导县区民营经济发展；负责“放管服”改革、行政权力依法规范公开运行、公共资源交易管理等工作的统筹指导，负责指导、协调、监督并推进深化行政审批制度改革工作；负责市政府值班工作，指导县区政府和市政府部门政务值班值守工作，及时报告重要情况；管理市政府办公室直属单位；办理市委市政府交办的其他事项。</w:t>
      </w:r>
    </w:p>
    <w:p>
      <w:pPr>
        <w:pStyle w:val="2"/>
        <w:adjustRightInd w:val="0"/>
        <w:snapToGrid w:val="0"/>
        <w:spacing w:beforeLines="0" w:line="576" w:lineRule="exact"/>
        <w:ind w:firstLine="672" w:firstLineChars="210"/>
        <w:outlineLvl w:val="2"/>
        <w:rPr>
          <w:rFonts w:ascii="楷体_GB2312" w:hAnsi="仿宋" w:eastAsia="楷体_GB2312"/>
          <w:bCs/>
          <w:sz w:val="32"/>
          <w:szCs w:val="32"/>
        </w:rPr>
      </w:pPr>
      <w:r>
        <w:rPr>
          <w:rFonts w:hint="eastAsia" w:ascii="楷体_GB2312" w:hAnsi="仿宋" w:eastAsia="楷体_GB2312"/>
          <w:bCs/>
          <w:sz w:val="32"/>
          <w:szCs w:val="32"/>
        </w:rPr>
        <w:t>（二）</w:t>
      </w:r>
      <w:r>
        <w:rPr>
          <w:rFonts w:ascii="楷体_GB2312" w:hAnsi="仿宋" w:eastAsia="楷体_GB2312"/>
          <w:bCs/>
          <w:sz w:val="32"/>
          <w:szCs w:val="32"/>
        </w:rPr>
        <w:t>20</w:t>
      </w:r>
      <w:r>
        <w:rPr>
          <w:rFonts w:hint="eastAsia" w:ascii="楷体_GB2312" w:hAnsi="仿宋" w:eastAsia="楷体_GB2312"/>
          <w:bCs/>
          <w:sz w:val="32"/>
          <w:szCs w:val="32"/>
        </w:rPr>
        <w:t>21年重点工作完成情况。</w:t>
      </w:r>
      <w:bookmarkEnd w:id="18"/>
      <w:bookmarkEnd w:id="19"/>
    </w:p>
    <w:p>
      <w:pPr>
        <w:spacing w:line="576" w:lineRule="exact"/>
        <w:ind w:firstLine="640" w:firstLineChars="200"/>
        <w:textAlignment w:val="baseline"/>
        <w:rPr>
          <w:rFonts w:ascii="仿宋_GB2312" w:eastAsia="仿宋_GB2312"/>
          <w:kern w:val="0"/>
          <w:sz w:val="32"/>
          <w:szCs w:val="32"/>
        </w:rPr>
      </w:pPr>
      <w:r>
        <w:rPr>
          <w:rFonts w:hint="eastAsia" w:ascii="仿宋_GB2312" w:hAnsi="仿宋" w:eastAsia="仿宋_GB2312"/>
          <w:bCs/>
          <w:kern w:val="0"/>
          <w:sz w:val="32"/>
          <w:szCs w:val="32"/>
        </w:rPr>
        <w:t>1.</w:t>
      </w:r>
      <w:r>
        <w:rPr>
          <w:rFonts w:hint="eastAsia" w:ascii="仿宋_GB2312" w:eastAsia="仿宋_GB2312"/>
          <w:sz w:val="32"/>
          <w:szCs w:val="32"/>
        </w:rPr>
        <w:t>坚决拥护“两个确立”，持续加强政治建设。</w:t>
      </w:r>
      <w:r>
        <w:rPr>
          <w:rFonts w:hint="eastAsia" w:ascii="仿宋_GB2312" w:eastAsia="仿宋_GB2312"/>
          <w:kern w:val="0"/>
          <w:sz w:val="32"/>
          <w:szCs w:val="32"/>
        </w:rPr>
        <w:t>一是以党史学习教育为契机，建设忠诚可靠的政治机关。牢牢把握“政治机关”定位，始终将讲政治、守规矩贯穿工作全过程，及时组建党史学习教育领导小组，成立专班，出台方案，组织开展学习教育。召开办公室党组（扩大）会议及理论中心组学习会议50余次，组织党员干部赴“中国两弹城”、红四方面军长征出发地（苍溪县）、红军攻克剑门关纪念馆等地接受红色革命教育，开展庆祝中国共产党成立100周年系列活动、领导干部讲党课、“干部大讲堂”等，引导干部职工切实坚决拥护“两个确立”，不断增强“四个意识”、坚定“四个自信”、做到“两个维护”。二是以纪律作风整顿为抓手,建设务实高效的模范机关。针对“小进即满、不思进取，办事拖沓、效率低下”等12个方面的问题，扎实开展纪律作风整顿。印发《“办事拖沓、效率低下”专项整治七条措施》，在办文、办会、办事、加强督查督办等七个方面开展专项整治。全覆盖</w:t>
      </w:r>
      <w:r>
        <w:rPr>
          <w:rFonts w:hint="eastAsia" w:ascii="仿宋_GB2312" w:eastAsia="仿宋_GB2312"/>
          <w:sz w:val="32"/>
          <w:szCs w:val="32"/>
        </w:rPr>
        <w:t>开展换届纪律谈心</w:t>
      </w:r>
      <w:r>
        <w:rPr>
          <w:rFonts w:hint="eastAsia" w:ascii="仿宋_GB2312" w:eastAsia="仿宋_GB2312"/>
          <w:kern w:val="0"/>
          <w:sz w:val="32"/>
          <w:szCs w:val="32"/>
        </w:rPr>
        <w:t>谈话，集中观看警示教育片《警钟长鸣》《黑白人生》，党员干部职工知敬畏、明底线、讲规矩、守纪律的意识不断增强。三是以为民服务办实事为渠道，建设为民务实的服务机关。印发《广元市走好网上群众路线为民服务办实事工作实施方案》，深入开展走好网上群众路线为民服务办实事活动，建立定期会商、统计分析、督办检查、工作通报、目标考核“五大机制”，先后筹备市专题工作推进会3次，组织开展定期会商会5次，组建规上工业企业、规上建筑业房地产企业、商贸服务业企业三大工作交流群，抓实关键环节办好民生实事，受理率、按时办结率达100%，群众满意率达99.64%,全省排名均位居前列。《广元市扎实推进</w:t>
      </w:r>
      <w:r>
        <w:rPr>
          <w:rFonts w:hint="eastAsia" w:ascii="仿宋_GB2312" w:eastAsia="仿宋_GB2312"/>
          <w:sz w:val="32"/>
          <w:szCs w:val="32"/>
        </w:rPr>
        <w:t>网络问政理政“双向互动”》在全省政务公开培训班上作经验交流。</w:t>
      </w:r>
    </w:p>
    <w:p>
      <w:pPr>
        <w:spacing w:line="576" w:lineRule="exact"/>
        <w:ind w:firstLine="640" w:firstLineChars="200"/>
        <w:rPr>
          <w:rFonts w:ascii="仿宋_GB2312" w:eastAsia="仿宋_GB2312"/>
          <w:kern w:val="0"/>
          <w:sz w:val="32"/>
          <w:szCs w:val="32"/>
        </w:rPr>
      </w:pPr>
      <w:r>
        <w:rPr>
          <w:rFonts w:hint="eastAsia" w:ascii="仿宋_GB2312" w:eastAsia="仿宋_GB2312"/>
          <w:sz w:val="32"/>
          <w:szCs w:val="32"/>
        </w:rPr>
        <w:t>2.突出狠抓资政辅政，切实当好参谋助手。</w:t>
      </w:r>
      <w:r>
        <w:rPr>
          <w:rFonts w:hint="eastAsia" w:ascii="仿宋_GB2312" w:eastAsia="仿宋_GB2312"/>
          <w:kern w:val="0"/>
          <w:sz w:val="32"/>
          <w:szCs w:val="32"/>
        </w:rPr>
        <w:t>一是创新工作推进方式。将公文处理、会务活动办理、电子政务、政府信息公开和政府网站与政务新媒体建设管理、值班值守、政务督查、文稿服务和政务调研、政务信息、12345政务服务热线和市长信箱办理、深化“放管服”工作等10项指标，划定底线硬杠，列出正面负面清单，把目标细化到最小单元、责任具体到每名工作人员。建立常态化听取“三提三创”活动工作机制，坚持“三个必”工作法（每次办公室党组会必听取公文处理差错情况、每2个月必听取1次政务信息工作汇报、定期必以“四不两直”方式开展暗访督查），切实查漏洞、补短板、强弱项、促提升，“三个服务”质效不断提升。二是持续抓好文风会纪。严把公文“政治关、政策关、法律关、提法关、事实关、程序关、权限关、文字关、格式关”九大关口，逗硬执行审核把关机制、退文机制和错情通报机制。全年办理各类收文8500余件，退文105件，错情率1.3%，印发公文典型错情通报4期，纳入精文统计范畴的发文同比压减5%。健全会议报批制度，严控会议时长，确保了全市性会议相比2020年只减不增。积极推行非涉密文件、会议方案上网运行，实现人员少跑腿、网络多跑路。建立市政府会议会风会纪考核通报机制，书面通报单位11个（次）、口头提醒单位30余个（次），“点对点”发函警示单位“一把手”7人次。三是着力提升以文辅政实效。高质量完成创建全国法治政府建设示范市、疫情防控、文化和旅游发展等会议活动文稿300余篇，起草各类汇报材料百余份、高质量完成《政府工作报告》起草工作。聚焦国家、省重大战略实施和全市项目投资、产业发展、经济运行等重点工作，统筹谋划重点调研课题65篇，《广元打造全国性综合交通枢纽对策研究》列为全省政务调研课题，列入《广元蓝皮书·广元经济社会发展报告（2021年）》市级重点课题1篇，《广元全面实施乡村振兴战略路径与思考</w:t>
      </w:r>
      <w:r>
        <w:rPr>
          <w:rFonts w:hint="eastAsia" w:ascii="仿宋_GB2312" w:hAnsi="黑体" w:eastAsia="仿宋_GB2312"/>
          <w:kern w:val="0"/>
          <w:sz w:val="32"/>
          <w:szCs w:val="32"/>
        </w:rPr>
        <w:t>——</w:t>
      </w:r>
      <w:r>
        <w:rPr>
          <w:rFonts w:hint="eastAsia" w:ascii="仿宋_GB2312" w:eastAsia="仿宋_GB2312"/>
          <w:kern w:val="0"/>
          <w:sz w:val="32"/>
          <w:szCs w:val="32"/>
        </w:rPr>
        <w:t>以剑阁县公兴镇金山村为调查样本》获评全市“好调研”文章，《野猪致害情况及应对建议》得到市政府主要领导签批，相关建议作为省十三届人大五次会议议案。编辑整理《国办约稿实用工作手册》，大力推进“全员抓信息”机制，上报国务院办公厅约稿专报、省政府办公厅信息750余篇，被省政府刊物采编135条，采用得分全省第5位。编发《政务晨讯》《政务决策参阅》352期，获市委市政府主要领导签批196条。市委市政府主要领导批示省办《政务晨讯》89条。其中邹自景书记批示83条、董里市长批示6条，肯定性批示信息工作2次。四是动真碰硬开展政务督办。专题传达学习《政府督查工作条例》，完善市政府常务会议决议事项和市政府主要领导批交办事项督办工作机制，全年督促落实市政府主要领导重要批示件142件；重要指示件111件，按时办结率100%。印发《关于进一步加强和规范督促检查工作的通知》，全面规范涉企检查调研活动，切实为基层减负。围绕发展“四大经济”、实施“四大工程”和优化营商环境等工作开展专项督查，对重点工作划底线、定标准、建清单，实行正面、负面清单制度，先后开展专项督导10余轮。五是强化值班值守实效。印发《关于进一步加强和改进值班工作的通知》，领导班子成员常态化在节假日带队暗访县区、乡镇值班值守情况。结合省政府应急视频会议系统，建成市到县区、县区到乡镇的值班点名视频系统，推进乡镇（街道）值班机构规范化建设，每周开展定时和不定时值班视频点名。切实提升信息报送服务质效，将辖区非正常死亡突发事件和特殊敏感信息纳入报告范围，全年接收突发事件信息600余条，报送300余条。</w:t>
      </w:r>
    </w:p>
    <w:p>
      <w:pPr>
        <w:spacing w:line="576" w:lineRule="exact"/>
        <w:ind w:firstLine="640" w:firstLineChars="200"/>
        <w:rPr>
          <w:rFonts w:ascii="仿宋_GB2312" w:eastAsia="仿宋_GB2312"/>
          <w:kern w:val="0"/>
          <w:sz w:val="32"/>
          <w:szCs w:val="32"/>
        </w:rPr>
      </w:pPr>
      <w:r>
        <w:rPr>
          <w:rFonts w:hint="eastAsia" w:ascii="仿宋_GB2312" w:eastAsia="仿宋_GB2312"/>
          <w:sz w:val="32"/>
          <w:szCs w:val="32"/>
        </w:rPr>
        <w:t>3.充分发挥统筹作用，全力服务中心大局。</w:t>
      </w:r>
      <w:r>
        <w:rPr>
          <w:rFonts w:hint="eastAsia" w:ascii="仿宋_GB2312" w:eastAsia="仿宋_GB2312"/>
          <w:kern w:val="0"/>
          <w:sz w:val="32"/>
          <w:szCs w:val="32"/>
        </w:rPr>
        <w:t>一是慎终如始做好新冠肺炎疫情防控。全面履行疫情防控领导小组（指挥部）办公室职责，深入贯彻落实国家、省关于疫情防控各项决策部署，坚持集中办公、应急状态日调度和24小时值班制度，动态调整完善防控措施，持续压紧压实责任，毫不松懈抓好“外防输入、内防反弹”工作。及时收发转办、认真起草校核疫情防控各类文件材料，统筹协调、科学应对国内多轮疫情冲击，有序处置境外输入阳性感染者、涉疫奶枣、非法进口使用巴西牛肉等8起境外输入疫情，高质量筹备市委应对新冠肺炎疫情工作领导小组及市应急指挥部会议29次，持续助力巩固全市疫情防控成果。二是高质高效协助重点工作。积极协调推进高铁快运物流基地建设、黑石坡—曾家山快速通道建设、利州西路棚户区改造等工作，协调解决绵苍巴高速地材供应等46个具体问题。稳妥有序做好国务院主要负责同志来广视察、省政府主要负责同志来广调研服务工作。坚持高标准、高质量做好会务活动协调服务，先后协调承办全国大众创业万众创新活动周启动仪式、四川省旅游景区发展大会、川陕甘三省省级河湖长制联席会议、广元·川陕甘高铁快运物流基地开工仪式、全市服务业发展大会、全市第二次工业发展大会、中国（广元）女儿节、第十一届大蜀道文化旅游节暨全市文化和旅游发展大会等重大会议活动百余次，促成一大批工业、农业、交通、教育、文化旅游等领域重要事项有效推进，获得各级领导和社会好评。三是着力打造川内最优营商环境。出台《广元市构建常态化政企沟通六大机制进一步优化营商环境工作实施方案》《2021年全市深化“放管服”改革优化营商环境工作任务和责任清单》《广元市深化“放管服”改革优化营商环境三大专项攻坚行动方案》等，牵头召开联席会议4次。推动川渝通办、跨省通办工作全面完成省下达目标任务并实现办件，市本级全年共办理“川渝通办”事项149件。市、县两级政务服务大厅开设“办不成事”受理窗口。全市在省“互联网+监管”平台认领监管事项的认领率完成100%。深入推进“一网通办”前提下“最多跑一次”改革，实施“一站式”办理综合竣工验收和不动产登记，实现“验登联动”“交房即交证”。四川省工程建设项目审批管理系统（2.0版）应用推广工作被省攻坚指挥部授予“最佳推广奖”。《广元市创新政企沟通“六项”机制跑出企业发展“加速度”》被纳入全省营商环境指标提升行动第二批经验做法。《四川广元优化营商环境，上演“速度与热情”》等新闻报道被新华每日电讯刊载，《优化营商环境百问百答》广元案例8个。我市被评为2021年度持续优化营商环境典范城市。</w:t>
      </w:r>
    </w:p>
    <w:p>
      <w:pPr>
        <w:pStyle w:val="17"/>
        <w:spacing w:after="0" w:line="576" w:lineRule="exact"/>
        <w:ind w:firstLine="640" w:firstLineChars="200"/>
        <w:rPr>
          <w:rFonts w:ascii="仿宋_GB2312" w:eastAsia="仿宋_GB2312"/>
          <w:kern w:val="0"/>
          <w:sz w:val="32"/>
          <w:szCs w:val="32"/>
        </w:rPr>
      </w:pPr>
      <w:r>
        <w:rPr>
          <w:rFonts w:hint="eastAsia" w:ascii="仿宋_GB2312" w:eastAsia="仿宋_GB2312"/>
          <w:sz w:val="32"/>
          <w:szCs w:val="32"/>
        </w:rPr>
        <w:t>4.切实履行职能职责，助推工作质效提升。</w:t>
      </w:r>
      <w:r>
        <w:rPr>
          <w:rFonts w:hint="eastAsia" w:ascii="仿宋_GB2312" w:eastAsia="仿宋_GB2312"/>
          <w:kern w:val="0"/>
          <w:sz w:val="32"/>
          <w:szCs w:val="32"/>
        </w:rPr>
        <w:t>一是大力推动政务公开。调整优化政府网站信息公开专栏，完善智能搜索、智能问答等功能，打通网站一号登录壁垒，政府网站功能不断强化。开展办事指南专项检查、政务新媒体集中整治、政府网站“领导信箱”运行情况检查等专项行动，及时办理“我为政府网站找错”平台反馈问题，省政府办公厅四个季度抽查通报中，我市政务新媒体合格率均为100%，单项否决网站全面“归零”。全年公开规划计划、规章文件、民生领域、安全应急等重点信息18838条，发布图表图解等166条，公开疫情防控信息3167条。在2020年国务院政务公开第三方评估中，市本级及被抽查县区均得到满分。开展“深化政务公开促进基层治理能力提升”培训班，设立“优化营商环境进行时”专栏，基层政务公开、政府信息公开、政府网站及新媒体建设管理工作取得新成效。二是电子政务建设持续用力。实现市、县、乡、村四级节点全覆盖，市至县（区）骨干网络可用率达100%，业务可用率达100%，政府网站全部支持IPv6协议，村（社区）节点政务外网覆盖率居全省前列，广元交通专网节点率先在全省完成向电子政务外网迁移试点。参与“护网2021”网络安全反恐演练，顺利完成全国“两会”、庆祝建党100周年纪念活动以及国庆节期间网络安全重点保障，全年未发生网络安全事件，电子政务外网网络建设、管理和安全工作列全省市（州）第一梯队。市电子公文交换系统在全省市（州）率先实现与省政府电子公文交换系统级联对接，市、县、乡三级763个单位接入使用。市政府网站集约化平台与省政府网站集约化平台顺利对接，进度列全省市（州）第一梯队。三是助推民营经济不断发展。市政府网站开设民营经济专栏，适时发布民营经济政策文件、工作动态等，提高民营企业对政策的知晓度。及时调整市民营经济工作领导小组，完善民营企业困难问题会商会制度和“服务民营企业市长直通车”工作制度，建立市、县领导联系民营企业、商协会制度，定期召开民营企业困难问题会商会，举办《全市工业企业用电及电价政策宣讲会》等民营经济大讲堂4次，建立覆盖全市1423家“四上”民营企业微信工作群3个，协调解决民营企业反映问题115个。建立全市民营小微企业和个体工商户无贷客户融资培育库，2188家个体工商户在“天府信用通”建立信用档案。落实《广元市工业企业应急转贷资金管理办法》，设立广元市工业企业应急转贷资金池，为11家企业（其中民营企业7家）发放使用15批次资金9173万元，融资成本与市场过桥资金相比降低90%以上。全市民营经济增加值实现613.79亿元、居全省第16位，增加值增速7.8%、居全省第14位。四是积极履行牵头行政职能。持续推进省委巡视反馈公务用车方面问题整改工作，梳理非经营性资产管理审批和公务用车编制事项清单，建立完善审批事项法律依据、政策规定、办理条件、审批流程等。审批市本级和县区党政机关事业单位报废更新一般公务用车、市本级党政机关事业单位固定资产配备处置、市本级行政事业单位申请配置办公用房等事项67件次。</w:t>
      </w:r>
    </w:p>
    <w:p>
      <w:pPr>
        <w:spacing w:line="576" w:lineRule="exact"/>
        <w:ind w:firstLine="640" w:firstLineChars="200"/>
        <w:outlineLvl w:val="0"/>
        <w:rPr>
          <w:rFonts w:ascii="仿宋" w:hAnsi="仿宋" w:eastAsia="仿宋"/>
          <w:kern w:val="0"/>
          <w:sz w:val="32"/>
          <w:szCs w:val="32"/>
        </w:rPr>
      </w:pPr>
      <w:r>
        <w:rPr>
          <w:rFonts w:hint="eastAsia" w:ascii="仿宋_GB2312" w:eastAsia="仿宋_GB2312"/>
          <w:sz w:val="32"/>
          <w:szCs w:val="32"/>
        </w:rPr>
        <w:t>5.加强机关党的建设，打造忠诚干净担当队伍。</w:t>
      </w:r>
      <w:r>
        <w:rPr>
          <w:rFonts w:hint="eastAsia" w:ascii="仿宋_GB2312" w:eastAsia="仿宋_GB2312"/>
          <w:kern w:val="0"/>
          <w:sz w:val="32"/>
          <w:szCs w:val="32"/>
        </w:rPr>
        <w:t>一是建强干部队伍。严格执行《党政领导干部选拔任用工作条例》，规范干部选拔程序，严把选人用人政治关、品行关、能力关、作风关、廉洁关。全年推荐提拔县级干部11名、科级干部16名（其中，90后正科级干部3名、副科级干部2名），职级晋升27人次，选派干部到省政府办公厅顶岗学习锻炼2名，选拔人才11名。选优配强支部班子，4名班子成员担任支部书记。持续深入推进驻村帮扶工作，及时调整充实帮扶力量，成立由2名留学归国研究生和优秀年轻干部共计4人组成的乡村振兴工作队，统筹推进帮扶村巩固拓展脱贫攻坚成果同乡村振兴有效衔接工作。扎实开展“四到村”“四提升”行动，积极帮助帮扶村大力发展水果、食用菌、中药材产业，努力带动村集体经济增收，人民群众致富。持续推进机关党建、工会活动、青年干部等工作，市人大代表建议、市政协提案办理以及生态文明、防范化解风险、安全生产、食品安全、保密、依法行政、老干部、后勤保障、妇女儿童等工作有力推进。二是提振精神风貌。开展机关党员干部思想动态分析，全覆盖开展谈心谈话90余人次。实施干部能力提升计划，开设干部大讲堂，将干部日常教育与办公室重点工作任务相结合。召开办公室青年干部座谈会，市政府办公室主要领导作专题辅导报告2次，激励青年干部奋发有为、拼搏进取。组织观看《中国医生》《长津湖》等红色电影，激发干部职工对实现中华民族伟大复兴的坚定信心。探索建立干部能力素质评价机制，制定量化评价、实绩评判办法，加大评判结果运用，将评价好、表现优的干部纳入全市政府系统办公室干部梯次培养对象。实行平时考核与年终考核相结合，不断健全正向激励机制，把忠诚干净担当的干部用起来，切实保护党员干部干事创业积极性。先后开展平时考核4批次。三是优化政治生态。坚决扛起管党治党政治责任，将意识形态工作摆在突出位置，制定《市政府办公室落实意识形态工作责任制检查考核办法》，开展意识形态工作专题学习研究2次。认真落实《中国共产党重大事项请示报告条例》等党规党纪，严格落实中央八项规定精神、省委省政府十项规定和市委“六个带头”要求及其实施细则精神，坚持“以案促改”和全员警示教育，常态化开展廉政谈话，加强领导身边工作人员教育管理，严明政治纪律和政治规矩，切实加强干部队伍日常政治督查、政治体检，驰而不息纠治“四风”，切实把纪律严起来、队伍管起来。</w:t>
      </w:r>
    </w:p>
    <w:p>
      <w:pPr>
        <w:pStyle w:val="4"/>
        <w:keepNext w:val="0"/>
        <w:keepLines w:val="0"/>
        <w:spacing w:before="0" w:after="0" w:line="576" w:lineRule="exact"/>
        <w:ind w:firstLine="640" w:firstLineChars="200"/>
        <w:rPr>
          <w:rStyle w:val="24"/>
          <w:b w:val="0"/>
          <w:bCs w:val="0"/>
        </w:rPr>
      </w:pPr>
      <w:bookmarkStart w:id="20" w:name="_Toc15396601"/>
      <w:bookmarkStart w:id="21" w:name="_Toc15377200"/>
      <w:r>
        <w:rPr>
          <w:rFonts w:hint="eastAsia" w:ascii="黑体" w:eastAsia="黑体"/>
          <w:b w:val="0"/>
        </w:rPr>
        <w:t>二、</w:t>
      </w:r>
      <w:r>
        <w:rPr>
          <w:rFonts w:hint="eastAsia" w:ascii="黑体" w:hAnsi="黑体" w:eastAsia="黑体"/>
          <w:b w:val="0"/>
        </w:rPr>
        <w:t>机</w:t>
      </w:r>
      <w:r>
        <w:rPr>
          <w:rStyle w:val="24"/>
          <w:rFonts w:hint="eastAsia" w:ascii="黑体" w:hAnsi="黑体" w:eastAsia="黑体"/>
          <w:b w:val="0"/>
          <w:bCs w:val="0"/>
        </w:rPr>
        <w:t>构设置</w:t>
      </w:r>
      <w:bookmarkEnd w:id="20"/>
      <w:bookmarkEnd w:id="21"/>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广元市人民政府办公室部门决算包括：广元市人民政府办公室本级决算（行政单位）、二级决算单位</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个（参公事业单位）、代管二级决算单位</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个（参公事业单位）。</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纳入广元市人民政府办公室2021年部门决算编制范围的二级预算单位包括：</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1、广元市人民政府办公室</w:t>
      </w:r>
    </w:p>
    <w:p>
      <w:pPr>
        <w:pStyle w:val="2"/>
        <w:overflowPunct w:val="0"/>
        <w:adjustRightInd w:val="0"/>
        <w:snapToGrid w:val="0"/>
        <w:spacing w:beforeLines="0" w:line="576" w:lineRule="exact"/>
        <w:ind w:firstLine="640" w:firstLineChars="200"/>
        <w:rPr>
          <w:rFonts w:hAnsi="仿宋"/>
          <w:color w:val="000000"/>
          <w:sz w:val="32"/>
          <w:szCs w:val="32"/>
        </w:rPr>
      </w:pPr>
      <w:r>
        <w:rPr>
          <w:rFonts w:hint="eastAsia" w:hAnsi="Tahoma" w:cs="Tahoma"/>
          <w:color w:val="000000"/>
          <w:sz w:val="32"/>
          <w:szCs w:val="32"/>
        </w:rPr>
        <w:t>2、广元市人民政府驻成都办事处</w:t>
      </w:r>
      <w:r>
        <w:rPr>
          <w:rFonts w:hint="eastAsia" w:hAnsi="仿宋"/>
          <w:color w:val="000000"/>
          <w:sz w:val="32"/>
          <w:szCs w:val="32"/>
        </w:rPr>
        <w:t>；</w:t>
      </w:r>
    </w:p>
    <w:p>
      <w:pPr>
        <w:pStyle w:val="2"/>
        <w:overflowPunct w:val="0"/>
        <w:adjustRightInd w:val="0"/>
        <w:snapToGrid w:val="0"/>
        <w:spacing w:beforeLines="0" w:line="576" w:lineRule="exact"/>
        <w:ind w:firstLine="640" w:firstLineChars="200"/>
        <w:rPr>
          <w:rFonts w:hAnsi="Tahoma" w:cs="Tahoma"/>
          <w:color w:val="000000"/>
          <w:sz w:val="32"/>
          <w:szCs w:val="32"/>
        </w:rPr>
      </w:pPr>
      <w:r>
        <w:rPr>
          <w:rFonts w:hint="eastAsia" w:hAnsi="Tahoma" w:cs="Tahoma"/>
          <w:color w:val="000000"/>
          <w:sz w:val="32"/>
          <w:szCs w:val="32"/>
          <w:lang w:val="en-US" w:eastAsia="zh-CN"/>
        </w:rPr>
        <w:t>3</w:t>
      </w:r>
      <w:r>
        <w:rPr>
          <w:rFonts w:hint="eastAsia" w:hAnsi="Tahoma" w:cs="Tahoma"/>
          <w:color w:val="000000"/>
          <w:sz w:val="32"/>
          <w:szCs w:val="32"/>
        </w:rPr>
        <w:t>、中国国际贸易促进委员会广元市委员会；</w:t>
      </w:r>
    </w:p>
    <w:p>
      <w:pPr>
        <w:widowControl/>
        <w:jc w:val="left"/>
        <w:rPr>
          <w:rFonts w:ascii="仿宋" w:hAnsi="仿宋" w:eastAsia="仿宋"/>
          <w:kern w:val="0"/>
          <w:sz w:val="32"/>
          <w:szCs w:val="32"/>
        </w:rPr>
      </w:pPr>
      <w:r>
        <w:rPr>
          <w:rFonts w:ascii="仿宋" w:hAnsi="仿宋" w:eastAsia="仿宋"/>
          <w:sz w:val="32"/>
          <w:szCs w:val="32"/>
        </w:rPr>
        <w:br w:type="page"/>
      </w:r>
    </w:p>
    <w:p>
      <w:pPr>
        <w:pStyle w:val="3"/>
        <w:keepNext w:val="0"/>
        <w:keepLines w:val="0"/>
        <w:spacing w:before="0" w:after="0" w:line="500" w:lineRule="exact"/>
        <w:ind w:right="440"/>
        <w:jc w:val="center"/>
        <w:rPr>
          <w:rStyle w:val="23"/>
          <w:rFonts w:ascii="黑体" w:hAnsi="黑体" w:eastAsia="黑体"/>
          <w:b w:val="0"/>
          <w:bCs/>
        </w:rPr>
      </w:pPr>
      <w:bookmarkStart w:id="22" w:name="_Toc15396602"/>
      <w:bookmarkStart w:id="23" w:name="_Toc15377204"/>
      <w:r>
        <w:rPr>
          <w:rFonts w:hint="eastAsia" w:ascii="黑体" w:hAnsi="黑体" w:eastAsia="黑体"/>
          <w:b w:val="0"/>
        </w:rPr>
        <w:t>第二部分 2021年度</w:t>
      </w:r>
      <w:r>
        <w:rPr>
          <w:rStyle w:val="23"/>
          <w:rFonts w:hint="eastAsia" w:ascii="黑体" w:hAnsi="黑体" w:eastAsia="黑体"/>
          <w:b w:val="0"/>
          <w:bCs/>
        </w:rPr>
        <w:t>部门决算情况说明</w:t>
      </w:r>
      <w:bookmarkEnd w:id="22"/>
      <w:bookmarkEnd w:id="23"/>
    </w:p>
    <w:p>
      <w:pPr>
        <w:spacing w:line="500" w:lineRule="exact"/>
      </w:pPr>
    </w:p>
    <w:p>
      <w:pPr>
        <w:pStyle w:val="33"/>
        <w:numPr>
          <w:ilvl w:val="0"/>
          <w:numId w:val="1"/>
        </w:numPr>
        <w:spacing w:line="500" w:lineRule="exact"/>
        <w:ind w:firstLineChars="0"/>
        <w:outlineLvl w:val="1"/>
        <w:rPr>
          <w:rStyle w:val="24"/>
          <w:rFonts w:ascii="黑体" w:hAnsi="黑体" w:eastAsia="黑体"/>
          <w:b w:val="0"/>
        </w:rPr>
      </w:pPr>
      <w:bookmarkStart w:id="24" w:name="_Toc15396603"/>
      <w:bookmarkStart w:id="25" w:name="_Toc15377205"/>
      <w:bookmarkStart w:id="26" w:name="_Toc15396612"/>
      <w:bookmarkStart w:id="27" w:name="_Toc15377221"/>
      <w:r>
        <w:rPr>
          <w:rFonts w:hint="eastAsia" w:ascii="黑体" w:hAnsi="黑体" w:eastAsia="黑体"/>
          <w:sz w:val="32"/>
          <w:szCs w:val="32"/>
        </w:rPr>
        <w:t>收</w:t>
      </w:r>
      <w:r>
        <w:rPr>
          <w:rStyle w:val="24"/>
          <w:rFonts w:hint="eastAsia" w:ascii="黑体" w:hAnsi="黑体" w:eastAsia="黑体"/>
          <w:b w:val="0"/>
        </w:rPr>
        <w:t>入支出决算总体情况说明</w:t>
      </w:r>
      <w:bookmarkEnd w:id="24"/>
      <w:bookmarkEnd w:id="25"/>
    </w:p>
    <w:p>
      <w:pPr>
        <w:spacing w:line="500" w:lineRule="exact"/>
        <w:ind w:firstLine="640" w:firstLineChars="200"/>
        <w:rPr>
          <w:rFonts w:ascii="仿宋" w:hAnsi="仿宋" w:eastAsia="仿宋"/>
          <w:sz w:val="32"/>
          <w:szCs w:val="32"/>
        </w:rPr>
      </w:pPr>
      <w:r>
        <w:rPr>
          <w:rFonts w:hint="eastAsia" w:ascii="仿宋" w:hAnsi="仿宋" w:eastAsia="仿宋"/>
          <w:sz w:val="32"/>
          <w:szCs w:val="32"/>
        </w:rPr>
        <w:t>2021年度收、支总计5136.85万元。与2020年相比，收、支总计各增加198.04万元，增长4.01</w:t>
      </w:r>
      <w:r>
        <w:rPr>
          <w:rFonts w:ascii="仿宋" w:hAnsi="仿宋" w:eastAsia="仿宋"/>
          <w:sz w:val="32"/>
          <w:szCs w:val="32"/>
        </w:rPr>
        <w:t>%</w:t>
      </w:r>
      <w:r>
        <w:rPr>
          <w:rFonts w:hint="eastAsia" w:ascii="仿宋" w:hAnsi="仿宋" w:eastAsia="仿宋"/>
          <w:sz w:val="32"/>
          <w:szCs w:val="32"/>
        </w:rPr>
        <w:t>。主要变动原因是人员增加，招商力度加大。</w:t>
      </w:r>
    </w:p>
    <w:p>
      <w:pPr>
        <w:pStyle w:val="14"/>
        <w:jc w:val="center"/>
      </w:pPr>
      <w:r>
        <w:rPr>
          <w:rFonts w:hint="eastAsia"/>
        </w:rPr>
        <w:drawing>
          <wp:inline distT="0" distB="0" distL="114300" distR="114300">
            <wp:extent cx="5080000" cy="1897380"/>
            <wp:effectExtent l="4445" t="4445" r="20955" b="222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33"/>
        <w:numPr>
          <w:ilvl w:val="0"/>
          <w:numId w:val="1"/>
        </w:numPr>
        <w:spacing w:line="500" w:lineRule="exact"/>
        <w:ind w:firstLineChars="0"/>
        <w:outlineLvl w:val="1"/>
        <w:rPr>
          <w:rStyle w:val="24"/>
          <w:rFonts w:ascii="黑体" w:hAnsi="黑体" w:eastAsia="黑体"/>
          <w:b w:val="0"/>
        </w:rPr>
      </w:pPr>
      <w:bookmarkStart w:id="28" w:name="_Toc15396604"/>
      <w:bookmarkStart w:id="29" w:name="_Toc15377206"/>
      <w:r>
        <w:rPr>
          <w:rFonts w:hint="eastAsia" w:ascii="黑体" w:hAnsi="黑体" w:eastAsia="黑体"/>
          <w:sz w:val="32"/>
          <w:szCs w:val="32"/>
        </w:rPr>
        <w:t>收</w:t>
      </w:r>
      <w:r>
        <w:rPr>
          <w:rStyle w:val="24"/>
          <w:rFonts w:hint="eastAsia" w:ascii="黑体" w:hAnsi="黑体" w:eastAsia="黑体"/>
          <w:b w:val="0"/>
        </w:rPr>
        <w:t>入决算情况说明</w:t>
      </w:r>
      <w:bookmarkEnd w:id="28"/>
      <w:bookmarkEnd w:id="29"/>
    </w:p>
    <w:p>
      <w:pPr>
        <w:spacing w:line="5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21年本年收入合计5041.27万元，其中：一般公共预算财政拨款收入5041.22万元，占100</w:t>
      </w:r>
      <w:r>
        <w:rPr>
          <w:rFonts w:ascii="仿宋" w:hAnsi="仿宋" w:eastAsia="仿宋"/>
          <w:sz w:val="32"/>
          <w:szCs w:val="32"/>
        </w:rPr>
        <w:t>%</w:t>
      </w:r>
      <w:r>
        <w:rPr>
          <w:rFonts w:hint="eastAsia" w:ascii="仿宋" w:hAnsi="仿宋" w:eastAsia="仿宋"/>
          <w:sz w:val="32"/>
          <w:szCs w:val="32"/>
        </w:rPr>
        <w:t>;其他收入0.06万元，占0</w:t>
      </w:r>
      <w:r>
        <w:rPr>
          <w:rFonts w:ascii="仿宋" w:hAnsi="仿宋" w:eastAsia="仿宋"/>
          <w:sz w:val="32"/>
          <w:szCs w:val="32"/>
        </w:rPr>
        <w:t>%</w:t>
      </w:r>
      <w:r>
        <w:rPr>
          <w:rFonts w:hint="eastAsia" w:ascii="仿宋" w:hAnsi="仿宋" w:eastAsia="仿宋"/>
          <w:sz w:val="32"/>
          <w:szCs w:val="32"/>
        </w:rPr>
        <w:t>。</w:t>
      </w:r>
    </w:p>
    <w:p>
      <w:pPr>
        <w:pStyle w:val="14"/>
      </w:pPr>
      <w:r>
        <w:rPr>
          <w:rFonts w:hint="eastAsia"/>
        </w:rPr>
        <w:drawing>
          <wp:inline distT="0" distB="0" distL="114300" distR="114300">
            <wp:extent cx="5400675" cy="2505075"/>
            <wp:effectExtent l="19050" t="0" r="9525"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w:t>
      </w:r>
    </w:p>
    <w:p>
      <w:pPr>
        <w:pStyle w:val="33"/>
        <w:numPr>
          <w:ilvl w:val="0"/>
          <w:numId w:val="1"/>
        </w:numPr>
        <w:spacing w:line="600" w:lineRule="exact"/>
        <w:ind w:firstLineChars="0"/>
        <w:outlineLvl w:val="1"/>
        <w:rPr>
          <w:rStyle w:val="24"/>
          <w:rFonts w:ascii="黑体" w:hAnsi="黑体" w:eastAsia="黑体"/>
          <w:b w:val="0"/>
        </w:rPr>
      </w:pPr>
      <w:bookmarkStart w:id="30" w:name="_Toc15396605"/>
      <w:bookmarkStart w:id="31" w:name="_Toc15377207"/>
      <w:r>
        <w:rPr>
          <w:rFonts w:hint="eastAsia" w:ascii="黑体" w:hAnsi="黑体" w:eastAsia="黑体"/>
          <w:sz w:val="32"/>
          <w:szCs w:val="32"/>
        </w:rPr>
        <w:t>支</w:t>
      </w:r>
      <w:r>
        <w:rPr>
          <w:rStyle w:val="24"/>
          <w:rFonts w:hint="eastAsia" w:ascii="黑体" w:hAnsi="黑体" w:eastAsia="黑体"/>
          <w:b w:val="0"/>
        </w:rPr>
        <w:t>出决算情况说明</w:t>
      </w:r>
      <w:bookmarkEnd w:id="30"/>
      <w:bookmarkEnd w:id="3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21年本年支出合计5044.41万元，其中：基本支出3301.58万元，占65.45</w:t>
      </w:r>
      <w:r>
        <w:rPr>
          <w:rFonts w:ascii="仿宋" w:hAnsi="仿宋" w:eastAsia="仿宋"/>
          <w:sz w:val="32"/>
          <w:szCs w:val="32"/>
        </w:rPr>
        <w:t>%</w:t>
      </w:r>
      <w:r>
        <w:rPr>
          <w:rFonts w:hint="eastAsia" w:ascii="仿宋" w:hAnsi="仿宋" w:eastAsia="仿宋"/>
          <w:sz w:val="32"/>
          <w:szCs w:val="32"/>
        </w:rPr>
        <w:t>；项目支出1742.82万元，占34.55</w:t>
      </w:r>
      <w:r>
        <w:rPr>
          <w:rFonts w:ascii="仿宋" w:hAnsi="仿宋" w:eastAsia="仿宋"/>
          <w:sz w:val="32"/>
          <w:szCs w:val="32"/>
        </w:rPr>
        <w:t>%</w:t>
      </w:r>
      <w:r>
        <w:rPr>
          <w:rFonts w:hint="eastAsia" w:ascii="仿宋" w:hAnsi="仿宋" w:eastAsia="仿宋"/>
          <w:sz w:val="32"/>
          <w:szCs w:val="32"/>
        </w:rPr>
        <w:t>。</w:t>
      </w:r>
    </w:p>
    <w:p>
      <w:pPr>
        <w:pStyle w:val="14"/>
      </w:pPr>
      <w:r>
        <w:rPr>
          <w:rFonts w:hint="eastAsia" w:eastAsia="仿宋_GB2312"/>
        </w:rPr>
        <w:drawing>
          <wp:inline distT="0" distB="0" distL="114300" distR="114300">
            <wp:extent cx="4645025" cy="2697480"/>
            <wp:effectExtent l="4445" t="4445" r="17780" b="2222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4"/>
          <w:rFonts w:ascii="黑体" w:hAnsi="黑体" w:eastAsia="黑体"/>
          <w:b w:val="0"/>
        </w:rPr>
      </w:pPr>
      <w:bookmarkStart w:id="32" w:name="_Toc15396606"/>
      <w:bookmarkStart w:id="33" w:name="_Toc15377208"/>
      <w:r>
        <w:rPr>
          <w:rFonts w:hint="eastAsia" w:ascii="黑体" w:hAnsi="黑体" w:eastAsia="黑体"/>
          <w:sz w:val="32"/>
          <w:szCs w:val="32"/>
        </w:rPr>
        <w:t>四、财</w:t>
      </w:r>
      <w:r>
        <w:rPr>
          <w:rStyle w:val="24"/>
          <w:rFonts w:hint="eastAsia" w:ascii="黑体" w:hAnsi="黑体" w:eastAsia="黑体"/>
          <w:b w:val="0"/>
        </w:rPr>
        <w:t>政拨款收入支出决算总体情况说明</w:t>
      </w:r>
      <w:bookmarkEnd w:id="32"/>
      <w:bookmarkEnd w:id="33"/>
    </w:p>
    <w:p>
      <w:pPr>
        <w:spacing w:line="600" w:lineRule="exact"/>
        <w:ind w:firstLine="640"/>
        <w:rPr>
          <w:highlight w:val="yellow"/>
        </w:rPr>
      </w:pPr>
      <w:r>
        <w:rPr>
          <w:rFonts w:ascii="仿宋" w:hAnsi="仿宋" w:eastAsia="仿宋"/>
          <w:sz w:val="32"/>
          <w:szCs w:val="32"/>
        </w:rPr>
        <w:t>20</w:t>
      </w:r>
      <w:r>
        <w:rPr>
          <w:rFonts w:hint="eastAsia" w:ascii="仿宋" w:hAnsi="仿宋" w:eastAsia="仿宋"/>
          <w:sz w:val="32"/>
          <w:szCs w:val="32"/>
        </w:rPr>
        <w:t>21年财政拨款收、支总计5136.78万元。与</w:t>
      </w:r>
      <w:r>
        <w:rPr>
          <w:rFonts w:ascii="仿宋" w:hAnsi="仿宋" w:eastAsia="仿宋"/>
          <w:sz w:val="32"/>
          <w:szCs w:val="32"/>
        </w:rPr>
        <w:t>20</w:t>
      </w:r>
      <w:r>
        <w:rPr>
          <w:rFonts w:hint="eastAsia" w:ascii="仿宋" w:hAnsi="仿宋" w:eastAsia="仿宋"/>
          <w:sz w:val="32"/>
          <w:szCs w:val="32"/>
        </w:rPr>
        <w:t>20年相比，财政拨款收、支总计各增加214.75万元，增长4.36</w:t>
      </w:r>
      <w:r>
        <w:rPr>
          <w:rFonts w:ascii="仿宋" w:hAnsi="仿宋" w:eastAsia="仿宋"/>
          <w:sz w:val="32"/>
          <w:szCs w:val="32"/>
        </w:rPr>
        <w:t>%</w:t>
      </w:r>
      <w:r>
        <w:rPr>
          <w:rFonts w:hint="eastAsia" w:ascii="仿宋" w:hAnsi="仿宋" w:eastAsia="仿宋"/>
          <w:sz w:val="32"/>
          <w:szCs w:val="32"/>
        </w:rPr>
        <w:t>。主要变动原因是人员增加，招商力度加大。</w:t>
      </w:r>
    </w:p>
    <w:p>
      <w:pPr>
        <w:pStyle w:val="14"/>
      </w:pPr>
      <w:r>
        <w:rPr>
          <w:rFonts w:hint="eastAsia"/>
        </w:rPr>
        <w:drawing>
          <wp:inline distT="0" distB="0" distL="114300" distR="114300">
            <wp:extent cx="4872355" cy="1481455"/>
            <wp:effectExtent l="19050" t="0" r="23495" b="44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（图4：财政拨款收、支决算总计变动情况）</w:t>
      </w:r>
      <w:bookmarkStart w:id="34" w:name="_Toc15396607"/>
      <w:bookmarkStart w:id="35" w:name="_Toc15377209"/>
    </w:p>
    <w:p>
      <w:pPr>
        <w:spacing w:line="600" w:lineRule="exact"/>
        <w:ind w:firstLine="640" w:firstLineChars="200"/>
        <w:outlineLvl w:val="1"/>
        <w:rPr>
          <w:rStyle w:val="24"/>
          <w:rFonts w:ascii="黑体" w:hAnsi="黑体" w:eastAsia="黑体"/>
          <w:b w:val="0"/>
        </w:rPr>
      </w:pPr>
      <w:r>
        <w:rPr>
          <w:rFonts w:hint="eastAsia" w:ascii="黑体" w:hAnsi="黑体" w:eastAsia="黑体"/>
          <w:sz w:val="32"/>
          <w:szCs w:val="32"/>
        </w:rPr>
        <w:t>五、一</w:t>
      </w:r>
      <w:r>
        <w:rPr>
          <w:rStyle w:val="24"/>
          <w:rFonts w:hint="eastAsia" w:ascii="黑体" w:hAnsi="黑体" w:eastAsia="黑体"/>
          <w:b w:val="0"/>
        </w:rPr>
        <w:t>般公共预算财政拨款支出决算情况说明</w:t>
      </w:r>
      <w:bookmarkEnd w:id="34"/>
      <w:bookmarkEnd w:id="35"/>
    </w:p>
    <w:p>
      <w:pPr>
        <w:spacing w:line="600" w:lineRule="exact"/>
        <w:ind w:firstLine="640" w:firstLineChars="200"/>
        <w:outlineLvl w:val="2"/>
        <w:rPr>
          <w:rFonts w:ascii="楷体_GB2312" w:hAnsi="仿宋" w:eastAsia="楷体_GB2312"/>
          <w:sz w:val="32"/>
          <w:szCs w:val="32"/>
        </w:rPr>
      </w:pPr>
      <w:bookmarkStart w:id="36" w:name="_Toc15377210"/>
      <w:r>
        <w:rPr>
          <w:rFonts w:hint="eastAsia" w:ascii="楷体_GB2312" w:hAnsi="仿宋" w:eastAsia="楷体_GB2312"/>
          <w:sz w:val="32"/>
          <w:szCs w:val="32"/>
        </w:rPr>
        <w:t>（一）一般公共预算财政拨款支出决算总体情况</w:t>
      </w:r>
      <w:bookmarkEnd w:id="36"/>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21年一般公共预算财政拨款支出5044.33万元，占本年支出合计的100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20年相比，一般公共预算财政拨款支出增加226.45万元，增长4.7</w:t>
      </w:r>
      <w:r>
        <w:rPr>
          <w:rFonts w:ascii="仿宋" w:hAnsi="仿宋" w:eastAsia="仿宋"/>
          <w:sz w:val="32"/>
          <w:szCs w:val="32"/>
        </w:rPr>
        <w:t>%</w:t>
      </w:r>
      <w:r>
        <w:rPr>
          <w:rFonts w:hint="eastAsia" w:ascii="仿宋" w:hAnsi="仿宋" w:eastAsia="仿宋"/>
          <w:sz w:val="32"/>
          <w:szCs w:val="32"/>
        </w:rPr>
        <w:t>。主要变动原因是人员增加，招商力度加大。</w:t>
      </w:r>
    </w:p>
    <w:p>
      <w:pPr>
        <w:spacing w:line="5000" w:lineRule="exact"/>
        <w:ind w:firstLine="640" w:firstLineChars="200"/>
        <w:rPr>
          <w:rFonts w:ascii="仿宋" w:hAnsi="仿宋" w:eastAsia="仿宋"/>
          <w:sz w:val="32"/>
          <w:szCs w:val="32"/>
        </w:rPr>
      </w:pPr>
      <w:r>
        <w:rPr>
          <w:rFonts w:hint="eastAsia" w:ascii="仿宋" w:hAnsi="仿宋" w:eastAsia="仿宋"/>
          <w:sz w:val="32"/>
          <w:szCs w:val="32"/>
        </w:rPr>
        <w:drawing>
          <wp:inline distT="0" distB="0" distL="114300" distR="114300">
            <wp:extent cx="4667885" cy="2308225"/>
            <wp:effectExtent l="4445" t="5080" r="13970" b="107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0" w:firstLineChars="200"/>
        <w:outlineLvl w:val="2"/>
        <w:rPr>
          <w:rFonts w:ascii="楷体_GB2312" w:hAnsi="仿宋" w:eastAsia="楷体_GB2312"/>
          <w:sz w:val="32"/>
          <w:szCs w:val="32"/>
        </w:rPr>
      </w:pPr>
      <w:bookmarkStart w:id="37" w:name="_Toc15377211"/>
      <w:r>
        <w:rPr>
          <w:rFonts w:hint="eastAsia" w:ascii="楷体_GB2312" w:hAnsi="仿宋" w:eastAsia="楷体_GB2312"/>
          <w:sz w:val="32"/>
          <w:szCs w:val="32"/>
        </w:rPr>
        <w:t>（二）一般公共预算财政拨款支出决算结构情况</w:t>
      </w:r>
      <w:bookmarkEnd w:id="3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21年一般公共预算财政拨款支出5044.33万元，主要用于以下方面</w:t>
      </w:r>
      <w:r>
        <w:rPr>
          <w:rFonts w:ascii="仿宋" w:hAnsi="仿宋" w:eastAsia="仿宋"/>
          <w:sz w:val="32"/>
          <w:szCs w:val="32"/>
        </w:rPr>
        <w:t>:</w:t>
      </w:r>
      <w:r>
        <w:rPr>
          <w:rFonts w:hint="eastAsia" w:ascii="仿宋" w:hAnsi="仿宋" w:eastAsia="仿宋"/>
          <w:sz w:val="32"/>
          <w:szCs w:val="32"/>
        </w:rPr>
        <w:t>一般公共服务（类）支出4454.09万元，占88.3</w:t>
      </w:r>
      <w:r>
        <w:rPr>
          <w:rFonts w:ascii="仿宋" w:hAnsi="仿宋" w:eastAsia="仿宋"/>
          <w:sz w:val="32"/>
          <w:szCs w:val="32"/>
        </w:rPr>
        <w:t>%</w:t>
      </w:r>
      <w:r>
        <w:rPr>
          <w:rFonts w:hint="eastAsia" w:ascii="仿宋" w:hAnsi="仿宋" w:eastAsia="仿宋"/>
          <w:sz w:val="32"/>
          <w:szCs w:val="32"/>
        </w:rPr>
        <w:t>；社会保障和就业（类）支出309.</w:t>
      </w:r>
      <w:r>
        <w:rPr>
          <w:rFonts w:hint="eastAsia" w:ascii="仿宋" w:hAnsi="仿宋" w:eastAsia="仿宋"/>
          <w:sz w:val="32"/>
          <w:szCs w:val="32"/>
          <w:lang w:val="en-US" w:eastAsia="zh-CN"/>
        </w:rPr>
        <w:t>29</w:t>
      </w:r>
      <w:r>
        <w:rPr>
          <w:rFonts w:hint="eastAsia" w:ascii="仿宋" w:hAnsi="仿宋" w:eastAsia="仿宋"/>
          <w:sz w:val="32"/>
          <w:szCs w:val="32"/>
        </w:rPr>
        <w:t>万元，占6.13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Cs/>
          <w:sz w:val="32"/>
          <w:szCs w:val="32"/>
        </w:rPr>
        <w:t>卫生健康支出</w:t>
      </w:r>
      <w:r>
        <w:rPr>
          <w:rFonts w:hint="eastAsia" w:ascii="仿宋" w:hAnsi="仿宋" w:eastAsia="仿宋"/>
          <w:sz w:val="32"/>
          <w:szCs w:val="32"/>
        </w:rPr>
        <w:t>103.2</w:t>
      </w:r>
      <w:r>
        <w:rPr>
          <w:rFonts w:hint="eastAsia" w:ascii="仿宋" w:hAnsi="仿宋" w:eastAsia="仿宋"/>
          <w:sz w:val="32"/>
          <w:szCs w:val="32"/>
          <w:lang w:val="en-US" w:eastAsia="zh-CN"/>
        </w:rPr>
        <w:t>7</w:t>
      </w:r>
      <w:r>
        <w:rPr>
          <w:rFonts w:hint="eastAsia" w:ascii="仿宋" w:hAnsi="仿宋" w:eastAsia="仿宋"/>
          <w:sz w:val="32"/>
          <w:szCs w:val="32"/>
        </w:rPr>
        <w:t>万元，占2.05</w:t>
      </w:r>
      <w:r>
        <w:rPr>
          <w:rFonts w:ascii="仿宋" w:hAnsi="仿宋" w:eastAsia="仿宋"/>
          <w:sz w:val="32"/>
          <w:szCs w:val="32"/>
        </w:rPr>
        <w:t>%</w:t>
      </w:r>
      <w:r>
        <w:rPr>
          <w:rFonts w:hint="eastAsia" w:ascii="仿宋" w:hAnsi="仿宋" w:eastAsia="仿宋"/>
          <w:sz w:val="32"/>
          <w:szCs w:val="32"/>
        </w:rPr>
        <w:t>；住房保障支出177.67万元，占3.52</w:t>
      </w:r>
      <w:r>
        <w:rPr>
          <w:rFonts w:ascii="仿宋" w:hAnsi="仿宋" w:eastAsia="仿宋"/>
          <w:sz w:val="32"/>
          <w:szCs w:val="32"/>
        </w:rPr>
        <w:t>%</w:t>
      </w:r>
      <w:r>
        <w:rPr>
          <w:rFonts w:hint="eastAsia" w:ascii="仿宋" w:hAnsi="仿宋" w:eastAsia="仿宋"/>
          <w:sz w:val="32"/>
          <w:szCs w:val="32"/>
        </w:rPr>
        <w:t>。</w:t>
      </w:r>
    </w:p>
    <w:p>
      <w:pPr>
        <w:pStyle w:val="14"/>
      </w:pPr>
      <w:r>
        <w:rPr>
          <w:rFonts w:hint="eastAsia" w:eastAsia="仿宋_GB2312"/>
        </w:rPr>
        <w:drawing>
          <wp:inline distT="0" distB="0" distL="114300" distR="114300">
            <wp:extent cx="4935220" cy="2682875"/>
            <wp:effectExtent l="4445" t="4445" r="13335" b="1778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2"/>
        <w:rPr>
          <w:rFonts w:ascii="仿宋" w:hAnsi="仿宋" w:eastAsia="仿宋"/>
          <w:sz w:val="32"/>
          <w:szCs w:val="32"/>
        </w:rPr>
      </w:pPr>
      <w:r>
        <w:rPr>
          <w:rFonts w:hint="eastAsia" w:ascii="仿宋" w:hAnsi="仿宋" w:eastAsia="仿宋"/>
          <w:sz w:val="32"/>
          <w:szCs w:val="32"/>
        </w:rPr>
        <w:t>（图6：一般公共预算财政拨款支出决算结构）</w:t>
      </w:r>
      <w:bookmarkStart w:id="38" w:name="_Toc15377212"/>
    </w:p>
    <w:p>
      <w:pPr>
        <w:spacing w:line="600" w:lineRule="exact"/>
        <w:ind w:firstLine="640" w:firstLineChars="200"/>
        <w:outlineLvl w:val="2"/>
        <w:rPr>
          <w:rFonts w:ascii="楷体_GB2312" w:hAnsi="仿宋" w:eastAsia="楷体_GB2312"/>
          <w:sz w:val="32"/>
          <w:szCs w:val="32"/>
        </w:rPr>
      </w:pPr>
      <w:r>
        <w:rPr>
          <w:rFonts w:hint="eastAsia" w:ascii="楷体_GB2312" w:hAnsi="仿宋" w:eastAsia="楷体_GB2312"/>
          <w:sz w:val="32"/>
          <w:szCs w:val="32"/>
        </w:rPr>
        <w:t>（三）一般公共预算财政拨款支出决算具体情况</w:t>
      </w:r>
      <w:bookmarkEnd w:id="38"/>
    </w:p>
    <w:p>
      <w:pPr>
        <w:spacing w:line="600" w:lineRule="exact"/>
        <w:ind w:firstLine="640" w:firstLineChars="200"/>
        <w:outlineLvl w:val="2"/>
        <w:rPr>
          <w:rFonts w:ascii="仿宋" w:hAnsi="仿宋" w:eastAsia="仿宋"/>
          <w:sz w:val="32"/>
          <w:szCs w:val="32"/>
        </w:rPr>
      </w:pPr>
      <w:bookmarkStart w:id="39" w:name="_Toc15377213"/>
      <w:bookmarkStart w:id="40" w:name="_Toc15377444"/>
      <w:bookmarkStart w:id="41" w:name="_Toc15378460"/>
      <w:r>
        <w:rPr>
          <w:rFonts w:hint="eastAsia" w:ascii="仿宋" w:hAnsi="仿宋" w:eastAsia="仿宋"/>
          <w:sz w:val="32"/>
          <w:szCs w:val="32"/>
        </w:rPr>
        <w:t>2021年一般公共预算支出决算数为5044.33万元，</w:t>
      </w:r>
      <w:r>
        <w:rPr>
          <w:rStyle w:val="20"/>
          <w:rFonts w:hint="eastAsia" w:ascii="仿宋" w:hAnsi="仿宋" w:eastAsia="仿宋"/>
          <w:b w:val="0"/>
          <w:bCs/>
          <w:sz w:val="32"/>
          <w:szCs w:val="32"/>
        </w:rPr>
        <w:t>完成预算98.2</w:t>
      </w:r>
      <w:r>
        <w:rPr>
          <w:rStyle w:val="20"/>
          <w:rFonts w:ascii="仿宋" w:hAnsi="仿宋" w:eastAsia="仿宋"/>
          <w:b w:val="0"/>
          <w:bCs/>
          <w:sz w:val="32"/>
          <w:szCs w:val="32"/>
        </w:rPr>
        <w:t>%</w:t>
      </w:r>
      <w:r>
        <w:rPr>
          <w:rStyle w:val="20"/>
          <w:rFonts w:hint="eastAsia" w:ascii="仿宋" w:hAnsi="仿宋" w:eastAsia="仿宋"/>
          <w:b w:val="0"/>
          <w:bCs/>
          <w:sz w:val="32"/>
          <w:szCs w:val="32"/>
        </w:rPr>
        <w:t>。其中：</w:t>
      </w:r>
      <w:bookmarkEnd w:id="39"/>
      <w:bookmarkEnd w:id="40"/>
      <w:bookmarkEnd w:id="41"/>
    </w:p>
    <w:p>
      <w:pPr>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1.一般公共服务（类）政府办公厅（室）及相关机构事务（款）行政运行（项）</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支出决算为2586.2</w:t>
      </w:r>
      <w:r>
        <w:rPr>
          <w:rStyle w:val="20"/>
          <w:rFonts w:hint="eastAsia" w:ascii="仿宋" w:hAnsi="仿宋" w:eastAsia="仿宋"/>
          <w:b w:val="0"/>
          <w:bCs/>
          <w:sz w:val="32"/>
          <w:szCs w:val="32"/>
          <w:lang w:val="en-US" w:eastAsia="zh-CN"/>
        </w:rPr>
        <w:t>0</w:t>
      </w:r>
      <w:r>
        <w:rPr>
          <w:rStyle w:val="20"/>
          <w:rFonts w:hint="eastAsia" w:ascii="仿宋" w:hAnsi="仿宋" w:eastAsia="仿宋"/>
          <w:b w:val="0"/>
          <w:bCs/>
          <w:sz w:val="32"/>
          <w:szCs w:val="32"/>
        </w:rPr>
        <w:t>万元，完成预算99.39</w:t>
      </w:r>
      <w:r>
        <w:rPr>
          <w:rStyle w:val="20"/>
          <w:rFonts w:ascii="仿宋" w:hAnsi="仿宋" w:eastAsia="仿宋"/>
          <w:b w:val="0"/>
          <w:bCs/>
          <w:sz w:val="32"/>
          <w:szCs w:val="32"/>
        </w:rPr>
        <w:t>%</w:t>
      </w:r>
      <w:r>
        <w:rPr>
          <w:rStyle w:val="20"/>
          <w:rFonts w:hint="eastAsia" w:ascii="仿宋" w:hAnsi="仿宋" w:eastAsia="仿宋"/>
          <w:b w:val="0"/>
          <w:bCs/>
          <w:sz w:val="32"/>
          <w:szCs w:val="32"/>
        </w:rPr>
        <w:t>，决算数小于预算数的主要原因是解决非涉密协同办公系统优化完善项目按合</w:t>
      </w:r>
      <w:r>
        <w:rPr>
          <w:rStyle w:val="20"/>
          <w:rFonts w:hint="eastAsia" w:ascii="仿宋" w:hAnsi="仿宋" w:eastAsia="仿宋"/>
          <w:b w:val="0"/>
          <w:bCs/>
          <w:sz w:val="32"/>
          <w:szCs w:val="32"/>
          <w:lang w:val="en-US" w:eastAsia="zh-CN"/>
        </w:rPr>
        <w:t>同</w:t>
      </w:r>
      <w:r>
        <w:rPr>
          <w:rStyle w:val="20"/>
          <w:rFonts w:hint="eastAsia" w:ascii="仿宋" w:hAnsi="仿宋" w:eastAsia="仿宋"/>
          <w:b w:val="0"/>
          <w:bCs/>
          <w:sz w:val="32"/>
          <w:szCs w:val="32"/>
        </w:rPr>
        <w:t>约定于2022年支付。</w:t>
      </w:r>
    </w:p>
    <w:p>
      <w:pPr>
        <w:pStyle w:val="14"/>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2.一般公共服务（类）政府办公厅（室）及相关机构事务（款）一般行政管理事务（项）</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支出决算为1468.3</w:t>
      </w:r>
      <w:r>
        <w:rPr>
          <w:rStyle w:val="20"/>
          <w:rFonts w:hint="eastAsia" w:ascii="仿宋" w:hAnsi="仿宋" w:eastAsia="仿宋"/>
          <w:b w:val="0"/>
          <w:bCs/>
          <w:sz w:val="32"/>
          <w:szCs w:val="32"/>
          <w:lang w:val="en-US" w:eastAsia="zh-CN"/>
        </w:rPr>
        <w:t>6</w:t>
      </w:r>
      <w:r>
        <w:rPr>
          <w:rStyle w:val="20"/>
          <w:rFonts w:hint="eastAsia" w:ascii="仿宋" w:hAnsi="仿宋" w:eastAsia="仿宋"/>
          <w:b w:val="0"/>
          <w:bCs/>
          <w:sz w:val="32"/>
          <w:szCs w:val="32"/>
        </w:rPr>
        <w:t>万元，完成预算95.04</w:t>
      </w:r>
      <w:r>
        <w:rPr>
          <w:rStyle w:val="20"/>
          <w:rFonts w:ascii="仿宋" w:hAnsi="仿宋" w:eastAsia="仿宋"/>
          <w:b w:val="0"/>
          <w:bCs/>
          <w:sz w:val="32"/>
          <w:szCs w:val="32"/>
        </w:rPr>
        <w:t>%</w:t>
      </w:r>
      <w:r>
        <w:rPr>
          <w:rStyle w:val="20"/>
          <w:rFonts w:hint="eastAsia" w:ascii="仿宋" w:hAnsi="仿宋" w:eastAsia="仿宋"/>
          <w:b w:val="0"/>
          <w:bCs/>
          <w:sz w:val="32"/>
          <w:szCs w:val="32"/>
        </w:rPr>
        <w:t>，决算数小于预算数的主要原因是解决非涉密协同办公系统优化完善项目按合</w:t>
      </w:r>
      <w:r>
        <w:rPr>
          <w:rStyle w:val="20"/>
          <w:rFonts w:hint="eastAsia" w:ascii="仿宋" w:hAnsi="仿宋" w:eastAsia="仿宋"/>
          <w:b w:val="0"/>
          <w:bCs/>
          <w:sz w:val="32"/>
          <w:szCs w:val="32"/>
          <w:lang w:eastAsia="zh-CN"/>
        </w:rPr>
        <w:t>同</w:t>
      </w:r>
      <w:r>
        <w:rPr>
          <w:rStyle w:val="20"/>
          <w:rFonts w:hint="eastAsia" w:ascii="仿宋" w:hAnsi="仿宋" w:eastAsia="仿宋"/>
          <w:b w:val="0"/>
          <w:bCs/>
          <w:sz w:val="32"/>
          <w:szCs w:val="32"/>
        </w:rPr>
        <w:t>约定于2022年支付。</w:t>
      </w:r>
    </w:p>
    <w:p>
      <w:pPr>
        <w:pStyle w:val="14"/>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3.一般公共服务（类）政府办公厅（室）及相关机构事务（款）事业运行（项）</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支出决算为125.06万元，完成预算100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Style w:val="14"/>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4.一般公共服务（类）政府办公厅（室）及相关机构事务（款）其他政府办公厅（室）及相关机构事务支出（项）</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支出决算为274.46万元，完成预算100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5</w:t>
      </w:r>
      <w:r>
        <w:rPr>
          <w:rStyle w:val="20"/>
          <w:rFonts w:ascii="仿宋" w:hAnsi="仿宋" w:eastAsia="仿宋"/>
          <w:b w:val="0"/>
          <w:bCs/>
          <w:sz w:val="32"/>
          <w:szCs w:val="32"/>
        </w:rPr>
        <w:t>.</w:t>
      </w:r>
      <w:r>
        <w:rPr>
          <w:rStyle w:val="20"/>
          <w:rFonts w:hint="eastAsia" w:ascii="仿宋" w:hAnsi="仿宋" w:eastAsia="仿宋"/>
          <w:b w:val="0"/>
          <w:bCs/>
          <w:sz w:val="32"/>
          <w:szCs w:val="32"/>
        </w:rPr>
        <w:t>社会保障和就业（类）行政事业单位养老支出（款）行政单位离退休（项）</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支出决算为7.76万元，完成预算100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6.社会保障和就业（类）行政事业单位养老支出（款）机关事业单位基本养老保险缴费支出（项）: 支出决算为180.25万元，完成预算100%。</w:t>
      </w:r>
    </w:p>
    <w:p>
      <w:pPr>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7.社会保障和就业（类）行政事业单位养老支出（款）机关事业单位职业年金缴费支出（项）: 支出决算为34.26万元，完成预算100%。</w:t>
      </w:r>
    </w:p>
    <w:p>
      <w:pPr>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8.社会保障和就业（类）抚恤（款）死亡抚恤（项）: 支出决算为67.39万元，完成预算100%。</w:t>
      </w:r>
    </w:p>
    <w:p>
      <w:pPr>
        <w:pStyle w:val="14"/>
        <w:spacing w:line="600" w:lineRule="exact"/>
        <w:ind w:firstLine="640" w:firstLineChars="200"/>
      </w:pPr>
      <w:r>
        <w:rPr>
          <w:rStyle w:val="20"/>
          <w:rFonts w:hint="eastAsia" w:ascii="仿宋" w:hAnsi="仿宋" w:eastAsia="仿宋"/>
          <w:b w:val="0"/>
          <w:bCs/>
          <w:sz w:val="32"/>
          <w:szCs w:val="32"/>
        </w:rPr>
        <w:t>9.社会保障和就业（类）其他社会保障和就业支出（款）其他社会保障和就业支出（项）: 支出决算为19.63万元，完成预算100%。</w:t>
      </w:r>
    </w:p>
    <w:p>
      <w:pPr>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10</w:t>
      </w:r>
      <w:r>
        <w:rPr>
          <w:rStyle w:val="20"/>
          <w:rFonts w:ascii="仿宋" w:hAnsi="仿宋" w:eastAsia="仿宋"/>
          <w:b w:val="0"/>
          <w:bCs/>
          <w:sz w:val="32"/>
          <w:szCs w:val="32"/>
        </w:rPr>
        <w:t>.</w:t>
      </w:r>
      <w:r>
        <w:rPr>
          <w:rFonts w:hint="eastAsia" w:ascii="仿宋" w:hAnsi="仿宋" w:eastAsia="仿宋"/>
          <w:bCs/>
          <w:sz w:val="32"/>
          <w:szCs w:val="32"/>
        </w:rPr>
        <w:t>卫生健康</w:t>
      </w:r>
      <w:r>
        <w:rPr>
          <w:rStyle w:val="20"/>
          <w:rFonts w:hint="eastAsia" w:ascii="仿宋" w:hAnsi="仿宋" w:eastAsia="仿宋"/>
          <w:b w:val="0"/>
          <w:bCs/>
          <w:sz w:val="32"/>
          <w:szCs w:val="32"/>
        </w:rPr>
        <w:t>（类）行政事业单位医疗（款）行政单位医疗（项）</w:t>
      </w:r>
      <w:r>
        <w:rPr>
          <w:rStyle w:val="20"/>
          <w:rFonts w:ascii="仿宋" w:hAnsi="仿宋" w:eastAsia="仿宋"/>
          <w:b w:val="0"/>
          <w:bCs/>
          <w:sz w:val="32"/>
          <w:szCs w:val="32"/>
        </w:rPr>
        <w:t>:</w:t>
      </w:r>
      <w:r>
        <w:rPr>
          <w:rStyle w:val="20"/>
          <w:rFonts w:hint="eastAsia" w:ascii="仿宋" w:hAnsi="仿宋" w:eastAsia="仿宋"/>
          <w:b w:val="0"/>
          <w:bCs/>
          <w:sz w:val="32"/>
          <w:szCs w:val="32"/>
        </w:rPr>
        <w:t>支出决算为78.92万元，完成预算100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Style w:val="14"/>
        <w:spacing w:line="600" w:lineRule="exact"/>
        <w:ind w:firstLine="640" w:firstLineChars="200"/>
      </w:pPr>
      <w:r>
        <w:rPr>
          <w:rStyle w:val="20"/>
          <w:rFonts w:hint="eastAsia" w:ascii="仿宋" w:hAnsi="仿宋" w:eastAsia="仿宋"/>
          <w:b w:val="0"/>
          <w:bCs/>
          <w:sz w:val="32"/>
          <w:szCs w:val="32"/>
        </w:rPr>
        <w:t>11</w:t>
      </w:r>
      <w:r>
        <w:rPr>
          <w:rStyle w:val="20"/>
          <w:rFonts w:ascii="仿宋" w:hAnsi="仿宋" w:eastAsia="仿宋"/>
          <w:b w:val="0"/>
          <w:bCs/>
          <w:sz w:val="32"/>
          <w:szCs w:val="32"/>
        </w:rPr>
        <w:t>.</w:t>
      </w:r>
      <w:r>
        <w:rPr>
          <w:rFonts w:hint="eastAsia" w:ascii="仿宋" w:hAnsi="仿宋" w:eastAsia="仿宋"/>
          <w:bCs/>
          <w:sz w:val="32"/>
          <w:szCs w:val="32"/>
        </w:rPr>
        <w:t>卫生健康</w:t>
      </w:r>
      <w:r>
        <w:rPr>
          <w:rStyle w:val="20"/>
          <w:rFonts w:hint="eastAsia" w:ascii="仿宋" w:hAnsi="仿宋" w:eastAsia="仿宋"/>
          <w:b w:val="0"/>
          <w:bCs/>
          <w:sz w:val="32"/>
          <w:szCs w:val="32"/>
        </w:rPr>
        <w:t>（类）行政事业单位医疗（款）事业单位医疗（项）</w:t>
      </w:r>
      <w:r>
        <w:rPr>
          <w:rStyle w:val="20"/>
          <w:rFonts w:ascii="仿宋" w:hAnsi="仿宋" w:eastAsia="仿宋"/>
          <w:b w:val="0"/>
          <w:bCs/>
          <w:sz w:val="32"/>
          <w:szCs w:val="32"/>
        </w:rPr>
        <w:t>:</w:t>
      </w:r>
      <w:r>
        <w:rPr>
          <w:rStyle w:val="20"/>
          <w:rFonts w:hint="eastAsia" w:ascii="仿宋" w:hAnsi="仿宋" w:eastAsia="仿宋"/>
          <w:b w:val="0"/>
          <w:bCs/>
          <w:sz w:val="32"/>
          <w:szCs w:val="32"/>
        </w:rPr>
        <w:t>支出决算为24.35万元，完成预算100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0" w:firstLineChars="200"/>
        <w:rPr>
          <w:rFonts w:ascii="仿宋" w:hAnsi="仿宋" w:eastAsia="仿宋"/>
          <w:sz w:val="32"/>
          <w:szCs w:val="32"/>
        </w:rPr>
      </w:pPr>
      <w:r>
        <w:rPr>
          <w:rStyle w:val="20"/>
          <w:rFonts w:hint="eastAsia" w:ascii="仿宋" w:hAnsi="仿宋" w:eastAsia="仿宋"/>
          <w:b w:val="0"/>
          <w:bCs/>
          <w:sz w:val="32"/>
          <w:szCs w:val="32"/>
        </w:rPr>
        <w:t>12.住房保障支出（类）住房改革支出（款）住房公积金（项）:</w:t>
      </w:r>
      <w:r>
        <w:rPr>
          <w:rStyle w:val="20"/>
          <w:rFonts w:hint="eastAsia" w:ascii="仿宋" w:hAnsi="仿宋" w:eastAsia="仿宋"/>
          <w:b w:val="0"/>
          <w:sz w:val="32"/>
          <w:szCs w:val="32"/>
        </w:rPr>
        <w:t>支出决算为177.67万元，完成预算100%。</w:t>
      </w:r>
    </w:p>
    <w:p>
      <w:pPr>
        <w:tabs>
          <w:tab w:val="right" w:pos="8306"/>
        </w:tabs>
        <w:spacing w:line="600" w:lineRule="exact"/>
        <w:ind w:firstLine="640"/>
        <w:outlineLvl w:val="1"/>
        <w:rPr>
          <w:rStyle w:val="24"/>
          <w:b w:val="0"/>
        </w:rPr>
      </w:pPr>
      <w:bookmarkStart w:id="42" w:name="_Toc15377214"/>
      <w:bookmarkStart w:id="43" w:name="_Toc15396608"/>
      <w:r>
        <w:rPr>
          <w:rFonts w:hint="eastAsia" w:ascii="黑体" w:eastAsia="黑体"/>
          <w:sz w:val="32"/>
          <w:szCs w:val="32"/>
        </w:rPr>
        <w:t>六、</w:t>
      </w:r>
      <w:r>
        <w:rPr>
          <w:rFonts w:hint="eastAsia" w:ascii="黑体" w:hAnsi="黑体" w:eastAsia="黑体"/>
          <w:sz w:val="32"/>
          <w:szCs w:val="32"/>
        </w:rPr>
        <w:t>一</w:t>
      </w:r>
      <w:r>
        <w:rPr>
          <w:rStyle w:val="24"/>
          <w:rFonts w:hint="eastAsia" w:ascii="黑体" w:hAnsi="黑体" w:eastAsia="黑体"/>
          <w:b w:val="0"/>
        </w:rPr>
        <w:t>般公共预算财政拨款基本支出决算情况说明</w:t>
      </w:r>
      <w:bookmarkEnd w:id="42"/>
      <w:bookmarkEnd w:id="43"/>
      <w:r>
        <w:rPr>
          <w:rStyle w:val="24"/>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21年一般公共预算财政拨款基本支出3301.51万元，其中：</w:t>
      </w:r>
    </w:p>
    <w:p>
      <w:pPr>
        <w:spacing w:line="600" w:lineRule="exact"/>
        <w:ind w:firstLine="645"/>
      </w:pPr>
      <w:r>
        <w:rPr>
          <w:rFonts w:hint="eastAsia" w:ascii="仿宋" w:hAnsi="仿宋" w:eastAsia="仿宋"/>
          <w:sz w:val="32"/>
          <w:szCs w:val="32"/>
        </w:rPr>
        <w:t>人员经费2668.16万元，主要包括：基本工资、津贴补贴、奖金、伙食补助费、绩效工资、机关事业单位基本养老保险缴费、职业年金缴费、职工基本医疗保险缴费</w:t>
      </w:r>
      <w:r>
        <w:rPr>
          <w:rFonts w:hint="eastAsia" w:ascii="仿宋" w:hAnsi="仿宋" w:eastAsia="仿宋"/>
          <w:sz w:val="32"/>
          <w:szCs w:val="32"/>
          <w:lang w:eastAsia="zh-CN"/>
        </w:rPr>
        <w:t>、</w:t>
      </w:r>
      <w:r>
        <w:rPr>
          <w:rFonts w:hint="eastAsia" w:ascii="仿宋" w:hAnsi="仿宋" w:eastAsia="仿宋"/>
          <w:sz w:val="32"/>
          <w:szCs w:val="32"/>
        </w:rPr>
        <w:t>其他社会保障缴费、其他工资福利支出、离休费、抚恤金、生活补助、奖励金、住房公积金、其他对个人和家庭的补助支出等。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633.35万元，主要包括：办公费、印刷费、手续费、水费、电费、邮电费、物业管理费、差旅费、维修（护）费、租赁费、培训费、公务接待费、劳务费、工会经费、福利费、公务用车运行维护费、其他交通费</w:t>
      </w:r>
      <w:r>
        <w:rPr>
          <w:rFonts w:hint="eastAsia" w:ascii="仿宋" w:hAnsi="仿宋" w:eastAsia="仿宋"/>
          <w:sz w:val="32"/>
          <w:szCs w:val="32"/>
          <w:lang w:eastAsia="zh-CN"/>
        </w:rPr>
        <w:t>、其他商品服务支出</w:t>
      </w:r>
      <w:r>
        <w:rPr>
          <w:rFonts w:hint="eastAsia" w:ascii="仿宋" w:hAnsi="仿宋" w:eastAsia="仿宋"/>
          <w:sz w:val="32"/>
          <w:szCs w:val="32"/>
        </w:rPr>
        <w:t>等。</w:t>
      </w:r>
    </w:p>
    <w:p>
      <w:pPr>
        <w:spacing w:line="600" w:lineRule="exact"/>
        <w:ind w:firstLine="640"/>
        <w:outlineLvl w:val="1"/>
        <w:rPr>
          <w:rStyle w:val="24"/>
          <w:rFonts w:ascii="黑体" w:hAnsi="黑体" w:eastAsia="黑体"/>
          <w:b w:val="0"/>
        </w:rPr>
      </w:pPr>
      <w:bookmarkStart w:id="44" w:name="_Toc15396609"/>
      <w:bookmarkStart w:id="45" w:name="_Toc15377215"/>
      <w:r>
        <w:rPr>
          <w:rFonts w:hint="eastAsia" w:ascii="黑体" w:eastAsia="黑体"/>
          <w:sz w:val="32"/>
          <w:szCs w:val="32"/>
        </w:rPr>
        <w:t>七、</w:t>
      </w:r>
      <w:r>
        <w:rPr>
          <w:rStyle w:val="24"/>
          <w:rFonts w:hint="eastAsia" w:ascii="黑体" w:hAnsi="黑体" w:eastAsia="黑体"/>
          <w:b w:val="0"/>
        </w:rPr>
        <w:t>“三公”经费财政拨款支出决算情况说明</w:t>
      </w:r>
      <w:bookmarkEnd w:id="44"/>
      <w:bookmarkEnd w:id="45"/>
    </w:p>
    <w:p>
      <w:pPr>
        <w:spacing w:line="600" w:lineRule="exact"/>
        <w:ind w:firstLine="640" w:firstLineChars="200"/>
        <w:outlineLvl w:val="2"/>
        <w:rPr>
          <w:rFonts w:ascii="楷体_GB2312" w:hAnsi="仿宋" w:eastAsia="楷体_GB2312"/>
          <w:sz w:val="32"/>
          <w:szCs w:val="32"/>
        </w:rPr>
      </w:pPr>
      <w:bookmarkStart w:id="46" w:name="_Toc15377216"/>
      <w:r>
        <w:rPr>
          <w:rFonts w:hint="eastAsia" w:ascii="楷体_GB2312" w:hAnsi="仿宋" w:eastAsia="楷体_GB2312"/>
          <w:sz w:val="32"/>
          <w:szCs w:val="32"/>
        </w:rPr>
        <w:t>（一）“三公”经费财政拨款支出决算总体情况说明</w:t>
      </w:r>
      <w:bookmarkEnd w:id="46"/>
    </w:p>
    <w:p>
      <w:pPr>
        <w:spacing w:line="600" w:lineRule="exact"/>
        <w:ind w:firstLine="640"/>
        <w:rPr>
          <w:rStyle w:val="20"/>
          <w:rFonts w:hint="eastAsia" w:ascii="仿宋" w:hAnsi="仿宋" w:eastAsia="仿宋"/>
          <w:b w:val="0"/>
          <w:bCs/>
          <w:sz w:val="32"/>
          <w:szCs w:val="32"/>
          <w:lang w:val="en-US" w:eastAsia="zh-CN"/>
        </w:rPr>
      </w:pPr>
      <w:r>
        <w:rPr>
          <w:rFonts w:ascii="仿宋" w:hAnsi="仿宋" w:eastAsia="仿宋"/>
          <w:sz w:val="32"/>
          <w:szCs w:val="32"/>
        </w:rPr>
        <w:t>20</w:t>
      </w:r>
      <w:r>
        <w:rPr>
          <w:rFonts w:hint="eastAsia" w:ascii="仿宋" w:hAnsi="仿宋" w:eastAsia="仿宋"/>
          <w:sz w:val="32"/>
          <w:szCs w:val="32"/>
        </w:rPr>
        <w:t>21年“三公”经费财政拨款支出决算为56.47万元，完成预算57.87</w:t>
      </w:r>
      <w:r>
        <w:rPr>
          <w:rFonts w:ascii="仿宋" w:hAnsi="仿宋" w:eastAsia="仿宋"/>
          <w:sz w:val="32"/>
          <w:szCs w:val="32"/>
        </w:rPr>
        <w:t>%</w:t>
      </w:r>
      <w:r>
        <w:rPr>
          <w:rFonts w:hint="eastAsia" w:ascii="仿宋" w:hAnsi="仿宋" w:eastAsia="仿宋"/>
          <w:sz w:val="32"/>
          <w:szCs w:val="32"/>
        </w:rPr>
        <w:t>，决算数小于预算数的</w:t>
      </w:r>
      <w:bookmarkStart w:id="47" w:name="_Toc15377217"/>
      <w:r>
        <w:rPr>
          <w:rStyle w:val="20"/>
          <w:rFonts w:hint="eastAsia" w:ascii="仿宋" w:hAnsi="仿宋" w:eastAsia="仿宋"/>
          <w:b w:val="0"/>
          <w:bCs/>
          <w:sz w:val="32"/>
          <w:szCs w:val="32"/>
        </w:rPr>
        <w:t>主要原因是</w:t>
      </w:r>
      <w:r>
        <w:rPr>
          <w:rStyle w:val="20"/>
          <w:rFonts w:hint="eastAsia" w:ascii="仿宋" w:hAnsi="仿宋" w:eastAsia="仿宋"/>
          <w:b w:val="0"/>
          <w:bCs/>
          <w:sz w:val="32"/>
          <w:szCs w:val="32"/>
          <w:lang w:val="en-US" w:eastAsia="zh-CN"/>
        </w:rPr>
        <w:t>厉行节约。</w:t>
      </w:r>
    </w:p>
    <w:p>
      <w:pPr>
        <w:spacing w:line="600" w:lineRule="exact"/>
        <w:ind w:firstLine="640"/>
        <w:rPr>
          <w:rFonts w:ascii="仿宋" w:hAnsi="仿宋" w:eastAsia="仿宋"/>
          <w:sz w:val="32"/>
          <w:szCs w:val="32"/>
        </w:rPr>
      </w:pPr>
      <w:r>
        <w:rPr>
          <w:rFonts w:hint="eastAsia" w:ascii="仿宋" w:hAnsi="仿宋" w:eastAsia="仿宋"/>
          <w:sz w:val="32"/>
          <w:szCs w:val="32"/>
        </w:rPr>
        <w:t>（二）“三公”经费财政拨款支出决算具体情况说明</w:t>
      </w:r>
      <w:bookmarkEnd w:id="4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；公务用车购置及运行维护费支出决算35.27万元，占62.46</w:t>
      </w:r>
      <w:r>
        <w:rPr>
          <w:rFonts w:ascii="仿宋" w:hAnsi="仿宋" w:eastAsia="仿宋"/>
          <w:sz w:val="32"/>
          <w:szCs w:val="32"/>
        </w:rPr>
        <w:t>%</w:t>
      </w:r>
      <w:r>
        <w:rPr>
          <w:rFonts w:hint="eastAsia" w:ascii="仿宋" w:hAnsi="仿宋" w:eastAsia="仿宋"/>
          <w:sz w:val="32"/>
          <w:szCs w:val="32"/>
        </w:rPr>
        <w:t>；公务接待费支出决算21.2万元，占37.54</w:t>
      </w:r>
      <w:r>
        <w:rPr>
          <w:rFonts w:ascii="仿宋" w:hAnsi="仿宋" w:eastAsia="仿宋"/>
          <w:sz w:val="32"/>
          <w:szCs w:val="32"/>
        </w:rPr>
        <w:t>%</w:t>
      </w:r>
      <w:r>
        <w:rPr>
          <w:rFonts w:hint="eastAsia" w:ascii="仿宋" w:hAnsi="仿宋" w:eastAsia="仿宋"/>
          <w:sz w:val="32"/>
          <w:szCs w:val="32"/>
        </w:rPr>
        <w:t>。具体情况如下：</w:t>
      </w:r>
    </w:p>
    <w:p>
      <w:pPr>
        <w:pStyle w:val="14"/>
      </w:pPr>
      <w:r>
        <w:rPr>
          <w:rFonts w:hint="eastAsia"/>
        </w:rPr>
        <w:drawing>
          <wp:inline distT="0" distB="0" distL="114300" distR="114300">
            <wp:extent cx="5080000" cy="2620010"/>
            <wp:effectExtent l="4445" t="4445" r="20955" b="2349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因公出国（境）经费支出0万元，</w:t>
      </w:r>
      <w:r>
        <w:rPr>
          <w:rStyle w:val="20"/>
          <w:rFonts w:hint="eastAsia" w:ascii="仿宋" w:hAnsi="仿宋" w:eastAsia="仿宋"/>
          <w:b w:val="0"/>
          <w:sz w:val="32"/>
          <w:szCs w:val="32"/>
        </w:rPr>
        <w:t>年初未安排预算</w:t>
      </w:r>
      <w:r>
        <w:rPr>
          <w:rStyle w:val="20"/>
          <w:rFonts w:hint="eastAsia" w:ascii="仿宋" w:hAnsi="仿宋" w:eastAsia="仿宋"/>
          <w:b w:val="0"/>
          <w:bCs/>
          <w:sz w:val="32"/>
          <w:szCs w:val="32"/>
        </w:rPr>
        <w:t>。</w:t>
      </w:r>
      <w:r>
        <w:rPr>
          <w:rFonts w:hint="eastAsia" w:ascii="仿宋_GB2312" w:eastAsia="仿宋_GB2312"/>
          <w:sz w:val="32"/>
          <w:szCs w:val="32"/>
        </w:rPr>
        <w:t>因公出国（境）支出决算比</w:t>
      </w:r>
      <w:r>
        <w:rPr>
          <w:rFonts w:ascii="仿宋_GB2312" w:eastAsia="仿宋_GB2312"/>
          <w:sz w:val="32"/>
          <w:szCs w:val="32"/>
        </w:rPr>
        <w:t>20</w:t>
      </w:r>
      <w:r>
        <w:rPr>
          <w:rFonts w:hint="eastAsia" w:ascii="仿宋_GB2312" w:eastAsia="仿宋_GB2312"/>
          <w:sz w:val="32"/>
          <w:szCs w:val="32"/>
        </w:rPr>
        <w:t>20年无变化。</w:t>
      </w:r>
    </w:p>
    <w:p>
      <w:pPr>
        <w:spacing w:line="60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公务用车购置及运行维护费支出35.27万元,</w:t>
      </w:r>
      <w:r>
        <w:rPr>
          <w:rStyle w:val="20"/>
          <w:rFonts w:hint="eastAsia" w:ascii="仿宋" w:hAnsi="仿宋" w:eastAsia="仿宋"/>
          <w:b w:val="0"/>
          <w:bCs/>
          <w:sz w:val="32"/>
          <w:szCs w:val="32"/>
        </w:rPr>
        <w:t>完成预算61.88</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20年增加12.75万元，增长56.62</w:t>
      </w:r>
      <w:r>
        <w:rPr>
          <w:rFonts w:ascii="仿宋_GB2312" w:eastAsia="仿宋_GB2312"/>
          <w:sz w:val="32"/>
          <w:szCs w:val="32"/>
        </w:rPr>
        <w:t>%</w:t>
      </w:r>
      <w:r>
        <w:rPr>
          <w:rFonts w:hint="eastAsia" w:ascii="仿宋_GB2312" w:eastAsia="仿宋_GB2312"/>
          <w:sz w:val="32"/>
          <w:szCs w:val="32"/>
        </w:rPr>
        <w:t>。主要原因是招商引资力度加大、调研、乡村振兴用车频率增加。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其中：公务用车购置支出0万元。截至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月底，单位共有公务用车6辆，其中：轿车6辆、越野车0辆、载客汽车0辆。</w:t>
      </w:r>
    </w:p>
    <w:p>
      <w:pPr>
        <w:spacing w:line="600" w:lineRule="exact"/>
        <w:ind w:firstLine="640"/>
      </w:pPr>
      <w:r>
        <w:rPr>
          <w:rFonts w:hint="eastAsia" w:ascii="仿宋_GB2312" w:eastAsia="仿宋_GB2312"/>
          <w:sz w:val="32"/>
          <w:szCs w:val="32"/>
        </w:rPr>
        <w:t>公务用车运行维护费支出35.27万元。</w:t>
      </w:r>
      <w:r>
        <w:rPr>
          <w:rFonts w:hint="eastAsia" w:ascii="仿宋" w:hAnsi="仿宋" w:eastAsia="仿宋"/>
          <w:color w:val="000000"/>
          <w:sz w:val="32"/>
          <w:szCs w:val="32"/>
        </w:rPr>
        <w:t>主要用于招商、调研等所需的公务用车燃料费</w:t>
      </w:r>
      <w:r>
        <w:rPr>
          <w:rFonts w:hint="eastAsia" w:ascii="仿宋_GB2312" w:eastAsia="仿宋_GB2312"/>
          <w:sz w:val="32"/>
          <w:szCs w:val="32"/>
        </w:rPr>
        <w:t>、维修费、过路过桥费、保险费等支出。</w:t>
      </w:r>
    </w:p>
    <w:p>
      <w:pPr>
        <w:spacing w:line="60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公务接待费支出</w:t>
      </w:r>
      <w:r>
        <w:rPr>
          <w:rFonts w:hint="eastAsia" w:ascii="仿宋" w:hAnsi="仿宋" w:eastAsia="仿宋"/>
          <w:sz w:val="32"/>
          <w:szCs w:val="32"/>
        </w:rPr>
        <w:t>21.2</w:t>
      </w:r>
      <w:r>
        <w:rPr>
          <w:rFonts w:hint="eastAsia" w:ascii="仿宋_GB2312" w:eastAsia="仿宋_GB2312"/>
          <w:sz w:val="32"/>
          <w:szCs w:val="32"/>
        </w:rPr>
        <w:t>万元，</w:t>
      </w:r>
      <w:r>
        <w:rPr>
          <w:rStyle w:val="20"/>
          <w:rFonts w:hint="eastAsia" w:ascii="仿宋" w:hAnsi="仿宋" w:eastAsia="仿宋"/>
          <w:b w:val="0"/>
          <w:bCs/>
          <w:sz w:val="32"/>
          <w:szCs w:val="32"/>
        </w:rPr>
        <w:t>完成预算52.24</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20年增加7.58万元，增长35.75</w:t>
      </w:r>
      <w:r>
        <w:rPr>
          <w:rFonts w:ascii="仿宋_GB2312" w:eastAsia="仿宋_GB2312"/>
          <w:sz w:val="32"/>
          <w:szCs w:val="32"/>
        </w:rPr>
        <w:t>%</w:t>
      </w:r>
      <w:r>
        <w:rPr>
          <w:rFonts w:hint="eastAsia" w:ascii="仿宋_GB2312" w:eastAsia="仿宋_GB2312"/>
          <w:sz w:val="32"/>
          <w:szCs w:val="32"/>
        </w:rPr>
        <w:t>。主要原因是招商引资力度加大。其中：</w:t>
      </w:r>
    </w:p>
    <w:p>
      <w:pPr>
        <w:spacing w:line="600" w:lineRule="exact"/>
        <w:ind w:firstLine="640"/>
        <w:rPr>
          <w:rFonts w:ascii="仿宋_GB2312" w:eastAsia="仿宋_GB2312"/>
          <w:sz w:val="32"/>
          <w:szCs w:val="32"/>
        </w:rPr>
      </w:pPr>
      <w:r>
        <w:rPr>
          <w:rFonts w:hint="eastAsia" w:ascii="仿宋" w:hAnsi="仿宋" w:eastAsia="仿宋"/>
          <w:sz w:val="32"/>
          <w:szCs w:val="32"/>
        </w:rPr>
        <w:t>国内公务接待支出21.2</w:t>
      </w:r>
      <w:r>
        <w:rPr>
          <w:rFonts w:hint="eastAsia" w:ascii="仿宋_GB2312" w:eastAsia="仿宋_GB2312"/>
          <w:sz w:val="32"/>
          <w:szCs w:val="32"/>
        </w:rPr>
        <w:t>万元，</w:t>
      </w:r>
      <w:r>
        <w:rPr>
          <w:rFonts w:hint="eastAsia" w:ascii="仿宋" w:hAnsi="仿宋" w:eastAsia="仿宋"/>
          <w:color w:val="000000"/>
          <w:sz w:val="32"/>
          <w:szCs w:val="32"/>
        </w:rPr>
        <w:t>主要用于招商活动开支的用餐费。</w:t>
      </w:r>
      <w:r>
        <w:rPr>
          <w:rFonts w:hint="eastAsia" w:ascii="仿宋_GB2312" w:eastAsia="仿宋_GB2312"/>
          <w:sz w:val="32"/>
          <w:szCs w:val="32"/>
        </w:rPr>
        <w:t>国内公务接待</w:t>
      </w:r>
      <w:r>
        <w:rPr>
          <w:rFonts w:hint="eastAsia" w:ascii="仿宋" w:hAnsi="仿宋" w:eastAsia="仿宋"/>
          <w:color w:val="000000"/>
          <w:sz w:val="32"/>
          <w:szCs w:val="32"/>
        </w:rPr>
        <w:t>147</w:t>
      </w:r>
      <w:r>
        <w:rPr>
          <w:rFonts w:hint="eastAsia" w:ascii="仿宋_GB2312" w:eastAsia="仿宋_GB2312"/>
          <w:sz w:val="32"/>
          <w:szCs w:val="32"/>
        </w:rPr>
        <w:t>批次，</w:t>
      </w:r>
      <w:r>
        <w:rPr>
          <w:rFonts w:hint="eastAsia" w:ascii="仿宋" w:hAnsi="仿宋" w:eastAsia="仿宋"/>
          <w:color w:val="000000"/>
          <w:sz w:val="32"/>
          <w:szCs w:val="32"/>
        </w:rPr>
        <w:t>1998</w:t>
      </w:r>
      <w:r>
        <w:rPr>
          <w:rFonts w:hint="eastAsia" w:ascii="仿宋_GB2312" w:eastAsia="仿宋_GB2312"/>
          <w:sz w:val="32"/>
          <w:szCs w:val="32"/>
        </w:rPr>
        <w:t>人次（不包括陪同人员），共计支出</w:t>
      </w:r>
      <w:r>
        <w:rPr>
          <w:rFonts w:hint="eastAsia" w:ascii="仿宋" w:hAnsi="仿宋" w:eastAsia="仿宋"/>
          <w:sz w:val="32"/>
          <w:szCs w:val="32"/>
        </w:rPr>
        <w:t>21.2</w:t>
      </w:r>
      <w:r>
        <w:rPr>
          <w:rFonts w:hint="eastAsia" w:ascii="仿宋_GB2312" w:eastAsia="仿宋_GB2312"/>
          <w:sz w:val="32"/>
          <w:szCs w:val="32"/>
        </w:rPr>
        <w:t>万元，</w:t>
      </w:r>
      <w:r>
        <w:rPr>
          <w:rFonts w:hint="eastAsia" w:ascii="仿宋" w:hAnsi="仿宋" w:eastAsia="仿宋"/>
          <w:color w:val="000000"/>
          <w:sz w:val="32"/>
          <w:szCs w:val="32"/>
        </w:rPr>
        <w:t>具体内容包括：接待用餐，金额</w:t>
      </w:r>
      <w:r>
        <w:rPr>
          <w:rFonts w:hint="eastAsia" w:ascii="仿宋" w:hAnsi="仿宋" w:eastAsia="仿宋"/>
          <w:sz w:val="32"/>
          <w:szCs w:val="32"/>
        </w:rPr>
        <w:t>21.2</w:t>
      </w:r>
      <w:r>
        <w:rPr>
          <w:rFonts w:hint="eastAsia" w:ascii="仿宋" w:hAnsi="仿宋" w:eastAsia="仿宋"/>
          <w:color w:val="000000"/>
          <w:sz w:val="32"/>
          <w:szCs w:val="32"/>
        </w:rPr>
        <w:t>万元。</w:t>
      </w:r>
    </w:p>
    <w:p>
      <w:pPr>
        <w:spacing w:line="600" w:lineRule="exact"/>
        <w:ind w:firstLine="640" w:firstLineChars="200"/>
        <w:rPr>
          <w:rFonts w:ascii="黑体" w:eastAsia="仿宋_GB2312"/>
          <w:sz w:val="32"/>
          <w:szCs w:val="32"/>
        </w:rPr>
      </w:pPr>
      <w:r>
        <w:rPr>
          <w:rFonts w:hint="eastAsia" w:ascii="仿宋" w:hAnsi="仿宋" w:eastAsia="仿宋"/>
          <w:sz w:val="32"/>
          <w:szCs w:val="32"/>
        </w:rPr>
        <w:t>外事接待支出0</w:t>
      </w:r>
      <w:r>
        <w:rPr>
          <w:rFonts w:hint="eastAsia" w:ascii="仿宋_GB2312" w:eastAsia="仿宋_GB2312"/>
          <w:sz w:val="32"/>
          <w:szCs w:val="32"/>
        </w:rPr>
        <w:t>万元</w:t>
      </w:r>
      <w:bookmarkStart w:id="48" w:name="_Toc15396610"/>
      <w:bookmarkStart w:id="49" w:name="_Toc15377218"/>
      <w:r>
        <w:rPr>
          <w:rFonts w:hint="eastAsia" w:ascii="仿宋_GB2312" w:eastAsia="仿宋_GB2312"/>
          <w:sz w:val="32"/>
          <w:szCs w:val="32"/>
        </w:rPr>
        <w:t>。</w:t>
      </w:r>
    </w:p>
    <w:p>
      <w:pPr>
        <w:spacing w:line="600" w:lineRule="exact"/>
        <w:ind w:firstLine="640"/>
        <w:outlineLvl w:val="1"/>
        <w:rPr>
          <w:rStyle w:val="24"/>
          <w:rFonts w:ascii="黑体" w:hAnsi="黑体" w:eastAsia="黑体"/>
          <w:b w:val="0"/>
        </w:rPr>
      </w:pPr>
      <w:r>
        <w:rPr>
          <w:rFonts w:hint="eastAsia" w:ascii="黑体" w:eastAsia="黑体"/>
          <w:sz w:val="32"/>
          <w:szCs w:val="32"/>
        </w:rPr>
        <w:t>八、</w:t>
      </w:r>
      <w:r>
        <w:rPr>
          <w:rStyle w:val="24"/>
          <w:rFonts w:hint="eastAsia" w:ascii="黑体" w:hAnsi="黑体" w:eastAsia="黑体"/>
          <w:b w:val="0"/>
        </w:rPr>
        <w:t>政府性基金预算支出决算情况说明</w:t>
      </w:r>
      <w:bookmarkEnd w:id="48"/>
      <w:bookmarkEnd w:id="4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2"/>
        </w:numPr>
        <w:spacing w:line="600" w:lineRule="exact"/>
        <w:ind w:firstLine="640"/>
        <w:outlineLvl w:val="1"/>
        <w:rPr>
          <w:rStyle w:val="24"/>
          <w:rFonts w:ascii="黑体" w:hAnsi="黑体" w:eastAsia="黑体"/>
          <w:b w:val="0"/>
        </w:rPr>
      </w:pPr>
      <w:bookmarkStart w:id="50" w:name="_Toc15396611"/>
      <w:bookmarkStart w:id="51" w:name="_Toc15377219"/>
      <w:r>
        <w:rPr>
          <w:rStyle w:val="24"/>
          <w:rFonts w:hint="eastAsia" w:ascii="黑体" w:hAnsi="黑体" w:eastAsia="黑体"/>
          <w:b w:val="0"/>
        </w:rPr>
        <w:t>国有资本经营预算支出决算情况说明</w:t>
      </w:r>
      <w:bookmarkEnd w:id="50"/>
      <w:bookmarkEnd w:id="51"/>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2"/>
        </w:numPr>
        <w:spacing w:line="600" w:lineRule="exact"/>
        <w:ind w:firstLine="640"/>
        <w:outlineLvl w:val="1"/>
        <w:rPr>
          <w:rStyle w:val="24"/>
          <w:rFonts w:ascii="黑体" w:hAnsi="黑体" w:eastAsia="黑体"/>
          <w:b w:val="0"/>
        </w:rPr>
      </w:pPr>
      <w:r>
        <w:rPr>
          <w:rStyle w:val="24"/>
          <w:rFonts w:hint="eastAsia" w:ascii="黑体" w:hAnsi="黑体" w:eastAsia="黑体"/>
          <w:b w:val="0"/>
        </w:rPr>
        <w:t>预算绩效管理情况</w:t>
      </w:r>
    </w:p>
    <w:p>
      <w:pPr>
        <w:spacing w:line="600" w:lineRule="exact"/>
        <w:ind w:firstLine="640" w:firstLineChars="200"/>
        <w:outlineLvl w:val="1"/>
        <w:rPr>
          <w:rFonts w:eastAsia="仿宋_GB2312"/>
        </w:rPr>
      </w:pPr>
      <w:r>
        <w:rPr>
          <w:rFonts w:hint="eastAsia" w:ascii="仿宋_GB2312" w:hAnsi="仿宋_GB2312" w:eastAsia="仿宋_GB2312" w:cs="仿宋_GB2312"/>
          <w:sz w:val="32"/>
          <w:szCs w:val="32"/>
        </w:rPr>
        <w:t>根据预算绩效管理要求，本部门在2021年度预算编制阶段，组织对</w:t>
      </w:r>
      <w:r>
        <w:rPr>
          <w:rFonts w:hint="eastAsia" w:ascii="仿宋" w:hAnsi="仿宋" w:eastAsia="仿宋" w:cs="仿宋"/>
          <w:sz w:val="32"/>
          <w:szCs w:val="32"/>
        </w:rPr>
        <w:t>四大班子保安服务</w:t>
      </w:r>
      <w:r>
        <w:rPr>
          <w:rFonts w:hint="eastAsia" w:ascii="仿宋_GB2312" w:hAnsi="仿宋_GB2312" w:eastAsia="仿宋_GB2312" w:cs="仿宋_GB2312"/>
          <w:sz w:val="32"/>
          <w:szCs w:val="32"/>
        </w:rPr>
        <w:t>、四大班子监控系统租赁经费、</w:t>
      </w:r>
      <w:r>
        <w:rPr>
          <w:rFonts w:hint="eastAsia" w:ascii="仿宋" w:hAnsi="仿宋" w:eastAsia="仿宋" w:cs="仿宋"/>
          <w:sz w:val="32"/>
          <w:szCs w:val="32"/>
        </w:rPr>
        <w:t>广元市市级电子政务外网升级改造服务</w:t>
      </w:r>
      <w:r>
        <w:rPr>
          <w:rFonts w:hint="eastAsia" w:ascii="仿宋_GB2312" w:hAnsi="仿宋_GB2312" w:eastAsia="仿宋_GB2312" w:cs="仿宋_GB2312"/>
          <w:sz w:val="32"/>
          <w:szCs w:val="32"/>
        </w:rPr>
        <w:t>、女子警务室工作经费、四大班子OA办公系统服务费项目5个项目开展了预算事前绩效评估，对5个项目编制了绩效目标，预算执行过程中，选取5个项目开展绩效监控，年终执行完毕后，对5个项目开展了绩效自评。同时，本部门对2021年部门整体开展绩效自评，《2021年</w:t>
      </w:r>
      <w:r>
        <w:rPr>
          <w:rFonts w:hint="eastAsia" w:ascii="仿宋_GB2312" w:hAnsi="仿宋_GB2312" w:eastAsia="仿宋_GB2312" w:cs="仿宋_GB2312"/>
          <w:sz w:val="32"/>
          <w:szCs w:val="32"/>
          <w:lang w:eastAsia="zh-CN"/>
        </w:rPr>
        <w:t>市人民政府办公室政</w:t>
      </w:r>
      <w:r>
        <w:rPr>
          <w:rFonts w:hint="eastAsia" w:ascii="仿宋_GB2312" w:hAnsi="仿宋_GB2312" w:eastAsia="仿宋_GB2312" w:cs="仿宋_GB2312"/>
          <w:sz w:val="32"/>
          <w:szCs w:val="32"/>
        </w:rPr>
        <w:t>部门整体绩效评价报告》见附件（第四部分）。</w:t>
      </w:r>
    </w:p>
    <w:p>
      <w:pPr>
        <w:spacing w:line="600" w:lineRule="exact"/>
        <w:ind w:firstLine="640" w:firstLineChars="200"/>
        <w:outlineLvl w:val="1"/>
        <w:rPr>
          <w:rStyle w:val="24"/>
          <w:rFonts w:ascii="黑体" w:hAnsi="黑体" w:eastAsia="黑体"/>
          <w:b w:val="0"/>
        </w:rPr>
      </w:pPr>
      <w:r>
        <w:rPr>
          <w:rStyle w:val="24"/>
          <w:rFonts w:hint="eastAsia" w:ascii="黑体" w:hAnsi="黑体" w:eastAsia="黑体"/>
          <w:b w:val="0"/>
        </w:rPr>
        <w:t>十一、其他重要事项的情况说明</w:t>
      </w:r>
      <w:bookmarkEnd w:id="26"/>
      <w:bookmarkEnd w:id="27"/>
    </w:p>
    <w:p>
      <w:pPr>
        <w:spacing w:line="600" w:lineRule="exact"/>
        <w:ind w:firstLine="480" w:firstLineChars="150"/>
        <w:outlineLvl w:val="2"/>
        <w:rPr>
          <w:rFonts w:ascii="楷体_GB2312" w:hAnsi="仿宋" w:eastAsia="楷体_GB2312"/>
          <w:sz w:val="32"/>
          <w:szCs w:val="32"/>
        </w:rPr>
      </w:pPr>
      <w:bookmarkStart w:id="52" w:name="_Toc15377222"/>
      <w:bookmarkStart w:id="53" w:name="_Toc15396613"/>
      <w:bookmarkStart w:id="54" w:name="_Toc15377225"/>
      <w:r>
        <w:rPr>
          <w:rFonts w:hint="eastAsia" w:ascii="楷体_GB2312" w:hAnsi="仿宋" w:eastAsia="楷体_GB2312"/>
          <w:sz w:val="32"/>
          <w:szCs w:val="32"/>
        </w:rPr>
        <w:t>（一）机关运行经费支出情况</w:t>
      </w:r>
      <w:bookmarkEnd w:id="5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 w:hAnsi="仿宋" w:eastAsia="仿宋"/>
          <w:color w:val="000000"/>
          <w:sz w:val="32"/>
          <w:szCs w:val="32"/>
        </w:rPr>
        <w:t>广元市人民政府办公室部门</w:t>
      </w:r>
      <w:r>
        <w:rPr>
          <w:rFonts w:hint="eastAsia" w:ascii="仿宋_GB2312" w:eastAsia="仿宋_GB2312"/>
          <w:sz w:val="32"/>
          <w:szCs w:val="32"/>
        </w:rPr>
        <w:t>机关运行经费支出633.35万元，比</w:t>
      </w:r>
      <w:r>
        <w:rPr>
          <w:rFonts w:ascii="仿宋_GB2312" w:eastAsia="仿宋_GB2312"/>
          <w:sz w:val="32"/>
          <w:szCs w:val="32"/>
        </w:rPr>
        <w:t>20</w:t>
      </w:r>
      <w:r>
        <w:rPr>
          <w:rFonts w:hint="eastAsia" w:ascii="仿宋_GB2312" w:eastAsia="仿宋_GB2312"/>
          <w:sz w:val="32"/>
          <w:szCs w:val="32"/>
        </w:rPr>
        <w:t>20年增加67.21万元，增长11.87</w:t>
      </w:r>
      <w:r>
        <w:rPr>
          <w:rFonts w:ascii="仿宋_GB2312" w:eastAsia="仿宋_GB2312"/>
          <w:sz w:val="32"/>
          <w:szCs w:val="32"/>
        </w:rPr>
        <w:t>%</w:t>
      </w:r>
      <w:r>
        <w:rPr>
          <w:rFonts w:hint="eastAsia" w:ascii="仿宋_GB2312" w:eastAsia="仿宋_GB2312"/>
          <w:sz w:val="32"/>
          <w:szCs w:val="32"/>
        </w:rPr>
        <w:t>。</w:t>
      </w:r>
      <w:bookmarkStart w:id="55" w:name="_Toc15377223"/>
      <w:r>
        <w:rPr>
          <w:rFonts w:hint="eastAsia" w:ascii="仿宋_GB2312" w:eastAsia="仿宋_GB2312"/>
          <w:sz w:val="32"/>
          <w:szCs w:val="32"/>
        </w:rPr>
        <w:t>主要原因是招商引资力度加大、调研、乡村振兴机关运行费用增加。</w:t>
      </w:r>
    </w:p>
    <w:p>
      <w:pPr>
        <w:spacing w:line="600" w:lineRule="exact"/>
        <w:ind w:firstLine="480" w:firstLineChars="150"/>
        <w:outlineLvl w:val="2"/>
        <w:rPr>
          <w:rFonts w:ascii="楷体_GB2312" w:hAnsi="仿宋" w:eastAsia="楷体_GB2312"/>
          <w:sz w:val="32"/>
          <w:szCs w:val="32"/>
        </w:rPr>
      </w:pPr>
      <w:r>
        <w:rPr>
          <w:rFonts w:hint="eastAsia" w:ascii="楷体_GB2312" w:hAnsi="仿宋" w:eastAsia="楷体_GB2312"/>
          <w:sz w:val="32"/>
          <w:szCs w:val="32"/>
        </w:rPr>
        <w:t>（二）政府采购支出情况</w:t>
      </w:r>
      <w:bookmarkEnd w:id="55"/>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 w:hAnsi="仿宋" w:eastAsia="仿宋"/>
          <w:color w:val="000000"/>
          <w:sz w:val="32"/>
          <w:szCs w:val="32"/>
        </w:rPr>
        <w:t>广元市人民政府办公室</w:t>
      </w:r>
      <w:r>
        <w:rPr>
          <w:rFonts w:hint="eastAsia" w:ascii="仿宋_GB2312" w:eastAsia="仿宋_GB2312"/>
          <w:sz w:val="32"/>
          <w:szCs w:val="32"/>
        </w:rPr>
        <w:t>政府部门采购支出总额0万元。</w:t>
      </w:r>
    </w:p>
    <w:p>
      <w:pPr>
        <w:spacing w:line="600" w:lineRule="exact"/>
        <w:ind w:firstLine="480" w:firstLineChars="150"/>
        <w:outlineLvl w:val="2"/>
        <w:rPr>
          <w:rFonts w:ascii="楷体_GB2312" w:hAnsi="仿宋" w:eastAsia="楷体_GB2312"/>
          <w:sz w:val="32"/>
          <w:szCs w:val="32"/>
        </w:rPr>
      </w:pPr>
      <w:bookmarkStart w:id="56" w:name="_Toc15377224"/>
      <w:r>
        <w:rPr>
          <w:rFonts w:hint="eastAsia" w:ascii="楷体_GB2312" w:hAnsi="仿宋" w:eastAsia="楷体_GB2312"/>
          <w:sz w:val="32"/>
          <w:szCs w:val="32"/>
        </w:rPr>
        <w:t>（三）国有资产占有使用情况</w:t>
      </w:r>
      <w:bookmarkEnd w:id="56"/>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 w:hAnsi="仿宋" w:eastAsia="仿宋"/>
          <w:color w:val="000000"/>
          <w:sz w:val="32"/>
          <w:szCs w:val="32"/>
        </w:rPr>
        <w:t>广元市人民政府办公室</w:t>
      </w:r>
      <w:r>
        <w:rPr>
          <w:rFonts w:hint="eastAsia" w:ascii="仿宋_GB2312" w:eastAsia="仿宋_GB2312"/>
          <w:sz w:val="32"/>
          <w:szCs w:val="32"/>
        </w:rPr>
        <w:t>共有车辆6辆，其中：主要领导干部用车1辆、机要通信用车0辆、应急保障用车0辆、其他用车5辆，</w:t>
      </w:r>
      <w:r>
        <w:rPr>
          <w:rFonts w:hint="eastAsia" w:ascii="仿宋" w:hAnsi="仿宋" w:eastAsia="仿宋"/>
          <w:color w:val="000000"/>
          <w:sz w:val="32"/>
          <w:szCs w:val="32"/>
        </w:rPr>
        <w:t>其他用车主要是用于一般公共事务工作。</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r>
        <w:rPr>
          <w:rFonts w:ascii="仿宋_GB2312" w:eastAsia="仿宋_GB2312"/>
          <w:sz w:val="32"/>
          <w:szCs w:val="32"/>
        </w:rPr>
        <w:br w:type="page"/>
      </w:r>
    </w:p>
    <w:p>
      <w:pPr>
        <w:numPr>
          <w:ilvl w:val="0"/>
          <w:numId w:val="3"/>
        </w:numPr>
        <w:spacing w:line="576" w:lineRule="exact"/>
        <w:jc w:val="center"/>
        <w:outlineLvl w:val="0"/>
        <w:rPr>
          <w:rStyle w:val="23"/>
          <w:rFonts w:ascii="黑体" w:hAnsi="黑体" w:eastAsia="黑体"/>
          <w:b w:val="0"/>
        </w:rPr>
      </w:pPr>
      <w:r>
        <w:rPr>
          <w:rFonts w:hint="eastAsia" w:ascii="黑体" w:hAnsi="黑体" w:eastAsia="黑体"/>
          <w:sz w:val="44"/>
          <w:szCs w:val="44"/>
        </w:rPr>
        <w:t>名</w:t>
      </w:r>
      <w:r>
        <w:rPr>
          <w:rStyle w:val="23"/>
          <w:rFonts w:hint="eastAsia" w:ascii="黑体" w:hAnsi="黑体" w:eastAsia="黑体"/>
          <w:b w:val="0"/>
        </w:rPr>
        <w:t>词解释</w:t>
      </w:r>
      <w:bookmarkEnd w:id="53"/>
      <w:bookmarkEnd w:id="54"/>
    </w:p>
    <w:p>
      <w:pPr>
        <w:spacing w:line="576" w:lineRule="exact"/>
        <w:jc w:val="left"/>
        <w:rPr>
          <w:rFonts w:ascii="宋体"/>
          <w:sz w:val="44"/>
          <w:szCs w:val="44"/>
        </w:rPr>
      </w:pPr>
    </w:p>
    <w:p>
      <w:pPr>
        <w:pStyle w:val="32"/>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2"/>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其他收入：指单位取得的除上述收入以外的各项收入。主要是银行存款利息收入。</w:t>
      </w:r>
    </w:p>
    <w:p>
      <w:pPr>
        <w:pStyle w:val="32"/>
        <w:spacing w:line="576"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pStyle w:val="32"/>
        <w:spacing w:line="576" w:lineRule="exact"/>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一般公共服务（类）政府办公厅（室）及相关机构事务（款）行政运行（项）：指为保障单位正常运行所发生的支出。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一般公共服务（类）政府办公厅（室）及相关机构事务（款）一般行政管理事务（项）：指单位开展专项工作所发生的费用。</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7.一般公共服务（类）政府办公厅（室）及相关机构事务（款）事业运行（项）：反映事业单位的基本支出，不包括行政单位（包括实行公务员管理的事业单位）后勤服务中心、医务室等附属事业单位。</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8.一般公共服务（类）政府办公厅（室）及相关机构事务（款）其他政府办公厅（室）及相关机构事务支出：反映除上述项目以外的其他政府办公厅（室）及相关机构事务支出。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社会保障和就业（类）行政事业单位养老支出（款）机关事业单位基本养老保险缴费支出（项）：指单位为职工缴纳的并轨养老保险。</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社会保障和就业（类）行政事业单位养老支出（款）机关事业单位职业年金缴费支出（项）：指单位为职工缴纳的职业年金。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社会保障和就业（类）行政事业单位养老支出（款）行政单位离退休（项）：反映行政单位（包括实行公务员管理的事业单位）开支的离退休经费。</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社会保障和就业（类）抚恤（款）死亡抚恤（项）：指单位发生的退休人员死亡抚恤金。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（类）行政事业单位医疗（款）行政单位医疗（项）：指单位为职工缴纳的基本医疗保险。</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（类）行政事业单位医疗（款）事业单位医疗（项）：反映财政部门安排的事业单位基本医疗保险缴费经费，未参加医疗保险的事业单位的公费医疗经费，按国家规定享受离休人员待遇的医疗经费。</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住房保障（类）住房改革支出（款）住房公积金（项）：指单位为职工缴纳的住房公积金。</w:t>
      </w:r>
    </w:p>
    <w:p>
      <w:pPr>
        <w:pStyle w:val="2"/>
        <w:ind w:firstLine="640" w:firstLineChars="200"/>
        <w:rPr>
          <w:rFonts w:hint="default" w:eastAsia="仿宋_GB2312"/>
          <w:lang w:val="en-US" w:eastAsia="zh-CN"/>
        </w:rPr>
      </w:pPr>
      <w:r>
        <w:rPr>
          <w:rFonts w:hint="eastAsia"/>
          <w:color w:val="000000"/>
          <w:sz w:val="32"/>
          <w:szCs w:val="32"/>
          <w:lang w:val="en-US" w:eastAsia="zh-CN"/>
        </w:rPr>
        <w:t>16.社会保障和就业（类）其他社会保障和就业支出（款）其他社会保障和就业支出（项）：反映工伤失业等其他社会保障和就业支出。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32"/>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w:t>
      </w:r>
    </w:p>
    <w:p>
      <w:pPr>
        <w:pStyle w:val="32"/>
        <w:spacing w:line="576"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pStyle w:val="32"/>
        <w:spacing w:line="560" w:lineRule="exact"/>
        <w:ind w:firstLine="640" w:firstLineChars="200"/>
        <w:rPr>
          <w:rFonts w:ascii="仿宋_GB2312" w:eastAsia="仿宋_GB2312" w:cs="黑体"/>
          <w:color w:val="auto"/>
          <w:sz w:val="32"/>
          <w:szCs w:val="32"/>
        </w:rPr>
      </w:pPr>
    </w:p>
    <w:p>
      <w:pPr>
        <w:ind w:firstLine="640" w:firstLineChars="200"/>
        <w:rPr>
          <w:rFonts w:ascii="仿宋" w:hAnsi="仿宋" w:eastAsia="仿宋"/>
          <w:sz w:val="32"/>
          <w:szCs w:val="32"/>
        </w:rPr>
      </w:pPr>
    </w:p>
    <w:p>
      <w:pPr>
        <w:spacing w:line="600" w:lineRule="exact"/>
        <w:jc w:val="center"/>
        <w:outlineLvl w:val="0"/>
        <w:rPr>
          <w:rStyle w:val="23"/>
          <w:rFonts w:ascii="黑体" w:hAnsi="黑体" w:eastAsia="黑体"/>
          <w:b w:val="0"/>
        </w:rPr>
      </w:pPr>
      <w:bookmarkStart w:id="57" w:name="_Toc15377226"/>
      <w:r>
        <w:rPr>
          <w:rFonts w:ascii="宋体"/>
          <w:sz w:val="44"/>
          <w:szCs w:val="44"/>
        </w:rPr>
        <w:br w:type="page"/>
      </w:r>
      <w:bookmarkStart w:id="58" w:name="_Toc15396614"/>
      <w:r>
        <w:rPr>
          <w:rFonts w:hint="eastAsia" w:ascii="黑体" w:hAnsi="黑体" w:eastAsia="黑体"/>
          <w:sz w:val="44"/>
          <w:szCs w:val="44"/>
        </w:rPr>
        <w:t>第</w:t>
      </w:r>
      <w:r>
        <w:rPr>
          <w:rStyle w:val="23"/>
          <w:rFonts w:hint="eastAsia" w:ascii="黑体" w:hAnsi="黑体" w:eastAsia="黑体"/>
          <w:b w:val="0"/>
        </w:rPr>
        <w:t>四部分  附 件</w:t>
      </w:r>
      <w:bookmarkEnd w:id="58"/>
    </w:p>
    <w:p>
      <w:pPr>
        <w:spacing w:line="572" w:lineRule="exact"/>
        <w:jc w:val="left"/>
        <w:outlineLvl w:val="0"/>
        <w:rPr>
          <w:rFonts w:ascii="方正小标宋简体" w:hAnsi="方正小标宋简体" w:eastAsia="方正小标宋简体" w:cs="方正小标宋简体"/>
          <w:sz w:val="44"/>
          <w:szCs w:val="44"/>
        </w:rPr>
      </w:pPr>
    </w:p>
    <w:p>
      <w:pPr>
        <w:spacing w:line="572" w:lineRule="exact"/>
        <w:jc w:val="center"/>
        <w:rPr>
          <w:rFonts w:ascii="方正小标宋简体" w:hAnsi="宋体" w:eastAsia="方正小标宋简体"/>
          <w:kern w:val="0"/>
          <w:sz w:val="40"/>
          <w:szCs w:val="44"/>
        </w:rPr>
      </w:pPr>
      <w:r>
        <w:rPr>
          <w:rFonts w:hint="eastAsia" w:ascii="方正小标宋简体" w:hAnsi="宋体" w:eastAsia="方正小标宋简体"/>
          <w:kern w:val="0"/>
          <w:sz w:val="40"/>
          <w:szCs w:val="44"/>
        </w:rPr>
        <w:t>2021年市人民政府办公室部门</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整体绩效评价报告</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部门概况</w:t>
      </w:r>
    </w:p>
    <w:p>
      <w:pPr>
        <w:widowControl/>
        <w:adjustRightInd w:val="0"/>
        <w:snapToGrid w:val="0"/>
        <w:spacing w:line="572" w:lineRule="exact"/>
        <w:ind w:firstLine="640" w:firstLineChars="200"/>
        <w:contextualSpacing/>
        <w:jc w:val="left"/>
        <w:rPr>
          <w:rFonts w:ascii="楷体_GB2312" w:hAnsi="宋体" w:eastAsia="楷体_GB2312" w:cs="宋体"/>
          <w:kern w:val="0"/>
          <w:sz w:val="32"/>
          <w:szCs w:val="32"/>
          <w:shd w:val="clear" w:color="auto" w:fill="FFFFFF"/>
          <w:lang w:val="zh-CN"/>
        </w:rPr>
      </w:pPr>
      <w:r>
        <w:rPr>
          <w:rFonts w:hint="eastAsia" w:ascii="楷体_GB2312" w:hAnsi="宋体" w:eastAsia="楷体_GB2312" w:cs="宋体"/>
          <w:kern w:val="0"/>
          <w:sz w:val="32"/>
          <w:szCs w:val="32"/>
          <w:shd w:val="clear" w:color="auto" w:fill="FFFFFF"/>
          <w:lang w:val="zh-CN"/>
        </w:rPr>
        <w:t>（一）机构组成。</w:t>
      </w:r>
    </w:p>
    <w:p>
      <w:pPr>
        <w:spacing w:line="57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广元市人民政府办公室部门决算包括：广元市人民政府办公室本级决算（行政单位）、二级决算单位</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个（参公事业单位）、代管二级决算单位</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个（参公事业单位）。</w:t>
      </w:r>
    </w:p>
    <w:p>
      <w:pPr>
        <w:spacing w:line="57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纳入广元市人民政府办公室2021年部门决算编制范围的二级预算单位包括：</w:t>
      </w:r>
    </w:p>
    <w:p>
      <w:pPr>
        <w:spacing w:line="57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1、广元市人民政府办公室</w:t>
      </w:r>
    </w:p>
    <w:p>
      <w:pPr>
        <w:pStyle w:val="2"/>
        <w:overflowPunct w:val="0"/>
        <w:adjustRightInd w:val="0"/>
        <w:snapToGrid w:val="0"/>
        <w:spacing w:beforeLines="0" w:line="570" w:lineRule="exact"/>
        <w:ind w:firstLine="640" w:firstLineChars="200"/>
        <w:rPr>
          <w:rFonts w:hAnsi="仿宋"/>
          <w:color w:val="000000"/>
          <w:sz w:val="32"/>
          <w:szCs w:val="32"/>
        </w:rPr>
      </w:pPr>
      <w:r>
        <w:rPr>
          <w:rFonts w:hint="eastAsia" w:hAnsi="Tahoma" w:cs="Tahoma"/>
          <w:color w:val="000000"/>
          <w:sz w:val="32"/>
          <w:szCs w:val="32"/>
        </w:rPr>
        <w:t>2、广元市人民政府驻成都办事处</w:t>
      </w:r>
    </w:p>
    <w:p>
      <w:pPr>
        <w:pStyle w:val="2"/>
        <w:overflowPunct w:val="0"/>
        <w:adjustRightInd w:val="0"/>
        <w:snapToGrid w:val="0"/>
        <w:spacing w:beforeLines="0" w:line="570" w:lineRule="exact"/>
        <w:ind w:firstLine="640" w:firstLineChars="200"/>
        <w:rPr>
          <w:rFonts w:hAnsi="Tahoma" w:cs="Tahoma"/>
          <w:color w:val="000000"/>
          <w:sz w:val="32"/>
          <w:szCs w:val="32"/>
        </w:rPr>
      </w:pPr>
      <w:r>
        <w:rPr>
          <w:rFonts w:hint="eastAsia" w:hAnsi="Tahoma" w:cs="Tahoma"/>
          <w:color w:val="000000"/>
          <w:sz w:val="32"/>
          <w:szCs w:val="32"/>
          <w:lang w:val="en-US" w:eastAsia="zh-CN"/>
        </w:rPr>
        <w:t>3</w:t>
      </w:r>
      <w:r>
        <w:rPr>
          <w:rFonts w:hint="eastAsia" w:hAnsi="Tahoma" w:cs="Tahoma"/>
          <w:color w:val="000000"/>
          <w:sz w:val="32"/>
          <w:szCs w:val="32"/>
        </w:rPr>
        <w:t>、中国国际贸易促进委员会广元市委员会</w:t>
      </w:r>
    </w:p>
    <w:p>
      <w:pPr>
        <w:widowControl/>
        <w:adjustRightInd w:val="0"/>
        <w:snapToGrid w:val="0"/>
        <w:spacing w:line="572" w:lineRule="exact"/>
        <w:ind w:firstLine="640" w:firstLineChars="200"/>
        <w:contextualSpacing/>
        <w:jc w:val="left"/>
        <w:rPr>
          <w:rFonts w:ascii="楷体_GB2312" w:hAnsi="宋体" w:eastAsia="楷体_GB2312" w:cs="宋体"/>
          <w:kern w:val="0"/>
          <w:sz w:val="32"/>
          <w:szCs w:val="32"/>
          <w:shd w:val="clear" w:color="auto" w:fill="FFFFFF"/>
          <w:lang w:val="zh-CN"/>
        </w:rPr>
      </w:pPr>
      <w:r>
        <w:rPr>
          <w:rFonts w:hint="eastAsia" w:ascii="楷体_GB2312" w:hAnsi="宋体" w:eastAsia="楷体_GB2312" w:cs="宋体"/>
          <w:kern w:val="0"/>
          <w:sz w:val="32"/>
          <w:szCs w:val="32"/>
          <w:shd w:val="clear" w:color="auto" w:fill="FFFFFF"/>
          <w:lang w:val="zh-CN"/>
        </w:rPr>
        <w:t>（二）机构职能。</w:t>
      </w:r>
    </w:p>
    <w:p>
      <w:pPr>
        <w:pStyle w:val="16"/>
        <w:overflowPunct w:val="0"/>
        <w:spacing w:line="57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广元市人民政府办公室是市人民政府的综合办事机构，主要是参与政务、管理事务和搞好服务。主要职责是负责承办市政府公文处理。起草或审核以市政府、市政府办公室名义发布的公文；办理国务院、国务院办公厅及各部委和省政府、省政府办公厅及各厅局发送市政府的文电；指导全市行政机关公文处理工作；研究市政府部门和县区政府请示市政府的事项，提出拟办意见，报市政府领导同志审批；负责市政府会议的会务办理工作，协助市政府领导同志组织实施会议决定事项；督促检查市政府部门和县区人民政府对市政府决定事项及市政府领导同志指示的贯彻落实情况，及时向市政府领导同志报告；根据市政府领导同志的指示，对市政府部门间争议问题提出处理意见和建议，报市政府领导同志决定；负责机关行政效能建设工作；负责推进、指导、督促全市政务公开、政府信息公开具体工作；负责全市政务信息采编和向国务院办公厅、省政府办公厅信息报送工作；负责政府系统电子政务外网工作和政府网站建设；组织协调办理涉及市政府工作的人大代表议案、批评、建议和政协委员提案、建议案工作；围绕市政府中心工作和市政府领导同志的指示，组织专题调查研究，及时反映情况，提出政策性建议；负责公共机构节约能源资源、公务用车、后勤服务等机关事务行政管理工作；贯彻执行金融工作方针政策和法律法规；制定全市金融业发展规划和政策措施；承担地方金融组织的行政管理工作，协助办理防范金融风险、维护地方金融秩序方面的行政事务；贯彻执行国家有关民营经济发展的方针政策和法律法规，制定全市民营经济发展工作目标，指导县区民营经济发展；负责“放管服”改革、行政权力依法规范公开运行、公共资源交易管理等工作的统筹指导，负责指导、协调、监督并推进深化行政审批制度改革工作；负责市政府值班工作，指导县区政府和市政府部门政务值班值守工作，及时报告重要情况；管理市政府办公室直属单位；办理市委市政府交办的其他事项。</w:t>
      </w:r>
    </w:p>
    <w:p>
      <w:pPr>
        <w:widowControl/>
        <w:adjustRightInd w:val="0"/>
        <w:snapToGrid w:val="0"/>
        <w:spacing w:line="572" w:lineRule="exact"/>
        <w:ind w:firstLine="640" w:firstLineChars="200"/>
        <w:contextualSpacing/>
        <w:jc w:val="left"/>
        <w:rPr>
          <w:rFonts w:ascii="楷体_GB2312" w:hAnsi="宋体" w:eastAsia="楷体_GB2312" w:cs="宋体"/>
          <w:kern w:val="0"/>
          <w:sz w:val="32"/>
          <w:szCs w:val="32"/>
          <w:shd w:val="clear" w:color="auto" w:fill="FFFFFF"/>
          <w:lang w:val="zh-CN"/>
        </w:rPr>
      </w:pPr>
      <w:r>
        <w:rPr>
          <w:rFonts w:hint="eastAsia" w:ascii="楷体_GB2312" w:hAnsi="宋体" w:eastAsia="楷体_GB2312" w:cs="宋体"/>
          <w:kern w:val="0"/>
          <w:sz w:val="32"/>
          <w:szCs w:val="32"/>
          <w:shd w:val="clear" w:color="auto" w:fill="FFFFFF"/>
          <w:lang w:val="zh-CN"/>
        </w:rPr>
        <w:t>（三）人员概况。</w:t>
      </w:r>
    </w:p>
    <w:p>
      <w:pPr>
        <w:pStyle w:val="2"/>
        <w:overflowPunct w:val="0"/>
        <w:adjustRightInd w:val="0"/>
        <w:snapToGrid w:val="0"/>
        <w:spacing w:beforeLines="0" w:line="570" w:lineRule="exact"/>
        <w:ind w:firstLine="640" w:firstLineChars="200"/>
        <w:rPr>
          <w:rFonts w:hint="eastAsia" w:eastAsia="仿宋_GB2312"/>
          <w:color w:val="000000"/>
          <w:kern w:val="2"/>
          <w:sz w:val="32"/>
          <w:szCs w:val="32"/>
          <w:lang w:eastAsia="zh-CN"/>
        </w:rPr>
      </w:pPr>
      <w:r>
        <w:rPr>
          <w:rFonts w:hint="eastAsia"/>
          <w:color w:val="000000"/>
          <w:kern w:val="2"/>
          <w:sz w:val="32"/>
          <w:szCs w:val="32"/>
        </w:rPr>
        <w:t>1、</w:t>
      </w:r>
      <w:r>
        <w:rPr>
          <w:rFonts w:hint="eastAsia"/>
          <w:b/>
          <w:bCs/>
          <w:color w:val="000000"/>
          <w:kern w:val="2"/>
          <w:sz w:val="32"/>
          <w:szCs w:val="32"/>
        </w:rPr>
        <w:t>广元市</w:t>
      </w:r>
      <w:r>
        <w:rPr>
          <w:rFonts w:hint="eastAsia"/>
          <w:b/>
          <w:bCs/>
          <w:color w:val="000000"/>
          <w:kern w:val="2"/>
          <w:sz w:val="32"/>
          <w:szCs w:val="32"/>
          <w:lang w:eastAsia="zh-CN"/>
        </w:rPr>
        <w:t>人民</w:t>
      </w:r>
      <w:r>
        <w:rPr>
          <w:rFonts w:hint="eastAsia"/>
          <w:b/>
          <w:bCs/>
          <w:color w:val="000000"/>
          <w:kern w:val="2"/>
          <w:sz w:val="32"/>
          <w:szCs w:val="32"/>
        </w:rPr>
        <w:t>政府办公室</w:t>
      </w:r>
      <w:r>
        <w:rPr>
          <w:rFonts w:hint="eastAsia"/>
          <w:color w:val="000000"/>
          <w:kern w:val="2"/>
          <w:sz w:val="32"/>
          <w:szCs w:val="32"/>
        </w:rPr>
        <w:t>：公务员69人（包括驻纪检组6人，大熊猫国家公园广元管理分局1人），工勤人员4人，参公人员7人，事业人员22人</w:t>
      </w:r>
      <w:r>
        <w:rPr>
          <w:rFonts w:hint="eastAsia"/>
          <w:color w:val="000000"/>
          <w:kern w:val="2"/>
          <w:sz w:val="32"/>
          <w:szCs w:val="32"/>
          <w:lang w:eastAsia="zh-CN"/>
        </w:rPr>
        <w:t>；</w:t>
      </w:r>
      <w:r>
        <w:rPr>
          <w:rFonts w:hint="eastAsia"/>
          <w:color w:val="000000"/>
          <w:kern w:val="2"/>
          <w:sz w:val="32"/>
          <w:szCs w:val="32"/>
        </w:rPr>
        <w:t>驻新疆办事处参公1人</w:t>
      </w:r>
      <w:r>
        <w:rPr>
          <w:rFonts w:hint="eastAsia"/>
          <w:color w:val="000000"/>
          <w:kern w:val="2"/>
          <w:sz w:val="32"/>
          <w:szCs w:val="32"/>
          <w:lang w:eastAsia="zh-CN"/>
        </w:rPr>
        <w:t>；</w:t>
      </w:r>
      <w:r>
        <w:rPr>
          <w:rFonts w:hint="eastAsia"/>
          <w:color w:val="000000"/>
          <w:kern w:val="2"/>
          <w:sz w:val="32"/>
          <w:szCs w:val="32"/>
        </w:rPr>
        <w:t>驻北京办事处参公2人，工勤1人。</w:t>
      </w:r>
    </w:p>
    <w:p>
      <w:pPr>
        <w:pStyle w:val="2"/>
        <w:overflowPunct w:val="0"/>
        <w:adjustRightInd w:val="0"/>
        <w:snapToGrid w:val="0"/>
        <w:spacing w:beforeLines="0" w:line="570" w:lineRule="exact"/>
        <w:ind w:firstLine="640" w:firstLineChars="200"/>
        <w:rPr>
          <w:color w:val="000000"/>
          <w:kern w:val="2"/>
          <w:sz w:val="32"/>
          <w:szCs w:val="32"/>
        </w:rPr>
      </w:pPr>
      <w:bookmarkStart w:id="59" w:name="_Toc7086"/>
      <w:r>
        <w:rPr>
          <w:rFonts w:hint="eastAsia"/>
          <w:color w:val="000000"/>
          <w:kern w:val="2"/>
          <w:sz w:val="32"/>
          <w:szCs w:val="32"/>
        </w:rPr>
        <w:t>2、广元市人民政府驻成都办事处：参公21人，工勤4人。</w:t>
      </w:r>
    </w:p>
    <w:p>
      <w:pPr>
        <w:pStyle w:val="2"/>
        <w:overflowPunct w:val="0"/>
        <w:adjustRightInd w:val="0"/>
        <w:snapToGrid w:val="0"/>
        <w:spacing w:beforeLines="0" w:line="570" w:lineRule="exact"/>
        <w:ind w:firstLine="640" w:firstLineChars="200"/>
        <w:rPr>
          <w:color w:val="000000"/>
          <w:kern w:val="2"/>
          <w:sz w:val="32"/>
          <w:szCs w:val="32"/>
        </w:rPr>
      </w:pPr>
      <w:r>
        <w:rPr>
          <w:rFonts w:hint="eastAsia"/>
          <w:color w:val="000000"/>
          <w:kern w:val="2"/>
          <w:sz w:val="32"/>
          <w:szCs w:val="32"/>
          <w:lang w:val="en-US" w:eastAsia="zh-CN"/>
        </w:rPr>
        <w:t>3</w:t>
      </w:r>
      <w:r>
        <w:rPr>
          <w:rFonts w:hint="eastAsia"/>
          <w:color w:val="000000"/>
          <w:kern w:val="2"/>
          <w:sz w:val="32"/>
          <w:szCs w:val="32"/>
        </w:rPr>
        <w:t>、中国国际贸易促进委员会广元市委员会：参公7人，工勤2人。</w:t>
      </w:r>
    </w:p>
    <w:p>
      <w:pPr>
        <w:adjustRightInd w:val="0"/>
        <w:snapToGrid w:val="0"/>
        <w:spacing w:line="576" w:lineRule="exact"/>
        <w:ind w:firstLine="640" w:firstLineChars="200"/>
        <w:contextualSpacing/>
        <w:jc w:val="left"/>
        <w:outlineLvl w:val="1"/>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二、部门财政资金收支情况</w:t>
      </w:r>
      <w:bookmarkEnd w:id="59"/>
    </w:p>
    <w:p>
      <w:pPr>
        <w:adjustRightInd w:val="0"/>
        <w:snapToGrid w:val="0"/>
        <w:spacing w:line="576" w:lineRule="exact"/>
        <w:ind w:firstLine="640" w:firstLineChars="200"/>
        <w:contextualSpacing/>
        <w:jc w:val="left"/>
        <w:outlineLvl w:val="1"/>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cs="宋体"/>
          <w:kern w:val="0"/>
          <w:sz w:val="32"/>
          <w:szCs w:val="32"/>
          <w:shd w:val="clear" w:color="auto" w:fill="FFFFFF"/>
          <w:lang w:val="zh-CN"/>
        </w:rPr>
        <w:t>（一）部门财政资金收入情况。</w:t>
      </w:r>
      <w:r>
        <w:rPr>
          <w:rFonts w:hint="eastAsia" w:ascii="仿宋_GB2312" w:hAnsi="仿宋_GB2312" w:eastAsia="仿宋_GB2312" w:cs="仿宋_GB2312"/>
          <w:kern w:val="0"/>
          <w:sz w:val="32"/>
          <w:szCs w:val="32"/>
          <w:shd w:val="clear" w:color="auto" w:fill="FFFFFF"/>
          <w:lang w:val="zh-CN"/>
        </w:rPr>
        <w:t>202</w:t>
      </w: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zh-CN"/>
        </w:rPr>
        <w:t>年度收入总计5041.22万元。与20</w:t>
      </w:r>
      <w:r>
        <w:rPr>
          <w:rFonts w:hint="eastAsia" w:ascii="仿宋_GB2312" w:hAnsi="仿宋_GB2312" w:eastAsia="仿宋_GB2312" w:cs="仿宋_GB2312"/>
          <w:kern w:val="0"/>
          <w:sz w:val="32"/>
          <w:szCs w:val="32"/>
          <w:shd w:val="clear" w:color="auto" w:fill="FFFFFF"/>
        </w:rPr>
        <w:t>20</w:t>
      </w:r>
      <w:r>
        <w:rPr>
          <w:rFonts w:hint="eastAsia" w:ascii="仿宋_GB2312" w:hAnsi="仿宋_GB2312" w:eastAsia="仿宋_GB2312" w:cs="仿宋_GB2312"/>
          <w:kern w:val="0"/>
          <w:sz w:val="32"/>
          <w:szCs w:val="32"/>
          <w:shd w:val="clear" w:color="auto" w:fill="FFFFFF"/>
          <w:lang w:val="zh-CN"/>
        </w:rPr>
        <w:t>年相比，收入总计增加609.27万元，增长</w:t>
      </w:r>
      <w:r>
        <w:rPr>
          <w:rFonts w:hint="eastAsia" w:ascii="仿宋_GB2312" w:hAnsi="仿宋_GB2312" w:eastAsia="仿宋_GB2312" w:cs="仿宋_GB2312"/>
          <w:kern w:val="0"/>
          <w:sz w:val="32"/>
          <w:szCs w:val="32"/>
          <w:shd w:val="clear" w:color="auto" w:fill="FFFFFF"/>
        </w:rPr>
        <w:t>12.09</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cs="宋体"/>
          <w:kern w:val="0"/>
          <w:sz w:val="32"/>
          <w:szCs w:val="32"/>
          <w:shd w:val="clear" w:color="auto" w:fill="FFFFFF"/>
          <w:lang w:val="zh-CN"/>
        </w:rPr>
        <w:t>（二）部门财政资金支出情况。</w:t>
      </w:r>
      <w:r>
        <w:rPr>
          <w:rFonts w:hint="eastAsia" w:ascii="仿宋_GB2312" w:hAnsi="仿宋_GB2312" w:eastAsia="仿宋_GB2312" w:cs="仿宋_GB2312"/>
          <w:kern w:val="0"/>
          <w:sz w:val="32"/>
          <w:szCs w:val="32"/>
          <w:shd w:val="clear" w:color="auto" w:fill="FFFFFF"/>
          <w:lang w:val="zh-CN"/>
        </w:rPr>
        <w:t>202</w:t>
      </w: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zh-CN"/>
        </w:rPr>
        <w:t>年本年支出合计5044.33万元，其中：基本支出3301.58万元，占65.45%；项目支出1742.82万元，占34.55%。</w:t>
      </w:r>
    </w:p>
    <w:p>
      <w:pPr>
        <w:adjustRightInd w:val="0"/>
        <w:snapToGrid w:val="0"/>
        <w:spacing w:line="576" w:lineRule="exact"/>
        <w:ind w:firstLine="640" w:firstLineChars="200"/>
        <w:contextualSpacing/>
        <w:jc w:val="left"/>
        <w:outlineLvl w:val="1"/>
        <w:rPr>
          <w:rFonts w:ascii="黑体" w:hAnsi="黑体" w:eastAsia="黑体" w:cs="黑体"/>
          <w:kern w:val="0"/>
          <w:sz w:val="32"/>
          <w:szCs w:val="32"/>
          <w:shd w:val="clear" w:color="auto" w:fill="FFFFFF"/>
        </w:rPr>
      </w:pPr>
      <w:bookmarkStart w:id="60" w:name="_Toc12142"/>
      <w:r>
        <w:rPr>
          <w:rFonts w:hint="eastAsia" w:ascii="黑体" w:hAnsi="黑体" w:eastAsia="黑体" w:cs="黑体"/>
          <w:kern w:val="0"/>
          <w:sz w:val="32"/>
          <w:szCs w:val="32"/>
          <w:shd w:val="clear" w:color="auto" w:fill="FFFFFF"/>
        </w:rPr>
        <w:t>三、部门整体预算绩效管理情况</w:t>
      </w:r>
      <w:bookmarkEnd w:id="60"/>
    </w:p>
    <w:p>
      <w:pPr>
        <w:adjustRightInd w:val="0"/>
        <w:snapToGrid w:val="0"/>
        <w:spacing w:line="576" w:lineRule="exact"/>
        <w:ind w:firstLine="640" w:firstLineChars="200"/>
        <w:contextualSpacing/>
        <w:jc w:val="left"/>
        <w:outlineLvl w:val="1"/>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（一）预算及绩效目标编制</w:t>
      </w:r>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我部门严格按照市级部门预算编制通知和有关要求，及时制定申报部门绩效目标及预算编制等工作，并按时提交部门预算草案。年终完成绩效目标任务。</w:t>
      </w:r>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预算编制中，特别注意对预算编制准确性的把握，并严格按照要求进行预算执行调整。按时完成待批复提前细化。</w:t>
      </w:r>
    </w:p>
    <w:p>
      <w:pPr>
        <w:adjustRightInd w:val="0"/>
        <w:snapToGrid w:val="0"/>
        <w:spacing w:line="576" w:lineRule="exact"/>
        <w:ind w:firstLine="640" w:firstLineChars="200"/>
        <w:contextualSpacing/>
        <w:jc w:val="left"/>
        <w:outlineLvl w:val="1"/>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（二）预算执行</w:t>
      </w:r>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严格执行预算，按季按年执行进度。年度预算执行收支平衡，完成本部门的职能职责，实施结转结余的管控。</w:t>
      </w:r>
    </w:p>
    <w:p>
      <w:pPr>
        <w:adjustRightInd w:val="0"/>
        <w:snapToGrid w:val="0"/>
        <w:spacing w:line="576" w:lineRule="exact"/>
        <w:ind w:firstLine="640" w:firstLineChars="200"/>
        <w:contextualSpacing/>
        <w:jc w:val="left"/>
        <w:outlineLvl w:val="1"/>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（三）财政资金综合管理情况</w:t>
      </w:r>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（1）财政政策执行情况。</w:t>
      </w:r>
      <w:r>
        <w:rPr>
          <w:rFonts w:hint="eastAsia" w:ascii="仿宋_GB2312" w:hAnsi="仿宋_GB2312" w:eastAsia="仿宋_GB2312" w:cs="仿宋_GB2312"/>
          <w:kern w:val="0"/>
          <w:sz w:val="32"/>
          <w:szCs w:val="32"/>
          <w:shd w:val="clear" w:color="auto" w:fill="FFFFFF"/>
          <w:lang w:val="zh-CN"/>
        </w:rPr>
        <w:t>使用经费开支符合相关规定，积极顺应财政体制改革。全面推进国库集中支付、政府采购、收支两条线、政府收支分类及公务卡改革，建立公共财政体制，提高财政资金运行透明度；认真贯彻执行党中央、国务院和省委省政府关于党政机关厉行节约的各项要求，继续采取有效措施，努力降低能源消耗及日常公用开支的大力压缩。</w:t>
      </w:r>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（2）财经纪律执行情况。无市审计局、市财政局财监处和上级有关监督检查部门检查处理的情况。按照市财政局国库动态监控预警无违规支付行为。</w:t>
      </w:r>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（四）结果应用情况。</w:t>
      </w:r>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1、绩效自评公开。市政府办公室积极开展部门整体绩效评价、评价结果报告，并在决算公开时同时公开。</w:t>
      </w:r>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2、评价结果整改。我们将进一步重视预算的编制工作，提高预算编制的精确度，提高财政资金使用效率，尽量减少预算执行调整、结转和结余的情形。</w:t>
      </w:r>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3、应用结果反馈等情况。预算支出绩效评价工作，及时准确地发现查找问题，使部门在运用中杜绝了违规违纪的现象。</w:t>
      </w:r>
    </w:p>
    <w:p>
      <w:pPr>
        <w:adjustRightInd w:val="0"/>
        <w:snapToGrid w:val="0"/>
        <w:spacing w:line="576" w:lineRule="exact"/>
        <w:ind w:firstLine="640" w:firstLineChars="200"/>
        <w:contextualSpacing/>
        <w:jc w:val="left"/>
        <w:outlineLvl w:val="1"/>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（五）自评质量。</w:t>
      </w:r>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开展财政支出绩效自评是财政资金管理的重要内容，实施科学准确的财政支出绩效自评，建立健全财政支出评价标准、评价体系，是提高财政支出绩效管理的有效方法。本单位所有项目实际完成绩效均已达到预期绩效指标，项目实施效果明显，达到预期要求，提高了资金的使用效率，充分发挥了财政资金效益。推进了项目实施进度，科学反映项目产出水平。</w:t>
      </w:r>
    </w:p>
    <w:p>
      <w:pPr>
        <w:adjustRightInd w:val="0"/>
        <w:snapToGrid w:val="0"/>
        <w:spacing w:line="576" w:lineRule="exact"/>
        <w:ind w:firstLine="640" w:firstLineChars="200"/>
        <w:contextualSpacing/>
        <w:jc w:val="left"/>
        <w:outlineLvl w:val="1"/>
        <w:rPr>
          <w:rFonts w:ascii="黑体" w:hAnsi="黑体" w:eastAsia="黑体" w:cs="黑体"/>
          <w:kern w:val="0"/>
          <w:sz w:val="32"/>
          <w:szCs w:val="32"/>
          <w:shd w:val="clear" w:color="auto" w:fill="FFFFFF"/>
        </w:rPr>
      </w:pPr>
      <w:bookmarkStart w:id="61" w:name="_Toc16836"/>
      <w:r>
        <w:rPr>
          <w:rFonts w:hint="eastAsia" w:ascii="黑体" w:hAnsi="黑体" w:eastAsia="黑体" w:cs="黑体"/>
          <w:kern w:val="0"/>
          <w:sz w:val="32"/>
          <w:szCs w:val="32"/>
          <w:shd w:val="clear" w:color="auto" w:fill="FFFFFF"/>
        </w:rPr>
        <w:t>四、评价结论及建议</w:t>
      </w:r>
      <w:bookmarkEnd w:id="61"/>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（一）评价结论。</w:t>
      </w:r>
      <w:r>
        <w:rPr>
          <w:rFonts w:hint="eastAsia" w:ascii="仿宋_GB2312" w:hAnsi="仿宋_GB2312" w:eastAsia="仿宋_GB2312" w:cs="仿宋_GB2312"/>
          <w:kern w:val="0"/>
          <w:sz w:val="32"/>
          <w:szCs w:val="32"/>
          <w:shd w:val="clear" w:color="auto" w:fill="FFFFFF"/>
          <w:lang w:val="zh-CN"/>
        </w:rPr>
        <w:t>本单位202</w:t>
      </w: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zh-CN"/>
        </w:rPr>
        <w:t>年整体支出绩效评价得分是99分，完成绩效目标成果优良。</w:t>
      </w:r>
    </w:p>
    <w:p>
      <w:pPr>
        <w:adjustRightInd w:val="0"/>
        <w:snapToGrid w:val="0"/>
        <w:spacing w:line="576"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（二）存在问题。</w:t>
      </w:r>
    </w:p>
    <w:p>
      <w:pPr>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本部门暂未出现需要整改的情况和问题。</w:t>
      </w:r>
    </w:p>
    <w:p>
      <w:pPr>
        <w:adjustRightInd w:val="0"/>
        <w:snapToGrid w:val="0"/>
        <w:spacing w:line="576"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（三）改进建议。</w:t>
      </w:r>
    </w:p>
    <w:p>
      <w:pPr>
        <w:pStyle w:val="2"/>
        <w:spacing w:beforeLines="0" w:line="576" w:lineRule="exact"/>
        <w:ind w:firstLine="640" w:firstLineChars="200"/>
        <w:rPr>
          <w:rFonts w:hAnsi="仿宋_GB2312" w:cs="仿宋_GB2312"/>
          <w:sz w:val="32"/>
          <w:szCs w:val="32"/>
          <w:shd w:val="clear" w:color="auto" w:fill="FFFFFF"/>
          <w:lang w:val="zh-CN"/>
        </w:rPr>
      </w:pPr>
      <w:r>
        <w:rPr>
          <w:rFonts w:hint="eastAsia" w:hAnsi="仿宋_GB2312" w:cs="仿宋_GB2312"/>
          <w:sz w:val="32"/>
          <w:szCs w:val="32"/>
          <w:shd w:val="clear" w:color="auto" w:fill="FFFFFF"/>
          <w:lang w:val="zh-CN"/>
        </w:rPr>
        <w:t>本部门暂无改进建议。</w:t>
      </w: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int="eastAsia" w:ascii="黑体" w:hAnsi="黑体" w:eastAsia="黑体" w:cs="宋体"/>
          <w:sz w:val="32"/>
          <w:szCs w:val="32"/>
          <w:shd w:val="clear" w:color="auto" w:fill="FFFFFF"/>
          <w:lang w:val="zh-CN"/>
        </w:rPr>
      </w:pPr>
    </w:p>
    <w:p>
      <w:pPr>
        <w:pStyle w:val="2"/>
        <w:spacing w:before="93"/>
        <w:rPr>
          <w:rFonts w:hint="eastAsia" w:ascii="黑体" w:hAnsi="黑体" w:eastAsia="黑体" w:cs="宋体"/>
          <w:sz w:val="32"/>
          <w:szCs w:val="32"/>
          <w:shd w:val="clear" w:color="auto" w:fill="FFFFFF"/>
          <w:lang w:val="zh-CN"/>
        </w:rPr>
      </w:pPr>
    </w:p>
    <w:p>
      <w:pPr>
        <w:pStyle w:val="2"/>
        <w:spacing w:before="93"/>
        <w:rPr>
          <w:rFonts w:hint="eastAsia" w:ascii="黑体" w:hAnsi="黑体" w:eastAsia="黑体" w:cs="宋体"/>
          <w:sz w:val="32"/>
          <w:szCs w:val="32"/>
          <w:shd w:val="clear" w:color="auto" w:fill="FFFFFF"/>
          <w:lang w:val="zh-CN"/>
        </w:rPr>
      </w:pPr>
    </w:p>
    <w:p>
      <w:pPr>
        <w:pStyle w:val="2"/>
        <w:spacing w:before="93"/>
        <w:rPr>
          <w:rFonts w:ascii="黑体" w:hAnsi="黑体" w:eastAsia="黑体"/>
          <w:lang w:val="zh-CN"/>
        </w:rPr>
      </w:pPr>
      <w:r>
        <w:rPr>
          <w:rFonts w:hint="eastAsia" w:ascii="黑体" w:hAnsi="黑体" w:eastAsia="黑体" w:cs="宋体"/>
          <w:sz w:val="32"/>
          <w:szCs w:val="32"/>
          <w:shd w:val="clear" w:color="auto" w:fill="FFFFFF"/>
          <w:lang w:val="zh-CN"/>
        </w:rPr>
        <w:t>附件</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四大班子保安服务费项目</w:t>
      </w:r>
    </w:p>
    <w:p>
      <w:pPr>
        <w:spacing w:line="600" w:lineRule="exact"/>
        <w:jc w:val="center"/>
      </w:pP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rPr>
        <w:t>1年</w:t>
      </w:r>
      <w:r>
        <w:rPr>
          <w:rFonts w:hint="eastAsia" w:ascii="方正小标宋简体" w:hAnsi="宋体" w:eastAsia="方正小标宋简体"/>
          <w:color w:val="000000"/>
          <w:kern w:val="0"/>
          <w:sz w:val="44"/>
          <w:szCs w:val="44"/>
          <w:lang w:val="zh-CN"/>
        </w:rPr>
        <w:t>绩效评价报告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pStyle w:val="16"/>
        <w:spacing w:line="576" w:lineRule="exact"/>
        <w:ind w:firstLine="640" w:firstLineChars="200"/>
        <w:rPr>
          <w:rFonts w:ascii="仿宋_GB2312" w:hAnsi="仿宋" w:eastAsia="仿宋_GB2312" w:cs="仿宋"/>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.项目主管部门在该项目管理中的职能</w:t>
      </w:r>
    </w:p>
    <w:p>
      <w:pPr>
        <w:pStyle w:val="16"/>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本项目主管部门为广元市人民政府办公室，负责市政府机关安全保卫工作，负责机关重大安全情况报告工作，搞好市行政中心信访工作，负责市行政中心公共区域的安全管理和秩序维护工作。</w:t>
      </w:r>
    </w:p>
    <w:p>
      <w:pPr>
        <w:pStyle w:val="16"/>
        <w:spacing w:line="576" w:lineRule="exact"/>
        <w:ind w:firstLine="640" w:firstLineChars="200"/>
        <w:rPr>
          <w:rFonts w:ascii="仿宋_GB2312" w:eastAsia="仿宋_GB2312"/>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.项目立项、资金申报的依据</w:t>
      </w:r>
    </w:p>
    <w:p>
      <w:pPr>
        <w:pStyle w:val="16"/>
        <w:spacing w:line="576" w:lineRule="exact"/>
        <w:ind w:firstLine="640"/>
        <w:rPr>
          <w:rFonts w:ascii="仿宋_GB2312" w:hAnsi="仿宋" w:eastAsia="仿宋_GB2312" w:cs="仿宋"/>
          <w:sz w:val="32"/>
          <w:szCs w:val="32"/>
        </w:rPr>
      </w:pPr>
      <w:r>
        <w:rPr>
          <w:rFonts w:hint="eastAsia" w:ascii="仿宋_GB2312" w:hAnsi="仿宋" w:eastAsia="仿宋_GB2312" w:cs="仿宋"/>
          <w:bCs/>
          <w:sz w:val="32"/>
          <w:szCs w:val="32"/>
        </w:rPr>
        <w:t>项目立项</w:t>
      </w:r>
      <w:r>
        <w:rPr>
          <w:rFonts w:hint="eastAsia" w:ascii="仿宋_GB2312" w:hAnsi="仿宋" w:eastAsia="仿宋_GB2312" w:cs="仿宋"/>
          <w:sz w:val="32"/>
          <w:szCs w:val="32"/>
        </w:rPr>
        <w:t>。广元市行政中心保安服务项目是根据“市四大班子”秘书长联席会议要求，为保证广元市行政中心正常工作秩序，维护市行政中心人员、财产安全，预防各类安全事故和治安案件的发生，有效处置各类突发事件，由市政府办公室牵头实施行政中心保安服务招标，通过招标确定保安服务实施单位，签订保安服务合同，为市行政中心提供优质的保安服务。</w:t>
      </w:r>
    </w:p>
    <w:p>
      <w:pPr>
        <w:pStyle w:val="16"/>
        <w:spacing w:line="576" w:lineRule="exact"/>
        <w:ind w:firstLine="640"/>
        <w:rPr>
          <w:rFonts w:ascii="仿宋_GB2312" w:eastAsia="仿宋_GB2312"/>
          <w:sz w:val="32"/>
          <w:szCs w:val="32"/>
        </w:rPr>
      </w:pPr>
      <w:r>
        <w:rPr>
          <w:rFonts w:hint="eastAsia" w:ascii="仿宋_GB2312" w:hAnsi="仿宋" w:eastAsia="仿宋_GB2312" w:cs="仿宋"/>
          <w:bCs/>
          <w:sz w:val="32"/>
          <w:szCs w:val="32"/>
        </w:rPr>
        <w:t>资金申报。</w:t>
      </w:r>
      <w:r>
        <w:rPr>
          <w:rFonts w:hint="eastAsia" w:ascii="仿宋_GB2312" w:hAnsi="仿宋" w:eastAsia="仿宋_GB2312" w:cs="仿宋"/>
          <w:sz w:val="32"/>
          <w:szCs w:val="32"/>
        </w:rPr>
        <w:t>按照广元市本级政府采购计划备案要求，广元市人民政府办公室于</w:t>
      </w:r>
      <w:r>
        <w:rPr>
          <w:rFonts w:ascii="仿宋_GB2312" w:hAnsi="仿宋" w:eastAsia="仿宋_GB2312" w:cs="仿宋"/>
          <w:sz w:val="32"/>
          <w:szCs w:val="32"/>
        </w:rPr>
        <w:t>2020</w:t>
      </w:r>
      <w:r>
        <w:rPr>
          <w:rFonts w:hint="eastAsia" w:ascii="仿宋_GB2312" w:hAnsi="仿宋" w:eastAsia="仿宋_GB2312" w:cs="仿宋"/>
          <w:sz w:val="32"/>
          <w:szCs w:val="32"/>
        </w:rPr>
        <w:t>年</w:t>
      </w:r>
      <w:r>
        <w:rPr>
          <w:rFonts w:ascii="仿宋_GB2312" w:hAnsi="仿宋" w:eastAsia="仿宋_GB2312" w:cs="仿宋"/>
          <w:sz w:val="32"/>
          <w:szCs w:val="32"/>
        </w:rPr>
        <w:t>1</w:t>
      </w:r>
      <w:r>
        <w:rPr>
          <w:rFonts w:hint="eastAsia" w:ascii="仿宋_GB2312" w:hAnsi="仿宋" w:eastAsia="仿宋_GB2312" w:cs="仿宋"/>
          <w:sz w:val="32"/>
          <w:szCs w:val="32"/>
        </w:rPr>
        <w:t>月</w:t>
      </w:r>
      <w:r>
        <w:rPr>
          <w:rFonts w:ascii="仿宋_GB2312" w:hAnsi="仿宋" w:eastAsia="仿宋_GB2312" w:cs="仿宋"/>
          <w:sz w:val="32"/>
          <w:szCs w:val="32"/>
        </w:rPr>
        <w:t>7</w:t>
      </w:r>
      <w:r>
        <w:rPr>
          <w:rFonts w:hint="eastAsia" w:ascii="仿宋_GB2312" w:hAnsi="仿宋" w:eastAsia="仿宋_GB2312" w:cs="仿宋"/>
          <w:sz w:val="32"/>
          <w:szCs w:val="32"/>
        </w:rPr>
        <w:t>日向广元市财政局提出广元市行政中心保安服务采购项目采购计划申请并备案，备案登记编号：</w:t>
      </w:r>
      <w:r>
        <w:rPr>
          <w:rFonts w:ascii="仿宋_GB2312" w:hAnsi="仿宋" w:eastAsia="仿宋_GB2312" w:cs="仿宋"/>
          <w:sz w:val="32"/>
          <w:szCs w:val="32"/>
        </w:rPr>
        <w:t>006</w:t>
      </w:r>
      <w:r>
        <w:rPr>
          <w:rFonts w:hint="eastAsia" w:ascii="仿宋_GB2312" w:hAnsi="仿宋" w:eastAsia="仿宋_GB2312" w:cs="仿宋"/>
          <w:sz w:val="32"/>
          <w:szCs w:val="32"/>
        </w:rPr>
        <w:t>，登记备案预算金额为</w:t>
      </w:r>
      <w:r>
        <w:rPr>
          <w:rFonts w:ascii="仿宋_GB2312" w:hAnsi="仿宋" w:eastAsia="仿宋_GB2312" w:cs="仿宋"/>
          <w:sz w:val="32"/>
          <w:szCs w:val="32"/>
        </w:rPr>
        <w:t>255</w:t>
      </w:r>
      <w:r>
        <w:rPr>
          <w:rFonts w:hint="eastAsia" w:ascii="仿宋_GB2312" w:hAnsi="仿宋" w:eastAsia="仿宋_GB2312" w:cs="仿宋"/>
          <w:sz w:val="32"/>
          <w:szCs w:val="32"/>
        </w:rPr>
        <w:t>万元</w:t>
      </w:r>
      <w:r>
        <w:rPr>
          <w:rFonts w:ascii="仿宋_GB2312" w:hAnsi="仿宋" w:eastAsia="仿宋_GB2312" w:cs="仿宋"/>
          <w:sz w:val="32"/>
          <w:szCs w:val="32"/>
        </w:rPr>
        <w:t>/</w:t>
      </w:r>
      <w:r>
        <w:rPr>
          <w:rFonts w:hint="eastAsia" w:ascii="仿宋_GB2312" w:hAnsi="仿宋" w:eastAsia="仿宋_GB2312" w:cs="仿宋"/>
          <w:sz w:val="32"/>
          <w:szCs w:val="32"/>
        </w:rPr>
        <w:t>年，服务期三年，最后招标确定的控制价为</w:t>
      </w:r>
      <w:r>
        <w:rPr>
          <w:rFonts w:ascii="仿宋_GB2312" w:hAnsi="仿宋" w:eastAsia="仿宋_GB2312" w:cs="仿宋"/>
          <w:sz w:val="32"/>
          <w:szCs w:val="32"/>
        </w:rPr>
        <w:t>264</w:t>
      </w:r>
      <w:r>
        <w:rPr>
          <w:rFonts w:hint="eastAsia" w:ascii="仿宋_GB2312" w:hAnsi="仿宋" w:eastAsia="仿宋_GB2312" w:cs="仿宋"/>
          <w:sz w:val="32"/>
          <w:szCs w:val="32"/>
        </w:rPr>
        <w:t>万元</w:t>
      </w:r>
      <w:r>
        <w:rPr>
          <w:rFonts w:ascii="仿宋_GB2312" w:hAnsi="仿宋" w:eastAsia="仿宋_GB2312" w:cs="仿宋"/>
          <w:sz w:val="32"/>
          <w:szCs w:val="32"/>
        </w:rPr>
        <w:t>/</w:t>
      </w:r>
      <w:r>
        <w:rPr>
          <w:rFonts w:hint="eastAsia" w:ascii="仿宋_GB2312" w:hAnsi="仿宋" w:eastAsia="仿宋_GB2312" w:cs="仿宋"/>
          <w:sz w:val="32"/>
          <w:szCs w:val="32"/>
        </w:rPr>
        <w:t>年。</w:t>
      </w:r>
    </w:p>
    <w:p>
      <w:pPr>
        <w:pStyle w:val="16"/>
        <w:spacing w:line="6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rPr>
        <w:t>.资金管理办法制定情况，资金支持具体项目的条件、范围与支持方式概况</w:t>
      </w:r>
    </w:p>
    <w:p>
      <w:pPr>
        <w:pStyle w:val="16"/>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该项目资金纳入2021年财政预算，根据保安服务质量和考核情况，由广元市财政局支付中心根据广元市人民政府办公室提供的该项目保安服务费用支付申请和金额及服务供应商开具的有效增值税发票按季度拨付。</w:t>
      </w:r>
    </w:p>
    <w:p>
      <w:pPr>
        <w:pStyle w:val="16"/>
        <w:spacing w:line="600" w:lineRule="exact"/>
        <w:ind w:firstLine="640" w:firstLineChars="200"/>
        <w:rPr>
          <w:rFonts w:ascii="仿宋_GB2312" w:hAnsi="仿宋" w:eastAsia="仿宋_GB2312" w:cs="仿宋"/>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.资金分配原则及考虑因素</w:t>
      </w:r>
    </w:p>
    <w:p>
      <w:pPr>
        <w:pStyle w:val="16"/>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资金分配原则。按照中标单位四川龙王保安服务有限公司的中标金额</w:t>
      </w:r>
      <w:r>
        <w:rPr>
          <w:rFonts w:ascii="仿宋_GB2312" w:hAnsi="仿宋" w:eastAsia="仿宋_GB2312" w:cs="仿宋"/>
          <w:sz w:val="32"/>
          <w:szCs w:val="32"/>
        </w:rPr>
        <w:t>263.68</w:t>
      </w:r>
      <w:r>
        <w:rPr>
          <w:rFonts w:hint="eastAsia" w:ascii="仿宋_GB2312" w:hAnsi="仿宋" w:eastAsia="仿宋_GB2312" w:cs="仿宋"/>
          <w:sz w:val="32"/>
          <w:szCs w:val="32"/>
        </w:rPr>
        <w:t>万元</w:t>
      </w:r>
      <w:r>
        <w:rPr>
          <w:rFonts w:ascii="仿宋_GB2312" w:hAnsi="仿宋" w:eastAsia="仿宋_GB2312" w:cs="仿宋"/>
          <w:sz w:val="32"/>
          <w:szCs w:val="32"/>
        </w:rPr>
        <w:t>/</w:t>
      </w:r>
      <w:r>
        <w:rPr>
          <w:rFonts w:hint="eastAsia" w:ascii="仿宋_GB2312" w:hAnsi="仿宋" w:eastAsia="仿宋_GB2312" w:cs="仿宋"/>
          <w:sz w:val="32"/>
          <w:szCs w:val="32"/>
        </w:rPr>
        <w:t>年，按年度逐年滚动预算，按季度拨付给四川龙王保安服务有限公司。</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 w:eastAsia="仿宋_GB2312" w:cs="仿宋"/>
          <w:sz w:val="32"/>
          <w:szCs w:val="32"/>
        </w:rPr>
        <w:t>资金分配考虑因素。资金分配须考虑工作质量和工作效益。以市行政中心四大班子办公室考核打分为依据，考核汇总后的平均得分低于</w:t>
      </w:r>
      <w:r>
        <w:rPr>
          <w:rFonts w:ascii="仿宋_GB2312" w:hAnsi="仿宋" w:eastAsia="仿宋_GB2312" w:cs="仿宋"/>
          <w:sz w:val="32"/>
          <w:szCs w:val="32"/>
        </w:rPr>
        <w:t>80</w:t>
      </w:r>
      <w:r>
        <w:rPr>
          <w:rFonts w:hint="eastAsia" w:ascii="仿宋_GB2312" w:hAnsi="仿宋" w:eastAsia="仿宋_GB2312" w:cs="仿宋"/>
          <w:sz w:val="32"/>
          <w:szCs w:val="32"/>
        </w:rPr>
        <w:t>分的，按照月费用</w:t>
      </w:r>
      <w:r>
        <w:rPr>
          <w:rFonts w:ascii="仿宋_GB2312" w:hAnsi="仿宋" w:eastAsia="仿宋_GB2312" w:cs="仿宋"/>
          <w:sz w:val="32"/>
          <w:szCs w:val="32"/>
        </w:rPr>
        <w:t>1%</w:t>
      </w:r>
      <w:r>
        <w:rPr>
          <w:rFonts w:hint="eastAsia" w:ascii="仿宋_GB2312" w:hAnsi="仿宋" w:eastAsia="仿宋_GB2312" w:cs="仿宋"/>
          <w:sz w:val="32"/>
          <w:szCs w:val="32"/>
        </w:rPr>
        <w:t>扣罚服务费用，低于</w:t>
      </w:r>
      <w:r>
        <w:rPr>
          <w:rFonts w:ascii="仿宋_GB2312" w:hAnsi="仿宋" w:eastAsia="仿宋_GB2312" w:cs="仿宋"/>
          <w:sz w:val="32"/>
          <w:szCs w:val="32"/>
        </w:rPr>
        <w:t>70</w:t>
      </w:r>
      <w:r>
        <w:rPr>
          <w:rFonts w:hint="eastAsia" w:ascii="仿宋_GB2312" w:hAnsi="仿宋" w:eastAsia="仿宋_GB2312" w:cs="仿宋"/>
          <w:sz w:val="32"/>
          <w:szCs w:val="32"/>
        </w:rPr>
        <w:t>分按考核不合格终止合同，停止资金拨付</w:t>
      </w:r>
      <w:r>
        <w:rPr>
          <w:rFonts w:hint="eastAsia" w:ascii="仿宋_GB2312" w:hAnsi="宋体" w:eastAsia="仿宋_GB2312"/>
          <w:sz w:val="32"/>
          <w:szCs w:val="32"/>
          <w:lang w:val="zh-CN"/>
        </w:rPr>
        <w:t>。</w:t>
      </w:r>
    </w:p>
    <w:p>
      <w:pPr>
        <w:numPr>
          <w:ilvl w:val="0"/>
          <w:numId w:val="4"/>
        </w:num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项目绩效目标。</w:t>
      </w:r>
    </w:p>
    <w:p>
      <w:pPr>
        <w:pStyle w:val="16"/>
        <w:spacing w:line="600" w:lineRule="exact"/>
        <w:ind w:firstLine="640" w:firstLineChars="200"/>
        <w:rPr>
          <w:rFonts w:ascii="仿宋_GB2312" w:eastAsia="仿宋_GB2312"/>
          <w:bCs/>
          <w:sz w:val="32"/>
          <w:szCs w:val="32"/>
        </w:rPr>
      </w:pPr>
      <w:r>
        <w:rPr>
          <w:rFonts w:ascii="仿宋_GB2312" w:eastAsia="仿宋_GB2312"/>
          <w:bCs/>
          <w:sz w:val="32"/>
          <w:szCs w:val="32"/>
        </w:rPr>
        <w:t>1</w:t>
      </w:r>
      <w:r>
        <w:rPr>
          <w:rFonts w:hint="eastAsia" w:ascii="仿宋_GB2312" w:eastAsia="仿宋_GB2312"/>
          <w:bCs/>
          <w:sz w:val="32"/>
          <w:szCs w:val="32"/>
        </w:rPr>
        <w:t>.项目主要内容</w:t>
      </w:r>
    </w:p>
    <w:p>
      <w:pPr>
        <w:pStyle w:val="2"/>
        <w:spacing w:before="93" w:line="600" w:lineRule="exact"/>
        <w:ind w:firstLine="960" w:firstLineChars="300"/>
        <w:rPr>
          <w:rFonts w:hAnsi="仿宋" w:cs="仿宋"/>
          <w:sz w:val="32"/>
          <w:szCs w:val="32"/>
        </w:rPr>
      </w:pPr>
      <w:r>
        <w:rPr>
          <w:rFonts w:hint="eastAsia" w:hAnsi="仿宋" w:cs="仿宋"/>
          <w:sz w:val="32"/>
          <w:szCs w:val="32"/>
        </w:rPr>
        <w:t>负责市委市人大、市政协、市委、市政府机关及行政中心公共区域的保安服务，负责机关工作人员安全、财产守护，车辆停放指挥、来访人员询查登记、“非访”人员劝离、公共通道及办公区的秩序维护、突发事件预防与处置，市行政中心的防火、防盗、防破坏等日常工作，消防设施运转状态检查和机关临时安排的其他工作，</w:t>
      </w:r>
    </w:p>
    <w:p>
      <w:pPr>
        <w:pStyle w:val="2"/>
        <w:spacing w:before="93" w:line="600" w:lineRule="exact"/>
        <w:ind w:firstLine="640"/>
        <w:rPr>
          <w:rFonts w:hAnsi="宋体"/>
          <w:sz w:val="32"/>
          <w:szCs w:val="32"/>
          <w:lang w:val="zh-CN"/>
        </w:rPr>
      </w:pPr>
      <w:r>
        <w:rPr>
          <w:rFonts w:hint="eastAsia" w:hAnsi="宋体"/>
          <w:sz w:val="32"/>
          <w:szCs w:val="32"/>
          <w:lang w:val="zh-CN"/>
        </w:rPr>
        <w:t>2．项目应实现的具体绩效目标，包括目标的量化、细化情况以及项目实施进度计划。</w:t>
      </w:r>
    </w:p>
    <w:p>
      <w:pPr>
        <w:pStyle w:val="2"/>
        <w:spacing w:before="93" w:line="600" w:lineRule="exact"/>
        <w:ind w:firstLine="640"/>
        <w:rPr>
          <w:rFonts w:hAnsi="仿宋" w:cs="仿宋"/>
          <w:sz w:val="32"/>
          <w:szCs w:val="32"/>
        </w:rPr>
      </w:pPr>
      <w:r>
        <w:rPr>
          <w:rFonts w:hint="eastAsia" w:hAnsi="仿宋" w:cs="仿宋"/>
          <w:sz w:val="32"/>
          <w:szCs w:val="32"/>
        </w:rPr>
        <w:t>项目以市四大班子办公室工作要求、《保安公司（履约）考核细则》和《市政府办公室保卫科</w:t>
      </w:r>
      <w:r>
        <w:rPr>
          <w:rFonts w:hAnsi="仿宋" w:cs="仿宋"/>
          <w:sz w:val="32"/>
          <w:szCs w:val="32"/>
        </w:rPr>
        <w:t>202</w:t>
      </w:r>
      <w:r>
        <w:rPr>
          <w:rFonts w:hint="eastAsia" w:hAnsi="仿宋" w:cs="仿宋"/>
          <w:sz w:val="32"/>
          <w:szCs w:val="32"/>
        </w:rPr>
        <w:t>1年度目标绩效考核指标》为标准，按季度对保安服务公司安保工作开展情况进行平常考核，按照季度考核汇总得分来评定是否达到年度绩效既定目标。</w:t>
      </w:r>
    </w:p>
    <w:p>
      <w:pPr>
        <w:pStyle w:val="2"/>
        <w:spacing w:before="93" w:line="600" w:lineRule="exact"/>
        <w:ind w:firstLine="640"/>
        <w:rPr>
          <w:rFonts w:hAnsi="仿宋" w:cs="仿宋"/>
          <w:sz w:val="32"/>
          <w:szCs w:val="32"/>
        </w:rPr>
      </w:pPr>
      <w:r>
        <w:rPr>
          <w:rFonts w:hint="eastAsia" w:hAnsi="宋体" w:cs="宋体"/>
          <w:bCs/>
          <w:sz w:val="32"/>
          <w:szCs w:val="32"/>
        </w:rPr>
        <w:t>3.分析评价申报内容与实际相符，申报目标合理可行，</w:t>
      </w:r>
      <w:r>
        <w:rPr>
          <w:rFonts w:hint="eastAsia" w:hAnsi="仿宋" w:cs="仿宋"/>
          <w:sz w:val="32"/>
          <w:szCs w:val="32"/>
        </w:rPr>
        <w:t>评价申报内容与实际相符，申报目标合理可行。</w:t>
      </w:r>
    </w:p>
    <w:p>
      <w:pPr>
        <w:adjustRightInd w:val="0"/>
        <w:snapToGrid w:val="0"/>
        <w:spacing w:line="600" w:lineRule="exact"/>
        <w:ind w:firstLine="320" w:firstLineChars="1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pStyle w:val="16"/>
        <w:spacing w:line="600" w:lineRule="exact"/>
        <w:ind w:firstLine="640" w:firstLineChars="200"/>
        <w:rPr>
          <w:rFonts w:ascii="仿宋_GB2312" w:eastAsia="仿宋_GB2312"/>
          <w:sz w:val="32"/>
          <w:szCs w:val="32"/>
        </w:rPr>
      </w:pPr>
      <w:r>
        <w:rPr>
          <w:rFonts w:hint="eastAsia" w:ascii="仿宋_GB2312" w:hAnsi="仿宋" w:eastAsia="仿宋_GB2312" w:cs="仿宋"/>
          <w:sz w:val="32"/>
          <w:szCs w:val="32"/>
        </w:rPr>
        <w:t>本项目由市政府办公室实施季度考核评，由责任科室将季度考核评分表报送给市委市人大、市政协、市委、市政府机关办公室，由各机关组织人员对保安服务情况进行季度考评，最后由市政府办公室汇总，根据考评打分来确定项目绩效目标是否达到既定目标。</w:t>
      </w:r>
    </w:p>
    <w:p>
      <w:pPr>
        <w:adjustRightInd w:val="0"/>
        <w:snapToGrid w:val="0"/>
        <w:spacing w:line="576"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6"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6" w:lineRule="exact"/>
        <w:ind w:firstLine="720"/>
        <w:rPr>
          <w:rFonts w:ascii="仿宋_GB2312" w:eastAsia="仿宋_GB2312"/>
          <w:sz w:val="32"/>
          <w:szCs w:val="32"/>
        </w:rPr>
      </w:pPr>
      <w:r>
        <w:rPr>
          <w:rFonts w:hint="eastAsia" w:ascii="仿宋_GB2312" w:hAnsi="仿宋" w:eastAsia="仿宋_GB2312" w:cs="仿宋"/>
          <w:sz w:val="32"/>
          <w:szCs w:val="32"/>
        </w:rPr>
        <w:t>广元市人民政府办公室于</w:t>
      </w:r>
      <w:r>
        <w:rPr>
          <w:rFonts w:ascii="仿宋_GB2312" w:hAnsi="仿宋" w:eastAsia="仿宋_GB2312" w:cs="仿宋"/>
          <w:sz w:val="32"/>
          <w:szCs w:val="32"/>
        </w:rPr>
        <w:t>2020</w:t>
      </w:r>
      <w:r>
        <w:rPr>
          <w:rFonts w:hint="eastAsia" w:ascii="仿宋_GB2312" w:hAnsi="仿宋" w:eastAsia="仿宋_GB2312" w:cs="仿宋"/>
          <w:sz w:val="32"/>
          <w:szCs w:val="32"/>
        </w:rPr>
        <w:t>年</w:t>
      </w:r>
      <w:r>
        <w:rPr>
          <w:rFonts w:ascii="仿宋_GB2312" w:hAnsi="仿宋" w:eastAsia="仿宋_GB2312" w:cs="仿宋"/>
          <w:sz w:val="32"/>
          <w:szCs w:val="32"/>
        </w:rPr>
        <w:t>1</w:t>
      </w:r>
      <w:r>
        <w:rPr>
          <w:rFonts w:hint="eastAsia" w:ascii="仿宋_GB2312" w:hAnsi="仿宋" w:eastAsia="仿宋_GB2312" w:cs="仿宋"/>
          <w:sz w:val="32"/>
          <w:szCs w:val="32"/>
        </w:rPr>
        <w:t>月</w:t>
      </w:r>
      <w:r>
        <w:rPr>
          <w:rFonts w:ascii="仿宋_GB2312" w:hAnsi="仿宋" w:eastAsia="仿宋_GB2312" w:cs="仿宋"/>
          <w:sz w:val="32"/>
          <w:szCs w:val="32"/>
        </w:rPr>
        <w:t>7</w:t>
      </w:r>
      <w:r>
        <w:rPr>
          <w:rFonts w:hint="eastAsia" w:ascii="仿宋_GB2312" w:hAnsi="仿宋" w:eastAsia="仿宋_GB2312" w:cs="仿宋"/>
          <w:sz w:val="32"/>
          <w:szCs w:val="32"/>
        </w:rPr>
        <w:t>日向广元市财政局提出广元市行政中心保安服务采购项目采购计划申请并备案，备案登记编号：</w:t>
      </w:r>
      <w:r>
        <w:rPr>
          <w:rFonts w:ascii="仿宋_GB2312" w:hAnsi="仿宋" w:eastAsia="仿宋_GB2312" w:cs="仿宋"/>
          <w:sz w:val="32"/>
          <w:szCs w:val="32"/>
        </w:rPr>
        <w:t>006</w:t>
      </w:r>
      <w:r>
        <w:rPr>
          <w:rFonts w:hint="eastAsia" w:ascii="仿宋_GB2312" w:hAnsi="仿宋" w:eastAsia="仿宋_GB2312" w:cs="仿宋"/>
          <w:sz w:val="32"/>
          <w:szCs w:val="32"/>
        </w:rPr>
        <w:t>，登记备案预算金额为</w:t>
      </w:r>
      <w:r>
        <w:rPr>
          <w:rFonts w:ascii="仿宋_GB2312" w:hAnsi="仿宋" w:eastAsia="仿宋_GB2312" w:cs="仿宋"/>
          <w:sz w:val="32"/>
          <w:szCs w:val="32"/>
        </w:rPr>
        <w:t>255</w:t>
      </w:r>
      <w:r>
        <w:rPr>
          <w:rFonts w:hint="eastAsia" w:ascii="仿宋_GB2312" w:hAnsi="仿宋" w:eastAsia="仿宋_GB2312" w:cs="仿宋"/>
          <w:sz w:val="32"/>
          <w:szCs w:val="32"/>
        </w:rPr>
        <w:t>万元</w:t>
      </w:r>
      <w:r>
        <w:rPr>
          <w:rFonts w:ascii="仿宋_GB2312" w:hAnsi="仿宋" w:eastAsia="仿宋_GB2312" w:cs="仿宋"/>
          <w:sz w:val="32"/>
          <w:szCs w:val="32"/>
        </w:rPr>
        <w:t>/</w:t>
      </w:r>
      <w:r>
        <w:rPr>
          <w:rFonts w:hint="eastAsia" w:ascii="仿宋_GB2312" w:hAnsi="仿宋" w:eastAsia="仿宋_GB2312" w:cs="仿宋"/>
          <w:sz w:val="32"/>
          <w:szCs w:val="32"/>
        </w:rPr>
        <w:t>年，服务期三年。该项目于</w:t>
      </w:r>
      <w:r>
        <w:rPr>
          <w:rFonts w:ascii="仿宋_GB2312" w:hAnsi="仿宋" w:eastAsia="仿宋_GB2312" w:cs="仿宋"/>
          <w:sz w:val="32"/>
          <w:szCs w:val="32"/>
        </w:rPr>
        <w:t>2020</w:t>
      </w:r>
      <w:r>
        <w:rPr>
          <w:rFonts w:hint="eastAsia" w:ascii="仿宋_GB2312" w:hAnsi="仿宋" w:eastAsia="仿宋_GB2312" w:cs="仿宋"/>
          <w:sz w:val="32"/>
          <w:szCs w:val="32"/>
        </w:rPr>
        <w:t>年</w:t>
      </w:r>
      <w:r>
        <w:rPr>
          <w:rFonts w:ascii="仿宋_GB2312" w:hAnsi="仿宋" w:eastAsia="仿宋_GB2312" w:cs="仿宋"/>
          <w:sz w:val="32"/>
          <w:szCs w:val="32"/>
        </w:rPr>
        <w:t>1</w:t>
      </w:r>
      <w:r>
        <w:rPr>
          <w:rFonts w:hint="eastAsia" w:ascii="仿宋_GB2312" w:hAnsi="仿宋" w:eastAsia="仿宋_GB2312" w:cs="仿宋"/>
          <w:sz w:val="32"/>
          <w:szCs w:val="32"/>
        </w:rPr>
        <w:t>月</w:t>
      </w:r>
      <w:r>
        <w:rPr>
          <w:rFonts w:ascii="仿宋_GB2312" w:hAnsi="仿宋" w:eastAsia="仿宋_GB2312" w:cs="仿宋"/>
          <w:sz w:val="32"/>
          <w:szCs w:val="32"/>
        </w:rPr>
        <w:t>10</w:t>
      </w:r>
      <w:r>
        <w:rPr>
          <w:rFonts w:hint="eastAsia" w:ascii="仿宋_GB2312" w:hAnsi="仿宋" w:eastAsia="仿宋_GB2312" w:cs="仿宋"/>
          <w:sz w:val="32"/>
          <w:szCs w:val="32"/>
        </w:rPr>
        <w:t>日被广元市财政局政府采购监督管理科批复同意备案采购，进入招标采购流程。</w:t>
      </w:r>
    </w:p>
    <w:p>
      <w:pPr>
        <w:adjustRightInd w:val="0"/>
        <w:snapToGrid w:val="0"/>
        <w:spacing w:line="576"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6" w:lineRule="exact"/>
        <w:ind w:firstLine="720"/>
        <w:rPr>
          <w:rFonts w:ascii="仿宋_GB2312" w:hAnsi="仿宋" w:eastAsia="仿宋_GB2312" w:cs="仿宋"/>
          <w:sz w:val="32"/>
          <w:szCs w:val="32"/>
        </w:rPr>
      </w:pPr>
      <w:r>
        <w:rPr>
          <w:rFonts w:hint="eastAsia" w:ascii="楷体_GB2312" w:hAnsi="宋体" w:eastAsia="楷体_GB2312"/>
          <w:sz w:val="32"/>
          <w:szCs w:val="32"/>
          <w:lang w:val="zh-CN"/>
        </w:rPr>
        <w:t>1．资金计划。</w:t>
      </w:r>
      <w:r>
        <w:rPr>
          <w:rFonts w:hint="eastAsia" w:ascii="仿宋_GB2312" w:hAnsi="仿宋" w:eastAsia="仿宋_GB2312" w:cs="仿宋"/>
          <w:sz w:val="32"/>
          <w:szCs w:val="32"/>
        </w:rPr>
        <w:t>本项目资金按照年度逐年滚动预算的方式纳入财政预算，按季度拨付给四川龙王保安服务有限公司，拨付按照市政府办公室提交的拨付申请金额和四川龙王保安服务有限公司提供的有效增值税发票，在季度结束后的</w:t>
      </w:r>
      <w:r>
        <w:rPr>
          <w:rFonts w:ascii="仿宋_GB2312" w:hAnsi="仿宋" w:eastAsia="仿宋_GB2312" w:cs="仿宋"/>
          <w:sz w:val="32"/>
          <w:szCs w:val="32"/>
        </w:rPr>
        <w:t>15</w:t>
      </w:r>
      <w:r>
        <w:rPr>
          <w:rFonts w:hint="eastAsia" w:ascii="仿宋_GB2312" w:hAnsi="仿宋" w:eastAsia="仿宋_GB2312" w:cs="仿宋"/>
          <w:sz w:val="32"/>
          <w:szCs w:val="32"/>
        </w:rPr>
        <w:t>日内拨付服务费给四川龙王保安服务有限公司。</w:t>
      </w:r>
    </w:p>
    <w:p>
      <w:pPr>
        <w:pStyle w:val="16"/>
        <w:spacing w:line="576" w:lineRule="exact"/>
        <w:ind w:firstLine="640" w:firstLineChars="200"/>
        <w:rPr>
          <w:rFonts w:ascii="仿宋_GB2312" w:hAnsi="仿宋" w:eastAsia="仿宋_GB2312" w:cs="仿宋"/>
          <w:sz w:val="32"/>
          <w:szCs w:val="32"/>
        </w:rPr>
      </w:pPr>
      <w:r>
        <w:rPr>
          <w:rFonts w:hint="eastAsia" w:ascii="楷体_GB2312" w:hAnsi="宋体" w:eastAsia="楷体_GB2312"/>
          <w:sz w:val="32"/>
          <w:szCs w:val="32"/>
          <w:lang w:val="zh-CN"/>
        </w:rPr>
        <w:t>2．资金到位。</w:t>
      </w:r>
      <w:r>
        <w:rPr>
          <w:rFonts w:ascii="仿宋_GB2312" w:hAnsi="仿宋" w:eastAsia="仿宋_GB2312" w:cs="仿宋"/>
          <w:sz w:val="32"/>
          <w:szCs w:val="32"/>
        </w:rPr>
        <w:t>202</w:t>
      </w:r>
      <w:r>
        <w:rPr>
          <w:rFonts w:hint="eastAsia" w:ascii="仿宋_GB2312" w:hAnsi="仿宋" w:eastAsia="仿宋_GB2312" w:cs="仿宋"/>
          <w:sz w:val="32"/>
          <w:szCs w:val="32"/>
        </w:rPr>
        <w:t>1年度的项目资金已全部拨付到位。</w:t>
      </w:r>
    </w:p>
    <w:p>
      <w:pPr>
        <w:pStyle w:val="16"/>
        <w:spacing w:line="576" w:lineRule="exact"/>
        <w:ind w:firstLine="640" w:firstLineChars="200"/>
        <w:rPr>
          <w:rFonts w:ascii="仿宋_GB2312" w:hAnsi="仿宋" w:eastAsia="仿宋_GB2312" w:cs="仿宋"/>
          <w:sz w:val="32"/>
          <w:szCs w:val="32"/>
        </w:rPr>
      </w:pPr>
      <w:r>
        <w:rPr>
          <w:rFonts w:hint="eastAsia" w:ascii="楷体_GB2312" w:hAnsi="宋体" w:eastAsia="楷体_GB2312"/>
          <w:sz w:val="32"/>
          <w:szCs w:val="32"/>
          <w:lang w:val="zh-CN"/>
        </w:rPr>
        <w:t>3．资金使用。</w:t>
      </w:r>
      <w:r>
        <w:rPr>
          <w:rFonts w:hint="eastAsia" w:ascii="仿宋_GB2312" w:hAnsi="仿宋" w:eastAsia="仿宋_GB2312" w:cs="仿宋"/>
          <w:sz w:val="32"/>
          <w:szCs w:val="32"/>
        </w:rPr>
        <w:t>本项目资金严格按照项目立项时的资金使用性质，确保资金使用安全、有效，做到专款专用，按照中标价</w:t>
      </w:r>
      <w:r>
        <w:rPr>
          <w:rFonts w:ascii="仿宋_GB2312" w:hAnsi="仿宋" w:eastAsia="仿宋_GB2312" w:cs="仿宋"/>
          <w:sz w:val="32"/>
          <w:szCs w:val="32"/>
        </w:rPr>
        <w:t>263.68</w:t>
      </w:r>
      <w:r>
        <w:rPr>
          <w:rFonts w:hint="eastAsia" w:ascii="仿宋_GB2312" w:hAnsi="仿宋" w:eastAsia="仿宋_GB2312" w:cs="仿宋"/>
          <w:sz w:val="32"/>
          <w:szCs w:val="32"/>
        </w:rPr>
        <w:t>万元</w:t>
      </w:r>
      <w:r>
        <w:rPr>
          <w:rFonts w:ascii="仿宋_GB2312" w:hAnsi="仿宋" w:eastAsia="仿宋_GB2312" w:cs="仿宋"/>
          <w:sz w:val="32"/>
          <w:szCs w:val="32"/>
        </w:rPr>
        <w:t>/</w:t>
      </w:r>
      <w:r>
        <w:rPr>
          <w:rFonts w:hint="eastAsia" w:ascii="仿宋_GB2312" w:hAnsi="仿宋" w:eastAsia="仿宋_GB2312" w:cs="仿宋"/>
          <w:sz w:val="32"/>
          <w:szCs w:val="32"/>
        </w:rPr>
        <w:t>年、每季度</w:t>
      </w:r>
      <w:r>
        <w:rPr>
          <w:rFonts w:ascii="仿宋_GB2312" w:hAnsi="仿宋" w:eastAsia="仿宋_GB2312" w:cs="仿宋"/>
          <w:sz w:val="32"/>
          <w:szCs w:val="32"/>
        </w:rPr>
        <w:t>65.92</w:t>
      </w:r>
      <w:r>
        <w:rPr>
          <w:rFonts w:hint="eastAsia" w:ascii="仿宋_GB2312" w:hAnsi="仿宋" w:eastAsia="仿宋_GB2312" w:cs="仿宋"/>
          <w:sz w:val="32"/>
          <w:szCs w:val="32"/>
        </w:rPr>
        <w:t>万元在每季度结束后的</w:t>
      </w:r>
      <w:r>
        <w:rPr>
          <w:rFonts w:ascii="仿宋_GB2312" w:hAnsi="仿宋" w:eastAsia="仿宋_GB2312" w:cs="仿宋"/>
          <w:sz w:val="32"/>
          <w:szCs w:val="32"/>
        </w:rPr>
        <w:t>15</w:t>
      </w:r>
      <w:r>
        <w:rPr>
          <w:rFonts w:hint="eastAsia" w:ascii="仿宋_GB2312" w:hAnsi="仿宋" w:eastAsia="仿宋_GB2312" w:cs="仿宋"/>
          <w:sz w:val="32"/>
          <w:szCs w:val="32"/>
        </w:rPr>
        <w:t>日内支付给四川龙王保安服务有限公司。</w:t>
      </w:r>
    </w:p>
    <w:p>
      <w:pPr>
        <w:adjustRightInd w:val="0"/>
        <w:snapToGrid w:val="0"/>
        <w:spacing w:line="576"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6" w:lineRule="exact"/>
        <w:ind w:firstLine="720"/>
        <w:rPr>
          <w:rFonts w:ascii="仿宋_GB2312" w:hAnsi="仿宋" w:eastAsia="仿宋_GB2312" w:cs="仿宋"/>
          <w:sz w:val="32"/>
          <w:szCs w:val="32"/>
        </w:rPr>
      </w:pPr>
      <w:r>
        <w:rPr>
          <w:rFonts w:hint="eastAsia" w:ascii="仿宋_GB2312" w:hAnsi="仿宋" w:eastAsia="仿宋_GB2312" w:cs="仿宋"/>
          <w:sz w:val="32"/>
          <w:szCs w:val="32"/>
        </w:rPr>
        <w:t>项目实施单位四川龙王保安服务有限公司成立于</w:t>
      </w:r>
      <w:r>
        <w:rPr>
          <w:rFonts w:ascii="仿宋_GB2312" w:hAnsi="仿宋" w:eastAsia="仿宋_GB2312" w:cs="仿宋"/>
          <w:sz w:val="32"/>
          <w:szCs w:val="32"/>
        </w:rPr>
        <w:t>2015</w:t>
      </w:r>
      <w:r>
        <w:rPr>
          <w:rFonts w:hint="eastAsia" w:ascii="仿宋_GB2312" w:hAnsi="仿宋" w:eastAsia="仿宋_GB2312" w:cs="仿宋"/>
          <w:sz w:val="32"/>
          <w:szCs w:val="32"/>
        </w:rPr>
        <w:t>年</w:t>
      </w:r>
      <w:r>
        <w:rPr>
          <w:rFonts w:ascii="仿宋_GB2312" w:hAnsi="仿宋" w:eastAsia="仿宋_GB2312" w:cs="仿宋"/>
          <w:sz w:val="32"/>
          <w:szCs w:val="32"/>
        </w:rPr>
        <w:t>3</w:t>
      </w:r>
      <w:r>
        <w:rPr>
          <w:rFonts w:hint="eastAsia" w:ascii="仿宋_GB2312" w:hAnsi="仿宋" w:eastAsia="仿宋_GB2312" w:cs="仿宋"/>
          <w:sz w:val="32"/>
          <w:szCs w:val="32"/>
        </w:rPr>
        <w:t>月，在投标文件中提供有年度财务审计报告，无亏损情况，具有健全财务管理制度，在项目管理过程中严格执行财务管理制度，账务处理及时，会计核算规范，不存在任何违反法律法规的行为。</w:t>
      </w:r>
    </w:p>
    <w:p>
      <w:pPr>
        <w:adjustRightInd w:val="0"/>
        <w:snapToGrid w:val="0"/>
        <w:spacing w:line="576" w:lineRule="exact"/>
        <w:ind w:firstLine="720"/>
        <w:rPr>
          <w:rFonts w:ascii="黑体" w:hAnsi="宋体" w:eastAsia="黑体"/>
          <w:sz w:val="32"/>
          <w:szCs w:val="32"/>
        </w:rPr>
      </w:pPr>
      <w:r>
        <w:rPr>
          <w:rFonts w:hint="eastAsia" w:ascii="黑体" w:hAnsi="宋体" w:eastAsia="黑体"/>
          <w:sz w:val="32"/>
          <w:szCs w:val="32"/>
        </w:rPr>
        <w:t>三、项目实施及管理情况</w:t>
      </w:r>
    </w:p>
    <w:p>
      <w:pPr>
        <w:pStyle w:val="16"/>
        <w:spacing w:line="60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(一）项目组织架构及实施流程</w:t>
      </w:r>
    </w:p>
    <w:p>
      <w:pPr>
        <w:pStyle w:val="16"/>
        <w:spacing w:line="60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项目组织架构：</w:t>
      </w:r>
    </w:p>
    <w:p>
      <w:pPr>
        <w:pStyle w:val="4"/>
        <w:keepNext w:val="0"/>
        <w:keepLines w:val="0"/>
        <w:spacing w:line="576" w:lineRule="exact"/>
        <w:rPr>
          <w:rFonts w:ascii="仿宋_GB2312" w:eastAsia="仿宋_GB2312"/>
          <w:b w:val="0"/>
        </w:rPr>
      </w:pPr>
      <w:r>
        <w:rPr>
          <w:b w:val="0"/>
        </w:rPr>
        <w:pict>
          <v:shape id="_x0000_s2070" o:spid="_x0000_s2070" o:spt="202" type="#_x0000_t202" style="position:absolute;left:0pt;margin-left:117pt;margin-top:7.8pt;height:27.5pt;width:186pt;z-index:251679744;mso-width-relative:page;mso-height-relative:page;" stroked="t" coordsize="21600,21600" o:gfxdata="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Do&#10;wj7YAAAACQEAAA8AAAAAAAAAAQAgAAAAIgAAAGRycy9kb3ducmV2LnhtbFBLAQIUABQAAAAIAIdO&#10;4kAIz87gXAIAAPcEAAAOAAAAAAAAAAEAIAAAACcBAABkcnMvZTJvRG9jLnhtbFBLBQYAAAAABgAG&#10;AFkBAAD1BQ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b/>
                      <w:bCs/>
                    </w:rPr>
                    <w:t>市四大班子秘书长联席会议</w:t>
                  </w:r>
                </w:p>
              </w:txbxContent>
            </v:textbox>
          </v:shape>
        </w:pict>
      </w:r>
    </w:p>
    <w:p>
      <w:pPr>
        <w:spacing w:line="576" w:lineRule="exact"/>
        <w:rPr>
          <w:rFonts w:ascii="仿宋_GB2312" w:hAnsi="仿宋_GB2312" w:eastAsia="仿宋_GB2312" w:cs="仿宋_GB2312"/>
          <w:color w:val="00B0F0"/>
          <w:sz w:val="32"/>
          <w:szCs w:val="32"/>
        </w:rPr>
      </w:pPr>
      <w:r>
        <w:pict>
          <v:shape id="_x0000_s2068" o:spid="_x0000_s2068" o:spt="202" type="#_x0000_t202" style="position:absolute;left:0pt;margin-left:117pt;margin-top:28.2pt;height:27.5pt;width:179.25pt;z-index:251677696;mso-width-relative:page;mso-height-relative:page;" stroked="t" coordsize="21600,21600" o:gfxdata="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8s0W99kAAAAKAQAADwAAAAAAAAABACAAAAAiAAAAZHJzL2Rvd25yZXYueG1sUEsBAhQAFAAAAAgA&#10;h07iQJVjPzpdAgAA9wQAAA4AAAAAAAAAAQAgAAAAKAEAAGRycy9lMm9Eb2MueG1sUEsFBgAAAAAG&#10;AAYAWQEAAPcFA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市四大班子办公室</w:t>
                  </w:r>
                </w:p>
              </w:txbxContent>
            </v:textbox>
          </v:shape>
        </w:pict>
      </w:r>
      <w:r>
        <w:pict>
          <v:line id="_x0000_s2069" o:spid="_x0000_s2069" o:spt="20" style="position:absolute;left:0pt;margin-left:216pt;margin-top:4.8pt;height:23.4pt;width:0pt;z-index:251678720;mso-width-relative:page;mso-height-relative:page;" stroked="t" coordsize="21600,21600" o:gfxdata="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nkrD9UAAAAIAQAADwAAAAAAAAABACAAAAAiAAAA&#10;ZHJzL2Rvd25yZXYueG1sUEsBAhQAFAAAAAgAh07iQJw4KFcKAgAA/QMAAA4AAAAAAAAAAQAgAAAA&#10;JAEAAGRycy9lMm9Eb2MueG1sUEsFBgAAAAAGAAYAWQEAAKAFAAAAAA==&#10;">
            <v:path arrowok="t"/>
            <v:fill focussize="0,0"/>
            <v:stroke weight="2.5pt" color="#70AD47" joinstyle="miter"/>
            <v:imagedata o:title=""/>
            <o:lock v:ext="edit"/>
          </v:line>
        </w:pict>
      </w:r>
    </w:p>
    <w:p>
      <w:pPr>
        <w:spacing w:line="576" w:lineRule="exact"/>
        <w:rPr>
          <w:rFonts w:ascii="仿宋_GB2312" w:hAnsi="仿宋_GB2312" w:eastAsia="仿宋_GB2312" w:cs="仿宋_GB2312"/>
          <w:color w:val="00B0F0"/>
          <w:sz w:val="32"/>
          <w:szCs w:val="32"/>
        </w:rPr>
      </w:pPr>
      <w:r>
        <w:pict>
          <v:line id="_x0000_s2067" o:spid="_x0000_s2067" o:spt="20" style="position:absolute;left:0pt;margin-left:216pt;margin-top:22.8pt;height:30pt;width:0pt;z-index:251676672;mso-width-relative:page;mso-height-relative:page;" stroked="t" coordsize="21600,21600" o:gfxdata="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u1+q/VAAAACgEAAA8AAAAAAAAAAQAgAAAAIgAA&#10;AGRycy9kb3ducmV2LnhtbFBLAQIUABQAAAAIAIdO4kB4DTVuCwIAAP8DAAAOAAAAAAAAAAEAIAAA&#10;ACQBAABkcnMvZTJvRG9jLnhtbFBLBQYAAAAABgAGAFkBAAChBQAAAAA=&#10;">
            <v:path arrowok="t"/>
            <v:fill focussize="0,0"/>
            <v:stroke weight="2.5pt" color="#70AD47" joinstyle="miter"/>
            <v:imagedata o:title=""/>
            <o:lock v:ext="edit"/>
          </v:line>
        </w:pict>
      </w:r>
    </w:p>
    <w:p>
      <w:pPr>
        <w:spacing w:line="576" w:lineRule="exact"/>
        <w:rPr>
          <w:rFonts w:ascii="仿宋_GB2312" w:hAnsi="仿宋_GB2312" w:eastAsia="仿宋_GB2312" w:cs="仿宋_GB2312"/>
          <w:color w:val="00B0F0"/>
          <w:sz w:val="32"/>
          <w:szCs w:val="32"/>
        </w:rPr>
      </w:pPr>
      <w:r>
        <w:pict>
          <v:shape id="_x0000_s2066" o:spid="_x0000_s2066" o:spt="202" type="#_x0000_t202" style="position:absolute;left:0pt;margin-left:117.8pt;margin-top:23.35pt;height:27.5pt;width:179.25pt;z-index:251675648;mso-width-relative:page;mso-height-relative:page;" stroked="t" coordsize="21600,21600" o:gfxdata="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i+m0jaAAAACgEAAA8AAAAAAAAAAQAgAAAAIgAAAGRycy9kb3ducmV2LnhtbFBLAQIUABQAAAAI&#10;AIdO4kAKyf9KXQIAAPcEAAAOAAAAAAAAAAEAIAAAACkBAABkcnMvZTJvRG9jLnhtbFBLBQYAAAAA&#10;BgAGAFkBAAD4BQ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市四大班子办公室行政科、保卫科</w:t>
                  </w:r>
                </w:p>
              </w:txbxContent>
            </v:textbox>
          </v:shape>
        </w:pict>
      </w:r>
    </w:p>
    <w:p>
      <w:pPr>
        <w:spacing w:line="576" w:lineRule="exact"/>
        <w:rPr>
          <w:rFonts w:ascii="仿宋_GB2312" w:hAnsi="仿宋_GB2312" w:eastAsia="仿宋_GB2312" w:cs="仿宋_GB2312"/>
          <w:color w:val="00B0F0"/>
          <w:sz w:val="32"/>
          <w:szCs w:val="32"/>
        </w:rPr>
      </w:pPr>
      <w:r>
        <w:pict>
          <v:line id="_x0000_s2051" o:spid="_x0000_s2051" o:spt="20" style="position:absolute;left:0pt;margin-left:213.25pt;margin-top:22.9pt;height:16.2pt;width:0.05pt;z-index:251660288;mso-width-relative:page;mso-height-relative:page;" stroked="t" coordsize="21600,21600" o:gfxdata="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WdxJ1gAAAAkBAAAPAAAAAAAAAAEAIAAA&#10;ACIAAABkcnMvZG93bnJldi54bWxQSwECFAAUAAAACACHTuJA27F7nw4CAAD/AwAADgAAAAAAAAAB&#10;ACAAAAAlAQAAZHJzL2Uyb0RvYy54bWxQSwUGAAAAAAYABgBZAQAApQUAAAAA&#10;">
            <v:path arrowok="t"/>
            <v:fill focussize="0,0"/>
            <v:stroke weight="2.5pt" color="#70AD47" joinstyle="miter"/>
            <v:imagedata o:title=""/>
            <o:lock v:ext="edit"/>
          </v:line>
        </w:pict>
      </w:r>
    </w:p>
    <w:p>
      <w:pPr>
        <w:spacing w:line="576" w:lineRule="exact"/>
        <w:rPr>
          <w:rFonts w:ascii="仿宋_GB2312" w:hAnsi="仿宋_GB2312" w:eastAsia="仿宋_GB2312" w:cs="仿宋_GB2312"/>
          <w:color w:val="00B0F0"/>
          <w:sz w:val="32"/>
          <w:szCs w:val="32"/>
        </w:rPr>
      </w:pPr>
      <w:r>
        <w:pict>
          <v:shape id="_x0000_s2052" o:spid="_x0000_s2052" o:spt="202" type="#_x0000_t202" style="position:absolute;left:0pt;margin-left:118.1pt;margin-top:7.35pt;height:27.5pt;width:179.25pt;z-index:251661312;mso-width-relative:page;mso-height-relative:page;" stroked="t" coordsize="21600,21600" o:gfxdata="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2YP&#10;C9gAAAAJAQAADwAAAAAAAAABACAAAAAiAAAAZHJzL2Rvd25yZXYueG1sUEsBAhQAFAAAAAgAh07i&#10;QECtkNNbAgAA9wQAAA4AAAAAAAAAAQAgAAAAJwEAAGRycy9lMm9Eb2MueG1sUEsFBgAAAAAGAAYA&#10;WQEAAPQFA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广元市行政中心保安服务项目经理</w:t>
                  </w:r>
                </w:p>
              </w:txbxContent>
            </v:textbox>
          </v:shape>
        </w:pict>
      </w:r>
    </w:p>
    <w:p>
      <w:pPr>
        <w:spacing w:line="576" w:lineRule="exact"/>
        <w:jc w:val="center"/>
        <w:rPr>
          <w:rFonts w:ascii="仿宋_GB2312" w:hAnsi="仿宋_GB2312" w:eastAsia="仿宋_GB2312" w:cs="仿宋_GB2312"/>
          <w:color w:val="00B0F0"/>
          <w:sz w:val="32"/>
          <w:szCs w:val="32"/>
        </w:rPr>
      </w:pPr>
      <w:r>
        <w:pict>
          <v:shape id="_x0000_s2053" o:spid="_x0000_s2053" o:spt="202" type="#_x0000_t202" style="position:absolute;left:0pt;margin-left:162.25pt;margin-top:22.6pt;height:27.5pt;width:107.55pt;z-index:251662336;mso-width-relative:page;mso-height-relative:page;" stroked="t" coordsize="21600,21600" o:gfxdata="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R78etkAAAAKAQAADwAAAAAAAAABACAAAAAiAAAAZHJzL2Rvd25yZXYueG1sUEsBAhQAFAAAAAgA&#10;h07iQO83QCpdAgAA9wQAAA4AAAAAAAAAAQAgAAAAKAEAAGRycy9lMm9Eb2MueG1sUEsFBgAAAAAG&#10;AAYAWQEAAPcFA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项目副经理</w:t>
                  </w:r>
                </w:p>
              </w:txbxContent>
            </v:textbox>
          </v:shape>
        </w:pict>
      </w:r>
      <w:r>
        <w:pict>
          <v:line id="_x0000_s2054" o:spid="_x0000_s2054" o:spt="20" style="position:absolute;left:0pt;margin-left:212.8pt;margin-top:4.7pt;height:16.2pt;width:0.05pt;z-index:251663360;mso-width-relative:page;mso-height-relative:page;" stroked="t" coordsize="21600,21600" o:gfxdata="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z5g6dUAAAAIAQAADwAAAAAAAAABACAAAAAi&#10;AAAAZHJzL2Rvd25yZXYueG1sUEsBAhQAFAAAAAgAh07iQP65w7gNAgAA/QMAAA4AAAAAAAAAAQAg&#10;AAAAJAEAAGRycy9lMm9Eb2MueG1sUEsFBgAAAAAGAAYAWQEAAKMFAAAAAA==&#10;">
            <v:path arrowok="t"/>
            <v:fill focussize="0,0"/>
            <v:stroke weight="2.5pt" color="#70AD47" joinstyle="miter"/>
            <v:imagedata o:title=""/>
            <o:lock v:ext="edit"/>
          </v:line>
        </w:pict>
      </w:r>
    </w:p>
    <w:p>
      <w:pPr>
        <w:spacing w:line="576" w:lineRule="exact"/>
        <w:rPr>
          <w:rFonts w:ascii="仿宋_GB2312" w:hAnsi="仿宋_GB2312" w:eastAsia="仿宋_GB2312" w:cs="仿宋_GB2312"/>
          <w:color w:val="00B0F0"/>
          <w:sz w:val="32"/>
          <w:szCs w:val="32"/>
        </w:rPr>
      </w:pPr>
      <w:r>
        <w:pict>
          <v:line id="_x0000_s2055" o:spid="_x0000_s2055" o:spt="20" style="position:absolute;left:0pt;margin-left:213.1pt;margin-top:19.2pt;height:16.2pt;width:0.05pt;z-index:251664384;mso-width-relative:page;mso-height-relative:page;" stroked="t" coordsize="21600,21600" o:gfxdata="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staoc1gAAAAkBAAAPAAAAAAAAAAEAIAAAACIA&#10;AABkcnMvZG93bnJldi54bWxQSwECFAAUAAAACACHTuJAOEsuoAsCAAD9AwAADgAAAAAAAAABACAA&#10;AAAlAQAAZHJzL2Uyb0RvYy54bWxQSwUGAAAAAAYABgBZAQAAogUAAAAA&#10;">
            <v:path arrowok="t"/>
            <v:fill focussize="0,0"/>
            <v:stroke weight="2.5pt" color="#70AD47" joinstyle="miter"/>
            <v:imagedata o:title=""/>
            <o:lock v:ext="edit"/>
          </v:line>
        </w:pict>
      </w:r>
    </w:p>
    <w:p>
      <w:pPr>
        <w:spacing w:line="576" w:lineRule="exact"/>
        <w:rPr>
          <w:rFonts w:ascii="仿宋_GB2312" w:hAnsi="仿宋_GB2312" w:eastAsia="仿宋_GB2312" w:cs="仿宋_GB2312"/>
          <w:color w:val="00B0F0"/>
          <w:sz w:val="32"/>
          <w:szCs w:val="32"/>
        </w:rPr>
      </w:pPr>
      <w:r>
        <w:pict>
          <v:shape id="_x0000_s2056" o:spid="_x0000_s2056" o:spt="202" type="#_x0000_t202" style="position:absolute;left:0pt;margin-left:163.25pt;margin-top:5.85pt;height:27.5pt;width:107.55pt;z-index:251665408;mso-width-relative:page;mso-height-relative:page;" stroked="t" coordsize="21600,21600" o:gfxdata="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QIAqtgAAAAJAQAADwAAAAAAAAABACAAAAAiAAAAZHJzL2Rvd25yZXYueG1sUEsBAhQAFAAAAAgA&#10;h07iQA7kKpBeAgAA+QQAAA4AAAAAAAAAAQAgAAAAJwEAAGRycy9lMm9Eb2MueG1sUEsFBgAAAAAG&#10;AAYAWQEAAPcFA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项目主管</w:t>
                  </w:r>
                </w:p>
              </w:txbxContent>
            </v:textbox>
          </v:shape>
        </w:pict>
      </w:r>
    </w:p>
    <w:p>
      <w:pPr>
        <w:spacing w:line="576" w:lineRule="exact"/>
        <w:rPr>
          <w:rFonts w:ascii="仿宋_GB2312" w:hAnsi="仿宋_GB2312" w:eastAsia="仿宋_GB2312" w:cs="仿宋_GB2312"/>
          <w:sz w:val="32"/>
          <w:szCs w:val="32"/>
        </w:rPr>
      </w:pPr>
      <w:r>
        <w:pict>
          <v:shape id="_x0000_s2050" o:spid="_x0000_s2050" o:spt="202" type="#_x0000_t202" style="position:absolute;left:0pt;margin-left:166pt;margin-top:18.45pt;height:29.4pt;width:101.55pt;z-index:251659264;mso-width-relative:page;mso-height-relative:page;" stroked="t" coordsize="21600,21600" o:gfxdata="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hAYDzZAAAACQEAAA8AAAAAAAAAAQAgAAAAIgAAAGRycy9kb3ducmV2LnhtbFBLAQIUABQA&#10;AAAIAIdO4kDCESSWYQIAAPkEAAAOAAAAAAAAAAEAIAAAACgBAABkcnMvZTJvRG9jLnhtbFBLBQYA&#10;AAAABgAGAFkBAAD7BQ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保安队长</w:t>
                  </w:r>
                </w:p>
              </w:txbxContent>
            </v:textbox>
          </v:shape>
        </w:pict>
      </w:r>
      <w:r>
        <w:pict>
          <v:line id="_x0000_s2057" o:spid="_x0000_s2057" o:spt="20" style="position:absolute;left:0pt;margin-left:213.4pt;margin-top:1pt;height:16.2pt;width:0.05pt;z-index:251666432;mso-width-relative:page;mso-height-relative:page;" stroked="t" coordsize="21600,21600" o:gfxdata="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zvr1QAAAAgBAAAPAAAAAAAAAAEAIAAAACIA&#10;AABkcnMvZG93bnJldi54bWxQSwECFAAUAAAACACHTuJAWgHALQwCAAD9AwAADgAAAAAAAAABACAA&#10;AAAkAQAAZHJzL2Uyb0RvYy54bWxQSwUGAAAAAAYABgBZAQAAogUAAAAA&#10;">
            <v:path arrowok="t"/>
            <v:fill focussize="0,0"/>
            <v:stroke weight="2.5pt" color="#70AD47" joinstyle="miter"/>
            <v:imagedata o:title=""/>
            <o:lock v:ext="edit"/>
          </v:line>
        </w:pict>
      </w:r>
    </w:p>
    <w:p>
      <w:pPr>
        <w:spacing w:line="576" w:lineRule="exact"/>
        <w:rPr>
          <w:rFonts w:ascii="仿宋_GB2312" w:hAnsi="仿宋_GB2312" w:eastAsia="仿宋_GB2312" w:cs="仿宋_GB2312"/>
          <w:sz w:val="32"/>
          <w:szCs w:val="32"/>
        </w:rPr>
      </w:pPr>
      <w:r>
        <w:pict>
          <v:line id="_x0000_s2060" o:spid="_x0000_s2060" o:spt="20" style="position:absolute;left:0pt;margin-left:213.3pt;margin-top:28.95pt;height:16.2pt;width:0.05pt;z-index:251669504;mso-width-relative:page;mso-height-relative:page;" stroked="t" coordsize="21600,21600" o:gfxdata="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bcC1wAAAAkBAAAPAAAAAAAAAAEAIAAA&#10;ACIAAABkcnMvZG93bnJldi54bWxQSwECFAAUAAAACACHTuJAnPMtNQ0CAAD9AwAADgAAAAAAAAAB&#10;ACAAAAAmAQAAZHJzL2Uyb0RvYy54bWxQSwUGAAAAAAYABgBZAQAApQUAAAAA&#10;">
            <v:path arrowok="t"/>
            <v:fill focussize="0,0"/>
            <v:stroke weight="2.5pt" color="#70AD47" joinstyle="miter"/>
            <v:imagedata o:title=""/>
            <o:lock v:ext="edit"/>
          </v:line>
        </w:pict>
      </w:r>
      <w:r>
        <w:pict>
          <v:line id="_x0000_s2061" o:spid="_x0000_s2061" o:spt="20" style="position:absolute;left:0pt;margin-left:108.9pt;margin-top:30.7pt;height:16.2pt;width:0.05pt;z-index:251670528;mso-width-relative:page;mso-height-relative:page;" stroked="t" coordsize="21600,21600" o:gfxdata="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R+DInXAAAACQEAAA8AAAAAAAAAAQAgAAAA&#10;IgAAAGRycy9kb3ducmV2LnhtbFBLAQIUABQAAAAIAIdO4kDW5BscDAIAAP0DAAAOAAAAAAAAAAEA&#10;IAAAACYBAABkcnMvZTJvRG9jLnhtbFBLBQYAAAAABgAGAFkBAACkBQAAAAA=&#10;">
            <v:path arrowok="t"/>
            <v:fill focussize="0,0"/>
            <v:stroke weight="2.5pt" color="#70AD47" joinstyle="miter"/>
            <v:imagedata o:title=""/>
            <o:lock v:ext="edit"/>
          </v:line>
        </w:pict>
      </w:r>
      <w:r>
        <w:pict>
          <v:line id="_x0000_s2058" o:spid="_x0000_s2058" o:spt="20" style="position:absolute;left:0pt;margin-left:109.05pt;margin-top:30.45pt;height:1.5pt;width:183.95pt;z-index:251667456;mso-width-relative:page;mso-height-relative:page;" stroked="t" coordsize="21600,21600" o:gfxdata="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7pzf61gAAAAkBAAAPAAAAAAAAAAEA&#10;IAAAACIAAABkcnMvZG93bnJldi54bWxQSwECFAAUAAAACACHTuJAGrMB+BECAAAEBAAADgAAAAAA&#10;AAABACAAAAAlAQAAZHJzL2Uyb0RvYy54bWxQSwUGAAAAAAYABgBZAQAAqAUAAAAA&#10;">
            <v:path arrowok="t"/>
            <v:fill focussize="0,0"/>
            <v:stroke weight="2.5pt" color="#70AD47" joinstyle="miter"/>
            <v:imagedata o:title=""/>
            <o:lock v:ext="edit"/>
          </v:line>
        </w:pict>
      </w:r>
      <w:r>
        <w:pict>
          <v:line id="_x0000_s2059" o:spid="_x0000_s2059" o:spt="20" style="position:absolute;left:0pt;margin-left:212.95pt;margin-top:14.75pt;height:16.2pt;width:0.05pt;z-index:251668480;mso-width-relative:page;mso-height-relative:page;" stroked="t" coordsize="21600,21600" o:gfxdata="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berR1wAAAAkBAAAPAAAAAAAAAAEAIAAA&#10;ACIAAABkcnMvZG93bnJldi54bWxQSwECFAAUAAAACACHTuJAEBb2BA0CAAD9AwAADgAAAAAAAAAB&#10;ACAAAAAmAQAAZHJzL2Uyb0RvYy54bWxQSwUGAAAAAAYABgBZAQAApQUAAAAA&#10;">
            <v:path arrowok="t"/>
            <v:fill focussize="0,0"/>
            <v:stroke weight="2.5pt" color="#70AD47" joinstyle="miter"/>
            <v:imagedata o:title=""/>
            <o:lock v:ext="edit"/>
          </v:line>
        </w:pict>
      </w:r>
    </w:p>
    <w:p>
      <w:pPr>
        <w:spacing w:line="576" w:lineRule="exact"/>
        <w:rPr>
          <w:rFonts w:ascii="仿宋_GB2312" w:hAnsi="仿宋_GB2312" w:eastAsia="仿宋_GB2312" w:cs="仿宋_GB2312"/>
          <w:sz w:val="32"/>
          <w:szCs w:val="32"/>
        </w:rPr>
      </w:pPr>
      <w:r>
        <w:pict>
          <v:shape id="_x0000_s2063" o:spid="_x0000_s2063" o:spt="202" type="#_x0000_t202" style="position:absolute;left:0pt;margin-left:70.7pt;margin-top:27.5pt;height:55pt;width:78pt;rotation:-5898240f;z-index:251672576;mso-width-relative:page;mso-height-relative:page;" stroked="t" coordsize="21600,21600" o:gfxdata="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5V9WjUAAAACgEA&#10;AA8AAAAAAAAAAQAgAAAAIgAAAGRycy9kb3ducmV2LnhtbFBLAQIUABQAAAAIAIdO4kD+0+Q1HgIA&#10;AFMEAAAOAAAAAAAAAAEAIAAAACMBAABkcnMvZTJvRG9jLnhtbFBLBQYAAAAABgAGAFkBAACzBQAA&#10;AAA=&#10;">
            <v:path/>
            <v:fill focussize="0,0"/>
            <v:stroke weight="2.5pt" color="#70AD47" joinstyle="round"/>
            <v:imagedata o:title=""/>
            <o:lock v:ext="edit"/>
            <v:textbox>
              <w:txbxContent>
                <w:p>
                  <w:pPr>
                    <w:rPr>
                      <w:rFonts w:ascii="华文中宋" w:hAnsi="华文中宋" w:eastAsia="华文中宋"/>
                    </w:rPr>
                  </w:pPr>
                  <w:r>
                    <w:rPr>
                      <w:rFonts w:hint="eastAsia" w:ascii="华文中宋" w:hAnsi="华文中宋" w:eastAsia="华文中宋"/>
                    </w:rPr>
                    <w:t>公共区域</w:t>
                  </w:r>
                </w:p>
                <w:p>
                  <w:pPr>
                    <w:jc w:val="center"/>
                    <w:rPr>
                      <w:rFonts w:ascii="华文中宋" w:hAnsi="华文中宋" w:eastAsia="华文中宋"/>
                    </w:rPr>
                  </w:pPr>
                  <w:r>
                    <w:rPr>
                      <w:rFonts w:hint="eastAsia" w:ascii="华文中宋" w:hAnsi="华文中宋" w:eastAsia="华文中宋"/>
                    </w:rPr>
                    <w:t>保安小队（含人大、政协）</w:t>
                  </w:r>
                </w:p>
                <w:p>
                  <w:pPr>
                    <w:pStyle w:val="6"/>
                  </w:pPr>
                </w:p>
              </w:txbxContent>
            </v:textbox>
          </v:shape>
        </w:pict>
      </w:r>
      <w:r>
        <w:pict>
          <v:shape id="_x0000_s2064" o:spid="_x0000_s2064" o:spt="202" type="#_x0000_t202" style="position:absolute;left:0pt;margin-left:171.25pt;margin-top:35.1pt;height:36pt;width:78pt;rotation:-5898240f;z-index:251673600;mso-width-relative:page;mso-height-relative:page;" stroked="t" coordsize="21600,21600" o:gfxdata="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NWKq9cAAAAK&#10;AQAADwAAAAAAAAABACAAAAAiAAAAZHJzL2Rvd25yZXYueG1sUEsBAhQAFAAAAAgAh07iQFDPzG4d&#10;AgAAUwQAAA4AAAAAAAAAAQAgAAAAJgEAAGRycy9lMm9Eb2MueG1sUEsFBgAAAAAGAAYAWQEAALUF&#10;A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市政府保安小队</w:t>
                  </w:r>
                </w:p>
                <w:p/>
              </w:txbxContent>
            </v:textbox>
          </v:shape>
        </w:pict>
      </w:r>
      <w:r>
        <w:pict>
          <v:shape id="_x0000_s2065" o:spid="_x0000_s2065" o:spt="202" type="#_x0000_t202" style="position:absolute;left:0pt;margin-left:257.15pt;margin-top:38.3pt;height:36pt;width:78pt;rotation:-5898240f;z-index:251674624;mso-width-relative:page;mso-height-relative:page;" stroked="t" coordsize="21600,21600" o:gfxdata="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7iPXZ1wAAAAoB&#10;AAAPAAAAAAAAAAEAIAAAACIAAABkcnMvZG93bnJldi54bWxQSwECFAAUAAAACACHTuJAlZgZPxwC&#10;AABTBAAADgAAAAAAAAABACAAAAAmAQAAZHJzL2Uyb0RvYy54bWxQSwUGAAAAAAYABgBZAQAAtAUA&#10;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市委保安小队</w:t>
                  </w:r>
                </w:p>
                <w:p/>
              </w:txbxContent>
            </v:textbox>
          </v:shape>
        </w:pict>
      </w:r>
      <w:r>
        <w:pict>
          <v:line id="_x0000_s2062" o:spid="_x0000_s2062" o:spt="20" style="position:absolute;left:0pt;margin-left:292.15pt;margin-top:0.5pt;height:16.2pt;width:0.05pt;z-index:251671552;mso-width-relative:page;mso-height-relative:page;" stroked="t" coordsize="21600,21600" o:gfxdata="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jgk/3UAAAACAEAAA8AAAAAAAAAAQAgAAAA&#10;IgAAAGRycy9kb3ducmV2LnhtbFBLAQIUABQAAAAIAIdO4kBjNlODDwIAAAEEAAAOAAAAAAAAAAEA&#10;IAAAACMBAABkcnMvZTJvRG9jLnhtbFBLBQYAAAAABgAGAFkBAACkBQAAAAA=&#10;">
            <v:path arrowok="t"/>
            <v:fill focussize="0,0"/>
            <v:stroke weight="2.5pt" color="#70AD47" joinstyle="miter"/>
            <v:imagedata o:title=""/>
            <o:lock v:ext="edit"/>
          </v:line>
        </w:pict>
      </w: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rPr>
          <w:rFonts w:ascii="仿宋_GB2312" w:eastAsia="仿宋_GB2312"/>
          <w:sz w:val="32"/>
          <w:szCs w:val="32"/>
        </w:rPr>
      </w:pPr>
    </w:p>
    <w:p>
      <w:pPr>
        <w:spacing w:line="576" w:lineRule="exact"/>
        <w:ind w:firstLine="627" w:firstLineChars="196"/>
        <w:rPr>
          <w:rFonts w:ascii="仿宋_GB2312" w:eastAsia="仿宋_GB2312"/>
          <w:sz w:val="32"/>
          <w:szCs w:val="32"/>
        </w:rPr>
      </w:pPr>
    </w:p>
    <w:p>
      <w:pPr>
        <w:spacing w:line="550" w:lineRule="exact"/>
        <w:ind w:firstLine="627" w:firstLineChars="196"/>
        <w:rPr>
          <w:rFonts w:ascii="仿宋_GB2312" w:hAnsi="宋体" w:eastAsia="仿宋_GB2312" w:cs="宋体"/>
          <w:sz w:val="32"/>
          <w:szCs w:val="32"/>
        </w:rPr>
      </w:pPr>
      <w:r>
        <w:rPr>
          <w:rFonts w:hint="eastAsia" w:ascii="仿宋_GB2312" w:eastAsia="仿宋_GB2312"/>
          <w:sz w:val="32"/>
          <w:szCs w:val="32"/>
        </w:rPr>
        <w:t>实施流程：</w:t>
      </w:r>
    </w:p>
    <w:p>
      <w:pPr>
        <w:pStyle w:val="2"/>
        <w:spacing w:beforeLines="0" w:line="550" w:lineRule="exact"/>
        <w:ind w:firstLine="640"/>
        <w:rPr>
          <w:rFonts w:hAnsi="仿宋" w:cs="仿宋"/>
          <w:sz w:val="32"/>
          <w:szCs w:val="32"/>
        </w:rPr>
      </w:pPr>
      <w:r>
        <w:rPr>
          <w:rFonts w:hAnsi="仿宋" w:cs="仿宋"/>
          <w:sz w:val="32"/>
          <w:szCs w:val="32"/>
        </w:rPr>
        <w:t>1</w:t>
      </w:r>
      <w:r>
        <w:rPr>
          <w:rFonts w:hint="eastAsia" w:hAnsi="仿宋" w:cs="仿宋"/>
          <w:sz w:val="32"/>
          <w:szCs w:val="32"/>
        </w:rPr>
        <w:t>.保安人员实行</w:t>
      </w:r>
      <w:r>
        <w:rPr>
          <w:rFonts w:hAnsi="仿宋" w:cs="仿宋"/>
          <w:sz w:val="32"/>
          <w:szCs w:val="32"/>
        </w:rPr>
        <w:t>24</w:t>
      </w:r>
      <w:r>
        <w:rPr>
          <w:rFonts w:hint="eastAsia" w:hAnsi="仿宋" w:cs="仿宋"/>
          <w:sz w:val="32"/>
          <w:szCs w:val="32"/>
        </w:rPr>
        <w:t>小时轮流值班制度，严禁脱岗、睡岗，及时处理投诉、求助，并有反馈记录；</w:t>
      </w:r>
    </w:p>
    <w:p>
      <w:pPr>
        <w:pStyle w:val="2"/>
        <w:spacing w:beforeLines="0" w:line="550" w:lineRule="exact"/>
        <w:ind w:firstLine="641"/>
        <w:rPr>
          <w:rFonts w:hAnsi="仿宋" w:cs="仿宋"/>
          <w:sz w:val="32"/>
          <w:szCs w:val="32"/>
        </w:rPr>
      </w:pPr>
      <w:r>
        <w:rPr>
          <w:rFonts w:hAnsi="仿宋" w:cs="仿宋"/>
          <w:sz w:val="32"/>
          <w:szCs w:val="32"/>
        </w:rPr>
        <w:t>2</w:t>
      </w:r>
      <w:r>
        <w:rPr>
          <w:rFonts w:hint="eastAsia" w:hAnsi="仿宋" w:cs="仿宋"/>
          <w:sz w:val="32"/>
          <w:szCs w:val="32"/>
        </w:rPr>
        <w:t>.保安人员搞好日常巡逻巡查工作，重点部位随时巡逻检查，确保机关无责任安全事故发生；</w:t>
      </w:r>
    </w:p>
    <w:p>
      <w:pPr>
        <w:pStyle w:val="2"/>
        <w:spacing w:beforeLines="0" w:line="550" w:lineRule="exact"/>
        <w:ind w:firstLine="641"/>
        <w:rPr>
          <w:rFonts w:hAnsi="仿宋" w:cs="仿宋"/>
          <w:sz w:val="32"/>
          <w:szCs w:val="32"/>
        </w:rPr>
      </w:pPr>
      <w:r>
        <w:rPr>
          <w:rFonts w:hAnsi="仿宋" w:cs="仿宋"/>
          <w:sz w:val="32"/>
          <w:szCs w:val="32"/>
        </w:rPr>
        <w:t>3</w:t>
      </w:r>
      <w:r>
        <w:rPr>
          <w:rFonts w:hint="eastAsia" w:hAnsi="仿宋" w:cs="仿宋"/>
          <w:sz w:val="32"/>
          <w:szCs w:val="32"/>
        </w:rPr>
        <w:t>.车辆按要求出入，按规定有序停放，来访有记载，并热情接待引导；</w:t>
      </w:r>
    </w:p>
    <w:p>
      <w:pPr>
        <w:pStyle w:val="2"/>
        <w:spacing w:beforeLines="0" w:line="550" w:lineRule="exact"/>
        <w:ind w:firstLine="641"/>
        <w:rPr>
          <w:rFonts w:hAnsi="仿宋" w:cs="仿宋"/>
          <w:sz w:val="32"/>
          <w:szCs w:val="32"/>
        </w:rPr>
      </w:pPr>
      <w:r>
        <w:rPr>
          <w:rFonts w:hAnsi="仿宋" w:cs="仿宋"/>
          <w:sz w:val="32"/>
          <w:szCs w:val="32"/>
        </w:rPr>
        <w:t>4</w:t>
      </w:r>
      <w:r>
        <w:rPr>
          <w:rFonts w:hint="eastAsia" w:hAnsi="仿宋" w:cs="仿宋"/>
          <w:sz w:val="32"/>
          <w:szCs w:val="32"/>
        </w:rPr>
        <w:t>.遇突发事件能迅速到达现场，按规定程序处置；</w:t>
      </w:r>
    </w:p>
    <w:p>
      <w:pPr>
        <w:pStyle w:val="2"/>
        <w:spacing w:beforeLines="0" w:line="550" w:lineRule="exact"/>
        <w:ind w:firstLine="641"/>
        <w:rPr>
          <w:rFonts w:hAnsi="仿宋" w:cs="仿宋"/>
          <w:sz w:val="32"/>
          <w:szCs w:val="32"/>
        </w:rPr>
      </w:pPr>
      <w:r>
        <w:rPr>
          <w:rFonts w:hAnsi="仿宋" w:cs="仿宋"/>
          <w:sz w:val="32"/>
          <w:szCs w:val="32"/>
        </w:rPr>
        <w:t>5</w:t>
      </w:r>
      <w:r>
        <w:rPr>
          <w:rFonts w:hint="eastAsia" w:hAnsi="仿宋" w:cs="仿宋"/>
          <w:sz w:val="32"/>
          <w:szCs w:val="32"/>
        </w:rPr>
        <w:t>.每月开展全面安全大检查4次（有记录可查），加强日常安全隐患巡查，发现安全隐患及时报告业主单位相关负责人，并协助业主单位及时消除。</w:t>
      </w:r>
    </w:p>
    <w:p>
      <w:pPr>
        <w:pStyle w:val="2"/>
        <w:spacing w:beforeLines="0" w:line="550" w:lineRule="exact"/>
        <w:ind w:firstLine="641"/>
        <w:rPr>
          <w:rFonts w:hAnsi="仿宋" w:cs="仿宋"/>
          <w:sz w:val="32"/>
          <w:szCs w:val="32"/>
        </w:rPr>
      </w:pPr>
      <w:r>
        <w:rPr>
          <w:rFonts w:hAnsi="仿宋" w:cs="仿宋"/>
          <w:sz w:val="32"/>
          <w:szCs w:val="32"/>
        </w:rPr>
        <w:t>6</w:t>
      </w:r>
      <w:r>
        <w:rPr>
          <w:rFonts w:hint="eastAsia" w:hAnsi="仿宋" w:cs="仿宋"/>
          <w:sz w:val="32"/>
          <w:szCs w:val="32"/>
        </w:rPr>
        <w:t>.每季度开展</w:t>
      </w:r>
      <w:r>
        <w:rPr>
          <w:rFonts w:hAnsi="仿宋" w:cs="仿宋"/>
          <w:sz w:val="32"/>
          <w:szCs w:val="32"/>
        </w:rPr>
        <w:t>1</w:t>
      </w:r>
      <w:r>
        <w:rPr>
          <w:rFonts w:hint="eastAsia" w:hAnsi="仿宋" w:cs="仿宋"/>
          <w:sz w:val="32"/>
          <w:szCs w:val="32"/>
        </w:rPr>
        <w:t>次法律、保安专业知识和技能培训以及职业道德教育。全年集中培训时长不少于</w:t>
      </w:r>
      <w:r>
        <w:rPr>
          <w:rFonts w:hAnsi="仿宋" w:cs="仿宋"/>
          <w:sz w:val="32"/>
          <w:szCs w:val="32"/>
        </w:rPr>
        <w:t>4</w:t>
      </w:r>
      <w:r>
        <w:rPr>
          <w:rFonts w:hint="eastAsia" w:hAnsi="仿宋" w:cs="仿宋"/>
          <w:sz w:val="32"/>
          <w:szCs w:val="32"/>
        </w:rPr>
        <w:t>×</w:t>
      </w:r>
      <w:r>
        <w:rPr>
          <w:rFonts w:hAnsi="仿宋" w:cs="仿宋"/>
          <w:sz w:val="32"/>
          <w:szCs w:val="32"/>
        </w:rPr>
        <w:t>6</w:t>
      </w:r>
      <w:r>
        <w:rPr>
          <w:rFonts w:hint="eastAsia" w:hAnsi="仿宋" w:cs="仿宋"/>
          <w:sz w:val="32"/>
          <w:szCs w:val="32"/>
        </w:rPr>
        <w:t>小时，定期开展内部业务练兵，全面提高保安整体素质。</w:t>
      </w:r>
    </w:p>
    <w:p>
      <w:pPr>
        <w:pStyle w:val="2"/>
        <w:spacing w:beforeLines="0" w:line="550" w:lineRule="exact"/>
        <w:ind w:firstLine="641"/>
        <w:rPr>
          <w:rFonts w:hAnsi="仿宋" w:cs="仿宋"/>
          <w:sz w:val="32"/>
          <w:szCs w:val="32"/>
        </w:rPr>
      </w:pPr>
      <w:r>
        <w:rPr>
          <w:rFonts w:hAnsi="仿宋" w:cs="仿宋"/>
          <w:sz w:val="32"/>
          <w:szCs w:val="32"/>
        </w:rPr>
        <w:t>7</w:t>
      </w:r>
      <w:r>
        <w:rPr>
          <w:rFonts w:hint="eastAsia" w:hAnsi="仿宋" w:cs="仿宋"/>
          <w:sz w:val="32"/>
          <w:szCs w:val="32"/>
        </w:rPr>
        <w:t>.每月对消防设施设备至少巡查</w:t>
      </w:r>
      <w:r>
        <w:rPr>
          <w:rFonts w:hAnsi="仿宋" w:cs="仿宋"/>
          <w:sz w:val="32"/>
          <w:szCs w:val="32"/>
        </w:rPr>
        <w:t>4</w:t>
      </w:r>
      <w:r>
        <w:rPr>
          <w:rFonts w:hint="eastAsia" w:hAnsi="仿宋" w:cs="仿宋"/>
          <w:sz w:val="32"/>
          <w:szCs w:val="32"/>
        </w:rPr>
        <w:t>次；对重点部位保持每天巡查；消防应急等演练每季度</w:t>
      </w:r>
      <w:r>
        <w:rPr>
          <w:rFonts w:hAnsi="仿宋" w:cs="仿宋"/>
          <w:sz w:val="32"/>
          <w:szCs w:val="32"/>
        </w:rPr>
        <w:t>1</w:t>
      </w:r>
      <w:r>
        <w:rPr>
          <w:rFonts w:hint="eastAsia" w:hAnsi="仿宋" w:cs="仿宋"/>
          <w:sz w:val="32"/>
          <w:szCs w:val="32"/>
        </w:rPr>
        <w:t>次。</w:t>
      </w:r>
    </w:p>
    <w:p>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（二）项目管理情况</w:t>
      </w:r>
    </w:p>
    <w:p>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严格执行《广元市信息化建设项目管理办法》，按程序报市经济和信息化局对四大班子保安服务项目进行了预审和技术方案评审，委托市政府采购中心进行需求论证和招标采购，组织专家进行验收。各环节均报市政府办公室党组进行研究决策，项目管理全程规范。</w:t>
      </w:r>
    </w:p>
    <w:p>
      <w:pPr>
        <w:spacing w:line="55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（三）项目监管情况</w:t>
      </w:r>
    </w:p>
    <w:p>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市纪委监委驻市政府办公室纪检组对四大班子保安服务项目的政府采购活动进行全程监督。同时，我办主动接受省委巡视组、市纪委监委及上级主管部门的监督检查，无违纪违法现象。</w:t>
      </w:r>
    </w:p>
    <w:p>
      <w:pPr>
        <w:spacing w:line="550" w:lineRule="exact"/>
        <w:ind w:firstLine="641"/>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pStyle w:val="16"/>
        <w:spacing w:line="550" w:lineRule="exact"/>
        <w:ind w:firstLine="641"/>
        <w:rPr>
          <w:rFonts w:ascii="楷体_GB2312" w:hAnsi="仿宋" w:eastAsia="楷体_GB2312" w:cs="仿宋"/>
          <w:bCs/>
          <w:sz w:val="32"/>
          <w:szCs w:val="32"/>
        </w:rPr>
      </w:pPr>
      <w:r>
        <w:rPr>
          <w:rFonts w:hint="eastAsia" w:ascii="楷体_GB2312" w:hAnsi="仿宋" w:eastAsia="楷体_GB2312" w:cs="仿宋"/>
          <w:bCs/>
          <w:sz w:val="32"/>
          <w:szCs w:val="32"/>
        </w:rPr>
        <w:t>（一）项目完成情况</w:t>
      </w:r>
    </w:p>
    <w:p>
      <w:pPr>
        <w:pStyle w:val="16"/>
        <w:spacing w:line="550" w:lineRule="exact"/>
        <w:ind w:firstLine="641"/>
        <w:rPr>
          <w:rFonts w:ascii="仿宋_GB2312" w:hAnsi="仿宋" w:eastAsia="仿宋_GB2312" w:cs="仿宋"/>
          <w:sz w:val="32"/>
          <w:szCs w:val="32"/>
        </w:rPr>
      </w:pPr>
      <w:r>
        <w:rPr>
          <w:rFonts w:hint="eastAsia" w:ascii="仿宋_GB2312" w:hAnsi="仿宋" w:eastAsia="仿宋_GB2312" w:cs="仿宋"/>
          <w:sz w:val="32"/>
          <w:szCs w:val="32"/>
        </w:rPr>
        <w:t>项目严格落实岗位设置、人员规定，在规定时间内完成了各项工作任务，各项工作都按照质量标准完成，工作进度按照计划有序落实，资金使用未超过中标费用。</w:t>
      </w:r>
    </w:p>
    <w:p>
      <w:pPr>
        <w:pStyle w:val="16"/>
        <w:spacing w:line="550" w:lineRule="exact"/>
        <w:ind w:firstLine="641"/>
        <w:rPr>
          <w:rFonts w:ascii="楷体_GB2312" w:hAnsi="仿宋" w:eastAsia="楷体_GB2312" w:cs="仿宋"/>
          <w:bCs/>
          <w:sz w:val="32"/>
          <w:szCs w:val="32"/>
        </w:rPr>
      </w:pPr>
      <w:r>
        <w:rPr>
          <w:rFonts w:hint="eastAsia" w:ascii="楷体_GB2312" w:hAnsi="仿宋" w:eastAsia="楷体_GB2312" w:cs="仿宋"/>
          <w:bCs/>
          <w:sz w:val="32"/>
          <w:szCs w:val="32"/>
        </w:rPr>
        <w:t>（二）项目效益情况</w:t>
      </w:r>
    </w:p>
    <w:p>
      <w:pPr>
        <w:pStyle w:val="16"/>
        <w:spacing w:line="550" w:lineRule="exact"/>
        <w:ind w:firstLine="641"/>
        <w:rPr>
          <w:rFonts w:ascii="仿宋_GB2312" w:hAnsi="宋体" w:eastAsia="仿宋_GB2312"/>
          <w:sz w:val="32"/>
          <w:szCs w:val="32"/>
          <w:lang w:val="zh-CN"/>
        </w:rPr>
      </w:pPr>
      <w:r>
        <w:rPr>
          <w:rFonts w:hint="eastAsia" w:ascii="仿宋_GB2312" w:hAnsi="仿宋" w:eastAsia="仿宋_GB2312" w:cs="仿宋"/>
          <w:sz w:val="32"/>
          <w:szCs w:val="32"/>
        </w:rPr>
        <w:t>该项目按约定安置了下岗失业志愿兵，有效维护了该部分人员的稳定，社会效益显著。服务对象对保安服务的满意度达</w:t>
      </w:r>
      <w:r>
        <w:rPr>
          <w:rFonts w:ascii="仿宋_GB2312" w:hAnsi="仿宋" w:eastAsia="仿宋_GB2312" w:cs="仿宋"/>
          <w:sz w:val="32"/>
          <w:szCs w:val="32"/>
        </w:rPr>
        <w:t>9</w:t>
      </w:r>
      <w:r>
        <w:rPr>
          <w:rFonts w:hint="eastAsia" w:ascii="仿宋_GB2312" w:hAnsi="仿宋" w:eastAsia="仿宋_GB2312" w:cs="仿宋"/>
          <w:sz w:val="32"/>
          <w:szCs w:val="32"/>
        </w:rPr>
        <w:t>8</w:t>
      </w:r>
      <w:r>
        <w:rPr>
          <w:rFonts w:ascii="仿宋_GB2312" w:hAnsi="仿宋" w:eastAsia="仿宋_GB2312" w:cs="仿宋"/>
          <w:sz w:val="32"/>
          <w:szCs w:val="32"/>
        </w:rPr>
        <w:t>%</w:t>
      </w:r>
      <w:r>
        <w:rPr>
          <w:rFonts w:hint="eastAsia" w:ascii="仿宋_GB2312" w:hAnsi="仿宋" w:eastAsia="仿宋_GB2312" w:cs="仿宋"/>
          <w:sz w:val="32"/>
          <w:szCs w:val="32"/>
        </w:rPr>
        <w:t>，各项保安服务工作得到了市四大班子领导的认可和肯定。市行政中心秩序良好，没有发生有影响的治安、刑事案件。</w:t>
      </w:r>
    </w:p>
    <w:p>
      <w:pPr>
        <w:adjustRightInd w:val="0"/>
        <w:snapToGrid w:val="0"/>
        <w:spacing w:line="550" w:lineRule="exact"/>
        <w:ind w:firstLine="720"/>
        <w:rPr>
          <w:rFonts w:ascii="黑体" w:hAnsi="宋体" w:eastAsia="黑体"/>
          <w:sz w:val="32"/>
          <w:szCs w:val="32"/>
        </w:rPr>
      </w:pPr>
      <w:r>
        <w:rPr>
          <w:rFonts w:hint="eastAsia" w:ascii="黑体" w:hAnsi="宋体" w:eastAsia="黑体"/>
          <w:sz w:val="32"/>
          <w:szCs w:val="32"/>
        </w:rPr>
        <w:t>五、评价结论及建议</w:t>
      </w:r>
    </w:p>
    <w:p>
      <w:pPr>
        <w:pStyle w:val="16"/>
        <w:spacing w:line="550" w:lineRule="exact"/>
        <w:ind w:firstLine="641"/>
        <w:rPr>
          <w:rFonts w:ascii="楷体_GB2312" w:eastAsia="楷体_GB2312"/>
          <w:bCs/>
          <w:sz w:val="32"/>
          <w:szCs w:val="32"/>
        </w:rPr>
      </w:pPr>
      <w:r>
        <w:rPr>
          <w:rFonts w:hint="eastAsia" w:ascii="楷体_GB2312" w:eastAsia="楷体_GB2312"/>
          <w:bCs/>
          <w:sz w:val="32"/>
          <w:szCs w:val="32"/>
        </w:rPr>
        <w:t>（一）评价结论</w:t>
      </w:r>
    </w:p>
    <w:p>
      <w:pPr>
        <w:pStyle w:val="16"/>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该项目各项工作落实得力，完成了质量目标，每季度的考核都达到了合格以上标准，工作标准落实有效，无安全责任事故和治安案件发生，安全服务工作得到了干部职工的认可。</w:t>
      </w:r>
    </w:p>
    <w:p>
      <w:pPr>
        <w:pStyle w:val="16"/>
        <w:spacing w:line="55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（二）存在的问题</w:t>
      </w:r>
    </w:p>
    <w:p>
      <w:pPr>
        <w:pStyle w:val="16"/>
        <w:spacing w:line="55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.人员综合素质有待进一步提升，日常培训有待进一步加强。</w:t>
      </w:r>
    </w:p>
    <w:p>
      <w:pPr>
        <w:pStyle w:val="16"/>
        <w:spacing w:line="55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.工作细节注重不够，在制度执行和问题处理过程中灵活度不够。</w:t>
      </w:r>
    </w:p>
    <w:p>
      <w:pPr>
        <w:pStyle w:val="16"/>
        <w:spacing w:line="55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（三）相关建议</w:t>
      </w:r>
    </w:p>
    <w:p>
      <w:pPr>
        <w:pStyle w:val="16"/>
        <w:spacing w:line="55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.保安公司要加强对保安人员的培训和日常管理力度，注重工作细节的把控。</w:t>
      </w:r>
    </w:p>
    <w:p>
      <w:pPr>
        <w:pStyle w:val="16"/>
        <w:spacing w:line="550" w:lineRule="exact"/>
        <w:ind w:firstLine="645"/>
        <w:rPr>
          <w:rFonts w:hint="eastAsia"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.提升保安人员的形象素质，提振保安队伍精神风貌，进一步强化组织纪律观念。</w:t>
      </w:r>
    </w:p>
    <w:p>
      <w:pPr>
        <w:pStyle w:val="16"/>
        <w:spacing w:line="550" w:lineRule="exact"/>
        <w:ind w:firstLine="645"/>
        <w:rPr>
          <w:rFonts w:hint="eastAsia" w:ascii="仿宋_GB2312" w:hAnsi="仿宋" w:eastAsia="仿宋_GB2312" w:cs="仿宋"/>
          <w:sz w:val="32"/>
          <w:szCs w:val="32"/>
        </w:rPr>
      </w:pPr>
    </w:p>
    <w:p>
      <w:pPr>
        <w:pStyle w:val="16"/>
        <w:spacing w:line="550" w:lineRule="exact"/>
        <w:ind w:firstLine="645"/>
        <w:rPr>
          <w:rFonts w:hint="eastAsia" w:ascii="仿宋_GB2312" w:hAnsi="仿宋" w:eastAsia="仿宋_GB2312" w:cs="仿宋"/>
          <w:sz w:val="32"/>
          <w:szCs w:val="32"/>
        </w:rPr>
      </w:pPr>
    </w:p>
    <w:p>
      <w:pPr>
        <w:pStyle w:val="16"/>
        <w:spacing w:line="550" w:lineRule="exact"/>
        <w:ind w:firstLine="645"/>
        <w:rPr>
          <w:rFonts w:hint="eastAsia" w:ascii="仿宋_GB2312" w:hAnsi="仿宋" w:eastAsia="仿宋_GB2312" w:cs="仿宋"/>
          <w:sz w:val="32"/>
          <w:szCs w:val="32"/>
        </w:rPr>
      </w:pPr>
    </w:p>
    <w:p>
      <w:pPr>
        <w:pStyle w:val="16"/>
        <w:spacing w:line="550" w:lineRule="exact"/>
        <w:ind w:firstLine="645"/>
        <w:rPr>
          <w:rFonts w:hint="eastAsia" w:ascii="仿宋_GB2312" w:hAnsi="仿宋" w:eastAsia="仿宋_GB2312" w:cs="仿宋"/>
          <w:sz w:val="32"/>
          <w:szCs w:val="32"/>
        </w:rPr>
      </w:pPr>
    </w:p>
    <w:p>
      <w:pPr>
        <w:pStyle w:val="16"/>
        <w:spacing w:line="550" w:lineRule="exact"/>
        <w:ind w:firstLine="645"/>
        <w:rPr>
          <w:rFonts w:ascii="仿宋_GB2312" w:hAnsi="仿宋_GB2312" w:eastAsia="黑体" w:cs="仿宋_GB2312"/>
          <w:sz w:val="32"/>
          <w:szCs w:val="32"/>
        </w:rPr>
      </w:pPr>
      <w:r>
        <w:rPr>
          <w:rFonts w:hint="eastAsia" w:ascii="黑体" w:hAnsi="黑体" w:eastAsia="黑体" w:cs="黑体"/>
          <w:sz w:val="32"/>
          <w:szCs w:val="32"/>
        </w:rPr>
        <w:t>附表</w:t>
      </w:r>
    </w:p>
    <w:tbl>
      <w:tblPr>
        <w:tblStyle w:val="18"/>
        <w:tblW w:w="9955" w:type="dxa"/>
        <w:tblInd w:w="-144" w:type="dxa"/>
        <w:tblLayout w:type="fixed"/>
        <w:tblCellMar>
          <w:top w:w="0" w:type="dxa"/>
          <w:left w:w="108" w:type="dxa"/>
          <w:bottom w:w="0" w:type="dxa"/>
          <w:right w:w="108" w:type="dxa"/>
        </w:tblCellMar>
      </w:tblPr>
      <w:tblGrid>
        <w:gridCol w:w="2120"/>
        <w:gridCol w:w="1142"/>
        <w:gridCol w:w="1635"/>
        <w:gridCol w:w="1198"/>
        <w:gridCol w:w="1215"/>
        <w:gridCol w:w="2409"/>
        <w:gridCol w:w="236"/>
      </w:tblGrid>
      <w:tr>
        <w:tblPrEx>
          <w:tblCellMar>
            <w:top w:w="0" w:type="dxa"/>
            <w:left w:w="108" w:type="dxa"/>
            <w:bottom w:w="0" w:type="dxa"/>
            <w:right w:w="108" w:type="dxa"/>
          </w:tblCellMar>
        </w:tblPrEx>
        <w:trPr>
          <w:trHeight w:val="90" w:hRule="atLeast"/>
        </w:trPr>
        <w:tc>
          <w:tcPr>
            <w:tcW w:w="9719" w:type="dxa"/>
            <w:gridSpan w:val="6"/>
            <w:tcBorders>
              <w:top w:val="nil"/>
              <w:left w:val="nil"/>
              <w:bottom w:val="nil"/>
              <w:right w:val="nil"/>
            </w:tcBorders>
            <w:shd w:val="clear" w:color="auto" w:fill="auto"/>
            <w:vAlign w:val="center"/>
          </w:tcPr>
          <w:p>
            <w:pPr>
              <w:widowControl/>
              <w:jc w:val="center"/>
              <w:textAlignment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2021年四大班子保安服务预算项目绩效目标自评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主管部门及代码</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302301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市人民政府办公室</w:t>
            </w:r>
          </w:p>
        </w:tc>
      </w:tr>
      <w:tr>
        <w:tblPrEx>
          <w:tblCellMar>
            <w:top w:w="0" w:type="dxa"/>
            <w:left w:w="108" w:type="dxa"/>
            <w:bottom w:w="0" w:type="dxa"/>
            <w:right w:w="108" w:type="dxa"/>
          </w:tblCellMar>
        </w:tblPrEx>
        <w:trPr>
          <w:gridAfter w:val="1"/>
          <w:wAfter w:w="236" w:type="dxa"/>
          <w:trHeight w:val="341" w:hRule="atLeast"/>
        </w:trPr>
        <w:tc>
          <w:tcPr>
            <w:tcW w:w="32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项目预算</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执行情况</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 xml:space="preserve"> 预算数：</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cs="仿宋" w:asciiTheme="minorEastAsia" w:hAnsiTheme="minorEastAsia" w:eastAsiaTheme="minorEastAsia"/>
                <w:sz w:val="18"/>
                <w:szCs w:val="18"/>
              </w:rPr>
              <w:t>263.68</w:t>
            </w:r>
            <w:r>
              <w:rPr>
                <w:rFonts w:hint="eastAsia" w:cs="仿宋" w:asciiTheme="minorEastAsia" w:hAnsiTheme="minorEastAsia" w:eastAsiaTheme="minorEastAsia"/>
                <w:sz w:val="18"/>
                <w:szCs w:val="18"/>
              </w:rPr>
              <w:t>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18"/>
                <w:szCs w:val="18"/>
              </w:rPr>
            </w:pPr>
            <w:r>
              <w:rPr>
                <w:rFonts w:cs="仿宋" w:asciiTheme="minorEastAsia" w:hAnsiTheme="minorEastAsia" w:eastAsiaTheme="minorEastAsia"/>
                <w:sz w:val="18"/>
                <w:szCs w:val="18"/>
              </w:rPr>
              <w:t>263.68</w:t>
            </w:r>
            <w:r>
              <w:rPr>
                <w:rFonts w:hint="eastAsia" w:cs="仿宋" w:asciiTheme="minorEastAsia" w:hAnsiTheme="minorEastAsia" w:eastAsiaTheme="minorEastAsia"/>
                <w:sz w:val="18"/>
                <w:szCs w:val="18"/>
              </w:rPr>
              <w:t>万元</w:t>
            </w:r>
          </w:p>
        </w:tc>
      </w:tr>
      <w:tr>
        <w:tblPrEx>
          <w:tblCellMar>
            <w:top w:w="0" w:type="dxa"/>
            <w:left w:w="108" w:type="dxa"/>
            <w:bottom w:w="0" w:type="dxa"/>
            <w:right w:w="108" w:type="dxa"/>
          </w:tblCellMar>
        </w:tblPrEx>
        <w:trPr>
          <w:gridAfter w:val="1"/>
          <w:wAfter w:w="236" w:type="dxa"/>
          <w:trHeight w:val="457" w:hRule="atLeast"/>
        </w:trPr>
        <w:tc>
          <w:tcPr>
            <w:tcW w:w="32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其中：</w:t>
            </w:r>
          </w:p>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财政拨款</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cs="仿宋" w:asciiTheme="minorEastAsia" w:hAnsiTheme="minorEastAsia" w:eastAsiaTheme="minorEastAsia"/>
                <w:sz w:val="18"/>
                <w:szCs w:val="18"/>
              </w:rPr>
              <w:t>263.68</w:t>
            </w:r>
            <w:r>
              <w:rPr>
                <w:rFonts w:hint="eastAsia" w:cs="仿宋" w:asciiTheme="minorEastAsia" w:hAnsiTheme="minorEastAsia" w:eastAsiaTheme="minorEastAsia"/>
                <w:sz w:val="18"/>
                <w:szCs w:val="18"/>
              </w:rPr>
              <w:t>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其中：</w:t>
            </w:r>
          </w:p>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263.68万元</w:t>
            </w:r>
          </w:p>
        </w:tc>
      </w:tr>
      <w:tr>
        <w:tblPrEx>
          <w:tblCellMar>
            <w:top w:w="0" w:type="dxa"/>
            <w:left w:w="108" w:type="dxa"/>
            <w:bottom w:w="0" w:type="dxa"/>
            <w:right w:w="108" w:type="dxa"/>
          </w:tblCellMar>
        </w:tblPrEx>
        <w:trPr>
          <w:gridAfter w:val="1"/>
          <w:wAfter w:w="236" w:type="dxa"/>
          <w:trHeight w:val="149" w:hRule="atLeast"/>
        </w:trPr>
        <w:tc>
          <w:tcPr>
            <w:tcW w:w="32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p>
        </w:tc>
      </w:tr>
      <w:tr>
        <w:tblPrEx>
          <w:tblCellMar>
            <w:top w:w="0" w:type="dxa"/>
            <w:left w:w="108" w:type="dxa"/>
            <w:bottom w:w="0" w:type="dxa"/>
            <w:right w:w="108" w:type="dxa"/>
          </w:tblCellMar>
        </w:tblPrEx>
        <w:trPr>
          <w:gridAfter w:val="1"/>
          <w:wAfter w:w="236" w:type="dxa"/>
          <w:trHeight w:val="183" w:hRule="atLeast"/>
        </w:trPr>
        <w:tc>
          <w:tcPr>
            <w:tcW w:w="2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年度总体目标</w:t>
            </w:r>
          </w:p>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完成情况</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预期目标</w:t>
            </w: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目标实际完成情况</w:t>
            </w:r>
          </w:p>
        </w:tc>
      </w:tr>
      <w:tr>
        <w:tblPrEx>
          <w:tblCellMar>
            <w:top w:w="0" w:type="dxa"/>
            <w:left w:w="108" w:type="dxa"/>
            <w:bottom w:w="0" w:type="dxa"/>
            <w:right w:w="108" w:type="dxa"/>
          </w:tblCellMar>
        </w:tblPrEx>
        <w:trPr>
          <w:gridAfter w:val="1"/>
          <w:wAfter w:w="236" w:type="dxa"/>
          <w:trHeight w:val="2360" w:hRule="atLeast"/>
        </w:trPr>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18"/>
                <w:szCs w:val="18"/>
              </w:rPr>
            </w:pP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Pr>
          <w:p>
            <w:pPr>
              <w:tabs>
                <w:tab w:val="left" w:pos="913"/>
              </w:tabs>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负责市四大班子机关人员安全、财产守护、车辆停放指挥、来访人员询查登记、“非”访人员劝离、公共通道及办公区域秩序维护，突发事件预防与处置，市行政中心的防火、防盗、防破坏等日常工作，消防设施运转状态检查和机关临时安排的其他工作。</w:t>
            </w: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tcPr>
          <w:p>
            <w:pPr>
              <w:tabs>
                <w:tab w:val="left" w:pos="913"/>
              </w:tabs>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完成了市四大班子机关人员安全、财产守护、车辆停放指挥、来访人员询查登记、“非”访人员劝离、公共通道及办公区域秩序维护，突发事件预防与处置，市行政中心的防火、防盗、防破坏等日常工作，消防设施运转状态检查和机关临时安排的其他工作。</w:t>
            </w:r>
          </w:p>
        </w:tc>
      </w:tr>
      <w:tr>
        <w:tblPrEx>
          <w:tblCellMar>
            <w:top w:w="0" w:type="dxa"/>
            <w:left w:w="108" w:type="dxa"/>
            <w:bottom w:w="0" w:type="dxa"/>
            <w:right w:w="108" w:type="dxa"/>
          </w:tblCellMar>
        </w:tblPrEx>
        <w:trPr>
          <w:gridAfter w:val="1"/>
          <w:wAfter w:w="236" w:type="dxa"/>
          <w:trHeight w:val="386" w:hRule="atLeast"/>
        </w:trPr>
        <w:tc>
          <w:tcPr>
            <w:tcW w:w="2120"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一级</w:t>
            </w:r>
          </w:p>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二级</w:t>
            </w:r>
          </w:p>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三级</w:t>
            </w:r>
          </w:p>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实际完成指标值</w:t>
            </w:r>
          </w:p>
        </w:tc>
      </w:tr>
      <w:tr>
        <w:tblPrEx>
          <w:tblCellMar>
            <w:top w:w="0" w:type="dxa"/>
            <w:left w:w="108" w:type="dxa"/>
            <w:bottom w:w="0" w:type="dxa"/>
            <w:right w:w="108" w:type="dxa"/>
          </w:tblCellMar>
        </w:tblPrEx>
        <w:trPr>
          <w:gridAfter w:val="1"/>
          <w:wAfter w:w="236" w:type="dxa"/>
          <w:trHeight w:val="415" w:hRule="atLeast"/>
        </w:trPr>
        <w:tc>
          <w:tcPr>
            <w:tcW w:w="2120"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完成</w:t>
            </w:r>
          </w:p>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数量指标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24小时巡逻、值守。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24</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24小时巡逻、值守,无意外发生。</w:t>
            </w:r>
          </w:p>
        </w:tc>
      </w:tr>
      <w:tr>
        <w:tblPrEx>
          <w:tblCellMar>
            <w:top w:w="0" w:type="dxa"/>
            <w:left w:w="108" w:type="dxa"/>
            <w:bottom w:w="0" w:type="dxa"/>
            <w:right w:w="108" w:type="dxa"/>
          </w:tblCellMar>
        </w:tblPrEx>
        <w:trPr>
          <w:gridAfter w:val="1"/>
          <w:wAfter w:w="236" w:type="dxa"/>
          <w:trHeight w:val="415" w:hRule="atLeast"/>
        </w:trPr>
        <w:tc>
          <w:tcPr>
            <w:tcW w:w="2120"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质量指标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365天值班记录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365天值班记录，无意外发生。</w:t>
            </w:r>
          </w:p>
        </w:tc>
      </w:tr>
      <w:tr>
        <w:tblPrEx>
          <w:tblCellMar>
            <w:top w:w="0" w:type="dxa"/>
            <w:left w:w="108" w:type="dxa"/>
            <w:bottom w:w="0" w:type="dxa"/>
            <w:right w:w="108" w:type="dxa"/>
          </w:tblCellMar>
        </w:tblPrEx>
        <w:trPr>
          <w:gridAfter w:val="1"/>
          <w:wAfter w:w="236" w:type="dxa"/>
          <w:trHeight w:val="415" w:hRule="atLeast"/>
        </w:trPr>
        <w:tc>
          <w:tcPr>
            <w:tcW w:w="2120"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时效指标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完成时间1-12月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12</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完成</w:t>
            </w:r>
          </w:p>
        </w:tc>
      </w:tr>
      <w:tr>
        <w:tblPrEx>
          <w:tblCellMar>
            <w:top w:w="0" w:type="dxa"/>
            <w:left w:w="108" w:type="dxa"/>
            <w:bottom w:w="0" w:type="dxa"/>
            <w:right w:w="108" w:type="dxa"/>
          </w:tblCellMar>
        </w:tblPrEx>
        <w:trPr>
          <w:gridAfter w:val="1"/>
          <w:wAfter w:w="236" w:type="dxa"/>
          <w:trHeight w:val="480" w:hRule="atLeast"/>
        </w:trPr>
        <w:tc>
          <w:tcPr>
            <w:tcW w:w="2120"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成本指标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保安服务费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263.68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263.68万元/全年</w:t>
            </w:r>
          </w:p>
        </w:tc>
      </w:tr>
      <w:tr>
        <w:tblPrEx>
          <w:tblCellMar>
            <w:top w:w="0" w:type="dxa"/>
            <w:left w:w="108" w:type="dxa"/>
            <w:bottom w:w="0" w:type="dxa"/>
            <w:right w:w="108" w:type="dxa"/>
          </w:tblCellMar>
        </w:tblPrEx>
        <w:trPr>
          <w:gridAfter w:val="1"/>
          <w:wAfter w:w="236" w:type="dxa"/>
          <w:trHeight w:val="692" w:hRule="atLeast"/>
        </w:trPr>
        <w:tc>
          <w:tcPr>
            <w:tcW w:w="2120"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社会效益指标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进一步提升行政中心治安水平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进一步提升行政中心治安水平</w:t>
            </w:r>
          </w:p>
        </w:tc>
      </w:tr>
      <w:tr>
        <w:tblPrEx>
          <w:tblCellMar>
            <w:top w:w="0" w:type="dxa"/>
            <w:left w:w="108" w:type="dxa"/>
            <w:bottom w:w="0" w:type="dxa"/>
            <w:right w:w="108" w:type="dxa"/>
          </w:tblCellMar>
        </w:tblPrEx>
        <w:trPr>
          <w:gridAfter w:val="1"/>
          <w:wAfter w:w="236" w:type="dxa"/>
          <w:trHeight w:val="480" w:hRule="atLeast"/>
        </w:trPr>
        <w:tc>
          <w:tcPr>
            <w:tcW w:w="2120"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可持续影响指标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进一步提升治安管理水平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进一步提升治安管理水平</w:t>
            </w:r>
          </w:p>
        </w:tc>
      </w:tr>
      <w:tr>
        <w:tblPrEx>
          <w:tblCellMar>
            <w:top w:w="0" w:type="dxa"/>
            <w:left w:w="108" w:type="dxa"/>
            <w:bottom w:w="0" w:type="dxa"/>
            <w:right w:w="108" w:type="dxa"/>
          </w:tblCellMar>
        </w:tblPrEx>
        <w:trPr>
          <w:gridAfter w:val="1"/>
          <w:wAfter w:w="236" w:type="dxa"/>
          <w:trHeight w:val="530" w:hRule="atLeast"/>
        </w:trPr>
        <w:tc>
          <w:tcPr>
            <w:tcW w:w="2120"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满意</w:t>
            </w:r>
            <w:r>
              <w:rPr>
                <w:rFonts w:hint="eastAsia" w:cs="仿宋_GB2312" w:asciiTheme="minorEastAsia" w:hAnsiTheme="minorEastAsia" w:eastAsiaTheme="minorEastAsia"/>
                <w:kern w:val="0"/>
                <w:sz w:val="18"/>
                <w:szCs w:val="18"/>
              </w:rPr>
              <w:br w:type="textWrapping"/>
            </w:r>
            <w:r>
              <w:rPr>
                <w:rFonts w:hint="eastAsia" w:cs="仿宋_GB2312" w:asciiTheme="minorEastAsia" w:hAnsiTheme="minorEastAsia" w:eastAsiaTheme="minorEastAsia"/>
                <w:kern w:val="0"/>
                <w:sz w:val="18"/>
                <w:szCs w:val="1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满意度</w:t>
            </w:r>
          </w:p>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行政中心各单位满意度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98%</w:t>
            </w:r>
          </w:p>
        </w:tc>
      </w:tr>
    </w:tbl>
    <w:p>
      <w:pPr>
        <w:spacing w:line="600" w:lineRule="exact"/>
        <w:jc w:val="center"/>
        <w:outlineLvl w:val="0"/>
        <w:rPr>
          <w:rFonts w:ascii="黑体" w:hAnsi="黑体" w:eastAsia="黑体"/>
          <w:sz w:val="44"/>
          <w:szCs w:val="44"/>
        </w:rPr>
      </w:pPr>
    </w:p>
    <w:p>
      <w:pPr>
        <w:spacing w:line="600" w:lineRule="exact"/>
        <w:jc w:val="center"/>
        <w:rPr>
          <w:rFonts w:ascii="方正小标宋简体" w:hAnsi="宋体" w:eastAsia="方正小标宋简体"/>
          <w:color w:val="000000"/>
          <w:sz w:val="44"/>
          <w:szCs w:val="44"/>
          <w:lang w:val="zh-CN"/>
        </w:rPr>
      </w:pPr>
    </w:p>
    <w:p>
      <w:pPr>
        <w:spacing w:line="600" w:lineRule="exact"/>
        <w:jc w:val="center"/>
        <w:rPr>
          <w:rFonts w:ascii="方正小标宋简体" w:hAnsi="宋体" w:eastAsia="方正小标宋简体"/>
          <w:color w:val="000000"/>
          <w:sz w:val="44"/>
          <w:szCs w:val="44"/>
          <w:lang w:val="zh-CN"/>
        </w:rPr>
      </w:pPr>
      <w:r>
        <w:rPr>
          <w:rFonts w:hint="eastAsia" w:ascii="方正小标宋简体" w:hAnsi="宋体" w:eastAsia="方正小标宋简体"/>
          <w:color w:val="000000"/>
          <w:sz w:val="44"/>
          <w:szCs w:val="44"/>
          <w:lang w:val="zh-CN"/>
        </w:rPr>
        <w:t>四大班子</w:t>
      </w:r>
      <w:r>
        <w:rPr>
          <w:rFonts w:hint="eastAsia" w:ascii="方正小标宋简体" w:hAnsi="宋体" w:eastAsia="方正小标宋简体"/>
          <w:color w:val="000000"/>
          <w:sz w:val="44"/>
          <w:szCs w:val="44"/>
        </w:rPr>
        <w:t>监控系统租赁经费</w:t>
      </w:r>
      <w:r>
        <w:rPr>
          <w:rFonts w:hint="eastAsia" w:ascii="方正小标宋简体" w:hAnsi="宋体" w:eastAsia="方正小标宋简体"/>
          <w:color w:val="000000"/>
          <w:sz w:val="44"/>
          <w:szCs w:val="44"/>
          <w:lang w:val="zh-CN"/>
        </w:rPr>
        <w:t>项目</w:t>
      </w:r>
    </w:p>
    <w:p>
      <w:pPr>
        <w:spacing w:line="600" w:lineRule="exact"/>
        <w:jc w:val="center"/>
        <w:rPr>
          <w:rFonts w:ascii="方正小标宋简体" w:hAnsi="宋体" w:eastAsia="方正小标宋简体"/>
          <w:color w:val="000000"/>
          <w:sz w:val="44"/>
          <w:szCs w:val="44"/>
          <w:lang w:val="zh-CN"/>
        </w:rPr>
      </w:pPr>
      <w:r>
        <w:rPr>
          <w:rFonts w:ascii="方正小标宋简体" w:hAnsi="宋体" w:eastAsia="方正小标宋简体"/>
          <w:color w:val="000000"/>
          <w:sz w:val="44"/>
          <w:szCs w:val="44"/>
        </w:rPr>
        <w:t>202</w:t>
      </w:r>
      <w:r>
        <w:rPr>
          <w:rFonts w:hint="eastAsia" w:ascii="方正小标宋简体" w:hAnsi="宋体" w:eastAsia="方正小标宋简体"/>
          <w:color w:val="000000"/>
          <w:sz w:val="44"/>
          <w:szCs w:val="44"/>
        </w:rPr>
        <w:t>1年</w:t>
      </w:r>
      <w:r>
        <w:rPr>
          <w:rFonts w:hint="eastAsia" w:ascii="方正小标宋简体" w:hAnsi="宋体" w:eastAsia="方正小标宋简体"/>
          <w:color w:val="000000"/>
          <w:sz w:val="44"/>
          <w:szCs w:val="44"/>
          <w:lang w:val="zh-CN"/>
        </w:rPr>
        <w:t>绩效评价报告</w:t>
      </w:r>
    </w:p>
    <w:p>
      <w:pPr>
        <w:pStyle w:val="42"/>
        <w:spacing w:line="576" w:lineRule="exact"/>
        <w:ind w:firstLine="0" w:firstLineChars="0"/>
        <w:jc w:val="center"/>
        <w:rPr>
          <w:rFonts w:ascii="黑体" w:hAnsi="宋体" w:eastAsia="黑体"/>
          <w:sz w:val="32"/>
          <w:szCs w:val="32"/>
        </w:rPr>
      </w:pPr>
    </w:p>
    <w:p>
      <w:pPr>
        <w:pStyle w:val="42"/>
        <w:spacing w:line="576" w:lineRule="exact"/>
        <w:ind w:left="640" w:firstLine="0" w:firstLineChars="0"/>
        <w:rPr>
          <w:rFonts w:ascii="黑体" w:eastAsia="黑体"/>
          <w:sz w:val="32"/>
          <w:szCs w:val="32"/>
        </w:rPr>
      </w:pPr>
      <w:r>
        <w:rPr>
          <w:rFonts w:hint="eastAsia" w:ascii="黑体" w:hAnsi="宋体" w:eastAsia="黑体"/>
          <w:sz w:val="32"/>
          <w:szCs w:val="32"/>
        </w:rPr>
        <w:t>一、项目概况</w:t>
      </w:r>
    </w:p>
    <w:p>
      <w:pPr>
        <w:pStyle w:val="42"/>
        <w:spacing w:line="576"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（一）项目基本情况</w:t>
      </w:r>
    </w:p>
    <w:p>
      <w:pPr>
        <w:spacing w:line="576" w:lineRule="exact"/>
        <w:ind w:firstLine="640" w:firstLineChars="200"/>
        <w:rPr>
          <w:rFonts w:ascii="仿宋_GB2312" w:eastAsia="仿宋_GB2312"/>
          <w:sz w:val="32"/>
          <w:szCs w:val="32"/>
        </w:rPr>
      </w:pPr>
      <w:r>
        <w:rPr>
          <w:rFonts w:hint="eastAsia" w:ascii="仿宋_GB2312" w:hAnsi="宋体" w:eastAsia="仿宋_GB2312"/>
          <w:sz w:val="32"/>
          <w:szCs w:val="32"/>
        </w:rPr>
        <w:t>四大班子监控系统租赁经费项目，经市四大班子联席会议明确由市政府办公室为该项目主管单位，根据四大家办公室需求制定该项目规划，按照限额</w:t>
      </w:r>
      <w:r>
        <w:rPr>
          <w:rFonts w:hint="eastAsia" w:ascii="仿宋_GB2312" w:hAnsi="宋体" w:eastAsia="仿宋_GB2312"/>
          <w:sz w:val="32"/>
          <w:szCs w:val="32"/>
          <w:lang w:eastAsia="zh-CN"/>
        </w:rPr>
        <w:t>以</w:t>
      </w:r>
      <w:r>
        <w:rPr>
          <w:rFonts w:hint="eastAsia" w:ascii="仿宋_GB2312" w:hAnsi="宋体" w:eastAsia="仿宋_GB2312"/>
          <w:sz w:val="32"/>
          <w:szCs w:val="32"/>
        </w:rPr>
        <w:t>下有关招标要求，组织了招投标工作，确定项目期限</w:t>
      </w:r>
      <w:r>
        <w:rPr>
          <w:rFonts w:ascii="仿宋_GB2312" w:hAnsi="宋体" w:eastAsia="仿宋_GB2312"/>
          <w:sz w:val="32"/>
          <w:szCs w:val="32"/>
        </w:rPr>
        <w:t>5</w:t>
      </w:r>
      <w:r>
        <w:rPr>
          <w:rFonts w:hint="eastAsia" w:ascii="仿宋_GB2312" w:hAnsi="宋体" w:eastAsia="仿宋_GB2312"/>
          <w:sz w:val="32"/>
          <w:szCs w:val="32"/>
        </w:rPr>
        <w:t>年，年度租赁费27.3024万元。</w:t>
      </w:r>
    </w:p>
    <w:p>
      <w:pPr>
        <w:pStyle w:val="42"/>
        <w:spacing w:line="576"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（二）项目绩效目标</w:t>
      </w:r>
    </w:p>
    <w:p>
      <w:pPr>
        <w:spacing w:line="576" w:lineRule="exact"/>
        <w:ind w:firstLine="640" w:firstLineChars="200"/>
        <w:rPr>
          <w:rFonts w:ascii="仿宋_GB2312" w:eastAsia="仿宋_GB2312"/>
          <w:sz w:val="32"/>
          <w:szCs w:val="32"/>
        </w:rPr>
      </w:pPr>
      <w:r>
        <w:rPr>
          <w:rFonts w:hint="eastAsia" w:ascii="仿宋_GB2312" w:hAnsi="宋体" w:eastAsia="仿宋_GB2312"/>
          <w:sz w:val="32"/>
          <w:szCs w:val="32"/>
        </w:rPr>
        <w:t>该监控项目共设</w:t>
      </w:r>
      <w:r>
        <w:rPr>
          <w:rFonts w:ascii="仿宋_GB2312" w:hAnsi="宋体" w:eastAsia="仿宋_GB2312"/>
          <w:sz w:val="32"/>
          <w:szCs w:val="32"/>
        </w:rPr>
        <w:t>96</w:t>
      </w:r>
      <w:r>
        <w:rPr>
          <w:rFonts w:hint="eastAsia" w:ascii="仿宋_GB2312" w:hAnsi="宋体" w:eastAsia="仿宋_GB2312"/>
          <w:sz w:val="32"/>
          <w:szCs w:val="32"/>
        </w:rPr>
        <w:t>个监控点位，对重点部位、进出通道、公共区域实行全覆盖</w:t>
      </w:r>
      <w:r>
        <w:rPr>
          <w:rFonts w:ascii="仿宋_GB2312" w:hAnsi="宋体" w:eastAsia="仿宋_GB2312"/>
          <w:sz w:val="32"/>
          <w:szCs w:val="32"/>
        </w:rPr>
        <w:t>24</w:t>
      </w:r>
      <w:r>
        <w:rPr>
          <w:rFonts w:hint="eastAsia" w:ascii="仿宋_GB2312" w:hAnsi="宋体" w:eastAsia="仿宋_GB2312"/>
          <w:sz w:val="32"/>
          <w:szCs w:val="32"/>
        </w:rPr>
        <w:t>小时监控录像，采取补光及夜间红外等增强图像效果。该项目为市行政中心安保工作提供技防支持。</w:t>
      </w:r>
    </w:p>
    <w:p>
      <w:pPr>
        <w:pStyle w:val="42"/>
        <w:spacing w:line="576"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（三）项目自评步骤及方法</w:t>
      </w:r>
    </w:p>
    <w:p>
      <w:pPr>
        <w:spacing w:line="576" w:lineRule="exact"/>
        <w:ind w:firstLine="640" w:firstLineChars="200"/>
        <w:rPr>
          <w:rFonts w:ascii="仿宋_GB2312" w:eastAsia="仿宋_GB2312"/>
          <w:sz w:val="32"/>
          <w:szCs w:val="32"/>
        </w:rPr>
      </w:pPr>
      <w:r>
        <w:rPr>
          <w:rFonts w:hint="eastAsia" w:ascii="仿宋_GB2312" w:hAnsi="宋体" w:eastAsia="仿宋_GB2312"/>
          <w:sz w:val="32"/>
          <w:szCs w:val="32"/>
        </w:rPr>
        <w:t>按照项目评价要求，明确自评责任人，组织自评队伍，通过查验资料、走访询问、报告工作等形式严格自评，做到自评真实不流形式。</w:t>
      </w:r>
    </w:p>
    <w:p>
      <w:pPr>
        <w:pStyle w:val="42"/>
        <w:spacing w:line="576" w:lineRule="exact"/>
        <w:ind w:left="640" w:firstLine="0" w:firstLineChars="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tabs>
          <w:tab w:val="left" w:pos="847"/>
        </w:tabs>
        <w:ind w:firstLine="800" w:firstLineChars="250"/>
        <w:jc w:val="left"/>
        <w:rPr>
          <w:rFonts w:ascii="仿宋_GB2312" w:hAnsi="宋体" w:eastAsia="仿宋_GB2312"/>
          <w:sz w:val="32"/>
          <w:szCs w:val="32"/>
        </w:rPr>
      </w:pPr>
      <w:r>
        <w:rPr>
          <w:rFonts w:hint="eastAsia" w:ascii="仿宋_GB2312" w:hAnsi="宋体" w:eastAsia="仿宋_GB2312"/>
          <w:sz w:val="32"/>
          <w:szCs w:val="32"/>
        </w:rPr>
        <w:t>按照一般公共预算要求，年初由市政府办公室申报资金预算，2021年到位资金28万元。</w:t>
      </w:r>
      <w:r>
        <w:rPr>
          <w:rFonts w:hint="eastAsia" w:ascii="仿宋" w:hAnsi="仿宋" w:eastAsia="仿宋"/>
          <w:sz w:val="32"/>
          <w:szCs w:val="32"/>
        </w:rPr>
        <w:t>2021年11月15日经双方协商签订补充协议1-8月按14.786万元支付，9-12月按1.6万元支付，故全年支付</w:t>
      </w:r>
      <w:r>
        <w:rPr>
          <w:rFonts w:hint="eastAsia" w:ascii="仿宋" w:hAnsi="仿宋" w:eastAsia="仿宋" w:cs="仿宋"/>
          <w:sz w:val="32"/>
          <w:szCs w:val="32"/>
        </w:rPr>
        <w:t>16.386万元。</w:t>
      </w:r>
      <w:r>
        <w:rPr>
          <w:rFonts w:hint="eastAsia" w:ascii="仿宋_GB2312" w:hAnsi="宋体" w:eastAsia="仿宋_GB2312"/>
          <w:sz w:val="32"/>
          <w:szCs w:val="32"/>
        </w:rPr>
        <w:t>年度对项目全年实施情况综合考核、按合同规定及时支付费用，做到专款专用，支付范围、标准、进度、依据合规合法。</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600" w:lineRule="exact"/>
        <w:ind w:firstLine="720"/>
        <w:rPr>
          <w:rFonts w:ascii="仿宋_GB2312" w:hAnsi="仿宋" w:eastAsia="仿宋_GB2312" w:cs="仿宋"/>
          <w:sz w:val="32"/>
          <w:szCs w:val="32"/>
        </w:rPr>
      </w:pPr>
      <w:r>
        <w:rPr>
          <w:rFonts w:hint="eastAsia" w:ascii="仿宋_GB2312" w:hAnsi="宋体" w:eastAsia="仿宋_GB2312"/>
          <w:sz w:val="32"/>
          <w:szCs w:val="32"/>
          <w:lang w:val="zh-CN"/>
        </w:rPr>
        <w:t>1．资金计划。</w:t>
      </w:r>
      <w:r>
        <w:rPr>
          <w:rFonts w:hint="eastAsia" w:ascii="仿宋_GB2312" w:hAnsi="仿宋" w:eastAsia="仿宋_GB2312" w:cs="仿宋"/>
          <w:sz w:val="32"/>
          <w:szCs w:val="32"/>
        </w:rPr>
        <w:t>本项目资金按照年度逐年滚动预算的方式纳入财政预算，按年拨付给四川省通信服务有限公司广元市分公司。</w:t>
      </w:r>
    </w:p>
    <w:p>
      <w:pPr>
        <w:pStyle w:val="16"/>
        <w:spacing w:line="600" w:lineRule="exact"/>
        <w:ind w:firstLine="640" w:firstLineChars="200"/>
        <w:rPr>
          <w:rFonts w:ascii="仿宋_GB2312" w:hAnsi="仿宋" w:eastAsia="仿宋_GB2312" w:cs="仿宋"/>
          <w:sz w:val="32"/>
          <w:szCs w:val="32"/>
        </w:rPr>
      </w:pPr>
      <w:r>
        <w:rPr>
          <w:rFonts w:hint="eastAsia" w:ascii="仿宋_GB2312" w:hAnsi="宋体" w:eastAsia="仿宋_GB2312"/>
          <w:sz w:val="32"/>
          <w:szCs w:val="32"/>
          <w:lang w:val="zh-CN"/>
        </w:rPr>
        <w:t>2．资金到位。</w:t>
      </w:r>
      <w:r>
        <w:rPr>
          <w:rFonts w:hint="eastAsia" w:ascii="仿宋_GB2312" w:hAnsi="仿宋" w:eastAsia="仿宋_GB2312" w:cs="仿宋"/>
          <w:sz w:val="32"/>
          <w:szCs w:val="32"/>
        </w:rPr>
        <w:t>2021年度的项目资金拨付16.386万元已全部到位。</w:t>
      </w:r>
    </w:p>
    <w:p>
      <w:pPr>
        <w:pStyle w:val="16"/>
        <w:spacing w:line="600" w:lineRule="exact"/>
        <w:ind w:firstLine="640" w:firstLineChars="200"/>
        <w:rPr>
          <w:rFonts w:ascii="仿宋_GB2312" w:hAnsi="仿宋" w:eastAsia="仿宋_GB2312" w:cs="仿宋"/>
          <w:sz w:val="32"/>
          <w:szCs w:val="32"/>
        </w:rPr>
      </w:pPr>
      <w:r>
        <w:rPr>
          <w:rFonts w:hint="eastAsia" w:ascii="仿宋_GB2312" w:hAnsi="宋体" w:eastAsia="仿宋_GB2312"/>
          <w:sz w:val="32"/>
          <w:szCs w:val="32"/>
          <w:lang w:val="zh-CN"/>
        </w:rPr>
        <w:t>3．资金使用。</w:t>
      </w:r>
      <w:r>
        <w:rPr>
          <w:rFonts w:hint="eastAsia" w:ascii="仿宋_GB2312" w:hAnsi="仿宋" w:eastAsia="仿宋_GB2312" w:cs="仿宋"/>
          <w:sz w:val="32"/>
          <w:szCs w:val="32"/>
        </w:rPr>
        <w:t>本项目资金严格按照项目立项时的资金使用性质，确保资金使用安全、有效，做到专款专用。</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该项目实施，我办财务管理制度健全，严格执行财务管理制度，账务处理及时，会计核算规范。</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三、项目实施及管理情况</w:t>
      </w:r>
    </w:p>
    <w:p>
      <w:pPr>
        <w:spacing w:line="576" w:lineRule="exact"/>
        <w:ind w:firstLine="640" w:firstLineChars="200"/>
        <w:rPr>
          <w:rFonts w:ascii="楷体_GB2312" w:hAnsi="黑体" w:eastAsia="楷体_GB2312" w:cs="仿宋"/>
          <w:sz w:val="32"/>
          <w:szCs w:val="32"/>
        </w:rPr>
      </w:pPr>
      <w:r>
        <w:rPr>
          <w:rFonts w:hint="eastAsia" w:ascii="楷体_GB2312" w:hAnsi="黑体" w:eastAsia="楷体_GB2312" w:cs="仿宋"/>
          <w:sz w:val="32"/>
          <w:szCs w:val="32"/>
        </w:rPr>
        <w:t>（一）项目组织架构及实施流程</w:t>
      </w:r>
    </w:p>
    <w:p>
      <w:pPr>
        <w:spacing w:line="576"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我办高度重视</w:t>
      </w:r>
      <w:r>
        <w:rPr>
          <w:rFonts w:hint="eastAsia" w:ascii="仿宋_GB2312" w:hAnsi="宋体" w:eastAsia="仿宋_GB2312"/>
          <w:sz w:val="32"/>
          <w:szCs w:val="32"/>
        </w:rPr>
        <w:t>四大班子监控系统租赁经费项目</w:t>
      </w:r>
      <w:r>
        <w:rPr>
          <w:rFonts w:hint="eastAsia" w:ascii="仿宋_GB2312" w:hAnsi="仿宋" w:eastAsia="仿宋_GB2312" w:cs="仿宋"/>
          <w:sz w:val="32"/>
          <w:szCs w:val="32"/>
          <w:shd w:val="clear" w:color="auto" w:fill="FFFFFF"/>
        </w:rPr>
        <w:t>工作，</w:t>
      </w:r>
      <w:r>
        <w:rPr>
          <w:rFonts w:hint="eastAsia" w:ascii="仿宋_GB2312" w:hAnsi="仿宋" w:eastAsia="仿宋_GB2312" w:cs="仿宋"/>
          <w:sz w:val="32"/>
          <w:szCs w:val="32"/>
        </w:rPr>
        <w:t>经市政府办公室党组研究决定，</w:t>
      </w:r>
      <w:r>
        <w:rPr>
          <w:rFonts w:hint="eastAsia" w:ascii="仿宋_GB2312" w:hAnsi="宋体" w:eastAsia="仿宋_GB2312"/>
          <w:sz w:val="32"/>
          <w:szCs w:val="32"/>
        </w:rPr>
        <w:t>四大班子监控系统租赁经费项目</w:t>
      </w:r>
      <w:r>
        <w:rPr>
          <w:rFonts w:hint="eastAsia" w:ascii="仿宋_GB2312" w:hAnsi="仿宋" w:eastAsia="仿宋_GB2312" w:cs="仿宋"/>
          <w:sz w:val="32"/>
          <w:szCs w:val="32"/>
        </w:rPr>
        <w:t>由市政府办公室分管副主任牵头，保卫科具体负责按程序组织实施，</w:t>
      </w:r>
      <w:r>
        <w:rPr>
          <w:rFonts w:hint="eastAsia" w:ascii="仿宋_GB2312" w:hAnsi="仿宋" w:eastAsia="仿宋_GB2312" w:cs="仿宋"/>
          <w:sz w:val="32"/>
          <w:szCs w:val="32"/>
          <w:shd w:val="clear" w:color="auto" w:fill="FFFFFF"/>
        </w:rPr>
        <w:t>涉及“三重一大”事项一律报市政府办公室党组会议研究审定。</w:t>
      </w:r>
    </w:p>
    <w:p>
      <w:pPr>
        <w:spacing w:line="576" w:lineRule="exact"/>
        <w:ind w:firstLine="640" w:firstLineChars="200"/>
        <w:rPr>
          <w:rFonts w:ascii="楷体_GB2312" w:hAnsi="黑体" w:eastAsia="楷体_GB2312" w:cs="仿宋"/>
          <w:sz w:val="32"/>
          <w:szCs w:val="32"/>
        </w:rPr>
      </w:pPr>
      <w:r>
        <w:rPr>
          <w:rFonts w:hint="eastAsia" w:ascii="楷体_GB2312" w:hAnsi="黑体" w:eastAsia="楷体_GB2312" w:cs="仿宋"/>
          <w:sz w:val="32"/>
          <w:szCs w:val="32"/>
        </w:rPr>
        <w:t>（二）项目管理情况</w:t>
      </w:r>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严格执行采购法，我办委托第三方对</w:t>
      </w:r>
      <w:r>
        <w:rPr>
          <w:rFonts w:hint="eastAsia" w:ascii="仿宋_GB2312" w:hAnsi="宋体" w:eastAsia="仿宋_GB2312"/>
          <w:sz w:val="32"/>
          <w:szCs w:val="32"/>
        </w:rPr>
        <w:t>四大班子监控系统租赁经费项目</w:t>
      </w:r>
      <w:r>
        <w:rPr>
          <w:rFonts w:hint="eastAsia" w:ascii="仿宋_GB2312" w:hAnsi="仿宋" w:eastAsia="仿宋_GB2312" w:cs="仿宋"/>
          <w:sz w:val="32"/>
          <w:szCs w:val="32"/>
        </w:rPr>
        <w:t>进行了预审和技术方案评审，进行需求论证和比选，组织专家进行验收。各环节均报市政府办公室党组进行研究决策，项目管理全程规范。</w:t>
      </w:r>
    </w:p>
    <w:p>
      <w:pPr>
        <w:spacing w:line="576" w:lineRule="exact"/>
        <w:ind w:firstLine="640" w:firstLineChars="200"/>
        <w:rPr>
          <w:rFonts w:ascii="楷体_GB2312" w:hAnsi="黑体" w:eastAsia="楷体_GB2312" w:cs="仿宋"/>
          <w:sz w:val="32"/>
          <w:szCs w:val="32"/>
        </w:rPr>
      </w:pPr>
      <w:r>
        <w:rPr>
          <w:rFonts w:hint="eastAsia" w:ascii="楷体_GB2312" w:hAnsi="黑体" w:eastAsia="楷体_GB2312" w:cs="仿宋"/>
          <w:sz w:val="32"/>
          <w:szCs w:val="32"/>
        </w:rPr>
        <w:t>（三）项目监管情况</w:t>
      </w:r>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市纪委监委驻市政府办公室纪检组对</w:t>
      </w:r>
      <w:r>
        <w:rPr>
          <w:rFonts w:hint="eastAsia" w:ascii="仿宋_GB2312" w:hAnsi="宋体" w:eastAsia="仿宋_GB2312"/>
          <w:sz w:val="32"/>
          <w:szCs w:val="32"/>
        </w:rPr>
        <w:t>四大班子监控系统租赁经费项目</w:t>
      </w:r>
      <w:r>
        <w:rPr>
          <w:rFonts w:hint="eastAsia" w:ascii="仿宋_GB2312" w:hAnsi="仿宋" w:eastAsia="仿宋_GB2312" w:cs="仿宋"/>
          <w:sz w:val="32"/>
          <w:szCs w:val="32"/>
        </w:rPr>
        <w:t>的比选活动进行全程监督。同时，我办主动接受省委巡视组、市纪委监委及上级主管部门的监督检查，无违纪违法现象。</w:t>
      </w:r>
    </w:p>
    <w:p>
      <w:pPr>
        <w:spacing w:line="576" w:lineRule="exact"/>
        <w:ind w:firstLine="640" w:firstLineChars="200"/>
        <w:rPr>
          <w:rFonts w:ascii="黑体" w:hAnsi="宋体" w:eastAsia="黑体"/>
          <w:sz w:val="32"/>
          <w:szCs w:val="32"/>
        </w:rPr>
      </w:pPr>
      <w:r>
        <w:rPr>
          <w:rFonts w:hint="eastAsia" w:ascii="黑体" w:hAnsi="宋体" w:eastAsia="黑体"/>
          <w:sz w:val="32"/>
          <w:szCs w:val="32"/>
        </w:rPr>
        <w:t>四、项目绩效情况</w:t>
      </w:r>
    </w:p>
    <w:p>
      <w:pPr>
        <w:pStyle w:val="42"/>
        <w:spacing w:line="576" w:lineRule="exact"/>
        <w:ind w:left="640" w:firstLine="0" w:firstLineChars="0"/>
        <w:rPr>
          <w:rFonts w:ascii="楷体_GB2312" w:eastAsia="楷体_GB2312"/>
          <w:sz w:val="32"/>
          <w:szCs w:val="32"/>
        </w:rPr>
      </w:pPr>
      <w:r>
        <w:rPr>
          <w:rFonts w:hint="eastAsia" w:ascii="楷体_GB2312" w:hAnsi="宋体" w:eastAsia="楷体_GB2312"/>
          <w:sz w:val="32"/>
          <w:szCs w:val="32"/>
        </w:rPr>
        <w:t>（一）项目完成情况</w:t>
      </w:r>
    </w:p>
    <w:p>
      <w:pPr>
        <w:pStyle w:val="42"/>
        <w:spacing w:line="576" w:lineRule="exact"/>
        <w:ind w:firstLine="640"/>
        <w:rPr>
          <w:rFonts w:ascii="仿宋_GB2312" w:eastAsia="仿宋_GB2312"/>
          <w:sz w:val="32"/>
          <w:szCs w:val="32"/>
        </w:rPr>
      </w:pPr>
      <w:r>
        <w:rPr>
          <w:rFonts w:hint="eastAsia" w:ascii="仿宋_GB2312" w:hAnsi="宋体" w:eastAsia="仿宋_GB2312"/>
          <w:sz w:val="32"/>
          <w:szCs w:val="32"/>
        </w:rPr>
        <w:t>该项目完成了监控点位数量要求，图像质量、回放、备份等达到了设计要求，完成了协议规定内容。</w:t>
      </w:r>
    </w:p>
    <w:p>
      <w:pPr>
        <w:pStyle w:val="42"/>
        <w:spacing w:line="576"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（二）项目效益情况</w:t>
      </w:r>
    </w:p>
    <w:p>
      <w:pPr>
        <w:pStyle w:val="42"/>
        <w:spacing w:line="576" w:lineRule="exact"/>
        <w:ind w:firstLine="640"/>
        <w:rPr>
          <w:rFonts w:ascii="仿宋_GB2312" w:eastAsia="仿宋_GB2312"/>
          <w:sz w:val="32"/>
          <w:szCs w:val="32"/>
        </w:rPr>
      </w:pPr>
      <w:r>
        <w:rPr>
          <w:rFonts w:hint="eastAsia" w:ascii="仿宋_GB2312" w:hAnsi="宋体" w:eastAsia="仿宋_GB2312"/>
          <w:sz w:val="32"/>
          <w:szCs w:val="32"/>
        </w:rPr>
        <w:t>该项目实施以来，市行政中心没有发生一起有影响的盗窃和破坏事件；该项目多次为公安、群工等部门提供查证、固证影像资料；该项目为单位和个人直接、间接挽回损失15万元。</w:t>
      </w:r>
    </w:p>
    <w:p>
      <w:pPr>
        <w:pStyle w:val="42"/>
        <w:spacing w:line="576" w:lineRule="exact"/>
        <w:ind w:left="640" w:firstLine="0" w:firstLineChars="0"/>
        <w:rPr>
          <w:rFonts w:ascii="黑体" w:hAnsi="宋体" w:eastAsia="黑体"/>
          <w:sz w:val="32"/>
          <w:szCs w:val="32"/>
        </w:rPr>
      </w:pPr>
      <w:r>
        <w:rPr>
          <w:rFonts w:hint="eastAsia" w:ascii="黑体" w:hAnsi="宋体" w:eastAsia="黑体"/>
          <w:sz w:val="32"/>
          <w:szCs w:val="32"/>
        </w:rPr>
        <w:t>五、评价结论及建议</w:t>
      </w:r>
    </w:p>
    <w:p>
      <w:pPr>
        <w:pStyle w:val="42"/>
        <w:spacing w:line="576" w:lineRule="exact"/>
        <w:ind w:firstLine="640"/>
        <w:rPr>
          <w:rFonts w:ascii="楷体_GB2312" w:hAnsi="宋体" w:eastAsia="楷体_GB2312"/>
          <w:sz w:val="32"/>
          <w:szCs w:val="32"/>
        </w:rPr>
      </w:pPr>
      <w:r>
        <w:rPr>
          <w:rFonts w:hint="eastAsia" w:ascii="楷体_GB2312" w:hAnsi="宋体" w:eastAsia="楷体_GB2312"/>
          <w:sz w:val="32"/>
          <w:szCs w:val="32"/>
        </w:rPr>
        <w:t>（一）评价结论</w:t>
      </w:r>
    </w:p>
    <w:p>
      <w:pPr>
        <w:spacing w:line="576" w:lineRule="exact"/>
        <w:ind w:firstLine="640" w:firstLineChars="200"/>
        <w:rPr>
          <w:rFonts w:ascii="仿宋_GB2312" w:eastAsia="仿宋_GB2312"/>
          <w:sz w:val="32"/>
          <w:szCs w:val="32"/>
        </w:rPr>
      </w:pPr>
      <w:r>
        <w:rPr>
          <w:rFonts w:hint="eastAsia" w:ascii="仿宋_GB2312" w:hAnsi="宋体" w:eastAsia="仿宋_GB2312"/>
          <w:sz w:val="32"/>
          <w:szCs w:val="32"/>
        </w:rPr>
        <w:t>项目实施以来，系统运行正常，图像质量、录像备份、夜间效果等能满足工作需要，系统整体合格率达百分之九十八</w:t>
      </w:r>
      <w:bookmarkStart w:id="76" w:name="_GoBack"/>
      <w:bookmarkEnd w:id="76"/>
      <w:r>
        <w:rPr>
          <w:rFonts w:hint="eastAsia" w:ascii="仿宋_GB2312" w:hAnsi="宋体" w:eastAsia="仿宋_GB2312"/>
          <w:sz w:val="32"/>
          <w:szCs w:val="32"/>
        </w:rPr>
        <w:t>。</w:t>
      </w:r>
    </w:p>
    <w:p>
      <w:pPr>
        <w:pStyle w:val="42"/>
        <w:spacing w:line="576" w:lineRule="exact"/>
        <w:ind w:firstLine="640"/>
        <w:rPr>
          <w:rFonts w:ascii="楷体_GB2312" w:hAnsi="宋体" w:eastAsia="楷体_GB2312"/>
          <w:sz w:val="32"/>
          <w:szCs w:val="32"/>
        </w:rPr>
      </w:pPr>
      <w:r>
        <w:rPr>
          <w:rFonts w:hint="eastAsia" w:ascii="楷体_GB2312" w:hAnsi="宋体" w:eastAsia="楷体_GB2312"/>
          <w:sz w:val="32"/>
          <w:szCs w:val="32"/>
        </w:rPr>
        <w:t>（二）存在的问题</w:t>
      </w:r>
    </w:p>
    <w:p>
      <w:pPr>
        <w:pStyle w:val="42"/>
        <w:spacing w:line="576" w:lineRule="exact"/>
        <w:ind w:firstLine="640"/>
        <w:rPr>
          <w:rFonts w:ascii="仿宋_GB2312" w:eastAsia="仿宋_GB2312"/>
          <w:sz w:val="32"/>
          <w:szCs w:val="32"/>
        </w:rPr>
      </w:pPr>
      <w:r>
        <w:rPr>
          <w:rFonts w:hint="eastAsia" w:ascii="仿宋_GB2312" w:hAnsi="宋体" w:eastAsia="仿宋_GB2312"/>
          <w:sz w:val="32"/>
          <w:szCs w:val="32"/>
        </w:rPr>
        <w:t>一是系统时间显示有时误差明显，二是少数点位因树枝遮挡影响监控效果。</w:t>
      </w:r>
    </w:p>
    <w:p>
      <w:pPr>
        <w:pStyle w:val="42"/>
        <w:spacing w:line="576" w:lineRule="exact"/>
        <w:ind w:left="640" w:firstLine="0" w:firstLineChars="0"/>
        <w:rPr>
          <w:rFonts w:ascii="楷体_GB2312" w:eastAsia="楷体_GB2312"/>
          <w:sz w:val="32"/>
          <w:szCs w:val="32"/>
        </w:rPr>
      </w:pPr>
      <w:r>
        <w:rPr>
          <w:rFonts w:hint="eastAsia" w:ascii="楷体_GB2312" w:hAnsi="宋体" w:eastAsia="楷体_GB2312"/>
          <w:sz w:val="32"/>
          <w:szCs w:val="32"/>
        </w:rPr>
        <w:t>（三）相关建议</w:t>
      </w:r>
    </w:p>
    <w:p>
      <w:pPr>
        <w:pStyle w:val="42"/>
        <w:spacing w:line="576" w:lineRule="exact"/>
        <w:ind w:firstLine="640"/>
        <w:rPr>
          <w:rFonts w:ascii="仿宋_GB2312" w:hAnsi="宋体" w:eastAsia="仿宋_GB2312"/>
          <w:sz w:val="32"/>
          <w:szCs w:val="32"/>
        </w:rPr>
      </w:pPr>
      <w:r>
        <w:rPr>
          <w:rFonts w:hint="eastAsia" w:ascii="仿宋_GB2312" w:hAnsi="宋体" w:eastAsia="仿宋_GB2312"/>
          <w:sz w:val="32"/>
          <w:szCs w:val="32"/>
        </w:rPr>
        <w:t>针对项目中存在的问题，一是要经常性对系统进行维护，对因长期连续运行造成质量删减影响系统工作的设备做到应换尽换。二是对部分点位设置不合理的按要求及时调整，努力实现监控系统合格率始终保持百分之九十八以上。</w:t>
      </w:r>
    </w:p>
    <w:p>
      <w:pPr>
        <w:pStyle w:val="42"/>
        <w:spacing w:line="576" w:lineRule="exact"/>
        <w:ind w:firstLine="640"/>
        <w:rPr>
          <w:rFonts w:ascii="仿宋_GB2312" w:hAnsi="宋体" w:eastAsia="仿宋_GB2312"/>
          <w:sz w:val="32"/>
          <w:szCs w:val="32"/>
        </w:rPr>
      </w:pPr>
    </w:p>
    <w:p>
      <w:pPr>
        <w:pStyle w:val="42"/>
        <w:spacing w:line="576" w:lineRule="exact"/>
        <w:ind w:firstLine="640"/>
        <w:rPr>
          <w:rFonts w:ascii="仿宋_GB2312" w:hAnsi="宋体" w:eastAsia="仿宋_GB2312"/>
          <w:sz w:val="32"/>
          <w:szCs w:val="32"/>
        </w:rPr>
      </w:pPr>
    </w:p>
    <w:p>
      <w:pPr>
        <w:pStyle w:val="42"/>
        <w:spacing w:line="576" w:lineRule="exact"/>
        <w:ind w:firstLine="640"/>
        <w:rPr>
          <w:rFonts w:ascii="仿宋_GB2312" w:hAnsi="宋体" w:eastAsia="仿宋_GB2312"/>
          <w:sz w:val="32"/>
          <w:szCs w:val="32"/>
        </w:rPr>
      </w:pPr>
    </w:p>
    <w:p>
      <w:pPr>
        <w:pStyle w:val="42"/>
        <w:spacing w:line="576" w:lineRule="exact"/>
        <w:ind w:firstLine="640"/>
        <w:rPr>
          <w:rFonts w:ascii="仿宋_GB2312" w:hAnsi="宋体" w:eastAsia="仿宋_GB2312"/>
          <w:sz w:val="32"/>
          <w:szCs w:val="32"/>
        </w:rPr>
      </w:pPr>
    </w:p>
    <w:p>
      <w:pPr>
        <w:pStyle w:val="42"/>
        <w:spacing w:line="576" w:lineRule="exact"/>
        <w:ind w:firstLine="640"/>
        <w:rPr>
          <w:rFonts w:ascii="仿宋_GB2312" w:hAnsi="宋体" w:eastAsia="仿宋_GB2312"/>
          <w:sz w:val="32"/>
          <w:szCs w:val="32"/>
        </w:rPr>
      </w:pPr>
    </w:p>
    <w:p>
      <w:pPr>
        <w:pStyle w:val="42"/>
        <w:spacing w:line="576" w:lineRule="exact"/>
        <w:ind w:firstLine="640"/>
        <w:rPr>
          <w:rFonts w:ascii="仿宋_GB2312" w:hAnsi="宋体" w:eastAsia="仿宋_GB2312"/>
          <w:sz w:val="32"/>
          <w:szCs w:val="32"/>
        </w:rPr>
      </w:pPr>
    </w:p>
    <w:p>
      <w:pPr>
        <w:pStyle w:val="42"/>
        <w:spacing w:line="576" w:lineRule="exact"/>
        <w:ind w:firstLine="640"/>
        <w:rPr>
          <w:rFonts w:ascii="仿宋_GB2312" w:hAnsi="宋体" w:eastAsia="仿宋_GB2312"/>
          <w:sz w:val="32"/>
          <w:szCs w:val="32"/>
        </w:rPr>
      </w:pPr>
    </w:p>
    <w:p>
      <w:pPr>
        <w:pStyle w:val="42"/>
        <w:spacing w:line="576" w:lineRule="exact"/>
        <w:ind w:firstLine="640"/>
        <w:rPr>
          <w:rFonts w:ascii="仿宋_GB2312" w:hAnsi="宋体" w:eastAsia="仿宋_GB2312"/>
          <w:sz w:val="32"/>
          <w:szCs w:val="32"/>
        </w:rPr>
      </w:pPr>
    </w:p>
    <w:p>
      <w:pPr>
        <w:pStyle w:val="42"/>
        <w:spacing w:line="576" w:lineRule="exact"/>
        <w:ind w:firstLine="640"/>
        <w:rPr>
          <w:rFonts w:ascii="仿宋_GB2312" w:hAnsi="宋体" w:eastAsia="仿宋_GB2312"/>
          <w:sz w:val="32"/>
          <w:szCs w:val="32"/>
        </w:rPr>
      </w:pPr>
    </w:p>
    <w:p>
      <w:pPr>
        <w:pStyle w:val="42"/>
        <w:spacing w:line="576" w:lineRule="exact"/>
        <w:ind w:firstLine="640"/>
        <w:rPr>
          <w:rFonts w:ascii="仿宋_GB2312" w:hAnsi="宋体" w:eastAsia="仿宋_GB2312"/>
          <w:sz w:val="32"/>
          <w:szCs w:val="32"/>
        </w:rPr>
      </w:pPr>
    </w:p>
    <w:p>
      <w:pPr>
        <w:pStyle w:val="42"/>
        <w:spacing w:line="576" w:lineRule="exact"/>
        <w:ind w:firstLine="640"/>
        <w:rPr>
          <w:rFonts w:ascii="仿宋_GB2312" w:hAnsi="宋体" w:eastAsia="仿宋_GB2312"/>
          <w:sz w:val="32"/>
          <w:szCs w:val="32"/>
        </w:rPr>
      </w:pPr>
    </w:p>
    <w:p>
      <w:pPr>
        <w:pStyle w:val="42"/>
        <w:spacing w:line="576" w:lineRule="exact"/>
        <w:ind w:firstLine="640"/>
        <w:rPr>
          <w:rFonts w:ascii="仿宋_GB2312" w:hAnsi="宋体" w:eastAsia="仿宋_GB2312"/>
          <w:sz w:val="32"/>
          <w:szCs w:val="32"/>
        </w:rPr>
      </w:pPr>
    </w:p>
    <w:p>
      <w:pPr>
        <w:pStyle w:val="42"/>
        <w:spacing w:line="576" w:lineRule="exact"/>
        <w:ind w:firstLine="640"/>
        <w:rPr>
          <w:rFonts w:ascii="仿宋_GB2312" w:hAnsi="宋体" w:eastAsia="仿宋_GB2312"/>
          <w:sz w:val="32"/>
          <w:szCs w:val="32"/>
        </w:rPr>
      </w:pPr>
    </w:p>
    <w:p>
      <w:pPr>
        <w:pStyle w:val="42"/>
        <w:spacing w:line="576" w:lineRule="exact"/>
        <w:ind w:firstLine="640"/>
        <w:rPr>
          <w:rFonts w:ascii="仿宋_GB2312" w:hAnsi="宋体" w:eastAsia="仿宋_GB2312"/>
          <w:sz w:val="32"/>
          <w:szCs w:val="32"/>
        </w:rPr>
      </w:pPr>
    </w:p>
    <w:tbl>
      <w:tblPr>
        <w:tblStyle w:val="18"/>
        <w:tblW w:w="9811" w:type="dxa"/>
        <w:tblInd w:w="0" w:type="dxa"/>
        <w:tblLayout w:type="fixed"/>
        <w:tblCellMar>
          <w:top w:w="0" w:type="dxa"/>
          <w:left w:w="108" w:type="dxa"/>
          <w:bottom w:w="0" w:type="dxa"/>
          <w:right w:w="108" w:type="dxa"/>
        </w:tblCellMar>
      </w:tblPr>
      <w:tblGrid>
        <w:gridCol w:w="1976"/>
        <w:gridCol w:w="1142"/>
        <w:gridCol w:w="1635"/>
        <w:gridCol w:w="1198"/>
        <w:gridCol w:w="1215"/>
        <w:gridCol w:w="2409"/>
        <w:gridCol w:w="236"/>
      </w:tblGrid>
      <w:tr>
        <w:tblPrEx>
          <w:tblCellMar>
            <w:top w:w="0" w:type="dxa"/>
            <w:left w:w="108" w:type="dxa"/>
            <w:bottom w:w="0" w:type="dxa"/>
            <w:right w:w="108" w:type="dxa"/>
          </w:tblCellMar>
        </w:tblPrEx>
        <w:trPr>
          <w:trHeight w:val="744" w:hRule="atLeast"/>
        </w:trPr>
        <w:tc>
          <w:tcPr>
            <w:tcW w:w="9575" w:type="dxa"/>
            <w:gridSpan w:val="6"/>
            <w:tcBorders>
              <w:top w:val="nil"/>
              <w:left w:val="nil"/>
              <w:bottom w:val="nil"/>
              <w:right w:val="nil"/>
            </w:tcBorders>
            <w:shd w:val="clear" w:color="auto" w:fill="auto"/>
            <w:vAlign w:val="center"/>
          </w:tcPr>
          <w:p>
            <w:pPr>
              <w:widowControl/>
              <w:jc w:val="both"/>
              <w:textAlignment w:val="center"/>
              <w:rPr>
                <w:rFonts w:ascii="方正小标宋简体" w:hAnsi="宋体" w:eastAsia="方正小标宋简体" w:cs="宋体"/>
                <w:w w:val="95"/>
                <w:sz w:val="44"/>
                <w:szCs w:val="44"/>
              </w:rPr>
            </w:pPr>
            <w:r>
              <w:rPr>
                <w:rFonts w:hint="eastAsia" w:ascii="方正小标宋简体" w:hAnsi="宋体" w:eastAsia="方正小标宋简体" w:cs="宋体"/>
                <w:w w:val="95"/>
                <w:sz w:val="44"/>
                <w:szCs w:val="44"/>
              </w:rPr>
              <w:t>2021年四大班子监控租赁费预算项目绩效目标自评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主管部门及代码</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302301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市人民政府办公室</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项目预算</w:t>
            </w:r>
            <w:r>
              <w:rPr>
                <w:rFonts w:hint="eastAsia" w:cs="宋体" w:asciiTheme="majorEastAsia" w:hAnsiTheme="majorEastAsia" w:eastAsiaTheme="majorEastAsia"/>
                <w:kern w:val="0"/>
                <w:sz w:val="18"/>
                <w:szCs w:val="18"/>
              </w:rPr>
              <w:br w:type="textWrapping"/>
            </w:r>
            <w:r>
              <w:rPr>
                <w:rFonts w:hint="eastAsia" w:cs="宋体" w:asciiTheme="majorEastAsia" w:hAnsiTheme="majorEastAsia" w:eastAsiaTheme="majorEastAsia"/>
                <w:kern w:val="0"/>
                <w:sz w:val="18"/>
                <w:szCs w:val="18"/>
              </w:rPr>
              <w:t>执行情况</w:t>
            </w:r>
            <w:r>
              <w:rPr>
                <w:rFonts w:hint="eastAsia" w:cs="宋体" w:asciiTheme="majorEastAsia" w:hAnsiTheme="majorEastAsia" w:eastAsiaTheme="majorEastAsia"/>
                <w:kern w:val="0"/>
                <w:sz w:val="18"/>
                <w:szCs w:val="18"/>
              </w:rPr>
              <w:br w:type="textWrapping"/>
            </w:r>
            <w:r>
              <w:rPr>
                <w:rFonts w:hint="eastAsia" w:cs="宋体" w:asciiTheme="majorEastAsia" w:hAnsiTheme="majorEastAsia" w:eastAsiaTheme="majorEastAsia"/>
                <w:kern w:val="0"/>
                <w:sz w:val="18"/>
                <w:szCs w:val="18"/>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 xml:space="preserve"> 预算数：</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仿宋" w:asciiTheme="majorEastAsia" w:hAnsiTheme="majorEastAsia" w:eastAsiaTheme="majorEastAsia"/>
                <w:sz w:val="18"/>
                <w:szCs w:val="18"/>
              </w:rPr>
              <w:t>28万元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ajorEastAsia" w:hAnsiTheme="majorEastAsia" w:eastAsiaTheme="majorEastAsia"/>
                <w:sz w:val="18"/>
                <w:szCs w:val="18"/>
              </w:rPr>
            </w:pPr>
            <w:r>
              <w:rPr>
                <w:rFonts w:hint="eastAsia" w:cs="仿宋" w:asciiTheme="majorEastAsia" w:hAnsiTheme="majorEastAsia" w:eastAsiaTheme="majorEastAsia"/>
                <w:sz w:val="18"/>
                <w:szCs w:val="18"/>
              </w:rPr>
              <w:t>16.386万元</w:t>
            </w:r>
          </w:p>
        </w:tc>
      </w:tr>
      <w:tr>
        <w:tblPrEx>
          <w:tblCellMar>
            <w:top w:w="0" w:type="dxa"/>
            <w:left w:w="108" w:type="dxa"/>
            <w:bottom w:w="0" w:type="dxa"/>
            <w:right w:w="108" w:type="dxa"/>
          </w:tblCellMar>
        </w:tblPrEx>
        <w:trPr>
          <w:gridAfter w:val="1"/>
          <w:wAfter w:w="236" w:type="dxa"/>
          <w:trHeight w:val="457"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其中：</w:t>
            </w:r>
          </w:p>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财政拨款</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28万元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其中：</w:t>
            </w:r>
          </w:p>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ajorEastAsia" w:hAnsiTheme="majorEastAsia" w:eastAsiaTheme="majorEastAsia"/>
                <w:sz w:val="18"/>
                <w:szCs w:val="18"/>
              </w:rPr>
            </w:pPr>
            <w:r>
              <w:rPr>
                <w:rFonts w:hint="eastAsia" w:cs="仿宋" w:asciiTheme="majorEastAsia" w:hAnsiTheme="majorEastAsia" w:eastAsiaTheme="majorEastAsia"/>
                <w:sz w:val="18"/>
                <w:szCs w:val="18"/>
              </w:rPr>
              <w:t>16.386万元</w:t>
            </w:r>
          </w:p>
        </w:tc>
      </w:tr>
      <w:tr>
        <w:tblPrEx>
          <w:tblCellMar>
            <w:top w:w="0" w:type="dxa"/>
            <w:left w:w="108" w:type="dxa"/>
            <w:bottom w:w="0" w:type="dxa"/>
            <w:right w:w="108" w:type="dxa"/>
          </w:tblCellMar>
        </w:tblPrEx>
        <w:trPr>
          <w:gridAfter w:val="1"/>
          <w:wAfter w:w="236" w:type="dxa"/>
          <w:trHeight w:val="149"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p>
        </w:tc>
      </w:tr>
      <w:tr>
        <w:tblPrEx>
          <w:tblCellMar>
            <w:top w:w="0" w:type="dxa"/>
            <w:left w:w="108" w:type="dxa"/>
            <w:bottom w:w="0" w:type="dxa"/>
            <w:right w:w="108" w:type="dxa"/>
          </w:tblCellMar>
        </w:tblPrEx>
        <w:trPr>
          <w:gridAfter w:val="1"/>
          <w:wAfter w:w="236" w:type="dxa"/>
          <w:trHeight w:val="183"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年度总体目标</w:t>
            </w:r>
          </w:p>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完成情况</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预期目标</w:t>
            </w: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目标实际完成情况</w:t>
            </w:r>
          </w:p>
        </w:tc>
      </w:tr>
      <w:tr>
        <w:tblPrEx>
          <w:tblCellMar>
            <w:top w:w="0" w:type="dxa"/>
            <w:left w:w="108" w:type="dxa"/>
            <w:bottom w:w="0" w:type="dxa"/>
            <w:right w:w="108" w:type="dxa"/>
          </w:tblCellMar>
        </w:tblPrEx>
        <w:trPr>
          <w:gridAfter w:val="1"/>
          <w:wAfter w:w="236" w:type="dxa"/>
          <w:trHeight w:val="2218"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ajorEastAsia" w:hAnsiTheme="majorEastAsia" w:eastAsiaTheme="majorEastAsia"/>
                <w:sz w:val="18"/>
                <w:szCs w:val="18"/>
              </w:rPr>
            </w:pP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913"/>
              </w:tabs>
              <w:rPr>
                <w:rFonts w:asciiTheme="majorEastAsia" w:hAnsiTheme="majorEastAsia" w:eastAsiaTheme="majorEastAsia"/>
                <w:sz w:val="18"/>
                <w:szCs w:val="18"/>
              </w:rPr>
            </w:pPr>
            <w:r>
              <w:rPr>
                <w:rFonts w:hint="eastAsia" w:asciiTheme="majorEastAsia" w:hAnsiTheme="majorEastAsia" w:eastAsiaTheme="majorEastAsia"/>
                <w:sz w:val="18"/>
                <w:szCs w:val="18"/>
              </w:rPr>
              <w:t>　承担对市行政中心重点部位、进出通道、公共区域</w:t>
            </w:r>
            <w:r>
              <w:rPr>
                <w:rFonts w:hint="eastAsia" w:asciiTheme="majorEastAsia" w:hAnsiTheme="majorEastAsia" w:eastAsiaTheme="majorEastAsia"/>
                <w:sz w:val="18"/>
                <w:szCs w:val="18"/>
                <w:lang w:eastAsia="zh-CN"/>
              </w:rPr>
              <w:t>共</w:t>
            </w:r>
            <w:r>
              <w:rPr>
                <w:rFonts w:hint="eastAsia" w:asciiTheme="majorEastAsia" w:hAnsiTheme="majorEastAsia" w:eastAsiaTheme="majorEastAsia"/>
                <w:sz w:val="18"/>
                <w:szCs w:val="18"/>
              </w:rPr>
              <w:t>96个点位的24小时监控录像，提供回查、备份等功能，为市行政中心防盗、防破坏等提供技防支持。</w:t>
            </w: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847"/>
              </w:tabs>
              <w:rPr>
                <w:rFonts w:asciiTheme="majorEastAsia" w:hAnsiTheme="majorEastAsia" w:eastAsiaTheme="majorEastAsia"/>
                <w:sz w:val="18"/>
                <w:szCs w:val="18"/>
              </w:rPr>
            </w:pPr>
            <w:r>
              <w:rPr>
                <w:rFonts w:hint="eastAsia" w:asciiTheme="majorEastAsia" w:hAnsiTheme="majorEastAsia" w:eastAsiaTheme="majorEastAsia"/>
                <w:sz w:val="18"/>
                <w:szCs w:val="18"/>
              </w:rPr>
              <w:t>　承担对市行政中心重点部位、进出通道、公共区域</w:t>
            </w:r>
            <w:r>
              <w:rPr>
                <w:rFonts w:hint="eastAsia" w:asciiTheme="majorEastAsia" w:hAnsiTheme="majorEastAsia" w:eastAsiaTheme="majorEastAsia"/>
                <w:sz w:val="18"/>
                <w:szCs w:val="18"/>
                <w:lang w:eastAsia="zh-CN"/>
              </w:rPr>
              <w:t>共</w:t>
            </w:r>
            <w:r>
              <w:rPr>
                <w:rFonts w:hint="eastAsia" w:asciiTheme="majorEastAsia" w:hAnsiTheme="majorEastAsia" w:eastAsiaTheme="majorEastAsia"/>
                <w:sz w:val="18"/>
                <w:szCs w:val="18"/>
              </w:rPr>
              <w:t>96个点位的24小时监控录像，提供回查、备份等功能，为市行政中心防盗、防破坏等提供技防支持。2021年11月15日经双方协商签订补充协议1-8月按14.786万元支付，9-12月按1.6万元支付，故全年支付</w:t>
            </w:r>
            <w:r>
              <w:rPr>
                <w:rFonts w:hint="eastAsia" w:cs="仿宋" w:asciiTheme="majorEastAsia" w:hAnsiTheme="majorEastAsia" w:eastAsiaTheme="majorEastAsia"/>
                <w:sz w:val="18"/>
                <w:szCs w:val="18"/>
              </w:rPr>
              <w:t>16.386万元。</w:t>
            </w:r>
          </w:p>
        </w:tc>
      </w:tr>
      <w:tr>
        <w:tblPrEx>
          <w:tblCellMar>
            <w:top w:w="0" w:type="dxa"/>
            <w:left w:w="108" w:type="dxa"/>
            <w:bottom w:w="0" w:type="dxa"/>
            <w:right w:w="108" w:type="dxa"/>
          </w:tblCellMar>
        </w:tblPrEx>
        <w:trPr>
          <w:gridAfter w:val="1"/>
          <w:wAfter w:w="236" w:type="dxa"/>
          <w:trHeight w:val="386"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kern w:val="0"/>
                <w:sz w:val="18"/>
                <w:szCs w:val="18"/>
              </w:rPr>
            </w:pPr>
            <w:r>
              <w:rPr>
                <w:rFonts w:hint="eastAsia" w:cs="仿宋_GB2312" w:asciiTheme="majorEastAsia" w:hAnsiTheme="majorEastAsia" w:eastAsiaTheme="majorEastAsia"/>
                <w:kern w:val="0"/>
                <w:sz w:val="18"/>
                <w:szCs w:val="18"/>
              </w:rPr>
              <w:t>一级</w:t>
            </w:r>
          </w:p>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kern w:val="0"/>
                <w:sz w:val="18"/>
                <w:szCs w:val="18"/>
              </w:rPr>
            </w:pPr>
            <w:r>
              <w:rPr>
                <w:rFonts w:hint="eastAsia" w:cs="仿宋_GB2312" w:asciiTheme="majorEastAsia" w:hAnsiTheme="majorEastAsia" w:eastAsiaTheme="majorEastAsia"/>
                <w:kern w:val="0"/>
                <w:sz w:val="18"/>
                <w:szCs w:val="18"/>
              </w:rPr>
              <w:t>二级</w:t>
            </w:r>
          </w:p>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kern w:val="0"/>
                <w:sz w:val="18"/>
                <w:szCs w:val="18"/>
              </w:rPr>
            </w:pPr>
            <w:r>
              <w:rPr>
                <w:rFonts w:hint="eastAsia" w:cs="仿宋_GB2312" w:asciiTheme="majorEastAsia" w:hAnsiTheme="majorEastAsia" w:eastAsiaTheme="majorEastAsia"/>
                <w:kern w:val="0"/>
                <w:sz w:val="18"/>
                <w:szCs w:val="18"/>
              </w:rPr>
              <w:t>三级</w:t>
            </w:r>
          </w:p>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ajorEastAsia" w:hAnsiTheme="majorEastAsia" w:eastAsiaTheme="majorEastAsia"/>
                <w:kern w:val="0"/>
                <w:sz w:val="18"/>
                <w:szCs w:val="18"/>
              </w:rPr>
            </w:pPr>
            <w:r>
              <w:rPr>
                <w:rFonts w:hint="eastAsia" w:cs="仿宋_GB2312" w:asciiTheme="majorEastAsia" w:hAnsiTheme="majorEastAsia" w:eastAsiaTheme="majorEastAsia"/>
                <w:kern w:val="0"/>
                <w:sz w:val="18"/>
                <w:szCs w:val="18"/>
              </w:rPr>
              <w:t>完成</w:t>
            </w:r>
          </w:p>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数量指标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96个段位的24小时监控录像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asciiTheme="majorEastAsia" w:hAnsiTheme="majorEastAsia" w:eastAsiaTheme="majorEastAsia"/>
                <w:color w:val="000000"/>
                <w:sz w:val="18"/>
                <w:szCs w:val="18"/>
              </w:rPr>
              <w:t>96</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常态化监测，无意外发生。</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质量指标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365天提供回查、备份等功能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asciiTheme="majorEastAsia" w:hAnsiTheme="majorEastAsia" w:eastAsiaTheme="majorEastAsia"/>
                <w:color w:val="000000"/>
                <w:sz w:val="18"/>
                <w:szCs w:val="18"/>
              </w:rPr>
              <w:t>365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通过验收</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时效指标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完成时间1-12月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1-12月份完成</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完成</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成本指标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设备租赁费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28万元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仿宋" w:asciiTheme="majorEastAsia" w:hAnsiTheme="majorEastAsia" w:eastAsiaTheme="majorEastAsia"/>
                <w:sz w:val="18"/>
                <w:szCs w:val="18"/>
              </w:rPr>
              <w:t>16.386万元</w:t>
            </w:r>
          </w:p>
        </w:tc>
      </w:tr>
      <w:tr>
        <w:tblPrEx>
          <w:tblCellMar>
            <w:top w:w="0" w:type="dxa"/>
            <w:left w:w="108" w:type="dxa"/>
            <w:bottom w:w="0" w:type="dxa"/>
            <w:right w:w="108" w:type="dxa"/>
          </w:tblCellMar>
        </w:tblPrEx>
        <w:trPr>
          <w:gridAfter w:val="1"/>
          <w:wAfter w:w="236" w:type="dxa"/>
          <w:trHeight w:val="692"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社会效益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进一步提高行政中心辅助管理治安水平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长期</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进一步提升行政中心治安水平</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可持续影响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进一步提高治安水平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可持续</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进一步提升治安管理水平</w:t>
            </w: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满意</w:t>
            </w:r>
            <w:r>
              <w:rPr>
                <w:rFonts w:hint="eastAsia" w:cs="仿宋_GB2312" w:asciiTheme="majorEastAsia" w:hAnsiTheme="majorEastAsia" w:eastAsiaTheme="majorEastAsia"/>
                <w:kern w:val="0"/>
                <w:sz w:val="18"/>
                <w:szCs w:val="18"/>
              </w:rPr>
              <w:br w:type="textWrapping"/>
            </w:r>
            <w:r>
              <w:rPr>
                <w:rFonts w:hint="eastAsia" w:cs="仿宋_GB2312" w:asciiTheme="majorEastAsia" w:hAnsiTheme="majorEastAsia" w:eastAsiaTheme="majorEastAsia"/>
                <w:kern w:val="0"/>
                <w:sz w:val="18"/>
                <w:szCs w:val="1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kern w:val="0"/>
                <w:sz w:val="18"/>
                <w:szCs w:val="18"/>
              </w:rPr>
            </w:pPr>
            <w:r>
              <w:rPr>
                <w:rFonts w:hint="eastAsia" w:cs="仿宋_GB2312" w:asciiTheme="majorEastAsia" w:hAnsiTheme="majorEastAsia" w:eastAsiaTheme="majorEastAsia"/>
                <w:kern w:val="0"/>
                <w:sz w:val="18"/>
                <w:szCs w:val="18"/>
              </w:rPr>
              <w:t>满意度</w:t>
            </w:r>
          </w:p>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行政中心各单位满意度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100%</w:t>
            </w:r>
          </w:p>
        </w:tc>
      </w:tr>
    </w:tbl>
    <w:p>
      <w:pPr>
        <w:spacing w:line="600" w:lineRule="exact"/>
        <w:jc w:val="center"/>
        <w:outlineLvl w:val="0"/>
        <w:rPr>
          <w:rFonts w:ascii="黑体" w:hAnsi="黑体" w:eastAsia="黑体"/>
          <w:sz w:val="44"/>
          <w:szCs w:val="44"/>
        </w:rPr>
      </w:pPr>
    </w:p>
    <w:p>
      <w:pPr>
        <w:pStyle w:val="2"/>
        <w:spacing w:before="93"/>
      </w:pPr>
    </w:p>
    <w:p>
      <w:pPr>
        <w:spacing w:line="600" w:lineRule="exact"/>
        <w:jc w:val="center"/>
        <w:rPr>
          <w:rFonts w:ascii="方正小标宋简体" w:hAnsi="宋体" w:eastAsia="方正小标宋简体"/>
          <w:sz w:val="44"/>
          <w:szCs w:val="44"/>
          <w:lang w:val="zh-CN"/>
        </w:rPr>
      </w:pPr>
      <w:r>
        <w:rPr>
          <w:rFonts w:hint="eastAsia" w:ascii="方正小标宋简体" w:hAnsi="宋体" w:eastAsia="方正小标宋简体"/>
          <w:sz w:val="44"/>
          <w:szCs w:val="44"/>
        </w:rPr>
        <w:t>广</w:t>
      </w:r>
      <w:r>
        <w:rPr>
          <w:rFonts w:ascii="方正小标宋简体" w:hAnsi="宋体" w:eastAsia="方正小标宋简体"/>
          <w:sz w:val="44"/>
          <w:szCs w:val="44"/>
        </w:rPr>
        <w:t>元市</w:t>
      </w:r>
      <w:r>
        <w:rPr>
          <w:rFonts w:hint="eastAsia" w:ascii="方正小标宋简体" w:hAnsi="宋体" w:eastAsia="方正小标宋简体"/>
          <w:sz w:val="44"/>
          <w:szCs w:val="44"/>
        </w:rPr>
        <w:t>市</w:t>
      </w:r>
      <w:r>
        <w:rPr>
          <w:rFonts w:ascii="方正小标宋简体" w:hAnsi="宋体" w:eastAsia="方正小标宋简体"/>
          <w:sz w:val="44"/>
          <w:szCs w:val="44"/>
        </w:rPr>
        <w:t>级电子政务外网升级改造</w:t>
      </w:r>
      <w:r>
        <w:rPr>
          <w:rFonts w:hint="eastAsia" w:ascii="方正小标宋简体" w:hAnsi="宋体" w:eastAsia="方正小标宋简体"/>
          <w:sz w:val="44"/>
          <w:szCs w:val="44"/>
          <w:lang w:eastAsia="zh-CN"/>
        </w:rPr>
        <w:t>服务</w:t>
      </w:r>
      <w:r>
        <w:rPr>
          <w:rFonts w:hint="eastAsia" w:ascii="方正小标宋简体" w:hAnsi="宋体" w:eastAsia="方正小标宋简体"/>
          <w:sz w:val="44"/>
          <w:szCs w:val="44"/>
          <w:lang w:val="zh-CN"/>
        </w:rPr>
        <w:t>项目</w:t>
      </w:r>
      <w:r>
        <w:rPr>
          <w:rFonts w:ascii="方正小标宋简体" w:hAnsi="宋体" w:eastAsia="方正小标宋简体"/>
          <w:sz w:val="44"/>
          <w:szCs w:val="44"/>
        </w:rPr>
        <w:t>202</w:t>
      </w:r>
      <w:r>
        <w:rPr>
          <w:rFonts w:hint="eastAsia" w:ascii="方正小标宋简体" w:hAnsi="宋体" w:eastAsia="方正小标宋简体"/>
          <w:sz w:val="44"/>
          <w:szCs w:val="44"/>
        </w:rPr>
        <w:t>1年</w:t>
      </w:r>
      <w:r>
        <w:rPr>
          <w:rFonts w:hint="eastAsia" w:ascii="方正小标宋简体" w:hAnsi="宋体" w:eastAsia="方正小标宋简体"/>
          <w:sz w:val="44"/>
          <w:szCs w:val="44"/>
          <w:lang w:val="zh-CN"/>
        </w:rPr>
        <w:t>绩效评价报告</w:t>
      </w:r>
    </w:p>
    <w:p>
      <w:pPr>
        <w:spacing w:line="576" w:lineRule="exact"/>
        <w:ind w:firstLine="420" w:firstLineChars="200"/>
      </w:pP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一、项目概况</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（一）项目基本情况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1、项目主管部门在该项目管理中的职能。</w:t>
      </w:r>
    </w:p>
    <w:p>
      <w:pPr>
        <w:spacing w:line="576" w:lineRule="exact"/>
        <w:ind w:firstLine="640" w:firstLineChars="200"/>
        <w:rPr>
          <w:rFonts w:ascii="仿宋" w:hAnsi="仿宋" w:eastAsia="仿宋" w:cs="仿宋"/>
          <w:bCs/>
          <w:sz w:val="32"/>
          <w:szCs w:val="32"/>
        </w:rPr>
      </w:pPr>
      <w:r>
        <w:rPr>
          <w:rFonts w:hint="eastAsia" w:ascii="仿宋" w:hAnsi="仿宋" w:eastAsia="仿宋" w:cs="仿宋"/>
          <w:sz w:val="32"/>
          <w:szCs w:val="32"/>
        </w:rPr>
        <w:t>按照市委“三定”方案，政府系统电子政务外网工作是市政府办公室主要工作之一，由市电子政务外网管理中心具体负责，为全市电子政务外网基础设施规划建设、组织实施、运行维护提供支撑服务，负责政务外网基础设施建设和运维管理。</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2、项目立项、资金申报的依据。</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一是《广元市人民政府办公室关于印发广元市政务信息系统整合共享工作方案的通知》（广府办发〔2017〕123号），“提升电子政务外网承载能力”工作要求：加快市级政务外网“双核心”、“双线路”升级改造，提升网络传输能力，提升跨层级、跨地域、跨系统、跨部门、跨业务的网络支撑服务水平。继续推动电子政务外网向乡镇（街道）、村（社区）延伸，进一步扩大电子政务外网网络覆盖范围。</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是《广元市人民政府办公室关于升级改造市级电子政务外网的请示》（广府办发〔2018〕107号），提出拟对7个县区节点传输带宽提升到1000M并采用双线连接，将138个市级单位线路扩容为50M-500M，并对32个重点单位采用双线连接，双线由不同运营商提供，由不同服务商提供网络安全和网站运维管理服务。参照省政府办公厅电子政务外网改造方案，拟采用政府购买服务方式引入多运营商实施市级电子政务外网升级改造。经论证测算，市财政每年共需支付购买服务费用约391万元。附件《广元市市级电子政务外网升级改造方案》对网络现状、需求分析、总体思路、遵循原则、整体架构、实施方式、经费测算等具体内容进行了详细说明。</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三是《广元市人民政府常务会议纪要》（54），会议议定：同意《广元市市级电子政务外网升级改造方案》，市政府办公室根据会议意见修改完善后，按程序组织实施。</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四是《广元市人民政府办公室党组会议纪要》（10），会议研究了《关于对市级子政务外网升级改造服务项目招标文件分包进行调整的请示》，明确了不单独招第三方安全管理服务，由运营商负责网络安全服务。</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五是《广元市人民政府办公室广元市市级电子政务外网升级改造服务服务项目需求论证报告》，明确项目预算金额为341万元/年。</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3、资金管理办法制定情况，资金支持具体项目的条件、范围与支持方式概况。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广元市市级电子政务外网升级改造服务经费严格按照《广元市人民政府办公室广元市市级电子政务外网升级改造服务采购合同》和《广元市市级电子政务外网服务质量考核细则》约定的合同期限、服务内容、服务费用及支付方式、服务质量考核原则、服务质量考核对象、服务质量考核内容、服务质量考核结果运用等具体要求，对专项资金的使用加强监督管理，提高资金使用绩效。</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4、资金分配原则及考虑因素。</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广元市人民政府办公室广元市市级电子政务外网升级改造服务采购合同》第四条“服务费用及支付方式”明确：本项目服务费总价为340.438336万元/年。其中：乙方中的中国电信股份有限公司广元分公司服务费为106.87104万元/年、中国移动通信集团四川有限公司广元分公司服务费为233.567296万元/年。在服务质量考核合格的情况下，甲方每半年向乙方支付年度服务费的50%。即：甲方每半年支付乙方中的中国电信股份有限公司广元分公司53.43552万元、中国移动通信集团四川有限公司广元分公司116.783648万元。甲方支付时间为合同期内的每年5月、11月。</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（二）项目绩效目标</w:t>
      </w:r>
    </w:p>
    <w:p>
      <w:pPr>
        <w:spacing w:line="576" w:lineRule="exact"/>
        <w:ind w:firstLine="640" w:firstLineChars="200"/>
        <w:rPr>
          <w:rFonts w:ascii="仿宋" w:hAnsi="仿宋" w:eastAsia="仿宋" w:cs="仿宋"/>
          <w:bCs/>
          <w:sz w:val="32"/>
          <w:szCs w:val="32"/>
        </w:rPr>
      </w:pPr>
      <w:r>
        <w:rPr>
          <w:rFonts w:hint="eastAsia" w:ascii="仿宋" w:hAnsi="仿宋" w:eastAsia="仿宋" w:cs="仿宋"/>
          <w:bCs/>
          <w:sz w:val="32"/>
          <w:szCs w:val="32"/>
        </w:rPr>
        <w:t>按照国家电子政务外网总体规划设计，结合市级政务外网现状，经需求分析论证，在现有管理体系框架不变的前提下，对市级政务外网实施技术升级改造，增强网络应用承载能力、强化云计算环境下网络支撑能力、加强网络运行管理控制、提升网络运维服务水平。具体内容包括：市级政务外网网络中心到7个县（区）广域网主用传输线路、广元经济技术开发区管委会及143个市级单位城域网主用传输线路服务；市级政务外网网络中心到7个县（区）广域网备用传输线路、广元经济技术开发区管委会及32个市级单位城域网备用传输线路服务。满足各县（区）、市级单位接入政务外网的需要，承载国家、省、市电子政务外网应用平台及应用系统，包括一体化政务服务平台、政务信息资源共享平台、协同办公系统、视频会议系统等应用。全网配套设备支持IPv6协议并配置为IPv4与IPv6双栈模式，并且IPv4与IPv6能独立完整保持所需的相关功能性和安全性，具备同时承载IPv4和IPv6业务和提供服务的能力政务外网IPv6地址规划正式发布后再全面实施。</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（三）项目自评步骤及方法</w:t>
      </w:r>
    </w:p>
    <w:p>
      <w:pPr>
        <w:shd w:val="clear" w:color="auto" w:fill="FFFFFF"/>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为进一步强化财政支出绩效理念，规范财政资金管理，提高资金使用绩效，根据市财政局《关于开展2022年政策和项目支出绩效评价工作的通知》（广财绩〔2022〕8号）要求，我办成立了专项经费绩效评价工作小组，按照《2022年市本级项目支出绩效评价指标体系》，针对项目内容、实施情况、资金兑现、财务管理、社会效益等作出自我评价。</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二、项目资金申报及使用情况</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（一）项目资金申报及批复情况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2019年7月1日，我办向市财政局报送《广元市本级政府采购计划备案表》（备案登记编号：081）。项目名称为：广元市市级电子政务外网升级改造服务项目；预算金额为：341万元/年*3年；资金来源为：一般公共预算。市财政局于2021年7月9日批复：市财政将连续安排3年（2020-2022年）采购资金。</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（二）资金计划、到位及使用情况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1、资金计划及到位。</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2021年度市财政安排广元市市级电子政务外网升级改造服务项目经费340.438336万元全部拨款到位。</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2、资金使用。</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根据政府采购成交结果，2021年共支出广元市市级电子政务外网升级改造服务项目经费340.438336万元，其中：中国电信股份有限公司广元分公司服务费106.87104万元、中国移动通信集团四川有限公司广元分公司服务费233.567296万元。</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（三）项目财务管理情况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我办严格按照《专项资金管理使用制度》，在专项项目资金使用过程中，严格执行财务管理制度，按照专项资金管理办法做好项目实施和监管，财务处理及时，会计核算规范，切实做到专款专用，最大可能发挥专项资金作用。</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三、项目实施及管理情况</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（一）项目组织架构及实施流程</w:t>
      </w:r>
    </w:p>
    <w:p>
      <w:pPr>
        <w:spacing w:line="576"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我办高度重视广元市市级电子政务外网升级改造服务项目工作，</w:t>
      </w:r>
      <w:r>
        <w:rPr>
          <w:rFonts w:hint="eastAsia" w:ascii="仿宋" w:hAnsi="仿宋" w:eastAsia="仿宋" w:cs="仿宋"/>
          <w:sz w:val="32"/>
          <w:szCs w:val="32"/>
        </w:rPr>
        <w:t>经市政府办公室党组研究决定，广元市市级电子政务外网升级改造服务项目由市政府办公室分管副主任牵头，市电子政务外网管理中心具体负责按程序组织实施，</w:t>
      </w:r>
      <w:r>
        <w:rPr>
          <w:rFonts w:hint="eastAsia" w:ascii="仿宋" w:hAnsi="仿宋" w:eastAsia="仿宋" w:cs="仿宋"/>
          <w:sz w:val="32"/>
          <w:szCs w:val="32"/>
          <w:shd w:val="clear" w:color="auto" w:fill="FFFFFF"/>
        </w:rPr>
        <w:t>涉及“三重一大”事项一律报市政府办公室党组会议研究审定。</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（二）项目管理情况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严格执行《广元市信息化建设项目管理办法》，按程序报市经济和信息化局对广元市市级电子政务外网升级改造服务项目进行了预审和技术方案评审，委托市政府采购中心进行需求论证和招标采购，组织专家进行验收。各环节均报市政府办公室党组进行研究决策，项目管理全程规范。</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（三）项目监管情况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市纪委监委驻市政府办公室纪检组对广元市市级电子政务外网升级改造服务项目的政府采购活动进行全程监督。同时，我办主动接受省委巡视组、市纪委监委及上级主管部门的监督检查，无违纪违法现象。</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四、项目绩效情况</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（一）项目完成情况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一是网络接入能力大幅提升。2020年5月，市级电子政务外网双核心、双线路升级改造项目通过专家组验收，接入市级单位由原来的131个增加至145个，各县区和市级单位共152个节点全部纳入市级网管平台进行日常运维和安全监测管理。市至县区骨干网络带宽由原来的100M+10M提升到1000M+500M；市级单位网络带宽由原来的10M-50M按需求提升到100M-600M，接入线路均达到1000M带宽能力。</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是网络安全防护措施完备。完成2020年度政务外网安全三级等保备案测评（备案号：51081499006-16002，测评报告编号：51081499006-16002-20-510140-01），实现省至市骨干路由“三线”（电信、移动、联通）、市至县区骨干路由“双线”（电信、移动）主备链路自动切换，编制了《广元市电子政务外网安全事件应急预案》《广元市电子政务外网安全事件应急演练方案（2020年度）》，开展了“市电子政务外网互联网出口遭受DDOS攻击处置”应急演练。全市政务外网安全稳定运行，全年未发生安全事件。</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三是网络运管制度规范健全。制定了《广元市电子政务外网运维管理制度》，建立联席会议制度，组建联合支撑中心，明晰了责任界面，全年召开联席会议两次。出台了《广元市市级电子政务外网服务质量考核细则》，明确服务质量扣分指标30项、加分指标2项。汇编了《广元市电子政务外网运行维护指南》，汇集了单位接入设备介绍、设备登录及查看方式、常见故障处理与排查、常用网络测试工具、局域网安全建设及边界防护、网络安全终端软件等具体内容，指导各县区和市级各部门政务外网日常维护工作。</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四是IPv6升级改造有序推进。市级政务外网已实现IPv6/IPv4双栈部署，各县区先后启动本地政务外网IPv6升级改造并做好了IPv6部署准备。市、县区完成了政务外网互联网区IPv6改造，政府门户网站均已通过国家IPv6发展监测平台验证，全部支持IPv6访问。全市政务外网公共网络的IPv6改造工作待国家和省级政务外网IPv6地址规划正式发布后再全面实施。</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五是网络承载能力明显增强。全市电子政务外网除按要求承载国家和省级向下延伸的重要业务应用系统外，承载的市级重要业务系统还包括广元市政务云平台及广元市政务信息资源共享平台、广元市政府网站集约化平台、广元市公共信用信息平台、广元市非涉密协同办公系统、广元市政府电子公文交换系统、广元市人才人事管理系统、广元市远程异地评标系统、广元市12345政务服务热线平台、广元市污水处理设施运行监管平台、广元市党政高清视频会议系统等。同时，完成了医保专网与政务外网对接的支撑保障，配合应急管理部门开展应急救援队伍接入政务外网的相关工作。</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（二）项目效益情况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通过广元市市级电子政务外网升级改造服务项目实施，市至各县区节点和市级重点部门由原来的单线路提升为双线路，消除了骨干网络和重点单位网络单点故障，主备线路传输安全实现从无到有的突破；骨干网络带宽由原来的100M提升到1000M+500M、单位接入网络由原来的10M至50M按需提升到100M至100M+500M，骨干网络业务承载能力提升了15倍、接入网络业务承载能力按需提升了10至60倍；网络及安全设备按要求部署在指定的市政府政务外网核心机房，网络运维管理等工作由原来的“运营商说了算”改善为“政府可管可控”，多运营商参与和服务质量考核促进了政务外网服务质量大幅提升。</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五、评价结论及建议</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（一）评价结论</w:t>
      </w:r>
    </w:p>
    <w:p>
      <w:pPr>
        <w:spacing w:line="576"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rPr>
        <w:t>广元市市级电子政务外网升级改造服务项目绩效目标编制明确量化，</w:t>
      </w:r>
      <w:r>
        <w:rPr>
          <w:rFonts w:hint="eastAsia" w:ascii="仿宋" w:hAnsi="仿宋" w:eastAsia="仿宋" w:cs="仿宋"/>
          <w:sz w:val="32"/>
          <w:szCs w:val="32"/>
          <w:shd w:val="clear" w:color="auto" w:fill="FFFFFF"/>
        </w:rPr>
        <w:t>财务管理规范，内控制度健全，财政资金使用符合要求，预算执行基本收支平衡，专项经费收支情况良好，财政支出绩效评价较好。</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（二）存在的问题</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各县区和市级单位电子政务外网运维管理还存在薄弱环节。部分县区管理机构还没有实现系统管理员、审计管理员、安全管理员分立，应急演练落实还不到位；部分市级单位网络接入设备经常掉电，没有保证设备常态在线，还存在未按规范将内部局域网接入政务外网的问题。</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（三）相关建议</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加强对市级电子政务外网的安全运行监管和业务指导，及时发现存在的安全和运维管理问题，并有针对性地进行点对点纠正，确保全市政务外网安全稳定运行。</w:t>
      </w:r>
    </w:p>
    <w:p>
      <w:pPr>
        <w:pStyle w:val="2"/>
        <w:spacing w:before="93"/>
      </w:pPr>
    </w:p>
    <w:p>
      <w:pPr>
        <w:pStyle w:val="2"/>
        <w:spacing w:before="93"/>
      </w:pPr>
    </w:p>
    <w:p>
      <w:pPr>
        <w:pStyle w:val="2"/>
        <w:spacing w:before="93"/>
      </w:pPr>
    </w:p>
    <w:p>
      <w:pPr>
        <w:pStyle w:val="2"/>
        <w:spacing w:before="93"/>
      </w:pPr>
    </w:p>
    <w:tbl>
      <w:tblPr>
        <w:tblStyle w:val="18"/>
        <w:tblW w:w="9811" w:type="dxa"/>
        <w:tblInd w:w="0" w:type="dxa"/>
        <w:tblLayout w:type="fixed"/>
        <w:tblCellMar>
          <w:top w:w="0" w:type="dxa"/>
          <w:left w:w="108" w:type="dxa"/>
          <w:bottom w:w="0" w:type="dxa"/>
          <w:right w:w="108" w:type="dxa"/>
        </w:tblCellMar>
      </w:tblPr>
      <w:tblGrid>
        <w:gridCol w:w="1976"/>
        <w:gridCol w:w="1142"/>
        <w:gridCol w:w="1635"/>
        <w:gridCol w:w="1198"/>
        <w:gridCol w:w="1215"/>
        <w:gridCol w:w="2409"/>
        <w:gridCol w:w="236"/>
      </w:tblGrid>
      <w:tr>
        <w:tblPrEx>
          <w:tblCellMar>
            <w:top w:w="0" w:type="dxa"/>
            <w:left w:w="108" w:type="dxa"/>
            <w:bottom w:w="0" w:type="dxa"/>
            <w:right w:w="108" w:type="dxa"/>
          </w:tblCellMar>
        </w:tblPrEx>
        <w:trPr>
          <w:trHeight w:val="744" w:hRule="atLeast"/>
        </w:trPr>
        <w:tc>
          <w:tcPr>
            <w:tcW w:w="9577" w:type="dxa"/>
            <w:gridSpan w:val="6"/>
            <w:tcBorders>
              <w:top w:val="nil"/>
              <w:left w:val="nil"/>
              <w:bottom w:val="nil"/>
              <w:right w:val="nil"/>
            </w:tcBorders>
            <w:shd w:val="clear" w:color="auto" w:fill="auto"/>
            <w:vAlign w:val="center"/>
          </w:tcPr>
          <w:p>
            <w:pPr>
              <w:widowControl/>
              <w:spacing w:line="560" w:lineRule="exact"/>
              <w:jc w:val="center"/>
              <w:textAlignment w:val="center"/>
              <w:rPr>
                <w:rFonts w:ascii="方正小标宋简体" w:eastAsia="方正小标宋简体" w:hAnsiTheme="majorEastAsia" w:cstheme="majorEastAsia"/>
                <w:bCs/>
                <w:sz w:val="44"/>
                <w:szCs w:val="44"/>
              </w:rPr>
            </w:pPr>
            <w:r>
              <w:rPr>
                <w:rFonts w:hint="eastAsia" w:ascii="方正小标宋简体" w:eastAsia="方正小标宋简体" w:hAnsiTheme="majorEastAsia" w:cstheme="majorEastAsia"/>
                <w:sz w:val="44"/>
                <w:szCs w:val="44"/>
              </w:rPr>
              <w:t>2021年</w:t>
            </w:r>
            <w:r>
              <w:rPr>
                <w:rFonts w:hint="eastAsia" w:ascii="方正小标宋简体" w:eastAsia="方正小标宋简体" w:hAnsiTheme="majorEastAsia" w:cstheme="majorEastAsia"/>
                <w:bCs/>
                <w:sz w:val="44"/>
                <w:szCs w:val="44"/>
              </w:rPr>
              <w:t>广元市市级电子政务外网升级改造服务</w:t>
            </w:r>
          </w:p>
          <w:p>
            <w:pPr>
              <w:widowControl/>
              <w:spacing w:line="560" w:lineRule="exact"/>
              <w:jc w:val="center"/>
              <w:textAlignment w:val="center"/>
              <w:rPr>
                <w:rFonts w:ascii="方正小标宋简体" w:hAnsi="宋体" w:eastAsia="方正小标宋简体" w:cs="宋体"/>
                <w:sz w:val="44"/>
                <w:szCs w:val="44"/>
              </w:rPr>
            </w:pPr>
            <w:r>
              <w:rPr>
                <w:rFonts w:hint="eastAsia" w:ascii="方正小标宋简体" w:eastAsia="方正小标宋简体" w:hAnsiTheme="majorEastAsia" w:cstheme="majorEastAsia"/>
                <w:sz w:val="44"/>
                <w:szCs w:val="44"/>
              </w:rPr>
              <w:t>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主管部门及代码</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302301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市人民政府办公室</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项目预算</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执行情况</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 xml:space="preserve"> 预算数：</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color w:val="000000"/>
                <w:sz w:val="18"/>
                <w:szCs w:val="18"/>
              </w:rPr>
              <w:t>340.438336</w:t>
            </w:r>
            <w:r>
              <w:rPr>
                <w:rFonts w:hint="eastAsia" w:cs="仿宋" w:asciiTheme="minorEastAsia" w:hAnsiTheme="minorEastAsia" w:eastAsiaTheme="minorEastAsia"/>
                <w:sz w:val="18"/>
                <w:szCs w:val="18"/>
              </w:rPr>
              <w:t>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color w:val="000000"/>
                <w:sz w:val="18"/>
                <w:szCs w:val="18"/>
              </w:rPr>
              <w:t>340.438336</w:t>
            </w:r>
            <w:r>
              <w:rPr>
                <w:rFonts w:hint="eastAsia" w:cs="仿宋" w:asciiTheme="minorEastAsia" w:hAnsiTheme="minorEastAsia" w:eastAsiaTheme="minorEastAsia"/>
                <w:sz w:val="18"/>
                <w:szCs w:val="18"/>
              </w:rPr>
              <w:t>万元</w:t>
            </w:r>
          </w:p>
        </w:tc>
      </w:tr>
      <w:tr>
        <w:tblPrEx>
          <w:tblCellMar>
            <w:top w:w="0" w:type="dxa"/>
            <w:left w:w="108" w:type="dxa"/>
            <w:bottom w:w="0" w:type="dxa"/>
            <w:right w:w="108" w:type="dxa"/>
          </w:tblCellMar>
        </w:tblPrEx>
        <w:trPr>
          <w:gridAfter w:val="1"/>
          <w:wAfter w:w="234" w:type="dxa"/>
          <w:trHeight w:val="423"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其中：</w:t>
            </w:r>
          </w:p>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财政拨款</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color w:val="000000"/>
                <w:sz w:val="18"/>
                <w:szCs w:val="18"/>
              </w:rPr>
              <w:t>340.438336</w:t>
            </w:r>
            <w:r>
              <w:rPr>
                <w:rFonts w:hint="eastAsia" w:cs="仿宋" w:asciiTheme="minorEastAsia" w:hAnsiTheme="minorEastAsia" w:eastAsiaTheme="minorEastAsia"/>
                <w:sz w:val="18"/>
                <w:szCs w:val="18"/>
              </w:rPr>
              <w:t>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其中：</w:t>
            </w:r>
          </w:p>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color w:val="000000"/>
                <w:sz w:val="18"/>
                <w:szCs w:val="18"/>
              </w:rPr>
              <w:t>340.438336</w:t>
            </w:r>
            <w:r>
              <w:rPr>
                <w:rFonts w:hint="eastAsia" w:cs="仿宋" w:asciiTheme="minorEastAsia" w:hAnsiTheme="minorEastAsia" w:eastAsiaTheme="minorEastAsia"/>
                <w:sz w:val="18"/>
                <w:szCs w:val="18"/>
              </w:rPr>
              <w:t>万元</w:t>
            </w:r>
          </w:p>
        </w:tc>
      </w:tr>
      <w:tr>
        <w:tblPrEx>
          <w:tblCellMar>
            <w:top w:w="0" w:type="dxa"/>
            <w:left w:w="108" w:type="dxa"/>
            <w:bottom w:w="0" w:type="dxa"/>
            <w:right w:w="108" w:type="dxa"/>
          </w:tblCellMar>
        </w:tblPrEx>
        <w:trPr>
          <w:gridAfter w:val="1"/>
          <w:wAfter w:w="234" w:type="dxa"/>
          <w:trHeight w:val="126"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p>
        </w:tc>
      </w:tr>
      <w:tr>
        <w:tblPrEx>
          <w:tblCellMar>
            <w:top w:w="0" w:type="dxa"/>
            <w:left w:w="108" w:type="dxa"/>
            <w:bottom w:w="0" w:type="dxa"/>
            <w:right w:w="108" w:type="dxa"/>
          </w:tblCellMar>
        </w:tblPrEx>
        <w:trPr>
          <w:gridAfter w:val="1"/>
          <w:wAfter w:w="234" w:type="dxa"/>
          <w:trHeight w:val="183"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年度总体目标</w:t>
            </w:r>
          </w:p>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完成情况</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预期目标</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目标实际完成情况</w:t>
            </w:r>
          </w:p>
        </w:tc>
      </w:tr>
      <w:tr>
        <w:tblPrEx>
          <w:tblCellMar>
            <w:top w:w="0" w:type="dxa"/>
            <w:left w:w="108" w:type="dxa"/>
            <w:bottom w:w="0" w:type="dxa"/>
            <w:right w:w="108" w:type="dxa"/>
          </w:tblCellMar>
        </w:tblPrEx>
        <w:trPr>
          <w:gridAfter w:val="1"/>
          <w:wAfter w:w="234" w:type="dxa"/>
          <w:trHeight w:val="868"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18"/>
                <w:szCs w:val="18"/>
              </w:rPr>
            </w:pP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Pr>
          <w:p>
            <w:pPr>
              <w:tabs>
                <w:tab w:val="left" w:pos="913"/>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　</w:t>
            </w:r>
            <w:r>
              <w:rPr>
                <w:rFonts w:hint="eastAsia" w:cs="宋体" w:asciiTheme="minorEastAsia" w:hAnsiTheme="minorEastAsia" w:eastAsiaTheme="minorEastAsia"/>
                <w:sz w:val="18"/>
                <w:szCs w:val="18"/>
              </w:rPr>
              <w:t>为全市电子政务外网基础设施规划建设、组织实施、运行维护提供支撑服务，负责政务外网基础设施建设和运维管理。</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tcPr>
          <w:p>
            <w:pPr>
              <w:tabs>
                <w:tab w:val="left" w:pos="847"/>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　</w:t>
            </w:r>
            <w:r>
              <w:rPr>
                <w:rFonts w:hint="eastAsia" w:cs="宋体" w:asciiTheme="minorEastAsia" w:hAnsiTheme="minorEastAsia" w:eastAsiaTheme="minorEastAsia"/>
                <w:sz w:val="18"/>
                <w:szCs w:val="18"/>
              </w:rPr>
              <w:t>为全市电子政务外网基础设施规划建设、组织实施、运行维护提供支撑服务，负责政务外网基础设施建设和运维管理。</w:t>
            </w:r>
          </w:p>
        </w:tc>
      </w:tr>
      <w:tr>
        <w:tblPrEx>
          <w:tblCellMar>
            <w:top w:w="0" w:type="dxa"/>
            <w:left w:w="108" w:type="dxa"/>
            <w:bottom w:w="0" w:type="dxa"/>
            <w:right w:w="108" w:type="dxa"/>
          </w:tblCellMar>
        </w:tblPrEx>
        <w:trPr>
          <w:gridAfter w:val="1"/>
          <w:wAfter w:w="234" w:type="dxa"/>
          <w:trHeight w:val="479"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kern w:val="0"/>
                <w:sz w:val="18"/>
                <w:szCs w:val="1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ajorEastAsia"/>
                <w:kern w:val="0"/>
                <w:sz w:val="18"/>
                <w:szCs w:val="18"/>
              </w:rPr>
            </w:pPr>
            <w:r>
              <w:rPr>
                <w:rFonts w:hint="eastAsia" w:asciiTheme="minorEastAsia" w:hAnsiTheme="minorEastAsia" w:eastAsiaTheme="minorEastAsia" w:cstheme="majorEastAsia"/>
                <w:kern w:val="0"/>
                <w:sz w:val="18"/>
                <w:szCs w:val="18"/>
              </w:rPr>
              <w:t>一级</w:t>
            </w:r>
          </w:p>
          <w:p>
            <w:pPr>
              <w:widowControl/>
              <w:spacing w:line="320" w:lineRule="exact"/>
              <w:jc w:val="center"/>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ajorEastAsia"/>
                <w:kern w:val="0"/>
                <w:sz w:val="18"/>
                <w:szCs w:val="18"/>
              </w:rPr>
            </w:pPr>
            <w:r>
              <w:rPr>
                <w:rFonts w:hint="eastAsia" w:asciiTheme="minorEastAsia" w:hAnsiTheme="minorEastAsia" w:eastAsiaTheme="minorEastAsia" w:cstheme="majorEastAsia"/>
                <w:kern w:val="0"/>
                <w:sz w:val="18"/>
                <w:szCs w:val="18"/>
              </w:rPr>
              <w:t>二级</w:t>
            </w:r>
          </w:p>
          <w:p>
            <w:pPr>
              <w:widowControl/>
              <w:spacing w:line="320" w:lineRule="exact"/>
              <w:jc w:val="center"/>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ajorEastAsia"/>
                <w:kern w:val="0"/>
                <w:sz w:val="18"/>
                <w:szCs w:val="18"/>
              </w:rPr>
            </w:pPr>
            <w:r>
              <w:rPr>
                <w:rFonts w:hint="eastAsia" w:asciiTheme="minorEastAsia" w:hAnsiTheme="minorEastAsia" w:eastAsiaTheme="minorEastAsia" w:cstheme="majorEastAsia"/>
                <w:kern w:val="0"/>
                <w:sz w:val="18"/>
                <w:szCs w:val="18"/>
              </w:rPr>
              <w:t>三级</w:t>
            </w:r>
          </w:p>
          <w:p>
            <w:pPr>
              <w:widowControl/>
              <w:spacing w:line="320" w:lineRule="exact"/>
              <w:jc w:val="center"/>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kern w:val="0"/>
                <w:sz w:val="18"/>
                <w:szCs w:val="18"/>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kern w:val="0"/>
                <w:sz w:val="18"/>
                <w:szCs w:val="1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kern w:val="0"/>
                <w:sz w:val="18"/>
                <w:szCs w:val="18"/>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cstheme="majorEastAsia"/>
                <w:sz w:val="18"/>
                <w:szCs w:val="1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inorEastAsia" w:hAnsiTheme="minorEastAsia" w:eastAsiaTheme="minorEastAsia" w:cstheme="majorEastAsia"/>
                <w:kern w:val="0"/>
                <w:sz w:val="18"/>
                <w:szCs w:val="18"/>
              </w:rPr>
            </w:pPr>
            <w:r>
              <w:rPr>
                <w:rFonts w:hint="eastAsia" w:asciiTheme="minorEastAsia" w:hAnsiTheme="minorEastAsia" w:eastAsiaTheme="minorEastAsia" w:cstheme="majorEastAsia"/>
                <w:kern w:val="0"/>
                <w:sz w:val="18"/>
                <w:szCs w:val="18"/>
              </w:rPr>
              <w:t>完成</w:t>
            </w:r>
          </w:p>
          <w:p>
            <w:pPr>
              <w:widowControl/>
              <w:spacing w:line="320" w:lineRule="exact"/>
              <w:jc w:val="center"/>
              <w:textAlignment w:val="bottom"/>
              <w:rPr>
                <w:rFonts w:asciiTheme="minorEastAsia" w:hAnsiTheme="minorEastAsia" w:eastAsiaTheme="minorEastAsia" w:cstheme="majorEastAsia"/>
                <w:sz w:val="18"/>
                <w:szCs w:val="18"/>
              </w:rPr>
            </w:pPr>
            <w:r>
              <w:rPr>
                <w:rFonts w:hint="eastAsia" w:asciiTheme="minorEastAsia" w:hAnsiTheme="minorEastAsia" w:eastAsiaTheme="minorEastAsia" w:cstheme="maj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inorEastAsia" w:hAnsiTheme="minorEastAsia" w:eastAsiaTheme="minorEastAsia" w:cstheme="majorEastAsia"/>
                <w:sz w:val="18"/>
                <w:szCs w:val="18"/>
              </w:rPr>
            </w:pPr>
            <w:r>
              <w:rPr>
                <w:rFonts w:hint="eastAsia" w:asciiTheme="minorEastAsia" w:hAnsiTheme="minorEastAsia" w:eastAsiaTheme="minorEastAsia" w:cstheme="majorEastAsia"/>
                <w:kern w:val="0"/>
                <w:sz w:val="18"/>
                <w:szCs w:val="18"/>
              </w:rPr>
              <w:t>数量指标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151个网络节点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151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完成151个网络节点安装</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cs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inorEastAsia" w:hAnsiTheme="minorEastAsia" w:eastAsiaTheme="minorEastAsia" w:cs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inorEastAsia" w:hAnsiTheme="minorEastAsia" w:eastAsiaTheme="minorEastAsia" w:cstheme="majorEastAsia"/>
                <w:sz w:val="18"/>
                <w:szCs w:val="18"/>
              </w:rPr>
            </w:pPr>
            <w:r>
              <w:rPr>
                <w:rFonts w:hint="eastAsia" w:asciiTheme="minorEastAsia" w:hAnsiTheme="minorEastAsia" w:eastAsiaTheme="minorEastAsia" w:cstheme="majorEastAsia"/>
                <w:kern w:val="0"/>
                <w:sz w:val="18"/>
                <w:szCs w:val="18"/>
              </w:rPr>
              <w:t>质量指标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市级政务外网服务费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34</w:t>
            </w:r>
            <w:r>
              <w:rPr>
                <w:rFonts w:hint="eastAsia" w:asciiTheme="minorEastAsia" w:hAnsiTheme="minorEastAsia" w:eastAsiaTheme="minorEastAsia" w:cstheme="majorEastAsia"/>
                <w:color w:val="000000"/>
                <w:sz w:val="18"/>
                <w:szCs w:val="18"/>
              </w:rPr>
              <w:t>340.438336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sz w:val="18"/>
                <w:szCs w:val="18"/>
              </w:rPr>
              <w:t>340.438336</w:t>
            </w:r>
            <w:r>
              <w:rPr>
                <w:rFonts w:hint="eastAsia" w:asciiTheme="minorEastAsia" w:hAnsiTheme="minorEastAsia" w:eastAsiaTheme="minorEastAsia" w:cstheme="majorEastAsia"/>
                <w:sz w:val="18"/>
                <w:szCs w:val="18"/>
              </w:rPr>
              <w:t>万元</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cs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inorEastAsia" w:hAnsiTheme="minorEastAsia" w:eastAsiaTheme="minorEastAsia" w:cs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inorEastAsia" w:hAnsiTheme="minorEastAsia" w:eastAsiaTheme="minorEastAsia" w:cstheme="majorEastAsia"/>
                <w:sz w:val="18"/>
                <w:szCs w:val="18"/>
              </w:rPr>
            </w:pPr>
            <w:r>
              <w:rPr>
                <w:rFonts w:hint="eastAsia" w:asciiTheme="minorEastAsia" w:hAnsiTheme="minorEastAsia" w:eastAsiaTheme="minorEastAsia" w:cstheme="majorEastAsia"/>
                <w:kern w:val="0"/>
                <w:sz w:val="18"/>
                <w:szCs w:val="18"/>
              </w:rPr>
              <w:t>时效指标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基础网络服务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365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完成基础网络服务</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cs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inorEastAsia" w:hAnsiTheme="minorEastAsia" w:eastAsiaTheme="minorEastAsia" w:cs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inorEastAsia" w:hAnsiTheme="minorEastAsia" w:eastAsiaTheme="minorEastAsia" w:cstheme="majorEastAsia"/>
                <w:sz w:val="18"/>
                <w:szCs w:val="18"/>
              </w:rPr>
            </w:pPr>
            <w:r>
              <w:rPr>
                <w:rFonts w:hint="eastAsia" w:asciiTheme="minorEastAsia" w:hAnsiTheme="minorEastAsia" w:eastAsiaTheme="minorEastAsia" w:cstheme="majorEastAsia"/>
                <w:kern w:val="0"/>
                <w:sz w:val="18"/>
                <w:szCs w:val="18"/>
              </w:rPr>
              <w:t>成本指标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完成时间1-12月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sz w:val="18"/>
                <w:szCs w:val="18"/>
              </w:rPr>
              <w:t>完成</w:t>
            </w:r>
          </w:p>
        </w:tc>
      </w:tr>
      <w:tr>
        <w:tblPrEx>
          <w:tblCellMar>
            <w:top w:w="0" w:type="dxa"/>
            <w:left w:w="108" w:type="dxa"/>
            <w:bottom w:w="0" w:type="dxa"/>
            <w:right w:w="108" w:type="dxa"/>
          </w:tblCellMar>
        </w:tblPrEx>
        <w:trPr>
          <w:gridAfter w:val="1"/>
          <w:wAfter w:w="234" w:type="dxa"/>
          <w:trHeight w:val="692"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cs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inorEastAsia" w:hAnsiTheme="minorEastAsia" w:eastAsiaTheme="minorEastAsia" w:cs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inorEastAsia" w:hAnsiTheme="minorEastAsia" w:eastAsiaTheme="minorEastAsia" w:cstheme="majorEastAsia"/>
                <w:sz w:val="18"/>
                <w:szCs w:val="18"/>
              </w:rPr>
            </w:pPr>
            <w:r>
              <w:rPr>
                <w:rFonts w:hint="eastAsia" w:asciiTheme="minorEastAsia" w:hAnsiTheme="minorEastAsia" w:eastAsiaTheme="minorEastAsia" w:cstheme="majorEastAsia"/>
                <w:kern w:val="0"/>
                <w:sz w:val="18"/>
                <w:szCs w:val="18"/>
              </w:rPr>
              <w:t>社会效益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提升管理水平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进一步提升行政中心治安水平</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cs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inorEastAsia" w:hAnsiTheme="minorEastAsia" w:eastAsiaTheme="minorEastAsia" w:cs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inorEastAsia" w:hAnsiTheme="minorEastAsia" w:eastAsiaTheme="minorEastAsia" w:cstheme="majorEastAsia"/>
                <w:sz w:val="18"/>
                <w:szCs w:val="18"/>
              </w:rPr>
            </w:pPr>
            <w:r>
              <w:rPr>
                <w:rFonts w:hint="eastAsia" w:asciiTheme="minorEastAsia" w:hAnsiTheme="minorEastAsia" w:eastAsiaTheme="minorEastAsia" w:cstheme="majorEastAsia"/>
                <w:kern w:val="0"/>
                <w:sz w:val="18"/>
                <w:szCs w:val="18"/>
              </w:rPr>
              <w:t>可持续影响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提升治理水平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进一步提升治安管理水平</w:t>
            </w: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cstheme="majorEastAsia"/>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inorEastAsia" w:hAnsiTheme="minorEastAsia" w:eastAsiaTheme="minorEastAsia" w:cstheme="majorEastAsia"/>
                <w:sz w:val="18"/>
                <w:szCs w:val="18"/>
              </w:rPr>
            </w:pPr>
            <w:r>
              <w:rPr>
                <w:rFonts w:hint="eastAsia" w:asciiTheme="minorEastAsia" w:hAnsiTheme="minorEastAsia" w:eastAsiaTheme="minorEastAsia" w:cstheme="majorEastAsia"/>
                <w:kern w:val="0"/>
                <w:sz w:val="18"/>
                <w:szCs w:val="18"/>
              </w:rPr>
              <w:t>满意</w:t>
            </w:r>
            <w:r>
              <w:rPr>
                <w:rFonts w:hint="eastAsia" w:asciiTheme="minorEastAsia" w:hAnsiTheme="minorEastAsia" w:eastAsiaTheme="minorEastAsia" w:cstheme="majorEastAsia"/>
                <w:kern w:val="0"/>
                <w:sz w:val="18"/>
                <w:szCs w:val="18"/>
              </w:rPr>
              <w:br w:type="textWrapping"/>
            </w:r>
            <w:r>
              <w:rPr>
                <w:rFonts w:hint="eastAsia" w:asciiTheme="minorEastAsia" w:hAnsiTheme="minorEastAsia" w:eastAsiaTheme="minorEastAsia" w:cstheme="majorEastAsia"/>
                <w:kern w:val="0"/>
                <w:sz w:val="18"/>
                <w:szCs w:val="1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inorEastAsia" w:hAnsiTheme="minorEastAsia" w:eastAsiaTheme="minorEastAsia" w:cstheme="majorEastAsia"/>
                <w:kern w:val="0"/>
                <w:sz w:val="18"/>
                <w:szCs w:val="18"/>
              </w:rPr>
            </w:pPr>
            <w:r>
              <w:rPr>
                <w:rFonts w:hint="eastAsia" w:asciiTheme="minorEastAsia" w:hAnsiTheme="minorEastAsia" w:eastAsiaTheme="minorEastAsia" w:cstheme="majorEastAsia"/>
                <w:kern w:val="0"/>
                <w:sz w:val="18"/>
                <w:szCs w:val="18"/>
              </w:rPr>
              <w:t>满意度</w:t>
            </w:r>
          </w:p>
          <w:p>
            <w:pPr>
              <w:widowControl/>
              <w:spacing w:line="320" w:lineRule="exact"/>
              <w:jc w:val="center"/>
              <w:textAlignment w:val="bottom"/>
              <w:rPr>
                <w:rFonts w:asciiTheme="minorEastAsia" w:hAnsiTheme="minorEastAsia" w:eastAsiaTheme="minorEastAsia" w:cstheme="majorEastAsia"/>
                <w:sz w:val="18"/>
                <w:szCs w:val="18"/>
              </w:rPr>
            </w:pPr>
            <w:r>
              <w:rPr>
                <w:rFonts w:hint="eastAsia" w:asciiTheme="minorEastAsia" w:hAnsiTheme="minorEastAsia" w:eastAsiaTheme="minorEastAsia" w:cstheme="maj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 xml:space="preserve"> 领导及单位满意度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ajorEastAsia"/>
                <w:sz w:val="18"/>
                <w:szCs w:val="18"/>
              </w:rPr>
            </w:pPr>
            <w:r>
              <w:rPr>
                <w:rFonts w:hint="eastAsia" w:asciiTheme="minorEastAsia" w:hAnsiTheme="minorEastAsia" w:eastAsiaTheme="minorEastAsia" w:cstheme="majorEastAsia"/>
                <w:color w:val="000000"/>
                <w:kern w:val="0"/>
                <w:sz w:val="18"/>
                <w:szCs w:val="18"/>
              </w:rPr>
              <w:t>98%</w:t>
            </w:r>
          </w:p>
        </w:tc>
      </w:tr>
    </w:tbl>
    <w:p>
      <w:pPr>
        <w:spacing w:line="576" w:lineRule="exact"/>
        <w:rPr>
          <w:rFonts w:asciiTheme="majorEastAsia" w:hAnsiTheme="majorEastAsia" w:eastAsiaTheme="majorEastAsia" w:cstheme="majorEastAsia"/>
          <w:sz w:val="18"/>
          <w:szCs w:val="18"/>
        </w:rPr>
      </w:pPr>
    </w:p>
    <w:p>
      <w:pPr>
        <w:pStyle w:val="2"/>
        <w:spacing w:before="93"/>
      </w:pPr>
    </w:p>
    <w:p>
      <w:pPr>
        <w:pStyle w:val="2"/>
        <w:spacing w:before="93"/>
      </w:pPr>
    </w:p>
    <w:p>
      <w:pPr>
        <w:pStyle w:val="2"/>
        <w:spacing w:before="93"/>
      </w:pPr>
    </w:p>
    <w:p>
      <w:pPr>
        <w:spacing w:line="576" w:lineRule="exact"/>
        <w:jc w:val="center"/>
        <w:rPr>
          <w:rFonts w:ascii="方正小标宋简体" w:eastAsia="方正小标宋简体" w:cs="仿宋"/>
          <w:bCs/>
          <w:sz w:val="44"/>
          <w:szCs w:val="44"/>
          <w:lang w:val="zh-CN"/>
        </w:rPr>
      </w:pPr>
      <w:r>
        <w:rPr>
          <w:rFonts w:hint="eastAsia" w:ascii="方正小标宋简体" w:eastAsia="方正小标宋简体" w:cs="仿宋"/>
          <w:bCs/>
          <w:sz w:val="44"/>
          <w:szCs w:val="44"/>
        </w:rPr>
        <w:t>女子警务室工作经费2021年</w:t>
      </w:r>
      <w:r>
        <w:rPr>
          <w:rFonts w:hint="eastAsia" w:ascii="方正小标宋简体" w:eastAsia="方正小标宋简体" w:cs="仿宋"/>
          <w:bCs/>
          <w:sz w:val="44"/>
          <w:szCs w:val="44"/>
          <w:lang w:val="zh-CN"/>
        </w:rPr>
        <w:t>绩效评价报告</w:t>
      </w:r>
    </w:p>
    <w:p>
      <w:pPr>
        <w:pStyle w:val="2"/>
        <w:spacing w:before="93"/>
        <w:rPr>
          <w:lang w:val="zh-CN"/>
        </w:rPr>
      </w:pP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一、项目概况</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（一）项目基本情况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1、项目主管部门在该项目管理中的职能</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保障行政中心维稳、接访工作任务顺利完成。</w:t>
      </w:r>
    </w:p>
    <w:p>
      <w:pPr>
        <w:numPr>
          <w:ilvl w:val="0"/>
          <w:numId w:val="5"/>
        </w:num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项目立项、资金申报的依据。</w:t>
      </w:r>
    </w:p>
    <w:p>
      <w:pPr>
        <w:pStyle w:val="14"/>
        <w:spacing w:line="576" w:lineRule="exact"/>
        <w:ind w:firstLine="640" w:firstLineChars="200"/>
        <w:rPr>
          <w:rFonts w:eastAsia="仿宋_GB2312"/>
        </w:rPr>
      </w:pPr>
      <w:r>
        <w:rPr>
          <w:rFonts w:hint="eastAsia" w:ascii="仿宋_GB2312" w:hAnsi="宋体" w:eastAsia="仿宋_GB2312"/>
          <w:sz w:val="32"/>
          <w:szCs w:val="32"/>
        </w:rPr>
        <w:t>女子警务室工作经费项目，经市四大班子联席会议明确由市政府办公室为该项目主管单位。</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（二）项目绩效目标</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保障行政中心维稳、接访工作任务顺利完成。</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（三）项目自评步骤及方法</w:t>
      </w:r>
    </w:p>
    <w:p>
      <w:pPr>
        <w:shd w:val="clear" w:color="auto" w:fill="FFFFFF"/>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为进一步强化财政支出绩效理念，规范财政资金管理，提高资金使用绩效，根据市财政局《关于开展2022年政策和项目支出绩效评价工作的通知》（广财绩〔2022〕8号）要求，按照《2022年市本级项目支出绩效评价指标体系》，针对项目内容、实施情况、资金兑现、财务管理、社会效益等作出自我评价。</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二、项目资金申报及使用情况</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（一）项目资金申报及批复情况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市财政局于2021年下达</w:t>
      </w:r>
      <w:r>
        <w:rPr>
          <w:rFonts w:hint="eastAsia" w:ascii="仿宋_GB2312" w:hAnsi="宋体" w:eastAsia="仿宋_GB2312"/>
          <w:sz w:val="32"/>
          <w:szCs w:val="32"/>
        </w:rPr>
        <w:t>女子警务室工作经费</w:t>
      </w:r>
      <w:r>
        <w:rPr>
          <w:rFonts w:hint="eastAsia" w:ascii="仿宋" w:hAnsi="仿宋" w:eastAsia="仿宋" w:cs="仿宋"/>
          <w:sz w:val="32"/>
          <w:szCs w:val="32"/>
        </w:rPr>
        <w:t>10万元。</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（二）资金计划、到位及使用情况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1、资金计划及到位</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市财政安排政务公开工作经费10万元，已全部拨款到位。</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2、资金使用</w:t>
      </w:r>
    </w:p>
    <w:p>
      <w:pPr>
        <w:tabs>
          <w:tab w:val="left" w:pos="847"/>
        </w:tabs>
        <w:spacing w:line="576" w:lineRule="exact"/>
        <w:ind w:firstLine="640" w:firstLineChars="200"/>
        <w:jc w:val="left"/>
        <w:rPr>
          <w:sz w:val="18"/>
          <w:szCs w:val="18"/>
        </w:rPr>
      </w:pPr>
      <w:r>
        <w:rPr>
          <w:rFonts w:hint="eastAsia" w:ascii="仿宋" w:hAnsi="仿宋" w:eastAsia="仿宋" w:cs="仿宋"/>
          <w:sz w:val="32"/>
          <w:szCs w:val="32"/>
        </w:rPr>
        <w:t>2021年共支出11万元。其中聘用人员劳务费6万元，办公经费5万元，</w:t>
      </w:r>
      <w:r>
        <w:rPr>
          <w:rFonts w:hint="eastAsia" w:ascii="仿宋_GB2312" w:hAnsi="宋体" w:eastAsia="仿宋_GB2312" w:cs="仿宋_GB2312"/>
          <w:color w:val="000000"/>
          <w:sz w:val="32"/>
          <w:szCs w:val="32"/>
        </w:rPr>
        <w:t>因疫情的原因办公费超支1万元。</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（三）项目财务管理情况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我办严格按照《专项资金管理使用制度》要求，加强对</w:t>
      </w:r>
      <w:r>
        <w:rPr>
          <w:rFonts w:hint="eastAsia" w:ascii="仿宋_GB2312" w:hAnsi="宋体" w:eastAsia="仿宋_GB2312"/>
          <w:sz w:val="32"/>
          <w:szCs w:val="32"/>
        </w:rPr>
        <w:t>女子警务室工作经费</w:t>
      </w:r>
      <w:r>
        <w:rPr>
          <w:rFonts w:hint="eastAsia" w:ascii="仿宋" w:hAnsi="仿宋" w:eastAsia="仿宋" w:cs="仿宋"/>
          <w:sz w:val="32"/>
          <w:szCs w:val="32"/>
        </w:rPr>
        <w:t>的使用管理。在专项项目资金使用过程中，严格执行财务管理制度，按照专项资金管理办法做好项目实施和监管，财务处理及时，会计核算规范，切实做到专款专用，最大可能发挥专项资金作用。</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三、项目实施及管理情况</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（一）项目组织架构及实施流程</w:t>
      </w:r>
    </w:p>
    <w:p>
      <w:pPr>
        <w:spacing w:line="576"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我办高度重视</w:t>
      </w:r>
      <w:r>
        <w:rPr>
          <w:rFonts w:hint="eastAsia" w:ascii="仿宋_GB2312" w:hAnsi="宋体" w:eastAsia="仿宋_GB2312"/>
          <w:sz w:val="32"/>
          <w:szCs w:val="32"/>
        </w:rPr>
        <w:t>女子警务室工作经费</w:t>
      </w:r>
      <w:r>
        <w:rPr>
          <w:rFonts w:hint="eastAsia" w:ascii="仿宋" w:hAnsi="仿宋" w:eastAsia="仿宋" w:cs="仿宋"/>
          <w:sz w:val="32"/>
          <w:szCs w:val="32"/>
          <w:shd w:val="clear" w:color="auto" w:fill="FFFFFF"/>
        </w:rPr>
        <w:t>项目工作，</w:t>
      </w:r>
      <w:r>
        <w:rPr>
          <w:rFonts w:hint="eastAsia" w:ascii="仿宋" w:hAnsi="仿宋" w:eastAsia="仿宋" w:cs="仿宋"/>
          <w:sz w:val="32"/>
          <w:szCs w:val="32"/>
        </w:rPr>
        <w:t>经市政府办公室党组研究决定，</w:t>
      </w:r>
      <w:r>
        <w:rPr>
          <w:rFonts w:hint="eastAsia" w:ascii="仿宋_GB2312" w:hAnsi="宋体" w:eastAsia="仿宋_GB2312"/>
          <w:sz w:val="32"/>
          <w:szCs w:val="32"/>
        </w:rPr>
        <w:t>女子警务室工作经费</w:t>
      </w:r>
      <w:r>
        <w:rPr>
          <w:rFonts w:hint="eastAsia" w:ascii="仿宋" w:hAnsi="仿宋" w:eastAsia="仿宋" w:cs="仿宋"/>
          <w:sz w:val="32"/>
          <w:szCs w:val="32"/>
          <w:shd w:val="clear" w:color="auto" w:fill="FFFFFF"/>
        </w:rPr>
        <w:t>项目</w:t>
      </w:r>
      <w:r>
        <w:rPr>
          <w:rFonts w:hint="eastAsia" w:ascii="仿宋" w:hAnsi="仿宋" w:eastAsia="仿宋" w:cs="仿宋"/>
          <w:sz w:val="32"/>
          <w:szCs w:val="32"/>
        </w:rPr>
        <w:t>由市政府办公室分管副主任牵头，</w:t>
      </w:r>
      <w:r>
        <w:rPr>
          <w:rFonts w:hint="eastAsia" w:ascii="仿宋_GB2312" w:hAnsi="宋体" w:eastAsia="仿宋_GB2312"/>
          <w:sz w:val="32"/>
          <w:szCs w:val="32"/>
        </w:rPr>
        <w:t>女子警务室具体实施，</w:t>
      </w:r>
      <w:r>
        <w:rPr>
          <w:rFonts w:hint="eastAsia" w:ascii="仿宋" w:hAnsi="仿宋" w:eastAsia="仿宋" w:cs="仿宋"/>
          <w:sz w:val="32"/>
          <w:szCs w:val="32"/>
          <w:shd w:val="clear" w:color="auto" w:fill="FFFFFF"/>
        </w:rPr>
        <w:t>涉及“三重一大”事项一律报市政府办公室党组会议研究审定。</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（二）项目管理情况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该项目各环节均报市政府办公室党组进行研究决策，项目管理全程规范。</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（三）项目监管情况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市纪委监委驻市政府办公室纪检组对</w:t>
      </w:r>
      <w:r>
        <w:rPr>
          <w:rFonts w:hint="eastAsia" w:ascii="仿宋_GB2312" w:hAnsi="宋体" w:eastAsia="仿宋_GB2312"/>
          <w:sz w:val="32"/>
          <w:szCs w:val="32"/>
        </w:rPr>
        <w:t>女子警务室工作经费</w:t>
      </w:r>
      <w:r>
        <w:rPr>
          <w:rFonts w:hint="eastAsia" w:ascii="仿宋" w:hAnsi="仿宋" w:eastAsia="仿宋" w:cs="仿宋"/>
          <w:sz w:val="32"/>
          <w:szCs w:val="32"/>
          <w:shd w:val="clear" w:color="auto" w:fill="FFFFFF"/>
        </w:rPr>
        <w:t>项目</w:t>
      </w:r>
      <w:r>
        <w:rPr>
          <w:rFonts w:hint="eastAsia" w:ascii="仿宋" w:hAnsi="仿宋" w:eastAsia="仿宋" w:cs="仿宋"/>
          <w:sz w:val="32"/>
          <w:szCs w:val="32"/>
        </w:rPr>
        <w:t>的使用全程监督。同时，我办主动接受省委巡视组、市纪委监委及上级主管部门的监督检查，无违纪违法现象。</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四、项目绩效情况</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（一）项目完成情况</w:t>
      </w:r>
    </w:p>
    <w:p>
      <w:pPr>
        <w:pStyle w:val="14"/>
        <w:spacing w:line="576" w:lineRule="exact"/>
        <w:ind w:firstLine="640" w:firstLineChars="200"/>
        <w:rPr>
          <w:rFonts w:eastAsia="仿宋"/>
        </w:rPr>
      </w:pPr>
      <w:r>
        <w:rPr>
          <w:rFonts w:hint="eastAsia" w:ascii="仿宋" w:hAnsi="仿宋" w:eastAsia="仿宋" w:cs="仿宋"/>
          <w:sz w:val="32"/>
          <w:szCs w:val="32"/>
        </w:rPr>
        <w:t>通过项目实施，女子警务室圆满地完成了行政中心的维稳、接访工作。</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（二）项目效益情况</w:t>
      </w:r>
    </w:p>
    <w:p>
      <w:pPr>
        <w:pStyle w:val="16"/>
        <w:shd w:val="clear" w:color="auto" w:fill="FFFFFF"/>
        <w:overflowPunct w:val="0"/>
        <w:spacing w:line="576" w:lineRule="exact"/>
        <w:ind w:firstLine="640" w:firstLineChars="200"/>
        <w:rPr>
          <w:rStyle w:val="20"/>
          <w:rFonts w:ascii="仿宋" w:hAnsi="仿宋" w:eastAsia="仿宋" w:cs="仿宋"/>
          <w:b w:val="0"/>
          <w:color w:val="000000"/>
          <w:sz w:val="32"/>
          <w:szCs w:val="32"/>
          <w:shd w:val="clear" w:color="auto" w:fill="FFFFFF"/>
        </w:rPr>
      </w:pPr>
      <w:r>
        <w:rPr>
          <w:rFonts w:hint="eastAsia" w:ascii="仿宋" w:hAnsi="仿宋" w:eastAsia="仿宋" w:cs="仿宋"/>
          <w:sz w:val="32"/>
          <w:szCs w:val="32"/>
        </w:rPr>
        <w:t>通过项目实施，得到社会各界的好评。</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五、评价结论及建议</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（一）评价结论</w:t>
      </w:r>
    </w:p>
    <w:p>
      <w:pPr>
        <w:spacing w:line="576" w:lineRule="exact"/>
        <w:ind w:firstLine="640" w:firstLineChars="200"/>
        <w:rPr>
          <w:rFonts w:ascii="仿宋" w:hAnsi="仿宋" w:eastAsia="仿宋" w:cs="仿宋"/>
          <w:sz w:val="32"/>
          <w:szCs w:val="32"/>
          <w:shd w:val="clear" w:color="auto" w:fill="FFFFFF"/>
        </w:rPr>
      </w:pPr>
      <w:r>
        <w:rPr>
          <w:rFonts w:hint="eastAsia" w:ascii="仿宋_GB2312" w:hAnsi="宋体" w:eastAsia="仿宋_GB2312"/>
          <w:sz w:val="32"/>
          <w:szCs w:val="32"/>
        </w:rPr>
        <w:t>女子警务室工作经费</w:t>
      </w:r>
      <w:r>
        <w:rPr>
          <w:rFonts w:hint="eastAsia" w:ascii="仿宋" w:hAnsi="仿宋" w:eastAsia="仿宋" w:cs="仿宋"/>
          <w:sz w:val="32"/>
          <w:szCs w:val="32"/>
        </w:rPr>
        <w:t>有力保障了</w:t>
      </w:r>
      <w:r>
        <w:rPr>
          <w:rFonts w:hint="eastAsia" w:ascii="仿宋_GB2312" w:hAnsi="宋体" w:eastAsia="仿宋_GB2312"/>
          <w:sz w:val="32"/>
          <w:szCs w:val="32"/>
        </w:rPr>
        <w:t>女子警务室</w:t>
      </w:r>
      <w:r>
        <w:rPr>
          <w:rFonts w:hint="eastAsia" w:ascii="仿宋" w:hAnsi="仿宋" w:eastAsia="仿宋" w:cs="仿宋"/>
          <w:sz w:val="32"/>
          <w:szCs w:val="32"/>
        </w:rPr>
        <w:t>工作顺利开展，为完成全年目标任务打下了坚实基础，该项目绩效目标编制明确量化，</w:t>
      </w:r>
      <w:r>
        <w:rPr>
          <w:rFonts w:hint="eastAsia" w:ascii="仿宋" w:hAnsi="仿宋" w:eastAsia="仿宋" w:cs="仿宋"/>
          <w:sz w:val="32"/>
          <w:szCs w:val="32"/>
          <w:shd w:val="clear" w:color="auto" w:fill="FFFFFF"/>
        </w:rPr>
        <w:t>财务管理规范，内控制度健全，财政资金使用符合要求，预算执行基本收支平衡，专项经费收支情况良好，财政支出绩效评价较好。</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（二）存在的问题</w:t>
      </w:r>
    </w:p>
    <w:p>
      <w:pPr>
        <w:spacing w:line="576" w:lineRule="exact"/>
        <w:ind w:firstLine="640" w:firstLineChars="200"/>
        <w:rPr>
          <w:rFonts w:ascii="仿宋_GB2312" w:hAnsi="宋体" w:eastAsia="仿宋_GB2312"/>
          <w:sz w:val="32"/>
          <w:szCs w:val="32"/>
        </w:rPr>
      </w:pPr>
      <w:r>
        <w:rPr>
          <w:rFonts w:hint="eastAsia" w:ascii="仿宋" w:hAnsi="仿宋" w:eastAsia="仿宋" w:cs="仿宋"/>
          <w:sz w:val="32"/>
          <w:szCs w:val="32"/>
        </w:rPr>
        <w:t>2021年</w:t>
      </w:r>
      <w:r>
        <w:rPr>
          <w:rFonts w:hint="eastAsia" w:ascii="仿宋_GB2312" w:hAnsi="宋体" w:eastAsia="仿宋_GB2312"/>
          <w:sz w:val="32"/>
          <w:szCs w:val="32"/>
        </w:rPr>
        <w:t>女子警务室接访任务重，人手少，需增加人员及资金投入。</w:t>
      </w:r>
    </w:p>
    <w:p>
      <w:pPr>
        <w:pStyle w:val="2"/>
        <w:spacing w:before="93"/>
      </w:pPr>
    </w:p>
    <w:p>
      <w:pPr>
        <w:pStyle w:val="2"/>
        <w:spacing w:before="93"/>
      </w:pPr>
    </w:p>
    <w:p>
      <w:pPr>
        <w:pStyle w:val="2"/>
        <w:spacing w:before="93"/>
      </w:pPr>
    </w:p>
    <w:tbl>
      <w:tblPr>
        <w:tblStyle w:val="18"/>
        <w:tblW w:w="9811" w:type="dxa"/>
        <w:jc w:val="center"/>
        <w:tblLayout w:type="fixed"/>
        <w:tblCellMar>
          <w:top w:w="0" w:type="dxa"/>
          <w:left w:w="108" w:type="dxa"/>
          <w:bottom w:w="0" w:type="dxa"/>
          <w:right w:w="108" w:type="dxa"/>
        </w:tblCellMar>
      </w:tblPr>
      <w:tblGrid>
        <w:gridCol w:w="1976"/>
        <w:gridCol w:w="1142"/>
        <w:gridCol w:w="1635"/>
        <w:gridCol w:w="1198"/>
        <w:gridCol w:w="1215"/>
        <w:gridCol w:w="2409"/>
        <w:gridCol w:w="236"/>
      </w:tblGrid>
      <w:tr>
        <w:tblPrEx>
          <w:tblCellMar>
            <w:top w:w="0" w:type="dxa"/>
            <w:left w:w="108" w:type="dxa"/>
            <w:bottom w:w="0" w:type="dxa"/>
            <w:right w:w="108" w:type="dxa"/>
          </w:tblCellMar>
        </w:tblPrEx>
        <w:trPr>
          <w:trHeight w:val="744" w:hRule="atLeast"/>
          <w:jc w:val="center"/>
        </w:trPr>
        <w:tc>
          <w:tcPr>
            <w:tcW w:w="9575" w:type="dxa"/>
            <w:gridSpan w:val="6"/>
            <w:tcBorders>
              <w:top w:val="nil"/>
              <w:left w:val="nil"/>
              <w:bottom w:val="nil"/>
              <w:right w:val="nil"/>
            </w:tcBorders>
            <w:shd w:val="clear" w:color="auto" w:fill="auto"/>
            <w:vAlign w:val="center"/>
          </w:tcPr>
          <w:p>
            <w:pPr>
              <w:widowControl/>
              <w:jc w:val="center"/>
              <w:textAlignment w:val="center"/>
              <w:rPr>
                <w:rFonts w:ascii="方正小标宋简体" w:hAnsi="宋体" w:eastAsia="方正小标宋简体" w:cs="宋体"/>
                <w:spacing w:val="-16"/>
                <w:sz w:val="44"/>
                <w:szCs w:val="44"/>
              </w:rPr>
            </w:pPr>
            <w:r>
              <w:rPr>
                <w:rFonts w:hint="eastAsia" w:ascii="方正小标宋简体" w:hAnsi="宋体" w:eastAsia="方正小标宋简体" w:cs="宋体"/>
                <w:spacing w:val="-16"/>
                <w:sz w:val="44"/>
                <w:szCs w:val="44"/>
              </w:rPr>
              <w:t>2021年</w:t>
            </w:r>
            <w:r>
              <w:rPr>
                <w:rFonts w:hint="eastAsia" w:ascii="方正小标宋简体" w:eastAsia="方正小标宋简体" w:cs="宋体"/>
                <w:bCs/>
                <w:color w:val="000000"/>
                <w:spacing w:val="-16"/>
                <w:sz w:val="44"/>
                <w:szCs w:val="44"/>
              </w:rPr>
              <w:t>女子警务室工作经</w:t>
            </w:r>
            <w:r>
              <w:rPr>
                <w:rFonts w:hint="eastAsia" w:ascii="方正小标宋简体" w:hAnsi="宋体" w:eastAsia="方正小标宋简体" w:cs="宋体"/>
                <w:bCs/>
                <w:spacing w:val="-16"/>
                <w:sz w:val="44"/>
                <w:szCs w:val="44"/>
              </w:rPr>
              <w:t>费</w:t>
            </w:r>
            <w:r>
              <w:rPr>
                <w:rFonts w:hint="eastAsia" w:ascii="方正小标宋简体" w:hAnsi="宋体" w:eastAsia="方正小标宋简体" w:cs="宋体"/>
                <w:spacing w:val="-16"/>
                <w:sz w:val="44"/>
                <w:szCs w:val="44"/>
              </w:rPr>
              <w:t>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kern w:val="0"/>
                <w:sz w:val="32"/>
                <w:szCs w:val="32"/>
              </w:rPr>
            </w:pPr>
          </w:p>
        </w:tc>
      </w:tr>
      <w:tr>
        <w:tblPrEx>
          <w:tblCellMar>
            <w:top w:w="0" w:type="dxa"/>
            <w:left w:w="108" w:type="dxa"/>
            <w:bottom w:w="0" w:type="dxa"/>
            <w:right w:w="108" w:type="dxa"/>
          </w:tblCellMar>
        </w:tblPrEx>
        <w:trPr>
          <w:gridAfter w:val="1"/>
          <w:wAfter w:w="236" w:type="dxa"/>
          <w:trHeight w:val="254" w:hRule="atLeast"/>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主管部门及代码</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302301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市人民政府办公室</w:t>
            </w:r>
          </w:p>
        </w:tc>
      </w:tr>
      <w:tr>
        <w:tblPrEx>
          <w:tblCellMar>
            <w:top w:w="0" w:type="dxa"/>
            <w:left w:w="108" w:type="dxa"/>
            <w:bottom w:w="0" w:type="dxa"/>
            <w:right w:w="108" w:type="dxa"/>
          </w:tblCellMar>
        </w:tblPrEx>
        <w:trPr>
          <w:gridAfter w:val="1"/>
          <w:wAfter w:w="236" w:type="dxa"/>
          <w:trHeight w:val="341" w:hRule="atLeast"/>
          <w:jc w:val="center"/>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项目预算</w:t>
            </w:r>
            <w:r>
              <w:rPr>
                <w:rFonts w:hint="eastAsia" w:cs="宋体" w:asciiTheme="majorEastAsia" w:hAnsiTheme="majorEastAsia" w:eastAsiaTheme="majorEastAsia"/>
                <w:kern w:val="0"/>
                <w:sz w:val="18"/>
                <w:szCs w:val="18"/>
              </w:rPr>
              <w:br w:type="textWrapping"/>
            </w:r>
            <w:r>
              <w:rPr>
                <w:rFonts w:hint="eastAsia" w:cs="宋体" w:asciiTheme="majorEastAsia" w:hAnsiTheme="majorEastAsia" w:eastAsiaTheme="majorEastAsia"/>
                <w:kern w:val="0"/>
                <w:sz w:val="18"/>
                <w:szCs w:val="18"/>
              </w:rPr>
              <w:t>执行情况</w:t>
            </w:r>
            <w:r>
              <w:rPr>
                <w:rFonts w:hint="eastAsia" w:cs="宋体" w:asciiTheme="majorEastAsia" w:hAnsiTheme="majorEastAsia" w:eastAsiaTheme="majorEastAsia"/>
                <w:kern w:val="0"/>
                <w:sz w:val="18"/>
                <w:szCs w:val="18"/>
              </w:rPr>
              <w:br w:type="textWrapping"/>
            </w:r>
            <w:r>
              <w:rPr>
                <w:rFonts w:hint="eastAsia" w:cs="宋体" w:asciiTheme="majorEastAsia" w:hAnsiTheme="majorEastAsia" w:eastAsiaTheme="majorEastAsia"/>
                <w:kern w:val="0"/>
                <w:sz w:val="18"/>
                <w:szCs w:val="18"/>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 xml:space="preserve"> 预算数：</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仿宋" w:asciiTheme="majorEastAsia" w:hAnsiTheme="majorEastAsia" w:eastAsiaTheme="majorEastAsia"/>
                <w:sz w:val="18"/>
                <w:szCs w:val="18"/>
              </w:rPr>
              <w:t>10万元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ajorEastAsia" w:hAnsiTheme="majorEastAsia" w:eastAsiaTheme="majorEastAsia"/>
                <w:sz w:val="18"/>
                <w:szCs w:val="18"/>
              </w:rPr>
            </w:pPr>
            <w:r>
              <w:rPr>
                <w:rFonts w:hint="eastAsia" w:cs="仿宋" w:asciiTheme="majorEastAsia" w:hAnsiTheme="majorEastAsia" w:eastAsiaTheme="majorEastAsia"/>
                <w:sz w:val="18"/>
                <w:szCs w:val="18"/>
              </w:rPr>
              <w:t>11万元</w:t>
            </w:r>
          </w:p>
        </w:tc>
      </w:tr>
      <w:tr>
        <w:tblPrEx>
          <w:tblCellMar>
            <w:top w:w="0" w:type="dxa"/>
            <w:left w:w="108" w:type="dxa"/>
            <w:bottom w:w="0" w:type="dxa"/>
            <w:right w:w="108" w:type="dxa"/>
          </w:tblCellMar>
        </w:tblPrEx>
        <w:trPr>
          <w:gridAfter w:val="1"/>
          <w:wAfter w:w="236" w:type="dxa"/>
          <w:trHeight w:val="457" w:hRule="atLeast"/>
          <w:jc w:val="center"/>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其中：</w:t>
            </w:r>
          </w:p>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财政拨款</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10万元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其中：</w:t>
            </w:r>
          </w:p>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11万元</w:t>
            </w:r>
          </w:p>
        </w:tc>
      </w:tr>
      <w:tr>
        <w:tblPrEx>
          <w:tblCellMar>
            <w:top w:w="0" w:type="dxa"/>
            <w:left w:w="108" w:type="dxa"/>
            <w:bottom w:w="0" w:type="dxa"/>
            <w:right w:w="108" w:type="dxa"/>
          </w:tblCellMar>
        </w:tblPrEx>
        <w:trPr>
          <w:gridAfter w:val="1"/>
          <w:wAfter w:w="236" w:type="dxa"/>
          <w:trHeight w:val="180" w:hRule="atLeast"/>
          <w:jc w:val="center"/>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p>
        </w:tc>
      </w:tr>
      <w:tr>
        <w:tblPrEx>
          <w:tblCellMar>
            <w:top w:w="0" w:type="dxa"/>
            <w:left w:w="108" w:type="dxa"/>
            <w:bottom w:w="0" w:type="dxa"/>
            <w:right w:w="108" w:type="dxa"/>
          </w:tblCellMar>
        </w:tblPrEx>
        <w:trPr>
          <w:gridAfter w:val="1"/>
          <w:wAfter w:w="236" w:type="dxa"/>
          <w:trHeight w:val="183" w:hRule="atLeast"/>
          <w:jc w:val="center"/>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年度总体目标</w:t>
            </w:r>
          </w:p>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完成情况</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预期目标</w:t>
            </w: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目标实际完成情况</w:t>
            </w:r>
          </w:p>
        </w:tc>
      </w:tr>
      <w:tr>
        <w:tblPrEx>
          <w:tblCellMar>
            <w:top w:w="0" w:type="dxa"/>
            <w:left w:w="108" w:type="dxa"/>
            <w:bottom w:w="0" w:type="dxa"/>
            <w:right w:w="108" w:type="dxa"/>
          </w:tblCellMar>
        </w:tblPrEx>
        <w:trPr>
          <w:gridAfter w:val="1"/>
          <w:wAfter w:w="236" w:type="dxa"/>
          <w:trHeight w:val="1079" w:hRule="atLeast"/>
          <w:jc w:val="center"/>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ajorEastAsia" w:hAnsiTheme="majorEastAsia" w:eastAsiaTheme="majorEastAsia"/>
                <w:sz w:val="18"/>
                <w:szCs w:val="18"/>
              </w:rPr>
            </w:pP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Pr>
          <w:p>
            <w:pPr>
              <w:tabs>
                <w:tab w:val="left" w:pos="913"/>
              </w:tabs>
              <w:jc w:val="left"/>
              <w:rPr>
                <w:rFonts w:asciiTheme="majorEastAsia" w:hAnsiTheme="majorEastAsia" w:eastAsiaTheme="majorEastAsia"/>
                <w:sz w:val="18"/>
                <w:szCs w:val="18"/>
              </w:rPr>
            </w:pPr>
            <w:r>
              <w:rPr>
                <w:rFonts w:hint="eastAsia" w:asciiTheme="majorEastAsia" w:hAnsiTheme="majorEastAsia" w:eastAsiaTheme="majorEastAsia"/>
                <w:sz w:val="18"/>
                <w:szCs w:val="18"/>
              </w:rPr>
              <w:t>　</w:t>
            </w:r>
            <w:r>
              <w:rPr>
                <w:rFonts w:hint="eastAsia" w:cs="仿宋_GB2312" w:asciiTheme="majorEastAsia" w:hAnsiTheme="majorEastAsia" w:eastAsiaTheme="majorEastAsia"/>
                <w:color w:val="000000"/>
                <w:sz w:val="18"/>
                <w:szCs w:val="18"/>
              </w:rPr>
              <w:t>保障了行政中心维稳、接访任务顺利完成</w:t>
            </w: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tcPr>
          <w:p>
            <w:pPr>
              <w:tabs>
                <w:tab w:val="left" w:pos="847"/>
              </w:tabs>
              <w:jc w:val="left"/>
              <w:rPr>
                <w:rFonts w:asciiTheme="majorEastAsia" w:hAnsiTheme="majorEastAsia" w:eastAsiaTheme="majorEastAsia"/>
                <w:sz w:val="18"/>
                <w:szCs w:val="18"/>
              </w:rPr>
            </w:pPr>
            <w:r>
              <w:rPr>
                <w:rFonts w:hint="eastAsia" w:asciiTheme="majorEastAsia" w:hAnsiTheme="majorEastAsia" w:eastAsiaTheme="majorEastAsia"/>
                <w:sz w:val="18"/>
                <w:szCs w:val="18"/>
              </w:rPr>
              <w:t>　</w:t>
            </w:r>
            <w:r>
              <w:rPr>
                <w:rFonts w:hint="eastAsia" w:cs="仿宋_GB2312" w:asciiTheme="majorEastAsia" w:hAnsiTheme="majorEastAsia" w:eastAsiaTheme="majorEastAsia"/>
                <w:color w:val="000000"/>
                <w:sz w:val="18"/>
                <w:szCs w:val="18"/>
              </w:rPr>
              <w:t>保障了行政中心维稳、接访任务顺利完成。劳务费6万元，办公费5万元，因疫情的原因办公费超支1万元。</w:t>
            </w:r>
          </w:p>
          <w:p>
            <w:pPr>
              <w:tabs>
                <w:tab w:val="left" w:pos="847"/>
              </w:tabs>
              <w:jc w:val="left"/>
              <w:rPr>
                <w:rFonts w:asciiTheme="majorEastAsia" w:hAnsiTheme="majorEastAsia" w:eastAsiaTheme="majorEastAsia"/>
                <w:sz w:val="18"/>
                <w:szCs w:val="18"/>
              </w:rPr>
            </w:pPr>
          </w:p>
        </w:tc>
      </w:tr>
      <w:tr>
        <w:tblPrEx>
          <w:tblCellMar>
            <w:top w:w="0" w:type="dxa"/>
            <w:left w:w="108" w:type="dxa"/>
            <w:bottom w:w="0" w:type="dxa"/>
            <w:right w:w="108" w:type="dxa"/>
          </w:tblCellMar>
        </w:tblPrEx>
        <w:trPr>
          <w:gridAfter w:val="1"/>
          <w:wAfter w:w="236" w:type="dxa"/>
          <w:trHeight w:val="386" w:hRule="atLeast"/>
          <w:jc w:val="center"/>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kern w:val="0"/>
                <w:sz w:val="18"/>
                <w:szCs w:val="18"/>
              </w:rPr>
            </w:pPr>
            <w:r>
              <w:rPr>
                <w:rFonts w:hint="eastAsia" w:cs="仿宋_GB2312" w:asciiTheme="majorEastAsia" w:hAnsiTheme="majorEastAsia" w:eastAsiaTheme="majorEastAsia"/>
                <w:kern w:val="0"/>
                <w:sz w:val="18"/>
                <w:szCs w:val="18"/>
              </w:rPr>
              <w:t>一级</w:t>
            </w:r>
          </w:p>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kern w:val="0"/>
                <w:sz w:val="18"/>
                <w:szCs w:val="18"/>
              </w:rPr>
            </w:pPr>
            <w:r>
              <w:rPr>
                <w:rFonts w:hint="eastAsia" w:cs="仿宋_GB2312" w:asciiTheme="majorEastAsia" w:hAnsiTheme="majorEastAsia" w:eastAsiaTheme="majorEastAsia"/>
                <w:kern w:val="0"/>
                <w:sz w:val="18"/>
                <w:szCs w:val="18"/>
              </w:rPr>
              <w:t>二级</w:t>
            </w:r>
          </w:p>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kern w:val="0"/>
                <w:sz w:val="18"/>
                <w:szCs w:val="18"/>
              </w:rPr>
            </w:pPr>
            <w:r>
              <w:rPr>
                <w:rFonts w:hint="eastAsia" w:cs="仿宋_GB2312" w:asciiTheme="majorEastAsia" w:hAnsiTheme="majorEastAsia" w:eastAsiaTheme="majorEastAsia"/>
                <w:kern w:val="0"/>
                <w:sz w:val="18"/>
                <w:szCs w:val="18"/>
              </w:rPr>
              <w:t>三级</w:t>
            </w:r>
          </w:p>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实际完成指标值</w:t>
            </w:r>
          </w:p>
        </w:tc>
      </w:tr>
      <w:tr>
        <w:tblPrEx>
          <w:tblCellMar>
            <w:top w:w="0" w:type="dxa"/>
            <w:left w:w="108" w:type="dxa"/>
            <w:bottom w:w="0" w:type="dxa"/>
            <w:right w:w="108" w:type="dxa"/>
          </w:tblCellMar>
        </w:tblPrEx>
        <w:trPr>
          <w:gridAfter w:val="1"/>
          <w:wAfter w:w="236" w:type="dxa"/>
          <w:trHeight w:val="415" w:hRule="atLeast"/>
          <w:jc w:val="center"/>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ajorEastAsia" w:hAnsiTheme="majorEastAsia" w:eastAsiaTheme="majorEastAsia"/>
                <w:kern w:val="0"/>
                <w:sz w:val="18"/>
                <w:szCs w:val="18"/>
              </w:rPr>
            </w:pPr>
            <w:r>
              <w:rPr>
                <w:rFonts w:hint="eastAsia" w:cs="仿宋_GB2312" w:asciiTheme="majorEastAsia" w:hAnsiTheme="majorEastAsia" w:eastAsiaTheme="majorEastAsia"/>
                <w:kern w:val="0"/>
                <w:sz w:val="18"/>
                <w:szCs w:val="18"/>
              </w:rPr>
              <w:t>完成</w:t>
            </w:r>
          </w:p>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数量指标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365天依法维稳、接访</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365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全年无意外发生。</w:t>
            </w:r>
          </w:p>
        </w:tc>
      </w:tr>
      <w:tr>
        <w:tblPrEx>
          <w:tblCellMar>
            <w:top w:w="0" w:type="dxa"/>
            <w:left w:w="108" w:type="dxa"/>
            <w:bottom w:w="0" w:type="dxa"/>
            <w:right w:w="108" w:type="dxa"/>
          </w:tblCellMar>
        </w:tblPrEx>
        <w:trPr>
          <w:gridAfter w:val="1"/>
          <w:wAfter w:w="236" w:type="dxa"/>
          <w:trHeight w:val="415" w:hRule="atLeast"/>
          <w:jc w:val="center"/>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质量指标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依法维稳、接访</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365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通过考核</w:t>
            </w:r>
          </w:p>
        </w:tc>
      </w:tr>
      <w:tr>
        <w:tblPrEx>
          <w:tblCellMar>
            <w:top w:w="0" w:type="dxa"/>
            <w:left w:w="108" w:type="dxa"/>
            <w:bottom w:w="0" w:type="dxa"/>
            <w:right w:w="108" w:type="dxa"/>
          </w:tblCellMar>
        </w:tblPrEx>
        <w:trPr>
          <w:gridAfter w:val="1"/>
          <w:wAfter w:w="236" w:type="dxa"/>
          <w:trHeight w:val="415" w:hRule="atLeast"/>
          <w:jc w:val="center"/>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时效指标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完成时间1-12月</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12</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完成</w:t>
            </w:r>
          </w:p>
        </w:tc>
      </w:tr>
      <w:tr>
        <w:tblPrEx>
          <w:tblCellMar>
            <w:top w:w="0" w:type="dxa"/>
            <w:left w:w="108" w:type="dxa"/>
            <w:bottom w:w="0" w:type="dxa"/>
            <w:right w:w="108" w:type="dxa"/>
          </w:tblCellMar>
        </w:tblPrEx>
        <w:trPr>
          <w:gridAfter w:val="1"/>
          <w:wAfter w:w="236" w:type="dxa"/>
          <w:trHeight w:val="480" w:hRule="atLeast"/>
          <w:jc w:val="center"/>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成本指标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办公经费4万元；劳务费6万元。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10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sz w:val="18"/>
                <w:szCs w:val="18"/>
              </w:rPr>
              <w:t>11万元</w:t>
            </w:r>
          </w:p>
        </w:tc>
      </w:tr>
      <w:tr>
        <w:tblPrEx>
          <w:tblCellMar>
            <w:top w:w="0" w:type="dxa"/>
            <w:left w:w="108" w:type="dxa"/>
            <w:bottom w:w="0" w:type="dxa"/>
            <w:right w:w="108" w:type="dxa"/>
          </w:tblCellMar>
        </w:tblPrEx>
        <w:trPr>
          <w:gridAfter w:val="1"/>
          <w:wAfter w:w="236" w:type="dxa"/>
          <w:trHeight w:val="692" w:hRule="atLeast"/>
          <w:jc w:val="center"/>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社会效益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依法维稳水平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进一步提升依法维稳水平</w:t>
            </w:r>
          </w:p>
        </w:tc>
      </w:tr>
      <w:tr>
        <w:tblPrEx>
          <w:tblCellMar>
            <w:top w:w="0" w:type="dxa"/>
            <w:left w:w="108" w:type="dxa"/>
            <w:bottom w:w="0" w:type="dxa"/>
            <w:right w:w="108" w:type="dxa"/>
          </w:tblCellMar>
        </w:tblPrEx>
        <w:trPr>
          <w:gridAfter w:val="1"/>
          <w:wAfter w:w="236" w:type="dxa"/>
          <w:trHeight w:val="480" w:hRule="atLeast"/>
          <w:jc w:val="center"/>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可持续影响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提高维稳水平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进一步提高维稳水平</w:t>
            </w:r>
          </w:p>
        </w:tc>
      </w:tr>
      <w:tr>
        <w:tblPrEx>
          <w:tblCellMar>
            <w:top w:w="0" w:type="dxa"/>
            <w:left w:w="108" w:type="dxa"/>
            <w:bottom w:w="0" w:type="dxa"/>
            <w:right w:w="108" w:type="dxa"/>
          </w:tblCellMar>
        </w:tblPrEx>
        <w:trPr>
          <w:gridAfter w:val="1"/>
          <w:wAfter w:w="236" w:type="dxa"/>
          <w:trHeight w:val="530" w:hRule="atLeast"/>
          <w:jc w:val="center"/>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满意</w:t>
            </w:r>
            <w:r>
              <w:rPr>
                <w:rFonts w:hint="eastAsia" w:cs="仿宋_GB2312" w:asciiTheme="majorEastAsia" w:hAnsiTheme="majorEastAsia" w:eastAsiaTheme="majorEastAsia"/>
                <w:kern w:val="0"/>
                <w:sz w:val="18"/>
                <w:szCs w:val="18"/>
              </w:rPr>
              <w:br w:type="textWrapping"/>
            </w:r>
            <w:r>
              <w:rPr>
                <w:rFonts w:hint="eastAsia" w:cs="仿宋_GB2312" w:asciiTheme="majorEastAsia" w:hAnsiTheme="majorEastAsia" w:eastAsiaTheme="majorEastAsia"/>
                <w:kern w:val="0"/>
                <w:sz w:val="18"/>
                <w:szCs w:val="1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kern w:val="0"/>
                <w:sz w:val="18"/>
                <w:szCs w:val="18"/>
              </w:rPr>
            </w:pPr>
            <w:r>
              <w:rPr>
                <w:rFonts w:hint="eastAsia" w:cs="仿宋_GB2312" w:asciiTheme="majorEastAsia" w:hAnsiTheme="majorEastAsia" w:eastAsiaTheme="majorEastAsia"/>
                <w:kern w:val="0"/>
                <w:sz w:val="18"/>
                <w:szCs w:val="18"/>
              </w:rPr>
              <w:t>满意度</w:t>
            </w:r>
          </w:p>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群众满意度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98%</w:t>
            </w:r>
          </w:p>
        </w:tc>
      </w:tr>
    </w:tbl>
    <w:p>
      <w:pPr>
        <w:spacing w:line="576" w:lineRule="exact"/>
        <w:rPr>
          <w:rFonts w:ascii="方正小标宋简体" w:hAnsi="宋体" w:eastAsia="方正小标宋简体"/>
          <w:sz w:val="44"/>
          <w:szCs w:val="44"/>
        </w:rPr>
      </w:pPr>
    </w:p>
    <w:p>
      <w:pPr>
        <w:pStyle w:val="2"/>
        <w:spacing w:before="93"/>
      </w:pPr>
    </w:p>
    <w:p>
      <w:pPr>
        <w:pStyle w:val="2"/>
        <w:spacing w:before="93"/>
      </w:pPr>
    </w:p>
    <w:p>
      <w:pPr>
        <w:pStyle w:val="2"/>
        <w:spacing w:before="93"/>
      </w:pPr>
    </w:p>
    <w:p>
      <w:pPr>
        <w:spacing w:line="600" w:lineRule="exact"/>
        <w:ind w:firstLine="880" w:firstLineChars="200"/>
        <w:rPr>
          <w:rFonts w:ascii="方正小标宋简体" w:hAnsi="宋体" w:eastAsia="方正小标宋简体"/>
          <w:color w:val="000000"/>
          <w:sz w:val="44"/>
          <w:szCs w:val="44"/>
          <w:lang w:val="zh-CN"/>
        </w:rPr>
      </w:pPr>
      <w:r>
        <w:rPr>
          <w:rFonts w:hint="eastAsia" w:ascii="方正小标宋简体" w:hAnsi="宋体" w:eastAsia="方正小标宋简体"/>
          <w:color w:val="000000"/>
          <w:sz w:val="44"/>
          <w:szCs w:val="44"/>
          <w:lang w:val="zh-CN"/>
        </w:rPr>
        <w:t>四大班子</w:t>
      </w:r>
      <w:r>
        <w:rPr>
          <w:rFonts w:hint="eastAsia" w:ascii="方正小标宋简体" w:hAnsi="宋体" w:eastAsia="方正小标宋简体"/>
          <w:color w:val="000000"/>
          <w:sz w:val="44"/>
          <w:szCs w:val="44"/>
        </w:rPr>
        <w:t>OA办公系统服务费</w:t>
      </w:r>
      <w:r>
        <w:rPr>
          <w:rFonts w:hint="eastAsia" w:ascii="方正小标宋简体" w:hAnsi="宋体" w:eastAsia="方正小标宋简体"/>
          <w:color w:val="000000"/>
          <w:sz w:val="44"/>
          <w:szCs w:val="44"/>
          <w:lang w:val="zh-CN"/>
        </w:rPr>
        <w:t>项目</w:t>
      </w:r>
    </w:p>
    <w:p>
      <w:pPr>
        <w:ind w:firstLine="2200" w:firstLineChars="500"/>
        <w:rPr>
          <w:rFonts w:ascii="方正小标宋简体" w:hAnsi="宋体" w:eastAsia="方正小标宋简体"/>
          <w:color w:val="000000"/>
          <w:sz w:val="44"/>
          <w:szCs w:val="44"/>
          <w:lang w:val="zh-CN"/>
        </w:rPr>
      </w:pPr>
      <w:r>
        <w:rPr>
          <w:rFonts w:ascii="方正小标宋简体" w:hAnsi="宋体" w:eastAsia="方正小标宋简体"/>
          <w:color w:val="000000"/>
          <w:sz w:val="44"/>
          <w:szCs w:val="44"/>
        </w:rPr>
        <w:t>202</w:t>
      </w:r>
      <w:r>
        <w:rPr>
          <w:rFonts w:hint="eastAsia" w:ascii="方正小标宋简体" w:hAnsi="宋体" w:eastAsia="方正小标宋简体"/>
          <w:color w:val="000000"/>
          <w:sz w:val="44"/>
          <w:szCs w:val="44"/>
        </w:rPr>
        <w:t>1年</w:t>
      </w:r>
      <w:r>
        <w:rPr>
          <w:rFonts w:hint="eastAsia" w:ascii="方正小标宋简体" w:hAnsi="宋体" w:eastAsia="方正小标宋简体"/>
          <w:color w:val="000000"/>
          <w:sz w:val="44"/>
          <w:szCs w:val="44"/>
          <w:lang w:val="zh-CN"/>
        </w:rPr>
        <w:t>绩效评价报告</w:t>
      </w:r>
    </w:p>
    <w:p>
      <w:pPr>
        <w:spacing w:line="576" w:lineRule="exact"/>
        <w:ind w:firstLine="220" w:firstLineChars="50"/>
        <w:rPr>
          <w:rFonts w:ascii="方正小标宋简体" w:hAnsi="宋体" w:eastAsia="方正小标宋简体"/>
          <w:color w:val="000000"/>
          <w:sz w:val="44"/>
          <w:szCs w:val="44"/>
          <w:lang w:val="zh-CN"/>
        </w:rPr>
      </w:pPr>
    </w:p>
    <w:p>
      <w:pPr>
        <w:spacing w:line="576" w:lineRule="exact"/>
        <w:ind w:firstLine="640" w:firstLineChars="200"/>
        <w:rPr>
          <w:rFonts w:ascii="黑体" w:hAnsi="黑体" w:eastAsia="黑体"/>
          <w:sz w:val="32"/>
          <w:szCs w:val="32"/>
        </w:rPr>
      </w:pPr>
      <w:r>
        <w:rPr>
          <w:rFonts w:hint="eastAsia" w:ascii="黑体" w:hAnsi="黑体" w:eastAsia="黑体"/>
          <w:sz w:val="32"/>
          <w:szCs w:val="32"/>
        </w:rPr>
        <w:t>一、项目概况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1、项目主管部门在该项目管理中的职能。</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广元市人民政府办公室移动OA办公服务由市政府办公室机关后勤管理科具体负责，确保市政府办公室OA协同办公移动终端无线上网接入网络安全通畅，数据传输稳定可靠，终端设备的维修维护。</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2、项目立项、资金申报的依据。</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一是广元市人民政府办公室移动OA办公系统先期由中国移动通信集团四川有限公司广元分公司与协同办公系统开发商于2016年共同完成,2019年再次升级完善。根据《政府采购法》《政府采购法实施条例》规定，选择该公司有利于业务后续使用和持续优化，提高服务响应效率，降低管理和硬件投入成本，故为整体系统能长期安全稳定运行，确保业务延续性，拟采用单一来源方式采购移动OA办公系统服务</w:t>
      </w:r>
      <w:r>
        <w:rPr>
          <w:rFonts w:hint="eastAsia" w:ascii="仿宋_GB2312" w:hAnsi="宋体" w:eastAsia="仿宋_GB2312" w:cs="宋体"/>
          <w:bCs/>
          <w:sz w:val="32"/>
          <w:szCs w:val="32"/>
        </w:rPr>
        <w:t>。</w:t>
      </w:r>
    </w:p>
    <w:p>
      <w:pPr>
        <w:tabs>
          <w:tab w:val="left" w:pos="309"/>
        </w:tabs>
        <w:spacing w:line="576" w:lineRule="exact"/>
        <w:ind w:firstLine="640" w:firstLineChars="200"/>
        <w:rPr>
          <w:rFonts w:ascii="仿宋_GB2312" w:eastAsia="仿宋_GB2312"/>
          <w:sz w:val="32"/>
          <w:szCs w:val="32"/>
        </w:rPr>
      </w:pPr>
      <w:r>
        <w:rPr>
          <w:rFonts w:hint="eastAsia" w:ascii="仿宋_GB2312" w:eastAsia="仿宋_GB2312"/>
          <w:sz w:val="32"/>
          <w:szCs w:val="32"/>
        </w:rPr>
        <w:t>二是《关于移动OA办公服务采购有关事项的请示》</w:t>
      </w:r>
    </w:p>
    <w:p>
      <w:pPr>
        <w:tabs>
          <w:tab w:val="left" w:pos="309"/>
        </w:tabs>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(1)采购预算：29万元，财政预算保障。</w:t>
      </w:r>
    </w:p>
    <w:p>
      <w:pPr>
        <w:tabs>
          <w:tab w:val="left" w:pos="309"/>
        </w:tabs>
        <w:spacing w:line="576" w:lineRule="exact"/>
        <w:ind w:firstLine="640" w:firstLineChars="200"/>
        <w:rPr>
          <w:rFonts w:ascii="仿宋_GB2312" w:hAnsi="仿宋" w:eastAsia="仿宋_GB2312"/>
          <w:color w:val="000000"/>
          <w:sz w:val="32"/>
          <w:szCs w:val="32"/>
        </w:rPr>
      </w:pPr>
      <w:r>
        <w:rPr>
          <w:rFonts w:hint="eastAsia" w:ascii="仿宋_GB2312" w:hAnsi="宋体" w:eastAsia="仿宋_GB2312" w:cs="宋体"/>
          <w:bCs/>
          <w:sz w:val="32"/>
          <w:szCs w:val="32"/>
        </w:rPr>
        <w:t>(2)采购方式：由</w:t>
      </w:r>
      <w:r>
        <w:rPr>
          <w:rFonts w:ascii="仿宋_GB2312" w:hAnsi="宋体" w:eastAsia="仿宋_GB2312" w:cs="宋体"/>
          <w:bCs/>
          <w:sz w:val="32"/>
          <w:szCs w:val="32"/>
        </w:rPr>
        <w:t>采购人自行组织</w:t>
      </w:r>
      <w:r>
        <w:rPr>
          <w:rFonts w:hint="eastAsia" w:ascii="仿宋_GB2312" w:hAnsi="宋体" w:eastAsia="仿宋_GB2312" w:cs="宋体"/>
          <w:bCs/>
          <w:sz w:val="32"/>
          <w:szCs w:val="32"/>
        </w:rPr>
        <w:t>单一来源采购。</w:t>
      </w:r>
    </w:p>
    <w:p>
      <w:pPr>
        <w:tabs>
          <w:tab w:val="left" w:pos="309"/>
        </w:tabs>
        <w:spacing w:line="576" w:lineRule="exact"/>
        <w:ind w:firstLine="640" w:firstLineChars="200"/>
        <w:rPr>
          <w:rFonts w:ascii="仿宋_GB2312" w:hAnsi="宋体" w:eastAsia="仿宋_GB2312" w:cs="宋体"/>
          <w:bCs/>
          <w:sz w:val="32"/>
          <w:szCs w:val="32"/>
        </w:rPr>
      </w:pPr>
      <w:r>
        <w:rPr>
          <w:rFonts w:hint="eastAsia" w:ascii="仿宋_GB2312" w:hAnsi="仿宋" w:eastAsia="仿宋_GB2312"/>
          <w:color w:val="000000"/>
          <w:sz w:val="32"/>
          <w:szCs w:val="32"/>
        </w:rPr>
        <w:t>理由：</w:t>
      </w:r>
      <w:r>
        <w:rPr>
          <w:rFonts w:hint="eastAsia" w:ascii="仿宋_GB2312" w:hAnsi="宋体" w:eastAsia="仿宋_GB2312" w:cs="宋体"/>
          <w:bCs/>
          <w:sz w:val="32"/>
          <w:szCs w:val="32"/>
        </w:rPr>
        <w:t>市政府在用的移动OA办公系统先期由中国移动通信集团四川有限公司广元分公司与协同办公系统开发商于2016年共同完成，2019年进行</w:t>
      </w:r>
      <w:r>
        <w:rPr>
          <w:rFonts w:ascii="仿宋_GB2312" w:hAnsi="宋体" w:eastAsia="仿宋_GB2312" w:cs="宋体"/>
          <w:bCs/>
          <w:sz w:val="32"/>
          <w:szCs w:val="32"/>
        </w:rPr>
        <w:t>系统升级</w:t>
      </w:r>
      <w:r>
        <w:rPr>
          <w:rFonts w:hint="eastAsia" w:ascii="仿宋_GB2312" w:hAnsi="宋体" w:eastAsia="仿宋_GB2312" w:cs="宋体"/>
          <w:bCs/>
          <w:sz w:val="32"/>
          <w:szCs w:val="32"/>
        </w:rPr>
        <w:t>，主要包含移动OA办公平台网络（含流量卡）和办公终端服务。同时，移动OA应用基于安全采用短信认证服务，移动公司的云短信能力已植入软件API接口。选择该公司有利于业务后续使用和持续优化，提高服务响应效率，降低管理和硬件投入成本。故为整体系统能长期安全稳定运行，确保业务延续性，拟采用单一来源采购方式实施采购。因该项目</w:t>
      </w:r>
      <w:r>
        <w:rPr>
          <w:rFonts w:ascii="仿宋_GB2312" w:hAnsi="宋体" w:eastAsia="仿宋_GB2312" w:cs="宋体"/>
          <w:bCs/>
          <w:sz w:val="32"/>
          <w:szCs w:val="32"/>
        </w:rPr>
        <w:t>在省</w:t>
      </w:r>
      <w:r>
        <w:rPr>
          <w:rFonts w:hint="eastAsia" w:ascii="仿宋_GB2312" w:hAnsi="宋体" w:eastAsia="仿宋_GB2312" w:cs="宋体"/>
          <w:bCs/>
          <w:sz w:val="32"/>
          <w:szCs w:val="32"/>
        </w:rPr>
        <w:t>2021年</w:t>
      </w:r>
      <w:r>
        <w:rPr>
          <w:rFonts w:ascii="仿宋_GB2312" w:hAnsi="宋体" w:eastAsia="仿宋_GB2312" w:cs="宋体"/>
          <w:bCs/>
          <w:sz w:val="32"/>
          <w:szCs w:val="32"/>
        </w:rPr>
        <w:t>政府集中采购目录</w:t>
      </w:r>
      <w:r>
        <w:rPr>
          <w:rFonts w:hint="eastAsia" w:ascii="仿宋_GB2312" w:hAnsi="宋体" w:eastAsia="仿宋_GB2312" w:cs="宋体"/>
          <w:bCs/>
          <w:sz w:val="32"/>
          <w:szCs w:val="32"/>
        </w:rPr>
        <w:t>以外、</w:t>
      </w:r>
      <w:r>
        <w:rPr>
          <w:rFonts w:ascii="仿宋_GB2312" w:hAnsi="宋体" w:eastAsia="仿宋_GB2312" w:cs="宋体"/>
          <w:bCs/>
          <w:sz w:val="32"/>
          <w:szCs w:val="32"/>
        </w:rPr>
        <w:t>采购限额</w:t>
      </w:r>
      <w:r>
        <w:rPr>
          <w:rFonts w:hint="eastAsia" w:ascii="仿宋_GB2312" w:hAnsi="宋体" w:eastAsia="仿宋_GB2312" w:cs="宋体"/>
          <w:bCs/>
          <w:sz w:val="32"/>
          <w:szCs w:val="32"/>
        </w:rPr>
        <w:t>标准</w:t>
      </w:r>
      <w:r>
        <w:rPr>
          <w:rFonts w:ascii="仿宋_GB2312" w:hAnsi="宋体" w:eastAsia="仿宋_GB2312" w:cs="宋体"/>
          <w:bCs/>
          <w:sz w:val="32"/>
          <w:szCs w:val="32"/>
        </w:rPr>
        <w:t>以下，拟由市政府办公室自行组织采购。</w:t>
      </w:r>
    </w:p>
    <w:p>
      <w:pPr>
        <w:tabs>
          <w:tab w:val="left" w:pos="309"/>
        </w:tabs>
        <w:spacing w:line="576" w:lineRule="exact"/>
        <w:ind w:firstLine="640" w:firstLineChars="200"/>
        <w:rPr>
          <w:rFonts w:ascii="仿宋_GB2312" w:hAnsi="宋体" w:eastAsia="仿宋_GB2312" w:cs="宋体"/>
          <w:bCs/>
          <w:sz w:val="32"/>
          <w:szCs w:val="32"/>
        </w:rPr>
      </w:pPr>
      <w:r>
        <w:rPr>
          <w:rFonts w:hint="eastAsia" w:ascii="黑体" w:hAnsi="黑体" w:eastAsia="黑体" w:cs="宋体"/>
          <w:bCs/>
          <w:sz w:val="32"/>
          <w:szCs w:val="32"/>
        </w:rPr>
        <w:t>三</w:t>
      </w:r>
      <w:r>
        <w:rPr>
          <w:rFonts w:ascii="黑体" w:hAnsi="黑体" w:eastAsia="黑体" w:cs="宋体"/>
          <w:bCs/>
          <w:sz w:val="32"/>
          <w:szCs w:val="32"/>
        </w:rPr>
        <w:t>、</w:t>
      </w:r>
      <w:r>
        <w:rPr>
          <w:rFonts w:hint="eastAsia" w:ascii="黑体" w:hAnsi="黑体" w:eastAsia="黑体" w:cs="宋体"/>
          <w:bCs/>
          <w:sz w:val="32"/>
          <w:szCs w:val="32"/>
        </w:rPr>
        <w:t>采购</w:t>
      </w:r>
      <w:r>
        <w:rPr>
          <w:rFonts w:ascii="黑体" w:hAnsi="黑体" w:eastAsia="黑体" w:cs="宋体"/>
          <w:bCs/>
          <w:sz w:val="32"/>
          <w:szCs w:val="32"/>
        </w:rPr>
        <w:t>服务期限：</w:t>
      </w:r>
      <w:r>
        <w:rPr>
          <w:rFonts w:hint="eastAsia" w:ascii="仿宋_GB2312" w:hAnsi="宋体" w:eastAsia="仿宋_GB2312" w:cs="宋体"/>
          <w:bCs/>
          <w:sz w:val="32"/>
          <w:szCs w:val="32"/>
        </w:rPr>
        <w:t>2021年11月</w:t>
      </w:r>
      <w:r>
        <w:rPr>
          <w:rFonts w:ascii="仿宋_GB2312" w:hAnsi="宋体" w:eastAsia="仿宋_GB2312" w:cs="宋体"/>
          <w:bCs/>
          <w:sz w:val="32"/>
          <w:szCs w:val="32"/>
        </w:rPr>
        <w:t>至</w:t>
      </w:r>
      <w:r>
        <w:rPr>
          <w:rFonts w:hint="eastAsia" w:ascii="仿宋_GB2312" w:hAnsi="宋体" w:eastAsia="仿宋_GB2312" w:cs="宋体"/>
          <w:bCs/>
          <w:sz w:val="32"/>
          <w:szCs w:val="32"/>
        </w:rPr>
        <w:t>2022年10月，签订</w:t>
      </w:r>
      <w:r>
        <w:rPr>
          <w:rFonts w:ascii="仿宋_GB2312" w:hAnsi="宋体" w:eastAsia="仿宋_GB2312" w:cs="宋体"/>
          <w:bCs/>
          <w:sz w:val="32"/>
          <w:szCs w:val="32"/>
        </w:rPr>
        <w:t>合同履行</w:t>
      </w:r>
      <w:r>
        <w:rPr>
          <w:rFonts w:hint="eastAsia" w:ascii="仿宋_GB2312" w:hAnsi="宋体" w:eastAsia="仿宋_GB2312" w:cs="宋体"/>
          <w:bCs/>
          <w:sz w:val="32"/>
          <w:szCs w:val="32"/>
        </w:rPr>
        <w:t>期</w:t>
      </w:r>
      <w:r>
        <w:rPr>
          <w:rFonts w:ascii="仿宋_GB2312" w:hAnsi="宋体" w:eastAsia="仿宋_GB2312" w:cs="宋体"/>
          <w:bCs/>
          <w:sz w:val="32"/>
          <w:szCs w:val="32"/>
        </w:rPr>
        <w:t>为</w:t>
      </w:r>
      <w:r>
        <w:rPr>
          <w:rFonts w:hint="eastAsia" w:ascii="仿宋_GB2312" w:hAnsi="宋体" w:eastAsia="仿宋_GB2312" w:cs="宋体"/>
          <w:bCs/>
          <w:sz w:val="32"/>
          <w:szCs w:val="32"/>
        </w:rPr>
        <w:t>一年</w:t>
      </w:r>
      <w:r>
        <w:rPr>
          <w:rFonts w:ascii="仿宋_GB2312" w:hAnsi="宋体" w:eastAsia="仿宋_GB2312" w:cs="宋体"/>
          <w:bCs/>
          <w:sz w:val="32"/>
          <w:szCs w:val="32"/>
        </w:rPr>
        <w:t>。</w:t>
      </w:r>
    </w:p>
    <w:p>
      <w:pPr>
        <w:tabs>
          <w:tab w:val="left" w:pos="309"/>
        </w:tabs>
        <w:spacing w:line="576" w:lineRule="exact"/>
        <w:ind w:firstLine="640" w:firstLineChars="200"/>
        <w:rPr>
          <w:rFonts w:ascii="黑体" w:hAnsi="黑体" w:eastAsia="黑体" w:cs="宋体"/>
          <w:bCs/>
          <w:sz w:val="32"/>
          <w:szCs w:val="32"/>
        </w:rPr>
      </w:pPr>
      <w:r>
        <w:rPr>
          <w:rFonts w:hint="eastAsia" w:ascii="黑体" w:hAnsi="黑体" w:eastAsia="黑体" w:cs="宋体"/>
          <w:bCs/>
          <w:sz w:val="32"/>
          <w:szCs w:val="32"/>
        </w:rPr>
        <w:t>四</w:t>
      </w:r>
      <w:r>
        <w:rPr>
          <w:rFonts w:ascii="黑体" w:hAnsi="黑体" w:eastAsia="黑体" w:cs="宋体"/>
          <w:bCs/>
          <w:sz w:val="32"/>
          <w:szCs w:val="32"/>
        </w:rPr>
        <w:t>、</w:t>
      </w:r>
      <w:r>
        <w:rPr>
          <w:rFonts w:hint="eastAsia" w:ascii="黑体" w:hAnsi="黑体" w:eastAsia="黑体" w:cs="宋体"/>
          <w:bCs/>
          <w:sz w:val="32"/>
          <w:szCs w:val="32"/>
        </w:rPr>
        <w:t>采购核心服务内容</w:t>
      </w:r>
    </w:p>
    <w:p>
      <w:pPr>
        <w:tabs>
          <w:tab w:val="left" w:pos="309"/>
        </w:tabs>
        <w:spacing w:line="576" w:lineRule="exact"/>
        <w:ind w:firstLine="640" w:firstLineChars="200"/>
        <w:rPr>
          <w:rFonts w:ascii="仿宋_GB2312" w:hAnsi="仿宋" w:eastAsia="仿宋_GB2312"/>
          <w:color w:val="000000"/>
          <w:sz w:val="32"/>
          <w:szCs w:val="32"/>
        </w:rPr>
      </w:pPr>
      <w:r>
        <w:rPr>
          <w:rFonts w:hint="eastAsia" w:ascii="仿宋_GB2312" w:hAnsi="宋体" w:eastAsia="仿宋_GB2312" w:cs="宋体"/>
          <w:bCs/>
          <w:sz w:val="32"/>
          <w:szCs w:val="32"/>
        </w:rPr>
        <w:t>（一）</w:t>
      </w:r>
      <w:r>
        <w:rPr>
          <w:rFonts w:hint="eastAsia" w:ascii="仿宋_GB2312" w:hAnsi="仿宋" w:eastAsia="仿宋_GB2312"/>
          <w:color w:val="000000"/>
          <w:sz w:val="32"/>
          <w:szCs w:val="32"/>
        </w:rPr>
        <w:t>移动OA办公平台技术服务，年使用费190000元/年。</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（二）移动</w:t>
      </w:r>
      <w:r>
        <w:rPr>
          <w:rFonts w:ascii="仿宋_GB2312" w:hAnsi="仿宋" w:eastAsia="仿宋_GB2312"/>
          <w:color w:val="000000"/>
          <w:sz w:val="32"/>
          <w:szCs w:val="32"/>
        </w:rPr>
        <w:t>OA</w:t>
      </w:r>
      <w:r>
        <w:rPr>
          <w:rFonts w:hint="eastAsia" w:ascii="仿宋_GB2312" w:hAnsi="仿宋" w:eastAsia="仿宋_GB2312"/>
          <w:color w:val="000000"/>
          <w:sz w:val="32"/>
          <w:szCs w:val="32"/>
        </w:rPr>
        <w:t>办公E人E本上网</w:t>
      </w:r>
      <w:r>
        <w:rPr>
          <w:rFonts w:ascii="仿宋_GB2312" w:hAnsi="仿宋" w:eastAsia="仿宋_GB2312"/>
          <w:color w:val="000000"/>
          <w:sz w:val="32"/>
          <w:szCs w:val="32"/>
        </w:rPr>
        <w:t>卡</w:t>
      </w:r>
      <w:r>
        <w:rPr>
          <w:rFonts w:hint="eastAsia" w:ascii="仿宋_GB2312" w:hAnsi="仿宋" w:eastAsia="仿宋_GB2312"/>
          <w:color w:val="000000"/>
          <w:sz w:val="32"/>
          <w:szCs w:val="32"/>
        </w:rPr>
        <w:t>及终端</w:t>
      </w:r>
      <w:r>
        <w:rPr>
          <w:rFonts w:ascii="仿宋_GB2312" w:hAnsi="仿宋" w:eastAsia="仿宋_GB2312"/>
          <w:color w:val="000000"/>
          <w:sz w:val="32"/>
          <w:szCs w:val="32"/>
        </w:rPr>
        <w:t>服务</w:t>
      </w:r>
      <w:r>
        <w:rPr>
          <w:rFonts w:hint="eastAsia" w:ascii="仿宋_GB2312" w:hAnsi="仿宋" w:eastAsia="仿宋_GB2312"/>
          <w:color w:val="000000"/>
          <w:sz w:val="32"/>
          <w:szCs w:val="32"/>
        </w:rPr>
        <w:t>，年</w:t>
      </w:r>
      <w:r>
        <w:rPr>
          <w:rFonts w:ascii="仿宋_GB2312" w:hAnsi="仿宋" w:eastAsia="仿宋_GB2312"/>
          <w:color w:val="000000"/>
          <w:sz w:val="32"/>
          <w:szCs w:val="32"/>
        </w:rPr>
        <w:t>使用费</w:t>
      </w:r>
      <w:r>
        <w:rPr>
          <w:rFonts w:hint="eastAsia" w:ascii="仿宋_GB2312" w:hAnsi="仿宋" w:eastAsia="仿宋_GB2312"/>
          <w:color w:val="000000"/>
          <w:sz w:val="32"/>
          <w:szCs w:val="32"/>
        </w:rPr>
        <w:t>98400元/年。</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总计：288400元/年。</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（三）付费方式：预付费用。如因移动OA办公用户数量变更，实际应支付费用根据当年实际使用用户数量据实结算。</w:t>
      </w:r>
    </w:p>
    <w:p>
      <w:pPr>
        <w:spacing w:line="576"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w:t>
      </w:r>
      <w:r>
        <w:rPr>
          <w:rFonts w:ascii="黑体" w:hAnsi="黑体" w:eastAsia="黑体"/>
          <w:color w:val="000000"/>
          <w:sz w:val="32"/>
          <w:szCs w:val="32"/>
        </w:rPr>
        <w:t>、</w:t>
      </w:r>
      <w:r>
        <w:rPr>
          <w:rFonts w:hint="eastAsia" w:ascii="黑体" w:hAnsi="黑体" w:eastAsia="黑体"/>
          <w:color w:val="000000"/>
          <w:sz w:val="32"/>
          <w:szCs w:val="32"/>
        </w:rPr>
        <w:t>对供应商</w:t>
      </w:r>
      <w:r>
        <w:rPr>
          <w:rFonts w:ascii="黑体" w:hAnsi="黑体" w:eastAsia="黑体"/>
          <w:color w:val="000000"/>
          <w:sz w:val="32"/>
          <w:szCs w:val="32"/>
        </w:rPr>
        <w:t>的</w:t>
      </w:r>
      <w:r>
        <w:rPr>
          <w:rFonts w:hint="eastAsia" w:ascii="黑体" w:hAnsi="黑体" w:eastAsia="黑体"/>
          <w:color w:val="000000"/>
          <w:sz w:val="32"/>
          <w:szCs w:val="32"/>
        </w:rPr>
        <w:t>服务</w:t>
      </w:r>
      <w:r>
        <w:rPr>
          <w:rFonts w:ascii="黑体" w:hAnsi="黑体" w:eastAsia="黑体"/>
          <w:color w:val="000000"/>
          <w:sz w:val="32"/>
          <w:szCs w:val="32"/>
        </w:rPr>
        <w:t>要</w:t>
      </w:r>
      <w:r>
        <w:rPr>
          <w:rFonts w:hint="eastAsia" w:ascii="黑体" w:hAnsi="黑体" w:eastAsia="黑体"/>
          <w:color w:val="000000"/>
          <w:sz w:val="32"/>
          <w:szCs w:val="32"/>
        </w:rPr>
        <w:t>求</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（一）承诺配备专人作为采购</w:t>
      </w:r>
      <w:r>
        <w:rPr>
          <w:rFonts w:ascii="仿宋" w:hAnsi="仿宋" w:eastAsia="仿宋"/>
          <w:sz w:val="32"/>
          <w:szCs w:val="32"/>
        </w:rPr>
        <w:t>人</w:t>
      </w:r>
      <w:r>
        <w:rPr>
          <w:rFonts w:hint="eastAsia" w:ascii="仿宋" w:hAnsi="仿宋" w:eastAsia="仿宋"/>
          <w:sz w:val="32"/>
          <w:szCs w:val="32"/>
        </w:rPr>
        <w:t>客户经理和技术人员，提供专业客户服务，提供相关业务咨询、建议。</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（二）按本协议约定收取费用，并承诺在协议期内按国家通信行业管理的相关规定提供必要的通信支持和电信服务，按规定收取费用。</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（三）提供稳定可靠的传输服务，保证数据通信信息在完整性、安全性等方面的安全要求。</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（四）对攻击防御、网络安全事件调查、安全问题的发现和解决等各项工作进行积极配合，且有保障措施和承诺。</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（五）负责移动OA办公终端设备的7×24小时的运行维护，接收并及时响应采购人及使用用户在使用过程中的申告，负责统筹调度、全程跟踪故障处理，有义务配合采购人指定的第三方做好系统检查和检测。</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、有关事项</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采购报价邀请函</w:t>
      </w:r>
      <w:r>
        <w:rPr>
          <w:rFonts w:hint="eastAsia" w:ascii="仿宋" w:hAnsi="仿宋" w:eastAsia="仿宋"/>
          <w:sz w:val="32"/>
          <w:szCs w:val="32"/>
        </w:rPr>
        <w:t>和成交</w:t>
      </w:r>
      <w:r>
        <w:rPr>
          <w:rFonts w:ascii="仿宋" w:hAnsi="仿宋" w:eastAsia="仿宋"/>
          <w:sz w:val="32"/>
          <w:szCs w:val="32"/>
        </w:rPr>
        <w:t>公告</w:t>
      </w:r>
      <w:r>
        <w:rPr>
          <w:rFonts w:hint="eastAsia" w:ascii="仿宋" w:hAnsi="仿宋" w:eastAsia="仿宋"/>
          <w:sz w:val="32"/>
          <w:szCs w:val="32"/>
        </w:rPr>
        <w:t>拟</w:t>
      </w:r>
      <w:r>
        <w:rPr>
          <w:rFonts w:ascii="仿宋" w:hAnsi="仿宋" w:eastAsia="仿宋"/>
          <w:sz w:val="32"/>
          <w:szCs w:val="32"/>
        </w:rPr>
        <w:t>在广元市政府门户网站</w:t>
      </w:r>
      <w:r>
        <w:rPr>
          <w:rFonts w:hint="eastAsia" w:ascii="仿宋" w:hAnsi="仿宋" w:eastAsia="仿宋"/>
          <w:sz w:val="32"/>
          <w:szCs w:val="32"/>
        </w:rPr>
        <w:t>、</w:t>
      </w:r>
      <w:r>
        <w:rPr>
          <w:rFonts w:ascii="仿宋" w:hAnsi="仿宋" w:eastAsia="仿宋"/>
          <w:sz w:val="32"/>
          <w:szCs w:val="32"/>
        </w:rPr>
        <w:t>四</w:t>
      </w:r>
      <w:r>
        <w:rPr>
          <w:rFonts w:hint="eastAsia" w:ascii="仿宋" w:hAnsi="仿宋" w:eastAsia="仿宋"/>
          <w:sz w:val="32"/>
          <w:szCs w:val="32"/>
        </w:rPr>
        <w:t>川</w:t>
      </w:r>
      <w:r>
        <w:rPr>
          <w:rFonts w:ascii="仿宋" w:hAnsi="仿宋" w:eastAsia="仿宋"/>
          <w:sz w:val="32"/>
          <w:szCs w:val="32"/>
        </w:rPr>
        <w:t>采购网公开。</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（二）单一来源</w:t>
      </w:r>
      <w:r>
        <w:rPr>
          <w:rFonts w:ascii="仿宋" w:hAnsi="仿宋" w:eastAsia="仿宋"/>
          <w:sz w:val="32"/>
          <w:szCs w:val="32"/>
        </w:rPr>
        <w:t>采购洽谈</w:t>
      </w:r>
      <w:r>
        <w:rPr>
          <w:rFonts w:hint="eastAsia" w:ascii="仿宋" w:hAnsi="仿宋" w:eastAsia="仿宋"/>
          <w:sz w:val="32"/>
          <w:szCs w:val="32"/>
        </w:rPr>
        <w:t>拟由行政</w:t>
      </w:r>
      <w:r>
        <w:rPr>
          <w:rFonts w:ascii="仿宋" w:hAnsi="仿宋" w:eastAsia="仿宋"/>
          <w:sz w:val="32"/>
          <w:szCs w:val="32"/>
        </w:rPr>
        <w:t>法规科组织，</w:t>
      </w:r>
      <w:r>
        <w:rPr>
          <w:rFonts w:hint="eastAsia" w:ascii="仿宋" w:hAnsi="仿宋" w:eastAsia="仿宋"/>
          <w:sz w:val="32"/>
          <w:szCs w:val="32"/>
        </w:rPr>
        <w:t>洽谈</w:t>
      </w:r>
      <w:r>
        <w:rPr>
          <w:rFonts w:ascii="仿宋" w:hAnsi="仿宋" w:eastAsia="仿宋"/>
          <w:sz w:val="32"/>
          <w:szCs w:val="32"/>
        </w:rPr>
        <w:t>小组</w:t>
      </w:r>
      <w:r>
        <w:rPr>
          <w:rFonts w:hint="eastAsia" w:ascii="仿宋" w:hAnsi="仿宋" w:eastAsia="仿宋"/>
          <w:sz w:val="32"/>
          <w:szCs w:val="32"/>
        </w:rPr>
        <w:t>成员</w:t>
      </w:r>
      <w:r>
        <w:rPr>
          <w:rFonts w:ascii="仿宋" w:hAnsi="仿宋" w:eastAsia="仿宋"/>
          <w:sz w:val="32"/>
          <w:szCs w:val="32"/>
        </w:rPr>
        <w:t>拟由</w:t>
      </w:r>
      <w:r>
        <w:rPr>
          <w:rFonts w:hint="eastAsia" w:ascii="仿宋" w:hAnsi="仿宋" w:eastAsia="仿宋"/>
          <w:sz w:val="32"/>
          <w:szCs w:val="32"/>
        </w:rPr>
        <w:t>文电科</w:t>
      </w:r>
      <w:r>
        <w:rPr>
          <w:rFonts w:ascii="仿宋" w:hAnsi="仿宋" w:eastAsia="仿宋"/>
          <w:sz w:val="32"/>
          <w:szCs w:val="32"/>
        </w:rPr>
        <w:t>、</w:t>
      </w:r>
      <w:r>
        <w:rPr>
          <w:rFonts w:hint="eastAsia" w:ascii="仿宋" w:hAnsi="仿宋" w:eastAsia="仿宋"/>
          <w:sz w:val="32"/>
          <w:szCs w:val="32"/>
        </w:rPr>
        <w:t>市电子政务外网管理中心和机关后勤管理科负责人</w:t>
      </w:r>
      <w:r>
        <w:rPr>
          <w:rFonts w:ascii="仿宋" w:hAnsi="仿宋" w:eastAsia="仿宋"/>
          <w:sz w:val="32"/>
          <w:szCs w:val="32"/>
        </w:rPr>
        <w:t>组成</w:t>
      </w:r>
      <w:r>
        <w:rPr>
          <w:rFonts w:hint="eastAsia" w:ascii="仿宋" w:hAnsi="仿宋" w:eastAsia="仿宋"/>
          <w:sz w:val="32"/>
          <w:szCs w:val="32"/>
        </w:rPr>
        <w:t>，</w:t>
      </w:r>
      <w:r>
        <w:rPr>
          <w:rFonts w:ascii="仿宋" w:hAnsi="仿宋" w:eastAsia="仿宋"/>
          <w:sz w:val="32"/>
          <w:szCs w:val="32"/>
        </w:rPr>
        <w:t>机关纪委派员监督。</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3.资金管理办法制定情况，资金支持具体项目的条件、范围与支持方式概况。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广元市人民政府办公室移动OA办公系统服务经费严格按照《广元市人民政府办公室移动OA办公业务合作协议》约定的合同期限、服务内容、服务费用及支付方式、服务质量考核原则、服务质量考核对象、服务质量考核内容、服务质量考核结果运用等具体要求，对专项资金的使用加强监督管理，提高资金使用绩效。</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4、资金分配原则及考虑因素。</w:t>
      </w:r>
    </w:p>
    <w:p>
      <w:pPr>
        <w:tabs>
          <w:tab w:val="left" w:pos="309"/>
        </w:tabs>
        <w:spacing w:line="576" w:lineRule="exact"/>
        <w:ind w:firstLine="640" w:firstLineChars="200"/>
        <w:rPr>
          <w:rFonts w:ascii="仿宋_GB2312" w:hAnsi="仿宋" w:eastAsia="仿宋_GB2312"/>
          <w:color w:val="000000"/>
          <w:sz w:val="32"/>
          <w:szCs w:val="32"/>
        </w:rPr>
      </w:pPr>
      <w:r>
        <w:rPr>
          <w:rFonts w:hint="eastAsia" w:ascii="仿宋_GB2312" w:hAnsi="宋体" w:eastAsia="仿宋_GB2312" w:cs="宋体"/>
          <w:bCs/>
          <w:sz w:val="32"/>
          <w:szCs w:val="32"/>
        </w:rPr>
        <w:t>（1）</w:t>
      </w:r>
      <w:r>
        <w:rPr>
          <w:rFonts w:hint="eastAsia" w:ascii="仿宋_GB2312" w:hAnsi="仿宋" w:eastAsia="仿宋_GB2312"/>
          <w:color w:val="000000"/>
          <w:sz w:val="32"/>
          <w:szCs w:val="32"/>
        </w:rPr>
        <w:t>移动OA办公平台技术服务，年使用费190000元/年。</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（2）移动</w:t>
      </w:r>
      <w:r>
        <w:rPr>
          <w:rFonts w:ascii="仿宋_GB2312" w:hAnsi="仿宋" w:eastAsia="仿宋_GB2312"/>
          <w:color w:val="000000"/>
          <w:sz w:val="32"/>
          <w:szCs w:val="32"/>
        </w:rPr>
        <w:t>OA</w:t>
      </w:r>
      <w:r>
        <w:rPr>
          <w:rFonts w:hint="eastAsia" w:ascii="仿宋_GB2312" w:hAnsi="仿宋" w:eastAsia="仿宋_GB2312"/>
          <w:color w:val="000000"/>
          <w:sz w:val="32"/>
          <w:szCs w:val="32"/>
        </w:rPr>
        <w:t>办公E人E本上网</w:t>
      </w:r>
      <w:r>
        <w:rPr>
          <w:rFonts w:ascii="仿宋_GB2312" w:hAnsi="仿宋" w:eastAsia="仿宋_GB2312"/>
          <w:color w:val="000000"/>
          <w:sz w:val="32"/>
          <w:szCs w:val="32"/>
        </w:rPr>
        <w:t>卡</w:t>
      </w:r>
      <w:r>
        <w:rPr>
          <w:rFonts w:hint="eastAsia" w:ascii="仿宋_GB2312" w:hAnsi="仿宋" w:eastAsia="仿宋_GB2312"/>
          <w:color w:val="000000"/>
          <w:sz w:val="32"/>
          <w:szCs w:val="32"/>
        </w:rPr>
        <w:t>及终端</w:t>
      </w:r>
      <w:r>
        <w:rPr>
          <w:rFonts w:ascii="仿宋_GB2312" w:hAnsi="仿宋" w:eastAsia="仿宋_GB2312"/>
          <w:color w:val="000000"/>
          <w:sz w:val="32"/>
          <w:szCs w:val="32"/>
        </w:rPr>
        <w:t>服务</w:t>
      </w:r>
      <w:r>
        <w:rPr>
          <w:rFonts w:hint="eastAsia" w:ascii="仿宋_GB2312" w:hAnsi="仿宋" w:eastAsia="仿宋_GB2312"/>
          <w:color w:val="000000"/>
          <w:sz w:val="32"/>
          <w:szCs w:val="32"/>
        </w:rPr>
        <w:t>，年</w:t>
      </w:r>
      <w:r>
        <w:rPr>
          <w:rFonts w:ascii="仿宋_GB2312" w:hAnsi="仿宋" w:eastAsia="仿宋_GB2312"/>
          <w:color w:val="000000"/>
          <w:sz w:val="32"/>
          <w:szCs w:val="32"/>
        </w:rPr>
        <w:t>使用费</w:t>
      </w:r>
      <w:r>
        <w:rPr>
          <w:rFonts w:hint="eastAsia" w:ascii="仿宋_GB2312" w:hAnsi="仿宋" w:eastAsia="仿宋_GB2312"/>
          <w:color w:val="000000"/>
          <w:sz w:val="32"/>
          <w:szCs w:val="32"/>
        </w:rPr>
        <w:t>98400元/年。</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总计：288400元/年。</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（3）付费方式：预付费用。如因移动OA办公用户数量变更，实际应支付费用根据当年实际使用用户数量据实结算。</w:t>
      </w:r>
    </w:p>
    <w:p>
      <w:pPr>
        <w:spacing w:line="576" w:lineRule="exact"/>
        <w:ind w:firstLine="640" w:firstLineChars="200"/>
        <w:rPr>
          <w:rFonts w:ascii="楷体_GB2312" w:hAnsi="楷体" w:eastAsia="楷体_GB2312"/>
          <w:sz w:val="32"/>
          <w:szCs w:val="32"/>
        </w:rPr>
      </w:pPr>
      <w:r>
        <w:rPr>
          <w:rFonts w:hint="eastAsia" w:ascii="楷体_GB2312" w:hAnsi="楷体" w:eastAsia="楷体_GB2312"/>
          <w:sz w:val="32"/>
          <w:szCs w:val="32"/>
        </w:rPr>
        <w:t>（二）项目绩效目标</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（1）承诺配备专人作为采购</w:t>
      </w:r>
      <w:r>
        <w:rPr>
          <w:rFonts w:ascii="仿宋" w:hAnsi="仿宋" w:eastAsia="仿宋"/>
          <w:sz w:val="32"/>
          <w:szCs w:val="32"/>
        </w:rPr>
        <w:t>人</w:t>
      </w:r>
      <w:r>
        <w:rPr>
          <w:rFonts w:hint="eastAsia" w:ascii="仿宋" w:hAnsi="仿宋" w:eastAsia="仿宋"/>
          <w:sz w:val="32"/>
          <w:szCs w:val="32"/>
        </w:rPr>
        <w:t>客户经理和技术人员，提供专业客户服务，提供相关业务咨询、建议。</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（2）按本协议约定收取费用，并承诺在协议期内按国家通信行业管理的相关规定提供必要的通信支持和电信服务，按规定收取费用。</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（3）提供稳定可靠的传输服务，保证数据通信信息在完整性、安全性等方面的安全要求。</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（4）对攻击防御、网络安全事件调查、安全问题的发现和解决等各项工作进行积极配合，且有保障措施和承诺。</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（5）负责移动OA办公终端设备的7×24小时的运行维护，接收并及时响应采购人及使用用户在使用过程中的申告，负责统筹调度、全程跟踪故障处理，有义务配合采购人指定的第三方做好系统检查和检测。</w:t>
      </w:r>
    </w:p>
    <w:p>
      <w:pPr>
        <w:spacing w:line="576" w:lineRule="exact"/>
        <w:ind w:firstLine="640" w:firstLineChars="200"/>
        <w:rPr>
          <w:rFonts w:ascii="仿宋_GB2312" w:hAnsi="楷体" w:eastAsia="仿宋_GB2312"/>
          <w:sz w:val="32"/>
          <w:szCs w:val="32"/>
        </w:rPr>
      </w:pPr>
      <w:r>
        <w:rPr>
          <w:rFonts w:hint="eastAsia" w:ascii="仿宋_GB2312" w:hAnsi="楷体" w:eastAsia="仿宋_GB2312"/>
          <w:sz w:val="32"/>
          <w:szCs w:val="32"/>
        </w:rPr>
        <w:t>（三）项目自评步骤及方法</w:t>
      </w:r>
    </w:p>
    <w:p>
      <w:pPr>
        <w:shd w:val="clear" w:color="auto" w:fill="FFFFFF"/>
        <w:spacing w:line="576" w:lineRule="exact"/>
        <w:ind w:firstLine="640" w:firstLineChars="200"/>
        <w:rPr>
          <w:rFonts w:ascii="仿宋_GB2312" w:eastAsia="仿宋_GB2312"/>
          <w:sz w:val="32"/>
          <w:szCs w:val="32"/>
        </w:rPr>
      </w:pPr>
      <w:r>
        <w:rPr>
          <w:rFonts w:hint="eastAsia" w:ascii="仿宋_GB2312" w:eastAsia="仿宋_GB2312"/>
          <w:sz w:val="32"/>
          <w:szCs w:val="32"/>
        </w:rPr>
        <w:t>为进一步强化财政支出绩效理念，规范财政资金管理，提高资金使用绩效，根据市财政局《关于开展2022年政策和项目支出绩效评价工作的通知》（广财绩〔2022〕8号）要求，我办成立了专项经费绩效评价工作小组，按照《2022年市本级项目支出绩效评价指标体系》，针对项目内容、实施情况、资金兑现、财务管理、社会效益等作出自我评价。</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二、项目资金申报及使用情况</w:t>
      </w:r>
    </w:p>
    <w:p>
      <w:pPr>
        <w:spacing w:line="550" w:lineRule="exact"/>
        <w:ind w:firstLine="640" w:firstLineChars="200"/>
        <w:rPr>
          <w:rFonts w:ascii="楷体_GB2312" w:hAnsi="楷体" w:eastAsia="楷体_GB2312"/>
          <w:sz w:val="32"/>
          <w:szCs w:val="32"/>
        </w:rPr>
      </w:pPr>
      <w:r>
        <w:rPr>
          <w:rFonts w:hint="eastAsia" w:ascii="楷体_GB2312" w:hAnsi="楷体" w:eastAsia="楷体_GB2312"/>
          <w:sz w:val="32"/>
          <w:szCs w:val="32"/>
        </w:rPr>
        <w:t>（一）项目资金申报及批复情况</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项目名称为：广元市人民政府办公室移动OA办公系统</w:t>
      </w:r>
      <w:r>
        <w:rPr>
          <w:rFonts w:hint="eastAsia" w:ascii="仿宋_GB2312" w:hAnsi="宋体" w:eastAsia="仿宋_GB2312" w:cs="宋体"/>
          <w:bCs/>
          <w:sz w:val="32"/>
          <w:szCs w:val="32"/>
        </w:rPr>
        <w:t>，</w:t>
      </w:r>
      <w:r>
        <w:rPr>
          <w:rFonts w:hint="eastAsia" w:ascii="仿宋_GB2312" w:hAnsi="宋体" w:eastAsia="仿宋_GB2312" w:cs="宋体"/>
          <w:sz w:val="32"/>
          <w:szCs w:val="32"/>
        </w:rPr>
        <w:t>采购文件</w:t>
      </w:r>
      <w:r>
        <w:rPr>
          <w:rFonts w:hint="eastAsia" w:ascii="仿宋_GB2312" w:eastAsia="仿宋_GB2312"/>
          <w:sz w:val="32"/>
          <w:szCs w:val="32"/>
        </w:rPr>
        <w:t>明确项目为财政资金预算金额为28.84万元/年。</w:t>
      </w:r>
    </w:p>
    <w:p>
      <w:pPr>
        <w:spacing w:line="550" w:lineRule="exact"/>
        <w:ind w:firstLine="640" w:firstLineChars="200"/>
        <w:rPr>
          <w:rFonts w:ascii="楷体_GB2312" w:hAnsi="楷体" w:eastAsia="楷体_GB2312"/>
          <w:sz w:val="32"/>
          <w:szCs w:val="32"/>
        </w:rPr>
      </w:pPr>
      <w:r>
        <w:rPr>
          <w:rFonts w:hint="eastAsia" w:ascii="楷体_GB2312" w:hAnsi="楷体" w:eastAsia="楷体_GB2312"/>
          <w:sz w:val="32"/>
          <w:szCs w:val="32"/>
        </w:rPr>
        <w:t>（二）资金计划、到位及使用情况</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1、资金计划及到位。</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2021年度市财政安排广元市人民政府办公室移动OA办公系统服务项目经费43万元全部拨款到位。</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2、资金使用。</w:t>
      </w:r>
    </w:p>
    <w:p>
      <w:pPr>
        <w:spacing w:line="550" w:lineRule="exact"/>
        <w:ind w:firstLine="960" w:firstLineChars="300"/>
        <w:rPr>
          <w:rFonts w:ascii="仿宋" w:hAnsi="仿宋" w:eastAsia="仿宋"/>
          <w:sz w:val="32"/>
          <w:szCs w:val="32"/>
        </w:rPr>
      </w:pPr>
      <w:r>
        <w:rPr>
          <w:rFonts w:hint="eastAsia" w:ascii="仿宋" w:hAnsi="仿宋" w:eastAsia="仿宋"/>
          <w:sz w:val="32"/>
          <w:szCs w:val="32"/>
        </w:rPr>
        <w:t>2021年广元市人民政府办公室移动OA办公系统项目经费支出30.71万元（包括调标后的费用），移动云MSA服务费5万元。</w:t>
      </w:r>
    </w:p>
    <w:p>
      <w:pPr>
        <w:spacing w:line="550" w:lineRule="exact"/>
        <w:ind w:firstLine="800" w:firstLineChars="250"/>
        <w:rPr>
          <w:rFonts w:ascii="楷体_GB2312" w:hAnsi="楷体" w:eastAsia="楷体_GB2312"/>
          <w:sz w:val="32"/>
          <w:szCs w:val="32"/>
        </w:rPr>
      </w:pPr>
      <w:r>
        <w:rPr>
          <w:rFonts w:hint="eastAsia" w:ascii="楷体_GB2312" w:hAnsi="楷体" w:eastAsia="楷体_GB2312"/>
          <w:sz w:val="32"/>
          <w:szCs w:val="32"/>
        </w:rPr>
        <w:t>（三）项目财务管理情况</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我办严格按照《专项资金管理使用制度》，在专项项目资金使用过程中，严格执行财务管理制度，按照专项资金管理办法做好项目实施和监管，财务处理及时，会计核算规范，切实做到专款专用，最大可能发挥专项资金作用。</w:t>
      </w:r>
    </w:p>
    <w:p>
      <w:pPr>
        <w:spacing w:line="550" w:lineRule="exact"/>
        <w:ind w:firstLine="640" w:firstLineChars="200"/>
        <w:rPr>
          <w:rFonts w:ascii="黑体" w:hAnsi="黑体" w:eastAsia="黑体"/>
          <w:sz w:val="32"/>
          <w:szCs w:val="32"/>
        </w:rPr>
      </w:pPr>
      <w:r>
        <w:rPr>
          <w:rFonts w:hint="eastAsia" w:ascii="黑体" w:hAnsi="黑体" w:eastAsia="黑体"/>
          <w:sz w:val="32"/>
          <w:szCs w:val="32"/>
        </w:rPr>
        <w:t>三、项目实施及管理情况</w:t>
      </w:r>
    </w:p>
    <w:p>
      <w:pPr>
        <w:spacing w:line="550" w:lineRule="exact"/>
        <w:ind w:firstLine="640" w:firstLineChars="200"/>
        <w:rPr>
          <w:rFonts w:ascii="楷体_GB2312" w:hAnsi="楷体" w:eastAsia="楷体_GB2312"/>
          <w:sz w:val="32"/>
          <w:szCs w:val="32"/>
        </w:rPr>
      </w:pPr>
      <w:r>
        <w:rPr>
          <w:rFonts w:hint="eastAsia" w:ascii="楷体_GB2312" w:hAnsi="楷体" w:eastAsia="楷体_GB2312"/>
          <w:sz w:val="32"/>
          <w:szCs w:val="32"/>
        </w:rPr>
        <w:t>（一）项目组织架构及实施流程</w:t>
      </w:r>
    </w:p>
    <w:p>
      <w:pPr>
        <w:spacing w:line="55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采购报价邀请函</w:t>
      </w:r>
      <w:r>
        <w:rPr>
          <w:rFonts w:hint="eastAsia" w:ascii="仿宋" w:hAnsi="仿宋" w:eastAsia="仿宋"/>
          <w:sz w:val="32"/>
          <w:szCs w:val="32"/>
        </w:rPr>
        <w:t>和成交</w:t>
      </w:r>
      <w:r>
        <w:rPr>
          <w:rFonts w:ascii="仿宋" w:hAnsi="仿宋" w:eastAsia="仿宋"/>
          <w:sz w:val="32"/>
          <w:szCs w:val="32"/>
        </w:rPr>
        <w:t>公告在广元市政府门户网站</w:t>
      </w:r>
      <w:r>
        <w:rPr>
          <w:rFonts w:hint="eastAsia" w:ascii="仿宋" w:hAnsi="仿宋" w:eastAsia="仿宋"/>
          <w:sz w:val="32"/>
          <w:szCs w:val="32"/>
        </w:rPr>
        <w:t>、</w:t>
      </w:r>
      <w:r>
        <w:rPr>
          <w:rFonts w:ascii="仿宋" w:hAnsi="仿宋" w:eastAsia="仿宋"/>
          <w:sz w:val="32"/>
          <w:szCs w:val="32"/>
        </w:rPr>
        <w:t>四</w:t>
      </w:r>
      <w:r>
        <w:rPr>
          <w:rFonts w:hint="eastAsia" w:ascii="仿宋" w:hAnsi="仿宋" w:eastAsia="仿宋"/>
          <w:sz w:val="32"/>
          <w:szCs w:val="32"/>
        </w:rPr>
        <w:t>川</w:t>
      </w:r>
      <w:r>
        <w:rPr>
          <w:rFonts w:ascii="仿宋" w:hAnsi="仿宋" w:eastAsia="仿宋"/>
          <w:sz w:val="32"/>
          <w:szCs w:val="32"/>
        </w:rPr>
        <w:t>采购网公开。</w:t>
      </w:r>
    </w:p>
    <w:p>
      <w:pPr>
        <w:spacing w:line="550" w:lineRule="exact"/>
        <w:ind w:firstLine="640" w:firstLineChars="200"/>
        <w:rPr>
          <w:rFonts w:ascii="仿宋" w:hAnsi="仿宋" w:eastAsia="仿宋"/>
          <w:sz w:val="32"/>
          <w:szCs w:val="32"/>
        </w:rPr>
      </w:pPr>
      <w:r>
        <w:rPr>
          <w:rFonts w:hint="eastAsia" w:ascii="仿宋" w:hAnsi="仿宋" w:eastAsia="仿宋"/>
          <w:sz w:val="32"/>
          <w:szCs w:val="32"/>
        </w:rPr>
        <w:t>（2）单一来源</w:t>
      </w:r>
      <w:r>
        <w:rPr>
          <w:rFonts w:ascii="仿宋" w:hAnsi="仿宋" w:eastAsia="仿宋"/>
          <w:sz w:val="32"/>
          <w:szCs w:val="32"/>
        </w:rPr>
        <w:t>采购洽谈</w:t>
      </w:r>
      <w:r>
        <w:rPr>
          <w:rFonts w:hint="eastAsia" w:ascii="仿宋" w:hAnsi="仿宋" w:eastAsia="仿宋"/>
          <w:sz w:val="32"/>
          <w:szCs w:val="32"/>
        </w:rPr>
        <w:t>拟由行政</w:t>
      </w:r>
      <w:r>
        <w:rPr>
          <w:rFonts w:ascii="仿宋" w:hAnsi="仿宋" w:eastAsia="仿宋"/>
          <w:sz w:val="32"/>
          <w:szCs w:val="32"/>
        </w:rPr>
        <w:t>法规科组织，</w:t>
      </w:r>
      <w:r>
        <w:rPr>
          <w:rFonts w:hint="eastAsia" w:ascii="仿宋" w:hAnsi="仿宋" w:eastAsia="仿宋"/>
          <w:sz w:val="32"/>
          <w:szCs w:val="32"/>
        </w:rPr>
        <w:t>洽谈</w:t>
      </w:r>
      <w:r>
        <w:rPr>
          <w:rFonts w:ascii="仿宋" w:hAnsi="仿宋" w:eastAsia="仿宋"/>
          <w:sz w:val="32"/>
          <w:szCs w:val="32"/>
        </w:rPr>
        <w:t>小组</w:t>
      </w:r>
      <w:r>
        <w:rPr>
          <w:rFonts w:hint="eastAsia" w:ascii="仿宋" w:hAnsi="仿宋" w:eastAsia="仿宋"/>
          <w:sz w:val="32"/>
          <w:szCs w:val="32"/>
        </w:rPr>
        <w:t>成员</w:t>
      </w:r>
      <w:r>
        <w:rPr>
          <w:rFonts w:ascii="仿宋" w:hAnsi="仿宋" w:eastAsia="仿宋"/>
          <w:sz w:val="32"/>
          <w:szCs w:val="32"/>
        </w:rPr>
        <w:t>拟由</w:t>
      </w:r>
      <w:r>
        <w:rPr>
          <w:rFonts w:hint="eastAsia" w:ascii="仿宋" w:hAnsi="仿宋" w:eastAsia="仿宋"/>
          <w:sz w:val="32"/>
          <w:szCs w:val="32"/>
        </w:rPr>
        <w:t>文电科</w:t>
      </w:r>
      <w:r>
        <w:rPr>
          <w:rFonts w:ascii="仿宋" w:hAnsi="仿宋" w:eastAsia="仿宋"/>
          <w:sz w:val="32"/>
          <w:szCs w:val="32"/>
        </w:rPr>
        <w:t>、</w:t>
      </w:r>
      <w:r>
        <w:rPr>
          <w:rFonts w:hint="eastAsia" w:ascii="仿宋" w:hAnsi="仿宋" w:eastAsia="仿宋"/>
          <w:sz w:val="32"/>
          <w:szCs w:val="32"/>
        </w:rPr>
        <w:t>市电子政务外网管理中心和机关后勤管理科负责人</w:t>
      </w:r>
      <w:r>
        <w:rPr>
          <w:rFonts w:ascii="仿宋" w:hAnsi="仿宋" w:eastAsia="仿宋"/>
          <w:sz w:val="32"/>
          <w:szCs w:val="32"/>
        </w:rPr>
        <w:t>组成</w:t>
      </w:r>
      <w:r>
        <w:rPr>
          <w:rFonts w:hint="eastAsia" w:ascii="仿宋" w:hAnsi="仿宋" w:eastAsia="仿宋"/>
          <w:sz w:val="32"/>
          <w:szCs w:val="32"/>
        </w:rPr>
        <w:t>，</w:t>
      </w:r>
      <w:r>
        <w:rPr>
          <w:rFonts w:ascii="仿宋" w:hAnsi="仿宋" w:eastAsia="仿宋"/>
          <w:sz w:val="32"/>
          <w:szCs w:val="32"/>
        </w:rPr>
        <w:t>机关纪委派员监督。</w:t>
      </w:r>
    </w:p>
    <w:p>
      <w:pPr>
        <w:spacing w:line="550" w:lineRule="exact"/>
        <w:ind w:firstLine="640" w:firstLineChars="200"/>
        <w:rPr>
          <w:rFonts w:ascii="楷体_GB2312" w:hAnsi="楷体" w:eastAsia="楷体_GB2312"/>
          <w:sz w:val="32"/>
          <w:szCs w:val="32"/>
        </w:rPr>
      </w:pPr>
      <w:r>
        <w:rPr>
          <w:rFonts w:hint="eastAsia" w:ascii="仿宋_GB2312" w:eastAsia="仿宋_GB2312"/>
          <w:sz w:val="32"/>
          <w:szCs w:val="32"/>
        </w:rPr>
        <w:t>各环节均报市政府办公室党组进行研究决策，项目管理全程规范。</w:t>
      </w:r>
    </w:p>
    <w:p>
      <w:pPr>
        <w:numPr>
          <w:ilvl w:val="0"/>
          <w:numId w:val="6"/>
        </w:numPr>
        <w:spacing w:line="550" w:lineRule="exact"/>
        <w:ind w:firstLine="640" w:firstLineChars="200"/>
        <w:rPr>
          <w:rFonts w:ascii="仿宋_GB2312" w:eastAsia="仿宋_GB2312"/>
          <w:sz w:val="32"/>
          <w:szCs w:val="32"/>
        </w:rPr>
      </w:pPr>
      <w:r>
        <w:rPr>
          <w:rFonts w:hint="eastAsia" w:ascii="楷体_GB2312" w:hAnsi="楷体" w:eastAsia="楷体_GB2312"/>
          <w:sz w:val="32"/>
          <w:szCs w:val="32"/>
        </w:rPr>
        <w:t>项目管理情况</w:t>
      </w:r>
    </w:p>
    <w:p>
      <w:pPr>
        <w:spacing w:line="550" w:lineRule="exact"/>
        <w:ind w:firstLine="640" w:firstLineChars="200"/>
        <w:rPr>
          <w:rFonts w:ascii="楷体_GB2312" w:hAnsi="楷体" w:eastAsia="楷体_GB2312"/>
          <w:sz w:val="32"/>
          <w:szCs w:val="32"/>
        </w:rPr>
      </w:pPr>
      <w:r>
        <w:rPr>
          <w:rFonts w:hint="eastAsia" w:ascii="仿宋_GB2312" w:eastAsia="仿宋_GB2312"/>
          <w:sz w:val="32"/>
          <w:szCs w:val="32"/>
          <w:shd w:val="clear" w:color="auto" w:fill="FFFFFF"/>
        </w:rPr>
        <w:t>我办高度重视</w:t>
      </w:r>
      <w:r>
        <w:rPr>
          <w:rFonts w:hint="eastAsia" w:ascii="仿宋_GB2312" w:eastAsia="仿宋_GB2312"/>
          <w:sz w:val="32"/>
          <w:szCs w:val="32"/>
        </w:rPr>
        <w:t>广元市人民政府办公室移动OA办公系统</w:t>
      </w:r>
      <w:r>
        <w:rPr>
          <w:rFonts w:hint="eastAsia" w:ascii="仿宋_GB2312" w:eastAsia="仿宋_GB2312"/>
          <w:sz w:val="32"/>
          <w:szCs w:val="32"/>
          <w:shd w:val="clear" w:color="auto" w:fill="FFFFFF"/>
        </w:rPr>
        <w:t>项目工作，</w:t>
      </w:r>
      <w:r>
        <w:rPr>
          <w:rFonts w:hint="eastAsia" w:ascii="仿宋_GB2312" w:eastAsia="仿宋_GB2312"/>
          <w:sz w:val="32"/>
          <w:szCs w:val="32"/>
        </w:rPr>
        <w:t>广元市人民政府办公室移动OA办公系统项目由市政府办行政法规科负责采购，市政府办公室机关后勤管理科负责运行维护管理。</w:t>
      </w:r>
    </w:p>
    <w:p>
      <w:pPr>
        <w:spacing w:line="550" w:lineRule="exact"/>
        <w:ind w:firstLine="640" w:firstLineChars="200"/>
        <w:rPr>
          <w:rFonts w:ascii="楷体_GB2312" w:hAnsi="楷体" w:eastAsia="楷体_GB2312"/>
          <w:sz w:val="32"/>
          <w:szCs w:val="32"/>
        </w:rPr>
      </w:pPr>
      <w:r>
        <w:rPr>
          <w:rFonts w:hint="eastAsia" w:ascii="楷体_GB2312" w:hAnsi="楷体" w:eastAsia="楷体_GB2312"/>
          <w:sz w:val="32"/>
          <w:szCs w:val="32"/>
        </w:rPr>
        <w:t>（三）项目监管情况</w:t>
      </w:r>
    </w:p>
    <w:p>
      <w:pPr>
        <w:spacing w:line="550" w:lineRule="exact"/>
        <w:ind w:firstLine="640" w:firstLineChars="200"/>
        <w:rPr>
          <w:rFonts w:ascii="仿宋_GB2312" w:eastAsia="仿宋_GB2312"/>
          <w:sz w:val="32"/>
          <w:szCs w:val="32"/>
        </w:rPr>
      </w:pPr>
      <w:r>
        <w:rPr>
          <w:rFonts w:hint="eastAsia" w:ascii="仿宋_GB2312" w:eastAsia="仿宋_GB2312" w:cs="Tahoma"/>
          <w:sz w:val="32"/>
          <w:szCs w:val="32"/>
        </w:rPr>
        <w:t>市市政府办公室</w:t>
      </w:r>
      <w:r>
        <w:rPr>
          <w:rFonts w:ascii="仿宋" w:hAnsi="仿宋" w:eastAsia="仿宋"/>
          <w:sz w:val="32"/>
          <w:szCs w:val="32"/>
        </w:rPr>
        <w:t>机关纪委派员</w:t>
      </w:r>
      <w:r>
        <w:rPr>
          <w:rFonts w:hint="eastAsia" w:ascii="仿宋" w:hAnsi="仿宋" w:eastAsia="仿宋"/>
          <w:sz w:val="32"/>
          <w:szCs w:val="32"/>
        </w:rPr>
        <w:t>对</w:t>
      </w:r>
      <w:r>
        <w:rPr>
          <w:rFonts w:hint="eastAsia" w:ascii="仿宋_GB2312" w:eastAsia="仿宋_GB2312"/>
          <w:sz w:val="32"/>
          <w:szCs w:val="32"/>
        </w:rPr>
        <w:t>广元市人民政府办公室移动OA办公系统</w:t>
      </w:r>
      <w:r>
        <w:rPr>
          <w:rFonts w:hint="eastAsia" w:ascii="仿宋_GB2312" w:eastAsia="仿宋_GB2312"/>
          <w:sz w:val="32"/>
          <w:szCs w:val="32"/>
          <w:shd w:val="clear" w:color="auto" w:fill="FFFFFF"/>
        </w:rPr>
        <w:t>项目</w:t>
      </w:r>
      <w:r>
        <w:rPr>
          <w:rFonts w:hint="eastAsia" w:ascii="仿宋_GB2312" w:eastAsia="仿宋_GB2312" w:cs="Tahoma"/>
          <w:sz w:val="32"/>
          <w:szCs w:val="32"/>
        </w:rPr>
        <w:t>的采购活动</w:t>
      </w:r>
      <w:r>
        <w:rPr>
          <w:rFonts w:ascii="仿宋_GB2312" w:eastAsia="仿宋_GB2312" w:cs="Tahoma"/>
          <w:sz w:val="32"/>
          <w:szCs w:val="32"/>
        </w:rPr>
        <w:t>进行全程</w:t>
      </w:r>
      <w:r>
        <w:rPr>
          <w:rFonts w:hint="eastAsia" w:ascii="仿宋_GB2312" w:eastAsia="仿宋_GB2312" w:cs="Tahoma"/>
          <w:sz w:val="32"/>
          <w:szCs w:val="32"/>
        </w:rPr>
        <w:t>监督。同时，我</w:t>
      </w:r>
      <w:r>
        <w:rPr>
          <w:rFonts w:ascii="仿宋_GB2312" w:eastAsia="仿宋_GB2312" w:cs="Tahoma"/>
          <w:sz w:val="32"/>
          <w:szCs w:val="32"/>
        </w:rPr>
        <w:t>办</w:t>
      </w:r>
      <w:r>
        <w:rPr>
          <w:rFonts w:hint="eastAsia" w:ascii="仿宋_GB2312" w:eastAsia="仿宋_GB2312" w:cs="Tahoma"/>
          <w:sz w:val="32"/>
          <w:szCs w:val="32"/>
        </w:rPr>
        <w:t>主动接受省委巡视组、市纪委监委及上级主管部门的监督检查，</w:t>
      </w:r>
      <w:r>
        <w:rPr>
          <w:rFonts w:hint="eastAsia" w:ascii="仿宋_GB2312" w:eastAsia="仿宋_GB2312"/>
          <w:sz w:val="32"/>
          <w:szCs w:val="32"/>
        </w:rPr>
        <w:t>无违纪违法现象。</w:t>
      </w:r>
    </w:p>
    <w:p>
      <w:pPr>
        <w:spacing w:line="550" w:lineRule="exact"/>
        <w:ind w:firstLine="640" w:firstLineChars="200"/>
        <w:rPr>
          <w:rFonts w:ascii="黑体" w:hAnsi="黑体" w:eastAsia="黑体"/>
          <w:sz w:val="32"/>
          <w:szCs w:val="32"/>
        </w:rPr>
      </w:pPr>
      <w:r>
        <w:rPr>
          <w:rFonts w:hint="eastAsia" w:ascii="黑体" w:hAnsi="黑体" w:eastAsia="黑体"/>
          <w:sz w:val="32"/>
          <w:szCs w:val="32"/>
        </w:rPr>
        <w:t>四、项目绩效情况</w:t>
      </w:r>
    </w:p>
    <w:p>
      <w:pPr>
        <w:spacing w:line="550" w:lineRule="exact"/>
        <w:ind w:firstLine="640" w:firstLineChars="200"/>
        <w:rPr>
          <w:rFonts w:ascii="仿宋_GB2312" w:hAnsi="宋体" w:eastAsia="仿宋_GB2312" w:cs="宋体"/>
          <w:sz w:val="32"/>
          <w:szCs w:val="32"/>
        </w:rPr>
      </w:pPr>
      <w:r>
        <w:rPr>
          <w:rFonts w:hint="eastAsia" w:ascii="楷体_GB2312" w:hAnsi="楷体" w:eastAsia="楷体_GB2312"/>
          <w:sz w:val="32"/>
          <w:szCs w:val="32"/>
        </w:rPr>
        <w:t>（一）项目完成情况</w:t>
      </w:r>
      <w:r>
        <w:rPr>
          <w:rFonts w:hint="eastAsia" w:ascii="仿宋_GB2312" w:hAnsi="宋体" w:eastAsia="仿宋_GB2312" w:cs="宋体"/>
          <w:sz w:val="32"/>
          <w:szCs w:val="32"/>
        </w:rPr>
        <w:t>根据</w:t>
      </w:r>
    </w:p>
    <w:p>
      <w:pPr>
        <w:spacing w:line="550" w:lineRule="exact"/>
        <w:ind w:firstLine="640" w:firstLineChars="200"/>
        <w:rPr>
          <w:rFonts w:ascii="楷体_GB2312" w:hAnsi="楷体" w:eastAsia="仿宋_GB2312"/>
          <w:sz w:val="32"/>
          <w:szCs w:val="32"/>
        </w:rPr>
      </w:pPr>
      <w:r>
        <w:rPr>
          <w:rFonts w:hint="eastAsia" w:ascii="仿宋_GB2312" w:eastAsia="仿宋_GB2312"/>
          <w:bCs/>
          <w:sz w:val="32"/>
          <w:szCs w:val="32"/>
        </w:rPr>
        <w:t>广元市</w:t>
      </w:r>
      <w:r>
        <w:rPr>
          <w:rFonts w:ascii="仿宋_GB2312" w:eastAsia="仿宋_GB2312"/>
          <w:bCs/>
          <w:sz w:val="32"/>
          <w:szCs w:val="32"/>
        </w:rPr>
        <w:t>人民政府办公室</w:t>
      </w:r>
      <w:r>
        <w:rPr>
          <w:rFonts w:hint="eastAsia" w:ascii="仿宋_GB2312" w:eastAsia="仿宋_GB2312"/>
          <w:sz w:val="32"/>
          <w:szCs w:val="32"/>
        </w:rPr>
        <w:t>移动OA办公服务</w:t>
      </w:r>
      <w:r>
        <w:rPr>
          <w:rFonts w:ascii="仿宋_GB2312" w:eastAsia="仿宋_GB2312"/>
          <w:bCs/>
          <w:sz w:val="32"/>
          <w:szCs w:val="32"/>
        </w:rPr>
        <w:t>采购项目于</w:t>
      </w:r>
      <w:r>
        <w:rPr>
          <w:rFonts w:hint="eastAsia" w:ascii="仿宋_GB2312" w:eastAsia="仿宋_GB2312"/>
          <w:bCs/>
          <w:sz w:val="32"/>
          <w:szCs w:val="32"/>
        </w:rPr>
        <w:t>2020年11月12日</w:t>
      </w:r>
      <w:r>
        <w:rPr>
          <w:rFonts w:ascii="仿宋_GB2312" w:eastAsia="仿宋_GB2312"/>
          <w:bCs/>
          <w:sz w:val="32"/>
          <w:szCs w:val="32"/>
        </w:rPr>
        <w:t>进行</w:t>
      </w:r>
      <w:r>
        <w:rPr>
          <w:rFonts w:hint="eastAsia" w:ascii="仿宋_GB2312" w:eastAsia="仿宋_GB2312"/>
          <w:bCs/>
          <w:sz w:val="32"/>
          <w:szCs w:val="32"/>
        </w:rPr>
        <w:t>单一来源</w:t>
      </w:r>
      <w:r>
        <w:rPr>
          <w:rFonts w:ascii="仿宋_GB2312" w:eastAsia="仿宋_GB2312"/>
          <w:bCs/>
          <w:sz w:val="32"/>
          <w:szCs w:val="32"/>
        </w:rPr>
        <w:t>采购</w:t>
      </w:r>
      <w:r>
        <w:rPr>
          <w:rFonts w:hint="eastAsia" w:ascii="仿宋_GB2312" w:eastAsia="仿宋_GB2312"/>
          <w:bCs/>
          <w:sz w:val="32"/>
          <w:szCs w:val="32"/>
        </w:rPr>
        <w:t>。</w:t>
      </w:r>
      <w:r>
        <w:rPr>
          <w:rFonts w:ascii="仿宋_GB2312" w:eastAsia="仿宋_GB2312"/>
          <w:bCs/>
          <w:sz w:val="32"/>
          <w:szCs w:val="32"/>
        </w:rPr>
        <w:t>参照</w:t>
      </w:r>
      <w:r>
        <w:rPr>
          <w:rFonts w:hint="eastAsia" w:ascii="仿宋_GB2312" w:eastAsia="仿宋_GB2312"/>
          <w:bCs/>
          <w:sz w:val="32"/>
          <w:szCs w:val="32"/>
        </w:rPr>
        <w:t>《中华人民共和国</w:t>
      </w:r>
      <w:r>
        <w:rPr>
          <w:rFonts w:ascii="仿宋_GB2312" w:eastAsia="仿宋_GB2312"/>
          <w:bCs/>
          <w:sz w:val="32"/>
          <w:szCs w:val="32"/>
        </w:rPr>
        <w:t>政府采购法</w:t>
      </w:r>
      <w:r>
        <w:rPr>
          <w:rFonts w:hint="eastAsia" w:ascii="仿宋_GB2312" w:eastAsia="仿宋_GB2312"/>
          <w:bCs/>
          <w:sz w:val="32"/>
          <w:szCs w:val="32"/>
        </w:rPr>
        <w:t>》《中华</w:t>
      </w:r>
      <w:r>
        <w:rPr>
          <w:rFonts w:ascii="仿宋_GB2312" w:eastAsia="仿宋_GB2312"/>
          <w:bCs/>
          <w:sz w:val="32"/>
          <w:szCs w:val="32"/>
        </w:rPr>
        <w:t>人民共和国政府采购法实施条例</w:t>
      </w:r>
      <w:r>
        <w:rPr>
          <w:rFonts w:hint="eastAsia" w:ascii="仿宋_GB2312" w:eastAsia="仿宋_GB2312"/>
          <w:bCs/>
          <w:sz w:val="32"/>
          <w:szCs w:val="32"/>
        </w:rPr>
        <w:t>》及</w:t>
      </w:r>
      <w:r>
        <w:rPr>
          <w:rFonts w:ascii="仿宋_GB2312" w:eastAsia="仿宋_GB2312"/>
          <w:bCs/>
          <w:sz w:val="32"/>
          <w:szCs w:val="32"/>
        </w:rPr>
        <w:t>其他</w:t>
      </w:r>
      <w:r>
        <w:rPr>
          <w:rFonts w:hint="eastAsia" w:ascii="仿宋_GB2312" w:eastAsia="仿宋_GB2312"/>
          <w:bCs/>
          <w:sz w:val="32"/>
          <w:szCs w:val="32"/>
        </w:rPr>
        <w:t>法律</w:t>
      </w:r>
      <w:r>
        <w:rPr>
          <w:rFonts w:ascii="仿宋_GB2312" w:eastAsia="仿宋_GB2312"/>
          <w:bCs/>
          <w:sz w:val="32"/>
          <w:szCs w:val="32"/>
        </w:rPr>
        <w:t>、法规和</w:t>
      </w:r>
      <w:r>
        <w:rPr>
          <w:rFonts w:hint="eastAsia" w:ascii="仿宋_GB2312" w:eastAsia="仿宋_GB2312"/>
          <w:bCs/>
          <w:sz w:val="32"/>
          <w:szCs w:val="32"/>
        </w:rPr>
        <w:t>采购</w:t>
      </w:r>
      <w:r>
        <w:rPr>
          <w:rFonts w:ascii="仿宋_GB2312" w:eastAsia="仿宋_GB2312"/>
          <w:bCs/>
          <w:sz w:val="32"/>
          <w:szCs w:val="32"/>
        </w:rPr>
        <w:t>文件的规定，经过评审委员会公平公正评议</w:t>
      </w:r>
      <w:r>
        <w:rPr>
          <w:rFonts w:hint="eastAsia" w:ascii="仿宋_GB2312" w:eastAsia="仿宋_GB2312"/>
          <w:bCs/>
          <w:sz w:val="32"/>
          <w:szCs w:val="32"/>
        </w:rPr>
        <w:t>完成项目采购，运行良好。</w:t>
      </w:r>
    </w:p>
    <w:p>
      <w:pPr>
        <w:spacing w:line="550" w:lineRule="exact"/>
        <w:ind w:firstLine="640" w:firstLineChars="200"/>
        <w:rPr>
          <w:rFonts w:ascii="楷体_GB2312" w:hAnsi="楷体" w:eastAsia="楷体_GB2312"/>
          <w:sz w:val="32"/>
          <w:szCs w:val="32"/>
        </w:rPr>
      </w:pPr>
      <w:r>
        <w:rPr>
          <w:rFonts w:hint="eastAsia" w:ascii="楷体_GB2312" w:hAnsi="楷体" w:eastAsia="楷体_GB2312"/>
          <w:sz w:val="32"/>
          <w:szCs w:val="32"/>
        </w:rPr>
        <w:t>（二）项目效益情况</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通过</w:t>
      </w:r>
      <w:r>
        <w:rPr>
          <w:rFonts w:hint="eastAsia" w:ascii="仿宋_GB2312" w:eastAsia="仿宋_GB2312"/>
          <w:bCs/>
          <w:sz w:val="32"/>
          <w:szCs w:val="32"/>
        </w:rPr>
        <w:t>广元市</w:t>
      </w:r>
      <w:r>
        <w:rPr>
          <w:rFonts w:ascii="仿宋_GB2312" w:eastAsia="仿宋_GB2312"/>
          <w:bCs/>
          <w:sz w:val="32"/>
          <w:szCs w:val="32"/>
        </w:rPr>
        <w:t>人民政府办公室</w:t>
      </w:r>
      <w:r>
        <w:rPr>
          <w:rFonts w:hint="eastAsia" w:ascii="仿宋_GB2312" w:eastAsia="仿宋_GB2312"/>
          <w:sz w:val="32"/>
          <w:szCs w:val="32"/>
        </w:rPr>
        <w:t>移动OA办公服务项目实施，</w:t>
      </w:r>
      <w:r>
        <w:rPr>
          <w:rFonts w:hint="eastAsia" w:ascii="仿宋" w:hAnsi="仿宋" w:eastAsia="仿宋"/>
          <w:spacing w:val="-5"/>
          <w:sz w:val="32"/>
          <w:szCs w:val="32"/>
        </w:rPr>
        <w:t>确保网络安全畅通，</w:t>
      </w:r>
      <w:r>
        <w:rPr>
          <w:rFonts w:hint="eastAsia" w:ascii="仿宋_GB2312" w:eastAsia="仿宋_GB2312"/>
          <w:sz w:val="32"/>
          <w:szCs w:val="32"/>
        </w:rPr>
        <w:t>服务质量大幅提升。</w:t>
      </w:r>
    </w:p>
    <w:p>
      <w:pPr>
        <w:spacing w:line="550" w:lineRule="exact"/>
        <w:ind w:firstLine="640" w:firstLineChars="200"/>
        <w:rPr>
          <w:rFonts w:ascii="黑体" w:hAnsi="黑体" w:eastAsia="黑体"/>
          <w:sz w:val="32"/>
          <w:szCs w:val="32"/>
        </w:rPr>
      </w:pPr>
      <w:r>
        <w:rPr>
          <w:rFonts w:hint="eastAsia" w:ascii="黑体" w:hAnsi="黑体" w:eastAsia="黑体"/>
          <w:sz w:val="32"/>
          <w:szCs w:val="32"/>
        </w:rPr>
        <w:t>五、评价结论及建议</w:t>
      </w:r>
    </w:p>
    <w:p>
      <w:pPr>
        <w:spacing w:line="550" w:lineRule="exact"/>
        <w:ind w:firstLine="640" w:firstLineChars="200"/>
        <w:rPr>
          <w:rFonts w:ascii="楷体_GB2312" w:hAnsi="楷体" w:eastAsia="楷体_GB2312"/>
          <w:sz w:val="32"/>
          <w:szCs w:val="32"/>
        </w:rPr>
      </w:pPr>
      <w:r>
        <w:rPr>
          <w:rFonts w:hint="eastAsia" w:ascii="楷体_GB2312" w:hAnsi="楷体" w:eastAsia="楷体_GB2312"/>
          <w:sz w:val="32"/>
          <w:szCs w:val="32"/>
        </w:rPr>
        <w:t>（一）评价结论</w:t>
      </w:r>
    </w:p>
    <w:p>
      <w:pPr>
        <w:spacing w:line="550" w:lineRule="exact"/>
        <w:ind w:firstLine="640" w:firstLineChars="200"/>
        <w:rPr>
          <w:rFonts w:ascii="仿宋_GB2312" w:eastAsia="仿宋_GB2312"/>
          <w:sz w:val="32"/>
          <w:szCs w:val="32"/>
          <w:shd w:val="clear" w:color="auto" w:fill="FFFFFF"/>
        </w:rPr>
      </w:pPr>
      <w:r>
        <w:rPr>
          <w:rFonts w:hint="eastAsia" w:ascii="仿宋_GB2312" w:eastAsia="仿宋_GB2312"/>
          <w:bCs/>
          <w:sz w:val="32"/>
          <w:szCs w:val="32"/>
        </w:rPr>
        <w:t>广元市</w:t>
      </w:r>
      <w:r>
        <w:rPr>
          <w:rFonts w:ascii="仿宋_GB2312" w:eastAsia="仿宋_GB2312"/>
          <w:bCs/>
          <w:sz w:val="32"/>
          <w:szCs w:val="32"/>
        </w:rPr>
        <w:t>人民政府办公室</w:t>
      </w:r>
      <w:r>
        <w:rPr>
          <w:rFonts w:hint="eastAsia" w:ascii="仿宋_GB2312" w:eastAsia="仿宋_GB2312"/>
          <w:sz w:val="32"/>
          <w:szCs w:val="32"/>
        </w:rPr>
        <w:t>移动OA办公服务项目绩效</w:t>
      </w:r>
      <w:r>
        <w:rPr>
          <w:rFonts w:hint="eastAsia" w:ascii="仿宋_GB2312" w:eastAsia="仿宋_GB2312"/>
          <w:sz w:val="32"/>
          <w:szCs w:val="32"/>
          <w:shd w:val="clear" w:color="auto" w:fill="FFFFFF"/>
        </w:rPr>
        <w:t>财务管理规范，内控制度健全，财政资金使用符合要求，预算执行基本收支平衡，专项经费收支情况良好，财政支出绩效评价较好。</w:t>
      </w:r>
    </w:p>
    <w:p>
      <w:pPr>
        <w:spacing w:line="550" w:lineRule="exact"/>
        <w:ind w:firstLine="640" w:firstLineChars="200"/>
        <w:rPr>
          <w:rFonts w:ascii="楷体_GB2312" w:hAnsi="楷体" w:eastAsia="楷体_GB2312"/>
          <w:sz w:val="32"/>
          <w:szCs w:val="32"/>
        </w:rPr>
      </w:pPr>
      <w:r>
        <w:rPr>
          <w:rFonts w:hint="eastAsia" w:ascii="楷体_GB2312" w:hAnsi="楷体" w:eastAsia="楷体_GB2312"/>
          <w:sz w:val="32"/>
          <w:szCs w:val="32"/>
        </w:rPr>
        <w:t>（二）存在的问题</w:t>
      </w:r>
    </w:p>
    <w:p>
      <w:pPr>
        <w:spacing w:line="550" w:lineRule="exact"/>
        <w:ind w:firstLine="640" w:firstLineChars="200"/>
        <w:rPr>
          <w:rFonts w:ascii="仿宋_GB2312" w:eastAsia="仿宋_GB2312"/>
          <w:sz w:val="32"/>
          <w:szCs w:val="32"/>
        </w:rPr>
      </w:pPr>
      <w:r>
        <w:rPr>
          <w:rFonts w:hint="eastAsia" w:ascii="仿宋_GB2312" w:eastAsia="仿宋_GB2312"/>
          <w:bCs/>
          <w:sz w:val="32"/>
          <w:szCs w:val="32"/>
        </w:rPr>
        <w:t>广元市</w:t>
      </w:r>
      <w:r>
        <w:rPr>
          <w:rFonts w:ascii="仿宋_GB2312" w:eastAsia="仿宋_GB2312"/>
          <w:bCs/>
          <w:sz w:val="32"/>
          <w:szCs w:val="32"/>
        </w:rPr>
        <w:t>人民政府办公室</w:t>
      </w:r>
      <w:r>
        <w:rPr>
          <w:rFonts w:hint="eastAsia" w:ascii="仿宋_GB2312" w:eastAsia="仿宋_GB2312"/>
          <w:sz w:val="32"/>
          <w:szCs w:val="32"/>
        </w:rPr>
        <w:t>移动OA办公服务项目运维管理还存在薄弱环节。系统管理员和</w:t>
      </w:r>
      <w:r>
        <w:rPr>
          <w:rFonts w:hint="eastAsia" w:ascii="仿宋" w:hAnsi="仿宋" w:eastAsia="仿宋"/>
          <w:sz w:val="32"/>
          <w:szCs w:val="32"/>
        </w:rPr>
        <w:t>技术人员</w:t>
      </w:r>
      <w:r>
        <w:rPr>
          <w:rFonts w:hint="eastAsia" w:ascii="仿宋_GB2312" w:eastAsia="仿宋_GB2312"/>
          <w:sz w:val="32"/>
          <w:szCs w:val="32"/>
        </w:rPr>
        <w:t>落实还不到位，</w:t>
      </w:r>
      <w:r>
        <w:rPr>
          <w:rFonts w:hint="eastAsia" w:ascii="仿宋" w:hAnsi="仿宋" w:eastAsia="仿宋"/>
          <w:sz w:val="32"/>
          <w:szCs w:val="32"/>
        </w:rPr>
        <w:t>移动OA办公终端设备的7×24小时的运行维护机制没有落实</w:t>
      </w:r>
      <w:r>
        <w:rPr>
          <w:rFonts w:hint="eastAsia" w:ascii="仿宋_GB2312" w:eastAsia="仿宋_GB2312"/>
          <w:sz w:val="32"/>
          <w:szCs w:val="32"/>
        </w:rPr>
        <w:t>的问题。</w:t>
      </w:r>
    </w:p>
    <w:p>
      <w:pPr>
        <w:spacing w:line="550" w:lineRule="exact"/>
        <w:ind w:firstLine="640" w:firstLineChars="200"/>
        <w:rPr>
          <w:rFonts w:ascii="楷体_GB2312" w:hAnsi="楷体" w:eastAsia="楷体_GB2312"/>
          <w:sz w:val="32"/>
          <w:szCs w:val="32"/>
        </w:rPr>
      </w:pPr>
      <w:r>
        <w:rPr>
          <w:rFonts w:hint="eastAsia" w:ascii="楷体_GB2312" w:hAnsi="楷体" w:eastAsia="楷体_GB2312"/>
          <w:sz w:val="32"/>
          <w:szCs w:val="32"/>
        </w:rPr>
        <w:t>（三）相关建议</w:t>
      </w:r>
    </w:p>
    <w:p>
      <w:pPr>
        <w:spacing w:line="550" w:lineRule="exact"/>
        <w:ind w:firstLine="640" w:firstLineChars="200"/>
        <w:rPr>
          <w:rFonts w:ascii="仿宋_GB2312" w:eastAsia="仿宋_GB2312"/>
          <w:sz w:val="32"/>
          <w:szCs w:val="32"/>
        </w:rPr>
      </w:pPr>
      <w:r>
        <w:rPr>
          <w:rFonts w:hint="eastAsia" w:ascii="仿宋_GB2312" w:eastAsia="仿宋_GB2312"/>
          <w:bCs/>
          <w:sz w:val="32"/>
          <w:szCs w:val="32"/>
        </w:rPr>
        <w:t>广元市</w:t>
      </w:r>
      <w:r>
        <w:rPr>
          <w:rFonts w:ascii="仿宋_GB2312" w:eastAsia="仿宋_GB2312"/>
          <w:bCs/>
          <w:sz w:val="32"/>
          <w:szCs w:val="32"/>
        </w:rPr>
        <w:t>人民政府办公室</w:t>
      </w:r>
      <w:r>
        <w:rPr>
          <w:rFonts w:hint="eastAsia" w:ascii="仿宋_GB2312" w:eastAsia="仿宋_GB2312"/>
          <w:sz w:val="32"/>
          <w:szCs w:val="32"/>
        </w:rPr>
        <w:t>移动OA办公服务项目服务商要加强安全运行监管和</w:t>
      </w:r>
      <w:r>
        <w:rPr>
          <w:rFonts w:ascii="仿宋_GB2312" w:eastAsia="仿宋_GB2312"/>
          <w:sz w:val="32"/>
          <w:szCs w:val="32"/>
        </w:rPr>
        <w:t>业务指导</w:t>
      </w:r>
      <w:r>
        <w:rPr>
          <w:rFonts w:hint="eastAsia" w:ascii="仿宋_GB2312" w:eastAsia="仿宋_GB2312"/>
          <w:sz w:val="32"/>
          <w:szCs w:val="32"/>
        </w:rPr>
        <w:t>，及时发现存在的安全和运维管理问题，并有针对性地进行点对点纠</w:t>
      </w:r>
      <w:r>
        <w:rPr>
          <w:rFonts w:ascii="仿宋_GB2312" w:eastAsia="仿宋_GB2312"/>
          <w:sz w:val="32"/>
          <w:szCs w:val="32"/>
        </w:rPr>
        <w:t>正</w:t>
      </w:r>
      <w:r>
        <w:rPr>
          <w:rFonts w:hint="eastAsia" w:ascii="仿宋_GB2312" w:eastAsia="仿宋_GB2312"/>
          <w:sz w:val="32"/>
          <w:szCs w:val="32"/>
        </w:rPr>
        <w:t>，确保</w:t>
      </w:r>
      <w:r>
        <w:rPr>
          <w:rFonts w:hint="eastAsia" w:ascii="仿宋_GB2312" w:eastAsia="仿宋_GB2312"/>
          <w:bCs/>
          <w:sz w:val="32"/>
          <w:szCs w:val="32"/>
        </w:rPr>
        <w:t>广元市</w:t>
      </w:r>
      <w:r>
        <w:rPr>
          <w:rFonts w:ascii="仿宋_GB2312" w:eastAsia="仿宋_GB2312"/>
          <w:bCs/>
          <w:sz w:val="32"/>
          <w:szCs w:val="32"/>
        </w:rPr>
        <w:t>人民政府办公室</w:t>
      </w:r>
      <w:r>
        <w:rPr>
          <w:rFonts w:hint="eastAsia" w:ascii="仿宋_GB2312" w:eastAsia="仿宋_GB2312"/>
          <w:sz w:val="32"/>
          <w:szCs w:val="32"/>
        </w:rPr>
        <w:t>移动OA办公服务项目安全稳定运行。</w:t>
      </w:r>
    </w:p>
    <w:tbl>
      <w:tblPr>
        <w:tblStyle w:val="18"/>
        <w:tblW w:w="9577" w:type="dxa"/>
        <w:tblInd w:w="0" w:type="dxa"/>
        <w:tblLayout w:type="fixed"/>
        <w:tblCellMar>
          <w:top w:w="0" w:type="dxa"/>
          <w:left w:w="108" w:type="dxa"/>
          <w:bottom w:w="0" w:type="dxa"/>
          <w:right w:w="108" w:type="dxa"/>
        </w:tblCellMar>
      </w:tblPr>
      <w:tblGrid>
        <w:gridCol w:w="1977"/>
        <w:gridCol w:w="1142"/>
        <w:gridCol w:w="1635"/>
        <w:gridCol w:w="1198"/>
        <w:gridCol w:w="1215"/>
        <w:gridCol w:w="2410"/>
      </w:tblGrid>
      <w:tr>
        <w:tblPrEx>
          <w:tblCellMar>
            <w:top w:w="0" w:type="dxa"/>
            <w:left w:w="108" w:type="dxa"/>
            <w:bottom w:w="0" w:type="dxa"/>
            <w:right w:w="108" w:type="dxa"/>
          </w:tblCellMar>
        </w:tblPrEx>
        <w:trPr>
          <w:trHeight w:val="744" w:hRule="atLeast"/>
        </w:trPr>
        <w:tc>
          <w:tcPr>
            <w:tcW w:w="9577" w:type="dxa"/>
            <w:gridSpan w:val="6"/>
            <w:tcBorders>
              <w:top w:val="nil"/>
              <w:left w:val="nil"/>
              <w:bottom w:val="nil"/>
              <w:right w:val="nil"/>
            </w:tcBorders>
            <w:shd w:val="clear" w:color="auto" w:fill="auto"/>
            <w:vAlign w:val="center"/>
          </w:tcPr>
          <w:p>
            <w:pPr>
              <w:widowControl/>
              <w:spacing w:line="560" w:lineRule="exact"/>
              <w:jc w:val="center"/>
              <w:textAlignment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2021年四大班子OA办公系统运行服务费预算</w:t>
            </w:r>
          </w:p>
          <w:p>
            <w:pPr>
              <w:widowControl/>
              <w:spacing w:line="560" w:lineRule="exact"/>
              <w:jc w:val="center"/>
              <w:textAlignment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项目绩效目标自评</w:t>
            </w:r>
          </w:p>
        </w:tc>
      </w:tr>
      <w:tr>
        <w:tblPrEx>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主管部门及代码</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18"/>
                <w:szCs w:val="18"/>
              </w:rPr>
            </w:pPr>
            <w:r>
              <w:rPr>
                <w:rFonts w:hint="eastAsia" w:ascii="宋体" w:hAnsi="宋体" w:cs="宋体"/>
                <w:sz w:val="18"/>
                <w:szCs w:val="18"/>
              </w:rPr>
              <w:t>302301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sz w:val="18"/>
                <w:szCs w:val="18"/>
              </w:rPr>
              <w:t>市人民政府办公室</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项目预算</w:t>
            </w:r>
            <w:r>
              <w:rPr>
                <w:rFonts w:hint="eastAsia" w:ascii="宋体" w:hAnsi="宋体" w:cs="宋体"/>
                <w:kern w:val="0"/>
                <w:sz w:val="18"/>
                <w:szCs w:val="18"/>
              </w:rPr>
              <w:br w:type="textWrapping"/>
            </w:r>
            <w:r>
              <w:rPr>
                <w:rFonts w:hint="eastAsia" w:ascii="宋体" w:hAnsi="宋体" w:cs="宋体"/>
                <w:kern w:val="0"/>
                <w:sz w:val="18"/>
                <w:szCs w:val="18"/>
              </w:rPr>
              <w:t>执行情况</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 xml:space="preserve"> 预算数：</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仿宋"/>
                <w:sz w:val="18"/>
                <w:szCs w:val="18"/>
              </w:rPr>
              <w:t>43万元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仿宋"/>
                <w:sz w:val="18"/>
                <w:szCs w:val="18"/>
              </w:rPr>
              <w:t>35.71万元</w:t>
            </w:r>
          </w:p>
        </w:tc>
      </w:tr>
      <w:tr>
        <w:tblPrEx>
          <w:tblCellMar>
            <w:top w:w="0" w:type="dxa"/>
            <w:left w:w="108" w:type="dxa"/>
            <w:bottom w:w="0" w:type="dxa"/>
            <w:right w:w="108" w:type="dxa"/>
          </w:tblCellMar>
        </w:tblPrEx>
        <w:trPr>
          <w:trHeight w:val="457"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18"/>
                <w:szCs w:val="18"/>
              </w:rPr>
            </w:pPr>
            <w:r>
              <w:rPr>
                <w:rFonts w:hint="eastAsia" w:ascii="宋体" w:hAnsi="宋体" w:cs="宋体"/>
                <w:kern w:val="0"/>
                <w:sz w:val="18"/>
                <w:szCs w:val="18"/>
              </w:rPr>
              <w:t>其中：</w:t>
            </w:r>
          </w:p>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财政拨款</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仿宋"/>
                <w:sz w:val="18"/>
                <w:szCs w:val="18"/>
              </w:rPr>
              <w:t>43万元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18"/>
                <w:szCs w:val="18"/>
              </w:rPr>
            </w:pPr>
            <w:r>
              <w:rPr>
                <w:rFonts w:hint="eastAsia" w:ascii="宋体" w:hAnsi="宋体" w:cs="宋体"/>
                <w:kern w:val="0"/>
                <w:sz w:val="18"/>
                <w:szCs w:val="18"/>
              </w:rPr>
              <w:t>其中：</w:t>
            </w:r>
          </w:p>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仿宋"/>
                <w:sz w:val="18"/>
                <w:szCs w:val="18"/>
              </w:rPr>
              <w:t>35.71万元</w:t>
            </w:r>
          </w:p>
        </w:tc>
      </w:tr>
      <w:tr>
        <w:tblPrEx>
          <w:tblCellMar>
            <w:top w:w="0" w:type="dxa"/>
            <w:left w:w="108" w:type="dxa"/>
            <w:bottom w:w="0" w:type="dxa"/>
            <w:right w:w="108" w:type="dxa"/>
          </w:tblCellMar>
        </w:tblPrEx>
        <w:trPr>
          <w:trHeight w:val="149"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p>
        </w:tc>
      </w:tr>
      <w:tr>
        <w:tblPrEx>
          <w:tblCellMar>
            <w:top w:w="0" w:type="dxa"/>
            <w:left w:w="108" w:type="dxa"/>
            <w:bottom w:w="0" w:type="dxa"/>
            <w:right w:w="108" w:type="dxa"/>
          </w:tblCellMar>
        </w:tblPrEx>
        <w:trPr>
          <w:trHeight w:val="183"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18"/>
                <w:szCs w:val="18"/>
              </w:rPr>
            </w:pPr>
            <w:r>
              <w:rPr>
                <w:rFonts w:hint="eastAsia" w:ascii="宋体" w:hAnsi="宋体" w:cs="宋体"/>
                <w:kern w:val="0"/>
                <w:sz w:val="18"/>
                <w:szCs w:val="18"/>
              </w:rPr>
              <w:t>年度总体目标</w:t>
            </w:r>
          </w:p>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完成情况</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预期目标</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目标实际完成情况</w:t>
            </w:r>
          </w:p>
        </w:tc>
      </w:tr>
      <w:tr>
        <w:tblPrEx>
          <w:tblCellMar>
            <w:top w:w="0" w:type="dxa"/>
            <w:left w:w="108" w:type="dxa"/>
            <w:bottom w:w="0" w:type="dxa"/>
            <w:right w:w="108" w:type="dxa"/>
          </w:tblCellMar>
        </w:tblPrEx>
        <w:trPr>
          <w:trHeight w:val="1342"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18"/>
                <w:szCs w:val="18"/>
              </w:rPr>
            </w:pP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Pr>
          <w:p>
            <w:pPr>
              <w:tabs>
                <w:tab w:val="left" w:pos="913"/>
              </w:tabs>
              <w:jc w:val="left"/>
              <w:rPr>
                <w:rFonts w:ascii="宋体" w:hAnsi="宋体"/>
                <w:sz w:val="18"/>
                <w:szCs w:val="18"/>
              </w:rPr>
            </w:pPr>
            <w:r>
              <w:rPr>
                <w:rFonts w:hint="eastAsia" w:ascii="宋体" w:hAnsi="宋体"/>
                <w:sz w:val="18"/>
                <w:szCs w:val="18"/>
              </w:rPr>
              <w:t>　移动OA办公平台网络服务。</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tcPr>
          <w:p>
            <w:pPr>
              <w:tabs>
                <w:tab w:val="left" w:pos="847"/>
              </w:tabs>
              <w:jc w:val="left"/>
              <w:rPr>
                <w:rFonts w:ascii="宋体" w:hAnsi="宋体"/>
                <w:sz w:val="18"/>
                <w:szCs w:val="18"/>
              </w:rPr>
            </w:pPr>
            <w:r>
              <w:rPr>
                <w:rFonts w:hint="eastAsia" w:ascii="宋体" w:hAnsi="宋体"/>
                <w:sz w:val="18"/>
                <w:szCs w:val="18"/>
              </w:rPr>
              <w:t>移动OA办公平台网络服务。OA办公系统运行服务费30.71万元（包括调标后的费用）；移动云MSA服务费5万元。</w:t>
            </w:r>
          </w:p>
        </w:tc>
      </w:tr>
      <w:tr>
        <w:tblPrEx>
          <w:tblCellMar>
            <w:top w:w="0" w:type="dxa"/>
            <w:left w:w="108" w:type="dxa"/>
            <w:bottom w:w="0" w:type="dxa"/>
            <w:right w:w="108" w:type="dxa"/>
          </w:tblCellMar>
        </w:tblPrEx>
        <w:trPr>
          <w:trHeight w:val="386"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仿宋_GB2312"/>
                <w:sz w:val="18"/>
                <w:szCs w:val="18"/>
              </w:rPr>
            </w:pPr>
            <w:r>
              <w:rPr>
                <w:rFonts w:hint="eastAsia" w:ascii="宋体" w:hAnsi="宋体" w:cs="仿宋_GB2312"/>
                <w:kern w:val="0"/>
                <w:sz w:val="18"/>
                <w:szCs w:val="1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仿宋_GB2312"/>
                <w:kern w:val="0"/>
                <w:sz w:val="18"/>
                <w:szCs w:val="18"/>
              </w:rPr>
            </w:pPr>
            <w:r>
              <w:rPr>
                <w:rFonts w:hint="eastAsia" w:ascii="宋体" w:hAnsi="宋体" w:cs="仿宋_GB2312"/>
                <w:kern w:val="0"/>
                <w:sz w:val="18"/>
                <w:szCs w:val="18"/>
              </w:rPr>
              <w:t>一级</w:t>
            </w:r>
          </w:p>
          <w:p>
            <w:pPr>
              <w:widowControl/>
              <w:spacing w:line="320" w:lineRule="exact"/>
              <w:jc w:val="center"/>
              <w:textAlignment w:val="center"/>
              <w:rPr>
                <w:rFonts w:ascii="宋体" w:hAnsi="宋体" w:cs="仿宋_GB2312"/>
                <w:sz w:val="18"/>
                <w:szCs w:val="18"/>
              </w:rPr>
            </w:pPr>
            <w:r>
              <w:rPr>
                <w:rFonts w:hint="eastAsia" w:ascii="宋体" w:hAnsi="宋体" w:cs="仿宋_GB2312"/>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仿宋_GB2312"/>
                <w:kern w:val="0"/>
                <w:sz w:val="18"/>
                <w:szCs w:val="18"/>
              </w:rPr>
            </w:pPr>
            <w:r>
              <w:rPr>
                <w:rFonts w:hint="eastAsia" w:ascii="宋体" w:hAnsi="宋体" w:cs="仿宋_GB2312"/>
                <w:kern w:val="0"/>
                <w:sz w:val="18"/>
                <w:szCs w:val="18"/>
              </w:rPr>
              <w:t>二级</w:t>
            </w:r>
          </w:p>
          <w:p>
            <w:pPr>
              <w:widowControl/>
              <w:spacing w:line="320" w:lineRule="exact"/>
              <w:jc w:val="center"/>
              <w:textAlignment w:val="center"/>
              <w:rPr>
                <w:rFonts w:ascii="宋体" w:hAnsi="宋体" w:cs="仿宋_GB2312"/>
                <w:sz w:val="18"/>
                <w:szCs w:val="18"/>
              </w:rPr>
            </w:pPr>
            <w:r>
              <w:rPr>
                <w:rFonts w:hint="eastAsia" w:ascii="宋体" w:hAnsi="宋体" w:cs="仿宋_GB2312"/>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仿宋_GB2312"/>
                <w:kern w:val="0"/>
                <w:sz w:val="18"/>
                <w:szCs w:val="18"/>
              </w:rPr>
            </w:pPr>
            <w:r>
              <w:rPr>
                <w:rFonts w:hint="eastAsia" w:ascii="宋体" w:hAnsi="宋体" w:cs="仿宋_GB2312"/>
                <w:kern w:val="0"/>
                <w:sz w:val="18"/>
                <w:szCs w:val="18"/>
              </w:rPr>
              <w:t>三级</w:t>
            </w:r>
          </w:p>
          <w:p>
            <w:pPr>
              <w:widowControl/>
              <w:spacing w:line="320" w:lineRule="exact"/>
              <w:jc w:val="center"/>
              <w:textAlignment w:val="center"/>
              <w:rPr>
                <w:rFonts w:ascii="宋体" w:hAnsi="宋体" w:cs="仿宋_GB2312"/>
                <w:sz w:val="18"/>
                <w:szCs w:val="18"/>
              </w:rPr>
            </w:pPr>
            <w:r>
              <w:rPr>
                <w:rFonts w:hint="eastAsia" w:ascii="宋体" w:hAnsi="宋体" w:cs="仿宋_GB2312"/>
                <w:kern w:val="0"/>
                <w:sz w:val="18"/>
                <w:szCs w:val="18"/>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仿宋_GB2312"/>
                <w:sz w:val="18"/>
                <w:szCs w:val="18"/>
              </w:rPr>
            </w:pPr>
            <w:r>
              <w:rPr>
                <w:rFonts w:hint="eastAsia" w:ascii="宋体" w:hAnsi="宋体" w:cs="仿宋_GB2312"/>
                <w:kern w:val="0"/>
                <w:sz w:val="18"/>
                <w:szCs w:val="1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仿宋_GB2312"/>
                <w:sz w:val="18"/>
                <w:szCs w:val="18"/>
              </w:rPr>
            </w:pPr>
            <w:r>
              <w:rPr>
                <w:rFonts w:hint="eastAsia" w:ascii="宋体" w:hAnsi="宋体" w:cs="仿宋_GB2312"/>
                <w:kern w:val="0"/>
                <w:sz w:val="18"/>
                <w:szCs w:val="18"/>
              </w:rPr>
              <w:t>实际完成指标值</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仿宋_GB2312"/>
                <w:sz w:val="18"/>
                <w:szCs w:val="1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仿宋_GB2312"/>
                <w:kern w:val="0"/>
                <w:sz w:val="18"/>
                <w:szCs w:val="18"/>
              </w:rPr>
            </w:pPr>
            <w:r>
              <w:rPr>
                <w:rFonts w:hint="eastAsia" w:ascii="宋体" w:hAnsi="宋体" w:cs="仿宋_GB2312"/>
                <w:kern w:val="0"/>
                <w:sz w:val="18"/>
                <w:szCs w:val="18"/>
              </w:rPr>
              <w:t>完成</w:t>
            </w:r>
          </w:p>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数量指标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 w:val="18"/>
                <w:szCs w:val="18"/>
              </w:rPr>
            </w:pPr>
            <w:r>
              <w:rPr>
                <w:rFonts w:hint="eastAsia" w:ascii="宋体" w:hAnsi="宋体" w:cs="宋体"/>
                <w:color w:val="000000"/>
                <w:kern w:val="0"/>
                <w:sz w:val="18"/>
                <w:szCs w:val="18"/>
              </w:rPr>
              <w:t>24小时安全运转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完成每天24小时运转任务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sz w:val="18"/>
                <w:szCs w:val="18"/>
              </w:rPr>
              <w:t>移动OA办公平台网络服务</w:t>
            </w:r>
            <w:r>
              <w:rPr>
                <w:rFonts w:hint="eastAsia" w:ascii="宋体" w:hAnsi="宋体" w:cs="宋体"/>
                <w:color w:val="000000"/>
                <w:kern w:val="0"/>
                <w:sz w:val="18"/>
                <w:szCs w:val="18"/>
              </w:rPr>
              <w:t>，无事故发生。</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宋体" w:hAnsi="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质量指标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 w:val="18"/>
                <w:szCs w:val="18"/>
              </w:rPr>
            </w:pPr>
            <w:r>
              <w:rPr>
                <w:rFonts w:hint="eastAsia" w:ascii="宋体" w:hAnsi="宋体" w:cs="宋体"/>
                <w:color w:val="000000"/>
                <w:kern w:val="0"/>
                <w:sz w:val="18"/>
                <w:szCs w:val="18"/>
              </w:rPr>
              <w:t>安全、保密。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安全、保密工作</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通过考核</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宋体" w:hAnsi="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时效指标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 w:val="18"/>
                <w:szCs w:val="18"/>
              </w:rPr>
            </w:pPr>
            <w:r>
              <w:rPr>
                <w:rFonts w:hint="eastAsia" w:ascii="宋体" w:hAnsi="宋体" w:cs="宋体"/>
                <w:color w:val="000000"/>
                <w:kern w:val="0"/>
                <w:sz w:val="18"/>
                <w:szCs w:val="18"/>
              </w:rPr>
              <w:t>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1-12月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完成</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宋体" w:hAnsi="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成本指标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 w:val="18"/>
                <w:szCs w:val="18"/>
              </w:rPr>
            </w:pPr>
            <w:r>
              <w:rPr>
                <w:rFonts w:hint="eastAsia" w:ascii="宋体" w:hAnsi="宋体" w:cs="宋体"/>
                <w:color w:val="000000"/>
                <w:kern w:val="0"/>
                <w:sz w:val="18"/>
                <w:szCs w:val="18"/>
              </w:rPr>
              <w:t>全年服务费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43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仿宋_GB2312"/>
                <w:sz w:val="18"/>
                <w:szCs w:val="18"/>
              </w:rPr>
              <w:t>35.71万元</w:t>
            </w:r>
          </w:p>
        </w:tc>
      </w:tr>
      <w:tr>
        <w:tblPrEx>
          <w:tblCellMar>
            <w:top w:w="0" w:type="dxa"/>
            <w:left w:w="108" w:type="dxa"/>
            <w:bottom w:w="0" w:type="dxa"/>
            <w:right w:w="108" w:type="dxa"/>
          </w:tblCellMar>
        </w:tblPrEx>
        <w:trPr>
          <w:trHeight w:val="692"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宋体" w:hAnsi="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社会效益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 w:val="18"/>
                <w:szCs w:val="18"/>
              </w:rPr>
            </w:pPr>
            <w:r>
              <w:rPr>
                <w:rFonts w:hint="eastAsia" w:ascii="宋体" w:hAnsi="宋体" w:cs="宋体"/>
                <w:color w:val="000000"/>
                <w:kern w:val="0"/>
                <w:sz w:val="18"/>
                <w:szCs w:val="18"/>
              </w:rPr>
              <w:t>治理水平进一步提升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治理水平进一步提升</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宋体" w:hAnsi="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可持续影响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 w:val="18"/>
                <w:szCs w:val="18"/>
              </w:rPr>
            </w:pPr>
            <w:r>
              <w:rPr>
                <w:rFonts w:hint="eastAsia" w:ascii="宋体" w:hAnsi="宋体" w:cs="宋体"/>
                <w:color w:val="000000"/>
                <w:kern w:val="0"/>
                <w:sz w:val="18"/>
                <w:szCs w:val="18"/>
              </w:rPr>
              <w:t>管理水平进一步提升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管理水平进一步提升</w:t>
            </w:r>
          </w:p>
        </w:tc>
      </w:tr>
      <w:tr>
        <w:tblPrEx>
          <w:tblCellMar>
            <w:top w:w="0" w:type="dxa"/>
            <w:left w:w="108" w:type="dxa"/>
            <w:bottom w:w="0" w:type="dxa"/>
            <w:right w:w="108" w:type="dxa"/>
          </w:tblCellMar>
        </w:tblPrEx>
        <w:trPr>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仿宋_GB2312"/>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满意</w:t>
            </w:r>
            <w:r>
              <w:rPr>
                <w:rFonts w:hint="eastAsia" w:ascii="宋体" w:hAnsi="宋体" w:cs="仿宋_GB2312"/>
                <w:kern w:val="0"/>
                <w:sz w:val="18"/>
                <w:szCs w:val="18"/>
              </w:rPr>
              <w:br w:type="textWrapping"/>
            </w:r>
            <w:r>
              <w:rPr>
                <w:rFonts w:hint="eastAsia" w:ascii="宋体" w:hAnsi="宋体" w:cs="仿宋_GB2312"/>
                <w:kern w:val="0"/>
                <w:sz w:val="18"/>
                <w:szCs w:val="1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kern w:val="0"/>
                <w:sz w:val="18"/>
                <w:szCs w:val="18"/>
              </w:rPr>
            </w:pPr>
            <w:r>
              <w:rPr>
                <w:rFonts w:hint="eastAsia" w:ascii="宋体" w:hAnsi="宋体" w:cs="仿宋_GB2312"/>
                <w:kern w:val="0"/>
                <w:sz w:val="18"/>
                <w:szCs w:val="18"/>
              </w:rPr>
              <w:t>满意度</w:t>
            </w:r>
          </w:p>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 w:val="18"/>
                <w:szCs w:val="18"/>
              </w:rPr>
            </w:pPr>
            <w:r>
              <w:rPr>
                <w:rFonts w:hint="eastAsia" w:ascii="宋体" w:hAnsi="宋体" w:cs="宋体"/>
                <w:color w:val="000000"/>
                <w:kern w:val="0"/>
                <w:sz w:val="18"/>
                <w:szCs w:val="18"/>
              </w:rPr>
              <w:t>市级各单位满意度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98%</w:t>
            </w:r>
          </w:p>
        </w:tc>
      </w:tr>
    </w:tbl>
    <w:p>
      <w:pPr>
        <w:spacing w:line="600" w:lineRule="exact"/>
        <w:jc w:val="center"/>
        <w:outlineLvl w:val="0"/>
        <w:rPr>
          <w:rFonts w:ascii="黑体" w:hAnsi="黑体" w:eastAsia="黑体"/>
          <w:sz w:val="44"/>
          <w:szCs w:val="44"/>
        </w:rPr>
      </w:pPr>
      <w:bookmarkStart w:id="62" w:name="_Toc15396618"/>
    </w:p>
    <w:p>
      <w:pPr>
        <w:pStyle w:val="2"/>
        <w:spacing w:before="93"/>
      </w:pPr>
    </w:p>
    <w:p>
      <w:pPr>
        <w:pStyle w:val="2"/>
        <w:spacing w:before="93"/>
      </w:pPr>
    </w:p>
    <w:p>
      <w:pPr>
        <w:pStyle w:val="2"/>
        <w:spacing w:before="93"/>
      </w:pPr>
    </w:p>
    <w:p>
      <w:pPr>
        <w:spacing w:line="600" w:lineRule="exact"/>
        <w:jc w:val="center"/>
        <w:outlineLvl w:val="0"/>
        <w:rPr>
          <w:rStyle w:val="23"/>
          <w:rFonts w:ascii="黑体" w:hAnsi="黑体" w:eastAsia="黑体"/>
          <w:b w:val="0"/>
        </w:rPr>
      </w:pPr>
      <w:r>
        <w:rPr>
          <w:rFonts w:hint="eastAsia" w:ascii="黑体" w:hAnsi="黑体" w:eastAsia="黑体"/>
          <w:sz w:val="44"/>
          <w:szCs w:val="44"/>
        </w:rPr>
        <w:t>第</w:t>
      </w:r>
      <w:r>
        <w:rPr>
          <w:rStyle w:val="23"/>
          <w:rFonts w:hint="eastAsia" w:ascii="黑体" w:hAnsi="黑体" w:eastAsia="黑体"/>
          <w:b w:val="0"/>
        </w:rPr>
        <w:t>五部分 附  表</w:t>
      </w:r>
      <w:bookmarkEnd w:id="57"/>
      <w:bookmarkEnd w:id="62"/>
      <w:bookmarkStart w:id="63" w:name="_Toc15396619"/>
    </w:p>
    <w:p>
      <w:pPr>
        <w:pStyle w:val="2"/>
        <w:spacing w:before="93"/>
      </w:pPr>
    </w:p>
    <w:p>
      <w:pPr>
        <w:pStyle w:val="4"/>
        <w:keepNext w:val="0"/>
        <w:keepLines w:val="0"/>
        <w:spacing w:before="0" w:after="0" w:line="580" w:lineRule="exact"/>
        <w:ind w:firstLine="640" w:firstLineChars="200"/>
        <w:rPr>
          <w:rFonts w:ascii="仿宋" w:hAnsi="仿宋" w:eastAsia="仿宋"/>
          <w:b w:val="0"/>
        </w:rPr>
      </w:pPr>
      <w:r>
        <w:rPr>
          <w:rFonts w:hint="eastAsia" w:ascii="仿宋" w:hAnsi="仿宋" w:eastAsia="仿宋"/>
          <w:b w:val="0"/>
        </w:rPr>
        <w:t>一、收</w:t>
      </w:r>
      <w:r>
        <w:rPr>
          <w:rStyle w:val="24"/>
          <w:rFonts w:hint="eastAsia" w:ascii="仿宋" w:hAnsi="仿宋" w:eastAsia="仿宋"/>
          <w:b w:val="0"/>
          <w:bCs w:val="0"/>
        </w:rPr>
        <w:t>入支出决算总表</w:t>
      </w:r>
      <w:bookmarkEnd w:id="63"/>
    </w:p>
    <w:p>
      <w:pPr>
        <w:pStyle w:val="4"/>
        <w:keepNext w:val="0"/>
        <w:keepLines w:val="0"/>
        <w:spacing w:before="0" w:after="0" w:line="580" w:lineRule="exact"/>
        <w:ind w:firstLine="640" w:firstLineChars="200"/>
        <w:rPr>
          <w:rFonts w:ascii="仿宋" w:hAnsi="仿宋" w:eastAsia="仿宋"/>
          <w:b w:val="0"/>
        </w:rPr>
      </w:pPr>
      <w:bookmarkStart w:id="64" w:name="_Toc15396620"/>
      <w:r>
        <w:rPr>
          <w:rFonts w:hint="eastAsia" w:ascii="仿宋" w:hAnsi="仿宋" w:eastAsia="仿宋"/>
          <w:b w:val="0"/>
        </w:rPr>
        <w:t>二、收</w:t>
      </w:r>
      <w:r>
        <w:rPr>
          <w:rStyle w:val="24"/>
          <w:rFonts w:hint="eastAsia" w:ascii="仿宋" w:hAnsi="仿宋" w:eastAsia="仿宋"/>
          <w:b w:val="0"/>
          <w:bCs w:val="0"/>
        </w:rPr>
        <w:t>入决算表</w:t>
      </w:r>
      <w:bookmarkEnd w:id="64"/>
    </w:p>
    <w:p>
      <w:pPr>
        <w:pStyle w:val="4"/>
        <w:keepNext w:val="0"/>
        <w:keepLines w:val="0"/>
        <w:spacing w:before="0" w:after="0" w:line="580" w:lineRule="exact"/>
        <w:ind w:firstLine="640" w:firstLineChars="200"/>
        <w:rPr>
          <w:rFonts w:ascii="仿宋" w:hAnsi="仿宋" w:eastAsia="仿宋"/>
          <w:b w:val="0"/>
        </w:rPr>
      </w:pPr>
      <w:bookmarkStart w:id="65" w:name="_Toc15396621"/>
      <w:r>
        <w:rPr>
          <w:rStyle w:val="24"/>
          <w:rFonts w:hint="eastAsia" w:ascii="仿宋" w:hAnsi="仿宋" w:eastAsia="仿宋"/>
          <w:b w:val="0"/>
          <w:bCs w:val="0"/>
        </w:rPr>
        <w:t>三、</w:t>
      </w:r>
      <w:r>
        <w:rPr>
          <w:rFonts w:hint="eastAsia" w:ascii="仿宋" w:hAnsi="仿宋" w:eastAsia="仿宋"/>
          <w:b w:val="0"/>
        </w:rPr>
        <w:t>支</w:t>
      </w:r>
      <w:r>
        <w:rPr>
          <w:rStyle w:val="24"/>
          <w:rFonts w:hint="eastAsia" w:ascii="仿宋" w:hAnsi="仿宋" w:eastAsia="仿宋"/>
          <w:b w:val="0"/>
          <w:bCs w:val="0"/>
        </w:rPr>
        <w:t>出决算表</w:t>
      </w:r>
      <w:bookmarkEnd w:id="65"/>
    </w:p>
    <w:p>
      <w:pPr>
        <w:pStyle w:val="4"/>
        <w:keepNext w:val="0"/>
        <w:keepLines w:val="0"/>
        <w:spacing w:before="0" w:after="0" w:line="580" w:lineRule="exact"/>
        <w:ind w:firstLine="640" w:firstLineChars="200"/>
        <w:rPr>
          <w:rFonts w:ascii="仿宋" w:hAnsi="仿宋" w:eastAsia="仿宋"/>
          <w:b w:val="0"/>
        </w:rPr>
      </w:pPr>
      <w:bookmarkStart w:id="66" w:name="_Toc15396622"/>
      <w:r>
        <w:rPr>
          <w:rStyle w:val="24"/>
          <w:rFonts w:hint="eastAsia" w:ascii="仿宋" w:hAnsi="仿宋" w:eastAsia="仿宋"/>
          <w:b w:val="0"/>
          <w:bCs w:val="0"/>
        </w:rPr>
        <w:t>四、</w:t>
      </w:r>
      <w:r>
        <w:rPr>
          <w:rFonts w:hint="eastAsia" w:ascii="仿宋" w:hAnsi="仿宋" w:eastAsia="仿宋"/>
          <w:b w:val="0"/>
        </w:rPr>
        <w:t>财</w:t>
      </w:r>
      <w:r>
        <w:rPr>
          <w:rStyle w:val="24"/>
          <w:rFonts w:hint="eastAsia" w:ascii="仿宋" w:hAnsi="仿宋" w:eastAsia="仿宋"/>
          <w:b w:val="0"/>
          <w:bCs w:val="0"/>
        </w:rPr>
        <w:t>政拨款收入支出决算总表</w:t>
      </w:r>
      <w:bookmarkEnd w:id="66"/>
    </w:p>
    <w:p>
      <w:pPr>
        <w:pStyle w:val="4"/>
        <w:keepNext w:val="0"/>
        <w:keepLines w:val="0"/>
        <w:spacing w:before="0" w:after="0" w:line="580" w:lineRule="exact"/>
        <w:ind w:firstLine="640" w:firstLineChars="200"/>
        <w:rPr>
          <w:rStyle w:val="24"/>
          <w:rFonts w:ascii="仿宋" w:hAnsi="仿宋" w:eastAsia="仿宋"/>
          <w:b w:val="0"/>
          <w:bCs w:val="0"/>
        </w:rPr>
      </w:pPr>
      <w:bookmarkStart w:id="67" w:name="_Toc15396623"/>
      <w:r>
        <w:rPr>
          <w:rStyle w:val="24"/>
          <w:rFonts w:hint="eastAsia" w:ascii="仿宋" w:hAnsi="仿宋" w:eastAsia="仿宋"/>
          <w:b w:val="0"/>
          <w:bCs w:val="0"/>
        </w:rPr>
        <w:t>五、</w:t>
      </w:r>
      <w:r>
        <w:rPr>
          <w:rFonts w:hint="eastAsia" w:ascii="仿宋" w:hAnsi="仿宋" w:eastAsia="仿宋"/>
          <w:b w:val="0"/>
        </w:rPr>
        <w:t>财</w:t>
      </w:r>
      <w:r>
        <w:rPr>
          <w:rStyle w:val="24"/>
          <w:rFonts w:hint="eastAsia" w:ascii="仿宋" w:hAnsi="仿宋" w:eastAsia="仿宋"/>
          <w:b w:val="0"/>
          <w:bCs w:val="0"/>
        </w:rPr>
        <w:t>政拨款支出决算明细表</w:t>
      </w:r>
      <w:bookmarkEnd w:id="67"/>
      <w:bookmarkStart w:id="68" w:name="_Toc15396624"/>
    </w:p>
    <w:p>
      <w:pPr>
        <w:pStyle w:val="4"/>
        <w:keepNext w:val="0"/>
        <w:keepLines w:val="0"/>
        <w:spacing w:before="0" w:after="0" w:line="580" w:lineRule="exact"/>
        <w:ind w:firstLine="640" w:firstLineChars="200"/>
        <w:rPr>
          <w:rFonts w:ascii="仿宋" w:hAnsi="仿宋" w:eastAsia="仿宋"/>
          <w:b w:val="0"/>
        </w:rPr>
      </w:pPr>
      <w:r>
        <w:rPr>
          <w:rStyle w:val="24"/>
          <w:rFonts w:hint="eastAsia" w:ascii="仿宋" w:hAnsi="仿宋" w:eastAsia="仿宋"/>
          <w:b w:val="0"/>
          <w:bCs w:val="0"/>
        </w:rPr>
        <w:t>六、</w:t>
      </w:r>
      <w:r>
        <w:rPr>
          <w:rFonts w:hint="eastAsia" w:ascii="仿宋" w:hAnsi="仿宋" w:eastAsia="仿宋"/>
          <w:b w:val="0"/>
        </w:rPr>
        <w:t>一</w:t>
      </w:r>
      <w:r>
        <w:rPr>
          <w:rStyle w:val="24"/>
          <w:rFonts w:hint="eastAsia" w:ascii="仿宋" w:hAnsi="仿宋" w:eastAsia="仿宋"/>
          <w:b w:val="0"/>
          <w:bCs w:val="0"/>
        </w:rPr>
        <w:t>般公共预算财政拨款支出决算表</w:t>
      </w:r>
      <w:bookmarkEnd w:id="68"/>
    </w:p>
    <w:p>
      <w:pPr>
        <w:pStyle w:val="4"/>
        <w:keepNext w:val="0"/>
        <w:keepLines w:val="0"/>
        <w:spacing w:before="0" w:after="0" w:line="580" w:lineRule="exact"/>
        <w:ind w:firstLine="640" w:firstLineChars="200"/>
        <w:rPr>
          <w:rFonts w:ascii="仿宋" w:hAnsi="仿宋" w:eastAsia="仿宋"/>
          <w:b w:val="0"/>
        </w:rPr>
      </w:pPr>
      <w:bookmarkStart w:id="69" w:name="_Toc15396625"/>
      <w:r>
        <w:rPr>
          <w:rStyle w:val="24"/>
          <w:rFonts w:hint="eastAsia" w:ascii="仿宋" w:hAnsi="仿宋" w:eastAsia="仿宋"/>
          <w:b w:val="0"/>
          <w:bCs w:val="0"/>
        </w:rPr>
        <w:t>七、</w:t>
      </w:r>
      <w:r>
        <w:rPr>
          <w:rFonts w:hint="eastAsia" w:ascii="仿宋" w:hAnsi="仿宋" w:eastAsia="仿宋"/>
          <w:b w:val="0"/>
        </w:rPr>
        <w:t>一</w:t>
      </w:r>
      <w:r>
        <w:rPr>
          <w:rStyle w:val="24"/>
          <w:rFonts w:hint="eastAsia" w:ascii="仿宋" w:hAnsi="仿宋" w:eastAsia="仿宋"/>
          <w:b w:val="0"/>
          <w:bCs w:val="0"/>
        </w:rPr>
        <w:t>般公共预算财政拨款支出决算明细表</w:t>
      </w:r>
      <w:bookmarkEnd w:id="69"/>
    </w:p>
    <w:p>
      <w:pPr>
        <w:pStyle w:val="4"/>
        <w:keepNext w:val="0"/>
        <w:keepLines w:val="0"/>
        <w:spacing w:before="0" w:after="0" w:line="580" w:lineRule="exact"/>
        <w:ind w:firstLine="640" w:firstLineChars="200"/>
        <w:rPr>
          <w:rFonts w:ascii="仿宋" w:hAnsi="仿宋" w:eastAsia="仿宋"/>
          <w:b w:val="0"/>
        </w:rPr>
      </w:pPr>
      <w:bookmarkStart w:id="70" w:name="_Toc15396626"/>
      <w:r>
        <w:rPr>
          <w:rStyle w:val="24"/>
          <w:rFonts w:hint="eastAsia" w:ascii="仿宋" w:hAnsi="仿宋" w:eastAsia="仿宋"/>
          <w:b w:val="0"/>
          <w:bCs w:val="0"/>
        </w:rPr>
        <w:t>八、</w:t>
      </w:r>
      <w:r>
        <w:rPr>
          <w:rFonts w:hint="eastAsia" w:ascii="仿宋" w:hAnsi="仿宋" w:eastAsia="仿宋"/>
          <w:b w:val="0"/>
        </w:rPr>
        <w:t>一</w:t>
      </w:r>
      <w:r>
        <w:rPr>
          <w:rStyle w:val="24"/>
          <w:rFonts w:hint="eastAsia" w:ascii="仿宋" w:hAnsi="仿宋" w:eastAsia="仿宋"/>
          <w:b w:val="0"/>
          <w:bCs w:val="0"/>
        </w:rPr>
        <w:t>般公共预算财政拨款基本支出决算表</w:t>
      </w:r>
      <w:bookmarkEnd w:id="70"/>
    </w:p>
    <w:p>
      <w:pPr>
        <w:pStyle w:val="4"/>
        <w:keepNext w:val="0"/>
        <w:keepLines w:val="0"/>
        <w:spacing w:before="0" w:after="0" w:line="580" w:lineRule="exact"/>
        <w:ind w:firstLine="640" w:firstLineChars="200"/>
        <w:rPr>
          <w:rFonts w:ascii="仿宋" w:hAnsi="仿宋" w:eastAsia="仿宋"/>
          <w:b w:val="0"/>
        </w:rPr>
      </w:pPr>
      <w:bookmarkStart w:id="71" w:name="_Toc15396627"/>
      <w:r>
        <w:rPr>
          <w:rStyle w:val="24"/>
          <w:rFonts w:hint="eastAsia" w:ascii="仿宋" w:hAnsi="仿宋" w:eastAsia="仿宋"/>
          <w:b w:val="0"/>
          <w:bCs w:val="0"/>
        </w:rPr>
        <w:t>九、</w:t>
      </w:r>
      <w:r>
        <w:rPr>
          <w:rFonts w:hint="eastAsia" w:ascii="仿宋" w:hAnsi="仿宋" w:eastAsia="仿宋"/>
          <w:b w:val="0"/>
        </w:rPr>
        <w:t>一</w:t>
      </w:r>
      <w:r>
        <w:rPr>
          <w:rStyle w:val="24"/>
          <w:rFonts w:hint="eastAsia" w:ascii="仿宋" w:hAnsi="仿宋" w:eastAsia="仿宋"/>
          <w:b w:val="0"/>
          <w:bCs w:val="0"/>
        </w:rPr>
        <w:t>般公共预算财政拨款项目支出决算表</w:t>
      </w:r>
      <w:bookmarkEnd w:id="71"/>
    </w:p>
    <w:p>
      <w:pPr>
        <w:pStyle w:val="4"/>
        <w:keepNext w:val="0"/>
        <w:keepLines w:val="0"/>
        <w:spacing w:before="0" w:after="0" w:line="580" w:lineRule="exact"/>
        <w:ind w:firstLine="640" w:firstLineChars="200"/>
        <w:rPr>
          <w:rFonts w:ascii="仿宋" w:hAnsi="仿宋" w:eastAsia="仿宋"/>
          <w:b w:val="0"/>
        </w:rPr>
      </w:pPr>
      <w:bookmarkStart w:id="72" w:name="_Toc15396628"/>
      <w:r>
        <w:rPr>
          <w:rStyle w:val="24"/>
          <w:rFonts w:hint="eastAsia" w:ascii="仿宋" w:hAnsi="仿宋" w:eastAsia="仿宋"/>
          <w:b w:val="0"/>
          <w:bCs w:val="0"/>
        </w:rPr>
        <w:t>十、</w:t>
      </w:r>
      <w:r>
        <w:rPr>
          <w:rFonts w:hint="eastAsia" w:ascii="仿宋" w:hAnsi="仿宋" w:eastAsia="仿宋"/>
          <w:b w:val="0"/>
        </w:rPr>
        <w:t>一</w:t>
      </w:r>
      <w:r>
        <w:rPr>
          <w:rStyle w:val="24"/>
          <w:rFonts w:hint="eastAsia" w:ascii="仿宋" w:hAnsi="仿宋" w:eastAsia="仿宋"/>
          <w:b w:val="0"/>
          <w:bCs w:val="0"/>
        </w:rPr>
        <w:t>般公共预算财政拨款“三公”经费支出决算表</w:t>
      </w:r>
      <w:bookmarkEnd w:id="72"/>
    </w:p>
    <w:p>
      <w:pPr>
        <w:pStyle w:val="4"/>
        <w:keepNext w:val="0"/>
        <w:keepLines w:val="0"/>
        <w:spacing w:before="0" w:after="0" w:line="580" w:lineRule="exact"/>
        <w:ind w:firstLine="640" w:firstLineChars="200"/>
        <w:rPr>
          <w:rFonts w:ascii="仿宋" w:hAnsi="仿宋" w:eastAsia="仿宋"/>
          <w:b w:val="0"/>
        </w:rPr>
      </w:pPr>
      <w:bookmarkStart w:id="73" w:name="_Toc15396629"/>
      <w:r>
        <w:rPr>
          <w:rStyle w:val="24"/>
          <w:rFonts w:hint="eastAsia" w:ascii="仿宋" w:hAnsi="仿宋" w:eastAsia="仿宋"/>
          <w:b w:val="0"/>
          <w:bCs w:val="0"/>
        </w:rPr>
        <w:t>十一、</w:t>
      </w:r>
      <w:r>
        <w:rPr>
          <w:rFonts w:hint="eastAsia" w:ascii="仿宋" w:hAnsi="仿宋" w:eastAsia="仿宋"/>
          <w:b w:val="0"/>
        </w:rPr>
        <w:t>政</w:t>
      </w:r>
      <w:r>
        <w:rPr>
          <w:rStyle w:val="24"/>
          <w:rFonts w:hint="eastAsia" w:ascii="仿宋" w:hAnsi="仿宋" w:eastAsia="仿宋"/>
          <w:b w:val="0"/>
          <w:bCs w:val="0"/>
        </w:rPr>
        <w:t>府性基金预算财政拨款收入支出决算表</w:t>
      </w:r>
      <w:bookmarkEnd w:id="73"/>
    </w:p>
    <w:p>
      <w:pPr>
        <w:pStyle w:val="4"/>
        <w:keepNext w:val="0"/>
        <w:keepLines w:val="0"/>
        <w:spacing w:before="0" w:after="0" w:line="580" w:lineRule="exact"/>
        <w:ind w:firstLine="640" w:firstLineChars="200"/>
        <w:rPr>
          <w:rFonts w:ascii="仿宋" w:hAnsi="仿宋" w:eastAsia="仿宋"/>
          <w:b w:val="0"/>
        </w:rPr>
      </w:pPr>
      <w:bookmarkStart w:id="74" w:name="_Toc15396630"/>
      <w:r>
        <w:rPr>
          <w:rStyle w:val="24"/>
          <w:rFonts w:hint="eastAsia" w:ascii="仿宋" w:hAnsi="仿宋" w:eastAsia="仿宋"/>
          <w:b w:val="0"/>
          <w:bCs w:val="0"/>
        </w:rPr>
        <w:t>十二、</w:t>
      </w:r>
      <w:r>
        <w:rPr>
          <w:rFonts w:hint="eastAsia" w:ascii="仿宋" w:hAnsi="仿宋" w:eastAsia="仿宋"/>
          <w:b w:val="0"/>
        </w:rPr>
        <w:t>政</w:t>
      </w:r>
      <w:r>
        <w:rPr>
          <w:rStyle w:val="24"/>
          <w:rFonts w:hint="eastAsia" w:ascii="仿宋" w:hAnsi="仿宋" w:eastAsia="仿宋"/>
          <w:b w:val="0"/>
          <w:bCs w:val="0"/>
        </w:rPr>
        <w:t>府性基金预算财政拨款“三公”经费支出决算表</w:t>
      </w:r>
      <w:bookmarkEnd w:id="74"/>
    </w:p>
    <w:p>
      <w:pPr>
        <w:pStyle w:val="4"/>
        <w:keepNext w:val="0"/>
        <w:keepLines w:val="0"/>
        <w:spacing w:before="0" w:after="0" w:line="580" w:lineRule="exact"/>
        <w:ind w:firstLine="640" w:firstLineChars="200"/>
        <w:rPr>
          <w:rStyle w:val="24"/>
          <w:rFonts w:ascii="仿宋" w:hAnsi="仿宋" w:eastAsia="仿宋"/>
          <w:b w:val="0"/>
          <w:bCs w:val="0"/>
        </w:rPr>
      </w:pPr>
      <w:bookmarkStart w:id="75" w:name="_Toc15396631"/>
      <w:r>
        <w:rPr>
          <w:rStyle w:val="24"/>
          <w:rFonts w:hint="eastAsia" w:ascii="仿宋" w:hAnsi="仿宋" w:eastAsia="仿宋"/>
          <w:b w:val="0"/>
          <w:bCs w:val="0"/>
        </w:rPr>
        <w:t>十三、</w:t>
      </w:r>
      <w:r>
        <w:rPr>
          <w:rFonts w:hint="eastAsia" w:ascii="仿宋" w:hAnsi="仿宋" w:eastAsia="仿宋"/>
          <w:b w:val="0"/>
        </w:rPr>
        <w:t>国</w:t>
      </w:r>
      <w:r>
        <w:rPr>
          <w:rStyle w:val="24"/>
          <w:rFonts w:hint="eastAsia" w:ascii="仿宋" w:hAnsi="仿宋" w:eastAsia="仿宋"/>
          <w:b w:val="0"/>
          <w:bCs w:val="0"/>
        </w:rPr>
        <w:t>有资本经营预算财政拨款收入支出决算表</w:t>
      </w:r>
      <w:bookmarkEnd w:id="75"/>
    </w:p>
    <w:p>
      <w:pPr>
        <w:spacing w:line="580" w:lineRule="exact"/>
        <w:ind w:firstLine="640" w:firstLineChars="200"/>
        <w:rPr>
          <w:rFonts w:eastAsia="仿宋"/>
        </w:rPr>
      </w:pPr>
      <w:r>
        <w:rPr>
          <w:rStyle w:val="24"/>
          <w:rFonts w:hint="eastAsia" w:ascii="仿宋" w:hAnsi="仿宋" w:eastAsia="仿宋"/>
          <w:b w:val="0"/>
          <w:bCs w:val="0"/>
        </w:rPr>
        <w:t>十四、国有资本经营预算财政拨款支出决算表</w:t>
      </w:r>
    </w:p>
    <w:sectPr>
      <w:headerReference r:id="rId3" w:type="default"/>
      <w:footerReference r:id="rId4" w:type="default"/>
      <w:footerReference r:id="rId5" w:type="even"/>
      <w:pgSz w:w="11906" w:h="16838"/>
      <w:pgMar w:top="2098" w:right="1474" w:bottom="1985" w:left="1588" w:header="851" w:footer="1588"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33534C-33D6-4565-AF0E-4BEC0E840C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82F93F78-B996-450E-8B7A-88066F8BC7D3}"/>
  </w:font>
  <w:font w:name="Cambria">
    <w:panose1 w:val="02040503050406030204"/>
    <w:charset w:val="00"/>
    <w:family w:val="roman"/>
    <w:pitch w:val="default"/>
    <w:sig w:usb0="E00006FF" w:usb1="420024FF" w:usb2="02000000" w:usb3="00000000" w:csb0="2000019F" w:csb1="00000000"/>
    <w:embedRegular r:id="rId3" w:fontKey="{1F5C79E3-C267-45C3-8AF0-0F2A0DF58A7F}"/>
  </w:font>
  <w:font w:name="方正小标宋简体">
    <w:panose1 w:val="02000000000000000000"/>
    <w:charset w:val="86"/>
    <w:family w:val="auto"/>
    <w:pitch w:val="default"/>
    <w:sig w:usb0="00000001" w:usb1="08000000" w:usb2="00000000" w:usb3="00000000" w:csb0="00040000" w:csb1="00000000"/>
    <w:embedRegular r:id="rId4" w:fontKey="{73C9114F-D7B1-4A1A-A076-BFA2E8E121F5}"/>
  </w:font>
  <w:font w:name="仿宋">
    <w:panose1 w:val="02010609060101010101"/>
    <w:charset w:val="86"/>
    <w:family w:val="auto"/>
    <w:pitch w:val="default"/>
    <w:sig w:usb0="800002BF" w:usb1="38CF7CFA" w:usb2="00000016" w:usb3="00000000" w:csb0="00040001" w:csb1="00000000"/>
    <w:embedRegular r:id="rId5" w:fontKey="{77A26251-2BAC-4D5A-B5F6-2CE92BE30082}"/>
  </w:font>
  <w:font w:name="楷体_GB2312">
    <w:altName w:val="楷体"/>
    <w:panose1 w:val="02010609030101010101"/>
    <w:charset w:val="86"/>
    <w:family w:val="modern"/>
    <w:pitch w:val="default"/>
    <w:sig w:usb0="00000000" w:usb1="00000000" w:usb2="00000010" w:usb3="00000000" w:csb0="00040000" w:csb1="00000000"/>
    <w:embedRegular r:id="rId6" w:fontKey="{39E39DFE-832D-4880-AEF5-4BDEB393A55B}"/>
  </w:font>
  <w:font w:name="Tahoma">
    <w:panose1 w:val="020B0604030504040204"/>
    <w:charset w:val="00"/>
    <w:family w:val="swiss"/>
    <w:pitch w:val="default"/>
    <w:sig w:usb0="E1002EFF" w:usb1="C000605B" w:usb2="00000029" w:usb3="00000000" w:csb0="200101FF" w:csb1="20280000"/>
    <w:embedRegular r:id="rId7" w:fontKey="{B6D1945F-4331-4B6F-94E5-5FAE1C26C7BE}"/>
  </w:font>
  <w:font w:name="华文中宋">
    <w:panose1 w:val="02010600040101010101"/>
    <w:charset w:val="86"/>
    <w:family w:val="auto"/>
    <w:pitch w:val="default"/>
    <w:sig w:usb0="00000287" w:usb1="080F0000" w:usb2="00000000" w:usb3="00000000" w:csb0="0004009F" w:csb1="DFD70000"/>
    <w:embedRegular r:id="rId8" w:fontKey="{0AE9ECCF-0B68-410E-ACE7-3400EEDC805F}"/>
  </w:font>
  <w:font w:name="楷体">
    <w:panose1 w:val="02010609060101010101"/>
    <w:charset w:val="86"/>
    <w:family w:val="auto"/>
    <w:pitch w:val="default"/>
    <w:sig w:usb0="800002BF" w:usb1="38CF7CFA" w:usb2="00000016" w:usb3="00000000" w:csb0="00040001" w:csb1="00000000"/>
    <w:embedRegular r:id="rId9" w:fontKey="{5C1F3646-9370-43D1-A704-10066D9F464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21"/>
        <w:rFonts w:asciiTheme="majorEastAsia" w:hAnsiTheme="majorEastAsia" w:eastAsiaTheme="majorEastAsia"/>
        <w:sz w:val="28"/>
        <w:szCs w:val="28"/>
      </w:rPr>
    </w:pPr>
    <w:r>
      <w:rPr>
        <w:rStyle w:val="21"/>
        <w:rFonts w:hint="eastAsia" w:asciiTheme="majorEastAsia" w:hAnsiTheme="majorEastAsia" w:eastAsiaTheme="majorEastAsia"/>
        <w:sz w:val="28"/>
        <w:szCs w:val="28"/>
      </w:rPr>
      <w:t xml:space="preserve">— </w:t>
    </w:r>
    <w:r>
      <w:rPr>
        <w:rStyle w:val="21"/>
        <w:rFonts w:asciiTheme="majorEastAsia" w:hAnsiTheme="majorEastAsia" w:eastAsiaTheme="majorEastAsia"/>
        <w:sz w:val="28"/>
        <w:szCs w:val="28"/>
      </w:rPr>
      <w:fldChar w:fldCharType="begin"/>
    </w:r>
    <w:r>
      <w:rPr>
        <w:rStyle w:val="21"/>
        <w:rFonts w:asciiTheme="majorEastAsia" w:hAnsiTheme="majorEastAsia" w:eastAsiaTheme="majorEastAsia"/>
        <w:sz w:val="28"/>
        <w:szCs w:val="28"/>
      </w:rPr>
      <w:instrText xml:space="preserve">PAGE  </w:instrText>
    </w:r>
    <w:r>
      <w:rPr>
        <w:rStyle w:val="21"/>
        <w:rFonts w:asciiTheme="majorEastAsia" w:hAnsiTheme="majorEastAsia" w:eastAsiaTheme="majorEastAsia"/>
        <w:sz w:val="28"/>
        <w:szCs w:val="28"/>
      </w:rPr>
      <w:fldChar w:fldCharType="separate"/>
    </w:r>
    <w:r>
      <w:rPr>
        <w:rStyle w:val="21"/>
        <w:rFonts w:asciiTheme="majorEastAsia" w:hAnsiTheme="majorEastAsia" w:eastAsiaTheme="majorEastAsia"/>
        <w:sz w:val="28"/>
        <w:szCs w:val="28"/>
      </w:rPr>
      <w:t>67</w:t>
    </w:r>
    <w:r>
      <w:rPr>
        <w:rStyle w:val="21"/>
        <w:rFonts w:asciiTheme="majorEastAsia" w:hAnsiTheme="majorEastAsia" w:eastAsiaTheme="majorEastAsia"/>
        <w:sz w:val="28"/>
        <w:szCs w:val="28"/>
      </w:rPr>
      <w:fldChar w:fldCharType="end"/>
    </w:r>
    <w:r>
      <w:rPr>
        <w:rStyle w:val="21"/>
        <w:rFonts w:hint="eastAsia" w:asciiTheme="majorEastAsia" w:hAnsiTheme="majorEastAsia" w:eastAsiaTheme="majorEastAsia"/>
        <w:sz w:val="28"/>
        <w:szCs w:val="28"/>
      </w:rPr>
      <w:t xml:space="preserve"> —</w:t>
    </w:r>
  </w:p>
  <w:sdt>
    <w:sdtPr>
      <w:id w:val="-1994781956"/>
      <w:showingPlcHdr/>
    </w:sdtPr>
    <w:sdtContent>
      <w:p>
        <w:pPr>
          <w:pStyle w:val="10"/>
          <w:ind w:right="360" w:firstLine="360"/>
          <w:jc w:val="center"/>
        </w:pP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29884"/>
    <w:multiLevelType w:val="singleLevel"/>
    <w:tmpl w:val="A5129884"/>
    <w:lvl w:ilvl="0" w:tentative="0">
      <w:start w:val="2"/>
      <w:numFmt w:val="chineseCounting"/>
      <w:suff w:val="nothing"/>
      <w:lvlText w:val="（%1）"/>
      <w:lvlJc w:val="left"/>
      <w:rPr>
        <w:rFonts w:hint="eastAsia" w:ascii="楷体_GB2312" w:eastAsia="楷体_GB2312"/>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C666F3B"/>
    <w:multiLevelType w:val="singleLevel"/>
    <w:tmpl w:val="DC666F3B"/>
    <w:lvl w:ilvl="0" w:tentative="0">
      <w:start w:val="2"/>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E23EDD7"/>
    <w:multiLevelType w:val="singleLevel"/>
    <w:tmpl w:val="FE23EDD7"/>
    <w:lvl w:ilvl="0" w:tentative="0">
      <w:start w:val="2"/>
      <w:numFmt w:val="decimal"/>
      <w:suff w:val="nothing"/>
      <w:lvlText w:val="%1、"/>
      <w:lvlJc w:val="left"/>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c2ZGZiNzZiNDVlOGViOWVmM2JhOTY0NGJkNjUyYzgifQ=="/>
  </w:docVars>
  <w:rsids>
    <w:rsidRoot w:val="00F1361C"/>
    <w:rsid w:val="000117A2"/>
    <w:rsid w:val="00015126"/>
    <w:rsid w:val="00015E05"/>
    <w:rsid w:val="000222C6"/>
    <w:rsid w:val="0002549F"/>
    <w:rsid w:val="000468DB"/>
    <w:rsid w:val="0006487A"/>
    <w:rsid w:val="00065F8F"/>
    <w:rsid w:val="00070A43"/>
    <w:rsid w:val="000768F2"/>
    <w:rsid w:val="00082400"/>
    <w:rsid w:val="00087748"/>
    <w:rsid w:val="000907BB"/>
    <w:rsid w:val="0009184B"/>
    <w:rsid w:val="00094236"/>
    <w:rsid w:val="0009593C"/>
    <w:rsid w:val="00097322"/>
    <w:rsid w:val="000A4647"/>
    <w:rsid w:val="000A6A92"/>
    <w:rsid w:val="000B047F"/>
    <w:rsid w:val="000B5923"/>
    <w:rsid w:val="000B5A48"/>
    <w:rsid w:val="000B6FF3"/>
    <w:rsid w:val="000C3467"/>
    <w:rsid w:val="000C3CA6"/>
    <w:rsid w:val="000D0D01"/>
    <w:rsid w:val="000D1267"/>
    <w:rsid w:val="000D1D50"/>
    <w:rsid w:val="000D5782"/>
    <w:rsid w:val="000E6613"/>
    <w:rsid w:val="000E7119"/>
    <w:rsid w:val="000F10E4"/>
    <w:rsid w:val="00114E9B"/>
    <w:rsid w:val="00142216"/>
    <w:rsid w:val="00144D6A"/>
    <w:rsid w:val="0014580D"/>
    <w:rsid w:val="0014729F"/>
    <w:rsid w:val="00154C9B"/>
    <w:rsid w:val="00157BAB"/>
    <w:rsid w:val="001654D1"/>
    <w:rsid w:val="00174518"/>
    <w:rsid w:val="0018106D"/>
    <w:rsid w:val="001877A7"/>
    <w:rsid w:val="00191536"/>
    <w:rsid w:val="00196687"/>
    <w:rsid w:val="001A750D"/>
    <w:rsid w:val="001B1E19"/>
    <w:rsid w:val="001C0962"/>
    <w:rsid w:val="001C1F1D"/>
    <w:rsid w:val="001D7531"/>
    <w:rsid w:val="001E737D"/>
    <w:rsid w:val="001F0592"/>
    <w:rsid w:val="001F7506"/>
    <w:rsid w:val="002006CD"/>
    <w:rsid w:val="00201705"/>
    <w:rsid w:val="00202B36"/>
    <w:rsid w:val="00204B7A"/>
    <w:rsid w:val="00204CDE"/>
    <w:rsid w:val="0021101A"/>
    <w:rsid w:val="00220536"/>
    <w:rsid w:val="00235629"/>
    <w:rsid w:val="00242FDC"/>
    <w:rsid w:val="00243713"/>
    <w:rsid w:val="00244CB5"/>
    <w:rsid w:val="00260C38"/>
    <w:rsid w:val="002616C0"/>
    <w:rsid w:val="00265372"/>
    <w:rsid w:val="002662AA"/>
    <w:rsid w:val="00280496"/>
    <w:rsid w:val="00294DC9"/>
    <w:rsid w:val="00295495"/>
    <w:rsid w:val="002959DB"/>
    <w:rsid w:val="00296FE6"/>
    <w:rsid w:val="002A31DE"/>
    <w:rsid w:val="002B2613"/>
    <w:rsid w:val="002D04C2"/>
    <w:rsid w:val="002D6D05"/>
    <w:rsid w:val="002E080C"/>
    <w:rsid w:val="002F1818"/>
    <w:rsid w:val="002F567B"/>
    <w:rsid w:val="003216A9"/>
    <w:rsid w:val="00334C4D"/>
    <w:rsid w:val="00335A74"/>
    <w:rsid w:val="003620A4"/>
    <w:rsid w:val="0036561B"/>
    <w:rsid w:val="0037013F"/>
    <w:rsid w:val="0037144A"/>
    <w:rsid w:val="00377C0B"/>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0ED8"/>
    <w:rsid w:val="003F7196"/>
    <w:rsid w:val="00406254"/>
    <w:rsid w:val="004223DE"/>
    <w:rsid w:val="00434489"/>
    <w:rsid w:val="00437085"/>
    <w:rsid w:val="00443880"/>
    <w:rsid w:val="004464F4"/>
    <w:rsid w:val="00457C3E"/>
    <w:rsid w:val="00471401"/>
    <w:rsid w:val="0047362C"/>
    <w:rsid w:val="00473F31"/>
    <w:rsid w:val="0048263A"/>
    <w:rsid w:val="00486D7C"/>
    <w:rsid w:val="00487E5D"/>
    <w:rsid w:val="004A711F"/>
    <w:rsid w:val="004B199D"/>
    <w:rsid w:val="004B4690"/>
    <w:rsid w:val="004C7979"/>
    <w:rsid w:val="004D344C"/>
    <w:rsid w:val="004D469D"/>
    <w:rsid w:val="004E0A2D"/>
    <w:rsid w:val="004E206B"/>
    <w:rsid w:val="004E6DF7"/>
    <w:rsid w:val="004F0DD7"/>
    <w:rsid w:val="004F0FBD"/>
    <w:rsid w:val="00505A47"/>
    <w:rsid w:val="00512FDA"/>
    <w:rsid w:val="00520DA0"/>
    <w:rsid w:val="005343F1"/>
    <w:rsid w:val="00536560"/>
    <w:rsid w:val="005472A3"/>
    <w:rsid w:val="005566D5"/>
    <w:rsid w:val="00564925"/>
    <w:rsid w:val="005664BB"/>
    <w:rsid w:val="00566FFA"/>
    <w:rsid w:val="0057481D"/>
    <w:rsid w:val="0058057B"/>
    <w:rsid w:val="0058486E"/>
    <w:rsid w:val="00585B33"/>
    <w:rsid w:val="0059014D"/>
    <w:rsid w:val="005B5C64"/>
    <w:rsid w:val="005C5337"/>
    <w:rsid w:val="005C6BD0"/>
    <w:rsid w:val="005D1C8B"/>
    <w:rsid w:val="005D468D"/>
    <w:rsid w:val="005D5CED"/>
    <w:rsid w:val="005F1336"/>
    <w:rsid w:val="005F1A4C"/>
    <w:rsid w:val="005F1ABF"/>
    <w:rsid w:val="005F3675"/>
    <w:rsid w:val="005F7E2C"/>
    <w:rsid w:val="00602F6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09C"/>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01CA"/>
    <w:rsid w:val="0075404D"/>
    <w:rsid w:val="0076182A"/>
    <w:rsid w:val="00761ACB"/>
    <w:rsid w:val="007658F9"/>
    <w:rsid w:val="00767B7E"/>
    <w:rsid w:val="007770C3"/>
    <w:rsid w:val="00784D24"/>
    <w:rsid w:val="00785FBA"/>
    <w:rsid w:val="00786E4A"/>
    <w:rsid w:val="007875EB"/>
    <w:rsid w:val="0079426B"/>
    <w:rsid w:val="007B5C21"/>
    <w:rsid w:val="007D1682"/>
    <w:rsid w:val="007D312A"/>
    <w:rsid w:val="007D3F19"/>
    <w:rsid w:val="007E23B0"/>
    <w:rsid w:val="007E23E5"/>
    <w:rsid w:val="007F1991"/>
    <w:rsid w:val="007F2C2F"/>
    <w:rsid w:val="007F501B"/>
    <w:rsid w:val="007F55FC"/>
    <w:rsid w:val="007F5665"/>
    <w:rsid w:val="00800112"/>
    <w:rsid w:val="00813348"/>
    <w:rsid w:val="008253BB"/>
    <w:rsid w:val="0083706E"/>
    <w:rsid w:val="008408F6"/>
    <w:rsid w:val="008423A5"/>
    <w:rsid w:val="00850625"/>
    <w:rsid w:val="00853718"/>
    <w:rsid w:val="00855221"/>
    <w:rsid w:val="00857C77"/>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17C8D"/>
    <w:rsid w:val="00923564"/>
    <w:rsid w:val="0092392E"/>
    <w:rsid w:val="009315F9"/>
    <w:rsid w:val="00932E15"/>
    <w:rsid w:val="00933499"/>
    <w:rsid w:val="00935C98"/>
    <w:rsid w:val="00940414"/>
    <w:rsid w:val="00946945"/>
    <w:rsid w:val="00946C44"/>
    <w:rsid w:val="00951248"/>
    <w:rsid w:val="0095152F"/>
    <w:rsid w:val="00952102"/>
    <w:rsid w:val="00954C49"/>
    <w:rsid w:val="00955E37"/>
    <w:rsid w:val="0097099F"/>
    <w:rsid w:val="00971997"/>
    <w:rsid w:val="00971FFC"/>
    <w:rsid w:val="0098660A"/>
    <w:rsid w:val="009931C3"/>
    <w:rsid w:val="009A2643"/>
    <w:rsid w:val="009B1279"/>
    <w:rsid w:val="009B2C43"/>
    <w:rsid w:val="009B4EAE"/>
    <w:rsid w:val="009B54D1"/>
    <w:rsid w:val="009B7573"/>
    <w:rsid w:val="009C22F4"/>
    <w:rsid w:val="009C2A4B"/>
    <w:rsid w:val="009C2E98"/>
    <w:rsid w:val="009D3447"/>
    <w:rsid w:val="009D4711"/>
    <w:rsid w:val="009E6175"/>
    <w:rsid w:val="009F1185"/>
    <w:rsid w:val="009F18CD"/>
    <w:rsid w:val="009F2A13"/>
    <w:rsid w:val="009F7527"/>
    <w:rsid w:val="00A04EB0"/>
    <w:rsid w:val="00A13CC1"/>
    <w:rsid w:val="00A16582"/>
    <w:rsid w:val="00A16847"/>
    <w:rsid w:val="00A237D8"/>
    <w:rsid w:val="00A268C4"/>
    <w:rsid w:val="00A307CD"/>
    <w:rsid w:val="00A331C8"/>
    <w:rsid w:val="00A40A00"/>
    <w:rsid w:val="00A4142F"/>
    <w:rsid w:val="00A422EB"/>
    <w:rsid w:val="00A45BB7"/>
    <w:rsid w:val="00A47DA4"/>
    <w:rsid w:val="00A56020"/>
    <w:rsid w:val="00A56DF2"/>
    <w:rsid w:val="00A56E6E"/>
    <w:rsid w:val="00A67AB5"/>
    <w:rsid w:val="00A733B2"/>
    <w:rsid w:val="00A741C2"/>
    <w:rsid w:val="00A815B5"/>
    <w:rsid w:val="00A90360"/>
    <w:rsid w:val="00A91760"/>
    <w:rsid w:val="00A93B00"/>
    <w:rsid w:val="00A93C21"/>
    <w:rsid w:val="00A95914"/>
    <w:rsid w:val="00AB64C9"/>
    <w:rsid w:val="00AC3C6A"/>
    <w:rsid w:val="00AD28E0"/>
    <w:rsid w:val="00AD35AF"/>
    <w:rsid w:val="00AD5620"/>
    <w:rsid w:val="00AD656B"/>
    <w:rsid w:val="00AD7C1B"/>
    <w:rsid w:val="00AE16BA"/>
    <w:rsid w:val="00AE1EBE"/>
    <w:rsid w:val="00AE70A8"/>
    <w:rsid w:val="00AF58C2"/>
    <w:rsid w:val="00B03C9D"/>
    <w:rsid w:val="00B060AE"/>
    <w:rsid w:val="00B10517"/>
    <w:rsid w:val="00B14E76"/>
    <w:rsid w:val="00B15D9F"/>
    <w:rsid w:val="00B161B8"/>
    <w:rsid w:val="00B2048C"/>
    <w:rsid w:val="00B310B9"/>
    <w:rsid w:val="00B35F3F"/>
    <w:rsid w:val="00B36CBB"/>
    <w:rsid w:val="00B425E0"/>
    <w:rsid w:val="00B440AA"/>
    <w:rsid w:val="00B44B70"/>
    <w:rsid w:val="00B50125"/>
    <w:rsid w:val="00B53C56"/>
    <w:rsid w:val="00B57DAF"/>
    <w:rsid w:val="00B75E49"/>
    <w:rsid w:val="00B77EA6"/>
    <w:rsid w:val="00B81598"/>
    <w:rsid w:val="00B83018"/>
    <w:rsid w:val="00B841F1"/>
    <w:rsid w:val="00B944D6"/>
    <w:rsid w:val="00BA4AEE"/>
    <w:rsid w:val="00BB4DF0"/>
    <w:rsid w:val="00BC289F"/>
    <w:rsid w:val="00BC2D50"/>
    <w:rsid w:val="00BC3DAC"/>
    <w:rsid w:val="00BC5361"/>
    <w:rsid w:val="00BC5460"/>
    <w:rsid w:val="00BC6222"/>
    <w:rsid w:val="00BC6B50"/>
    <w:rsid w:val="00BD0E25"/>
    <w:rsid w:val="00BE37A0"/>
    <w:rsid w:val="00BF5BD6"/>
    <w:rsid w:val="00BF7E12"/>
    <w:rsid w:val="00C03E31"/>
    <w:rsid w:val="00C0523B"/>
    <w:rsid w:val="00C053E6"/>
    <w:rsid w:val="00C15074"/>
    <w:rsid w:val="00C2707A"/>
    <w:rsid w:val="00C33E72"/>
    <w:rsid w:val="00C354B2"/>
    <w:rsid w:val="00C35554"/>
    <w:rsid w:val="00C40365"/>
    <w:rsid w:val="00C42709"/>
    <w:rsid w:val="00C533CC"/>
    <w:rsid w:val="00C557CB"/>
    <w:rsid w:val="00C5751C"/>
    <w:rsid w:val="00C61BFC"/>
    <w:rsid w:val="00C62B85"/>
    <w:rsid w:val="00C65438"/>
    <w:rsid w:val="00C87FD8"/>
    <w:rsid w:val="00C91381"/>
    <w:rsid w:val="00C91CBB"/>
    <w:rsid w:val="00C941BC"/>
    <w:rsid w:val="00CA06B4"/>
    <w:rsid w:val="00CA0DB9"/>
    <w:rsid w:val="00CA4279"/>
    <w:rsid w:val="00CB06FE"/>
    <w:rsid w:val="00CB4E70"/>
    <w:rsid w:val="00CC09B6"/>
    <w:rsid w:val="00CC666F"/>
    <w:rsid w:val="00CD1E3F"/>
    <w:rsid w:val="00CD2CC0"/>
    <w:rsid w:val="00CE44F6"/>
    <w:rsid w:val="00CE49DA"/>
    <w:rsid w:val="00CE7B61"/>
    <w:rsid w:val="00D00095"/>
    <w:rsid w:val="00D114F0"/>
    <w:rsid w:val="00D14725"/>
    <w:rsid w:val="00D20620"/>
    <w:rsid w:val="00D24E1A"/>
    <w:rsid w:val="00D254F7"/>
    <w:rsid w:val="00D26091"/>
    <w:rsid w:val="00D2685C"/>
    <w:rsid w:val="00D34E7C"/>
    <w:rsid w:val="00D35489"/>
    <w:rsid w:val="00D36AFE"/>
    <w:rsid w:val="00D47365"/>
    <w:rsid w:val="00D51276"/>
    <w:rsid w:val="00D70102"/>
    <w:rsid w:val="00D7035F"/>
    <w:rsid w:val="00D727D1"/>
    <w:rsid w:val="00DA634F"/>
    <w:rsid w:val="00DA65AC"/>
    <w:rsid w:val="00DB1913"/>
    <w:rsid w:val="00DB341A"/>
    <w:rsid w:val="00DC410D"/>
    <w:rsid w:val="00DC5A81"/>
    <w:rsid w:val="00DC68CA"/>
    <w:rsid w:val="00DC7CBA"/>
    <w:rsid w:val="00DD1182"/>
    <w:rsid w:val="00DD73B7"/>
    <w:rsid w:val="00DE3DE6"/>
    <w:rsid w:val="00DF1A6C"/>
    <w:rsid w:val="00DF28BC"/>
    <w:rsid w:val="00DF34B9"/>
    <w:rsid w:val="00E01053"/>
    <w:rsid w:val="00E07ACF"/>
    <w:rsid w:val="00E128D6"/>
    <w:rsid w:val="00E143D1"/>
    <w:rsid w:val="00E331A1"/>
    <w:rsid w:val="00E33202"/>
    <w:rsid w:val="00E336A9"/>
    <w:rsid w:val="00E4081D"/>
    <w:rsid w:val="00E42CB6"/>
    <w:rsid w:val="00E472B1"/>
    <w:rsid w:val="00E50624"/>
    <w:rsid w:val="00E568DF"/>
    <w:rsid w:val="00E64269"/>
    <w:rsid w:val="00E82267"/>
    <w:rsid w:val="00E82403"/>
    <w:rsid w:val="00E853CE"/>
    <w:rsid w:val="00E867B6"/>
    <w:rsid w:val="00EA010F"/>
    <w:rsid w:val="00EA1DCA"/>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5A01"/>
    <w:rsid w:val="00F36D8F"/>
    <w:rsid w:val="00F417B1"/>
    <w:rsid w:val="00F45853"/>
    <w:rsid w:val="00F602DF"/>
    <w:rsid w:val="00F615B2"/>
    <w:rsid w:val="00F61DCD"/>
    <w:rsid w:val="00F742DB"/>
    <w:rsid w:val="00F754A1"/>
    <w:rsid w:val="00F81FD9"/>
    <w:rsid w:val="00F841AA"/>
    <w:rsid w:val="00F84A94"/>
    <w:rsid w:val="00F87E96"/>
    <w:rsid w:val="00F92F77"/>
    <w:rsid w:val="00FA23E8"/>
    <w:rsid w:val="00FB319B"/>
    <w:rsid w:val="00FB33BD"/>
    <w:rsid w:val="00FB4D48"/>
    <w:rsid w:val="00FB50A7"/>
    <w:rsid w:val="00FD3CC1"/>
    <w:rsid w:val="00FF1E02"/>
    <w:rsid w:val="00FF30B4"/>
    <w:rsid w:val="05B93485"/>
    <w:rsid w:val="060A29E2"/>
    <w:rsid w:val="066E0107"/>
    <w:rsid w:val="079811E5"/>
    <w:rsid w:val="07996F6E"/>
    <w:rsid w:val="09DB7687"/>
    <w:rsid w:val="0A2032A3"/>
    <w:rsid w:val="0A7E138C"/>
    <w:rsid w:val="0C506EC3"/>
    <w:rsid w:val="0C5A60ED"/>
    <w:rsid w:val="0F6853F6"/>
    <w:rsid w:val="101860EC"/>
    <w:rsid w:val="103E2346"/>
    <w:rsid w:val="10C055FF"/>
    <w:rsid w:val="114F313B"/>
    <w:rsid w:val="118107EC"/>
    <w:rsid w:val="12557610"/>
    <w:rsid w:val="130970C4"/>
    <w:rsid w:val="13D50BC4"/>
    <w:rsid w:val="15415E49"/>
    <w:rsid w:val="156A0D46"/>
    <w:rsid w:val="1650051A"/>
    <w:rsid w:val="16853DA2"/>
    <w:rsid w:val="16BB723D"/>
    <w:rsid w:val="1BE8440E"/>
    <w:rsid w:val="1D155CEE"/>
    <w:rsid w:val="1E517C26"/>
    <w:rsid w:val="21997D2C"/>
    <w:rsid w:val="22FB00AC"/>
    <w:rsid w:val="23025497"/>
    <w:rsid w:val="23860B96"/>
    <w:rsid w:val="240371BF"/>
    <w:rsid w:val="24FF2FC1"/>
    <w:rsid w:val="2683355D"/>
    <w:rsid w:val="289E5E42"/>
    <w:rsid w:val="29FD04D3"/>
    <w:rsid w:val="2B980F11"/>
    <w:rsid w:val="2BA554E0"/>
    <w:rsid w:val="2C8A61B5"/>
    <w:rsid w:val="2DF04E50"/>
    <w:rsid w:val="2DF734CE"/>
    <w:rsid w:val="2EB42AA3"/>
    <w:rsid w:val="319F7F4E"/>
    <w:rsid w:val="344B6971"/>
    <w:rsid w:val="34DF11E9"/>
    <w:rsid w:val="359F7AA1"/>
    <w:rsid w:val="35F92BBB"/>
    <w:rsid w:val="36AA5135"/>
    <w:rsid w:val="37E16F03"/>
    <w:rsid w:val="3CCC57A3"/>
    <w:rsid w:val="3D3E5B6F"/>
    <w:rsid w:val="3D98207C"/>
    <w:rsid w:val="3E09294E"/>
    <w:rsid w:val="3E0F13B4"/>
    <w:rsid w:val="44E268DA"/>
    <w:rsid w:val="459B0313"/>
    <w:rsid w:val="45A34203"/>
    <w:rsid w:val="472D4FA9"/>
    <w:rsid w:val="4A627F82"/>
    <w:rsid w:val="4B4F25DA"/>
    <w:rsid w:val="4BE068DB"/>
    <w:rsid w:val="4D577224"/>
    <w:rsid w:val="4EAB630A"/>
    <w:rsid w:val="4ECE2238"/>
    <w:rsid w:val="4FC820E9"/>
    <w:rsid w:val="5038161B"/>
    <w:rsid w:val="507C6E73"/>
    <w:rsid w:val="539A143D"/>
    <w:rsid w:val="55270CAC"/>
    <w:rsid w:val="5AF92295"/>
    <w:rsid w:val="5CD71FC4"/>
    <w:rsid w:val="5F2345A8"/>
    <w:rsid w:val="610E32DE"/>
    <w:rsid w:val="62A97302"/>
    <w:rsid w:val="644C4575"/>
    <w:rsid w:val="65DB2666"/>
    <w:rsid w:val="66376316"/>
    <w:rsid w:val="666D12A4"/>
    <w:rsid w:val="67FC3439"/>
    <w:rsid w:val="69261AF5"/>
    <w:rsid w:val="6ACB20FD"/>
    <w:rsid w:val="6B4F3718"/>
    <w:rsid w:val="6C4A05C8"/>
    <w:rsid w:val="6DC1472B"/>
    <w:rsid w:val="6E7E3605"/>
    <w:rsid w:val="6EEE1ACB"/>
    <w:rsid w:val="6FE547B6"/>
    <w:rsid w:val="6FF5CC65"/>
    <w:rsid w:val="715C0E4B"/>
    <w:rsid w:val="71FA4560"/>
    <w:rsid w:val="72734D90"/>
    <w:rsid w:val="73A02439"/>
    <w:rsid w:val="73AD73D5"/>
    <w:rsid w:val="73B6EB34"/>
    <w:rsid w:val="79EE5BA4"/>
    <w:rsid w:val="7A2C2872"/>
    <w:rsid w:val="7A894339"/>
    <w:rsid w:val="7EEF11D3"/>
    <w:rsid w:val="7FA30C79"/>
    <w:rsid w:val="7FC96657"/>
    <w:rsid w:val="D8D6DB89"/>
    <w:rsid w:val="DB6F4CAB"/>
    <w:rsid w:val="DF6F9789"/>
    <w:rsid w:val="F3BF4B0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8"/>
    <w:qFormat/>
    <w:uiPriority w:val="99"/>
    <w:pPr>
      <w:keepNext/>
      <w:keepLines/>
      <w:tabs>
        <w:tab w:val="left" w:pos="1006"/>
      </w:tabs>
      <w:spacing w:before="156" w:after="156" w:line="360" w:lineRule="auto"/>
      <w:ind w:left="1006" w:hanging="1006"/>
      <w:jc w:val="left"/>
      <w:outlineLvl w:val="3"/>
    </w:pPr>
    <w:rPr>
      <w:rFonts w:ascii="Arial" w:hAnsi="Arial" w:eastAsia="黑体"/>
      <w:b/>
      <w:sz w:val="28"/>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1"/>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ody Text Indent 2"/>
    <w:link w:val="41"/>
    <w:qFormat/>
    <w:uiPriority w:val="0"/>
    <w:pPr>
      <w:widowControl w:val="0"/>
      <w:spacing w:before="100" w:beforeAutospacing="1" w:after="120" w:line="480" w:lineRule="auto"/>
      <w:ind w:left="200" w:leftChars="200"/>
      <w:jc w:val="both"/>
    </w:pPr>
    <w:rPr>
      <w:rFonts w:ascii="Calibri" w:hAnsi="Calibri" w:eastAsia="方正小标宋简体" w:cs="Times New Roman"/>
      <w:kern w:val="2"/>
      <w:sz w:val="21"/>
      <w:szCs w:val="21"/>
      <w:lang w:val="en-US" w:eastAsia="zh-CN" w:bidi="ar-SA"/>
    </w:rPr>
  </w:style>
  <w:style w:type="paragraph" w:styleId="9">
    <w:name w:val="Balloon Text"/>
    <w:basedOn w:val="1"/>
    <w:link w:val="35"/>
    <w:semiHidden/>
    <w:unhideWhenUsed/>
    <w:qFormat/>
    <w:uiPriority w:val="99"/>
    <w:rPr>
      <w:sz w:val="18"/>
      <w:szCs w:val="18"/>
    </w:rPr>
  </w:style>
  <w:style w:type="paragraph" w:styleId="10">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Subtitle"/>
    <w:basedOn w:val="1"/>
    <w:link w:val="40"/>
    <w:qFormat/>
    <w:uiPriority w:val="99"/>
    <w:pPr>
      <w:spacing w:before="240" w:after="60" w:line="312" w:lineRule="auto"/>
      <w:jc w:val="center"/>
      <w:outlineLvl w:val="1"/>
    </w:pPr>
    <w:rPr>
      <w:rFonts w:ascii="Arial" w:hAnsi="Arial" w:cs="Arial"/>
      <w:b/>
      <w:bCs/>
      <w:kern w:val="28"/>
      <w:sz w:val="32"/>
      <w:szCs w:val="32"/>
    </w:rPr>
  </w:style>
  <w:style w:type="paragraph" w:styleId="14">
    <w:name w:val="footnote text"/>
    <w:basedOn w:val="1"/>
    <w:link w:val="39"/>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rPr>
      <w:sz w:val="24"/>
    </w:rPr>
  </w:style>
  <w:style w:type="paragraph" w:styleId="17">
    <w:name w:val="Body Text First Indent"/>
    <w:basedOn w:val="2"/>
    <w:link w:val="37"/>
    <w:unhideWhenUsed/>
    <w:qFormat/>
    <w:uiPriority w:val="0"/>
    <w:pPr>
      <w:spacing w:beforeLines="0" w:after="120"/>
      <w:ind w:firstLine="420" w:firstLineChars="100"/>
    </w:pPr>
    <w:rPr>
      <w:rFonts w:ascii="Times New Roman" w:eastAsia="宋体"/>
      <w:kern w:val="2"/>
      <w:sz w:val="21"/>
    </w:rPr>
  </w:style>
  <w:style w:type="character" w:styleId="20">
    <w:name w:val="Strong"/>
    <w:basedOn w:val="19"/>
    <w:qFormat/>
    <w:uiPriority w:val="99"/>
    <w:rPr>
      <w:b/>
    </w:rPr>
  </w:style>
  <w:style w:type="character" w:styleId="21">
    <w:name w:val="page number"/>
    <w:basedOn w:val="19"/>
    <w:semiHidden/>
    <w:unhideWhenUsed/>
    <w:qFormat/>
    <w:uiPriority w:val="99"/>
  </w:style>
  <w:style w:type="character" w:styleId="22">
    <w:name w:val="Hyperlink"/>
    <w:basedOn w:val="19"/>
    <w:unhideWhenUsed/>
    <w:qFormat/>
    <w:uiPriority w:val="99"/>
    <w:rPr>
      <w:color w:val="0000FF" w:themeColor="hyperlink"/>
      <w:u w:val="single"/>
    </w:rPr>
  </w:style>
  <w:style w:type="character" w:customStyle="1" w:styleId="23">
    <w:name w:val="标题 1 Char"/>
    <w:basedOn w:val="19"/>
    <w:link w:val="3"/>
    <w:qFormat/>
    <w:uiPriority w:val="9"/>
    <w:rPr>
      <w:rFonts w:ascii="Times New Roman" w:hAnsi="Times New Roman"/>
      <w:b/>
      <w:bCs/>
      <w:kern w:val="44"/>
      <w:sz w:val="44"/>
      <w:szCs w:val="44"/>
    </w:rPr>
  </w:style>
  <w:style w:type="character" w:customStyle="1" w:styleId="24">
    <w:name w:val="标题 2 Char"/>
    <w:basedOn w:val="19"/>
    <w:link w:val="4"/>
    <w:qFormat/>
    <w:uiPriority w:val="9"/>
    <w:rPr>
      <w:rFonts w:asciiTheme="majorHAnsi" w:hAnsiTheme="majorHAnsi" w:eastAsiaTheme="majorEastAsia" w:cstheme="majorBidi"/>
      <w:b/>
      <w:bCs/>
      <w:kern w:val="2"/>
      <w:sz w:val="32"/>
      <w:szCs w:val="32"/>
    </w:rPr>
  </w:style>
  <w:style w:type="character" w:customStyle="1" w:styleId="25">
    <w:name w:val="标题 3 Char"/>
    <w:basedOn w:val="19"/>
    <w:link w:val="5"/>
    <w:qFormat/>
    <w:uiPriority w:val="9"/>
    <w:rPr>
      <w:rFonts w:ascii="Times New Roman" w:hAnsi="Times New Roman"/>
      <w:b/>
      <w:bCs/>
      <w:kern w:val="2"/>
      <w:sz w:val="32"/>
      <w:szCs w:val="32"/>
    </w:rPr>
  </w:style>
  <w:style w:type="character" w:customStyle="1" w:styleId="26">
    <w:name w:val="Header Char"/>
    <w:basedOn w:val="19"/>
    <w:semiHidden/>
    <w:qFormat/>
    <w:uiPriority w:val="99"/>
    <w:rPr>
      <w:rFonts w:ascii="Times New Roman" w:hAnsi="Times New Roman"/>
      <w:sz w:val="18"/>
      <w:szCs w:val="18"/>
    </w:rPr>
  </w:style>
  <w:style w:type="character" w:customStyle="1" w:styleId="27">
    <w:name w:val="页眉 Char"/>
    <w:link w:val="11"/>
    <w:semiHidden/>
    <w:qFormat/>
    <w:locked/>
    <w:uiPriority w:val="99"/>
    <w:rPr>
      <w:sz w:val="18"/>
    </w:rPr>
  </w:style>
  <w:style w:type="character" w:customStyle="1" w:styleId="28">
    <w:name w:val="Footer Char"/>
    <w:basedOn w:val="19"/>
    <w:semiHidden/>
    <w:qFormat/>
    <w:uiPriority w:val="99"/>
    <w:rPr>
      <w:rFonts w:ascii="Times New Roman" w:hAnsi="Times New Roman"/>
      <w:sz w:val="18"/>
      <w:szCs w:val="18"/>
    </w:rPr>
  </w:style>
  <w:style w:type="character" w:customStyle="1" w:styleId="29">
    <w:name w:val="页脚 Char"/>
    <w:link w:val="10"/>
    <w:qFormat/>
    <w:locked/>
    <w:uiPriority w:val="99"/>
    <w:rPr>
      <w:sz w:val="18"/>
    </w:rPr>
  </w:style>
  <w:style w:type="character" w:customStyle="1" w:styleId="30">
    <w:name w:val="Body Text Char"/>
    <w:basedOn w:val="19"/>
    <w:semiHidden/>
    <w:qFormat/>
    <w:uiPriority w:val="99"/>
    <w:rPr>
      <w:rFonts w:ascii="Times New Roman" w:hAnsi="Times New Roman"/>
      <w:szCs w:val="24"/>
    </w:rPr>
  </w:style>
  <w:style w:type="character" w:customStyle="1" w:styleId="31">
    <w:name w:val="正文文本 Char"/>
    <w:link w:val="2"/>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19"/>
    <w:link w:val="9"/>
    <w:semiHidden/>
    <w:qFormat/>
    <w:uiPriority w:val="99"/>
    <w:rPr>
      <w:rFonts w:ascii="Times New Roman" w:hAnsi="Times New Roman"/>
      <w:kern w:val="2"/>
      <w:sz w:val="18"/>
      <w:szCs w:val="18"/>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正文首行缩进 Char"/>
    <w:basedOn w:val="31"/>
    <w:link w:val="17"/>
    <w:semiHidden/>
    <w:qFormat/>
    <w:uiPriority w:val="99"/>
    <w:rPr>
      <w:kern w:val="2"/>
      <w:sz w:val="21"/>
      <w:szCs w:val="24"/>
    </w:rPr>
  </w:style>
  <w:style w:type="character" w:customStyle="1" w:styleId="38">
    <w:name w:val="标题 4 Char"/>
    <w:basedOn w:val="19"/>
    <w:link w:val="6"/>
    <w:qFormat/>
    <w:uiPriority w:val="99"/>
    <w:rPr>
      <w:rFonts w:ascii="Arial" w:hAnsi="Arial" w:eastAsia="黑体"/>
      <w:b/>
      <w:kern w:val="2"/>
      <w:sz w:val="28"/>
    </w:rPr>
  </w:style>
  <w:style w:type="character" w:customStyle="1" w:styleId="39">
    <w:name w:val="脚注文本 Char"/>
    <w:basedOn w:val="19"/>
    <w:link w:val="14"/>
    <w:qFormat/>
    <w:uiPriority w:val="0"/>
    <w:rPr>
      <w:kern w:val="2"/>
      <w:sz w:val="18"/>
      <w:szCs w:val="18"/>
    </w:rPr>
  </w:style>
  <w:style w:type="character" w:customStyle="1" w:styleId="40">
    <w:name w:val="副标题 Char"/>
    <w:basedOn w:val="19"/>
    <w:link w:val="13"/>
    <w:qFormat/>
    <w:uiPriority w:val="99"/>
    <w:rPr>
      <w:rFonts w:ascii="Arial" w:hAnsi="Arial" w:cs="Arial"/>
      <w:b/>
      <w:bCs/>
      <w:kern w:val="28"/>
      <w:sz w:val="32"/>
      <w:szCs w:val="32"/>
    </w:rPr>
  </w:style>
  <w:style w:type="character" w:customStyle="1" w:styleId="41">
    <w:name w:val="正文文本缩进 2 Char"/>
    <w:basedOn w:val="19"/>
    <w:link w:val="8"/>
    <w:qFormat/>
    <w:uiPriority w:val="0"/>
    <w:rPr>
      <w:rFonts w:ascii="Calibri" w:hAnsi="Calibri" w:eastAsia="方正小标宋简体"/>
      <w:kern w:val="2"/>
      <w:sz w:val="21"/>
      <w:szCs w:val="21"/>
    </w:rPr>
  </w:style>
  <w:style w:type="paragraph" w:customStyle="1" w:styleId="42">
    <w:name w:val="列出段落1"/>
    <w:basedOn w:val="1"/>
    <w:qFormat/>
    <w:uiPriority w:val="34"/>
    <w:pPr>
      <w:ind w:firstLine="420" w:firstLineChars="200"/>
    </w:pPr>
  </w:style>
  <w:style w:type="character" w:customStyle="1" w:styleId="43">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c:f>
              <c:strCache>
                <c:ptCount val="1"/>
                <c:pt idx="0">
                  <c:v>类别 1</c:v>
                </c:pt>
              </c:strCache>
            </c:strRef>
          </c:cat>
          <c:val>
            <c:numRef>
              <c:f>Sheet1!$B$2</c:f>
              <c:numCache>
                <c:formatCode>General</c:formatCode>
                <c:ptCount val="1"/>
                <c:pt idx="0">
                  <c:v>5136.85</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c:f>
              <c:strCache>
                <c:ptCount val="1"/>
                <c:pt idx="0">
                  <c:v>类别 1</c:v>
                </c:pt>
              </c:strCache>
            </c:strRef>
          </c:cat>
          <c:val>
            <c:numRef>
              <c:f>Sheet1!$C$2</c:f>
              <c:numCache>
                <c:formatCode>General</c:formatCode>
                <c:ptCount val="1"/>
                <c:pt idx="0">
                  <c:v>4938.81</c:v>
                </c:pt>
              </c:numCache>
            </c:numRef>
          </c:val>
        </c:ser>
        <c:ser>
          <c:idx val="2"/>
          <c:order val="2"/>
          <c:tx>
            <c:strRef>
              <c:f>Sheet1!$D$1</c:f>
              <c:strCache>
                <c:ptCount val="1"/>
                <c:pt idx="0">
                  <c:v>2021年比2020年增加额</c:v>
                </c:pt>
              </c:strCache>
            </c:strRef>
          </c:tx>
          <c:spPr>
            <a:solidFill>
              <a:schemeClr val="accent3"/>
            </a:solidFill>
            <a:ln>
              <a:noFill/>
            </a:ln>
            <a:effectLst/>
          </c:spPr>
          <c:invertIfNegative val="0"/>
          <c:dLbls>
            <c:delete val="1"/>
          </c:dLbls>
          <c:cat>
            <c:strRef>
              <c:f>Sheet1!$A$2</c:f>
              <c:strCache>
                <c:ptCount val="1"/>
                <c:pt idx="0">
                  <c:v>类别 1</c:v>
                </c:pt>
              </c:strCache>
            </c:strRef>
          </c:cat>
          <c:val>
            <c:numRef>
              <c:f>Sheet1!$D$2</c:f>
              <c:numCache>
                <c:formatCode>General</c:formatCode>
                <c:ptCount val="1"/>
                <c:pt idx="0">
                  <c:v>198.04</c:v>
                </c:pt>
              </c:numCache>
            </c:numRef>
          </c:val>
        </c:ser>
        <c:dLbls>
          <c:showLegendKey val="0"/>
          <c:showVal val="0"/>
          <c:showCatName val="0"/>
          <c:showSerName val="0"/>
          <c:showPercent val="0"/>
          <c:showBubbleSize val="0"/>
        </c:dLbls>
        <c:gapWidth val="219"/>
        <c:overlap val="-27"/>
        <c:axId val="119756672"/>
        <c:axId val="122175488"/>
      </c:barChart>
      <c:catAx>
        <c:axId val="11975667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2175488"/>
        <c:crosses val="autoZero"/>
        <c:auto val="1"/>
        <c:lblAlgn val="ctr"/>
        <c:lblOffset val="100"/>
        <c:noMultiLvlLbl val="0"/>
      </c:catAx>
      <c:valAx>
        <c:axId val="1221754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7566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5041.22</c:v>
                </c:pt>
                <c:pt idx="1">
                  <c:v>0.06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manualLayout>
          <c:layoutTarget val="inner"/>
          <c:xMode val="edge"/>
          <c:yMode val="edge"/>
          <c:x val="0.247425000000001"/>
          <c:y val="0.17065"/>
          <c:w val="0.50215"/>
          <c:h val="0.669533333333334"/>
        </c:manualLayout>
      </c:layout>
      <c:pieChart>
        <c:varyColors val="1"/>
        <c:ser>
          <c:idx val="0"/>
          <c:order val="0"/>
          <c:tx>
            <c:strRef>
              <c:f>Sheet1!$B$1</c:f>
              <c:strCache>
                <c:ptCount val="1"/>
                <c:pt idx="0">
                  <c:v>列1</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65.45</a:t>
                    </a:r>
                    <a:r>
                      <a:t>%</a:t>
                    </a:r>
                  </a:p>
                </c:rich>
              </c:tx>
              <c:dLblPos val="ctr"/>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34.55</a:t>
                    </a:r>
                    <a:r>
                      <a:t>%</a:t>
                    </a:r>
                  </a:p>
                </c:rich>
              </c:tx>
              <c:dLblPos val="ctr"/>
              <c:showLegendKey val="0"/>
              <c:showVal val="1"/>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0.654500000000001</c:v>
                </c:pt>
                <c:pt idx="1">
                  <c:v>0.3455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c:f>
              <c:strCache>
                <c:ptCount val="1"/>
                <c:pt idx="0">
                  <c:v>类别 1</c:v>
                </c:pt>
              </c:strCache>
            </c:strRef>
          </c:cat>
          <c:val>
            <c:numRef>
              <c:f>Sheet1!$B$2</c:f>
              <c:numCache>
                <c:formatCode>General</c:formatCode>
                <c:ptCount val="1"/>
                <c:pt idx="0">
                  <c:v>5136.78</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c:f>
              <c:strCache>
                <c:ptCount val="1"/>
                <c:pt idx="0">
                  <c:v>类别 1</c:v>
                </c:pt>
              </c:strCache>
            </c:strRef>
          </c:cat>
          <c:val>
            <c:numRef>
              <c:f>Sheet1!$C$2</c:f>
              <c:numCache>
                <c:formatCode>General</c:formatCode>
                <c:ptCount val="1"/>
                <c:pt idx="0">
                  <c:v>4922.03</c:v>
                </c:pt>
              </c:numCache>
            </c:numRef>
          </c:val>
        </c:ser>
        <c:ser>
          <c:idx val="2"/>
          <c:order val="2"/>
          <c:tx>
            <c:strRef>
              <c:f>Sheet1!$D$1</c:f>
              <c:strCache>
                <c:ptCount val="1"/>
                <c:pt idx="0">
                  <c:v>2021年比2020年增加额</c:v>
                </c:pt>
              </c:strCache>
            </c:strRef>
          </c:tx>
          <c:spPr>
            <a:solidFill>
              <a:schemeClr val="accent3"/>
            </a:solidFill>
            <a:ln>
              <a:noFill/>
            </a:ln>
            <a:effectLst/>
          </c:spPr>
          <c:invertIfNegative val="0"/>
          <c:dLbls>
            <c:delete val="1"/>
          </c:dLbls>
          <c:cat>
            <c:strRef>
              <c:f>Sheet1!$A$2</c:f>
              <c:strCache>
                <c:ptCount val="1"/>
                <c:pt idx="0">
                  <c:v>类别 1</c:v>
                </c:pt>
              </c:strCache>
            </c:strRef>
          </c:cat>
          <c:val>
            <c:numRef>
              <c:f>Sheet1!$D$2</c:f>
              <c:numCache>
                <c:formatCode>General</c:formatCode>
                <c:ptCount val="1"/>
                <c:pt idx="0">
                  <c:v>214.75</c:v>
                </c:pt>
              </c:numCache>
            </c:numRef>
          </c:val>
        </c:ser>
        <c:dLbls>
          <c:showLegendKey val="0"/>
          <c:showVal val="0"/>
          <c:showCatName val="0"/>
          <c:showSerName val="0"/>
          <c:showPercent val="0"/>
          <c:showBubbleSize val="0"/>
        </c:dLbls>
        <c:gapWidth val="219"/>
        <c:overlap val="-27"/>
        <c:axId val="165287040"/>
        <c:axId val="165314944"/>
      </c:barChart>
      <c:catAx>
        <c:axId val="1652870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5314944"/>
        <c:crosses val="autoZero"/>
        <c:auto val="1"/>
        <c:lblAlgn val="ctr"/>
        <c:lblOffset val="100"/>
        <c:noMultiLvlLbl val="0"/>
      </c:catAx>
      <c:valAx>
        <c:axId val="1653149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52870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c:f>
              <c:strCache>
                <c:ptCount val="1"/>
                <c:pt idx="0">
                  <c:v>类别 1</c:v>
                </c:pt>
              </c:strCache>
            </c:strRef>
          </c:cat>
          <c:val>
            <c:numRef>
              <c:f>Sheet1!$B$2</c:f>
              <c:numCache>
                <c:formatCode>General</c:formatCode>
                <c:ptCount val="1"/>
                <c:pt idx="0">
                  <c:v>5044.33</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c:f>
              <c:strCache>
                <c:ptCount val="1"/>
                <c:pt idx="0">
                  <c:v>类别 1</c:v>
                </c:pt>
              </c:strCache>
            </c:strRef>
          </c:cat>
          <c:val>
            <c:numRef>
              <c:f>Sheet1!$C$2</c:f>
              <c:numCache>
                <c:formatCode>General</c:formatCode>
                <c:ptCount val="1"/>
                <c:pt idx="0">
                  <c:v>4817.88</c:v>
                </c:pt>
              </c:numCache>
            </c:numRef>
          </c:val>
        </c:ser>
        <c:dLbls>
          <c:showLegendKey val="0"/>
          <c:showVal val="0"/>
          <c:showCatName val="0"/>
          <c:showSerName val="0"/>
          <c:showPercent val="0"/>
          <c:showBubbleSize val="0"/>
        </c:dLbls>
        <c:gapWidth val="219"/>
        <c:overlap val="-27"/>
        <c:axId val="173242624"/>
        <c:axId val="119763328"/>
      </c:barChart>
      <c:catAx>
        <c:axId val="173242624"/>
        <c:scaling>
          <c:orientation val="minMax"/>
        </c:scaling>
        <c:delete val="1"/>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9763328"/>
        <c:crosses val="autoZero"/>
        <c:auto val="1"/>
        <c:lblAlgn val="ctr"/>
        <c:lblOffset val="100"/>
        <c:noMultiLvlLbl val="0"/>
      </c:catAx>
      <c:valAx>
        <c:axId val="1197633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32426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一般公共预算财政拨款支出表</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410519821493769"/>
                  <c:y val="-0.11986188655143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88.3</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02303225594588"/>
                  <c:y val="0.001144289358855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24584709920612"/>
                  <c:y val="-0.01989597888670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16654573935358"/>
                  <c:y val="-0.005608339040373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一般公共服务支出</c:v>
                </c:pt>
                <c:pt idx="1">
                  <c:v>社会保障和就业支出</c:v>
                </c:pt>
                <c:pt idx="2">
                  <c:v>医疗卫生支出</c:v>
                </c:pt>
                <c:pt idx="3">
                  <c:v>住房保障支出</c:v>
                </c:pt>
              </c:strCache>
            </c:strRef>
          </c:cat>
          <c:val>
            <c:numRef>
              <c:f>Sheet1!$B$2:$B$5</c:f>
              <c:numCache>
                <c:formatCode>0.00%</c:formatCode>
                <c:ptCount val="4"/>
                <c:pt idx="0">
                  <c:v>0.883</c:v>
                </c:pt>
                <c:pt idx="1">
                  <c:v>0.0613</c:v>
                </c:pt>
                <c:pt idx="2">
                  <c:v>0.0205</c:v>
                </c:pt>
                <c:pt idx="3">
                  <c:v>0.0352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c:v>
                </c:pt>
                <c:pt idx="1">
                  <c:v>公务用车购置及运行维护费</c:v>
                </c:pt>
                <c:pt idx="2">
                  <c:v>公务接待费</c:v>
                </c:pt>
              </c:strCache>
            </c:strRef>
          </c:cat>
          <c:val>
            <c:numRef>
              <c:f>Sheet1!$B$2:$B$4</c:f>
              <c:numCache>
                <c:formatCode>0%</c:formatCode>
                <c:ptCount val="3"/>
                <c:pt idx="0">
                  <c:v>0</c:v>
                </c:pt>
                <c:pt idx="1" c:formatCode="0.00%">
                  <c:v>0.624600000000003</c:v>
                </c:pt>
                <c:pt idx="2" c:formatCode="0.00%">
                  <c:v>0.375400000000001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70"/>
    <customShpInfo spid="_x0000_s2068"/>
    <customShpInfo spid="_x0000_s2069"/>
    <customShpInfo spid="_x0000_s2067"/>
    <customShpInfo spid="_x0000_s2066"/>
    <customShpInfo spid="_x0000_s2051"/>
    <customShpInfo spid="_x0000_s2052"/>
    <customShpInfo spid="_x0000_s2053"/>
    <customShpInfo spid="_x0000_s2054"/>
    <customShpInfo spid="_x0000_s2055"/>
    <customShpInfo spid="_x0000_s2056"/>
    <customShpInfo spid="_x0000_s2050"/>
    <customShpInfo spid="_x0000_s2057"/>
    <customShpInfo spid="_x0000_s2060"/>
    <customShpInfo spid="_x0000_s2061"/>
    <customShpInfo spid="_x0000_s2058"/>
    <customShpInfo spid="_x0000_s2059"/>
    <customShpInfo spid="_x0000_s2063"/>
    <customShpInfo spid="_x0000_s2064"/>
    <customShpInfo spid="_x0000_s2065"/>
    <customShpInfo spid="_x0000_s2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67</Pages>
  <Words>27940</Words>
  <Characters>29586</Characters>
  <Lines>218</Lines>
  <Paragraphs>61</Paragraphs>
  <TotalTime>16</TotalTime>
  <ScaleCrop>false</ScaleCrop>
  <LinksUpToDate>false</LinksUpToDate>
  <CharactersWithSpaces>29673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2022-09-22T13:49:00Z</dcterms:created>
  <dc:creator>曹颖</dc:creator>
  <cp:lastModifiedBy>玖千余为春秋</cp:lastModifiedBy>
  <cp:lastPrinted>2022-09-26T01:35:00Z</cp:lastPrinted>
  <dcterms:modified xsi:type="dcterms:W3CDTF">2023-07-28T12:32:23Z</dcterms:modified>
  <dc:title>四川省***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71EE4C5B63CC42F888BCD11980679D2B</vt:lpwstr>
  </property>
</Properties>
</file>