
<file path=[Content_Types].xml><?xml version="1.0" encoding="utf-8"?>
<Types xmlns="http://schemas.openxmlformats.org/package/2006/content-types">
  <Default Extension="xlsx" ContentType="application/vnd.openxmlformats-officedocument.spreadsheetml.shee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简体" w:hAnsi="宋体" w:eastAsia="方正小标宋简体"/>
          <w:sz w:val="72"/>
          <w:szCs w:val="72"/>
        </w:rPr>
      </w:pPr>
      <w:bookmarkStart w:id="0" w:name="_Hlk114149808"/>
      <w:bookmarkEnd w:id="0"/>
      <w:bookmarkStart w:id="1" w:name="_Toc15306267"/>
    </w:p>
    <w:p>
      <w:pPr>
        <w:spacing w:line="600" w:lineRule="exact"/>
        <w:jc w:val="center"/>
        <w:rPr>
          <w:rFonts w:ascii="方正小标宋简体" w:hAnsi="宋体" w:eastAsia="方正小标宋简体"/>
          <w:sz w:val="72"/>
          <w:szCs w:val="72"/>
        </w:rPr>
      </w:pPr>
    </w:p>
    <w:p>
      <w:pPr>
        <w:spacing w:line="600" w:lineRule="exact"/>
        <w:jc w:val="center"/>
        <w:rPr>
          <w:rFonts w:ascii="方正小标宋简体" w:hAnsi="宋体" w:eastAsia="方正小标宋简体"/>
          <w:sz w:val="72"/>
          <w:szCs w:val="72"/>
        </w:rPr>
      </w:pPr>
    </w:p>
    <w:p>
      <w:pPr>
        <w:spacing w:line="600" w:lineRule="exact"/>
        <w:jc w:val="center"/>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2" w:name="_Toc15377193"/>
      <w:bookmarkStart w:id="3" w:name="_Toc15396475"/>
      <w:bookmarkStart w:id="4" w:name="_Toc6538"/>
      <w:bookmarkStart w:id="5" w:name="_Toc15377425"/>
      <w:bookmarkStart w:id="6" w:name="_Toc15396597"/>
      <w:bookmarkStart w:id="7" w:name="_Toc15378441"/>
      <w:r>
        <w:rPr>
          <w:rFonts w:hint="eastAsia" w:ascii="方正小标宋简体" w:hAnsi="方正小标宋简体" w:eastAsia="方正小标宋简体" w:cs="方正小标宋简体"/>
          <w:sz w:val="72"/>
          <w:szCs w:val="72"/>
        </w:rPr>
        <w:t>2021年度</w:t>
      </w:r>
      <w:bookmarkEnd w:id="2"/>
      <w:bookmarkEnd w:id="3"/>
      <w:bookmarkEnd w:id="4"/>
      <w:bookmarkEnd w:id="5"/>
      <w:bookmarkEnd w:id="6"/>
      <w:bookmarkEnd w:id="7"/>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8" w:name="_Toc15396476"/>
      <w:bookmarkStart w:id="9" w:name="_Toc15377426"/>
      <w:bookmarkStart w:id="10" w:name="_Toc1051"/>
      <w:bookmarkStart w:id="11" w:name="_Toc15377194"/>
      <w:bookmarkStart w:id="12" w:name="_Toc15396598"/>
      <w:bookmarkStart w:id="13" w:name="_Toc15378442"/>
      <w:r>
        <w:rPr>
          <w:rFonts w:hint="eastAsia" w:ascii="方正小标宋简体" w:hAnsi="方正小标宋简体" w:eastAsia="方正小标宋简体" w:cs="方正小标宋简体"/>
          <w:sz w:val="72"/>
          <w:szCs w:val="72"/>
        </w:rPr>
        <w:t>广元市</w:t>
      </w:r>
      <w:bookmarkEnd w:id="1"/>
      <w:bookmarkStart w:id="14" w:name="_Toc15306268"/>
      <w:r>
        <w:rPr>
          <w:rFonts w:hint="eastAsia" w:ascii="方正小标宋简体" w:hAnsi="方正小标宋简体" w:eastAsia="方正小标宋简体" w:cs="方正小标宋简体"/>
          <w:sz w:val="72"/>
          <w:szCs w:val="72"/>
        </w:rPr>
        <w:t>图书馆单位决算</w:t>
      </w:r>
      <w:bookmarkEnd w:id="8"/>
      <w:bookmarkEnd w:id="9"/>
      <w:bookmarkEnd w:id="10"/>
      <w:bookmarkEnd w:id="11"/>
      <w:bookmarkEnd w:id="12"/>
      <w:bookmarkEnd w:id="13"/>
      <w:bookmarkEnd w:id="14"/>
    </w:p>
    <w:p>
      <w:pPr>
        <w:adjustRightInd w:val="0"/>
        <w:snapToGrid w:val="0"/>
        <w:spacing w:line="360" w:lineRule="auto"/>
        <w:jc w:val="center"/>
        <w:rPr>
          <w:rFonts w:ascii="方正小标宋简体" w:hAnsi="宋体" w:eastAsia="方正小标宋简体"/>
          <w:sz w:val="52"/>
          <w:szCs w:val="52"/>
        </w:rPr>
      </w:pPr>
    </w:p>
    <w:p>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pPr>
        <w:pStyle w:val="2"/>
      </w:pPr>
      <w:r>
        <w:rPr>
          <w:rFonts w:hint="eastAsia"/>
        </w:rPr>
        <w:t>公开时间：2022年  月  日</w:t>
      </w:r>
    </w:p>
    <w:sdt>
      <w:sdtPr>
        <w:rPr>
          <w:rFonts w:ascii="宋体" w:hAnsi="宋体"/>
        </w:rPr>
        <w:id w:val="147476476"/>
        <w15:color w:val="DBDBDB"/>
        <w:docPartObj>
          <w:docPartGallery w:val="Table of Contents"/>
          <w:docPartUnique/>
        </w:docPartObj>
      </w:sdtPr>
      <w:sdtEndPr>
        <w:rPr>
          <w:rFonts w:ascii="Times New Roman" w:hAnsi="Times New Roman"/>
          <w:b/>
        </w:rPr>
      </w:sdtEndPr>
      <w:sdtContent>
        <w:p>
          <w:pPr>
            <w:spacing w:line="340" w:lineRule="exact"/>
            <w:jc w:val="left"/>
            <w:rPr>
              <w:b/>
              <w:sz w:val="22"/>
              <w:szCs w:val="28"/>
            </w:rPr>
          </w:pPr>
          <w:r>
            <w:fldChar w:fldCharType="begin"/>
          </w:r>
          <w:r>
            <w:instrText xml:space="preserve">TOC \o "1-2" \h \u </w:instrText>
          </w:r>
          <w:r>
            <w:fldChar w:fldCharType="separate"/>
          </w:r>
          <w:r>
            <w:fldChar w:fldCharType="begin"/>
          </w:r>
          <w:r>
            <w:instrText xml:space="preserve"> HYPERLINK \l "_Toc32322" </w:instrText>
          </w:r>
          <w:r>
            <w:fldChar w:fldCharType="separate"/>
          </w:r>
          <w:r>
            <w:rPr>
              <w:rFonts w:hint="eastAsia" w:ascii="黑体" w:hAnsi="黑体" w:eastAsia="黑体"/>
              <w:b/>
              <w:sz w:val="22"/>
              <w:szCs w:val="28"/>
            </w:rPr>
            <w:t>第一部分 单位概况</w:t>
          </w:r>
          <w:r>
            <w:rPr>
              <w:b/>
              <w:sz w:val="22"/>
              <w:szCs w:val="28"/>
            </w:rPr>
            <w:tab/>
          </w:r>
          <w:r>
            <w:rPr>
              <w:b/>
              <w:sz w:val="22"/>
              <w:szCs w:val="28"/>
            </w:rPr>
            <w:fldChar w:fldCharType="begin"/>
          </w:r>
          <w:r>
            <w:rPr>
              <w:b/>
              <w:sz w:val="22"/>
              <w:szCs w:val="28"/>
            </w:rPr>
            <w:instrText xml:space="preserve"> PAGEREF _Toc32322 \h </w:instrText>
          </w:r>
          <w:r>
            <w:rPr>
              <w:b/>
              <w:sz w:val="22"/>
              <w:szCs w:val="28"/>
            </w:rPr>
            <w:fldChar w:fldCharType="separate"/>
          </w:r>
          <w:r>
            <w:rPr>
              <w:b/>
              <w:sz w:val="22"/>
              <w:szCs w:val="28"/>
            </w:rPr>
            <w:t>3</w:t>
          </w:r>
          <w:r>
            <w:rPr>
              <w:b/>
              <w:sz w:val="22"/>
              <w:szCs w:val="28"/>
            </w:rPr>
            <w:fldChar w:fldCharType="end"/>
          </w:r>
          <w:r>
            <w:rPr>
              <w:b/>
              <w:sz w:val="22"/>
              <w:szCs w:val="28"/>
            </w:rPr>
            <w:fldChar w:fldCharType="end"/>
          </w:r>
        </w:p>
        <w:p>
          <w:pPr>
            <w:pStyle w:val="34"/>
            <w:tabs>
              <w:tab w:val="right" w:leader="dot" w:pos="8306"/>
            </w:tabs>
            <w:spacing w:line="340" w:lineRule="exact"/>
            <w:ind w:left="420"/>
            <w:rPr>
              <w:sz w:val="21"/>
              <w:szCs w:val="21"/>
            </w:rPr>
          </w:pPr>
          <w:r>
            <w:fldChar w:fldCharType="begin"/>
          </w:r>
          <w:r>
            <w:instrText xml:space="preserve"> HYPERLINK \l "_Toc1441" </w:instrText>
          </w:r>
          <w:r>
            <w:fldChar w:fldCharType="separate"/>
          </w:r>
          <w:r>
            <w:rPr>
              <w:rFonts w:hint="eastAsia" w:ascii="黑体" w:hAnsi="黑体" w:eastAsia="黑体"/>
              <w:sz w:val="21"/>
              <w:szCs w:val="21"/>
            </w:rPr>
            <w:t>一、职能简介</w:t>
          </w:r>
          <w:r>
            <w:rPr>
              <w:sz w:val="21"/>
              <w:szCs w:val="21"/>
            </w:rPr>
            <w:tab/>
          </w:r>
          <w:r>
            <w:rPr>
              <w:sz w:val="21"/>
              <w:szCs w:val="21"/>
            </w:rPr>
            <w:fldChar w:fldCharType="begin"/>
          </w:r>
          <w:r>
            <w:rPr>
              <w:sz w:val="21"/>
              <w:szCs w:val="21"/>
            </w:rPr>
            <w:instrText xml:space="preserve"> PAGEREF _Toc1441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"_Toc4057" </w:instrText>
          </w:r>
          <w:r>
            <w:fldChar w:fldCharType="separate"/>
          </w:r>
          <w:r>
            <w:rPr>
              <w:rFonts w:hint="eastAsia" w:ascii="黑体" w:hAnsi="黑体" w:eastAsia="黑体"/>
              <w:sz w:val="21"/>
              <w:szCs w:val="21"/>
            </w:rPr>
            <w:t>二、2021年重点工作完成情况</w:t>
          </w:r>
          <w:r>
            <w:rPr>
              <w:sz w:val="21"/>
              <w:szCs w:val="21"/>
            </w:rPr>
            <w:tab/>
          </w:r>
          <w:r>
            <w:rPr>
              <w:sz w:val="21"/>
              <w:szCs w:val="21"/>
            </w:rPr>
            <w:fldChar w:fldCharType="begin"/>
          </w:r>
          <w:r>
            <w:rPr>
              <w:sz w:val="21"/>
              <w:szCs w:val="21"/>
            </w:rPr>
            <w:instrText xml:space="preserve"> PAGEREF _Toc4057 \h </w:instrText>
          </w:r>
          <w:r>
            <w:rPr>
              <w:sz w:val="21"/>
              <w:szCs w:val="21"/>
            </w:rPr>
            <w:fldChar w:fldCharType="separate"/>
          </w:r>
          <w:r>
            <w:rPr>
              <w:sz w:val="21"/>
              <w:szCs w:val="21"/>
            </w:rPr>
            <w:t>3</w:t>
          </w:r>
          <w:r>
            <w:rPr>
              <w:sz w:val="21"/>
              <w:szCs w:val="21"/>
            </w:rPr>
            <w:fldChar w:fldCharType="end"/>
          </w:r>
          <w:r>
            <w:rPr>
              <w:sz w:val="21"/>
              <w:szCs w:val="21"/>
            </w:rPr>
            <w:fldChar w:fldCharType="end"/>
          </w:r>
        </w:p>
        <w:p>
          <w:pPr>
            <w:pStyle w:val="33"/>
            <w:tabs>
              <w:tab w:val="right" w:leader="dot" w:pos="8306"/>
            </w:tabs>
            <w:spacing w:line="340" w:lineRule="exact"/>
            <w:rPr>
              <w:b/>
              <w:sz w:val="21"/>
              <w:szCs w:val="21"/>
            </w:rPr>
          </w:pPr>
          <w:r>
            <w:fldChar w:fldCharType="begin"/>
          </w:r>
          <w:r>
            <w:instrText xml:space="preserve"> HYPERLINK \l "_Toc11939" </w:instrText>
          </w:r>
          <w:r>
            <w:fldChar w:fldCharType="separate"/>
          </w:r>
          <w:r>
            <w:rPr>
              <w:rFonts w:hint="eastAsia" w:ascii="黑体" w:hAnsi="黑体" w:eastAsia="黑体"/>
              <w:b/>
              <w:sz w:val="21"/>
              <w:szCs w:val="21"/>
            </w:rPr>
            <w:t>第二部分 2021年度</w:t>
          </w:r>
          <w:r>
            <w:rPr>
              <w:rFonts w:hint="eastAsia" w:ascii="黑体" w:hAnsi="黑体" w:eastAsia="黑体"/>
              <w:b/>
              <w:bCs/>
              <w:sz w:val="21"/>
              <w:szCs w:val="21"/>
            </w:rPr>
            <w:t>单位决算情况说明</w:t>
          </w:r>
          <w:r>
            <w:rPr>
              <w:b/>
              <w:sz w:val="21"/>
              <w:szCs w:val="21"/>
            </w:rPr>
            <w:tab/>
          </w:r>
          <w:r>
            <w:rPr>
              <w:b/>
              <w:sz w:val="21"/>
              <w:szCs w:val="21"/>
            </w:rPr>
            <w:fldChar w:fldCharType="begin"/>
          </w:r>
          <w:r>
            <w:rPr>
              <w:b/>
              <w:sz w:val="21"/>
              <w:szCs w:val="21"/>
            </w:rPr>
            <w:instrText xml:space="preserve"> PAGEREF _Toc11939 \h </w:instrText>
          </w:r>
          <w:r>
            <w:rPr>
              <w:b/>
              <w:sz w:val="21"/>
              <w:szCs w:val="21"/>
            </w:rPr>
            <w:fldChar w:fldCharType="separate"/>
          </w:r>
          <w:r>
            <w:rPr>
              <w:b/>
              <w:sz w:val="21"/>
              <w:szCs w:val="21"/>
            </w:rPr>
            <w:t>10</w:t>
          </w:r>
          <w:r>
            <w:rPr>
              <w:b/>
              <w:sz w:val="21"/>
              <w:szCs w:val="21"/>
            </w:rPr>
            <w:fldChar w:fldCharType="end"/>
          </w:r>
          <w:r>
            <w:rPr>
              <w:b/>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"_Toc32418" </w:instrText>
          </w:r>
          <w:r>
            <w:fldChar w:fldCharType="separate"/>
          </w:r>
          <w:r>
            <w:rPr>
              <w:rFonts w:ascii="黑体" w:hAnsi="黑体" w:eastAsia="黑体"/>
              <w:sz w:val="21"/>
              <w:szCs w:val="21"/>
            </w:rPr>
            <w:t xml:space="preserve">一、 </w:t>
          </w:r>
          <w:r>
            <w:rPr>
              <w:rFonts w:hint="eastAsia" w:ascii="黑体" w:hAnsi="黑体" w:eastAsia="黑体"/>
              <w:sz w:val="21"/>
              <w:szCs w:val="36"/>
            </w:rPr>
            <w:t>收</w:t>
          </w:r>
          <w:r>
            <w:rPr>
              <w:rFonts w:hint="eastAsia" w:ascii="黑体" w:hAnsi="黑体" w:eastAsia="黑体"/>
              <w:sz w:val="21"/>
              <w:szCs w:val="21"/>
            </w:rPr>
            <w:t>入支出决算总体情况说明</w:t>
          </w:r>
          <w:r>
            <w:rPr>
              <w:sz w:val="21"/>
              <w:szCs w:val="21"/>
            </w:rPr>
            <w:tab/>
          </w:r>
          <w:r>
            <w:rPr>
              <w:sz w:val="21"/>
              <w:szCs w:val="21"/>
            </w:rPr>
            <w:fldChar w:fldCharType="begin"/>
          </w:r>
          <w:r>
            <w:rPr>
              <w:sz w:val="21"/>
              <w:szCs w:val="21"/>
            </w:rPr>
            <w:instrText xml:space="preserve"> PAGEREF _Toc32418 \h </w:instrText>
          </w:r>
          <w:r>
            <w:rPr>
              <w:sz w:val="21"/>
              <w:szCs w:val="21"/>
            </w:rPr>
            <w:fldChar w:fldCharType="separate"/>
          </w:r>
          <w:r>
            <w:rPr>
              <w:sz w:val="21"/>
              <w:szCs w:val="21"/>
            </w:rPr>
            <w:t>10</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"_Toc7041" </w:instrText>
          </w:r>
          <w:r>
            <w:fldChar w:fldCharType="separate"/>
          </w:r>
          <w:r>
            <w:rPr>
              <w:rFonts w:ascii="黑体" w:hAnsi="黑体" w:eastAsia="黑体"/>
              <w:sz w:val="21"/>
              <w:szCs w:val="21"/>
            </w:rPr>
            <w:t xml:space="preserve">二、 </w:t>
          </w:r>
          <w:r>
            <w:rPr>
              <w:rFonts w:hint="eastAsia" w:ascii="黑体" w:hAnsi="黑体" w:eastAsia="黑体"/>
              <w:sz w:val="21"/>
              <w:szCs w:val="36"/>
            </w:rPr>
            <w:t>收</w:t>
          </w:r>
          <w:r>
            <w:rPr>
              <w:rFonts w:hint="eastAsia" w:ascii="黑体" w:hAnsi="黑体" w:eastAsia="黑体"/>
              <w:sz w:val="21"/>
              <w:szCs w:val="21"/>
            </w:rPr>
            <w:t>入决算情况说明</w:t>
          </w:r>
          <w:r>
            <w:rPr>
              <w:sz w:val="21"/>
              <w:szCs w:val="21"/>
            </w:rPr>
            <w:tab/>
          </w:r>
          <w:r>
            <w:rPr>
              <w:sz w:val="21"/>
              <w:szCs w:val="21"/>
            </w:rPr>
            <w:fldChar w:fldCharType="begin"/>
          </w:r>
          <w:r>
            <w:rPr>
              <w:sz w:val="21"/>
              <w:szCs w:val="21"/>
            </w:rPr>
            <w:instrText xml:space="preserve"> PAGEREF _Toc7041 \h </w:instrText>
          </w:r>
          <w:r>
            <w:rPr>
              <w:sz w:val="21"/>
              <w:szCs w:val="21"/>
            </w:rPr>
            <w:fldChar w:fldCharType="separate"/>
          </w:r>
          <w:r>
            <w:rPr>
              <w:sz w:val="21"/>
              <w:szCs w:val="21"/>
            </w:rPr>
            <w:t>10</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"_Toc223" </w:instrText>
          </w:r>
          <w:r>
            <w:fldChar w:fldCharType="separate"/>
          </w:r>
          <w:r>
            <w:rPr>
              <w:rFonts w:ascii="黑体" w:hAnsi="黑体" w:eastAsia="黑体"/>
              <w:sz w:val="21"/>
              <w:szCs w:val="21"/>
            </w:rPr>
            <w:t xml:space="preserve">三、 </w:t>
          </w:r>
          <w:r>
            <w:rPr>
              <w:rFonts w:hint="eastAsia" w:ascii="黑体" w:hAnsi="黑体" w:eastAsia="黑体"/>
              <w:sz w:val="21"/>
              <w:szCs w:val="36"/>
            </w:rPr>
            <w:t>支</w:t>
          </w:r>
          <w:r>
            <w:rPr>
              <w:rFonts w:hint="eastAsia" w:ascii="黑体" w:hAnsi="黑体" w:eastAsia="黑体"/>
              <w:sz w:val="21"/>
              <w:szCs w:val="21"/>
            </w:rPr>
            <w:t>出决算情况说明</w:t>
          </w:r>
          <w:r>
            <w:rPr>
              <w:sz w:val="21"/>
              <w:szCs w:val="21"/>
            </w:rPr>
            <w:tab/>
          </w:r>
          <w:r>
            <w:rPr>
              <w:sz w:val="21"/>
              <w:szCs w:val="21"/>
            </w:rPr>
            <w:fldChar w:fldCharType="begin"/>
          </w:r>
          <w:r>
            <w:rPr>
              <w:sz w:val="21"/>
              <w:szCs w:val="21"/>
            </w:rPr>
            <w:instrText xml:space="preserve"> PAGEREF _Toc223 \h </w:instrText>
          </w:r>
          <w:r>
            <w:rPr>
              <w:sz w:val="21"/>
              <w:szCs w:val="21"/>
            </w:rPr>
            <w:fldChar w:fldCharType="separate"/>
          </w:r>
          <w:r>
            <w:rPr>
              <w:sz w:val="21"/>
              <w:szCs w:val="21"/>
            </w:rPr>
            <w:t>11</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"_Toc11369" </w:instrText>
          </w:r>
          <w:r>
            <w:fldChar w:fldCharType="separate"/>
          </w:r>
          <w:r>
            <w:fldChar w:fldCharType="end"/>
          </w:r>
          <w:r>
            <w:fldChar w:fldCharType="begin"/>
          </w:r>
          <w:r>
            <w:instrText xml:space="preserve"> HYPERLINK \l "_Toc4645" </w:instrText>
          </w:r>
          <w:r>
            <w:fldChar w:fldCharType="separate"/>
          </w:r>
          <w:r>
            <w:rPr>
              <w:rFonts w:hint="eastAsia" w:ascii="黑体" w:hAnsi="黑体" w:eastAsia="黑体"/>
              <w:sz w:val="21"/>
              <w:szCs w:val="36"/>
            </w:rPr>
            <w:t>四、财</w:t>
          </w:r>
          <w:r>
            <w:rPr>
              <w:rFonts w:hint="eastAsia" w:ascii="黑体" w:hAnsi="黑体" w:eastAsia="黑体"/>
              <w:sz w:val="21"/>
              <w:szCs w:val="21"/>
            </w:rPr>
            <w:t>政拨款收入支出决算总体情况说明</w:t>
          </w:r>
          <w:r>
            <w:rPr>
              <w:sz w:val="21"/>
              <w:szCs w:val="21"/>
            </w:rPr>
            <w:tab/>
          </w:r>
          <w:r>
            <w:rPr>
              <w:sz w:val="21"/>
              <w:szCs w:val="21"/>
            </w:rPr>
            <w:fldChar w:fldCharType="begin"/>
          </w:r>
          <w:r>
            <w:rPr>
              <w:sz w:val="21"/>
              <w:szCs w:val="21"/>
            </w:rPr>
            <w:instrText xml:space="preserve"> PAGEREF _Toc4645 \h </w:instrText>
          </w:r>
          <w:r>
            <w:rPr>
              <w:sz w:val="21"/>
              <w:szCs w:val="21"/>
            </w:rPr>
            <w:fldChar w:fldCharType="separate"/>
          </w:r>
          <w:r>
            <w:rPr>
              <w:sz w:val="21"/>
              <w:szCs w:val="21"/>
            </w:rPr>
            <w:t>11</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"_Toc15443" </w:instrText>
          </w:r>
          <w:r>
            <w:fldChar w:fldCharType="separate"/>
          </w:r>
          <w:r>
            <w:rPr>
              <w:rFonts w:hint="eastAsia" w:ascii="黑体" w:hAnsi="黑体" w:eastAsia="黑体"/>
              <w:sz w:val="21"/>
              <w:szCs w:val="36"/>
            </w:rPr>
            <w:t>五、一</w:t>
          </w:r>
          <w:r>
            <w:rPr>
              <w:rFonts w:hint="eastAsia" w:ascii="黑体" w:hAnsi="黑体" w:eastAsia="黑体"/>
              <w:sz w:val="21"/>
              <w:szCs w:val="21"/>
            </w:rPr>
            <w:t>般公共预算财政拨款支出决算情况说明</w:t>
          </w:r>
          <w:r>
            <w:rPr>
              <w:sz w:val="21"/>
              <w:szCs w:val="21"/>
            </w:rPr>
            <w:tab/>
          </w:r>
          <w:r>
            <w:rPr>
              <w:sz w:val="21"/>
              <w:szCs w:val="21"/>
            </w:rPr>
            <w:fldChar w:fldCharType="begin"/>
          </w:r>
          <w:r>
            <w:rPr>
              <w:sz w:val="21"/>
              <w:szCs w:val="21"/>
            </w:rPr>
            <w:instrText xml:space="preserve"> PAGEREF _Toc15443 \h </w:instrText>
          </w:r>
          <w:r>
            <w:rPr>
              <w:sz w:val="21"/>
              <w:szCs w:val="21"/>
            </w:rPr>
            <w:fldChar w:fldCharType="separate"/>
          </w:r>
          <w:r>
            <w:rPr>
              <w:sz w:val="21"/>
              <w:szCs w:val="21"/>
            </w:rPr>
            <w:t>12</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"_Toc16020" </w:instrText>
          </w:r>
          <w:r>
            <w:fldChar w:fldCharType="separate"/>
          </w:r>
          <w:r>
            <w:rPr>
              <w:rFonts w:hint="eastAsia" w:ascii="黑体" w:eastAsia="黑体"/>
              <w:sz w:val="21"/>
              <w:szCs w:val="36"/>
            </w:rPr>
            <w:t>六、</w:t>
          </w:r>
          <w:r>
            <w:rPr>
              <w:rFonts w:hint="eastAsia" w:ascii="黑体" w:hAnsi="黑体" w:eastAsia="黑体"/>
              <w:sz w:val="21"/>
              <w:szCs w:val="36"/>
            </w:rPr>
            <w:t>一</w:t>
          </w:r>
          <w:r>
            <w:rPr>
              <w:rFonts w:hint="eastAsia" w:ascii="黑体" w:hAnsi="黑体" w:eastAsia="黑体"/>
              <w:sz w:val="21"/>
              <w:szCs w:val="21"/>
            </w:rPr>
            <w:t>般公共预算财政拨款基本支出决算情况说明</w:t>
          </w:r>
          <w:r>
            <w:rPr>
              <w:sz w:val="21"/>
              <w:szCs w:val="21"/>
            </w:rPr>
            <w:tab/>
          </w:r>
          <w:r>
            <w:rPr>
              <w:sz w:val="21"/>
              <w:szCs w:val="21"/>
            </w:rPr>
            <w:fldChar w:fldCharType="begin"/>
          </w:r>
          <w:r>
            <w:rPr>
              <w:sz w:val="21"/>
              <w:szCs w:val="21"/>
            </w:rPr>
            <w:instrText xml:space="preserve"> PAGEREF _Toc16020 \h </w:instrText>
          </w:r>
          <w:r>
            <w:rPr>
              <w:sz w:val="21"/>
              <w:szCs w:val="21"/>
            </w:rPr>
            <w:fldChar w:fldCharType="separate"/>
          </w:r>
          <w:r>
            <w:rPr>
              <w:sz w:val="21"/>
              <w:szCs w:val="21"/>
            </w:rPr>
            <w:t>15</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"_Toc29490" </w:instrText>
          </w:r>
          <w:r>
            <w:fldChar w:fldCharType="separate"/>
          </w:r>
          <w:r>
            <w:rPr>
              <w:rFonts w:hint="eastAsia" w:ascii="黑体" w:eastAsia="黑体"/>
              <w:sz w:val="21"/>
              <w:szCs w:val="36"/>
            </w:rPr>
            <w:t>七、</w:t>
          </w:r>
          <w:r>
            <w:rPr>
              <w:rFonts w:hint="eastAsia" w:ascii="黑体" w:hAnsi="黑体" w:eastAsia="黑体"/>
              <w:sz w:val="21"/>
              <w:szCs w:val="21"/>
            </w:rPr>
            <w:t>“三公”经费财政拨款支出决算情况说明</w:t>
          </w:r>
          <w:r>
            <w:rPr>
              <w:sz w:val="21"/>
              <w:szCs w:val="21"/>
            </w:rPr>
            <w:tab/>
          </w:r>
          <w:r>
            <w:rPr>
              <w:sz w:val="21"/>
              <w:szCs w:val="21"/>
            </w:rPr>
            <w:fldChar w:fldCharType="begin"/>
          </w:r>
          <w:r>
            <w:rPr>
              <w:sz w:val="21"/>
              <w:szCs w:val="21"/>
            </w:rPr>
            <w:instrText xml:space="preserve"> PAGEREF _Toc29490 \h </w:instrText>
          </w:r>
          <w:r>
            <w:rPr>
              <w:sz w:val="21"/>
              <w:szCs w:val="21"/>
            </w:rPr>
            <w:fldChar w:fldCharType="separate"/>
          </w:r>
          <w:r>
            <w:rPr>
              <w:sz w:val="21"/>
              <w:szCs w:val="21"/>
            </w:rPr>
            <w:t>16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"_Toc7364" </w:instrText>
          </w:r>
          <w:r>
            <w:fldChar w:fldCharType="separate"/>
          </w:r>
          <w:r>
            <w:rPr>
              <w:rFonts w:hint="eastAsia" w:ascii="黑体" w:eastAsia="黑体"/>
              <w:sz w:val="21"/>
              <w:szCs w:val="36"/>
            </w:rPr>
            <w:t>八、</w:t>
          </w:r>
          <w:r>
            <w:rPr>
              <w:rFonts w:hint="eastAsia" w:ascii="黑体" w:hAnsi="黑体" w:eastAsia="黑体"/>
              <w:sz w:val="21"/>
              <w:szCs w:val="21"/>
            </w:rPr>
            <w:t>政府性基金预算支出决算情况说明</w:t>
          </w:r>
          <w:r>
            <w:rPr>
              <w:sz w:val="21"/>
              <w:szCs w:val="21"/>
            </w:rPr>
            <w:tab/>
          </w:r>
          <w:r>
            <w:rPr>
              <w:sz w:val="21"/>
              <w:szCs w:val="21"/>
            </w:rPr>
            <w:fldChar w:fldCharType="begin"/>
          </w:r>
          <w:r>
            <w:rPr>
              <w:sz w:val="21"/>
              <w:szCs w:val="21"/>
            </w:rPr>
            <w:instrText xml:space="preserve"> PAGEREF _Toc7364 \h </w:instrText>
          </w:r>
          <w:r>
            <w:rPr>
              <w:sz w:val="21"/>
              <w:szCs w:val="21"/>
            </w:rPr>
            <w:fldChar w:fldCharType="separate"/>
          </w:r>
          <w:r>
            <w:rPr>
              <w:sz w:val="21"/>
              <w:szCs w:val="21"/>
            </w:rPr>
            <w:t>18</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"_Toc9086" </w:instrText>
          </w:r>
          <w:r>
            <w:fldChar w:fldCharType="separate"/>
          </w:r>
          <w:r>
            <w:rPr>
              <w:rFonts w:hint="eastAsia" w:ascii="黑体" w:hAnsi="黑体" w:eastAsia="黑体"/>
              <w:sz w:val="21"/>
              <w:szCs w:val="21"/>
            </w:rPr>
            <w:t>九、 国有资本经营预算支出决算情况说明</w:t>
          </w:r>
          <w:r>
            <w:rPr>
              <w:sz w:val="21"/>
              <w:szCs w:val="21"/>
            </w:rPr>
            <w:tab/>
          </w:r>
          <w:r>
            <w:rPr>
              <w:sz w:val="21"/>
              <w:szCs w:val="21"/>
            </w:rPr>
            <w:fldChar w:fldCharType="begin"/>
          </w:r>
          <w:r>
            <w:rPr>
              <w:sz w:val="21"/>
              <w:szCs w:val="21"/>
            </w:rPr>
            <w:instrText xml:space="preserve"> PAGEREF _Toc9086 \h </w:instrText>
          </w:r>
          <w:r>
            <w:rPr>
              <w:sz w:val="21"/>
              <w:szCs w:val="21"/>
            </w:rPr>
            <w:fldChar w:fldCharType="separate"/>
          </w:r>
          <w:r>
            <w:rPr>
              <w:sz w:val="21"/>
              <w:szCs w:val="21"/>
            </w:rPr>
            <w:t>18</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"_Toc14318" </w:instrText>
          </w:r>
          <w:r>
            <w:fldChar w:fldCharType="separate"/>
          </w:r>
          <w:r>
            <w:rPr>
              <w:rFonts w:hint="eastAsia" w:ascii="黑体" w:hAnsi="黑体" w:eastAsia="黑体"/>
              <w:sz w:val="21"/>
              <w:szCs w:val="21"/>
            </w:rPr>
            <w:t>十、 预算绩效管理情况</w:t>
          </w:r>
          <w:r>
            <w:rPr>
              <w:sz w:val="21"/>
              <w:szCs w:val="21"/>
            </w:rPr>
            <w:tab/>
          </w:r>
          <w:r>
            <w:rPr>
              <w:sz w:val="21"/>
              <w:szCs w:val="21"/>
            </w:rPr>
            <w:fldChar w:fldCharType="begin"/>
          </w:r>
          <w:r>
            <w:rPr>
              <w:sz w:val="21"/>
              <w:szCs w:val="21"/>
            </w:rPr>
            <w:instrText xml:space="preserve"> PAGEREF _Toc14318 \h </w:instrText>
          </w:r>
          <w:r>
            <w:rPr>
              <w:sz w:val="21"/>
              <w:szCs w:val="21"/>
            </w:rPr>
            <w:fldChar w:fldCharType="separate"/>
          </w:r>
          <w:r>
            <w:rPr>
              <w:sz w:val="21"/>
              <w:szCs w:val="21"/>
            </w:rPr>
            <w:t>18</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"_Toc10222" </w:instrText>
          </w:r>
          <w:r>
            <w:fldChar w:fldCharType="separate"/>
          </w:r>
          <w:r>
            <w:rPr>
              <w:rFonts w:hint="eastAsia" w:ascii="黑体" w:hAnsi="黑体" w:eastAsia="黑体"/>
              <w:sz w:val="21"/>
              <w:szCs w:val="21"/>
            </w:rPr>
            <w:t>十一、 其他重要事项的情况说明</w:t>
          </w:r>
          <w:r>
            <w:rPr>
              <w:sz w:val="21"/>
              <w:szCs w:val="21"/>
            </w:rPr>
            <w:tab/>
          </w:r>
          <w:r>
            <w:rPr>
              <w:sz w:val="21"/>
              <w:szCs w:val="21"/>
            </w:rPr>
            <w:fldChar w:fldCharType="begin"/>
          </w:r>
          <w:r>
            <w:rPr>
              <w:sz w:val="21"/>
              <w:szCs w:val="21"/>
            </w:rPr>
            <w:instrText xml:space="preserve"> PAGEREF _Toc10222 \h </w:instrText>
          </w:r>
          <w:r>
            <w:rPr>
              <w:sz w:val="21"/>
              <w:szCs w:val="21"/>
            </w:rPr>
            <w:fldChar w:fldCharType="separate"/>
          </w:r>
          <w:r>
            <w:rPr>
              <w:sz w:val="21"/>
              <w:szCs w:val="21"/>
            </w:rPr>
            <w:t>21</w:t>
          </w:r>
          <w:r>
            <w:rPr>
              <w:sz w:val="21"/>
              <w:szCs w:val="21"/>
            </w:rPr>
            <w:fldChar w:fldCharType="end"/>
          </w:r>
          <w:r>
            <w:rPr>
              <w:sz w:val="21"/>
              <w:szCs w:val="21"/>
            </w:rPr>
            <w:fldChar w:fldCharType="end"/>
          </w:r>
        </w:p>
        <w:p>
          <w:pPr>
            <w:pStyle w:val="33"/>
            <w:tabs>
              <w:tab w:val="right" w:leader="dot" w:pos="8306"/>
            </w:tabs>
            <w:spacing w:line="340" w:lineRule="exact"/>
            <w:rPr>
              <w:b/>
              <w:sz w:val="21"/>
              <w:szCs w:val="21"/>
            </w:rPr>
          </w:pPr>
          <w:r>
            <w:fldChar w:fldCharType="begin"/>
          </w:r>
          <w:r>
            <w:instrText xml:space="preserve"> HYPERLINK \l "_Toc6767" </w:instrText>
          </w:r>
          <w:r>
            <w:fldChar w:fldCharType="separate"/>
          </w:r>
          <w:r>
            <w:rPr>
              <w:rFonts w:hint="eastAsia" w:ascii="黑体" w:hAnsi="黑体" w:eastAsia="黑体" w:cs="黑体"/>
              <w:b/>
              <w:sz w:val="21"/>
              <w:szCs w:val="48"/>
            </w:rPr>
            <w:t xml:space="preserve">第三部分 </w:t>
          </w:r>
          <w:r>
            <w:rPr>
              <w:rFonts w:hint="eastAsia" w:ascii="黑体" w:hAnsi="黑体" w:eastAsia="黑体"/>
              <w:b/>
              <w:sz w:val="21"/>
              <w:szCs w:val="48"/>
            </w:rPr>
            <w:t>名</w:t>
          </w:r>
          <w:r>
            <w:rPr>
              <w:rFonts w:hint="eastAsia" w:ascii="黑体" w:hAnsi="黑体" w:eastAsia="黑体"/>
              <w:b/>
              <w:sz w:val="21"/>
              <w:szCs w:val="21"/>
            </w:rPr>
            <w:t>词解释</w:t>
          </w:r>
          <w:r>
            <w:rPr>
              <w:b/>
              <w:sz w:val="21"/>
              <w:szCs w:val="21"/>
            </w:rPr>
            <w:tab/>
          </w:r>
          <w:r>
            <w:rPr>
              <w:b/>
              <w:sz w:val="21"/>
              <w:szCs w:val="21"/>
            </w:rPr>
            <w:fldChar w:fldCharType="begin"/>
          </w:r>
          <w:r>
            <w:rPr>
              <w:b/>
              <w:sz w:val="21"/>
              <w:szCs w:val="21"/>
            </w:rPr>
            <w:instrText xml:space="preserve"> PAGEREF _Toc6767 \h </w:instrText>
          </w:r>
          <w:r>
            <w:rPr>
              <w:b/>
              <w:sz w:val="21"/>
              <w:szCs w:val="21"/>
            </w:rPr>
            <w:fldChar w:fldCharType="separate"/>
          </w:r>
          <w:r>
            <w:rPr>
              <w:b/>
              <w:sz w:val="21"/>
              <w:szCs w:val="21"/>
            </w:rPr>
            <w:t>23</w:t>
          </w:r>
          <w:r>
            <w:rPr>
              <w:b/>
              <w:sz w:val="21"/>
              <w:szCs w:val="21"/>
            </w:rPr>
            <w:fldChar w:fldCharType="end"/>
          </w:r>
          <w:r>
            <w:rPr>
              <w:b/>
              <w:sz w:val="21"/>
              <w:szCs w:val="21"/>
            </w:rPr>
            <w:fldChar w:fldCharType="end"/>
          </w:r>
        </w:p>
        <w:p>
          <w:pPr>
            <w:pStyle w:val="33"/>
            <w:tabs>
              <w:tab w:val="right" w:leader="dot" w:pos="8306"/>
            </w:tabs>
            <w:spacing w:line="340" w:lineRule="exact"/>
            <w:rPr>
              <w:b/>
              <w:sz w:val="21"/>
              <w:szCs w:val="21"/>
            </w:rPr>
          </w:pPr>
          <w:r>
            <w:fldChar w:fldCharType="begin"/>
          </w:r>
          <w:r>
            <w:instrText xml:space="preserve"> HYPERLINK \l "_Toc27001" </w:instrText>
          </w:r>
          <w:r>
            <w:fldChar w:fldCharType="separate"/>
          </w:r>
          <w:r>
            <w:rPr>
              <w:rFonts w:hint="eastAsia" w:ascii="黑体" w:hAnsi="黑体" w:eastAsia="黑体"/>
              <w:b/>
              <w:sz w:val="21"/>
              <w:szCs w:val="48"/>
            </w:rPr>
            <w:t>第</w:t>
          </w:r>
          <w:r>
            <w:rPr>
              <w:rFonts w:hint="eastAsia" w:ascii="黑体" w:hAnsi="黑体" w:eastAsia="黑体"/>
              <w:b/>
              <w:sz w:val="21"/>
              <w:szCs w:val="21"/>
            </w:rPr>
            <w:t>四部分 附件</w:t>
          </w:r>
          <w:r>
            <w:rPr>
              <w:b/>
              <w:sz w:val="21"/>
              <w:szCs w:val="21"/>
            </w:rPr>
            <w:tab/>
          </w:r>
          <w:r>
            <w:rPr>
              <w:b/>
              <w:sz w:val="21"/>
              <w:szCs w:val="21"/>
            </w:rPr>
            <w:fldChar w:fldCharType="begin"/>
          </w:r>
          <w:r>
            <w:rPr>
              <w:b/>
              <w:sz w:val="21"/>
              <w:szCs w:val="21"/>
            </w:rPr>
            <w:instrText xml:space="preserve"> PAGEREF _Toc27001 \h </w:instrText>
          </w:r>
          <w:r>
            <w:rPr>
              <w:b/>
              <w:sz w:val="21"/>
              <w:szCs w:val="21"/>
            </w:rPr>
            <w:fldChar w:fldCharType="separate"/>
          </w:r>
          <w:r>
            <w:rPr>
              <w:b/>
              <w:sz w:val="21"/>
              <w:szCs w:val="21"/>
            </w:rPr>
            <w:t>25</w:t>
          </w:r>
          <w:r>
            <w:rPr>
              <w:b/>
              <w:sz w:val="21"/>
              <w:szCs w:val="21"/>
            </w:rPr>
            <w:fldChar w:fldCharType="end"/>
          </w:r>
          <w:r>
            <w:rPr>
              <w:b/>
              <w:sz w:val="21"/>
              <w:szCs w:val="21"/>
            </w:rPr>
            <w:fldChar w:fldCharType="end"/>
          </w:r>
        </w:p>
        <w:p>
          <w:pPr>
            <w:pStyle w:val="33"/>
            <w:tabs>
              <w:tab w:val="right" w:leader="dot" w:pos="8306"/>
            </w:tabs>
            <w:spacing w:line="340" w:lineRule="exact"/>
            <w:rPr>
              <w:b/>
              <w:sz w:val="21"/>
              <w:szCs w:val="21"/>
            </w:rPr>
          </w:pPr>
          <w:r>
            <w:fldChar w:fldCharType="begin"/>
          </w:r>
          <w:r>
            <w:instrText xml:space="preserve"> HYPERLINK \l "_Toc30207" </w:instrText>
          </w:r>
          <w:r>
            <w:fldChar w:fldCharType="separate"/>
          </w:r>
          <w:r>
            <w:rPr>
              <w:rFonts w:hint="eastAsia" w:ascii="黑体" w:hAnsi="黑体" w:eastAsia="黑体"/>
              <w:b/>
              <w:sz w:val="21"/>
              <w:szCs w:val="48"/>
            </w:rPr>
            <w:t>第</w:t>
          </w:r>
          <w:r>
            <w:rPr>
              <w:rFonts w:hint="eastAsia" w:ascii="黑体" w:hAnsi="黑体" w:eastAsia="黑体"/>
              <w:b/>
              <w:sz w:val="21"/>
              <w:szCs w:val="21"/>
            </w:rPr>
            <w:t>五部分 附表</w:t>
          </w:r>
          <w:r>
            <w:rPr>
              <w:b/>
              <w:sz w:val="21"/>
              <w:szCs w:val="21"/>
            </w:rPr>
            <w:tab/>
          </w:r>
          <w:r>
            <w:rPr>
              <w:b/>
              <w:sz w:val="21"/>
              <w:szCs w:val="21"/>
            </w:rPr>
            <w:fldChar w:fldCharType="begin"/>
          </w:r>
          <w:r>
            <w:rPr>
              <w:b/>
              <w:sz w:val="21"/>
              <w:szCs w:val="21"/>
            </w:rPr>
            <w:instrText xml:space="preserve"> PAGEREF _Toc30207 \h </w:instrText>
          </w:r>
          <w:r>
            <w:rPr>
              <w:b/>
              <w:sz w:val="21"/>
              <w:szCs w:val="21"/>
            </w:rPr>
            <w:fldChar w:fldCharType="separate"/>
          </w:r>
          <w:r>
            <w:rPr>
              <w:b/>
              <w:sz w:val="21"/>
              <w:szCs w:val="21"/>
            </w:rPr>
            <w:t>56</w:t>
          </w:r>
          <w:r>
            <w:rPr>
              <w:b/>
              <w:sz w:val="21"/>
              <w:szCs w:val="21"/>
            </w:rPr>
            <w:fldChar w:fldCharType="end"/>
          </w:r>
          <w:r>
            <w:rPr>
              <w:b/>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"_Toc9425" </w:instrText>
          </w:r>
          <w:r>
            <w:fldChar w:fldCharType="separate"/>
          </w:r>
          <w:r>
            <w:rPr>
              <w:rFonts w:hint="eastAsia" w:ascii="仿宋" w:hAnsi="仿宋" w:eastAsia="仿宋"/>
              <w:sz w:val="21"/>
              <w:szCs w:val="21"/>
            </w:rPr>
            <w:t>一、收入支出决算总表</w:t>
          </w:r>
          <w:r>
            <w:rPr>
              <w:sz w:val="21"/>
              <w:szCs w:val="21"/>
            </w:rPr>
            <w:tab/>
          </w:r>
          <w:r>
            <w:rPr>
              <w:sz w:val="21"/>
              <w:szCs w:val="21"/>
            </w:rPr>
            <w:fldChar w:fldCharType="begin"/>
          </w:r>
          <w:r>
            <w:rPr>
              <w:sz w:val="21"/>
              <w:szCs w:val="21"/>
            </w:rPr>
            <w:instrText xml:space="preserve"> PAGEREF _Toc9425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"_Toc29466" </w:instrText>
          </w:r>
          <w:r>
            <w:fldChar w:fldCharType="separate"/>
          </w:r>
          <w:r>
            <w:rPr>
              <w:rFonts w:hint="eastAsia" w:ascii="仿宋" w:hAnsi="仿宋" w:eastAsia="仿宋"/>
              <w:sz w:val="21"/>
              <w:szCs w:val="21"/>
            </w:rPr>
            <w:t>二、收入决算表</w:t>
          </w:r>
          <w:r>
            <w:rPr>
              <w:sz w:val="21"/>
              <w:szCs w:val="21"/>
            </w:rPr>
            <w:tab/>
          </w:r>
          <w:r>
            <w:rPr>
              <w:sz w:val="21"/>
              <w:szCs w:val="21"/>
            </w:rPr>
            <w:fldChar w:fldCharType="begin"/>
          </w:r>
          <w:r>
            <w:rPr>
              <w:sz w:val="21"/>
              <w:szCs w:val="21"/>
            </w:rPr>
            <w:instrText xml:space="preserve"> PAGEREF _Toc29466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"_Toc18029" </w:instrText>
          </w:r>
          <w:r>
            <w:fldChar w:fldCharType="separate"/>
          </w:r>
          <w:r>
            <w:rPr>
              <w:rFonts w:hint="eastAsia" w:ascii="仿宋" w:hAnsi="仿宋" w:eastAsia="仿宋"/>
              <w:sz w:val="21"/>
              <w:szCs w:val="21"/>
            </w:rPr>
            <w:t>三、支出决算表</w:t>
          </w:r>
          <w:r>
            <w:rPr>
              <w:sz w:val="21"/>
              <w:szCs w:val="21"/>
            </w:rPr>
            <w:tab/>
          </w:r>
          <w:r>
            <w:rPr>
              <w:sz w:val="21"/>
              <w:szCs w:val="21"/>
            </w:rPr>
            <w:fldChar w:fldCharType="begin"/>
          </w:r>
          <w:r>
            <w:rPr>
              <w:sz w:val="21"/>
              <w:szCs w:val="21"/>
            </w:rPr>
            <w:instrText xml:space="preserve"> PAGEREF _Toc18029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"_Toc26269" </w:instrText>
          </w:r>
          <w:r>
            <w:fldChar w:fldCharType="separate"/>
          </w:r>
          <w:r>
            <w:rPr>
              <w:rFonts w:hint="eastAsia" w:ascii="仿宋" w:hAnsi="仿宋" w:eastAsia="仿宋"/>
              <w:sz w:val="21"/>
              <w:szCs w:val="21"/>
            </w:rPr>
            <w:t>四、财政拨款收入支出决算总表</w:t>
          </w:r>
          <w:r>
            <w:rPr>
              <w:sz w:val="21"/>
              <w:szCs w:val="21"/>
            </w:rPr>
            <w:tab/>
          </w:r>
          <w:r>
            <w:rPr>
              <w:sz w:val="21"/>
              <w:szCs w:val="21"/>
            </w:rPr>
            <w:fldChar w:fldCharType="begin"/>
          </w:r>
          <w:r>
            <w:rPr>
              <w:sz w:val="21"/>
              <w:szCs w:val="21"/>
            </w:rPr>
            <w:instrText xml:space="preserve"> PAGEREF _Toc26269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"_Toc31110" </w:instrText>
          </w:r>
          <w:r>
            <w:fldChar w:fldCharType="separate"/>
          </w:r>
          <w:r>
            <w:rPr>
              <w:rFonts w:hint="eastAsia" w:ascii="仿宋" w:hAnsi="仿宋" w:eastAsia="仿宋"/>
              <w:sz w:val="21"/>
              <w:szCs w:val="21"/>
            </w:rPr>
            <w:t>五、财政拨款支出决算明细表</w:t>
          </w:r>
          <w:r>
            <w:rPr>
              <w:sz w:val="21"/>
              <w:szCs w:val="21"/>
            </w:rPr>
            <w:tab/>
          </w:r>
          <w:r>
            <w:rPr>
              <w:sz w:val="21"/>
              <w:szCs w:val="21"/>
            </w:rPr>
            <w:fldChar w:fldCharType="begin"/>
          </w:r>
          <w:r>
            <w:rPr>
              <w:sz w:val="21"/>
              <w:szCs w:val="21"/>
            </w:rPr>
            <w:instrText xml:space="preserve"> PAGEREF _Toc31110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"_Toc24721" </w:instrText>
          </w:r>
          <w:r>
            <w:fldChar w:fldCharType="separate"/>
          </w:r>
          <w:r>
            <w:rPr>
              <w:rFonts w:hint="eastAsia" w:ascii="仿宋" w:hAnsi="仿宋" w:eastAsia="仿宋"/>
              <w:sz w:val="21"/>
              <w:szCs w:val="21"/>
            </w:rPr>
            <w:t>六、一般公共预算财政拨款支出决算表</w:t>
          </w:r>
          <w:r>
            <w:rPr>
              <w:sz w:val="21"/>
              <w:szCs w:val="21"/>
            </w:rPr>
            <w:tab/>
          </w:r>
          <w:r>
            <w:rPr>
              <w:sz w:val="21"/>
              <w:szCs w:val="21"/>
            </w:rPr>
            <w:fldChar w:fldCharType="begin"/>
          </w:r>
          <w:r>
            <w:rPr>
              <w:sz w:val="21"/>
              <w:szCs w:val="21"/>
            </w:rPr>
            <w:instrText xml:space="preserve"> PAGEREF _Toc24721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"_Toc7565" </w:instrText>
          </w:r>
          <w:r>
            <w:fldChar w:fldCharType="separate"/>
          </w:r>
          <w:r>
            <w:rPr>
              <w:rFonts w:hint="eastAsia" w:ascii="仿宋" w:hAnsi="仿宋" w:eastAsia="仿宋"/>
              <w:sz w:val="21"/>
              <w:szCs w:val="21"/>
            </w:rPr>
            <w:t>七、一般公共预算财政拨款支出决算明细表</w:t>
          </w:r>
          <w:r>
            <w:rPr>
              <w:sz w:val="21"/>
              <w:szCs w:val="21"/>
            </w:rPr>
            <w:tab/>
          </w:r>
          <w:r>
            <w:rPr>
              <w:sz w:val="21"/>
              <w:szCs w:val="21"/>
            </w:rPr>
            <w:fldChar w:fldCharType="begin"/>
          </w:r>
          <w:r>
            <w:rPr>
              <w:sz w:val="21"/>
              <w:szCs w:val="21"/>
            </w:rPr>
            <w:instrText xml:space="preserve"> PAGEREF _Toc7565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"_Toc23532" </w:instrText>
          </w:r>
          <w:r>
            <w:fldChar w:fldCharType="separate"/>
          </w:r>
          <w:r>
            <w:rPr>
              <w:rFonts w:hint="eastAsia" w:ascii="仿宋" w:hAnsi="仿宋" w:eastAsia="仿宋"/>
              <w:sz w:val="21"/>
              <w:szCs w:val="21"/>
            </w:rPr>
            <w:t>八、一般公共预算财政拨款基本支出决算表</w:t>
          </w:r>
          <w:r>
            <w:rPr>
              <w:sz w:val="21"/>
              <w:szCs w:val="21"/>
            </w:rPr>
            <w:tab/>
          </w:r>
          <w:r>
            <w:rPr>
              <w:sz w:val="21"/>
              <w:szCs w:val="21"/>
            </w:rPr>
            <w:fldChar w:fldCharType="begin"/>
          </w:r>
          <w:r>
            <w:rPr>
              <w:sz w:val="21"/>
              <w:szCs w:val="21"/>
            </w:rPr>
            <w:instrText xml:space="preserve"> PAGEREF _Toc23532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"_Toc7624" </w:instrText>
          </w:r>
          <w:r>
            <w:fldChar w:fldCharType="separate"/>
          </w:r>
          <w:r>
            <w:rPr>
              <w:rFonts w:hint="eastAsia" w:ascii="仿宋" w:hAnsi="仿宋" w:eastAsia="仿宋"/>
              <w:sz w:val="21"/>
              <w:szCs w:val="21"/>
            </w:rPr>
            <w:t>九、一般公共预算财政拨款项目支出决算表</w:t>
          </w:r>
          <w:r>
            <w:rPr>
              <w:sz w:val="21"/>
              <w:szCs w:val="21"/>
            </w:rPr>
            <w:tab/>
          </w:r>
          <w:r>
            <w:rPr>
              <w:sz w:val="21"/>
              <w:szCs w:val="21"/>
            </w:rPr>
            <w:fldChar w:fldCharType="begin"/>
          </w:r>
          <w:r>
            <w:rPr>
              <w:sz w:val="21"/>
              <w:szCs w:val="21"/>
            </w:rPr>
            <w:instrText xml:space="preserve"> PAGEREF _Toc7624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"_Toc2683" </w:instrText>
          </w:r>
          <w:r>
            <w:fldChar w:fldCharType="separate"/>
          </w:r>
          <w:r>
            <w:rPr>
              <w:rFonts w:hint="eastAsia" w:ascii="仿宋" w:hAnsi="仿宋" w:eastAsia="仿宋"/>
              <w:sz w:val="21"/>
              <w:szCs w:val="21"/>
            </w:rPr>
            <w:t>十、一般公共预算财政拨款“三公”经费支出决算表</w:t>
          </w:r>
          <w:r>
            <w:rPr>
              <w:sz w:val="21"/>
              <w:szCs w:val="21"/>
            </w:rPr>
            <w:tab/>
          </w:r>
          <w:r>
            <w:rPr>
              <w:sz w:val="21"/>
              <w:szCs w:val="21"/>
            </w:rPr>
            <w:fldChar w:fldCharType="begin"/>
          </w:r>
          <w:r>
            <w:rPr>
              <w:sz w:val="21"/>
              <w:szCs w:val="21"/>
            </w:rPr>
            <w:instrText xml:space="preserve"> PAGEREF _Toc2683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"_Toc29183" </w:instrText>
          </w:r>
          <w:r>
            <w:fldChar w:fldCharType="separate"/>
          </w:r>
          <w:r>
            <w:rPr>
              <w:rFonts w:hint="eastAsia" w:ascii="仿宋" w:hAnsi="仿宋" w:eastAsia="仿宋"/>
              <w:sz w:val="21"/>
              <w:szCs w:val="21"/>
            </w:rPr>
            <w:t>十一、政府性基金预算财政拨款收入支出决算表</w:t>
          </w:r>
          <w:r>
            <w:rPr>
              <w:sz w:val="21"/>
              <w:szCs w:val="21"/>
            </w:rPr>
            <w:tab/>
          </w:r>
          <w:r>
            <w:rPr>
              <w:sz w:val="21"/>
              <w:szCs w:val="21"/>
            </w:rPr>
            <w:fldChar w:fldCharType="begin"/>
          </w:r>
          <w:r>
            <w:rPr>
              <w:sz w:val="21"/>
              <w:szCs w:val="21"/>
            </w:rPr>
            <w:instrText xml:space="preserve"> PAGEREF _Toc29183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"_Toc9549" </w:instrText>
          </w:r>
          <w:r>
            <w:fldChar w:fldCharType="separate"/>
          </w:r>
          <w:r>
            <w:rPr>
              <w:rFonts w:hint="eastAsia" w:ascii="仿宋" w:hAnsi="仿宋" w:eastAsia="仿宋"/>
              <w:sz w:val="21"/>
              <w:szCs w:val="21"/>
            </w:rPr>
            <w:t>十二、政府性基金预算财政拨款“三公”经费支出决算表</w:t>
          </w:r>
          <w:r>
            <w:rPr>
              <w:sz w:val="21"/>
              <w:szCs w:val="21"/>
            </w:rPr>
            <w:tab/>
          </w:r>
          <w:r>
            <w:rPr>
              <w:sz w:val="21"/>
              <w:szCs w:val="21"/>
            </w:rPr>
            <w:fldChar w:fldCharType="begin"/>
          </w:r>
          <w:r>
            <w:rPr>
              <w:sz w:val="21"/>
              <w:szCs w:val="21"/>
            </w:rPr>
            <w:instrText xml:space="preserve"> PAGEREF _Toc9549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rPr>
              <w:sz w:val="21"/>
              <w:szCs w:val="21"/>
            </w:rPr>
          </w:pPr>
          <w:r>
            <w:fldChar w:fldCharType="begin"/>
          </w:r>
          <w:r>
            <w:instrText xml:space="preserve"> HYPERLINK \l "_Toc13767" </w:instrText>
          </w:r>
          <w:r>
            <w:fldChar w:fldCharType="separate"/>
          </w:r>
          <w:r>
            <w:rPr>
              <w:rFonts w:hint="eastAsia" w:ascii="仿宋" w:hAnsi="仿宋" w:eastAsia="仿宋"/>
              <w:sz w:val="21"/>
              <w:szCs w:val="21"/>
            </w:rPr>
            <w:t>十三、国有资本经营预算财政拨款收入支出决算表</w:t>
          </w:r>
          <w:r>
            <w:rPr>
              <w:sz w:val="21"/>
              <w:szCs w:val="21"/>
            </w:rPr>
            <w:tab/>
          </w:r>
          <w:r>
            <w:rPr>
              <w:sz w:val="21"/>
              <w:szCs w:val="21"/>
            </w:rPr>
            <w:fldChar w:fldCharType="begin"/>
          </w:r>
          <w:r>
            <w:rPr>
              <w:sz w:val="21"/>
              <w:szCs w:val="21"/>
            </w:rPr>
            <w:instrText xml:space="preserve"> PAGEREF _Toc13767 \h </w:instrText>
          </w:r>
          <w:r>
            <w:rPr>
              <w:sz w:val="21"/>
              <w:szCs w:val="21"/>
            </w:rPr>
            <w:fldChar w:fldCharType="separate"/>
          </w:r>
          <w:r>
            <w:rPr>
              <w:sz w:val="21"/>
              <w:szCs w:val="21"/>
            </w:rPr>
            <w:t>56</w:t>
          </w:r>
          <w:r>
            <w:rPr>
              <w:sz w:val="21"/>
              <w:szCs w:val="21"/>
            </w:rPr>
            <w:fldChar w:fldCharType="end"/>
          </w:r>
          <w:r>
            <w:rPr>
              <w:sz w:val="21"/>
              <w:szCs w:val="21"/>
            </w:rPr>
            <w:fldChar w:fldCharType="end"/>
          </w:r>
        </w:p>
        <w:p>
          <w:pPr>
            <w:pStyle w:val="34"/>
            <w:tabs>
              <w:tab w:val="right" w:leader="dot" w:pos="8306"/>
            </w:tabs>
            <w:spacing w:line="340" w:lineRule="exact"/>
            <w:ind w:left="420"/>
          </w:pPr>
          <w:r>
            <w:fldChar w:fldCharType="begin"/>
          </w:r>
          <w:r>
            <w:instrText xml:space="preserve"> HYPERLINK \l "_Toc3418" </w:instrText>
          </w:r>
          <w:r>
            <w:fldChar w:fldCharType="separate"/>
          </w:r>
          <w:r>
            <w:rPr>
              <w:rFonts w:hint="eastAsia" w:ascii="仿宋" w:hAnsi="仿宋" w:eastAsia="仿宋"/>
              <w:sz w:val="21"/>
              <w:szCs w:val="21"/>
            </w:rPr>
            <w:t>十四、国有资本经营预算财政拨款支出决算表</w:t>
          </w:r>
          <w:r>
            <w:rPr>
              <w:sz w:val="21"/>
              <w:szCs w:val="21"/>
            </w:rPr>
            <w:tab/>
          </w:r>
          <w:r>
            <w:rPr>
              <w:sz w:val="21"/>
              <w:szCs w:val="21"/>
            </w:rPr>
            <w:fldChar w:fldCharType="begin"/>
          </w:r>
          <w:r>
            <w:rPr>
              <w:sz w:val="21"/>
              <w:szCs w:val="21"/>
            </w:rPr>
            <w:instrText xml:space="preserve"> PAGEREF _Toc3418 \h </w:instrText>
          </w:r>
          <w:r>
            <w:rPr>
              <w:sz w:val="21"/>
              <w:szCs w:val="21"/>
            </w:rPr>
            <w:fldChar w:fldCharType="separate"/>
          </w:r>
          <w:r>
            <w:rPr>
              <w:sz w:val="21"/>
              <w:szCs w:val="21"/>
            </w:rPr>
            <w:t>56</w:t>
          </w:r>
          <w:r>
            <w:rPr>
              <w:sz w:val="21"/>
              <w:szCs w:val="21"/>
            </w:rPr>
            <w:fldChar w:fldCharType="end"/>
          </w:r>
          <w:r>
            <w:rPr>
              <w:sz w:val="21"/>
              <w:szCs w:val="21"/>
            </w:rPr>
            <w:fldChar w:fldCharType="end"/>
          </w:r>
        </w:p>
        <w:p>
          <w:r>
            <w:rPr>
              <w:b/>
            </w:rPr>
            <w:fldChar w:fldCharType="end"/>
          </w:r>
        </w:p>
      </w:sdtContent>
    </w:sdt>
    <w:p>
      <w:pPr>
        <w:pStyle w:val="3"/>
        <w:spacing w:before="0" w:after="0" w:line="576" w:lineRule="exact"/>
        <w:jc w:val="center"/>
        <w:rPr>
          <w:rStyle w:val="24"/>
          <w:rFonts w:ascii="方正小标宋简体" w:hAnsi="方正小标宋简体" w:eastAsia="方正小标宋简体" w:cs="方正小标宋简体"/>
          <w:b/>
          <w:bCs w:val="0"/>
        </w:rPr>
      </w:pPr>
      <w:bookmarkStart w:id="15" w:name="_Toc15377196"/>
      <w:bookmarkStart w:id="16" w:name="_Toc32322"/>
      <w:bookmarkStart w:id="17" w:name="_Toc15396599"/>
      <w:r>
        <w:rPr>
          <w:rFonts w:hint="eastAsia" w:ascii="方正小标宋简体" w:hAnsi="方正小标宋简体" w:eastAsia="方正小标宋简体" w:cs="方正小标宋简体"/>
          <w:b w:val="0"/>
        </w:rPr>
        <w:t>第一部分 单位</w:t>
      </w:r>
      <w:r>
        <w:rPr>
          <w:rStyle w:val="24"/>
          <w:rFonts w:hint="eastAsia" w:ascii="方正小标宋简体" w:hAnsi="方正小标宋简体" w:eastAsia="方正小标宋简体" w:cs="方正小标宋简体"/>
          <w:b w:val="0"/>
          <w:bCs w:val="0"/>
        </w:rPr>
        <w:t>概况</w:t>
      </w:r>
      <w:bookmarkEnd w:id="15"/>
      <w:bookmarkEnd w:id="16"/>
      <w:bookmarkEnd w:id="17"/>
    </w:p>
    <w:p>
      <w:pPr>
        <w:widowControl/>
        <w:spacing w:line="576" w:lineRule="exact"/>
        <w:ind w:firstLine="640" w:firstLineChars="200"/>
        <w:jc w:val="left"/>
        <w:rPr>
          <w:rFonts w:ascii="黑体" w:eastAsia="黑体"/>
          <w:sz w:val="32"/>
          <w:szCs w:val="32"/>
        </w:rPr>
      </w:pPr>
    </w:p>
    <w:p>
      <w:pPr>
        <w:ind w:firstLine="640" w:firstLineChars="200"/>
        <w:rPr>
          <w:rFonts w:ascii="黑体" w:hAnsi="黑体" w:eastAsia="黑体" w:cs="黑体"/>
          <w:sz w:val="32"/>
          <w:szCs w:val="32"/>
        </w:rPr>
      </w:pPr>
      <w:bookmarkStart w:id="18" w:name="_Toc1441"/>
      <w:bookmarkStart w:id="19" w:name="_Toc15377197"/>
      <w:bookmarkStart w:id="20" w:name="_Toc15396600"/>
      <w:r>
        <w:rPr>
          <w:rFonts w:hint="eastAsia" w:ascii="黑体" w:hAnsi="黑体" w:eastAsia="黑体" w:cs="黑体"/>
          <w:sz w:val="32"/>
          <w:szCs w:val="32"/>
        </w:rPr>
        <w:t>一、职能简介</w:t>
      </w:r>
      <w:bookmarkEnd w:id="18"/>
    </w:p>
    <w:p>
      <w:pPr>
        <w:ind w:firstLine="640" w:firstLineChars="200"/>
        <w:rPr>
          <w:rFonts w:ascii="仿宋" w:hAnsi="仿宋" w:eastAsia="仿宋" w:cs="仿宋"/>
          <w:sz w:val="32"/>
          <w:szCs w:val="32"/>
        </w:rPr>
      </w:pPr>
      <w:r>
        <w:rPr>
          <w:rFonts w:hint="eastAsia" w:ascii="仿宋" w:hAnsi="仿宋" w:eastAsia="仿宋" w:cs="仿宋"/>
          <w:sz w:val="32"/>
          <w:szCs w:val="32"/>
        </w:rPr>
        <w:t>本馆主要是免费对外开放馆内设施，收集、整理、保存、开发、应用各种载体文献资源，承担保存人类文化遗产，开发文献资源，传递社会信息；负责地方文献的收集、整理、储存和研究工作；提供文献借阅、阅读辅导、信息咨询等公益服务；组织开展各类阅读推广、读书讲座、图书展览等活动，开展图书管理与服务的理论研究，指导县区公共图书馆、图书服务网点（分馆、社区阅览室等）建设；完成上级交办的其他工作。</w:t>
      </w:r>
    </w:p>
    <w:p>
      <w:pPr>
        <w:ind w:firstLine="640" w:firstLineChars="200"/>
        <w:rPr>
          <w:rFonts w:ascii="黑体" w:hAnsi="黑体" w:eastAsia="黑体" w:cs="黑体"/>
          <w:sz w:val="32"/>
          <w:szCs w:val="32"/>
        </w:rPr>
      </w:pPr>
      <w:bookmarkStart w:id="21" w:name="_Toc4057"/>
      <w:r>
        <w:rPr>
          <w:rFonts w:hint="eastAsia" w:ascii="黑体" w:hAnsi="黑体" w:eastAsia="黑体" w:cs="黑体"/>
          <w:sz w:val="32"/>
          <w:szCs w:val="32"/>
        </w:rPr>
        <w:t>二、2021年重点工作</w:t>
      </w:r>
      <w:bookmarkEnd w:id="19"/>
      <w:bookmarkEnd w:id="20"/>
      <w:r>
        <w:rPr>
          <w:rFonts w:hint="eastAsia" w:ascii="黑体" w:hAnsi="黑体" w:eastAsia="黑体" w:cs="黑体"/>
          <w:sz w:val="32"/>
          <w:szCs w:val="32"/>
        </w:rPr>
        <w:t>完成情况</w:t>
      </w:r>
      <w:bookmarkEnd w:id="21"/>
    </w:p>
    <w:p>
      <w:pPr>
        <w:ind w:firstLine="640" w:firstLineChars="200"/>
        <w:rPr>
          <w:rFonts w:ascii="楷体" w:hAnsi="楷体" w:eastAsia="楷体" w:cs="楷体"/>
          <w:sz w:val="32"/>
          <w:szCs w:val="32"/>
        </w:rPr>
      </w:pPr>
      <w:r>
        <w:rPr>
          <w:rFonts w:hint="eastAsia" w:ascii="楷体" w:hAnsi="楷体" w:eastAsia="楷体" w:cs="楷体"/>
          <w:sz w:val="32"/>
          <w:szCs w:val="32"/>
        </w:rPr>
        <w:t>(一)充分利用有限免费开放资金、图书馆阵地、文献资源，抓好免费开放服务</w:t>
      </w:r>
    </w:p>
    <w:p>
      <w:pPr>
        <w:ind w:firstLine="640" w:firstLineChars="200"/>
        <w:rPr>
          <w:rFonts w:ascii="仿宋" w:hAnsi="仿宋" w:eastAsia="仿宋" w:cs="仿宋"/>
          <w:sz w:val="32"/>
          <w:szCs w:val="32"/>
        </w:rPr>
      </w:pPr>
      <w:r>
        <w:rPr>
          <w:rFonts w:hint="eastAsia" w:ascii="仿宋" w:hAnsi="仿宋" w:eastAsia="仿宋" w:cs="仿宋"/>
          <w:sz w:val="32"/>
          <w:szCs w:val="32"/>
        </w:rPr>
        <w:t>2021年，市图书馆在新冠肺炎疫情特殊时期，坚持“一手抓疫情防控、一手抓免费开放”，充分运用免费开放经费和文献资源经费，为读者提供较为舒适的阅览场地，优质、高效、便捷的服务，免费开放10个窗口，坚持全年开放和错时延时开放，每周开放63小时以上，办理借阅卡1100余张；接待到馆读者12.3万余人次；借阅8万余人次、11.8万余册次,全年累计接待读者52.3万余人次（线上40万、线下12.3万）。充分的满足广大市民的文化阅读需求。</w:t>
      </w:r>
    </w:p>
    <w:p>
      <w:pPr>
        <w:ind w:firstLine="640" w:firstLineChars="200"/>
        <w:rPr>
          <w:rFonts w:ascii="楷体" w:hAnsi="楷体" w:eastAsia="楷体" w:cs="楷体"/>
          <w:sz w:val="32"/>
          <w:szCs w:val="32"/>
        </w:rPr>
      </w:pPr>
      <w:r>
        <w:rPr>
          <w:rFonts w:hint="eastAsia" w:ascii="楷体" w:hAnsi="楷体" w:eastAsia="楷体" w:cs="楷体"/>
          <w:sz w:val="32"/>
          <w:szCs w:val="32"/>
        </w:rPr>
        <w:t>（二）广泛开展“全民阅读推广活动”，更好的服务于各类人群</w:t>
      </w:r>
    </w:p>
    <w:p>
      <w:pPr>
        <w:ind w:firstLine="640" w:firstLineChars="200"/>
        <w:rPr>
          <w:rFonts w:ascii="仿宋" w:hAnsi="仿宋" w:eastAsia="仿宋" w:cs="仿宋"/>
          <w:sz w:val="32"/>
          <w:szCs w:val="32"/>
        </w:rPr>
      </w:pPr>
      <w:r>
        <w:rPr>
          <w:rFonts w:hint="eastAsia" w:ascii="仿宋" w:hAnsi="仿宋" w:eastAsia="仿宋" w:cs="仿宋"/>
          <w:sz w:val="32"/>
          <w:szCs w:val="32"/>
        </w:rPr>
        <w:t>2021年，市图书馆开展了以线上线下相结合、内容丰富、形式多样的全民阅读推广活动99场；接待读者40.5万人次（其中线上69场；读者39.1万人次；线下30场；读者1.4万人次）。先后组织开展了“成渝地•巴蜀情”系列活动之“信仰的力量”庆祝中国共产党成立100周年川渝“阅读之星”诵读活动、快乐课堂、“阅百年历程，传精神力量”为主题的第26个“4·23世界读书日”暨2021年图书服务宣传周系列活动等全民阅读推广活动，较好地满足了广大市民文化需求。</w:t>
      </w:r>
    </w:p>
    <w:p>
      <w:pPr>
        <w:ind w:firstLine="640" w:firstLineChars="200"/>
        <w:rPr>
          <w:rFonts w:ascii="楷体" w:hAnsi="楷体" w:eastAsia="楷体" w:cs="楷体"/>
          <w:sz w:val="32"/>
          <w:szCs w:val="32"/>
        </w:rPr>
      </w:pPr>
      <w:r>
        <w:rPr>
          <w:rFonts w:hint="eastAsia" w:ascii="楷体" w:hAnsi="楷体" w:eastAsia="楷体" w:cs="楷体"/>
          <w:sz w:val="32"/>
          <w:szCs w:val="32"/>
        </w:rPr>
        <w:t>（三）继续加强行业协作、交流和基层业务培训工作，充分发挥中心馆作用</w:t>
      </w:r>
    </w:p>
    <w:p>
      <w:pPr>
        <w:ind w:firstLine="640" w:firstLineChars="200"/>
        <w:rPr>
          <w:rFonts w:ascii="仿宋" w:hAnsi="仿宋" w:eastAsia="仿宋" w:cs="仿宋"/>
          <w:sz w:val="32"/>
          <w:szCs w:val="32"/>
        </w:rPr>
      </w:pPr>
      <w:r>
        <w:rPr>
          <w:rFonts w:hint="eastAsia" w:ascii="仿宋" w:hAnsi="仿宋" w:eastAsia="仿宋" w:cs="仿宋"/>
          <w:sz w:val="32"/>
          <w:szCs w:val="32"/>
        </w:rPr>
        <w:t>2021年，市图书馆充分发挥中心馆作用，多加强行业间跨区域、跨系统的交流、协作。市图书馆充分发挥中心馆作用，开展了多次业务交流及辅导工作，进一步提升了全市公共图书馆业务能力建设。先后10余次深入苍溪、剑阁、旺苍、昭化、青川、朝天、利州7个县（区）辅导工作）积极推进全市一张网社保卡对接读者证工作；赴重庆市南川区图书馆参加川渝两地公共图书馆馆际协作交流会，签订了《交流合作协议》并就今后在资源建设、馆际互借、业务培训、品牌阅读活动、全民阅读推广等方面展开更广泛的合作进行了深入探讨和交流，有效推动两地公共图书馆事业高质量的发展。</w:t>
      </w:r>
    </w:p>
    <w:p>
      <w:pPr>
        <w:ind w:firstLine="640" w:firstLineChars="200"/>
        <w:rPr>
          <w:rFonts w:ascii="楷体" w:hAnsi="楷体" w:eastAsia="楷体" w:cs="楷体"/>
          <w:sz w:val="32"/>
          <w:szCs w:val="32"/>
        </w:rPr>
      </w:pPr>
      <w:r>
        <w:rPr>
          <w:rFonts w:hint="eastAsia" w:ascii="楷体" w:hAnsi="楷体" w:eastAsia="楷体" w:cs="楷体"/>
          <w:sz w:val="32"/>
          <w:szCs w:val="32"/>
        </w:rPr>
        <w:t>（四）高质量完成新书采编、期刊报纸装订和地方文献的收集及整编工作，加强对分馆（图书网点）的管理和建设</w:t>
      </w:r>
    </w:p>
    <w:p>
      <w:pPr>
        <w:ind w:firstLine="640" w:firstLineChars="200"/>
        <w:rPr>
          <w:rFonts w:ascii="仿宋" w:hAnsi="仿宋" w:eastAsia="仿宋" w:cs="仿宋"/>
          <w:sz w:val="32"/>
          <w:szCs w:val="32"/>
        </w:rPr>
      </w:pPr>
      <w:r>
        <w:rPr>
          <w:rFonts w:hint="eastAsia" w:ascii="仿宋" w:hAnsi="仿宋" w:eastAsia="仿宋" w:cs="仿宋"/>
          <w:sz w:val="32"/>
          <w:szCs w:val="32"/>
        </w:rPr>
        <w:t>做好新书采购和地方文献收集工作。加强对分馆（图书网点）的管理和建设。一是已新购图书6380册；接受零散捐赠图书414册；收集地方文献462册。二是在多方努力下建成“三辛书屋”，用于专门收藏、陈列政协原主席王振会先生捐赠文献资源共资源3883册（件）（图书、期刊、视频资料、邮票、工艺品、书桌、书柜等），其中收入馆藏图书3253种、3522册，其中包括大量珍贵且有收藏价值的图书和地方文献资料，有效提升我馆的馆藏数、质量。三是及时准确掌握图书馆分馆、服务网点的建设及运行情况，对借阅证办理、图书流通服务、读者活动开展、日常管理规范等进行了摸底梳理，切实促进其服务效能提升。</w:t>
      </w:r>
    </w:p>
    <w:p>
      <w:pPr>
        <w:ind w:firstLine="640" w:firstLineChars="200"/>
        <w:rPr>
          <w:rFonts w:ascii="楷体" w:hAnsi="楷体" w:eastAsia="楷体" w:cs="楷体"/>
          <w:sz w:val="32"/>
          <w:szCs w:val="32"/>
        </w:rPr>
      </w:pPr>
      <w:r>
        <w:rPr>
          <w:rFonts w:hint="eastAsia" w:ascii="楷体" w:hAnsi="楷体" w:eastAsia="楷体" w:cs="楷体"/>
          <w:sz w:val="32"/>
          <w:szCs w:val="32"/>
        </w:rPr>
        <w:t>（五）不断加快数字化图书馆的建设进程，提供更好的数字化服务</w:t>
      </w:r>
    </w:p>
    <w:p>
      <w:pPr>
        <w:ind w:firstLine="640" w:firstLineChars="200"/>
        <w:rPr>
          <w:rFonts w:ascii="仿宋" w:hAnsi="仿宋" w:eastAsia="仿宋" w:cs="仿宋"/>
          <w:sz w:val="32"/>
          <w:szCs w:val="32"/>
        </w:rPr>
      </w:pPr>
      <w:r>
        <w:rPr>
          <w:rFonts w:hint="eastAsia" w:ascii="仿宋" w:hAnsi="仿宋" w:eastAsia="仿宋" w:cs="仿宋"/>
          <w:sz w:val="32"/>
          <w:szCs w:val="32"/>
        </w:rPr>
        <w:t>一是持续通过两微一端（微信、微博、移动图书馆）与智游天府平台等系统与歌德电子书下载机、报刊机等硬件设备给读者提供数字化服务，服务读者39万人次。二是做好图书馆网络管理、安全维护和设备管理工作；三是广元市图书馆城市智慧书房建成并投入使用，城市智慧书房现有藏书4200余册，读者坐席36个，可以满足不同年龄、不同爱好群众的阅读需求。与传统的图书馆不同，城市智慧书房打破了时间、空间的限制，全自助式借阅体验+开放式阅读环境给人一种全新的体验，将极大地方便群众自修、借阅图书，让广大群众感受到轻松、愉悦的读书氛围。四是做好电子阅览室免费开放工作，电子阅览室共接待读者6100余人次。五是做好信息审核、发布工作，全年在网站、微信、微博、LED、智游天府平台发布信息300余条。</w:t>
      </w:r>
    </w:p>
    <w:p>
      <w:pPr>
        <w:ind w:firstLine="640" w:firstLineChars="200"/>
        <w:rPr>
          <w:rFonts w:ascii="楷体" w:hAnsi="楷体" w:eastAsia="楷体" w:cs="楷体"/>
          <w:sz w:val="32"/>
          <w:szCs w:val="32"/>
        </w:rPr>
      </w:pPr>
      <w:r>
        <w:rPr>
          <w:rFonts w:hint="eastAsia" w:ascii="楷体" w:hAnsi="楷体" w:eastAsia="楷体" w:cs="楷体"/>
          <w:sz w:val="32"/>
          <w:szCs w:val="32"/>
        </w:rPr>
        <w:t>（六）极为重视二、三次文献开发利用、古籍保护管理工作，取得了新进展</w:t>
      </w:r>
    </w:p>
    <w:p>
      <w:pPr>
        <w:ind w:firstLine="640" w:firstLineChars="200"/>
        <w:rPr>
          <w:rFonts w:ascii="仿宋" w:hAnsi="仿宋" w:eastAsia="仿宋" w:cs="仿宋"/>
          <w:sz w:val="32"/>
          <w:szCs w:val="32"/>
        </w:rPr>
      </w:pPr>
      <w:r>
        <w:rPr>
          <w:rFonts w:hint="eastAsia" w:ascii="仿宋" w:hAnsi="仿宋" w:eastAsia="仿宋" w:cs="仿宋"/>
          <w:sz w:val="32"/>
          <w:szCs w:val="32"/>
        </w:rPr>
        <w:t>做好二、三次文献开发利用和古籍保护管理工作。一是编印《文明城市创建知识》《新型冠状病毒肺炎防控知识》《广元图情》和《馆藏推荐》，向读者和基层群众免费发放。二是完成古籍的倒架和重新排架工作（共计3230册；278种）和广元市古籍保护工作站申报工作。</w:t>
      </w:r>
    </w:p>
    <w:p>
      <w:pPr>
        <w:ind w:firstLine="640" w:firstLineChars="200"/>
        <w:rPr>
          <w:rFonts w:ascii="楷体" w:hAnsi="楷体" w:eastAsia="楷体" w:cs="楷体"/>
          <w:sz w:val="32"/>
          <w:szCs w:val="32"/>
        </w:rPr>
      </w:pPr>
      <w:r>
        <w:rPr>
          <w:rFonts w:hint="eastAsia" w:ascii="楷体" w:hAnsi="楷体" w:eastAsia="楷体" w:cs="楷体"/>
          <w:sz w:val="32"/>
          <w:szCs w:val="32"/>
        </w:rPr>
        <w:t>（七）致力于学术研究、交流工作，取得了新突破</w:t>
      </w:r>
    </w:p>
    <w:p>
      <w:pPr>
        <w:ind w:firstLine="640" w:firstLineChars="200"/>
        <w:rPr>
          <w:rFonts w:ascii="仿宋" w:hAnsi="仿宋" w:eastAsia="仿宋" w:cs="仿宋"/>
          <w:sz w:val="32"/>
          <w:szCs w:val="32"/>
        </w:rPr>
      </w:pPr>
      <w:r>
        <w:rPr>
          <w:rFonts w:hint="eastAsia" w:ascii="仿宋" w:hAnsi="仿宋" w:eastAsia="仿宋" w:cs="仿宋"/>
          <w:sz w:val="32"/>
          <w:szCs w:val="32"/>
        </w:rPr>
        <w:t>一是注重人才培养，通过组织参加各种培训极大提升了职工的综合素养和业务技能。先后选派10余人次参加国家图书馆、中图学会、省图学会组织的业务培训，全年共有4名同志评为中级职称和副高级职称。。二是学术研究和交流方面取得新成果和新突破。一是注重人才培养，通过组织参加各种培训极大提升了干部职工的综合素养和业务技能。先后选派10余人次参加国家图书馆、中图学会、省图学会组织的业务培训。二是学术研究和交流方面取得新成果和新突破。立足剑门蜀道得天独厚的文化资源，联合省内外相关高校、科研院所和社科文献出版社，创办学术集刊《中国蜀道学刊》，打造蜀道研究高地。三是带领业务骨干赴绵阳市图书馆学习城市智慧书房建设和运行的经验与做法，完成我馆城市智慧书房建设；为公共图书馆第七次评估定级工作打下良好基础。</w:t>
      </w:r>
    </w:p>
    <w:p>
      <w:pPr>
        <w:ind w:firstLine="640" w:firstLineChars="200"/>
        <w:rPr>
          <w:rFonts w:ascii="楷体" w:hAnsi="楷体" w:eastAsia="楷体" w:cs="楷体"/>
          <w:sz w:val="32"/>
          <w:szCs w:val="32"/>
        </w:rPr>
      </w:pPr>
      <w:r>
        <w:rPr>
          <w:rFonts w:hint="eastAsia" w:ascii="楷体" w:hAnsi="楷体" w:eastAsia="楷体" w:cs="楷体"/>
          <w:sz w:val="32"/>
          <w:szCs w:val="32"/>
        </w:rPr>
        <w:t>（八）积极储备项目，加强项目资金的申报工作</w:t>
      </w:r>
    </w:p>
    <w:p>
      <w:pPr>
        <w:ind w:firstLine="640" w:firstLineChars="200"/>
        <w:rPr>
          <w:rFonts w:ascii="仿宋" w:hAnsi="仿宋" w:eastAsia="仿宋" w:cs="仿宋"/>
          <w:sz w:val="32"/>
          <w:szCs w:val="32"/>
        </w:rPr>
      </w:pPr>
      <w:r>
        <w:rPr>
          <w:rFonts w:hint="eastAsia" w:ascii="仿宋" w:hAnsi="仿宋" w:eastAsia="仿宋" w:cs="仿宋"/>
          <w:sz w:val="32"/>
          <w:szCs w:val="32"/>
        </w:rPr>
        <w:t>全年储备项目8个，申报3个，包括中华传统经典诵读公益服务示范项目（30万元）、中央补助地方公共文化服务体系建设补助资金（20.4万元）、公共文化服务体系建设专项资金（23.09万元）。</w:t>
      </w:r>
    </w:p>
    <w:p>
      <w:pPr>
        <w:ind w:firstLine="640" w:firstLineChars="200"/>
        <w:rPr>
          <w:rFonts w:ascii="楷体" w:hAnsi="楷体" w:eastAsia="楷体" w:cs="楷体"/>
          <w:sz w:val="32"/>
          <w:szCs w:val="32"/>
        </w:rPr>
      </w:pPr>
      <w:r>
        <w:rPr>
          <w:rFonts w:hint="eastAsia" w:ascii="楷体" w:hAnsi="楷体" w:eastAsia="楷体" w:cs="楷体"/>
          <w:sz w:val="32"/>
          <w:szCs w:val="32"/>
        </w:rPr>
        <w:t>（九）严格按照要求，开展乡村振兴驻村工作</w:t>
      </w:r>
    </w:p>
    <w:p>
      <w:pPr>
        <w:ind w:firstLine="640" w:firstLineChars="200"/>
        <w:rPr>
          <w:rFonts w:ascii="仿宋" w:hAnsi="仿宋" w:eastAsia="仿宋" w:cs="仿宋"/>
          <w:sz w:val="32"/>
          <w:szCs w:val="32"/>
        </w:rPr>
      </w:pPr>
      <w:r>
        <w:rPr>
          <w:rFonts w:hint="eastAsia" w:ascii="仿宋" w:hAnsi="仿宋" w:eastAsia="仿宋" w:cs="仿宋"/>
          <w:sz w:val="32"/>
          <w:szCs w:val="32"/>
        </w:rPr>
        <w:t>一是市图书馆主要领导及班子成员高度重视乡村振兴工作，馆班子多次召开馆务会对乡村振兴工作进行安排部署，；二是驻村工作队及时拟定了《学龙村发展现状暨驻村工作队对乡村振兴工作的规划及建议》和《帮扶单位2021年帮扶（巩固提升）工作计划》，廖华同志完成调研报告1篇《关于振兴乡村文化促进乡村繁荣发展的思考—以苍溪县鸳溪镇学龙村为例》；三是协助村两委扎实推进猕猴桃产业发展，市图书馆拟投入1万元用于支持学龙村购置猕猴桃苗；四是积极配合镇、村开展疫情防控和疫苗接种工作，向学龙村捐赠500个口罩、10瓶消毒液等价值1000元的防疫物质；五是积极开展“以购代扶”活动，助力脱贫户增收，目前已认购猕猴桃700余斤、黄金梨150斤、鸡蛋300个、红薯100斤，为脱贫户增收8000余元；五是在“七一”期间，为学龙村10老党员、困难党员送去价值1仟元的慰问品；六是积极参加苍溪县巩固脱贫攻坚成果“回头看”大排查工作，对学龙村67户脱贫户进行入户排查，按要求及时完成脱贫户基本信息及收入核算情况的更新录入任务，对排查出脱贫户冉继钊房屋（后墙）安全隐患问题，由市图书馆投入资金2千元进行维修加固，确保脱贫户住房安全；七是向学龙村赠送图书及农科资料200余册（其中图书52种、156册，价值4180.80元）；八是封钢同志免费为20名农户提供计算机（手机）基础知识培训；九是做好乡村振兴工作的宣传工作，利用抖音、网站、公众号等新媒体对乡村振兴工作进行宣传，廖华同志已在《封面新闻》“第一书记”（我播报）专栏上发布有关乡村振兴工作信息18条，在市文广新局网站、广元市图书馆公众号上分别发布乡村振兴工作信息各一条。</w:t>
      </w:r>
    </w:p>
    <w:p>
      <w:pPr>
        <w:ind w:firstLine="640" w:firstLineChars="200"/>
        <w:rPr>
          <w:rFonts w:ascii="仿宋" w:hAnsi="仿宋" w:eastAsia="仿宋" w:cs="仿宋"/>
          <w:sz w:val="32"/>
          <w:szCs w:val="32"/>
        </w:rPr>
      </w:pPr>
      <w:r>
        <w:rPr>
          <w:rFonts w:hint="eastAsia" w:ascii="仿宋" w:hAnsi="仿宋" w:eastAsia="仿宋" w:cs="仿宋"/>
          <w:sz w:val="32"/>
          <w:szCs w:val="32"/>
        </w:rPr>
        <w:br w:type="page"/>
      </w:r>
    </w:p>
    <w:p>
      <w:pPr>
        <w:pStyle w:val="3"/>
        <w:spacing w:before="0" w:after="0" w:line="576" w:lineRule="exact"/>
        <w:jc w:val="center"/>
        <w:rPr>
          <w:rStyle w:val="24"/>
          <w:rFonts w:ascii="方正小标宋简体" w:hAnsi="方正小标宋简体" w:eastAsia="方正小标宋简体" w:cs="方正小标宋简体"/>
          <w:b w:val="0"/>
          <w:bCs/>
        </w:rPr>
      </w:pPr>
      <w:bookmarkStart w:id="22" w:name="_Toc11939"/>
      <w:bookmarkStart w:id="23" w:name="_Toc15396602"/>
      <w:bookmarkStart w:id="24" w:name="_Toc15377204"/>
      <w:r>
        <w:rPr>
          <w:rFonts w:hint="eastAsia" w:ascii="方正小标宋简体" w:hAnsi="方正小标宋简体" w:eastAsia="方正小标宋简体" w:cs="方正小标宋简体"/>
          <w:b w:val="0"/>
        </w:rPr>
        <w:t>第二部分 2021年度</w:t>
      </w:r>
      <w:r>
        <w:rPr>
          <w:rStyle w:val="24"/>
          <w:rFonts w:hint="eastAsia" w:ascii="方正小标宋简体" w:hAnsi="方正小标宋简体" w:eastAsia="方正小标宋简体" w:cs="方正小标宋简体"/>
          <w:b w:val="0"/>
          <w:bCs/>
        </w:rPr>
        <w:t>单位决算情况说明</w:t>
      </w:r>
      <w:bookmarkEnd w:id="22"/>
      <w:bookmarkEnd w:id="23"/>
      <w:bookmarkEnd w:id="24"/>
    </w:p>
    <w:p>
      <w:pPr>
        <w:pStyle w:val="23"/>
        <w:spacing w:line="576" w:lineRule="exact"/>
        <w:ind w:firstLine="0" w:firstLineChars="0"/>
        <w:outlineLvl w:val="1"/>
        <w:rPr>
          <w:rFonts w:ascii="黑体" w:hAnsi="黑体" w:eastAsia="黑体" w:cs="黑体"/>
          <w:sz w:val="32"/>
          <w:szCs w:val="32"/>
        </w:rPr>
      </w:pPr>
      <w:bookmarkStart w:id="25" w:name="_Toc15377205"/>
      <w:bookmarkStart w:id="26" w:name="_Toc15396603"/>
      <w:bookmarkStart w:id="27" w:name="_Toc32418"/>
    </w:p>
    <w:p>
      <w:pPr>
        <w:pStyle w:val="23"/>
        <w:spacing w:line="576" w:lineRule="exact"/>
        <w:ind w:firstLine="640"/>
        <w:outlineLvl w:val="1"/>
        <w:rPr>
          <w:rStyle w:val="25"/>
          <w:rFonts w:ascii="黑体" w:hAnsi="黑体" w:eastAsia="黑体" w:cs="黑体"/>
          <w:b w:val="0"/>
        </w:rPr>
      </w:pPr>
      <w:r>
        <w:rPr>
          <w:rFonts w:hint="eastAsia" w:ascii="黑体" w:hAnsi="黑体" w:eastAsia="黑体" w:cs="黑体"/>
          <w:sz w:val="32"/>
          <w:szCs w:val="32"/>
        </w:rPr>
        <w:t>一、收</w:t>
      </w:r>
      <w:r>
        <w:rPr>
          <w:rStyle w:val="25"/>
          <w:rFonts w:hint="eastAsia" w:ascii="黑体" w:hAnsi="黑体" w:eastAsia="黑体" w:cs="黑体"/>
          <w:b w:val="0"/>
        </w:rPr>
        <w:t>入支出决算总体情况说明</w:t>
      </w:r>
      <w:bookmarkEnd w:id="25"/>
      <w:bookmarkEnd w:id="26"/>
      <w:bookmarkEnd w:id="27"/>
    </w:p>
    <w:p>
      <w:pPr>
        <w:ind w:firstLine="640" w:firstLineChars="200"/>
        <w:rPr>
          <w:rFonts w:ascii="仿宋" w:hAnsi="仿宋" w:eastAsia="仿宋"/>
          <w:color w:val="000000"/>
          <w:sz w:val="32"/>
          <w:szCs w:val="32"/>
        </w:rPr>
      </w:pPr>
      <w:r>
        <w:rPr>
          <w:rFonts w:hint="eastAsia" w:ascii="仿宋" w:hAnsi="仿宋" w:eastAsia="仿宋"/>
          <w:color w:val="000000"/>
          <w:sz w:val="32"/>
          <w:szCs w:val="32"/>
        </w:rPr>
        <w:t>2021年度收、支总计647.08万元。与2020年相比，收、支总计增加52.24万元，上升8.78%。主要变动原因是项目增加，增加额22万，人员经费增加，增加额30余万。</w:t>
      </w:r>
    </w:p>
    <w:p>
      <w:pPr>
        <w:spacing w:line="576" w:lineRule="exact"/>
        <w:jc w:val="center"/>
        <w:rPr>
          <w:rFonts w:ascii="楷体_GB2312" w:hAnsi="楷体_GB2312" w:eastAsia="楷体_GB2312" w:cs="楷体_GB2312"/>
          <w:sz w:val="32"/>
          <w:szCs w:val="32"/>
        </w:rPr>
      </w:pPr>
      <w:r>
        <w:drawing>
          <wp:anchor distT="0" distB="0" distL="114300" distR="114300" simplePos="0" relativeHeight="251660288" behindDoc="0" locked="0" layoutInCell="1" allowOverlap="1">
            <wp:simplePos x="0" y="0"/>
            <wp:positionH relativeFrom="column">
              <wp:posOffset>9525</wp:posOffset>
            </wp:positionH>
            <wp:positionV relativeFrom="paragraph">
              <wp:posOffset>96520</wp:posOffset>
            </wp:positionV>
            <wp:extent cx="5274310" cy="3076575"/>
            <wp:effectExtent l="0" t="0" r="2540" b="952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r>
        <w:rPr>
          <w:rFonts w:hint="eastAsia" w:ascii="楷体_GB2312" w:hAnsi="楷体_GB2312" w:eastAsia="楷体_GB2312" w:cs="楷体_GB2312"/>
          <w:sz w:val="32"/>
          <w:szCs w:val="32"/>
        </w:rPr>
        <w:t>（图1：收、支决算总计变动情况图）</w:t>
      </w:r>
    </w:p>
    <w:p>
      <w:pPr>
        <w:pStyle w:val="2"/>
      </w:pPr>
    </w:p>
    <w:p>
      <w:pPr>
        <w:pStyle w:val="23"/>
        <w:spacing w:line="576" w:lineRule="exact"/>
        <w:ind w:firstLine="640"/>
        <w:outlineLvl w:val="1"/>
        <w:rPr>
          <w:rStyle w:val="25"/>
          <w:rFonts w:ascii="黑体" w:hAnsi="黑体" w:eastAsia="黑体" w:cs="黑体"/>
          <w:b w:val="0"/>
        </w:rPr>
      </w:pPr>
      <w:bookmarkStart w:id="28" w:name="_Toc15396604"/>
      <w:bookmarkStart w:id="29" w:name="_Toc15377206"/>
      <w:bookmarkStart w:id="30" w:name="_Toc7041"/>
      <w:r>
        <w:rPr>
          <w:rStyle w:val="25"/>
          <w:rFonts w:hint="eastAsia" w:ascii="黑体" w:hAnsi="黑体" w:eastAsia="黑体" w:cs="黑体"/>
          <w:b w:val="0"/>
        </w:rPr>
        <w:t>二、收入决算情况说明</w:t>
      </w:r>
      <w:bookmarkEnd w:id="28"/>
      <w:bookmarkEnd w:id="29"/>
      <w:bookmarkEnd w:id="30"/>
    </w:p>
    <w:p>
      <w:pPr>
        <w:pStyle w:val="6"/>
        <w:spacing w:beforeLines="0" w:line="576" w:lineRule="exact"/>
        <w:ind w:firstLine="640" w:firstLineChars="200"/>
        <w:rPr>
          <w:rFonts w:hAnsi="仿宋_GB2312" w:cs="仿宋_GB2312"/>
          <w:kern w:val="2"/>
          <w:sz w:val="32"/>
          <w:szCs w:val="32"/>
        </w:rPr>
      </w:pPr>
      <w:bookmarkStart w:id="31" w:name="_Toc10365"/>
      <w:r>
        <w:rPr>
          <w:rFonts w:hint="eastAsia" w:hAnsi="仿宋_GB2312" w:cs="仿宋_GB2312"/>
          <w:kern w:val="2"/>
          <w:sz w:val="32"/>
          <w:szCs w:val="32"/>
        </w:rPr>
        <w:t>2021年本年收入合计594.24万元，其中：一般公共预算财政拨款收入594.2万元，占99.99%；其他收入0.04万元，占0.01%。</w:t>
      </w:r>
      <w:bookmarkEnd w:id="31"/>
    </w:p>
    <w:p>
      <w:pPr>
        <w:spacing w:line="576" w:lineRule="exact"/>
        <w:jc w:val="center"/>
        <w:rPr>
          <w:rFonts w:ascii="楷体_GB2312" w:hAnsi="楷体_GB2312" w:eastAsia="楷体_GB2312" w:cs="楷体_GB2312"/>
          <w:sz w:val="32"/>
          <w:szCs w:val="32"/>
        </w:rPr>
      </w:pPr>
    </w:p>
    <w:p>
      <w:pPr>
        <w:spacing w:line="576" w:lineRule="exact"/>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drawing>
          <wp:anchor distT="0" distB="0" distL="114300" distR="114300" simplePos="0" relativeHeight="251664384" behindDoc="0" locked="0" layoutInCell="1" allowOverlap="1">
            <wp:simplePos x="0" y="0"/>
            <wp:positionH relativeFrom="column">
              <wp:posOffset>400050</wp:posOffset>
            </wp:positionH>
            <wp:positionV relativeFrom="paragraph">
              <wp:posOffset>80010</wp:posOffset>
            </wp:positionV>
            <wp:extent cx="4305300" cy="2428875"/>
            <wp:effectExtent l="4445" t="4445" r="14605" b="5080"/>
            <wp:wrapTopAndBottom/>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hint="eastAsia" w:ascii="楷体_GB2312" w:hAnsi="楷体_GB2312" w:eastAsia="楷体_GB2312" w:cs="楷体_GB2312"/>
          <w:sz w:val="32"/>
          <w:szCs w:val="32"/>
        </w:rPr>
        <w:t>（图2：收入决算结构图）</w:t>
      </w:r>
    </w:p>
    <w:p>
      <w:pPr>
        <w:spacing w:line="576" w:lineRule="exact"/>
        <w:jc w:val="center"/>
        <w:rPr>
          <w:rFonts w:ascii="楷体_GB2312" w:hAnsi="楷体_GB2312" w:eastAsia="楷体_GB2312" w:cs="楷体_GB2312"/>
          <w:sz w:val="32"/>
          <w:szCs w:val="32"/>
        </w:rPr>
      </w:pPr>
    </w:p>
    <w:p>
      <w:pPr>
        <w:pStyle w:val="23"/>
        <w:spacing w:line="576" w:lineRule="exact"/>
        <w:ind w:firstLine="640"/>
        <w:outlineLvl w:val="1"/>
        <w:rPr>
          <w:rStyle w:val="25"/>
          <w:rFonts w:ascii="黑体" w:hAnsi="黑体" w:eastAsia="黑体" w:cs="黑体"/>
          <w:b w:val="0"/>
        </w:rPr>
      </w:pPr>
      <w:bookmarkStart w:id="32" w:name="_Toc15396605"/>
      <w:bookmarkStart w:id="33" w:name="_Toc223"/>
      <w:bookmarkStart w:id="34" w:name="_Toc15377207"/>
      <w:r>
        <w:rPr>
          <w:rStyle w:val="25"/>
          <w:rFonts w:hint="eastAsia" w:ascii="黑体" w:hAnsi="黑体" w:eastAsia="黑体" w:cs="黑体"/>
          <w:b w:val="0"/>
        </w:rPr>
        <w:t>三、支出决算情况说明</w:t>
      </w:r>
      <w:bookmarkEnd w:id="32"/>
      <w:bookmarkEnd w:id="33"/>
      <w:bookmarkEnd w:id="34"/>
    </w:p>
    <w:p>
      <w:pPr>
        <w:pStyle w:val="6"/>
        <w:spacing w:beforeLines="0" w:line="576" w:lineRule="exact"/>
        <w:ind w:firstLine="640" w:firstLineChars="200"/>
        <w:rPr>
          <w:rFonts w:ascii="仿宋" w:hAnsi="仿宋" w:eastAsia="仿宋"/>
          <w:color w:val="000000"/>
          <w:kern w:val="2"/>
          <w:sz w:val="32"/>
          <w:szCs w:val="32"/>
        </w:rPr>
      </w:pPr>
      <w:bookmarkStart w:id="35" w:name="_Toc11369"/>
      <w:r>
        <w:rPr>
          <w:rFonts w:hint="eastAsia" w:ascii="仿宋" w:hAnsi="仿宋" w:eastAsia="仿宋"/>
          <w:color w:val="000000"/>
          <w:kern w:val="2"/>
          <w:sz w:val="32"/>
          <w:szCs w:val="32"/>
        </w:rPr>
        <w:t>2021年本年支出合计630.66万元，其中：基本支出492.43万元，占78.08%；项目支出138.23万元，占21.92%。</w:t>
      </w:r>
      <w:bookmarkEnd w:id="35"/>
    </w:p>
    <w:p>
      <w:pPr>
        <w:spacing w:line="576" w:lineRule="exact"/>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drawing>
          <wp:anchor distT="0" distB="0" distL="114300" distR="114300" simplePos="0" relativeHeight="251659264" behindDoc="0" locked="0" layoutInCell="1" allowOverlap="1">
            <wp:simplePos x="0" y="0"/>
            <wp:positionH relativeFrom="column">
              <wp:posOffset>914400</wp:posOffset>
            </wp:positionH>
            <wp:positionV relativeFrom="paragraph">
              <wp:posOffset>89535</wp:posOffset>
            </wp:positionV>
            <wp:extent cx="3810000" cy="2162175"/>
            <wp:effectExtent l="0" t="0" r="0" b="9525"/>
            <wp:wrapTopAndBottom/>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Pr>
          <w:rFonts w:hint="eastAsia" w:ascii="仿宋" w:hAnsi="仿宋" w:eastAsia="仿宋"/>
          <w:color w:val="000000"/>
          <w:sz w:val="32"/>
          <w:szCs w:val="32"/>
        </w:rPr>
        <w:t>（图3：支出决算结构图）</w:t>
      </w:r>
    </w:p>
    <w:p>
      <w:pPr>
        <w:spacing w:line="576" w:lineRule="exact"/>
        <w:jc w:val="center"/>
        <w:rPr>
          <w:rFonts w:ascii="仿宋" w:hAnsi="仿宋" w:eastAsia="仿宋"/>
          <w:color w:val="000000"/>
          <w:sz w:val="32"/>
          <w:szCs w:val="32"/>
        </w:rPr>
      </w:pPr>
    </w:p>
    <w:p>
      <w:pPr>
        <w:spacing w:line="600" w:lineRule="exact"/>
        <w:ind w:firstLine="640" w:firstLineChars="200"/>
        <w:outlineLvl w:val="1"/>
        <w:rPr>
          <w:rStyle w:val="25"/>
          <w:rFonts w:ascii="黑体" w:hAnsi="黑体" w:eastAsia="黑体" w:cs="黑体"/>
          <w:b w:val="0"/>
        </w:rPr>
      </w:pPr>
      <w:bookmarkStart w:id="36" w:name="_Toc15396606"/>
      <w:bookmarkStart w:id="37" w:name="_Toc4645"/>
      <w:bookmarkStart w:id="38" w:name="_Toc15377208"/>
      <w:r>
        <w:rPr>
          <w:rStyle w:val="25"/>
          <w:rFonts w:hint="eastAsia" w:ascii="黑体" w:hAnsi="黑体" w:eastAsia="黑体" w:cs="黑体"/>
          <w:b w:val="0"/>
        </w:rPr>
        <w:t>四、财政拨款收入支出决算总体情况说明</w:t>
      </w:r>
      <w:bookmarkEnd w:id="36"/>
      <w:bookmarkEnd w:id="37"/>
      <w:bookmarkEnd w:id="38"/>
    </w:p>
    <w:p>
      <w:pPr>
        <w:ind w:firstLine="640"/>
        <w:rPr>
          <w:rFonts w:ascii="仿宋" w:hAnsi="仿宋" w:eastAsia="仿宋"/>
          <w:color w:val="000000"/>
          <w:sz w:val="32"/>
          <w:szCs w:val="32"/>
        </w:rPr>
      </w:pPr>
      <w:r>
        <w:rPr>
          <w:rFonts w:hint="eastAsia" w:ascii="仿宋" w:hAnsi="仿宋" w:eastAsia="仿宋"/>
          <w:color w:val="000000"/>
          <w:sz w:val="32"/>
          <w:szCs w:val="32"/>
        </w:rPr>
        <w:t>2021年财政拨款收、支总计646.74万元。与2020年相比，财政拨款收、支总计增加52.2万元，上升8.78%。主要变动原因是项目增加，增加额22万，人员经费增加，增加额30余万。</w:t>
      </w:r>
    </w:p>
    <w:p>
      <w:pPr>
        <w:pStyle w:val="2"/>
      </w:pPr>
      <w:r>
        <w:rPr>
          <w:rFonts w:hint="eastAsia"/>
          <w:color w:val="000000"/>
          <w:sz w:val="32"/>
          <w:szCs w:val="32"/>
        </w:rPr>
        <w:drawing>
          <wp:anchor distT="0" distB="0" distL="114300" distR="114300" simplePos="0" relativeHeight="251662336" behindDoc="0" locked="0" layoutInCell="1" allowOverlap="1">
            <wp:simplePos x="0" y="0"/>
            <wp:positionH relativeFrom="column">
              <wp:posOffset>266700</wp:posOffset>
            </wp:positionH>
            <wp:positionV relativeFrom="paragraph">
              <wp:posOffset>7620</wp:posOffset>
            </wp:positionV>
            <wp:extent cx="5274310" cy="3076575"/>
            <wp:effectExtent l="0" t="0" r="2540" b="9525"/>
            <wp:wrapTopAndBottom/>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Pr>
          <w:rFonts w:hint="eastAsia" w:ascii="楷体_GB2312" w:hAnsi="楷体_GB2312" w:eastAsia="楷体_GB2312" w:cs="楷体_GB2312"/>
          <w:sz w:val="32"/>
          <w:szCs w:val="32"/>
        </w:rPr>
        <w:t>（图4：财政拨款收、支决算总计变动情况）</w:t>
      </w:r>
    </w:p>
    <w:p>
      <w:pPr>
        <w:spacing w:line="576" w:lineRule="exact"/>
        <w:jc w:val="center"/>
        <w:rPr>
          <w:rFonts w:ascii="仿宋" w:hAnsi="仿宋" w:eastAsia="仿宋"/>
          <w:b/>
          <w:sz w:val="32"/>
          <w:szCs w:val="32"/>
        </w:rPr>
      </w:pPr>
    </w:p>
    <w:p>
      <w:pPr>
        <w:spacing w:line="576" w:lineRule="exact"/>
        <w:ind w:firstLine="640" w:firstLineChars="200"/>
        <w:outlineLvl w:val="1"/>
        <w:rPr>
          <w:rStyle w:val="25"/>
          <w:rFonts w:ascii="黑体" w:hAnsi="黑体" w:eastAsia="黑体" w:cs="黑体"/>
          <w:b w:val="0"/>
        </w:rPr>
      </w:pPr>
      <w:bookmarkStart w:id="39" w:name="_Toc15443"/>
      <w:bookmarkStart w:id="40" w:name="_Toc15377209"/>
      <w:bookmarkStart w:id="41" w:name="_Toc15396607"/>
      <w:r>
        <w:rPr>
          <w:rStyle w:val="25"/>
          <w:rFonts w:hint="eastAsia" w:ascii="黑体" w:hAnsi="黑体" w:eastAsia="黑体" w:cs="黑体"/>
          <w:b w:val="0"/>
        </w:rPr>
        <w:t>五、一般公共预算财政拨款支出决算情况说明</w:t>
      </w:r>
      <w:bookmarkEnd w:id="39"/>
      <w:bookmarkEnd w:id="40"/>
      <w:bookmarkEnd w:id="41"/>
    </w:p>
    <w:p>
      <w:pPr>
        <w:ind w:firstLine="640" w:firstLineChars="200"/>
        <w:outlineLvl w:val="2"/>
        <w:rPr>
          <w:rFonts w:ascii="楷体" w:hAnsi="楷体" w:eastAsia="楷体" w:cs="楷体"/>
          <w:bCs/>
          <w:color w:val="000000"/>
          <w:sz w:val="32"/>
          <w:szCs w:val="32"/>
        </w:rPr>
      </w:pPr>
      <w:bookmarkStart w:id="42" w:name="_Toc15377210"/>
      <w:r>
        <w:rPr>
          <w:rFonts w:hint="eastAsia" w:ascii="楷体" w:hAnsi="楷体" w:eastAsia="楷体" w:cs="楷体"/>
          <w:bCs/>
          <w:color w:val="000000"/>
          <w:sz w:val="32"/>
          <w:szCs w:val="32"/>
        </w:rPr>
        <w:t>（一）一般公共预算财政拨款支出决算总体情况</w:t>
      </w:r>
      <w:bookmarkEnd w:id="42"/>
    </w:p>
    <w:p>
      <w:pPr>
        <w:ind w:firstLine="640"/>
        <w:rPr>
          <w:rFonts w:ascii="仿宋" w:hAnsi="仿宋" w:eastAsia="仿宋"/>
          <w:color w:val="000000"/>
          <w:sz w:val="32"/>
          <w:szCs w:val="32"/>
        </w:rPr>
      </w:pPr>
      <w:r>
        <w:rPr>
          <w:rFonts w:hint="eastAsia" w:ascii="仿宋" w:hAnsi="仿宋" w:eastAsia="仿宋"/>
          <w:color w:val="000000"/>
          <w:sz w:val="32"/>
          <w:szCs w:val="32"/>
        </w:rPr>
        <w:t>2021年一般公共预算财政拨款支出630.62万元，占本年支出合计的99.99%。与2020年相比，一般公共预算财政拨款增加88.62万元，上升16.35%。主要变动原因是项目增加、人员经费增加。</w:t>
      </w:r>
    </w:p>
    <w:p>
      <w:pPr>
        <w:spacing w:line="576" w:lineRule="exact"/>
        <w:jc w:val="center"/>
        <w:rPr>
          <w:rFonts w:ascii="楷体_GB2312" w:hAnsi="楷体_GB2312" w:eastAsia="楷体_GB2312" w:cs="楷体_GB2312"/>
          <w:sz w:val="32"/>
          <w:szCs w:val="32"/>
        </w:rPr>
      </w:pPr>
    </w:p>
    <w:p>
      <w:pPr>
        <w:spacing w:line="576" w:lineRule="exact"/>
        <w:jc w:val="center"/>
        <w:rPr>
          <w:rFonts w:ascii="仿宋" w:hAnsi="仿宋" w:eastAsia="仿宋"/>
          <w:sz w:val="32"/>
          <w:szCs w:val="32"/>
        </w:rPr>
      </w:pPr>
      <w:r>
        <w:rPr>
          <w:rFonts w:hint="eastAsia" w:ascii="楷体_GB2312" w:hAnsi="楷体_GB2312" w:eastAsia="楷体_GB2312" w:cs="楷体_GB2312"/>
          <w:sz w:val="32"/>
          <w:szCs w:val="32"/>
        </w:rPr>
        <w:drawing>
          <wp:anchor distT="0" distB="0" distL="114300" distR="114300" simplePos="0" relativeHeight="251661312" behindDoc="0" locked="0" layoutInCell="1" allowOverlap="1">
            <wp:simplePos x="0" y="0"/>
            <wp:positionH relativeFrom="column">
              <wp:posOffset>190500</wp:posOffset>
            </wp:positionH>
            <wp:positionV relativeFrom="paragraph">
              <wp:posOffset>13335</wp:posOffset>
            </wp:positionV>
            <wp:extent cx="5274310" cy="2543175"/>
            <wp:effectExtent l="0" t="0" r="2540" b="9525"/>
            <wp:wrapTopAndBottom/>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Pr>
          <w:rFonts w:hint="eastAsia" w:ascii="楷体_GB2312" w:hAnsi="楷体_GB2312" w:eastAsia="楷体_GB2312" w:cs="楷体_GB2312"/>
          <w:sz w:val="32"/>
          <w:szCs w:val="32"/>
        </w:rPr>
        <w:t>（图5：一般公共预算财政拨款支出决算变动情况）</w:t>
      </w:r>
    </w:p>
    <w:p>
      <w:pPr>
        <w:ind w:firstLine="640" w:firstLineChars="200"/>
        <w:outlineLvl w:val="2"/>
        <w:rPr>
          <w:rFonts w:ascii="楷体" w:hAnsi="楷体" w:eastAsia="楷体" w:cs="楷体"/>
          <w:bCs/>
          <w:color w:val="000000"/>
          <w:sz w:val="32"/>
          <w:szCs w:val="32"/>
        </w:rPr>
      </w:pPr>
      <w:bookmarkStart w:id="43" w:name="_Toc15377211"/>
      <w:r>
        <w:rPr>
          <w:rFonts w:hint="eastAsia" w:ascii="楷体" w:hAnsi="楷体" w:eastAsia="楷体" w:cs="楷体"/>
          <w:bCs/>
          <w:color w:val="000000"/>
          <w:sz w:val="32"/>
          <w:szCs w:val="32"/>
        </w:rPr>
        <w:t>（二）一般公共预算财政拨款支出决算结构情况</w:t>
      </w:r>
      <w:bookmarkEnd w:id="43"/>
    </w:p>
    <w:p>
      <w:pPr>
        <w:ind w:firstLine="640"/>
        <w:rPr>
          <w:rFonts w:ascii="仿宋" w:hAnsi="仿宋" w:eastAsia="仿宋"/>
          <w:color w:val="000000"/>
          <w:sz w:val="32"/>
          <w:szCs w:val="32"/>
        </w:rPr>
      </w:pPr>
      <w:r>
        <w:rPr>
          <w:rFonts w:hint="eastAsia" w:ascii="仿宋" w:hAnsi="仿宋" w:eastAsia="仿宋"/>
          <w:color w:val="000000"/>
          <w:sz w:val="32"/>
          <w:szCs w:val="32"/>
        </w:rPr>
        <w:t>2021年一般公共预算财政拨款支出630.62万元，主要用于以下方面:文化旅游体育与传媒（类）支出512.26万元，占81.23%；社会保障和就业（类）支出56.78万元，占9.00%；卫生健康支出17.48万元，占2.77%；住房保障支出44.10万元，占6.99%。</w:t>
      </w:r>
    </w:p>
    <w:p>
      <w:pPr>
        <w:spacing w:line="576" w:lineRule="exact"/>
        <w:jc w:val="center"/>
        <w:rPr>
          <w:rFonts w:ascii="仿宋" w:hAnsi="仿宋" w:eastAsia="仿宋"/>
          <w:sz w:val="32"/>
          <w:szCs w:val="32"/>
        </w:rPr>
      </w:pPr>
      <w:r>
        <w:rPr>
          <w:rFonts w:hint="eastAsia" w:ascii="楷体_GB2312" w:hAnsi="楷体_GB2312" w:eastAsia="楷体_GB2312" w:cs="楷体_GB2312"/>
          <w:sz w:val="32"/>
          <w:szCs w:val="32"/>
        </w:rPr>
        <w:drawing>
          <wp:anchor distT="0" distB="0" distL="114300" distR="114300" simplePos="0" relativeHeight="251662336" behindDoc="0" locked="0" layoutInCell="1" allowOverlap="1">
            <wp:simplePos x="0" y="0"/>
            <wp:positionH relativeFrom="column">
              <wp:posOffset>619760</wp:posOffset>
            </wp:positionH>
            <wp:positionV relativeFrom="paragraph">
              <wp:posOffset>26035</wp:posOffset>
            </wp:positionV>
            <wp:extent cx="4685665" cy="2713990"/>
            <wp:effectExtent l="4445" t="4445" r="15240" b="5715"/>
            <wp:wrapTopAndBottom/>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hint="eastAsia" w:ascii="楷体_GB2312" w:hAnsi="楷体_GB2312" w:eastAsia="楷体_GB2312" w:cs="楷体_GB2312"/>
          <w:sz w:val="32"/>
          <w:szCs w:val="32"/>
        </w:rPr>
        <w:t>（图6：一般公共预算财政拨款支出决算结构）</w:t>
      </w:r>
    </w:p>
    <w:p>
      <w:pPr>
        <w:ind w:firstLine="640" w:firstLineChars="200"/>
        <w:outlineLvl w:val="2"/>
        <w:rPr>
          <w:rFonts w:ascii="楷体" w:hAnsi="楷体" w:eastAsia="楷体" w:cs="楷体"/>
          <w:bCs/>
          <w:color w:val="000000"/>
          <w:sz w:val="32"/>
          <w:szCs w:val="32"/>
        </w:rPr>
      </w:pPr>
      <w:bookmarkStart w:id="44" w:name="_Toc15377212"/>
      <w:r>
        <w:rPr>
          <w:rFonts w:hint="eastAsia" w:ascii="楷体" w:hAnsi="楷体" w:eastAsia="楷体" w:cs="楷体"/>
          <w:bCs/>
          <w:color w:val="000000"/>
          <w:sz w:val="32"/>
          <w:szCs w:val="32"/>
        </w:rPr>
        <w:t>（三）一般公共预算财政拨款支出决算具体情况</w:t>
      </w:r>
      <w:bookmarkEnd w:id="44"/>
    </w:p>
    <w:p>
      <w:pPr>
        <w:spacing w:line="576" w:lineRule="exact"/>
        <w:ind w:firstLine="640" w:firstLineChars="200"/>
        <w:outlineLvl w:val="1"/>
        <w:rPr>
          <w:rFonts w:ascii="仿宋_GB2312" w:hAnsi="仿宋_GB2312" w:eastAsia="仿宋_GB2312" w:cs="仿宋_GB2312"/>
          <w:sz w:val="32"/>
          <w:szCs w:val="32"/>
        </w:rPr>
      </w:pPr>
      <w:bookmarkStart w:id="45" w:name="_Toc82428554"/>
      <w:bookmarkStart w:id="46" w:name="_Toc15377444"/>
      <w:bookmarkStart w:id="47" w:name="_Toc11863"/>
      <w:bookmarkStart w:id="48" w:name="_Toc15378460"/>
      <w:bookmarkStart w:id="49" w:name="_Toc15377213"/>
      <w:r>
        <w:rPr>
          <w:rFonts w:hint="eastAsia" w:ascii="仿宋" w:hAnsi="仿宋" w:eastAsia="仿宋"/>
          <w:bCs/>
          <w:color w:val="000000"/>
          <w:sz w:val="32"/>
          <w:szCs w:val="32"/>
        </w:rPr>
        <w:t>2021年一般公共预算支出决算数为630.62万元，完成预算97.51%。其中：</w:t>
      </w:r>
      <w:bookmarkEnd w:id="45"/>
      <w:bookmarkEnd w:id="46"/>
      <w:bookmarkEnd w:id="47"/>
      <w:bookmarkEnd w:id="48"/>
      <w:bookmarkEnd w:id="49"/>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1.文化旅游体育与传媒（类）支出决算数为521.26万元，完成预算96.95%。其中：</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(1)文化旅游体育与传媒（类）文化和旅游（款）图书馆（项）: 支出决算为485.40万元，完成预算96.79%，决算数小于预算数的主要原因是图书采购项目未验收，尾款未付，同时部分人员经费未支付。</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(2)文化旅游体育与传媒（类）文化和旅游（款）其他文化和旅游支出（项）: 支出决算为12.06万元，完成预算100%，决算数与预算数持平。</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(3)文化旅游体育与传媒（类）文化和旅游（款）其他文化旅游体育与传媒支出（项）: 支出决算为14.8万元，完成预算100%，决算数与预算数持平。</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2.社会保障和就业（类）支出决算数为56.78万元，完成预算100%，决算数与预算数持平。其中：</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(1)社会保障和就业（类）人力资源和社会保障管理事务（款）其他人力资源和社会保障管理事务支出（项）:支出决算为1.2万元，完成预算100%，决算数与预算数持平。</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(2)社会保障和就业（类）行政事业单位养老支出（款）机关事业单位基本养老保险缴费支出（项）:支出决算为31.85万元，完成预算100%，决算数与预算数持平。</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(3)社会保障和就业（类）行政事业单位养老支出（款）机关事业单位职业年金缴费支出（项）:支出决算为5.23万元，完成预算100%，决算数与预算数持平。</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(4)社会保障和就业（类）其他社会保障和就业支出（款）其他社会保障和就业支出（项）:支出决算为18.5万元，完成预算100%</w:t>
      </w:r>
      <w:bookmarkStart w:id="50" w:name="_Hlk114168087"/>
      <w:r>
        <w:rPr>
          <w:rFonts w:hint="eastAsia" w:ascii="仿宋_GB2312" w:hAnsi="仿宋_GB2312" w:eastAsia="仿宋_GB2312" w:cs="仿宋_GB2312"/>
          <w:sz w:val="32"/>
          <w:szCs w:val="32"/>
        </w:rPr>
        <w:t>，决算数与预算数持平。</w:t>
      </w:r>
      <w:bookmarkEnd w:id="50"/>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3.卫生健康（类）支出决算为17.48万元，完成预算100%，其中：</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卫生健康支出（类）行政事业单位医疗（款）事业单位医疗（项）:支出决算为17.48万元，完成预算100%，决算数与预算数持平。</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4.住房保障（类）支出决算为44.1万元，完成预算100%，其中：</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住房保障（类）住房改革支出（款）住房公积金（项）:支出决算为44.1万元，完成预算100%，决算数与预算数持平。</w:t>
      </w:r>
    </w:p>
    <w:p>
      <w:pPr>
        <w:pStyle w:val="2"/>
      </w:pPr>
    </w:p>
    <w:p>
      <w:pPr>
        <w:tabs>
          <w:tab w:val="right" w:pos="8306"/>
        </w:tabs>
        <w:spacing w:line="576" w:lineRule="exact"/>
        <w:ind w:firstLine="640" w:firstLineChars="200"/>
        <w:outlineLvl w:val="1"/>
        <w:rPr>
          <w:rStyle w:val="25"/>
        </w:rPr>
      </w:pPr>
      <w:bookmarkStart w:id="51" w:name="_Toc15396608"/>
      <w:bookmarkStart w:id="52" w:name="_Toc16020"/>
      <w:bookmarkStart w:id="53" w:name="_Toc15377214"/>
      <w:r>
        <w:rPr>
          <w:rStyle w:val="25"/>
          <w:rFonts w:hint="eastAsia" w:ascii="黑体" w:hAnsi="黑体" w:eastAsia="黑体" w:cs="黑体"/>
          <w:b w:val="0"/>
        </w:rPr>
        <w:t>六、一般公共预算财政拨款基本支出决算情况说明</w:t>
      </w:r>
      <w:bookmarkEnd w:id="51"/>
      <w:bookmarkEnd w:id="52"/>
      <w:bookmarkEnd w:id="53"/>
      <w:r>
        <w:rPr>
          <w:rStyle w:val="25"/>
          <w:rFonts w:ascii="黑体" w:hAnsi="黑体" w:eastAsia="黑体"/>
          <w:b w:val="0"/>
        </w:rPr>
        <w:tab/>
      </w:r>
    </w:p>
    <w:p>
      <w:pPr>
        <w:ind w:firstLine="645"/>
        <w:rPr>
          <w:rFonts w:ascii="仿宋" w:hAnsi="仿宋" w:eastAsia="仿宋"/>
          <w:color w:val="000000"/>
          <w:sz w:val="32"/>
          <w:szCs w:val="32"/>
        </w:rPr>
      </w:pPr>
      <w:r>
        <w:rPr>
          <w:rFonts w:hint="eastAsia" w:ascii="仿宋" w:hAnsi="仿宋" w:eastAsia="仿宋"/>
          <w:color w:val="000000"/>
          <w:sz w:val="32"/>
          <w:szCs w:val="32"/>
        </w:rPr>
        <w:t>2021年一般公共预算财政拨款基本支出492.40万元，其中：</w:t>
      </w:r>
    </w:p>
    <w:p>
      <w:pPr>
        <w:ind w:firstLine="645"/>
        <w:rPr>
          <w:rFonts w:ascii="仿宋" w:hAnsi="仿宋" w:eastAsia="仿宋"/>
          <w:color w:val="000000"/>
          <w:sz w:val="32"/>
          <w:szCs w:val="32"/>
        </w:rPr>
      </w:pPr>
      <w:r>
        <w:rPr>
          <w:rFonts w:hint="eastAsia" w:ascii="仿宋" w:hAnsi="仿宋" w:eastAsia="仿宋"/>
          <w:color w:val="000000"/>
          <w:sz w:val="32"/>
          <w:szCs w:val="32"/>
        </w:rPr>
        <w:t>人员经费451.83万元，主要包括：基本工资、津贴补贴、奖金、绩效工资、机关事业单位基本养老保险缴费、职业年金缴费、职工基本医疗保险缴费、其他社会保障缴费、住房公积金、其他工资福利支出、生活补助、奖励金、其他对个人和家庭的补助支出等。</w:t>
      </w:r>
    </w:p>
    <w:p>
      <w:pPr>
        <w:ind w:firstLine="645"/>
        <w:rPr>
          <w:rFonts w:ascii="仿宋" w:hAnsi="仿宋" w:eastAsia="仿宋"/>
          <w:color w:val="000000"/>
          <w:sz w:val="32"/>
          <w:szCs w:val="32"/>
        </w:rPr>
      </w:pPr>
      <w:r>
        <w:rPr>
          <w:rFonts w:hint="eastAsia" w:ascii="仿宋" w:hAnsi="仿宋" w:eastAsia="仿宋"/>
          <w:color w:val="000000"/>
          <w:sz w:val="32"/>
          <w:szCs w:val="32"/>
        </w:rPr>
        <w:t>日常公用经费40.57万元，主要包括：办公费、印刷费、手续费、水费、电费、邮电费、差旅费、维修（护）费、租赁费、培训费、公务接待费、劳务费、委托业务费、工会经费、福利费、其他交通费、其他商品和服务支出等。</w:t>
      </w:r>
    </w:p>
    <w:p>
      <w:pPr>
        <w:pStyle w:val="2"/>
      </w:pPr>
    </w:p>
    <w:p>
      <w:pPr>
        <w:ind w:firstLine="800" w:firstLineChars="250"/>
        <w:outlineLvl w:val="1"/>
        <w:rPr>
          <w:rFonts w:ascii="黑体" w:eastAsia="黑体"/>
          <w:color w:val="000000"/>
          <w:sz w:val="32"/>
          <w:szCs w:val="32"/>
        </w:rPr>
      </w:pPr>
      <w:bookmarkStart w:id="54" w:name="_Toc29490"/>
      <w:bookmarkStart w:id="55" w:name="_Toc15377215"/>
      <w:bookmarkStart w:id="56" w:name="_Toc15396609"/>
      <w:r>
        <w:rPr>
          <w:rFonts w:hint="eastAsia" w:ascii="黑体" w:eastAsia="黑体"/>
          <w:color w:val="000000"/>
          <w:sz w:val="32"/>
          <w:szCs w:val="32"/>
        </w:rPr>
        <w:t>七、“三公”经费财政拨款支出决算情况说明</w:t>
      </w:r>
      <w:bookmarkEnd w:id="54"/>
      <w:bookmarkEnd w:id="55"/>
      <w:bookmarkEnd w:id="56"/>
    </w:p>
    <w:p>
      <w:pPr>
        <w:ind w:firstLine="640"/>
        <w:outlineLvl w:val="2"/>
        <w:rPr>
          <w:rFonts w:ascii="楷体" w:hAnsi="楷体" w:eastAsia="楷体" w:cs="楷体"/>
          <w:bCs/>
          <w:color w:val="000000"/>
          <w:sz w:val="32"/>
          <w:szCs w:val="32"/>
        </w:rPr>
      </w:pPr>
      <w:bookmarkStart w:id="57" w:name="_Toc15377216"/>
      <w:r>
        <w:rPr>
          <w:rFonts w:hint="eastAsia" w:ascii="楷体" w:hAnsi="楷体" w:eastAsia="楷体" w:cs="楷体"/>
          <w:bCs/>
          <w:color w:val="000000"/>
          <w:sz w:val="32"/>
          <w:szCs w:val="32"/>
        </w:rPr>
        <w:t>（一）“三公”经费财政拨款支出决算总体情况说明</w:t>
      </w:r>
      <w:bookmarkEnd w:id="57"/>
    </w:p>
    <w:p>
      <w:pPr>
        <w:ind w:firstLine="640"/>
        <w:rPr>
          <w:rFonts w:ascii="仿宋" w:hAnsi="仿宋" w:eastAsia="仿宋"/>
          <w:color w:val="000000"/>
          <w:sz w:val="32"/>
          <w:szCs w:val="32"/>
        </w:rPr>
      </w:pPr>
      <w:r>
        <w:rPr>
          <w:rFonts w:hint="eastAsia" w:ascii="仿宋" w:hAnsi="仿宋" w:eastAsia="仿宋"/>
          <w:color w:val="000000"/>
          <w:sz w:val="32"/>
          <w:szCs w:val="32"/>
        </w:rPr>
        <w:t>2021年“三公”经费财政拨款预算数为0.14万元，2021年“三公”经费财政拨款支出决算为0.03万元，完成预算21.43%，决算数小于预算数的主要原因是无公务用车及出国、由于疫情影响公务接待人次及费用减少。</w:t>
      </w:r>
    </w:p>
    <w:p>
      <w:pPr>
        <w:ind w:firstLine="640"/>
        <w:outlineLvl w:val="2"/>
        <w:rPr>
          <w:rFonts w:ascii="楷体" w:hAnsi="楷体" w:eastAsia="楷体" w:cs="楷体"/>
          <w:bCs/>
          <w:color w:val="000000"/>
          <w:sz w:val="32"/>
          <w:szCs w:val="32"/>
        </w:rPr>
      </w:pPr>
      <w:bookmarkStart w:id="58" w:name="_Toc15377217"/>
      <w:r>
        <w:rPr>
          <w:rFonts w:hint="eastAsia" w:ascii="楷体" w:hAnsi="楷体" w:eastAsia="楷体" w:cs="楷体"/>
          <w:bCs/>
          <w:color w:val="000000"/>
          <w:sz w:val="32"/>
          <w:szCs w:val="32"/>
        </w:rPr>
        <w:t>（二）“三公”经费财政拨款支出决算具体情况说明</w:t>
      </w:r>
      <w:bookmarkEnd w:id="58"/>
    </w:p>
    <w:p>
      <w:pPr>
        <w:spacing w:line="576" w:lineRule="exact"/>
        <w:ind w:firstLine="640"/>
        <w:rPr>
          <w:rFonts w:ascii="仿宋_GB2312" w:hAnsi="仿宋_GB2312" w:eastAsia="仿宋_GB2312" w:cs="仿宋_GB2312"/>
          <w:sz w:val="32"/>
          <w:szCs w:val="32"/>
        </w:rPr>
      </w:pPr>
      <w:r>
        <w:rPr>
          <w:rFonts w:hint="eastAsia" w:ascii="仿宋" w:hAnsi="仿宋" w:eastAsia="仿宋"/>
          <w:color w:val="000000"/>
          <w:sz w:val="32"/>
          <w:szCs w:val="32"/>
        </w:rPr>
        <w:t>2021年“三公”经费财政拨款预算数为0.14万元，2021年“三公”经费财政拨款支出决算中，因公出国（境）费支出决算0万元，占0%；公务用车购置及运行维护费支出决算0万元，占0%；公务接待费支出决算0.03万元，占100%。具体情况如下：</w:t>
      </w:r>
    </w:p>
    <w:p>
      <w:pPr>
        <w:spacing w:line="600" w:lineRule="exact"/>
        <w:jc w:val="center"/>
        <w:rPr>
          <w:rFonts w:ascii="楷体_GB2312" w:hAnsi="楷体_GB2312" w:eastAsia="楷体_GB2312" w:cs="楷体_GB2312"/>
          <w:sz w:val="32"/>
          <w:szCs w:val="32"/>
        </w:rPr>
      </w:pPr>
      <w:r>
        <w:rPr>
          <w:rFonts w:hint="eastAsia" w:ascii="楷体_GB2312" w:hAnsi="楷体_GB2312" w:eastAsia="楷体_GB2312" w:cs="楷体_GB2312"/>
          <w:sz w:val="32"/>
          <w:szCs w:val="32"/>
        </w:rPr>
        <w:drawing>
          <wp:anchor distT="0" distB="0" distL="114300" distR="114300" simplePos="0" relativeHeight="251663360" behindDoc="0" locked="0" layoutInCell="1" allowOverlap="1">
            <wp:simplePos x="0" y="0"/>
            <wp:positionH relativeFrom="column">
              <wp:posOffset>228600</wp:posOffset>
            </wp:positionH>
            <wp:positionV relativeFrom="paragraph">
              <wp:posOffset>38100</wp:posOffset>
            </wp:positionV>
            <wp:extent cx="5181600" cy="3562350"/>
            <wp:effectExtent l="4445" t="4445" r="14605" b="14605"/>
            <wp:wrapTopAndBottom/>
            <wp:docPr id="8"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楷体_GB2312" w:hAnsi="楷体_GB2312" w:eastAsia="楷体_GB2312" w:cs="楷体_GB2312"/>
          <w:sz w:val="32"/>
          <w:szCs w:val="32"/>
        </w:rPr>
        <w:t>（图7：“三公”经费财政拨款支出结构）</w:t>
      </w:r>
    </w:p>
    <w:p>
      <w:pPr>
        <w:ind w:firstLine="640"/>
        <w:rPr>
          <w:rFonts w:ascii="仿宋_GB2312" w:eastAsia="仿宋_GB2312"/>
          <w:bCs/>
          <w:color w:val="000000"/>
          <w:sz w:val="32"/>
          <w:szCs w:val="32"/>
        </w:rPr>
      </w:pPr>
      <w:r>
        <w:rPr>
          <w:rFonts w:hint="eastAsia" w:ascii="仿宋_GB2312" w:eastAsia="仿宋_GB2312"/>
          <w:bCs/>
          <w:color w:val="000000"/>
          <w:sz w:val="32"/>
          <w:szCs w:val="32"/>
        </w:rPr>
        <w:t>1.因公出国（境）经费支出0万元，年初未安排预算。因公出国（境）支出决算较2020年无变化。</w:t>
      </w:r>
    </w:p>
    <w:p>
      <w:pPr>
        <w:ind w:firstLine="640"/>
        <w:rPr>
          <w:rFonts w:ascii="仿宋_GB2312" w:eastAsia="仿宋_GB2312"/>
          <w:bCs/>
          <w:color w:val="000000"/>
          <w:sz w:val="32"/>
          <w:szCs w:val="32"/>
        </w:rPr>
      </w:pPr>
      <w:r>
        <w:rPr>
          <w:rFonts w:hint="eastAsia" w:ascii="仿宋_GB2312" w:eastAsia="仿宋_GB2312"/>
          <w:bCs/>
          <w:color w:val="000000"/>
          <w:sz w:val="32"/>
          <w:szCs w:val="32"/>
        </w:rPr>
        <w:t>2.公务用车购置及运行维护费支出0万元,年初未安排预算。公务用车购置及运行维护费支出决算比2020年无变化。主要原因是无公务用车。</w:t>
      </w:r>
    </w:p>
    <w:p>
      <w:pPr>
        <w:ind w:firstLine="640"/>
        <w:rPr>
          <w:rFonts w:ascii="仿宋_GB2312" w:eastAsia="仿宋_GB2312"/>
          <w:bCs/>
          <w:color w:val="000000"/>
          <w:sz w:val="32"/>
          <w:szCs w:val="32"/>
        </w:rPr>
      </w:pPr>
      <w:r>
        <w:rPr>
          <w:rFonts w:hint="eastAsia" w:ascii="仿宋_GB2312" w:eastAsia="仿宋_GB2312"/>
          <w:bCs/>
          <w:color w:val="000000"/>
          <w:sz w:val="32"/>
          <w:szCs w:val="32"/>
        </w:rPr>
        <w:t>其中：公务用车购置支出0万元。全年按规定更新购置公务用车0辆。截至2021年12月底，单位共有公务用车0辆。</w:t>
      </w:r>
    </w:p>
    <w:p>
      <w:pPr>
        <w:ind w:firstLine="640"/>
        <w:rPr>
          <w:rFonts w:ascii="仿宋_GB2312" w:eastAsia="仿宋_GB2312"/>
          <w:bCs/>
          <w:color w:val="000000"/>
          <w:sz w:val="32"/>
          <w:szCs w:val="32"/>
        </w:rPr>
      </w:pPr>
      <w:r>
        <w:rPr>
          <w:rFonts w:hint="eastAsia" w:ascii="仿宋_GB2312" w:eastAsia="仿宋_GB2312"/>
          <w:bCs/>
          <w:color w:val="000000"/>
          <w:sz w:val="32"/>
          <w:szCs w:val="32"/>
        </w:rPr>
        <w:t>公务用车运行维护费支出0万元。</w:t>
      </w:r>
    </w:p>
    <w:p>
      <w:pPr>
        <w:ind w:firstLine="640"/>
        <w:rPr>
          <w:rFonts w:ascii="仿宋_GB2312" w:eastAsia="仿宋_GB2312"/>
          <w:bCs/>
          <w:color w:val="000000"/>
          <w:sz w:val="32"/>
          <w:szCs w:val="32"/>
        </w:rPr>
      </w:pPr>
      <w:bookmarkStart w:id="59" w:name="_Toc15396610"/>
      <w:bookmarkStart w:id="60" w:name="_Toc15377218"/>
      <w:r>
        <w:rPr>
          <w:rFonts w:hint="eastAsia" w:ascii="仿宋_GB2312" w:eastAsia="仿宋_GB2312"/>
          <w:bCs/>
          <w:color w:val="000000"/>
          <w:sz w:val="32"/>
          <w:szCs w:val="32"/>
        </w:rPr>
        <w:t>3.公务接待费支出0.03万元，年初预算数为0.14万元，完成预算21.43%。公务接待费支出决算比2020年增加0.03万元，增加100%。主要原因是由于疫情影响2020年无公务接待人次及费用。其中：</w:t>
      </w:r>
    </w:p>
    <w:p>
      <w:pPr>
        <w:ind w:firstLine="640"/>
        <w:rPr>
          <w:rFonts w:ascii="仿宋_GB2312" w:eastAsia="仿宋_GB2312"/>
          <w:bCs/>
          <w:color w:val="000000"/>
          <w:sz w:val="32"/>
          <w:szCs w:val="32"/>
        </w:rPr>
      </w:pPr>
      <w:r>
        <w:rPr>
          <w:rFonts w:hint="eastAsia" w:ascii="仿宋_GB2312" w:eastAsia="仿宋_GB2312"/>
          <w:bCs/>
          <w:color w:val="000000"/>
          <w:sz w:val="32"/>
          <w:szCs w:val="32"/>
        </w:rPr>
        <w:t>国内公务接待支出0.03万元，主要用于开展业务活动开支的用餐费。(执行公务、开展业务活动开支的交通费、住宿费、用餐费等)。国内公务接待1批次，3人次（不包括陪同人员），共计支出0.03万元。</w:t>
      </w:r>
    </w:p>
    <w:p>
      <w:pPr>
        <w:ind w:firstLine="640"/>
        <w:rPr>
          <w:rFonts w:ascii="仿宋_GB2312" w:eastAsia="仿宋_GB2312"/>
          <w:bCs/>
          <w:color w:val="000000"/>
          <w:sz w:val="32"/>
          <w:szCs w:val="32"/>
        </w:rPr>
      </w:pPr>
      <w:r>
        <w:rPr>
          <w:rFonts w:hint="eastAsia" w:ascii="仿宋_GB2312" w:eastAsia="仿宋_GB2312"/>
          <w:bCs/>
          <w:color w:val="000000"/>
          <w:sz w:val="32"/>
          <w:szCs w:val="32"/>
        </w:rPr>
        <w:t>外事接待支出0万元。</w:t>
      </w:r>
    </w:p>
    <w:p>
      <w:pPr>
        <w:pStyle w:val="2"/>
      </w:pPr>
    </w:p>
    <w:p>
      <w:pPr>
        <w:ind w:firstLine="640" w:firstLineChars="200"/>
        <w:outlineLvl w:val="1"/>
        <w:rPr>
          <w:rFonts w:ascii="黑体" w:eastAsia="黑体"/>
          <w:color w:val="000000"/>
          <w:sz w:val="32"/>
          <w:szCs w:val="32"/>
        </w:rPr>
      </w:pPr>
      <w:bookmarkStart w:id="61" w:name="_Toc7364"/>
      <w:r>
        <w:rPr>
          <w:rFonts w:hint="eastAsia" w:ascii="黑体" w:eastAsia="黑体"/>
          <w:color w:val="000000"/>
          <w:sz w:val="32"/>
          <w:szCs w:val="32"/>
        </w:rPr>
        <w:t>八、政府性基金预算支出决算情况说明</w:t>
      </w:r>
      <w:bookmarkEnd w:id="59"/>
      <w:bookmarkEnd w:id="60"/>
      <w:bookmarkEnd w:id="61"/>
    </w:p>
    <w:p>
      <w:pPr>
        <w:ind w:firstLine="640" w:firstLineChars="200"/>
        <w:rPr>
          <w:rFonts w:ascii="仿宋" w:hAnsi="仿宋" w:eastAsia="仿宋"/>
          <w:color w:val="000000"/>
          <w:sz w:val="32"/>
          <w:szCs w:val="32"/>
        </w:rPr>
      </w:pPr>
      <w:r>
        <w:rPr>
          <w:rFonts w:hint="eastAsia" w:ascii="仿宋" w:hAnsi="仿宋" w:eastAsia="仿宋"/>
          <w:color w:val="000000"/>
          <w:sz w:val="32"/>
          <w:szCs w:val="32"/>
        </w:rPr>
        <w:t>2021年政府性基金预算财政拨款支出0万元。2021年本单位未在政府性基金预算拨款安排“三公经费”支出。</w:t>
      </w:r>
    </w:p>
    <w:p>
      <w:pPr>
        <w:pStyle w:val="2"/>
      </w:pPr>
    </w:p>
    <w:p>
      <w:pPr>
        <w:ind w:firstLine="640" w:firstLineChars="200"/>
        <w:outlineLvl w:val="1"/>
        <w:rPr>
          <w:rFonts w:ascii="黑体" w:eastAsia="黑体"/>
          <w:color w:val="000000"/>
          <w:sz w:val="32"/>
          <w:szCs w:val="32"/>
        </w:rPr>
      </w:pPr>
      <w:bookmarkStart w:id="62" w:name="_Toc15377219"/>
      <w:bookmarkStart w:id="63" w:name="_Toc15396611"/>
      <w:bookmarkStart w:id="64" w:name="_Toc9086"/>
      <w:r>
        <w:rPr>
          <w:rFonts w:hint="eastAsia" w:ascii="黑体" w:eastAsia="黑体"/>
          <w:color w:val="000000"/>
          <w:sz w:val="32"/>
          <w:szCs w:val="32"/>
        </w:rPr>
        <w:t>九、国有资本经营预算支出决算情况说明</w:t>
      </w:r>
      <w:bookmarkEnd w:id="62"/>
      <w:bookmarkEnd w:id="63"/>
      <w:bookmarkEnd w:id="64"/>
    </w:p>
    <w:p>
      <w:pPr>
        <w:ind w:firstLine="640" w:firstLineChars="200"/>
        <w:rPr>
          <w:rFonts w:ascii="仿宋" w:hAnsi="仿宋" w:eastAsia="仿宋"/>
          <w:color w:val="000000"/>
          <w:sz w:val="32"/>
          <w:szCs w:val="32"/>
        </w:rPr>
      </w:pPr>
      <w:r>
        <w:rPr>
          <w:rFonts w:hint="eastAsia" w:ascii="仿宋" w:hAnsi="仿宋" w:eastAsia="仿宋"/>
          <w:color w:val="000000"/>
          <w:sz w:val="32"/>
          <w:szCs w:val="32"/>
        </w:rPr>
        <w:t>2021年国有资本经营预算财政拨款支出0万元。</w:t>
      </w:r>
    </w:p>
    <w:p>
      <w:pPr>
        <w:pStyle w:val="2"/>
      </w:pPr>
    </w:p>
    <w:p>
      <w:pPr>
        <w:spacing w:line="600" w:lineRule="exact"/>
        <w:ind w:firstLine="640" w:firstLineChars="200"/>
        <w:rPr>
          <w:rStyle w:val="25"/>
          <w:rFonts w:ascii="黑体" w:hAnsi="黑体" w:eastAsia="黑体" w:cs="黑体"/>
          <w:b w:val="0"/>
        </w:rPr>
      </w:pPr>
      <w:bookmarkStart w:id="65" w:name="_Toc14318"/>
      <w:bookmarkStart w:id="66" w:name="_Toc15377221"/>
      <w:bookmarkStart w:id="67" w:name="_Toc15396612"/>
      <w:r>
        <w:rPr>
          <w:rStyle w:val="25"/>
          <w:rFonts w:hint="eastAsia" w:ascii="黑体" w:hAnsi="黑体" w:eastAsia="黑体" w:cs="黑体"/>
          <w:b w:val="0"/>
        </w:rPr>
        <w:t>十、预算绩效管理情况</w:t>
      </w:r>
      <w:bookmarkEnd w:id="65"/>
    </w:p>
    <w:p>
      <w:pPr>
        <w:ind w:firstLine="640" w:firstLineChars="200"/>
        <w:rPr>
          <w:rFonts w:ascii="仿宋" w:hAnsi="仿宋" w:eastAsia="仿宋"/>
          <w:color w:val="000000"/>
          <w:sz w:val="32"/>
          <w:szCs w:val="32"/>
        </w:rPr>
      </w:pPr>
      <w:r>
        <w:rPr>
          <w:rFonts w:hint="eastAsia" w:ascii="仿宋" w:hAnsi="仿宋" w:eastAsia="仿宋"/>
          <w:color w:val="000000"/>
          <w:sz w:val="32"/>
          <w:szCs w:val="32"/>
        </w:rPr>
        <w:t>根据预算绩效管理要求，本单位在2021年度预算编制阶段，组织对免费开放、文献资料购置、2020数字图书馆资源建设项目、2020年中央支持地方公共文化服务体系建设补助资金、2020年中央和省公共文化服务体系建设专项资金开展了预算事前绩效评估、2021年中央支持地方公共文化服务体系建设补助资金（延续2020年项目2020数字图书馆资源建设项目、2020年中央支持地方公共文化服务体系建设补助资金、2020年中央和省公共文化服务体系建设专项资金），对6个项目编制了绩效目标，预算执行过程中，选取6个项目开展绩效监控，年终执行完毕后，对6个项目开展了绩效目标完成情况自评，2021年部门预算项目绩效目标自评表见附件（第四部分）。</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本单位按要求对2021年部门整体支出开展绩效自评，从评价情况来看所有项目均按照绩效目标规定的要求进行，2020年延续性项目均已完成，按规定要求2021年完成的项目均在本年度完成。本部门还自行组织了6个项目支出绩效评价，从评价情况来看均按照绩效目标规定的要求完成或者进行中。</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（一）项目绩效目标完成情况</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本部门在2021年度部门决算中反映了6个项目的决算情况，其中3个为2021年项目，3个为2020年延续项目。</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1.免费开放项目绩效目标完成情况综述。项目全年预算数63万元，执行数为63万元，完成预算的100%。通过项目实施，保障了图书馆的正常开放、运作，完成了图书馆目标绩效相关目标要求，为读者提供较为舒适的阅览场地，优质、高效、便捷的服务，免费开放10个窗口，坚持全年开放和错时延时开放，每周开放63小时以上，办理借阅卡1100余张；接待到馆读者12.3万余人次；借阅8万余人次、11.8万余册次,全年累计接待读者52.3万余人次（线上40万、线下12.3万）。充分的满足广大市民的文化阅读需求。</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2.文献资料购置项目绩效目标完成情况综述。项目全年预算数30万元，执行数为25.28万元，完成预算的84.27%，未支付部分，主要是图书未验收，尾款未付。通过项目实施，保障图书馆全年报刊、书籍（含电子资源）的采购，为读者提供了部分新的知识内容。</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3.2020数字图书馆资源建设项目绩效目标完成情况综述。项目全年预算数12.06万元，执行数为12.06万元，完成预算的100%。该项目为2020年延续性项目，2021年完成项目的验收等全部工作。</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4.2020年中央支持地方公共文化服务体系建设补助资金项目绩效目标完成情况综述。项目全年预算数3万元，执行数为3万元，完成预算的100%。通过项目实施，完成了该项目的建设工作，并顺利通过验收，为广元市图书馆的建设作出了有力支撑。</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5.2020年中央和省公共文化服务体系建设专项资金项目绩效目标完成情况综述。项目全年预算数11.8万元，执行数为11.8万元，完成预算的100%。通过项目实施，完成了该项目的建设工作，并顺利通过验收，为广元市图书馆的建设作出了有力支撑。</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6.2021年中央支持地方公共文化服务体系建设补助资金项目绩效目标完成情况综述。项目全年预算数23.09万元，执行数为23.09万元，完成预算的100%。通过项目实施，完成了该项目的建设工作，并顺利通过验收，为广元市图书馆的建设作出了有力支撑。</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（二）部门绩效评价结果</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本部门按要求对2021年部门整体支出绩效评价情况开展自评，《广元市图书馆2021年部门整体支出绩效评价报告》见附件（附件1）。</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本部门自行组织对免费开放项目开展了绩效评价，《免费开放项目2021年绩效评价报告》见附件（附件2）。</w:t>
      </w:r>
    </w:p>
    <w:p>
      <w:pPr>
        <w:ind w:firstLine="640" w:firstLineChars="200"/>
        <w:rPr>
          <w:rFonts w:ascii="仿宋" w:hAnsi="仿宋" w:eastAsia="仿宋"/>
          <w:color w:val="000000"/>
          <w:sz w:val="32"/>
          <w:szCs w:val="32"/>
        </w:rPr>
      </w:pPr>
      <w:r>
        <w:rPr>
          <w:rFonts w:hint="eastAsia" w:ascii="仿宋" w:hAnsi="仿宋" w:eastAsia="仿宋"/>
          <w:color w:val="000000"/>
          <w:sz w:val="32"/>
          <w:szCs w:val="32"/>
        </w:rPr>
        <w:t>本部门自行组织对文献资料购置项目开展了绩效评价，《文献资料购置项目2021年绩效评价报告》见附件（附件3）。</w:t>
      </w:r>
    </w:p>
    <w:p>
      <w:pPr>
        <w:pStyle w:val="2"/>
      </w:pPr>
    </w:p>
    <w:p>
      <w:pPr>
        <w:spacing w:line="600" w:lineRule="exact"/>
        <w:ind w:firstLine="640" w:firstLineChars="200"/>
        <w:rPr>
          <w:rStyle w:val="25"/>
          <w:rFonts w:ascii="黑体" w:hAnsi="黑体" w:eastAsia="黑体" w:cs="黑体"/>
          <w:b w:val="0"/>
        </w:rPr>
      </w:pPr>
      <w:bookmarkStart w:id="68" w:name="_Toc10222"/>
      <w:r>
        <w:rPr>
          <w:rStyle w:val="25"/>
          <w:rFonts w:hint="eastAsia" w:ascii="黑体" w:hAnsi="黑体" w:eastAsia="黑体" w:cs="黑体"/>
          <w:b w:val="0"/>
        </w:rPr>
        <w:t>十一、其他重要事项的情况说明</w:t>
      </w:r>
      <w:bookmarkEnd w:id="66"/>
      <w:bookmarkEnd w:id="67"/>
      <w:bookmarkEnd w:id="68"/>
    </w:p>
    <w:p>
      <w:pPr>
        <w:spacing w:line="600" w:lineRule="exact"/>
        <w:ind w:firstLine="640" w:firstLineChars="200"/>
        <w:outlineLvl w:val="2"/>
        <w:rPr>
          <w:rFonts w:ascii="楷体_GB2312" w:hAnsi="楷体_GB2312" w:eastAsia="楷体_GB2312" w:cs="楷体_GB2312"/>
          <w:bCs/>
          <w:sz w:val="32"/>
          <w:szCs w:val="32"/>
        </w:rPr>
      </w:pPr>
      <w:bookmarkStart w:id="69" w:name="_Toc15377222"/>
      <w:r>
        <w:rPr>
          <w:rFonts w:hint="eastAsia" w:ascii="楷体_GB2312" w:hAnsi="楷体_GB2312" w:eastAsia="楷体_GB2312" w:cs="楷体_GB2312"/>
          <w:bCs/>
          <w:sz w:val="32"/>
          <w:szCs w:val="32"/>
        </w:rPr>
        <w:t>（一）机关运行经费支出情况</w:t>
      </w:r>
      <w:bookmarkEnd w:id="69"/>
    </w:p>
    <w:p>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2021年未发生机关运行经费支出，与2020年决算数持平。</w:t>
      </w:r>
    </w:p>
    <w:p>
      <w:pPr>
        <w:spacing w:line="600" w:lineRule="exact"/>
        <w:ind w:firstLine="640" w:firstLineChars="200"/>
        <w:outlineLvl w:val="2"/>
        <w:rPr>
          <w:rFonts w:ascii="楷体_GB2312" w:hAnsi="楷体_GB2312" w:eastAsia="楷体_GB2312" w:cs="楷体_GB2312"/>
          <w:bCs/>
          <w:sz w:val="32"/>
          <w:szCs w:val="32"/>
        </w:rPr>
      </w:pPr>
      <w:bookmarkStart w:id="70" w:name="_Toc15377223"/>
      <w:r>
        <w:rPr>
          <w:rFonts w:hint="eastAsia" w:ascii="楷体_GB2312" w:hAnsi="楷体_GB2312" w:eastAsia="楷体_GB2312" w:cs="楷体_GB2312"/>
          <w:bCs/>
          <w:sz w:val="32"/>
          <w:szCs w:val="32"/>
        </w:rPr>
        <w:t>（二）政府采购支出情况</w:t>
      </w:r>
      <w:bookmarkEnd w:id="70"/>
    </w:p>
    <w:p>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2021年，广元市图书馆政府采购支出总额0万元。</w:t>
      </w:r>
    </w:p>
    <w:p>
      <w:pPr>
        <w:spacing w:line="600" w:lineRule="exact"/>
        <w:ind w:firstLine="640" w:firstLineChars="200"/>
        <w:outlineLvl w:val="2"/>
        <w:rPr>
          <w:rFonts w:ascii="楷体_GB2312" w:hAnsi="楷体_GB2312" w:eastAsia="楷体_GB2312" w:cs="楷体_GB2312"/>
          <w:bCs/>
          <w:sz w:val="32"/>
          <w:szCs w:val="32"/>
        </w:rPr>
      </w:pPr>
      <w:bookmarkStart w:id="71" w:name="_Toc15377224"/>
      <w:r>
        <w:rPr>
          <w:rFonts w:hint="eastAsia" w:ascii="楷体_GB2312" w:hAnsi="楷体_GB2312" w:eastAsia="楷体_GB2312" w:cs="楷体_GB2312"/>
          <w:bCs/>
          <w:sz w:val="32"/>
          <w:szCs w:val="32"/>
        </w:rPr>
        <w:t>（三）国有资产占有使用情况</w:t>
      </w:r>
      <w:bookmarkEnd w:id="71"/>
    </w:p>
    <w:p>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截至2021年12月31日，广元市图书馆共有车辆0辆，单价50万元以上通用设备0台（套），单价100万元以上专用设备0台（套）。</w:t>
      </w:r>
    </w:p>
    <w:p>
      <w:pPr>
        <w:widowControl/>
        <w:jc w:val="left"/>
        <w:rPr>
          <w:rFonts w:ascii="仿宋_GB2312" w:eastAsia="仿宋_GB2312"/>
          <w:b/>
          <w:sz w:val="32"/>
          <w:szCs w:val="32"/>
        </w:rPr>
      </w:pPr>
      <w:r>
        <w:rPr>
          <w:rFonts w:ascii="仿宋_GB2312" w:eastAsia="仿宋_GB2312"/>
          <w:b/>
          <w:sz w:val="32"/>
          <w:szCs w:val="32"/>
        </w:rPr>
        <w:br w:type="page"/>
      </w:r>
    </w:p>
    <w:p>
      <w:pPr>
        <w:pStyle w:val="3"/>
        <w:spacing w:before="0" w:after="0" w:line="576" w:lineRule="exact"/>
        <w:jc w:val="center"/>
        <w:rPr>
          <w:rFonts w:ascii="方正小标宋简体" w:hAnsi="方正小标宋简体" w:eastAsia="方正小标宋简体" w:cs="方正小标宋简体"/>
          <w:b w:val="0"/>
        </w:rPr>
      </w:pPr>
      <w:bookmarkStart w:id="72" w:name="_Toc15377225"/>
      <w:bookmarkStart w:id="73" w:name="_Toc15396613"/>
      <w:bookmarkStart w:id="74" w:name="_Toc6767"/>
      <w:r>
        <w:rPr>
          <w:rFonts w:hint="eastAsia" w:ascii="方正小标宋简体" w:hAnsi="方正小标宋简体" w:eastAsia="方正小标宋简体" w:cs="方正小标宋简体"/>
          <w:b w:val="0"/>
        </w:rPr>
        <w:t>第三部分 名词解释</w:t>
      </w:r>
      <w:bookmarkEnd w:id="72"/>
      <w:bookmarkEnd w:id="73"/>
      <w:bookmarkEnd w:id="74"/>
    </w:p>
    <w:p>
      <w:pPr>
        <w:spacing w:line="576" w:lineRule="exact"/>
        <w:ind w:firstLine="883" w:firstLineChars="200"/>
        <w:jc w:val="left"/>
        <w:rPr>
          <w:rFonts w:ascii="宋体"/>
          <w:b/>
          <w:sz w:val="44"/>
          <w:szCs w:val="44"/>
        </w:rPr>
      </w:pPr>
    </w:p>
    <w:p>
      <w:pPr>
        <w:pStyle w:val="22"/>
        <w:spacing w:line="576" w:lineRule="exact"/>
        <w:ind w:firstLine="640" w:firstLineChars="200"/>
        <w:outlineLvl w:val="1"/>
        <w:rPr>
          <w:rFonts w:ascii="仿宋_GB2312" w:eastAsia="仿宋_GB2312"/>
          <w:sz w:val="32"/>
          <w:szCs w:val="32"/>
        </w:rPr>
      </w:pPr>
      <w:bookmarkStart w:id="75" w:name="_Toc23580"/>
      <w:r>
        <w:rPr>
          <w:rFonts w:hint="eastAsia" w:ascii="仿宋_GB2312" w:eastAsia="仿宋_GB2312"/>
          <w:sz w:val="32"/>
          <w:szCs w:val="32"/>
        </w:rPr>
        <w:t>1.财政拨款收入：指单位从同级财政部门取得的财政预算资金。</w:t>
      </w:r>
      <w:bookmarkEnd w:id="75"/>
    </w:p>
    <w:p>
      <w:pPr>
        <w:pStyle w:val="22"/>
        <w:spacing w:line="576" w:lineRule="exact"/>
        <w:ind w:firstLine="640" w:firstLineChars="200"/>
        <w:rPr>
          <w:rFonts w:ascii="仿宋_GB2312" w:eastAsia="仿宋_GB2312"/>
          <w:sz w:val="32"/>
          <w:szCs w:val="32"/>
        </w:rPr>
      </w:pPr>
      <w:r>
        <w:rPr>
          <w:rFonts w:hint="eastAsia" w:ascii="仿宋_GB2312" w:eastAsia="仿宋_GB2312"/>
          <w:sz w:val="32"/>
          <w:szCs w:val="32"/>
        </w:rPr>
        <w:t>2.其他收入：指单位取得的除上述收入以外的各项收入。主要是利息收入等。</w:t>
      </w:r>
    </w:p>
    <w:p>
      <w:pPr>
        <w:pStyle w:val="22"/>
        <w:spacing w:line="576" w:lineRule="exact"/>
        <w:ind w:firstLine="640" w:firstLineChars="200"/>
        <w:rPr>
          <w:rFonts w:ascii="仿宋_GB2312" w:eastAsia="仿宋_GB2312"/>
          <w:sz w:val="32"/>
          <w:szCs w:val="32"/>
        </w:rPr>
      </w:pPr>
      <w:r>
        <w:rPr>
          <w:rFonts w:hint="eastAsia" w:ascii="仿宋_GB2312" w:eastAsia="仿宋_GB2312"/>
          <w:sz w:val="32"/>
          <w:szCs w:val="32"/>
        </w:rPr>
        <w:t>3.年初结转和结余：指以前年度尚未完成、结转到本年按有关规定继续使用的资金。</w:t>
      </w:r>
    </w:p>
    <w:p>
      <w:pPr>
        <w:pStyle w:val="22"/>
        <w:spacing w:line="576" w:lineRule="exact"/>
        <w:ind w:firstLine="640" w:firstLineChars="200"/>
        <w:rPr>
          <w:rFonts w:ascii="仿宋_GB2312" w:eastAsia="仿宋_GB2312"/>
          <w:sz w:val="32"/>
          <w:szCs w:val="32"/>
        </w:rPr>
      </w:pPr>
      <w:r>
        <w:rPr>
          <w:rFonts w:hint="eastAsia" w:ascii="仿宋_GB2312" w:eastAsia="仿宋_GB2312"/>
          <w:sz w:val="32"/>
          <w:szCs w:val="32"/>
        </w:rPr>
        <w:t>4.年末结转和结余：指单位按有关规定结转到下年或以后年度继续使用的资金。</w:t>
      </w:r>
    </w:p>
    <w:p>
      <w:pPr>
        <w:pStyle w:val="22"/>
        <w:spacing w:line="576" w:lineRule="exact"/>
        <w:ind w:firstLine="640" w:firstLineChars="200"/>
        <w:rPr>
          <w:rFonts w:ascii="仿宋_GB2312" w:hAnsi="仿宋" w:eastAsia="仿宋_GB2312"/>
          <w:sz w:val="32"/>
          <w:szCs w:val="32"/>
        </w:rPr>
      </w:pPr>
      <w:r>
        <w:rPr>
          <w:rFonts w:hint="eastAsia" w:ascii="仿宋_GB2312" w:eastAsia="仿宋_GB2312"/>
          <w:sz w:val="32"/>
          <w:szCs w:val="32"/>
        </w:rPr>
        <w:t>5.</w:t>
      </w:r>
      <w:r>
        <w:rPr>
          <w:rFonts w:hint="eastAsia" w:ascii="仿宋_GB2312" w:hAnsi="仿宋" w:eastAsia="仿宋_GB2312"/>
          <w:sz w:val="32"/>
          <w:szCs w:val="32"/>
        </w:rPr>
        <w:t>文化旅游体育与传媒支出（类）文化和旅游（款）图书馆（项）支出：反映图书馆对外开放馆内设施，接待读者、收集文献、阅读活动、讲座培训、展览活动等费用的支出。</w:t>
      </w:r>
    </w:p>
    <w:p>
      <w:pPr>
        <w:pStyle w:val="22"/>
        <w:spacing w:line="576" w:lineRule="exact"/>
        <w:ind w:firstLine="640" w:firstLineChars="200"/>
        <w:rPr>
          <w:rFonts w:hint="eastAsia" w:ascii="仿宋_GB2312" w:hAnsi="仿宋" w:eastAsia="仿宋_GB2312"/>
          <w:sz w:val="32"/>
          <w:szCs w:val="32"/>
        </w:rPr>
      </w:pPr>
      <w:r>
        <w:rPr>
          <w:rFonts w:hint="eastAsia" w:ascii="仿宋_GB2312" w:hAnsi="仿宋" w:eastAsia="仿宋_GB2312"/>
          <w:sz w:val="32"/>
          <w:szCs w:val="32"/>
        </w:rPr>
        <w:t>6.文化旅游体育与传媒（类）文化和旅游（款）其他文化和旅游支出（项） 支出：反映下达图书馆数字资源专项建设费用支出。</w:t>
      </w:r>
    </w:p>
    <w:p>
      <w:pPr>
        <w:pStyle w:val="22"/>
        <w:spacing w:line="576" w:lineRule="exact"/>
        <w:ind w:firstLine="640" w:firstLineChars="200"/>
        <w:rPr>
          <w:rFonts w:ascii="仿宋_GB2312" w:hAnsi="仿宋" w:eastAsia="仿宋_GB2312"/>
          <w:sz w:val="32"/>
          <w:szCs w:val="32"/>
        </w:rPr>
      </w:pPr>
      <w:r>
        <w:rPr>
          <w:rFonts w:hint="eastAsia" w:ascii="仿宋_GB2312" w:hAnsi="仿宋" w:eastAsia="仿宋_GB2312"/>
          <w:sz w:val="32"/>
          <w:szCs w:val="32"/>
        </w:rPr>
        <w:t>7.文化旅游体育与传媒（类）其他文化旅游体育与传媒（款）其他文化旅游体育与传媒支出（项）支出:指中央支持地方公共文化服务体系建设补助资金和中央和省公共文化服务体系建设专项资金支出。</w:t>
      </w:r>
    </w:p>
    <w:p>
      <w:pPr>
        <w:pStyle w:val="22"/>
        <w:spacing w:line="576" w:lineRule="exact"/>
        <w:ind w:firstLine="640" w:firstLineChars="200"/>
        <w:rPr>
          <w:rFonts w:ascii="仿宋_GB2312" w:hAnsi="仿宋" w:eastAsia="仿宋_GB2312"/>
          <w:sz w:val="32"/>
          <w:szCs w:val="32"/>
        </w:rPr>
      </w:pPr>
      <w:r>
        <w:rPr>
          <w:rFonts w:hint="eastAsia" w:ascii="仿宋_GB2312" w:hAnsi="仿宋" w:eastAsia="仿宋_GB2312"/>
          <w:sz w:val="32"/>
          <w:szCs w:val="32"/>
        </w:rPr>
        <w:t>8.社会保障和就业（类）人力资源和社会保障管理事务（款）其他人力资源和社会保障管理事务支出（项）:指引进研究生补助费用支出。</w:t>
      </w:r>
    </w:p>
    <w:p>
      <w:pPr>
        <w:pStyle w:val="22"/>
        <w:spacing w:line="576" w:lineRule="exact"/>
        <w:ind w:firstLine="640" w:firstLineChars="200"/>
        <w:rPr>
          <w:rFonts w:ascii="仿宋_GB2312" w:eastAsia="仿宋_GB2312"/>
          <w:sz w:val="32"/>
          <w:szCs w:val="32"/>
        </w:rPr>
      </w:pPr>
      <w:r>
        <w:rPr>
          <w:rFonts w:hint="eastAsia" w:ascii="仿宋_GB2312" w:eastAsia="仿宋_GB2312"/>
          <w:sz w:val="32"/>
          <w:szCs w:val="32"/>
        </w:rPr>
        <w:t>9.</w:t>
      </w:r>
      <w:r>
        <w:rPr>
          <w:rFonts w:hint="eastAsia" w:ascii="仿宋_GB2312" w:hAnsi="仿宋" w:eastAsia="仿宋_GB2312"/>
          <w:sz w:val="32"/>
          <w:szCs w:val="32"/>
        </w:rPr>
        <w:t>社会保障和就业支出（类）行政事业单位养老支出（款）机关事业单位基本养老保险缴费支出（项）: 反映机关事业单位实施养老保险制度由单位缴纳的基本养老保险支出。</w:t>
      </w:r>
    </w:p>
    <w:p>
      <w:pPr>
        <w:pStyle w:val="22"/>
        <w:spacing w:line="576" w:lineRule="exact"/>
        <w:ind w:firstLine="640" w:firstLineChars="200"/>
        <w:rPr>
          <w:rFonts w:ascii="仿宋_GB2312" w:hAnsi="仿宋" w:eastAsia="仿宋_GB2312"/>
          <w:sz w:val="32"/>
          <w:szCs w:val="32"/>
        </w:rPr>
      </w:pPr>
      <w:r>
        <w:rPr>
          <w:rFonts w:hint="eastAsia" w:ascii="仿宋_GB2312" w:eastAsia="仿宋_GB2312"/>
          <w:sz w:val="32"/>
          <w:szCs w:val="32"/>
        </w:rPr>
        <w:t>10.</w:t>
      </w:r>
      <w:r>
        <w:rPr>
          <w:rFonts w:hint="eastAsia" w:ascii="仿宋_GB2312" w:hAnsi="仿宋" w:eastAsia="仿宋_GB2312"/>
          <w:sz w:val="32"/>
          <w:szCs w:val="32"/>
        </w:rPr>
        <w:t>社会保障和就业支出（类）行政事业单位养老支出（款）机关事业单位职业年金缴费支出（项）: 反映机关事业单位实施养老保险制度由单位实际缴纳的职业年金支出。</w:t>
      </w:r>
    </w:p>
    <w:p>
      <w:pPr>
        <w:pStyle w:val="22"/>
        <w:spacing w:line="576" w:lineRule="exact"/>
        <w:ind w:firstLine="640" w:firstLineChars="200"/>
        <w:rPr>
          <w:rFonts w:ascii="仿宋_GB2312" w:hAnsi="仿宋" w:eastAsia="仿宋_GB2312"/>
          <w:sz w:val="32"/>
          <w:szCs w:val="32"/>
        </w:rPr>
      </w:pPr>
      <w:r>
        <w:rPr>
          <w:rFonts w:hint="eastAsia" w:ascii="仿宋_GB2312" w:hAnsi="仿宋" w:eastAsia="仿宋_GB2312"/>
          <w:sz w:val="32"/>
          <w:szCs w:val="32"/>
        </w:rPr>
        <w:t>11.社会保障和就业（类）其他社会保障和就业支出（款）其他社会保障和就业支出（项）:反映机关事业单位退休人员独生子女奖励金费用支出。</w:t>
      </w:r>
    </w:p>
    <w:p>
      <w:pPr>
        <w:spacing w:line="576" w:lineRule="exact"/>
        <w:ind w:firstLine="640" w:firstLineChars="200"/>
        <w:rPr>
          <w:rFonts w:ascii="仿宋_GB2312" w:hAnsi="仿宋" w:eastAsia="仿宋_GB2312" w:cs="仿宋"/>
          <w:sz w:val="32"/>
          <w:szCs w:val="32"/>
        </w:rPr>
      </w:pPr>
      <w:r>
        <w:rPr>
          <w:rFonts w:hint="eastAsia" w:ascii="仿宋_GB2312" w:eastAsia="仿宋_GB2312"/>
          <w:color w:val="000000"/>
          <w:sz w:val="32"/>
          <w:szCs w:val="32"/>
        </w:rPr>
        <w:t>12.</w:t>
      </w:r>
      <w:r>
        <w:rPr>
          <w:rFonts w:hint="eastAsia" w:ascii="仿宋_GB2312" w:hAnsi="仿宋" w:eastAsia="仿宋_GB2312" w:cs="仿宋"/>
          <w:sz w:val="32"/>
          <w:szCs w:val="32"/>
        </w:rPr>
        <w:t>卫生健康支出（类）行政事业单位医疗（款）事业单位医疗（项）:反映财政部门安排的</w:t>
      </w:r>
      <w:bookmarkStart w:id="151" w:name="_GoBack"/>
      <w:bookmarkEnd w:id="151"/>
      <w:r>
        <w:rPr>
          <w:rFonts w:hint="eastAsia" w:ascii="仿宋_GB2312" w:hAnsi="仿宋" w:eastAsia="仿宋_GB2312" w:cs="仿宋"/>
          <w:sz w:val="32"/>
          <w:szCs w:val="32"/>
        </w:rPr>
        <w:t>事业单位基本医疗保险缴费经费，未参加医疗保险的事业单位的公费医疗经费,按国家规定享受离休人员待遇的医疗经费。</w:t>
      </w:r>
    </w:p>
    <w:p>
      <w:pPr>
        <w:spacing w:line="576"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13.</w:t>
      </w:r>
      <w:r>
        <w:rPr>
          <w:rFonts w:hint="eastAsia" w:ascii="仿宋_GB2312" w:hAnsi="仿宋" w:eastAsia="仿宋_GB2312" w:cs="仿宋"/>
          <w:sz w:val="32"/>
          <w:szCs w:val="32"/>
        </w:rPr>
        <w:t>住房保障支出（类）住房改革支出（款）住房公积金（项）: 反映行政事业单位按人力资源和社会保障部、财政部规定的基本工资和津贴补贴以及规定比例为职工缴纳的住房公积金。</w:t>
      </w:r>
    </w:p>
    <w:p>
      <w:pPr>
        <w:spacing w:line="576" w:lineRule="exact"/>
        <w:ind w:firstLine="640" w:firstLineChars="200"/>
        <w:rPr>
          <w:rFonts w:ascii="仿宋_GB2312" w:hAnsi="仿宋" w:eastAsia="仿宋_GB2312" w:cs="仿宋"/>
          <w:sz w:val="32"/>
          <w:szCs w:val="32"/>
        </w:rPr>
      </w:pPr>
      <w:r>
        <w:rPr>
          <w:rFonts w:hint="eastAsia" w:ascii="仿宋_GB2312" w:eastAsia="仿宋_GB2312"/>
          <w:color w:val="000000"/>
          <w:sz w:val="32"/>
          <w:szCs w:val="32"/>
        </w:rPr>
        <w:t>14.基本支出：指为保障机构正常运转、完成日常工作任务而发生的人员支出和公用支出。</w:t>
      </w:r>
    </w:p>
    <w:p>
      <w:pPr>
        <w:spacing w:line="576" w:lineRule="exact"/>
        <w:ind w:firstLine="640" w:firstLineChars="200"/>
        <w:rPr>
          <w:rFonts w:ascii="仿宋_GB2312" w:hAnsi="仿宋" w:eastAsia="仿宋_GB2312" w:cs="仿宋"/>
          <w:sz w:val="32"/>
          <w:szCs w:val="32"/>
        </w:rPr>
      </w:pPr>
      <w:r>
        <w:rPr>
          <w:rFonts w:hint="eastAsia" w:ascii="仿宋_GB2312" w:eastAsia="仿宋_GB2312"/>
          <w:color w:val="000000"/>
          <w:sz w:val="32"/>
          <w:szCs w:val="32"/>
        </w:rPr>
        <w:t>15.项目支出：指在基本支出之外为完成特定行政任务和事业发展目标所发生的支出。</w:t>
      </w:r>
    </w:p>
    <w:p>
      <w:pPr>
        <w:spacing w:line="576" w:lineRule="exact"/>
        <w:ind w:firstLine="640" w:firstLineChars="200"/>
        <w:rPr>
          <w:rFonts w:ascii="仿宋_GB2312" w:hAnsi="仿宋" w:eastAsia="仿宋_GB2312" w:cs="仿宋"/>
          <w:sz w:val="32"/>
          <w:szCs w:val="32"/>
        </w:rPr>
      </w:pPr>
      <w:r>
        <w:rPr>
          <w:rFonts w:hint="eastAsia" w:ascii="仿宋_GB2312" w:eastAsia="仿宋_GB2312"/>
          <w:color w:val="000000"/>
          <w:sz w:val="32"/>
          <w:szCs w:val="32"/>
        </w:rPr>
        <w:t>16.</w:t>
      </w:r>
      <w:r>
        <w:rPr>
          <w:rFonts w:hint="eastAsia" w:ascii="仿宋_GB2312" w:eastAsia="仿宋_GB2312"/>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ind w:firstLine="643" w:firstLineChars="200"/>
        <w:rPr>
          <w:rFonts w:ascii="仿宋" w:hAnsi="仿宋" w:eastAsia="仿宋"/>
          <w:b/>
          <w:sz w:val="32"/>
          <w:szCs w:val="32"/>
        </w:rPr>
      </w:pPr>
    </w:p>
    <w:p>
      <w:pPr>
        <w:spacing w:line="576" w:lineRule="exact"/>
        <w:jc w:val="center"/>
        <w:outlineLvl w:val="0"/>
        <w:rPr>
          <w:rStyle w:val="24"/>
          <w:rFonts w:ascii="方正小标宋简体" w:hAnsi="方正小标宋简体" w:eastAsia="方正小标宋简体" w:cs="方正小标宋简体"/>
          <w:b w:val="0"/>
        </w:rPr>
      </w:pPr>
      <w:bookmarkStart w:id="76" w:name="_Toc15377226"/>
      <w:r>
        <w:rPr>
          <w:rFonts w:ascii="宋体"/>
          <w:b/>
          <w:sz w:val="44"/>
          <w:szCs w:val="44"/>
        </w:rPr>
        <w:br w:type="page"/>
      </w:r>
      <w:bookmarkStart w:id="77" w:name="_Toc15396614"/>
      <w:bookmarkStart w:id="78" w:name="_Toc27001"/>
      <w:r>
        <w:rPr>
          <w:rFonts w:hint="eastAsia" w:ascii="方正小标宋简体" w:hAnsi="方正小标宋简体" w:eastAsia="方正小标宋简体" w:cs="方正小标宋简体"/>
          <w:bCs/>
          <w:kern w:val="44"/>
          <w:sz w:val="44"/>
          <w:szCs w:val="44"/>
        </w:rPr>
        <w:t>第四部分 附件</w:t>
      </w:r>
      <w:bookmarkEnd w:id="77"/>
      <w:bookmarkEnd w:id="78"/>
    </w:p>
    <w:p>
      <w:pPr>
        <w:pStyle w:val="6"/>
        <w:spacing w:beforeLines="0" w:line="576" w:lineRule="exact"/>
        <w:outlineLvl w:val="1"/>
        <w:rPr>
          <w:rFonts w:ascii="黑体" w:hAnsi="黑体" w:eastAsia="黑体" w:cs="黑体"/>
          <w:sz w:val="32"/>
          <w:szCs w:val="32"/>
          <w:shd w:val="clear" w:color="auto" w:fill="FFFFFF"/>
          <w:lang w:val="zh-CN"/>
        </w:rPr>
      </w:pPr>
      <w:bookmarkStart w:id="79" w:name="_Toc12390"/>
      <w:r>
        <w:rPr>
          <w:rFonts w:hint="eastAsia" w:ascii="黑体" w:hAnsi="黑体" w:eastAsia="黑体" w:cs="黑体"/>
          <w:sz w:val="32"/>
          <w:szCs w:val="32"/>
          <w:shd w:val="clear" w:color="auto" w:fill="FFFFFF"/>
          <w:lang w:val="zh-CN"/>
        </w:rPr>
        <w:t>附件1</w:t>
      </w:r>
      <w:bookmarkEnd w:id="79"/>
    </w:p>
    <w:p>
      <w:pPr>
        <w:spacing w:line="576" w:lineRule="exact"/>
        <w:ind w:firstLine="880" w:firstLineChars="200"/>
        <w:jc w:val="center"/>
        <w:rPr>
          <w:rFonts w:ascii="方正小标宋简体" w:hAnsi="方正小标宋简体" w:eastAsia="方正小标宋简体" w:cs="方正小标宋简体"/>
          <w:sz w:val="44"/>
          <w:szCs w:val="44"/>
        </w:rPr>
      </w:pPr>
    </w:p>
    <w:p>
      <w:pPr>
        <w:spacing w:line="576" w:lineRule="exact"/>
        <w:jc w:val="center"/>
        <w:outlineLvl w:val="0"/>
        <w:rPr>
          <w:rFonts w:ascii="方正小标宋简体" w:hAnsi="方正小标宋简体" w:eastAsia="方正小标宋简体" w:cs="方正小标宋简体"/>
          <w:bCs/>
          <w:kern w:val="44"/>
          <w:sz w:val="44"/>
          <w:szCs w:val="44"/>
        </w:rPr>
      </w:pPr>
      <w:r>
        <w:rPr>
          <w:rFonts w:hint="eastAsia" w:ascii="方正小标宋简体" w:hAnsi="方正小标宋简体" w:eastAsia="方正小标宋简体" w:cs="方正小标宋简体"/>
          <w:bCs/>
          <w:kern w:val="44"/>
          <w:sz w:val="44"/>
          <w:szCs w:val="44"/>
        </w:rPr>
        <w:t>广元市图书馆</w:t>
      </w:r>
    </w:p>
    <w:p>
      <w:pPr>
        <w:spacing w:line="576" w:lineRule="exact"/>
        <w:jc w:val="center"/>
        <w:outlineLvl w:val="0"/>
        <w:rPr>
          <w:rFonts w:ascii="方正小标宋简体" w:hAnsi="方正小标宋简体" w:eastAsia="方正小标宋简体" w:cs="方正小标宋简体"/>
          <w:bCs/>
          <w:kern w:val="44"/>
          <w:sz w:val="44"/>
          <w:szCs w:val="44"/>
          <w:lang w:val="zh-CN"/>
        </w:rPr>
      </w:pPr>
      <w:r>
        <w:rPr>
          <w:rFonts w:hint="eastAsia" w:ascii="方正小标宋简体" w:hAnsi="方正小标宋简体" w:eastAsia="方正小标宋简体" w:cs="方正小标宋简体"/>
          <w:bCs/>
          <w:kern w:val="44"/>
          <w:sz w:val="44"/>
          <w:szCs w:val="44"/>
        </w:rPr>
        <w:t>2021年部门</w:t>
      </w:r>
      <w:r>
        <w:rPr>
          <w:rFonts w:hint="eastAsia" w:ascii="方正小标宋简体" w:hAnsi="方正小标宋简体" w:eastAsia="方正小标宋简体" w:cs="方正小标宋简体"/>
          <w:bCs/>
          <w:kern w:val="44"/>
          <w:sz w:val="44"/>
          <w:szCs w:val="44"/>
          <w:lang w:val="zh-CN"/>
        </w:rPr>
        <w:t>整体支出绩效评价报告</w:t>
      </w:r>
    </w:p>
    <w:p>
      <w:pPr>
        <w:widowControl/>
        <w:adjustRightInd w:val="0"/>
        <w:snapToGrid w:val="0"/>
        <w:spacing w:line="576" w:lineRule="exact"/>
        <w:ind w:firstLine="480" w:firstLineChars="200"/>
        <w:contextualSpacing/>
        <w:jc w:val="left"/>
        <w:rPr>
          <w:rFonts w:ascii="黑体" w:hAnsi="宋体" w:eastAsia="黑体" w:cs="宋体"/>
          <w:color w:val="000000"/>
          <w:kern w:val="0"/>
          <w:sz w:val="24"/>
          <w:szCs w:val="32"/>
          <w:shd w:val="clear" w:color="auto" w:fill="FFFFFF"/>
        </w:rPr>
      </w:pPr>
    </w:p>
    <w:p>
      <w:pPr>
        <w:widowControl/>
        <w:adjustRightInd w:val="0"/>
        <w:snapToGrid w:val="0"/>
        <w:spacing w:line="576" w:lineRule="exact"/>
        <w:ind w:firstLine="640" w:firstLineChars="200"/>
        <w:contextualSpacing/>
        <w:jc w:val="left"/>
        <w:outlineLvl w:val="1"/>
        <w:rPr>
          <w:rFonts w:ascii="黑体" w:hAnsi="宋体" w:eastAsia="黑体" w:cs="宋体"/>
          <w:color w:val="000000"/>
          <w:kern w:val="0"/>
          <w:sz w:val="32"/>
          <w:szCs w:val="32"/>
          <w:shd w:val="clear" w:color="auto" w:fill="FFFFFF"/>
          <w:lang w:val="zh-CN"/>
        </w:rPr>
      </w:pPr>
      <w:bookmarkStart w:id="80" w:name="_Toc7170"/>
      <w:r>
        <w:rPr>
          <w:rFonts w:hint="eastAsia" w:ascii="黑体" w:hAnsi="宋体" w:eastAsia="黑体" w:cs="宋体"/>
          <w:color w:val="000000"/>
          <w:kern w:val="0"/>
          <w:sz w:val="32"/>
          <w:szCs w:val="32"/>
          <w:shd w:val="clear" w:color="auto" w:fill="FFFFFF"/>
        </w:rPr>
        <w:t>一、</w:t>
      </w:r>
      <w:r>
        <w:rPr>
          <w:rFonts w:hint="eastAsia" w:ascii="黑体" w:hAnsi="宋体" w:eastAsia="黑体" w:cs="宋体"/>
          <w:color w:val="000000"/>
          <w:kern w:val="0"/>
          <w:sz w:val="32"/>
          <w:szCs w:val="32"/>
          <w:shd w:val="clear" w:color="auto" w:fill="FFFFFF"/>
          <w:lang w:val="zh-CN"/>
        </w:rPr>
        <w:t>部门（单位）概况</w:t>
      </w:r>
      <w:bookmarkEnd w:id="80"/>
    </w:p>
    <w:p>
      <w:pPr>
        <w:widowControl/>
        <w:adjustRightInd w:val="0"/>
        <w:snapToGrid w:val="0"/>
        <w:spacing w:line="576" w:lineRule="exact"/>
        <w:ind w:firstLine="640" w:firstLineChars="200"/>
        <w:contextualSpacing/>
        <w:jc w:val="left"/>
        <w:rPr>
          <w:rFonts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（一）机构组成</w:t>
      </w:r>
    </w:p>
    <w:p>
      <w:pPr>
        <w:widowControl/>
        <w:adjustRightInd w:val="0"/>
        <w:snapToGrid w:val="0"/>
        <w:spacing w:line="576" w:lineRule="exact"/>
        <w:ind w:firstLine="640" w:firstLineChars="200"/>
        <w:contextualSpacing/>
        <w:jc w:val="left"/>
        <w:rPr>
          <w:rFonts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本馆设馆长1人，副馆长2人，下设办公室、采编辅导部、自动化部、参考咨询部、读者服务部5个部门，对外设报刊阅览室、少儿阅览室、大厅服务台、自修室、电子阅览室、自科书库、社科书库等对外服务窗口。</w:t>
      </w:r>
    </w:p>
    <w:p>
      <w:pPr>
        <w:widowControl/>
        <w:adjustRightInd w:val="0"/>
        <w:snapToGrid w:val="0"/>
        <w:spacing w:line="576" w:lineRule="exact"/>
        <w:ind w:firstLine="640" w:firstLineChars="200"/>
        <w:contextualSpacing/>
        <w:jc w:val="left"/>
        <w:rPr>
          <w:rFonts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（二）机构职能</w:t>
      </w:r>
    </w:p>
    <w:p>
      <w:pPr>
        <w:spacing w:line="576" w:lineRule="exact"/>
        <w:ind w:firstLine="640" w:firstLineChars="200"/>
        <w:rPr>
          <w:rFonts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sz w:val="32"/>
          <w:szCs w:val="32"/>
        </w:rPr>
        <w:t>本馆主要是免费对外开放馆内设施，收集、整理、保存、开发、应用各种载体文献资源，承担保存人类文化遗产，开发文献资源，传递社会信息；负责地方文献的收集、整理、储存和研究工作；提供文献借阅、阅读辅导、信息咨询等公益服务；组织开展各类阅读推广、读书讲座、图书展览等活动，开展图书管理与服务的理论研究，指导县区公共图书馆、图书服务网点（分馆、社区阅览室等）建设；完成上级交办的其他工作。</w:t>
      </w:r>
    </w:p>
    <w:p>
      <w:pPr>
        <w:widowControl/>
        <w:adjustRightInd w:val="0"/>
        <w:snapToGrid w:val="0"/>
        <w:spacing w:line="576" w:lineRule="exact"/>
        <w:ind w:firstLine="640" w:firstLineChars="200"/>
        <w:contextualSpacing/>
        <w:jc w:val="left"/>
        <w:rPr>
          <w:rFonts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（三）人员概况</w:t>
      </w:r>
    </w:p>
    <w:p>
      <w:pPr>
        <w:widowControl/>
        <w:adjustRightInd w:val="0"/>
        <w:snapToGrid w:val="0"/>
        <w:spacing w:line="576" w:lineRule="exact"/>
        <w:ind w:firstLine="640" w:firstLineChars="200"/>
        <w:contextualSpacing/>
        <w:jc w:val="left"/>
        <w:rPr>
          <w:rFonts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sz w:val="32"/>
          <w:szCs w:val="32"/>
        </w:rPr>
        <w:t>我馆在职干部职工28人，其中男14人、女14人；50岁以上7人，40-50岁11人，30-40岁6人,30岁以下4人；高中1人，大专学历9人，本科16人，硕士2人。岗位设置情况：现有编制岗位副高职称5人，实际聘用4人；中级职称13人，实际聘用13人；初级职称11人，实际聘用10人。</w:t>
      </w:r>
    </w:p>
    <w:p>
      <w:pPr>
        <w:widowControl/>
        <w:adjustRightInd w:val="0"/>
        <w:snapToGrid w:val="0"/>
        <w:spacing w:line="576" w:lineRule="exact"/>
        <w:ind w:firstLine="640" w:firstLineChars="200"/>
        <w:contextualSpacing/>
        <w:jc w:val="left"/>
        <w:outlineLvl w:val="1"/>
        <w:rPr>
          <w:rFonts w:ascii="黑体" w:hAnsi="宋体" w:eastAsia="黑体" w:cs="宋体"/>
          <w:color w:val="000000"/>
          <w:kern w:val="0"/>
          <w:sz w:val="32"/>
          <w:szCs w:val="32"/>
          <w:shd w:val="clear" w:color="auto" w:fill="FFFFFF"/>
          <w:lang w:val="zh-CN"/>
        </w:rPr>
      </w:pPr>
      <w:bookmarkStart w:id="81" w:name="_Toc12214"/>
      <w:r>
        <w:rPr>
          <w:rFonts w:hint="eastAsia" w:ascii="黑体" w:hAnsi="宋体" w:eastAsia="黑体" w:cs="宋体"/>
          <w:color w:val="000000"/>
          <w:kern w:val="0"/>
          <w:sz w:val="32"/>
          <w:szCs w:val="32"/>
          <w:shd w:val="clear" w:color="auto" w:fill="FFFFFF"/>
          <w:lang w:val="zh-CN"/>
        </w:rPr>
        <w:t>二、部门财政资金收支情况</w:t>
      </w:r>
      <w:bookmarkEnd w:id="81"/>
    </w:p>
    <w:p>
      <w:pPr>
        <w:widowControl/>
        <w:adjustRightInd w:val="0"/>
        <w:snapToGrid w:val="0"/>
        <w:spacing w:line="576" w:lineRule="exact"/>
        <w:ind w:firstLine="640" w:firstLineChars="200"/>
        <w:contextualSpacing/>
        <w:jc w:val="left"/>
        <w:rPr>
          <w:rFonts w:ascii="仿宋_GB2312" w:hAnsi="仿宋_GB2312" w:eastAsia="仿宋_GB2312" w:cs="仿宋_GB2312"/>
          <w:bCs/>
          <w:sz w:val="32"/>
          <w:szCs w:val="32"/>
        </w:rPr>
      </w:pPr>
      <w:r>
        <w:rPr>
          <w:rFonts w:hint="eastAsia" w:ascii="楷体_GB2312" w:hAnsi="楷体_GB2312" w:eastAsia="楷体_GB2312" w:cs="楷体_GB2312"/>
          <w:color w:val="000000"/>
          <w:kern w:val="0"/>
          <w:sz w:val="32"/>
          <w:szCs w:val="32"/>
          <w:shd w:val="clear" w:color="auto" w:fill="FFFFFF"/>
          <w:lang w:val="zh-CN"/>
        </w:rPr>
        <w:t>（一）部门财政资金收入情况。</w:t>
      </w:r>
      <w:r>
        <w:rPr>
          <w:rFonts w:hint="eastAsia" w:ascii="仿宋_GB2312" w:hAnsi="仿宋_GB2312" w:eastAsia="仿宋_GB2312" w:cs="仿宋_GB2312"/>
          <w:bCs/>
          <w:sz w:val="32"/>
          <w:szCs w:val="32"/>
        </w:rPr>
        <w:t>全年总收入647.08万元。其中：</w:t>
      </w:r>
    </w:p>
    <w:p>
      <w:pPr>
        <w:widowControl/>
        <w:adjustRightInd w:val="0"/>
        <w:snapToGrid w:val="0"/>
        <w:spacing w:line="576" w:lineRule="exact"/>
        <w:ind w:firstLine="640" w:firstLineChars="200"/>
        <w:contextualSpacing/>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1.一般公共预算财政拨款收入594.2万元。</w:t>
      </w:r>
    </w:p>
    <w:p>
      <w:pPr>
        <w:widowControl/>
        <w:adjustRightInd w:val="0"/>
        <w:snapToGrid w:val="0"/>
        <w:spacing w:line="576" w:lineRule="exact"/>
        <w:ind w:firstLine="640" w:firstLineChars="200"/>
        <w:contextualSpacing/>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2.其他收入0.04万元。</w:t>
      </w:r>
    </w:p>
    <w:p>
      <w:pPr>
        <w:widowControl/>
        <w:adjustRightInd w:val="0"/>
        <w:snapToGrid w:val="0"/>
        <w:spacing w:line="576" w:lineRule="exact"/>
        <w:ind w:firstLine="640" w:firstLineChars="200"/>
        <w:contextualSpacing/>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3.去年结转资金52.84万元。</w:t>
      </w:r>
    </w:p>
    <w:p>
      <w:pPr>
        <w:widowControl/>
        <w:adjustRightInd w:val="0"/>
        <w:snapToGrid w:val="0"/>
        <w:spacing w:line="576" w:lineRule="exact"/>
        <w:ind w:firstLine="640" w:firstLineChars="200"/>
        <w:contextualSpacing/>
        <w:jc w:val="left"/>
        <w:rPr>
          <w:rFonts w:ascii="仿宋_GB2312" w:hAnsi="仿宋_GB2312" w:eastAsia="仿宋_GB2312" w:cs="仿宋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（二）部门财政资金支出情况。</w:t>
      </w:r>
      <w:r>
        <w:rPr>
          <w:rFonts w:hint="eastAsia" w:ascii="仿宋_GB2312" w:hAnsi="仿宋_GB2312" w:eastAsia="仿宋_GB2312" w:cs="仿宋_GB2312"/>
          <w:bCs/>
          <w:sz w:val="32"/>
          <w:szCs w:val="32"/>
        </w:rPr>
        <w:t>全年共支出630.66万元。其中：</w:t>
      </w:r>
    </w:p>
    <w:p>
      <w:pPr>
        <w:widowControl/>
        <w:adjustRightInd w:val="0"/>
        <w:snapToGrid w:val="0"/>
        <w:spacing w:line="576" w:lineRule="exact"/>
        <w:ind w:firstLine="640" w:firstLineChars="200"/>
        <w:contextualSpacing/>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1.工资福利支出393.98万元。</w:t>
      </w:r>
    </w:p>
    <w:p>
      <w:pPr>
        <w:widowControl/>
        <w:adjustRightInd w:val="0"/>
        <w:snapToGrid w:val="0"/>
        <w:spacing w:line="576" w:lineRule="exact"/>
        <w:ind w:firstLine="640" w:firstLineChars="200"/>
        <w:contextualSpacing/>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2.商品和服务支出127.59万元。</w:t>
      </w:r>
    </w:p>
    <w:p>
      <w:pPr>
        <w:widowControl/>
        <w:adjustRightInd w:val="0"/>
        <w:snapToGrid w:val="0"/>
        <w:spacing w:line="576" w:lineRule="exact"/>
        <w:ind w:firstLine="640" w:firstLineChars="200"/>
        <w:contextualSpacing/>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3.对个人及家庭补助支出54.64万元。</w:t>
      </w:r>
    </w:p>
    <w:p>
      <w:pPr>
        <w:widowControl/>
        <w:adjustRightInd w:val="0"/>
        <w:snapToGrid w:val="0"/>
        <w:spacing w:line="576" w:lineRule="exact"/>
        <w:ind w:firstLine="640" w:firstLineChars="200"/>
        <w:contextualSpacing/>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4.资本性支出54.45万元。</w:t>
      </w:r>
    </w:p>
    <w:p>
      <w:pPr>
        <w:widowControl/>
        <w:adjustRightInd w:val="0"/>
        <w:snapToGrid w:val="0"/>
        <w:spacing w:line="576" w:lineRule="exact"/>
        <w:ind w:firstLine="640" w:firstLineChars="200"/>
        <w:contextualSpacing/>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5.项目支出138.23万元。</w:t>
      </w:r>
    </w:p>
    <w:p>
      <w:pPr>
        <w:widowControl/>
        <w:adjustRightInd w:val="0"/>
        <w:snapToGrid w:val="0"/>
        <w:spacing w:line="576" w:lineRule="exact"/>
        <w:ind w:firstLine="640" w:firstLineChars="200"/>
        <w:contextualSpacing/>
        <w:jc w:val="left"/>
        <w:outlineLvl w:val="1"/>
        <w:rPr>
          <w:rFonts w:ascii="黑体" w:hAnsi="宋体" w:eastAsia="黑体" w:cs="宋体"/>
          <w:color w:val="000000"/>
          <w:kern w:val="0"/>
          <w:sz w:val="32"/>
          <w:szCs w:val="32"/>
          <w:shd w:val="clear" w:color="auto" w:fill="FFFFFF"/>
          <w:lang w:val="zh-CN"/>
        </w:rPr>
      </w:pPr>
      <w:bookmarkStart w:id="82" w:name="_Toc27119"/>
      <w:r>
        <w:rPr>
          <w:rFonts w:hint="eastAsia" w:ascii="黑体" w:hAnsi="宋体" w:eastAsia="黑体" w:cs="宋体"/>
          <w:color w:val="000000"/>
          <w:kern w:val="0"/>
          <w:sz w:val="32"/>
          <w:szCs w:val="32"/>
          <w:shd w:val="clear" w:color="auto" w:fill="FFFFFF"/>
          <w:lang w:val="zh-CN"/>
        </w:rPr>
        <w:t>三、部门整体预算绩效管理情况</w:t>
      </w:r>
      <w:bookmarkEnd w:id="82"/>
    </w:p>
    <w:p>
      <w:pPr>
        <w:widowControl/>
        <w:adjustRightInd w:val="0"/>
        <w:snapToGrid w:val="0"/>
        <w:spacing w:line="576" w:lineRule="exact"/>
        <w:ind w:firstLine="640" w:firstLineChars="200"/>
        <w:contextualSpacing/>
        <w:jc w:val="left"/>
        <w:rPr>
          <w:rFonts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（一）部门预算管理</w:t>
      </w:r>
    </w:p>
    <w:p>
      <w:pPr>
        <w:widowControl/>
        <w:adjustRightInd w:val="0"/>
        <w:snapToGrid w:val="0"/>
        <w:spacing w:line="576" w:lineRule="exact"/>
        <w:ind w:firstLine="640" w:firstLineChars="200"/>
        <w:contextualSpacing/>
        <w:jc w:val="left"/>
        <w:rPr>
          <w:rFonts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我馆根据资金情况，制定了绩效目标，做到了编制准确，管控到位，并严格按照执行，基本实现了预期目标。</w:t>
      </w:r>
    </w:p>
    <w:p>
      <w:pPr>
        <w:widowControl/>
        <w:adjustRightInd w:val="0"/>
        <w:snapToGrid w:val="0"/>
        <w:spacing w:line="576" w:lineRule="exact"/>
        <w:ind w:firstLine="640" w:firstLineChars="200"/>
        <w:contextualSpacing/>
        <w:jc w:val="left"/>
        <w:rPr>
          <w:rFonts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（二）结果应用情况</w:t>
      </w:r>
    </w:p>
    <w:p>
      <w:pPr>
        <w:widowControl/>
        <w:adjustRightInd w:val="0"/>
        <w:snapToGrid w:val="0"/>
        <w:spacing w:line="576" w:lineRule="exact"/>
        <w:ind w:firstLine="640" w:firstLineChars="200"/>
        <w:contextualSpacing/>
        <w:jc w:val="left"/>
        <w:rPr>
          <w:rFonts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我馆严格按照绩效目标实施项目，做到项目的有序推进。</w:t>
      </w:r>
    </w:p>
    <w:p>
      <w:pPr>
        <w:widowControl/>
        <w:adjustRightInd w:val="0"/>
        <w:snapToGrid w:val="0"/>
        <w:spacing w:line="576" w:lineRule="exact"/>
        <w:ind w:firstLine="640" w:firstLineChars="200"/>
        <w:contextualSpacing/>
        <w:jc w:val="left"/>
        <w:outlineLvl w:val="1"/>
        <w:rPr>
          <w:rFonts w:ascii="黑体" w:hAnsi="宋体" w:eastAsia="黑体" w:cs="宋体"/>
          <w:color w:val="000000"/>
          <w:kern w:val="0"/>
          <w:sz w:val="32"/>
          <w:szCs w:val="32"/>
          <w:shd w:val="clear" w:color="auto" w:fill="FFFFFF"/>
          <w:lang w:val="zh-CN"/>
        </w:rPr>
      </w:pPr>
      <w:bookmarkStart w:id="83" w:name="_Toc12408"/>
      <w:r>
        <w:rPr>
          <w:rFonts w:hint="eastAsia" w:ascii="黑体" w:hAnsi="宋体" w:eastAsia="黑体" w:cs="宋体"/>
          <w:color w:val="000000"/>
          <w:kern w:val="0"/>
          <w:sz w:val="32"/>
          <w:szCs w:val="32"/>
          <w:shd w:val="clear" w:color="auto" w:fill="FFFFFF"/>
          <w:lang w:val="zh-CN"/>
        </w:rPr>
        <w:t>四、评价结论及建议</w:t>
      </w:r>
      <w:bookmarkEnd w:id="83"/>
    </w:p>
    <w:p>
      <w:pPr>
        <w:widowControl/>
        <w:adjustRightInd w:val="0"/>
        <w:snapToGrid w:val="0"/>
        <w:spacing w:line="576" w:lineRule="exact"/>
        <w:ind w:firstLine="640" w:firstLineChars="200"/>
        <w:contextualSpacing/>
        <w:jc w:val="left"/>
        <w:rPr>
          <w:rFonts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（一）评价结论</w:t>
      </w:r>
    </w:p>
    <w:p>
      <w:pPr>
        <w:widowControl/>
        <w:adjustRightInd w:val="0"/>
        <w:snapToGrid w:val="0"/>
        <w:spacing w:line="576" w:lineRule="exact"/>
        <w:ind w:firstLine="640" w:firstLineChars="200"/>
        <w:contextualSpacing/>
        <w:jc w:val="left"/>
        <w:rPr>
          <w:rFonts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我馆在绩效目标制定上，较为准确的预估了项目的进展情况，并能够在项目推进上积极协调，做到项目不滞后，能够较为准确的按照绩效目标制定的进展推进。</w:t>
      </w:r>
    </w:p>
    <w:p>
      <w:pPr>
        <w:widowControl/>
        <w:adjustRightInd w:val="0"/>
        <w:snapToGrid w:val="0"/>
        <w:spacing w:line="576" w:lineRule="exact"/>
        <w:ind w:firstLine="640" w:firstLineChars="200"/>
        <w:contextualSpacing/>
        <w:jc w:val="left"/>
        <w:rPr>
          <w:rFonts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（二）存在问题</w:t>
      </w:r>
    </w:p>
    <w:p>
      <w:pPr>
        <w:widowControl/>
        <w:adjustRightInd w:val="0"/>
        <w:snapToGrid w:val="0"/>
        <w:spacing w:line="576" w:lineRule="exact"/>
        <w:ind w:firstLine="640" w:firstLineChars="200"/>
        <w:contextualSpacing/>
        <w:jc w:val="left"/>
        <w:rPr>
          <w:rFonts w:ascii="仿宋_GB2312" w:hAnsi="仿宋_GB2312" w:eastAsia="仿宋_GB2312" w:cs="仿宋_GB2312"/>
          <w:color w:val="000000"/>
          <w:kern w:val="0"/>
          <w:sz w:val="32"/>
          <w:szCs w:val="32"/>
          <w:shd w:val="clear" w:color="auto" w:fill="FFFFFF"/>
          <w:lang w:val="zh-CN"/>
        </w:rPr>
      </w:pPr>
      <w:r>
        <w:rPr>
          <w:rFonts w:hint="eastAsia" w:ascii="仿宋_GB2312" w:hAnsi="仿宋_GB2312" w:eastAsia="仿宋_GB2312" w:cs="仿宋_GB2312"/>
          <w:color w:val="000000"/>
          <w:kern w:val="0"/>
          <w:sz w:val="32"/>
          <w:szCs w:val="32"/>
          <w:shd w:val="clear" w:color="auto" w:fill="FFFFFF"/>
          <w:lang w:val="zh-CN"/>
        </w:rPr>
        <w:t>在绩效目标制定上还不够精细，存在预算执行进度不均衡的现象。</w:t>
      </w:r>
    </w:p>
    <w:p>
      <w:pPr>
        <w:widowControl/>
        <w:adjustRightInd w:val="0"/>
        <w:snapToGrid w:val="0"/>
        <w:spacing w:line="576" w:lineRule="exact"/>
        <w:ind w:firstLine="640" w:firstLineChars="200"/>
        <w:contextualSpacing/>
        <w:jc w:val="left"/>
        <w:rPr>
          <w:rFonts w:ascii="楷体_GB2312" w:hAnsi="楷体_GB2312" w:eastAsia="楷体_GB2312" w:cs="楷体_GB2312"/>
          <w:color w:val="000000"/>
          <w:kern w:val="0"/>
          <w:sz w:val="32"/>
          <w:szCs w:val="32"/>
          <w:shd w:val="clear" w:color="auto" w:fill="FFFFFF"/>
          <w:lang w:val="zh-CN"/>
        </w:rPr>
      </w:pPr>
      <w:r>
        <w:rPr>
          <w:rFonts w:hint="eastAsia" w:ascii="楷体_GB2312" w:hAnsi="楷体_GB2312" w:eastAsia="楷体_GB2312" w:cs="楷体_GB2312"/>
          <w:color w:val="000000"/>
          <w:kern w:val="0"/>
          <w:sz w:val="32"/>
          <w:szCs w:val="32"/>
          <w:shd w:val="clear" w:color="auto" w:fill="FFFFFF"/>
          <w:lang w:val="zh-CN"/>
        </w:rPr>
        <w:t>（三）改进建议</w:t>
      </w:r>
    </w:p>
    <w:p>
      <w:pPr>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加强对业务的学习和熟悉，通过和业务部室的沟通协调，能够制定高质量的绩效目标，以绩效目标促进业务开展，最终为读者提供更好的服务。</w:t>
      </w:r>
    </w:p>
    <w:p>
      <w:pPr>
        <w:pStyle w:val="6"/>
        <w:spacing w:beforeLines="0" w:line="576" w:lineRule="exact"/>
        <w:ind w:firstLine="600" w:firstLineChars="200"/>
      </w:pPr>
    </w:p>
    <w:p>
      <w:pPr>
        <w:pStyle w:val="6"/>
        <w:spacing w:beforeLines="0" w:line="576" w:lineRule="exact"/>
        <w:ind w:firstLine="600" w:firstLineChars="200"/>
      </w:pPr>
      <w:r>
        <w:br w:type="page"/>
      </w:r>
    </w:p>
    <w:p>
      <w:pPr>
        <w:spacing w:line="576" w:lineRule="exact"/>
        <w:outlineLvl w:val="1"/>
        <w:rPr>
          <w:rFonts w:ascii="仿宋_GB2312" w:hAnsi="仿宋_GB2312" w:eastAsia="仿宋_GB2312" w:cs="仿宋_GB2312"/>
          <w:sz w:val="32"/>
          <w:szCs w:val="32"/>
        </w:rPr>
      </w:pPr>
      <w:bookmarkStart w:id="84" w:name="_Toc15791"/>
      <w:r>
        <w:rPr>
          <w:rFonts w:hint="eastAsia" w:ascii="黑体" w:hAnsi="黑体" w:eastAsia="黑体" w:cs="黑体"/>
          <w:sz w:val="32"/>
          <w:szCs w:val="32"/>
        </w:rPr>
        <w:t>附件</w:t>
      </w:r>
      <w:r>
        <w:rPr>
          <w:rFonts w:ascii="黑体" w:hAnsi="黑体" w:eastAsia="黑体" w:cs="黑体"/>
          <w:sz w:val="32"/>
          <w:szCs w:val="32"/>
        </w:rPr>
        <w:t>2</w:t>
      </w:r>
      <w:bookmarkEnd w:id="84"/>
    </w:p>
    <w:p>
      <w:pPr>
        <w:spacing w:line="576" w:lineRule="exact"/>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广元市图书馆</w:t>
      </w:r>
    </w:p>
    <w:p>
      <w:pPr>
        <w:spacing w:line="576" w:lineRule="exact"/>
        <w:jc w:val="center"/>
        <w:rPr>
          <w:rFonts w:ascii="方正小标宋简体" w:hAnsi="方正小标宋简体" w:eastAsia="方正小标宋简体" w:cs="方正小标宋简体"/>
          <w:sz w:val="44"/>
          <w:szCs w:val="44"/>
          <w:lang w:val="zh-CN"/>
        </w:rPr>
      </w:pPr>
      <w:r>
        <w:rPr>
          <w:rFonts w:hint="eastAsia" w:ascii="方正小标宋简体" w:hAnsi="方正小标宋简体" w:eastAsia="方正小标宋简体" w:cs="方正小标宋简体"/>
          <w:sz w:val="44"/>
          <w:szCs w:val="44"/>
        </w:rPr>
        <w:t>202</w:t>
      </w:r>
      <w:r>
        <w:rPr>
          <w:rFonts w:ascii="方正小标宋简体" w:hAnsi="方正小标宋简体" w:eastAsia="方正小标宋简体" w:cs="方正小标宋简体"/>
          <w:sz w:val="44"/>
          <w:szCs w:val="44"/>
        </w:rPr>
        <w:t>1</w:t>
      </w:r>
      <w:r>
        <w:rPr>
          <w:rFonts w:hint="eastAsia" w:ascii="方正小标宋简体" w:hAnsi="方正小标宋简体" w:eastAsia="方正小标宋简体" w:cs="方正小标宋简体"/>
          <w:sz w:val="44"/>
          <w:szCs w:val="44"/>
        </w:rPr>
        <w:t>年</w:t>
      </w:r>
      <w:r>
        <w:rPr>
          <w:rFonts w:hint="eastAsia" w:ascii="方正小标宋简体" w:hAnsi="宋体" w:eastAsia="方正小标宋简体"/>
          <w:color w:val="000000"/>
          <w:kern w:val="0"/>
          <w:sz w:val="44"/>
          <w:szCs w:val="44"/>
        </w:rPr>
        <w:t>免费开放资金</w:t>
      </w:r>
      <w:r>
        <w:rPr>
          <w:rFonts w:hint="eastAsia" w:ascii="方正小标宋简体" w:hAnsi="方正小标宋简体" w:eastAsia="方正小标宋简体" w:cs="方正小标宋简体"/>
          <w:sz w:val="44"/>
          <w:szCs w:val="44"/>
          <w:lang w:val="zh-CN"/>
        </w:rPr>
        <w:t>项目支出绩效</w:t>
      </w:r>
    </w:p>
    <w:p>
      <w:pPr>
        <w:spacing w:line="576" w:lineRule="exact"/>
        <w:jc w:val="center"/>
        <w:rPr>
          <w:rFonts w:ascii="方正小标宋简体" w:hAnsi="方正小标宋简体" w:eastAsia="方正小标宋简体" w:cs="方正小标宋简体"/>
          <w:sz w:val="44"/>
          <w:szCs w:val="44"/>
          <w:lang w:val="zh-CN"/>
        </w:rPr>
      </w:pPr>
      <w:r>
        <w:rPr>
          <w:rFonts w:hint="eastAsia" w:ascii="方正小标宋简体" w:hAnsi="方正小标宋简体" w:eastAsia="方正小标宋简体" w:cs="方正小标宋简体"/>
          <w:sz w:val="44"/>
          <w:szCs w:val="44"/>
          <w:lang w:val="zh-CN"/>
        </w:rPr>
        <w:t>自评报告</w:t>
      </w:r>
    </w:p>
    <w:p>
      <w:pPr>
        <w:spacing w:line="576" w:lineRule="exact"/>
        <w:ind w:firstLine="640" w:firstLineChars="200"/>
        <w:jc w:val="center"/>
        <w:rPr>
          <w:rFonts w:ascii="宋体" w:hAnsi="宋体"/>
          <w:sz w:val="32"/>
          <w:szCs w:val="32"/>
          <w:lang w:val="zh-CN"/>
        </w:rPr>
      </w:pPr>
    </w:p>
    <w:p>
      <w:pPr>
        <w:adjustRightInd w:val="0"/>
        <w:snapToGrid w:val="0"/>
        <w:spacing w:line="576" w:lineRule="exact"/>
        <w:ind w:firstLine="640" w:firstLineChars="200"/>
        <w:outlineLvl w:val="1"/>
        <w:rPr>
          <w:rFonts w:ascii="黑体" w:hAnsi="黑体" w:eastAsia="黑体" w:cs="黑体"/>
          <w:sz w:val="32"/>
          <w:szCs w:val="32"/>
          <w:lang w:val="zh-CN"/>
        </w:rPr>
      </w:pPr>
      <w:bookmarkStart w:id="85" w:name="_Toc29257"/>
      <w:bookmarkStart w:id="86" w:name="_Toc15396618"/>
      <w:r>
        <w:rPr>
          <w:rFonts w:hint="eastAsia" w:ascii="黑体" w:hAnsi="黑体" w:eastAsia="黑体" w:cs="黑体"/>
          <w:sz w:val="32"/>
          <w:szCs w:val="32"/>
        </w:rPr>
        <w:t>一、</w:t>
      </w:r>
      <w:r>
        <w:rPr>
          <w:rFonts w:hint="eastAsia" w:ascii="黑体" w:hAnsi="黑体" w:eastAsia="黑体" w:cs="黑体"/>
          <w:sz w:val="32"/>
          <w:szCs w:val="32"/>
          <w:lang w:val="zh-CN"/>
        </w:rPr>
        <w:t>项目概况</w:t>
      </w:r>
      <w:bookmarkEnd w:id="85"/>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（一）项目基本情况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说明项目主管部门（单位）在该项目管理中的职能</w:t>
      </w:r>
    </w:p>
    <w:p>
      <w:pPr>
        <w:adjustRightInd w:val="0"/>
        <w:snapToGrid w:val="0"/>
        <w:spacing w:line="576"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val="zh-CN"/>
        </w:rPr>
        <w:t>图书馆根据其职能对读者实行免费开放服务，文献信息查询、借阅；阅览室、自习室等公共空间设施场地开放；公益性讲座、阅读推广、培训、展览；国家规定的其他免费服务项目。</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项目立项、资金申报的依据</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根据财教〔2013〕98号财政部 文化部关于印发《中央补助地方美术馆公共图书馆 文化馆（站）免费开放专项资金管理暂行办法》的通知，中央对西部地区基本补助标准为80%（50万基准，中央补助40万，地方10万）。</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资金管理办法制定情况，资金支持具体项目的条件、范围与支持方式概况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根据财教〔2013〕98号财政部 文化部关于印发《中央补助地方美术馆公共图书馆 文化馆（站）免费开放专项资金管理暂行办法》的通知，图书馆用于文献资源借阅、检索与咨询；举办公益性讲座、展览、宣传活动，基层文化骨干业务辅导，文化信息资源共享工程，公共电子阅览室服务及设备运行维护，流动图书借阅与送书下乡服务，业务活动用房小型修缮及零星业务设备更新等。</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资金分配的原则及考虑因素</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根据财教〔2013〕98号财政部 文化部关于印发《中央补助地方美术馆公共图书馆 文化馆（站）免费开放专项资金管理暂行办法》的通知，我馆重点保障图书馆的基本运行和读者活动开展，及阅读推广活动。</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（二）项目绩效目标</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项目主要内容</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主要保障读者接待，文献外借，开展业务辅导，举办公益讲座、培训、送文化下乡、全民阅读推广活动</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项目应实现的具体绩效目标，包括目标的量化、细化情况以及项目实施进度计划等</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根据年初计划，该项目的实施，将保障图书馆完成接待读者7万人次、文献外借8万册次、办理借阅卡900张、开展业务辅导8次、开展公益讲座、培训、送文化下乡、全民阅读推广等活动10场次。全年实际完成接待读者12.3万人次、文献外借11.8万册次、办理借阅卡1100张、开展业务辅导10次、开展公益讲座、培训、送文化下乡、全民阅读推广等活动30场次。</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分析评价申报内容是否与实际相符，申报目标是否合理可行</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根据实际执行情况，申报目标可行、较为合理，既能够完成基本目标，又能够充分考虑不确定性。</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（三）项目自评步骤及方法</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根据绩效目标考核完成内容，达标暨完成。</w:t>
      </w:r>
    </w:p>
    <w:p>
      <w:pPr>
        <w:adjustRightInd w:val="0"/>
        <w:snapToGrid w:val="0"/>
        <w:spacing w:line="576" w:lineRule="exact"/>
        <w:ind w:firstLine="640" w:firstLineChars="200"/>
        <w:outlineLvl w:val="1"/>
        <w:rPr>
          <w:rFonts w:ascii="黑体" w:hAnsi="黑体" w:eastAsia="黑体" w:cs="黑体"/>
          <w:sz w:val="32"/>
          <w:szCs w:val="32"/>
          <w:lang w:val="zh-CN"/>
        </w:rPr>
      </w:pPr>
      <w:bookmarkStart w:id="87" w:name="_Toc937"/>
      <w:r>
        <w:rPr>
          <w:rFonts w:hint="eastAsia" w:ascii="黑体" w:hAnsi="黑体" w:eastAsia="黑体" w:cs="黑体"/>
          <w:sz w:val="32"/>
          <w:szCs w:val="32"/>
          <w:lang w:val="zh-CN"/>
        </w:rPr>
        <w:t>二、项目资金申报及使用情况</w:t>
      </w:r>
      <w:bookmarkEnd w:id="87"/>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（一）项目资金申报及批复情况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根据相关文件申报，按时按量给予批复。</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（二）资金计划、到位及使用情况（可用表格形式反映）</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1</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资金计划。中央资金40万，省3万，地方20万。</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2</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资金到位。按时到位。</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3</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zh-CN"/>
        </w:rPr>
        <w:t>资金使用。2021年度下达资金63万，使用资金63完。</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（三）项目财务管理情况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严格按照财教〔2013〕98号财政部 文化部关于印发《中央补助地方美术馆公共图书馆 文化馆（站）免费开放专项资金管理暂行办法》的通知的相关内容执行相关财务制度。</w:t>
      </w:r>
    </w:p>
    <w:p>
      <w:pPr>
        <w:adjustRightInd w:val="0"/>
        <w:snapToGrid w:val="0"/>
        <w:spacing w:line="576" w:lineRule="exact"/>
        <w:ind w:firstLine="640" w:firstLineChars="200"/>
        <w:outlineLvl w:val="1"/>
        <w:rPr>
          <w:rFonts w:ascii="黑体" w:hAnsi="黑体" w:eastAsia="黑体" w:cs="黑体"/>
          <w:sz w:val="32"/>
          <w:szCs w:val="32"/>
        </w:rPr>
      </w:pPr>
      <w:bookmarkStart w:id="88" w:name="_Toc13868"/>
      <w:r>
        <w:rPr>
          <w:rFonts w:hint="eastAsia" w:ascii="黑体" w:hAnsi="黑体" w:eastAsia="黑体" w:cs="黑体"/>
          <w:sz w:val="32"/>
          <w:szCs w:val="32"/>
        </w:rPr>
        <w:t>三、项目实施及管理情况</w:t>
      </w:r>
      <w:bookmarkEnd w:id="88"/>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结合项目组织实施管理办法，重点围绕以下内容进行分析评价，并对自评中发现的问题分析说明。</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（一）项目组织架构及实施流程</w:t>
      </w:r>
    </w:p>
    <w:p>
      <w:pPr>
        <w:pStyle w:val="23"/>
        <w:adjustRightInd w:val="0"/>
        <w:snapToGrid w:val="0"/>
        <w:spacing w:line="576" w:lineRule="exact"/>
        <w:ind w:firstLine="64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根据馆组织机构情况，由业务部室提出具体方案，通过会议讨论通过，及实施。</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（二）项目管理情况</w:t>
      </w:r>
    </w:p>
    <w:p>
      <w:pPr>
        <w:pStyle w:val="23"/>
        <w:adjustRightInd w:val="0"/>
        <w:snapToGrid w:val="0"/>
        <w:spacing w:line="576" w:lineRule="exact"/>
        <w:ind w:firstLine="64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由业务部室会议报告项目进度。</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（三）项目监管情况</w:t>
      </w:r>
    </w:p>
    <w:p>
      <w:pPr>
        <w:pStyle w:val="23"/>
        <w:adjustRightInd w:val="0"/>
        <w:snapToGrid w:val="0"/>
        <w:spacing w:line="576" w:lineRule="exact"/>
        <w:ind w:firstLine="64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根据绩效目标，监控项目进度。</w:t>
      </w:r>
    </w:p>
    <w:p>
      <w:pPr>
        <w:adjustRightInd w:val="0"/>
        <w:snapToGrid w:val="0"/>
        <w:spacing w:line="576" w:lineRule="exact"/>
        <w:ind w:firstLine="640" w:firstLineChars="200"/>
        <w:outlineLvl w:val="1"/>
        <w:rPr>
          <w:rFonts w:ascii="黑体" w:hAnsi="黑体" w:eastAsia="黑体" w:cs="黑体"/>
          <w:sz w:val="32"/>
          <w:szCs w:val="32"/>
          <w:lang w:val="zh-CN"/>
        </w:rPr>
      </w:pPr>
      <w:bookmarkStart w:id="89" w:name="_Toc20013"/>
      <w:r>
        <w:rPr>
          <w:rFonts w:hint="eastAsia" w:ascii="黑体" w:hAnsi="黑体" w:eastAsia="黑体" w:cs="黑体"/>
          <w:sz w:val="32"/>
          <w:szCs w:val="32"/>
        </w:rPr>
        <w:t>四、项目绩效情况</w:t>
      </w:r>
      <w:bookmarkEnd w:id="89"/>
      <w:r>
        <w:rPr>
          <w:rFonts w:hint="eastAsia" w:ascii="黑体" w:hAnsi="黑体" w:eastAsia="黑体" w:cs="黑体"/>
          <w:sz w:val="32"/>
          <w:szCs w:val="32"/>
          <w:lang w:val="zh-CN"/>
        </w:rPr>
        <w:tab/>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（一）项目完成情况</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仿宋_GB2312" w:hAnsi="仿宋_GB2312" w:eastAsia="仿宋_GB2312" w:cs="仿宋_GB2312"/>
          <w:sz w:val="32"/>
          <w:szCs w:val="32"/>
          <w:lang w:val="zh-CN"/>
        </w:rPr>
        <w:t>通过项目的实施，图书馆完成接待读者12.3万人次、文献外借11.8万册次、办理借阅卡1100张、开展业务辅导10次、开展公益讲座、培训、送文化下乡、全民阅读推广等活动30场次。通过该项目的实施，确保了图书馆的正常运作及相关活动的开展</w:t>
      </w:r>
      <w:r>
        <w:rPr>
          <w:rFonts w:hint="eastAsia" w:ascii="楷体_GB2312" w:hAnsi="楷体_GB2312" w:eastAsia="楷体_GB2312" w:cs="楷体_GB2312"/>
          <w:sz w:val="32"/>
          <w:szCs w:val="32"/>
          <w:lang w:val="zh-CN"/>
        </w:rPr>
        <w:t>。</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（二）项目效益情况</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在社会效益方面，我馆坚持每周开放63小时，为读者提供了基本的服务保障，同时开展较多的讲座、阅读对广等活动，取得了读者们的广泛好评。</w:t>
      </w:r>
    </w:p>
    <w:p>
      <w:pPr>
        <w:adjustRightInd w:val="0"/>
        <w:snapToGrid w:val="0"/>
        <w:spacing w:line="576" w:lineRule="exact"/>
        <w:ind w:firstLine="640" w:firstLineChars="200"/>
        <w:outlineLvl w:val="1"/>
        <w:rPr>
          <w:rFonts w:ascii="黑体" w:hAnsi="黑体" w:eastAsia="黑体" w:cs="黑体"/>
          <w:sz w:val="32"/>
          <w:szCs w:val="32"/>
        </w:rPr>
      </w:pPr>
      <w:bookmarkStart w:id="90" w:name="_Toc3391"/>
      <w:r>
        <w:rPr>
          <w:rFonts w:hint="eastAsia" w:ascii="黑体" w:hAnsi="黑体" w:eastAsia="黑体" w:cs="黑体"/>
          <w:sz w:val="32"/>
          <w:szCs w:val="32"/>
        </w:rPr>
        <w:t>五、评价结论及建议</w:t>
      </w:r>
      <w:bookmarkEnd w:id="90"/>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（一）评价结论</w:t>
      </w:r>
    </w:p>
    <w:p>
      <w:pPr>
        <w:adjustRightInd w:val="0"/>
        <w:snapToGrid w:val="0"/>
        <w:spacing w:line="576" w:lineRule="exact"/>
        <w:ind w:firstLine="640" w:firstLineChars="200"/>
        <w:rPr>
          <w:rFonts w:ascii="仿宋_GB2312" w:hAnsi="仿宋_GB2312" w:eastAsia="仿宋_GB2312" w:cs="仿宋_GB2312"/>
          <w:sz w:val="32"/>
          <w:szCs w:val="32"/>
          <w:bdr w:val="single" w:color="auto" w:sz="4" w:space="0"/>
          <w:lang w:val="zh-CN"/>
        </w:rPr>
      </w:pPr>
      <w:r>
        <w:rPr>
          <w:rFonts w:hint="eastAsia" w:ascii="仿宋_GB2312" w:hAnsi="仿宋_GB2312" w:eastAsia="仿宋_GB2312" w:cs="仿宋_GB2312"/>
          <w:sz w:val="32"/>
          <w:szCs w:val="32"/>
          <w:lang w:val="zh-CN"/>
        </w:rPr>
        <w:t>免费开放项目为图书馆的基本开放和基本服务提供了根本保障，为读者提供服务解决了基本的资金需求。在资金的使用上严格按照相关文件要求执行，并确保项目的整体推进和质量要求。</w:t>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（二）存在的问题</w:t>
      </w:r>
    </w:p>
    <w:p>
      <w:pPr>
        <w:adjustRightInd w:val="0"/>
        <w:snapToGrid w:val="0"/>
        <w:spacing w:line="576" w:lineRule="exact"/>
        <w:ind w:firstLine="640" w:firstLineChars="200"/>
        <w:rPr>
          <w:rFonts w:ascii="仿宋_GB2312" w:hAnsi="仿宋_GB2312" w:eastAsia="仿宋_GB2312" w:cs="仿宋_GB2312"/>
          <w:sz w:val="32"/>
          <w:szCs w:val="32"/>
          <w:lang w:val="zh-CN"/>
        </w:rPr>
      </w:pPr>
      <w:r>
        <w:rPr>
          <w:rFonts w:hint="eastAsia" w:ascii="仿宋_GB2312" w:hAnsi="仿宋_GB2312" w:eastAsia="仿宋_GB2312" w:cs="仿宋_GB2312"/>
          <w:sz w:val="32"/>
          <w:szCs w:val="32"/>
          <w:lang w:val="zh-CN"/>
        </w:rPr>
        <w:t>免费开放资金主要用于基础维护和运行，用于开展阅读推广活动资金较少。</w:t>
      </w:r>
      <w:r>
        <w:rPr>
          <w:rFonts w:hint="eastAsia" w:ascii="仿宋_GB2312" w:hAnsi="仿宋_GB2312" w:eastAsia="仿宋_GB2312" w:cs="仿宋_GB2312"/>
          <w:sz w:val="32"/>
          <w:szCs w:val="32"/>
          <w:lang w:val="zh-CN"/>
        </w:rPr>
        <w:tab/>
      </w:r>
    </w:p>
    <w:p>
      <w:pPr>
        <w:adjustRightInd w:val="0"/>
        <w:snapToGrid w:val="0"/>
        <w:spacing w:line="576" w:lineRule="exact"/>
        <w:ind w:firstLine="640" w:firstLineChars="200"/>
        <w:rPr>
          <w:rFonts w:ascii="楷体_GB2312" w:hAnsi="楷体_GB2312" w:eastAsia="楷体_GB2312" w:cs="楷体_GB2312"/>
          <w:sz w:val="32"/>
          <w:szCs w:val="32"/>
          <w:lang w:val="zh-CN"/>
        </w:rPr>
      </w:pPr>
      <w:r>
        <w:rPr>
          <w:rFonts w:hint="eastAsia" w:ascii="楷体_GB2312" w:hAnsi="楷体_GB2312" w:eastAsia="楷体_GB2312" w:cs="楷体_GB2312"/>
          <w:sz w:val="32"/>
          <w:szCs w:val="32"/>
          <w:lang w:val="zh-CN"/>
        </w:rPr>
        <w:t>（三）相关建议</w:t>
      </w:r>
    </w:p>
    <w:p>
      <w:pPr>
        <w:adjustRightInd w:val="0"/>
        <w:snapToGrid w:val="0"/>
        <w:spacing w:line="576" w:lineRule="exact"/>
        <w:ind w:firstLine="640" w:firstLineChars="200"/>
        <w:rPr>
          <w:lang w:val="zh-CN"/>
        </w:rPr>
      </w:pPr>
      <w:r>
        <w:rPr>
          <w:rFonts w:hint="eastAsia" w:ascii="仿宋_GB2312" w:hAnsi="仿宋_GB2312" w:eastAsia="仿宋_GB2312" w:cs="仿宋_GB2312"/>
          <w:sz w:val="32"/>
          <w:szCs w:val="32"/>
          <w:lang w:val="zh-CN"/>
        </w:rPr>
        <w:t>加强资金管理，确保资金合规使用。积极争取更多资金，为读者提供更好的服务。</w:t>
      </w:r>
    </w:p>
    <w:p>
      <w:pPr>
        <w:spacing w:line="572" w:lineRule="exact"/>
        <w:jc w:val="left"/>
        <w:outlineLvl w:val="1"/>
        <w:rPr>
          <w:rFonts w:ascii="仿宋_GB2312" w:hAnsi="仿宋_GB2312" w:eastAsia="黑体" w:cs="仿宋_GB2312"/>
          <w:sz w:val="32"/>
          <w:szCs w:val="32"/>
        </w:rPr>
      </w:pPr>
      <w:bookmarkStart w:id="91" w:name="_Toc14783"/>
      <w:r>
        <w:rPr>
          <w:rFonts w:hint="eastAsia" w:ascii="黑体" w:hAnsi="黑体" w:eastAsia="黑体" w:cs="黑体"/>
          <w:sz w:val="32"/>
          <w:szCs w:val="32"/>
        </w:rPr>
        <w:t>附表</w:t>
      </w:r>
      <w:bookmarkEnd w:id="91"/>
    </w:p>
    <w:tbl>
      <w:tblPr>
        <w:tblStyle w:val="12"/>
        <w:tblpPr w:leftFromText="180" w:rightFromText="180" w:vertAnchor="text" w:horzAnchor="page" w:tblpXSpec="center" w:tblpY="423"/>
        <w:tblOverlap w:val="never"/>
        <w:tblW w:w="10386" w:type="dxa"/>
        <w:jc w:val="center"/>
        <w:tblLayout w:type="fixed"/>
        <w:tblCellMar>
          <w:top w:w="0" w:type="dxa"/>
          <w:left w:w="0" w:type="dxa"/>
          <w:bottom w:w="0" w:type="dxa"/>
          <w:right w:w="0" w:type="dxa"/>
        </w:tblCellMar>
      </w:tblPr>
      <w:tblGrid>
        <w:gridCol w:w="1271"/>
        <w:gridCol w:w="1002"/>
        <w:gridCol w:w="1025"/>
        <w:gridCol w:w="1138"/>
        <w:gridCol w:w="1254"/>
        <w:gridCol w:w="2304"/>
        <w:gridCol w:w="90"/>
        <w:gridCol w:w="2302"/>
      </w:tblGrid>
      <w:tr>
        <w:tblPrEx>
          <w:tblCellMar>
            <w:top w:w="0" w:type="dxa"/>
            <w:left w:w="0" w:type="dxa"/>
            <w:bottom w:w="0" w:type="dxa"/>
            <w:right w:w="0" w:type="dxa"/>
          </w:tblCellMar>
        </w:tblPrEx>
        <w:trPr>
          <w:trHeight w:val="1034" w:hRule="atLeast"/>
          <w:jc w:val="center"/>
        </w:trPr>
        <w:tc>
          <w:tcPr>
            <w:tcW w:w="10386" w:type="dxa"/>
            <w:gridSpan w:val="8"/>
            <w:tcBorders>
              <w:top w:val="nil"/>
              <w:left w:val="nil"/>
              <w:bottom w:val="nil"/>
              <w:right w:val="nil"/>
            </w:tcBorders>
            <w:tcMar>
              <w:top w:w="15" w:type="dxa"/>
              <w:left w:w="15" w:type="dxa"/>
              <w:right w:w="15" w:type="dxa"/>
            </w:tcMar>
            <w:vAlign w:val="center"/>
          </w:tcPr>
          <w:p>
            <w:pPr>
              <w:widowControl/>
              <w:tabs>
                <w:tab w:val="left" w:pos="9577"/>
              </w:tabs>
              <w:spacing w:line="576" w:lineRule="exact"/>
              <w:jc w:val="center"/>
              <w:textAlignment w:val="center"/>
              <w:rPr>
                <w:rFonts w:ascii="宋体" w:cs="宋体"/>
                <w:color w:val="000000"/>
                <w:sz w:val="36"/>
                <w:szCs w:val="36"/>
              </w:rPr>
            </w:pPr>
            <w:r>
              <w:rPr>
                <w:rFonts w:hint="eastAsia" w:ascii="方正小标宋简体" w:hAnsi="方正小标宋简体" w:eastAsia="方正小标宋简体" w:cs="方正小标宋简体"/>
                <w:bCs/>
                <w:sz w:val="44"/>
                <w:szCs w:val="44"/>
              </w:rPr>
              <w:t>2021年部门预算项目绩效目标自评</w:t>
            </w:r>
          </w:p>
        </w:tc>
      </w:tr>
      <w:tr>
        <w:tblPrEx>
          <w:tblCellMar>
            <w:top w:w="0" w:type="dxa"/>
            <w:left w:w="0" w:type="dxa"/>
            <w:bottom w:w="0" w:type="dxa"/>
            <w:right w:w="0" w:type="dxa"/>
          </w:tblCellMar>
        </w:tblPrEx>
        <w:trPr>
          <w:trHeight w:val="567" w:hRule="exact"/>
          <w:jc w:val="center"/>
        </w:trPr>
        <w:tc>
          <w:tcPr>
            <w:tcW w:w="227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主管部门及代码</w:t>
            </w:r>
          </w:p>
        </w:tc>
        <w:tc>
          <w:tcPr>
            <w:tcW w:w="341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广元市文化广电旅游局 325001</w:t>
            </w: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实施单位</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广元市图书馆</w:t>
            </w:r>
          </w:p>
        </w:tc>
      </w:tr>
      <w:tr>
        <w:tblPrEx>
          <w:tblCellMar>
            <w:top w:w="0" w:type="dxa"/>
            <w:left w:w="0" w:type="dxa"/>
            <w:bottom w:w="0" w:type="dxa"/>
            <w:right w:w="0" w:type="dxa"/>
          </w:tblCellMar>
        </w:tblPrEx>
        <w:trPr>
          <w:trHeight w:val="567" w:hRule="exact"/>
          <w:jc w:val="center"/>
        </w:trPr>
        <w:tc>
          <w:tcPr>
            <w:tcW w:w="2273"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项目预算</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执行情况</w:t>
            </w:r>
          </w:p>
          <w:p>
            <w:pPr>
              <w:widowControl/>
              <w:jc w:val="center"/>
              <w:textAlignment w:val="center"/>
              <w:rPr>
                <w:rFonts w:ascii="宋体" w:cs="宋体"/>
                <w:color w:val="000000"/>
                <w:sz w:val="24"/>
              </w:rPr>
            </w:pP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21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12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r>
              <w:rPr>
                <w:rFonts w:hint="eastAsia" w:ascii="宋体" w:cs="宋体"/>
                <w:color w:val="000000"/>
                <w:sz w:val="24"/>
              </w:rPr>
              <w:t>6</w:t>
            </w:r>
            <w:r>
              <w:rPr>
                <w:rFonts w:ascii="宋体" w:cs="宋体"/>
                <w:color w:val="000000"/>
                <w:sz w:val="24"/>
              </w:rPr>
              <w:t>3</w:t>
            </w: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r>
              <w:rPr>
                <w:rFonts w:hint="eastAsia" w:ascii="宋体" w:cs="宋体"/>
                <w:color w:val="000000"/>
                <w:sz w:val="24"/>
              </w:rPr>
              <w:t>6</w:t>
            </w:r>
            <w:r>
              <w:rPr>
                <w:rFonts w:ascii="宋体" w:cs="宋体"/>
                <w:color w:val="000000"/>
                <w:sz w:val="24"/>
              </w:rPr>
              <w:t>3</w:t>
            </w:r>
          </w:p>
        </w:tc>
      </w:tr>
      <w:tr>
        <w:tblPrEx>
          <w:tblCellMar>
            <w:top w:w="0" w:type="dxa"/>
            <w:left w:w="0" w:type="dxa"/>
            <w:bottom w:w="0" w:type="dxa"/>
            <w:right w:w="0" w:type="dxa"/>
          </w:tblCellMar>
        </w:tblPrEx>
        <w:trPr>
          <w:trHeight w:val="567" w:hRule="exact"/>
          <w:jc w:val="center"/>
        </w:trPr>
        <w:tc>
          <w:tcPr>
            <w:tcW w:w="2273"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1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r>
              <w:rPr>
                <w:rFonts w:hint="eastAsia" w:ascii="宋体" w:hAnsi="宋体" w:cs="宋体"/>
                <w:color w:val="000000"/>
                <w:kern w:val="0"/>
                <w:sz w:val="24"/>
                <w:lang w:bidi="ar"/>
              </w:rPr>
              <w:t>其中</w:t>
            </w:r>
            <w:r>
              <w:rPr>
                <w:rFonts w:hint="eastAsia" w:ascii="宋体" w:cs="宋体"/>
                <w:color w:val="000000"/>
                <w:kern w:val="0"/>
                <w:sz w:val="24"/>
                <w:lang w:bidi="ar"/>
              </w:rPr>
              <w:t>：</w:t>
            </w:r>
            <w:r>
              <w:rPr>
                <w:rFonts w:hint="eastAsia" w:ascii="宋体" w:hAnsi="宋体" w:cs="宋体"/>
                <w:color w:val="000000"/>
                <w:kern w:val="0"/>
                <w:sz w:val="24"/>
                <w:lang w:bidi="ar"/>
              </w:rPr>
              <w:t>财政拨款</w:t>
            </w:r>
          </w:p>
        </w:tc>
        <w:tc>
          <w:tcPr>
            <w:tcW w:w="12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r>
              <w:rPr>
                <w:rFonts w:hint="eastAsia" w:ascii="宋体" w:cs="宋体"/>
                <w:color w:val="000000"/>
                <w:sz w:val="24"/>
              </w:rPr>
              <w:t>6</w:t>
            </w:r>
            <w:r>
              <w:rPr>
                <w:rFonts w:ascii="宋体" w:cs="宋体"/>
                <w:color w:val="000000"/>
                <w:sz w:val="24"/>
              </w:rPr>
              <w:t>3</w:t>
            </w: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r>
              <w:rPr>
                <w:rFonts w:hint="eastAsia" w:ascii="宋体" w:hAnsi="宋体" w:cs="宋体"/>
                <w:color w:val="000000"/>
                <w:kern w:val="0"/>
                <w:sz w:val="24"/>
                <w:lang w:bidi="ar"/>
              </w:rPr>
              <w:t>其中</w:t>
            </w:r>
            <w:r>
              <w:rPr>
                <w:rFonts w:ascii="宋体" w:cs="宋体"/>
                <w:color w:val="000000"/>
                <w:kern w:val="0"/>
                <w:sz w:val="24"/>
                <w:lang w:bidi="ar"/>
              </w:rPr>
              <w:t>-</w:t>
            </w:r>
            <w:r>
              <w:rPr>
                <w:rFonts w:hint="eastAsia" w:ascii="宋体" w:hAnsi="宋体" w:cs="宋体"/>
                <w:color w:val="000000"/>
                <w:kern w:val="0"/>
                <w:sz w:val="24"/>
                <w:lang w:bidi="ar"/>
              </w:rPr>
              <w:t>财政拨款</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r>
              <w:rPr>
                <w:rFonts w:hint="eastAsia" w:ascii="宋体" w:cs="宋体"/>
                <w:color w:val="000000"/>
                <w:sz w:val="24"/>
              </w:rPr>
              <w:t>6</w:t>
            </w:r>
            <w:r>
              <w:rPr>
                <w:rFonts w:ascii="宋体" w:cs="宋体"/>
                <w:color w:val="000000"/>
                <w:sz w:val="24"/>
              </w:rPr>
              <w:t>3</w:t>
            </w:r>
          </w:p>
        </w:tc>
      </w:tr>
      <w:tr>
        <w:tblPrEx>
          <w:tblCellMar>
            <w:top w:w="0" w:type="dxa"/>
            <w:left w:w="0" w:type="dxa"/>
            <w:bottom w:w="0" w:type="dxa"/>
            <w:right w:w="0" w:type="dxa"/>
          </w:tblCellMar>
        </w:tblPrEx>
        <w:trPr>
          <w:trHeight w:val="567" w:hRule="exact"/>
          <w:jc w:val="center"/>
        </w:trPr>
        <w:tc>
          <w:tcPr>
            <w:tcW w:w="2273"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16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125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firstLine="218" w:firstLineChars="91"/>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firstLine="218" w:firstLineChars="91"/>
              <w:jc w:val="left"/>
              <w:rPr>
                <w:rFonts w:ascii="宋体" w:cs="宋体"/>
                <w:color w:val="000000"/>
                <w:sz w:val="24"/>
              </w:rPr>
            </w:pPr>
          </w:p>
        </w:tc>
      </w:tr>
      <w:tr>
        <w:tblPrEx>
          <w:tblCellMar>
            <w:top w:w="0" w:type="dxa"/>
            <w:left w:w="0" w:type="dxa"/>
            <w:bottom w:w="0" w:type="dxa"/>
            <w:right w:w="0" w:type="dxa"/>
          </w:tblCellMar>
        </w:tblPrEx>
        <w:trPr>
          <w:trHeight w:val="567" w:hRule="exact"/>
          <w:jc w:val="center"/>
        </w:trPr>
        <w:tc>
          <w:tcPr>
            <w:tcW w:w="127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年度</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总体目标</w:t>
            </w:r>
          </w:p>
          <w:p>
            <w:pPr>
              <w:widowControl/>
              <w:jc w:val="center"/>
              <w:textAlignment w:val="center"/>
              <w:rPr>
                <w:rFonts w:ascii="宋体" w:cs="宋体"/>
                <w:color w:val="000000"/>
                <w:sz w:val="24"/>
              </w:rPr>
            </w:pPr>
            <w:r>
              <w:rPr>
                <w:rFonts w:hint="eastAsia" w:ascii="宋体" w:hAnsi="宋体" w:cs="宋体"/>
                <w:color w:val="000000"/>
                <w:kern w:val="0"/>
                <w:sz w:val="24"/>
                <w:lang w:bidi="ar"/>
              </w:rPr>
              <w:t>完成情况</w:t>
            </w:r>
          </w:p>
        </w:tc>
        <w:tc>
          <w:tcPr>
            <w:tcW w:w="441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6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目标实际完成情况</w:t>
            </w:r>
          </w:p>
        </w:tc>
      </w:tr>
      <w:tr>
        <w:tblPrEx>
          <w:tblCellMar>
            <w:top w:w="0" w:type="dxa"/>
            <w:left w:w="0" w:type="dxa"/>
            <w:bottom w:w="0" w:type="dxa"/>
            <w:right w:w="0" w:type="dxa"/>
          </w:tblCellMar>
        </w:tblPrEx>
        <w:trPr>
          <w:trHeight w:val="567" w:hRule="exact"/>
          <w:jc w:val="center"/>
        </w:trPr>
        <w:tc>
          <w:tcPr>
            <w:tcW w:w="127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441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6" w:leftChars="103"/>
              <w:jc w:val="left"/>
              <w:textAlignment w:val="center"/>
              <w:rPr>
                <w:rFonts w:ascii="宋体" w:cs="宋体"/>
                <w:color w:val="000000"/>
                <w:sz w:val="24"/>
              </w:rPr>
            </w:pPr>
            <w:r>
              <w:rPr>
                <w:rFonts w:hint="eastAsia" w:ascii="宋体" w:cs="宋体"/>
                <w:color w:val="000000"/>
                <w:sz w:val="24"/>
              </w:rPr>
              <w:t>保障图书馆基本运转，并开展读者活动。</w:t>
            </w:r>
          </w:p>
        </w:tc>
        <w:tc>
          <w:tcPr>
            <w:tcW w:w="46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6" w:leftChars="103"/>
              <w:jc w:val="left"/>
              <w:textAlignment w:val="center"/>
              <w:rPr>
                <w:rFonts w:ascii="宋体" w:cs="宋体"/>
                <w:color w:val="000000"/>
                <w:sz w:val="24"/>
              </w:rPr>
            </w:pPr>
            <w:r>
              <w:rPr>
                <w:rFonts w:hint="eastAsia" w:ascii="宋体" w:cs="宋体"/>
                <w:color w:val="000000"/>
                <w:sz w:val="24"/>
              </w:rPr>
              <w:t>保障图书馆基本运转，并开展读者活动。</w:t>
            </w:r>
          </w:p>
        </w:tc>
      </w:tr>
      <w:tr>
        <w:tblPrEx>
          <w:tblCellMar>
            <w:top w:w="0" w:type="dxa"/>
            <w:left w:w="0" w:type="dxa"/>
            <w:bottom w:w="0" w:type="dxa"/>
            <w:right w:w="0" w:type="dxa"/>
          </w:tblCellMar>
        </w:tblPrEx>
        <w:trPr>
          <w:trHeight w:val="433" w:hRule="atLeast"/>
          <w:jc w:val="center"/>
        </w:trPr>
        <w:tc>
          <w:tcPr>
            <w:tcW w:w="127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年度绩效</w:t>
            </w:r>
          </w:p>
          <w:p>
            <w:pPr>
              <w:widowControl/>
              <w:jc w:val="center"/>
              <w:textAlignment w:val="center"/>
              <w:rPr>
                <w:rFonts w:ascii="宋体" w:hAnsi="宋体" w:cs="宋体"/>
                <w:color w:val="000000"/>
                <w:sz w:val="24"/>
              </w:rPr>
            </w:pPr>
            <w:r>
              <w:rPr>
                <w:rFonts w:hint="eastAsia" w:ascii="宋体" w:hAnsi="宋体" w:cs="宋体"/>
                <w:color w:val="000000"/>
                <w:sz w:val="24"/>
              </w:rPr>
              <w:t>指标完成</w:t>
            </w:r>
          </w:p>
          <w:p>
            <w:pPr>
              <w:widowControl/>
              <w:jc w:val="center"/>
              <w:textAlignment w:val="center"/>
              <w:rPr>
                <w:rFonts w:ascii="宋体" w:cs="宋体"/>
                <w:color w:val="000000"/>
                <w:sz w:val="24"/>
              </w:rPr>
            </w:pPr>
            <w:r>
              <w:rPr>
                <w:rFonts w:hint="eastAsia" w:ascii="宋体" w:hAnsi="宋体" w:cs="宋体"/>
                <w:color w:val="000000"/>
                <w:sz w:val="24"/>
              </w:rPr>
              <w:t>情况</w:t>
            </w: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一级</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p>
        </w:tc>
      </w:tr>
      <w:tr>
        <w:tblPrEx>
          <w:tblCellMar>
            <w:top w:w="0" w:type="dxa"/>
            <w:left w:w="0" w:type="dxa"/>
            <w:bottom w:w="0" w:type="dxa"/>
            <w:right w:w="0" w:type="dxa"/>
          </w:tblCellMar>
        </w:tblPrEx>
        <w:trPr>
          <w:trHeight w:val="115" w:hRule="atLeast"/>
          <w:jc w:val="center"/>
        </w:trPr>
        <w:tc>
          <w:tcPr>
            <w:tcW w:w="127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完成</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指标1：接待读者到馆读者</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约7万人次</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12</w:t>
            </w:r>
            <w:r>
              <w:rPr>
                <w:rFonts w:ascii="宋体" w:cs="宋体"/>
                <w:color w:val="000000"/>
                <w:sz w:val="24"/>
              </w:rPr>
              <w:t>.3</w:t>
            </w:r>
            <w:r>
              <w:rPr>
                <w:rFonts w:hint="eastAsia" w:ascii="宋体" w:cs="宋体"/>
                <w:color w:val="000000"/>
                <w:sz w:val="24"/>
              </w:rPr>
              <w:t>万人次</w:t>
            </w:r>
          </w:p>
        </w:tc>
      </w:tr>
      <w:tr>
        <w:tblPrEx>
          <w:tblCellMar>
            <w:top w:w="0" w:type="dxa"/>
            <w:left w:w="0" w:type="dxa"/>
            <w:bottom w:w="0" w:type="dxa"/>
            <w:right w:w="0" w:type="dxa"/>
          </w:tblCellMar>
        </w:tblPrEx>
        <w:trPr>
          <w:trHeight w:val="567" w:hRule="exact"/>
          <w:jc w:val="center"/>
        </w:trPr>
        <w:tc>
          <w:tcPr>
            <w:tcW w:w="127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指标2：文献外借册次</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约8万册次</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11.8万册次</w:t>
            </w:r>
          </w:p>
        </w:tc>
      </w:tr>
      <w:tr>
        <w:tblPrEx>
          <w:tblCellMar>
            <w:top w:w="0" w:type="dxa"/>
            <w:left w:w="0" w:type="dxa"/>
            <w:bottom w:w="0" w:type="dxa"/>
            <w:right w:w="0" w:type="dxa"/>
          </w:tblCellMar>
        </w:tblPrEx>
        <w:trPr>
          <w:trHeight w:val="567" w:hRule="exact"/>
          <w:jc w:val="center"/>
        </w:trPr>
        <w:tc>
          <w:tcPr>
            <w:tcW w:w="127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指标3：办理借阅卡</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约900张</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11</w:t>
            </w:r>
            <w:r>
              <w:rPr>
                <w:rFonts w:ascii="宋体" w:cs="宋体"/>
                <w:color w:val="000000"/>
                <w:sz w:val="24"/>
              </w:rPr>
              <w:t>00</w:t>
            </w:r>
            <w:r>
              <w:rPr>
                <w:rFonts w:hint="eastAsia" w:ascii="宋体" w:cs="宋体"/>
                <w:color w:val="000000"/>
                <w:sz w:val="24"/>
              </w:rPr>
              <w:t>张</w:t>
            </w:r>
          </w:p>
        </w:tc>
      </w:tr>
      <w:tr>
        <w:tblPrEx>
          <w:tblCellMar>
            <w:top w:w="0" w:type="dxa"/>
            <w:left w:w="0" w:type="dxa"/>
            <w:bottom w:w="0" w:type="dxa"/>
            <w:right w:w="0" w:type="dxa"/>
          </w:tblCellMar>
        </w:tblPrEx>
        <w:trPr>
          <w:trHeight w:val="567" w:hRule="exact"/>
          <w:jc w:val="center"/>
        </w:trPr>
        <w:tc>
          <w:tcPr>
            <w:tcW w:w="127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指标4：开展业务辅导</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8次</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10次</w:t>
            </w:r>
          </w:p>
        </w:tc>
      </w:tr>
      <w:tr>
        <w:tblPrEx>
          <w:tblCellMar>
            <w:top w:w="0" w:type="dxa"/>
            <w:left w:w="0" w:type="dxa"/>
            <w:bottom w:w="0" w:type="dxa"/>
            <w:right w:w="0" w:type="dxa"/>
          </w:tblCellMar>
        </w:tblPrEx>
        <w:trPr>
          <w:trHeight w:val="109" w:hRule="atLeast"/>
          <w:jc w:val="center"/>
        </w:trPr>
        <w:tc>
          <w:tcPr>
            <w:tcW w:w="127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指标5：公益讲座、培训、送文化下乡、全民阅读推广活动</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10场次</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30场次</w:t>
            </w:r>
          </w:p>
        </w:tc>
      </w:tr>
      <w:tr>
        <w:tblPrEx>
          <w:tblCellMar>
            <w:top w:w="0" w:type="dxa"/>
            <w:left w:w="0" w:type="dxa"/>
            <w:bottom w:w="0" w:type="dxa"/>
            <w:right w:w="0" w:type="dxa"/>
          </w:tblCellMar>
        </w:tblPrEx>
        <w:trPr>
          <w:trHeight w:val="590" w:hRule="atLeast"/>
          <w:jc w:val="center"/>
        </w:trPr>
        <w:tc>
          <w:tcPr>
            <w:tcW w:w="127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25"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指标1：设备故障率</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w:t>
            </w:r>
          </w:p>
        </w:tc>
      </w:tr>
      <w:tr>
        <w:tblPrEx>
          <w:tblCellMar>
            <w:top w:w="0" w:type="dxa"/>
            <w:left w:w="0" w:type="dxa"/>
            <w:bottom w:w="0" w:type="dxa"/>
            <w:right w:w="0" w:type="dxa"/>
          </w:tblCellMar>
        </w:tblPrEx>
        <w:trPr>
          <w:trHeight w:val="1042" w:hRule="atLeast"/>
          <w:jc w:val="center"/>
        </w:trPr>
        <w:tc>
          <w:tcPr>
            <w:tcW w:w="127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指标1：完成时间</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1月至12月</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1月至12月</w:t>
            </w:r>
          </w:p>
        </w:tc>
      </w:tr>
      <w:tr>
        <w:tblPrEx>
          <w:tblCellMar>
            <w:top w:w="0" w:type="dxa"/>
            <w:left w:w="0" w:type="dxa"/>
            <w:bottom w:w="0" w:type="dxa"/>
            <w:right w:w="0" w:type="dxa"/>
          </w:tblCellMar>
        </w:tblPrEx>
        <w:trPr>
          <w:trHeight w:val="1042" w:hRule="atLeast"/>
          <w:jc w:val="center"/>
        </w:trPr>
        <w:tc>
          <w:tcPr>
            <w:tcW w:w="127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lang w:bidi="ar"/>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指标1：免费开放资金</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6</w:t>
            </w:r>
            <w:r>
              <w:rPr>
                <w:rFonts w:ascii="宋体" w:cs="宋体"/>
                <w:color w:val="000000"/>
                <w:sz w:val="24"/>
              </w:rPr>
              <w:t>3</w:t>
            </w:r>
            <w:r>
              <w:rPr>
                <w:rFonts w:hint="eastAsia" w:ascii="宋体" w:cs="宋体"/>
                <w:color w:val="000000"/>
                <w:sz w:val="24"/>
              </w:rPr>
              <w:t>万元</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6</w:t>
            </w:r>
            <w:r>
              <w:rPr>
                <w:rFonts w:ascii="宋体" w:cs="宋体"/>
                <w:color w:val="000000"/>
                <w:sz w:val="24"/>
              </w:rPr>
              <w:t>3</w:t>
            </w:r>
            <w:r>
              <w:rPr>
                <w:rFonts w:hint="eastAsia" w:ascii="宋体" w:cs="宋体"/>
                <w:color w:val="000000"/>
                <w:sz w:val="24"/>
              </w:rPr>
              <w:t>万元</w:t>
            </w:r>
          </w:p>
        </w:tc>
      </w:tr>
      <w:tr>
        <w:tblPrEx>
          <w:tblCellMar>
            <w:top w:w="0" w:type="dxa"/>
            <w:left w:w="0" w:type="dxa"/>
            <w:bottom w:w="0" w:type="dxa"/>
            <w:right w:w="0" w:type="dxa"/>
          </w:tblCellMar>
        </w:tblPrEx>
        <w:trPr>
          <w:trHeight w:val="1042" w:hRule="atLeast"/>
          <w:jc w:val="center"/>
        </w:trPr>
        <w:tc>
          <w:tcPr>
            <w:tcW w:w="127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效益</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指标1：为构建公共文化服务体系贡献图书馆应有的力量</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9小时/天</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9小时/天</w:t>
            </w:r>
          </w:p>
        </w:tc>
      </w:tr>
      <w:tr>
        <w:tblPrEx>
          <w:tblCellMar>
            <w:top w:w="0" w:type="dxa"/>
            <w:left w:w="0" w:type="dxa"/>
            <w:bottom w:w="0" w:type="dxa"/>
            <w:right w:w="0" w:type="dxa"/>
          </w:tblCellMar>
        </w:tblPrEx>
        <w:trPr>
          <w:trHeight w:val="1050" w:hRule="atLeast"/>
          <w:jc w:val="center"/>
        </w:trPr>
        <w:tc>
          <w:tcPr>
            <w:tcW w:w="1271"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kern w:val="0"/>
                <w:sz w:val="24"/>
                <w:lang w:bidi="ar"/>
              </w:rPr>
              <w:t>满意度</w:t>
            </w:r>
          </w:p>
          <w:p>
            <w:pPr>
              <w:widowControl/>
              <w:jc w:val="center"/>
              <w:textAlignment w:val="center"/>
              <w:rPr>
                <w:rFonts w:ascii="宋体" w:cs="宋体"/>
                <w:sz w:val="24"/>
              </w:rPr>
            </w:pPr>
            <w:r>
              <w:rPr>
                <w:rFonts w:hint="eastAsia" w:ascii="宋体" w:hAnsi="宋体" w:cs="宋体"/>
                <w:kern w:val="0"/>
                <w:sz w:val="24"/>
                <w:lang w:bidi="ar"/>
              </w:rPr>
              <w:t>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hint="eastAsia" w:ascii="宋体" w:cs="宋体"/>
                <w:sz w:val="24"/>
              </w:rPr>
              <w:t>满意度指标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sz w:val="24"/>
              </w:rPr>
            </w:pPr>
            <w:r>
              <w:rPr>
                <w:rFonts w:hint="eastAsia" w:ascii="宋体" w:cs="宋体"/>
                <w:sz w:val="24"/>
              </w:rPr>
              <w:t>指标1：读者满意度</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hint="eastAsia" w:ascii="宋体" w:cs="宋体"/>
                <w:sz w:val="24"/>
              </w:rPr>
              <w:t>85</w:t>
            </w:r>
            <w:r>
              <w:rPr>
                <w:rFonts w:ascii="宋体" w:cs="宋体"/>
                <w:sz w:val="24"/>
              </w:rPr>
              <w:t>%</w:t>
            </w:r>
          </w:p>
        </w:tc>
        <w:tc>
          <w:tcPr>
            <w:tcW w:w="230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ascii="宋体" w:cs="宋体"/>
                <w:sz w:val="24"/>
              </w:rPr>
              <w:t>92</w:t>
            </w:r>
            <w:r>
              <w:rPr>
                <w:rFonts w:hint="eastAsia" w:ascii="宋体" w:cs="宋体"/>
                <w:sz w:val="24"/>
              </w:rPr>
              <w:t>%</w:t>
            </w:r>
          </w:p>
        </w:tc>
      </w:tr>
    </w:tbl>
    <w:p>
      <w:pPr>
        <w:spacing w:line="580" w:lineRule="exact"/>
        <w:ind w:left="630"/>
        <w:rPr>
          <w:rFonts w:ascii="仿宋_GB2312" w:hAnsi="仿宋_GB2312" w:eastAsia="仿宋_GB2312" w:cs="仿宋_GB2312"/>
          <w:sz w:val="32"/>
          <w:szCs w:val="32"/>
        </w:rPr>
      </w:pPr>
    </w:p>
    <w:p>
      <w:pPr>
        <w:pStyle w:val="6"/>
        <w:spacing w:before="93"/>
        <w:rPr>
          <w:lang w:val="zh-CN"/>
        </w:rPr>
      </w:pPr>
    </w:p>
    <w:p>
      <w:pPr>
        <w:pStyle w:val="6"/>
        <w:spacing w:before="93"/>
        <w:rPr>
          <w:lang w:val="zh-CN"/>
        </w:rPr>
      </w:pPr>
      <w:r>
        <w:rPr>
          <w:lang w:val="zh-CN"/>
        </w:rPr>
        <w:br w:type="page"/>
      </w:r>
    </w:p>
    <w:p>
      <w:pPr>
        <w:spacing w:line="576" w:lineRule="exact"/>
        <w:rPr>
          <w:rFonts w:ascii="黑体" w:hAnsi="黑体" w:eastAsia="黑体" w:cs="黑体"/>
          <w:sz w:val="32"/>
          <w:szCs w:val="32"/>
        </w:rPr>
      </w:pPr>
      <w:r>
        <w:rPr>
          <w:rFonts w:hint="eastAsia" w:ascii="黑体" w:hAnsi="黑体" w:eastAsia="黑体" w:cs="黑体"/>
          <w:sz w:val="32"/>
          <w:szCs w:val="32"/>
        </w:rPr>
        <w:t>附件</w:t>
      </w:r>
      <w:r>
        <w:rPr>
          <w:rFonts w:ascii="黑体" w:hAnsi="黑体" w:eastAsia="黑体" w:cs="黑体"/>
          <w:sz w:val="32"/>
          <w:szCs w:val="32"/>
        </w:rPr>
        <w:t>3</w:t>
      </w:r>
    </w:p>
    <w:p>
      <w:pPr>
        <w:spacing w:line="576" w:lineRule="exact"/>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广元市图书馆</w:t>
      </w:r>
    </w:p>
    <w:p>
      <w:pPr>
        <w:spacing w:line="576" w:lineRule="exact"/>
        <w:jc w:val="center"/>
        <w:rPr>
          <w:rFonts w:ascii="方正小标宋简体" w:hAnsi="宋体" w:eastAsia="方正小标宋简体"/>
          <w:color w:val="000000"/>
          <w:kern w:val="0"/>
          <w:sz w:val="44"/>
          <w:szCs w:val="44"/>
          <w:lang w:val="zh-CN"/>
        </w:rPr>
      </w:pPr>
      <w:r>
        <w:rPr>
          <w:rFonts w:hint="eastAsia" w:ascii="方正小标宋简体" w:hAnsi="宋体" w:eastAsia="方正小标宋简体"/>
          <w:color w:val="000000"/>
          <w:kern w:val="0"/>
          <w:sz w:val="44"/>
          <w:szCs w:val="44"/>
        </w:rPr>
        <w:t>文献资料购置</w:t>
      </w:r>
      <w:r>
        <w:rPr>
          <w:rFonts w:hint="eastAsia" w:ascii="方正小标宋简体" w:hAnsi="宋体" w:eastAsia="方正小标宋简体"/>
          <w:color w:val="000000"/>
          <w:kern w:val="0"/>
          <w:sz w:val="44"/>
          <w:szCs w:val="44"/>
          <w:lang w:val="zh-CN"/>
        </w:rPr>
        <w:t>项目</w:t>
      </w:r>
      <w:r>
        <w:rPr>
          <w:rFonts w:ascii="方正小标宋简体" w:hAnsi="宋体" w:eastAsia="方正小标宋简体"/>
          <w:color w:val="000000"/>
          <w:kern w:val="0"/>
          <w:sz w:val="44"/>
          <w:szCs w:val="44"/>
        </w:rPr>
        <w:t>2021</w:t>
      </w:r>
      <w:r>
        <w:rPr>
          <w:rFonts w:hint="eastAsia" w:ascii="方正小标宋简体" w:hAnsi="宋体" w:eastAsia="方正小标宋简体"/>
          <w:color w:val="000000"/>
          <w:kern w:val="0"/>
          <w:sz w:val="44"/>
          <w:szCs w:val="44"/>
        </w:rPr>
        <w:t>年</w:t>
      </w:r>
      <w:r>
        <w:rPr>
          <w:rFonts w:hint="eastAsia" w:ascii="方正小标宋简体" w:hAnsi="宋体" w:eastAsia="方正小标宋简体"/>
          <w:color w:val="000000"/>
          <w:kern w:val="0"/>
          <w:sz w:val="44"/>
          <w:szCs w:val="44"/>
          <w:lang w:val="zh-CN"/>
        </w:rPr>
        <w:t>绩效评价报告</w:t>
      </w:r>
    </w:p>
    <w:p>
      <w:pPr>
        <w:spacing w:line="576" w:lineRule="exact"/>
        <w:ind w:firstLine="640" w:firstLineChars="200"/>
        <w:rPr>
          <w:rFonts w:ascii="宋体"/>
          <w:sz w:val="32"/>
          <w:szCs w:val="32"/>
          <w:lang w:val="zh-CN"/>
        </w:rPr>
      </w:pPr>
    </w:p>
    <w:p>
      <w:pPr>
        <w:adjustRightInd w:val="0"/>
        <w:snapToGrid w:val="0"/>
        <w:spacing w:line="576" w:lineRule="exact"/>
        <w:ind w:firstLine="640" w:firstLineChars="200"/>
        <w:outlineLvl w:val="1"/>
        <w:rPr>
          <w:rFonts w:ascii="黑体" w:hAnsi="宋体" w:eastAsia="黑体"/>
          <w:sz w:val="32"/>
          <w:szCs w:val="32"/>
          <w:lang w:val="zh-CN"/>
        </w:rPr>
      </w:pPr>
      <w:bookmarkStart w:id="92" w:name="_Toc14920"/>
      <w:r>
        <w:rPr>
          <w:rFonts w:hint="eastAsia" w:ascii="黑体" w:hAnsi="宋体" w:eastAsia="黑体"/>
          <w:sz w:val="32"/>
          <w:szCs w:val="32"/>
        </w:rPr>
        <w:t>一、</w:t>
      </w:r>
      <w:r>
        <w:rPr>
          <w:rFonts w:hint="eastAsia" w:ascii="黑体" w:hAnsi="宋体" w:eastAsia="黑体"/>
          <w:sz w:val="32"/>
          <w:szCs w:val="32"/>
          <w:lang w:val="zh-CN"/>
        </w:rPr>
        <w:t>项目概况</w:t>
      </w:r>
      <w:bookmarkEnd w:id="92"/>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（一）项目基本情况</w:t>
      </w:r>
    </w:p>
    <w:p>
      <w:pPr>
        <w:adjustRightInd w:val="0"/>
        <w:snapToGrid w:val="0"/>
        <w:spacing w:line="576" w:lineRule="exact"/>
        <w:ind w:firstLine="640" w:firstLineChars="200"/>
        <w:rPr>
          <w:rFonts w:ascii="仿宋_GB2312" w:hAnsi="宋体" w:eastAsia="仿宋_GB2312"/>
          <w:sz w:val="32"/>
          <w:szCs w:val="32"/>
        </w:rPr>
      </w:pPr>
      <w:r>
        <w:rPr>
          <w:rFonts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图书馆根据其职能为读者提供必要的图书资料（含电子资源）供读者借阅，以满足读者对各类知识的需求。</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rPr>
        <w:t>.</w:t>
      </w:r>
      <w:r>
        <w:rPr>
          <w:rFonts w:hint="eastAsia" w:ascii="仿宋_GB2312" w:hAnsi="宋体" w:eastAsia="仿宋_GB2312"/>
          <w:sz w:val="32"/>
          <w:szCs w:val="32"/>
          <w:lang w:val="zh-CN"/>
        </w:rPr>
        <w:t>项目立项、资金申报的依据</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根据《中华人民共和国公共图书馆法》“第四条 县级以上人民政府应当将公共图书馆事业纳入本级国民经济和社会发展规划，将公共图书馆建设纳入城乡规划和土地利用总体规划，加大对政府设立的公共图书馆的投入，将所需经费列入本级政府预算，并及时、足额拨付。”</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rPr>
        <w:t>.</w:t>
      </w:r>
      <w:r>
        <w:rPr>
          <w:rFonts w:hint="eastAsia" w:ascii="仿宋_GB2312" w:hAnsi="宋体" w:eastAsia="仿宋_GB2312"/>
          <w:sz w:val="32"/>
          <w:szCs w:val="32"/>
          <w:lang w:val="zh-CN"/>
        </w:rPr>
        <w:t>资金使用严格按照有关专款专用的法律法规使用，该项目资金必须用于为读者购置图书资料。</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项目主要内容。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主要保障读者对新书的需求。</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rPr>
        <w:t>.</w:t>
      </w:r>
      <w:r>
        <w:rPr>
          <w:rFonts w:hint="eastAsia" w:ascii="仿宋_GB2312" w:hAnsi="宋体" w:eastAsia="仿宋_GB2312"/>
          <w:sz w:val="32"/>
          <w:szCs w:val="32"/>
          <w:lang w:val="zh-CN"/>
        </w:rPr>
        <w:t>项目应实现的具体绩效目标，包括目标的量化、细化情况以及项目实施进度计划等</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通过该项目，预购置各类图书</w:t>
      </w:r>
      <w:r>
        <w:rPr>
          <w:rFonts w:ascii="仿宋_GB2312" w:hAnsi="宋体" w:eastAsia="仿宋_GB2312"/>
          <w:sz w:val="32"/>
          <w:szCs w:val="32"/>
          <w:lang w:val="zh-CN"/>
        </w:rPr>
        <w:t>5000</w:t>
      </w:r>
      <w:r>
        <w:rPr>
          <w:rFonts w:hint="eastAsia" w:ascii="仿宋_GB2312" w:hAnsi="宋体" w:eastAsia="仿宋_GB2312"/>
          <w:sz w:val="32"/>
          <w:szCs w:val="32"/>
          <w:lang w:val="zh-CN"/>
        </w:rPr>
        <w:t>册，报刊3</w:t>
      </w:r>
      <w:r>
        <w:rPr>
          <w:rFonts w:ascii="仿宋_GB2312" w:hAnsi="宋体" w:eastAsia="仿宋_GB2312"/>
          <w:sz w:val="32"/>
          <w:szCs w:val="32"/>
          <w:lang w:val="zh-CN"/>
        </w:rPr>
        <w:t>00</w:t>
      </w:r>
      <w:r>
        <w:rPr>
          <w:rFonts w:hint="eastAsia" w:ascii="仿宋_GB2312" w:hAnsi="宋体" w:eastAsia="仿宋_GB2312"/>
          <w:sz w:val="32"/>
          <w:szCs w:val="32"/>
          <w:lang w:val="zh-CN"/>
        </w:rPr>
        <w:t>种，电子资源数据库1个。可根据读者需求和实际需要在不同时间段采购图书资料。该项目实际购置各类图书6210册，报刊471种，电子资源数据库2种。</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rPr>
        <w:t>.</w:t>
      </w:r>
      <w:r>
        <w:rPr>
          <w:rFonts w:hint="eastAsia" w:ascii="仿宋_GB2312" w:hAnsi="宋体" w:eastAsia="仿宋_GB2312"/>
          <w:sz w:val="32"/>
          <w:szCs w:val="32"/>
          <w:lang w:val="zh-CN"/>
        </w:rPr>
        <w:t>分析评价申报内容是否与实际相符，申报目标是否合理可行</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根据实际执行情况，申报目标可行、合理，且能够完成。</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（三）项目自评步骤及方法</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根据该年项目实施，能够按质按量的完成项目。</w:t>
      </w:r>
    </w:p>
    <w:p>
      <w:pPr>
        <w:adjustRightInd w:val="0"/>
        <w:snapToGrid w:val="0"/>
        <w:spacing w:line="576" w:lineRule="exact"/>
        <w:ind w:firstLine="640" w:firstLineChars="200"/>
        <w:outlineLvl w:val="1"/>
        <w:rPr>
          <w:rFonts w:ascii="黑体" w:hAnsi="宋体" w:eastAsia="黑体"/>
          <w:sz w:val="32"/>
          <w:szCs w:val="32"/>
        </w:rPr>
      </w:pPr>
      <w:bookmarkStart w:id="93" w:name="_Toc7423"/>
      <w:r>
        <w:rPr>
          <w:rFonts w:hint="eastAsia" w:ascii="黑体" w:hAnsi="宋体" w:eastAsia="黑体"/>
          <w:sz w:val="32"/>
          <w:szCs w:val="32"/>
        </w:rPr>
        <w:t>二、项目资金申报及使用情况</w:t>
      </w:r>
      <w:bookmarkEnd w:id="93"/>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（一）项目资金申报及批复情况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2</w:t>
      </w:r>
      <w:r>
        <w:rPr>
          <w:rFonts w:ascii="仿宋_GB2312" w:hAnsi="宋体" w:eastAsia="仿宋_GB2312"/>
          <w:sz w:val="32"/>
          <w:szCs w:val="32"/>
          <w:lang w:val="zh-CN"/>
        </w:rPr>
        <w:t>021</w:t>
      </w:r>
      <w:r>
        <w:rPr>
          <w:rFonts w:hint="eastAsia" w:ascii="仿宋_GB2312" w:hAnsi="宋体" w:eastAsia="仿宋_GB2312"/>
          <w:sz w:val="32"/>
          <w:szCs w:val="32"/>
          <w:lang w:val="zh-CN"/>
        </w:rPr>
        <w:t>年文献资料购置资金</w:t>
      </w:r>
      <w:r>
        <w:rPr>
          <w:rFonts w:ascii="仿宋_GB2312" w:hAnsi="宋体" w:eastAsia="仿宋_GB2312"/>
          <w:sz w:val="32"/>
          <w:szCs w:val="32"/>
          <w:lang w:val="zh-CN"/>
        </w:rPr>
        <w:t>30</w:t>
      </w:r>
      <w:r>
        <w:rPr>
          <w:rFonts w:hint="eastAsia" w:ascii="仿宋_GB2312" w:hAnsi="宋体" w:eastAsia="仿宋_GB2312"/>
          <w:sz w:val="32"/>
          <w:szCs w:val="32"/>
          <w:lang w:val="zh-CN"/>
        </w:rPr>
        <w:t>万元，实际到位</w:t>
      </w:r>
      <w:r>
        <w:rPr>
          <w:rFonts w:ascii="仿宋_GB2312" w:hAnsi="宋体" w:eastAsia="仿宋_GB2312"/>
          <w:sz w:val="32"/>
          <w:szCs w:val="32"/>
          <w:lang w:val="zh-CN"/>
        </w:rPr>
        <w:t>30</w:t>
      </w:r>
      <w:r>
        <w:rPr>
          <w:rFonts w:hint="eastAsia" w:ascii="仿宋_GB2312" w:hAnsi="宋体" w:eastAsia="仿宋_GB2312"/>
          <w:sz w:val="32"/>
          <w:szCs w:val="32"/>
          <w:lang w:val="zh-CN"/>
        </w:rPr>
        <w:t>万元。资金到位后，专项用于文献资料购置。</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（二）资金计划、到位及使用情况</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1</w:t>
      </w:r>
      <w:r>
        <w:rPr>
          <w:rFonts w:hint="eastAsia" w:ascii="楷体_GB2312" w:hAnsi="宋体" w:eastAsia="楷体_GB2312"/>
          <w:sz w:val="32"/>
          <w:szCs w:val="32"/>
        </w:rPr>
        <w:t>.</w:t>
      </w:r>
      <w:r>
        <w:rPr>
          <w:rFonts w:hint="eastAsia" w:ascii="楷体_GB2312" w:hAnsi="宋体" w:eastAsia="楷体_GB2312"/>
          <w:sz w:val="32"/>
          <w:szCs w:val="32"/>
          <w:lang w:val="zh-CN"/>
        </w:rPr>
        <w:t>资金计划。</w:t>
      </w:r>
      <w:r>
        <w:rPr>
          <w:rFonts w:ascii="楷体_GB2312" w:hAnsi="宋体" w:eastAsia="楷体_GB2312"/>
          <w:sz w:val="32"/>
          <w:szCs w:val="32"/>
          <w:lang w:val="zh-CN"/>
        </w:rPr>
        <w:t>30</w:t>
      </w:r>
      <w:r>
        <w:rPr>
          <w:rFonts w:hint="eastAsia" w:ascii="楷体_GB2312" w:hAnsi="宋体" w:eastAsia="楷体_GB2312"/>
          <w:sz w:val="32"/>
          <w:szCs w:val="32"/>
          <w:lang w:val="zh-CN"/>
        </w:rPr>
        <w:t>万。</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2</w:t>
      </w:r>
      <w:r>
        <w:rPr>
          <w:rFonts w:hint="eastAsia" w:ascii="楷体_GB2312" w:hAnsi="宋体" w:eastAsia="楷体_GB2312"/>
          <w:sz w:val="32"/>
          <w:szCs w:val="32"/>
        </w:rPr>
        <w:t>.</w:t>
      </w:r>
      <w:r>
        <w:rPr>
          <w:rFonts w:hint="eastAsia" w:ascii="楷体_GB2312" w:hAnsi="宋体" w:eastAsia="楷体_GB2312"/>
          <w:sz w:val="32"/>
          <w:szCs w:val="32"/>
          <w:lang w:val="zh-CN"/>
        </w:rPr>
        <w:t>资金到位。</w:t>
      </w:r>
      <w:r>
        <w:rPr>
          <w:rFonts w:hint="eastAsia" w:ascii="仿宋_GB2312" w:hAnsi="宋体" w:eastAsia="仿宋_GB2312"/>
          <w:sz w:val="32"/>
          <w:szCs w:val="32"/>
          <w:lang w:val="zh-CN"/>
        </w:rPr>
        <w:t>按时到位。</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3</w:t>
      </w:r>
      <w:r>
        <w:rPr>
          <w:rFonts w:hint="eastAsia" w:ascii="楷体_GB2312" w:hAnsi="宋体" w:eastAsia="楷体_GB2312"/>
          <w:sz w:val="32"/>
          <w:szCs w:val="32"/>
        </w:rPr>
        <w:t>.</w:t>
      </w:r>
      <w:r>
        <w:rPr>
          <w:rFonts w:hint="eastAsia" w:ascii="楷体_GB2312" w:hAnsi="宋体" w:eastAsia="楷体_GB2312"/>
          <w:sz w:val="32"/>
          <w:szCs w:val="32"/>
          <w:lang w:val="zh-CN"/>
        </w:rPr>
        <w:t>资金使用。2021年度下达资金</w:t>
      </w:r>
      <w:r>
        <w:rPr>
          <w:rFonts w:ascii="楷体_GB2312" w:hAnsi="宋体" w:eastAsia="楷体_GB2312"/>
          <w:sz w:val="32"/>
          <w:szCs w:val="32"/>
          <w:lang w:val="zh-CN"/>
        </w:rPr>
        <w:t>30</w:t>
      </w:r>
      <w:r>
        <w:rPr>
          <w:rFonts w:hint="eastAsia" w:ascii="楷体_GB2312" w:hAnsi="宋体" w:eastAsia="楷体_GB2312"/>
          <w:sz w:val="32"/>
          <w:szCs w:val="32"/>
          <w:lang w:val="zh-CN"/>
        </w:rPr>
        <w:t>万，使用资金</w:t>
      </w:r>
      <w:r>
        <w:rPr>
          <w:rFonts w:ascii="楷体_GB2312" w:hAnsi="宋体" w:eastAsia="楷体_GB2312"/>
          <w:sz w:val="32"/>
          <w:szCs w:val="32"/>
          <w:lang w:val="zh-CN"/>
        </w:rPr>
        <w:t>25.2775</w:t>
      </w:r>
      <w:r>
        <w:rPr>
          <w:rFonts w:hint="eastAsia" w:ascii="楷体_GB2312" w:hAnsi="宋体" w:eastAsia="楷体_GB2312"/>
          <w:sz w:val="32"/>
          <w:szCs w:val="32"/>
          <w:lang w:val="zh-CN"/>
        </w:rPr>
        <w:t>万（尾款为项目验收后支付）</w:t>
      </w:r>
      <w:r>
        <w:rPr>
          <w:rFonts w:hint="eastAsia" w:ascii="仿宋_GB2312" w:hAnsi="宋体" w:eastAsia="仿宋_GB2312"/>
          <w:sz w:val="32"/>
          <w:szCs w:val="32"/>
          <w:lang w:val="zh-CN"/>
        </w:rPr>
        <w:t>。</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（三）项目财务管理情况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严格相关财务制度。项目资金实行专款专用，专项核算。严格按照项目方案和绩效执行。</w:t>
      </w:r>
    </w:p>
    <w:p>
      <w:pPr>
        <w:adjustRightInd w:val="0"/>
        <w:snapToGrid w:val="0"/>
        <w:spacing w:line="576" w:lineRule="exact"/>
        <w:ind w:firstLine="640" w:firstLineChars="200"/>
        <w:outlineLvl w:val="1"/>
        <w:rPr>
          <w:rFonts w:ascii="黑体" w:hAnsi="宋体" w:eastAsia="黑体"/>
          <w:sz w:val="32"/>
          <w:szCs w:val="32"/>
        </w:rPr>
      </w:pPr>
      <w:bookmarkStart w:id="94" w:name="_Toc9371"/>
      <w:r>
        <w:rPr>
          <w:rFonts w:hint="eastAsia" w:ascii="黑体" w:hAnsi="宋体" w:eastAsia="黑体"/>
          <w:sz w:val="32"/>
          <w:szCs w:val="32"/>
        </w:rPr>
        <w:t>三、项目实施及管理情况</w:t>
      </w:r>
      <w:bookmarkEnd w:id="94"/>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我馆严格按照年初安排执行该项目，能够合理规划，安全有效的使用资金，推进项目，能够在预定的时间内完成该项目。</w:t>
      </w:r>
    </w:p>
    <w:p>
      <w:pPr>
        <w:adjustRightInd w:val="0"/>
        <w:snapToGrid w:val="0"/>
        <w:spacing w:line="576" w:lineRule="exact"/>
        <w:ind w:firstLine="640" w:firstLineChars="200"/>
        <w:outlineLvl w:val="1"/>
        <w:rPr>
          <w:rFonts w:ascii="仿宋_GB2312" w:hAnsi="宋体" w:eastAsia="仿宋_GB2312"/>
          <w:sz w:val="32"/>
          <w:szCs w:val="32"/>
          <w:lang w:val="zh-CN"/>
        </w:rPr>
      </w:pPr>
      <w:bookmarkStart w:id="95" w:name="_Toc10353"/>
      <w:r>
        <w:rPr>
          <w:rFonts w:hint="eastAsia" w:ascii="黑体" w:hAnsi="宋体" w:eastAsia="黑体"/>
          <w:sz w:val="32"/>
          <w:szCs w:val="32"/>
        </w:rPr>
        <w:t>四、项目绩效情况</w:t>
      </w:r>
      <w:bookmarkEnd w:id="95"/>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（一）项目完成情况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通过该项目的实施，确保了图书馆新购图书资料的开展，为读者能够阅读新的图书资料提供了保障。</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（二）项目效益情况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在社会效益方面，我馆根据读者需求和当年社会反响等因素确定购书目录，为广大读者提供了基本的阅读需求，得到了读者的认可。</w:t>
      </w:r>
    </w:p>
    <w:p>
      <w:pPr>
        <w:adjustRightInd w:val="0"/>
        <w:snapToGrid w:val="0"/>
        <w:spacing w:line="576" w:lineRule="exact"/>
        <w:ind w:firstLine="640" w:firstLineChars="200"/>
        <w:outlineLvl w:val="1"/>
        <w:rPr>
          <w:rFonts w:ascii="黑体" w:hAnsi="宋体" w:eastAsia="黑体"/>
          <w:sz w:val="32"/>
          <w:szCs w:val="32"/>
        </w:rPr>
      </w:pPr>
      <w:bookmarkStart w:id="96" w:name="_Toc3870"/>
      <w:r>
        <w:rPr>
          <w:rFonts w:hint="eastAsia" w:ascii="黑体" w:hAnsi="宋体" w:eastAsia="黑体"/>
          <w:sz w:val="32"/>
          <w:szCs w:val="32"/>
        </w:rPr>
        <w:t>五、评价结论及建议</w:t>
      </w:r>
      <w:bookmarkEnd w:id="96"/>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（一）评价结论</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仿宋_GB2312" w:hAnsi="宋体" w:eastAsia="仿宋_GB2312"/>
          <w:sz w:val="32"/>
          <w:szCs w:val="32"/>
          <w:lang w:val="zh-CN"/>
        </w:rPr>
        <w:t>图书资料项目为图书馆的服务提供了基本保障，满足了读者一定的阅读需求。在资金的使用上严格按照相关文件要求执行，并确保项目的整体推进和质量要求。</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（二）存在的问题</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按照最新图书馆评估定级标准，我馆在文献资料购置方面的费用缺口较大，不能满足读者对各类知识日益增长的需求。</w:t>
      </w:r>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（三）相关建议</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加强资金管理，确保资金安全有效地使用。积极争取更多资金，为读者提供更好的服务。</w:t>
      </w:r>
    </w:p>
    <w:p>
      <w:pPr>
        <w:pStyle w:val="6"/>
        <w:spacing w:before="93"/>
        <w:rPr>
          <w:lang w:val="zh-CN"/>
        </w:rPr>
      </w:pPr>
    </w:p>
    <w:p>
      <w:pPr>
        <w:pStyle w:val="6"/>
        <w:spacing w:before="93"/>
        <w:rPr>
          <w:lang w:val="zh-CN"/>
        </w:rPr>
      </w:pPr>
    </w:p>
    <w:p>
      <w:pPr>
        <w:spacing w:line="572" w:lineRule="exact"/>
        <w:jc w:val="left"/>
        <w:outlineLvl w:val="1"/>
        <w:rPr>
          <w:rFonts w:ascii="仿宋_GB2312" w:hAnsi="仿宋_GB2312" w:eastAsia="黑体" w:cs="仿宋_GB2312"/>
          <w:sz w:val="32"/>
          <w:szCs w:val="32"/>
        </w:rPr>
      </w:pPr>
      <w:bookmarkStart w:id="97" w:name="_Toc32248"/>
      <w:r>
        <w:rPr>
          <w:rFonts w:hint="eastAsia" w:ascii="黑体" w:hAnsi="黑体" w:eastAsia="黑体" w:cs="黑体"/>
          <w:sz w:val="32"/>
          <w:szCs w:val="32"/>
        </w:rPr>
        <w:t>附表</w:t>
      </w:r>
      <w:bookmarkEnd w:id="97"/>
    </w:p>
    <w:tbl>
      <w:tblPr>
        <w:tblStyle w:val="12"/>
        <w:tblpPr w:leftFromText="180" w:rightFromText="180" w:vertAnchor="text" w:horzAnchor="page" w:tblpXSpec="center" w:tblpY="423"/>
        <w:tblOverlap w:val="never"/>
        <w:tblW w:w="10476" w:type="dxa"/>
        <w:jc w:val="center"/>
        <w:tblLayout w:type="fixed"/>
        <w:tblCellMar>
          <w:top w:w="0" w:type="dxa"/>
          <w:left w:w="0" w:type="dxa"/>
          <w:bottom w:w="0" w:type="dxa"/>
          <w:right w:w="0" w:type="dxa"/>
        </w:tblCellMar>
      </w:tblPr>
      <w:tblGrid>
        <w:gridCol w:w="1211"/>
        <w:gridCol w:w="972"/>
        <w:gridCol w:w="90"/>
        <w:gridCol w:w="1025"/>
        <w:gridCol w:w="1093"/>
        <w:gridCol w:w="1299"/>
        <w:gridCol w:w="2304"/>
        <w:gridCol w:w="90"/>
        <w:gridCol w:w="2302"/>
        <w:gridCol w:w="90"/>
      </w:tblGrid>
      <w:tr>
        <w:tblPrEx>
          <w:tblCellMar>
            <w:top w:w="0" w:type="dxa"/>
            <w:left w:w="0" w:type="dxa"/>
            <w:bottom w:w="0" w:type="dxa"/>
            <w:right w:w="0" w:type="dxa"/>
          </w:tblCellMar>
        </w:tblPrEx>
        <w:trPr>
          <w:gridAfter w:val="1"/>
          <w:wAfter w:w="90" w:type="dxa"/>
          <w:trHeight w:val="1034" w:hRule="atLeast"/>
          <w:jc w:val="center"/>
        </w:trPr>
        <w:tc>
          <w:tcPr>
            <w:tcW w:w="10386"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宋体" w:cs="宋体"/>
                <w:color w:val="000000"/>
                <w:sz w:val="36"/>
                <w:szCs w:val="36"/>
              </w:rPr>
            </w:pPr>
            <w:r>
              <w:rPr>
                <w:rFonts w:hint="eastAsia" w:ascii="方正小标宋简体" w:hAnsi="方正小标宋简体" w:eastAsia="方正小标宋简体" w:cs="方正小标宋简体"/>
                <w:bCs/>
                <w:sz w:val="44"/>
                <w:szCs w:val="44"/>
              </w:rPr>
              <w:t>2021年部门预算项目绩效目标自评</w:t>
            </w:r>
          </w:p>
        </w:tc>
      </w:tr>
      <w:tr>
        <w:tblPrEx>
          <w:tblCellMar>
            <w:top w:w="0" w:type="dxa"/>
            <w:left w:w="0" w:type="dxa"/>
            <w:bottom w:w="0" w:type="dxa"/>
            <w:right w:w="0" w:type="dxa"/>
          </w:tblCellMar>
        </w:tblPrEx>
        <w:trPr>
          <w:gridAfter w:val="1"/>
          <w:wAfter w:w="90" w:type="dxa"/>
          <w:trHeight w:val="567" w:hRule="exact"/>
          <w:jc w:val="center"/>
        </w:trPr>
        <w:tc>
          <w:tcPr>
            <w:tcW w:w="218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主管部门及代码</w:t>
            </w:r>
          </w:p>
        </w:tc>
        <w:tc>
          <w:tcPr>
            <w:tcW w:w="3507"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广元市文化广电旅游局 325001</w:t>
            </w: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实施单位</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广元市图书馆</w:t>
            </w:r>
          </w:p>
        </w:tc>
      </w:tr>
      <w:tr>
        <w:tblPrEx>
          <w:tblCellMar>
            <w:top w:w="0" w:type="dxa"/>
            <w:left w:w="0" w:type="dxa"/>
            <w:bottom w:w="0" w:type="dxa"/>
            <w:right w:w="0" w:type="dxa"/>
          </w:tblCellMar>
        </w:tblPrEx>
        <w:trPr>
          <w:gridAfter w:val="1"/>
          <w:wAfter w:w="90" w:type="dxa"/>
          <w:trHeight w:val="567" w:hRule="exact"/>
          <w:jc w:val="center"/>
        </w:trPr>
        <w:tc>
          <w:tcPr>
            <w:tcW w:w="2183"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项目预算</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执行情况</w:t>
            </w:r>
          </w:p>
          <w:p>
            <w:pPr>
              <w:widowControl/>
              <w:jc w:val="center"/>
              <w:textAlignment w:val="center"/>
              <w:rPr>
                <w:rFonts w:ascii="宋体" w:cs="宋体"/>
                <w:color w:val="000000"/>
                <w:sz w:val="24"/>
              </w:rPr>
            </w:pP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22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cs="宋体"/>
                <w:color w:val="000000"/>
                <w:sz w:val="24"/>
              </w:rPr>
              <w:t>30</w:t>
            </w: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cs="宋体"/>
                <w:color w:val="000000"/>
                <w:sz w:val="24"/>
              </w:rPr>
              <w:t>25.28</w:t>
            </w:r>
          </w:p>
        </w:tc>
      </w:tr>
      <w:tr>
        <w:tblPrEx>
          <w:tblCellMar>
            <w:top w:w="0" w:type="dxa"/>
            <w:left w:w="0" w:type="dxa"/>
            <w:bottom w:w="0" w:type="dxa"/>
            <w:right w:w="0" w:type="dxa"/>
          </w:tblCellMar>
        </w:tblPrEx>
        <w:trPr>
          <w:gridAfter w:val="1"/>
          <w:wAfter w:w="90" w:type="dxa"/>
          <w:trHeight w:val="567" w:hRule="exact"/>
          <w:jc w:val="center"/>
        </w:trPr>
        <w:tc>
          <w:tcPr>
            <w:tcW w:w="2183"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2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其中：财政拨款</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cs="宋体"/>
                <w:color w:val="000000"/>
                <w:sz w:val="24"/>
              </w:rPr>
              <w:t>30</w:t>
            </w: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其中：财政拨款</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cs="宋体"/>
                <w:color w:val="000000"/>
                <w:sz w:val="24"/>
              </w:rPr>
              <w:t>25.28</w:t>
            </w:r>
          </w:p>
        </w:tc>
      </w:tr>
      <w:tr>
        <w:tblPrEx>
          <w:tblCellMar>
            <w:top w:w="0" w:type="dxa"/>
            <w:left w:w="0" w:type="dxa"/>
            <w:bottom w:w="0" w:type="dxa"/>
            <w:right w:w="0" w:type="dxa"/>
          </w:tblCellMar>
        </w:tblPrEx>
        <w:trPr>
          <w:gridAfter w:val="1"/>
          <w:wAfter w:w="90" w:type="dxa"/>
          <w:trHeight w:val="567" w:hRule="exact"/>
          <w:jc w:val="center"/>
        </w:trPr>
        <w:tc>
          <w:tcPr>
            <w:tcW w:w="2183"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20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p>
        </w:tc>
        <w:tc>
          <w:tcPr>
            <w:tcW w:w="230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left="218" w:leftChars="104"/>
              <w:jc w:val="left"/>
              <w:rPr>
                <w:rFonts w:ascii="宋体" w:cs="宋体"/>
                <w:color w:val="000000"/>
                <w:sz w:val="24"/>
              </w:rPr>
            </w:pPr>
          </w:p>
        </w:tc>
      </w:tr>
      <w:tr>
        <w:tblPrEx>
          <w:tblCellMar>
            <w:top w:w="0" w:type="dxa"/>
            <w:left w:w="0" w:type="dxa"/>
            <w:bottom w:w="0" w:type="dxa"/>
            <w:right w:w="0" w:type="dxa"/>
          </w:tblCellMar>
        </w:tblPrEx>
        <w:trPr>
          <w:gridAfter w:val="1"/>
          <w:wAfter w:w="90" w:type="dxa"/>
          <w:trHeight w:val="567" w:hRule="exact"/>
          <w:jc w:val="center"/>
        </w:trPr>
        <w:tc>
          <w:tcPr>
            <w:tcW w:w="121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年度</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总体目标</w:t>
            </w:r>
          </w:p>
          <w:p>
            <w:pPr>
              <w:widowControl/>
              <w:jc w:val="center"/>
              <w:textAlignment w:val="center"/>
              <w:rPr>
                <w:rFonts w:ascii="宋体" w:cs="宋体"/>
                <w:color w:val="000000"/>
                <w:sz w:val="24"/>
              </w:rPr>
            </w:pPr>
            <w:r>
              <w:rPr>
                <w:rFonts w:hint="eastAsia" w:ascii="宋体" w:hAnsi="宋体" w:cs="宋体"/>
                <w:color w:val="000000"/>
                <w:kern w:val="0"/>
                <w:sz w:val="24"/>
                <w:lang w:bidi="ar"/>
              </w:rPr>
              <w:t>完成情况</w:t>
            </w:r>
          </w:p>
        </w:tc>
        <w:tc>
          <w:tcPr>
            <w:tcW w:w="447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6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目标实际完成情况</w:t>
            </w:r>
          </w:p>
        </w:tc>
      </w:tr>
      <w:tr>
        <w:tblPrEx>
          <w:tblCellMar>
            <w:top w:w="0" w:type="dxa"/>
            <w:left w:w="0" w:type="dxa"/>
            <w:bottom w:w="0" w:type="dxa"/>
            <w:right w:w="0" w:type="dxa"/>
          </w:tblCellMar>
        </w:tblPrEx>
        <w:trPr>
          <w:gridAfter w:val="1"/>
          <w:wAfter w:w="90" w:type="dxa"/>
          <w:trHeight w:val="567" w:hRule="exact"/>
          <w:jc w:val="center"/>
        </w:trPr>
        <w:tc>
          <w:tcPr>
            <w:tcW w:w="121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447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根据当年经费和读者需求，购买各类图书。</w:t>
            </w:r>
          </w:p>
        </w:tc>
        <w:tc>
          <w:tcPr>
            <w:tcW w:w="46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根据当年经费和读者需求，购买各类图书。</w:t>
            </w:r>
          </w:p>
        </w:tc>
      </w:tr>
      <w:tr>
        <w:tblPrEx>
          <w:tblCellMar>
            <w:top w:w="0" w:type="dxa"/>
            <w:left w:w="0" w:type="dxa"/>
            <w:bottom w:w="0" w:type="dxa"/>
            <w:right w:w="0" w:type="dxa"/>
          </w:tblCellMar>
        </w:tblPrEx>
        <w:trPr>
          <w:trHeight w:val="282" w:hRule="atLeast"/>
          <w:jc w:val="center"/>
        </w:trPr>
        <w:tc>
          <w:tcPr>
            <w:tcW w:w="121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sz w:val="24"/>
              </w:rPr>
              <w:t>年度绩效指标完成情况</w:t>
            </w:r>
          </w:p>
        </w:tc>
        <w:tc>
          <w:tcPr>
            <w:tcW w:w="10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一级</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p>
        </w:tc>
      </w:tr>
      <w:tr>
        <w:tblPrEx>
          <w:tblCellMar>
            <w:top w:w="0" w:type="dxa"/>
            <w:left w:w="0" w:type="dxa"/>
            <w:bottom w:w="0" w:type="dxa"/>
            <w:right w:w="0" w:type="dxa"/>
          </w:tblCellMar>
        </w:tblPrEx>
        <w:trPr>
          <w:trHeight w:val="567" w:hRule="exac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完成</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指标1：各类图书</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5</w:t>
            </w:r>
            <w:r>
              <w:rPr>
                <w:rFonts w:hint="eastAsia" w:ascii="宋体" w:cs="宋体"/>
                <w:color w:val="000000"/>
                <w:sz w:val="24"/>
              </w:rPr>
              <w:t>00</w:t>
            </w:r>
            <w:r>
              <w:rPr>
                <w:rFonts w:ascii="宋体" w:cs="宋体"/>
                <w:color w:val="000000"/>
                <w:sz w:val="24"/>
              </w:rPr>
              <w:t>0</w:t>
            </w:r>
            <w:r>
              <w:rPr>
                <w:rFonts w:hint="eastAsia" w:ascii="宋体" w:cs="宋体"/>
                <w:color w:val="000000"/>
                <w:sz w:val="24"/>
              </w:rPr>
              <w:t>册</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6210册</w:t>
            </w:r>
          </w:p>
        </w:tc>
      </w:tr>
      <w:tr>
        <w:tblPrEx>
          <w:tblCellMar>
            <w:top w:w="0" w:type="dxa"/>
            <w:left w:w="0" w:type="dxa"/>
            <w:bottom w:w="0" w:type="dxa"/>
            <w:right w:w="0" w:type="dxa"/>
          </w:tblCellMar>
        </w:tblPrEx>
        <w:trPr>
          <w:trHeight w:val="567" w:hRule="exac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指标2：期刊报纸</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300</w:t>
            </w:r>
            <w:r>
              <w:rPr>
                <w:rFonts w:hint="eastAsia" w:ascii="宋体" w:cs="宋体"/>
                <w:color w:val="000000"/>
                <w:sz w:val="24"/>
              </w:rPr>
              <w:t>种</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471种</w:t>
            </w:r>
          </w:p>
        </w:tc>
      </w:tr>
      <w:tr>
        <w:tblPrEx>
          <w:tblCellMar>
            <w:top w:w="0" w:type="dxa"/>
            <w:left w:w="0" w:type="dxa"/>
            <w:bottom w:w="0" w:type="dxa"/>
            <w:right w:w="0" w:type="dxa"/>
          </w:tblCellMar>
        </w:tblPrEx>
        <w:trPr>
          <w:trHeight w:val="109" w:hRule="atLeas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指标3：电子资源数据库</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1种</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2种</w:t>
            </w:r>
          </w:p>
        </w:tc>
      </w:tr>
      <w:tr>
        <w:tblPrEx>
          <w:tblCellMar>
            <w:top w:w="0" w:type="dxa"/>
            <w:left w:w="0" w:type="dxa"/>
            <w:bottom w:w="0" w:type="dxa"/>
            <w:right w:w="0" w:type="dxa"/>
          </w:tblCellMar>
        </w:tblPrEx>
        <w:trPr>
          <w:trHeight w:val="590" w:hRule="atLeas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指标1：正版率</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=100%</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100%</w:t>
            </w:r>
          </w:p>
        </w:tc>
      </w:tr>
      <w:tr>
        <w:tblPrEx>
          <w:tblCellMar>
            <w:top w:w="0" w:type="dxa"/>
            <w:left w:w="0" w:type="dxa"/>
            <w:bottom w:w="0" w:type="dxa"/>
            <w:right w:w="0" w:type="dxa"/>
          </w:tblCellMar>
        </w:tblPrEx>
        <w:trPr>
          <w:trHeight w:val="1042" w:hRule="atLeas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指标1：实施时间</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1月至12月</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1月至12月</w:t>
            </w:r>
          </w:p>
        </w:tc>
      </w:tr>
      <w:tr>
        <w:tblPrEx>
          <w:tblCellMar>
            <w:top w:w="0" w:type="dxa"/>
            <w:left w:w="0" w:type="dxa"/>
            <w:bottom w:w="0" w:type="dxa"/>
            <w:right w:w="0" w:type="dxa"/>
          </w:tblCellMar>
        </w:tblPrEx>
        <w:trPr>
          <w:trHeight w:val="1042" w:hRule="atLeas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lang w:bidi="ar"/>
              </w:rPr>
            </w:pP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指标1：文献资料购置费</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30万元</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30万元</w:t>
            </w:r>
          </w:p>
        </w:tc>
      </w:tr>
      <w:tr>
        <w:tblPrEx>
          <w:tblCellMar>
            <w:top w:w="0" w:type="dxa"/>
            <w:left w:w="0" w:type="dxa"/>
            <w:bottom w:w="0" w:type="dxa"/>
            <w:right w:w="0" w:type="dxa"/>
          </w:tblCellMar>
        </w:tblPrEx>
        <w:trPr>
          <w:trHeight w:val="1042" w:hRule="atLeast"/>
          <w:jc w:val="center"/>
        </w:trPr>
        <w:tc>
          <w:tcPr>
            <w:tcW w:w="12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效益</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指标1：满足读者的阅读需要，提升读者到人次</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10万人次</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11.8万人次</w:t>
            </w:r>
          </w:p>
        </w:tc>
      </w:tr>
      <w:tr>
        <w:tblPrEx>
          <w:tblCellMar>
            <w:top w:w="0" w:type="dxa"/>
            <w:left w:w="0" w:type="dxa"/>
            <w:bottom w:w="0" w:type="dxa"/>
            <w:right w:w="0" w:type="dxa"/>
          </w:tblCellMar>
        </w:tblPrEx>
        <w:trPr>
          <w:trHeight w:val="1050" w:hRule="atLeast"/>
          <w:jc w:val="center"/>
        </w:trPr>
        <w:tc>
          <w:tcPr>
            <w:tcW w:w="1211"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106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kern w:val="0"/>
                <w:sz w:val="24"/>
                <w:lang w:bidi="ar"/>
              </w:rPr>
              <w:t>满意度</w:t>
            </w:r>
          </w:p>
          <w:p>
            <w:pPr>
              <w:widowControl/>
              <w:jc w:val="center"/>
              <w:textAlignment w:val="center"/>
              <w:rPr>
                <w:rFonts w:ascii="宋体" w:cs="宋体"/>
                <w:sz w:val="24"/>
              </w:rPr>
            </w:pPr>
            <w:r>
              <w:rPr>
                <w:rFonts w:hint="eastAsia" w:ascii="宋体" w:hAnsi="宋体" w:cs="宋体"/>
                <w:kern w:val="0"/>
                <w:sz w:val="24"/>
                <w:lang w:bidi="ar"/>
              </w:rPr>
              <w:t>指标</w:t>
            </w:r>
          </w:p>
        </w:tc>
        <w:tc>
          <w:tcPr>
            <w:tcW w:w="102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hint="eastAsia" w:ascii="宋体" w:cs="宋体"/>
                <w:sz w:val="24"/>
              </w:rPr>
              <w:t>满意度指标</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sz w:val="24"/>
              </w:rPr>
            </w:pPr>
            <w:r>
              <w:rPr>
                <w:rFonts w:hint="eastAsia" w:ascii="宋体" w:cs="宋体"/>
                <w:sz w:val="24"/>
              </w:rPr>
              <w:t>指标1：读者满意度</w:t>
            </w:r>
          </w:p>
        </w:tc>
        <w:tc>
          <w:tcPr>
            <w:tcW w:w="2394"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ascii="宋体" w:cs="宋体"/>
                <w:sz w:val="24"/>
              </w:rPr>
              <w:t>80%</w:t>
            </w:r>
          </w:p>
        </w:tc>
        <w:tc>
          <w:tcPr>
            <w:tcW w:w="2392"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sz w:val="24"/>
              </w:rPr>
            </w:pPr>
            <w:r>
              <w:rPr>
                <w:rFonts w:ascii="宋体" w:cs="宋体"/>
                <w:sz w:val="24"/>
              </w:rPr>
              <w:t>96</w:t>
            </w:r>
            <w:r>
              <w:rPr>
                <w:rFonts w:hint="eastAsia" w:ascii="宋体" w:cs="宋体"/>
                <w:sz w:val="24"/>
              </w:rPr>
              <w:t>%</w:t>
            </w:r>
          </w:p>
        </w:tc>
      </w:tr>
    </w:tbl>
    <w:p>
      <w:pPr>
        <w:pStyle w:val="6"/>
        <w:spacing w:before="93"/>
        <w:rPr>
          <w:lang w:val="zh-CN"/>
        </w:rPr>
      </w:pPr>
    </w:p>
    <w:p>
      <w:pPr>
        <w:widowControl/>
        <w:jc w:val="left"/>
        <w:rPr>
          <w:rFonts w:ascii="仿宋_GB2312" w:hAnsi="宋体" w:eastAsia="仿宋_GB2312"/>
          <w:sz w:val="32"/>
          <w:szCs w:val="32"/>
          <w:lang w:val="zh-CN"/>
        </w:rPr>
      </w:pPr>
      <w:r>
        <w:rPr>
          <w:rFonts w:ascii="仿宋_GB2312" w:hAnsi="宋体" w:eastAsia="仿宋_GB2312"/>
          <w:sz w:val="32"/>
          <w:szCs w:val="32"/>
          <w:lang w:val="zh-CN"/>
        </w:rPr>
        <w:br w:type="page"/>
      </w:r>
    </w:p>
    <w:p>
      <w:pPr>
        <w:spacing w:line="576" w:lineRule="exact"/>
        <w:rPr>
          <w:rFonts w:ascii="仿宋_GB2312" w:hAnsi="仿宋_GB2312" w:eastAsia="仿宋_GB2312" w:cs="仿宋_GB2312"/>
          <w:sz w:val="32"/>
          <w:szCs w:val="32"/>
        </w:rPr>
      </w:pPr>
      <w:r>
        <w:rPr>
          <w:rFonts w:hint="eastAsia" w:ascii="黑体" w:hAnsi="黑体" w:eastAsia="黑体" w:cs="黑体"/>
          <w:sz w:val="32"/>
          <w:szCs w:val="32"/>
        </w:rPr>
        <w:t>附件4</w:t>
      </w:r>
    </w:p>
    <w:p>
      <w:pPr>
        <w:pStyle w:val="3"/>
        <w:spacing w:before="0" w:after="0" w:line="576" w:lineRule="exact"/>
        <w:jc w:val="center"/>
        <w:rPr>
          <w:rFonts w:ascii="方正小标宋简体" w:hAnsi="方正小标宋简体" w:eastAsia="方正小标宋简体" w:cs="方正小标宋简体"/>
          <w:b w:val="0"/>
        </w:rPr>
      </w:pPr>
      <w:r>
        <w:rPr>
          <w:rFonts w:hint="eastAsia" w:ascii="方正小标宋简体" w:hAnsi="方正小标宋简体" w:eastAsia="方正小标宋简体" w:cs="方正小标宋简体"/>
          <w:b w:val="0"/>
        </w:rPr>
        <w:t>广元市图书馆</w:t>
      </w:r>
    </w:p>
    <w:p>
      <w:pPr>
        <w:pStyle w:val="3"/>
        <w:spacing w:before="0" w:after="0" w:line="576" w:lineRule="exact"/>
        <w:jc w:val="center"/>
        <w:rPr>
          <w:rFonts w:ascii="方正小标宋简体" w:hAnsi="方正小标宋简体" w:eastAsia="方正小标宋简体" w:cs="方正小标宋简体"/>
          <w:b w:val="0"/>
          <w:lang w:val="zh-CN"/>
        </w:rPr>
      </w:pPr>
      <w:r>
        <w:rPr>
          <w:rFonts w:hint="eastAsia" w:ascii="方正小标宋简体" w:hAnsi="方正小标宋简体" w:eastAsia="方正小标宋简体" w:cs="方正小标宋简体"/>
          <w:b w:val="0"/>
          <w:lang w:val="zh-CN"/>
        </w:rPr>
        <w:t>数字资源建设暨广元市图书馆2020年四川省全民阅读资源（总分馆平台自有版权资源）建设项目</w:t>
      </w:r>
      <w:r>
        <w:rPr>
          <w:rFonts w:hint="eastAsia" w:ascii="方正小标宋简体" w:hAnsi="方正小标宋简体" w:eastAsia="方正小标宋简体" w:cs="方正小标宋简体"/>
          <w:b w:val="0"/>
        </w:rPr>
        <w:t>2021年</w:t>
      </w:r>
      <w:r>
        <w:rPr>
          <w:rFonts w:hint="eastAsia" w:ascii="方正小标宋简体" w:hAnsi="方正小标宋简体" w:eastAsia="方正小标宋简体" w:cs="方正小标宋简体"/>
          <w:b w:val="0"/>
          <w:lang w:val="zh-CN"/>
        </w:rPr>
        <w:t>绩效评价报告</w:t>
      </w:r>
    </w:p>
    <w:p>
      <w:pPr>
        <w:spacing w:line="576" w:lineRule="exact"/>
        <w:ind w:firstLine="640" w:firstLineChars="200"/>
        <w:rPr>
          <w:rFonts w:ascii="宋体"/>
          <w:sz w:val="32"/>
          <w:szCs w:val="32"/>
          <w:lang w:val="zh-CN"/>
        </w:rPr>
      </w:pPr>
    </w:p>
    <w:p>
      <w:pPr>
        <w:adjustRightInd w:val="0"/>
        <w:snapToGrid w:val="0"/>
        <w:spacing w:line="576" w:lineRule="exact"/>
        <w:ind w:firstLine="640" w:firstLineChars="200"/>
        <w:outlineLvl w:val="1"/>
        <w:rPr>
          <w:rFonts w:ascii="黑体" w:hAnsi="宋体" w:eastAsia="黑体"/>
          <w:sz w:val="32"/>
          <w:szCs w:val="32"/>
          <w:lang w:val="zh-CN"/>
        </w:rPr>
      </w:pPr>
      <w:bookmarkStart w:id="98" w:name="_Toc7287"/>
      <w:r>
        <w:rPr>
          <w:rFonts w:hint="eastAsia" w:ascii="黑体" w:hAnsi="宋体" w:eastAsia="黑体"/>
          <w:sz w:val="32"/>
          <w:szCs w:val="32"/>
        </w:rPr>
        <w:t>一、</w:t>
      </w:r>
      <w:r>
        <w:rPr>
          <w:rFonts w:hint="eastAsia" w:ascii="黑体" w:hAnsi="宋体" w:eastAsia="黑体"/>
          <w:sz w:val="32"/>
          <w:szCs w:val="32"/>
          <w:lang w:val="zh-CN"/>
        </w:rPr>
        <w:t>项目概况</w:t>
      </w:r>
      <w:bookmarkEnd w:id="98"/>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（一）项目基本情况</w:t>
      </w:r>
    </w:p>
    <w:p>
      <w:pPr>
        <w:adjustRightInd w:val="0"/>
        <w:snapToGrid w:val="0"/>
        <w:spacing w:line="576" w:lineRule="exact"/>
        <w:ind w:firstLine="640" w:firstLineChars="200"/>
        <w:rPr>
          <w:rFonts w:ascii="仿宋_GB2312" w:hAnsi="宋体" w:eastAsia="仿宋_GB2312"/>
          <w:sz w:val="32"/>
          <w:szCs w:val="32"/>
        </w:rPr>
      </w:pPr>
      <w:r>
        <w:rPr>
          <w:rFonts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根据国家图书馆项目整体规划，按申请或分配执行各地区数字资源建设，具体由当地公共图书馆负责建设，由省图书馆或国家图书馆负责验收。</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rPr>
        <w:t>.</w:t>
      </w:r>
      <w:r>
        <w:rPr>
          <w:rFonts w:hint="eastAsia" w:ascii="仿宋_GB2312" w:hAnsi="宋体" w:eastAsia="仿宋_GB2312"/>
          <w:sz w:val="32"/>
          <w:szCs w:val="32"/>
          <w:lang w:val="zh-CN"/>
        </w:rPr>
        <w:t>项目立项、资金申报的依据</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根据国家图书馆项目整体规划，按申请或分配划拨资金。</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rPr>
        <w:t>.</w:t>
      </w:r>
      <w:r>
        <w:rPr>
          <w:rFonts w:hint="eastAsia" w:ascii="仿宋_GB2312" w:hAnsi="宋体" w:eastAsia="仿宋_GB2312"/>
          <w:sz w:val="32"/>
          <w:szCs w:val="32"/>
          <w:lang w:val="zh-CN"/>
        </w:rPr>
        <w:t>资金使用严格按照有关专款专用的法律法规使用，该项目资金必须用于数字资源建设。</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4</w:t>
      </w:r>
      <w:r>
        <w:rPr>
          <w:rFonts w:hint="eastAsia" w:ascii="仿宋_GB2312" w:hAnsi="宋体" w:eastAsia="仿宋_GB2312"/>
          <w:sz w:val="32"/>
          <w:szCs w:val="32"/>
        </w:rPr>
        <w:t>.</w:t>
      </w:r>
      <w:r>
        <w:rPr>
          <w:rFonts w:hint="eastAsia" w:ascii="仿宋_GB2312" w:hAnsi="宋体" w:eastAsia="仿宋_GB2312"/>
          <w:sz w:val="32"/>
          <w:szCs w:val="32"/>
          <w:lang w:val="zh-CN"/>
        </w:rPr>
        <w:t>该项目为2</w:t>
      </w:r>
      <w:r>
        <w:rPr>
          <w:rFonts w:ascii="仿宋_GB2312" w:hAnsi="宋体" w:eastAsia="仿宋_GB2312"/>
          <w:sz w:val="32"/>
          <w:szCs w:val="32"/>
          <w:lang w:val="zh-CN"/>
        </w:rPr>
        <w:t>020</w:t>
      </w:r>
      <w:r>
        <w:rPr>
          <w:rFonts w:hint="eastAsia" w:ascii="仿宋_GB2312" w:hAnsi="宋体" w:eastAsia="仿宋_GB2312"/>
          <w:sz w:val="32"/>
          <w:szCs w:val="32"/>
          <w:lang w:val="zh-CN"/>
        </w:rPr>
        <w:t>年延续性项目，2</w:t>
      </w:r>
      <w:r>
        <w:rPr>
          <w:rFonts w:ascii="仿宋_GB2312" w:hAnsi="宋体" w:eastAsia="仿宋_GB2312"/>
          <w:sz w:val="32"/>
          <w:szCs w:val="32"/>
          <w:lang w:val="zh-CN"/>
        </w:rPr>
        <w:t>020</w:t>
      </w:r>
      <w:r>
        <w:rPr>
          <w:rFonts w:hint="eastAsia" w:ascii="仿宋_GB2312" w:hAnsi="宋体" w:eastAsia="仿宋_GB2312"/>
          <w:sz w:val="32"/>
          <w:szCs w:val="32"/>
          <w:lang w:val="zh-CN"/>
        </w:rPr>
        <w:t>年已完成项目前期建设，2</w:t>
      </w:r>
      <w:r>
        <w:rPr>
          <w:rFonts w:ascii="仿宋_GB2312" w:hAnsi="宋体" w:eastAsia="仿宋_GB2312"/>
          <w:sz w:val="32"/>
          <w:szCs w:val="32"/>
          <w:lang w:val="zh-CN"/>
        </w:rPr>
        <w:t>021</w:t>
      </w:r>
      <w:r>
        <w:rPr>
          <w:rFonts w:hint="eastAsia" w:ascii="仿宋_GB2312" w:hAnsi="宋体" w:eastAsia="仿宋_GB2312"/>
          <w:sz w:val="32"/>
          <w:szCs w:val="32"/>
          <w:lang w:val="zh-CN"/>
        </w:rPr>
        <w:t>年主要为项目验收等工作。</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项目主要内容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用于本地信息资源按相关要求进行数字化加工，提供给国家数字图书馆。</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rPr>
        <w:t>.</w:t>
      </w:r>
      <w:r>
        <w:rPr>
          <w:rFonts w:hint="eastAsia" w:ascii="仿宋_GB2312" w:hAnsi="宋体" w:eastAsia="仿宋_GB2312"/>
          <w:sz w:val="32"/>
          <w:szCs w:val="32"/>
          <w:lang w:val="zh-CN"/>
        </w:rPr>
        <w:t>项目应实现的具体绩效目标，包括目标的量化、细化情况以及项目实施进度计划等</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通过该项目2年的期限，建设图书馆公开课3</w:t>
      </w:r>
      <w:r>
        <w:rPr>
          <w:rFonts w:ascii="仿宋_GB2312" w:hAnsi="宋体" w:eastAsia="仿宋_GB2312"/>
          <w:sz w:val="32"/>
          <w:szCs w:val="32"/>
          <w:lang w:val="zh-CN"/>
        </w:rPr>
        <w:t>0</w:t>
      </w:r>
      <w:r>
        <w:rPr>
          <w:rFonts w:hint="eastAsia" w:ascii="仿宋_GB2312" w:hAnsi="宋体" w:eastAsia="仿宋_GB2312"/>
          <w:sz w:val="32"/>
          <w:szCs w:val="32"/>
          <w:lang w:val="zh-CN"/>
        </w:rPr>
        <w:t>节，地方报纸数字化0</w:t>
      </w:r>
      <w:r>
        <w:rPr>
          <w:rFonts w:ascii="仿宋_GB2312" w:hAnsi="宋体" w:eastAsia="仿宋_GB2312"/>
          <w:sz w:val="32"/>
          <w:szCs w:val="32"/>
          <w:lang w:val="zh-CN"/>
        </w:rPr>
        <w:t>.8333</w:t>
      </w:r>
      <w:r>
        <w:rPr>
          <w:rFonts w:hint="eastAsia" w:ascii="仿宋_GB2312" w:hAnsi="宋体" w:eastAsia="仿宋_GB2312"/>
          <w:sz w:val="32"/>
          <w:szCs w:val="32"/>
          <w:lang w:val="zh-CN"/>
        </w:rPr>
        <w:t>万版，搭建数字资源建设展示平台1个，可访问电子期刊服务1年。</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rPr>
        <w:t>.</w:t>
      </w:r>
      <w:r>
        <w:rPr>
          <w:rFonts w:hint="eastAsia" w:ascii="仿宋_GB2312" w:hAnsi="宋体" w:eastAsia="仿宋_GB2312"/>
          <w:sz w:val="32"/>
          <w:szCs w:val="32"/>
          <w:lang w:val="zh-CN"/>
        </w:rPr>
        <w:t>分析评价申报内容是否与实际相符，申报目标是否合理可行</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根据实际执行情况，申报目标可行、合理，且能够完成。</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（三）项目自评步骤及方法。</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根据该年项目实施，能够按质按量的当年项目内容。</w:t>
      </w:r>
    </w:p>
    <w:p>
      <w:pPr>
        <w:adjustRightInd w:val="0"/>
        <w:snapToGrid w:val="0"/>
        <w:spacing w:line="576" w:lineRule="exact"/>
        <w:ind w:firstLine="640" w:firstLineChars="200"/>
        <w:outlineLvl w:val="1"/>
        <w:rPr>
          <w:rFonts w:ascii="黑体" w:hAnsi="宋体" w:eastAsia="黑体"/>
          <w:sz w:val="32"/>
          <w:szCs w:val="32"/>
        </w:rPr>
      </w:pPr>
      <w:bookmarkStart w:id="99" w:name="_Toc17606"/>
      <w:r>
        <w:rPr>
          <w:rFonts w:hint="eastAsia" w:ascii="黑体" w:hAnsi="宋体" w:eastAsia="黑体"/>
          <w:sz w:val="32"/>
          <w:szCs w:val="32"/>
        </w:rPr>
        <w:t>二、项目资金申报及使用情况</w:t>
      </w:r>
      <w:bookmarkEnd w:id="99"/>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（一）项目资金申报及批复情况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2</w:t>
      </w:r>
      <w:r>
        <w:rPr>
          <w:rFonts w:ascii="仿宋_GB2312" w:hAnsi="宋体" w:eastAsia="仿宋_GB2312"/>
          <w:sz w:val="32"/>
          <w:szCs w:val="32"/>
          <w:lang w:val="zh-CN"/>
        </w:rPr>
        <w:t>021</w:t>
      </w:r>
      <w:r>
        <w:rPr>
          <w:rFonts w:hint="eastAsia" w:ascii="仿宋_GB2312" w:hAnsi="宋体" w:eastAsia="仿宋_GB2312"/>
          <w:sz w:val="32"/>
          <w:szCs w:val="32"/>
          <w:lang w:val="zh-CN"/>
        </w:rPr>
        <w:t>年该项目支付金额金</w:t>
      </w:r>
      <w:r>
        <w:rPr>
          <w:rFonts w:ascii="仿宋_GB2312" w:hAnsi="宋体" w:eastAsia="仿宋_GB2312"/>
          <w:sz w:val="32"/>
          <w:szCs w:val="32"/>
          <w:lang w:val="zh-CN"/>
        </w:rPr>
        <w:t>12.06</w:t>
      </w:r>
      <w:r>
        <w:rPr>
          <w:rFonts w:hint="eastAsia" w:ascii="仿宋_GB2312" w:hAnsi="宋体" w:eastAsia="仿宋_GB2312"/>
          <w:sz w:val="32"/>
          <w:szCs w:val="32"/>
          <w:lang w:val="zh-CN"/>
        </w:rPr>
        <w:t>万元，实际到位</w:t>
      </w:r>
      <w:r>
        <w:rPr>
          <w:rFonts w:ascii="仿宋_GB2312" w:hAnsi="宋体" w:eastAsia="仿宋_GB2312"/>
          <w:sz w:val="32"/>
          <w:szCs w:val="32"/>
          <w:lang w:val="zh-CN"/>
        </w:rPr>
        <w:t>12.06</w:t>
      </w:r>
      <w:r>
        <w:rPr>
          <w:rFonts w:hint="eastAsia" w:ascii="仿宋_GB2312" w:hAnsi="宋体" w:eastAsia="仿宋_GB2312"/>
          <w:sz w:val="32"/>
          <w:szCs w:val="32"/>
          <w:lang w:val="zh-CN"/>
        </w:rPr>
        <w:t>万元。资金到位后，专项用于数字资源建设。</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（二）资金计划、到位及使用情况</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1</w:t>
      </w:r>
      <w:r>
        <w:rPr>
          <w:rFonts w:hint="eastAsia" w:ascii="楷体_GB2312" w:hAnsi="宋体" w:eastAsia="楷体_GB2312"/>
          <w:sz w:val="32"/>
          <w:szCs w:val="32"/>
        </w:rPr>
        <w:t>.</w:t>
      </w:r>
      <w:r>
        <w:rPr>
          <w:rFonts w:hint="eastAsia" w:ascii="楷体_GB2312" w:hAnsi="宋体" w:eastAsia="楷体_GB2312"/>
          <w:sz w:val="32"/>
          <w:szCs w:val="32"/>
          <w:lang w:val="zh-CN"/>
        </w:rPr>
        <w:t>资金计划。</w:t>
      </w:r>
      <w:r>
        <w:rPr>
          <w:rFonts w:ascii="楷体_GB2312" w:hAnsi="宋体" w:eastAsia="楷体_GB2312"/>
          <w:sz w:val="32"/>
          <w:szCs w:val="32"/>
          <w:lang w:val="zh-CN"/>
        </w:rPr>
        <w:t>20</w:t>
      </w:r>
      <w:r>
        <w:rPr>
          <w:rFonts w:hint="eastAsia" w:ascii="楷体_GB2312" w:hAnsi="宋体" w:eastAsia="楷体_GB2312"/>
          <w:sz w:val="32"/>
          <w:szCs w:val="32"/>
          <w:lang w:val="zh-CN"/>
        </w:rPr>
        <w:t>万。</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2</w:t>
      </w:r>
      <w:r>
        <w:rPr>
          <w:rFonts w:hint="eastAsia" w:ascii="楷体_GB2312" w:hAnsi="宋体" w:eastAsia="楷体_GB2312"/>
          <w:sz w:val="32"/>
          <w:szCs w:val="32"/>
        </w:rPr>
        <w:t>.</w:t>
      </w:r>
      <w:r>
        <w:rPr>
          <w:rFonts w:hint="eastAsia" w:ascii="楷体_GB2312" w:hAnsi="宋体" w:eastAsia="楷体_GB2312"/>
          <w:sz w:val="32"/>
          <w:szCs w:val="32"/>
          <w:lang w:val="zh-CN"/>
        </w:rPr>
        <w:t>资金到位。</w:t>
      </w:r>
      <w:r>
        <w:rPr>
          <w:rFonts w:hint="eastAsia" w:ascii="仿宋_GB2312" w:hAnsi="宋体" w:eastAsia="仿宋_GB2312"/>
          <w:sz w:val="32"/>
          <w:szCs w:val="32"/>
          <w:lang w:val="zh-CN"/>
        </w:rPr>
        <w:t>按时到位。</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3</w:t>
      </w:r>
      <w:r>
        <w:rPr>
          <w:rFonts w:hint="eastAsia" w:ascii="楷体_GB2312" w:hAnsi="宋体" w:eastAsia="楷体_GB2312"/>
          <w:sz w:val="32"/>
          <w:szCs w:val="32"/>
        </w:rPr>
        <w:t>.</w:t>
      </w:r>
      <w:r>
        <w:rPr>
          <w:rFonts w:hint="eastAsia" w:ascii="楷体_GB2312" w:hAnsi="宋体" w:eastAsia="楷体_GB2312"/>
          <w:sz w:val="32"/>
          <w:szCs w:val="32"/>
          <w:lang w:val="zh-CN"/>
        </w:rPr>
        <w:t>资金使用。202</w:t>
      </w:r>
      <w:r>
        <w:rPr>
          <w:rFonts w:ascii="楷体_GB2312" w:hAnsi="宋体" w:eastAsia="楷体_GB2312"/>
          <w:sz w:val="32"/>
          <w:szCs w:val="32"/>
          <w:lang w:val="zh-CN"/>
        </w:rPr>
        <w:t>0</w:t>
      </w:r>
      <w:r>
        <w:rPr>
          <w:rFonts w:hint="eastAsia" w:ascii="楷体_GB2312" w:hAnsi="宋体" w:eastAsia="楷体_GB2312"/>
          <w:sz w:val="32"/>
          <w:szCs w:val="32"/>
          <w:lang w:val="zh-CN"/>
        </w:rPr>
        <w:t>年度下达资金</w:t>
      </w:r>
      <w:r>
        <w:rPr>
          <w:rFonts w:ascii="楷体_GB2312" w:hAnsi="宋体" w:eastAsia="楷体_GB2312"/>
          <w:sz w:val="32"/>
          <w:szCs w:val="32"/>
          <w:lang w:val="zh-CN"/>
        </w:rPr>
        <w:t>20</w:t>
      </w:r>
      <w:r>
        <w:rPr>
          <w:rFonts w:hint="eastAsia" w:ascii="楷体_GB2312" w:hAnsi="宋体" w:eastAsia="楷体_GB2312"/>
          <w:sz w:val="32"/>
          <w:szCs w:val="32"/>
          <w:lang w:val="zh-CN"/>
        </w:rPr>
        <w:t>万，2</w:t>
      </w:r>
      <w:r>
        <w:rPr>
          <w:rFonts w:ascii="楷体_GB2312" w:hAnsi="宋体" w:eastAsia="楷体_GB2312"/>
          <w:sz w:val="32"/>
          <w:szCs w:val="32"/>
          <w:lang w:val="zh-CN"/>
        </w:rPr>
        <w:t>020</w:t>
      </w:r>
      <w:r>
        <w:rPr>
          <w:rFonts w:hint="eastAsia" w:ascii="楷体_GB2312" w:hAnsi="宋体" w:eastAsia="楷体_GB2312"/>
          <w:sz w:val="32"/>
          <w:szCs w:val="32"/>
          <w:lang w:val="zh-CN"/>
        </w:rPr>
        <w:t>使用资金</w:t>
      </w:r>
      <w:r>
        <w:rPr>
          <w:rFonts w:ascii="楷体_GB2312" w:hAnsi="宋体" w:eastAsia="楷体_GB2312"/>
          <w:sz w:val="32"/>
          <w:szCs w:val="32"/>
          <w:lang w:val="zh-CN"/>
        </w:rPr>
        <w:t>7.94</w:t>
      </w:r>
      <w:r>
        <w:rPr>
          <w:rFonts w:hint="eastAsia" w:ascii="楷体_GB2312" w:hAnsi="宋体" w:eastAsia="楷体_GB2312"/>
          <w:sz w:val="32"/>
          <w:szCs w:val="32"/>
          <w:lang w:val="zh-CN"/>
        </w:rPr>
        <w:t>万，2</w:t>
      </w:r>
      <w:r>
        <w:rPr>
          <w:rFonts w:ascii="楷体_GB2312" w:hAnsi="宋体" w:eastAsia="楷体_GB2312"/>
          <w:sz w:val="32"/>
          <w:szCs w:val="32"/>
          <w:lang w:val="zh-CN"/>
        </w:rPr>
        <w:t>021</w:t>
      </w:r>
      <w:r>
        <w:rPr>
          <w:rFonts w:hint="eastAsia" w:ascii="楷体_GB2312" w:hAnsi="宋体" w:eastAsia="楷体_GB2312"/>
          <w:sz w:val="32"/>
          <w:szCs w:val="32"/>
          <w:lang w:val="zh-CN"/>
        </w:rPr>
        <w:t>年度使用资金1</w:t>
      </w:r>
      <w:r>
        <w:rPr>
          <w:rFonts w:ascii="楷体_GB2312" w:hAnsi="宋体" w:eastAsia="楷体_GB2312"/>
          <w:sz w:val="32"/>
          <w:szCs w:val="32"/>
          <w:lang w:val="zh-CN"/>
        </w:rPr>
        <w:t>2.06</w:t>
      </w:r>
      <w:r>
        <w:rPr>
          <w:rFonts w:hint="eastAsia" w:ascii="楷体_GB2312" w:hAnsi="宋体" w:eastAsia="楷体_GB2312"/>
          <w:sz w:val="32"/>
          <w:szCs w:val="32"/>
          <w:lang w:val="zh-CN"/>
        </w:rPr>
        <w:t>万</w:t>
      </w:r>
      <w:r>
        <w:rPr>
          <w:rFonts w:hint="eastAsia" w:ascii="仿宋_GB2312" w:hAnsi="宋体" w:eastAsia="仿宋_GB2312"/>
          <w:sz w:val="32"/>
          <w:szCs w:val="32"/>
          <w:lang w:val="zh-CN"/>
        </w:rPr>
        <w:t>。</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（三）项目财务管理情况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严格相关财务制度。项目资金实行专款专用，专项核算。严格按照项目方案和绩效执行。</w:t>
      </w:r>
    </w:p>
    <w:p>
      <w:pPr>
        <w:adjustRightInd w:val="0"/>
        <w:snapToGrid w:val="0"/>
        <w:spacing w:line="576" w:lineRule="exact"/>
        <w:ind w:firstLine="640" w:firstLineChars="200"/>
        <w:outlineLvl w:val="1"/>
        <w:rPr>
          <w:rFonts w:ascii="黑体" w:hAnsi="宋体" w:eastAsia="黑体"/>
          <w:sz w:val="32"/>
          <w:szCs w:val="32"/>
        </w:rPr>
      </w:pPr>
      <w:bookmarkStart w:id="100" w:name="_Toc12713"/>
      <w:r>
        <w:rPr>
          <w:rFonts w:hint="eastAsia" w:ascii="黑体" w:hAnsi="宋体" w:eastAsia="黑体"/>
          <w:sz w:val="32"/>
          <w:szCs w:val="32"/>
        </w:rPr>
        <w:t>三、项目实施及管理情况</w:t>
      </w:r>
      <w:bookmarkEnd w:id="100"/>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我馆严格按照安排执行该项目，能够合理规划，安全有效的使用资金，推进项目，能够在预定的时间内完成该项目。</w:t>
      </w:r>
    </w:p>
    <w:p>
      <w:pPr>
        <w:adjustRightInd w:val="0"/>
        <w:snapToGrid w:val="0"/>
        <w:spacing w:line="576" w:lineRule="exact"/>
        <w:ind w:firstLine="640" w:firstLineChars="200"/>
        <w:outlineLvl w:val="1"/>
        <w:rPr>
          <w:rFonts w:ascii="仿宋_GB2312" w:hAnsi="宋体" w:eastAsia="仿宋_GB2312"/>
          <w:sz w:val="32"/>
          <w:szCs w:val="32"/>
          <w:lang w:val="zh-CN"/>
        </w:rPr>
      </w:pPr>
      <w:bookmarkStart w:id="101" w:name="_Toc9727"/>
      <w:r>
        <w:rPr>
          <w:rFonts w:hint="eastAsia" w:ascii="黑体" w:hAnsi="宋体" w:eastAsia="黑体"/>
          <w:sz w:val="32"/>
          <w:szCs w:val="32"/>
        </w:rPr>
        <w:t>四、项目绩效情况</w:t>
      </w:r>
      <w:bookmarkEnd w:id="101"/>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（一）项目完成情况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该项目已完成建设、验收工作。</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（二）项目效益情况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通过该项目的实施，按照相关标准为广元建设了一定的数字化信息量，为全国各地查询广元的信息提供了便利。</w:t>
      </w:r>
    </w:p>
    <w:p>
      <w:pPr>
        <w:adjustRightInd w:val="0"/>
        <w:snapToGrid w:val="0"/>
        <w:spacing w:line="576" w:lineRule="exact"/>
        <w:ind w:firstLine="640" w:firstLineChars="200"/>
        <w:outlineLvl w:val="1"/>
        <w:rPr>
          <w:rFonts w:ascii="黑体" w:hAnsi="宋体" w:eastAsia="黑体"/>
          <w:sz w:val="32"/>
          <w:szCs w:val="32"/>
        </w:rPr>
      </w:pPr>
      <w:bookmarkStart w:id="102" w:name="_Toc4784"/>
      <w:r>
        <w:rPr>
          <w:rFonts w:hint="eastAsia" w:ascii="黑体" w:hAnsi="宋体" w:eastAsia="黑体"/>
          <w:sz w:val="32"/>
          <w:szCs w:val="32"/>
        </w:rPr>
        <w:t>五、评价结论及建议</w:t>
      </w:r>
      <w:bookmarkEnd w:id="102"/>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（一）评价结论</w:t>
      </w:r>
    </w:p>
    <w:p>
      <w:pPr>
        <w:adjustRightInd w:val="0"/>
        <w:snapToGrid w:val="0"/>
        <w:spacing w:line="576" w:lineRule="exact"/>
        <w:ind w:firstLine="640" w:firstLineChars="200"/>
        <w:rPr>
          <w:rFonts w:ascii="仿宋_GB2312" w:hAnsi="宋体" w:eastAsia="仿宋_GB2312"/>
          <w:sz w:val="32"/>
          <w:szCs w:val="32"/>
          <w:bdr w:val="single" w:color="auto" w:sz="4" w:space="0"/>
          <w:lang w:val="zh-CN"/>
        </w:rPr>
      </w:pPr>
      <w:r>
        <w:rPr>
          <w:rFonts w:hint="eastAsia" w:ascii="仿宋_GB2312" w:hAnsi="宋体" w:eastAsia="仿宋_GB2312"/>
          <w:sz w:val="32"/>
          <w:szCs w:val="32"/>
          <w:lang w:val="zh-CN"/>
        </w:rPr>
        <w:t>通过项目的开展，为广元的信息积累提供了一定的数量，为读者查询相关信息提供了新的数据。</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（二）存在的问题</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广元本地信息量还是较大，不能按照相关标准数字化更多信息。</w:t>
      </w:r>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（三）相关建议</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加强学习，积极开展本地数字化信息模式。</w:t>
      </w:r>
    </w:p>
    <w:p>
      <w:pPr>
        <w:pStyle w:val="6"/>
        <w:spacing w:beforeLines="0" w:line="576" w:lineRule="exact"/>
        <w:ind w:firstLine="600" w:firstLineChars="200"/>
        <w:rPr>
          <w:lang w:val="zh-CN"/>
        </w:rPr>
      </w:pPr>
    </w:p>
    <w:p>
      <w:pPr>
        <w:pStyle w:val="6"/>
        <w:spacing w:before="93"/>
        <w:rPr>
          <w:lang w:val="zh-CN"/>
        </w:rPr>
      </w:pPr>
    </w:p>
    <w:p>
      <w:pPr>
        <w:spacing w:line="572" w:lineRule="exact"/>
        <w:jc w:val="left"/>
        <w:outlineLvl w:val="1"/>
        <w:rPr>
          <w:rFonts w:ascii="仿宋_GB2312" w:hAnsi="仿宋_GB2312" w:eastAsia="黑体" w:cs="仿宋_GB2312"/>
          <w:sz w:val="32"/>
          <w:szCs w:val="32"/>
        </w:rPr>
      </w:pPr>
      <w:bookmarkStart w:id="103" w:name="_Toc16242"/>
      <w:r>
        <w:rPr>
          <w:rFonts w:hint="eastAsia" w:ascii="黑体" w:hAnsi="黑体" w:eastAsia="黑体" w:cs="黑体"/>
          <w:sz w:val="32"/>
          <w:szCs w:val="32"/>
        </w:rPr>
        <w:t>附表</w:t>
      </w:r>
      <w:bookmarkEnd w:id="103"/>
    </w:p>
    <w:tbl>
      <w:tblPr>
        <w:tblStyle w:val="12"/>
        <w:tblpPr w:leftFromText="180" w:rightFromText="180" w:vertAnchor="text" w:horzAnchor="page" w:tblpXSpec="center" w:tblpY="423"/>
        <w:tblOverlap w:val="never"/>
        <w:tblW w:w="10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41"/>
        <w:gridCol w:w="975"/>
        <w:gridCol w:w="90"/>
        <w:gridCol w:w="1025"/>
        <w:gridCol w:w="880"/>
        <w:gridCol w:w="1512"/>
        <w:gridCol w:w="2271"/>
        <w:gridCol w:w="123"/>
        <w:gridCol w:w="2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34" w:hRule="atLeast"/>
          <w:jc w:val="center"/>
        </w:trPr>
        <w:tc>
          <w:tcPr>
            <w:tcW w:w="10386" w:type="dxa"/>
            <w:gridSpan w:val="9"/>
            <w:tcBorders>
              <w:top w:val="nil"/>
              <w:left w:val="nil"/>
              <w:bottom w:val="single" w:color="auto" w:sz="4" w:space="0"/>
              <w:right w:val="nil"/>
            </w:tcBorders>
            <w:tcMar>
              <w:top w:w="15" w:type="dxa"/>
              <w:left w:w="15" w:type="dxa"/>
              <w:right w:w="15" w:type="dxa"/>
            </w:tcMar>
            <w:vAlign w:val="center"/>
          </w:tcPr>
          <w:p>
            <w:pPr>
              <w:widowControl/>
              <w:jc w:val="center"/>
              <w:textAlignment w:val="center"/>
              <w:rPr>
                <w:rFonts w:ascii="宋体" w:cs="宋体"/>
                <w:color w:val="000000"/>
                <w:sz w:val="36"/>
                <w:szCs w:val="36"/>
              </w:rPr>
            </w:pPr>
            <w:r>
              <w:rPr>
                <w:rFonts w:hint="eastAsia" w:ascii="方正小标宋简体" w:hAnsi="方正小标宋简体" w:eastAsia="方正小标宋简体" w:cs="方正小标宋简体"/>
                <w:bCs/>
                <w:kern w:val="44"/>
                <w:sz w:val="44"/>
                <w:szCs w:val="44"/>
              </w:rPr>
              <w:t>2021年部门预算项目绩效目标自评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216" w:type="dxa"/>
            <w:gridSpan w:val="2"/>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主管部门及代码</w:t>
            </w:r>
          </w:p>
        </w:tc>
        <w:tc>
          <w:tcPr>
            <w:tcW w:w="3507" w:type="dxa"/>
            <w:gridSpan w:val="4"/>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广元市文化广电旅游局 325001</w:t>
            </w:r>
          </w:p>
        </w:tc>
        <w:tc>
          <w:tcPr>
            <w:tcW w:w="2271" w:type="dxa"/>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实施单位</w:t>
            </w:r>
          </w:p>
        </w:tc>
        <w:tc>
          <w:tcPr>
            <w:tcW w:w="2392" w:type="dxa"/>
            <w:gridSpan w:val="2"/>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16" w:type="dxa"/>
            <w:gridSpan w:val="2"/>
            <w:vMerge w:val="restart"/>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项目预算</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执行情况</w:t>
            </w:r>
          </w:p>
          <w:p>
            <w:pPr>
              <w:widowControl/>
              <w:jc w:val="center"/>
              <w:textAlignment w:val="center"/>
              <w:rPr>
                <w:rFonts w:ascii="宋体" w:cs="宋体"/>
                <w:color w:val="000000"/>
                <w:sz w:val="24"/>
              </w:rPr>
            </w:pP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1995" w:type="dxa"/>
            <w:gridSpan w:val="3"/>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1512"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12.06</w:t>
            </w:r>
          </w:p>
        </w:tc>
        <w:tc>
          <w:tcPr>
            <w:tcW w:w="2271"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392"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12.06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216" w:type="dxa"/>
            <w:gridSpan w:val="2"/>
            <w:vMerge w:val="continue"/>
            <w:tcMar>
              <w:top w:w="15" w:type="dxa"/>
              <w:left w:w="15" w:type="dxa"/>
              <w:right w:w="15" w:type="dxa"/>
            </w:tcMar>
            <w:vAlign w:val="center"/>
          </w:tcPr>
          <w:p>
            <w:pPr>
              <w:jc w:val="center"/>
              <w:rPr>
                <w:rFonts w:ascii="宋体" w:cs="宋体"/>
                <w:color w:val="000000"/>
                <w:sz w:val="24"/>
              </w:rPr>
            </w:pPr>
          </w:p>
        </w:tc>
        <w:tc>
          <w:tcPr>
            <w:tcW w:w="1995" w:type="dxa"/>
            <w:gridSpan w:val="3"/>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其中</w:t>
            </w:r>
            <w:r>
              <w:rPr>
                <w:rFonts w:ascii="宋体" w:hAnsi="宋体" w:cs="宋体"/>
                <w:color w:val="000000"/>
                <w:kern w:val="0"/>
                <w:sz w:val="24"/>
                <w:lang w:bidi="ar"/>
              </w:rPr>
              <w:t>:</w:t>
            </w:r>
            <w:r>
              <w:rPr>
                <w:rFonts w:hint="eastAsia" w:ascii="宋体" w:hAnsi="宋体" w:cs="宋体"/>
                <w:color w:val="000000"/>
                <w:kern w:val="0"/>
                <w:sz w:val="24"/>
                <w:lang w:bidi="ar"/>
              </w:rPr>
              <w:t>财政拨款</w:t>
            </w:r>
          </w:p>
        </w:tc>
        <w:tc>
          <w:tcPr>
            <w:tcW w:w="1512"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12.06</w:t>
            </w:r>
          </w:p>
        </w:tc>
        <w:tc>
          <w:tcPr>
            <w:tcW w:w="2271"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其中</w:t>
            </w:r>
            <w:r>
              <w:rPr>
                <w:rFonts w:ascii="宋体" w:hAnsi="宋体" w:cs="宋体"/>
                <w:color w:val="000000"/>
                <w:kern w:val="0"/>
                <w:sz w:val="24"/>
                <w:lang w:bidi="ar"/>
              </w:rPr>
              <w:t>:</w:t>
            </w:r>
            <w:r>
              <w:rPr>
                <w:rFonts w:hint="eastAsia" w:ascii="宋体" w:hAnsi="宋体" w:cs="宋体"/>
                <w:color w:val="000000"/>
                <w:kern w:val="0"/>
                <w:sz w:val="24"/>
                <w:lang w:bidi="ar"/>
              </w:rPr>
              <w:t>财政拨款</w:t>
            </w:r>
          </w:p>
        </w:tc>
        <w:tc>
          <w:tcPr>
            <w:tcW w:w="2392"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12.06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jc w:val="center"/>
        </w:trPr>
        <w:tc>
          <w:tcPr>
            <w:tcW w:w="2216" w:type="dxa"/>
            <w:gridSpan w:val="2"/>
            <w:vMerge w:val="continue"/>
            <w:tcMar>
              <w:top w:w="15" w:type="dxa"/>
              <w:left w:w="15" w:type="dxa"/>
              <w:right w:w="15" w:type="dxa"/>
            </w:tcMar>
            <w:vAlign w:val="center"/>
          </w:tcPr>
          <w:p>
            <w:pPr>
              <w:jc w:val="center"/>
              <w:rPr>
                <w:rFonts w:ascii="宋体" w:cs="宋体"/>
                <w:color w:val="000000"/>
                <w:sz w:val="24"/>
              </w:rPr>
            </w:pPr>
          </w:p>
        </w:tc>
        <w:tc>
          <w:tcPr>
            <w:tcW w:w="1995" w:type="dxa"/>
            <w:gridSpan w:val="3"/>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1512" w:type="dxa"/>
            <w:tcMar>
              <w:top w:w="15" w:type="dxa"/>
              <w:left w:w="15" w:type="dxa"/>
              <w:right w:w="15" w:type="dxa"/>
            </w:tcMar>
            <w:vAlign w:val="center"/>
          </w:tcPr>
          <w:p>
            <w:pPr>
              <w:widowControl/>
              <w:ind w:left="218" w:leftChars="104"/>
              <w:jc w:val="left"/>
              <w:textAlignment w:val="center"/>
              <w:rPr>
                <w:rFonts w:ascii="宋体" w:cs="宋体"/>
                <w:color w:val="000000"/>
                <w:sz w:val="24"/>
              </w:rPr>
            </w:pPr>
          </w:p>
        </w:tc>
        <w:tc>
          <w:tcPr>
            <w:tcW w:w="2271"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2392" w:type="dxa"/>
            <w:gridSpan w:val="2"/>
            <w:tcMar>
              <w:top w:w="15" w:type="dxa"/>
              <w:left w:w="15" w:type="dxa"/>
              <w:right w:w="15" w:type="dxa"/>
            </w:tcMar>
            <w:vAlign w:val="center"/>
          </w:tcPr>
          <w:p>
            <w:pPr>
              <w:ind w:left="218" w:leftChars="104"/>
              <w:jc w:val="left"/>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41" w:type="dxa"/>
            <w:vMerge w:val="restart"/>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年度</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总体目标</w:t>
            </w:r>
          </w:p>
          <w:p>
            <w:pPr>
              <w:widowControl/>
              <w:jc w:val="center"/>
              <w:textAlignment w:val="center"/>
              <w:rPr>
                <w:rFonts w:ascii="宋体" w:cs="宋体"/>
                <w:color w:val="000000"/>
                <w:sz w:val="24"/>
              </w:rPr>
            </w:pPr>
            <w:r>
              <w:rPr>
                <w:rFonts w:hint="eastAsia" w:ascii="宋体" w:hAnsi="宋体" w:cs="宋体"/>
                <w:color w:val="000000"/>
                <w:kern w:val="0"/>
                <w:sz w:val="24"/>
                <w:lang w:bidi="ar"/>
              </w:rPr>
              <w:t>完成情况</w:t>
            </w:r>
          </w:p>
        </w:tc>
        <w:tc>
          <w:tcPr>
            <w:tcW w:w="4482" w:type="dxa"/>
            <w:gridSpan w:val="5"/>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663" w:type="dxa"/>
            <w:gridSpan w:val="3"/>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目标实际完成情况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41" w:type="dxa"/>
            <w:vMerge w:val="continue"/>
            <w:tcMar>
              <w:top w:w="15" w:type="dxa"/>
              <w:left w:w="15" w:type="dxa"/>
              <w:right w:w="15" w:type="dxa"/>
            </w:tcMar>
            <w:vAlign w:val="center"/>
          </w:tcPr>
          <w:p>
            <w:pPr>
              <w:jc w:val="center"/>
              <w:rPr>
                <w:rFonts w:ascii="宋体" w:cs="宋体"/>
                <w:color w:val="000000"/>
                <w:sz w:val="24"/>
              </w:rPr>
            </w:pPr>
          </w:p>
        </w:tc>
        <w:tc>
          <w:tcPr>
            <w:tcW w:w="4482" w:type="dxa"/>
            <w:gridSpan w:val="5"/>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完成项目验收、尾款支付等工作。</w:t>
            </w:r>
          </w:p>
        </w:tc>
        <w:tc>
          <w:tcPr>
            <w:tcW w:w="4663" w:type="dxa"/>
            <w:gridSpan w:val="3"/>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完成项目验收、尾款支付等工作。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41" w:type="dxa"/>
            <w:vMerge w:val="restart"/>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年度绩效</w:t>
            </w:r>
          </w:p>
          <w:p>
            <w:pPr>
              <w:widowControl/>
              <w:jc w:val="center"/>
              <w:textAlignment w:val="center"/>
              <w:rPr>
                <w:rFonts w:ascii="宋体" w:hAnsi="宋体" w:cs="宋体"/>
                <w:color w:val="000000"/>
                <w:sz w:val="24"/>
              </w:rPr>
            </w:pPr>
            <w:r>
              <w:rPr>
                <w:rFonts w:hint="eastAsia" w:ascii="宋体" w:hAnsi="宋体" w:cs="宋体"/>
                <w:color w:val="000000"/>
                <w:sz w:val="24"/>
              </w:rPr>
              <w:t>指标完成</w:t>
            </w:r>
          </w:p>
          <w:p>
            <w:pPr>
              <w:widowControl/>
              <w:jc w:val="center"/>
              <w:textAlignment w:val="center"/>
              <w:rPr>
                <w:rFonts w:ascii="宋体" w:cs="宋体"/>
                <w:color w:val="000000"/>
                <w:sz w:val="24"/>
              </w:rPr>
            </w:pPr>
            <w:r>
              <w:rPr>
                <w:rFonts w:hint="eastAsia" w:ascii="宋体" w:hAnsi="宋体" w:cs="宋体"/>
                <w:color w:val="000000"/>
                <w:sz w:val="24"/>
              </w:rPr>
              <w:t>情况</w:t>
            </w:r>
          </w:p>
        </w:tc>
        <w:tc>
          <w:tcPr>
            <w:tcW w:w="1065" w:type="dxa"/>
            <w:gridSpan w:val="2"/>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一级</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2392"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p>
        </w:tc>
        <w:tc>
          <w:tcPr>
            <w:tcW w:w="2269"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4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65" w:type="dxa"/>
            <w:gridSpan w:val="2"/>
            <w:vMerge w:val="restart"/>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完成</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vMerge w:val="restart"/>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指标1：公开课</w:t>
            </w:r>
          </w:p>
        </w:tc>
        <w:tc>
          <w:tcPr>
            <w:tcW w:w="2394" w:type="dxa"/>
            <w:gridSpan w:val="2"/>
            <w:shd w:val="clear" w:color="auto" w:fill="auto"/>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节</w:t>
            </w:r>
          </w:p>
        </w:tc>
        <w:tc>
          <w:tcPr>
            <w:tcW w:w="2269"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30</w:t>
            </w:r>
            <w:r>
              <w:rPr>
                <w:rFonts w:hint="eastAsia" w:ascii="宋体" w:cs="宋体"/>
                <w:color w:val="000000"/>
                <w:sz w:val="24"/>
              </w:rPr>
              <w:t>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4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65" w:type="dxa"/>
            <w:gridSpan w:val="2"/>
            <w:vMerge w:val="continue"/>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指标2：地方报纸数字化</w:t>
            </w:r>
          </w:p>
        </w:tc>
        <w:tc>
          <w:tcPr>
            <w:tcW w:w="2394" w:type="dxa"/>
            <w:gridSpan w:val="2"/>
            <w:shd w:val="clear" w:color="auto" w:fill="auto"/>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0.8333</w:t>
            </w:r>
            <w:r>
              <w:rPr>
                <w:rFonts w:hint="eastAsia" w:ascii="宋体" w:cs="宋体"/>
                <w:color w:val="000000"/>
                <w:sz w:val="24"/>
              </w:rPr>
              <w:t>万版</w:t>
            </w:r>
          </w:p>
        </w:tc>
        <w:tc>
          <w:tcPr>
            <w:tcW w:w="2269"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0.8333</w:t>
            </w:r>
            <w:r>
              <w:rPr>
                <w:rFonts w:hint="eastAsia" w:ascii="宋体" w:cs="宋体"/>
                <w:color w:val="000000"/>
                <w:sz w:val="24"/>
              </w:rPr>
              <w:t>万版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4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65" w:type="dxa"/>
            <w:gridSpan w:val="2"/>
            <w:vMerge w:val="continue"/>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指标3：数字展示平台</w:t>
            </w:r>
          </w:p>
        </w:tc>
        <w:tc>
          <w:tcPr>
            <w:tcW w:w="2394" w:type="dxa"/>
            <w:gridSpan w:val="2"/>
            <w:shd w:val="clear" w:color="auto" w:fill="auto"/>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个</w:t>
            </w:r>
          </w:p>
        </w:tc>
        <w:tc>
          <w:tcPr>
            <w:tcW w:w="2269"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4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65" w:type="dxa"/>
            <w:gridSpan w:val="2"/>
            <w:vMerge w:val="continue"/>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指标4：完成首付款</w:t>
            </w:r>
          </w:p>
        </w:tc>
        <w:tc>
          <w:tcPr>
            <w:tcW w:w="2394" w:type="dxa"/>
            <w:gridSpan w:val="2"/>
            <w:shd w:val="clear" w:color="auto" w:fill="auto"/>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12.06</w:t>
            </w:r>
            <w:r>
              <w:rPr>
                <w:rFonts w:hint="eastAsia" w:ascii="宋体" w:cs="宋体"/>
                <w:color w:val="000000"/>
                <w:sz w:val="24"/>
              </w:rPr>
              <w:t>万</w:t>
            </w:r>
          </w:p>
        </w:tc>
        <w:tc>
          <w:tcPr>
            <w:tcW w:w="2269"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12.06</w:t>
            </w:r>
            <w:r>
              <w:rPr>
                <w:rFonts w:hint="eastAsia" w:ascii="宋体" w:cs="宋体"/>
                <w:color w:val="000000"/>
                <w:sz w:val="24"/>
              </w:rPr>
              <w:t>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4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65" w:type="dxa"/>
            <w:gridSpan w:val="2"/>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指标1：合格率</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w:t>
            </w:r>
            <w:r>
              <w:rPr>
                <w:rFonts w:ascii="宋体" w:cs="宋体"/>
                <w:color w:val="000000"/>
                <w:sz w:val="24"/>
              </w:rPr>
              <w:t>00</w:t>
            </w:r>
            <w:r>
              <w:rPr>
                <w:rFonts w:hint="eastAsia" w:ascii="宋体" w:cs="宋体"/>
                <w:color w:val="000000"/>
                <w:sz w:val="24"/>
              </w:rPr>
              <w:t>%</w:t>
            </w:r>
          </w:p>
        </w:tc>
        <w:tc>
          <w:tcPr>
            <w:tcW w:w="2269"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w:t>
            </w:r>
            <w:r>
              <w:rPr>
                <w:rFonts w:ascii="宋体" w:cs="宋体"/>
                <w:color w:val="000000"/>
                <w:sz w:val="24"/>
              </w:rPr>
              <w:t>00</w:t>
            </w:r>
            <w:r>
              <w:rPr>
                <w:rFonts w:hint="eastAsia" w:ascii="宋体" w:cs="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4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65" w:type="dxa"/>
            <w:gridSpan w:val="2"/>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指标1：项目完成时间</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20</w:t>
            </w:r>
            <w:r>
              <w:rPr>
                <w:rFonts w:hint="eastAsia" w:ascii="宋体" w:cs="宋体"/>
                <w:color w:val="000000"/>
                <w:sz w:val="24"/>
              </w:rPr>
              <w:t>2</w:t>
            </w:r>
            <w:r>
              <w:rPr>
                <w:rFonts w:ascii="宋体" w:cs="宋体"/>
                <w:color w:val="000000"/>
                <w:sz w:val="24"/>
              </w:rPr>
              <w:t>1</w:t>
            </w:r>
            <w:r>
              <w:rPr>
                <w:rFonts w:hint="eastAsia" w:ascii="宋体" w:cs="宋体"/>
                <w:color w:val="000000"/>
                <w:sz w:val="24"/>
              </w:rPr>
              <w:t>年1月至12月</w:t>
            </w:r>
          </w:p>
        </w:tc>
        <w:tc>
          <w:tcPr>
            <w:tcW w:w="2269"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20</w:t>
            </w:r>
            <w:r>
              <w:rPr>
                <w:rFonts w:hint="eastAsia" w:ascii="宋体" w:cs="宋体"/>
                <w:color w:val="000000"/>
                <w:sz w:val="24"/>
              </w:rPr>
              <w:t>2</w:t>
            </w:r>
            <w:r>
              <w:rPr>
                <w:rFonts w:ascii="宋体" w:cs="宋体"/>
                <w:color w:val="000000"/>
                <w:sz w:val="24"/>
              </w:rPr>
              <w:t>1</w:t>
            </w:r>
            <w:r>
              <w:rPr>
                <w:rFonts w:hint="eastAsia" w:ascii="宋体" w:cs="宋体"/>
                <w:color w:val="000000"/>
                <w:sz w:val="24"/>
              </w:rPr>
              <w:t>年1月至12月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4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65" w:type="dxa"/>
            <w:gridSpan w:val="2"/>
            <w:vMerge w:val="continue"/>
            <w:tcMar>
              <w:top w:w="15" w:type="dxa"/>
              <w:left w:w="15" w:type="dxa"/>
              <w:right w:w="15" w:type="dxa"/>
            </w:tcMar>
            <w:vAlign w:val="center"/>
          </w:tcPr>
          <w:p>
            <w:pPr>
              <w:widowControl/>
              <w:jc w:val="center"/>
              <w:textAlignment w:val="center"/>
              <w:rPr>
                <w:rFonts w:ascii="宋体" w:cs="宋体"/>
                <w:color w:val="000000"/>
                <w:kern w:val="0"/>
                <w:sz w:val="24"/>
                <w:lang w:bidi="ar"/>
              </w:rPr>
            </w:pP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指标1：项目专项资金</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12.06</w:t>
            </w:r>
            <w:r>
              <w:rPr>
                <w:rFonts w:hint="eastAsia" w:ascii="宋体" w:cs="宋体"/>
                <w:color w:val="000000"/>
                <w:sz w:val="24"/>
              </w:rPr>
              <w:t>万元</w:t>
            </w:r>
          </w:p>
        </w:tc>
        <w:tc>
          <w:tcPr>
            <w:tcW w:w="2269"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12.06</w:t>
            </w:r>
            <w:r>
              <w:rPr>
                <w:rFonts w:hint="eastAsia" w:ascii="宋体" w:cs="宋体"/>
                <w:color w:val="00000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124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65" w:type="dxa"/>
            <w:gridSpan w:val="2"/>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效益</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指标1：进一步加强公共数字文化建设。</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完成广元市图书馆2020年四川省全民阅读资源（总分馆平台自有版权资源）建设项目申报、招标及建设工作</w:t>
            </w:r>
          </w:p>
        </w:tc>
        <w:tc>
          <w:tcPr>
            <w:tcW w:w="2269"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完成该项目的申报、招标及建设工作，为项目的验收打下坚实的基础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2" w:hRule="atLeast"/>
          <w:jc w:val="center"/>
        </w:trPr>
        <w:tc>
          <w:tcPr>
            <w:tcW w:w="124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65" w:type="dxa"/>
            <w:gridSpan w:val="2"/>
            <w:tcMar>
              <w:top w:w="15" w:type="dxa"/>
              <w:left w:w="15" w:type="dxa"/>
              <w:right w:w="15" w:type="dxa"/>
            </w:tcMar>
            <w:vAlign w:val="center"/>
          </w:tcPr>
          <w:p>
            <w:pPr>
              <w:widowControl/>
              <w:jc w:val="center"/>
              <w:textAlignment w:val="center"/>
              <w:rPr>
                <w:rFonts w:ascii="宋体" w:hAnsi="宋体" w:cs="宋体"/>
                <w:kern w:val="0"/>
                <w:sz w:val="24"/>
                <w:lang w:bidi="ar"/>
              </w:rPr>
            </w:pPr>
            <w:r>
              <w:rPr>
                <w:rFonts w:hint="eastAsia" w:ascii="宋体" w:hAnsi="宋体" w:cs="宋体"/>
                <w:kern w:val="0"/>
                <w:sz w:val="24"/>
                <w:lang w:bidi="ar"/>
              </w:rPr>
              <w:t>满意度</w:t>
            </w:r>
          </w:p>
          <w:p>
            <w:pPr>
              <w:widowControl/>
              <w:jc w:val="center"/>
              <w:textAlignment w:val="center"/>
              <w:rPr>
                <w:rFonts w:ascii="宋体" w:hAnsi="宋体" w:cs="宋体"/>
                <w:color w:val="000000"/>
                <w:kern w:val="0"/>
                <w:sz w:val="24"/>
                <w:lang w:bidi="ar"/>
              </w:rPr>
            </w:pPr>
            <w:r>
              <w:rPr>
                <w:rFonts w:hint="eastAsia" w:ascii="宋体" w:hAnsi="宋体" w:cs="宋体"/>
                <w:kern w:val="0"/>
                <w:sz w:val="24"/>
                <w:lang w:bidi="ar"/>
              </w:rPr>
              <w:t>指标</w:t>
            </w: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sz w:val="24"/>
              </w:rPr>
              <w:t>满意度指标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sz w:val="24"/>
              </w:rPr>
              <w:t>指标1：读者满意度</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sz w:val="24"/>
              </w:rPr>
              <w:t>80%</w:t>
            </w:r>
          </w:p>
        </w:tc>
        <w:tc>
          <w:tcPr>
            <w:tcW w:w="2269"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sz w:val="24"/>
              </w:rPr>
              <w:t>96</w:t>
            </w:r>
            <w:r>
              <w:rPr>
                <w:rFonts w:hint="eastAsia" w:ascii="宋体" w:cs="宋体"/>
                <w:sz w:val="24"/>
              </w:rPr>
              <w:t>%</w:t>
            </w:r>
          </w:p>
        </w:tc>
      </w:tr>
    </w:tbl>
    <w:p>
      <w:pPr>
        <w:spacing w:line="580" w:lineRule="exact"/>
        <w:ind w:left="630"/>
        <w:rPr>
          <w:rFonts w:ascii="仿宋_GB2312" w:hAnsi="仿宋_GB2312" w:eastAsia="仿宋_GB2312" w:cs="仿宋_GB2312"/>
          <w:sz w:val="32"/>
          <w:szCs w:val="32"/>
        </w:rPr>
      </w:pPr>
    </w:p>
    <w:p>
      <w:pPr>
        <w:pStyle w:val="6"/>
        <w:spacing w:before="93"/>
        <w:rPr>
          <w:lang w:val="zh-CN"/>
        </w:rPr>
      </w:pPr>
    </w:p>
    <w:p>
      <w:pPr>
        <w:spacing w:line="580" w:lineRule="exact"/>
        <w:ind w:firstLine="640"/>
        <w:rPr>
          <w:rFonts w:ascii="仿宋_GB2312" w:hAnsi="仿宋_GB2312" w:eastAsia="仿宋_GB2312" w:cs="仿宋_GB2312"/>
          <w:sz w:val="32"/>
          <w:szCs w:val="32"/>
        </w:rPr>
      </w:pPr>
    </w:p>
    <w:p>
      <w:pPr>
        <w:spacing w:line="576" w:lineRule="exact"/>
        <w:rPr>
          <w:rFonts w:ascii="仿宋_GB2312" w:hAnsi="仿宋_GB2312" w:eastAsia="仿宋_GB2312" w:cs="仿宋_GB2312"/>
          <w:sz w:val="32"/>
          <w:szCs w:val="32"/>
        </w:rPr>
      </w:pPr>
      <w:r>
        <w:rPr>
          <w:rStyle w:val="24"/>
          <w:rFonts w:ascii="黑体" w:hAnsi="黑体" w:eastAsia="黑体"/>
        </w:rPr>
        <w:br w:type="page"/>
      </w:r>
      <w:r>
        <w:rPr>
          <w:rFonts w:hint="eastAsia" w:ascii="黑体" w:hAnsi="黑体" w:eastAsia="黑体" w:cs="黑体"/>
          <w:sz w:val="32"/>
          <w:szCs w:val="32"/>
        </w:rPr>
        <w:t>附件</w:t>
      </w:r>
      <w:r>
        <w:rPr>
          <w:rFonts w:ascii="黑体" w:hAnsi="黑体" w:eastAsia="黑体" w:cs="黑体"/>
          <w:sz w:val="32"/>
          <w:szCs w:val="32"/>
        </w:rPr>
        <w:t>5</w:t>
      </w:r>
    </w:p>
    <w:p>
      <w:pPr>
        <w:pStyle w:val="3"/>
        <w:spacing w:before="0" w:after="0" w:line="576" w:lineRule="exact"/>
        <w:jc w:val="center"/>
        <w:rPr>
          <w:rFonts w:ascii="方正小标宋简体" w:hAnsi="方正小标宋简体" w:eastAsia="方正小标宋简体" w:cs="方正小标宋简体"/>
          <w:b w:val="0"/>
        </w:rPr>
      </w:pPr>
      <w:r>
        <w:rPr>
          <w:rFonts w:hint="eastAsia" w:ascii="方正小标宋简体" w:hAnsi="方正小标宋简体" w:eastAsia="方正小标宋简体" w:cs="方正小标宋简体"/>
          <w:b w:val="0"/>
        </w:rPr>
        <w:t>广元市图书馆</w:t>
      </w:r>
    </w:p>
    <w:p>
      <w:pPr>
        <w:pStyle w:val="3"/>
        <w:spacing w:before="0" w:after="0" w:line="576" w:lineRule="exact"/>
        <w:jc w:val="center"/>
        <w:rPr>
          <w:rFonts w:ascii="方正小标宋简体" w:hAnsi="方正小标宋简体" w:eastAsia="方正小标宋简体" w:cs="方正小标宋简体"/>
          <w:b w:val="0"/>
          <w:lang w:val="zh-CN"/>
        </w:rPr>
      </w:pPr>
      <w:r>
        <w:rPr>
          <w:rFonts w:hint="eastAsia" w:ascii="方正小标宋简体" w:hAnsi="方正小标宋简体" w:eastAsia="方正小标宋简体" w:cs="方正小标宋简体"/>
          <w:b w:val="0"/>
          <w:lang w:val="zh-CN"/>
        </w:rPr>
        <w:t>2020年中央支持地方公共文化服务体系建设补助资金项目2021年绩效评价报告</w:t>
      </w:r>
    </w:p>
    <w:p>
      <w:pPr>
        <w:spacing w:line="576" w:lineRule="exact"/>
        <w:ind w:firstLine="420" w:firstLineChars="200"/>
        <w:rPr>
          <w:lang w:val="zh-CN"/>
        </w:rPr>
      </w:pPr>
    </w:p>
    <w:p>
      <w:pPr>
        <w:adjustRightInd w:val="0"/>
        <w:snapToGrid w:val="0"/>
        <w:spacing w:line="576" w:lineRule="exact"/>
        <w:ind w:firstLine="640" w:firstLineChars="200"/>
        <w:outlineLvl w:val="1"/>
        <w:rPr>
          <w:rFonts w:ascii="黑体" w:hAnsi="宋体" w:eastAsia="黑体"/>
          <w:sz w:val="32"/>
          <w:szCs w:val="32"/>
          <w:lang w:val="zh-CN"/>
        </w:rPr>
      </w:pPr>
      <w:bookmarkStart w:id="104" w:name="_Toc12504"/>
      <w:r>
        <w:rPr>
          <w:rFonts w:hint="eastAsia" w:ascii="黑体" w:hAnsi="宋体" w:eastAsia="黑体"/>
          <w:sz w:val="32"/>
          <w:szCs w:val="32"/>
        </w:rPr>
        <w:t>一、</w:t>
      </w:r>
      <w:r>
        <w:rPr>
          <w:rFonts w:hint="eastAsia" w:ascii="黑体" w:hAnsi="宋体" w:eastAsia="黑体"/>
          <w:sz w:val="32"/>
          <w:szCs w:val="32"/>
          <w:lang w:val="zh-CN"/>
        </w:rPr>
        <w:t>项目概况</w:t>
      </w:r>
      <w:bookmarkEnd w:id="104"/>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（一）项目基本情况</w:t>
      </w:r>
    </w:p>
    <w:p>
      <w:pPr>
        <w:adjustRightInd w:val="0"/>
        <w:snapToGrid w:val="0"/>
        <w:spacing w:line="576" w:lineRule="exact"/>
        <w:ind w:firstLine="640" w:firstLineChars="200"/>
        <w:rPr>
          <w:rFonts w:ascii="仿宋_GB2312" w:hAnsi="宋体" w:eastAsia="仿宋_GB2312"/>
          <w:sz w:val="32"/>
          <w:szCs w:val="32"/>
        </w:rPr>
      </w:pPr>
      <w:r>
        <w:rPr>
          <w:rFonts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根据有关部门整体规划和项目安排确定资金分配。</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rPr>
        <w:t>2</w:t>
      </w:r>
      <w:r>
        <w:rPr>
          <w:rFonts w:hint="eastAsia" w:ascii="仿宋_GB2312" w:hAnsi="宋体" w:eastAsia="仿宋_GB2312"/>
          <w:sz w:val="32"/>
          <w:szCs w:val="32"/>
        </w:rPr>
        <w:t>.</w:t>
      </w:r>
      <w:r>
        <w:rPr>
          <w:rFonts w:hint="eastAsia" w:ascii="仿宋_GB2312" w:hAnsi="宋体" w:eastAsia="仿宋_GB2312"/>
          <w:sz w:val="32"/>
          <w:szCs w:val="32"/>
          <w:lang w:val="zh-CN"/>
        </w:rPr>
        <w:t>资金使用严格专款专用。</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项目主要内容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用于广元市图书馆窗口建设，提升服务质量和水平，延长服务时间。</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rPr>
        <w:t>.</w:t>
      </w:r>
      <w:r>
        <w:rPr>
          <w:rFonts w:hint="eastAsia" w:ascii="仿宋_GB2312" w:hAnsi="宋体" w:eastAsia="仿宋_GB2312"/>
          <w:sz w:val="32"/>
          <w:szCs w:val="32"/>
          <w:lang w:val="zh-CN"/>
        </w:rPr>
        <w:t>项目应实现的具体绩效目标，包括目标的量化、细化情况以及项目实施进度计划等。</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通过该项目的实施，完成广元市图书馆城市智慧书房的建设，提升了服务质量和水平，延长了服务时间。</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rPr>
        <w:t>.</w:t>
      </w:r>
      <w:r>
        <w:rPr>
          <w:rFonts w:hint="eastAsia" w:ascii="仿宋_GB2312" w:hAnsi="宋体" w:eastAsia="仿宋_GB2312"/>
          <w:sz w:val="32"/>
          <w:szCs w:val="32"/>
          <w:lang w:val="zh-CN"/>
        </w:rPr>
        <w:t>分析评价申报内容是否与实际相符，申报目标是否合理可行。</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根据实际执行情况，申报目标可行、合理，且能够完成。</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（三）项目自评步骤及方法</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根据该年项目实施，能够按质按量的完成项目。。</w:t>
      </w:r>
    </w:p>
    <w:p>
      <w:pPr>
        <w:adjustRightInd w:val="0"/>
        <w:snapToGrid w:val="0"/>
        <w:spacing w:line="576" w:lineRule="exact"/>
        <w:ind w:firstLine="640" w:firstLineChars="200"/>
        <w:outlineLvl w:val="1"/>
        <w:rPr>
          <w:rFonts w:ascii="黑体" w:hAnsi="宋体" w:eastAsia="黑体"/>
          <w:sz w:val="32"/>
          <w:szCs w:val="32"/>
        </w:rPr>
      </w:pPr>
      <w:bookmarkStart w:id="105" w:name="_Toc17680"/>
      <w:r>
        <w:rPr>
          <w:rFonts w:hint="eastAsia" w:ascii="黑体" w:hAnsi="宋体" w:eastAsia="黑体"/>
          <w:sz w:val="32"/>
          <w:szCs w:val="32"/>
        </w:rPr>
        <w:t>二、项目资金申报及使用情况</w:t>
      </w:r>
      <w:bookmarkEnd w:id="105"/>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（一）项目资金申报及批复情况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2</w:t>
      </w:r>
      <w:r>
        <w:rPr>
          <w:rFonts w:ascii="仿宋_GB2312" w:hAnsi="宋体" w:eastAsia="仿宋_GB2312"/>
          <w:sz w:val="32"/>
          <w:szCs w:val="32"/>
          <w:lang w:val="zh-CN"/>
        </w:rPr>
        <w:t>021</w:t>
      </w:r>
      <w:r>
        <w:rPr>
          <w:rFonts w:hint="eastAsia" w:ascii="仿宋_GB2312" w:hAnsi="宋体" w:eastAsia="仿宋_GB2312"/>
          <w:sz w:val="32"/>
          <w:szCs w:val="32"/>
          <w:lang w:val="zh-CN"/>
        </w:rPr>
        <w:t>年该项目支付金额金</w:t>
      </w:r>
      <w:r>
        <w:rPr>
          <w:rFonts w:ascii="仿宋_GB2312" w:hAnsi="宋体" w:eastAsia="仿宋_GB2312"/>
          <w:sz w:val="32"/>
          <w:szCs w:val="32"/>
          <w:lang w:val="zh-CN"/>
        </w:rPr>
        <w:t>3</w:t>
      </w:r>
      <w:r>
        <w:rPr>
          <w:rFonts w:hint="eastAsia" w:ascii="仿宋_GB2312" w:hAnsi="宋体" w:eastAsia="仿宋_GB2312"/>
          <w:sz w:val="32"/>
          <w:szCs w:val="32"/>
          <w:lang w:val="zh-CN"/>
        </w:rPr>
        <w:t>万元，实际到位</w:t>
      </w:r>
      <w:r>
        <w:rPr>
          <w:rFonts w:ascii="仿宋_GB2312" w:hAnsi="宋体" w:eastAsia="仿宋_GB2312"/>
          <w:sz w:val="32"/>
          <w:szCs w:val="32"/>
          <w:lang w:val="zh-CN"/>
        </w:rPr>
        <w:t>3</w:t>
      </w:r>
      <w:r>
        <w:rPr>
          <w:rFonts w:hint="eastAsia" w:ascii="仿宋_GB2312" w:hAnsi="宋体" w:eastAsia="仿宋_GB2312"/>
          <w:sz w:val="32"/>
          <w:szCs w:val="32"/>
          <w:lang w:val="zh-CN"/>
        </w:rPr>
        <w:t>万元（结转资金）。专项用于城市智慧书房建设。</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（二）资金计划、到位及使用情况</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1</w:t>
      </w:r>
      <w:r>
        <w:rPr>
          <w:rFonts w:hint="eastAsia" w:ascii="楷体_GB2312" w:hAnsi="宋体" w:eastAsia="楷体_GB2312"/>
          <w:sz w:val="32"/>
          <w:szCs w:val="32"/>
        </w:rPr>
        <w:t>.</w:t>
      </w:r>
      <w:r>
        <w:rPr>
          <w:rFonts w:hint="eastAsia" w:ascii="楷体_GB2312" w:hAnsi="宋体" w:eastAsia="楷体_GB2312"/>
          <w:sz w:val="32"/>
          <w:szCs w:val="32"/>
          <w:lang w:val="zh-CN"/>
        </w:rPr>
        <w:t>资金计划。</w:t>
      </w:r>
      <w:r>
        <w:rPr>
          <w:rFonts w:ascii="楷体_GB2312" w:hAnsi="宋体" w:eastAsia="楷体_GB2312"/>
          <w:sz w:val="32"/>
          <w:szCs w:val="32"/>
          <w:lang w:val="zh-CN"/>
        </w:rPr>
        <w:t>3</w:t>
      </w:r>
      <w:r>
        <w:rPr>
          <w:rFonts w:hint="eastAsia" w:ascii="楷体_GB2312" w:hAnsi="宋体" w:eastAsia="楷体_GB2312"/>
          <w:sz w:val="32"/>
          <w:szCs w:val="32"/>
          <w:lang w:val="zh-CN"/>
        </w:rPr>
        <w:t>万。</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2</w:t>
      </w:r>
      <w:r>
        <w:rPr>
          <w:rFonts w:hint="eastAsia" w:ascii="楷体_GB2312" w:hAnsi="宋体" w:eastAsia="楷体_GB2312"/>
          <w:sz w:val="32"/>
          <w:szCs w:val="32"/>
        </w:rPr>
        <w:t>.</w:t>
      </w:r>
      <w:r>
        <w:rPr>
          <w:rFonts w:hint="eastAsia" w:ascii="楷体_GB2312" w:hAnsi="宋体" w:eastAsia="楷体_GB2312"/>
          <w:sz w:val="32"/>
          <w:szCs w:val="32"/>
          <w:lang w:val="zh-CN"/>
        </w:rPr>
        <w:t>资金到位。</w:t>
      </w:r>
      <w:r>
        <w:rPr>
          <w:rFonts w:hint="eastAsia" w:ascii="仿宋_GB2312" w:hAnsi="宋体" w:eastAsia="仿宋_GB2312"/>
          <w:sz w:val="32"/>
          <w:szCs w:val="32"/>
          <w:lang w:val="zh-CN"/>
        </w:rPr>
        <w:t>按时到位。</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3</w:t>
      </w:r>
      <w:r>
        <w:rPr>
          <w:rFonts w:hint="eastAsia" w:ascii="楷体_GB2312" w:hAnsi="宋体" w:eastAsia="楷体_GB2312"/>
          <w:sz w:val="32"/>
          <w:szCs w:val="32"/>
        </w:rPr>
        <w:t>.</w:t>
      </w:r>
      <w:r>
        <w:rPr>
          <w:rFonts w:hint="eastAsia" w:ascii="楷体_GB2312" w:hAnsi="宋体" w:eastAsia="楷体_GB2312"/>
          <w:sz w:val="32"/>
          <w:szCs w:val="32"/>
          <w:lang w:val="zh-CN"/>
        </w:rPr>
        <w:t>资金使用。</w:t>
      </w:r>
      <w:r>
        <w:rPr>
          <w:rFonts w:ascii="楷体_GB2312" w:hAnsi="宋体" w:eastAsia="楷体_GB2312"/>
          <w:sz w:val="32"/>
          <w:szCs w:val="32"/>
          <w:lang w:val="zh-CN"/>
        </w:rPr>
        <w:t>3</w:t>
      </w:r>
      <w:r>
        <w:rPr>
          <w:rFonts w:hint="eastAsia" w:ascii="楷体_GB2312" w:hAnsi="宋体" w:eastAsia="楷体_GB2312"/>
          <w:sz w:val="32"/>
          <w:szCs w:val="32"/>
          <w:lang w:val="zh-CN"/>
        </w:rPr>
        <w:t>万</w:t>
      </w:r>
      <w:r>
        <w:rPr>
          <w:rFonts w:hint="eastAsia" w:ascii="仿宋_GB2312" w:hAnsi="宋体" w:eastAsia="仿宋_GB2312"/>
          <w:sz w:val="32"/>
          <w:szCs w:val="32"/>
          <w:lang w:val="zh-CN"/>
        </w:rPr>
        <w:t>。</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（三）项目财务管理情况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严格相关财务制度。项目资金实行专款专用，专项核算。严格按照项目方案和绩效执行。</w:t>
      </w:r>
    </w:p>
    <w:p>
      <w:pPr>
        <w:adjustRightInd w:val="0"/>
        <w:snapToGrid w:val="0"/>
        <w:spacing w:line="576" w:lineRule="exact"/>
        <w:ind w:firstLine="640" w:firstLineChars="200"/>
        <w:outlineLvl w:val="1"/>
        <w:rPr>
          <w:rFonts w:ascii="黑体" w:hAnsi="宋体" w:eastAsia="黑体"/>
          <w:sz w:val="32"/>
          <w:szCs w:val="32"/>
        </w:rPr>
      </w:pPr>
      <w:bookmarkStart w:id="106" w:name="_Toc8416"/>
      <w:r>
        <w:rPr>
          <w:rFonts w:hint="eastAsia" w:ascii="黑体" w:hAnsi="宋体" w:eastAsia="黑体"/>
          <w:sz w:val="32"/>
          <w:szCs w:val="32"/>
        </w:rPr>
        <w:t>三、项目实施及管理情况</w:t>
      </w:r>
      <w:bookmarkEnd w:id="106"/>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我馆严格按照安排执行该项目，能够合理规划，安全有效的使用资金，推进项目，能够在预定的时间内完成该项目。</w:t>
      </w:r>
    </w:p>
    <w:p>
      <w:pPr>
        <w:adjustRightInd w:val="0"/>
        <w:snapToGrid w:val="0"/>
        <w:spacing w:line="576" w:lineRule="exact"/>
        <w:ind w:firstLine="640" w:firstLineChars="200"/>
        <w:outlineLvl w:val="1"/>
        <w:rPr>
          <w:rFonts w:ascii="仿宋_GB2312" w:hAnsi="宋体" w:eastAsia="仿宋_GB2312"/>
          <w:sz w:val="32"/>
          <w:szCs w:val="32"/>
          <w:lang w:val="zh-CN"/>
        </w:rPr>
      </w:pPr>
      <w:bookmarkStart w:id="107" w:name="_Toc3837"/>
      <w:r>
        <w:rPr>
          <w:rFonts w:hint="eastAsia" w:ascii="黑体" w:hAnsi="宋体" w:eastAsia="黑体"/>
          <w:sz w:val="32"/>
          <w:szCs w:val="32"/>
        </w:rPr>
        <w:t>四、项目绩效情况</w:t>
      </w:r>
      <w:bookmarkEnd w:id="107"/>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（一）项目完成情况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该项目已完成。</w:t>
      </w:r>
    </w:p>
    <w:p>
      <w:pPr>
        <w:adjustRightInd w:val="0"/>
        <w:snapToGrid w:val="0"/>
        <w:spacing w:line="576" w:lineRule="exact"/>
        <w:ind w:firstLine="640" w:firstLineChars="200"/>
        <w:rPr>
          <w:rFonts w:ascii="楷体_GB2312" w:hAnsi="宋体" w:eastAsia="楷体_GB2312"/>
          <w:b/>
          <w:sz w:val="32"/>
          <w:szCs w:val="32"/>
          <w:lang w:val="zh-CN"/>
        </w:rPr>
      </w:pPr>
      <w:r>
        <w:rPr>
          <w:rFonts w:hint="eastAsia" w:ascii="楷体_GB2312" w:hAnsi="宋体" w:eastAsia="楷体_GB2312"/>
          <w:bCs/>
          <w:sz w:val="32"/>
          <w:szCs w:val="32"/>
          <w:lang w:val="zh-CN"/>
        </w:rPr>
        <w:t>（二）项目效益情况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通过该项目的实施，完成了广元市图书馆城市智慧书房的建设，提升了服务质量和水平，延长了服务时间。</w:t>
      </w:r>
    </w:p>
    <w:p>
      <w:pPr>
        <w:adjustRightInd w:val="0"/>
        <w:snapToGrid w:val="0"/>
        <w:spacing w:line="576" w:lineRule="exact"/>
        <w:ind w:firstLine="640" w:firstLineChars="200"/>
        <w:outlineLvl w:val="1"/>
        <w:rPr>
          <w:rFonts w:ascii="黑体" w:hAnsi="宋体" w:eastAsia="黑体"/>
          <w:sz w:val="32"/>
          <w:szCs w:val="32"/>
        </w:rPr>
      </w:pPr>
      <w:bookmarkStart w:id="108" w:name="_Toc7978"/>
      <w:r>
        <w:rPr>
          <w:rFonts w:hint="eastAsia" w:ascii="黑体" w:hAnsi="宋体" w:eastAsia="黑体"/>
          <w:sz w:val="32"/>
          <w:szCs w:val="32"/>
        </w:rPr>
        <w:t>五、评价结论及建议</w:t>
      </w:r>
      <w:bookmarkEnd w:id="108"/>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（一）评价结论</w:t>
      </w:r>
    </w:p>
    <w:p>
      <w:pPr>
        <w:adjustRightInd w:val="0"/>
        <w:snapToGrid w:val="0"/>
        <w:spacing w:line="576" w:lineRule="exact"/>
        <w:ind w:firstLine="640" w:firstLineChars="200"/>
        <w:rPr>
          <w:rFonts w:ascii="仿宋_GB2312" w:hAnsi="宋体" w:eastAsia="仿宋_GB2312"/>
          <w:sz w:val="32"/>
          <w:szCs w:val="32"/>
          <w:bdr w:val="single" w:color="auto" w:sz="4" w:space="0"/>
          <w:lang w:val="zh-CN"/>
        </w:rPr>
      </w:pPr>
      <w:r>
        <w:rPr>
          <w:rFonts w:hint="eastAsia" w:ascii="仿宋_GB2312" w:hAnsi="宋体" w:eastAsia="仿宋_GB2312"/>
          <w:sz w:val="32"/>
          <w:szCs w:val="32"/>
          <w:lang w:val="zh-CN"/>
        </w:rPr>
        <w:t>通过项目的开展，广元市图书馆又新增了服务窗口，而且延长了服务时间，能够更好地为读者提供服务。</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（二）存在的问题</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现建成的城市智慧书房较少，规模较小，难以为更多读者提供服务。</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（三）相关建议</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争取资金，建设更高标准服务窗口，满足读者各类需求。</w:t>
      </w:r>
    </w:p>
    <w:p>
      <w:pPr>
        <w:pStyle w:val="6"/>
        <w:spacing w:before="93"/>
        <w:rPr>
          <w:lang w:val="zh-CN"/>
        </w:rPr>
      </w:pPr>
    </w:p>
    <w:p>
      <w:pPr>
        <w:pStyle w:val="6"/>
        <w:spacing w:before="93"/>
        <w:rPr>
          <w:lang w:val="zh-CN"/>
        </w:rPr>
      </w:pPr>
    </w:p>
    <w:p>
      <w:pPr>
        <w:spacing w:line="572" w:lineRule="exact"/>
        <w:jc w:val="left"/>
        <w:outlineLvl w:val="1"/>
        <w:rPr>
          <w:rFonts w:ascii="仿宋_GB2312" w:hAnsi="仿宋_GB2312" w:eastAsia="黑体" w:cs="仿宋_GB2312"/>
          <w:sz w:val="32"/>
          <w:szCs w:val="32"/>
        </w:rPr>
      </w:pPr>
      <w:bookmarkStart w:id="109" w:name="_Toc387"/>
      <w:r>
        <w:rPr>
          <w:rFonts w:hint="eastAsia" w:ascii="黑体" w:hAnsi="黑体" w:eastAsia="黑体" w:cs="黑体"/>
          <w:sz w:val="32"/>
          <w:szCs w:val="32"/>
        </w:rPr>
        <w:t>附表</w:t>
      </w:r>
      <w:bookmarkEnd w:id="109"/>
    </w:p>
    <w:tbl>
      <w:tblPr>
        <w:tblStyle w:val="12"/>
        <w:tblpPr w:leftFromText="180" w:rightFromText="180" w:vertAnchor="text" w:horzAnchor="page" w:tblpXSpec="center" w:tblpY="423"/>
        <w:tblOverlap w:val="never"/>
        <w:tblW w:w="10386" w:type="dxa"/>
        <w:jc w:val="center"/>
        <w:tblLayout w:type="fixed"/>
        <w:tblCellMar>
          <w:top w:w="0" w:type="dxa"/>
          <w:left w:w="0" w:type="dxa"/>
          <w:bottom w:w="0" w:type="dxa"/>
          <w:right w:w="0" w:type="dxa"/>
        </w:tblCellMar>
      </w:tblPr>
      <w:tblGrid>
        <w:gridCol w:w="1181"/>
        <w:gridCol w:w="885"/>
        <w:gridCol w:w="90"/>
        <w:gridCol w:w="911"/>
        <w:gridCol w:w="1114"/>
        <w:gridCol w:w="1509"/>
        <w:gridCol w:w="1965"/>
        <w:gridCol w:w="90"/>
        <w:gridCol w:w="2641"/>
      </w:tblGrid>
      <w:tr>
        <w:tblPrEx>
          <w:tblCellMar>
            <w:top w:w="0" w:type="dxa"/>
            <w:left w:w="0" w:type="dxa"/>
            <w:bottom w:w="0" w:type="dxa"/>
            <w:right w:w="0" w:type="dxa"/>
          </w:tblCellMar>
        </w:tblPrEx>
        <w:trPr>
          <w:trHeight w:val="1034" w:hRule="atLeast"/>
          <w:jc w:val="center"/>
        </w:trPr>
        <w:tc>
          <w:tcPr>
            <w:tcW w:w="10386"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宋体" w:cs="宋体"/>
                <w:color w:val="000000"/>
                <w:sz w:val="36"/>
                <w:szCs w:val="36"/>
              </w:rPr>
            </w:pPr>
            <w:r>
              <w:rPr>
                <w:rFonts w:hint="eastAsia" w:ascii="方正小标宋简体" w:hAnsi="方正小标宋简体" w:eastAsia="方正小标宋简体" w:cs="方正小标宋简体"/>
                <w:bCs/>
                <w:kern w:val="44"/>
                <w:sz w:val="44"/>
                <w:szCs w:val="44"/>
              </w:rPr>
              <w:t>2021年部门预算项目绩效目标自评</w:t>
            </w:r>
          </w:p>
        </w:tc>
      </w:tr>
      <w:tr>
        <w:tblPrEx>
          <w:tblCellMar>
            <w:top w:w="0" w:type="dxa"/>
            <w:left w:w="0" w:type="dxa"/>
            <w:bottom w:w="0" w:type="dxa"/>
            <w:right w:w="0" w:type="dxa"/>
          </w:tblCellMar>
        </w:tblPrEx>
        <w:trPr>
          <w:trHeight w:val="567" w:hRule="atLeast"/>
          <w:jc w:val="center"/>
        </w:trPr>
        <w:tc>
          <w:tcPr>
            <w:tcW w:w="206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主管部门及代码</w:t>
            </w:r>
          </w:p>
        </w:tc>
        <w:tc>
          <w:tcPr>
            <w:tcW w:w="3624"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广元市文化广电旅游局 325001</w:t>
            </w:r>
          </w:p>
        </w:tc>
        <w:tc>
          <w:tcPr>
            <w:tcW w:w="19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实施单位</w:t>
            </w:r>
          </w:p>
        </w:tc>
        <w:tc>
          <w:tcPr>
            <w:tcW w:w="273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广元市图书馆</w:t>
            </w:r>
          </w:p>
        </w:tc>
      </w:tr>
      <w:tr>
        <w:tblPrEx>
          <w:tblCellMar>
            <w:top w:w="0" w:type="dxa"/>
            <w:left w:w="0" w:type="dxa"/>
            <w:bottom w:w="0" w:type="dxa"/>
            <w:right w:w="0" w:type="dxa"/>
          </w:tblCellMar>
        </w:tblPrEx>
        <w:trPr>
          <w:trHeight w:val="567" w:hRule="atLeast"/>
          <w:jc w:val="center"/>
        </w:trPr>
        <w:tc>
          <w:tcPr>
            <w:tcW w:w="2066" w:type="dxa"/>
            <w:gridSpan w:val="2"/>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项目预算</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执行情况</w:t>
            </w:r>
          </w:p>
          <w:p>
            <w:pPr>
              <w:widowControl/>
              <w:jc w:val="center"/>
              <w:textAlignment w:val="center"/>
              <w:rPr>
                <w:rFonts w:ascii="宋体" w:cs="宋体"/>
                <w:color w:val="000000"/>
                <w:sz w:val="24"/>
              </w:rPr>
            </w:pP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211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right="-229" w:rightChars="-109"/>
              <w:jc w:val="left"/>
              <w:textAlignment w:val="center"/>
              <w:rPr>
                <w:rFonts w:ascii="宋体" w:cs="宋体"/>
                <w:color w:val="000000"/>
                <w:sz w:val="24"/>
              </w:rPr>
            </w:pPr>
            <w:r>
              <w:rPr>
                <w:rFonts w:hint="eastAsia" w:ascii="宋体" w:cs="宋体"/>
                <w:color w:val="000000"/>
                <w:sz w:val="24"/>
              </w:rPr>
              <w:t>3</w:t>
            </w:r>
          </w:p>
        </w:tc>
        <w:tc>
          <w:tcPr>
            <w:tcW w:w="19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73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right="-122" w:rightChars="-58"/>
              <w:textAlignment w:val="center"/>
              <w:rPr>
                <w:rFonts w:ascii="宋体" w:cs="宋体"/>
                <w:color w:val="000000"/>
                <w:sz w:val="24"/>
              </w:rPr>
            </w:pPr>
            <w:r>
              <w:rPr>
                <w:rFonts w:hint="eastAsia" w:ascii="宋体" w:cs="宋体"/>
                <w:color w:val="000000"/>
                <w:sz w:val="24"/>
              </w:rPr>
              <w:t>3</w:t>
            </w:r>
          </w:p>
        </w:tc>
      </w:tr>
      <w:tr>
        <w:tblPrEx>
          <w:tblCellMar>
            <w:top w:w="0" w:type="dxa"/>
            <w:left w:w="0" w:type="dxa"/>
            <w:bottom w:w="0" w:type="dxa"/>
            <w:right w:w="0" w:type="dxa"/>
          </w:tblCellMar>
        </w:tblPrEx>
        <w:trPr>
          <w:trHeight w:val="567" w:hRule="atLeast"/>
          <w:jc w:val="center"/>
        </w:trPr>
        <w:tc>
          <w:tcPr>
            <w:tcW w:w="2066"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11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其中</w:t>
            </w:r>
            <w:r>
              <w:rPr>
                <w:rFonts w:ascii="宋体" w:hAnsi="宋体" w:cs="宋体"/>
                <w:color w:val="000000"/>
                <w:kern w:val="0"/>
                <w:sz w:val="24"/>
                <w:lang w:bidi="ar"/>
              </w:rPr>
              <w:t>:</w:t>
            </w:r>
            <w:r>
              <w:rPr>
                <w:rFonts w:hint="eastAsia" w:ascii="宋体" w:hAnsi="宋体" w:cs="宋体"/>
                <w:color w:val="000000"/>
                <w:kern w:val="0"/>
                <w:sz w:val="24"/>
                <w:lang w:bidi="ar"/>
              </w:rPr>
              <w:t>财政拨款</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right="-229" w:rightChars="-109"/>
              <w:jc w:val="left"/>
              <w:textAlignment w:val="center"/>
              <w:rPr>
                <w:rFonts w:ascii="宋体" w:cs="宋体"/>
                <w:color w:val="000000"/>
                <w:sz w:val="24"/>
              </w:rPr>
            </w:pPr>
            <w:r>
              <w:rPr>
                <w:rFonts w:hint="eastAsia" w:ascii="宋体" w:cs="宋体"/>
                <w:color w:val="000000"/>
                <w:sz w:val="24"/>
              </w:rPr>
              <w:t>3</w:t>
            </w:r>
          </w:p>
        </w:tc>
        <w:tc>
          <w:tcPr>
            <w:tcW w:w="19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其中</w:t>
            </w:r>
            <w:r>
              <w:rPr>
                <w:rFonts w:ascii="宋体" w:hAnsi="宋体" w:cs="宋体"/>
                <w:color w:val="000000"/>
                <w:kern w:val="0"/>
                <w:sz w:val="24"/>
                <w:lang w:bidi="ar"/>
              </w:rPr>
              <w:t>:</w:t>
            </w:r>
            <w:r>
              <w:rPr>
                <w:rFonts w:hint="eastAsia" w:ascii="宋体" w:hAnsi="宋体" w:cs="宋体"/>
                <w:color w:val="000000"/>
                <w:kern w:val="0"/>
                <w:sz w:val="24"/>
                <w:lang w:bidi="ar"/>
              </w:rPr>
              <w:t>财政拨款</w:t>
            </w:r>
          </w:p>
        </w:tc>
        <w:tc>
          <w:tcPr>
            <w:tcW w:w="273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right="-122" w:rightChars="-58"/>
              <w:textAlignment w:val="center"/>
              <w:rPr>
                <w:rFonts w:ascii="宋体" w:cs="宋体"/>
                <w:color w:val="000000"/>
                <w:sz w:val="24"/>
              </w:rPr>
            </w:pPr>
            <w:r>
              <w:rPr>
                <w:rFonts w:hint="eastAsia" w:ascii="宋体" w:cs="宋体"/>
                <w:color w:val="000000"/>
                <w:sz w:val="24"/>
              </w:rPr>
              <w:t>3</w:t>
            </w:r>
          </w:p>
        </w:tc>
      </w:tr>
      <w:tr>
        <w:tblPrEx>
          <w:tblCellMar>
            <w:top w:w="0" w:type="dxa"/>
            <w:left w:w="0" w:type="dxa"/>
            <w:bottom w:w="0" w:type="dxa"/>
            <w:right w:w="0" w:type="dxa"/>
          </w:tblCellMar>
        </w:tblPrEx>
        <w:trPr>
          <w:trHeight w:val="567" w:hRule="atLeast"/>
          <w:jc w:val="center"/>
        </w:trPr>
        <w:tc>
          <w:tcPr>
            <w:tcW w:w="2066" w:type="dxa"/>
            <w:gridSpan w:val="2"/>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211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150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p>
        </w:tc>
        <w:tc>
          <w:tcPr>
            <w:tcW w:w="19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273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ind w:left="218" w:leftChars="104"/>
              <w:jc w:val="left"/>
              <w:rPr>
                <w:rFonts w:ascii="宋体" w:cs="宋体"/>
                <w:color w:val="000000"/>
                <w:sz w:val="24"/>
              </w:rPr>
            </w:pPr>
          </w:p>
        </w:tc>
      </w:tr>
      <w:tr>
        <w:tblPrEx>
          <w:tblCellMar>
            <w:top w:w="0" w:type="dxa"/>
            <w:left w:w="0" w:type="dxa"/>
            <w:bottom w:w="0" w:type="dxa"/>
            <w:right w:w="0" w:type="dxa"/>
          </w:tblCellMar>
        </w:tblPrEx>
        <w:trPr>
          <w:trHeight w:val="567" w:hRule="atLeast"/>
          <w:jc w:val="center"/>
        </w:trPr>
        <w:tc>
          <w:tcPr>
            <w:tcW w:w="118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年度</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总体目标</w:t>
            </w:r>
          </w:p>
          <w:p>
            <w:pPr>
              <w:widowControl/>
              <w:jc w:val="center"/>
              <w:textAlignment w:val="center"/>
              <w:rPr>
                <w:rFonts w:ascii="宋体" w:cs="宋体"/>
                <w:color w:val="000000"/>
                <w:sz w:val="24"/>
              </w:rPr>
            </w:pPr>
            <w:r>
              <w:rPr>
                <w:rFonts w:hint="eastAsia" w:ascii="宋体" w:hAnsi="宋体" w:cs="宋体"/>
                <w:color w:val="000000"/>
                <w:kern w:val="0"/>
                <w:sz w:val="24"/>
                <w:lang w:bidi="ar"/>
              </w:rPr>
              <w:t>完成情况</w:t>
            </w:r>
          </w:p>
        </w:tc>
        <w:tc>
          <w:tcPr>
            <w:tcW w:w="450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6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目标实际完成情况</w:t>
            </w:r>
          </w:p>
        </w:tc>
      </w:tr>
      <w:tr>
        <w:tblPrEx>
          <w:tblCellMar>
            <w:top w:w="0" w:type="dxa"/>
            <w:left w:w="0" w:type="dxa"/>
            <w:bottom w:w="0" w:type="dxa"/>
            <w:right w:w="0" w:type="dxa"/>
          </w:tblCellMar>
        </w:tblPrEx>
        <w:trPr>
          <w:trHeight w:val="567" w:hRule="atLeast"/>
          <w:jc w:val="center"/>
        </w:trPr>
        <w:tc>
          <w:tcPr>
            <w:tcW w:w="118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宋体"/>
                <w:color w:val="000000"/>
                <w:sz w:val="24"/>
              </w:rPr>
            </w:pPr>
          </w:p>
        </w:tc>
        <w:tc>
          <w:tcPr>
            <w:tcW w:w="4509" w:type="dxa"/>
            <w:gridSpan w:val="5"/>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完成图书馆城市书房部分设备添置及建设。</w:t>
            </w:r>
          </w:p>
        </w:tc>
        <w:tc>
          <w:tcPr>
            <w:tcW w:w="4696"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为图书馆城市书房添置自助借还机1套，以及辅助设施建设。</w:t>
            </w:r>
          </w:p>
        </w:tc>
      </w:tr>
      <w:tr>
        <w:tblPrEx>
          <w:tblCellMar>
            <w:top w:w="0" w:type="dxa"/>
            <w:left w:w="0" w:type="dxa"/>
            <w:bottom w:w="0" w:type="dxa"/>
            <w:right w:w="0" w:type="dxa"/>
          </w:tblCellMar>
        </w:tblPrEx>
        <w:trPr>
          <w:trHeight w:val="567" w:hRule="atLeast"/>
          <w:jc w:val="center"/>
        </w:trPr>
        <w:tc>
          <w:tcPr>
            <w:tcW w:w="118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年度绩效</w:t>
            </w:r>
          </w:p>
          <w:p>
            <w:pPr>
              <w:widowControl/>
              <w:jc w:val="center"/>
              <w:textAlignment w:val="center"/>
              <w:rPr>
                <w:rFonts w:ascii="宋体" w:hAnsi="宋体" w:cs="宋体"/>
                <w:color w:val="000000"/>
                <w:sz w:val="24"/>
              </w:rPr>
            </w:pPr>
            <w:r>
              <w:rPr>
                <w:rFonts w:hint="eastAsia" w:ascii="宋体" w:hAnsi="宋体" w:cs="宋体"/>
                <w:color w:val="000000"/>
                <w:sz w:val="24"/>
              </w:rPr>
              <w:t>指标完成</w:t>
            </w:r>
          </w:p>
          <w:p>
            <w:pPr>
              <w:widowControl/>
              <w:jc w:val="center"/>
              <w:textAlignment w:val="center"/>
              <w:rPr>
                <w:rFonts w:ascii="宋体" w:cs="宋体"/>
                <w:color w:val="000000"/>
                <w:sz w:val="24"/>
              </w:rPr>
            </w:pPr>
            <w:r>
              <w:rPr>
                <w:rFonts w:hint="eastAsia" w:ascii="宋体" w:hAnsi="宋体" w:cs="宋体"/>
                <w:color w:val="000000"/>
                <w:sz w:val="24"/>
              </w:rPr>
              <w:t>情况</w:t>
            </w:r>
          </w:p>
        </w:tc>
        <w:tc>
          <w:tcPr>
            <w:tcW w:w="97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一级</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262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205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p>
        </w:tc>
        <w:tc>
          <w:tcPr>
            <w:tcW w:w="2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p>
        </w:tc>
      </w:tr>
      <w:tr>
        <w:tblPrEx>
          <w:tblCellMar>
            <w:top w:w="0" w:type="dxa"/>
            <w:left w:w="0" w:type="dxa"/>
            <w:bottom w:w="0" w:type="dxa"/>
            <w:right w:w="0" w:type="dxa"/>
          </w:tblCellMar>
        </w:tblPrEx>
        <w:trPr>
          <w:trHeight w:val="567" w:hRule="atLeast"/>
          <w:jc w:val="center"/>
        </w:trPr>
        <w:tc>
          <w:tcPr>
            <w:tcW w:w="118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975" w:type="dxa"/>
            <w:gridSpan w:val="2"/>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完成</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911"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62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指标1：自助借还机</w:t>
            </w:r>
          </w:p>
        </w:tc>
        <w:tc>
          <w:tcPr>
            <w:tcW w:w="205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套</w:t>
            </w:r>
          </w:p>
        </w:tc>
        <w:tc>
          <w:tcPr>
            <w:tcW w:w="2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套</w:t>
            </w:r>
          </w:p>
        </w:tc>
      </w:tr>
      <w:tr>
        <w:tblPrEx>
          <w:tblCellMar>
            <w:top w:w="0" w:type="dxa"/>
            <w:left w:w="0" w:type="dxa"/>
            <w:bottom w:w="0" w:type="dxa"/>
            <w:right w:w="0" w:type="dxa"/>
          </w:tblCellMar>
        </w:tblPrEx>
        <w:trPr>
          <w:trHeight w:val="567" w:hRule="atLeast"/>
          <w:jc w:val="center"/>
        </w:trPr>
        <w:tc>
          <w:tcPr>
            <w:tcW w:w="118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975"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9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62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指标2：辅助建设</w:t>
            </w:r>
          </w:p>
        </w:tc>
        <w:tc>
          <w:tcPr>
            <w:tcW w:w="205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批</w:t>
            </w:r>
          </w:p>
        </w:tc>
        <w:tc>
          <w:tcPr>
            <w:tcW w:w="2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批</w:t>
            </w:r>
          </w:p>
        </w:tc>
      </w:tr>
      <w:tr>
        <w:tblPrEx>
          <w:tblCellMar>
            <w:top w:w="0" w:type="dxa"/>
            <w:left w:w="0" w:type="dxa"/>
            <w:bottom w:w="0" w:type="dxa"/>
            <w:right w:w="0" w:type="dxa"/>
          </w:tblCellMar>
        </w:tblPrEx>
        <w:trPr>
          <w:trHeight w:val="567" w:hRule="atLeast"/>
          <w:jc w:val="center"/>
        </w:trPr>
        <w:tc>
          <w:tcPr>
            <w:tcW w:w="118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975"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91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262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r>
              <w:rPr>
                <w:rFonts w:hint="eastAsia"/>
              </w:rPr>
              <w:t>指</w:t>
            </w:r>
            <w:r>
              <w:rPr>
                <w:rFonts w:hint="eastAsia" w:ascii="宋体" w:cs="宋体"/>
                <w:color w:val="000000"/>
                <w:sz w:val="24"/>
              </w:rPr>
              <w:t>标</w:t>
            </w:r>
            <w:r>
              <w:rPr>
                <w:rFonts w:ascii="宋体" w:cs="宋体"/>
                <w:color w:val="000000"/>
                <w:sz w:val="24"/>
              </w:rPr>
              <w:t>3</w:t>
            </w:r>
            <w:r>
              <w:rPr>
                <w:rFonts w:hint="eastAsia" w:ascii="宋体" w:cs="宋体"/>
                <w:color w:val="000000"/>
                <w:sz w:val="24"/>
              </w:rPr>
              <w:t>：借阅系统等辅助设施</w:t>
            </w:r>
          </w:p>
        </w:tc>
        <w:tc>
          <w:tcPr>
            <w:tcW w:w="205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1批</w:t>
            </w:r>
          </w:p>
        </w:tc>
        <w:tc>
          <w:tcPr>
            <w:tcW w:w="2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1批</w:t>
            </w:r>
          </w:p>
        </w:tc>
      </w:tr>
      <w:tr>
        <w:tblPrEx>
          <w:tblCellMar>
            <w:top w:w="0" w:type="dxa"/>
            <w:left w:w="0" w:type="dxa"/>
            <w:bottom w:w="0" w:type="dxa"/>
            <w:right w:w="0" w:type="dxa"/>
          </w:tblCellMar>
        </w:tblPrEx>
        <w:trPr>
          <w:trHeight w:val="567" w:hRule="atLeast"/>
          <w:jc w:val="center"/>
        </w:trPr>
        <w:tc>
          <w:tcPr>
            <w:tcW w:w="118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975"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911" w:type="dxa"/>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62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指标1：合格率</w:t>
            </w:r>
          </w:p>
        </w:tc>
        <w:tc>
          <w:tcPr>
            <w:tcW w:w="205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100</w:t>
            </w:r>
            <w:r>
              <w:rPr>
                <w:rFonts w:hint="eastAsia" w:ascii="宋体" w:cs="宋体"/>
                <w:color w:val="000000"/>
                <w:sz w:val="24"/>
              </w:rPr>
              <w:t>%</w:t>
            </w:r>
          </w:p>
        </w:tc>
        <w:tc>
          <w:tcPr>
            <w:tcW w:w="2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100</w:t>
            </w:r>
            <w:r>
              <w:rPr>
                <w:rFonts w:hint="eastAsia" w:ascii="宋体" w:cs="宋体"/>
                <w:color w:val="000000"/>
                <w:sz w:val="24"/>
              </w:rPr>
              <w:t>%</w:t>
            </w:r>
          </w:p>
        </w:tc>
      </w:tr>
      <w:tr>
        <w:tblPrEx>
          <w:tblCellMar>
            <w:top w:w="0" w:type="dxa"/>
            <w:left w:w="0" w:type="dxa"/>
            <w:bottom w:w="0" w:type="dxa"/>
            <w:right w:w="0" w:type="dxa"/>
          </w:tblCellMar>
        </w:tblPrEx>
        <w:trPr>
          <w:trHeight w:val="567" w:hRule="atLeast"/>
          <w:jc w:val="center"/>
        </w:trPr>
        <w:tc>
          <w:tcPr>
            <w:tcW w:w="118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975" w:type="dxa"/>
            <w:gridSpan w:val="2"/>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62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指标1：项目实施时间</w:t>
            </w:r>
          </w:p>
        </w:tc>
        <w:tc>
          <w:tcPr>
            <w:tcW w:w="205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1月至12月</w:t>
            </w:r>
          </w:p>
        </w:tc>
        <w:tc>
          <w:tcPr>
            <w:tcW w:w="2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1月至12月</w:t>
            </w:r>
          </w:p>
        </w:tc>
      </w:tr>
      <w:tr>
        <w:tblPrEx>
          <w:tblCellMar>
            <w:top w:w="0" w:type="dxa"/>
            <w:left w:w="0" w:type="dxa"/>
            <w:bottom w:w="0" w:type="dxa"/>
            <w:right w:w="0" w:type="dxa"/>
          </w:tblCellMar>
        </w:tblPrEx>
        <w:trPr>
          <w:trHeight w:val="567" w:hRule="atLeast"/>
          <w:jc w:val="center"/>
        </w:trPr>
        <w:tc>
          <w:tcPr>
            <w:tcW w:w="118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975" w:type="dxa"/>
            <w:gridSpan w:val="2"/>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kern w:val="0"/>
                <w:sz w:val="24"/>
                <w:lang w:bidi="ar"/>
              </w:rPr>
            </w:pP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62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指标1：项目资金</w:t>
            </w:r>
          </w:p>
        </w:tc>
        <w:tc>
          <w:tcPr>
            <w:tcW w:w="205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w:t>
            </w:r>
            <w:r>
              <w:rPr>
                <w:rFonts w:hint="eastAsia" w:ascii="宋体" w:cs="宋体"/>
                <w:color w:val="000000"/>
                <w:sz w:val="24"/>
              </w:rPr>
              <w:t>万元</w:t>
            </w:r>
          </w:p>
        </w:tc>
        <w:tc>
          <w:tcPr>
            <w:tcW w:w="2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3</w:t>
            </w:r>
            <w:r>
              <w:rPr>
                <w:rFonts w:hint="eastAsia" w:ascii="宋体" w:cs="宋体"/>
                <w:color w:val="000000"/>
                <w:sz w:val="24"/>
              </w:rPr>
              <w:t>万元</w:t>
            </w:r>
          </w:p>
        </w:tc>
      </w:tr>
      <w:tr>
        <w:tblPrEx>
          <w:tblCellMar>
            <w:top w:w="0" w:type="dxa"/>
            <w:left w:w="0" w:type="dxa"/>
            <w:bottom w:w="0" w:type="dxa"/>
            <w:right w:w="0" w:type="dxa"/>
          </w:tblCellMar>
        </w:tblPrEx>
        <w:trPr>
          <w:trHeight w:val="567" w:hRule="atLeast"/>
          <w:jc w:val="center"/>
        </w:trPr>
        <w:tc>
          <w:tcPr>
            <w:tcW w:w="1181" w:type="dxa"/>
            <w:vMerge w:val="continue"/>
            <w:tcBorders>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97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效益</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62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指标1：建设广元市图书馆窗口，提升服务水平，延长服务时间</w:t>
            </w:r>
          </w:p>
        </w:tc>
        <w:tc>
          <w:tcPr>
            <w:tcW w:w="205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为广大读者提供更长时间，更高标准服务</w:t>
            </w:r>
          </w:p>
        </w:tc>
        <w:tc>
          <w:tcPr>
            <w:tcW w:w="2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提升服务质量，延长服务时间</w:t>
            </w:r>
          </w:p>
        </w:tc>
      </w:tr>
      <w:tr>
        <w:tblPrEx>
          <w:tblCellMar>
            <w:top w:w="0" w:type="dxa"/>
            <w:left w:w="0" w:type="dxa"/>
            <w:bottom w:w="0" w:type="dxa"/>
            <w:right w:w="0" w:type="dxa"/>
          </w:tblCellMar>
        </w:tblPrEx>
        <w:trPr>
          <w:trHeight w:val="567" w:hRule="atLeast"/>
          <w:jc w:val="center"/>
        </w:trPr>
        <w:tc>
          <w:tcPr>
            <w:tcW w:w="1181" w:type="dxa"/>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p>
        </w:tc>
        <w:tc>
          <w:tcPr>
            <w:tcW w:w="97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满意度</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9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满意度指标</w:t>
            </w:r>
          </w:p>
        </w:tc>
        <w:tc>
          <w:tcPr>
            <w:tcW w:w="2623"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指标1：读者满意度</w:t>
            </w:r>
          </w:p>
        </w:tc>
        <w:tc>
          <w:tcPr>
            <w:tcW w:w="2055"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90%</w:t>
            </w:r>
          </w:p>
        </w:tc>
        <w:tc>
          <w:tcPr>
            <w:tcW w:w="26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96</w:t>
            </w:r>
            <w:r>
              <w:rPr>
                <w:rFonts w:hint="eastAsia" w:ascii="宋体" w:cs="宋体"/>
                <w:color w:val="000000"/>
                <w:sz w:val="24"/>
              </w:rPr>
              <w:t>%</w:t>
            </w:r>
          </w:p>
        </w:tc>
      </w:tr>
    </w:tbl>
    <w:p>
      <w:pPr>
        <w:spacing w:line="580" w:lineRule="exact"/>
        <w:ind w:left="630"/>
        <w:rPr>
          <w:rFonts w:ascii="仿宋_GB2312" w:hAnsi="仿宋_GB2312" w:eastAsia="仿宋_GB2312" w:cs="仿宋_GB2312"/>
          <w:sz w:val="32"/>
          <w:szCs w:val="32"/>
        </w:rPr>
      </w:pPr>
    </w:p>
    <w:p>
      <w:pPr>
        <w:pStyle w:val="6"/>
        <w:spacing w:before="93"/>
        <w:rPr>
          <w:lang w:val="zh-CN"/>
        </w:rPr>
      </w:pPr>
    </w:p>
    <w:p>
      <w:pPr>
        <w:widowControl/>
        <w:jc w:val="left"/>
        <w:rPr>
          <w:rFonts w:ascii="仿宋_GB2312" w:hAnsi="宋体" w:eastAsia="仿宋_GB2312"/>
          <w:sz w:val="32"/>
          <w:szCs w:val="32"/>
          <w:lang w:val="zh-CN"/>
        </w:rPr>
      </w:pPr>
      <w:r>
        <w:rPr>
          <w:rFonts w:ascii="仿宋_GB2312" w:hAnsi="宋体" w:eastAsia="仿宋_GB2312"/>
          <w:sz w:val="32"/>
          <w:szCs w:val="32"/>
          <w:lang w:val="zh-CN"/>
        </w:rPr>
        <w:br w:type="page"/>
      </w:r>
    </w:p>
    <w:p>
      <w:pPr>
        <w:adjustRightInd w:val="0"/>
        <w:snapToGrid w:val="0"/>
        <w:spacing w:line="600" w:lineRule="exact"/>
        <w:rPr>
          <w:rFonts w:ascii="仿宋_GB2312" w:hAnsi="仿宋_GB2312" w:eastAsia="仿宋_GB2312" w:cs="仿宋_GB2312"/>
          <w:sz w:val="32"/>
          <w:szCs w:val="32"/>
        </w:rPr>
      </w:pPr>
      <w:r>
        <w:rPr>
          <w:rFonts w:hint="eastAsia" w:ascii="黑体" w:hAnsi="黑体" w:eastAsia="黑体" w:cs="黑体"/>
          <w:sz w:val="32"/>
          <w:szCs w:val="32"/>
        </w:rPr>
        <w:t>附件6</w:t>
      </w:r>
    </w:p>
    <w:p>
      <w:pPr>
        <w:pStyle w:val="3"/>
        <w:spacing w:before="0" w:after="0" w:line="576" w:lineRule="exact"/>
        <w:jc w:val="center"/>
        <w:rPr>
          <w:rFonts w:ascii="方正小标宋简体" w:hAnsi="方正小标宋简体" w:eastAsia="方正小标宋简体" w:cs="方正小标宋简体"/>
          <w:b w:val="0"/>
        </w:rPr>
      </w:pPr>
      <w:r>
        <w:rPr>
          <w:rFonts w:hint="eastAsia" w:ascii="方正小标宋简体" w:hAnsi="方正小标宋简体" w:eastAsia="方正小标宋简体" w:cs="方正小标宋简体"/>
          <w:b w:val="0"/>
        </w:rPr>
        <w:t>广元市图书馆</w:t>
      </w:r>
    </w:p>
    <w:p>
      <w:pPr>
        <w:pStyle w:val="3"/>
        <w:spacing w:before="0" w:after="0" w:line="576" w:lineRule="exact"/>
        <w:jc w:val="center"/>
        <w:rPr>
          <w:rFonts w:ascii="方正小标宋简体" w:hAnsi="方正小标宋简体" w:eastAsia="方正小标宋简体" w:cs="方正小标宋简体"/>
          <w:b w:val="0"/>
          <w:lang w:val="zh-CN"/>
        </w:rPr>
      </w:pPr>
      <w:r>
        <w:rPr>
          <w:rFonts w:hint="eastAsia" w:ascii="方正小标宋简体" w:hAnsi="方正小标宋简体" w:eastAsia="方正小标宋简体" w:cs="方正小标宋简体"/>
          <w:b w:val="0"/>
          <w:lang w:val="zh-CN"/>
        </w:rPr>
        <w:t>2020年中央和省公共文化服务体系建设专项资金项目</w:t>
      </w:r>
      <w:r>
        <w:rPr>
          <w:rFonts w:hint="eastAsia" w:ascii="方正小标宋简体" w:hAnsi="方正小标宋简体" w:eastAsia="方正小标宋简体" w:cs="方正小标宋简体"/>
          <w:b w:val="0"/>
        </w:rPr>
        <w:t>2021年</w:t>
      </w:r>
      <w:r>
        <w:rPr>
          <w:rFonts w:hint="eastAsia" w:ascii="方正小标宋简体" w:hAnsi="方正小标宋简体" w:eastAsia="方正小标宋简体" w:cs="方正小标宋简体"/>
          <w:b w:val="0"/>
          <w:lang w:val="zh-CN"/>
        </w:rPr>
        <w:t>绩效评价报告</w:t>
      </w:r>
    </w:p>
    <w:p>
      <w:pPr>
        <w:spacing w:line="600" w:lineRule="exact"/>
        <w:jc w:val="center"/>
        <w:rPr>
          <w:rFonts w:ascii="宋体"/>
          <w:sz w:val="32"/>
          <w:szCs w:val="32"/>
          <w:lang w:val="zh-CN"/>
        </w:rPr>
      </w:pPr>
    </w:p>
    <w:p>
      <w:pPr>
        <w:adjustRightInd w:val="0"/>
        <w:snapToGrid w:val="0"/>
        <w:spacing w:line="576" w:lineRule="exact"/>
        <w:ind w:firstLine="640" w:firstLineChars="200"/>
        <w:outlineLvl w:val="1"/>
        <w:rPr>
          <w:rFonts w:ascii="黑体" w:hAnsi="宋体" w:eastAsia="黑体"/>
          <w:sz w:val="32"/>
          <w:szCs w:val="32"/>
          <w:lang w:val="zh-CN"/>
        </w:rPr>
      </w:pPr>
      <w:bookmarkStart w:id="110" w:name="_Toc31372"/>
      <w:r>
        <w:rPr>
          <w:rFonts w:hint="eastAsia" w:ascii="黑体" w:hAnsi="宋体" w:eastAsia="黑体"/>
          <w:sz w:val="32"/>
          <w:szCs w:val="32"/>
        </w:rPr>
        <w:t>一、</w:t>
      </w:r>
      <w:r>
        <w:rPr>
          <w:rFonts w:hint="eastAsia" w:ascii="黑体" w:hAnsi="宋体" w:eastAsia="黑体"/>
          <w:sz w:val="32"/>
          <w:szCs w:val="32"/>
          <w:lang w:val="zh-CN"/>
        </w:rPr>
        <w:t>项目概况</w:t>
      </w:r>
      <w:bookmarkEnd w:id="110"/>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（一）项目基本情况</w:t>
      </w:r>
    </w:p>
    <w:p>
      <w:pPr>
        <w:adjustRightInd w:val="0"/>
        <w:snapToGrid w:val="0"/>
        <w:spacing w:line="576" w:lineRule="exact"/>
        <w:ind w:firstLine="640" w:firstLineChars="200"/>
        <w:rPr>
          <w:rFonts w:ascii="仿宋_GB2312" w:hAnsi="宋体" w:eastAsia="仿宋_GB2312"/>
          <w:sz w:val="32"/>
          <w:szCs w:val="32"/>
        </w:rPr>
      </w:pPr>
      <w:r>
        <w:rPr>
          <w:rFonts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根据有关部门整体规划和项目安排确定资金分配。</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rPr>
        <w:t>2</w:t>
      </w:r>
      <w:r>
        <w:rPr>
          <w:rFonts w:hint="eastAsia" w:ascii="仿宋_GB2312" w:hAnsi="宋体" w:eastAsia="仿宋_GB2312"/>
          <w:sz w:val="32"/>
          <w:szCs w:val="32"/>
        </w:rPr>
        <w:t>.</w:t>
      </w:r>
      <w:r>
        <w:rPr>
          <w:rFonts w:hint="eastAsia" w:ascii="仿宋_GB2312" w:hAnsi="宋体" w:eastAsia="仿宋_GB2312"/>
          <w:sz w:val="32"/>
          <w:szCs w:val="32"/>
          <w:lang w:val="zh-CN"/>
        </w:rPr>
        <w:t>资金使用严格专款专用。</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项目主要内容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用于广元市图书馆窗口建设，提升服务质量和水平，延长服务时间。</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rPr>
        <w:t>.</w:t>
      </w:r>
      <w:r>
        <w:rPr>
          <w:rFonts w:hint="eastAsia" w:ascii="仿宋_GB2312" w:hAnsi="宋体" w:eastAsia="仿宋_GB2312"/>
          <w:sz w:val="32"/>
          <w:szCs w:val="32"/>
          <w:lang w:val="zh-CN"/>
        </w:rPr>
        <w:t>项目应实现的具体绩效目标，包括目标的量化、细化情况以及项目实施进度计划等。</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通过该项目的实施，完成广元市图书馆城市智慧书房的建设，提升了服务质量和水平，延长了服务时间。</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rPr>
        <w:t>.</w:t>
      </w:r>
      <w:r>
        <w:rPr>
          <w:rFonts w:hint="eastAsia" w:ascii="仿宋_GB2312" w:hAnsi="宋体" w:eastAsia="仿宋_GB2312"/>
          <w:sz w:val="32"/>
          <w:szCs w:val="32"/>
          <w:lang w:val="zh-CN"/>
        </w:rPr>
        <w:t>分析评价申报内容是否与实际相符，申报目标是否合理可行。</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根据实际执行情况，申报目标可行、合理，且能够完成。</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（三）项目自评步骤及方法</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根据该年项目实施，能够按质按量的完成项目。。</w:t>
      </w:r>
    </w:p>
    <w:p>
      <w:pPr>
        <w:adjustRightInd w:val="0"/>
        <w:snapToGrid w:val="0"/>
        <w:spacing w:line="576" w:lineRule="exact"/>
        <w:ind w:firstLine="640" w:firstLineChars="200"/>
        <w:outlineLvl w:val="1"/>
        <w:rPr>
          <w:rFonts w:ascii="黑体" w:hAnsi="宋体" w:eastAsia="黑体"/>
          <w:sz w:val="32"/>
          <w:szCs w:val="32"/>
        </w:rPr>
      </w:pPr>
      <w:bookmarkStart w:id="111" w:name="_Toc25890"/>
      <w:r>
        <w:rPr>
          <w:rFonts w:hint="eastAsia" w:ascii="黑体" w:hAnsi="宋体" w:eastAsia="黑体"/>
          <w:sz w:val="32"/>
          <w:szCs w:val="32"/>
        </w:rPr>
        <w:t>二、项目资金申报及使用情况</w:t>
      </w:r>
      <w:bookmarkEnd w:id="111"/>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（一）项目资金申报及批复情况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2</w:t>
      </w:r>
      <w:r>
        <w:rPr>
          <w:rFonts w:ascii="仿宋_GB2312" w:hAnsi="宋体" w:eastAsia="仿宋_GB2312"/>
          <w:sz w:val="32"/>
          <w:szCs w:val="32"/>
          <w:lang w:val="zh-CN"/>
        </w:rPr>
        <w:t>021</w:t>
      </w:r>
      <w:r>
        <w:rPr>
          <w:rFonts w:hint="eastAsia" w:ascii="仿宋_GB2312" w:hAnsi="宋体" w:eastAsia="仿宋_GB2312"/>
          <w:sz w:val="32"/>
          <w:szCs w:val="32"/>
          <w:lang w:val="zh-CN"/>
        </w:rPr>
        <w:t>年该项目支付金额</w:t>
      </w:r>
      <w:r>
        <w:rPr>
          <w:rFonts w:ascii="仿宋_GB2312" w:hAnsi="宋体" w:eastAsia="仿宋_GB2312"/>
          <w:sz w:val="32"/>
          <w:szCs w:val="32"/>
          <w:lang w:val="zh-CN"/>
        </w:rPr>
        <w:t>11.8</w:t>
      </w:r>
      <w:r>
        <w:rPr>
          <w:rFonts w:hint="eastAsia" w:ascii="仿宋_GB2312" w:hAnsi="宋体" w:eastAsia="仿宋_GB2312"/>
          <w:sz w:val="32"/>
          <w:szCs w:val="32"/>
          <w:lang w:val="zh-CN"/>
        </w:rPr>
        <w:t>万元，实际到位</w:t>
      </w:r>
      <w:r>
        <w:rPr>
          <w:rFonts w:ascii="仿宋_GB2312" w:hAnsi="宋体" w:eastAsia="仿宋_GB2312"/>
          <w:sz w:val="32"/>
          <w:szCs w:val="32"/>
          <w:lang w:val="zh-CN"/>
        </w:rPr>
        <w:t>11.8</w:t>
      </w:r>
      <w:r>
        <w:rPr>
          <w:rFonts w:hint="eastAsia" w:ascii="仿宋_GB2312" w:hAnsi="宋体" w:eastAsia="仿宋_GB2312"/>
          <w:sz w:val="32"/>
          <w:szCs w:val="32"/>
          <w:lang w:val="zh-CN"/>
        </w:rPr>
        <w:t>万元（结转资金）。专项用于城市智慧书房建设。</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（二）资金计划、到位及使用情况</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1</w:t>
      </w:r>
      <w:r>
        <w:rPr>
          <w:rFonts w:hint="eastAsia" w:ascii="楷体_GB2312" w:hAnsi="宋体" w:eastAsia="楷体_GB2312"/>
          <w:sz w:val="32"/>
          <w:szCs w:val="32"/>
        </w:rPr>
        <w:t>.</w:t>
      </w:r>
      <w:r>
        <w:rPr>
          <w:rFonts w:hint="eastAsia" w:ascii="楷体_GB2312" w:hAnsi="宋体" w:eastAsia="楷体_GB2312"/>
          <w:sz w:val="32"/>
          <w:szCs w:val="32"/>
          <w:lang w:val="zh-CN"/>
        </w:rPr>
        <w:t>资金计划。</w:t>
      </w:r>
      <w:r>
        <w:rPr>
          <w:rFonts w:ascii="楷体_GB2312" w:hAnsi="宋体" w:eastAsia="楷体_GB2312"/>
          <w:sz w:val="32"/>
          <w:szCs w:val="32"/>
          <w:lang w:val="zh-CN"/>
        </w:rPr>
        <w:t>11.8</w:t>
      </w:r>
      <w:r>
        <w:rPr>
          <w:rFonts w:hint="eastAsia" w:ascii="楷体_GB2312" w:hAnsi="宋体" w:eastAsia="楷体_GB2312"/>
          <w:sz w:val="32"/>
          <w:szCs w:val="32"/>
          <w:lang w:val="zh-CN"/>
        </w:rPr>
        <w:t>万。</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2</w:t>
      </w:r>
      <w:r>
        <w:rPr>
          <w:rFonts w:hint="eastAsia" w:ascii="楷体_GB2312" w:hAnsi="宋体" w:eastAsia="楷体_GB2312"/>
          <w:sz w:val="32"/>
          <w:szCs w:val="32"/>
        </w:rPr>
        <w:t>.</w:t>
      </w:r>
      <w:r>
        <w:rPr>
          <w:rFonts w:hint="eastAsia" w:ascii="楷体_GB2312" w:hAnsi="宋体" w:eastAsia="楷体_GB2312"/>
          <w:sz w:val="32"/>
          <w:szCs w:val="32"/>
          <w:lang w:val="zh-CN"/>
        </w:rPr>
        <w:t>资金到位。</w:t>
      </w:r>
      <w:r>
        <w:rPr>
          <w:rFonts w:hint="eastAsia" w:ascii="仿宋_GB2312" w:hAnsi="宋体" w:eastAsia="仿宋_GB2312"/>
          <w:sz w:val="32"/>
          <w:szCs w:val="32"/>
          <w:lang w:val="zh-CN"/>
        </w:rPr>
        <w:t>按时到位。</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3</w:t>
      </w:r>
      <w:r>
        <w:rPr>
          <w:rFonts w:hint="eastAsia" w:ascii="楷体_GB2312" w:hAnsi="宋体" w:eastAsia="楷体_GB2312"/>
          <w:sz w:val="32"/>
          <w:szCs w:val="32"/>
        </w:rPr>
        <w:t>.</w:t>
      </w:r>
      <w:r>
        <w:rPr>
          <w:rFonts w:hint="eastAsia" w:ascii="楷体_GB2312" w:hAnsi="宋体" w:eastAsia="楷体_GB2312"/>
          <w:sz w:val="32"/>
          <w:szCs w:val="32"/>
          <w:lang w:val="zh-CN"/>
        </w:rPr>
        <w:t>资金使用。</w:t>
      </w:r>
      <w:r>
        <w:rPr>
          <w:rFonts w:ascii="楷体_GB2312" w:hAnsi="宋体" w:eastAsia="楷体_GB2312"/>
          <w:sz w:val="32"/>
          <w:szCs w:val="32"/>
          <w:lang w:val="zh-CN"/>
        </w:rPr>
        <w:t>11.8</w:t>
      </w:r>
      <w:r>
        <w:rPr>
          <w:rFonts w:hint="eastAsia" w:ascii="楷体_GB2312" w:hAnsi="宋体" w:eastAsia="楷体_GB2312"/>
          <w:sz w:val="32"/>
          <w:szCs w:val="32"/>
          <w:lang w:val="zh-CN"/>
        </w:rPr>
        <w:t>万</w:t>
      </w:r>
      <w:r>
        <w:rPr>
          <w:rFonts w:hint="eastAsia" w:ascii="仿宋_GB2312" w:hAnsi="宋体" w:eastAsia="仿宋_GB2312"/>
          <w:sz w:val="32"/>
          <w:szCs w:val="32"/>
          <w:lang w:val="zh-CN"/>
        </w:rPr>
        <w:t>。</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（三）项目财务管理情况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严格相关财务制度。项目资金实行专款专用，专项核算。严格按照项目方案和绩效执行。</w:t>
      </w:r>
    </w:p>
    <w:p>
      <w:pPr>
        <w:adjustRightInd w:val="0"/>
        <w:snapToGrid w:val="0"/>
        <w:spacing w:line="576" w:lineRule="exact"/>
        <w:ind w:firstLine="640" w:firstLineChars="200"/>
        <w:outlineLvl w:val="1"/>
        <w:rPr>
          <w:rFonts w:ascii="黑体" w:hAnsi="宋体" w:eastAsia="黑体"/>
          <w:sz w:val="32"/>
          <w:szCs w:val="32"/>
        </w:rPr>
      </w:pPr>
      <w:bookmarkStart w:id="112" w:name="_Toc17019"/>
      <w:r>
        <w:rPr>
          <w:rFonts w:hint="eastAsia" w:ascii="黑体" w:hAnsi="宋体" w:eastAsia="黑体"/>
          <w:sz w:val="32"/>
          <w:szCs w:val="32"/>
        </w:rPr>
        <w:t>三、项目实施及管理情况</w:t>
      </w:r>
      <w:bookmarkEnd w:id="112"/>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我馆严格按照安排执行该项目，能够合理规划，安全有效的使用资金，推进项目，能够在预定的时间内完成该项目。</w:t>
      </w:r>
    </w:p>
    <w:p>
      <w:pPr>
        <w:adjustRightInd w:val="0"/>
        <w:snapToGrid w:val="0"/>
        <w:spacing w:line="576" w:lineRule="exact"/>
        <w:ind w:firstLine="640" w:firstLineChars="200"/>
        <w:outlineLvl w:val="1"/>
        <w:rPr>
          <w:rFonts w:ascii="仿宋_GB2312" w:hAnsi="宋体" w:eastAsia="仿宋_GB2312"/>
          <w:sz w:val="32"/>
          <w:szCs w:val="32"/>
          <w:lang w:val="zh-CN"/>
        </w:rPr>
      </w:pPr>
      <w:bookmarkStart w:id="113" w:name="_Toc14481"/>
      <w:r>
        <w:rPr>
          <w:rFonts w:hint="eastAsia" w:ascii="黑体" w:hAnsi="宋体" w:eastAsia="黑体"/>
          <w:sz w:val="32"/>
          <w:szCs w:val="32"/>
        </w:rPr>
        <w:t>四、项目绩效情况</w:t>
      </w:r>
      <w:bookmarkEnd w:id="113"/>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（一）项目完成情况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该项目已完成。</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（二）项目效益情况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通过该项目的实施，完成了广元市图书馆城市智慧书房的建设，提升了服务质量和水平，延长了服务时间。</w:t>
      </w:r>
    </w:p>
    <w:p>
      <w:pPr>
        <w:adjustRightInd w:val="0"/>
        <w:snapToGrid w:val="0"/>
        <w:spacing w:line="576" w:lineRule="exact"/>
        <w:ind w:firstLine="640" w:firstLineChars="200"/>
        <w:outlineLvl w:val="1"/>
        <w:rPr>
          <w:rFonts w:ascii="黑体" w:hAnsi="宋体" w:eastAsia="黑体"/>
          <w:sz w:val="32"/>
          <w:szCs w:val="32"/>
        </w:rPr>
      </w:pPr>
      <w:bookmarkStart w:id="114" w:name="_Toc15263"/>
      <w:r>
        <w:rPr>
          <w:rFonts w:hint="eastAsia" w:ascii="黑体" w:hAnsi="宋体" w:eastAsia="黑体"/>
          <w:sz w:val="32"/>
          <w:szCs w:val="32"/>
        </w:rPr>
        <w:t>五、评价结论及建议</w:t>
      </w:r>
      <w:bookmarkEnd w:id="114"/>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（一）评价结论</w:t>
      </w:r>
    </w:p>
    <w:p>
      <w:pPr>
        <w:adjustRightInd w:val="0"/>
        <w:snapToGrid w:val="0"/>
        <w:spacing w:line="576" w:lineRule="exact"/>
        <w:ind w:firstLine="640" w:firstLineChars="200"/>
        <w:rPr>
          <w:rFonts w:ascii="仿宋_GB2312" w:hAnsi="宋体" w:eastAsia="仿宋_GB2312"/>
          <w:sz w:val="32"/>
          <w:szCs w:val="32"/>
          <w:bdr w:val="single" w:color="auto" w:sz="4" w:space="0"/>
          <w:lang w:val="zh-CN"/>
        </w:rPr>
      </w:pPr>
      <w:r>
        <w:rPr>
          <w:rFonts w:hint="eastAsia" w:ascii="仿宋_GB2312" w:hAnsi="宋体" w:eastAsia="仿宋_GB2312"/>
          <w:sz w:val="32"/>
          <w:szCs w:val="32"/>
          <w:lang w:val="zh-CN"/>
        </w:rPr>
        <w:t>通过项目的开展，广元市图书馆又新增了服务窗口，而且延长了服务时间，能够更好地为读者提供服务。</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（二）存在的问题</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现建成的城市智慧书房较少，规模较小，难以为更多读者提供服务。</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（三）相关建议</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争取资金，建设更高标准服务窗口，满足读者各类需求。</w:t>
      </w:r>
    </w:p>
    <w:p>
      <w:pPr>
        <w:adjustRightInd w:val="0"/>
        <w:snapToGrid w:val="0"/>
        <w:spacing w:line="600" w:lineRule="exact"/>
        <w:ind w:firstLine="640" w:firstLineChars="200"/>
        <w:rPr>
          <w:rFonts w:ascii="仿宋_GB2312" w:hAnsi="宋体" w:eastAsia="仿宋_GB2312"/>
          <w:sz w:val="32"/>
          <w:szCs w:val="32"/>
          <w:lang w:val="zh-CN"/>
        </w:rPr>
      </w:pPr>
    </w:p>
    <w:p>
      <w:pPr>
        <w:pStyle w:val="6"/>
        <w:spacing w:before="93"/>
        <w:rPr>
          <w:lang w:val="zh-CN"/>
        </w:rPr>
      </w:pPr>
    </w:p>
    <w:p>
      <w:pPr>
        <w:pStyle w:val="6"/>
        <w:spacing w:before="93"/>
        <w:rPr>
          <w:lang w:val="zh-CN"/>
        </w:rPr>
      </w:pPr>
    </w:p>
    <w:p>
      <w:pPr>
        <w:spacing w:line="572" w:lineRule="exact"/>
        <w:jc w:val="left"/>
        <w:outlineLvl w:val="1"/>
        <w:rPr>
          <w:rFonts w:ascii="仿宋_GB2312" w:hAnsi="仿宋_GB2312" w:eastAsia="黑体" w:cs="仿宋_GB2312"/>
          <w:sz w:val="32"/>
          <w:szCs w:val="32"/>
        </w:rPr>
      </w:pPr>
      <w:bookmarkStart w:id="115" w:name="_Toc4982"/>
      <w:r>
        <w:rPr>
          <w:rFonts w:hint="eastAsia" w:ascii="黑体" w:hAnsi="黑体" w:eastAsia="黑体" w:cs="黑体"/>
          <w:sz w:val="32"/>
          <w:szCs w:val="32"/>
        </w:rPr>
        <w:t>附表</w:t>
      </w:r>
      <w:bookmarkEnd w:id="115"/>
    </w:p>
    <w:tbl>
      <w:tblPr>
        <w:tblStyle w:val="12"/>
        <w:tblpPr w:leftFromText="180" w:rightFromText="180" w:vertAnchor="text" w:horzAnchor="page" w:tblpXSpec="center" w:tblpY="423"/>
        <w:tblOverlap w:val="never"/>
        <w:tblW w:w="10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71"/>
        <w:gridCol w:w="1002"/>
        <w:gridCol w:w="1025"/>
        <w:gridCol w:w="1123"/>
        <w:gridCol w:w="1269"/>
        <w:gridCol w:w="2304"/>
        <w:gridCol w:w="90"/>
        <w:gridCol w:w="2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386" w:type="dxa"/>
            <w:gridSpan w:val="8"/>
            <w:tcBorders>
              <w:top w:val="nil"/>
              <w:left w:val="nil"/>
              <w:bottom w:val="single" w:color="auto" w:sz="4" w:space="0"/>
              <w:right w:val="nil"/>
            </w:tcBorders>
            <w:tcMar>
              <w:top w:w="15" w:type="dxa"/>
              <w:left w:w="15" w:type="dxa"/>
              <w:right w:w="15" w:type="dxa"/>
            </w:tcMar>
            <w:vAlign w:val="center"/>
          </w:tcPr>
          <w:p>
            <w:pPr>
              <w:widowControl/>
              <w:jc w:val="center"/>
              <w:textAlignment w:val="center"/>
              <w:rPr>
                <w:rFonts w:ascii="宋体" w:cs="宋体"/>
                <w:color w:val="000000"/>
                <w:sz w:val="36"/>
                <w:szCs w:val="36"/>
              </w:rPr>
            </w:pPr>
            <w:r>
              <w:rPr>
                <w:rFonts w:hint="eastAsia" w:ascii="方正小标宋简体" w:hAnsi="方正小标宋简体" w:eastAsia="方正小标宋简体" w:cs="方正小标宋简体"/>
                <w:bCs/>
                <w:sz w:val="44"/>
                <w:szCs w:val="44"/>
              </w:rPr>
              <w:t>2021年部门预算项目绩效目标自评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73" w:type="dxa"/>
            <w:gridSpan w:val="2"/>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主管部门及代码</w:t>
            </w:r>
          </w:p>
        </w:tc>
        <w:tc>
          <w:tcPr>
            <w:tcW w:w="3417" w:type="dxa"/>
            <w:gridSpan w:val="3"/>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广元市文化广电旅游局 325001</w:t>
            </w:r>
          </w:p>
        </w:tc>
        <w:tc>
          <w:tcPr>
            <w:tcW w:w="2304" w:type="dxa"/>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实施单位</w:t>
            </w:r>
          </w:p>
        </w:tc>
        <w:tc>
          <w:tcPr>
            <w:tcW w:w="2392" w:type="dxa"/>
            <w:gridSpan w:val="2"/>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73" w:type="dxa"/>
            <w:gridSpan w:val="2"/>
            <w:vMerge w:val="restart"/>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项目预算</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执行情况</w:t>
            </w:r>
          </w:p>
          <w:p>
            <w:pPr>
              <w:widowControl/>
              <w:jc w:val="center"/>
              <w:textAlignment w:val="center"/>
              <w:rPr>
                <w:rFonts w:ascii="宋体" w:cs="宋体"/>
                <w:color w:val="000000"/>
                <w:sz w:val="24"/>
              </w:rPr>
            </w:pP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2148"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1269"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11.8</w:t>
            </w:r>
          </w:p>
        </w:tc>
        <w:tc>
          <w:tcPr>
            <w:tcW w:w="2304"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392"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73" w:type="dxa"/>
            <w:gridSpan w:val="2"/>
            <w:vMerge w:val="continue"/>
            <w:tcMar>
              <w:top w:w="15" w:type="dxa"/>
              <w:left w:w="15" w:type="dxa"/>
              <w:right w:w="15" w:type="dxa"/>
            </w:tcMar>
            <w:vAlign w:val="center"/>
          </w:tcPr>
          <w:p>
            <w:pPr>
              <w:jc w:val="center"/>
              <w:rPr>
                <w:rFonts w:ascii="宋体" w:cs="宋体"/>
                <w:color w:val="000000"/>
                <w:sz w:val="24"/>
              </w:rPr>
            </w:pPr>
          </w:p>
        </w:tc>
        <w:tc>
          <w:tcPr>
            <w:tcW w:w="2148"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其中</w:t>
            </w:r>
            <w:r>
              <w:rPr>
                <w:rFonts w:ascii="宋体" w:hAnsi="宋体" w:cs="宋体"/>
                <w:color w:val="000000"/>
                <w:kern w:val="0"/>
                <w:sz w:val="24"/>
                <w:lang w:bidi="ar"/>
              </w:rPr>
              <w:t>:</w:t>
            </w:r>
            <w:r>
              <w:rPr>
                <w:rFonts w:hint="eastAsia" w:ascii="宋体" w:hAnsi="宋体" w:cs="宋体"/>
                <w:color w:val="000000"/>
                <w:kern w:val="0"/>
                <w:sz w:val="24"/>
                <w:lang w:bidi="ar"/>
              </w:rPr>
              <w:t>财政拨款</w:t>
            </w:r>
          </w:p>
        </w:tc>
        <w:tc>
          <w:tcPr>
            <w:tcW w:w="1269"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11.8</w:t>
            </w:r>
          </w:p>
        </w:tc>
        <w:tc>
          <w:tcPr>
            <w:tcW w:w="2304"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其中</w:t>
            </w:r>
            <w:r>
              <w:rPr>
                <w:rFonts w:ascii="宋体" w:hAnsi="宋体" w:cs="宋体"/>
                <w:color w:val="000000"/>
                <w:kern w:val="0"/>
                <w:sz w:val="24"/>
                <w:lang w:bidi="ar"/>
              </w:rPr>
              <w:t>:</w:t>
            </w:r>
            <w:r>
              <w:rPr>
                <w:rFonts w:hint="eastAsia" w:ascii="宋体" w:hAnsi="宋体" w:cs="宋体"/>
                <w:color w:val="000000"/>
                <w:kern w:val="0"/>
                <w:sz w:val="24"/>
                <w:lang w:bidi="ar"/>
              </w:rPr>
              <w:t>财政拨款</w:t>
            </w:r>
          </w:p>
        </w:tc>
        <w:tc>
          <w:tcPr>
            <w:tcW w:w="2392"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273" w:type="dxa"/>
            <w:gridSpan w:val="2"/>
            <w:vMerge w:val="continue"/>
            <w:tcMar>
              <w:top w:w="15" w:type="dxa"/>
              <w:left w:w="15" w:type="dxa"/>
              <w:right w:w="15" w:type="dxa"/>
            </w:tcMar>
            <w:vAlign w:val="center"/>
          </w:tcPr>
          <w:p>
            <w:pPr>
              <w:jc w:val="center"/>
              <w:rPr>
                <w:rFonts w:ascii="宋体" w:cs="宋体"/>
                <w:color w:val="000000"/>
                <w:sz w:val="24"/>
              </w:rPr>
            </w:pPr>
          </w:p>
        </w:tc>
        <w:tc>
          <w:tcPr>
            <w:tcW w:w="2148"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1269" w:type="dxa"/>
            <w:tcMar>
              <w:top w:w="15" w:type="dxa"/>
              <w:left w:w="15" w:type="dxa"/>
              <w:right w:w="15" w:type="dxa"/>
            </w:tcMar>
            <w:vAlign w:val="center"/>
          </w:tcPr>
          <w:p>
            <w:pPr>
              <w:widowControl/>
              <w:ind w:left="218" w:leftChars="104"/>
              <w:jc w:val="left"/>
              <w:textAlignment w:val="center"/>
              <w:rPr>
                <w:rFonts w:ascii="宋体" w:cs="宋体"/>
                <w:color w:val="000000"/>
                <w:sz w:val="24"/>
              </w:rPr>
            </w:pPr>
          </w:p>
        </w:tc>
        <w:tc>
          <w:tcPr>
            <w:tcW w:w="2304"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2392" w:type="dxa"/>
            <w:gridSpan w:val="2"/>
            <w:tcMar>
              <w:top w:w="15" w:type="dxa"/>
              <w:left w:w="15" w:type="dxa"/>
              <w:right w:w="15" w:type="dxa"/>
            </w:tcMar>
            <w:vAlign w:val="center"/>
          </w:tcPr>
          <w:p>
            <w:pPr>
              <w:ind w:left="218" w:leftChars="104"/>
              <w:jc w:val="left"/>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restart"/>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年度</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总体目标</w:t>
            </w:r>
          </w:p>
          <w:p>
            <w:pPr>
              <w:widowControl/>
              <w:jc w:val="center"/>
              <w:textAlignment w:val="center"/>
              <w:rPr>
                <w:rFonts w:ascii="宋体" w:cs="宋体"/>
                <w:color w:val="000000"/>
                <w:sz w:val="24"/>
              </w:rPr>
            </w:pPr>
            <w:r>
              <w:rPr>
                <w:rFonts w:hint="eastAsia" w:ascii="宋体" w:hAnsi="宋体" w:cs="宋体"/>
                <w:color w:val="000000"/>
                <w:kern w:val="0"/>
                <w:sz w:val="24"/>
                <w:lang w:bidi="ar"/>
              </w:rPr>
              <w:t>完成情况</w:t>
            </w:r>
          </w:p>
        </w:tc>
        <w:tc>
          <w:tcPr>
            <w:tcW w:w="4419" w:type="dxa"/>
            <w:gridSpan w:val="4"/>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696" w:type="dxa"/>
            <w:gridSpan w:val="3"/>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目标实际完成情况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continue"/>
            <w:tcMar>
              <w:top w:w="15" w:type="dxa"/>
              <w:left w:w="15" w:type="dxa"/>
              <w:right w:w="15" w:type="dxa"/>
            </w:tcMar>
            <w:vAlign w:val="center"/>
          </w:tcPr>
          <w:p>
            <w:pPr>
              <w:jc w:val="center"/>
              <w:rPr>
                <w:rFonts w:ascii="宋体" w:cs="宋体"/>
                <w:color w:val="000000"/>
                <w:sz w:val="24"/>
              </w:rPr>
            </w:pPr>
          </w:p>
        </w:tc>
        <w:tc>
          <w:tcPr>
            <w:tcW w:w="4419" w:type="dxa"/>
            <w:gridSpan w:val="4"/>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完成图书馆城市书房部分设备添置及建设。</w:t>
            </w:r>
          </w:p>
        </w:tc>
        <w:tc>
          <w:tcPr>
            <w:tcW w:w="4696" w:type="dxa"/>
            <w:gridSpan w:val="3"/>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为图书馆城市书房添置图书馆平台系统、只能物联网系统等设备，以及辅助设施建设。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restart"/>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年度绩效</w:t>
            </w:r>
          </w:p>
          <w:p>
            <w:pPr>
              <w:widowControl/>
              <w:jc w:val="center"/>
              <w:textAlignment w:val="center"/>
              <w:rPr>
                <w:rFonts w:ascii="宋体" w:hAnsi="宋体" w:cs="宋体"/>
                <w:color w:val="000000"/>
                <w:sz w:val="24"/>
              </w:rPr>
            </w:pPr>
            <w:r>
              <w:rPr>
                <w:rFonts w:hint="eastAsia" w:ascii="宋体" w:hAnsi="宋体" w:cs="宋体"/>
                <w:color w:val="000000"/>
                <w:sz w:val="24"/>
              </w:rPr>
              <w:t>指标完成</w:t>
            </w:r>
          </w:p>
          <w:p>
            <w:pPr>
              <w:widowControl/>
              <w:jc w:val="center"/>
              <w:textAlignment w:val="center"/>
              <w:rPr>
                <w:rFonts w:ascii="宋体" w:cs="宋体"/>
                <w:color w:val="000000"/>
                <w:sz w:val="24"/>
              </w:rPr>
            </w:pPr>
            <w:r>
              <w:rPr>
                <w:rFonts w:hint="eastAsia" w:ascii="宋体" w:hAnsi="宋体" w:cs="宋体"/>
                <w:color w:val="000000"/>
                <w:sz w:val="24"/>
              </w:rPr>
              <w:t>情况</w:t>
            </w:r>
          </w:p>
        </w:tc>
        <w:tc>
          <w:tcPr>
            <w:tcW w:w="1002" w:type="dxa"/>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一级</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2392"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p>
        </w:tc>
        <w:tc>
          <w:tcPr>
            <w:tcW w:w="2302"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restart"/>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完成</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vMerge w:val="restart"/>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指标1：云图书馆平台、物联网控制系统</w:t>
            </w:r>
          </w:p>
        </w:tc>
        <w:tc>
          <w:tcPr>
            <w:tcW w:w="2394" w:type="dxa"/>
            <w:gridSpan w:val="2"/>
            <w:shd w:val="clear" w:color="auto" w:fill="auto"/>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w:t>
            </w:r>
            <w:r>
              <w:rPr>
                <w:rFonts w:hint="eastAsia" w:ascii="宋体" w:cs="宋体"/>
                <w:color w:val="000000"/>
                <w:sz w:val="24"/>
              </w:rPr>
              <w:t>套</w:t>
            </w:r>
          </w:p>
        </w:tc>
        <w:tc>
          <w:tcPr>
            <w:tcW w:w="2302"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w:t>
            </w:r>
            <w:r>
              <w:rPr>
                <w:rFonts w:hint="eastAsia" w:ascii="宋体" w:cs="宋体"/>
                <w:color w:val="000000"/>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指标2：书架</w:t>
            </w:r>
          </w:p>
        </w:tc>
        <w:tc>
          <w:tcPr>
            <w:tcW w:w="2394" w:type="dxa"/>
            <w:gridSpan w:val="2"/>
            <w:shd w:val="clear" w:color="auto" w:fill="auto"/>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批</w:t>
            </w:r>
          </w:p>
        </w:tc>
        <w:tc>
          <w:tcPr>
            <w:tcW w:w="2302"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02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指标3：基础设施改造</w:t>
            </w:r>
          </w:p>
        </w:tc>
        <w:tc>
          <w:tcPr>
            <w:tcW w:w="2394" w:type="dxa"/>
            <w:gridSpan w:val="2"/>
            <w:shd w:val="clear" w:color="auto" w:fill="auto"/>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批</w:t>
            </w:r>
          </w:p>
        </w:tc>
        <w:tc>
          <w:tcPr>
            <w:tcW w:w="2302"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指标1：合格率</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100</w:t>
            </w:r>
            <w:r>
              <w:rPr>
                <w:rFonts w:hint="eastAsia" w:ascii="宋体" w:cs="宋体"/>
                <w:color w:val="000000"/>
                <w:sz w:val="24"/>
              </w:rPr>
              <w:t>%</w:t>
            </w:r>
          </w:p>
        </w:tc>
        <w:tc>
          <w:tcPr>
            <w:tcW w:w="2302"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100</w:t>
            </w:r>
            <w:r>
              <w:rPr>
                <w:rFonts w:hint="eastAsia" w:ascii="宋体" w:cs="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指标1：实施时间</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2021</w:t>
            </w:r>
            <w:r>
              <w:rPr>
                <w:rFonts w:hint="eastAsia" w:ascii="宋体" w:cs="宋体"/>
                <w:color w:val="000000"/>
                <w:sz w:val="24"/>
              </w:rPr>
              <w:t>年1月至1</w:t>
            </w:r>
            <w:r>
              <w:rPr>
                <w:rFonts w:ascii="宋体" w:cs="宋体"/>
                <w:color w:val="000000"/>
                <w:sz w:val="24"/>
              </w:rPr>
              <w:t>2</w:t>
            </w:r>
            <w:r>
              <w:rPr>
                <w:rFonts w:hint="eastAsia" w:ascii="宋体" w:cs="宋体"/>
                <w:color w:val="000000"/>
                <w:sz w:val="24"/>
              </w:rPr>
              <w:t>月</w:t>
            </w:r>
          </w:p>
        </w:tc>
        <w:tc>
          <w:tcPr>
            <w:tcW w:w="2302"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2021</w:t>
            </w:r>
            <w:r>
              <w:rPr>
                <w:rFonts w:hint="eastAsia" w:ascii="宋体" w:cs="宋体"/>
                <w:color w:val="000000"/>
                <w:sz w:val="24"/>
              </w:rPr>
              <w:t>年1月至1</w:t>
            </w:r>
            <w:r>
              <w:rPr>
                <w:rFonts w:ascii="宋体" w:cs="宋体"/>
                <w:color w:val="000000"/>
                <w:sz w:val="24"/>
              </w:rPr>
              <w:t>2</w:t>
            </w:r>
            <w:r>
              <w:rPr>
                <w:rFonts w:hint="eastAsia" w:ascii="宋体" w:cs="宋体"/>
                <w:color w:val="000000"/>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02" w:type="dxa"/>
            <w:vMerge w:val="continue"/>
            <w:tcMar>
              <w:top w:w="15" w:type="dxa"/>
              <w:left w:w="15" w:type="dxa"/>
              <w:right w:w="15" w:type="dxa"/>
            </w:tcMar>
            <w:vAlign w:val="center"/>
          </w:tcPr>
          <w:p>
            <w:pPr>
              <w:widowControl/>
              <w:jc w:val="center"/>
              <w:textAlignment w:val="center"/>
              <w:rPr>
                <w:rFonts w:ascii="宋体" w:cs="宋体"/>
                <w:color w:val="000000"/>
                <w:kern w:val="0"/>
                <w:sz w:val="24"/>
                <w:lang w:bidi="ar"/>
              </w:rPr>
            </w:pP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指标1：项目资金</w:t>
            </w:r>
            <w:r>
              <w:rPr>
                <w:rFonts w:ascii="宋体" w:cs="宋体"/>
                <w:color w:val="000000"/>
                <w:sz w:val="24"/>
              </w:rPr>
              <w:t xml:space="preserve"> </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11.8</w:t>
            </w:r>
            <w:r>
              <w:rPr>
                <w:rFonts w:hint="eastAsia" w:ascii="宋体" w:cs="宋体"/>
                <w:color w:val="000000"/>
                <w:sz w:val="24"/>
              </w:rPr>
              <w:t>万元</w:t>
            </w:r>
          </w:p>
        </w:tc>
        <w:tc>
          <w:tcPr>
            <w:tcW w:w="2302"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11.8</w:t>
            </w:r>
            <w:r>
              <w:rPr>
                <w:rFonts w:hint="eastAsia" w:ascii="宋体" w:cs="宋体"/>
                <w:color w:val="00000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02" w:type="dxa"/>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效益</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指标</w:t>
            </w: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指标1：建设广元市图书馆窗口，提升服务水平，延长服务时间</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为广大读者提供更长时间，更高标准服务</w:t>
            </w:r>
          </w:p>
        </w:tc>
        <w:tc>
          <w:tcPr>
            <w:tcW w:w="2302"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提升服务质量，延长服务时间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271"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002" w:type="dxa"/>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满意度</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02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满意度指标</w:t>
            </w:r>
          </w:p>
        </w:tc>
        <w:tc>
          <w:tcPr>
            <w:tcW w:w="2392"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指标1：读者满意度</w:t>
            </w:r>
          </w:p>
        </w:tc>
        <w:tc>
          <w:tcPr>
            <w:tcW w:w="2394"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90%</w:t>
            </w:r>
          </w:p>
        </w:tc>
        <w:tc>
          <w:tcPr>
            <w:tcW w:w="2302"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96</w:t>
            </w:r>
            <w:r>
              <w:rPr>
                <w:rFonts w:hint="eastAsia" w:ascii="宋体" w:cs="宋体"/>
                <w:color w:val="000000"/>
                <w:sz w:val="24"/>
              </w:rPr>
              <w:t>%</w:t>
            </w:r>
          </w:p>
        </w:tc>
      </w:tr>
    </w:tbl>
    <w:p>
      <w:pPr>
        <w:spacing w:line="580" w:lineRule="exact"/>
        <w:ind w:left="630"/>
        <w:rPr>
          <w:rFonts w:ascii="仿宋_GB2312" w:hAnsi="仿宋_GB2312" w:eastAsia="仿宋_GB2312" w:cs="仿宋_GB2312"/>
          <w:sz w:val="32"/>
          <w:szCs w:val="32"/>
        </w:rPr>
      </w:pPr>
    </w:p>
    <w:p>
      <w:pPr>
        <w:pStyle w:val="6"/>
        <w:spacing w:before="93"/>
        <w:rPr>
          <w:lang w:val="zh-CN"/>
        </w:rPr>
      </w:pPr>
    </w:p>
    <w:p>
      <w:pPr>
        <w:widowControl/>
        <w:jc w:val="left"/>
        <w:rPr>
          <w:rFonts w:ascii="仿宋_GB2312" w:hAnsi="仿宋_GB2312" w:eastAsia="仿宋_GB2312" w:cs="仿宋_GB2312"/>
          <w:sz w:val="32"/>
          <w:szCs w:val="32"/>
        </w:rPr>
      </w:pPr>
      <w:r>
        <w:rPr>
          <w:rFonts w:ascii="仿宋_GB2312" w:hAnsi="宋体" w:eastAsia="仿宋_GB2312"/>
          <w:sz w:val="32"/>
          <w:szCs w:val="32"/>
          <w:lang w:val="zh-CN"/>
        </w:rPr>
        <w:br w:type="page"/>
      </w:r>
      <w:r>
        <w:rPr>
          <w:rFonts w:hint="eastAsia" w:ascii="黑体" w:hAnsi="黑体" w:eastAsia="黑体" w:cs="黑体"/>
          <w:sz w:val="32"/>
          <w:szCs w:val="32"/>
        </w:rPr>
        <w:t>附件</w:t>
      </w:r>
      <w:r>
        <w:rPr>
          <w:rFonts w:ascii="黑体" w:hAnsi="黑体" w:eastAsia="黑体" w:cs="黑体"/>
          <w:sz w:val="32"/>
          <w:szCs w:val="32"/>
        </w:rPr>
        <w:t>7</w:t>
      </w:r>
    </w:p>
    <w:p>
      <w:pPr>
        <w:spacing w:line="576" w:lineRule="exact"/>
        <w:jc w:val="center"/>
        <w:rPr>
          <w:rFonts w:ascii="方正小标宋简体" w:hAnsi="宋体" w:eastAsia="方正小标宋简体"/>
          <w:color w:val="000000"/>
          <w:kern w:val="0"/>
          <w:sz w:val="44"/>
          <w:szCs w:val="44"/>
        </w:rPr>
      </w:pPr>
      <w:r>
        <w:rPr>
          <w:rFonts w:hint="eastAsia" w:ascii="方正小标宋简体" w:hAnsi="宋体" w:eastAsia="方正小标宋简体"/>
          <w:color w:val="000000"/>
          <w:kern w:val="0"/>
          <w:sz w:val="44"/>
          <w:szCs w:val="44"/>
        </w:rPr>
        <w:t>广元市图书馆</w:t>
      </w:r>
    </w:p>
    <w:p>
      <w:pPr>
        <w:spacing w:line="576" w:lineRule="exact"/>
        <w:jc w:val="center"/>
        <w:rPr>
          <w:rFonts w:ascii="方正小标宋简体" w:hAnsi="宋体" w:eastAsia="方正小标宋简体"/>
          <w:color w:val="000000"/>
          <w:kern w:val="0"/>
          <w:sz w:val="44"/>
          <w:szCs w:val="44"/>
          <w:lang w:val="zh-CN"/>
        </w:rPr>
      </w:pPr>
      <w:bookmarkStart w:id="116" w:name="_Hlk100579967"/>
      <w:r>
        <w:rPr>
          <w:rFonts w:hint="eastAsia" w:ascii="方正小标宋简体" w:hAnsi="宋体" w:eastAsia="方正小标宋简体"/>
          <w:color w:val="000000"/>
          <w:kern w:val="0"/>
          <w:sz w:val="44"/>
          <w:szCs w:val="44"/>
          <w:lang w:val="zh-CN"/>
        </w:rPr>
        <w:t>2021年中央支持地方公共文化服务体系建设补助资金项目</w:t>
      </w:r>
      <w:r>
        <w:rPr>
          <w:rFonts w:ascii="方正小标宋简体" w:hAnsi="宋体" w:eastAsia="方正小标宋简体"/>
          <w:color w:val="000000"/>
          <w:kern w:val="0"/>
          <w:sz w:val="44"/>
          <w:szCs w:val="44"/>
        </w:rPr>
        <w:t>2021</w:t>
      </w:r>
      <w:r>
        <w:rPr>
          <w:rFonts w:hint="eastAsia" w:ascii="方正小标宋简体" w:hAnsi="宋体" w:eastAsia="方正小标宋简体"/>
          <w:color w:val="000000"/>
          <w:kern w:val="0"/>
          <w:sz w:val="44"/>
          <w:szCs w:val="44"/>
        </w:rPr>
        <w:t>年</w:t>
      </w:r>
      <w:r>
        <w:rPr>
          <w:rFonts w:hint="eastAsia" w:ascii="方正小标宋简体" w:hAnsi="宋体" w:eastAsia="方正小标宋简体"/>
          <w:color w:val="000000"/>
          <w:kern w:val="0"/>
          <w:sz w:val="44"/>
          <w:szCs w:val="44"/>
          <w:lang w:val="zh-CN"/>
        </w:rPr>
        <w:t>绩效评价报告</w:t>
      </w:r>
      <w:bookmarkEnd w:id="116"/>
    </w:p>
    <w:p>
      <w:pPr>
        <w:spacing w:line="576" w:lineRule="exact"/>
        <w:ind w:firstLine="640" w:firstLineChars="200"/>
        <w:rPr>
          <w:rFonts w:ascii="宋体"/>
          <w:sz w:val="32"/>
          <w:szCs w:val="32"/>
          <w:lang w:val="zh-CN"/>
        </w:rPr>
      </w:pPr>
    </w:p>
    <w:p>
      <w:pPr>
        <w:adjustRightInd w:val="0"/>
        <w:snapToGrid w:val="0"/>
        <w:spacing w:line="576" w:lineRule="exact"/>
        <w:ind w:firstLine="640" w:firstLineChars="200"/>
        <w:outlineLvl w:val="1"/>
        <w:rPr>
          <w:rFonts w:ascii="黑体" w:hAnsi="宋体" w:eastAsia="黑体"/>
          <w:sz w:val="32"/>
          <w:szCs w:val="32"/>
          <w:lang w:val="zh-CN"/>
        </w:rPr>
      </w:pPr>
      <w:bookmarkStart w:id="117" w:name="_Toc30238"/>
      <w:r>
        <w:rPr>
          <w:rFonts w:hint="eastAsia" w:ascii="黑体" w:hAnsi="宋体" w:eastAsia="黑体"/>
          <w:sz w:val="32"/>
          <w:szCs w:val="32"/>
        </w:rPr>
        <w:t>一、</w:t>
      </w:r>
      <w:r>
        <w:rPr>
          <w:rFonts w:hint="eastAsia" w:ascii="黑体" w:hAnsi="宋体" w:eastAsia="黑体"/>
          <w:sz w:val="32"/>
          <w:szCs w:val="32"/>
          <w:lang w:val="zh-CN"/>
        </w:rPr>
        <w:t>项目概况</w:t>
      </w:r>
      <w:bookmarkEnd w:id="117"/>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（一）项目基本情况</w:t>
      </w:r>
    </w:p>
    <w:p>
      <w:pPr>
        <w:adjustRightInd w:val="0"/>
        <w:snapToGrid w:val="0"/>
        <w:spacing w:line="576" w:lineRule="exact"/>
        <w:ind w:firstLine="640" w:firstLineChars="200"/>
        <w:rPr>
          <w:rFonts w:ascii="仿宋_GB2312" w:hAnsi="宋体" w:eastAsia="仿宋_GB2312"/>
          <w:sz w:val="32"/>
          <w:szCs w:val="32"/>
        </w:rPr>
      </w:pPr>
      <w:r>
        <w:rPr>
          <w:rFonts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根据有关部门整体规划和项目安排确定资金分配。</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rPr>
        <w:t>2</w:t>
      </w:r>
      <w:r>
        <w:rPr>
          <w:rFonts w:hint="eastAsia" w:ascii="仿宋_GB2312" w:hAnsi="宋体" w:eastAsia="仿宋_GB2312"/>
          <w:sz w:val="32"/>
          <w:szCs w:val="32"/>
        </w:rPr>
        <w:t>.</w:t>
      </w:r>
      <w:r>
        <w:rPr>
          <w:rFonts w:hint="eastAsia" w:ascii="仿宋_GB2312" w:hAnsi="宋体" w:eastAsia="仿宋_GB2312"/>
          <w:sz w:val="32"/>
          <w:szCs w:val="32"/>
          <w:lang w:val="zh-CN"/>
        </w:rPr>
        <w:t>资金使用严格专款专用。</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（二）项目绩效目标</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1</w:t>
      </w:r>
      <w:r>
        <w:rPr>
          <w:rFonts w:hint="eastAsia" w:ascii="仿宋_GB2312" w:hAnsi="宋体" w:eastAsia="仿宋_GB2312"/>
          <w:sz w:val="32"/>
          <w:szCs w:val="32"/>
        </w:rPr>
        <w:t>.</w:t>
      </w:r>
      <w:r>
        <w:rPr>
          <w:rFonts w:hint="eastAsia" w:ascii="仿宋_GB2312" w:hAnsi="宋体" w:eastAsia="仿宋_GB2312"/>
          <w:sz w:val="32"/>
          <w:szCs w:val="32"/>
          <w:lang w:val="zh-CN"/>
        </w:rPr>
        <w:t>项目主要内容</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用于广元市图书馆窗口建设，提升服务质量和水平，延长服务时间。</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2</w:t>
      </w:r>
      <w:r>
        <w:rPr>
          <w:rFonts w:hint="eastAsia" w:ascii="仿宋_GB2312" w:hAnsi="宋体" w:eastAsia="仿宋_GB2312"/>
          <w:sz w:val="32"/>
          <w:szCs w:val="32"/>
        </w:rPr>
        <w:t>.</w:t>
      </w:r>
      <w:r>
        <w:rPr>
          <w:rFonts w:hint="eastAsia" w:ascii="仿宋_GB2312" w:hAnsi="宋体" w:eastAsia="仿宋_GB2312"/>
          <w:sz w:val="32"/>
          <w:szCs w:val="32"/>
          <w:lang w:val="zh-CN"/>
        </w:rPr>
        <w:t>项目应实现的具体绩效目标，包括目标的量化、细化情况以及项目实施进度计划等。</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通过该项目的实施，完成广元市图书馆城市智慧书房的建设，提升了服务质量和水平，延长了服务时间。</w:t>
      </w:r>
    </w:p>
    <w:p>
      <w:pPr>
        <w:adjustRightInd w:val="0"/>
        <w:snapToGrid w:val="0"/>
        <w:spacing w:line="576" w:lineRule="exact"/>
        <w:ind w:firstLine="640" w:firstLineChars="200"/>
        <w:rPr>
          <w:rFonts w:ascii="仿宋_GB2312" w:hAnsi="宋体" w:eastAsia="仿宋_GB2312"/>
          <w:sz w:val="32"/>
          <w:szCs w:val="32"/>
          <w:lang w:val="zh-CN"/>
        </w:rPr>
      </w:pPr>
      <w:r>
        <w:rPr>
          <w:rFonts w:ascii="仿宋_GB2312" w:hAnsi="宋体" w:eastAsia="仿宋_GB2312"/>
          <w:sz w:val="32"/>
          <w:szCs w:val="32"/>
          <w:lang w:val="zh-CN"/>
        </w:rPr>
        <w:t>3</w:t>
      </w:r>
      <w:r>
        <w:rPr>
          <w:rFonts w:hint="eastAsia" w:ascii="仿宋_GB2312" w:hAnsi="宋体" w:eastAsia="仿宋_GB2312"/>
          <w:sz w:val="32"/>
          <w:szCs w:val="32"/>
        </w:rPr>
        <w:t>.</w:t>
      </w:r>
      <w:r>
        <w:rPr>
          <w:rFonts w:hint="eastAsia" w:ascii="仿宋_GB2312" w:hAnsi="宋体" w:eastAsia="仿宋_GB2312"/>
          <w:sz w:val="32"/>
          <w:szCs w:val="32"/>
          <w:lang w:val="zh-CN"/>
        </w:rPr>
        <w:t>分析评价申报内容是否与实际相符，申报目标是否合理可行。</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根据实际执行情况，申报目标可行、合理，且能够完成。</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（三）项目自评步骤及方法</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根据该年项目实施，能够按质按量的完成项目。。</w:t>
      </w:r>
    </w:p>
    <w:p>
      <w:pPr>
        <w:adjustRightInd w:val="0"/>
        <w:snapToGrid w:val="0"/>
        <w:spacing w:line="576" w:lineRule="exact"/>
        <w:ind w:firstLine="640" w:firstLineChars="200"/>
        <w:outlineLvl w:val="1"/>
        <w:rPr>
          <w:rFonts w:ascii="黑体" w:hAnsi="宋体" w:eastAsia="黑体"/>
          <w:sz w:val="32"/>
          <w:szCs w:val="32"/>
        </w:rPr>
      </w:pPr>
      <w:bookmarkStart w:id="118" w:name="_Toc10260"/>
      <w:r>
        <w:rPr>
          <w:rFonts w:hint="eastAsia" w:ascii="黑体" w:hAnsi="宋体" w:eastAsia="黑体"/>
          <w:sz w:val="32"/>
          <w:szCs w:val="32"/>
        </w:rPr>
        <w:t>二、项目资金申报及使用情况</w:t>
      </w:r>
      <w:bookmarkEnd w:id="118"/>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（一）项目资金申报及批复情况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2</w:t>
      </w:r>
      <w:r>
        <w:rPr>
          <w:rFonts w:ascii="仿宋_GB2312" w:hAnsi="宋体" w:eastAsia="仿宋_GB2312"/>
          <w:sz w:val="32"/>
          <w:szCs w:val="32"/>
          <w:lang w:val="zh-CN"/>
        </w:rPr>
        <w:t>021</w:t>
      </w:r>
      <w:r>
        <w:rPr>
          <w:rFonts w:hint="eastAsia" w:ascii="仿宋_GB2312" w:hAnsi="宋体" w:eastAsia="仿宋_GB2312"/>
          <w:sz w:val="32"/>
          <w:szCs w:val="32"/>
          <w:lang w:val="zh-CN"/>
        </w:rPr>
        <w:t>年该项目支付金额</w:t>
      </w:r>
      <w:r>
        <w:rPr>
          <w:rFonts w:ascii="楷体_GB2312" w:hAnsi="宋体" w:eastAsia="楷体_GB2312"/>
          <w:sz w:val="32"/>
          <w:szCs w:val="32"/>
          <w:lang w:val="zh-CN"/>
        </w:rPr>
        <w:t>23.09</w:t>
      </w:r>
      <w:r>
        <w:rPr>
          <w:rFonts w:hint="eastAsia" w:ascii="仿宋_GB2312" w:hAnsi="宋体" w:eastAsia="仿宋_GB2312"/>
          <w:sz w:val="32"/>
          <w:szCs w:val="32"/>
          <w:lang w:val="zh-CN"/>
        </w:rPr>
        <w:t>万元，实际到位</w:t>
      </w:r>
      <w:r>
        <w:rPr>
          <w:rFonts w:ascii="楷体_GB2312" w:hAnsi="宋体" w:eastAsia="楷体_GB2312"/>
          <w:sz w:val="32"/>
          <w:szCs w:val="32"/>
          <w:lang w:val="zh-CN"/>
        </w:rPr>
        <w:t>23.09</w:t>
      </w:r>
      <w:r>
        <w:rPr>
          <w:rFonts w:hint="eastAsia" w:ascii="仿宋_GB2312" w:hAnsi="宋体" w:eastAsia="仿宋_GB2312"/>
          <w:sz w:val="32"/>
          <w:szCs w:val="32"/>
          <w:lang w:val="zh-CN"/>
        </w:rPr>
        <w:t>万元。专项用于城市智慧书房建设。</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（二）资金计划、到位及使用情况</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1</w:t>
      </w:r>
      <w:r>
        <w:rPr>
          <w:rFonts w:hint="eastAsia" w:ascii="楷体_GB2312" w:hAnsi="宋体" w:eastAsia="楷体_GB2312"/>
          <w:sz w:val="32"/>
          <w:szCs w:val="32"/>
        </w:rPr>
        <w:t>.</w:t>
      </w:r>
      <w:r>
        <w:rPr>
          <w:rFonts w:hint="eastAsia" w:ascii="楷体_GB2312" w:hAnsi="宋体" w:eastAsia="楷体_GB2312"/>
          <w:sz w:val="32"/>
          <w:szCs w:val="32"/>
          <w:lang w:val="zh-CN"/>
        </w:rPr>
        <w:t>资金计划。</w:t>
      </w:r>
      <w:r>
        <w:rPr>
          <w:rFonts w:ascii="楷体_GB2312" w:hAnsi="宋体" w:eastAsia="楷体_GB2312"/>
          <w:sz w:val="32"/>
          <w:szCs w:val="32"/>
          <w:lang w:val="zh-CN"/>
        </w:rPr>
        <w:t>23.09</w:t>
      </w:r>
      <w:r>
        <w:rPr>
          <w:rFonts w:hint="eastAsia" w:ascii="楷体_GB2312" w:hAnsi="宋体" w:eastAsia="楷体_GB2312"/>
          <w:sz w:val="32"/>
          <w:szCs w:val="32"/>
          <w:lang w:val="zh-CN"/>
        </w:rPr>
        <w:t>万。</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2</w:t>
      </w:r>
      <w:r>
        <w:rPr>
          <w:rFonts w:hint="eastAsia" w:ascii="楷体_GB2312" w:hAnsi="宋体" w:eastAsia="楷体_GB2312"/>
          <w:sz w:val="32"/>
          <w:szCs w:val="32"/>
        </w:rPr>
        <w:t>.</w:t>
      </w:r>
      <w:r>
        <w:rPr>
          <w:rFonts w:hint="eastAsia" w:ascii="楷体_GB2312" w:hAnsi="宋体" w:eastAsia="楷体_GB2312"/>
          <w:sz w:val="32"/>
          <w:szCs w:val="32"/>
          <w:lang w:val="zh-CN"/>
        </w:rPr>
        <w:t>资金到位。</w:t>
      </w:r>
      <w:r>
        <w:rPr>
          <w:rFonts w:hint="eastAsia" w:ascii="仿宋_GB2312" w:hAnsi="宋体" w:eastAsia="仿宋_GB2312"/>
          <w:sz w:val="32"/>
          <w:szCs w:val="32"/>
          <w:lang w:val="zh-CN"/>
        </w:rPr>
        <w:t>按时到位。</w:t>
      </w:r>
    </w:p>
    <w:p>
      <w:pPr>
        <w:adjustRightInd w:val="0"/>
        <w:snapToGrid w:val="0"/>
        <w:spacing w:line="576" w:lineRule="exact"/>
        <w:ind w:firstLine="640" w:firstLineChars="200"/>
        <w:rPr>
          <w:rFonts w:ascii="仿宋_GB2312" w:hAnsi="宋体" w:eastAsia="仿宋_GB2312"/>
          <w:sz w:val="32"/>
          <w:szCs w:val="32"/>
          <w:lang w:val="zh-CN"/>
        </w:rPr>
      </w:pPr>
      <w:r>
        <w:rPr>
          <w:rFonts w:ascii="楷体_GB2312" w:hAnsi="宋体" w:eastAsia="楷体_GB2312"/>
          <w:sz w:val="32"/>
          <w:szCs w:val="32"/>
          <w:lang w:val="zh-CN"/>
        </w:rPr>
        <w:t>3</w:t>
      </w:r>
      <w:r>
        <w:rPr>
          <w:rFonts w:hint="eastAsia" w:ascii="楷体_GB2312" w:hAnsi="宋体" w:eastAsia="楷体_GB2312"/>
          <w:sz w:val="32"/>
          <w:szCs w:val="32"/>
        </w:rPr>
        <w:t>.</w:t>
      </w:r>
      <w:r>
        <w:rPr>
          <w:rFonts w:hint="eastAsia" w:ascii="楷体_GB2312" w:hAnsi="宋体" w:eastAsia="楷体_GB2312"/>
          <w:sz w:val="32"/>
          <w:szCs w:val="32"/>
          <w:lang w:val="zh-CN"/>
        </w:rPr>
        <w:t>资金使用。</w:t>
      </w:r>
      <w:r>
        <w:rPr>
          <w:rFonts w:ascii="楷体_GB2312" w:hAnsi="宋体" w:eastAsia="楷体_GB2312"/>
          <w:sz w:val="32"/>
          <w:szCs w:val="32"/>
          <w:lang w:val="zh-CN"/>
        </w:rPr>
        <w:t>23.09</w:t>
      </w:r>
      <w:r>
        <w:rPr>
          <w:rFonts w:hint="eastAsia" w:ascii="楷体_GB2312" w:hAnsi="宋体" w:eastAsia="楷体_GB2312"/>
          <w:sz w:val="32"/>
          <w:szCs w:val="32"/>
          <w:lang w:val="zh-CN"/>
        </w:rPr>
        <w:t>万</w:t>
      </w:r>
      <w:r>
        <w:rPr>
          <w:rFonts w:hint="eastAsia" w:ascii="仿宋_GB2312" w:hAnsi="宋体" w:eastAsia="仿宋_GB2312"/>
          <w:sz w:val="32"/>
          <w:szCs w:val="32"/>
          <w:lang w:val="zh-CN"/>
        </w:rPr>
        <w:t>。</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（三）项目财务管理情况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严格相关财务制度。项目资金实行专款专用，专项核算。严格按照项目方案和绩效执行。</w:t>
      </w:r>
    </w:p>
    <w:p>
      <w:pPr>
        <w:adjustRightInd w:val="0"/>
        <w:snapToGrid w:val="0"/>
        <w:spacing w:line="576" w:lineRule="exact"/>
        <w:ind w:firstLine="640" w:firstLineChars="200"/>
        <w:outlineLvl w:val="1"/>
        <w:rPr>
          <w:rFonts w:ascii="黑体" w:hAnsi="宋体" w:eastAsia="黑体"/>
          <w:sz w:val="32"/>
          <w:szCs w:val="32"/>
        </w:rPr>
      </w:pPr>
      <w:bookmarkStart w:id="119" w:name="_Toc31511"/>
      <w:r>
        <w:rPr>
          <w:rFonts w:hint="eastAsia" w:ascii="黑体" w:hAnsi="宋体" w:eastAsia="黑体"/>
          <w:sz w:val="32"/>
          <w:szCs w:val="32"/>
        </w:rPr>
        <w:t>三、项目实施及管理情况</w:t>
      </w:r>
      <w:bookmarkEnd w:id="119"/>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我馆严格按照安排执行该项目，能够合理规划，安全有效的使用资金，推进项目，能够在预定的时间内完成该项目。</w:t>
      </w:r>
    </w:p>
    <w:p>
      <w:pPr>
        <w:adjustRightInd w:val="0"/>
        <w:snapToGrid w:val="0"/>
        <w:spacing w:line="576" w:lineRule="exact"/>
        <w:ind w:firstLine="640" w:firstLineChars="200"/>
        <w:outlineLvl w:val="1"/>
        <w:rPr>
          <w:rFonts w:ascii="仿宋_GB2312" w:hAnsi="宋体" w:eastAsia="仿宋_GB2312"/>
          <w:sz w:val="32"/>
          <w:szCs w:val="32"/>
          <w:lang w:val="zh-CN"/>
        </w:rPr>
      </w:pPr>
      <w:bookmarkStart w:id="120" w:name="_Toc9034"/>
      <w:r>
        <w:rPr>
          <w:rFonts w:hint="eastAsia" w:ascii="黑体" w:hAnsi="宋体" w:eastAsia="黑体"/>
          <w:sz w:val="32"/>
          <w:szCs w:val="32"/>
        </w:rPr>
        <w:t>四、项目绩效情况</w:t>
      </w:r>
      <w:bookmarkEnd w:id="120"/>
      <w:r>
        <w:rPr>
          <w:rFonts w:ascii="仿宋_GB2312" w:hAnsi="宋体" w:eastAsia="仿宋_GB2312"/>
          <w:sz w:val="32"/>
          <w:szCs w:val="32"/>
          <w:lang w:val="zh-CN"/>
        </w:rPr>
        <w:tab/>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（一）项目完成情况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该项目已完成。</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（二）项目效益情况</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通过该项目的实施，完成了广元市图书馆城市智慧书房的建设，提升了服务质量和水平，延长了服务时间。</w:t>
      </w:r>
    </w:p>
    <w:p>
      <w:pPr>
        <w:adjustRightInd w:val="0"/>
        <w:snapToGrid w:val="0"/>
        <w:spacing w:line="576" w:lineRule="exact"/>
        <w:ind w:firstLine="640" w:firstLineChars="200"/>
        <w:outlineLvl w:val="1"/>
        <w:rPr>
          <w:rFonts w:ascii="黑体" w:hAnsi="宋体" w:eastAsia="黑体"/>
          <w:sz w:val="32"/>
          <w:szCs w:val="32"/>
        </w:rPr>
      </w:pPr>
      <w:bookmarkStart w:id="121" w:name="_Toc29483"/>
      <w:r>
        <w:rPr>
          <w:rFonts w:hint="eastAsia" w:ascii="黑体" w:hAnsi="宋体" w:eastAsia="黑体"/>
          <w:sz w:val="32"/>
          <w:szCs w:val="32"/>
        </w:rPr>
        <w:t>五、评价结论及建议</w:t>
      </w:r>
      <w:bookmarkEnd w:id="121"/>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（一）评价结论</w:t>
      </w:r>
    </w:p>
    <w:p>
      <w:pPr>
        <w:adjustRightInd w:val="0"/>
        <w:snapToGrid w:val="0"/>
        <w:spacing w:line="576" w:lineRule="exact"/>
        <w:ind w:firstLine="640" w:firstLineChars="200"/>
        <w:rPr>
          <w:rFonts w:ascii="仿宋_GB2312" w:hAnsi="宋体" w:eastAsia="仿宋_GB2312"/>
          <w:sz w:val="32"/>
          <w:szCs w:val="32"/>
          <w:bdr w:val="single" w:color="auto" w:sz="4" w:space="0"/>
          <w:lang w:val="zh-CN"/>
        </w:rPr>
      </w:pPr>
      <w:r>
        <w:rPr>
          <w:rFonts w:hint="eastAsia" w:ascii="仿宋_GB2312" w:hAnsi="宋体" w:eastAsia="仿宋_GB2312"/>
          <w:sz w:val="32"/>
          <w:szCs w:val="32"/>
          <w:lang w:val="zh-CN"/>
        </w:rPr>
        <w:t>通过项目的开展，广元市图书馆又新增了服务窗口，而且延长了服务时间，能够更好地为读者提供服务。</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（二）存在的问题</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现建成的城市智慧书房较少，规模较小，难以为更多读者提供服务。</w:t>
      </w:r>
    </w:p>
    <w:p>
      <w:pPr>
        <w:adjustRightInd w:val="0"/>
        <w:snapToGrid w:val="0"/>
        <w:spacing w:line="576" w:lineRule="exact"/>
        <w:ind w:firstLine="640" w:firstLineChars="200"/>
        <w:rPr>
          <w:rFonts w:ascii="楷体_GB2312" w:hAnsi="宋体" w:eastAsia="楷体_GB2312"/>
          <w:bCs/>
          <w:sz w:val="32"/>
          <w:szCs w:val="32"/>
          <w:lang w:val="zh-CN"/>
        </w:rPr>
      </w:pPr>
      <w:r>
        <w:rPr>
          <w:rFonts w:hint="eastAsia" w:ascii="楷体_GB2312" w:hAnsi="宋体" w:eastAsia="楷体_GB2312"/>
          <w:bCs/>
          <w:sz w:val="32"/>
          <w:szCs w:val="32"/>
          <w:lang w:val="zh-CN"/>
        </w:rPr>
        <w:t>（三）相关建议</w:t>
      </w:r>
    </w:p>
    <w:p>
      <w:pPr>
        <w:adjustRightInd w:val="0"/>
        <w:snapToGrid w:val="0"/>
        <w:spacing w:line="576" w:lineRule="exact"/>
        <w:ind w:firstLine="640" w:firstLineChars="200"/>
        <w:rPr>
          <w:rFonts w:ascii="仿宋_GB2312" w:hAnsi="宋体" w:eastAsia="仿宋_GB2312"/>
          <w:sz w:val="32"/>
          <w:szCs w:val="32"/>
          <w:lang w:val="zh-CN"/>
        </w:rPr>
      </w:pPr>
      <w:r>
        <w:rPr>
          <w:rFonts w:hint="eastAsia" w:ascii="仿宋_GB2312" w:hAnsi="宋体" w:eastAsia="仿宋_GB2312"/>
          <w:sz w:val="32"/>
          <w:szCs w:val="32"/>
          <w:lang w:val="zh-CN"/>
        </w:rPr>
        <w:t>争取资金，建设更高标准服务窗口，满足读者各类需求。</w:t>
      </w:r>
    </w:p>
    <w:p>
      <w:pPr>
        <w:pStyle w:val="6"/>
        <w:spacing w:before="93"/>
        <w:rPr>
          <w:lang w:val="zh-CN"/>
        </w:rPr>
      </w:pPr>
    </w:p>
    <w:p>
      <w:pPr>
        <w:pStyle w:val="6"/>
        <w:spacing w:before="93"/>
        <w:rPr>
          <w:lang w:val="zh-CN"/>
        </w:rPr>
      </w:pPr>
    </w:p>
    <w:p>
      <w:pPr>
        <w:spacing w:line="572" w:lineRule="exact"/>
        <w:jc w:val="left"/>
        <w:outlineLvl w:val="0"/>
        <w:rPr>
          <w:rFonts w:ascii="仿宋_GB2312" w:hAnsi="仿宋_GB2312" w:eastAsia="黑体" w:cs="仿宋_GB2312"/>
          <w:sz w:val="32"/>
          <w:szCs w:val="32"/>
        </w:rPr>
      </w:pPr>
      <w:bookmarkStart w:id="122" w:name="_Toc25998"/>
      <w:r>
        <w:rPr>
          <w:rFonts w:hint="eastAsia" w:ascii="黑体" w:hAnsi="黑体" w:eastAsia="黑体" w:cs="黑体"/>
          <w:sz w:val="32"/>
          <w:szCs w:val="32"/>
        </w:rPr>
        <w:t>附表</w:t>
      </w:r>
      <w:bookmarkEnd w:id="122"/>
    </w:p>
    <w:tbl>
      <w:tblPr>
        <w:tblStyle w:val="12"/>
        <w:tblpPr w:leftFromText="180" w:rightFromText="180" w:vertAnchor="text" w:horzAnchor="page" w:tblpXSpec="center" w:tblpY="423"/>
        <w:tblOverlap w:val="never"/>
        <w:tblW w:w="10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35"/>
        <w:gridCol w:w="840"/>
        <w:gridCol w:w="1455"/>
        <w:gridCol w:w="771"/>
        <w:gridCol w:w="1165"/>
        <w:gridCol w:w="1905"/>
        <w:gridCol w:w="323"/>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0436" w:type="dxa"/>
            <w:gridSpan w:val="8"/>
            <w:tcBorders>
              <w:top w:val="nil"/>
              <w:left w:val="nil"/>
              <w:bottom w:val="single" w:color="auto" w:sz="4" w:space="0"/>
              <w:right w:val="nil"/>
            </w:tcBorders>
            <w:tcMar>
              <w:top w:w="15" w:type="dxa"/>
              <w:left w:w="15" w:type="dxa"/>
              <w:right w:w="15" w:type="dxa"/>
            </w:tcMar>
            <w:vAlign w:val="center"/>
          </w:tcPr>
          <w:p>
            <w:pPr>
              <w:widowControl/>
              <w:jc w:val="center"/>
              <w:textAlignment w:val="center"/>
              <w:rPr>
                <w:rFonts w:ascii="宋体" w:cs="宋体"/>
                <w:color w:val="000000"/>
                <w:sz w:val="36"/>
                <w:szCs w:val="36"/>
              </w:rPr>
            </w:pPr>
            <w:r>
              <w:rPr>
                <w:rFonts w:hint="eastAsia" w:ascii="方正小标宋简体" w:hAnsi="方正小标宋简体" w:eastAsia="方正小标宋简体" w:cs="方正小标宋简体"/>
                <w:bCs/>
                <w:sz w:val="44"/>
                <w:szCs w:val="44"/>
              </w:rPr>
              <w:t>2021年部门预算项目绩效目标自评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75" w:type="dxa"/>
            <w:gridSpan w:val="2"/>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主管部门及代码</w:t>
            </w:r>
          </w:p>
        </w:tc>
        <w:tc>
          <w:tcPr>
            <w:tcW w:w="3391" w:type="dxa"/>
            <w:gridSpan w:val="3"/>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广元市文化广电旅游局 325001</w:t>
            </w:r>
          </w:p>
        </w:tc>
        <w:tc>
          <w:tcPr>
            <w:tcW w:w="2228" w:type="dxa"/>
            <w:gridSpan w:val="2"/>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实施单位</w:t>
            </w:r>
          </w:p>
        </w:tc>
        <w:tc>
          <w:tcPr>
            <w:tcW w:w="2442" w:type="dxa"/>
            <w:tcBorders>
              <w:top w:val="single" w:color="auto" w:sz="4" w:space="0"/>
            </w:tcBorders>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广元市图书馆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75" w:type="dxa"/>
            <w:gridSpan w:val="2"/>
            <w:vMerge w:val="restart"/>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项目预算</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执行情况</w:t>
            </w:r>
          </w:p>
          <w:p>
            <w:pPr>
              <w:widowControl/>
              <w:jc w:val="center"/>
              <w:textAlignment w:val="center"/>
              <w:rPr>
                <w:rFonts w:ascii="宋体" w:cs="宋体"/>
                <w:color w:val="000000"/>
                <w:sz w:val="24"/>
              </w:rPr>
            </w:pPr>
            <w:r>
              <w:rPr>
                <w:rFonts w:ascii="宋体" w:hAnsi="宋体" w:cs="宋体"/>
                <w:color w:val="000000"/>
                <w:kern w:val="0"/>
                <w:sz w:val="24"/>
                <w:lang w:bidi="ar"/>
              </w:rPr>
              <w:t>(</w:t>
            </w:r>
            <w:r>
              <w:rPr>
                <w:rFonts w:hint="eastAsia" w:ascii="宋体" w:hAnsi="宋体" w:cs="宋体"/>
                <w:color w:val="000000"/>
                <w:kern w:val="0"/>
                <w:sz w:val="24"/>
                <w:lang w:bidi="ar"/>
              </w:rPr>
              <w:t>万元</w:t>
            </w:r>
            <w:r>
              <w:rPr>
                <w:rFonts w:ascii="宋体" w:hAnsi="宋体" w:cs="宋体"/>
                <w:color w:val="000000"/>
                <w:kern w:val="0"/>
                <w:sz w:val="24"/>
                <w:lang w:bidi="ar"/>
              </w:rPr>
              <w:t>)</w:t>
            </w:r>
          </w:p>
        </w:tc>
        <w:tc>
          <w:tcPr>
            <w:tcW w:w="2226"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预算数</w:t>
            </w:r>
            <w:r>
              <w:rPr>
                <w:rFonts w:ascii="宋体" w:hAnsi="宋体" w:cs="宋体"/>
                <w:color w:val="000000"/>
                <w:kern w:val="0"/>
                <w:sz w:val="24"/>
                <w:lang w:bidi="ar"/>
              </w:rPr>
              <w:t>:</w:t>
            </w:r>
          </w:p>
        </w:tc>
        <w:tc>
          <w:tcPr>
            <w:tcW w:w="1165"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23.09</w:t>
            </w:r>
          </w:p>
        </w:tc>
        <w:tc>
          <w:tcPr>
            <w:tcW w:w="2228"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执行数</w:t>
            </w:r>
            <w:r>
              <w:rPr>
                <w:rFonts w:ascii="宋体" w:hAnsi="宋体" w:cs="宋体"/>
                <w:color w:val="000000"/>
                <w:kern w:val="0"/>
                <w:sz w:val="24"/>
                <w:lang w:bidi="ar"/>
              </w:rPr>
              <w:t>:</w:t>
            </w:r>
          </w:p>
        </w:tc>
        <w:tc>
          <w:tcPr>
            <w:tcW w:w="2442"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23.09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75" w:type="dxa"/>
            <w:gridSpan w:val="2"/>
            <w:vMerge w:val="continue"/>
            <w:tcMar>
              <w:top w:w="15" w:type="dxa"/>
              <w:left w:w="15" w:type="dxa"/>
              <w:right w:w="15" w:type="dxa"/>
            </w:tcMar>
            <w:vAlign w:val="center"/>
          </w:tcPr>
          <w:p>
            <w:pPr>
              <w:jc w:val="center"/>
              <w:rPr>
                <w:rFonts w:ascii="宋体" w:cs="宋体"/>
                <w:color w:val="000000"/>
                <w:sz w:val="24"/>
              </w:rPr>
            </w:pPr>
          </w:p>
        </w:tc>
        <w:tc>
          <w:tcPr>
            <w:tcW w:w="2226"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其中</w:t>
            </w:r>
            <w:r>
              <w:rPr>
                <w:rFonts w:ascii="宋体" w:hAnsi="宋体" w:cs="宋体"/>
                <w:color w:val="000000"/>
                <w:kern w:val="0"/>
                <w:sz w:val="24"/>
                <w:lang w:bidi="ar"/>
              </w:rPr>
              <w:t>:</w:t>
            </w:r>
            <w:r>
              <w:rPr>
                <w:rFonts w:hint="eastAsia" w:ascii="宋体" w:hAnsi="宋体" w:cs="宋体"/>
                <w:color w:val="000000"/>
                <w:kern w:val="0"/>
                <w:sz w:val="24"/>
                <w:lang w:bidi="ar"/>
              </w:rPr>
              <w:t>财政拨款</w:t>
            </w:r>
          </w:p>
        </w:tc>
        <w:tc>
          <w:tcPr>
            <w:tcW w:w="1165"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23.09</w:t>
            </w:r>
          </w:p>
        </w:tc>
        <w:tc>
          <w:tcPr>
            <w:tcW w:w="2228"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其中</w:t>
            </w:r>
            <w:r>
              <w:rPr>
                <w:rFonts w:ascii="宋体" w:hAnsi="宋体" w:cs="宋体"/>
                <w:color w:val="000000"/>
                <w:kern w:val="0"/>
                <w:sz w:val="24"/>
                <w:lang w:bidi="ar"/>
              </w:rPr>
              <w:t>:</w:t>
            </w:r>
            <w:r>
              <w:rPr>
                <w:rFonts w:hint="eastAsia" w:ascii="宋体" w:hAnsi="宋体" w:cs="宋体"/>
                <w:color w:val="000000"/>
                <w:kern w:val="0"/>
                <w:sz w:val="24"/>
                <w:lang w:bidi="ar"/>
              </w:rPr>
              <w:t>财政拨款</w:t>
            </w:r>
          </w:p>
        </w:tc>
        <w:tc>
          <w:tcPr>
            <w:tcW w:w="2442" w:type="dxa"/>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ascii="宋体" w:cs="宋体"/>
                <w:color w:val="000000"/>
                <w:sz w:val="24"/>
              </w:rPr>
              <w:t>23.09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375" w:type="dxa"/>
            <w:gridSpan w:val="2"/>
            <w:vMerge w:val="continue"/>
            <w:tcMar>
              <w:top w:w="15" w:type="dxa"/>
              <w:left w:w="15" w:type="dxa"/>
              <w:right w:w="15" w:type="dxa"/>
            </w:tcMar>
            <w:vAlign w:val="center"/>
          </w:tcPr>
          <w:p>
            <w:pPr>
              <w:jc w:val="center"/>
              <w:rPr>
                <w:rFonts w:ascii="宋体" w:cs="宋体"/>
                <w:color w:val="000000"/>
                <w:sz w:val="24"/>
              </w:rPr>
            </w:pPr>
          </w:p>
        </w:tc>
        <w:tc>
          <w:tcPr>
            <w:tcW w:w="2226"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1165" w:type="dxa"/>
            <w:tcMar>
              <w:top w:w="15" w:type="dxa"/>
              <w:left w:w="15" w:type="dxa"/>
              <w:right w:w="15" w:type="dxa"/>
            </w:tcMar>
            <w:vAlign w:val="center"/>
          </w:tcPr>
          <w:p>
            <w:pPr>
              <w:widowControl/>
              <w:ind w:left="218" w:leftChars="104"/>
              <w:jc w:val="left"/>
              <w:textAlignment w:val="center"/>
              <w:rPr>
                <w:rFonts w:ascii="宋体" w:cs="宋体"/>
                <w:color w:val="000000"/>
                <w:sz w:val="24"/>
              </w:rPr>
            </w:pPr>
          </w:p>
        </w:tc>
        <w:tc>
          <w:tcPr>
            <w:tcW w:w="2228" w:type="dxa"/>
            <w:gridSpan w:val="2"/>
            <w:tcMar>
              <w:top w:w="15" w:type="dxa"/>
              <w:left w:w="15" w:type="dxa"/>
              <w:right w:w="15" w:type="dxa"/>
            </w:tcMar>
            <w:vAlign w:val="center"/>
          </w:tcPr>
          <w:p>
            <w:pPr>
              <w:widowControl/>
              <w:ind w:left="218" w:leftChars="104"/>
              <w:jc w:val="left"/>
              <w:textAlignment w:val="center"/>
              <w:rPr>
                <w:rFonts w:ascii="宋体" w:cs="宋体"/>
                <w:color w:val="000000"/>
                <w:sz w:val="24"/>
              </w:rPr>
            </w:pPr>
            <w:r>
              <w:rPr>
                <w:rFonts w:hint="eastAsia" w:ascii="宋体" w:hAnsi="宋体" w:cs="宋体"/>
                <w:color w:val="000000"/>
                <w:kern w:val="0"/>
                <w:sz w:val="24"/>
                <w:lang w:bidi="ar"/>
              </w:rPr>
              <w:t>其它资金</w:t>
            </w:r>
          </w:p>
        </w:tc>
        <w:tc>
          <w:tcPr>
            <w:tcW w:w="2442" w:type="dxa"/>
            <w:tcMar>
              <w:top w:w="15" w:type="dxa"/>
              <w:left w:w="15" w:type="dxa"/>
              <w:right w:w="15" w:type="dxa"/>
            </w:tcMar>
            <w:vAlign w:val="center"/>
          </w:tcPr>
          <w:p>
            <w:pPr>
              <w:ind w:left="218" w:leftChars="104"/>
              <w:jc w:val="left"/>
              <w:rPr>
                <w:rFonts w:ascii="宋体" w:cs="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restart"/>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年度</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总体目标</w:t>
            </w:r>
          </w:p>
          <w:p>
            <w:pPr>
              <w:widowControl/>
              <w:jc w:val="center"/>
              <w:textAlignment w:val="center"/>
              <w:rPr>
                <w:rFonts w:ascii="宋体" w:cs="宋体"/>
                <w:color w:val="000000"/>
                <w:sz w:val="24"/>
              </w:rPr>
            </w:pPr>
            <w:r>
              <w:rPr>
                <w:rFonts w:hint="eastAsia" w:ascii="宋体" w:hAnsi="宋体" w:cs="宋体"/>
                <w:color w:val="000000"/>
                <w:kern w:val="0"/>
                <w:sz w:val="24"/>
                <w:lang w:bidi="ar"/>
              </w:rPr>
              <w:t>完成情况</w:t>
            </w:r>
          </w:p>
        </w:tc>
        <w:tc>
          <w:tcPr>
            <w:tcW w:w="4231" w:type="dxa"/>
            <w:gridSpan w:val="4"/>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预期目标</w:t>
            </w:r>
          </w:p>
        </w:tc>
        <w:tc>
          <w:tcPr>
            <w:tcW w:w="4670" w:type="dxa"/>
            <w:gridSpan w:val="3"/>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目标实际完成情况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continue"/>
            <w:tcMar>
              <w:top w:w="15" w:type="dxa"/>
              <w:left w:w="15" w:type="dxa"/>
              <w:right w:w="15" w:type="dxa"/>
            </w:tcMar>
            <w:vAlign w:val="center"/>
          </w:tcPr>
          <w:p>
            <w:pPr>
              <w:jc w:val="center"/>
              <w:rPr>
                <w:rFonts w:ascii="宋体" w:cs="宋体"/>
                <w:color w:val="000000"/>
                <w:sz w:val="24"/>
              </w:rPr>
            </w:pPr>
          </w:p>
        </w:tc>
        <w:tc>
          <w:tcPr>
            <w:tcW w:w="4231" w:type="dxa"/>
            <w:gridSpan w:val="4"/>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完成图书馆城市书房部分设备添置及建设。</w:t>
            </w:r>
          </w:p>
        </w:tc>
        <w:tc>
          <w:tcPr>
            <w:tcW w:w="4670" w:type="dxa"/>
            <w:gridSpan w:val="3"/>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为图书馆城市书房添置图书馆平台系统、只能物联网系统等设备，以及辅助设施建设。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restart"/>
            <w:tcMar>
              <w:top w:w="15" w:type="dxa"/>
              <w:left w:w="15" w:type="dxa"/>
              <w:right w:w="15" w:type="dxa"/>
            </w:tcMar>
            <w:vAlign w:val="center"/>
          </w:tcPr>
          <w:p>
            <w:pPr>
              <w:widowControl/>
              <w:jc w:val="center"/>
              <w:textAlignment w:val="center"/>
              <w:rPr>
                <w:rFonts w:ascii="宋体" w:hAnsi="宋体" w:cs="宋体"/>
                <w:color w:val="000000"/>
                <w:sz w:val="24"/>
              </w:rPr>
            </w:pPr>
            <w:r>
              <w:rPr>
                <w:rFonts w:hint="eastAsia" w:ascii="宋体" w:hAnsi="宋体" w:cs="宋体"/>
                <w:color w:val="000000"/>
                <w:sz w:val="24"/>
              </w:rPr>
              <w:t>年度绩效</w:t>
            </w:r>
          </w:p>
          <w:p>
            <w:pPr>
              <w:widowControl/>
              <w:jc w:val="center"/>
              <w:textAlignment w:val="center"/>
              <w:rPr>
                <w:rFonts w:ascii="宋体" w:hAnsi="宋体" w:cs="宋体"/>
                <w:color w:val="000000"/>
                <w:sz w:val="24"/>
              </w:rPr>
            </w:pPr>
            <w:r>
              <w:rPr>
                <w:rFonts w:hint="eastAsia" w:ascii="宋体" w:hAnsi="宋体" w:cs="宋体"/>
                <w:color w:val="000000"/>
                <w:sz w:val="24"/>
              </w:rPr>
              <w:t>指标完成</w:t>
            </w:r>
          </w:p>
          <w:p>
            <w:pPr>
              <w:widowControl/>
              <w:jc w:val="center"/>
              <w:textAlignment w:val="center"/>
              <w:rPr>
                <w:rFonts w:ascii="宋体" w:cs="宋体"/>
                <w:color w:val="000000"/>
                <w:sz w:val="24"/>
              </w:rPr>
            </w:pPr>
            <w:r>
              <w:rPr>
                <w:rFonts w:hint="eastAsia" w:ascii="宋体" w:hAnsi="宋体" w:cs="宋体"/>
                <w:color w:val="000000"/>
                <w:sz w:val="24"/>
              </w:rPr>
              <w:t>情况</w:t>
            </w:r>
          </w:p>
        </w:tc>
        <w:tc>
          <w:tcPr>
            <w:tcW w:w="840" w:type="dxa"/>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一级</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45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二级指标</w:t>
            </w:r>
          </w:p>
        </w:tc>
        <w:tc>
          <w:tcPr>
            <w:tcW w:w="1936"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三级指标</w:t>
            </w:r>
          </w:p>
        </w:tc>
        <w:tc>
          <w:tcPr>
            <w:tcW w:w="190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预期指标值</w:t>
            </w:r>
          </w:p>
        </w:tc>
        <w:tc>
          <w:tcPr>
            <w:tcW w:w="2765"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hAnsi="宋体" w:cs="宋体"/>
                <w:color w:val="000000"/>
                <w:kern w:val="0"/>
                <w:sz w:val="24"/>
                <w:lang w:bidi="ar"/>
              </w:rPr>
              <w:t>实际完成指标值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840" w:type="dxa"/>
            <w:vMerge w:val="restart"/>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完成</w:t>
            </w:r>
          </w:p>
          <w:p>
            <w:pPr>
              <w:widowControl/>
              <w:jc w:val="center"/>
              <w:textAlignment w:val="center"/>
              <w:rPr>
                <w:rFonts w:ascii="宋体" w:cs="宋体"/>
                <w:color w:val="000000"/>
                <w:kern w:val="0"/>
                <w:sz w:val="24"/>
                <w:lang w:bidi="ar"/>
              </w:rPr>
            </w:pPr>
            <w:r>
              <w:rPr>
                <w:rFonts w:hint="eastAsia" w:ascii="宋体" w:hAnsi="宋体" w:cs="宋体"/>
                <w:color w:val="000000"/>
                <w:kern w:val="0"/>
                <w:sz w:val="24"/>
                <w:lang w:bidi="ar"/>
              </w:rPr>
              <w:t>指标</w:t>
            </w:r>
          </w:p>
        </w:tc>
        <w:tc>
          <w:tcPr>
            <w:tcW w:w="1455" w:type="dxa"/>
            <w:vMerge w:val="restart"/>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数量指标</w:t>
            </w:r>
          </w:p>
        </w:tc>
        <w:tc>
          <w:tcPr>
            <w:tcW w:w="1936"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指标1：读者注册识别、R</w:t>
            </w:r>
            <w:r>
              <w:rPr>
                <w:rFonts w:ascii="宋体" w:cs="宋体"/>
                <w:color w:val="000000"/>
                <w:sz w:val="24"/>
              </w:rPr>
              <w:t>FID</w:t>
            </w:r>
            <w:r>
              <w:rPr>
                <w:rFonts w:hint="eastAsia" w:ascii="宋体" w:cs="宋体"/>
                <w:color w:val="000000"/>
                <w:sz w:val="24"/>
              </w:rPr>
              <w:t>系统</w:t>
            </w:r>
          </w:p>
        </w:tc>
        <w:tc>
          <w:tcPr>
            <w:tcW w:w="1905" w:type="dxa"/>
            <w:shd w:val="clear" w:color="auto" w:fill="auto"/>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w:t>
            </w:r>
            <w:r>
              <w:rPr>
                <w:rFonts w:hint="eastAsia" w:ascii="宋体" w:cs="宋体"/>
                <w:color w:val="000000"/>
                <w:sz w:val="24"/>
              </w:rPr>
              <w:t>套</w:t>
            </w:r>
          </w:p>
        </w:tc>
        <w:tc>
          <w:tcPr>
            <w:tcW w:w="2765"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w:t>
            </w:r>
            <w:r>
              <w:rPr>
                <w:rFonts w:hint="eastAsia" w:ascii="宋体" w:cs="宋体"/>
                <w:color w:val="000000"/>
                <w:sz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840" w:type="dxa"/>
            <w:vMerge w:val="continue"/>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45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936"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指标2：桌椅</w:t>
            </w:r>
          </w:p>
        </w:tc>
        <w:tc>
          <w:tcPr>
            <w:tcW w:w="1905" w:type="dxa"/>
            <w:shd w:val="clear" w:color="auto" w:fill="auto"/>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批</w:t>
            </w:r>
          </w:p>
        </w:tc>
        <w:tc>
          <w:tcPr>
            <w:tcW w:w="2765"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840" w:type="dxa"/>
            <w:vMerge w:val="continue"/>
            <w:tcMar>
              <w:top w:w="15" w:type="dxa"/>
              <w:left w:w="15" w:type="dxa"/>
              <w:right w:w="15" w:type="dxa"/>
            </w:tcMar>
            <w:vAlign w:val="center"/>
          </w:tcPr>
          <w:p>
            <w:pPr>
              <w:widowControl/>
              <w:jc w:val="center"/>
              <w:textAlignment w:val="center"/>
              <w:rPr>
                <w:rFonts w:ascii="宋体" w:hAnsi="宋体" w:cs="宋体"/>
                <w:color w:val="000000"/>
                <w:kern w:val="0"/>
                <w:sz w:val="24"/>
                <w:lang w:bidi="ar"/>
              </w:rPr>
            </w:pPr>
          </w:p>
        </w:tc>
        <w:tc>
          <w:tcPr>
            <w:tcW w:w="145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936"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指标3：基础设施改造</w:t>
            </w:r>
          </w:p>
        </w:tc>
        <w:tc>
          <w:tcPr>
            <w:tcW w:w="1905" w:type="dxa"/>
            <w:shd w:val="clear" w:color="auto" w:fill="auto"/>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批</w:t>
            </w:r>
          </w:p>
        </w:tc>
        <w:tc>
          <w:tcPr>
            <w:tcW w:w="2765"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w:t>
            </w:r>
            <w:r>
              <w:rPr>
                <w:rFonts w:hint="eastAsia" w:ascii="宋体" w:cs="宋体"/>
                <w:color w:val="000000"/>
                <w:sz w:val="24"/>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840"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45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质量指标</w:t>
            </w:r>
          </w:p>
        </w:tc>
        <w:tc>
          <w:tcPr>
            <w:tcW w:w="1936"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指标1：合格率</w:t>
            </w:r>
          </w:p>
        </w:tc>
        <w:tc>
          <w:tcPr>
            <w:tcW w:w="1905"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100</w:t>
            </w:r>
            <w:r>
              <w:rPr>
                <w:rFonts w:hint="eastAsia" w:ascii="宋体" w:cs="宋体"/>
                <w:color w:val="000000"/>
                <w:sz w:val="24"/>
              </w:rPr>
              <w:t>%</w:t>
            </w:r>
          </w:p>
        </w:tc>
        <w:tc>
          <w:tcPr>
            <w:tcW w:w="2765"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100</w:t>
            </w:r>
            <w:r>
              <w:rPr>
                <w:rFonts w:hint="eastAsia" w:ascii="宋体" w:cs="宋体"/>
                <w:color w:val="00000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840"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145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时效指标</w:t>
            </w:r>
          </w:p>
        </w:tc>
        <w:tc>
          <w:tcPr>
            <w:tcW w:w="1936"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指标1：实施时间</w:t>
            </w:r>
          </w:p>
        </w:tc>
        <w:tc>
          <w:tcPr>
            <w:tcW w:w="1905"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2021</w:t>
            </w:r>
            <w:r>
              <w:rPr>
                <w:rFonts w:hint="eastAsia" w:ascii="宋体" w:cs="宋体"/>
                <w:color w:val="000000"/>
                <w:sz w:val="24"/>
              </w:rPr>
              <w:t>年1月至1</w:t>
            </w:r>
            <w:r>
              <w:rPr>
                <w:rFonts w:ascii="宋体" w:cs="宋体"/>
                <w:color w:val="000000"/>
                <w:sz w:val="24"/>
              </w:rPr>
              <w:t>2</w:t>
            </w:r>
            <w:r>
              <w:rPr>
                <w:rFonts w:hint="eastAsia" w:ascii="宋体" w:cs="宋体"/>
                <w:color w:val="000000"/>
                <w:sz w:val="24"/>
              </w:rPr>
              <w:t>月</w:t>
            </w:r>
          </w:p>
        </w:tc>
        <w:tc>
          <w:tcPr>
            <w:tcW w:w="2765"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2021</w:t>
            </w:r>
            <w:r>
              <w:rPr>
                <w:rFonts w:hint="eastAsia" w:ascii="宋体" w:cs="宋体"/>
                <w:color w:val="000000"/>
                <w:sz w:val="24"/>
              </w:rPr>
              <w:t>年1月至1</w:t>
            </w:r>
            <w:r>
              <w:rPr>
                <w:rFonts w:ascii="宋体" w:cs="宋体"/>
                <w:color w:val="000000"/>
                <w:sz w:val="24"/>
              </w:rPr>
              <w:t>2</w:t>
            </w:r>
            <w:r>
              <w:rPr>
                <w:rFonts w:hint="eastAsia" w:ascii="宋体" w:cs="宋体"/>
                <w:color w:val="000000"/>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840" w:type="dxa"/>
            <w:vMerge w:val="continue"/>
            <w:tcMar>
              <w:top w:w="15" w:type="dxa"/>
              <w:left w:w="15" w:type="dxa"/>
              <w:right w:w="15" w:type="dxa"/>
            </w:tcMar>
            <w:vAlign w:val="center"/>
          </w:tcPr>
          <w:p>
            <w:pPr>
              <w:widowControl/>
              <w:jc w:val="center"/>
              <w:textAlignment w:val="center"/>
              <w:rPr>
                <w:rFonts w:ascii="宋体" w:cs="宋体"/>
                <w:color w:val="000000"/>
                <w:kern w:val="0"/>
                <w:sz w:val="24"/>
                <w:lang w:bidi="ar"/>
              </w:rPr>
            </w:pPr>
          </w:p>
        </w:tc>
        <w:tc>
          <w:tcPr>
            <w:tcW w:w="145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成本指标</w:t>
            </w:r>
          </w:p>
        </w:tc>
        <w:tc>
          <w:tcPr>
            <w:tcW w:w="1936"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指标1：项目资金</w:t>
            </w:r>
            <w:r>
              <w:rPr>
                <w:rFonts w:ascii="宋体" w:cs="宋体"/>
                <w:color w:val="000000"/>
                <w:sz w:val="24"/>
              </w:rPr>
              <w:t xml:space="preserve"> </w:t>
            </w:r>
          </w:p>
        </w:tc>
        <w:tc>
          <w:tcPr>
            <w:tcW w:w="1905"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23.09</w:t>
            </w:r>
            <w:r>
              <w:rPr>
                <w:rFonts w:hint="eastAsia" w:ascii="宋体" w:cs="宋体"/>
                <w:color w:val="000000"/>
                <w:sz w:val="24"/>
              </w:rPr>
              <w:t>万元</w:t>
            </w:r>
          </w:p>
        </w:tc>
        <w:tc>
          <w:tcPr>
            <w:tcW w:w="2765"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23.09</w:t>
            </w:r>
            <w:r>
              <w:rPr>
                <w:rFonts w:hint="eastAsia" w:ascii="宋体" w:cs="宋体"/>
                <w:color w:val="00000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840" w:type="dxa"/>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效益</w:t>
            </w:r>
          </w:p>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指标</w:t>
            </w:r>
          </w:p>
        </w:tc>
        <w:tc>
          <w:tcPr>
            <w:tcW w:w="145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社会效益指标</w:t>
            </w:r>
          </w:p>
        </w:tc>
        <w:tc>
          <w:tcPr>
            <w:tcW w:w="1936"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指标1：建设广元市图书馆窗口，提升服务水平，延长服务时间</w:t>
            </w:r>
          </w:p>
        </w:tc>
        <w:tc>
          <w:tcPr>
            <w:tcW w:w="190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为广大读者提供更长时间，更高标准服务</w:t>
            </w:r>
          </w:p>
        </w:tc>
        <w:tc>
          <w:tcPr>
            <w:tcW w:w="2765"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提升服务质量，延长服务时间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535" w:type="dxa"/>
            <w:vMerge w:val="continue"/>
            <w:tcMar>
              <w:top w:w="15" w:type="dxa"/>
              <w:left w:w="15" w:type="dxa"/>
              <w:right w:w="15" w:type="dxa"/>
            </w:tcMar>
            <w:vAlign w:val="center"/>
          </w:tcPr>
          <w:p>
            <w:pPr>
              <w:widowControl/>
              <w:jc w:val="center"/>
              <w:textAlignment w:val="center"/>
              <w:rPr>
                <w:rFonts w:ascii="宋体" w:cs="宋体"/>
                <w:color w:val="000000"/>
                <w:sz w:val="24"/>
              </w:rPr>
            </w:pPr>
          </w:p>
        </w:tc>
        <w:tc>
          <w:tcPr>
            <w:tcW w:w="840" w:type="dxa"/>
            <w:tcMar>
              <w:top w:w="15" w:type="dxa"/>
              <w:left w:w="15" w:type="dxa"/>
              <w:right w:w="15" w:type="dxa"/>
            </w:tcMar>
            <w:vAlign w:val="center"/>
          </w:tcPr>
          <w:p>
            <w:pPr>
              <w:widowControl/>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满意度</w:t>
            </w:r>
          </w:p>
          <w:p>
            <w:pPr>
              <w:widowControl/>
              <w:jc w:val="center"/>
              <w:textAlignment w:val="center"/>
              <w:rPr>
                <w:rFonts w:ascii="宋体" w:cs="宋体"/>
                <w:color w:val="000000"/>
                <w:sz w:val="24"/>
              </w:rPr>
            </w:pPr>
            <w:r>
              <w:rPr>
                <w:rFonts w:hint="eastAsia" w:ascii="宋体" w:hAnsi="宋体" w:cs="宋体"/>
                <w:color w:val="000000"/>
                <w:kern w:val="0"/>
                <w:sz w:val="24"/>
                <w:lang w:bidi="ar"/>
              </w:rPr>
              <w:t>指标</w:t>
            </w:r>
          </w:p>
        </w:tc>
        <w:tc>
          <w:tcPr>
            <w:tcW w:w="1455" w:type="dxa"/>
            <w:tcMar>
              <w:top w:w="15" w:type="dxa"/>
              <w:left w:w="15" w:type="dxa"/>
              <w:right w:w="15" w:type="dxa"/>
            </w:tcMar>
            <w:vAlign w:val="center"/>
          </w:tcPr>
          <w:p>
            <w:pPr>
              <w:widowControl/>
              <w:jc w:val="center"/>
              <w:textAlignment w:val="center"/>
              <w:rPr>
                <w:rFonts w:ascii="宋体" w:cs="宋体"/>
                <w:color w:val="000000"/>
                <w:sz w:val="24"/>
              </w:rPr>
            </w:pPr>
            <w:r>
              <w:rPr>
                <w:rFonts w:hint="eastAsia" w:ascii="宋体" w:cs="宋体"/>
                <w:color w:val="000000"/>
                <w:sz w:val="24"/>
              </w:rPr>
              <w:t>满意度指标</w:t>
            </w:r>
          </w:p>
        </w:tc>
        <w:tc>
          <w:tcPr>
            <w:tcW w:w="1936" w:type="dxa"/>
            <w:gridSpan w:val="2"/>
            <w:tcMar>
              <w:top w:w="15" w:type="dxa"/>
              <w:left w:w="15" w:type="dxa"/>
              <w:right w:w="15" w:type="dxa"/>
            </w:tcMar>
            <w:vAlign w:val="center"/>
          </w:tcPr>
          <w:p>
            <w:pPr>
              <w:widowControl/>
              <w:jc w:val="left"/>
              <w:textAlignment w:val="center"/>
              <w:rPr>
                <w:rFonts w:ascii="宋体" w:cs="宋体"/>
                <w:color w:val="000000"/>
                <w:sz w:val="24"/>
              </w:rPr>
            </w:pPr>
            <w:r>
              <w:rPr>
                <w:rFonts w:hint="eastAsia" w:ascii="宋体" w:cs="宋体"/>
                <w:color w:val="000000"/>
                <w:sz w:val="24"/>
              </w:rPr>
              <w:t>指标1：读者满意度</w:t>
            </w:r>
          </w:p>
        </w:tc>
        <w:tc>
          <w:tcPr>
            <w:tcW w:w="1905" w:type="dxa"/>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90%</w:t>
            </w:r>
          </w:p>
        </w:tc>
        <w:tc>
          <w:tcPr>
            <w:tcW w:w="2765" w:type="dxa"/>
            <w:gridSpan w:val="2"/>
            <w:tcMar>
              <w:top w:w="15" w:type="dxa"/>
              <w:left w:w="15" w:type="dxa"/>
              <w:right w:w="15" w:type="dxa"/>
            </w:tcMar>
            <w:vAlign w:val="center"/>
          </w:tcPr>
          <w:p>
            <w:pPr>
              <w:widowControl/>
              <w:jc w:val="center"/>
              <w:textAlignment w:val="center"/>
              <w:rPr>
                <w:rFonts w:ascii="宋体" w:cs="宋体"/>
                <w:color w:val="000000"/>
                <w:sz w:val="24"/>
              </w:rPr>
            </w:pPr>
            <w:r>
              <w:rPr>
                <w:rFonts w:ascii="宋体" w:cs="宋体"/>
                <w:color w:val="000000"/>
                <w:sz w:val="24"/>
              </w:rPr>
              <w:t>96</w:t>
            </w:r>
            <w:r>
              <w:rPr>
                <w:rFonts w:hint="eastAsia" w:ascii="宋体" w:cs="宋体"/>
                <w:color w:val="000000"/>
                <w:sz w:val="24"/>
              </w:rPr>
              <w:t>%</w:t>
            </w:r>
          </w:p>
        </w:tc>
      </w:tr>
    </w:tbl>
    <w:p>
      <w:pPr>
        <w:spacing w:line="580" w:lineRule="exact"/>
        <w:ind w:left="630"/>
        <w:rPr>
          <w:rFonts w:ascii="仿宋_GB2312" w:hAnsi="仿宋_GB2312" w:eastAsia="仿宋_GB2312" w:cs="仿宋_GB2312"/>
          <w:sz w:val="32"/>
          <w:szCs w:val="32"/>
        </w:rPr>
      </w:pPr>
    </w:p>
    <w:p>
      <w:pPr>
        <w:pStyle w:val="6"/>
        <w:spacing w:before="93"/>
        <w:rPr>
          <w:lang w:val="zh-CN"/>
        </w:rPr>
      </w:pPr>
    </w:p>
    <w:p>
      <w:pPr>
        <w:widowControl/>
        <w:jc w:val="left"/>
        <w:rPr>
          <w:rFonts w:ascii="仿宋_GB2312" w:hAnsi="宋体" w:eastAsia="仿宋_GB2312"/>
          <w:sz w:val="32"/>
          <w:szCs w:val="32"/>
          <w:lang w:val="zh-CN"/>
        </w:rPr>
      </w:pPr>
      <w:r>
        <w:rPr>
          <w:rFonts w:ascii="仿宋_GB2312" w:hAnsi="宋体" w:eastAsia="仿宋_GB2312"/>
          <w:sz w:val="32"/>
          <w:szCs w:val="32"/>
          <w:lang w:val="zh-CN"/>
        </w:rPr>
        <w:br w:type="page"/>
      </w:r>
    </w:p>
    <w:p>
      <w:pPr>
        <w:spacing w:line="600" w:lineRule="exact"/>
        <w:jc w:val="center"/>
        <w:outlineLvl w:val="0"/>
        <w:rPr>
          <w:rFonts w:ascii="方正小标宋简体" w:hAnsi="方正小标宋简体" w:eastAsia="方正小标宋简体" w:cs="方正小标宋简体"/>
          <w:sz w:val="44"/>
          <w:szCs w:val="44"/>
        </w:rPr>
      </w:pPr>
      <w:bookmarkStart w:id="123" w:name="_Toc30207"/>
      <w:r>
        <w:rPr>
          <w:rFonts w:hint="eastAsia" w:ascii="方正小标宋简体" w:hAnsi="方正小标宋简体" w:eastAsia="方正小标宋简体" w:cs="方正小标宋简体"/>
          <w:sz w:val="44"/>
          <w:szCs w:val="44"/>
        </w:rPr>
        <w:t>第</w:t>
      </w:r>
      <w:r>
        <w:rPr>
          <w:rStyle w:val="24"/>
          <w:rFonts w:hint="eastAsia" w:ascii="方正小标宋简体" w:hAnsi="方正小标宋简体" w:eastAsia="方正小标宋简体" w:cs="方正小标宋简体"/>
          <w:b w:val="0"/>
        </w:rPr>
        <w:t>五部分 附表</w:t>
      </w:r>
      <w:bookmarkEnd w:id="76"/>
      <w:bookmarkEnd w:id="86"/>
      <w:bookmarkEnd w:id="123"/>
      <w:bookmarkStart w:id="124" w:name="_Toc15396619"/>
    </w:p>
    <w:p>
      <w:pPr>
        <w:pStyle w:val="4"/>
        <w:spacing w:before="0" w:after="0" w:line="576" w:lineRule="exact"/>
        <w:ind w:firstLine="640" w:firstLineChars="200"/>
        <w:rPr>
          <w:rFonts w:ascii="黑体" w:hAnsi="黑体" w:eastAsia="黑体" w:cs="黑体"/>
        </w:rPr>
      </w:pPr>
      <w:bookmarkStart w:id="125" w:name="_Toc9425"/>
      <w:r>
        <w:rPr>
          <w:rFonts w:hint="eastAsia" w:ascii="黑体" w:hAnsi="黑体" w:eastAsia="黑体" w:cs="黑体"/>
          <w:b w:val="0"/>
        </w:rPr>
        <w:t>一、收</w:t>
      </w:r>
      <w:r>
        <w:rPr>
          <w:rStyle w:val="25"/>
          <w:rFonts w:hint="eastAsia" w:ascii="黑体" w:hAnsi="黑体" w:eastAsia="黑体" w:cs="黑体"/>
          <w:b w:val="0"/>
          <w:bCs w:val="0"/>
        </w:rPr>
        <w:t>入支出决算总表</w:t>
      </w:r>
      <w:bookmarkEnd w:id="124"/>
      <w:bookmarkEnd w:id="125"/>
    </w:p>
    <w:p>
      <w:pPr>
        <w:pStyle w:val="4"/>
        <w:spacing w:before="0" w:after="0" w:line="576" w:lineRule="exact"/>
        <w:ind w:firstLine="640" w:firstLineChars="200"/>
        <w:rPr>
          <w:rFonts w:ascii="黑体" w:hAnsi="黑体" w:eastAsia="黑体" w:cs="黑体"/>
        </w:rPr>
      </w:pPr>
      <w:bookmarkStart w:id="126" w:name="_Toc29466"/>
      <w:bookmarkStart w:id="127" w:name="_Toc15396620"/>
      <w:r>
        <w:rPr>
          <w:rFonts w:hint="eastAsia" w:ascii="黑体" w:hAnsi="黑体" w:eastAsia="黑体" w:cs="黑体"/>
          <w:b w:val="0"/>
        </w:rPr>
        <w:t>二、收</w:t>
      </w:r>
      <w:r>
        <w:rPr>
          <w:rStyle w:val="25"/>
          <w:rFonts w:hint="eastAsia" w:ascii="黑体" w:hAnsi="黑体" w:eastAsia="黑体" w:cs="黑体"/>
          <w:b w:val="0"/>
          <w:bCs w:val="0"/>
        </w:rPr>
        <w:t>入决算表</w:t>
      </w:r>
      <w:bookmarkEnd w:id="126"/>
      <w:bookmarkEnd w:id="127"/>
    </w:p>
    <w:p>
      <w:pPr>
        <w:pStyle w:val="4"/>
        <w:spacing w:before="0" w:after="0" w:line="576" w:lineRule="exact"/>
        <w:ind w:firstLine="640" w:firstLineChars="200"/>
        <w:rPr>
          <w:rFonts w:ascii="黑体" w:hAnsi="黑体" w:eastAsia="黑体" w:cs="黑体"/>
        </w:rPr>
      </w:pPr>
      <w:bookmarkStart w:id="128" w:name="_Toc18029"/>
      <w:bookmarkStart w:id="129" w:name="_Toc15396621"/>
      <w:r>
        <w:rPr>
          <w:rStyle w:val="25"/>
          <w:rFonts w:hint="eastAsia" w:ascii="黑体" w:hAnsi="黑体" w:eastAsia="黑体" w:cs="黑体"/>
          <w:b w:val="0"/>
          <w:bCs w:val="0"/>
        </w:rPr>
        <w:t>三、</w:t>
      </w:r>
      <w:r>
        <w:rPr>
          <w:rFonts w:hint="eastAsia" w:ascii="黑体" w:hAnsi="黑体" w:eastAsia="黑体" w:cs="黑体"/>
          <w:b w:val="0"/>
        </w:rPr>
        <w:t>支</w:t>
      </w:r>
      <w:r>
        <w:rPr>
          <w:rStyle w:val="25"/>
          <w:rFonts w:hint="eastAsia" w:ascii="黑体" w:hAnsi="黑体" w:eastAsia="黑体" w:cs="黑体"/>
          <w:b w:val="0"/>
          <w:bCs w:val="0"/>
        </w:rPr>
        <w:t>出决算表</w:t>
      </w:r>
      <w:bookmarkEnd w:id="128"/>
      <w:bookmarkEnd w:id="129"/>
    </w:p>
    <w:p>
      <w:pPr>
        <w:pStyle w:val="4"/>
        <w:spacing w:before="0" w:after="0" w:line="576" w:lineRule="exact"/>
        <w:ind w:firstLine="640" w:firstLineChars="200"/>
        <w:rPr>
          <w:rFonts w:ascii="黑体" w:hAnsi="黑体" w:eastAsia="黑体" w:cs="黑体"/>
          <w:b w:val="0"/>
        </w:rPr>
      </w:pPr>
      <w:bookmarkStart w:id="130" w:name="_Toc15396622"/>
      <w:bookmarkStart w:id="131" w:name="_Toc26269"/>
      <w:r>
        <w:rPr>
          <w:rStyle w:val="25"/>
          <w:rFonts w:hint="eastAsia" w:ascii="黑体" w:hAnsi="黑体" w:eastAsia="黑体" w:cs="黑体"/>
          <w:b w:val="0"/>
          <w:bCs w:val="0"/>
        </w:rPr>
        <w:t>四、</w:t>
      </w:r>
      <w:r>
        <w:rPr>
          <w:rFonts w:hint="eastAsia" w:ascii="黑体" w:hAnsi="黑体" w:eastAsia="黑体" w:cs="黑体"/>
          <w:b w:val="0"/>
        </w:rPr>
        <w:t>财</w:t>
      </w:r>
      <w:r>
        <w:rPr>
          <w:rStyle w:val="25"/>
          <w:rFonts w:hint="eastAsia" w:ascii="黑体" w:hAnsi="黑体" w:eastAsia="黑体" w:cs="黑体"/>
          <w:b w:val="0"/>
          <w:bCs w:val="0"/>
        </w:rPr>
        <w:t>政拨款收入支出决算总表</w:t>
      </w:r>
      <w:bookmarkEnd w:id="130"/>
      <w:bookmarkEnd w:id="131"/>
    </w:p>
    <w:p>
      <w:pPr>
        <w:pStyle w:val="4"/>
        <w:spacing w:before="0" w:after="0" w:line="576" w:lineRule="exact"/>
        <w:ind w:firstLine="640" w:firstLineChars="200"/>
        <w:rPr>
          <w:rStyle w:val="25"/>
          <w:rFonts w:ascii="黑体" w:hAnsi="黑体" w:eastAsia="黑体" w:cs="黑体"/>
          <w:b w:val="0"/>
          <w:bCs w:val="0"/>
        </w:rPr>
      </w:pPr>
      <w:bookmarkStart w:id="132" w:name="_Toc15396623"/>
      <w:bookmarkStart w:id="133" w:name="_Toc31110"/>
      <w:r>
        <w:rPr>
          <w:rStyle w:val="25"/>
          <w:rFonts w:hint="eastAsia" w:ascii="黑体" w:hAnsi="黑体" w:eastAsia="黑体" w:cs="黑体"/>
          <w:b w:val="0"/>
          <w:bCs w:val="0"/>
        </w:rPr>
        <w:t>五、</w:t>
      </w:r>
      <w:r>
        <w:rPr>
          <w:rFonts w:hint="eastAsia" w:ascii="黑体" w:hAnsi="黑体" w:eastAsia="黑体" w:cs="黑体"/>
          <w:b w:val="0"/>
        </w:rPr>
        <w:t>财</w:t>
      </w:r>
      <w:r>
        <w:rPr>
          <w:rStyle w:val="25"/>
          <w:rFonts w:hint="eastAsia" w:ascii="黑体" w:hAnsi="黑体" w:eastAsia="黑体" w:cs="黑体"/>
          <w:b w:val="0"/>
          <w:bCs w:val="0"/>
        </w:rPr>
        <w:t>政拨款支出决算明细表</w:t>
      </w:r>
      <w:bookmarkEnd w:id="132"/>
      <w:bookmarkEnd w:id="133"/>
      <w:bookmarkStart w:id="134" w:name="_Toc15396624"/>
    </w:p>
    <w:p>
      <w:pPr>
        <w:pStyle w:val="4"/>
        <w:spacing w:before="0" w:after="0" w:line="576" w:lineRule="exact"/>
        <w:ind w:firstLine="640" w:firstLineChars="200"/>
        <w:rPr>
          <w:rFonts w:ascii="黑体" w:hAnsi="黑体" w:eastAsia="黑体" w:cs="黑体"/>
        </w:rPr>
      </w:pPr>
      <w:bookmarkStart w:id="135" w:name="_Toc24721"/>
      <w:r>
        <w:rPr>
          <w:rStyle w:val="25"/>
          <w:rFonts w:hint="eastAsia" w:ascii="黑体" w:hAnsi="黑体" w:eastAsia="黑体" w:cs="黑体"/>
          <w:b w:val="0"/>
          <w:bCs w:val="0"/>
        </w:rPr>
        <w:t>六、</w:t>
      </w:r>
      <w:r>
        <w:rPr>
          <w:rFonts w:hint="eastAsia" w:ascii="黑体" w:hAnsi="黑体" w:eastAsia="黑体" w:cs="黑体"/>
          <w:b w:val="0"/>
        </w:rPr>
        <w:t>一</w:t>
      </w:r>
      <w:r>
        <w:rPr>
          <w:rStyle w:val="25"/>
          <w:rFonts w:hint="eastAsia" w:ascii="黑体" w:hAnsi="黑体" w:eastAsia="黑体" w:cs="黑体"/>
          <w:b w:val="0"/>
          <w:bCs w:val="0"/>
        </w:rPr>
        <w:t>般公共预算财政拨款支出决算表</w:t>
      </w:r>
      <w:bookmarkEnd w:id="134"/>
      <w:bookmarkEnd w:id="135"/>
    </w:p>
    <w:p>
      <w:pPr>
        <w:pStyle w:val="4"/>
        <w:spacing w:before="0" w:after="0" w:line="576" w:lineRule="exact"/>
        <w:ind w:firstLine="640" w:firstLineChars="200"/>
        <w:rPr>
          <w:rFonts w:ascii="黑体" w:hAnsi="黑体" w:eastAsia="黑体" w:cs="黑体"/>
        </w:rPr>
      </w:pPr>
      <w:bookmarkStart w:id="136" w:name="_Toc15396625"/>
      <w:bookmarkStart w:id="137" w:name="_Toc7565"/>
      <w:r>
        <w:rPr>
          <w:rStyle w:val="25"/>
          <w:rFonts w:hint="eastAsia" w:ascii="黑体" w:hAnsi="黑体" w:eastAsia="黑体" w:cs="黑体"/>
          <w:b w:val="0"/>
          <w:bCs w:val="0"/>
        </w:rPr>
        <w:t>七、</w:t>
      </w:r>
      <w:r>
        <w:rPr>
          <w:rFonts w:hint="eastAsia" w:ascii="黑体" w:hAnsi="黑体" w:eastAsia="黑体" w:cs="黑体"/>
          <w:b w:val="0"/>
        </w:rPr>
        <w:t>一</w:t>
      </w:r>
      <w:r>
        <w:rPr>
          <w:rStyle w:val="25"/>
          <w:rFonts w:hint="eastAsia" w:ascii="黑体" w:hAnsi="黑体" w:eastAsia="黑体" w:cs="黑体"/>
          <w:b w:val="0"/>
          <w:bCs w:val="0"/>
        </w:rPr>
        <w:t>般公共预算财政拨款支出决算明细表</w:t>
      </w:r>
      <w:bookmarkEnd w:id="136"/>
      <w:bookmarkEnd w:id="137"/>
    </w:p>
    <w:p>
      <w:pPr>
        <w:pStyle w:val="4"/>
        <w:spacing w:before="0" w:after="0" w:line="576" w:lineRule="exact"/>
        <w:ind w:firstLine="640" w:firstLineChars="200"/>
        <w:rPr>
          <w:rFonts w:ascii="黑体" w:hAnsi="黑体" w:eastAsia="黑体" w:cs="黑体"/>
        </w:rPr>
      </w:pPr>
      <w:bookmarkStart w:id="138" w:name="_Toc15396626"/>
      <w:bookmarkStart w:id="139" w:name="_Toc23532"/>
      <w:r>
        <w:rPr>
          <w:rStyle w:val="25"/>
          <w:rFonts w:hint="eastAsia" w:ascii="黑体" w:hAnsi="黑体" w:eastAsia="黑体" w:cs="黑体"/>
          <w:b w:val="0"/>
          <w:bCs w:val="0"/>
        </w:rPr>
        <w:t>八、</w:t>
      </w:r>
      <w:r>
        <w:rPr>
          <w:rFonts w:hint="eastAsia" w:ascii="黑体" w:hAnsi="黑体" w:eastAsia="黑体" w:cs="黑体"/>
          <w:b w:val="0"/>
        </w:rPr>
        <w:t>一</w:t>
      </w:r>
      <w:r>
        <w:rPr>
          <w:rStyle w:val="25"/>
          <w:rFonts w:hint="eastAsia" w:ascii="黑体" w:hAnsi="黑体" w:eastAsia="黑体" w:cs="黑体"/>
          <w:b w:val="0"/>
          <w:bCs w:val="0"/>
        </w:rPr>
        <w:t>般公共预算财政拨款基本支出决算表</w:t>
      </w:r>
      <w:bookmarkEnd w:id="138"/>
      <w:bookmarkEnd w:id="139"/>
    </w:p>
    <w:p>
      <w:pPr>
        <w:pStyle w:val="4"/>
        <w:spacing w:before="0" w:after="0" w:line="576" w:lineRule="exact"/>
        <w:ind w:firstLine="640" w:firstLineChars="200"/>
        <w:rPr>
          <w:rFonts w:ascii="黑体" w:hAnsi="黑体" w:eastAsia="黑体" w:cs="黑体"/>
        </w:rPr>
      </w:pPr>
      <w:bookmarkStart w:id="140" w:name="_Toc15396627"/>
      <w:bookmarkStart w:id="141" w:name="_Toc7624"/>
      <w:r>
        <w:rPr>
          <w:rStyle w:val="25"/>
          <w:rFonts w:hint="eastAsia" w:ascii="黑体" w:hAnsi="黑体" w:eastAsia="黑体" w:cs="黑体"/>
          <w:b w:val="0"/>
          <w:bCs w:val="0"/>
        </w:rPr>
        <w:t>九、</w:t>
      </w:r>
      <w:r>
        <w:rPr>
          <w:rFonts w:hint="eastAsia" w:ascii="黑体" w:hAnsi="黑体" w:eastAsia="黑体" w:cs="黑体"/>
          <w:b w:val="0"/>
        </w:rPr>
        <w:t>一</w:t>
      </w:r>
      <w:r>
        <w:rPr>
          <w:rStyle w:val="25"/>
          <w:rFonts w:hint="eastAsia" w:ascii="黑体" w:hAnsi="黑体" w:eastAsia="黑体" w:cs="黑体"/>
          <w:b w:val="0"/>
          <w:bCs w:val="0"/>
        </w:rPr>
        <w:t>般公共预算财政拨款项目支出决算表</w:t>
      </w:r>
      <w:bookmarkEnd w:id="140"/>
      <w:bookmarkEnd w:id="141"/>
    </w:p>
    <w:p>
      <w:pPr>
        <w:pStyle w:val="4"/>
        <w:spacing w:before="0" w:after="0" w:line="576" w:lineRule="exact"/>
        <w:ind w:firstLine="640" w:firstLineChars="200"/>
        <w:rPr>
          <w:rFonts w:ascii="黑体" w:hAnsi="黑体" w:eastAsia="黑体" w:cs="黑体"/>
        </w:rPr>
      </w:pPr>
      <w:bookmarkStart w:id="142" w:name="_Toc15396628"/>
      <w:bookmarkStart w:id="143" w:name="_Toc2683"/>
      <w:r>
        <w:rPr>
          <w:rStyle w:val="25"/>
          <w:rFonts w:hint="eastAsia" w:ascii="黑体" w:hAnsi="黑体" w:eastAsia="黑体" w:cs="黑体"/>
          <w:b w:val="0"/>
          <w:bCs w:val="0"/>
        </w:rPr>
        <w:t>十、</w:t>
      </w:r>
      <w:r>
        <w:rPr>
          <w:rFonts w:hint="eastAsia" w:ascii="黑体" w:hAnsi="黑体" w:eastAsia="黑体" w:cs="黑体"/>
          <w:b w:val="0"/>
        </w:rPr>
        <w:t>一</w:t>
      </w:r>
      <w:r>
        <w:rPr>
          <w:rStyle w:val="25"/>
          <w:rFonts w:hint="eastAsia" w:ascii="黑体" w:hAnsi="黑体" w:eastAsia="黑体" w:cs="黑体"/>
          <w:b w:val="0"/>
          <w:bCs w:val="0"/>
        </w:rPr>
        <w:t>般公共预算财政拨款“三公”经费支出决算表</w:t>
      </w:r>
      <w:bookmarkEnd w:id="142"/>
      <w:bookmarkEnd w:id="143"/>
    </w:p>
    <w:p>
      <w:pPr>
        <w:pStyle w:val="4"/>
        <w:spacing w:before="0" w:after="0" w:line="576" w:lineRule="exact"/>
        <w:ind w:firstLine="640" w:firstLineChars="200"/>
        <w:rPr>
          <w:rFonts w:ascii="黑体" w:hAnsi="黑体" w:eastAsia="黑体" w:cs="黑体"/>
        </w:rPr>
      </w:pPr>
      <w:bookmarkStart w:id="144" w:name="_Toc29183"/>
      <w:bookmarkStart w:id="145" w:name="_Toc15396629"/>
      <w:r>
        <w:rPr>
          <w:rStyle w:val="25"/>
          <w:rFonts w:hint="eastAsia" w:ascii="黑体" w:hAnsi="黑体" w:eastAsia="黑体" w:cs="黑体"/>
          <w:b w:val="0"/>
          <w:bCs w:val="0"/>
        </w:rPr>
        <w:t>十一、</w:t>
      </w:r>
      <w:r>
        <w:rPr>
          <w:rFonts w:hint="eastAsia" w:ascii="黑体" w:hAnsi="黑体" w:eastAsia="黑体" w:cs="黑体"/>
          <w:b w:val="0"/>
        </w:rPr>
        <w:t>政</w:t>
      </w:r>
      <w:r>
        <w:rPr>
          <w:rStyle w:val="25"/>
          <w:rFonts w:hint="eastAsia" w:ascii="黑体" w:hAnsi="黑体" w:eastAsia="黑体" w:cs="黑体"/>
          <w:b w:val="0"/>
          <w:bCs w:val="0"/>
        </w:rPr>
        <w:t>府性基金预算财政拨款收入支出决算表</w:t>
      </w:r>
      <w:bookmarkEnd w:id="144"/>
      <w:bookmarkEnd w:id="145"/>
    </w:p>
    <w:p>
      <w:pPr>
        <w:pStyle w:val="4"/>
        <w:spacing w:before="0" w:after="0" w:line="576" w:lineRule="exact"/>
        <w:ind w:firstLine="640" w:firstLineChars="200"/>
        <w:rPr>
          <w:rFonts w:ascii="黑体" w:hAnsi="黑体" w:eastAsia="黑体" w:cs="黑体"/>
        </w:rPr>
      </w:pPr>
      <w:bookmarkStart w:id="146" w:name="_Toc15396630"/>
      <w:bookmarkStart w:id="147" w:name="_Toc9549"/>
      <w:r>
        <w:rPr>
          <w:rStyle w:val="25"/>
          <w:rFonts w:hint="eastAsia" w:ascii="黑体" w:hAnsi="黑体" w:eastAsia="黑体" w:cs="黑体"/>
          <w:b w:val="0"/>
          <w:bCs w:val="0"/>
        </w:rPr>
        <w:t>十二、</w:t>
      </w:r>
      <w:r>
        <w:rPr>
          <w:rFonts w:hint="eastAsia" w:ascii="黑体" w:hAnsi="黑体" w:eastAsia="黑体" w:cs="黑体"/>
          <w:b w:val="0"/>
        </w:rPr>
        <w:t>政</w:t>
      </w:r>
      <w:r>
        <w:rPr>
          <w:rStyle w:val="25"/>
          <w:rFonts w:hint="eastAsia" w:ascii="黑体" w:hAnsi="黑体" w:eastAsia="黑体" w:cs="黑体"/>
          <w:b w:val="0"/>
          <w:bCs w:val="0"/>
        </w:rPr>
        <w:t>府性基金预算财政拨款“三公”经费支出决算表</w:t>
      </w:r>
      <w:bookmarkEnd w:id="146"/>
      <w:bookmarkEnd w:id="147"/>
    </w:p>
    <w:p>
      <w:pPr>
        <w:pStyle w:val="4"/>
        <w:spacing w:before="0" w:after="0" w:line="576" w:lineRule="exact"/>
        <w:ind w:firstLine="640" w:firstLineChars="200"/>
        <w:rPr>
          <w:rStyle w:val="25"/>
          <w:rFonts w:ascii="黑体" w:hAnsi="黑体" w:eastAsia="黑体" w:cs="黑体"/>
          <w:b w:val="0"/>
          <w:bCs w:val="0"/>
        </w:rPr>
      </w:pPr>
      <w:bookmarkStart w:id="148" w:name="_Toc13767"/>
      <w:bookmarkStart w:id="149" w:name="_Toc15396631"/>
      <w:r>
        <w:rPr>
          <w:rStyle w:val="25"/>
          <w:rFonts w:hint="eastAsia" w:ascii="黑体" w:hAnsi="黑体" w:eastAsia="黑体" w:cs="黑体"/>
          <w:b w:val="0"/>
          <w:bCs w:val="0"/>
        </w:rPr>
        <w:t>十三、</w:t>
      </w:r>
      <w:r>
        <w:rPr>
          <w:rFonts w:hint="eastAsia" w:ascii="黑体" w:hAnsi="黑体" w:eastAsia="黑体" w:cs="黑体"/>
          <w:b w:val="0"/>
        </w:rPr>
        <w:t>国</w:t>
      </w:r>
      <w:r>
        <w:rPr>
          <w:rStyle w:val="25"/>
          <w:rFonts w:hint="eastAsia" w:ascii="黑体" w:hAnsi="黑体" w:eastAsia="黑体" w:cs="黑体"/>
          <w:b w:val="0"/>
          <w:bCs w:val="0"/>
        </w:rPr>
        <w:t>有资本经营预算财政拨款收入支出决算表</w:t>
      </w:r>
      <w:bookmarkEnd w:id="148"/>
      <w:bookmarkEnd w:id="149"/>
    </w:p>
    <w:p>
      <w:pPr>
        <w:spacing w:line="576" w:lineRule="exact"/>
        <w:ind w:firstLine="640" w:firstLineChars="200"/>
        <w:rPr>
          <w:rFonts w:ascii="黑体" w:hAnsi="黑体" w:eastAsia="黑体" w:cs="黑体"/>
          <w:sz w:val="32"/>
          <w:szCs w:val="32"/>
        </w:rPr>
      </w:pPr>
      <w:bookmarkStart w:id="150" w:name="_Toc3418"/>
      <w:r>
        <w:rPr>
          <w:rStyle w:val="25"/>
          <w:rFonts w:hint="eastAsia" w:ascii="黑体" w:hAnsi="黑体" w:eastAsia="黑体" w:cs="黑体"/>
          <w:b w:val="0"/>
          <w:bCs w:val="0"/>
        </w:rPr>
        <w:t>十四、国有资本经营预算财政拨款支出决算表</w:t>
      </w:r>
      <w:bookmarkEnd w:id="150"/>
    </w:p>
    <w:sectPr>
      <w:headerReference r:id="rId3" w:type="default"/>
      <w:footerReference r:id="rId4" w:type="default"/>
      <w:pgSz w:w="11906" w:h="16838"/>
      <w:pgMar w:top="2098" w:right="1587" w:bottom="2098" w:left="1474" w:header="851" w:footer="992" w:gutter="0"/>
      <w:pgNumType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1AED624-4C59-4EF1-B45B-74A49934FA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38C79CA-55B4-4BF7-A4BB-4490587F5E68}"/>
  </w:font>
  <w:font w:name="方正小标宋_GBK">
    <w:altName w:val="微软雅黑"/>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embedRegular r:id="rId3" w:fontKey="{1566CC84-9418-4D28-B62B-6F38B0A67A40}"/>
  </w:font>
  <w:font w:name="Cambria">
    <w:panose1 w:val="02040503050406030204"/>
    <w:charset w:val="00"/>
    <w:family w:val="roman"/>
    <w:pitch w:val="default"/>
    <w:sig w:usb0="E00006FF" w:usb1="420024FF" w:usb2="02000000" w:usb3="00000000" w:csb0="2000019F" w:csb1="00000000"/>
    <w:embedRegular r:id="rId4" w:fontKey="{6BBF9111-552D-4C12-A4B4-94A6D8D9932F}"/>
  </w:font>
  <w:font w:name="仿宋">
    <w:panose1 w:val="02010609060101010101"/>
    <w:charset w:val="86"/>
    <w:family w:val="modern"/>
    <w:pitch w:val="default"/>
    <w:sig w:usb0="800002BF" w:usb1="38CF7CFA" w:usb2="00000016" w:usb3="00000000" w:csb0="00040001" w:csb1="00000000"/>
    <w:embedRegular r:id="rId5" w:fontKey="{0A77DC12-746C-4306-B446-01523A7F2C96}"/>
  </w:font>
  <w:font w:name="方正小标宋简体">
    <w:panose1 w:val="02000000000000000000"/>
    <w:charset w:val="86"/>
    <w:family w:val="auto"/>
    <w:pitch w:val="default"/>
    <w:sig w:usb0="00000001" w:usb1="08000000" w:usb2="00000000" w:usb3="00000000" w:csb0="00040000" w:csb1="00000000"/>
    <w:embedRegular r:id="rId6" w:fontKey="{DA4EAE08-63AC-4F22-8205-2FE8CDBBFBC9}"/>
  </w:font>
  <w:font w:name="楷体">
    <w:panose1 w:val="02010609060101010101"/>
    <w:charset w:val="86"/>
    <w:family w:val="modern"/>
    <w:pitch w:val="default"/>
    <w:sig w:usb0="800002BF" w:usb1="38CF7CFA" w:usb2="00000016" w:usb3="00000000" w:csb0="00040001" w:csb1="00000000"/>
    <w:embedRegular r:id="rId7" w:fontKey="{3FC61C8D-250C-4B5E-8566-5EDE4D53B854}"/>
  </w:font>
  <w:font w:name="楷体_GB2312">
    <w:altName w:val="楷体"/>
    <w:panose1 w:val="00000000000000000000"/>
    <w:charset w:val="86"/>
    <w:family w:val="modern"/>
    <w:pitch w:val="default"/>
    <w:sig w:usb0="00000000" w:usb1="00000000" w:usb2="00000000" w:usb3="00000000" w:csb0="00040000" w:csb1="00000000"/>
    <w:embedRegular r:id="rId8" w:fontKey="{E830D66D-BD36-42AE-A611-B1772C081FD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781956"/>
    </w:sdtPr>
    <w:sdtContent>
      <w:p>
        <w:pPr>
          <w:pStyle w:val="9"/>
          <w:jc w:val="center"/>
        </w:pPr>
        <w:r>
          <w:fldChar w:fldCharType="begin"/>
        </w:r>
        <w:r>
          <w:instrText xml:space="preserve">PAGE   \* MERGEFORMAT</w:instrText>
        </w:r>
        <w:r>
          <w:fldChar w:fldCharType="separate"/>
        </w:r>
        <w:r>
          <w:rPr>
            <w:lang w:val="zh-CN"/>
          </w:rPr>
          <w:t>8</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F1361C"/>
    <w:rsid w:val="000222C6"/>
    <w:rsid w:val="0002549F"/>
    <w:rsid w:val="000468DB"/>
    <w:rsid w:val="00052241"/>
    <w:rsid w:val="0006487A"/>
    <w:rsid w:val="00065F8F"/>
    <w:rsid w:val="00070A43"/>
    <w:rsid w:val="000768F2"/>
    <w:rsid w:val="0009184B"/>
    <w:rsid w:val="00094236"/>
    <w:rsid w:val="0009593C"/>
    <w:rsid w:val="00097322"/>
    <w:rsid w:val="000A6A92"/>
    <w:rsid w:val="000B047F"/>
    <w:rsid w:val="000B5923"/>
    <w:rsid w:val="000B5A48"/>
    <w:rsid w:val="000B6FF3"/>
    <w:rsid w:val="000B79C4"/>
    <w:rsid w:val="000C3467"/>
    <w:rsid w:val="000C3CA6"/>
    <w:rsid w:val="000D1267"/>
    <w:rsid w:val="000D1D50"/>
    <w:rsid w:val="000D5782"/>
    <w:rsid w:val="000E6613"/>
    <w:rsid w:val="000E7119"/>
    <w:rsid w:val="00114E9B"/>
    <w:rsid w:val="00142216"/>
    <w:rsid w:val="00144D6A"/>
    <w:rsid w:val="0014729F"/>
    <w:rsid w:val="00157BAB"/>
    <w:rsid w:val="001654D1"/>
    <w:rsid w:val="001716C9"/>
    <w:rsid w:val="00174518"/>
    <w:rsid w:val="0018106D"/>
    <w:rsid w:val="001877A7"/>
    <w:rsid w:val="00191536"/>
    <w:rsid w:val="00196687"/>
    <w:rsid w:val="001C0962"/>
    <w:rsid w:val="001D65E4"/>
    <w:rsid w:val="001D7531"/>
    <w:rsid w:val="001E737D"/>
    <w:rsid w:val="001E7D81"/>
    <w:rsid w:val="001F0592"/>
    <w:rsid w:val="001F7506"/>
    <w:rsid w:val="002006CD"/>
    <w:rsid w:val="00202B36"/>
    <w:rsid w:val="00204B7A"/>
    <w:rsid w:val="00204CDE"/>
    <w:rsid w:val="0021101A"/>
    <w:rsid w:val="00220536"/>
    <w:rsid w:val="002234B7"/>
    <w:rsid w:val="00235629"/>
    <w:rsid w:val="00260C38"/>
    <w:rsid w:val="002616C0"/>
    <w:rsid w:val="00265372"/>
    <w:rsid w:val="002662AA"/>
    <w:rsid w:val="002760B2"/>
    <w:rsid w:val="00280496"/>
    <w:rsid w:val="00294DC9"/>
    <w:rsid w:val="00295495"/>
    <w:rsid w:val="002A31DE"/>
    <w:rsid w:val="002B2613"/>
    <w:rsid w:val="002C49BB"/>
    <w:rsid w:val="002D6D05"/>
    <w:rsid w:val="002F1818"/>
    <w:rsid w:val="002F567B"/>
    <w:rsid w:val="003216A9"/>
    <w:rsid w:val="00335A74"/>
    <w:rsid w:val="00356E4A"/>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3F1F40"/>
    <w:rsid w:val="00406254"/>
    <w:rsid w:val="004223DE"/>
    <w:rsid w:val="00434489"/>
    <w:rsid w:val="00437085"/>
    <w:rsid w:val="00443880"/>
    <w:rsid w:val="004464F4"/>
    <w:rsid w:val="004518BC"/>
    <w:rsid w:val="00471401"/>
    <w:rsid w:val="00472278"/>
    <w:rsid w:val="00473F31"/>
    <w:rsid w:val="0048263A"/>
    <w:rsid w:val="00487E5D"/>
    <w:rsid w:val="004A711F"/>
    <w:rsid w:val="004B199D"/>
    <w:rsid w:val="004B4690"/>
    <w:rsid w:val="004E0A2D"/>
    <w:rsid w:val="004E206B"/>
    <w:rsid w:val="004E6DF7"/>
    <w:rsid w:val="004F0FBD"/>
    <w:rsid w:val="00505A47"/>
    <w:rsid w:val="00512FDA"/>
    <w:rsid w:val="005162DE"/>
    <w:rsid w:val="00520DA0"/>
    <w:rsid w:val="005664BB"/>
    <w:rsid w:val="00566FFA"/>
    <w:rsid w:val="0057481D"/>
    <w:rsid w:val="0058486E"/>
    <w:rsid w:val="00585B33"/>
    <w:rsid w:val="0059014D"/>
    <w:rsid w:val="005960A4"/>
    <w:rsid w:val="005B5C64"/>
    <w:rsid w:val="005C5337"/>
    <w:rsid w:val="005C561B"/>
    <w:rsid w:val="005C6BD0"/>
    <w:rsid w:val="005D1C8B"/>
    <w:rsid w:val="005D468D"/>
    <w:rsid w:val="005D5CED"/>
    <w:rsid w:val="005F1A4C"/>
    <w:rsid w:val="005F7041"/>
    <w:rsid w:val="0060486F"/>
    <w:rsid w:val="00605688"/>
    <w:rsid w:val="006070AF"/>
    <w:rsid w:val="00607E6C"/>
    <w:rsid w:val="006101B1"/>
    <w:rsid w:val="00614E44"/>
    <w:rsid w:val="0062270A"/>
    <w:rsid w:val="00622830"/>
    <w:rsid w:val="00623DA0"/>
    <w:rsid w:val="00630AEF"/>
    <w:rsid w:val="006325F8"/>
    <w:rsid w:val="00633463"/>
    <w:rsid w:val="00634C9A"/>
    <w:rsid w:val="006440E4"/>
    <w:rsid w:val="0064555B"/>
    <w:rsid w:val="0066343B"/>
    <w:rsid w:val="00664777"/>
    <w:rsid w:val="006748A4"/>
    <w:rsid w:val="00681A31"/>
    <w:rsid w:val="00683E73"/>
    <w:rsid w:val="006A3141"/>
    <w:rsid w:val="006A5E34"/>
    <w:rsid w:val="006B2422"/>
    <w:rsid w:val="006B2B9A"/>
    <w:rsid w:val="006C1937"/>
    <w:rsid w:val="006E7F6A"/>
    <w:rsid w:val="006F020C"/>
    <w:rsid w:val="007127B7"/>
    <w:rsid w:val="0071798E"/>
    <w:rsid w:val="007416B6"/>
    <w:rsid w:val="00746F48"/>
    <w:rsid w:val="00752FDD"/>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A2404"/>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28D1"/>
    <w:rsid w:val="00954C49"/>
    <w:rsid w:val="00955E37"/>
    <w:rsid w:val="0097099F"/>
    <w:rsid w:val="00971997"/>
    <w:rsid w:val="00971FFC"/>
    <w:rsid w:val="009720AB"/>
    <w:rsid w:val="0098660A"/>
    <w:rsid w:val="009931C3"/>
    <w:rsid w:val="009A2F7A"/>
    <w:rsid w:val="009A3116"/>
    <w:rsid w:val="009B2C43"/>
    <w:rsid w:val="009B4EAE"/>
    <w:rsid w:val="009B7573"/>
    <w:rsid w:val="009C22F4"/>
    <w:rsid w:val="009C2A4B"/>
    <w:rsid w:val="009C2E98"/>
    <w:rsid w:val="009D3447"/>
    <w:rsid w:val="009D4711"/>
    <w:rsid w:val="009E7F92"/>
    <w:rsid w:val="009F0A4D"/>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43F6"/>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6343D"/>
    <w:rsid w:val="00B77EA6"/>
    <w:rsid w:val="00B81598"/>
    <w:rsid w:val="00B841F1"/>
    <w:rsid w:val="00B944D6"/>
    <w:rsid w:val="00BB4DF0"/>
    <w:rsid w:val="00BC289F"/>
    <w:rsid w:val="00BC2D50"/>
    <w:rsid w:val="00BC5361"/>
    <w:rsid w:val="00BC5460"/>
    <w:rsid w:val="00BC6B50"/>
    <w:rsid w:val="00BD0E25"/>
    <w:rsid w:val="00BE5261"/>
    <w:rsid w:val="00BF5BD6"/>
    <w:rsid w:val="00C03E31"/>
    <w:rsid w:val="00C30BDE"/>
    <w:rsid w:val="00C33E72"/>
    <w:rsid w:val="00C354B2"/>
    <w:rsid w:val="00C35554"/>
    <w:rsid w:val="00C40588"/>
    <w:rsid w:val="00C42709"/>
    <w:rsid w:val="00C533CC"/>
    <w:rsid w:val="00C5751C"/>
    <w:rsid w:val="00C61BFC"/>
    <w:rsid w:val="00C62B85"/>
    <w:rsid w:val="00C65438"/>
    <w:rsid w:val="00C87FD8"/>
    <w:rsid w:val="00C91381"/>
    <w:rsid w:val="00C91CBB"/>
    <w:rsid w:val="00C93982"/>
    <w:rsid w:val="00CB4E70"/>
    <w:rsid w:val="00CC09B6"/>
    <w:rsid w:val="00CC666F"/>
    <w:rsid w:val="00CD1E3F"/>
    <w:rsid w:val="00CE3883"/>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E0CFA"/>
    <w:rsid w:val="00DF28BC"/>
    <w:rsid w:val="00DF34B9"/>
    <w:rsid w:val="00E01053"/>
    <w:rsid w:val="00E07ACF"/>
    <w:rsid w:val="00E128AA"/>
    <w:rsid w:val="00E331A1"/>
    <w:rsid w:val="00E33202"/>
    <w:rsid w:val="00E336A9"/>
    <w:rsid w:val="00E472B1"/>
    <w:rsid w:val="00E50624"/>
    <w:rsid w:val="00E568DF"/>
    <w:rsid w:val="00E64269"/>
    <w:rsid w:val="00E6505D"/>
    <w:rsid w:val="00E77279"/>
    <w:rsid w:val="00E82267"/>
    <w:rsid w:val="00E853CE"/>
    <w:rsid w:val="00E867B6"/>
    <w:rsid w:val="00E97719"/>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2780"/>
    <w:rsid w:val="00F841AA"/>
    <w:rsid w:val="00F84A94"/>
    <w:rsid w:val="00F87E96"/>
    <w:rsid w:val="00FA23E8"/>
    <w:rsid w:val="00FD3CC1"/>
    <w:rsid w:val="00FF1E02"/>
    <w:rsid w:val="00FF30B4"/>
    <w:rsid w:val="01E03DA0"/>
    <w:rsid w:val="0478051C"/>
    <w:rsid w:val="064656F7"/>
    <w:rsid w:val="07543BE4"/>
    <w:rsid w:val="09773E97"/>
    <w:rsid w:val="09BC6592"/>
    <w:rsid w:val="0A2032A3"/>
    <w:rsid w:val="0B8A37D8"/>
    <w:rsid w:val="0C60135C"/>
    <w:rsid w:val="0D1D51EF"/>
    <w:rsid w:val="0D690A8B"/>
    <w:rsid w:val="0D9613D9"/>
    <w:rsid w:val="0DA925F8"/>
    <w:rsid w:val="0DC363ED"/>
    <w:rsid w:val="0DE314D8"/>
    <w:rsid w:val="0EC15643"/>
    <w:rsid w:val="106F1D6E"/>
    <w:rsid w:val="10994EC9"/>
    <w:rsid w:val="10C055FF"/>
    <w:rsid w:val="117D3A12"/>
    <w:rsid w:val="118107EC"/>
    <w:rsid w:val="11DD6519"/>
    <w:rsid w:val="13D27907"/>
    <w:rsid w:val="13F54EE7"/>
    <w:rsid w:val="14E659BE"/>
    <w:rsid w:val="15D55160"/>
    <w:rsid w:val="16BB723D"/>
    <w:rsid w:val="18015F3F"/>
    <w:rsid w:val="196A273E"/>
    <w:rsid w:val="1A727CB7"/>
    <w:rsid w:val="1A872F16"/>
    <w:rsid w:val="1B102545"/>
    <w:rsid w:val="1BE8440E"/>
    <w:rsid w:val="1C224C26"/>
    <w:rsid w:val="1CF60711"/>
    <w:rsid w:val="1D083EAE"/>
    <w:rsid w:val="1D155CEE"/>
    <w:rsid w:val="20F57F95"/>
    <w:rsid w:val="21274C73"/>
    <w:rsid w:val="230D1610"/>
    <w:rsid w:val="238C7960"/>
    <w:rsid w:val="240371BF"/>
    <w:rsid w:val="25C741E6"/>
    <w:rsid w:val="27710810"/>
    <w:rsid w:val="27842671"/>
    <w:rsid w:val="29FD04D3"/>
    <w:rsid w:val="2ABE7A3E"/>
    <w:rsid w:val="2CEE7C33"/>
    <w:rsid w:val="2CFB5FD8"/>
    <w:rsid w:val="2E3010FB"/>
    <w:rsid w:val="2EFA178C"/>
    <w:rsid w:val="2FC67770"/>
    <w:rsid w:val="30331ECF"/>
    <w:rsid w:val="30B46D73"/>
    <w:rsid w:val="319F7F4E"/>
    <w:rsid w:val="31DA3958"/>
    <w:rsid w:val="33A72C4E"/>
    <w:rsid w:val="340A166E"/>
    <w:rsid w:val="34432ACD"/>
    <w:rsid w:val="35B62879"/>
    <w:rsid w:val="3899266B"/>
    <w:rsid w:val="39AE70AB"/>
    <w:rsid w:val="3A1D02E4"/>
    <w:rsid w:val="3A2A53FC"/>
    <w:rsid w:val="3A8D19F2"/>
    <w:rsid w:val="3B4F376A"/>
    <w:rsid w:val="3C0C0783"/>
    <w:rsid w:val="3CBA69AE"/>
    <w:rsid w:val="3DC271E1"/>
    <w:rsid w:val="3EA437B1"/>
    <w:rsid w:val="3EAF52E8"/>
    <w:rsid w:val="3F795B0E"/>
    <w:rsid w:val="3F9F3A96"/>
    <w:rsid w:val="40350D30"/>
    <w:rsid w:val="40512D12"/>
    <w:rsid w:val="41A04331"/>
    <w:rsid w:val="41A36E3C"/>
    <w:rsid w:val="41EA08B5"/>
    <w:rsid w:val="42B75819"/>
    <w:rsid w:val="43592C8A"/>
    <w:rsid w:val="450774CE"/>
    <w:rsid w:val="487B4576"/>
    <w:rsid w:val="493A087A"/>
    <w:rsid w:val="493C27E9"/>
    <w:rsid w:val="496F39ED"/>
    <w:rsid w:val="4979137F"/>
    <w:rsid w:val="49FF41D3"/>
    <w:rsid w:val="4A185DC8"/>
    <w:rsid w:val="4A7E04C4"/>
    <w:rsid w:val="4B346CEE"/>
    <w:rsid w:val="4B3756F4"/>
    <w:rsid w:val="4BE068DB"/>
    <w:rsid w:val="4BF6002B"/>
    <w:rsid w:val="4CF71E51"/>
    <w:rsid w:val="4D023A66"/>
    <w:rsid w:val="4D2D76DE"/>
    <w:rsid w:val="4E622728"/>
    <w:rsid w:val="4ECE2238"/>
    <w:rsid w:val="506875FB"/>
    <w:rsid w:val="50870DA9"/>
    <w:rsid w:val="51210FA7"/>
    <w:rsid w:val="513A2E14"/>
    <w:rsid w:val="51DB4B86"/>
    <w:rsid w:val="52C43CF3"/>
    <w:rsid w:val="530968C9"/>
    <w:rsid w:val="53AE15D6"/>
    <w:rsid w:val="54F00CE8"/>
    <w:rsid w:val="55333C3E"/>
    <w:rsid w:val="55B9292F"/>
    <w:rsid w:val="574868BE"/>
    <w:rsid w:val="574C52C4"/>
    <w:rsid w:val="57821021"/>
    <w:rsid w:val="598732AA"/>
    <w:rsid w:val="60504E32"/>
    <w:rsid w:val="61870B44"/>
    <w:rsid w:val="61B81661"/>
    <w:rsid w:val="61CB663A"/>
    <w:rsid w:val="62670500"/>
    <w:rsid w:val="62B84844"/>
    <w:rsid w:val="63AE2A15"/>
    <w:rsid w:val="645038A3"/>
    <w:rsid w:val="64CA39A1"/>
    <w:rsid w:val="64DD0F09"/>
    <w:rsid w:val="66887883"/>
    <w:rsid w:val="68E34778"/>
    <w:rsid w:val="6A4B4E73"/>
    <w:rsid w:val="6A5269FC"/>
    <w:rsid w:val="6B8B696A"/>
    <w:rsid w:val="6C4A05C8"/>
    <w:rsid w:val="6E012500"/>
    <w:rsid w:val="6EBA5637"/>
    <w:rsid w:val="6ECE55DC"/>
    <w:rsid w:val="6F411749"/>
    <w:rsid w:val="6FF400ED"/>
    <w:rsid w:val="71076500"/>
    <w:rsid w:val="724F2A57"/>
    <w:rsid w:val="72660E4F"/>
    <w:rsid w:val="72734D90"/>
    <w:rsid w:val="74982ED9"/>
    <w:rsid w:val="75F25C45"/>
    <w:rsid w:val="76992564"/>
    <w:rsid w:val="782A302A"/>
    <w:rsid w:val="788D2EB1"/>
    <w:rsid w:val="789A386A"/>
    <w:rsid w:val="79E7B28D"/>
    <w:rsid w:val="7A996778"/>
    <w:rsid w:val="7AC548F7"/>
    <w:rsid w:val="7AE606AF"/>
    <w:rsid w:val="7C775BAB"/>
    <w:rsid w:val="7D623D49"/>
    <w:rsid w:val="7DD55A87"/>
    <w:rsid w:val="7EAC5562"/>
    <w:rsid w:val="7F9F20EE"/>
    <w:rsid w:val="7FD57A27"/>
    <w:rsid w:val="9E3A10E2"/>
    <w:rsid w:val="F2E1F9D4"/>
    <w:rsid w:val="F788081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4"/>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8"/>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2">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6">
    <w:name w:val="Body Text"/>
    <w:basedOn w:val="1"/>
    <w:link w:val="21"/>
    <w:qFormat/>
    <w:uiPriority w:val="99"/>
    <w:pPr>
      <w:spacing w:beforeLines="30"/>
    </w:pPr>
    <w:rPr>
      <w:rFonts w:ascii="仿宋_GB2312" w:eastAsia="仿宋_GB2312"/>
      <w:kern w:val="0"/>
      <w:sz w:val="30"/>
    </w:rPr>
  </w:style>
  <w:style w:type="paragraph" w:styleId="7">
    <w:name w:val="toc 3"/>
    <w:basedOn w:val="1"/>
    <w:next w:val="1"/>
    <w:unhideWhenUsed/>
    <w:qFormat/>
    <w:uiPriority w:val="39"/>
    <w:pPr>
      <w:tabs>
        <w:tab w:val="right" w:leader="dot" w:pos="8296"/>
      </w:tabs>
      <w:ind w:left="840" w:leftChars="400"/>
    </w:pPr>
  </w:style>
  <w:style w:type="paragraph" w:styleId="8">
    <w:name w:val="Balloon Text"/>
    <w:basedOn w:val="1"/>
    <w:link w:val="27"/>
    <w:semiHidden/>
    <w:unhideWhenUsed/>
    <w:qFormat/>
    <w:uiPriority w:val="99"/>
    <w:rPr>
      <w:sz w:val="18"/>
      <w:szCs w:val="18"/>
    </w:rPr>
  </w:style>
  <w:style w:type="paragraph" w:styleId="9">
    <w:name w:val="footer"/>
    <w:basedOn w:val="1"/>
    <w:link w:val="19"/>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17"/>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2"/>
    <w:basedOn w:val="1"/>
    <w:next w:val="1"/>
    <w:unhideWhenUsed/>
    <w:qFormat/>
    <w:uiPriority w:val="39"/>
    <w:pPr>
      <w:tabs>
        <w:tab w:val="right" w:leader="dot" w:pos="8296"/>
      </w:tabs>
      <w:ind w:left="420" w:leftChars="200"/>
    </w:pPr>
  </w:style>
  <w:style w:type="character" w:styleId="14">
    <w:name w:val="Strong"/>
    <w:basedOn w:val="13"/>
    <w:qFormat/>
    <w:uiPriority w:val="99"/>
    <w:rPr>
      <w:b/>
    </w:rPr>
  </w:style>
  <w:style w:type="character" w:styleId="15">
    <w:name w:val="Hyperlink"/>
    <w:basedOn w:val="13"/>
    <w:unhideWhenUsed/>
    <w:qFormat/>
    <w:uiPriority w:val="99"/>
    <w:rPr>
      <w:color w:val="0000FF" w:themeColor="hyperlink"/>
      <w:u w:val="single"/>
      <w14:textFill>
        <w14:solidFill>
          <w14:schemeClr w14:val="hlink"/>
        </w14:solidFill>
      </w14:textFill>
    </w:rPr>
  </w:style>
  <w:style w:type="character" w:customStyle="1" w:styleId="16">
    <w:name w:val="Header Char"/>
    <w:basedOn w:val="13"/>
    <w:semiHidden/>
    <w:qFormat/>
    <w:uiPriority w:val="99"/>
    <w:rPr>
      <w:rFonts w:ascii="Times New Roman" w:hAnsi="Times New Roman"/>
      <w:sz w:val="18"/>
      <w:szCs w:val="18"/>
    </w:rPr>
  </w:style>
  <w:style w:type="character" w:customStyle="1" w:styleId="17">
    <w:name w:val="页眉 字符"/>
    <w:link w:val="10"/>
    <w:semiHidden/>
    <w:qFormat/>
    <w:locked/>
    <w:uiPriority w:val="99"/>
    <w:rPr>
      <w:sz w:val="18"/>
    </w:rPr>
  </w:style>
  <w:style w:type="character" w:customStyle="1" w:styleId="18">
    <w:name w:val="Footer Char"/>
    <w:basedOn w:val="13"/>
    <w:semiHidden/>
    <w:qFormat/>
    <w:uiPriority w:val="99"/>
    <w:rPr>
      <w:rFonts w:ascii="Times New Roman" w:hAnsi="Times New Roman"/>
      <w:sz w:val="18"/>
      <w:szCs w:val="18"/>
    </w:rPr>
  </w:style>
  <w:style w:type="character" w:customStyle="1" w:styleId="19">
    <w:name w:val="页脚 字符"/>
    <w:link w:val="9"/>
    <w:qFormat/>
    <w:locked/>
    <w:uiPriority w:val="99"/>
    <w:rPr>
      <w:sz w:val="18"/>
    </w:rPr>
  </w:style>
  <w:style w:type="character" w:customStyle="1" w:styleId="20">
    <w:name w:val="Body Text Char"/>
    <w:basedOn w:val="13"/>
    <w:semiHidden/>
    <w:qFormat/>
    <w:uiPriority w:val="99"/>
    <w:rPr>
      <w:rFonts w:ascii="Times New Roman" w:hAnsi="Times New Roman"/>
      <w:szCs w:val="24"/>
    </w:rPr>
  </w:style>
  <w:style w:type="character" w:customStyle="1" w:styleId="21">
    <w:name w:val="正文文本 字符"/>
    <w:link w:val="6"/>
    <w:qFormat/>
    <w:locked/>
    <w:uiPriority w:val="99"/>
    <w:rPr>
      <w:rFonts w:ascii="仿宋_GB2312" w:hAnsi="Times New Roman" w:eastAsia="仿宋_GB2312"/>
      <w:sz w:val="24"/>
    </w:rPr>
  </w:style>
  <w:style w:type="paragraph" w:customStyle="1" w:styleId="22">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3">
    <w:name w:val="List Paragraph"/>
    <w:basedOn w:val="1"/>
    <w:qFormat/>
    <w:uiPriority w:val="99"/>
    <w:pPr>
      <w:ind w:firstLine="420" w:firstLineChars="200"/>
    </w:pPr>
  </w:style>
  <w:style w:type="character" w:customStyle="1" w:styleId="24">
    <w:name w:val="标题 1 字符"/>
    <w:basedOn w:val="13"/>
    <w:link w:val="3"/>
    <w:qFormat/>
    <w:uiPriority w:val="9"/>
    <w:rPr>
      <w:rFonts w:ascii="Times New Roman" w:hAnsi="Times New Roman"/>
      <w:b/>
      <w:bCs/>
      <w:kern w:val="44"/>
      <w:sz w:val="44"/>
      <w:szCs w:val="44"/>
    </w:rPr>
  </w:style>
  <w:style w:type="character" w:customStyle="1" w:styleId="25">
    <w:name w:val="标题 2 字符"/>
    <w:basedOn w:val="13"/>
    <w:link w:val="4"/>
    <w:qFormat/>
    <w:uiPriority w:val="9"/>
    <w:rPr>
      <w:rFonts w:asciiTheme="majorHAnsi" w:hAnsiTheme="majorHAnsi" w:eastAsiaTheme="majorEastAsia" w:cstheme="majorBidi"/>
      <w:b/>
      <w:bCs/>
      <w:kern w:val="2"/>
      <w:sz w:val="32"/>
      <w:szCs w:val="32"/>
    </w:rPr>
  </w:style>
  <w:style w:type="paragraph" w:customStyle="1" w:styleId="2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7">
    <w:name w:val="批注框文本 字符"/>
    <w:basedOn w:val="13"/>
    <w:link w:val="8"/>
    <w:semiHidden/>
    <w:qFormat/>
    <w:uiPriority w:val="99"/>
    <w:rPr>
      <w:rFonts w:ascii="Times New Roman" w:hAnsi="Times New Roman"/>
      <w:kern w:val="2"/>
      <w:sz w:val="18"/>
      <w:szCs w:val="18"/>
    </w:rPr>
  </w:style>
  <w:style w:type="character" w:customStyle="1" w:styleId="28">
    <w:name w:val="标题 3 字符"/>
    <w:basedOn w:val="13"/>
    <w:link w:val="5"/>
    <w:qFormat/>
    <w:uiPriority w:val="9"/>
    <w:rPr>
      <w:rFonts w:ascii="Times New Roman" w:hAnsi="Times New Roman"/>
      <w:b/>
      <w:bCs/>
      <w:kern w:val="2"/>
      <w:sz w:val="32"/>
      <w:szCs w:val="32"/>
    </w:rPr>
  </w:style>
  <w:style w:type="paragraph" w:customStyle="1" w:styleId="29">
    <w:name w:val="TOC Heading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0">
    <w:name w:val="正文2"/>
    <w:basedOn w:val="1"/>
    <w:next w:val="1"/>
    <w:qFormat/>
    <w:uiPriority w:val="0"/>
  </w:style>
  <w:style w:type="paragraph" w:customStyle="1" w:styleId="31">
    <w:name w:val="正文1"/>
    <w:qFormat/>
    <w:uiPriority w:val="0"/>
    <w:pPr>
      <w:widowControl w:val="0"/>
      <w:jc w:val="both"/>
    </w:pPr>
    <w:rPr>
      <w:rFonts w:ascii="Times New Roman" w:hAnsi="Times New Roman" w:eastAsia="宋体" w:cs="Times New Roman"/>
      <w:kern w:val="2"/>
      <w:sz w:val="21"/>
      <w:szCs w:val="21"/>
      <w:lang w:val="en-US" w:eastAsia="zh-CN" w:bidi="ar-SA"/>
    </w:rPr>
  </w:style>
  <w:style w:type="character" w:customStyle="1" w:styleId="32">
    <w:name w:val="15"/>
    <w:basedOn w:val="13"/>
    <w:qFormat/>
    <w:uiPriority w:val="0"/>
    <w:rPr>
      <w:rFonts w:hint="default" w:ascii="Times New Roman" w:hAnsi="Times New Roman" w:cs="Times New Roman"/>
      <w:b/>
    </w:rPr>
  </w:style>
  <w:style w:type="paragraph" w:customStyle="1" w:styleId="33">
    <w:name w:val="WPSOffice手动目录 1"/>
    <w:qFormat/>
    <w:uiPriority w:val="0"/>
    <w:rPr>
      <w:rFonts w:asciiTheme="minorHAnsi" w:hAnsiTheme="minorHAnsi" w:eastAsiaTheme="minorEastAsia" w:cstheme="minorBidi"/>
      <w:lang w:val="en-US" w:eastAsia="zh-CN" w:bidi="ar-SA"/>
    </w:rPr>
  </w:style>
  <w:style w:type="paragraph" w:customStyle="1" w:styleId="34">
    <w:name w:val="WPSOffice手动目录 2"/>
    <w:qFormat/>
    <w:uiPriority w:val="0"/>
    <w:pPr>
      <w:ind w:left="200" w:leftChars="200"/>
    </w:pPr>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3.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6.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收、支决算总计变动情况图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2020年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收、支总计</c:v>
                </c:pt>
              </c:strCache>
            </c:strRef>
          </c:cat>
          <c:val>
            <c:numRef>
              <c:f>Sheet1!$B$2:$B$3</c:f>
              <c:numCache>
                <c:formatCode>0.00_ </c:formatCode>
                <c:ptCount val="2"/>
                <c:pt idx="0">
                  <c:v>594.84</c:v>
                </c:pt>
              </c:numCache>
            </c:numRef>
          </c:val>
        </c:ser>
        <c:ser>
          <c:idx val="1"/>
          <c:order val="1"/>
          <c:tx>
            <c:strRef>
              <c:f>Sheet1!$C$1</c:f>
              <c:strCache>
                <c:ptCount val="1"/>
                <c:pt idx="0">
                  <c:v>2021年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收、支总计</c:v>
                </c:pt>
              </c:strCache>
            </c:strRef>
          </c:cat>
          <c:val>
            <c:numRef>
              <c:f>Sheet1!$C$2:$C$3</c:f>
              <c:numCache>
                <c:formatCode>0.00_ </c:formatCode>
                <c:ptCount val="2"/>
                <c:pt idx="0">
                  <c:v>647.08</c:v>
                </c:pt>
              </c:numCache>
            </c:numRef>
          </c:val>
        </c:ser>
        <c:dLbls>
          <c:showLegendKey val="0"/>
          <c:showVal val="0"/>
          <c:showCatName val="0"/>
          <c:showSerName val="0"/>
          <c:showPercent val="0"/>
          <c:showBubbleSize val="0"/>
        </c:dLbls>
        <c:gapWidth val="200"/>
        <c:overlap val="-50"/>
        <c:axId val="317891336"/>
        <c:axId val="316150808"/>
      </c:barChart>
      <c:catAx>
        <c:axId val="317891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6150808"/>
        <c:crosses val="autoZero"/>
        <c:auto val="1"/>
        <c:lblAlgn val="ctr"/>
        <c:lblOffset val="100"/>
        <c:noMultiLvlLbl val="0"/>
      </c:catAx>
      <c:valAx>
        <c:axId val="3161508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00_ "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789133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zh-CN" sz="900" b="0" i="0" u="none" strike="noStrike" kern="1200" baseline="0">
                <a:solidFill>
                  <a:schemeClr val="tx1">
                    <a:lumMod val="65000"/>
                    <a:lumOff val="35000"/>
                  </a:schemeClr>
                </a:solidFill>
                <a:effectLst>
                  <a:outerShdw blurRad="50800" dist="38100" dir="5400000" algn="ctr" rotWithShape="0">
                    <a:srgbClr val="000000">
                      <a:alpha val="43137"/>
                    </a:srgbClr>
                  </a:outerShdw>
                </a:effectLst>
                <a:latin typeface="+mn-lt"/>
                <a:ea typeface="+mn-ea"/>
                <a:cs typeface="+mn-cs"/>
              </a:defRPr>
            </a:pPr>
          </a:p>
        </c:txPr>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ltLang="zh-CN" sz="1800" b="1" i="0" u="none" strike="noStrike" baseline="0">
                <a:effectLst/>
              </a:rPr>
              <a:t>收入决算结构图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a:solidFill>
              <a:schemeClr val="accent2"/>
            </a:solidFill>
          </c:spPr>
          <c:explosion val="0"/>
          <c:dPt>
            <c:idx val="0"/>
            <c:bubble3D val="0"/>
            <c:spPr>
              <a:solidFill>
                <a:schemeClr val="accent2"/>
              </a:solidFill>
              <a:ln>
                <a:solidFill>
                  <a:schemeClr val="accent2"/>
                </a:solidFill>
              </a:ln>
              <a:effectLst>
                <a:outerShdw blurRad="254000" sx="102000" sy="102000" algn="ctr" rotWithShape="0">
                  <a:prstClr val="black">
                    <a:alpha val="20000"/>
                  </a:prstClr>
                </a:outerShdw>
              </a:effectLst>
            </c:spPr>
          </c:dPt>
          <c:dPt>
            <c:idx val="1"/>
            <c:bubble3D val="0"/>
            <c:spPr>
              <a:solidFill>
                <a:schemeClr val="accent1"/>
              </a:solidFill>
              <a:ln>
                <a:noFill/>
              </a:ln>
              <a:effectLst>
                <a:outerShdw blurRad="254000" sx="102000" sy="102000" algn="ctr" rotWithShape="0">
                  <a:prstClr val="black">
                    <a:alpha val="20000"/>
                  </a:prstClr>
                </a:outerShdw>
              </a:effectLst>
            </c:spPr>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一般公共预算财政拨款收入</c:v>
                </c:pt>
                <c:pt idx="1">
                  <c:v>其他收入</c:v>
                </c:pt>
              </c:strCache>
            </c:strRef>
          </c:cat>
          <c:val>
            <c:numRef>
              <c:f>Sheet1!$B$2:$B$3</c:f>
              <c:numCache>
                <c:formatCode>General</c:formatCode>
                <c:ptCount val="2"/>
                <c:pt idx="0">
                  <c:v>594.24</c:v>
                </c:pt>
                <c:pt idx="1">
                  <c:v>0.04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800" b="1" i="0" u="none" strike="noStrike" kern="1200" baseline="0">
                <a:solidFill>
                  <a:schemeClr val="dk1">
                    <a:lumMod val="75000"/>
                    <a:lumOff val="25000"/>
                  </a:schemeClr>
                </a:solidFill>
                <a:latin typeface="+mn-lt"/>
                <a:ea typeface="+mn-ea"/>
                <a:cs typeface="+mn-cs"/>
              </a:defRPr>
            </a:pPr>
            <a:r>
              <a:rPr lang="zh-CN" altLang="zh-CN" sz="1800" b="1" i="0" u="none" strike="noStrike" baseline="0">
                <a:effectLst/>
              </a:rPr>
              <a:t>支出决算结构图</a:t>
            </a:r>
            <a:endParaRPr lang="zh-CN" altLang="en-US"/>
          </a:p>
        </c:rich>
      </c:tx>
      <c:layout/>
      <c:overlay val="0"/>
      <c:spPr>
        <a:noFill/>
        <a:ln>
          <a:noFill/>
        </a:ln>
        <a:effectLst/>
      </c:spPr>
    </c:title>
    <c:autoTitleDeleted val="0"/>
    <c:plotArea>
      <c:layout>
        <c:manualLayout>
          <c:layoutTarget val="inner"/>
          <c:xMode val="edge"/>
          <c:yMode val="edge"/>
          <c:x val="0.277105774278215"/>
          <c:y val="0.254919236417034"/>
          <c:w val="0.386166666666667"/>
          <c:h val="0.680469897209985"/>
        </c:manualLayout>
      </c:layout>
      <c:pieChart>
        <c:varyColors val="1"/>
        <c:ser>
          <c:idx val="0"/>
          <c:order val="0"/>
          <c:tx>
            <c:strRef>
              <c:f>Sheet1!$B$1</c:f>
              <c:strCache>
                <c:ptCount val="1"/>
                <c:pt idx="0">
                  <c:v>金额</c:v>
                </c:pt>
              </c:strCache>
            </c:strRef>
          </c:tx>
          <c:spPr>
            <a:solidFill>
              <a:schemeClr val="accent2"/>
            </a:solidFill>
          </c:spPr>
          <c:explosion val="0"/>
          <c:dPt>
            <c:idx val="0"/>
            <c:bubble3D val="0"/>
            <c:spPr>
              <a:solidFill>
                <a:schemeClr val="accent2"/>
              </a:solidFill>
              <a:ln>
                <a:noFill/>
              </a:ln>
              <a:effectLst>
                <a:outerShdw blurRad="254000" sx="102000" sy="102000" algn="ctr" rotWithShape="0">
                  <a:prstClr val="black">
                    <a:alpha val="20000"/>
                  </a:prstClr>
                </a:outerShdw>
              </a:effectLst>
            </c:spPr>
          </c:dPt>
          <c:dPt>
            <c:idx val="1"/>
            <c:bubble3D val="0"/>
            <c:spPr>
              <a:solidFill>
                <a:schemeClr val="accent1"/>
              </a:solidFill>
              <a:ln>
                <a:noFill/>
              </a:ln>
              <a:effectLst>
                <a:outerShdw blurRad="254000" sx="102000" sy="102000" algn="ctr" rotWithShape="0">
                  <a:prstClr val="black">
                    <a:alpha val="20000"/>
                  </a:prstClr>
                </a:outerShdw>
              </a:effectLst>
            </c:spPr>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lang="zh-CN" sz="1000" b="1" i="0" u="none" strike="noStrike" kern="1200" baseline="0">
                    <a:solidFill>
                      <a:schemeClr val="lt1"/>
                    </a:solidFill>
                    <a:latin typeface="+mn-lt"/>
                    <a:ea typeface="+mn-ea"/>
                    <a:cs typeface="+mn-cs"/>
                  </a:defRPr>
                </a:pPr>
              </a:p>
            </c:txPr>
            <c:dLblPos val="ctr"/>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492.43</c:v>
                </c:pt>
                <c:pt idx="1">
                  <c:v>138.23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zh-CN" sz="900" b="0" i="0" u="none" strike="noStrike" kern="1200" baseline="0">
              <a:solidFill>
                <a:schemeClr val="dk1">
                  <a:lumMod val="75000"/>
                  <a:lumOff val="25000"/>
                </a:schemeClr>
              </a:solidFill>
              <a:latin typeface="+mn-lt"/>
              <a:ea typeface="+mn-ea"/>
              <a:cs typeface="+mn-cs"/>
            </a:defRPr>
          </a:pP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财政拨款收、支决算总计变动情况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2020年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财政拨款收、支总计</c:v>
                </c:pt>
              </c:strCache>
            </c:strRef>
          </c:cat>
          <c:val>
            <c:numRef>
              <c:f>Sheet1!$B$2</c:f>
              <c:numCache>
                <c:formatCode>General</c:formatCode>
                <c:ptCount val="1"/>
                <c:pt idx="0">
                  <c:v>594.54</c:v>
                </c:pt>
              </c:numCache>
            </c:numRef>
          </c:val>
        </c:ser>
        <c:ser>
          <c:idx val="1"/>
          <c:order val="1"/>
          <c:tx>
            <c:strRef>
              <c:f>Sheet1!$C$1</c:f>
              <c:strCache>
                <c:ptCount val="1"/>
                <c:pt idx="0">
                  <c:v>2021年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财政拨款收、支总计</c:v>
                </c:pt>
              </c:strCache>
            </c:strRef>
          </c:cat>
          <c:val>
            <c:numRef>
              <c:f>Sheet1!$C$2</c:f>
              <c:numCache>
                <c:formatCode>General</c:formatCode>
                <c:ptCount val="1"/>
                <c:pt idx="0">
                  <c:v>647.04</c:v>
                </c:pt>
              </c:numCache>
            </c:numRef>
          </c:val>
        </c:ser>
        <c:dLbls>
          <c:showLegendKey val="0"/>
          <c:showVal val="0"/>
          <c:showCatName val="0"/>
          <c:showSerName val="0"/>
          <c:showPercent val="0"/>
          <c:showBubbleSize val="0"/>
        </c:dLbls>
        <c:gapWidth val="219"/>
        <c:overlap val="-27"/>
        <c:axId val="316152376"/>
        <c:axId val="317888408"/>
      </c:barChart>
      <c:catAx>
        <c:axId val="31615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7888408"/>
        <c:crosses val="autoZero"/>
        <c:auto val="1"/>
        <c:lblAlgn val="ctr"/>
        <c:lblOffset val="100"/>
        <c:noMultiLvlLbl val="0"/>
      </c:catAx>
      <c:valAx>
        <c:axId val="3178884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615237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一般公共预算财政拨款支出决算变动情况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2020年</c:v>
                </c:pt>
              </c:strCache>
            </c:strRef>
          </c:tx>
          <c:spPr>
            <a:solidFill>
              <a:schemeClr val="accent1"/>
            </a:solidFill>
            <a:ln>
              <a:noFill/>
            </a:ln>
            <a:effectLst/>
          </c:spPr>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一般公共预算财政拨款支出</c:v>
                </c:pt>
              </c:strCache>
            </c:strRef>
          </c:cat>
          <c:val>
            <c:numRef>
              <c:f>Sheet1!$B$2</c:f>
              <c:numCache>
                <c:formatCode>General</c:formatCode>
                <c:ptCount val="1"/>
                <c:pt idx="0">
                  <c:v>542</c:v>
                </c:pt>
              </c:numCache>
            </c:numRef>
          </c:val>
        </c:ser>
        <c:ser>
          <c:idx val="1"/>
          <c:order val="1"/>
          <c:tx>
            <c:strRef>
              <c:f>Sheet1!$C$1</c:f>
              <c:strCache>
                <c:ptCount val="1"/>
                <c:pt idx="0">
                  <c:v>2021年</c:v>
                </c:pt>
              </c:strCache>
            </c:strRef>
          </c:tx>
          <c:spPr>
            <a:solidFill>
              <a:schemeClr val="accent2"/>
            </a:solidFill>
            <a:ln>
              <a:noFill/>
            </a:ln>
            <a:effectLst/>
          </c:spPr>
          <c:invertIfNegative val="0"/>
          <c:dLbls>
            <c:numFmt formatCode="#,##0.00_);[Red]\(#,##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一般公共预算财政拨款支出</c:v>
                </c:pt>
              </c:strCache>
            </c:strRef>
          </c:cat>
          <c:val>
            <c:numRef>
              <c:f>Sheet1!$C$2</c:f>
              <c:numCache>
                <c:formatCode>General</c:formatCode>
                <c:ptCount val="1"/>
                <c:pt idx="0">
                  <c:v>630.66</c:v>
                </c:pt>
              </c:numCache>
            </c:numRef>
          </c:val>
        </c:ser>
        <c:dLbls>
          <c:showLegendKey val="0"/>
          <c:showVal val="0"/>
          <c:showCatName val="0"/>
          <c:showSerName val="0"/>
          <c:showPercent val="0"/>
          <c:showBubbleSize val="0"/>
        </c:dLbls>
        <c:gapWidth val="219"/>
        <c:overlap val="-27"/>
        <c:axId val="208029448"/>
        <c:axId val="208029840"/>
      </c:barChart>
      <c:catAx>
        <c:axId val="20802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8029840"/>
        <c:crosses val="autoZero"/>
        <c:auto val="1"/>
        <c:lblAlgn val="ctr"/>
        <c:lblOffset val="100"/>
        <c:noMultiLvlLbl val="0"/>
      </c:catAx>
      <c:valAx>
        <c:axId val="20802984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80294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一般公共预算财政拨款支出决算结构</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1"/>
              <c:layout>
                <c:manualLayout>
                  <c:x val="-0.0447178231613809"/>
                  <c:y val="0.0648519529190551"/>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40436829288719"/>
                  <c:y val="0.0291952818517297"/>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173306026988834"/>
                  <c:y val="0.0710163624871199"/>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文化旅游体育与传媒支出</c:v>
                </c:pt>
                <c:pt idx="1">
                  <c:v>社会保障和就业</c:v>
                </c:pt>
                <c:pt idx="2">
                  <c:v>卫生健康支出</c:v>
                </c:pt>
                <c:pt idx="3">
                  <c:v>住房保障支出</c:v>
                </c:pt>
              </c:strCache>
            </c:strRef>
          </c:cat>
          <c:val>
            <c:numRef>
              <c:f>Sheet1!$B$2:$B$5</c:f>
              <c:numCache>
                <c:formatCode>General</c:formatCode>
                <c:ptCount val="4"/>
                <c:pt idx="0">
                  <c:v>512.26</c:v>
                </c:pt>
                <c:pt idx="1">
                  <c:v>56.78</c:v>
                </c:pt>
                <c:pt idx="2">
                  <c:v>17.48</c:v>
                </c:pt>
                <c:pt idx="3">
                  <c:v>44.1</c:v>
                </c:pt>
              </c:numCache>
            </c:numRef>
          </c:val>
        </c:ser>
        <c:dLbls>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“三公”经费财政拨款支出结构</c:v>
                </c:pt>
              </c:strCache>
            </c:strRef>
          </c:tx>
          <c:spPr>
            <a:solidFill>
              <a:schemeClr val="accent6"/>
            </a:solidFill>
          </c:spPr>
          <c:explosion val="0"/>
          <c:dPt>
            <c:idx val="0"/>
            <c:bubble3D val="0"/>
            <c:spPr>
              <a:solidFill>
                <a:schemeClr val="accent6"/>
              </a:solidFill>
              <a:ln w="19050">
                <a:solidFill>
                  <a:schemeClr val="lt1"/>
                </a:solidFill>
              </a:ln>
              <a:effectLst/>
            </c:spPr>
          </c:dPt>
          <c:dPt>
            <c:idx val="1"/>
            <c:bubble3D val="0"/>
            <c:spPr>
              <a:solidFill>
                <a:schemeClr val="accent6"/>
              </a:solidFill>
              <a:ln w="19050">
                <a:solidFill>
                  <a:schemeClr val="lt1"/>
                </a:solidFill>
              </a:ln>
              <a:effectLst/>
            </c:spPr>
          </c:dPt>
          <c:dPt>
            <c:idx val="2"/>
            <c:bubble3D val="0"/>
            <c:spPr>
              <a:solidFill>
                <a:schemeClr val="accent6"/>
              </a:solidFill>
              <a:ln w="19050">
                <a:solidFill>
                  <a:schemeClr val="lt1"/>
                </a:solidFill>
              </a:ln>
              <a:effectLst/>
            </c:spPr>
          </c:dPt>
          <c:dPt>
            <c:idx val="3"/>
            <c:bubble3D val="0"/>
            <c:spPr>
              <a:solidFill>
                <a:schemeClr val="accent6"/>
              </a:solidFill>
              <a:ln w="19050">
                <a:solidFill>
                  <a:schemeClr val="lt1"/>
                </a:solidFill>
              </a:ln>
              <a:effectLst/>
            </c:spPr>
          </c:dPt>
          <c:dLbls>
            <c:dLbl>
              <c:idx val="0"/>
              <c:layout>
                <c:manualLayout>
                  <c:x val="-0.230556649168854"/>
                  <c:y val="0.175955465244264"/>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95119"/>
                        <a:gd name="adj2" fmla="val 2000"/>
                      </a:avLst>
                    </a:prstGeom>
                    <a:noFill/>
                    <a:ln>
                      <a:noFill/>
                    </a:ln>
                  </c15:spPr>
                  <c15:layout/>
                </c:ext>
              </c:extLst>
            </c:dLbl>
            <c:dLbl>
              <c:idx val="1"/>
              <c:layout>
                <c:manualLayout>
                  <c:x val="0.245533683289589"/>
                  <c:y val="0.16491194649056"/>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25431"/>
                        <a:gd name="adj2" fmla="val -12182"/>
                      </a:avLst>
                    </a:prstGeom>
                    <a:noFill/>
                    <a:ln>
                      <a:noFill/>
                    </a:ln>
                  </c15:spPr>
                  <c15:layout/>
                </c:ext>
              </c:extLst>
            </c:dLbl>
            <c:dLbl>
              <c:idx val="2"/>
              <c:layout>
                <c:manualLayout>
                  <c:x val="0.19196062992126"/>
                  <c:y val="-0.146985013970028"/>
                </c:manualLayout>
              </c:layout>
              <c:numFmt formatCode="0.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92209"/>
                        <a:gd name="adj2" fmla="val -77719"/>
                      </a:avLst>
                    </a:prstGeom>
                    <a:noFill/>
                    <a:ln>
                      <a:noFill/>
                    </a:ln>
                  </c15:spPr>
                  <c15:layout/>
                </c:ext>
              </c:extLst>
            </c:dLbl>
            <c:dLbl>
              <c:idx val="3"/>
              <c:layout>
                <c:manualLayout>
                  <c:x val="0.136715703096708"/>
                  <c:y val="0.116641070021046"/>
                </c:manualLayout>
              </c:layout>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numFmt formatCode="0.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lang="zh-CN" sz="900" b="0" i="0" u="none" strike="noStrike" kern="1200" baseline="0">
                    <a:solidFill>
                      <a:schemeClr val="dk1">
                        <a:lumMod val="65000"/>
                        <a:lumOff val="35000"/>
                      </a:schemeClr>
                    </a:solidFill>
                    <a:latin typeface="+mn-lt"/>
                    <a:ea typeface="+mn-ea"/>
                    <a:cs typeface="+mn-cs"/>
                  </a:defRPr>
                </a:pPr>
              </a:p>
            </c:txPr>
            <c:dLblPos val="ct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3"/>
                <c:pt idx="0">
                  <c:v>因公出国</c:v>
                </c:pt>
                <c:pt idx="1">
                  <c:v>公务用车购置及运行维护费</c:v>
                </c:pt>
                <c:pt idx="2">
                  <c:v>公务接待</c:v>
                </c:pt>
              </c:strCache>
            </c:strRef>
          </c:cat>
          <c:val>
            <c:numRef>
              <c:f>Sheet1!$B$2:$B$5</c:f>
              <c:numCache>
                <c:formatCode>General</c:formatCode>
                <c:ptCount val="4"/>
                <c:pt idx="0">
                  <c:v>0</c:v>
                </c:pt>
                <c:pt idx="1">
                  <c:v>0</c:v>
                </c:pt>
                <c:pt idx="2">
                  <c:v>0.03</c:v>
                </c:pt>
              </c:numCache>
            </c:numRef>
          </c:val>
        </c:ser>
        <c:dLbls>
          <c:showLegendKey val="0"/>
          <c:showVal val="0"/>
          <c:showCatName val="0"/>
          <c:showSerName val="0"/>
          <c:showPercent val="1"/>
          <c:showBubbleSize val="0"/>
          <c:showLeaderLines val="0"/>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四川省财政厅</Company>
  <Pages>57</Pages>
  <Words>3311</Words>
  <Characters>18877</Characters>
  <Lines>157</Lines>
  <Paragraphs>44</Paragraphs>
  <TotalTime>48</TotalTime>
  <ScaleCrop>false</ScaleCrop>
  <LinksUpToDate>false</LinksUpToDate>
  <CharactersWithSpaces>22144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2020-08-05T01:49:00Z</dcterms:created>
  <dc:creator>曹颖</dc:creator>
  <cp:lastModifiedBy>玖千余为春秋</cp:lastModifiedBy>
  <cp:lastPrinted>2022-08-06T02:23:00Z</cp:lastPrinted>
  <dcterms:modified xsi:type="dcterms:W3CDTF">2023-07-29T12:20:55Z</dcterms:modified>
  <dc:title>四川省***</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FF4DD61A0049428FBEAB566923055D5D</vt:lpwstr>
  </property>
</Properties>
</file>