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96475"/>
      <w:bookmarkStart w:id="2" w:name="_Toc15377193"/>
      <w:bookmarkStart w:id="3" w:name="_Toc15377425"/>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96476"/>
      <w:bookmarkStart w:id="8" w:name="_Toc15377194"/>
      <w:bookmarkStart w:id="9" w:name="_Toc15396598"/>
      <w:bookmarkStart w:id="10" w:name="_Toc15378442"/>
      <w:r>
        <w:rPr>
          <w:rFonts w:hint="eastAsia" w:ascii="方正小标宋简体" w:hAnsi="方正小标宋简体" w:eastAsia="方正小标宋简体" w:cs="方正小标宋简体"/>
          <w:color w:val="auto"/>
          <w:sz w:val="72"/>
          <w:szCs w:val="72"/>
          <w:highlight w:val="none"/>
          <w:lang w:val="en-US" w:eastAsia="zh-CN"/>
        </w:rPr>
        <w:t>广元</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市供销合作社联合社</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...................................................4</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一、基本职能及主要工作</w:t>
      </w:r>
      <w:r>
        <w:rPr>
          <w:rFonts w:hint="eastAsia" w:asciiTheme="minorEastAsia" w:hAnsiTheme="minorEastAsia" w:eastAsiaTheme="minorEastAsia" w:cstheme="minor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 xml:space="preserve"> 4</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二、机构设置</w:t>
      </w:r>
      <w:r>
        <w:rPr>
          <w:rFonts w:hint="eastAsia" w:ascii="仿宋" w:hAnsi="仿宋" w:eastAsia="仿宋" w:cs="Times New Roman"/>
          <w:color w:val="auto"/>
          <w:kern w:val="2"/>
          <w:sz w:val="24"/>
          <w:szCs w:val="28"/>
          <w:highlight w:val="none"/>
          <w:lang w:val="en-US" w:eastAsia="zh-CN" w:bidi="ar-SA"/>
        </w:rPr>
        <w:t>.....................................................8</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rPr>
          <w:rFonts w:hint="eastAsia"/>
          <w:color w:val="auto"/>
          <w:sz w:val="24"/>
          <w:highlight w:val="none"/>
          <w:lang w:val="en-US" w:eastAsia="zh-CN"/>
        </w:rPr>
        <w:t>................................. .9</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.9</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二、收入决算情况说明</w:t>
      </w:r>
      <w:r>
        <w:rPr>
          <w:rFonts w:hint="eastAsia" w:ascii="仿宋" w:hAnsi="仿宋" w:eastAsia="仿宋" w:cs="Times New Roman"/>
          <w:color w:val="auto"/>
          <w:kern w:val="2"/>
          <w:sz w:val="24"/>
          <w:szCs w:val="28"/>
          <w:highlight w:val="none"/>
          <w:lang w:val="en-US" w:eastAsia="zh-CN" w:bidi="ar-SA"/>
        </w:rPr>
        <w:t>.............................................9</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三、支出决算情况说明</w:t>
      </w:r>
      <w:r>
        <w:rPr>
          <w:rFonts w:hint="eastAsia" w:ascii="仿宋" w:hAnsi="仿宋" w:eastAsia="仿宋" w:cs="Times New Roman"/>
          <w:color w:val="auto"/>
          <w:kern w:val="2"/>
          <w:sz w:val="24"/>
          <w:szCs w:val="28"/>
          <w:highlight w:val="none"/>
          <w:lang w:val="en-US" w:eastAsia="zh-CN" w:bidi="ar-SA"/>
        </w:rPr>
        <w:t>............................................10</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四、财政拨款收入支出决算总体情况说</w:t>
      </w:r>
      <w:r>
        <w:rPr>
          <w:rFonts w:hint="eastAsia" w:ascii="仿宋" w:hAnsi="仿宋" w:eastAsia="仿宋" w:cs="Times New Roman"/>
          <w:color w:val="auto"/>
          <w:kern w:val="2"/>
          <w:sz w:val="24"/>
          <w:szCs w:val="28"/>
          <w:highlight w:val="none"/>
          <w:lang w:val="en-US" w:eastAsia="zh-CN" w:bidi="ar-SA"/>
        </w:rPr>
        <w:t>明............................10</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五、一般公共预算财政拨款支出决算情况说明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ascii="仿宋" w:hAnsi="仿宋" w:eastAsia="仿宋" w:cs="Times New Roman"/>
          <w:color w:val="auto"/>
          <w:kern w:val="2"/>
          <w:sz w:val="24"/>
          <w:szCs w:val="28"/>
          <w:highlight w:val="none"/>
          <w:lang w:val="en-US" w:eastAsia="zh-CN" w:bidi="ar-SA"/>
        </w:rPr>
        <w:t>....................14</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..........................15</w:t>
      </w:r>
    </w:p>
    <w:p>
      <w:pPr>
        <w:pStyle w:val="12"/>
        <w:adjustRightInd w:val="0"/>
        <w:snapToGrid w:val="0"/>
        <w:spacing w:line="440" w:lineRule="exact"/>
        <w:jc w:val="left"/>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rPr>
        <w:t>八、政府性基金预算支出决算情况说明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w:t>
      </w:r>
      <w:r>
        <w:rPr>
          <w:rFonts w:hint="eastAsia" w:ascii="仿宋" w:hAnsi="仿宋" w:eastAsia="仿宋" w:cs="Times New Roman"/>
          <w:color w:val="auto"/>
          <w:kern w:val="2"/>
          <w:sz w:val="24"/>
          <w:szCs w:val="28"/>
          <w:highlight w:val="none"/>
          <w:lang w:val="en-US" w:eastAsia="zh-CN" w:bidi="ar-SA"/>
        </w:rPr>
        <w:t>17</w:t>
      </w:r>
    </w:p>
    <w:p>
      <w:pPr>
        <w:pStyle w:val="12"/>
        <w:adjustRightInd w:val="0"/>
        <w:snapToGrid w:val="0"/>
        <w:spacing w:line="440" w:lineRule="exact"/>
        <w:ind w:leftChars="0"/>
        <w:jc w:val="left"/>
        <w:rPr>
          <w:rFonts w:hint="default" w:ascii="仿宋" w:hAnsi="仿宋" w:eastAsia="仿宋" w:cs="Times New Roman"/>
          <w:color w:val="auto"/>
          <w:kern w:val="2"/>
          <w:sz w:val="24"/>
          <w:szCs w:val="28"/>
          <w:highlight w:val="none"/>
          <w:lang w:val="en-US" w:eastAsia="zh-CN" w:bidi="ar-SA"/>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仿宋" w:hAnsi="仿宋" w:eastAsia="仿宋" w:cs="Times New Roman"/>
          <w:color w:val="auto"/>
          <w:kern w:val="2"/>
          <w:sz w:val="24"/>
          <w:szCs w:val="28"/>
          <w:highlight w:val="none"/>
          <w:lang w:val="en-US" w:eastAsia="zh-CN" w:bidi="ar-SA"/>
        </w:rPr>
        <w:t>............................17</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仿宋" w:hAnsi="仿宋" w:eastAsia="仿宋" w:cs="Times New Roman"/>
          <w:color w:val="auto"/>
          <w:kern w:val="2"/>
          <w:sz w:val="24"/>
          <w:szCs w:val="28"/>
          <w:highlight w:val="none"/>
          <w:lang w:val="en-US" w:eastAsia="zh-CN" w:bidi="ar-SA"/>
        </w:rPr>
      </w:pPr>
      <w:r>
        <w:rPr>
          <w:rStyle w:val="17"/>
          <w:rFonts w:hint="eastAsia" w:asciiTheme="minorEastAsia" w:hAnsiTheme="minorEastAsia" w:eastAsiaTheme="minorEastAsia" w:cstheme="minorEastAsia"/>
          <w:color w:val="auto"/>
          <w:sz w:val="24"/>
          <w:highlight w:val="none"/>
          <w:u w:val="none"/>
          <w:lang w:eastAsia="zh-CN"/>
        </w:rPr>
        <w:t>十</w:t>
      </w:r>
      <w:r>
        <w:rPr>
          <w:rStyle w:val="17"/>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仿宋" w:hAnsi="仿宋" w:eastAsia="仿宋" w:cs="Times New Roman"/>
          <w:color w:val="auto"/>
          <w:kern w:val="2"/>
          <w:sz w:val="24"/>
          <w:szCs w:val="28"/>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t>..........................................17</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仿宋" w:hAnsi="仿宋" w:eastAsia="仿宋" w:cs="Times New Roman"/>
          <w:color w:val="auto"/>
          <w:kern w:val="2"/>
          <w:sz w:val="24"/>
          <w:szCs w:val="28"/>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十一、</w:t>
      </w:r>
      <w:r>
        <w:rPr>
          <w:rFonts w:hint="eastAsia" w:asciiTheme="minorEastAsia" w:hAnsiTheme="minorEastAsia" w:eastAsiaTheme="minorEastAsia" w:cstheme="minorEastAsia"/>
          <w:color w:val="auto"/>
          <w:sz w:val="24"/>
          <w:highlight w:val="none"/>
        </w:rPr>
        <w:t>其他重要事项的情况说明</w:t>
      </w:r>
      <w:r>
        <w:rPr>
          <w:rFonts w:hint="eastAsia" w:ascii="仿宋" w:hAnsi="仿宋" w:eastAsia="仿宋" w:cs="Times New Roman"/>
          <w:color w:val="auto"/>
          <w:kern w:val="2"/>
          <w:sz w:val="24"/>
          <w:szCs w:val="28"/>
          <w:highlight w:val="none"/>
          <w:lang w:val="en-US" w:eastAsia="zh-CN" w:bidi="ar-SA"/>
        </w:rPr>
        <w:t>....................................17</w:t>
      </w:r>
    </w:p>
    <w:p>
      <w:pPr>
        <w:pStyle w:val="11"/>
        <w:adjustRightInd w:val="0"/>
        <w:snapToGrid w:val="0"/>
        <w:spacing w:before="0" w:line="440" w:lineRule="exact"/>
        <w:jc w:val="left"/>
        <w:rPr>
          <w:rFonts w:hint="default"/>
          <w:color w:val="auto"/>
          <w:sz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19</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......................................................21</w:t>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2"/>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rPr>
          <w:rStyle w:val="27"/>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6" w:name="_Toc15378445"/>
      <w:bookmarkStart w:id="17" w:name="_Toc15377198"/>
      <w:r>
        <w:rPr>
          <w:rFonts w:hint="eastAsia" w:ascii="仿宋" w:hAnsi="仿宋" w:eastAsia="仿宋"/>
          <w:bCs/>
          <w:color w:val="auto"/>
          <w:sz w:val="32"/>
          <w:szCs w:val="32"/>
          <w:highlight w:val="none"/>
        </w:rPr>
        <w:t>（一）主要职能。</w:t>
      </w:r>
      <w:bookmarkEnd w:id="16"/>
      <w:bookmarkEnd w:id="17"/>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rPr>
      </w:pPr>
      <w:r>
        <w:rPr>
          <w:rFonts w:hint="eastAsia" w:ascii="方正仿宋_GBK" w:hAnsi="微软雅黑" w:eastAsia="方正仿宋_GBK" w:cs="微软雅黑"/>
          <w:color w:val="000000"/>
          <w:sz w:val="32"/>
          <w:szCs w:val="32"/>
          <w:shd w:val="clear" w:color="auto" w:fill="FFFFFF"/>
        </w:rPr>
        <w:t>1.宣传贯彻落实中央、省、市有关农村经济工作和社会发展的方针、政策和决策部署。</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rPr>
      </w:pPr>
      <w:r>
        <w:rPr>
          <w:rFonts w:hint="eastAsia" w:ascii="方正仿宋_GBK" w:hAnsi="微软雅黑" w:eastAsia="方正仿宋_GBK" w:cs="微软雅黑"/>
          <w:color w:val="000000"/>
          <w:sz w:val="32"/>
          <w:szCs w:val="32"/>
        </w:rPr>
        <w:t>2.</w:t>
      </w:r>
      <w:r>
        <w:rPr>
          <w:rFonts w:hint="eastAsia" w:ascii="方正仿宋_GBK" w:hAnsi="微软雅黑" w:eastAsia="方正仿宋_GBK" w:cs="微软雅黑"/>
          <w:color w:val="000000"/>
          <w:sz w:val="32"/>
          <w:szCs w:val="32"/>
          <w:shd w:val="clear" w:color="auto" w:fill="FFFFFF"/>
        </w:rPr>
        <w:t>研究制定全市供销合作社发展规划；指导全市供销合作社的综合改革和高质量发展，加快体制、机制创新，探索社会主义市场经济条件下合作经济的多种实现形式。</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rPr>
      </w:pPr>
      <w:r>
        <w:rPr>
          <w:rFonts w:hint="eastAsia" w:ascii="方正仿宋_GBK" w:hAnsi="微软雅黑" w:eastAsia="方正仿宋_GBK" w:cs="微软雅黑"/>
          <w:color w:val="000000"/>
          <w:sz w:val="32"/>
          <w:szCs w:val="32"/>
        </w:rPr>
        <w:t>3.</w:t>
      </w:r>
      <w:r>
        <w:rPr>
          <w:rFonts w:hint="eastAsia" w:ascii="方正仿宋_GBK" w:hAnsi="微软雅黑" w:eastAsia="方正仿宋_GBK" w:cs="微软雅黑"/>
          <w:color w:val="000000"/>
          <w:sz w:val="32"/>
          <w:szCs w:val="32"/>
          <w:shd w:val="clear" w:color="auto" w:fill="FFFFFF"/>
        </w:rPr>
        <w:t>承担对重要农业生产资料、废旧物资、农副产品的经营管理工作；参与组织、储备、调运有关救灾物资工作。</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shd w:val="clear" w:color="auto" w:fill="FFFFFF"/>
        </w:rPr>
      </w:pPr>
      <w:r>
        <w:rPr>
          <w:rFonts w:hint="eastAsia" w:ascii="方正仿宋_GBK" w:hAnsi="微软雅黑" w:eastAsia="方正仿宋_GBK" w:cs="微软雅黑"/>
          <w:color w:val="000000"/>
          <w:sz w:val="32"/>
          <w:szCs w:val="32"/>
        </w:rPr>
        <w:t>4.</w:t>
      </w:r>
      <w:r>
        <w:rPr>
          <w:rFonts w:hint="eastAsia" w:ascii="方正仿宋_GBK" w:hAnsi="微软雅黑" w:eastAsia="方正仿宋_GBK" w:cs="微软雅黑"/>
          <w:color w:val="000000"/>
          <w:sz w:val="32"/>
          <w:szCs w:val="32"/>
          <w:shd w:val="clear" w:color="auto" w:fill="FFFFFF"/>
        </w:rPr>
        <w:t>协调同政府有关部门、社会组织的关系，研究扶持农村合作经济发展的政策性建议，了解、反映农民群众和农村新型经营主体的意见和要求，维护农民合作经济组织的合法权益。</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rPr>
      </w:pPr>
      <w:r>
        <w:rPr>
          <w:rFonts w:hint="eastAsia" w:ascii="方正仿宋_GBK" w:hAnsi="微软雅黑" w:eastAsia="方正仿宋_GBK" w:cs="微软雅黑"/>
          <w:color w:val="000000"/>
          <w:sz w:val="32"/>
          <w:szCs w:val="32"/>
          <w:shd w:val="clear" w:color="auto" w:fill="FFFFFF"/>
        </w:rPr>
        <w:t>5.服务乡村振兴战略。指导全市供销社系统推进农业农村现代化建设，促进一二三产业融合发展；发挥供销社行业特点全力做好脱贫攻坚，参与农村人居环境整治农业面源污染治理和先进乡镇和示范村建设，构建农村现代流通体系，推动小农户与现代农业有机衔接，指导农村金融互助、消费、生产、供销等合作社发展，帮助农民提高收入水平。</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shd w:val="clear" w:color="auto" w:fill="FFFFFF"/>
        </w:rPr>
      </w:pPr>
      <w:r>
        <w:rPr>
          <w:rFonts w:hint="eastAsia" w:ascii="方正仿宋_GBK" w:hAnsi="微软雅黑" w:eastAsia="方正仿宋_GBK" w:cs="微软雅黑"/>
          <w:color w:val="000000"/>
          <w:sz w:val="32"/>
          <w:szCs w:val="32"/>
        </w:rPr>
        <w:t>6.</w:t>
      </w:r>
      <w:r>
        <w:rPr>
          <w:rFonts w:hint="eastAsia" w:ascii="方正仿宋_GBK" w:hAnsi="微软雅黑" w:eastAsia="方正仿宋_GBK" w:cs="微软雅黑"/>
          <w:color w:val="000000"/>
          <w:sz w:val="32"/>
          <w:szCs w:val="32"/>
          <w:shd w:val="clear" w:color="auto" w:fill="FFFFFF"/>
        </w:rPr>
        <w:t>围绕建立和完善农业社会化服务体系，做好农业、农村、农民服务工作，指导发展土地托管、电子商务、农村现代物流等新型业务，引导农民发展商品生产，搞活农村商品流通。</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shd w:val="clear" w:color="auto" w:fill="FFFFFF"/>
        </w:rPr>
      </w:pPr>
      <w:r>
        <w:rPr>
          <w:rFonts w:hint="eastAsia" w:ascii="方正仿宋_GBK" w:hAnsi="微软雅黑" w:eastAsia="方正仿宋_GBK" w:cs="微软雅黑"/>
          <w:color w:val="000000"/>
          <w:sz w:val="32"/>
          <w:szCs w:val="32"/>
        </w:rPr>
        <w:t>7.</w:t>
      </w:r>
      <w:r>
        <w:rPr>
          <w:rFonts w:hint="eastAsia" w:ascii="方正仿宋_GBK" w:hAnsi="微软雅黑" w:eastAsia="方正仿宋_GBK" w:cs="微软雅黑"/>
          <w:color w:val="000000"/>
          <w:sz w:val="32"/>
          <w:szCs w:val="32"/>
          <w:shd w:val="clear" w:color="auto" w:fill="FFFFFF"/>
        </w:rPr>
        <w:t>指导全市供销社系统组织建设，发展新型基层供销合作社，密切与农民利益联系，组织发展农民专业合作社、农村社区综合服务社等农村基层经营服务组织，发挥联合合作优势。</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rPr>
      </w:pPr>
      <w:r>
        <w:rPr>
          <w:rFonts w:hint="eastAsia" w:ascii="方正仿宋_GBK" w:hAnsi="微软雅黑" w:eastAsia="方正仿宋_GBK" w:cs="微软雅黑"/>
          <w:color w:val="000000"/>
          <w:sz w:val="32"/>
          <w:szCs w:val="32"/>
          <w:shd w:val="clear" w:color="auto" w:fill="FFFFFF"/>
        </w:rPr>
        <w:t>8.监督和管理社有资产，把握社有企业发展方向。履行本级社社有资产出资人代表职责，优化社有资本布局，促进社有资产保值增值。</w:t>
      </w:r>
    </w:p>
    <w:p>
      <w:pPr>
        <w:pStyle w:val="6"/>
        <w:adjustRightInd w:val="0"/>
        <w:snapToGrid w:val="0"/>
        <w:spacing w:beforeLines="0" w:line="576" w:lineRule="exact"/>
        <w:ind w:firstLine="640" w:firstLineChars="200"/>
        <w:outlineLvl w:val="2"/>
        <w:rPr>
          <w:rFonts w:hint="eastAsia" w:ascii="方正仿宋_GBK" w:hAnsi="微软雅黑" w:eastAsia="方正仿宋_GBK" w:cs="微软雅黑"/>
          <w:color w:val="000000"/>
          <w:sz w:val="32"/>
          <w:szCs w:val="32"/>
        </w:rPr>
      </w:pPr>
      <w:r>
        <w:rPr>
          <w:rFonts w:hint="eastAsia" w:ascii="方正仿宋_GBK" w:hAnsi="微软雅黑" w:eastAsia="方正仿宋_GBK" w:cs="微软雅黑"/>
          <w:color w:val="000000"/>
          <w:sz w:val="32"/>
          <w:szCs w:val="32"/>
        </w:rPr>
        <w:t>9.</w:t>
      </w:r>
      <w:r>
        <w:rPr>
          <w:rFonts w:hint="eastAsia" w:ascii="方正仿宋_GBK" w:hAnsi="微软雅黑" w:eastAsia="方正仿宋_GBK" w:cs="微软雅黑"/>
          <w:color w:val="000000"/>
          <w:sz w:val="32"/>
          <w:szCs w:val="32"/>
          <w:shd w:val="clear" w:color="auto" w:fill="FFFFFF"/>
        </w:rPr>
        <w:t>发挥合作经济组织联合会作用，参与、协调农村合作经济组织技术交流与对外合作工作。</w:t>
      </w:r>
    </w:p>
    <w:p>
      <w:pPr>
        <w:pStyle w:val="6"/>
        <w:adjustRightInd w:val="0"/>
        <w:snapToGrid w:val="0"/>
        <w:spacing w:beforeLines="0" w:line="576" w:lineRule="exact"/>
        <w:ind w:firstLine="640" w:firstLineChars="200"/>
        <w:outlineLvl w:val="2"/>
        <w:rPr>
          <w:rFonts w:hint="eastAsia" w:ascii="仿宋" w:hAnsi="仿宋" w:eastAsia="仿宋"/>
          <w:bCs/>
          <w:color w:val="auto"/>
          <w:sz w:val="32"/>
          <w:szCs w:val="32"/>
          <w:highlight w:val="none"/>
        </w:rPr>
      </w:pPr>
      <w:r>
        <w:rPr>
          <w:rFonts w:hint="eastAsia" w:ascii="方正仿宋_GBK" w:hAnsi="微软雅黑" w:eastAsia="方正仿宋_GBK" w:cs="微软雅黑"/>
          <w:color w:val="000000"/>
          <w:sz w:val="32"/>
          <w:szCs w:val="32"/>
        </w:rPr>
        <w:t>10.</w:t>
      </w:r>
      <w:r>
        <w:rPr>
          <w:rFonts w:hint="eastAsia" w:ascii="方正仿宋_GBK" w:hAnsi="仿宋" w:eastAsia="方正仿宋_GBK" w:cs="微软雅黑"/>
          <w:color w:val="000000"/>
          <w:sz w:val="32"/>
          <w:szCs w:val="32"/>
          <w:shd w:val="clear" w:color="auto" w:fill="FFFFFF"/>
        </w:rPr>
        <w:t>完成市委、市政府交办的其他任务。</w:t>
      </w:r>
    </w:p>
    <w:p>
      <w:pPr>
        <w:pStyle w:val="6"/>
        <w:adjustRightInd w:val="0"/>
        <w:snapToGrid w:val="0"/>
        <w:spacing w:beforeLines="0" w:line="576" w:lineRule="exact"/>
        <w:ind w:firstLine="640" w:firstLineChars="200"/>
        <w:outlineLvl w:val="2"/>
        <w:rPr>
          <w:rFonts w:hint="eastAsia" w:ascii="方正仿宋_GBK" w:hAnsi="仿宋" w:eastAsia="方正仿宋_GBK" w:cs="微软雅黑"/>
          <w:color w:val="000000"/>
          <w:sz w:val="32"/>
          <w:szCs w:val="32"/>
          <w:shd w:val="clear" w:color="auto" w:fill="FFFFFF"/>
        </w:rPr>
      </w:pPr>
      <w:bookmarkStart w:id="18" w:name="_Toc15377199"/>
      <w:bookmarkStart w:id="19" w:name="_Toc15378446"/>
      <w:r>
        <w:rPr>
          <w:rFonts w:hint="eastAsia" w:ascii="方正仿宋_GBK" w:hAnsi="仿宋" w:eastAsia="方正仿宋_GBK" w:cs="微软雅黑"/>
          <w:color w:val="000000"/>
          <w:sz w:val="32"/>
          <w:szCs w:val="32"/>
          <w:shd w:val="clear" w:color="auto" w:fill="FFFFFF"/>
        </w:rPr>
        <w:t>（二）20</w:t>
      </w:r>
      <w:r>
        <w:rPr>
          <w:rFonts w:hint="eastAsia" w:ascii="方正仿宋_GBK" w:hAnsi="仿宋" w:eastAsia="方正仿宋_GBK" w:cs="微软雅黑"/>
          <w:color w:val="000000"/>
          <w:sz w:val="32"/>
          <w:szCs w:val="32"/>
          <w:shd w:val="clear" w:color="auto" w:fill="FFFFFF"/>
          <w:lang w:val="en-US" w:eastAsia="zh-CN"/>
        </w:rPr>
        <w:t>21</w:t>
      </w:r>
      <w:r>
        <w:rPr>
          <w:rFonts w:hint="eastAsia" w:ascii="方正仿宋_GBK" w:hAnsi="仿宋" w:eastAsia="方正仿宋_GBK" w:cs="微软雅黑"/>
          <w:color w:val="000000"/>
          <w:sz w:val="32"/>
          <w:szCs w:val="32"/>
          <w:shd w:val="clear" w:color="auto" w:fill="FFFFFF"/>
        </w:rPr>
        <w:t>年重点工作完成情况。</w:t>
      </w:r>
      <w:bookmarkEnd w:id="18"/>
      <w:bookmarkEnd w:id="19"/>
    </w:p>
    <w:p>
      <w:pPr>
        <w:pStyle w:val="6"/>
        <w:adjustRightInd w:val="0"/>
        <w:snapToGrid w:val="0"/>
        <w:spacing w:beforeLines="0" w:line="576" w:lineRule="exact"/>
        <w:ind w:firstLine="640" w:firstLineChars="200"/>
        <w:outlineLvl w:val="2"/>
        <w:rPr>
          <w:rFonts w:hint="default" w:ascii="方正仿宋_GBK" w:hAnsi="仿宋" w:eastAsia="方正仿宋_GBK" w:cs="微软雅黑"/>
          <w:color w:val="000000"/>
          <w:sz w:val="32"/>
          <w:szCs w:val="32"/>
          <w:shd w:val="clear" w:color="auto" w:fill="FFFFFF"/>
        </w:rPr>
      </w:pPr>
      <w:r>
        <w:rPr>
          <w:rFonts w:hint="eastAsia" w:ascii="方正仿宋_GBK" w:hAnsi="仿宋" w:eastAsia="方正仿宋_GBK" w:cs="微软雅黑"/>
          <w:color w:val="000000"/>
          <w:sz w:val="32"/>
          <w:szCs w:val="32"/>
          <w:shd w:val="clear" w:color="auto" w:fill="FFFFFF"/>
          <w:lang w:eastAsia="zh-CN"/>
        </w:rPr>
        <w:t>一、</w:t>
      </w:r>
      <w:r>
        <w:rPr>
          <w:rFonts w:hint="default" w:ascii="方正仿宋_GBK" w:hAnsi="仿宋" w:eastAsia="方正仿宋_GBK" w:cs="微软雅黑"/>
          <w:color w:val="000000"/>
          <w:sz w:val="32"/>
          <w:szCs w:val="32"/>
          <w:shd w:val="clear" w:color="auto" w:fill="FFFFFF"/>
        </w:rPr>
        <w:t>拓展服务领域，为农服务能力日渐提升</w:t>
      </w:r>
      <w:r>
        <w:rPr>
          <w:rFonts w:hint="eastAsia" w:ascii="方正仿宋_GBK" w:hAnsi="仿宋" w:eastAsia="方正仿宋_GBK" w:cs="微软雅黑"/>
          <w:color w:val="000000"/>
          <w:sz w:val="32"/>
          <w:szCs w:val="32"/>
          <w:shd w:val="clear" w:color="auto" w:fill="FFFFFF"/>
          <w:lang w:eastAsia="zh-CN"/>
        </w:rPr>
        <w:t>。全市供销社系统全年实现销售总额</w:t>
      </w:r>
      <w:r>
        <w:rPr>
          <w:rFonts w:hint="eastAsia" w:ascii="方正仿宋_GBK" w:hAnsi="仿宋" w:eastAsia="方正仿宋_GBK" w:cs="微软雅黑"/>
          <w:color w:val="000000"/>
          <w:sz w:val="32"/>
          <w:szCs w:val="32"/>
          <w:shd w:val="clear" w:color="auto" w:fill="FFFFFF"/>
          <w:lang w:val="en-US" w:eastAsia="zh-CN"/>
        </w:rPr>
        <w:t>127.3亿元，实现农产品购进总额64.5亿元。全市共建成基层社93个，实现基层社乡镇全覆盖。不但建成总社命名的“标杆基层社”16个数量，居全省第一；领办创办农民专业合作社658个、农民合作社联合社10个、农村综合服务社1809个，其中建成总社命名的“五星级农村综合服务社”15个，数量居全省第一。建成农业生产服务中心58个、庄稼医院851个、各类经营网点3861个，全市土地托管面积完成55.9万亩，辐射带动小农户30万户。</w:t>
      </w:r>
      <w:r>
        <w:rPr>
          <w:rFonts w:hint="default" w:ascii="方正仿宋_GBK" w:hAnsi="仿宋" w:eastAsia="方正仿宋_GBK" w:cs="微软雅黑"/>
          <w:color w:val="000000"/>
          <w:sz w:val="32"/>
          <w:szCs w:val="32"/>
          <w:shd w:val="clear" w:color="auto" w:fill="FFFFFF"/>
        </w:rPr>
        <w:t>积极构建“1+7+N”农产品电商营销体系，建成小型冷链物流集配中心4个，与市交通、商务、邮政、广运集团签订了县乡村三级运输服务体系战略合作框架协议，</w:t>
      </w:r>
      <w:r>
        <w:rPr>
          <w:rFonts w:hint="eastAsia" w:ascii="方正仿宋_GBK" w:hAnsi="仿宋" w:eastAsia="方正仿宋_GBK" w:cs="微软雅黑"/>
          <w:color w:val="000000"/>
          <w:sz w:val="32"/>
          <w:szCs w:val="32"/>
          <w:shd w:val="clear" w:color="auto" w:fill="FFFFFF"/>
          <w:lang w:eastAsia="zh-CN"/>
        </w:rPr>
        <w:t>着力构建</w:t>
      </w:r>
      <w:r>
        <w:rPr>
          <w:rFonts w:hint="default" w:ascii="方正仿宋_GBK" w:hAnsi="仿宋" w:eastAsia="方正仿宋_GBK" w:cs="微软雅黑"/>
          <w:color w:val="000000"/>
          <w:sz w:val="32"/>
          <w:szCs w:val="32"/>
          <w:shd w:val="clear" w:color="auto" w:fill="FFFFFF"/>
        </w:rPr>
        <w:t>县乡村三级</w:t>
      </w:r>
      <w:r>
        <w:rPr>
          <w:rFonts w:hint="eastAsia" w:ascii="方正仿宋_GBK" w:hAnsi="仿宋" w:eastAsia="方正仿宋_GBK" w:cs="微软雅黑"/>
          <w:color w:val="000000"/>
          <w:sz w:val="32"/>
          <w:szCs w:val="32"/>
          <w:shd w:val="clear" w:color="auto" w:fill="FFFFFF"/>
          <w:lang w:eastAsia="zh-CN"/>
        </w:rPr>
        <w:t>物流运输体系</w:t>
      </w:r>
      <w:r>
        <w:rPr>
          <w:rFonts w:hint="default" w:ascii="方正仿宋_GBK" w:hAnsi="仿宋" w:eastAsia="方正仿宋_GBK" w:cs="微软雅黑"/>
          <w:color w:val="000000"/>
          <w:sz w:val="32"/>
          <w:szCs w:val="32"/>
          <w:shd w:val="clear" w:color="auto" w:fill="FFFFFF"/>
        </w:rPr>
        <w:t>，统筹解决农民群众幸福出行、物流配送、邮政寄递三个“最后一公里”问题</w:t>
      </w:r>
      <w:r>
        <w:rPr>
          <w:rFonts w:hint="eastAsia" w:ascii="方正仿宋_GBK" w:hAnsi="仿宋" w:eastAsia="方正仿宋_GBK" w:cs="微软雅黑"/>
          <w:color w:val="000000"/>
          <w:sz w:val="32"/>
          <w:szCs w:val="32"/>
          <w:shd w:val="clear" w:color="auto" w:fill="FFFFFF"/>
          <w:lang w:eastAsia="zh-CN"/>
        </w:rPr>
        <w:t>。</w:t>
      </w:r>
      <w:r>
        <w:rPr>
          <w:rFonts w:hint="default" w:ascii="方正仿宋_GBK" w:hAnsi="仿宋" w:eastAsia="方正仿宋_GBK" w:cs="微软雅黑"/>
          <w:color w:val="000000"/>
          <w:sz w:val="32"/>
          <w:szCs w:val="32"/>
          <w:shd w:val="clear" w:color="auto" w:fill="FFFFFF"/>
        </w:rPr>
        <w:t>全市全年有26家企业新入驻“832平台”，</w:t>
      </w:r>
      <w:r>
        <w:rPr>
          <w:rFonts w:hint="eastAsia" w:ascii="方正仿宋_GBK" w:hAnsi="仿宋" w:eastAsia="方正仿宋_GBK" w:cs="微软雅黑"/>
          <w:color w:val="000000"/>
          <w:sz w:val="32"/>
          <w:szCs w:val="32"/>
          <w:shd w:val="clear" w:color="auto" w:fill="FFFFFF"/>
          <w:lang w:eastAsia="zh-CN"/>
        </w:rPr>
        <w:t>“</w:t>
      </w:r>
      <w:r>
        <w:rPr>
          <w:rFonts w:hint="default" w:ascii="方正仿宋_GBK" w:hAnsi="仿宋" w:eastAsia="方正仿宋_GBK" w:cs="微软雅黑"/>
          <w:color w:val="000000"/>
          <w:sz w:val="32"/>
          <w:szCs w:val="32"/>
          <w:shd w:val="clear" w:color="auto" w:fill="FFFFFF"/>
        </w:rPr>
        <w:t>天府乡村</w:t>
      </w:r>
      <w:r>
        <w:rPr>
          <w:rFonts w:hint="eastAsia" w:ascii="方正仿宋_GBK" w:hAnsi="仿宋" w:eastAsia="方正仿宋_GBK" w:cs="微软雅黑"/>
          <w:color w:val="000000"/>
          <w:sz w:val="32"/>
          <w:szCs w:val="32"/>
          <w:shd w:val="clear" w:color="auto" w:fill="FFFFFF"/>
          <w:lang w:eastAsia="zh-CN"/>
        </w:rPr>
        <w:t>”</w:t>
      </w:r>
      <w:r>
        <w:rPr>
          <w:rFonts w:hint="default" w:ascii="方正仿宋_GBK" w:hAnsi="仿宋" w:eastAsia="方正仿宋_GBK" w:cs="微软雅黑"/>
          <w:color w:val="000000"/>
          <w:sz w:val="32"/>
          <w:szCs w:val="32"/>
          <w:shd w:val="clear" w:color="auto" w:fill="FFFFFF"/>
        </w:rPr>
        <w:t>优质农产品销售实现2.95亿元</w:t>
      </w:r>
      <w:r>
        <w:rPr>
          <w:rFonts w:hint="eastAsia" w:ascii="方正仿宋_GBK" w:hAnsi="仿宋" w:eastAsia="方正仿宋_GBK" w:cs="微软雅黑"/>
          <w:color w:val="000000"/>
          <w:sz w:val="32"/>
          <w:szCs w:val="32"/>
          <w:shd w:val="clear" w:color="auto" w:fill="FFFFFF"/>
          <w:lang w:eastAsia="zh-CN"/>
        </w:rPr>
        <w:t>。</w:t>
      </w:r>
      <w:r>
        <w:rPr>
          <w:rFonts w:hint="default" w:ascii="方正仿宋_GBK" w:hAnsi="仿宋" w:eastAsia="方正仿宋_GBK" w:cs="微软雅黑"/>
          <w:color w:val="000000"/>
          <w:sz w:val="32"/>
          <w:szCs w:val="32"/>
          <w:shd w:val="clear" w:color="auto" w:fill="FFFFFF"/>
        </w:rPr>
        <w:t>持续巩固“村收集、镇集中、县运输、市处理”废弃农膜回收利用体系，强化废弃农膜处理中心（1个）和回收网点（1600余个）的运营维护。11月4日，中华全国供销合作总社简报第17期报道了“四川广元开展农村人居环境整治情况”。我市废弃农膜“减量化、资源化、再利用”工作经验得到全国供销总社和省社的肯定，并在全国、全省推广。8月9日，省供销社简报第14期报道了“广元市供销社发挥供销合作社独特优势，积极参与农膜回收利用”。</w:t>
      </w:r>
    </w:p>
    <w:p>
      <w:pPr>
        <w:pStyle w:val="6"/>
        <w:adjustRightInd w:val="0"/>
        <w:snapToGrid w:val="0"/>
        <w:spacing w:beforeLines="0" w:line="576" w:lineRule="exact"/>
        <w:ind w:firstLine="640" w:firstLineChars="200"/>
        <w:outlineLvl w:val="2"/>
        <w:rPr>
          <w:rFonts w:hint="default" w:ascii="方正仿宋_GBK" w:hAnsi="仿宋" w:eastAsia="方正仿宋_GBK" w:cs="微软雅黑"/>
          <w:color w:val="000000"/>
          <w:sz w:val="32"/>
          <w:szCs w:val="32"/>
          <w:shd w:val="clear" w:color="auto" w:fill="FFFFFF"/>
        </w:rPr>
      </w:pPr>
      <w:r>
        <w:rPr>
          <w:rFonts w:hint="eastAsia" w:ascii="方正仿宋_GBK" w:hAnsi="仿宋" w:eastAsia="方正仿宋_GBK" w:cs="微软雅黑"/>
          <w:color w:val="000000"/>
          <w:sz w:val="32"/>
          <w:szCs w:val="32"/>
          <w:shd w:val="clear" w:color="auto" w:fill="FFFFFF"/>
          <w:lang w:val="en-US" w:eastAsia="zh-CN"/>
        </w:rPr>
        <w:t xml:space="preserve">  二、</w:t>
      </w:r>
      <w:r>
        <w:rPr>
          <w:rFonts w:hint="default" w:ascii="方正仿宋_GBK" w:hAnsi="仿宋" w:eastAsia="方正仿宋_GBK" w:cs="微软雅黑"/>
          <w:color w:val="000000"/>
          <w:sz w:val="32"/>
          <w:szCs w:val="32"/>
          <w:shd w:val="clear" w:color="auto" w:fill="FFFFFF"/>
        </w:rPr>
        <w:t>做强社有企业，持续培育发展新动能。一是社企关系</w:t>
      </w:r>
      <w:r>
        <w:rPr>
          <w:rFonts w:hint="eastAsia" w:ascii="方正仿宋_GBK" w:hAnsi="仿宋" w:eastAsia="方正仿宋_GBK" w:cs="微软雅黑"/>
          <w:color w:val="000000"/>
          <w:sz w:val="32"/>
          <w:szCs w:val="32"/>
          <w:shd w:val="clear" w:color="auto" w:fill="FFFFFF"/>
          <w:lang w:eastAsia="zh-CN"/>
        </w:rPr>
        <w:t>进一步</w:t>
      </w:r>
      <w:r>
        <w:rPr>
          <w:rFonts w:hint="default" w:ascii="方正仿宋_GBK" w:hAnsi="仿宋" w:eastAsia="方正仿宋_GBK" w:cs="微软雅黑"/>
          <w:color w:val="000000"/>
          <w:sz w:val="32"/>
          <w:szCs w:val="32"/>
          <w:shd w:val="clear" w:color="auto" w:fill="FFFFFF"/>
        </w:rPr>
        <w:t>理顺。市、县级联合社均成立了社有资产管理委员会，联合社管理企业全面实现了由“管人管事”向“主管资本”转变。二是法人治理结构</w:t>
      </w:r>
      <w:r>
        <w:rPr>
          <w:rFonts w:hint="eastAsia" w:ascii="方正仿宋_GBK" w:hAnsi="仿宋" w:eastAsia="方正仿宋_GBK" w:cs="微软雅黑"/>
          <w:color w:val="000000"/>
          <w:sz w:val="32"/>
          <w:szCs w:val="32"/>
          <w:shd w:val="clear" w:color="auto" w:fill="FFFFFF"/>
          <w:lang w:eastAsia="zh-CN"/>
        </w:rPr>
        <w:t>进一步</w:t>
      </w:r>
      <w:r>
        <w:rPr>
          <w:rFonts w:hint="default" w:ascii="方正仿宋_GBK" w:hAnsi="仿宋" w:eastAsia="方正仿宋_GBK" w:cs="微软雅黑"/>
          <w:color w:val="000000"/>
          <w:sz w:val="32"/>
          <w:szCs w:val="32"/>
          <w:shd w:val="clear" w:color="auto" w:fill="FFFFFF"/>
        </w:rPr>
        <w:t>完善。</w:t>
      </w:r>
      <w:r>
        <w:rPr>
          <w:rFonts w:hint="eastAsia" w:ascii="方正仿宋_GBK" w:hAnsi="仿宋" w:eastAsia="方正仿宋_GBK" w:cs="微软雅黑"/>
          <w:color w:val="000000"/>
          <w:sz w:val="32"/>
          <w:szCs w:val="32"/>
          <w:shd w:val="clear" w:color="auto" w:fill="FFFFFF"/>
          <w:lang w:eastAsia="zh-CN"/>
        </w:rPr>
        <w:t>加强</w:t>
      </w:r>
      <w:r>
        <w:rPr>
          <w:rFonts w:hint="default" w:ascii="方正仿宋_GBK" w:hAnsi="仿宋" w:eastAsia="方正仿宋_GBK" w:cs="微软雅黑"/>
          <w:color w:val="000000"/>
          <w:sz w:val="32"/>
          <w:szCs w:val="32"/>
          <w:shd w:val="clear" w:color="auto" w:fill="FFFFFF"/>
        </w:rPr>
        <w:t>市属社有企业</w:t>
      </w:r>
      <w:r>
        <w:rPr>
          <w:rFonts w:hint="eastAsia" w:ascii="方正仿宋_GBK" w:hAnsi="仿宋" w:eastAsia="方正仿宋_GBK" w:cs="微软雅黑"/>
          <w:color w:val="000000"/>
          <w:sz w:val="32"/>
          <w:szCs w:val="32"/>
          <w:shd w:val="clear" w:color="auto" w:fill="FFFFFF"/>
          <w:lang w:eastAsia="zh-CN"/>
        </w:rPr>
        <w:t>党的建设，</w:t>
      </w:r>
      <w:r>
        <w:rPr>
          <w:rFonts w:hint="default" w:ascii="方正仿宋_GBK" w:hAnsi="仿宋" w:eastAsia="方正仿宋_GBK" w:cs="微软雅黑"/>
          <w:color w:val="000000"/>
          <w:sz w:val="32"/>
          <w:szCs w:val="32"/>
          <w:shd w:val="clear" w:color="auto" w:fill="FFFFFF"/>
        </w:rPr>
        <w:t>实行公司党组织负责人和董事长“一肩挑”，全面</w:t>
      </w:r>
      <w:r>
        <w:rPr>
          <w:rFonts w:hint="eastAsia" w:ascii="方正仿宋_GBK" w:hAnsi="仿宋" w:eastAsia="方正仿宋_GBK" w:cs="微软雅黑"/>
          <w:color w:val="000000"/>
          <w:sz w:val="32"/>
          <w:szCs w:val="32"/>
          <w:shd w:val="clear" w:color="auto" w:fill="FFFFFF"/>
          <w:lang w:eastAsia="zh-CN"/>
        </w:rPr>
        <w:t>推行</w:t>
      </w:r>
      <w:r>
        <w:rPr>
          <w:rFonts w:hint="default" w:ascii="方正仿宋_GBK" w:hAnsi="仿宋" w:eastAsia="方正仿宋_GBK" w:cs="微软雅黑"/>
          <w:color w:val="000000"/>
          <w:sz w:val="32"/>
          <w:szCs w:val="32"/>
          <w:shd w:val="clear" w:color="auto" w:fill="FFFFFF"/>
        </w:rPr>
        <w:t>职业经理人制度。三是社有企业发展</w:t>
      </w:r>
      <w:r>
        <w:rPr>
          <w:rFonts w:hint="eastAsia" w:ascii="方正仿宋_GBK" w:hAnsi="仿宋" w:eastAsia="方正仿宋_GBK" w:cs="微软雅黑"/>
          <w:color w:val="000000"/>
          <w:sz w:val="32"/>
          <w:szCs w:val="32"/>
          <w:shd w:val="clear" w:color="auto" w:fill="FFFFFF"/>
          <w:lang w:eastAsia="zh-CN"/>
        </w:rPr>
        <w:t>进一步发展</w:t>
      </w:r>
      <w:r>
        <w:rPr>
          <w:rFonts w:hint="default" w:ascii="方正仿宋_GBK" w:hAnsi="仿宋" w:eastAsia="方正仿宋_GBK" w:cs="微软雅黑"/>
          <w:color w:val="000000"/>
          <w:sz w:val="32"/>
          <w:szCs w:val="32"/>
          <w:shd w:val="clear" w:color="auto" w:fill="FFFFFF"/>
          <w:lang w:val="en"/>
        </w:rPr>
        <w:t>。全市社有企业践行“为农服务、合作诚信、转型创新、强企惠民”总体发展思路，深耕农资、农产品、日用消费品、再生资源等传统业务，拓展电子商务等新型业务，综合经营服务能力不断提升。全市系统</w:t>
      </w:r>
      <w:r>
        <w:rPr>
          <w:rFonts w:hint="default" w:ascii="方正仿宋_GBK" w:hAnsi="仿宋" w:eastAsia="方正仿宋_GBK" w:cs="微软雅黑"/>
          <w:color w:val="000000"/>
          <w:sz w:val="32"/>
          <w:szCs w:val="32"/>
          <w:shd w:val="clear" w:color="auto" w:fill="FFFFFF"/>
        </w:rPr>
        <w:t>社有企业实现销售总额40.5亿元，同比增长39%。市委邹自景书记对“1-10月，我市供销系统实现销售总额104.38亿元”工作作出“成效显著，予以表扬”的肯定性批示。</w:t>
      </w:r>
    </w:p>
    <w:p>
      <w:pPr>
        <w:pStyle w:val="6"/>
        <w:adjustRightInd w:val="0"/>
        <w:snapToGrid w:val="0"/>
        <w:spacing w:beforeLines="0" w:line="576" w:lineRule="exact"/>
        <w:ind w:firstLine="640" w:firstLineChars="200"/>
        <w:outlineLvl w:val="2"/>
        <w:rPr>
          <w:rFonts w:hint="eastAsia" w:ascii="方正仿宋_GBK" w:hAnsi="仿宋" w:eastAsia="方正仿宋_GBK" w:cs="微软雅黑"/>
          <w:color w:val="000000"/>
          <w:sz w:val="32"/>
          <w:szCs w:val="32"/>
          <w:shd w:val="clear" w:color="auto" w:fill="FFFFFF"/>
        </w:rPr>
      </w:pPr>
      <w:r>
        <w:rPr>
          <w:rFonts w:hint="eastAsia" w:ascii="方正仿宋_GBK" w:hAnsi="仿宋" w:eastAsia="方正仿宋_GBK" w:cs="微软雅黑"/>
          <w:color w:val="000000"/>
          <w:sz w:val="32"/>
          <w:szCs w:val="32"/>
          <w:shd w:val="clear" w:color="auto" w:fill="FFFFFF"/>
          <w:lang w:eastAsia="zh-CN"/>
        </w:rPr>
        <w:t>三、</w:t>
      </w:r>
      <w:r>
        <w:rPr>
          <w:rFonts w:hint="default" w:ascii="方正仿宋_GBK" w:hAnsi="仿宋" w:eastAsia="方正仿宋_GBK" w:cs="微软雅黑"/>
          <w:color w:val="000000"/>
          <w:sz w:val="32"/>
          <w:szCs w:val="32"/>
          <w:shd w:val="clear" w:color="auto" w:fill="FFFFFF"/>
        </w:rPr>
        <w:t>持党建引领，供销系统建设全面加强。一是</w:t>
      </w:r>
      <w:r>
        <w:rPr>
          <w:rFonts w:hint="eastAsia" w:ascii="方正仿宋_GBK" w:hAnsi="仿宋" w:eastAsia="方正仿宋_GBK" w:cs="微软雅黑"/>
          <w:color w:val="000000"/>
          <w:sz w:val="32"/>
          <w:szCs w:val="32"/>
          <w:shd w:val="clear" w:color="auto" w:fill="FFFFFF"/>
          <w:lang w:eastAsia="zh-CN"/>
        </w:rPr>
        <w:t>推动</w:t>
      </w:r>
      <w:r>
        <w:rPr>
          <w:rFonts w:hint="default" w:ascii="方正仿宋_GBK" w:hAnsi="仿宋" w:eastAsia="方正仿宋_GBK" w:cs="微软雅黑"/>
          <w:color w:val="000000"/>
          <w:sz w:val="32"/>
          <w:szCs w:val="32"/>
          <w:shd w:val="clear" w:color="auto" w:fill="FFFFFF"/>
        </w:rPr>
        <w:t>会议精神</w:t>
      </w:r>
      <w:r>
        <w:rPr>
          <w:rFonts w:hint="eastAsia" w:ascii="方正仿宋_GBK" w:hAnsi="仿宋" w:eastAsia="方正仿宋_GBK" w:cs="微软雅黑"/>
          <w:color w:val="000000"/>
          <w:sz w:val="32"/>
          <w:szCs w:val="32"/>
          <w:shd w:val="clear" w:color="auto" w:fill="FFFFFF"/>
          <w:lang w:eastAsia="zh-CN"/>
        </w:rPr>
        <w:t>的落地落实</w:t>
      </w:r>
      <w:r>
        <w:rPr>
          <w:rFonts w:hint="default" w:ascii="方正仿宋_GBK" w:hAnsi="仿宋" w:eastAsia="方正仿宋_GBK" w:cs="微软雅黑"/>
          <w:color w:val="000000"/>
          <w:sz w:val="32"/>
          <w:szCs w:val="32"/>
          <w:shd w:val="clear" w:color="auto" w:fill="FFFFFF"/>
        </w:rPr>
        <w:t>。把党的十九届五中、六中全会，省委十一届九次、十次全会</w:t>
      </w:r>
      <w:r>
        <w:rPr>
          <w:rFonts w:hint="eastAsia" w:ascii="方正仿宋_GBK" w:hAnsi="仿宋" w:eastAsia="方正仿宋_GBK" w:cs="微软雅黑"/>
          <w:color w:val="000000"/>
          <w:sz w:val="32"/>
          <w:szCs w:val="32"/>
          <w:shd w:val="clear" w:color="auto" w:fill="FFFFFF"/>
          <w:lang w:eastAsia="zh-CN"/>
        </w:rPr>
        <w:t>和</w:t>
      </w:r>
      <w:r>
        <w:rPr>
          <w:rFonts w:hint="default" w:ascii="方正仿宋_GBK" w:hAnsi="仿宋" w:eastAsia="方正仿宋_GBK" w:cs="微软雅黑"/>
          <w:color w:val="000000"/>
          <w:sz w:val="32"/>
          <w:szCs w:val="32"/>
          <w:shd w:val="clear" w:color="auto" w:fill="FFFFFF"/>
        </w:rPr>
        <w:t>市第八次党代会精神的学习、宣传、贯彻作为当前和今后一个时期的重大政治任务，多读、通读、精读原文，深入研究、系统思考，切实推动会议精神不折不扣地在全市供销系统落地落实。二是全面从严治党纵深推进。坚决扛牢管党治党政治责任，严格履行党组主体责任、书记“第一责任人”责任、班子成员“一岗双责”责任，做实做细“4321”精准监督工作，始终把党风廉政建设、意识形态、疫情防控、风险防范、信访稳定、安全生产等与具体业务工作同研究、同部署、同落实，推进全面从严治党各项任务有效落实。三是党史学习教育扎实开展。专题召开学习讨论会21次，开展党史学习教育活动11次，讲党课12场，专题宣讲党史6场，开展学党史走基层系列活动，为群众解决“急难愁盼”问题15个，从严夯实党史学习教育成果。四是纪律作风整顿</w:t>
      </w:r>
      <w:r>
        <w:rPr>
          <w:rFonts w:hint="eastAsia" w:ascii="方正仿宋_GBK" w:hAnsi="仿宋" w:eastAsia="方正仿宋_GBK" w:cs="微软雅黑"/>
          <w:color w:val="000000"/>
          <w:sz w:val="32"/>
          <w:szCs w:val="32"/>
          <w:shd w:val="clear" w:color="auto" w:fill="FFFFFF"/>
          <w:lang w:eastAsia="zh-CN"/>
        </w:rPr>
        <w:t>工作取得实效</w:t>
      </w:r>
      <w:r>
        <w:rPr>
          <w:rFonts w:hint="default" w:ascii="方正仿宋_GBK" w:hAnsi="仿宋" w:eastAsia="方正仿宋_GBK" w:cs="微软雅黑"/>
          <w:color w:val="000000"/>
          <w:sz w:val="32"/>
          <w:szCs w:val="32"/>
          <w:shd w:val="clear" w:color="auto" w:fill="FFFFFF"/>
        </w:rPr>
        <w:t>。共召开专题会5次、召开党员大会12次，集中学习纪律作风整顿相关要求，8次督促指导党员干部对标纪律作风整顿要求开展自查，班子自查问题21个、制定整改措施21条；全体党员干部自查问题163个、制定出整改措施186条。目前，班子和党员干部督查发现问题已全部完成整改。五是干部队伍建设持续加强。严格贯彻落实党的组织路线，突出政治标准，着力培养出一支爱农业、懂供销、会管理、勇创新的干部队伍。坚持鲜明崇尚实干、以实绩用干部的用人导向，认真执行《党政领导干部选拔任用工作条例》，按好干部标准和要求晋升一级主任科员、四级主任科员各1名，配合市委组织部做好市管干部选拔任用工作，提拔副县级领导1人，晋升三级调研员2名。</w:t>
      </w:r>
    </w:p>
    <w:p>
      <w:pPr>
        <w:pStyle w:val="4"/>
        <w:rPr>
          <w:rStyle w:val="27"/>
          <w:b w:val="0"/>
          <w:bCs w:val="0"/>
          <w:color w:val="auto"/>
          <w:highlight w:val="none"/>
        </w:rPr>
      </w:pPr>
      <w:bookmarkStart w:id="20" w:name="_Toc15396601"/>
      <w:bookmarkStart w:id="21"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20"/>
      <w:bookmarkEnd w:id="21"/>
    </w:p>
    <w:p>
      <w:pPr>
        <w:ind w:firstLine="800" w:firstLineChars="250"/>
        <w:rPr>
          <w:rFonts w:ascii="仿宋" w:hAnsi="仿宋" w:eastAsia="仿宋"/>
          <w:color w:val="auto"/>
          <w:kern w:val="0"/>
          <w:sz w:val="32"/>
          <w:szCs w:val="32"/>
          <w:highlight w:val="none"/>
        </w:rPr>
      </w:pPr>
      <w:r>
        <w:rPr>
          <w:rFonts w:hint="eastAsia" w:ascii="方正仿宋_GBK" w:eastAsia="方正仿宋_GBK"/>
          <w:sz w:val="32"/>
          <w:szCs w:val="32"/>
        </w:rPr>
        <w:t>广元市供销合作社联合社</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纳入本部门</w:t>
      </w:r>
      <w:r>
        <w:rPr>
          <w:rFonts w:hint="eastAsia" w:ascii="仿宋" w:hAnsi="仿宋" w:eastAsia="仿宋"/>
          <w:color w:val="auto"/>
          <w:sz w:val="32"/>
          <w:szCs w:val="32"/>
          <w:highlight w:val="none"/>
          <w:lang w:val="en-US" w:eastAsia="zh-CN"/>
        </w:rPr>
        <w:t>2021年部门决算编制范围的单位有：广元市供销合作社联合社（本级）</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page"/>
      </w:r>
    </w:p>
    <w:p>
      <w:pPr>
        <w:pStyle w:val="3"/>
        <w:ind w:right="440"/>
        <w:jc w:val="center"/>
        <w:rPr>
          <w:rStyle w:val="26"/>
          <w:rFonts w:ascii="黑体" w:hAnsi="黑体" w:eastAsia="黑体"/>
          <w:b w:val="0"/>
          <w:bCs/>
          <w:color w:val="auto"/>
          <w:highlight w:val="none"/>
        </w:rPr>
      </w:pPr>
      <w:bookmarkStart w:id="22" w:name="_Toc15377204"/>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22"/>
      <w:bookmarkEnd w:id="23"/>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1033.07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487.05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省级综改资金及化肥淡季储备贴息纳入</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决算支出。</w:t>
      </w:r>
    </w:p>
    <w:p>
      <w:pPr>
        <w:pStyle w:val="6"/>
        <w:rPr>
          <w:rFonts w:hint="eastAsia" w:ascii="仿宋" w:hAnsi="仿宋" w:eastAsia="仿宋"/>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339090</wp:posOffset>
            </wp:positionH>
            <wp:positionV relativeFrom="page">
              <wp:posOffset>3547110</wp:posOffset>
            </wp:positionV>
            <wp:extent cx="4572000" cy="2743200"/>
            <wp:effectExtent l="4445" t="4445" r="1460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-4040505</wp:posOffset>
                </wp:positionH>
                <wp:positionV relativeFrom="paragraph">
                  <wp:posOffset>264795</wp:posOffset>
                </wp:positionV>
                <wp:extent cx="3477260" cy="364490"/>
                <wp:effectExtent l="0" t="0" r="8890" b="16510"/>
                <wp:wrapNone/>
                <wp:docPr id="3" name="文本框 3"/>
                <wp:cNvGraphicFramePr/>
                <a:graphic xmlns:a="http://schemas.openxmlformats.org/drawingml/2006/main">
                  <a:graphicData uri="http://schemas.microsoft.com/office/word/2010/wordprocessingShape">
                    <wps:wsp>
                      <wps:cNvSpPr txBox="1"/>
                      <wps:spPr>
                        <a:xfrm>
                          <a:off x="2118995" y="6144260"/>
                          <a:ext cx="3477260" cy="364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hint="default" w:eastAsia="宋体"/>
                                <w:lang w:val="en-US" w:eastAsia="zh-CN"/>
                              </w:rPr>
                            </w:pPr>
                            <w:r>
                              <w:rPr>
                                <w:rFonts w:hint="eastAsia"/>
                                <w:lang w:val="en-US" w:eastAsia="zh-CN"/>
                              </w:rPr>
                              <w:t xml:space="preserve">    2020年                            2021年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15pt;margin-top:20.85pt;height:28.7pt;width:273.8pt;z-index:251660288;mso-width-relative:page;mso-height-relative:page;" fillcolor="#FFFFFF [3201]" filled="t" stroked="f" coordsize="21600,21600" o:gfxdata="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8WM&#10;2NcAAAAKAQAADwAAAAAAAAABACAAAAAiAAAAZHJzL2Rvd25yZXYueG1sUEsBAhQAFAAAAAgAh07i&#10;QBMZFgNcAgAAmwQAAA4AAAAAAAAAAQAgAAAAJgEAAGRycy9lMm9Eb2MueG1sUEsFBgAAAAAGAAYA&#10;WQEAAPQFAAAAAA==&#10;">
                <v:fill on="t" focussize="0,0"/>
                <v:stroke on="f" weight="0.5pt"/>
                <v:imagedata o:title=""/>
                <o:lock v:ext="edit" aspectratio="f"/>
                <v:textbox>
                  <w:txbxContent>
                    <w:p>
                      <w:pPr>
                        <w:ind w:firstLine="210" w:firstLineChars="100"/>
                        <w:rPr>
                          <w:rFonts w:hint="default" w:eastAsia="宋体"/>
                          <w:lang w:val="en-US" w:eastAsia="zh-CN"/>
                        </w:rPr>
                      </w:pPr>
                      <w:r>
                        <w:rPr>
                          <w:rFonts w:hint="eastAsia"/>
                          <w:lang w:val="en-US" w:eastAsia="zh-CN"/>
                        </w:rPr>
                        <w:t xml:space="preserve">    2020年                            2021年</w:t>
                      </w:r>
                    </w:p>
                  </w:txbxContent>
                </v:textbox>
              </v:shape>
            </w:pict>
          </mc:Fallback>
        </mc:AlternateContent>
      </w:r>
    </w:p>
    <w:p>
      <w:pPr>
        <w:rPr>
          <w:rFonts w:hint="eastAsia"/>
          <w:lang w:val="en-US" w:eastAsia="zh-CN"/>
        </w:rPr>
      </w:pPr>
    </w:p>
    <w:p>
      <w:pPr>
        <w:spacing w:line="600" w:lineRule="exact"/>
        <w:ind w:firstLine="1280" w:firstLineChars="4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6"/>
      <w:bookmarkEnd w:id="27"/>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1024.43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1024.4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outlineLvl w:val="1"/>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536575</wp:posOffset>
            </wp:positionH>
            <wp:positionV relativeFrom="paragraph">
              <wp:posOffset>153035</wp:posOffset>
            </wp:positionV>
            <wp:extent cx="4572000" cy="2743200"/>
            <wp:effectExtent l="4445" t="4445" r="1460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outlineLvl w:val="1"/>
        <w:rPr>
          <w:rFonts w:ascii="仿宋" w:hAnsi="仿宋" w:eastAsia="仿宋"/>
          <w:color w:val="auto"/>
          <w:sz w:val="32"/>
          <w:szCs w:val="32"/>
          <w:highlight w:val="none"/>
        </w:rPr>
      </w:pPr>
    </w:p>
    <w:p>
      <w:pPr>
        <w:spacing w:line="600" w:lineRule="exact"/>
        <w:outlineLvl w:val="1"/>
        <w:rPr>
          <w:rFonts w:ascii="仿宋" w:hAnsi="仿宋" w:eastAsia="仿宋"/>
          <w:color w:val="auto"/>
          <w:sz w:val="32"/>
          <w:szCs w:val="32"/>
          <w:highlight w:val="none"/>
        </w:rPr>
      </w:pPr>
    </w:p>
    <w:p>
      <w:pPr>
        <w:spacing w:line="600" w:lineRule="exact"/>
        <w:outlineLvl w:val="1"/>
        <w:rPr>
          <w:rFonts w:ascii="仿宋" w:hAnsi="仿宋" w:eastAsia="仿宋"/>
          <w:color w:val="auto"/>
          <w:sz w:val="32"/>
          <w:szCs w:val="32"/>
          <w:highlight w:val="none"/>
        </w:rPr>
      </w:pPr>
    </w:p>
    <w:p>
      <w:pPr>
        <w:spacing w:line="600" w:lineRule="exact"/>
        <w:outlineLvl w:val="1"/>
        <w:rPr>
          <w:rFonts w:ascii="仿宋" w:hAnsi="仿宋" w:eastAsia="仿宋"/>
          <w:color w:val="auto"/>
          <w:sz w:val="32"/>
          <w:szCs w:val="32"/>
          <w:highlight w:val="none"/>
        </w:rPr>
      </w:pPr>
    </w:p>
    <w:p>
      <w:pPr>
        <w:spacing w:line="600" w:lineRule="exact"/>
        <w:outlineLvl w:val="1"/>
        <w:rPr>
          <w:rFonts w:ascii="仿宋" w:hAnsi="仿宋" w:eastAsia="仿宋"/>
          <w:color w:val="auto"/>
          <w:sz w:val="32"/>
          <w:szCs w:val="32"/>
          <w:highlight w:val="none"/>
        </w:rPr>
      </w:pPr>
    </w:p>
    <w:p>
      <w:pPr>
        <w:spacing w:line="600" w:lineRule="exact"/>
        <w:outlineLvl w:val="1"/>
        <w:rPr>
          <w:rFonts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8" w:name="_Toc15377207"/>
      <w:bookmarkStart w:id="29"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1032.62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591.84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57.31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440.78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rPr>
          <w:rFonts w:hint="eastAsia"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631825</wp:posOffset>
            </wp:positionH>
            <wp:positionV relativeFrom="paragraph">
              <wp:posOffset>202565</wp:posOffset>
            </wp:positionV>
            <wp:extent cx="3862705" cy="2031365"/>
            <wp:effectExtent l="4445" t="4445" r="19050" b="2159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6"/>
      </w:pPr>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30" w:name="_Toc15377208"/>
      <w:bookmarkStart w:id="31"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0"/>
      <w:bookmarkEnd w:id="31"/>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1032.7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487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89.24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省级综改资金及化肥淡季储备贴息纳入</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决算支出。</w:t>
      </w:r>
    </w:p>
    <w:p>
      <w:pPr>
        <w:pStyle w:val="6"/>
        <w:rPr>
          <w:rFonts w:hint="eastAsia" w:ascii="仿宋" w:hAnsi="仿宋" w:eastAsia="仿宋"/>
          <w:color w:val="auto"/>
          <w:sz w:val="32"/>
          <w:szCs w:val="32"/>
          <w:highlight w:val="none"/>
          <w:lang w:eastAsia="zh-CN"/>
        </w:rPr>
      </w:pPr>
      <w:r>
        <w:drawing>
          <wp:anchor distT="0" distB="0" distL="114300" distR="114300" simplePos="0" relativeHeight="251664384" behindDoc="0" locked="0" layoutInCell="1" allowOverlap="1">
            <wp:simplePos x="0" y="0"/>
            <wp:positionH relativeFrom="column">
              <wp:posOffset>438785</wp:posOffset>
            </wp:positionH>
            <wp:positionV relativeFrom="paragraph">
              <wp:posOffset>225425</wp:posOffset>
            </wp:positionV>
            <wp:extent cx="4514850" cy="2560320"/>
            <wp:effectExtent l="4445" t="4445" r="14605" b="698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6"/>
        <w:rPr>
          <w:rFonts w:hint="eastAsia" w:ascii="仿宋" w:hAnsi="仿宋" w:eastAsia="仿宋"/>
          <w:color w:val="auto"/>
          <w:sz w:val="32"/>
          <w:szCs w:val="32"/>
          <w:highlight w:val="none"/>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1285240</wp:posOffset>
                </wp:positionH>
                <wp:positionV relativeFrom="paragraph">
                  <wp:posOffset>153035</wp:posOffset>
                </wp:positionV>
                <wp:extent cx="3202940" cy="364490"/>
                <wp:effectExtent l="0" t="0" r="16510" b="16510"/>
                <wp:wrapNone/>
                <wp:docPr id="7" name="文本框 7"/>
                <wp:cNvGraphicFramePr/>
                <a:graphic xmlns:a="http://schemas.openxmlformats.org/drawingml/2006/main">
                  <a:graphicData uri="http://schemas.microsoft.com/office/word/2010/wordprocessingShape">
                    <wps:wsp>
                      <wps:cNvSpPr txBox="1"/>
                      <wps:spPr>
                        <a:xfrm>
                          <a:off x="2380615" y="5124450"/>
                          <a:ext cx="3202940" cy="364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 xml:space="preserve"> 2020年                          2021年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2pt;margin-top:12.05pt;height:28.7pt;width:252.2pt;z-index:251663360;mso-width-relative:page;mso-height-relative:page;" fillcolor="#FFFFFF [3201]" filled="t" stroked="f" coordsize="21600,21600" o:gfxdata="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tHJTM&#10;1QAAAAkBAAAPAAAAAAAAAAEAIAAAACIAAABkcnMvZG93bnJldi54bWxQSwECFAAUAAAACACHTuJA&#10;yxqK2V0CAACbBAAADgAAAAAAAAABACAAAAAk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 xml:space="preserve"> 2020年                          2021年</w:t>
                      </w:r>
                    </w:p>
                  </w:txbxContent>
                </v:textbox>
              </v:shape>
            </w:pict>
          </mc:Fallback>
        </mc:AlternateContent>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2"/>
      <w:bookmarkEnd w:id="33"/>
    </w:p>
    <w:p>
      <w:pPr>
        <w:spacing w:line="600" w:lineRule="exact"/>
        <w:ind w:firstLine="643"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1032.62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495.23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92.15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省级综改资金及化肥淡季储备贴息纳入</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决算支出。</w:t>
      </w:r>
    </w:p>
    <w:p>
      <w:pPr>
        <w:spacing w:line="600" w:lineRule="exact"/>
        <w:ind w:firstLine="640" w:firstLineChars="200"/>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6"/>
      </w:pPr>
      <w:r>
        <w:drawing>
          <wp:anchor distT="0" distB="0" distL="114300" distR="114300" simplePos="0" relativeHeight="251666432" behindDoc="0" locked="0" layoutInCell="1" allowOverlap="1">
            <wp:simplePos x="0" y="0"/>
            <wp:positionH relativeFrom="column">
              <wp:posOffset>420370</wp:posOffset>
            </wp:positionH>
            <wp:positionV relativeFrom="paragraph">
              <wp:posOffset>276860</wp:posOffset>
            </wp:positionV>
            <wp:extent cx="4572000" cy="2743200"/>
            <wp:effectExtent l="4445" t="4445" r="14605" b="1460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6"/>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r>
        <w:rPr>
          <w:sz w:val="32"/>
        </w:rPr>
        <mc:AlternateContent>
          <mc:Choice Requires="wps">
            <w:drawing>
              <wp:anchor distT="0" distB="0" distL="114300" distR="114300" simplePos="0" relativeHeight="251665408" behindDoc="0" locked="0" layoutInCell="1" allowOverlap="1">
                <wp:simplePos x="0" y="0"/>
                <wp:positionH relativeFrom="column">
                  <wp:posOffset>1370330</wp:posOffset>
                </wp:positionH>
                <wp:positionV relativeFrom="paragraph">
                  <wp:posOffset>131445</wp:posOffset>
                </wp:positionV>
                <wp:extent cx="3070860" cy="364490"/>
                <wp:effectExtent l="0" t="0" r="15240" b="16510"/>
                <wp:wrapNone/>
                <wp:docPr id="9" name="文本框 9"/>
                <wp:cNvGraphicFramePr/>
                <a:graphic xmlns:a="http://schemas.openxmlformats.org/drawingml/2006/main">
                  <a:graphicData uri="http://schemas.microsoft.com/office/word/2010/wordprocessingShape">
                    <wps:wsp>
                      <wps:cNvSpPr txBox="1"/>
                      <wps:spPr>
                        <a:xfrm>
                          <a:off x="2524760" y="3857625"/>
                          <a:ext cx="3070860" cy="364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2020年                          2021年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9pt;margin-top:10.35pt;height:28.7pt;width:241.8pt;z-index:251665408;mso-width-relative:page;mso-height-relative:page;" fillcolor="#FFFFFF [3201]" filled="t" stroked="f" coordsize="21600,21600" o:gfxdata="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A4UHs&#10;1QAAAAkBAAAPAAAAAAAAAAEAIAAAACIAAABkcnMvZG93bnJldi54bWxQSwECFAAUAAAACACHTuJA&#10;eFRqNF0CAACbBAAADgAAAAAAAAABACAAAAAk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2020年                          2021年</w:t>
                      </w:r>
                    </w:p>
                  </w:txbxContent>
                </v:textbox>
              </v:shape>
            </w:pict>
          </mc:Fallback>
        </mc:AlternateContent>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1032.62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84.57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val="0"/>
          <w:bCs w:val="0"/>
          <w:color w:val="auto"/>
          <w:sz w:val="32"/>
          <w:szCs w:val="32"/>
          <w:highlight w:val="none"/>
        </w:rPr>
        <w:t>支出</w:t>
      </w:r>
      <w:r>
        <w:rPr>
          <w:rFonts w:hint="eastAsia" w:ascii="仿宋" w:hAnsi="仿宋" w:eastAsia="仿宋"/>
          <w:color w:val="auto"/>
          <w:sz w:val="32"/>
          <w:szCs w:val="32"/>
          <w:highlight w:val="none"/>
          <w:lang w:val="en-US" w:eastAsia="zh-CN"/>
        </w:rPr>
        <w:t>18.47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1.79</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w:t>
      </w:r>
      <w:r>
        <w:rPr>
          <w:rFonts w:hint="eastAsia" w:ascii="仿宋" w:hAnsi="仿宋" w:eastAsia="仿宋"/>
          <w:color w:val="auto"/>
          <w:sz w:val="32"/>
          <w:szCs w:val="32"/>
          <w:highlight w:val="none"/>
          <w:lang w:eastAsia="zh-CN"/>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45.54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商业服务业等支出（类）</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810.03万元，占78.44%；</w:t>
      </w:r>
      <w:r>
        <w:rPr>
          <w:rFonts w:hint="eastAsia" w:ascii="仿宋" w:hAnsi="仿宋" w:eastAsia="仿宋"/>
          <w:b/>
          <w:color w:val="auto"/>
          <w:sz w:val="32"/>
          <w:szCs w:val="32"/>
          <w:highlight w:val="none"/>
          <w:lang w:val="en-US" w:eastAsia="zh-CN"/>
        </w:rPr>
        <w:t>粮油物资储备（类）</w:t>
      </w:r>
      <w:r>
        <w:rPr>
          <w:rFonts w:hint="eastAsia" w:ascii="仿宋" w:hAnsi="仿宋" w:eastAsia="仿宋"/>
          <w:color w:val="auto"/>
          <w:sz w:val="32"/>
          <w:szCs w:val="32"/>
          <w:highlight w:val="none"/>
          <w:lang w:val="en-US" w:eastAsia="zh-CN"/>
        </w:rPr>
        <w:t>支出74万元，占7.17%</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p>
    <w:p>
      <w:pPr>
        <w:pStyle w:val="6"/>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
      <w:pPr>
        <w:spacing w:line="600" w:lineRule="exact"/>
        <w:ind w:firstLine="640" w:firstLineChars="200"/>
        <w:rPr>
          <w:rFonts w:hint="eastAsia" w:ascii="仿宋" w:hAnsi="仿宋" w:eastAsia="仿宋"/>
          <w:color w:val="auto"/>
          <w:sz w:val="32"/>
          <w:szCs w:val="32"/>
          <w:highlight w:val="none"/>
        </w:rPr>
      </w:pPr>
      <w:r>
        <w:rPr>
          <w:sz w:val="32"/>
        </w:rPr>
        <mc:AlternateContent>
          <mc:Choice Requires="wps">
            <w:drawing>
              <wp:anchor distT="0" distB="0" distL="114300" distR="114300" simplePos="0" relativeHeight="251668480" behindDoc="0" locked="0" layoutInCell="1" allowOverlap="1">
                <wp:simplePos x="0" y="0"/>
                <wp:positionH relativeFrom="column">
                  <wp:posOffset>1071245</wp:posOffset>
                </wp:positionH>
                <wp:positionV relativeFrom="paragraph">
                  <wp:posOffset>63500</wp:posOffset>
                </wp:positionV>
                <wp:extent cx="3986530" cy="529590"/>
                <wp:effectExtent l="0" t="0" r="13970" b="3810"/>
                <wp:wrapNone/>
                <wp:docPr id="14" name="文本框 14"/>
                <wp:cNvGraphicFramePr/>
                <a:graphic xmlns:a="http://schemas.openxmlformats.org/drawingml/2006/main">
                  <a:graphicData uri="http://schemas.microsoft.com/office/word/2010/wordprocessingShape">
                    <wps:wsp>
                      <wps:cNvSpPr txBox="1"/>
                      <wps:spPr>
                        <a:xfrm>
                          <a:off x="3215005" y="7571740"/>
                          <a:ext cx="3986530" cy="529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60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一般公共预算财政拨款支出决算结构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35pt;margin-top:5pt;height:41.7pt;width:313.9pt;z-index:251668480;mso-width-relative:page;mso-height-relative:page;" fillcolor="#FFFFFF [3201]" filled="t" stroked="f" coordsize="21600,21600" o:gfxdata="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XLFm&#10;1AAAAAkBAAAPAAAAAAAAAAEAIAAAACIAAABkcnMvZG93bnJldi54bWxQSwECFAAUAAAACACHTuJA&#10;G/kj9V4CAACdBAAADgAAAAAAAAABACAAAAAjAQAAZHJzL2Uyb0RvYy54bWxQSwUGAAAAAAYABgBZ&#10;AQAA8wUAAAAA&#10;">
                <v:fill on="t" focussize="0,0"/>
                <v:stroke on="f" weight="0.5pt"/>
                <v:imagedata o:title=""/>
                <o:lock v:ext="edit" aspectratio="f"/>
                <v:textbox>
                  <w:txbxContent>
                    <w:p>
                      <w:pPr>
                        <w:spacing w:line="60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一般公共预算财政拨款支出决算结构</w:t>
                      </w:r>
                    </w:p>
                  </w:txbxContent>
                </v:textbox>
              </v:shape>
            </w:pict>
          </mc:Fallback>
        </mc:AlternateConten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7456" behindDoc="0" locked="0" layoutInCell="1" allowOverlap="1">
            <wp:simplePos x="0" y="0"/>
            <wp:positionH relativeFrom="column">
              <wp:posOffset>728980</wp:posOffset>
            </wp:positionH>
            <wp:positionV relativeFrom="paragraph">
              <wp:posOffset>149225</wp:posOffset>
            </wp:positionV>
            <wp:extent cx="4079240" cy="2523490"/>
            <wp:effectExtent l="4445" t="4445" r="12065" b="571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outlineLvl w:val="2"/>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bookmarkStart w:id="36" w:name="_Toc15377212"/>
    </w:p>
    <w:p>
      <w:pPr>
        <w:pStyle w:val="6"/>
        <w:rPr>
          <w:rFonts w:hint="eastAsia"/>
        </w:rPr>
      </w:pPr>
    </w:p>
    <w:p>
      <w:pPr>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6"/>
    </w:p>
    <w:p>
      <w:pPr>
        <w:spacing w:line="600" w:lineRule="exact"/>
        <w:ind w:firstLine="643" w:firstLineChars="200"/>
        <w:outlineLvl w:val="2"/>
        <w:rPr>
          <w:rStyle w:val="16"/>
          <w:rFonts w:hint="eastAsia" w:ascii="仿宋" w:hAnsi="仿宋" w:eastAsia="仿宋"/>
          <w:bCs/>
          <w:color w:val="auto"/>
          <w:sz w:val="32"/>
          <w:szCs w:val="32"/>
          <w:highlight w:val="none"/>
        </w:rPr>
      </w:pPr>
      <w:bookmarkStart w:id="37" w:name="_Toc15377213"/>
      <w:bookmarkStart w:id="38" w:name="_Toc15377444"/>
      <w:bookmarkStart w:id="39"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1032.62万元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99.99</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7"/>
      <w:bookmarkEnd w:id="38"/>
      <w:bookmarkEnd w:id="39"/>
    </w:p>
    <w:p>
      <w:pPr>
        <w:numPr>
          <w:ilvl w:val="0"/>
          <w:numId w:val="0"/>
        </w:numPr>
        <w:spacing w:line="560" w:lineRule="exact"/>
        <w:ind w:firstLine="640" w:firstLineChars="200"/>
        <w:rPr>
          <w:rStyle w:val="16"/>
          <w:rFonts w:hint="eastAsia" w:ascii="方正仿宋_GBK" w:hAnsi="仿宋" w:eastAsia="方正仿宋_GBK"/>
          <w:b w:val="0"/>
          <w:bCs/>
          <w:color w:val="000000"/>
          <w:sz w:val="32"/>
          <w:szCs w:val="32"/>
        </w:rPr>
      </w:pPr>
      <w:r>
        <w:rPr>
          <w:rStyle w:val="16"/>
          <w:rFonts w:hint="eastAsia" w:ascii="方正仿宋_GBK" w:hAnsi="仿宋" w:eastAsia="方正仿宋_GBK"/>
          <w:bCs/>
          <w:color w:val="000000"/>
          <w:sz w:val="32"/>
          <w:szCs w:val="32"/>
          <w:lang w:val="en-US" w:eastAsia="zh-CN"/>
        </w:rPr>
        <w:t>1.</w:t>
      </w:r>
      <w:r>
        <w:rPr>
          <w:rStyle w:val="16"/>
          <w:rFonts w:hint="eastAsia" w:ascii="方正仿宋_GBK" w:hAnsi="仿宋" w:eastAsia="方正仿宋_GBK"/>
          <w:bCs/>
          <w:color w:val="000000"/>
          <w:sz w:val="32"/>
          <w:szCs w:val="32"/>
        </w:rPr>
        <w:t>社会保障和就业</w:t>
      </w:r>
      <w:r>
        <w:rPr>
          <w:rStyle w:val="16"/>
          <w:rFonts w:hint="eastAsia" w:ascii="方正仿宋_GBK" w:hAnsi="仿宋" w:eastAsia="方正仿宋_GBK"/>
          <w:bCs/>
          <w:color w:val="000000"/>
          <w:sz w:val="32"/>
          <w:szCs w:val="32"/>
          <w:lang w:eastAsia="zh-CN"/>
        </w:rPr>
        <w:t>支出</w:t>
      </w:r>
      <w:r>
        <w:rPr>
          <w:rStyle w:val="16"/>
          <w:rFonts w:hint="eastAsia" w:ascii="方正仿宋_GBK" w:hAnsi="仿宋" w:eastAsia="方正仿宋_GBK"/>
          <w:bCs/>
          <w:color w:val="000000"/>
          <w:sz w:val="32"/>
          <w:szCs w:val="32"/>
        </w:rPr>
        <w:t>（类）行政事业单位</w:t>
      </w:r>
      <w:r>
        <w:rPr>
          <w:rStyle w:val="16"/>
          <w:rFonts w:hint="eastAsia" w:ascii="方正仿宋_GBK" w:hAnsi="仿宋" w:eastAsia="方正仿宋_GBK"/>
          <w:bCs/>
          <w:color w:val="000000"/>
          <w:sz w:val="32"/>
          <w:szCs w:val="32"/>
          <w:lang w:eastAsia="zh-CN"/>
        </w:rPr>
        <w:t>养老支出</w:t>
      </w:r>
      <w:r>
        <w:rPr>
          <w:rStyle w:val="16"/>
          <w:rFonts w:hint="eastAsia" w:ascii="方正仿宋_GBK" w:hAnsi="仿宋" w:eastAsia="方正仿宋_GBK"/>
          <w:bCs/>
          <w:color w:val="000000"/>
          <w:sz w:val="32"/>
          <w:szCs w:val="32"/>
        </w:rPr>
        <w:t>（款）</w:t>
      </w:r>
      <w:r>
        <w:rPr>
          <w:rStyle w:val="16"/>
          <w:rFonts w:hint="eastAsia" w:ascii="方正仿宋_GBK" w:hAnsi="仿宋" w:eastAsia="方正仿宋_GBK"/>
          <w:bCs/>
          <w:color w:val="000000"/>
          <w:sz w:val="32"/>
          <w:szCs w:val="32"/>
          <w:lang w:eastAsia="zh-CN"/>
        </w:rPr>
        <w:t>机关</w:t>
      </w:r>
      <w:r>
        <w:rPr>
          <w:rStyle w:val="16"/>
          <w:rFonts w:hint="eastAsia" w:ascii="方正仿宋_GBK" w:hAnsi="仿宋" w:eastAsia="方正仿宋_GBK"/>
          <w:bCs/>
          <w:sz w:val="32"/>
          <w:szCs w:val="32"/>
        </w:rPr>
        <w:t>事业单位基本养老保险缴费支出（项）:</w:t>
      </w:r>
      <w:r>
        <w:rPr>
          <w:rStyle w:val="16"/>
          <w:rFonts w:hint="eastAsia" w:ascii="方正仿宋_GBK" w:hAnsi="仿宋" w:eastAsia="方正仿宋_GBK"/>
          <w:b w:val="0"/>
          <w:bCs/>
          <w:sz w:val="32"/>
          <w:szCs w:val="32"/>
        </w:rPr>
        <w:t>支出决算为</w:t>
      </w:r>
      <w:r>
        <w:rPr>
          <w:rStyle w:val="16"/>
          <w:rFonts w:hint="eastAsia" w:ascii="方正仿宋_GBK" w:hAnsi="仿宋" w:eastAsia="方正仿宋_GBK"/>
          <w:b w:val="0"/>
          <w:bCs/>
          <w:sz w:val="32"/>
          <w:szCs w:val="32"/>
          <w:lang w:val="en-US" w:eastAsia="zh-CN"/>
        </w:rPr>
        <w:t>49.43</w:t>
      </w:r>
      <w:r>
        <w:rPr>
          <w:rStyle w:val="16"/>
          <w:rFonts w:hint="eastAsia" w:ascii="方正仿宋_GBK" w:hAnsi="仿宋" w:eastAsia="方正仿宋_GBK"/>
          <w:b w:val="0"/>
          <w:bCs/>
          <w:sz w:val="32"/>
          <w:szCs w:val="32"/>
        </w:rPr>
        <w:t>万元，完</w:t>
      </w:r>
      <w:r>
        <w:rPr>
          <w:rStyle w:val="16"/>
          <w:rFonts w:hint="eastAsia" w:ascii="方正仿宋_GBK" w:hAnsi="仿宋" w:eastAsia="方正仿宋_GBK"/>
          <w:b w:val="0"/>
          <w:bCs/>
          <w:color w:val="000000"/>
          <w:sz w:val="32"/>
          <w:szCs w:val="32"/>
        </w:rPr>
        <w:t>成预算100%；</w:t>
      </w:r>
    </w:p>
    <w:p>
      <w:pPr>
        <w:numPr>
          <w:ilvl w:val="0"/>
          <w:numId w:val="0"/>
        </w:numPr>
        <w:spacing w:line="560" w:lineRule="exact"/>
        <w:ind w:firstLine="640" w:firstLineChars="200"/>
        <w:rPr>
          <w:rStyle w:val="16"/>
          <w:rFonts w:hint="eastAsia" w:ascii="方正仿宋_GBK" w:hAnsi="仿宋" w:eastAsia="方正仿宋_GBK"/>
          <w:b w:val="0"/>
          <w:bCs/>
          <w:color w:val="000000"/>
          <w:sz w:val="32"/>
          <w:szCs w:val="32"/>
          <w:lang w:eastAsia="zh-CN"/>
        </w:rPr>
      </w:pPr>
      <w:r>
        <w:rPr>
          <w:rStyle w:val="16"/>
          <w:rFonts w:hint="eastAsia" w:ascii="方正仿宋_GBK" w:hAnsi="仿宋" w:eastAsia="方正仿宋_GBK"/>
          <w:bCs/>
          <w:color w:val="000000"/>
          <w:sz w:val="32"/>
          <w:szCs w:val="32"/>
          <w:lang w:val="en-US" w:eastAsia="zh-CN"/>
        </w:rPr>
        <w:t>2.</w:t>
      </w:r>
      <w:r>
        <w:rPr>
          <w:rStyle w:val="16"/>
          <w:rFonts w:hint="eastAsia" w:ascii="方正仿宋_GBK" w:hAnsi="仿宋" w:eastAsia="方正仿宋_GBK"/>
          <w:bCs/>
          <w:color w:val="000000"/>
          <w:sz w:val="32"/>
          <w:szCs w:val="32"/>
        </w:rPr>
        <w:t>社会保障和就业</w:t>
      </w:r>
      <w:r>
        <w:rPr>
          <w:rStyle w:val="16"/>
          <w:rFonts w:hint="eastAsia" w:ascii="方正仿宋_GBK" w:hAnsi="仿宋" w:eastAsia="方正仿宋_GBK"/>
          <w:bCs/>
          <w:color w:val="000000"/>
          <w:sz w:val="32"/>
          <w:szCs w:val="32"/>
          <w:lang w:eastAsia="zh-CN"/>
        </w:rPr>
        <w:t>支出</w:t>
      </w:r>
      <w:r>
        <w:rPr>
          <w:rStyle w:val="16"/>
          <w:rFonts w:hint="eastAsia" w:ascii="方正仿宋_GBK" w:hAnsi="仿宋" w:eastAsia="方正仿宋_GBK"/>
          <w:bCs/>
          <w:color w:val="000000"/>
          <w:sz w:val="32"/>
          <w:szCs w:val="32"/>
        </w:rPr>
        <w:t>（类）行政事业单位</w:t>
      </w:r>
      <w:r>
        <w:rPr>
          <w:rStyle w:val="16"/>
          <w:rFonts w:hint="eastAsia" w:ascii="方正仿宋_GBK" w:hAnsi="仿宋" w:eastAsia="方正仿宋_GBK"/>
          <w:bCs/>
          <w:color w:val="000000"/>
          <w:sz w:val="32"/>
          <w:szCs w:val="32"/>
          <w:lang w:eastAsia="zh-CN"/>
        </w:rPr>
        <w:t>养老支出</w:t>
      </w:r>
      <w:r>
        <w:rPr>
          <w:rStyle w:val="16"/>
          <w:rFonts w:hint="eastAsia" w:ascii="方正仿宋_GBK" w:hAnsi="仿宋" w:eastAsia="方正仿宋_GBK"/>
          <w:bCs/>
          <w:color w:val="000000"/>
          <w:sz w:val="32"/>
          <w:szCs w:val="32"/>
        </w:rPr>
        <w:t>（款）</w:t>
      </w:r>
      <w:r>
        <w:rPr>
          <w:rStyle w:val="16"/>
          <w:rFonts w:hint="eastAsia" w:ascii="方正仿宋_GBK" w:hAnsi="仿宋" w:eastAsia="方正仿宋_GBK"/>
          <w:bCs/>
          <w:color w:val="000000"/>
          <w:sz w:val="32"/>
          <w:szCs w:val="32"/>
          <w:lang w:eastAsia="zh-CN"/>
        </w:rPr>
        <w:t>机关</w:t>
      </w:r>
      <w:r>
        <w:rPr>
          <w:rStyle w:val="16"/>
          <w:rFonts w:hint="eastAsia" w:ascii="方正仿宋_GBK" w:hAnsi="仿宋" w:eastAsia="方正仿宋_GBK"/>
          <w:bCs/>
          <w:sz w:val="32"/>
          <w:szCs w:val="32"/>
        </w:rPr>
        <w:t>事业单位</w:t>
      </w:r>
      <w:r>
        <w:rPr>
          <w:rStyle w:val="16"/>
          <w:rFonts w:hint="eastAsia" w:ascii="方正仿宋_GBK" w:hAnsi="仿宋" w:eastAsia="方正仿宋_GBK"/>
          <w:bCs/>
          <w:sz w:val="32"/>
          <w:szCs w:val="32"/>
          <w:lang w:eastAsia="zh-CN"/>
        </w:rPr>
        <w:t>职业年金</w:t>
      </w:r>
      <w:r>
        <w:rPr>
          <w:rStyle w:val="16"/>
          <w:rFonts w:hint="eastAsia" w:ascii="方正仿宋_GBK" w:hAnsi="仿宋" w:eastAsia="方正仿宋_GBK"/>
          <w:bCs/>
          <w:sz w:val="32"/>
          <w:szCs w:val="32"/>
        </w:rPr>
        <w:t>缴费支出（项）:</w:t>
      </w:r>
      <w:r>
        <w:rPr>
          <w:rStyle w:val="16"/>
          <w:rFonts w:hint="eastAsia" w:ascii="方正仿宋_GBK" w:hAnsi="仿宋" w:eastAsia="方正仿宋_GBK"/>
          <w:b w:val="0"/>
          <w:bCs/>
          <w:color w:val="000000"/>
          <w:sz w:val="32"/>
          <w:szCs w:val="32"/>
          <w:lang w:val="en-US" w:eastAsia="zh-CN"/>
        </w:rPr>
        <w:t>14.68万元</w:t>
      </w:r>
      <w:r>
        <w:rPr>
          <w:rStyle w:val="16"/>
          <w:rFonts w:hint="eastAsia" w:ascii="方正仿宋_GBK" w:hAnsi="仿宋" w:eastAsia="方正仿宋_GBK"/>
          <w:b w:val="0"/>
          <w:bCs/>
          <w:color w:val="000000"/>
          <w:sz w:val="32"/>
          <w:szCs w:val="32"/>
        </w:rPr>
        <w:t>，</w:t>
      </w:r>
      <w:r>
        <w:rPr>
          <w:rStyle w:val="16"/>
          <w:rFonts w:hint="eastAsia" w:ascii="方正仿宋_GBK" w:hAnsi="仿宋" w:eastAsia="方正仿宋_GBK"/>
          <w:b w:val="0"/>
          <w:bCs/>
          <w:sz w:val="32"/>
          <w:szCs w:val="32"/>
        </w:rPr>
        <w:t>完</w:t>
      </w:r>
      <w:r>
        <w:rPr>
          <w:rStyle w:val="16"/>
          <w:rFonts w:hint="eastAsia" w:ascii="方正仿宋_GBK" w:hAnsi="仿宋" w:eastAsia="方正仿宋_GBK"/>
          <w:b w:val="0"/>
          <w:bCs/>
          <w:color w:val="000000"/>
          <w:sz w:val="32"/>
          <w:szCs w:val="32"/>
        </w:rPr>
        <w:t>成预算100%</w:t>
      </w:r>
      <w:r>
        <w:rPr>
          <w:rStyle w:val="16"/>
          <w:rFonts w:hint="eastAsia" w:ascii="方正仿宋_GBK" w:hAnsi="仿宋" w:eastAsia="方正仿宋_GBK"/>
          <w:b w:val="0"/>
          <w:bCs/>
          <w:color w:val="000000"/>
          <w:sz w:val="32"/>
          <w:szCs w:val="32"/>
          <w:lang w:eastAsia="zh-CN"/>
        </w:rPr>
        <w:t>；</w:t>
      </w:r>
    </w:p>
    <w:p>
      <w:pPr>
        <w:numPr>
          <w:ilvl w:val="0"/>
          <w:numId w:val="0"/>
        </w:numPr>
        <w:spacing w:line="560" w:lineRule="exact"/>
        <w:ind w:firstLine="640" w:firstLineChars="200"/>
        <w:rPr>
          <w:rStyle w:val="16"/>
          <w:rFonts w:hint="eastAsia" w:ascii="方正仿宋_GBK" w:hAnsi="仿宋" w:eastAsia="方正仿宋_GBK"/>
          <w:b w:val="0"/>
          <w:bCs/>
          <w:color w:val="000000"/>
          <w:sz w:val="32"/>
          <w:szCs w:val="32"/>
        </w:rPr>
      </w:pPr>
      <w:r>
        <w:rPr>
          <w:rStyle w:val="16"/>
          <w:rFonts w:hint="eastAsia" w:ascii="方正仿宋_GBK" w:hAnsi="仿宋" w:eastAsia="方正仿宋_GBK"/>
          <w:bCs/>
          <w:color w:val="000000"/>
          <w:sz w:val="32"/>
          <w:szCs w:val="32"/>
          <w:lang w:val="en-US" w:eastAsia="zh-CN"/>
        </w:rPr>
        <w:t>3.</w:t>
      </w:r>
      <w:r>
        <w:rPr>
          <w:rStyle w:val="16"/>
          <w:rFonts w:hint="eastAsia" w:ascii="方正仿宋_GBK" w:hAnsi="仿宋" w:eastAsia="方正仿宋_GBK"/>
          <w:bCs/>
          <w:color w:val="000000"/>
          <w:sz w:val="32"/>
          <w:szCs w:val="32"/>
        </w:rPr>
        <w:t>社会保障和就业</w:t>
      </w:r>
      <w:r>
        <w:rPr>
          <w:rStyle w:val="16"/>
          <w:rFonts w:hint="eastAsia" w:ascii="方正仿宋_GBK" w:hAnsi="仿宋" w:eastAsia="方正仿宋_GBK"/>
          <w:bCs/>
          <w:color w:val="000000"/>
          <w:sz w:val="32"/>
          <w:szCs w:val="32"/>
          <w:lang w:eastAsia="zh-CN"/>
        </w:rPr>
        <w:t>支出</w:t>
      </w:r>
      <w:r>
        <w:rPr>
          <w:rStyle w:val="16"/>
          <w:rFonts w:hint="eastAsia" w:ascii="方正仿宋_GBK" w:hAnsi="仿宋" w:eastAsia="方正仿宋_GBK"/>
          <w:bCs/>
          <w:color w:val="000000"/>
          <w:sz w:val="32"/>
          <w:szCs w:val="32"/>
        </w:rPr>
        <w:t>（类）抚恤（款）死亡抚恤（项）: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15.99</w:t>
      </w:r>
      <w:r>
        <w:rPr>
          <w:rStyle w:val="16"/>
          <w:rFonts w:hint="eastAsia" w:ascii="方正仿宋_GBK" w:hAnsi="仿宋" w:eastAsia="方正仿宋_GBK"/>
          <w:b w:val="0"/>
          <w:bCs/>
          <w:color w:val="000000"/>
          <w:sz w:val="32"/>
          <w:szCs w:val="32"/>
        </w:rPr>
        <w:t>万元，完成预算100%；</w:t>
      </w:r>
    </w:p>
    <w:p>
      <w:pPr>
        <w:numPr>
          <w:ilvl w:val="0"/>
          <w:numId w:val="0"/>
        </w:numPr>
        <w:spacing w:line="560" w:lineRule="exact"/>
        <w:ind w:firstLine="640" w:firstLineChars="200"/>
        <w:rPr>
          <w:rFonts w:hint="eastAsia" w:ascii="方正仿宋_GBK" w:hAnsi="仿宋" w:eastAsia="方正仿宋_GBK"/>
          <w:b/>
          <w:color w:val="000000"/>
          <w:sz w:val="32"/>
          <w:szCs w:val="32"/>
        </w:rPr>
      </w:pPr>
      <w:r>
        <w:rPr>
          <w:rStyle w:val="16"/>
          <w:rFonts w:hint="eastAsia" w:ascii="方正仿宋_GBK" w:hAnsi="仿宋" w:eastAsia="方正仿宋_GBK"/>
          <w:bCs/>
          <w:color w:val="000000"/>
          <w:sz w:val="32"/>
          <w:szCs w:val="32"/>
          <w:lang w:val="en-US" w:eastAsia="zh-CN"/>
        </w:rPr>
        <w:t>4.</w:t>
      </w:r>
      <w:r>
        <w:rPr>
          <w:rStyle w:val="16"/>
          <w:rFonts w:hint="eastAsia" w:ascii="方正仿宋_GBK" w:hAnsi="仿宋" w:eastAsia="方正仿宋_GBK"/>
          <w:bCs/>
          <w:color w:val="000000"/>
          <w:sz w:val="32"/>
          <w:szCs w:val="32"/>
        </w:rPr>
        <w:t>社会保障和就业</w:t>
      </w:r>
      <w:r>
        <w:rPr>
          <w:rStyle w:val="16"/>
          <w:rFonts w:hint="eastAsia" w:ascii="方正仿宋_GBK" w:hAnsi="仿宋" w:eastAsia="方正仿宋_GBK"/>
          <w:bCs/>
          <w:color w:val="000000"/>
          <w:sz w:val="32"/>
          <w:szCs w:val="32"/>
          <w:lang w:eastAsia="zh-CN"/>
        </w:rPr>
        <w:t>支出</w:t>
      </w:r>
      <w:r>
        <w:rPr>
          <w:rStyle w:val="16"/>
          <w:rFonts w:hint="eastAsia" w:ascii="方正仿宋_GBK" w:hAnsi="仿宋" w:eastAsia="方正仿宋_GBK"/>
          <w:bCs/>
          <w:color w:val="000000"/>
          <w:sz w:val="32"/>
          <w:szCs w:val="32"/>
        </w:rPr>
        <w:t>（类）抚恤（款）伤残抚恤（项）：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4.47</w:t>
      </w:r>
      <w:r>
        <w:rPr>
          <w:rStyle w:val="16"/>
          <w:rFonts w:hint="eastAsia" w:ascii="方正仿宋_GBK" w:hAnsi="仿宋" w:eastAsia="方正仿宋_GBK"/>
          <w:b w:val="0"/>
          <w:bCs/>
          <w:color w:val="000000"/>
          <w:sz w:val="32"/>
          <w:szCs w:val="32"/>
        </w:rPr>
        <w:t>万元，完成预算100%。</w:t>
      </w:r>
    </w:p>
    <w:p>
      <w:pPr>
        <w:spacing w:line="560" w:lineRule="exact"/>
        <w:ind w:firstLine="640" w:firstLineChars="200"/>
        <w:rPr>
          <w:rFonts w:hint="eastAsia" w:ascii="方正仿宋_GBK" w:hAnsi="仿宋" w:eastAsia="方正仿宋_GBK"/>
          <w:b/>
          <w:color w:val="000000"/>
          <w:sz w:val="32"/>
          <w:szCs w:val="32"/>
        </w:rPr>
      </w:pPr>
      <w:r>
        <w:rPr>
          <w:rStyle w:val="16"/>
          <w:rFonts w:hint="eastAsia" w:ascii="方正仿宋_GBK" w:hAnsi="仿宋" w:eastAsia="方正仿宋_GBK"/>
          <w:bCs/>
          <w:color w:val="000000"/>
          <w:sz w:val="32"/>
          <w:szCs w:val="32"/>
          <w:lang w:val="en-US" w:eastAsia="zh-CN"/>
        </w:rPr>
        <w:t>5</w:t>
      </w:r>
      <w:r>
        <w:rPr>
          <w:rStyle w:val="16"/>
          <w:rFonts w:hint="eastAsia" w:ascii="方正仿宋_GBK" w:hAnsi="仿宋" w:eastAsia="方正仿宋_GBK"/>
          <w:bCs/>
          <w:color w:val="000000"/>
          <w:sz w:val="32"/>
          <w:szCs w:val="32"/>
        </w:rPr>
        <w:t>.</w:t>
      </w:r>
      <w:r>
        <w:rPr>
          <w:rFonts w:hint="eastAsia" w:ascii="方正仿宋_GBK" w:hAnsi="仿宋" w:eastAsia="方正仿宋_GBK"/>
          <w:b/>
          <w:bCs/>
          <w:color w:val="000000"/>
          <w:sz w:val="32"/>
          <w:szCs w:val="32"/>
        </w:rPr>
        <w:t>卫生健康</w:t>
      </w:r>
      <w:r>
        <w:rPr>
          <w:rFonts w:hint="eastAsia" w:ascii="方正仿宋_GBK" w:hAnsi="仿宋" w:eastAsia="方正仿宋_GBK"/>
          <w:b/>
          <w:bCs/>
          <w:color w:val="000000"/>
          <w:sz w:val="32"/>
          <w:szCs w:val="32"/>
          <w:lang w:eastAsia="zh-CN"/>
        </w:rPr>
        <w:t>支出</w:t>
      </w:r>
      <w:r>
        <w:rPr>
          <w:rStyle w:val="16"/>
          <w:rFonts w:hint="eastAsia" w:ascii="方正仿宋_GBK" w:hAnsi="仿宋" w:eastAsia="方正仿宋_GBK"/>
          <w:bCs/>
          <w:color w:val="000000"/>
          <w:sz w:val="32"/>
          <w:szCs w:val="32"/>
        </w:rPr>
        <w:t>（类）行政事业单位医疗（款）事业单位医疗（项）: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18.47</w:t>
      </w:r>
      <w:r>
        <w:rPr>
          <w:rStyle w:val="16"/>
          <w:rFonts w:hint="eastAsia" w:ascii="方正仿宋_GBK" w:hAnsi="仿宋" w:eastAsia="方正仿宋_GBK"/>
          <w:b w:val="0"/>
          <w:bCs/>
          <w:color w:val="000000"/>
          <w:sz w:val="32"/>
          <w:szCs w:val="32"/>
        </w:rPr>
        <w:t>万元，完成预算100%。</w:t>
      </w:r>
    </w:p>
    <w:p>
      <w:pPr>
        <w:spacing w:line="560" w:lineRule="exact"/>
        <w:ind w:firstLine="640" w:firstLineChars="200"/>
        <w:rPr>
          <w:rStyle w:val="16"/>
          <w:rFonts w:hint="eastAsia" w:ascii="方正仿宋_GBK" w:hAnsi="仿宋" w:eastAsia="方正仿宋_GBK"/>
          <w:b w:val="0"/>
          <w:bCs/>
          <w:color w:val="000000"/>
          <w:sz w:val="32"/>
          <w:szCs w:val="32"/>
        </w:rPr>
      </w:pPr>
      <w:r>
        <w:rPr>
          <w:rStyle w:val="16"/>
          <w:rFonts w:hint="eastAsia" w:ascii="方正仿宋_GBK" w:hAnsi="仿宋" w:eastAsia="方正仿宋_GBK"/>
          <w:bCs/>
          <w:color w:val="000000"/>
          <w:sz w:val="32"/>
          <w:szCs w:val="32"/>
          <w:lang w:val="en-US" w:eastAsia="zh-CN"/>
        </w:rPr>
        <w:t>6</w:t>
      </w:r>
      <w:r>
        <w:rPr>
          <w:rStyle w:val="16"/>
          <w:rFonts w:hint="eastAsia" w:ascii="方正仿宋_GBK" w:hAnsi="仿宋" w:eastAsia="方正仿宋_GBK"/>
          <w:bCs/>
          <w:color w:val="000000"/>
          <w:sz w:val="32"/>
          <w:szCs w:val="32"/>
        </w:rPr>
        <w:t>.商业服务业</w:t>
      </w:r>
      <w:r>
        <w:rPr>
          <w:rStyle w:val="16"/>
          <w:rFonts w:hint="eastAsia" w:ascii="方正仿宋_GBK" w:hAnsi="仿宋" w:eastAsia="方正仿宋_GBK"/>
          <w:bCs/>
          <w:color w:val="000000"/>
          <w:sz w:val="32"/>
          <w:szCs w:val="32"/>
          <w:lang w:eastAsia="zh-CN"/>
        </w:rPr>
        <w:t>等支出</w:t>
      </w:r>
      <w:r>
        <w:rPr>
          <w:rStyle w:val="16"/>
          <w:rFonts w:hint="eastAsia" w:ascii="方正仿宋_GBK" w:hAnsi="仿宋" w:eastAsia="方正仿宋_GBK"/>
          <w:bCs/>
          <w:color w:val="000000"/>
          <w:sz w:val="32"/>
          <w:szCs w:val="32"/>
        </w:rPr>
        <w:t>（类）商业流通事务（款）行政运行（项）: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443.25</w:t>
      </w:r>
      <w:r>
        <w:rPr>
          <w:rStyle w:val="16"/>
          <w:rFonts w:hint="eastAsia" w:ascii="方正仿宋_GBK" w:hAnsi="仿宋" w:eastAsia="方正仿宋_GBK"/>
          <w:b w:val="0"/>
          <w:bCs/>
          <w:color w:val="000000"/>
          <w:sz w:val="32"/>
          <w:szCs w:val="32"/>
        </w:rPr>
        <w:t>万元，完成预算</w:t>
      </w:r>
      <w:r>
        <w:rPr>
          <w:rStyle w:val="16"/>
          <w:rFonts w:hint="eastAsia" w:ascii="方正仿宋_GBK" w:hAnsi="仿宋" w:eastAsia="方正仿宋_GBK"/>
          <w:b w:val="0"/>
          <w:bCs/>
          <w:color w:val="000000"/>
          <w:sz w:val="32"/>
          <w:szCs w:val="32"/>
          <w:lang w:val="en-US" w:eastAsia="zh-CN"/>
        </w:rPr>
        <w:t>99.99</w:t>
      </w:r>
      <w:r>
        <w:rPr>
          <w:rStyle w:val="16"/>
          <w:rFonts w:hint="eastAsia" w:ascii="方正仿宋_GBK" w:hAnsi="仿宋" w:eastAsia="方正仿宋_GBK"/>
          <w:b w:val="0"/>
          <w:bCs/>
          <w:color w:val="000000"/>
          <w:sz w:val="32"/>
          <w:szCs w:val="32"/>
        </w:rPr>
        <w:t>%，</w:t>
      </w:r>
      <w:r>
        <w:rPr>
          <w:rFonts w:hint="eastAsia" w:ascii="方正仿宋_GBK" w:hAnsi="仿宋" w:eastAsia="方正仿宋_GBK"/>
          <w:color w:val="000000"/>
          <w:sz w:val="32"/>
          <w:szCs w:val="32"/>
        </w:rPr>
        <w:t>决算数小于预算数的主要原因是部分业务发生较晚，费用</w:t>
      </w:r>
      <w:r>
        <w:rPr>
          <w:rFonts w:hint="eastAsia" w:ascii="方正仿宋_GBK" w:hAnsi="仿宋" w:eastAsia="方正仿宋_GBK"/>
          <w:color w:val="000000"/>
          <w:sz w:val="32"/>
          <w:szCs w:val="32"/>
          <w:lang w:eastAsia="zh-CN"/>
        </w:rPr>
        <w:t>结转至</w:t>
      </w:r>
      <w:r>
        <w:rPr>
          <w:rFonts w:hint="eastAsia" w:ascii="方正仿宋_GBK" w:hAnsi="仿宋" w:eastAsia="方正仿宋_GBK"/>
          <w:color w:val="000000"/>
          <w:sz w:val="32"/>
          <w:szCs w:val="32"/>
        </w:rPr>
        <w:t>第二年度支付</w:t>
      </w:r>
      <w:r>
        <w:rPr>
          <w:rStyle w:val="16"/>
          <w:rFonts w:hint="eastAsia" w:ascii="方正仿宋_GBK" w:hAnsi="仿宋" w:eastAsia="方正仿宋_GBK"/>
          <w:b w:val="0"/>
          <w:bCs/>
          <w:color w:val="000000"/>
          <w:sz w:val="32"/>
          <w:szCs w:val="32"/>
        </w:rPr>
        <w:t>；</w:t>
      </w:r>
    </w:p>
    <w:p>
      <w:pPr>
        <w:spacing w:line="560" w:lineRule="exact"/>
        <w:ind w:firstLine="640" w:firstLineChars="200"/>
        <w:rPr>
          <w:rStyle w:val="16"/>
          <w:rFonts w:hint="eastAsia" w:ascii="方正仿宋_GBK" w:hAnsi="仿宋" w:eastAsia="方正仿宋_GBK"/>
          <w:b w:val="0"/>
          <w:bCs/>
          <w:color w:val="000000"/>
          <w:sz w:val="32"/>
          <w:szCs w:val="32"/>
        </w:rPr>
      </w:pPr>
      <w:r>
        <w:rPr>
          <w:rStyle w:val="16"/>
          <w:rFonts w:hint="eastAsia" w:ascii="方正仿宋_GBK" w:hAnsi="仿宋" w:eastAsia="方正仿宋_GBK"/>
          <w:bCs/>
          <w:color w:val="000000"/>
          <w:sz w:val="32"/>
          <w:szCs w:val="32"/>
          <w:lang w:val="en-US" w:eastAsia="zh-CN"/>
        </w:rPr>
        <w:t>7.</w:t>
      </w:r>
      <w:r>
        <w:rPr>
          <w:rStyle w:val="16"/>
          <w:rFonts w:hint="eastAsia" w:ascii="方正仿宋_GBK" w:hAnsi="仿宋" w:eastAsia="方正仿宋_GBK"/>
          <w:bCs/>
          <w:color w:val="000000"/>
          <w:sz w:val="32"/>
          <w:szCs w:val="32"/>
        </w:rPr>
        <w:t>商业服务业</w:t>
      </w:r>
      <w:r>
        <w:rPr>
          <w:rStyle w:val="16"/>
          <w:rFonts w:hint="eastAsia" w:ascii="方正仿宋_GBK" w:hAnsi="仿宋" w:eastAsia="方正仿宋_GBK"/>
          <w:bCs/>
          <w:color w:val="000000"/>
          <w:sz w:val="32"/>
          <w:szCs w:val="32"/>
          <w:lang w:eastAsia="zh-CN"/>
        </w:rPr>
        <w:t>等支出</w:t>
      </w:r>
      <w:r>
        <w:rPr>
          <w:rStyle w:val="16"/>
          <w:rFonts w:hint="eastAsia" w:ascii="方正仿宋_GBK" w:hAnsi="仿宋" w:eastAsia="方正仿宋_GBK"/>
          <w:bCs/>
          <w:color w:val="000000"/>
          <w:sz w:val="32"/>
          <w:szCs w:val="32"/>
        </w:rPr>
        <w:t>（类）商业流通事务（款）一般行政管理事务（项）: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366.78</w:t>
      </w:r>
      <w:r>
        <w:rPr>
          <w:rStyle w:val="16"/>
          <w:rFonts w:hint="eastAsia" w:ascii="方正仿宋_GBK" w:hAnsi="仿宋" w:eastAsia="方正仿宋_GBK"/>
          <w:b w:val="0"/>
          <w:bCs/>
          <w:color w:val="000000"/>
          <w:sz w:val="32"/>
          <w:szCs w:val="32"/>
        </w:rPr>
        <w:t>万元，完成预算100%。</w:t>
      </w:r>
    </w:p>
    <w:p>
      <w:pPr>
        <w:spacing w:line="560" w:lineRule="exact"/>
        <w:ind w:firstLine="640" w:firstLineChars="200"/>
        <w:rPr>
          <w:rStyle w:val="16"/>
          <w:rFonts w:hint="eastAsia" w:ascii="方正仿宋_GBK" w:hAnsi="仿宋" w:eastAsia="方正仿宋_GBK"/>
          <w:b w:val="0"/>
          <w:bCs/>
          <w:color w:val="000000"/>
          <w:sz w:val="32"/>
          <w:szCs w:val="32"/>
        </w:rPr>
      </w:pPr>
      <w:r>
        <w:rPr>
          <w:rStyle w:val="16"/>
          <w:rFonts w:hint="eastAsia" w:ascii="方正仿宋_GBK" w:hAnsi="仿宋" w:eastAsia="方正仿宋_GBK"/>
          <w:bCs/>
          <w:color w:val="000000"/>
          <w:sz w:val="32"/>
          <w:szCs w:val="32"/>
          <w:lang w:val="en-US" w:eastAsia="zh-CN"/>
        </w:rPr>
        <w:t>8</w:t>
      </w:r>
      <w:r>
        <w:rPr>
          <w:rStyle w:val="16"/>
          <w:rFonts w:hint="eastAsia" w:ascii="方正仿宋_GBK" w:hAnsi="仿宋" w:eastAsia="方正仿宋_GBK"/>
          <w:bCs/>
          <w:color w:val="000000"/>
          <w:sz w:val="32"/>
          <w:szCs w:val="32"/>
        </w:rPr>
        <w:t>.住房保障支出（类）住房改革支出（款）住房公积金（项）: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45.54</w:t>
      </w:r>
      <w:r>
        <w:rPr>
          <w:rStyle w:val="16"/>
          <w:rFonts w:hint="eastAsia" w:ascii="方正仿宋_GBK" w:hAnsi="仿宋" w:eastAsia="方正仿宋_GBK"/>
          <w:b w:val="0"/>
          <w:bCs/>
          <w:color w:val="000000"/>
          <w:sz w:val="32"/>
          <w:szCs w:val="32"/>
        </w:rPr>
        <w:t>万元，完成预算100%。</w:t>
      </w:r>
    </w:p>
    <w:p>
      <w:pPr>
        <w:pStyle w:val="6"/>
        <w:ind w:firstLine="640" w:firstLineChars="200"/>
        <w:rPr>
          <w:rFonts w:ascii="仿宋" w:hAnsi="仿宋" w:eastAsia="仿宋"/>
          <w:b/>
          <w:color w:val="auto"/>
          <w:sz w:val="32"/>
          <w:szCs w:val="32"/>
          <w:highlight w:val="none"/>
        </w:rPr>
      </w:pPr>
      <w:r>
        <w:rPr>
          <w:rStyle w:val="16"/>
          <w:rFonts w:hint="eastAsia" w:ascii="方正仿宋_GBK" w:hAnsi="仿宋" w:eastAsia="方正仿宋_GBK" w:cs="Times New Roman"/>
          <w:bCs/>
          <w:color w:val="000000"/>
          <w:kern w:val="2"/>
          <w:sz w:val="32"/>
          <w:szCs w:val="32"/>
          <w:lang w:val="en-US" w:eastAsia="zh-CN" w:bidi="ar-SA"/>
        </w:rPr>
        <w:t>9.粮油物资储备支出（类）重要商品储备（款）化肥储备（项）：</w:t>
      </w:r>
      <w:r>
        <w:rPr>
          <w:rStyle w:val="16"/>
          <w:rFonts w:hint="eastAsia" w:ascii="方正仿宋_GBK" w:hAnsi="仿宋" w:eastAsia="方正仿宋_GBK"/>
          <w:b w:val="0"/>
          <w:bCs/>
          <w:color w:val="000000"/>
          <w:sz w:val="32"/>
          <w:szCs w:val="32"/>
        </w:rPr>
        <w:t>支出决算为</w:t>
      </w:r>
      <w:r>
        <w:rPr>
          <w:rStyle w:val="16"/>
          <w:rFonts w:hint="eastAsia" w:ascii="方正仿宋_GBK" w:hAnsi="仿宋" w:eastAsia="方正仿宋_GBK"/>
          <w:b w:val="0"/>
          <w:bCs/>
          <w:color w:val="000000"/>
          <w:sz w:val="32"/>
          <w:szCs w:val="32"/>
          <w:lang w:val="en-US" w:eastAsia="zh-CN"/>
        </w:rPr>
        <w:t>74</w:t>
      </w:r>
      <w:r>
        <w:rPr>
          <w:rStyle w:val="16"/>
          <w:rFonts w:hint="eastAsia" w:ascii="方正仿宋_GBK" w:hAnsi="仿宋" w:eastAsia="方正仿宋_GBK"/>
          <w:b w:val="0"/>
          <w:bCs/>
          <w:color w:val="000000"/>
          <w:sz w:val="32"/>
          <w:szCs w:val="32"/>
        </w:rPr>
        <w:t>万元，完成预算100%。</w:t>
      </w:r>
    </w:p>
    <w:p>
      <w:pPr>
        <w:tabs>
          <w:tab w:val="right" w:pos="8306"/>
        </w:tabs>
        <w:spacing w:line="600" w:lineRule="exact"/>
        <w:ind w:firstLine="640"/>
        <w:outlineLvl w:val="1"/>
        <w:rPr>
          <w:rStyle w:val="27"/>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0"/>
      <w:bookmarkEnd w:id="41"/>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591.83</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532.49</w:t>
      </w:r>
      <w:r>
        <w:rPr>
          <w:rFonts w:hint="eastAsia" w:ascii="仿宋" w:hAnsi="仿宋" w:eastAsia="仿宋"/>
          <w:color w:val="auto"/>
          <w:sz w:val="32"/>
          <w:szCs w:val="32"/>
          <w:highlight w:val="none"/>
        </w:rPr>
        <w:t>万元，主要包括：基本工资、津贴补贴、奖金、机关事业单位基本养老保险缴费、职业年金缴费、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其他社会保障缴费、住房公积金、其他工资福利支出、抚恤金、生活补助等。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59.34</w:t>
      </w:r>
      <w:r>
        <w:rPr>
          <w:rFonts w:hint="eastAsia" w:ascii="仿宋" w:hAnsi="仿宋" w:eastAsia="仿宋"/>
          <w:color w:val="auto"/>
          <w:sz w:val="32"/>
          <w:szCs w:val="32"/>
          <w:highlight w:val="none"/>
        </w:rPr>
        <w:t>万元，主要包括：办公费、印刷费、咨询费、手续费、邮电费、差旅费、维修（护）费、租赁费、会议费、培训费、公务接待费、劳务费、工会经费、福利费、公务用车运行维护费、其他交通费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、其他商品和服务支出、办公设备购置支出等。</w:t>
      </w:r>
    </w:p>
    <w:p>
      <w:pPr>
        <w:spacing w:line="600" w:lineRule="exact"/>
        <w:ind w:firstLine="640"/>
        <w:outlineLvl w:val="1"/>
        <w:rPr>
          <w:rStyle w:val="27"/>
          <w:rFonts w:ascii="黑体" w:hAns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560" w:lineRule="exact"/>
        <w:ind w:firstLine="640"/>
        <w:rPr>
          <w:rFonts w:hint="default" w:ascii="仿宋" w:hAnsi="仿宋" w:eastAsia="仿宋"/>
          <w:b/>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3.78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94.5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方正仿宋_GBK" w:hAnsi="仿宋" w:eastAsia="方正仿宋_GBK"/>
          <w:color w:val="000000"/>
          <w:sz w:val="32"/>
          <w:szCs w:val="32"/>
        </w:rPr>
        <w:t>决算数小于预算数的主要原因是机关厉行节约，严格降低行政运行成本。</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w:t>
      </w:r>
      <w:r>
        <w:rPr>
          <w:rFonts w:hint="eastAsia" w:ascii="仿宋" w:hAnsi="仿宋" w:eastAsia="仿宋"/>
          <w:color w:val="auto"/>
          <w:sz w:val="32"/>
          <w:szCs w:val="32"/>
          <w:highlight w:val="none"/>
          <w:lang w:eastAsia="zh-CN"/>
        </w:rPr>
        <w:t>较</w:t>
      </w:r>
      <w:r>
        <w:rPr>
          <w:rFonts w:hint="eastAsia" w:ascii="仿宋" w:hAnsi="仿宋" w:eastAsia="仿宋"/>
          <w:color w:val="auto"/>
          <w:sz w:val="32"/>
          <w:szCs w:val="32"/>
          <w:highlight w:val="none"/>
          <w:lang w:val="en-US" w:eastAsia="zh-CN"/>
        </w:rPr>
        <w:t>2020年增加0.57万元，增长17.76%，主要原因是2020年受疫情影响，公务出行及公务接待频次较少。</w:t>
      </w:r>
    </w:p>
    <w:p>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w:t>
      </w:r>
      <w:r>
        <w:rPr>
          <w:rFonts w:hint="eastAsia" w:ascii="仿宋" w:hAnsi="仿宋" w:eastAsia="仿宋"/>
          <w:color w:val="auto"/>
          <w:sz w:val="32"/>
          <w:szCs w:val="32"/>
          <w:highlight w:val="none"/>
          <w:lang w:val="en-US" w:eastAsia="zh-CN"/>
        </w:rPr>
        <w:t>因公出国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经费支出0万元，年初未安排预算</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65.52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34.48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ascii="仿宋" w:hAnsi="仿宋" w:eastAsia="仿宋"/>
          <w:color w:val="auto"/>
          <w:sz w:val="32"/>
          <w:szCs w:val="32"/>
          <w:highlight w:val="none"/>
        </w:rPr>
      </w:pPr>
      <w:r>
        <w:drawing>
          <wp:anchor distT="0" distB="0" distL="114300" distR="114300" simplePos="0" relativeHeight="251669504" behindDoc="0" locked="0" layoutInCell="1" allowOverlap="1">
            <wp:simplePos x="0" y="0"/>
            <wp:positionH relativeFrom="column">
              <wp:posOffset>557530</wp:posOffset>
            </wp:positionH>
            <wp:positionV relativeFrom="paragraph">
              <wp:posOffset>245745</wp:posOffset>
            </wp:positionV>
            <wp:extent cx="4572000" cy="2743200"/>
            <wp:effectExtent l="4445" t="4445" r="14605" b="14605"/>
            <wp:wrapSquare wrapText="bothSides"/>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6"/>
        <w:rPr>
          <w:rFonts w:hint="eastAsia" w:ascii="仿宋" w:hAnsi="仿宋" w:eastAsia="仿宋"/>
          <w:color w:val="auto"/>
          <w:sz w:val="32"/>
          <w:szCs w:val="32"/>
          <w:highlight w:val="none"/>
        </w:rPr>
      </w:pPr>
    </w:p>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5"/>
      </w:pPr>
      <w:r>
        <w:rPr>
          <w:rFonts w:ascii="仿宋_GB2312" w:eastAsia="仿宋_GB2312"/>
          <w:b/>
          <w:color w:val="auto"/>
          <w:sz w:val="32"/>
          <w:szCs w:val="32"/>
          <w:highlight w:val="none"/>
        </w:rPr>
        <w:t>1.</w:t>
      </w:r>
      <w:r>
        <w:rPr>
          <w:rFonts w:hint="eastAsia" w:ascii="仿宋" w:hAnsi="仿宋" w:eastAsia="仿宋"/>
          <w:b/>
          <w:color w:val="auto"/>
          <w:sz w:val="32"/>
          <w:szCs w:val="32"/>
          <w:highlight w:val="none"/>
          <w:lang w:val="en-US" w:eastAsia="zh-CN"/>
        </w:rPr>
        <w:t>因公出国</w:t>
      </w:r>
      <w:r>
        <w:rPr>
          <w:rFonts w:hint="eastAsia" w:ascii="仿宋" w:hAnsi="仿宋" w:eastAsia="仿宋"/>
          <w:b/>
          <w:color w:val="auto"/>
          <w:sz w:val="32"/>
          <w:szCs w:val="32"/>
          <w:highlight w:val="none"/>
        </w:rPr>
        <w:t>（境）</w:t>
      </w:r>
      <w:r>
        <w:rPr>
          <w:rFonts w:hint="eastAsia" w:ascii="仿宋" w:hAnsi="仿宋" w:eastAsia="仿宋"/>
          <w:b/>
          <w:color w:val="auto"/>
          <w:sz w:val="32"/>
          <w:szCs w:val="32"/>
          <w:highlight w:val="none"/>
          <w:lang w:val="en-US" w:eastAsia="zh-CN"/>
        </w:rPr>
        <w:t>经费支出0万元，年初未安排预算,支出决算数与上年相比无变化</w:t>
      </w:r>
      <w:r>
        <w:rPr>
          <w:rStyle w:val="16"/>
          <w:rFonts w:hint="eastAsia" w:ascii="仿宋" w:hAnsi="仿宋" w:eastAsia="仿宋"/>
          <w:b w:val="0"/>
          <w:bCs/>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2.47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98.8</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0.45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22.28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s="仿宋"/>
          <w:kern w:val="0"/>
          <w:sz w:val="32"/>
          <w:szCs w:val="32"/>
          <w:lang w:val="en-US" w:eastAsia="zh-CN"/>
        </w:rPr>
        <w:t>变动的主要原因2021年疫情缓和，公务出行次数较2020年有所增加，公务用车维护及燃油等支出相应增加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56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2.47</w:t>
      </w:r>
      <w:r>
        <w:rPr>
          <w:rFonts w:hint="eastAsia" w:ascii="仿宋_GB2312" w:eastAsia="仿宋_GB2312"/>
          <w:color w:val="auto"/>
          <w:sz w:val="32"/>
          <w:szCs w:val="32"/>
          <w:highlight w:val="none"/>
        </w:rPr>
        <w:t>万元。主要用于</w:t>
      </w:r>
      <w:r>
        <w:rPr>
          <w:rFonts w:hint="eastAsia" w:ascii="方正仿宋_GBK" w:hAnsi="仿宋" w:eastAsia="方正仿宋_GBK"/>
          <w:color w:val="000000"/>
          <w:sz w:val="32"/>
          <w:szCs w:val="32"/>
        </w:rPr>
        <w:t>主要用于</w:t>
      </w:r>
      <w:r>
        <w:rPr>
          <w:rFonts w:hint="eastAsia" w:ascii="方正仿宋_GBK" w:eastAsia="方正仿宋_GBK"/>
          <w:color w:val="000000"/>
          <w:sz w:val="32"/>
          <w:szCs w:val="32"/>
        </w:rPr>
        <w:t>新型基层供销社示范工程建设、供销社综合改革、农村土地托管、扶贫帮扶等所需的公务用车燃料费</w:t>
      </w:r>
      <w:r>
        <w:rPr>
          <w:rFonts w:hint="eastAsia" w:ascii="方正仿宋_GBK" w:hAnsi="仿宋" w:eastAsia="方正仿宋_GBK"/>
          <w:color w:val="000000"/>
          <w:sz w:val="32"/>
          <w:szCs w:val="32"/>
        </w:rPr>
        <w:t>等所需的公务用车燃料费、维修费、过路过桥费、保险费等支出。</w:t>
      </w:r>
      <w:r>
        <w:rPr>
          <w:rFonts w:hint="eastAsia" w:ascii="仿宋_GB2312" w:eastAsia="仿宋_GB2312"/>
          <w:color w:val="auto"/>
          <w:sz w:val="32"/>
          <w:szCs w:val="32"/>
          <w:highlight w:val="none"/>
        </w:rPr>
        <w:t>。</w:t>
      </w:r>
    </w:p>
    <w:p>
      <w:pPr>
        <w:spacing w:line="560" w:lineRule="exact"/>
        <w:ind w:firstLine="640"/>
        <w:rPr>
          <w:rFonts w:hint="eastAsia" w:ascii="方正仿宋_GBK" w:hAnsi="仿宋" w:eastAsia="方正仿宋_GBK"/>
          <w:color w:val="000000"/>
          <w:sz w:val="32"/>
          <w:szCs w:val="32"/>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1.3</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86.67</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9.24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方正仿宋_GBK" w:eastAsia="方正仿宋_GBK"/>
          <w:color w:val="000000"/>
          <w:sz w:val="32"/>
          <w:szCs w:val="32"/>
        </w:rPr>
        <w:t>外市州供销社来广调研考察</w:t>
      </w:r>
      <w:r>
        <w:rPr>
          <w:rFonts w:hint="eastAsia" w:ascii="方正仿宋_GBK" w:eastAsia="方正仿宋_GBK"/>
          <w:color w:val="000000"/>
          <w:sz w:val="32"/>
          <w:szCs w:val="32"/>
          <w:lang w:eastAsia="zh-CN"/>
        </w:rPr>
        <w:t>次数</w:t>
      </w:r>
      <w:r>
        <w:rPr>
          <w:rFonts w:hint="eastAsia" w:ascii="方正仿宋_GBK" w:eastAsia="方正仿宋_GBK"/>
          <w:color w:val="000000"/>
          <w:sz w:val="32"/>
          <w:szCs w:val="32"/>
        </w:rPr>
        <w:t>增长</w:t>
      </w:r>
      <w:r>
        <w:rPr>
          <w:rFonts w:hint="eastAsia" w:ascii="方正仿宋_GBK" w:hAnsi="仿宋" w:eastAsia="方正仿宋_GBK"/>
          <w:color w:val="000000"/>
          <w:sz w:val="32"/>
          <w:szCs w:val="32"/>
        </w:rPr>
        <w:t>。其中：</w:t>
      </w:r>
    </w:p>
    <w:p>
      <w:pPr>
        <w:spacing w:line="560" w:lineRule="exact"/>
        <w:ind w:firstLine="640"/>
        <w:rPr>
          <w:rFonts w:hint="eastAsia" w:ascii="方正仿宋_GBK" w:eastAsia="方正仿宋_GBK"/>
          <w:sz w:val="30"/>
          <w:szCs w:val="30"/>
          <w:lang w:val="en-US" w:eastAsia="zh-CN"/>
        </w:rPr>
      </w:pPr>
      <w:r>
        <w:rPr>
          <w:rFonts w:hint="eastAsia" w:ascii="方正仿宋_GBK" w:hAnsi="仿宋" w:eastAsia="方正仿宋_GBK"/>
          <w:color w:val="000000"/>
          <w:sz w:val="32"/>
          <w:szCs w:val="32"/>
        </w:rPr>
        <w:t>国内公务接待支出1.</w:t>
      </w:r>
      <w:r>
        <w:rPr>
          <w:rFonts w:hint="eastAsia" w:ascii="方正仿宋_GBK" w:hAnsi="仿宋" w:eastAsia="方正仿宋_GBK"/>
          <w:color w:val="000000"/>
          <w:sz w:val="32"/>
          <w:szCs w:val="32"/>
          <w:lang w:val="en-US" w:eastAsia="zh-CN"/>
        </w:rPr>
        <w:t>3</w:t>
      </w:r>
      <w:r>
        <w:rPr>
          <w:rFonts w:hint="eastAsia" w:ascii="方正仿宋_GBK" w:hAnsi="仿宋" w:eastAsia="方正仿宋_GBK"/>
          <w:color w:val="000000"/>
          <w:sz w:val="32"/>
          <w:szCs w:val="32"/>
        </w:rPr>
        <w:t>万元，主要用于执行公务、开展业务活动开支的交通费、住宿费、用餐费等。国内公务接待</w:t>
      </w:r>
      <w:r>
        <w:rPr>
          <w:rFonts w:hint="eastAsia" w:ascii="方正仿宋_GBK" w:hAnsi="仿宋" w:eastAsia="方正仿宋_GBK"/>
          <w:color w:val="000000"/>
          <w:sz w:val="32"/>
          <w:szCs w:val="32"/>
          <w:lang w:val="en-US" w:eastAsia="zh-CN"/>
        </w:rPr>
        <w:t>36</w:t>
      </w:r>
      <w:r>
        <w:rPr>
          <w:rFonts w:hint="eastAsia" w:ascii="方正仿宋_GBK" w:hAnsi="仿宋" w:eastAsia="方正仿宋_GBK"/>
          <w:color w:val="000000"/>
          <w:sz w:val="32"/>
          <w:szCs w:val="32"/>
        </w:rPr>
        <w:t>批次，</w:t>
      </w:r>
      <w:r>
        <w:rPr>
          <w:rFonts w:hint="eastAsia" w:ascii="方正仿宋_GBK" w:hAnsi="仿宋" w:eastAsia="方正仿宋_GBK"/>
          <w:color w:val="000000"/>
          <w:sz w:val="32"/>
          <w:szCs w:val="32"/>
          <w:lang w:val="en-US" w:eastAsia="zh-CN"/>
        </w:rPr>
        <w:t>188</w:t>
      </w:r>
      <w:r>
        <w:rPr>
          <w:rFonts w:hint="eastAsia" w:ascii="方正仿宋_GBK" w:hAnsi="仿宋" w:eastAsia="方正仿宋_GBK"/>
          <w:color w:val="000000"/>
          <w:sz w:val="32"/>
          <w:szCs w:val="32"/>
        </w:rPr>
        <w:t>人次（不包括陪同人员），共计支出1.</w:t>
      </w:r>
      <w:r>
        <w:rPr>
          <w:rFonts w:hint="eastAsia" w:ascii="方正仿宋_GBK" w:hAnsi="仿宋" w:eastAsia="方正仿宋_GBK"/>
          <w:color w:val="000000"/>
          <w:sz w:val="32"/>
          <w:szCs w:val="32"/>
          <w:lang w:val="en-US" w:eastAsia="zh-CN"/>
        </w:rPr>
        <w:t>3</w:t>
      </w:r>
      <w:r>
        <w:rPr>
          <w:rFonts w:hint="eastAsia" w:ascii="方正仿宋_GBK" w:hAnsi="仿宋" w:eastAsia="方正仿宋_GBK"/>
          <w:color w:val="000000"/>
          <w:sz w:val="32"/>
          <w:szCs w:val="32"/>
        </w:rPr>
        <w:t>万元，具体内容包</w:t>
      </w:r>
      <w:r>
        <w:rPr>
          <w:rFonts w:hint="eastAsia" w:ascii="方正仿宋_GBK" w:eastAsia="方正仿宋_GBK"/>
          <w:sz w:val="30"/>
          <w:szCs w:val="30"/>
          <w:lang w:val="en-US" w:eastAsia="zh-CN"/>
        </w:rPr>
        <w:t>括：接待阆中市供销社来广调研支出2114元；接待泸州市供销社来广调研支出728元；接待阿坝市供销社来广调研支出1762元；接待内江市供销社来广调研支出1370元；接待南充市供销社、省社来广调研支出1318元；接待青川县供销社来广调研支出740元；接待阆中市供销社、省社来广调研支出4004元；接待绵阳市供销社来广调研支出1004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7"/>
          <w:rFonts w:ascii="黑体" w:hAnsi="黑体" w:eastAsia="黑体"/>
          <w:color w:val="auto"/>
          <w:highlight w:val="none"/>
        </w:rPr>
      </w:pPr>
      <w:bookmarkStart w:id="46" w:name="_Toc15396610"/>
      <w:bookmarkStart w:id="47" w:name="_Toc1537721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6"/>
      <w:bookmarkEnd w:id="47"/>
    </w:p>
    <w:p>
      <w:pPr>
        <w:spacing w:line="600" w:lineRule="exact"/>
        <w:ind w:firstLine="64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，未在政府性基金预算财政拨款安排“三公”经费支出</w:t>
      </w:r>
      <w:r>
        <w:rPr>
          <w:rFonts w:hint="eastAsia" w:ascii="仿宋_GB2312" w:eastAsia="仿宋_GB2312"/>
          <w:color w:val="auto"/>
          <w:sz w:val="32"/>
          <w:szCs w:val="32"/>
          <w:highlight w:val="none"/>
        </w:rPr>
        <w:t>。</w:t>
      </w:r>
    </w:p>
    <w:p>
      <w:pPr>
        <w:numPr>
          <w:ilvl w:val="0"/>
          <w:numId w:val="2"/>
        </w:numPr>
        <w:spacing w:line="600" w:lineRule="exact"/>
        <w:ind w:firstLine="640"/>
        <w:outlineLvl w:val="1"/>
        <w:rPr>
          <w:rStyle w:val="27"/>
          <w:rFonts w:ascii="黑体" w:hAnsi="黑体" w:eastAsia="黑体"/>
          <w:b w:val="0"/>
          <w:color w:val="auto"/>
          <w:highlight w:val="none"/>
        </w:rPr>
      </w:pPr>
      <w:bookmarkStart w:id="48" w:name="_Toc15396611"/>
      <w:bookmarkStart w:id="49" w:name="_Toc15377219"/>
      <w:r>
        <w:rPr>
          <w:rStyle w:val="27"/>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96612"/>
      <w:bookmarkStart w:id="51" w:name="_Toc15377221"/>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预算编制阶段，组织对基层组织建设项目</w:t>
      </w:r>
      <w:r>
        <w:rPr>
          <w:rFonts w:hint="eastAsia" w:ascii="仿宋_GB2312" w:hAnsi="仿宋_GB2312" w:eastAsia="仿宋_GB2312" w:cs="仿宋_GB2312"/>
          <w:color w:val="auto"/>
          <w:sz w:val="32"/>
          <w:szCs w:val="32"/>
          <w:highlight w:val="none"/>
          <w:lang w:eastAsia="zh-CN"/>
        </w:rPr>
        <w:t>、脱贫攻坚、废弃农膜回收网络提升改造、优质农产品销售体系建设、化肥淡季储备、综合改革资金等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广元市供销合作社联合社</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50"/>
      <w:bookmarkEnd w:id="51"/>
    </w:p>
    <w:p>
      <w:pPr>
        <w:spacing w:line="600" w:lineRule="exact"/>
        <w:ind w:firstLine="643" w:firstLineChars="200"/>
        <w:outlineLvl w:val="2"/>
        <w:rPr>
          <w:rFonts w:ascii="仿宋" w:hAnsi="仿宋" w:eastAsia="仿宋"/>
          <w:color w:val="auto"/>
          <w:sz w:val="32"/>
          <w:szCs w:val="32"/>
          <w:highlight w:val="none"/>
        </w:rPr>
      </w:pPr>
      <w:bookmarkStart w:id="52" w:name="_Toc15377222"/>
      <w:r>
        <w:rPr>
          <w:rFonts w:hint="eastAsia" w:ascii="仿宋" w:hAnsi="仿宋" w:eastAsia="仿宋"/>
          <w:b/>
          <w:color w:val="auto"/>
          <w:sz w:val="32"/>
          <w:szCs w:val="32"/>
          <w:highlight w:val="none"/>
        </w:rPr>
        <w:t>（一）机关运行经费支出情况</w:t>
      </w:r>
      <w:bookmarkEnd w:id="52"/>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广元市供销合作社联合社</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59.34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12.36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26.31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人员增多，开支增加。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广元市供销合作社联合社</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广元市供销合作社联合社</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方正仿宋_GBK" w:hAnsi="仿宋" w:eastAsia="方正仿宋_GBK"/>
          <w:color w:val="000000"/>
          <w:sz w:val="32"/>
          <w:szCs w:val="32"/>
        </w:rPr>
        <w:t>其他用车主要是</w:t>
      </w:r>
      <w:r>
        <w:rPr>
          <w:rFonts w:hint="eastAsia" w:ascii="方正仿宋_GBK" w:eastAsia="方正仿宋_GBK"/>
          <w:color w:val="000000"/>
          <w:sz w:val="32"/>
          <w:szCs w:val="32"/>
        </w:rPr>
        <w:t>用于单位日常因公外出、扶贫等</w:t>
      </w:r>
      <w:r>
        <w:rPr>
          <w:rFonts w:hint="eastAsia" w:ascii="方正仿宋_GBK" w:eastAsia="方正仿宋_GBK"/>
          <w:color w:val="000000"/>
          <w:sz w:val="32"/>
          <w:szCs w:val="32"/>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p>
    <w:p>
      <w:pPr>
        <w:pStyle w:val="6"/>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p>
    <w:p>
      <w:pPr>
        <w:pStyle w:val="6"/>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numPr>
          <w:ilvl w:val="0"/>
          <w:numId w:val="3"/>
        </w:numPr>
        <w:spacing w:line="600" w:lineRule="exact"/>
        <w:ind w:firstLine="660" w:firstLineChars="150"/>
        <w:jc w:val="center"/>
        <w:outlineLvl w:val="0"/>
        <w:rPr>
          <w:rFonts w:ascii="宋体"/>
          <w:b/>
          <w:color w:val="auto"/>
          <w:sz w:val="44"/>
          <w:szCs w:val="44"/>
          <w:highlight w:val="none"/>
        </w:rPr>
      </w:pPr>
      <w:bookmarkStart w:id="55" w:name="_Toc15396613"/>
      <w:bookmarkStart w:id="56"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5"/>
      <w:bookmarkEnd w:id="56"/>
    </w:p>
    <w:p>
      <w:pPr>
        <w:spacing w:line="600" w:lineRule="exact"/>
        <w:jc w:val="left"/>
        <w:rPr>
          <w:rFonts w:ascii="宋体"/>
          <w:b/>
          <w:color w:val="000000"/>
          <w:sz w:val="44"/>
          <w:szCs w:val="44"/>
        </w:rPr>
      </w:pPr>
    </w:p>
    <w:p>
      <w:pPr>
        <w:pStyle w:val="24"/>
        <w:spacing w:line="56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财政拨款收入：指单位从同级财政部门取得的财政预算资金。</w:t>
      </w:r>
    </w:p>
    <w:p>
      <w:pPr>
        <w:pStyle w:val="24"/>
        <w:spacing w:line="56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其他收入：指单位取得的除上述收入以外的各项收入。</w:t>
      </w:r>
    </w:p>
    <w:p>
      <w:pPr>
        <w:pStyle w:val="24"/>
        <w:spacing w:line="56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年初结转和结余：指以前年度尚未完成、结转到本年按有关规定继续使用的资金。</w:t>
      </w:r>
    </w:p>
    <w:p>
      <w:pPr>
        <w:pStyle w:val="24"/>
        <w:spacing w:line="56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年末结转和结余：指单位按有关规定结转到下年或以后年度继续使用的资金。</w:t>
      </w:r>
    </w:p>
    <w:p>
      <w:pPr>
        <w:spacing w:line="576" w:lineRule="exact"/>
        <w:ind w:firstLine="640" w:firstLineChars="200"/>
        <w:rPr>
          <w:rFonts w:hint="eastAsia" w:ascii="仿宋_GB2312" w:eastAsia="仿宋_GB2312"/>
          <w:sz w:val="32"/>
          <w:szCs w:val="32"/>
        </w:rPr>
      </w:pPr>
      <w:r>
        <w:rPr>
          <w:rFonts w:ascii="方正仿宋_GBK" w:eastAsia="方正仿宋_GBK"/>
          <w:color w:val="000000"/>
          <w:sz w:val="32"/>
          <w:szCs w:val="32"/>
        </w:rPr>
        <w:t>5.</w:t>
      </w:r>
      <w:r>
        <w:rPr>
          <w:rFonts w:hint="eastAsia" w:ascii="方正仿宋_GBK" w:eastAsia="方正仿宋_GBK"/>
          <w:color w:val="000000"/>
          <w:sz w:val="32"/>
          <w:szCs w:val="32"/>
        </w:rPr>
        <w:t>社会保障和就业</w:t>
      </w:r>
      <w:r>
        <w:rPr>
          <w:rFonts w:hint="eastAsia" w:ascii="方正仿宋_GBK" w:eastAsia="方正仿宋_GBK"/>
          <w:color w:val="000000"/>
          <w:sz w:val="32"/>
          <w:szCs w:val="32"/>
          <w:lang w:eastAsia="zh-CN"/>
        </w:rPr>
        <w:t>支出</w:t>
      </w:r>
      <w:r>
        <w:rPr>
          <w:rFonts w:hint="eastAsia" w:ascii="方正仿宋_GBK" w:eastAsia="方正仿宋_GBK"/>
          <w:color w:val="000000"/>
          <w:sz w:val="32"/>
          <w:szCs w:val="32"/>
        </w:rPr>
        <w:t>（类）行政事业单位</w:t>
      </w:r>
      <w:r>
        <w:rPr>
          <w:rFonts w:hint="eastAsia" w:ascii="方正仿宋_GBK" w:eastAsia="方正仿宋_GBK"/>
          <w:color w:val="000000"/>
          <w:sz w:val="32"/>
          <w:szCs w:val="32"/>
          <w:lang w:eastAsia="zh-CN"/>
        </w:rPr>
        <w:t>养老支出</w:t>
      </w:r>
      <w:r>
        <w:rPr>
          <w:rFonts w:hint="eastAsia" w:ascii="方正仿宋_GBK" w:eastAsia="方正仿宋_GBK"/>
          <w:color w:val="000000"/>
          <w:sz w:val="32"/>
          <w:szCs w:val="32"/>
        </w:rPr>
        <w:t>（款）机关事业单位基本养老保险缴费支出（项）：</w:t>
      </w:r>
      <w:r>
        <w:rPr>
          <w:rFonts w:hint="eastAsia" w:ascii="仿宋_GB2312" w:eastAsia="仿宋_GB2312"/>
          <w:sz w:val="32"/>
          <w:szCs w:val="32"/>
        </w:rPr>
        <w:t>指机关事业单位实施养老保险制度由单位缴纳的基本养老保险费支出。</w:t>
      </w:r>
    </w:p>
    <w:p>
      <w:pPr>
        <w:pStyle w:val="2"/>
        <w:ind w:left="0" w:leftChars="0" w:firstLine="640" w:firstLineChars="200"/>
        <w:rPr>
          <w:rFonts w:hint="eastAsia" w:eastAsia="方正仿宋_GBK"/>
          <w:lang w:eastAsia="zh-CN"/>
        </w:rPr>
      </w:pPr>
      <w:r>
        <w:rPr>
          <w:rFonts w:hint="eastAsia" w:ascii="方正仿宋_GBK" w:eastAsia="方正仿宋_GBK"/>
          <w:color w:val="000000"/>
          <w:sz w:val="32"/>
          <w:szCs w:val="32"/>
          <w:lang w:val="en-US" w:eastAsia="zh-CN"/>
        </w:rPr>
        <w:t>6.</w:t>
      </w:r>
      <w:r>
        <w:rPr>
          <w:rFonts w:hint="eastAsia" w:ascii="方正仿宋_GBK" w:eastAsia="方正仿宋_GBK"/>
          <w:color w:val="000000"/>
          <w:sz w:val="32"/>
          <w:szCs w:val="32"/>
        </w:rPr>
        <w:t>社会保障和就业</w:t>
      </w:r>
      <w:r>
        <w:rPr>
          <w:rFonts w:hint="eastAsia" w:ascii="方正仿宋_GBK" w:eastAsia="方正仿宋_GBK"/>
          <w:color w:val="000000"/>
          <w:sz w:val="32"/>
          <w:szCs w:val="32"/>
          <w:lang w:eastAsia="zh-CN"/>
        </w:rPr>
        <w:t>支出</w:t>
      </w:r>
      <w:r>
        <w:rPr>
          <w:rFonts w:hint="eastAsia" w:ascii="方正仿宋_GBK" w:eastAsia="方正仿宋_GBK"/>
          <w:color w:val="000000"/>
          <w:sz w:val="32"/>
          <w:szCs w:val="32"/>
        </w:rPr>
        <w:t>（类）行政事业单位</w:t>
      </w:r>
      <w:r>
        <w:rPr>
          <w:rFonts w:hint="eastAsia" w:ascii="方正仿宋_GBK" w:eastAsia="方正仿宋_GBK"/>
          <w:color w:val="000000"/>
          <w:sz w:val="32"/>
          <w:szCs w:val="32"/>
          <w:lang w:eastAsia="zh-CN"/>
        </w:rPr>
        <w:t>养老支出</w:t>
      </w:r>
      <w:r>
        <w:rPr>
          <w:rFonts w:hint="eastAsia" w:ascii="方正仿宋_GBK" w:eastAsia="方正仿宋_GBK"/>
          <w:color w:val="000000"/>
          <w:sz w:val="32"/>
          <w:szCs w:val="32"/>
        </w:rPr>
        <w:t>（款）</w:t>
      </w:r>
      <w:r>
        <w:rPr>
          <w:rFonts w:hint="eastAsia" w:ascii="方正仿宋_GBK" w:eastAsia="方正仿宋_GBK"/>
          <w:color w:val="000000"/>
          <w:sz w:val="32"/>
          <w:szCs w:val="32"/>
          <w:lang w:eastAsia="zh-CN"/>
        </w:rPr>
        <w:t>机关事业单位职业年金缴费支出（项）：</w:t>
      </w:r>
      <w:r>
        <w:rPr>
          <w:rFonts w:hint="eastAsia" w:ascii="仿宋_GB2312" w:eastAsia="仿宋_GB2312"/>
          <w:sz w:val="32"/>
          <w:szCs w:val="32"/>
        </w:rPr>
        <w:t>指机关事业单位实施养老保险制度由单位缴纳的</w:t>
      </w:r>
      <w:r>
        <w:rPr>
          <w:rFonts w:hint="eastAsia" w:ascii="仿宋_GB2312" w:eastAsia="仿宋_GB2312"/>
          <w:sz w:val="32"/>
          <w:szCs w:val="32"/>
          <w:lang w:eastAsia="zh-CN"/>
        </w:rPr>
        <w:t>职业年金</w:t>
      </w:r>
      <w:r>
        <w:rPr>
          <w:rFonts w:hint="eastAsia" w:ascii="仿宋_GB2312" w:eastAsia="仿宋_GB2312"/>
          <w:sz w:val="32"/>
          <w:szCs w:val="32"/>
        </w:rPr>
        <w:t>支出</w:t>
      </w:r>
    </w:p>
    <w:p>
      <w:pPr>
        <w:spacing w:line="560" w:lineRule="exact"/>
        <w:ind w:firstLine="640" w:firstLineChars="200"/>
        <w:rPr>
          <w:rFonts w:hint="eastAsia" w:ascii="方正仿宋_GBK" w:eastAsia="方正仿宋_GBK"/>
          <w:color w:val="000000"/>
          <w:sz w:val="32"/>
          <w:szCs w:val="32"/>
          <w:lang w:eastAsia="zh-CN"/>
        </w:rPr>
      </w:pPr>
      <w:r>
        <w:rPr>
          <w:rFonts w:hint="eastAsia" w:ascii="方正仿宋_GBK" w:eastAsia="方正仿宋_GBK"/>
          <w:color w:val="000000"/>
          <w:sz w:val="32"/>
          <w:szCs w:val="32"/>
          <w:lang w:val="en-US" w:eastAsia="zh-CN"/>
        </w:rPr>
        <w:t>7</w:t>
      </w:r>
      <w:r>
        <w:rPr>
          <w:rFonts w:ascii="方正仿宋_GBK" w:eastAsia="方正仿宋_GBK"/>
          <w:color w:val="000000"/>
          <w:sz w:val="32"/>
          <w:szCs w:val="32"/>
        </w:rPr>
        <w:t>.</w:t>
      </w:r>
      <w:r>
        <w:rPr>
          <w:rFonts w:hint="eastAsia" w:ascii="方正仿宋_GBK" w:eastAsia="方正仿宋_GBK"/>
          <w:color w:val="000000"/>
          <w:sz w:val="32"/>
          <w:szCs w:val="32"/>
        </w:rPr>
        <w:t>社会保障和就业</w:t>
      </w:r>
      <w:r>
        <w:rPr>
          <w:rFonts w:hint="eastAsia" w:ascii="方正仿宋_GBK" w:eastAsia="方正仿宋_GBK"/>
          <w:color w:val="000000"/>
          <w:sz w:val="32"/>
          <w:szCs w:val="32"/>
          <w:lang w:eastAsia="zh-CN"/>
        </w:rPr>
        <w:t>支出</w:t>
      </w:r>
      <w:r>
        <w:rPr>
          <w:rFonts w:hint="eastAsia" w:ascii="方正仿宋_GBK" w:eastAsia="方正仿宋_GBK"/>
          <w:color w:val="000000"/>
          <w:sz w:val="32"/>
          <w:szCs w:val="32"/>
        </w:rPr>
        <w:t>（类）抚恤（项）</w:t>
      </w:r>
      <w:r>
        <w:rPr>
          <w:rFonts w:hint="eastAsia" w:ascii="方正仿宋_GBK" w:eastAsia="方正仿宋_GBK"/>
          <w:color w:val="000000"/>
          <w:sz w:val="32"/>
          <w:szCs w:val="32"/>
          <w:lang w:eastAsia="zh-CN"/>
        </w:rPr>
        <w:t>死亡抚恤（项）：指按规定用于烈士和牺牲、病故人员家属的一次性和定期抚恤金以及丧葬补助费。</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lang w:val="en-US" w:eastAsia="zh-CN"/>
        </w:rPr>
        <w:t>8.</w:t>
      </w:r>
      <w:r>
        <w:rPr>
          <w:rFonts w:hint="eastAsia" w:ascii="方正仿宋_GBK" w:eastAsia="方正仿宋_GBK"/>
          <w:color w:val="000000"/>
          <w:sz w:val="32"/>
          <w:szCs w:val="32"/>
        </w:rPr>
        <w:t>社会保障和就业</w:t>
      </w:r>
      <w:r>
        <w:rPr>
          <w:rFonts w:hint="eastAsia" w:ascii="方正仿宋_GBK" w:eastAsia="方正仿宋_GBK"/>
          <w:color w:val="000000"/>
          <w:sz w:val="32"/>
          <w:szCs w:val="32"/>
          <w:lang w:eastAsia="zh-CN"/>
        </w:rPr>
        <w:t>支出</w:t>
      </w:r>
      <w:r>
        <w:rPr>
          <w:rFonts w:hint="eastAsia" w:ascii="方正仿宋_GBK" w:eastAsia="方正仿宋_GBK"/>
          <w:color w:val="000000"/>
          <w:sz w:val="32"/>
          <w:szCs w:val="32"/>
        </w:rPr>
        <w:t>（类）抚恤（项）伤残抚恤（类）：指</w:t>
      </w:r>
      <w:r>
        <w:rPr>
          <w:rFonts w:hint="eastAsia" w:ascii="方正仿宋_GBK" w:eastAsia="方正仿宋_GBK"/>
          <w:color w:val="000000"/>
          <w:sz w:val="32"/>
          <w:szCs w:val="32"/>
          <w:lang w:eastAsia="zh-CN"/>
        </w:rPr>
        <w:t>按规定用于伤残人员的抚恤金和按规定开支的各种伤残补助费</w:t>
      </w:r>
      <w:r>
        <w:rPr>
          <w:rFonts w:hint="eastAsia" w:ascii="方正仿宋_GBK" w:eastAsia="方正仿宋_GBK"/>
          <w:color w:val="000000"/>
          <w:sz w:val="32"/>
          <w:szCs w:val="32"/>
        </w:rPr>
        <w:t>。</w:t>
      </w:r>
    </w:p>
    <w:p>
      <w:pPr>
        <w:spacing w:line="560" w:lineRule="exact"/>
        <w:ind w:firstLine="640" w:firstLineChars="200"/>
        <w:rPr>
          <w:rFonts w:hint="eastAsia" w:ascii="方正仿宋_GBK" w:eastAsia="方正仿宋_GBK"/>
          <w:color w:val="000000"/>
          <w:sz w:val="32"/>
          <w:szCs w:val="32"/>
          <w:lang w:eastAsia="zh-CN"/>
        </w:rPr>
      </w:pPr>
      <w:r>
        <w:rPr>
          <w:rFonts w:hint="eastAsia" w:ascii="方正仿宋_GBK" w:eastAsia="方正仿宋_GBK"/>
          <w:color w:val="000000"/>
          <w:sz w:val="32"/>
          <w:szCs w:val="32"/>
          <w:lang w:val="en-US" w:eastAsia="zh-CN"/>
        </w:rPr>
        <w:t>9</w:t>
      </w:r>
      <w:r>
        <w:rPr>
          <w:rFonts w:ascii="方正仿宋_GBK" w:eastAsia="方正仿宋_GBK"/>
          <w:color w:val="000000"/>
          <w:sz w:val="32"/>
          <w:szCs w:val="32"/>
        </w:rPr>
        <w:t>.</w:t>
      </w:r>
      <w:r>
        <w:rPr>
          <w:rFonts w:hint="eastAsia" w:ascii="方正仿宋_GBK" w:eastAsia="方正仿宋_GBK"/>
          <w:color w:val="000000"/>
          <w:sz w:val="32"/>
          <w:szCs w:val="32"/>
          <w:lang w:eastAsia="zh-CN"/>
        </w:rPr>
        <w:t>卫生健康支出</w:t>
      </w:r>
      <w:r>
        <w:rPr>
          <w:rFonts w:hint="eastAsia" w:ascii="方正仿宋_GBK" w:eastAsia="方正仿宋_GBK"/>
          <w:color w:val="000000"/>
          <w:sz w:val="32"/>
          <w:szCs w:val="32"/>
        </w:rPr>
        <w:t>（类）行政事业单位医疗（款）事业单位医疗（项）：</w:t>
      </w:r>
      <w:r>
        <w:rPr>
          <w:rFonts w:hint="eastAsia" w:ascii="方正仿宋_GBK" w:eastAsia="方正仿宋_GBK"/>
          <w:color w:val="000000"/>
          <w:sz w:val="32"/>
          <w:szCs w:val="32"/>
          <w:lang w:eastAsia="zh-CN"/>
        </w:rPr>
        <w:t>指财政部门安排的事业单位基本医疗保险缴费经费，未参加医疗保险的事业单位的公费医疗经费，按国家规定享受离休人员待遇的医疗经费</w:t>
      </w:r>
    </w:p>
    <w:p>
      <w:pPr>
        <w:spacing w:line="56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lang w:val="en-US" w:eastAsia="zh-CN"/>
        </w:rPr>
        <w:t>10</w:t>
      </w:r>
      <w:r>
        <w:rPr>
          <w:rFonts w:ascii="方正仿宋_GBK" w:eastAsia="方正仿宋_GBK"/>
          <w:color w:val="000000"/>
          <w:sz w:val="32"/>
          <w:szCs w:val="32"/>
        </w:rPr>
        <w:t>.</w:t>
      </w:r>
      <w:r>
        <w:rPr>
          <w:rFonts w:hint="eastAsia" w:ascii="方正仿宋_GBK" w:eastAsia="方正仿宋_GBK"/>
          <w:color w:val="000000"/>
          <w:sz w:val="32"/>
          <w:szCs w:val="32"/>
        </w:rPr>
        <w:t>商业服务业</w:t>
      </w:r>
      <w:r>
        <w:rPr>
          <w:rFonts w:hint="eastAsia" w:ascii="方正仿宋_GBK" w:eastAsia="方正仿宋_GBK"/>
          <w:color w:val="000000"/>
          <w:sz w:val="32"/>
          <w:szCs w:val="32"/>
          <w:lang w:eastAsia="zh-CN"/>
        </w:rPr>
        <w:t>等支出</w:t>
      </w:r>
      <w:r>
        <w:rPr>
          <w:rFonts w:hint="eastAsia" w:ascii="方正仿宋_GBK" w:eastAsia="方正仿宋_GBK"/>
          <w:color w:val="000000"/>
          <w:sz w:val="32"/>
          <w:szCs w:val="32"/>
        </w:rPr>
        <w:t>（类）商业流通事务（款）行政运行（项）：</w:t>
      </w:r>
      <w:r>
        <w:rPr>
          <w:rFonts w:hint="eastAsia" w:ascii="仿宋_GB2312" w:eastAsia="仿宋_GB2312"/>
          <w:sz w:val="32"/>
          <w:szCs w:val="32"/>
        </w:rPr>
        <w:t>指行政单位（包括实行公务员管理的事业单位)的基本支出。</w:t>
      </w:r>
    </w:p>
    <w:p>
      <w:pPr>
        <w:spacing w:line="560" w:lineRule="exact"/>
        <w:ind w:firstLine="640" w:firstLineChars="200"/>
        <w:rPr>
          <w:rFonts w:hint="eastAsia" w:ascii="仿宋_GB2312" w:eastAsia="仿宋_GB2312"/>
          <w:sz w:val="32"/>
          <w:szCs w:val="32"/>
        </w:rPr>
      </w:pPr>
      <w:r>
        <w:rPr>
          <w:rFonts w:hint="eastAsia" w:ascii="方正仿宋_GBK" w:eastAsia="方正仿宋_GBK"/>
          <w:color w:val="000000"/>
          <w:sz w:val="32"/>
          <w:szCs w:val="32"/>
          <w:lang w:val="en-US" w:eastAsia="zh-CN"/>
        </w:rPr>
        <w:t>11.</w:t>
      </w:r>
      <w:r>
        <w:rPr>
          <w:rFonts w:hint="eastAsia" w:ascii="方正仿宋_GBK" w:eastAsia="方正仿宋_GBK"/>
          <w:color w:val="000000"/>
          <w:sz w:val="32"/>
          <w:szCs w:val="32"/>
        </w:rPr>
        <w:t>商业服务业</w:t>
      </w:r>
      <w:r>
        <w:rPr>
          <w:rFonts w:hint="eastAsia" w:ascii="方正仿宋_GBK" w:eastAsia="方正仿宋_GBK"/>
          <w:color w:val="000000"/>
          <w:sz w:val="32"/>
          <w:szCs w:val="32"/>
          <w:lang w:eastAsia="zh-CN"/>
        </w:rPr>
        <w:t>等支出</w:t>
      </w:r>
      <w:r>
        <w:rPr>
          <w:rFonts w:hint="eastAsia" w:ascii="方正仿宋_GBK" w:eastAsia="方正仿宋_GBK"/>
          <w:color w:val="000000"/>
          <w:sz w:val="32"/>
          <w:szCs w:val="32"/>
        </w:rPr>
        <w:t>（类）商业流通事务（款）一般行政管理事务（项）</w:t>
      </w:r>
      <w:r>
        <w:rPr>
          <w:rFonts w:hint="eastAsia" w:ascii="方正仿宋_GBK" w:eastAsia="方正仿宋_GBK"/>
          <w:color w:val="000000"/>
          <w:sz w:val="32"/>
          <w:szCs w:val="32"/>
          <w:lang w:eastAsia="zh-CN"/>
        </w:rPr>
        <w:t>：</w:t>
      </w:r>
      <w:r>
        <w:rPr>
          <w:rFonts w:hint="eastAsia" w:ascii="仿宋_GB2312" w:eastAsia="仿宋_GB2312"/>
          <w:sz w:val="32"/>
          <w:szCs w:val="32"/>
        </w:rPr>
        <w:t>指行政单位（包括实行公务员管理的事业单位)未单独设置项级科目的其他项目支出。</w:t>
      </w:r>
    </w:p>
    <w:p>
      <w:pPr>
        <w:spacing w:line="56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lang w:val="en-US" w:eastAsia="zh-CN"/>
        </w:rPr>
        <w:t>12</w:t>
      </w:r>
      <w:r>
        <w:rPr>
          <w:rFonts w:ascii="方正仿宋_GBK" w:eastAsia="方正仿宋_GBK"/>
          <w:color w:val="000000"/>
          <w:sz w:val="32"/>
          <w:szCs w:val="32"/>
        </w:rPr>
        <w:t>.</w:t>
      </w:r>
      <w:r>
        <w:rPr>
          <w:rFonts w:hint="eastAsia" w:ascii="方正仿宋_GBK" w:eastAsia="方正仿宋_GBK"/>
          <w:color w:val="000000"/>
          <w:sz w:val="32"/>
          <w:szCs w:val="32"/>
        </w:rPr>
        <w:t>住房保障支出（类）住房改革支出（款）住房公积金（项）：指单位依法对职工购买的住房公积金。</w:t>
      </w:r>
    </w:p>
    <w:p>
      <w:pPr>
        <w:pStyle w:val="2"/>
        <w:ind w:left="0" w:leftChars="0" w:firstLine="640" w:firstLineChars="200"/>
        <w:rPr>
          <w:rFonts w:hint="eastAsia" w:eastAsia="方正仿宋_GBK"/>
          <w:sz w:val="32"/>
          <w:szCs w:val="32"/>
          <w:lang w:eastAsia="zh-CN"/>
        </w:rPr>
      </w:pPr>
      <w:r>
        <w:rPr>
          <w:rFonts w:hint="eastAsia" w:ascii="方正仿宋_GBK" w:eastAsia="方正仿宋_GBK"/>
          <w:color w:val="000000"/>
          <w:sz w:val="32"/>
          <w:szCs w:val="32"/>
          <w:lang w:val="en-US" w:eastAsia="zh-CN"/>
        </w:rPr>
        <w:t>13</w:t>
      </w:r>
      <w:r>
        <w:rPr>
          <w:rFonts w:ascii="方正仿宋_GBK" w:eastAsia="方正仿宋_GBK"/>
          <w:color w:val="000000"/>
          <w:sz w:val="32"/>
          <w:szCs w:val="32"/>
        </w:rPr>
        <w:t>.</w:t>
      </w:r>
      <w:r>
        <w:rPr>
          <w:rFonts w:hint="eastAsia" w:eastAsia="方正仿宋_GBK"/>
          <w:sz w:val="32"/>
          <w:szCs w:val="32"/>
          <w:lang w:eastAsia="zh-CN"/>
        </w:rPr>
        <w:t>粮油物资储备支出（类）重要商品储备（款）化肥储备（项）：指化肥储备（包括化肥淡季商业储备、救灾化肥储备等）的有关支出。</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lang w:val="en-US" w:eastAsia="zh-CN"/>
        </w:rPr>
        <w:t>14</w:t>
      </w:r>
      <w:r>
        <w:rPr>
          <w:rFonts w:ascii="方正仿宋_GBK" w:eastAsia="方正仿宋_GBK"/>
          <w:color w:val="000000"/>
          <w:sz w:val="32"/>
          <w:szCs w:val="32"/>
        </w:rPr>
        <w:t>.</w:t>
      </w:r>
      <w:r>
        <w:rPr>
          <w:rFonts w:hint="eastAsia" w:ascii="方正仿宋_GBK" w:eastAsia="方正仿宋_GBK"/>
          <w:color w:val="000000"/>
          <w:sz w:val="32"/>
          <w:szCs w:val="32"/>
        </w:rPr>
        <w:t>基本支出：指为保障机构正常运转、完成日常工作任务而发生的人员支出和公用支出。</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lang w:val="en-US" w:eastAsia="zh-CN"/>
        </w:rPr>
        <w:t>15</w:t>
      </w:r>
      <w:r>
        <w:rPr>
          <w:rFonts w:ascii="方正仿宋_GBK" w:eastAsia="方正仿宋_GBK"/>
          <w:color w:val="000000"/>
          <w:sz w:val="32"/>
          <w:szCs w:val="32"/>
        </w:rPr>
        <w:t>.</w:t>
      </w:r>
      <w:r>
        <w:rPr>
          <w:rFonts w:hint="eastAsia" w:ascii="方正仿宋_GBK" w:eastAsia="方正仿宋_GBK"/>
          <w:color w:val="000000"/>
          <w:sz w:val="32"/>
          <w:szCs w:val="32"/>
        </w:rPr>
        <w:t>项目支出：指在基本支出之外为完成特定行政任务和事业发展目标所发生的支出。</w:t>
      </w:r>
    </w:p>
    <w:p>
      <w:pPr>
        <w:autoSpaceDE w:val="0"/>
        <w:autoSpaceDN w:val="0"/>
        <w:adjustRightInd w:val="0"/>
        <w:spacing w:line="600" w:lineRule="exact"/>
        <w:ind w:firstLine="640" w:firstLineChars="200"/>
        <w:rPr>
          <w:rFonts w:ascii="方正仿宋_GBK" w:hAnsi="Calibri" w:eastAsia="方正仿宋_GBK" w:cs="仿宋"/>
          <w:color w:val="000000"/>
          <w:sz w:val="32"/>
          <w:szCs w:val="32"/>
        </w:rPr>
      </w:pPr>
      <w:r>
        <w:rPr>
          <w:rFonts w:ascii="方正仿宋_GBK" w:hAnsi="Calibri" w:eastAsia="方正仿宋_GBK" w:cs="仿宋"/>
          <w:color w:val="000000"/>
          <w:sz w:val="32"/>
          <w:szCs w:val="32"/>
        </w:rPr>
        <w:t>1</w:t>
      </w:r>
      <w:r>
        <w:rPr>
          <w:rFonts w:hint="eastAsia" w:ascii="方正仿宋_GBK" w:hAnsi="Calibri" w:eastAsia="方正仿宋_GBK" w:cs="仿宋"/>
          <w:color w:val="000000"/>
          <w:sz w:val="32"/>
          <w:szCs w:val="32"/>
          <w:lang w:val="en-US" w:eastAsia="zh-CN"/>
        </w:rPr>
        <w:t>6</w:t>
      </w:r>
      <w:r>
        <w:rPr>
          <w:rFonts w:ascii="方正仿宋_GBK" w:hAnsi="Calibri" w:eastAsia="方正仿宋_GBK" w:cs="仿宋"/>
          <w:color w:val="000000"/>
          <w:sz w:val="32"/>
          <w:szCs w:val="32"/>
        </w:rPr>
        <w:t>.</w:t>
      </w:r>
      <w:r>
        <w:rPr>
          <w:rFonts w:hint="eastAsia" w:ascii="方正仿宋_GBK" w:hAnsi="Calibri" w:eastAsia="方正仿宋_GBK" w:cs="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ascii="方正仿宋_GBK" w:eastAsia="方正仿宋_GBK"/>
          <w:color w:val="000000"/>
          <w:sz w:val="32"/>
          <w:szCs w:val="32"/>
        </w:rPr>
      </w:pPr>
      <w:r>
        <w:rPr>
          <w:rFonts w:ascii="方正仿宋_GBK" w:hAnsi="Calibri" w:eastAsia="方正仿宋_GBK" w:cs="仿宋"/>
          <w:color w:val="000000"/>
          <w:sz w:val="32"/>
          <w:szCs w:val="32"/>
        </w:rPr>
        <w:t>1</w:t>
      </w:r>
      <w:r>
        <w:rPr>
          <w:rFonts w:hint="eastAsia" w:ascii="方正仿宋_GBK" w:hAnsi="Calibri" w:eastAsia="方正仿宋_GBK" w:cs="仿宋"/>
          <w:color w:val="000000"/>
          <w:sz w:val="32"/>
          <w:szCs w:val="32"/>
          <w:lang w:val="en-US" w:eastAsia="zh-CN"/>
        </w:rPr>
        <w:t>7</w:t>
      </w:r>
      <w:r>
        <w:rPr>
          <w:rFonts w:ascii="方正仿宋_GBK" w:hAnsi="Calibri" w:eastAsia="方正仿宋_GBK" w:cs="仿宋"/>
          <w:color w:val="000000"/>
          <w:sz w:val="32"/>
          <w:szCs w:val="32"/>
        </w:rPr>
        <w:t>.</w:t>
      </w:r>
      <w:r>
        <w:rPr>
          <w:rFonts w:hint="eastAsia" w:ascii="方正仿宋_GBK" w:hAnsi="Calibri" w:eastAsia="方正仿宋_GBK" w:cs="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ind w:firstLine="640"/>
        <w:rPr>
          <w:rFonts w:ascii="仿宋" w:hAnsi="仿宋" w:eastAsia="仿宋"/>
          <w:b/>
          <w:color w:val="auto"/>
          <w:sz w:val="32"/>
          <w:szCs w:val="32"/>
          <w:highlight w:val="none"/>
        </w:rPr>
      </w:pPr>
      <w:r>
        <w:rPr>
          <w:rFonts w:ascii="宋体"/>
          <w:b/>
          <w:color w:val="000000"/>
          <w:sz w:val="44"/>
          <w:szCs w:val="44"/>
        </w:rPr>
        <w:br w:type="page"/>
      </w: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6"/>
          <w:rFonts w:hint="eastAsia" w:ascii="黑体" w:hAnsi="黑体" w:eastAsia="黑体"/>
          <w:b w:val="0"/>
          <w:color w:val="auto"/>
          <w:highlight w:val="none"/>
          <w:lang w:eastAsia="zh-CN"/>
        </w:rPr>
      </w:pPr>
      <w:bookmarkStart w:id="57" w:name="_Toc15396614"/>
      <w:bookmarkStart w:id="58" w:name="_Toc15377226"/>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spacing w:line="600" w:lineRule="exact"/>
        <w:jc w:val="center"/>
        <w:rPr>
          <w:rFonts w:hint="eastAsia" w:ascii="方正小标宋_GBK" w:hAnsi="宋体" w:eastAsia="方正小标宋_GBK"/>
          <w:b/>
          <w:color w:val="000000"/>
          <w:kern w:val="0"/>
          <w:sz w:val="44"/>
          <w:szCs w:val="44"/>
        </w:rPr>
      </w:pPr>
      <w:r>
        <w:rPr>
          <w:rFonts w:hint="eastAsia" w:ascii="方正小标宋_GBK" w:hAnsi="宋体" w:eastAsia="方正小标宋_GBK"/>
          <w:b/>
          <w:color w:val="000000"/>
          <w:kern w:val="0"/>
          <w:sz w:val="44"/>
          <w:szCs w:val="44"/>
        </w:rPr>
        <w:t>广元市供销合作社联合社</w:t>
      </w:r>
    </w:p>
    <w:p>
      <w:pPr>
        <w:spacing w:line="600" w:lineRule="exact"/>
        <w:jc w:val="center"/>
        <w:rPr>
          <w:rFonts w:hint="eastAsia" w:ascii="方正小标宋_GBK" w:hAnsi="宋体" w:eastAsia="方正小标宋_GBK" w:cs="宋体"/>
          <w:b/>
          <w:color w:val="000000"/>
          <w:kern w:val="0"/>
          <w:sz w:val="44"/>
          <w:szCs w:val="44"/>
          <w:shd w:val="clear" w:color="auto" w:fill="FFFFFF"/>
        </w:rPr>
      </w:pPr>
      <w:r>
        <w:rPr>
          <w:rFonts w:hint="eastAsia" w:ascii="方正小标宋_GBK" w:hAnsi="宋体" w:eastAsia="方正小标宋_GBK"/>
          <w:b/>
          <w:color w:val="000000"/>
          <w:kern w:val="0"/>
          <w:sz w:val="44"/>
          <w:szCs w:val="44"/>
        </w:rPr>
        <w:t>202</w:t>
      </w:r>
      <w:r>
        <w:rPr>
          <w:rFonts w:hint="eastAsia" w:ascii="方正小标宋_GBK" w:hAnsi="宋体" w:eastAsia="方正小标宋_GBK"/>
          <w:b/>
          <w:color w:val="000000"/>
          <w:kern w:val="0"/>
          <w:sz w:val="44"/>
          <w:szCs w:val="44"/>
          <w:lang w:val="en-US" w:eastAsia="zh-CN"/>
        </w:rPr>
        <w:t>2</w:t>
      </w:r>
      <w:r>
        <w:rPr>
          <w:rFonts w:hint="eastAsia" w:ascii="方正小标宋_GBK" w:hAnsi="宋体" w:eastAsia="方正小标宋_GBK"/>
          <w:b/>
          <w:color w:val="000000"/>
          <w:kern w:val="0"/>
          <w:sz w:val="44"/>
          <w:szCs w:val="44"/>
        </w:rPr>
        <w:t>年部门</w:t>
      </w:r>
      <w:r>
        <w:rPr>
          <w:rFonts w:hint="eastAsia" w:ascii="方正小标宋_GBK" w:hAnsi="宋体" w:eastAsia="方正小标宋_GBK"/>
          <w:b/>
          <w:color w:val="000000"/>
          <w:kern w:val="0"/>
          <w:sz w:val="44"/>
          <w:szCs w:val="44"/>
          <w:lang w:val="zh-CN"/>
        </w:rPr>
        <w:t>整体支出绩效评价报告</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76" w:lineRule="exact"/>
        <w:ind w:firstLine="640" w:firstLineChars="200"/>
        <w:contextualSpacing/>
        <w:jc w:val="left"/>
        <w:rPr>
          <w:rFonts w:hint="eastAsia"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（一）机构组成</w:t>
      </w:r>
    </w:p>
    <w:p>
      <w:pPr>
        <w:widowControl/>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方正仿宋_GBK" w:hAnsi="宋体" w:eastAsia="方正仿宋_GBK" w:cs="宋体"/>
          <w:color w:val="000000"/>
          <w:kern w:val="0"/>
          <w:sz w:val="32"/>
          <w:szCs w:val="32"/>
          <w:shd w:val="clear" w:color="auto" w:fill="FFFFFF"/>
          <w:lang w:val="zh-CN"/>
        </w:rPr>
        <w:t>广元市供销合作社联合社是参照公务员法管理的事业单位，下属无二级单位。</w:t>
      </w:r>
    </w:p>
    <w:p>
      <w:pPr>
        <w:widowControl/>
        <w:adjustRightInd w:val="0"/>
        <w:snapToGrid w:val="0"/>
        <w:spacing w:line="576" w:lineRule="exact"/>
        <w:ind w:firstLine="640" w:firstLineChars="200"/>
        <w:contextualSpacing/>
        <w:jc w:val="left"/>
        <w:rPr>
          <w:rFonts w:hint="eastAsia"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（二）机构职能</w:t>
      </w:r>
    </w:p>
    <w:p>
      <w:pPr>
        <w:spacing w:line="576" w:lineRule="exact"/>
        <w:ind w:firstLine="640" w:firstLineChars="200"/>
        <w:rPr>
          <w:rFonts w:ascii="方正仿宋_GBK" w:hAnsi="微软雅黑" w:eastAsia="方正仿宋_GBK" w:cs="微软雅黑"/>
          <w:color w:val="000000"/>
          <w:sz w:val="32"/>
          <w:szCs w:val="32"/>
          <w:shd w:val="clear" w:color="auto" w:fill="FFFFFF"/>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1</w:t>
      </w:r>
      <w:r>
        <w:rPr>
          <w:rFonts w:hint="eastAsia" w:ascii="方正仿宋_GBK" w:hAnsi="微软雅黑" w:eastAsia="方正仿宋_GBK" w:cs="微软雅黑"/>
          <w:color w:val="000000"/>
          <w:sz w:val="32"/>
          <w:szCs w:val="32"/>
          <w:shd w:val="clear" w:color="auto" w:fill="FFFFFF"/>
        </w:rPr>
        <w:t>）宣传贯彻落实中央、省、市有关农村经济工作和社会发展的方针、政策和决策部署。</w:t>
      </w:r>
    </w:p>
    <w:p>
      <w:pPr>
        <w:spacing w:line="576" w:lineRule="exact"/>
        <w:ind w:firstLine="640" w:firstLineChars="200"/>
        <w:rPr>
          <w:rFonts w:ascii="方正仿宋_GBK" w:hAnsi="微软雅黑" w:eastAsia="方正仿宋_GBK" w:cs="微软雅黑"/>
          <w:color w:val="000000"/>
          <w:sz w:val="32"/>
          <w:szCs w:val="32"/>
          <w:shd w:val="clear" w:color="auto" w:fill="FFFFFF"/>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2</w:t>
      </w:r>
      <w:r>
        <w:rPr>
          <w:rFonts w:hint="eastAsia" w:ascii="方正仿宋_GBK" w:hAnsi="微软雅黑" w:eastAsia="方正仿宋_GBK" w:cs="微软雅黑"/>
          <w:color w:val="000000"/>
          <w:sz w:val="32"/>
          <w:szCs w:val="32"/>
          <w:shd w:val="clear" w:color="auto" w:fill="FFFFFF"/>
        </w:rPr>
        <w:t>）研究制定全市供销合作社发展规划；指导全市供销合作社的综合改革和高质量发展，加快体制、机制创新，探索社会主义市场经济条件下合作经济的多种实现形式。</w:t>
      </w:r>
    </w:p>
    <w:p>
      <w:pPr>
        <w:spacing w:line="576" w:lineRule="exact"/>
        <w:ind w:firstLine="640" w:firstLineChars="200"/>
        <w:rPr>
          <w:rFonts w:ascii="方正仿宋_GBK" w:hAnsi="微软雅黑" w:eastAsia="方正仿宋_GBK" w:cs="微软雅黑"/>
          <w:color w:val="000000"/>
          <w:sz w:val="32"/>
          <w:szCs w:val="32"/>
          <w:shd w:val="clear" w:color="auto" w:fill="FFFFFF"/>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3</w:t>
      </w:r>
      <w:r>
        <w:rPr>
          <w:rFonts w:hint="eastAsia" w:ascii="方正仿宋_GBK" w:hAnsi="微软雅黑" w:eastAsia="方正仿宋_GBK" w:cs="微软雅黑"/>
          <w:color w:val="000000"/>
          <w:sz w:val="32"/>
          <w:szCs w:val="32"/>
          <w:shd w:val="clear" w:color="auto" w:fill="FFFFFF"/>
        </w:rPr>
        <w:t>）承担对重要农业生产资料、废旧物资、农副产品的经营管理工作；参与组织、储备、调运有关救灾物资工</w:t>
      </w:r>
      <w:r>
        <w:rPr>
          <w:rFonts w:hint="eastAsia" w:ascii="方正仿宋_GBK" w:hAnsi="微软雅黑" w:eastAsia="方正仿宋_GBK" w:cs="微软雅黑"/>
          <w:color w:val="000000"/>
          <w:sz w:val="32"/>
          <w:szCs w:val="32"/>
          <w:shd w:val="clear" w:color="auto" w:fill="FFFFFF"/>
          <w:lang w:eastAsia="zh-CN"/>
        </w:rPr>
        <w:t>作</w:t>
      </w:r>
      <w:r>
        <w:rPr>
          <w:rFonts w:hint="eastAsia" w:ascii="方正仿宋_GBK" w:hAnsi="微软雅黑" w:eastAsia="方正仿宋_GBK" w:cs="微软雅黑"/>
          <w:color w:val="000000"/>
          <w:sz w:val="32"/>
          <w:szCs w:val="32"/>
          <w:shd w:val="clear" w:color="auto" w:fill="FFFFFF"/>
        </w:rPr>
        <w:t>。</w:t>
      </w:r>
    </w:p>
    <w:p>
      <w:pPr>
        <w:spacing w:line="576" w:lineRule="exact"/>
        <w:ind w:firstLine="640" w:firstLineChars="200"/>
        <w:rPr>
          <w:rFonts w:ascii="??_GB2312" w:hAnsi="宋体" w:eastAsia="Times New Roman"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4</w:t>
      </w:r>
      <w:r>
        <w:rPr>
          <w:rFonts w:hint="eastAsia" w:ascii="方正仿宋_GBK" w:hAnsi="微软雅黑" w:eastAsia="方正仿宋_GBK" w:cs="微软雅黑"/>
          <w:color w:val="000000"/>
          <w:sz w:val="32"/>
          <w:szCs w:val="32"/>
          <w:shd w:val="clear" w:color="auto" w:fill="FFFFFF"/>
        </w:rPr>
        <w:t>）协调同政府有关部门、社会组织的关系，研究扶持农村合作经济发展的政策性建议，了解、反映农民群众和农村新型经营主体的意见和要求，维护农民合作经济组织的合法权益。</w:t>
      </w:r>
    </w:p>
    <w:p>
      <w:pPr>
        <w:spacing w:line="576" w:lineRule="exact"/>
        <w:ind w:firstLine="640" w:firstLineChars="200"/>
        <w:rPr>
          <w:rFonts w:ascii="??_GB2312" w:hAnsi="宋体" w:eastAsia="Times New Roman"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5</w:t>
      </w:r>
      <w:r>
        <w:rPr>
          <w:rFonts w:hint="eastAsia" w:ascii="方正仿宋_GBK" w:hAnsi="微软雅黑" w:eastAsia="方正仿宋_GBK" w:cs="微软雅黑"/>
          <w:color w:val="000000"/>
          <w:sz w:val="32"/>
          <w:szCs w:val="32"/>
          <w:shd w:val="clear" w:color="auto" w:fill="FFFFFF"/>
        </w:rPr>
        <w:t>）服务乡村振兴战略。指导全市供销社系统推进农业农村现代化建设，促进一二三产业融合发展；发挥供销社行业特点全力做好脱贫攻坚，参与农村人居环境整治农业面源污染治理和先进乡镇和示范村建设，构建农村现代流通体系，推动小农户与现代农业有机衔接，指导农村金融互助、消费、生产、供销等合作社发展，帮助农民提高收入水平。</w:t>
      </w:r>
    </w:p>
    <w:p>
      <w:pPr>
        <w:spacing w:line="576" w:lineRule="exact"/>
        <w:ind w:firstLine="640" w:firstLineChars="200"/>
        <w:rPr>
          <w:rFonts w:ascii="??_GB2312" w:hAnsi="宋体" w:eastAsia="Times New Roman"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6</w:t>
      </w:r>
      <w:r>
        <w:rPr>
          <w:rFonts w:hint="eastAsia" w:ascii="方正仿宋_GBK" w:hAnsi="微软雅黑" w:eastAsia="方正仿宋_GBK" w:cs="微软雅黑"/>
          <w:color w:val="000000"/>
          <w:sz w:val="32"/>
          <w:szCs w:val="32"/>
          <w:shd w:val="clear" w:color="auto" w:fill="FFFFFF"/>
        </w:rPr>
        <w:t>）围绕建立和完善农业社会化服务体系，做好农业、农村、农民服务工作，指导发展土地托管、电子商务、农村现代物流等新型业务，引导农民发展商品生产，搞活农村商品流通。</w:t>
      </w:r>
    </w:p>
    <w:p>
      <w:pPr>
        <w:spacing w:line="576" w:lineRule="exact"/>
        <w:ind w:firstLine="640" w:firstLineChars="200"/>
        <w:rPr>
          <w:rFonts w:ascii="??_GB2312" w:hAnsi="宋体" w:eastAsia="Times New Roman"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7</w:t>
      </w:r>
      <w:r>
        <w:rPr>
          <w:rFonts w:hint="eastAsia" w:ascii="方正仿宋_GBK" w:hAnsi="微软雅黑" w:eastAsia="方正仿宋_GBK" w:cs="微软雅黑"/>
          <w:color w:val="000000"/>
          <w:sz w:val="32"/>
          <w:szCs w:val="32"/>
          <w:shd w:val="clear" w:color="auto" w:fill="FFFFFF"/>
        </w:rPr>
        <w:t>）指导全市供销社系统组织建设，发展新型基层供销合作社，密切与农民利益联系，组织发展农民专业合作社、农村社区综合服务社等农村基层经营服务组织，发挥联合合作优势。</w:t>
      </w:r>
    </w:p>
    <w:p>
      <w:pPr>
        <w:spacing w:line="576" w:lineRule="exact"/>
        <w:ind w:firstLine="640" w:firstLineChars="200"/>
        <w:rPr>
          <w:rFonts w:ascii="??_GB2312" w:hAnsi="宋体" w:eastAsia="Times New Roman"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8</w:t>
      </w:r>
      <w:r>
        <w:rPr>
          <w:rFonts w:hint="eastAsia" w:ascii="方正仿宋_GBK" w:hAnsi="微软雅黑" w:eastAsia="方正仿宋_GBK" w:cs="微软雅黑"/>
          <w:color w:val="000000"/>
          <w:sz w:val="32"/>
          <w:szCs w:val="32"/>
          <w:shd w:val="clear" w:color="auto" w:fill="FFFFFF"/>
        </w:rPr>
        <w:t>）监督和管理社有资产，把握社有企业发展方向。履行本级社社有资产出资人代表职责，优化社有资本布局，促进社有资产保值增值。</w:t>
      </w:r>
    </w:p>
    <w:p>
      <w:pPr>
        <w:spacing w:line="576" w:lineRule="exact"/>
        <w:ind w:firstLine="640" w:firstLineChars="200"/>
        <w:rPr>
          <w:rFonts w:ascii="??_GB2312" w:hAnsi="宋体" w:eastAsia="Times New Roman"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9</w:t>
      </w:r>
      <w:r>
        <w:rPr>
          <w:rFonts w:hint="eastAsia" w:ascii="方正仿宋_GBK" w:hAnsi="微软雅黑" w:eastAsia="方正仿宋_GBK" w:cs="微软雅黑"/>
          <w:color w:val="000000"/>
          <w:sz w:val="32"/>
          <w:szCs w:val="32"/>
          <w:shd w:val="clear" w:color="auto" w:fill="FFFFFF"/>
        </w:rPr>
        <w:t>）发挥合作经济组织联合会作用，参与、协调农村合作经济组织技术交流与对外合作工作。</w:t>
      </w:r>
    </w:p>
    <w:p>
      <w:pPr>
        <w:widowControl/>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方正仿宋_GBK" w:hAnsi="微软雅黑" w:eastAsia="方正仿宋_GBK" w:cs="微软雅黑"/>
          <w:color w:val="000000"/>
          <w:sz w:val="32"/>
          <w:szCs w:val="32"/>
          <w:shd w:val="clear" w:color="auto" w:fill="FFFFFF"/>
        </w:rPr>
        <w:t>（</w:t>
      </w:r>
      <w:r>
        <w:rPr>
          <w:rFonts w:ascii="方正仿宋_GBK" w:hAnsi="微软雅黑" w:eastAsia="方正仿宋_GBK" w:cs="微软雅黑"/>
          <w:color w:val="000000"/>
          <w:sz w:val="32"/>
          <w:szCs w:val="32"/>
          <w:shd w:val="clear" w:color="auto" w:fill="FFFFFF"/>
        </w:rPr>
        <w:t>10</w:t>
      </w:r>
      <w:r>
        <w:rPr>
          <w:rFonts w:hint="eastAsia" w:ascii="方正仿宋_GBK" w:hAnsi="微软雅黑" w:eastAsia="方正仿宋_GBK" w:cs="微软雅黑"/>
          <w:color w:val="000000"/>
          <w:sz w:val="32"/>
          <w:szCs w:val="32"/>
          <w:shd w:val="clear" w:color="auto" w:fill="FFFFFF"/>
        </w:rPr>
        <w:t>）完成市委、市政府交办的其他任务。</w:t>
      </w:r>
    </w:p>
    <w:p>
      <w:pPr>
        <w:widowControl/>
        <w:adjustRightInd w:val="0"/>
        <w:snapToGrid w:val="0"/>
        <w:spacing w:line="576" w:lineRule="exact"/>
        <w:ind w:firstLine="640" w:firstLineChars="200"/>
        <w:contextualSpacing/>
        <w:jc w:val="left"/>
        <w:rPr>
          <w:rFonts w:hint="eastAsia"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（三）人员概况</w:t>
      </w:r>
    </w:p>
    <w:p>
      <w:pPr>
        <w:widowControl/>
        <w:adjustRightInd w:val="0"/>
        <w:snapToGrid w:val="0"/>
        <w:spacing w:line="576" w:lineRule="exact"/>
        <w:ind w:firstLine="640" w:firstLineChars="200"/>
        <w:contextualSpacing/>
        <w:jc w:val="left"/>
        <w:rPr>
          <w:rFonts w:hint="eastAsia"/>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rPr>
        <w:t>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年年末，机关编制2</w:t>
      </w: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个，其中：参公管理法管理人员2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个，工勤人员3个。年末单位实际人数2</w:t>
      </w: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人。</w:t>
      </w: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0" w:firstLineChars="200"/>
        <w:contextualSpacing/>
        <w:jc w:val="left"/>
        <w:rPr>
          <w:rFonts w:hint="eastAsia"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202</w:t>
      </w:r>
      <w:r>
        <w:rPr>
          <w:rFonts w:hint="eastAsia" w:ascii="方正仿宋_GBK" w:hAnsi="仿宋" w:eastAsia="方正仿宋_GBK"/>
          <w:color w:val="000000"/>
          <w:sz w:val="32"/>
          <w:szCs w:val="32"/>
          <w:lang w:val="en-US" w:eastAsia="zh-CN"/>
        </w:rPr>
        <w:t>1</w:t>
      </w:r>
      <w:r>
        <w:rPr>
          <w:rFonts w:hint="eastAsia" w:ascii="方正仿宋_GBK" w:hAnsi="仿宋" w:eastAsia="方正仿宋_GBK"/>
          <w:color w:val="000000"/>
          <w:sz w:val="32"/>
          <w:szCs w:val="32"/>
        </w:rPr>
        <w:t>年度收入总计</w:t>
      </w:r>
      <w:r>
        <w:rPr>
          <w:rFonts w:hint="eastAsia" w:ascii="方正仿宋_GBK" w:hAnsi="仿宋" w:eastAsia="方正仿宋_GBK"/>
          <w:color w:val="000000"/>
          <w:sz w:val="32"/>
          <w:szCs w:val="32"/>
          <w:lang w:val="en-US" w:eastAsia="zh-CN"/>
        </w:rPr>
        <w:t>1033.07</w:t>
      </w:r>
      <w:r>
        <w:rPr>
          <w:rFonts w:hint="eastAsia" w:ascii="方正仿宋_GBK" w:hAnsi="仿宋" w:eastAsia="方正仿宋_GBK"/>
          <w:color w:val="000000"/>
          <w:sz w:val="32"/>
          <w:szCs w:val="32"/>
        </w:rPr>
        <w:t>万元。与</w:t>
      </w:r>
      <w:r>
        <w:rPr>
          <w:rFonts w:hint="eastAsia" w:ascii="方正仿宋_GBK" w:hAnsi="仿宋" w:eastAsia="方正仿宋_GBK"/>
          <w:color w:val="000000"/>
          <w:sz w:val="32"/>
          <w:szCs w:val="32"/>
          <w:lang w:val="en-US" w:eastAsia="zh-CN"/>
        </w:rPr>
        <w:t>2020</w:t>
      </w:r>
      <w:r>
        <w:rPr>
          <w:rFonts w:hint="eastAsia" w:ascii="方正仿宋_GBK" w:hAnsi="仿宋" w:eastAsia="方正仿宋_GBK"/>
          <w:color w:val="000000"/>
          <w:sz w:val="32"/>
          <w:szCs w:val="32"/>
        </w:rPr>
        <w:t>年相比，收入总计</w:t>
      </w:r>
      <w:r>
        <w:rPr>
          <w:rFonts w:hint="eastAsia" w:ascii="方正仿宋_GBK" w:hAnsi="仿宋" w:eastAsia="方正仿宋_GBK"/>
          <w:color w:val="000000"/>
          <w:sz w:val="32"/>
          <w:szCs w:val="32"/>
          <w:lang w:eastAsia="zh-CN"/>
        </w:rPr>
        <w:t>增加</w:t>
      </w:r>
      <w:r>
        <w:rPr>
          <w:rFonts w:hint="eastAsia" w:ascii="方正仿宋_GBK" w:hAnsi="仿宋" w:eastAsia="方正仿宋_GBK"/>
          <w:color w:val="000000"/>
          <w:sz w:val="32"/>
          <w:szCs w:val="32"/>
          <w:lang w:val="en-US" w:eastAsia="zh-CN"/>
        </w:rPr>
        <w:t>487.05</w:t>
      </w:r>
      <w:r>
        <w:rPr>
          <w:rFonts w:hint="eastAsia" w:ascii="方正仿宋_GBK" w:hAnsi="仿宋" w:eastAsia="方正仿宋_GBK"/>
          <w:color w:val="000000"/>
          <w:sz w:val="32"/>
          <w:szCs w:val="32"/>
        </w:rPr>
        <w:t>万元，</w:t>
      </w:r>
      <w:r>
        <w:rPr>
          <w:rFonts w:hint="eastAsia" w:ascii="方正仿宋_GBK" w:hAnsi="仿宋" w:eastAsia="方正仿宋_GBK"/>
          <w:color w:val="000000"/>
          <w:sz w:val="32"/>
          <w:szCs w:val="32"/>
          <w:lang w:eastAsia="zh-CN"/>
        </w:rPr>
        <w:t>增加</w:t>
      </w:r>
      <w:r>
        <w:rPr>
          <w:rFonts w:hint="eastAsia" w:ascii="方正仿宋_GBK" w:hAnsi="仿宋" w:eastAsia="方正仿宋_GBK"/>
          <w:color w:val="000000"/>
          <w:sz w:val="32"/>
          <w:szCs w:val="32"/>
          <w:lang w:val="en-US" w:eastAsia="zh-CN"/>
        </w:rPr>
        <w:t>89.2</w:t>
      </w:r>
      <w:r>
        <w:rPr>
          <w:rFonts w:hint="eastAsia" w:ascii="方正仿宋_GBK" w:hAnsi="仿宋" w:eastAsia="方正仿宋_GBK"/>
          <w:color w:val="000000"/>
          <w:sz w:val="32"/>
          <w:szCs w:val="32"/>
        </w:rPr>
        <w:t>%。</w:t>
      </w:r>
    </w:p>
    <w:p>
      <w:pPr>
        <w:widowControl/>
        <w:adjustRightInd w:val="0"/>
        <w:snapToGrid w:val="0"/>
        <w:spacing w:line="576" w:lineRule="exact"/>
        <w:ind w:firstLine="640" w:firstLineChars="200"/>
        <w:contextualSpacing/>
        <w:jc w:val="left"/>
        <w:rPr>
          <w:rFonts w:hint="eastAsia"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（二）部门财政资金支出情况</w:t>
      </w:r>
    </w:p>
    <w:p>
      <w:pPr>
        <w:spacing w:line="576" w:lineRule="exact"/>
        <w:ind w:firstLine="645"/>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202</w:t>
      </w:r>
      <w:r>
        <w:rPr>
          <w:rFonts w:hint="eastAsia" w:ascii="方正仿宋_GBK" w:hAnsi="仿宋" w:eastAsia="方正仿宋_GBK"/>
          <w:color w:val="000000"/>
          <w:sz w:val="32"/>
          <w:szCs w:val="32"/>
          <w:lang w:val="en-US" w:eastAsia="zh-CN"/>
        </w:rPr>
        <w:t>1</w:t>
      </w:r>
      <w:r>
        <w:rPr>
          <w:rFonts w:hint="eastAsia" w:ascii="方正仿宋_GBK" w:hAnsi="仿宋" w:eastAsia="方正仿宋_GBK"/>
          <w:color w:val="000000"/>
          <w:sz w:val="32"/>
          <w:szCs w:val="32"/>
        </w:rPr>
        <w:t>年本年支出合计</w:t>
      </w:r>
      <w:r>
        <w:rPr>
          <w:rFonts w:hint="eastAsia" w:ascii="方正仿宋_GBK" w:hAnsi="仿宋" w:eastAsia="方正仿宋_GBK"/>
          <w:color w:val="000000"/>
          <w:sz w:val="32"/>
          <w:szCs w:val="32"/>
          <w:lang w:val="en-US" w:eastAsia="zh-CN"/>
        </w:rPr>
        <w:t>1032.61</w:t>
      </w:r>
      <w:r>
        <w:rPr>
          <w:rFonts w:hint="eastAsia" w:ascii="方正仿宋_GBK" w:hAnsi="仿宋" w:eastAsia="方正仿宋_GBK"/>
          <w:color w:val="000000"/>
          <w:sz w:val="32"/>
          <w:szCs w:val="32"/>
        </w:rPr>
        <w:t>万元，其中：</w:t>
      </w:r>
    </w:p>
    <w:p>
      <w:pPr>
        <w:spacing w:line="576" w:lineRule="exact"/>
        <w:ind w:firstLine="645"/>
        <w:rPr>
          <w:rFonts w:hint="eastAsia" w:ascii="方正仿宋_GBK" w:hAnsi="仿宋" w:eastAsia="方正仿宋_GBK"/>
          <w:b/>
          <w:color w:val="FF0000"/>
          <w:sz w:val="32"/>
          <w:szCs w:val="32"/>
        </w:rPr>
      </w:pPr>
      <w:r>
        <w:rPr>
          <w:rFonts w:hint="eastAsia" w:ascii="方正仿宋_GBK" w:hAnsi="仿宋" w:eastAsia="方正仿宋_GBK"/>
          <w:color w:val="000000"/>
          <w:sz w:val="32"/>
          <w:szCs w:val="32"/>
        </w:rPr>
        <w:t>人员经费</w:t>
      </w:r>
      <w:r>
        <w:rPr>
          <w:rFonts w:hint="eastAsia" w:ascii="方正仿宋_GBK" w:hAnsi="仿宋" w:eastAsia="方正仿宋_GBK"/>
          <w:color w:val="000000"/>
          <w:sz w:val="32"/>
          <w:szCs w:val="32"/>
          <w:lang w:val="en-US" w:eastAsia="zh-CN"/>
        </w:rPr>
        <w:t>530.34</w:t>
      </w:r>
      <w:r>
        <w:rPr>
          <w:rFonts w:hint="eastAsia" w:ascii="方正仿宋_GBK" w:hAnsi="仿宋" w:eastAsia="方正仿宋_GBK"/>
          <w:color w:val="000000"/>
          <w:sz w:val="32"/>
          <w:szCs w:val="32"/>
        </w:rPr>
        <w:t>万元，主要包括：基本工资、津贴补贴、奖金、机关事业单位基本养老保险缴费、职工基本医疗保险缴费、其他工资福利支出、抚恤金、生活补助、住房公积金等。</w:t>
      </w:r>
      <w:r>
        <w:rPr>
          <w:rFonts w:hint="eastAsia" w:ascii="方正仿宋_GBK" w:hAnsi="仿宋" w:eastAsia="方正仿宋_GBK"/>
          <w:color w:val="000000"/>
          <w:sz w:val="32"/>
          <w:szCs w:val="32"/>
        </w:rPr>
        <w:br w:type="textWrapping"/>
      </w:r>
      <w:r>
        <w:rPr>
          <w:rFonts w:hint="eastAsia" w:ascii="方正仿宋_GBK" w:hAnsi="仿宋" w:eastAsia="方正仿宋_GBK"/>
          <w:color w:val="000000"/>
          <w:sz w:val="32"/>
          <w:szCs w:val="32"/>
        </w:rPr>
        <w:t>　　日常公用经费</w:t>
      </w:r>
      <w:r>
        <w:rPr>
          <w:rFonts w:hint="eastAsia" w:ascii="方正仿宋_GBK" w:hAnsi="仿宋" w:eastAsia="方正仿宋_GBK"/>
          <w:color w:val="000000"/>
          <w:sz w:val="32"/>
          <w:szCs w:val="32"/>
          <w:lang w:val="en-US" w:eastAsia="zh-CN"/>
        </w:rPr>
        <w:t>61.49</w:t>
      </w:r>
      <w:r>
        <w:rPr>
          <w:rFonts w:hint="eastAsia" w:ascii="方正仿宋_GBK" w:hAnsi="仿宋" w:eastAsia="方正仿宋_GBK"/>
          <w:color w:val="000000"/>
          <w:sz w:val="32"/>
          <w:szCs w:val="32"/>
        </w:rPr>
        <w:t>万元，主要包括：办公费、印刷费、咨询费、水费、电费、邮电费、差旅费、维修（护）费、租赁费、会议费、培训费、公务接待费、劳务费、工会经费、公务用车运行维护费、其他交通费、其他商品和服务支出。</w:t>
      </w:r>
    </w:p>
    <w:p>
      <w:pPr>
        <w:widowControl/>
        <w:adjustRightInd w:val="0"/>
        <w:snapToGrid w:val="0"/>
        <w:spacing w:line="576" w:lineRule="exact"/>
        <w:ind w:firstLine="640" w:firstLineChars="200"/>
        <w:contextualSpacing/>
        <w:jc w:val="left"/>
        <w:rPr>
          <w:rFonts w:hint="default" w:eastAsia="方正仿宋_GBK"/>
          <w:lang w:val="en-US" w:eastAsia="zh-CN"/>
        </w:rPr>
      </w:pPr>
      <w:r>
        <w:rPr>
          <w:rFonts w:hint="eastAsia" w:ascii="方正仿宋_GBK" w:hAnsi="仿宋" w:eastAsia="方正仿宋_GBK"/>
          <w:color w:val="000000"/>
          <w:sz w:val="32"/>
          <w:szCs w:val="32"/>
        </w:rPr>
        <w:t>项目</w:t>
      </w:r>
      <w:r>
        <w:rPr>
          <w:rFonts w:hint="eastAsia" w:ascii="方正仿宋_GBK" w:hAnsi="仿宋" w:eastAsia="方正仿宋_GBK"/>
          <w:color w:val="000000"/>
          <w:sz w:val="32"/>
          <w:szCs w:val="32"/>
          <w:lang w:eastAsia="zh-CN"/>
        </w:rPr>
        <w:t>预算</w:t>
      </w:r>
      <w:r>
        <w:rPr>
          <w:rFonts w:hint="eastAsia" w:ascii="方正仿宋_GBK" w:hAnsi="仿宋" w:eastAsia="方正仿宋_GBK"/>
          <w:color w:val="000000"/>
          <w:sz w:val="32"/>
          <w:szCs w:val="32"/>
        </w:rPr>
        <w:t>支出</w:t>
      </w:r>
      <w:r>
        <w:rPr>
          <w:rFonts w:hint="eastAsia" w:ascii="方正仿宋_GBK" w:hAnsi="仿宋" w:eastAsia="方正仿宋_GBK"/>
          <w:color w:val="000000"/>
          <w:sz w:val="32"/>
          <w:szCs w:val="32"/>
          <w:lang w:val="en-US" w:eastAsia="zh-CN"/>
        </w:rPr>
        <w:t>440.78</w:t>
      </w:r>
      <w:r>
        <w:rPr>
          <w:rFonts w:hint="eastAsia" w:ascii="方正仿宋_GBK" w:hAnsi="仿宋" w:eastAsia="方正仿宋_GBK"/>
          <w:color w:val="000000"/>
          <w:sz w:val="32"/>
          <w:szCs w:val="32"/>
        </w:rPr>
        <w:t>万元，主要包括：</w:t>
      </w:r>
      <w:r>
        <w:rPr>
          <w:rFonts w:hint="eastAsia" w:ascii="方正仿宋_GBK" w:hAnsi="宋体" w:eastAsia="方正仿宋_GBK" w:cs="宋体"/>
          <w:sz w:val="32"/>
          <w:szCs w:val="32"/>
        </w:rPr>
        <w:t>脱贫攻坚工作经费、基层组织体系建设工作经费、供销社综合改革工作经费、</w:t>
      </w:r>
      <w:r>
        <w:rPr>
          <w:rFonts w:hint="eastAsia" w:ascii="方正仿宋_GBK" w:hAnsi="宋体" w:eastAsia="方正仿宋_GBK" w:cs="宋体"/>
          <w:sz w:val="32"/>
          <w:szCs w:val="32"/>
          <w:lang w:eastAsia="zh-CN"/>
        </w:rPr>
        <w:t>废弃农膜回收网络提升改造工作经费、农资公司为农服务工作经费、</w:t>
      </w:r>
      <w:r>
        <w:rPr>
          <w:rFonts w:hint="eastAsia" w:ascii="方正仿宋_GBK" w:hAnsi="仿宋" w:eastAsia="方正仿宋_GBK"/>
          <w:color w:val="000000"/>
          <w:sz w:val="32"/>
          <w:szCs w:val="32"/>
          <w:lang w:val="en-US" w:eastAsia="zh-CN"/>
        </w:rPr>
        <w:t>化肥淡季储备贴息专项资金、</w:t>
      </w:r>
      <w:r>
        <w:rPr>
          <w:rFonts w:hint="eastAsia" w:ascii="方正仿宋_GBK" w:hAnsi="宋体" w:eastAsia="方正仿宋_GBK" w:cs="宋体"/>
          <w:sz w:val="32"/>
          <w:szCs w:val="32"/>
        </w:rPr>
        <w:t>死亡抚恤金、</w:t>
      </w:r>
      <w:r>
        <w:rPr>
          <w:rFonts w:hint="eastAsia" w:ascii="方正仿宋_GBK" w:hAnsi="仿宋" w:eastAsia="方正仿宋_GBK"/>
          <w:color w:val="000000"/>
          <w:sz w:val="32"/>
          <w:szCs w:val="32"/>
        </w:rPr>
        <w:t>伤残抚恤金。</w:t>
      </w: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spacing w:line="560" w:lineRule="exact"/>
        <w:ind w:firstLine="640" w:firstLineChars="200"/>
        <w:rPr>
          <w:rFonts w:ascii="方正楷体_GBK" w:eastAsia="方正楷体_GBK"/>
          <w:b/>
          <w:sz w:val="32"/>
          <w:szCs w:val="32"/>
        </w:rPr>
      </w:pPr>
      <w:r>
        <w:rPr>
          <w:rFonts w:hint="eastAsia" w:ascii="方正楷体_GBK" w:eastAsia="方正楷体_GBK"/>
          <w:b/>
          <w:sz w:val="32"/>
          <w:szCs w:val="32"/>
        </w:rPr>
        <w:t>（一）预算编制</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报送时效。</w:t>
      </w:r>
    </w:p>
    <w:p>
      <w:pPr>
        <w:spacing w:line="560" w:lineRule="exact"/>
        <w:ind w:firstLine="640" w:firstLineChars="200"/>
        <w:rPr>
          <w:rFonts w:ascii="方正仿宋_GBK" w:eastAsia="方正仿宋_GBK"/>
          <w:sz w:val="32"/>
          <w:szCs w:val="32"/>
        </w:rPr>
      </w:pPr>
      <w:r>
        <w:rPr>
          <w:rFonts w:hint="eastAsia" w:ascii="方正仿宋_GBK" w:hAnsi="????" w:eastAsia="方正仿宋_GBK" w:cs="方正仿宋_GBK"/>
          <w:color w:val="000000"/>
          <w:kern w:val="0"/>
          <w:sz w:val="32"/>
          <w:szCs w:val="32"/>
          <w:lang w:val="zh-CN"/>
        </w:rPr>
        <w:t>我社财务统计科严格按照财政部门的预算编制各阶段时间要求，及时完成编制、审核、汇总和报送工作，保证了部门预算各项数据的及时上报。</w:t>
      </w:r>
    </w:p>
    <w:p>
      <w:pPr>
        <w:spacing w:line="560" w:lineRule="exact"/>
        <w:ind w:firstLine="640" w:firstLineChars="200"/>
        <w:rPr>
          <w:rFonts w:ascii="方正仿宋_GBK" w:eastAsia="方正仿宋_GBK"/>
          <w:sz w:val="32"/>
          <w:szCs w:val="32"/>
        </w:rPr>
      </w:pPr>
      <w:r>
        <w:rPr>
          <w:rFonts w:ascii="方正仿宋_GBK" w:hAnsi="宋体" w:eastAsia="方正仿宋_GBK"/>
          <w:sz w:val="32"/>
          <w:szCs w:val="32"/>
        </w:rPr>
        <w:t>2.</w:t>
      </w:r>
      <w:r>
        <w:rPr>
          <w:rFonts w:hint="eastAsia" w:ascii="方正仿宋_GBK" w:hAnsi="宋体" w:eastAsia="方正仿宋_GBK"/>
          <w:sz w:val="32"/>
          <w:szCs w:val="32"/>
        </w:rPr>
        <w:t>编制质量</w:t>
      </w:r>
      <w:r>
        <w:rPr>
          <w:rFonts w:hint="eastAsia" w:ascii="方正仿宋_GBK" w:eastAsia="方正仿宋_GBK"/>
          <w:sz w:val="32"/>
          <w:szCs w:val="32"/>
        </w:rPr>
        <w:t>。</w:t>
      </w:r>
    </w:p>
    <w:p>
      <w:pPr>
        <w:autoSpaceDE w:val="0"/>
        <w:autoSpaceDN w:val="0"/>
        <w:adjustRightInd w:val="0"/>
        <w:spacing w:line="560" w:lineRule="exact"/>
        <w:ind w:firstLine="707"/>
        <w:rPr>
          <w:rFonts w:ascii="方正仿宋_GBK" w:eastAsia="方正仿宋_GBK"/>
          <w:sz w:val="32"/>
          <w:szCs w:val="32"/>
        </w:rPr>
      </w:pPr>
      <w:r>
        <w:rPr>
          <w:rFonts w:hint="eastAsia" w:ascii="方正仿宋_GBK" w:hAnsi="????" w:eastAsia="方正仿宋_GBK" w:cs="方正仿宋_GBK"/>
          <w:color w:val="000000"/>
          <w:kern w:val="0"/>
          <w:sz w:val="32"/>
          <w:szCs w:val="32"/>
          <w:lang w:val="zh-CN"/>
        </w:rPr>
        <w:t>我社围绕市委、市政府的中心工作和本部门工作任务，高度重视和支持部门预算编制工作，认真组织本部门业务人员和财务人员，做好项目的统筹考虑和研究论证，科学合理编制部门预算。一是预算编制完整无漏项。二是进一步提高部门预算编制的准确性。我社认真做好部门预算基础信息的汇总审核上报工作，对单位编制和实有人数、工资、车辆等基础信息进行全面核查，对存在问题和发生变化的及时更正和调整，确保部门预算基础信息内容和科目准确，实现与横向联网系统数据吻合。三是预算编制规范。其项目名称、绩效指标、项目内容说明等都符合规范要求。我社将各项财政补助资金、经营收入、年末结余等全部编入部门预算，不断增强部门预算编制的完整性。</w:t>
      </w:r>
    </w:p>
    <w:p>
      <w:pPr>
        <w:spacing w:line="560" w:lineRule="exact"/>
        <w:ind w:firstLine="640" w:firstLineChars="200"/>
        <w:rPr>
          <w:rFonts w:ascii="方正楷体_GBK" w:eastAsia="方正楷体_GBK"/>
          <w:b/>
          <w:sz w:val="32"/>
          <w:szCs w:val="32"/>
        </w:rPr>
      </w:pPr>
      <w:r>
        <w:rPr>
          <w:rFonts w:hint="eastAsia" w:ascii="方正楷体_GBK" w:eastAsia="方正楷体_GBK"/>
          <w:b/>
          <w:sz w:val="32"/>
          <w:szCs w:val="32"/>
        </w:rPr>
        <w:t>（二）预算执行</w:t>
      </w:r>
    </w:p>
    <w:p>
      <w:pPr>
        <w:spacing w:line="560" w:lineRule="exact"/>
        <w:ind w:firstLine="640" w:firstLineChars="200"/>
        <w:rPr>
          <w:rFonts w:ascii="方正仿宋_GBK" w:hAnsi="宋体" w:eastAsia="方正仿宋_GBK" w:cs="宋体"/>
          <w:kern w:val="0"/>
          <w:sz w:val="32"/>
          <w:szCs w:val="32"/>
        </w:rPr>
      </w:pPr>
      <w:r>
        <w:rPr>
          <w:rFonts w:ascii="方正仿宋_GBK" w:eastAsia="方正仿宋_GBK"/>
          <w:sz w:val="32"/>
          <w:szCs w:val="32"/>
        </w:rPr>
        <w:t>1.</w:t>
      </w:r>
      <w:r>
        <w:rPr>
          <w:rFonts w:hint="eastAsia" w:ascii="方正仿宋_GBK" w:eastAsia="方正仿宋_GBK"/>
          <w:sz w:val="32"/>
          <w:szCs w:val="32"/>
        </w:rPr>
        <w:t>预算执行进度。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 202</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年，我社持续践行新发展理念，坚持高质量发展格局。</w:t>
      </w:r>
      <w:r>
        <w:rPr>
          <w:rFonts w:hint="default" w:ascii="方正仿宋_GBK" w:hAnsi="方正仿宋_GBK" w:eastAsia="方正仿宋_GBK" w:cs="方正仿宋_GBK"/>
          <w:kern w:val="0"/>
          <w:sz w:val="32"/>
          <w:szCs w:val="32"/>
          <w:lang w:val="en-US" w:eastAsia="zh-CN"/>
        </w:rPr>
        <w:t>全市供</w:t>
      </w:r>
      <w:r>
        <w:rPr>
          <w:rFonts w:hint="default" w:ascii="方正仿宋_GBK" w:hAnsi="方正仿宋_GBK" w:eastAsia="方正仿宋_GBK" w:cs="方正仿宋_GBK"/>
          <w:kern w:val="0"/>
          <w:sz w:val="32"/>
          <w:szCs w:val="32"/>
        </w:rPr>
        <w:t>销系统全年</w:t>
      </w:r>
      <w:r>
        <w:rPr>
          <w:rFonts w:hint="default" w:ascii="方正仿宋_GBK" w:hAnsi="方正仿宋_GBK" w:eastAsia="方正仿宋_GBK" w:cs="方正仿宋_GBK"/>
          <w:kern w:val="0"/>
          <w:sz w:val="32"/>
          <w:szCs w:val="32"/>
          <w:lang w:eastAsia="zh-CN"/>
        </w:rPr>
        <w:t>销售总额实现</w:t>
      </w:r>
      <w:r>
        <w:rPr>
          <w:rFonts w:hint="default" w:ascii="方正仿宋_GBK" w:hAnsi="方正仿宋_GBK" w:eastAsia="方正仿宋_GBK" w:cs="方正仿宋_GBK"/>
          <w:kern w:val="0"/>
          <w:sz w:val="32"/>
          <w:szCs w:val="32"/>
          <w:lang w:val="en-US" w:eastAsia="zh-CN"/>
        </w:rPr>
        <w:t>127.3亿元，</w:t>
      </w:r>
      <w:r>
        <w:rPr>
          <w:rFonts w:hint="default" w:ascii="方正仿宋_GBK" w:hAnsi="方正仿宋_GBK" w:eastAsia="方正仿宋_GBK" w:cs="方正仿宋_GBK"/>
          <w:kern w:val="0"/>
          <w:sz w:val="32"/>
          <w:szCs w:val="32"/>
        </w:rPr>
        <w:t>营业收入突破50亿元，利润总额达1.15亿元，两项财务指标均居全省供销系统第一名。全年电子商务销售总额突破5亿元</w:t>
      </w:r>
      <w:r>
        <w:rPr>
          <w:rFonts w:hint="eastAsia" w:ascii="方正仿宋_GBK" w:hAnsi="方正仿宋_GBK" w:eastAsia="方正仿宋_GBK" w:cs="方正仿宋_GBK"/>
          <w:kern w:val="0"/>
          <w:sz w:val="32"/>
          <w:szCs w:val="32"/>
          <w:lang w:eastAsia="zh-CN"/>
        </w:rPr>
        <w:t>，</w:t>
      </w:r>
      <w:r>
        <w:rPr>
          <w:rFonts w:hint="default" w:ascii="方正仿宋_GBK" w:hAnsi="方正仿宋_GBK" w:eastAsia="方正仿宋_GBK" w:cs="方正仿宋_GBK"/>
          <w:kern w:val="0"/>
          <w:sz w:val="32"/>
          <w:szCs w:val="32"/>
          <w:lang w:val="en"/>
        </w:rPr>
        <w:t>广供天下电商公司成功纳入国家级服务业标准化专项试点。</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基层供销社建设</w:t>
      </w:r>
      <w:r>
        <w:rPr>
          <w:rFonts w:hint="eastAsia" w:ascii="方正仿宋_GBK" w:hAnsi="方正仿宋_GBK" w:eastAsia="方正仿宋_GBK" w:cs="方正仿宋_GBK"/>
          <w:kern w:val="0"/>
          <w:sz w:val="32"/>
          <w:szCs w:val="32"/>
          <w:lang w:eastAsia="zh-CN"/>
        </w:rPr>
        <w:t>持续强化</w:t>
      </w:r>
      <w:r>
        <w:rPr>
          <w:rFonts w:hint="default" w:ascii="方正仿宋_GBK" w:hAnsi="方正仿宋_GBK" w:eastAsia="方正仿宋_GBK" w:cs="方正仿宋_GBK"/>
          <w:kern w:val="0"/>
          <w:sz w:val="32"/>
          <w:szCs w:val="32"/>
        </w:rPr>
        <w:t>。深入推进两项改革“后半篇”文章各项部署，创新财政资金“股权量化”投入基层供销社建设，创建了79个基层社示范社（超额完成4个）、42个星级农村综合服务社（超额完成2个），开展了农民职业技术培训345人次（超额完成195人次）。建成“标杆基层社”16个、“五星级农村综合服务社”15个，建成数量位居全省第一。</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2.</w:t>
      </w:r>
      <w:r>
        <w:rPr>
          <w:rFonts w:hint="eastAsia" w:ascii="方正仿宋_GBK" w:hAnsi="宋体" w:eastAsia="方正仿宋_GBK" w:cs="宋体"/>
          <w:kern w:val="0"/>
          <w:sz w:val="32"/>
          <w:szCs w:val="32"/>
        </w:rPr>
        <w:t>预算平衡调整。</w:t>
      </w:r>
    </w:p>
    <w:p>
      <w:pPr>
        <w:spacing w:line="560" w:lineRule="exact"/>
        <w:ind w:firstLine="640" w:firstLineChars="200"/>
        <w:rPr>
          <w:rFonts w:ascii="方正仿宋_GBK" w:hAnsi="宋体" w:eastAsia="方正仿宋_GBK" w:cs="宋体"/>
          <w:kern w:val="0"/>
          <w:sz w:val="32"/>
          <w:szCs w:val="32"/>
        </w:rPr>
      </w:pPr>
      <w:r>
        <w:rPr>
          <w:rFonts w:hint="eastAsia" w:ascii="方正仿宋_GBK" w:hAnsi="????" w:eastAsia="方正仿宋_GBK" w:cs="方正仿宋_GBK"/>
          <w:color w:val="333333"/>
          <w:kern w:val="0"/>
          <w:sz w:val="32"/>
          <w:szCs w:val="32"/>
          <w:highlight w:val="white"/>
          <w:lang w:val="zh-CN"/>
        </w:rPr>
        <w:t>强化预算执行平衡管理，坚持压一般、保重点，集中财力保运转、保民生、保重点项目建设。压一般，就是清理压减不合理财政支出，积极构建厉行节约长效机制，最大限度压减一般性支出，严控“三公经费”支出。保重点，就是完善重点支出保障机制。按照“民生优先”的原则，集中财力确保基本养老、医疗卫生、公共服务等社会保障政策落到实处；统筹财力、量力而行，保障项目建设等资金需要，保证了预算执行的平衡性</w:t>
      </w:r>
      <w:r>
        <w:rPr>
          <w:rFonts w:hint="eastAsia" w:ascii="方正仿宋_GBK" w:hAnsi="????" w:eastAsia="方正仿宋_GBK" w:cs="方正仿宋_GBK"/>
          <w:color w:val="333333"/>
          <w:kern w:val="0"/>
          <w:sz w:val="32"/>
          <w:szCs w:val="32"/>
          <w:lang w:val="zh-CN"/>
        </w:rPr>
        <w:t>，有力保障了我社顺利完成全年经济和社会事业发展职能职责，人员支出一律按时间进度执行，没有挪用人员支出现象。</w:t>
      </w:r>
    </w:p>
    <w:p>
      <w:pPr>
        <w:spacing w:line="56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3.</w:t>
      </w:r>
      <w:r>
        <w:rPr>
          <w:rFonts w:hint="eastAsia" w:ascii="方正仿宋_GBK" w:hAnsi="宋体" w:eastAsia="方正仿宋_GBK" w:cs="宋体"/>
          <w:kern w:val="0"/>
          <w:sz w:val="32"/>
          <w:szCs w:val="32"/>
        </w:rPr>
        <w:t>三公经费执行情况。</w:t>
      </w:r>
    </w:p>
    <w:p>
      <w:pPr>
        <w:spacing w:line="560" w:lineRule="exact"/>
        <w:ind w:firstLine="640" w:firstLineChars="200"/>
        <w:rPr>
          <w:rFonts w:ascii="方正仿宋_GBK" w:hAnsi="宋体" w:eastAsia="方正仿宋_GBK" w:cs="宋体"/>
          <w:kern w:val="0"/>
          <w:sz w:val="32"/>
          <w:szCs w:val="32"/>
        </w:rPr>
      </w:pPr>
      <w:r>
        <w:rPr>
          <w:rFonts w:hint="eastAsia" w:ascii="方正仿宋_GBK" w:hAnsi="方正仿宋_GBK" w:eastAsia="方正仿宋_GBK" w:cs="方正仿宋_GBK"/>
          <w:color w:val="000000"/>
          <w:sz w:val="32"/>
          <w:szCs w:val="32"/>
          <w:shd w:val="clear" w:color="auto" w:fill="FFFFFF"/>
        </w:rPr>
        <w:t>我社狠抓“三公经费”管理，严控“三公”经费预算，大力压减“三公”支出，养成了“过紧日子”的习惯。</w:t>
      </w:r>
      <w:r>
        <w:rPr>
          <w:rFonts w:ascii="方正仿宋_GBK" w:hAnsi="方正仿宋_GBK" w:eastAsia="方正仿宋_GBK" w:cs="方正仿宋_GBK"/>
          <w:color w:val="000000"/>
          <w:sz w:val="32"/>
          <w:szCs w:val="32"/>
          <w:shd w:val="clear" w:color="auto" w:fill="FFFFFF"/>
        </w:rPr>
        <w:t>202</w:t>
      </w:r>
      <w:r>
        <w:rPr>
          <w:rFonts w:hint="eastAsia" w:ascii="方正仿宋_GBK" w:hAnsi="方正仿宋_GBK" w:eastAsia="方正仿宋_GBK" w:cs="方正仿宋_GBK"/>
          <w:color w:val="000000"/>
          <w:sz w:val="32"/>
          <w:szCs w:val="32"/>
          <w:shd w:val="clear" w:color="auto" w:fill="FFFFFF"/>
          <w:lang w:val="en-US" w:eastAsia="zh-CN"/>
        </w:rPr>
        <w:t>1</w:t>
      </w:r>
      <w:r>
        <w:rPr>
          <w:rFonts w:hint="eastAsia" w:ascii="方正仿宋_GBK" w:hAnsi="方正仿宋_GBK" w:eastAsia="方正仿宋_GBK" w:cs="方正仿宋_GBK"/>
          <w:color w:val="000000"/>
          <w:sz w:val="32"/>
          <w:szCs w:val="32"/>
          <w:shd w:val="clear" w:color="auto" w:fill="FFFFFF"/>
        </w:rPr>
        <w:t>年以来，我社严格按规定的经费渠道、支出标准合法开支，财务报批手续齐全、规范，会计科目运用合理、准确，财务公开准时、完整，各项收支阳光操作，没有隐匿、转移“三公经费”支出乱象发生。</w:t>
      </w:r>
    </w:p>
    <w:p>
      <w:pPr>
        <w:spacing w:line="560" w:lineRule="exact"/>
        <w:ind w:firstLine="640" w:firstLineChars="200"/>
        <w:rPr>
          <w:rFonts w:ascii="方正楷体_GBK" w:eastAsia="方正楷体_GBK"/>
          <w:b/>
          <w:sz w:val="32"/>
          <w:szCs w:val="32"/>
        </w:rPr>
      </w:pPr>
      <w:r>
        <w:rPr>
          <w:rFonts w:hint="eastAsia" w:ascii="方正楷体_GBK" w:eastAsia="方正楷体_GBK"/>
          <w:b/>
          <w:sz w:val="32"/>
          <w:szCs w:val="32"/>
        </w:rPr>
        <w:t>（三）财政资金综合管理情况</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非税收入征收、上缴情况。</w:t>
      </w:r>
    </w:p>
    <w:p>
      <w:pPr>
        <w:spacing w:line="560" w:lineRule="exact"/>
        <w:ind w:firstLine="640" w:firstLineChars="200"/>
        <w:rPr>
          <w:rFonts w:ascii="方正仿宋_GBK" w:eastAsia="方正仿宋_GBK"/>
          <w:sz w:val="32"/>
          <w:szCs w:val="32"/>
        </w:rPr>
      </w:pPr>
      <w:r>
        <w:rPr>
          <w:rFonts w:hint="eastAsia" w:ascii="方正仿宋_GBK" w:hAnsi="????" w:eastAsia="方正仿宋_GBK" w:cs="方正仿宋_GBK"/>
          <w:color w:val="000000"/>
          <w:kern w:val="0"/>
          <w:sz w:val="32"/>
          <w:szCs w:val="32"/>
          <w:highlight w:val="white"/>
          <w:lang w:val="zh-CN"/>
        </w:rPr>
        <w:t>我社无此项职能，属自然得分。</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政府采购实施计划编制执行情况。</w:t>
      </w:r>
    </w:p>
    <w:p>
      <w:pPr>
        <w:spacing w:line="560" w:lineRule="exact"/>
        <w:ind w:firstLine="640" w:firstLineChars="200"/>
        <w:rPr>
          <w:rFonts w:ascii="方正仿宋_GBK" w:eastAsia="方正仿宋_GBK"/>
          <w:sz w:val="32"/>
          <w:szCs w:val="32"/>
        </w:rPr>
      </w:pPr>
      <w:r>
        <w:rPr>
          <w:rFonts w:hint="eastAsia" w:ascii="方正仿宋_GBK" w:hAnsi="????" w:eastAsia="方正仿宋_GBK" w:cs="方正仿宋_GBK"/>
          <w:color w:val="333333"/>
          <w:kern w:val="0"/>
          <w:sz w:val="32"/>
          <w:szCs w:val="32"/>
          <w:highlight w:val="white"/>
          <w:lang w:val="zh-CN"/>
        </w:rPr>
        <w:t>我社</w:t>
      </w:r>
      <w:r>
        <w:rPr>
          <w:rFonts w:ascii="方正仿宋_GBK" w:hAnsi="????" w:eastAsia="方正仿宋_GBK" w:cs="方正仿宋_GBK"/>
          <w:color w:val="333333"/>
          <w:kern w:val="0"/>
          <w:sz w:val="32"/>
          <w:szCs w:val="32"/>
          <w:highlight w:val="white"/>
        </w:rPr>
        <w:t>202</w:t>
      </w:r>
      <w:r>
        <w:rPr>
          <w:rFonts w:hint="eastAsia" w:ascii="方正仿宋_GBK" w:hAnsi="????" w:eastAsia="方正仿宋_GBK" w:cs="方正仿宋_GBK"/>
          <w:color w:val="333333"/>
          <w:kern w:val="0"/>
          <w:sz w:val="32"/>
          <w:szCs w:val="32"/>
          <w:highlight w:val="white"/>
          <w:lang w:val="en-US" w:eastAsia="zh-CN"/>
        </w:rPr>
        <w:t>1</w:t>
      </w:r>
      <w:r>
        <w:rPr>
          <w:rFonts w:hint="eastAsia" w:ascii="方正仿宋_GBK" w:hAnsi="????" w:eastAsia="方正仿宋_GBK" w:cs="方正仿宋_GBK"/>
          <w:color w:val="333333"/>
          <w:kern w:val="0"/>
          <w:sz w:val="32"/>
          <w:szCs w:val="32"/>
          <w:highlight w:val="white"/>
        </w:rPr>
        <w:t>年没有涉及政府采购项目。</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资产管理信息系统建设、资产清查上报情况。</w:t>
      </w:r>
    </w:p>
    <w:p>
      <w:pPr>
        <w:spacing w:line="560" w:lineRule="exact"/>
        <w:ind w:firstLine="640" w:firstLineChars="200"/>
        <w:rPr>
          <w:rFonts w:ascii="方正仿宋_GBK" w:eastAsia="方正仿宋_GBK"/>
          <w:sz w:val="32"/>
          <w:szCs w:val="32"/>
        </w:rPr>
      </w:pPr>
      <w:r>
        <w:rPr>
          <w:rFonts w:hint="eastAsia" w:ascii="方正仿宋_GBK" w:hAnsi="????" w:eastAsia="方正仿宋_GBK" w:cs="方正仿宋_GBK"/>
          <w:color w:val="000000"/>
          <w:kern w:val="0"/>
          <w:sz w:val="32"/>
          <w:szCs w:val="32"/>
          <w:highlight w:val="white"/>
          <w:lang w:val="zh-CN"/>
        </w:rPr>
        <w:t>一是资产管理体制和制度建设方面。</w:t>
      </w:r>
      <w:r>
        <w:rPr>
          <w:rFonts w:ascii="方正仿宋_GBK" w:hAnsi="????" w:eastAsia="方正仿宋_GBK" w:cs="方正仿宋_GBK"/>
          <w:color w:val="000000"/>
          <w:kern w:val="0"/>
          <w:sz w:val="32"/>
          <w:szCs w:val="32"/>
          <w:highlight w:val="white"/>
          <w:lang w:val="zh-CN"/>
        </w:rPr>
        <w:t xml:space="preserve"> </w:t>
      </w:r>
      <w:r>
        <w:rPr>
          <w:rFonts w:hint="eastAsia" w:ascii="方正仿宋_GBK" w:hAnsi="????" w:eastAsia="方正仿宋_GBK" w:cs="方正仿宋_GBK"/>
          <w:color w:val="000000"/>
          <w:kern w:val="0"/>
          <w:sz w:val="32"/>
          <w:szCs w:val="32"/>
          <w:highlight w:val="white"/>
          <w:lang w:val="zh-CN"/>
        </w:rPr>
        <w:t>建立健全资产管理制度，合理配备并节约、有效使用资产，提高资产使用效率，保障资产的安全和完整。管理和使用应坚持统一政策、统一领导、分级管理、责任到人、物尽其用的原则。资产管理人员应相对稳定，工作调动时必须办理交接手续。二是运行机制和管理方式资产管理由财务部门进行价值核算并设置专人进行资产实物卡片管理及使用情况监督。资产采购应当根据合同、供应商发货单等对所购资产的品种、规格、数量、质量、技术要求及其他内容进行验收。三是信息化建设方面。我单位通过资产管理平台管理资产卡片，包括卡片的增加、删除、查询、打印、汇总等。</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部门内部控制制度健全情况。</w:t>
      </w:r>
    </w:p>
    <w:p>
      <w:pPr>
        <w:spacing w:line="560" w:lineRule="exact"/>
        <w:ind w:firstLine="640" w:firstLineChars="200"/>
        <w:rPr>
          <w:rFonts w:ascii="方正仿宋_GBK" w:eastAsia="方正仿宋_GBK"/>
          <w:sz w:val="32"/>
          <w:szCs w:val="32"/>
        </w:rPr>
      </w:pPr>
      <w:r>
        <w:rPr>
          <w:rFonts w:hint="eastAsia" w:ascii="方正仿宋_GBK" w:hAnsi="方正仿宋_GBK" w:eastAsia="方正仿宋_GBK" w:cs="方正仿宋_GBK"/>
          <w:color w:val="000000"/>
          <w:sz w:val="32"/>
          <w:szCs w:val="32"/>
        </w:rPr>
        <w:t>我社能严格按照财政部门，开展财务活动，在每项经济事务中，能依照财经纪律、法规制度办理。一是建立健全了财务管理内部控制制度。严格执行资金支出的审批和审核的程序，形成了经济业务事项的经办、验收、审批内部相互监督和制约机制。二是建立了财务管理人员控制责任机制。在每一项财务制度中，都规定了相关人员的职责。各类人员各司其职，共同完成好我社财务的管理工作，确保财务收支管理工作有序、高效地运转。三是财务人员岗位职责明确。要求在工作中，严格按照财务人员分工体现不相容职务相互分离、相互制衡的原则办事，坚持“收支有据”的原则，严防虚、假的经济事项发生。四是强调财务过程管理，做好财务管理的每一个环节。五是实施了财务收支内部审核制度，加强了对我社财务收支的审核力度。通过市社制度建设与实施，极大地提高了财务管理人员的政治素质与业务素质，增强了财务管理意识，正是如此，我社的财务管理工作在制度和法规的约束下，操作规范。</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rPr>
        <w:t>预决算及绩效信息公开情况。</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我社严格按照财政局及绩效中心要求，将年度预决算及绩效信息相关内容按时按质在要求的网站系统中进行公开公示，接受社会各界的监督。</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绩效评价开展、评价结果报告情况。</w:t>
      </w:r>
    </w:p>
    <w:p>
      <w:pPr>
        <w:spacing w:line="560" w:lineRule="exact"/>
        <w:ind w:firstLine="640" w:firstLineChars="200"/>
        <w:rPr>
          <w:rFonts w:ascii="方正仿宋_GBK" w:hAnsi="????" w:eastAsia="方正仿宋_GBK" w:cs="方正仿宋_GBK"/>
          <w:kern w:val="0"/>
          <w:sz w:val="32"/>
          <w:szCs w:val="32"/>
          <w:lang w:val="zh-CN"/>
        </w:rPr>
      </w:pPr>
      <w:r>
        <w:rPr>
          <w:rFonts w:ascii="方正仿宋_GBK" w:hAnsi="????" w:eastAsia="方正仿宋_GBK" w:cs="方正仿宋_GBK"/>
          <w:kern w:val="0"/>
          <w:sz w:val="32"/>
          <w:szCs w:val="32"/>
          <w:lang w:val="zh-CN"/>
        </w:rPr>
        <w:t>20</w:t>
      </w:r>
      <w:r>
        <w:rPr>
          <w:rFonts w:ascii="方正仿宋_GBK" w:hAnsi="????" w:eastAsia="方正仿宋_GBK" w:cs="方正仿宋_GBK"/>
          <w:kern w:val="0"/>
          <w:sz w:val="32"/>
          <w:szCs w:val="32"/>
        </w:rPr>
        <w:t>2</w:t>
      </w:r>
      <w:r>
        <w:rPr>
          <w:rFonts w:hint="eastAsia" w:ascii="方正仿宋_GBK" w:hAnsi="????" w:eastAsia="方正仿宋_GBK" w:cs="方正仿宋_GBK"/>
          <w:kern w:val="0"/>
          <w:sz w:val="32"/>
          <w:szCs w:val="32"/>
          <w:lang w:val="en-US" w:eastAsia="zh-CN"/>
        </w:rPr>
        <w:t>1</w:t>
      </w:r>
      <w:r>
        <w:rPr>
          <w:rFonts w:hint="eastAsia" w:ascii="方正仿宋_GBK" w:hAnsi="????" w:eastAsia="方正仿宋_GBK" w:cs="方正仿宋_GBK"/>
          <w:kern w:val="0"/>
          <w:sz w:val="32"/>
          <w:szCs w:val="32"/>
          <w:lang w:val="zh-CN"/>
        </w:rPr>
        <w:t>年，我社在市财政局的监督管理下，积极探索完善财政资金管理的有效机制，不断完善管理制度，形成了一套行之有效的资金管理体系，保证了资金的安全、有效运行，取得了良好的效果。所有资金实行专款专用，资金拨付严格审批程序，使用规范，会计核算结果真实、准确。自我评价结果为“优”。</w:t>
      </w:r>
    </w:p>
    <w:p>
      <w:pPr>
        <w:spacing w:line="560" w:lineRule="exact"/>
        <w:ind w:firstLine="640" w:firstLineChars="200"/>
        <w:rPr>
          <w:rFonts w:ascii="方正仿宋_GBK" w:hAnsi="????" w:eastAsia="方正仿宋_GBK" w:cs="方正仿宋_GBK"/>
          <w:kern w:val="0"/>
          <w:sz w:val="32"/>
          <w:szCs w:val="32"/>
          <w:lang w:val="zh-CN"/>
        </w:rPr>
      </w:pPr>
      <w:r>
        <w:rPr>
          <w:rFonts w:ascii="方正仿宋_GBK" w:hAnsi="????" w:eastAsia="方正仿宋_GBK" w:cs="方正仿宋_GBK"/>
          <w:kern w:val="0"/>
          <w:sz w:val="32"/>
          <w:szCs w:val="32"/>
        </w:rPr>
        <w:t>7.</w:t>
      </w:r>
      <w:r>
        <w:rPr>
          <w:rFonts w:hint="eastAsia" w:ascii="方正仿宋_GBK" w:hAnsi="????" w:eastAsia="方正仿宋_GBK" w:cs="方正仿宋_GBK"/>
          <w:kern w:val="0"/>
          <w:sz w:val="32"/>
          <w:szCs w:val="32"/>
          <w:lang w:val="zh-CN"/>
        </w:rPr>
        <w:t>绩效管理工作开展情况。</w:t>
      </w:r>
    </w:p>
    <w:p>
      <w:pPr>
        <w:spacing w:line="560" w:lineRule="exact"/>
        <w:ind w:firstLine="640" w:firstLineChars="200"/>
        <w:rPr>
          <w:rFonts w:ascii="方正仿宋_GBK" w:hAnsi="????" w:eastAsia="方正仿宋_GBK" w:cs="方正仿宋_GBK"/>
          <w:kern w:val="0"/>
          <w:sz w:val="32"/>
          <w:szCs w:val="32"/>
        </w:rPr>
      </w:pPr>
      <w:r>
        <w:rPr>
          <w:rFonts w:hint="eastAsia" w:ascii="方正仿宋_GBK" w:hAnsi="????" w:eastAsia="方正仿宋_GBK" w:cs="方正仿宋_GBK"/>
          <w:kern w:val="0"/>
          <w:sz w:val="32"/>
          <w:szCs w:val="32"/>
        </w:rPr>
        <w:t>根据预算绩效管理要求，我社以“部门职责</w:t>
      </w:r>
      <w:r>
        <w:rPr>
          <w:rFonts w:ascii="方正仿宋_GBK" w:hAnsi="????" w:eastAsia="方正仿宋_GBK" w:cs="方正仿宋_GBK"/>
          <w:kern w:val="0"/>
          <w:sz w:val="32"/>
          <w:szCs w:val="32"/>
        </w:rPr>
        <w:t>—</w:t>
      </w:r>
      <w:r>
        <w:rPr>
          <w:rFonts w:hint="eastAsia" w:ascii="方正仿宋_GBK" w:hAnsi="????" w:eastAsia="方正仿宋_GBK" w:cs="方正仿宋_GBK"/>
          <w:kern w:val="0"/>
          <w:sz w:val="32"/>
          <w:szCs w:val="32"/>
        </w:rPr>
        <w:t>工作活动”为依据，确定部门预算项目和预算额度，清晰描述预算项目开支范围和内容，确定预算项目的绩效目标、绩效指标和评价标准，为预算绩效控制、绩效分析、绩效评价打下好的基础。</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rPr>
        <w:t>财政政策执行情况。</w:t>
      </w:r>
    </w:p>
    <w:p>
      <w:pPr>
        <w:spacing w:line="560" w:lineRule="exact"/>
        <w:ind w:firstLine="664" w:firstLineChars="200"/>
        <w:rPr>
          <w:rFonts w:ascii="方正仿宋_GBK" w:hAnsi="????" w:eastAsia="方正仿宋_GBK" w:cs="方正仿宋_GBK"/>
          <w:color w:val="000000"/>
          <w:spacing w:val="6"/>
          <w:kern w:val="0"/>
          <w:sz w:val="32"/>
          <w:szCs w:val="32"/>
          <w:highlight w:val="white"/>
          <w:lang w:val="zh-CN"/>
        </w:rPr>
      </w:pPr>
      <w:r>
        <w:rPr>
          <w:rFonts w:hint="eastAsia" w:ascii="方正仿宋_GBK" w:hAnsi="????" w:eastAsia="方正仿宋_GBK" w:cs="方正仿宋_GBK"/>
          <w:color w:val="000000"/>
          <w:spacing w:val="6"/>
          <w:kern w:val="0"/>
          <w:sz w:val="32"/>
          <w:szCs w:val="32"/>
          <w:highlight w:val="white"/>
          <w:lang w:val="zh-CN"/>
        </w:rPr>
        <w:t>（</w:t>
      </w:r>
      <w:r>
        <w:rPr>
          <w:rFonts w:ascii="方正仿宋_GBK" w:hAnsi="????" w:eastAsia="方正仿宋_GBK" w:cs="方正仿宋_GBK"/>
          <w:color w:val="000000"/>
          <w:spacing w:val="6"/>
          <w:kern w:val="0"/>
          <w:sz w:val="32"/>
          <w:szCs w:val="32"/>
          <w:highlight w:val="white"/>
          <w:lang w:val="zh-CN"/>
        </w:rPr>
        <w:t>1</w:t>
      </w:r>
      <w:r>
        <w:rPr>
          <w:rFonts w:hint="eastAsia" w:ascii="方正仿宋_GBK" w:hAnsi="????" w:eastAsia="方正仿宋_GBK" w:cs="方正仿宋_GBK"/>
          <w:color w:val="000000"/>
          <w:spacing w:val="6"/>
          <w:kern w:val="0"/>
          <w:sz w:val="32"/>
          <w:szCs w:val="32"/>
          <w:highlight w:val="white"/>
          <w:lang w:val="zh-CN"/>
        </w:rPr>
        <w:t>）国库集中支付</w:t>
      </w:r>
    </w:p>
    <w:p>
      <w:pPr>
        <w:tabs>
          <w:tab w:val="center" w:pos="4153"/>
          <w:tab w:val="left" w:pos="5175"/>
        </w:tabs>
        <w:autoSpaceDE w:val="0"/>
        <w:autoSpaceDN w:val="0"/>
        <w:adjustRightInd w:val="0"/>
        <w:spacing w:line="560" w:lineRule="exact"/>
        <w:ind w:firstLine="560"/>
        <w:rPr>
          <w:rFonts w:ascii="方正仿宋_GBK" w:hAnsi="????" w:eastAsia="方正仿宋_GBK" w:cs="方正仿宋_GBK"/>
          <w:color w:val="000000"/>
          <w:kern w:val="0"/>
          <w:sz w:val="32"/>
          <w:szCs w:val="32"/>
          <w:lang w:val="zh-CN"/>
        </w:rPr>
      </w:pPr>
      <w:r>
        <w:rPr>
          <w:rFonts w:hint="eastAsia" w:ascii="方正仿宋_GBK" w:hAnsi="????" w:eastAsia="方正仿宋_GBK" w:cs="方正仿宋_GBK"/>
          <w:spacing w:val="8"/>
          <w:kern w:val="0"/>
          <w:sz w:val="32"/>
          <w:szCs w:val="32"/>
          <w:lang w:val="zh-CN"/>
        </w:rPr>
        <w:t>我社严格实行</w:t>
      </w:r>
      <w:r>
        <w:rPr>
          <w:rFonts w:hint="eastAsia" w:ascii="方正仿宋_GBK" w:hAnsi="????" w:eastAsia="方正仿宋_GBK" w:cs="方正仿宋_GBK"/>
          <w:kern w:val="0"/>
          <w:sz w:val="32"/>
          <w:szCs w:val="32"/>
          <w:lang w:val="zh-CN"/>
        </w:rPr>
        <w:t>国库集中支付</w:t>
      </w:r>
      <w:r>
        <w:rPr>
          <w:rFonts w:hint="eastAsia" w:ascii="方正仿宋_GBK" w:hAnsi="????" w:eastAsia="方正仿宋_GBK" w:cs="方正仿宋_GBK"/>
          <w:spacing w:val="8"/>
          <w:kern w:val="0"/>
          <w:sz w:val="32"/>
          <w:szCs w:val="32"/>
          <w:lang w:val="zh-CN"/>
        </w:rPr>
        <w:t>制度</w:t>
      </w:r>
      <w:r>
        <w:rPr>
          <w:rFonts w:hint="eastAsia" w:ascii="方正仿宋_GBK" w:hAnsi="????" w:eastAsia="方正仿宋_GBK" w:cs="方正仿宋_GBK"/>
          <w:kern w:val="0"/>
          <w:sz w:val="32"/>
          <w:szCs w:val="32"/>
          <w:lang w:val="zh-CN"/>
        </w:rPr>
        <w:t>，使财政资金运行的透明度得到提高，监管力度得以加强，有效的保障了财政资金安全和高效运行；</w:t>
      </w:r>
      <w:r>
        <w:rPr>
          <w:rFonts w:hint="eastAsia" w:ascii="方正仿宋_GBK" w:hAnsi="????" w:eastAsia="方正仿宋_GBK" w:cs="方正仿宋_GBK"/>
          <w:color w:val="000000"/>
          <w:kern w:val="0"/>
          <w:sz w:val="32"/>
          <w:szCs w:val="32"/>
          <w:lang w:val="zh-CN"/>
        </w:rPr>
        <w:t>使所有财政性资金都按规范程序在国库单一账户体系内运作，减少预算执行和资金管理方面的随意性，也避免部分收支体外循环；增强财政支出活动的透明度，将资金拨付全过程置于有效的监管之下，使管理监督全面有效，进一步减少财政资金拨付环节，使预算单位用款更加及时便利，保证了我社预算支出中直接支付比例高于市本级平均水平。</w:t>
      </w:r>
    </w:p>
    <w:p>
      <w:pPr>
        <w:tabs>
          <w:tab w:val="center" w:pos="4153"/>
          <w:tab w:val="left" w:pos="5175"/>
        </w:tabs>
        <w:autoSpaceDE w:val="0"/>
        <w:autoSpaceDN w:val="0"/>
        <w:adjustRightInd w:val="0"/>
        <w:spacing w:line="560" w:lineRule="exact"/>
        <w:rPr>
          <w:rFonts w:ascii="方正仿宋_GBK" w:hAnsi="????" w:eastAsia="方正仿宋_GBK" w:cs="方正仿宋_GBK"/>
          <w:color w:val="000000"/>
          <w:kern w:val="0"/>
          <w:sz w:val="32"/>
          <w:szCs w:val="32"/>
          <w:lang w:val="zh-CN"/>
        </w:rPr>
      </w:pPr>
      <w:r>
        <w:rPr>
          <w:rFonts w:ascii="方正仿宋_GBK" w:hAnsi="????" w:eastAsia="方正仿宋_GBK" w:cs="方正仿宋_GBK"/>
          <w:color w:val="000000"/>
          <w:kern w:val="0"/>
          <w:sz w:val="32"/>
          <w:szCs w:val="32"/>
          <w:lang w:val="zh-CN"/>
        </w:rPr>
        <w:t xml:space="preserve">   </w:t>
      </w:r>
      <w:r>
        <w:rPr>
          <w:rFonts w:hint="eastAsia" w:ascii="方正仿宋_GBK" w:hAnsi="????" w:eastAsia="方正仿宋_GBK" w:cs="方正仿宋_GBK"/>
          <w:color w:val="000000"/>
          <w:kern w:val="0"/>
          <w:sz w:val="32"/>
          <w:szCs w:val="32"/>
          <w:lang w:val="zh-CN"/>
        </w:rPr>
        <w:t>（</w:t>
      </w:r>
      <w:r>
        <w:rPr>
          <w:rFonts w:ascii="方正仿宋_GBK" w:hAnsi="????" w:eastAsia="方正仿宋_GBK" w:cs="方正仿宋_GBK"/>
          <w:color w:val="000000"/>
          <w:kern w:val="0"/>
          <w:sz w:val="32"/>
          <w:szCs w:val="32"/>
          <w:lang w:val="zh-CN"/>
        </w:rPr>
        <w:t>2</w:t>
      </w:r>
      <w:r>
        <w:rPr>
          <w:rFonts w:hint="eastAsia" w:ascii="方正仿宋_GBK" w:hAnsi="????" w:eastAsia="方正仿宋_GBK" w:cs="方正仿宋_GBK"/>
          <w:color w:val="000000"/>
          <w:kern w:val="0"/>
          <w:sz w:val="32"/>
          <w:szCs w:val="32"/>
          <w:lang w:val="zh-CN"/>
        </w:rPr>
        <w:t>）公务卡改革</w:t>
      </w:r>
    </w:p>
    <w:p>
      <w:pPr>
        <w:tabs>
          <w:tab w:val="center" w:pos="4153"/>
          <w:tab w:val="left" w:pos="5175"/>
        </w:tabs>
        <w:autoSpaceDE w:val="0"/>
        <w:autoSpaceDN w:val="0"/>
        <w:adjustRightInd w:val="0"/>
        <w:spacing w:line="560" w:lineRule="exact"/>
        <w:rPr>
          <w:rFonts w:ascii="方正仿宋_GBK" w:hAnsi="????" w:eastAsia="方正仿宋_GBK" w:cs="方正仿宋_GBK"/>
          <w:color w:val="000000"/>
          <w:kern w:val="0"/>
          <w:sz w:val="32"/>
          <w:szCs w:val="32"/>
          <w:highlight w:val="white"/>
          <w:lang w:val="zh-CN"/>
        </w:rPr>
      </w:pPr>
      <w:r>
        <w:rPr>
          <w:rFonts w:ascii="方正仿宋_GBK" w:hAnsi="????" w:eastAsia="方正仿宋_GBK" w:cs="方正仿宋_GBK"/>
          <w:color w:val="000000"/>
          <w:kern w:val="0"/>
          <w:sz w:val="32"/>
          <w:szCs w:val="32"/>
          <w:highlight w:val="white"/>
          <w:lang w:val="zh-CN"/>
        </w:rPr>
        <w:t xml:space="preserve">    </w:t>
      </w:r>
      <w:r>
        <w:rPr>
          <w:rFonts w:hint="eastAsia" w:ascii="方正仿宋_GBK" w:hAnsi="????" w:eastAsia="方正仿宋_GBK" w:cs="方正仿宋_GBK"/>
          <w:color w:val="000000"/>
          <w:kern w:val="0"/>
          <w:sz w:val="32"/>
          <w:szCs w:val="32"/>
          <w:highlight w:val="white"/>
          <w:lang w:val="zh-CN"/>
        </w:rPr>
        <w:t>我社制定了公务接待等行政性支出管理办法，推行了公务卡强制结算、支出预警止付等监控措施，严格按照公务卡编制结算目录使用公务卡公务结算，强化了支出管控。全年我社公务接待费、（公车购置费）、公车运行费、会议费等在上年大幅下降的基础上，又有所下降，</w:t>
      </w:r>
      <w:r>
        <w:rPr>
          <w:rFonts w:hint="eastAsia" w:ascii="方正仿宋_GBK" w:hAnsi="????" w:eastAsia="方正仿宋_GBK" w:cs="华文仿宋"/>
          <w:kern w:val="0"/>
          <w:sz w:val="32"/>
          <w:szCs w:val="32"/>
          <w:lang w:val="zh-CN"/>
        </w:rPr>
        <w:t>公务卡结算支出额在单位非转账授权支付中所占比例又有所提高，</w:t>
      </w:r>
      <w:r>
        <w:rPr>
          <w:rFonts w:hint="eastAsia" w:ascii="方正仿宋_GBK" w:hAnsi="????" w:eastAsia="方正仿宋_GBK" w:cs="方正仿宋_GBK"/>
          <w:color w:val="000000"/>
          <w:kern w:val="0"/>
          <w:sz w:val="32"/>
          <w:szCs w:val="32"/>
          <w:highlight w:val="white"/>
          <w:lang w:val="zh-CN"/>
        </w:rPr>
        <w:t>控支效果好。</w:t>
      </w:r>
    </w:p>
    <w:p>
      <w:pPr>
        <w:tabs>
          <w:tab w:val="center" w:pos="4153"/>
          <w:tab w:val="left" w:pos="5175"/>
        </w:tabs>
        <w:autoSpaceDE w:val="0"/>
        <w:autoSpaceDN w:val="0"/>
        <w:adjustRightInd w:val="0"/>
        <w:spacing w:line="560" w:lineRule="exact"/>
        <w:rPr>
          <w:rFonts w:ascii="方正仿宋_GBK" w:hAnsi="????" w:eastAsia="方正仿宋_GBK" w:cs="方正仿宋_GBK"/>
          <w:color w:val="000000"/>
          <w:kern w:val="0"/>
          <w:sz w:val="32"/>
          <w:szCs w:val="32"/>
          <w:highlight w:val="white"/>
          <w:lang w:val="zh-CN"/>
        </w:rPr>
      </w:pPr>
      <w:r>
        <w:rPr>
          <w:rFonts w:ascii="方正仿宋_GBK" w:hAnsi="????" w:eastAsia="方正仿宋_GBK" w:cs="方正仿宋_GBK"/>
          <w:color w:val="000000"/>
          <w:kern w:val="0"/>
          <w:sz w:val="32"/>
          <w:szCs w:val="32"/>
          <w:highlight w:val="white"/>
          <w:lang w:val="zh-CN"/>
        </w:rPr>
        <w:t xml:space="preserve">   </w:t>
      </w:r>
      <w:r>
        <w:rPr>
          <w:rFonts w:hint="eastAsia" w:ascii="方正仿宋_GBK" w:hAnsi="????" w:eastAsia="方正仿宋_GBK" w:cs="方正仿宋_GBK"/>
          <w:color w:val="000000"/>
          <w:kern w:val="0"/>
          <w:sz w:val="32"/>
          <w:szCs w:val="32"/>
          <w:highlight w:val="white"/>
          <w:lang w:val="zh-CN"/>
        </w:rPr>
        <w:t>（</w:t>
      </w:r>
      <w:r>
        <w:rPr>
          <w:rFonts w:ascii="方正仿宋_GBK" w:hAnsi="????" w:eastAsia="方正仿宋_GBK" w:cs="方正仿宋_GBK"/>
          <w:color w:val="000000"/>
          <w:kern w:val="0"/>
          <w:sz w:val="32"/>
          <w:szCs w:val="32"/>
          <w:highlight w:val="white"/>
          <w:lang w:val="zh-CN"/>
        </w:rPr>
        <w:t>3</w:t>
      </w:r>
      <w:r>
        <w:rPr>
          <w:rFonts w:hint="eastAsia" w:ascii="方正仿宋_GBK" w:hAnsi="????" w:eastAsia="方正仿宋_GBK" w:cs="方正仿宋_GBK"/>
          <w:color w:val="000000"/>
          <w:kern w:val="0"/>
          <w:sz w:val="32"/>
          <w:szCs w:val="32"/>
          <w:highlight w:val="white"/>
          <w:lang w:val="zh-CN"/>
        </w:rPr>
        <w:t>）政府采购政策执行</w:t>
      </w:r>
    </w:p>
    <w:p>
      <w:pPr>
        <w:autoSpaceDE w:val="0"/>
        <w:autoSpaceDN w:val="0"/>
        <w:adjustRightInd w:val="0"/>
        <w:spacing w:line="560" w:lineRule="exact"/>
        <w:ind w:firstLine="632"/>
        <w:rPr>
          <w:rFonts w:ascii="方正仿宋_GBK" w:hAnsi="????" w:eastAsia="方正仿宋_GBK" w:cs="方正仿宋_GBK"/>
          <w:color w:val="000000"/>
          <w:kern w:val="0"/>
          <w:sz w:val="32"/>
          <w:szCs w:val="32"/>
          <w:highlight w:val="white"/>
          <w:lang w:val="zh-CN"/>
        </w:rPr>
      </w:pPr>
      <w:r>
        <w:rPr>
          <w:rFonts w:hint="eastAsia" w:ascii="方正仿宋_GBK" w:hAnsi="????" w:eastAsia="方正仿宋_GBK" w:cs="方正仿宋_GBK"/>
          <w:color w:val="333333"/>
          <w:kern w:val="0"/>
          <w:sz w:val="32"/>
          <w:szCs w:val="32"/>
          <w:highlight w:val="white"/>
          <w:lang w:val="zh-CN"/>
        </w:rPr>
        <w:t>我社严格执行政府采购相关规定，统一部署、认真组织，合理安排项目申报，完善项目前期报批手续，并按期办理计划申报及资金支付工作，保证采购经费限期完成支付，</w:t>
      </w:r>
      <w:r>
        <w:rPr>
          <w:rFonts w:hint="eastAsia" w:ascii="方正仿宋_GBK" w:hAnsi="????" w:eastAsia="方正仿宋_GBK" w:cs="方正仿宋_GBK"/>
          <w:color w:val="000000"/>
          <w:kern w:val="0"/>
          <w:sz w:val="32"/>
          <w:szCs w:val="32"/>
          <w:highlight w:val="white"/>
          <w:lang w:val="zh-CN"/>
        </w:rPr>
        <w:t>采购效率得到提高，做到了政府采购预算应编尽编、采购项目不遗漏、采购行为规范、应采尽采。</w:t>
      </w:r>
    </w:p>
    <w:p>
      <w:pPr>
        <w:autoSpaceDE w:val="0"/>
        <w:autoSpaceDN w:val="0"/>
        <w:adjustRightInd w:val="0"/>
        <w:spacing w:line="560" w:lineRule="exact"/>
        <w:ind w:firstLine="640" w:firstLineChars="200"/>
        <w:rPr>
          <w:rFonts w:ascii="方正仿宋_GBK" w:hAnsi="????" w:eastAsia="方正仿宋_GBK" w:cs="方正仿宋_GBK"/>
          <w:color w:val="000000"/>
          <w:kern w:val="0"/>
          <w:sz w:val="32"/>
          <w:szCs w:val="32"/>
          <w:highlight w:val="white"/>
          <w:lang w:val="zh-CN"/>
        </w:rPr>
      </w:pPr>
      <w:r>
        <w:rPr>
          <w:rFonts w:hint="eastAsia" w:ascii="方正仿宋_GBK" w:hAnsi="????" w:eastAsia="方正仿宋_GBK" w:cs="方正仿宋_GBK"/>
          <w:color w:val="000000"/>
          <w:kern w:val="0"/>
          <w:sz w:val="32"/>
          <w:szCs w:val="32"/>
          <w:highlight w:val="white"/>
          <w:lang w:val="zh-CN"/>
        </w:rPr>
        <w:t>（</w:t>
      </w:r>
      <w:r>
        <w:rPr>
          <w:rFonts w:ascii="方正仿宋_GBK" w:hAnsi="????" w:eastAsia="方正仿宋_GBK" w:cs="方正仿宋_GBK"/>
          <w:color w:val="000000"/>
          <w:kern w:val="0"/>
          <w:sz w:val="32"/>
          <w:szCs w:val="32"/>
          <w:highlight w:val="white"/>
          <w:lang w:val="zh-CN"/>
        </w:rPr>
        <w:t>5</w:t>
      </w:r>
      <w:r>
        <w:rPr>
          <w:rFonts w:hint="eastAsia" w:ascii="方正仿宋_GBK" w:hAnsi="????" w:eastAsia="方正仿宋_GBK" w:cs="方正仿宋_GBK"/>
          <w:color w:val="000000"/>
          <w:kern w:val="0"/>
          <w:sz w:val="32"/>
          <w:szCs w:val="32"/>
          <w:highlight w:val="white"/>
          <w:lang w:val="zh-CN"/>
        </w:rPr>
        <w:t>）厉行节约</w:t>
      </w:r>
    </w:p>
    <w:p>
      <w:pPr>
        <w:autoSpaceDE w:val="0"/>
        <w:autoSpaceDN w:val="0"/>
        <w:adjustRightInd w:val="0"/>
        <w:spacing w:line="560" w:lineRule="exact"/>
        <w:ind w:firstLine="589"/>
        <w:rPr>
          <w:rFonts w:ascii="方正仿宋_GBK" w:eastAsia="方正仿宋_GBK"/>
          <w:sz w:val="32"/>
          <w:szCs w:val="32"/>
        </w:rPr>
      </w:pPr>
      <w:r>
        <w:rPr>
          <w:rFonts w:hint="eastAsia" w:ascii="方正仿宋_GBK" w:hAnsi="????" w:eastAsia="方正仿宋_GBK" w:cs="方正仿宋_GBK"/>
          <w:color w:val="000000"/>
          <w:kern w:val="0"/>
          <w:sz w:val="32"/>
          <w:szCs w:val="32"/>
          <w:highlight w:val="white"/>
          <w:lang w:val="zh-CN"/>
        </w:rPr>
        <w:t>我社深入贯彻中央关于改进工作作风的八项规定精神，深入</w:t>
      </w:r>
      <w:r>
        <w:rPr>
          <w:rFonts w:hint="eastAsia" w:ascii="方正仿宋_GBK" w:hAnsi="????" w:eastAsia="方正仿宋_GBK" w:cs="方正仿宋_GBK"/>
          <w:color w:val="000000"/>
          <w:spacing w:val="4"/>
          <w:kern w:val="0"/>
          <w:sz w:val="32"/>
          <w:szCs w:val="32"/>
          <w:highlight w:val="white"/>
          <w:lang w:val="zh-CN"/>
        </w:rPr>
        <w:t>开展“厉行节约，反对铺张浪费”活动，建设节约型单</w:t>
      </w:r>
      <w:r>
        <w:rPr>
          <w:rFonts w:hint="eastAsia" w:ascii="方正仿宋_GBK" w:hAnsi="????" w:eastAsia="方正仿宋_GBK" w:cs="方正仿宋_GBK"/>
          <w:color w:val="000000"/>
          <w:spacing w:val="2"/>
          <w:kern w:val="0"/>
          <w:sz w:val="32"/>
          <w:szCs w:val="32"/>
          <w:highlight w:val="white"/>
          <w:lang w:val="zh-CN"/>
        </w:rPr>
        <w:t>位，本着勤俭、科学、合理、节约的原则，提高资金使用效</w:t>
      </w:r>
      <w:r>
        <w:rPr>
          <w:rFonts w:hint="eastAsia" w:ascii="方正仿宋_GBK" w:hAnsi="????" w:eastAsia="方正仿宋_GBK" w:cs="方正仿宋_GBK"/>
          <w:color w:val="000000"/>
          <w:spacing w:val="3"/>
          <w:kern w:val="0"/>
          <w:sz w:val="32"/>
          <w:szCs w:val="32"/>
          <w:highlight w:val="white"/>
          <w:lang w:val="zh-CN"/>
        </w:rPr>
        <w:t>益。</w:t>
      </w:r>
      <w:r>
        <w:rPr>
          <w:rFonts w:ascii="方正仿宋_GBK" w:hAnsi="????" w:eastAsia="方正仿宋_GBK" w:cs="方正仿宋_GBK"/>
          <w:color w:val="000000"/>
          <w:spacing w:val="3"/>
          <w:kern w:val="0"/>
          <w:sz w:val="32"/>
          <w:szCs w:val="32"/>
          <w:highlight w:val="white"/>
          <w:lang w:val="zh-CN"/>
        </w:rPr>
        <w:t>20</w:t>
      </w:r>
      <w:r>
        <w:rPr>
          <w:rFonts w:ascii="方正仿宋_GBK" w:hAnsi="????" w:eastAsia="方正仿宋_GBK" w:cs="方正仿宋_GBK"/>
          <w:color w:val="000000"/>
          <w:spacing w:val="3"/>
          <w:kern w:val="0"/>
          <w:sz w:val="32"/>
          <w:szCs w:val="32"/>
          <w:highlight w:val="white"/>
        </w:rPr>
        <w:t>2</w:t>
      </w:r>
      <w:r>
        <w:rPr>
          <w:rFonts w:hint="eastAsia" w:ascii="方正仿宋_GBK" w:hAnsi="????" w:eastAsia="方正仿宋_GBK" w:cs="方正仿宋_GBK"/>
          <w:color w:val="000000"/>
          <w:spacing w:val="3"/>
          <w:kern w:val="0"/>
          <w:sz w:val="32"/>
          <w:szCs w:val="32"/>
          <w:highlight w:val="white"/>
          <w:lang w:val="en-US" w:eastAsia="zh-CN"/>
        </w:rPr>
        <w:t>1</w:t>
      </w:r>
      <w:r>
        <w:rPr>
          <w:rFonts w:hint="eastAsia" w:ascii="方正仿宋_GBK" w:hAnsi="????" w:eastAsia="方正仿宋_GBK" w:cs="方正仿宋_GBK"/>
          <w:color w:val="000000"/>
          <w:spacing w:val="3"/>
          <w:kern w:val="0"/>
          <w:sz w:val="32"/>
          <w:szCs w:val="32"/>
          <w:highlight w:val="white"/>
          <w:lang w:val="zh-CN"/>
        </w:rPr>
        <w:t>年我社继续</w:t>
      </w:r>
      <w:r>
        <w:rPr>
          <w:rFonts w:hint="eastAsia" w:ascii="方正仿宋_GBK" w:hAnsi="????" w:eastAsia="方正仿宋_GBK" w:cs="方正仿宋_GBK"/>
          <w:color w:val="000000"/>
          <w:kern w:val="0"/>
          <w:sz w:val="32"/>
          <w:szCs w:val="32"/>
          <w:highlight w:val="white"/>
          <w:lang w:val="zh-CN"/>
        </w:rPr>
        <w:t>执行好机关差旅费、会议费等八项经费管理办法，严格规范公务活动支出，</w:t>
      </w:r>
      <w:r>
        <w:rPr>
          <w:rFonts w:hint="eastAsia" w:ascii="方正仿宋_GBK" w:hAnsi="????" w:eastAsia="方正仿宋_GBK" w:cs="方正仿宋_GBK"/>
          <w:color w:val="000000"/>
          <w:spacing w:val="8"/>
          <w:kern w:val="0"/>
          <w:sz w:val="32"/>
          <w:szCs w:val="32"/>
          <w:highlight w:val="white"/>
          <w:lang w:val="zh-CN"/>
        </w:rPr>
        <w:t>严格控制一般性支出</w:t>
      </w:r>
      <w:r>
        <w:rPr>
          <w:rFonts w:hint="eastAsia" w:ascii="方正仿宋_GBK" w:hAnsi="????" w:eastAsia="方正仿宋_GBK" w:cs="方正仿宋_GBK"/>
          <w:color w:val="000000"/>
          <w:kern w:val="0"/>
          <w:sz w:val="32"/>
          <w:szCs w:val="32"/>
          <w:highlight w:val="white"/>
          <w:lang w:val="zh-CN"/>
        </w:rPr>
        <w:t>。深化国库集中支付制度改革，积极公开部门预决算和“三公”经费预决算，接受社会各界监督。全年做到了使用经费开支合规，无违规和超标开支行为，“三公”经费严格按政府规定目标进行限制和压缩，全部未超标。</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rPr>
        <w:t>财经纪律执行情况。</w:t>
      </w:r>
    </w:p>
    <w:p>
      <w:pPr>
        <w:autoSpaceDE w:val="0"/>
        <w:autoSpaceDN w:val="0"/>
        <w:adjustRightInd w:val="0"/>
        <w:spacing w:line="560" w:lineRule="exact"/>
        <w:ind w:firstLine="672" w:firstLineChars="200"/>
        <w:rPr>
          <w:rFonts w:ascii="方正仿宋_GBK" w:hAnsi="????" w:eastAsia="方正仿宋_GBK" w:cs="方正仿宋_GBK"/>
          <w:color w:val="000000"/>
          <w:spacing w:val="8"/>
          <w:kern w:val="0"/>
          <w:sz w:val="32"/>
          <w:szCs w:val="32"/>
          <w:highlight w:val="white"/>
          <w:lang w:val="zh-CN"/>
        </w:rPr>
      </w:pPr>
      <w:r>
        <w:rPr>
          <w:rFonts w:hint="eastAsia" w:ascii="方正仿宋_GBK" w:hAnsi="????" w:eastAsia="方正仿宋_GBK" w:cs="方正仿宋_GBK"/>
          <w:color w:val="000000"/>
          <w:spacing w:val="8"/>
          <w:kern w:val="0"/>
          <w:sz w:val="32"/>
          <w:szCs w:val="32"/>
          <w:highlight w:val="white"/>
          <w:lang w:val="zh-CN"/>
        </w:rPr>
        <w:t>（</w:t>
      </w:r>
      <w:r>
        <w:rPr>
          <w:rFonts w:ascii="方正仿宋_GBK" w:hAnsi="????" w:eastAsia="方正仿宋_GBK" w:cs="方正仿宋_GBK"/>
          <w:color w:val="000000"/>
          <w:spacing w:val="8"/>
          <w:kern w:val="0"/>
          <w:sz w:val="32"/>
          <w:szCs w:val="32"/>
          <w:highlight w:val="white"/>
          <w:lang w:val="zh-CN"/>
        </w:rPr>
        <w:t>1</w:t>
      </w:r>
      <w:r>
        <w:rPr>
          <w:rFonts w:hint="eastAsia" w:ascii="方正仿宋_GBK" w:hAnsi="????" w:eastAsia="方正仿宋_GBK" w:cs="方正仿宋_GBK"/>
          <w:color w:val="000000"/>
          <w:spacing w:val="8"/>
          <w:kern w:val="0"/>
          <w:sz w:val="32"/>
          <w:szCs w:val="32"/>
          <w:highlight w:val="white"/>
          <w:lang w:val="zh-CN"/>
        </w:rPr>
        <w:t>）审计监察</w:t>
      </w:r>
    </w:p>
    <w:p>
      <w:pPr>
        <w:autoSpaceDE w:val="0"/>
        <w:autoSpaceDN w:val="0"/>
        <w:adjustRightInd w:val="0"/>
        <w:spacing w:line="560" w:lineRule="exact"/>
        <w:ind w:firstLine="640"/>
        <w:rPr>
          <w:rFonts w:ascii="方正仿宋_GBK" w:hAnsi="????" w:eastAsia="方正仿宋_GBK" w:cs="方正仿宋_GBK"/>
          <w:color w:val="000000"/>
          <w:kern w:val="0"/>
          <w:sz w:val="32"/>
          <w:szCs w:val="32"/>
          <w:highlight w:val="white"/>
          <w:lang w:val="zh-CN"/>
        </w:rPr>
      </w:pPr>
      <w:r>
        <w:rPr>
          <w:rFonts w:hint="eastAsia" w:ascii="方正仿宋_GBK" w:hAnsi="????" w:eastAsia="方正仿宋_GBK" w:cs="方正仿宋_GBK"/>
          <w:color w:val="000000"/>
          <w:spacing w:val="8"/>
          <w:kern w:val="0"/>
          <w:sz w:val="32"/>
          <w:szCs w:val="32"/>
          <w:highlight w:val="white"/>
          <w:lang w:val="zh-CN"/>
        </w:rPr>
        <w:t>我社有专门的审计科，在工作中我们采取灵活的审计方式，按照直接审计与间接审计相结合，内部审计与外部审计相结合，委托或授权审计机构相结合等方式，每年开展一次内部审计监察工作，对系统内部控制和风险管理的有效性、财务信息的真实性和完整性以及经营活动的效率和效果等开展评价，客观的履行监督和评价职能，促进下属单位强化内部控制、改善风险管理、实现系统良性发展。每两年对</w:t>
      </w:r>
      <w:r>
        <w:rPr>
          <w:rFonts w:hint="eastAsia" w:ascii="方正仿宋_GBK" w:hAnsi="????" w:eastAsia="方正仿宋_GBK" w:cs="方正仿宋_GBK"/>
          <w:color w:val="000000"/>
          <w:kern w:val="0"/>
          <w:sz w:val="32"/>
          <w:szCs w:val="32"/>
          <w:highlight w:val="white"/>
          <w:lang w:val="zh-CN"/>
        </w:rPr>
        <w:t>全市供销系统财政专项资金和市直属企业财务资金进行审计监督工作，促进了各核算单位规范管理，提高了经济运行质量和效率，同时积极诚恳接受市审计局、市财政局等部门的检查监督，有了问题及时改、有效纠正，把工作做得更好。</w:t>
      </w:r>
    </w:p>
    <w:p>
      <w:pPr>
        <w:autoSpaceDE w:val="0"/>
        <w:autoSpaceDN w:val="0"/>
        <w:adjustRightInd w:val="0"/>
        <w:spacing w:line="560" w:lineRule="exact"/>
        <w:rPr>
          <w:rFonts w:ascii="方正仿宋_GBK" w:hAnsi="????" w:eastAsia="方正仿宋_GBK" w:cs="方正仿宋_GBK"/>
          <w:color w:val="000000"/>
          <w:spacing w:val="8"/>
          <w:kern w:val="0"/>
          <w:sz w:val="32"/>
          <w:szCs w:val="32"/>
          <w:highlight w:val="white"/>
          <w:lang w:val="zh-CN"/>
        </w:rPr>
      </w:pPr>
      <w:r>
        <w:rPr>
          <w:rFonts w:ascii="方正仿宋_GBK" w:hAnsi="????" w:eastAsia="方正仿宋_GBK" w:cs="方正仿宋_GBK"/>
          <w:color w:val="000000"/>
          <w:spacing w:val="8"/>
          <w:kern w:val="0"/>
          <w:sz w:val="32"/>
          <w:szCs w:val="32"/>
          <w:highlight w:val="white"/>
          <w:lang w:val="zh-CN"/>
        </w:rPr>
        <w:t xml:space="preserve">   </w:t>
      </w:r>
      <w:r>
        <w:rPr>
          <w:rFonts w:hint="eastAsia" w:ascii="方正仿宋_GBK" w:hAnsi="????" w:eastAsia="方正仿宋_GBK" w:cs="方正仿宋_GBK"/>
          <w:color w:val="000000"/>
          <w:spacing w:val="8"/>
          <w:kern w:val="0"/>
          <w:sz w:val="32"/>
          <w:szCs w:val="32"/>
          <w:highlight w:val="white"/>
          <w:lang w:val="zh-CN"/>
        </w:rPr>
        <w:t>（</w:t>
      </w:r>
      <w:r>
        <w:rPr>
          <w:rFonts w:ascii="方正仿宋_GBK" w:hAnsi="????" w:eastAsia="方正仿宋_GBK" w:cs="方正仿宋_GBK"/>
          <w:color w:val="000000"/>
          <w:spacing w:val="8"/>
          <w:kern w:val="0"/>
          <w:sz w:val="32"/>
          <w:szCs w:val="32"/>
          <w:highlight w:val="white"/>
          <w:lang w:val="zh-CN"/>
        </w:rPr>
        <w:t>2</w:t>
      </w:r>
      <w:r>
        <w:rPr>
          <w:rFonts w:hint="eastAsia" w:ascii="方正仿宋_GBK" w:hAnsi="????" w:eastAsia="方正仿宋_GBK" w:cs="方正仿宋_GBK"/>
          <w:color w:val="000000"/>
          <w:spacing w:val="8"/>
          <w:kern w:val="0"/>
          <w:sz w:val="32"/>
          <w:szCs w:val="32"/>
          <w:highlight w:val="white"/>
          <w:lang w:val="zh-CN"/>
        </w:rPr>
        <w:t>）预算执行动态监控</w:t>
      </w:r>
    </w:p>
    <w:p>
      <w:pPr>
        <w:spacing w:line="560" w:lineRule="exact"/>
        <w:rPr>
          <w:rFonts w:ascii="方正仿宋_GBK" w:eastAsia="方正仿宋_GBK"/>
          <w:sz w:val="32"/>
          <w:szCs w:val="32"/>
        </w:rPr>
      </w:pPr>
      <w:r>
        <w:rPr>
          <w:rFonts w:ascii="方正仿宋_GBK" w:hAnsi="????" w:eastAsia="方正仿宋_GBK" w:cs="方正仿宋_GBK"/>
          <w:color w:val="000000"/>
          <w:spacing w:val="8"/>
          <w:kern w:val="0"/>
          <w:sz w:val="32"/>
          <w:szCs w:val="32"/>
          <w:highlight w:val="white"/>
          <w:lang w:val="zh-CN"/>
        </w:rPr>
        <w:t xml:space="preserve">    </w:t>
      </w:r>
      <w:r>
        <w:rPr>
          <w:rFonts w:hint="eastAsia" w:ascii="方正仿宋_GBK" w:hAnsi="????" w:eastAsia="方正仿宋_GBK" w:cs="方正仿宋_GBK"/>
          <w:color w:val="000000"/>
          <w:kern w:val="0"/>
          <w:sz w:val="32"/>
          <w:szCs w:val="32"/>
          <w:highlight w:val="white"/>
          <w:lang w:val="zh-CN"/>
        </w:rPr>
        <w:t>按照相关要求，我社加强对“三公”经费、会议费、培训费、现金支出、科研经费、民生项目资金以及对下级政府转移支付资金使用等方面动态监控，加大现场核查力度，促进厉行节约和规范管理，严肃财经纪律，保障政策措施贯彻落实。单位分管财务工作的领导和工作人员随时了解掌握动态监控的规定，强化预算执行主体责任，不定时到相关单位现场核查，确保监控工作抓出实效、抓出影响力，全年经市财政局国库动态监控预警无违规支付行为。</w:t>
      </w:r>
    </w:p>
    <w:p>
      <w:pPr>
        <w:spacing w:line="560" w:lineRule="exact"/>
        <w:ind w:firstLine="640" w:firstLineChars="200"/>
        <w:rPr>
          <w:rFonts w:ascii="方正仿宋_GBK" w:hAnsi="方正仿宋_GBK" w:eastAsia="方正仿宋_GBK" w:cs="方正仿宋_GBK"/>
          <w:kern w:val="0"/>
          <w:sz w:val="32"/>
          <w:szCs w:val="32"/>
        </w:rPr>
      </w:pPr>
      <w:r>
        <w:rPr>
          <w:rFonts w:hint="eastAsia" w:ascii="方正楷体_GBK" w:eastAsia="方正楷体_GBK"/>
          <w:b/>
          <w:sz w:val="32"/>
          <w:szCs w:val="32"/>
        </w:rPr>
        <w:t>（四）部门项目绩效评价情况</w:t>
      </w:r>
    </w:p>
    <w:p>
      <w:pPr>
        <w:spacing w:line="560" w:lineRule="exact"/>
        <w:ind w:firstLine="640" w:firstLineChars="200"/>
      </w:pPr>
      <w:r>
        <w:rPr>
          <w:rFonts w:hint="eastAsia" w:ascii="方正仿宋_GBK" w:hAnsi="????" w:eastAsia="方正仿宋_GBK" w:cs="方正仿宋_GBK"/>
          <w:color w:val="000000"/>
          <w:kern w:val="0"/>
          <w:sz w:val="32"/>
          <w:szCs w:val="32"/>
          <w:highlight w:val="white"/>
          <w:lang w:val="zh-CN"/>
        </w:rPr>
        <w:t>我社对系统项目资金进行了绩效评价全覆盖，</w:t>
      </w:r>
      <w:r>
        <w:rPr>
          <w:rFonts w:hint="eastAsia" w:ascii="方正仿宋_GBK" w:hAnsi="????" w:eastAsia="方正仿宋_GBK" w:cs="方正仿宋_GBK"/>
          <w:bCs/>
          <w:color w:val="000000"/>
          <w:kern w:val="0"/>
          <w:sz w:val="32"/>
          <w:szCs w:val="32"/>
          <w:highlight w:val="white"/>
          <w:lang w:val="zh-CN"/>
        </w:rPr>
        <w:t>诚恳接受市财政局的监督评价，全年所有项目个数接受市社的内评和市财政局的绩效评价，效果良好。</w:t>
      </w:r>
    </w:p>
    <w:p>
      <w:pPr>
        <w:spacing w:line="560" w:lineRule="exact"/>
        <w:ind w:firstLine="640" w:firstLineChars="200"/>
        <w:rPr>
          <w:rFonts w:ascii="方正仿宋_GBK" w:hAnsi="黑体" w:eastAsia="方正仿宋_GBK"/>
          <w:sz w:val="32"/>
          <w:szCs w:val="32"/>
        </w:rPr>
      </w:pPr>
      <w:r>
        <w:rPr>
          <w:rFonts w:hint="eastAsia" w:ascii="方正黑体_GBK" w:hAnsi="黑体" w:eastAsia="方正黑体_GBK"/>
          <w:bCs/>
          <w:sz w:val="32"/>
          <w:szCs w:val="32"/>
        </w:rPr>
        <w:t>四、存在的问题</w:t>
      </w:r>
    </w:p>
    <w:p>
      <w:pPr>
        <w:autoSpaceDE w:val="0"/>
        <w:autoSpaceDN w:val="0"/>
        <w:adjustRightInd w:val="0"/>
        <w:spacing w:line="560" w:lineRule="exact"/>
        <w:ind w:firstLine="640" w:firstLineChars="200"/>
      </w:pPr>
      <w:r>
        <w:rPr>
          <w:rFonts w:hint="eastAsia" w:ascii="方正仿宋_GBK" w:hAnsi="仿宋" w:eastAsia="方正仿宋_GBK" w:cs="????"/>
          <w:kern w:val="0"/>
          <w:sz w:val="32"/>
          <w:szCs w:val="32"/>
        </w:rPr>
        <w:t>供销社作为服务农民生产生活的生力军和综合平台，由于资金等条件限制，为农服务水平等有待继续提高。</w:t>
      </w:r>
    </w:p>
    <w:p>
      <w:pPr>
        <w:spacing w:line="560" w:lineRule="exact"/>
        <w:ind w:firstLine="640" w:firstLineChars="200"/>
        <w:rPr>
          <w:rFonts w:ascii="方正黑体_GBK" w:hAnsi="黑体" w:eastAsia="方正黑体_GBK"/>
          <w:bCs/>
          <w:sz w:val="32"/>
          <w:szCs w:val="32"/>
        </w:rPr>
      </w:pPr>
      <w:r>
        <w:rPr>
          <w:rFonts w:hint="eastAsia" w:ascii="方正黑体_GBK" w:hAnsi="黑体" w:eastAsia="方正黑体_GBK"/>
          <w:bCs/>
          <w:sz w:val="32"/>
          <w:szCs w:val="32"/>
        </w:rPr>
        <w:t>五、整改建议和意见</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农问题作为全党工作的重中之重，为进一步坚定信心、落实工作，巩固发展农业农村好形势，供销社作为涉农的重要部门，应给予更大的政策和资金支持，以能够让其更好地发挥为农服务综合平台作用，在乡村振兴中贡献更大力量。</w:t>
      </w:r>
    </w:p>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color w:val="000000"/>
          <w:kern w:val="2"/>
          <w:sz w:val="44"/>
          <w:szCs w:val="44"/>
          <w:lang w:val="en-US" w:eastAsia="zh-CN" w:bidi="ar"/>
        </w:rPr>
        <w:t>2022年专项预算项目支出绩效自评报告</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 xml:space="preserve"> </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（废弃农膜回收网络提升改造工作经费）</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720"/>
        <w:jc w:val="both"/>
        <w:rPr>
          <w:rFonts w:hint="eastAsia" w:ascii="黑体" w:hAnsi="宋体" w:eastAsia="黑体" w:cs="Times New Roman"/>
          <w:b w:val="0"/>
          <w:bCs w:val="0"/>
          <w:kern w:val="2"/>
          <w:sz w:val="32"/>
          <w:szCs w:val="32"/>
        </w:rPr>
      </w:pPr>
      <w:r>
        <w:rPr>
          <w:rFonts w:hint="eastAsia" w:ascii="黑体" w:hAnsi="宋体" w:eastAsia="黑体" w:cs="Times New Roman"/>
          <w:b w:val="0"/>
          <w:bCs w:val="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zh-CN" w:eastAsia="zh-CN" w:bidi="ar"/>
        </w:rPr>
      </w:pPr>
      <w:r>
        <w:rPr>
          <w:rFonts w:hint="default" w:ascii="仿宋_GB2312" w:hAnsi="宋体" w:eastAsia="仿宋_GB2312" w:cs="仿宋_GB2312"/>
          <w:b w:val="0"/>
          <w:bCs w:val="0"/>
          <w:kern w:val="2"/>
          <w:sz w:val="32"/>
          <w:szCs w:val="32"/>
          <w:lang w:val="en-US" w:eastAsia="zh-CN" w:bidi="ar"/>
        </w:rPr>
        <w:t>2021年，是中国共产党成立100周年，是“十四五”开局之年，全市供销系统坚持以习近平新时代中国特色社会主义思想为指导，认真落实市委市政府各项决策部署，持续夯实基层基础，做强做大社有企业，持续深化废弃农膜回收网络提升改造项目，提升为农服务能力。</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楷体_GB2312"/>
          <w:b w:val="0"/>
          <w:bCs w:val="0"/>
          <w:kern w:val="2"/>
          <w:sz w:val="32"/>
          <w:szCs w:val="32"/>
          <w:lang w:val="en-US" w:eastAsia="zh-CN" w:bidi="ar"/>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项目绩效目标。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 xml:space="preserve"> 2021年将按照中华全国供销合作总社办公厅关于印发《供销合作社积极参与推进农膜治理工作方案》的通知（供销厅经字〔2020〕39号）为指导，根据乡镇区划的调整，因地制宜的打造高标准农膜回收网络，改造和建设高效便利的废旧农膜回收网络和布局合理的废旧农膜加工利用网络。</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绩效自评三级指标体系：</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1.数量指标：</w:t>
      </w:r>
    </w:p>
    <w:p>
      <w:pPr>
        <w:pStyle w:val="13"/>
        <w:keepNext w:val="0"/>
        <w:keepLines w:val="0"/>
        <w:widowControl w:val="0"/>
        <w:suppressLineNumbers w:val="0"/>
        <w:spacing w:before="0" w:beforeAutospacing="0" w:after="0" w:afterAutospacing="0"/>
        <w:ind w:left="0" w:leftChars="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指标一：处理率100%</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指标二：回收率80%以上</w:t>
      </w:r>
    </w:p>
    <w:p>
      <w:pPr>
        <w:keepNext w:val="0"/>
        <w:keepLines w:val="0"/>
        <w:widowControl w:val="0"/>
        <w:numPr>
          <w:ilvl w:val="0"/>
          <w:numId w:val="4"/>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bookmarkStart w:id="73" w:name="_GoBack"/>
      <w:bookmarkEnd w:id="73"/>
      <w:r>
        <w:rPr>
          <w:rFonts w:hint="default" w:ascii="仿宋_GB2312" w:hAnsi="宋体" w:eastAsia="仿宋_GB2312" w:cs="仿宋_GB2312"/>
          <w:b w:val="0"/>
          <w:bCs w:val="0"/>
          <w:kern w:val="2"/>
          <w:sz w:val="32"/>
          <w:szCs w:val="32"/>
          <w:lang w:val="en-US" w:eastAsia="zh-CN" w:bidi="ar"/>
        </w:rPr>
        <w:t>时效指标：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lang w:val="en-US"/>
        </w:rPr>
      </w:pPr>
      <w:r>
        <w:rPr>
          <w:rFonts w:hint="default" w:ascii="仿宋_GB2312" w:hAnsi="宋体" w:eastAsia="仿宋_GB2312" w:cs="仿宋_GB2312"/>
          <w:b w:val="0"/>
          <w:bCs w:val="0"/>
          <w:kern w:val="2"/>
          <w:sz w:val="32"/>
          <w:szCs w:val="32"/>
          <w:lang w:val="en-US" w:eastAsia="zh-CN" w:bidi="ar"/>
        </w:rPr>
        <w:t>指标一：完成时间：2021年12月</w:t>
      </w:r>
      <w:r>
        <w:rPr>
          <w:rFonts w:hint="eastAsia" w:ascii="仿宋_GB2312" w:hAnsi="宋体" w:eastAsia="仿宋_GB2312" w:cs="仿宋_GB2312"/>
          <w:b w:val="0"/>
          <w:bCs w:val="0"/>
          <w:kern w:val="2"/>
          <w:sz w:val="32"/>
          <w:szCs w:val="32"/>
          <w:lang w:val="en-US" w:eastAsia="zh-CN" w:bidi="ar"/>
        </w:rPr>
        <w:t>31日</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3.成本指标：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指标一：宣传费</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指标二：建设改造回收站点3万元</w:t>
      </w:r>
    </w:p>
    <w:p>
      <w:pPr>
        <w:pStyle w:val="13"/>
        <w:keepNext w:val="0"/>
        <w:keepLines w:val="0"/>
        <w:widowControl w:val="0"/>
        <w:suppressLineNumbers w:val="0"/>
        <w:spacing w:before="0" w:beforeAutospacing="0" w:after="0" w:afterAutospacing="0"/>
        <w:ind w:left="0" w:right="0" w:firstLine="739" w:firstLineChars="231"/>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指标三：回收工作经费1.5万元</w:t>
      </w:r>
    </w:p>
    <w:p>
      <w:pPr>
        <w:pStyle w:val="13"/>
        <w:keepNext w:val="0"/>
        <w:keepLines w:val="0"/>
        <w:widowControl w:val="0"/>
        <w:suppressLineNumbers w:val="0"/>
        <w:spacing w:before="0" w:beforeAutospacing="0" w:after="0" w:afterAutospacing="0"/>
        <w:ind w:left="0" w:right="0" w:firstLine="420"/>
        <w:jc w:val="both"/>
        <w:rPr>
          <w:rFonts w:hint="default" w:ascii="仿宋_GB2312" w:hAnsi="宋体" w:eastAsia="仿宋_GB2312" w:cs="Times New Roman"/>
          <w:b w:val="0"/>
          <w:bCs w:val="0"/>
          <w:kern w:val="2"/>
          <w:sz w:val="32"/>
          <w:szCs w:val="32"/>
        </w:rPr>
      </w:pPr>
      <w:r>
        <w:rPr>
          <w:rFonts w:hint="default" w:ascii="Times New Roman" w:hAnsi="Times New Roman" w:eastAsia="仿宋_GB2312" w:cs="Times New Roman"/>
          <w:kern w:val="2"/>
          <w:sz w:val="32"/>
          <w:szCs w:val="32"/>
          <w:lang w:val="en-US" w:eastAsia="zh-CN" w:bidi="ar"/>
        </w:rPr>
        <w:t xml:space="preserve"> 4</w:t>
      </w:r>
      <w:r>
        <w:rPr>
          <w:rFonts w:hint="default" w:ascii="仿宋_GB2312" w:hAnsi="宋体" w:eastAsia="仿宋_GB2312" w:cs="仿宋_GB2312"/>
          <w:b w:val="0"/>
          <w:bCs w:val="0"/>
          <w:kern w:val="2"/>
          <w:sz w:val="32"/>
          <w:szCs w:val="32"/>
          <w:lang w:val="en-US" w:eastAsia="zh-CN" w:bidi="ar"/>
        </w:rPr>
        <w:t>.社会效益指标：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指标一：用膜人员环保意识明显提高</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指标二：农村及土壤环境得到改善</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5.满意度指标：</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指标一：用膜人员达到满意</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（三）</w:t>
      </w:r>
      <w:r>
        <w:rPr>
          <w:rFonts w:hint="default" w:ascii="楷体_GB2312" w:hAnsi="宋体" w:eastAsia="楷体_GB2312" w:cs="楷体_GB2312"/>
          <w:b w:val="0"/>
          <w:bCs w:val="0"/>
          <w:kern w:val="2"/>
          <w:sz w:val="32"/>
          <w:szCs w:val="32"/>
          <w:lang w:val="en-US" w:eastAsia="zh-CN" w:bidi="ar"/>
        </w:rPr>
        <w:t>项目自评步骤及方法。</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本次绩效评价遵循客观、公正、规范、透明的原则开展评价工作。评价指标的设置结合项目特点和评价实际，细化设置了评价指标。评价指标采用三级指标体系，设置一级指标3个，二级指标5个，三级指标9个，分别从项目决策、项目过程、项目产出和项目效果四个环节对项目决策、资金落实、业务管理、财务管理及项目实施后所产生的经济社会效益及项目绩效目标的完成程度等方面进行全方位的评价。</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本次评价项目预算资金安排5万元，2021年财政实际拨付资金4万元，资金拨付率</w:t>
      </w:r>
      <w:r>
        <w:rPr>
          <w:rFonts w:hint="default" w:ascii="仿宋_GB2312" w:hAnsi="宋体" w:eastAsia="仿宋_GB2312" w:cs="Times New Roman"/>
          <w:b w:val="0"/>
          <w:bCs w:val="0"/>
          <w:kern w:val="2"/>
          <w:sz w:val="32"/>
          <w:szCs w:val="32"/>
          <w:lang w:val="en-US" w:eastAsia="zh-CN" w:bidi="ar"/>
        </w:rPr>
        <w:t>100%。</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（二）资金计划、到位及使用情况</w:t>
      </w:r>
    </w:p>
    <w:p>
      <w:pPr>
        <w:keepNext w:val="0"/>
        <w:keepLines w:val="0"/>
        <w:widowControl w:val="0"/>
        <w:numPr>
          <w:ilvl w:val="0"/>
          <w:numId w:val="5"/>
        </w:numPr>
        <w:suppressLineNumbers w:val="0"/>
        <w:autoSpaceDE w:val="0"/>
        <w:autoSpaceDN/>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资金计划。</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本次评价项目预算资金计划安排5万元。</w:t>
      </w:r>
      <w:r>
        <w:rPr>
          <w:rFonts w:hint="default" w:ascii="仿宋_GB2312" w:hAnsi="Times New Roman" w:eastAsia="仿宋_GB2312" w:cs="仿宋_GB2312"/>
          <w:kern w:val="2"/>
          <w:sz w:val="32"/>
          <w:szCs w:val="32"/>
          <w:lang w:val="en-US" w:eastAsia="zh-CN" w:bidi="ar"/>
        </w:rPr>
        <w:t>宣传费</w:t>
      </w:r>
      <w:r>
        <w:rPr>
          <w:rFonts w:hint="default" w:ascii="Times New Roman" w:hAnsi="Times New Roman" w:eastAsia="仿宋_GB2312" w:cs="Times New Roman"/>
          <w:kern w:val="2"/>
          <w:sz w:val="32"/>
          <w:szCs w:val="32"/>
          <w:lang w:val="en-US" w:eastAsia="zh-CN" w:bidi="ar"/>
        </w:rPr>
        <w:t>0.5</w:t>
      </w:r>
      <w:r>
        <w:rPr>
          <w:rFonts w:hint="default" w:ascii="仿宋_GB2312" w:hAnsi="Times New Roman" w:eastAsia="仿宋_GB2312" w:cs="仿宋_GB2312"/>
          <w:kern w:val="2"/>
          <w:sz w:val="32"/>
          <w:szCs w:val="32"/>
          <w:lang w:val="en-US" w:eastAsia="zh-CN" w:bidi="ar"/>
        </w:rPr>
        <w:t>万元，</w:t>
      </w:r>
      <w:r>
        <w:rPr>
          <w:rFonts w:hint="default" w:ascii="仿宋_GB2312" w:hAnsi="宋体" w:eastAsia="仿宋_GB2312" w:cs="仿宋_GB2312"/>
          <w:b w:val="0"/>
          <w:bCs w:val="0"/>
          <w:kern w:val="2"/>
          <w:sz w:val="32"/>
          <w:szCs w:val="32"/>
          <w:lang w:val="en-US" w:eastAsia="zh-CN" w:bidi="ar"/>
        </w:rPr>
        <w:t>建设改造回收站点3万元，回收工作经费1.5万元。</w:t>
      </w:r>
    </w:p>
    <w:p>
      <w:pPr>
        <w:keepNext w:val="0"/>
        <w:keepLines w:val="0"/>
        <w:widowControl w:val="0"/>
        <w:numPr>
          <w:ilvl w:val="0"/>
          <w:numId w:val="5"/>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资金到位。</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2021年财政实际拨付资金5万元，资金拨付率</w:t>
      </w:r>
      <w:r>
        <w:rPr>
          <w:rFonts w:hint="default" w:ascii="仿宋_GB2312" w:hAnsi="宋体" w:eastAsia="仿宋_GB2312" w:cs="Times New Roman"/>
          <w:b w:val="0"/>
          <w:bCs w:val="0"/>
          <w:kern w:val="2"/>
          <w:sz w:val="32"/>
          <w:szCs w:val="32"/>
          <w:lang w:val="en-US" w:eastAsia="zh-CN" w:bidi="ar"/>
        </w:rPr>
        <w:t>100%。</w:t>
      </w:r>
    </w:p>
    <w:p>
      <w:pPr>
        <w:keepNext w:val="0"/>
        <w:keepLines w:val="0"/>
        <w:widowControl w:val="0"/>
        <w:numPr>
          <w:ilvl w:val="0"/>
          <w:numId w:val="5"/>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资金使用。</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财政资金总体支出5万元，财政资金总体支出率100</w:t>
      </w:r>
      <w:r>
        <w:rPr>
          <w:rFonts w:hint="default" w:ascii="仿宋_GB2312" w:hAnsi="宋体" w:eastAsia="仿宋_GB2312" w:cs="Times New Roman"/>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项目资金专款专用，主要用于我社指导废弃农膜回收网络提升改造所需的工作经费，支出依据合法合规，资金支付与预算基本相符。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该项目为经常性项目，经费使用规范、合理、有效，保证严格资金的审批和报账程序，资金支出手续齐全规范，执行有效。报账时，附有合法合规的依据文件、凭证等，规范手续。</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（一）项目组织架构及实施流程。</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由我社组织人员完成对废弃农膜回收网络提升改造的指导工作，组织对2021年度废弃农膜回收网络提升改造项目资金绩效评价及日常监督检查，完成年度废弃农膜回收网络提升改造的成效考核迎检工作。</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我社明确废弃农膜回收网络提升改造工作经费主要用于废弃农膜回收网络提升改造时的差旅费、会议费、项目绩效评价、动态管理。保证工作经费专项专用，严禁挪作他用。</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（三）</w:t>
      </w:r>
      <w:r>
        <w:rPr>
          <w:rFonts w:hint="default" w:ascii="楷体_GB2312" w:hAnsi="宋体" w:eastAsia="楷体_GB2312" w:cs="楷体_GB2312"/>
          <w:b w:val="0"/>
          <w:bCs w:val="0"/>
          <w:kern w:val="2"/>
          <w:sz w:val="32"/>
          <w:szCs w:val="32"/>
          <w:lang w:val="en-US" w:eastAsia="zh-CN" w:bidi="ar"/>
        </w:rPr>
        <w:t>项目监管情况。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强化过程监管，落实资金支出范围。开支符合国家财经法规和财务管理制度，资金的拨付有较完整的审批程序和手续，资金使用符合预算用途，与当年废弃农膜回收网络提升改造年度目标任务相符。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eastAsia" w:ascii="黑体" w:hAnsi="宋体" w:eastAsia="黑体" w:cs="黑体"/>
          <w:b w:val="0"/>
          <w:bCs w:val="0"/>
          <w:kern w:val="2"/>
          <w:sz w:val="32"/>
          <w:szCs w:val="32"/>
          <w:lang w:val="en-US" w:eastAsia="zh-CN" w:bidi="ar"/>
        </w:rPr>
        <w:t>四、项目绩效情况</w:t>
      </w:r>
      <w:r>
        <w:rPr>
          <w:rFonts w:hint="default" w:ascii="仿宋_GB2312" w:hAnsi="宋体" w:eastAsia="仿宋_GB2312" w:cs="Times New Roman"/>
          <w:b w:val="0"/>
          <w:bCs w:val="0"/>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（一）项目完成情况。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完成废弃农膜回收工作持续深化。持续巩固</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村收集、镇集中、县运输、市处理</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废弃农膜回收利用体系，强化废弃农膜处理中心（1个）和回收网点（1600余个）的运营维护。11月4日，中华全国供销合作总社简报第17期报道了</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四川广元开展农村人居环境整治情况</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。我市废弃农膜</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减量化、资源化、再利用</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工作经验得到全国供销总社和省社的肯定，并在全国、全省推广。8月9日，省供销社简报第14期报道了</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广元市供销社发挥供销合作社独特优势，积极参与农膜回收利用</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（二）项目效益情况。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1.数量指标：</w:t>
      </w:r>
    </w:p>
    <w:p>
      <w:pPr>
        <w:pStyle w:val="13"/>
        <w:keepNext w:val="0"/>
        <w:keepLines w:val="0"/>
        <w:widowControl w:val="0"/>
        <w:suppressLineNumbers w:val="0"/>
        <w:spacing w:before="0" w:beforeAutospacing="0" w:after="0" w:afterAutospacing="0"/>
        <w:ind w:left="0" w:leftChars="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指标一：处理率100%</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指标二：回收率88</w:t>
      </w:r>
    </w:p>
    <w:p>
      <w:pPr>
        <w:keepNext w:val="0"/>
        <w:keepLines w:val="0"/>
        <w:widowControl w:val="0"/>
        <w:numPr>
          <w:ilvl w:val="0"/>
          <w:numId w:val="6"/>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时效指标：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lang w:val="en-US"/>
        </w:rPr>
      </w:pPr>
      <w:r>
        <w:rPr>
          <w:rFonts w:hint="default" w:ascii="仿宋_GB2312" w:hAnsi="宋体" w:eastAsia="仿宋_GB2312" w:cs="仿宋_GB2312"/>
          <w:b w:val="0"/>
          <w:bCs w:val="0"/>
          <w:kern w:val="2"/>
          <w:sz w:val="32"/>
          <w:szCs w:val="32"/>
          <w:lang w:val="en-US" w:eastAsia="zh-CN" w:bidi="ar"/>
        </w:rPr>
        <w:t>指标一：完成时间：</w:t>
      </w:r>
      <w:r>
        <w:rPr>
          <w:rFonts w:hint="eastAsia" w:ascii="仿宋_GB2312" w:hAnsi="宋体" w:eastAsia="仿宋_GB2312" w:cs="仿宋_GB2312"/>
          <w:b w:val="0"/>
          <w:bCs w:val="0"/>
          <w:kern w:val="2"/>
          <w:sz w:val="32"/>
          <w:szCs w:val="32"/>
          <w:lang w:val="en-US" w:eastAsia="zh-CN" w:bidi="ar"/>
        </w:rPr>
        <w:t>2021年12月31日</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3.成本指标：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指标一：宣传费</w:t>
      </w:r>
      <w:r>
        <w:rPr>
          <w:rFonts w:hint="default" w:ascii="Times New Roman" w:hAnsi="Times New Roman" w:eastAsia="仿宋_GB2312" w:cs="Times New Roman"/>
          <w:kern w:val="2"/>
          <w:sz w:val="32"/>
          <w:szCs w:val="32"/>
          <w:lang w:val="en-US" w:eastAsia="zh-CN" w:bidi="ar"/>
        </w:rPr>
        <w:t>0.6</w:t>
      </w:r>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指标二：建设改造回收站点1.89万元</w:t>
      </w:r>
    </w:p>
    <w:p>
      <w:pPr>
        <w:pStyle w:val="13"/>
        <w:keepNext w:val="0"/>
        <w:keepLines w:val="0"/>
        <w:widowControl w:val="0"/>
        <w:suppressLineNumbers w:val="0"/>
        <w:spacing w:before="0" w:beforeAutospacing="0" w:after="0" w:afterAutospacing="0"/>
        <w:ind w:left="0" w:right="0" w:firstLine="739" w:firstLineChars="231"/>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指标三：回收工作经费2.51万元</w:t>
      </w:r>
    </w:p>
    <w:p>
      <w:pPr>
        <w:pStyle w:val="13"/>
        <w:keepNext w:val="0"/>
        <w:keepLines w:val="0"/>
        <w:widowControl w:val="0"/>
        <w:suppressLineNumbers w:val="0"/>
        <w:spacing w:before="0" w:beforeAutospacing="0" w:after="0" w:afterAutospacing="0"/>
        <w:ind w:left="0" w:right="0" w:firstLine="420"/>
        <w:jc w:val="both"/>
        <w:rPr>
          <w:rFonts w:hint="default" w:ascii="仿宋_GB2312" w:hAnsi="宋体" w:eastAsia="仿宋_GB2312" w:cs="Times New Roman"/>
          <w:b w:val="0"/>
          <w:bCs w:val="0"/>
          <w:kern w:val="2"/>
          <w:sz w:val="32"/>
          <w:szCs w:val="32"/>
        </w:rPr>
      </w:pPr>
      <w:r>
        <w:rPr>
          <w:rFonts w:hint="default" w:ascii="Times New Roman" w:hAnsi="Times New Roman" w:eastAsia="仿宋_GB2312" w:cs="Times New Roman"/>
          <w:kern w:val="2"/>
          <w:sz w:val="32"/>
          <w:szCs w:val="32"/>
          <w:lang w:val="en-US" w:eastAsia="zh-CN" w:bidi="ar"/>
        </w:rPr>
        <w:t xml:space="preserve"> 4</w:t>
      </w:r>
      <w:r>
        <w:rPr>
          <w:rFonts w:hint="default" w:ascii="仿宋_GB2312" w:hAnsi="宋体" w:eastAsia="仿宋_GB2312" w:cs="仿宋_GB2312"/>
          <w:b w:val="0"/>
          <w:bCs w:val="0"/>
          <w:kern w:val="2"/>
          <w:sz w:val="32"/>
          <w:szCs w:val="32"/>
          <w:lang w:val="en-US" w:eastAsia="zh-CN" w:bidi="ar"/>
        </w:rPr>
        <w:t>.社会效益指标：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指标一：用膜人员环保意识明显提高</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指标二：农村及土壤环境得到改善</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5.满意度指标：</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指标一：用膜人员达到满意</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（一）评价结论。</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该项目的产出指标、效益指标、满意度指标都取得了良好的成效，能够有效完成2021年度各项项目指标，扎实落实相关工作部署，废弃农膜回收网络提升改造工作也得到了认可。</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（二）存在的问题。</w:t>
      </w:r>
    </w:p>
    <w:p>
      <w:pPr>
        <w:pStyle w:val="13"/>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我社主要在三农领域发挥职能作用，三农是一个庞大且系统的工作，但我社项目资金均为一般公共预算下的项目工作经费，没有专项资金配套且资金量小，因此在某些涉农工作上成效不明显。</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（三）相关建议。</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针对以上存在的问题，建议财政部门给予更大的政策和资金支持，以能够我社更好地发挥为农服务综合平台的作用，在乡村振兴中贡献更大力量。</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kern w:val="0"/>
          <w:sz w:val="32"/>
          <w:szCs w:val="32"/>
          <w:lang w:val="en-US" w:eastAsia="zh-CN" w:bidi="ar"/>
        </w:rPr>
      </w:pP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2</w:t>
      </w:r>
      <w:r>
        <w:rPr>
          <w:rFonts w:hint="default" w:ascii="方正小标宋简体" w:hAnsi="方正小标宋简体" w:eastAsia="方正小标宋简体" w:cs="方正小标宋简体"/>
          <w:b w:val="0"/>
          <w:bCs w:val="0"/>
          <w:color w:val="000000"/>
          <w:kern w:val="2"/>
          <w:sz w:val="44"/>
          <w:szCs w:val="44"/>
          <w:lang w:val="en-US" w:eastAsia="zh-CN" w:bidi="ar"/>
        </w:rPr>
        <w:t>2022年专项预算项目支出绩效自评报告</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 xml:space="preserve"> </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（基层组织建设工作经费）</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720"/>
        <w:jc w:val="both"/>
        <w:rPr>
          <w:rFonts w:hint="eastAsia" w:ascii="黑体" w:hAnsi="宋体" w:eastAsia="黑体" w:cs="Times New Roman"/>
          <w:b w:val="0"/>
          <w:bCs w:val="0"/>
          <w:kern w:val="2"/>
          <w:sz w:val="32"/>
          <w:szCs w:val="32"/>
        </w:rPr>
      </w:pPr>
      <w:r>
        <w:rPr>
          <w:rFonts w:hint="eastAsia" w:ascii="黑体" w:hAnsi="宋体" w:eastAsia="黑体" w:cs="Times New Roman"/>
          <w:b w:val="0"/>
          <w:bCs w:val="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2021年，是中国共产党成立100周年，是</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十四五</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开局之年，我社坚持对基层供销社建设持续强化。深入推进两项改革</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后半篇</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文章各项部署，创新财政资金</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股权量化</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投入基层供销社建设。坚持</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三社</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融合加快推进，支持供销合作社、村集体经济组织通过资本联合、业务合作等方式在组织、经济、经营等方面进行融合。</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项目绩效目标。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Times New Roman"/>
          <w:b w:val="0"/>
          <w:bCs w:val="0"/>
          <w:kern w:val="2"/>
          <w:sz w:val="32"/>
          <w:szCs w:val="32"/>
          <w:lang w:val="en-US" w:eastAsia="zh-CN" w:bidi="ar"/>
        </w:rPr>
        <w:t xml:space="preserve"> </w:t>
      </w:r>
      <w:r>
        <w:rPr>
          <w:rFonts w:hint="default" w:ascii="仿宋_GB2312" w:hAnsi="宋体" w:eastAsia="仿宋_GB2312" w:cs="仿宋_GB2312"/>
          <w:b w:val="0"/>
          <w:bCs w:val="0"/>
          <w:kern w:val="2"/>
          <w:sz w:val="32"/>
          <w:szCs w:val="32"/>
          <w:lang w:val="en-US" w:eastAsia="zh-CN" w:bidi="ar"/>
        </w:rPr>
        <w:t>根据中央、省、市供销社综合改革部署要求，进一步强基固本，大力升级改造提升新型基层供销社、农民合作社、综合服务社，解决农村特有问题，为农户提供优质服务。同时通过提升新建的各个网点等可参与农膜、物流、扶贫农产品的运输等，积极巩固脱贫攻坚成果，助力乡村振兴。</w:t>
      </w:r>
    </w:p>
    <w:p>
      <w:pPr>
        <w:keepNext w:val="0"/>
        <w:keepLines w:val="0"/>
        <w:widowControl w:val="0"/>
        <w:numPr>
          <w:ilvl w:val="0"/>
          <w:numId w:val="7"/>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数量指标：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指标一：全市改造提示新型基层供销社10个；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指标二：领办农民合作社20个；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指标三：创办市级示范社5个；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指标四：改造农村综合服务社20个；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指标五：规范提升经营服务网点100个；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2.质量指标：提升改造程度；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3.时效指标：2021年12月</w:t>
      </w:r>
      <w:r>
        <w:rPr>
          <w:rFonts w:hint="eastAsia" w:ascii="仿宋_GB2312" w:hAnsi="宋体" w:eastAsia="仿宋_GB2312" w:cs="仿宋_GB2312"/>
          <w:b w:val="0"/>
          <w:bCs w:val="0"/>
          <w:kern w:val="2"/>
          <w:sz w:val="32"/>
          <w:szCs w:val="32"/>
          <w:lang w:val="en-US" w:eastAsia="zh-CN" w:bidi="ar"/>
        </w:rPr>
        <w:t>31日</w:t>
      </w:r>
      <w:r>
        <w:rPr>
          <w:rFonts w:hint="default" w:ascii="仿宋_GB2312" w:hAnsi="宋体" w:eastAsia="仿宋_GB2312" w:cs="仿宋_GB2312"/>
          <w:b w:val="0"/>
          <w:bCs w:val="0"/>
          <w:kern w:val="2"/>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4.成本指标：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指标一：提升改造网点费2.4万元；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指标二：制作统一标识标牌费2万元；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指标三：项目工作经费0.5万元；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5.社会效益指标：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指标一：进一步扩大为农服务范围；</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指标二：深化基层社改革，促进乡村振兴；</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6.满意度指标：基层社网点满意度和群众满意度达四星级以上 ;</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（三）</w:t>
      </w:r>
      <w:r>
        <w:rPr>
          <w:rFonts w:hint="default" w:ascii="楷体_GB2312" w:hAnsi="宋体" w:eastAsia="楷体_GB2312" w:cs="楷体_GB2312"/>
          <w:b w:val="0"/>
          <w:bCs w:val="0"/>
          <w:kern w:val="2"/>
          <w:sz w:val="32"/>
          <w:szCs w:val="32"/>
          <w:lang w:val="en-US" w:eastAsia="zh-CN" w:bidi="ar"/>
        </w:rPr>
        <w:t>项目自评步骤及方法。</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仿宋" w:hAnsi="仿宋" w:eastAsia="仿宋" w:cs="仿宋"/>
          <w:i w:val="0"/>
          <w:iCs w:val="0"/>
          <w:caps w:val="0"/>
          <w:color w:val="333333"/>
          <w:spacing w:val="0"/>
          <w:kern w:val="2"/>
          <w:sz w:val="32"/>
          <w:szCs w:val="32"/>
          <w:shd w:val="clear" w:fill="FFFFFF"/>
        </w:rPr>
      </w:pPr>
      <w:r>
        <w:rPr>
          <w:rFonts w:hint="eastAsia" w:ascii="仿宋" w:hAnsi="仿宋" w:eastAsia="仿宋" w:cs="仿宋"/>
          <w:i w:val="0"/>
          <w:iCs w:val="0"/>
          <w:caps w:val="0"/>
          <w:color w:val="333333"/>
          <w:spacing w:val="0"/>
          <w:kern w:val="2"/>
          <w:sz w:val="32"/>
          <w:szCs w:val="32"/>
          <w:shd w:val="clear" w:fill="FFFFFF"/>
          <w:lang w:val="en-US" w:eastAsia="zh-CN" w:bidi="ar"/>
        </w:rPr>
        <w:t>本次绩效评价遵循客观、公正、规范、透明的原则开展评价工作。评价指标的设置结合项目特点和评价实际，细化设置了评价指标。评价指标采用三级指标体系，设置一级指标3个，二级指标6个，三级指标14个，分别从项目决策、项目过程、项目产出和项目效果四个环节对项目决策、资金落实、业务管理、财务管理及项目实施后所产生的经济社会效益及项目绩效目标的完成程度等方面进行全方位的评价。</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本次评价项目预算资金安排4.9万元，2021年财政实际拨付资金4.9万元，资金拨付率</w:t>
      </w:r>
      <w:r>
        <w:rPr>
          <w:rFonts w:hint="default" w:ascii="仿宋_GB2312" w:hAnsi="宋体" w:eastAsia="仿宋_GB2312" w:cs="Times New Roman"/>
          <w:b w:val="0"/>
          <w:bCs w:val="0"/>
          <w:kern w:val="2"/>
          <w:sz w:val="32"/>
          <w:szCs w:val="32"/>
          <w:lang w:val="en-US" w:eastAsia="zh-CN" w:bidi="ar"/>
        </w:rPr>
        <w:t>100%。</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（二）资金计划、到位及使用情况</w:t>
      </w:r>
    </w:p>
    <w:p>
      <w:pPr>
        <w:keepNext w:val="0"/>
        <w:keepLines w:val="0"/>
        <w:widowControl w:val="0"/>
        <w:numPr>
          <w:ilvl w:val="0"/>
          <w:numId w:val="8"/>
        </w:numPr>
        <w:suppressLineNumbers w:val="0"/>
        <w:autoSpaceDE w:val="0"/>
        <w:autoSpaceDN/>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资金计划。</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本次评价项目预算资金计划安排4.9万元。提升改造网点费2.4万元，制作统一标识标牌费2万元，项目工作经费0.5万元。</w:t>
      </w:r>
    </w:p>
    <w:p>
      <w:pPr>
        <w:keepNext w:val="0"/>
        <w:keepLines w:val="0"/>
        <w:widowControl w:val="0"/>
        <w:numPr>
          <w:ilvl w:val="0"/>
          <w:numId w:val="8"/>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资金到位。</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2021年财政实际拨付资金4.9万元，资金拨付率</w:t>
      </w:r>
      <w:r>
        <w:rPr>
          <w:rFonts w:hint="default" w:ascii="仿宋_GB2312" w:hAnsi="宋体" w:eastAsia="仿宋_GB2312" w:cs="Times New Roman"/>
          <w:b w:val="0"/>
          <w:bCs w:val="0"/>
          <w:kern w:val="2"/>
          <w:sz w:val="32"/>
          <w:szCs w:val="32"/>
          <w:lang w:val="en-US" w:eastAsia="zh-CN" w:bidi="ar"/>
        </w:rPr>
        <w:t>100%。</w:t>
      </w:r>
    </w:p>
    <w:p>
      <w:pPr>
        <w:keepNext w:val="0"/>
        <w:keepLines w:val="0"/>
        <w:widowControl w:val="0"/>
        <w:numPr>
          <w:ilvl w:val="0"/>
          <w:numId w:val="8"/>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资金使用。</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财政资金总体支出4.9万元，财政资金总体支出率100</w:t>
      </w:r>
      <w:r>
        <w:rPr>
          <w:rFonts w:hint="default" w:ascii="仿宋_GB2312" w:hAnsi="宋体" w:eastAsia="仿宋_GB2312" w:cs="Times New Roman"/>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项目资金专款专用，主要用于我社指导全市供销系统在基层社提质扩面上所需的工作经费，支出依据合法合规，资金支付与预算基本相符。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该项目为经常性项目，经费使用规范、合理、有效，保证严格资金的审批和报账程序，资金支出手续齐全规范，执行有效。报账时，附有合法合规的依据文件、凭证等，规范手续。</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（一）项目组织架构及实施流程。</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由我社组织人员完成对基层社的指导工作，组织对2021年度基层组织建设资金绩效评价及日常监督检查，完成年度基层组织建设的成效考核迎检工作。</w:t>
      </w:r>
    </w:p>
    <w:p>
      <w:pPr>
        <w:keepNext w:val="0"/>
        <w:keepLines w:val="0"/>
        <w:widowControl w:val="0"/>
        <w:numPr>
          <w:ilvl w:val="0"/>
          <w:numId w:val="9"/>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我社明确基层组织建设工作经费主要用于基层组织建设差旅费、会议费、项目绩效评价、动态管理。保证工作经费专项专用，严禁挪作他用。</w:t>
      </w:r>
    </w:p>
    <w:p>
      <w:pPr>
        <w:keepNext w:val="0"/>
        <w:keepLines w:val="0"/>
        <w:widowControl w:val="0"/>
        <w:numPr>
          <w:ilvl w:val="0"/>
          <w:numId w:val="9"/>
        </w:numPr>
        <w:suppressLineNumbers w:val="0"/>
        <w:autoSpaceDE w:val="0"/>
        <w:autoSpaceDN/>
        <w:adjustRightInd w:val="0"/>
        <w:snapToGrid w:val="0"/>
        <w:spacing w:before="0" w:beforeAutospacing="0" w:after="0" w:afterAutospacing="0" w:line="576" w:lineRule="exact"/>
        <w:ind w:left="0" w:leftChars="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项目监管情况。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强化过程监管，落实资金支出范围。开支符合国家财经法规和财务管理制度，资金的拨付有较完整的审批程序和手续，资金使用符合预算用途，与当年基层组织建设年度目标任务相符。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eastAsia" w:ascii="黑体" w:hAnsi="宋体" w:eastAsia="黑体" w:cs="黑体"/>
          <w:b w:val="0"/>
          <w:bCs w:val="0"/>
          <w:kern w:val="2"/>
          <w:sz w:val="32"/>
          <w:szCs w:val="32"/>
          <w:lang w:val="en-US" w:eastAsia="zh-CN" w:bidi="ar"/>
        </w:rPr>
        <w:t>四、项目绩效情况</w:t>
      </w:r>
      <w:r>
        <w:rPr>
          <w:rFonts w:hint="default" w:ascii="仿宋_GB2312" w:hAnsi="宋体" w:eastAsia="仿宋_GB2312" w:cs="Times New Roman"/>
          <w:b w:val="0"/>
          <w:bCs w:val="0"/>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（一）项目完成情况。</w:t>
      </w:r>
    </w:p>
    <w:p>
      <w:pPr>
        <w:pStyle w:val="13"/>
        <w:keepNext w:val="0"/>
        <w:keepLines w:val="0"/>
        <w:widowControl w:val="0"/>
        <w:suppressLineNumbers w:val="0"/>
        <w:autoSpaceDE w:val="0"/>
        <w:autoSpaceDN/>
        <w:spacing w:before="0" w:beforeAutospacing="0" w:after="0" w:afterAutospacing="0"/>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结合年度目标任务和基层组织建设的工作任务情况，我社在2021年度创建了</w:t>
      </w:r>
      <w:r>
        <w:rPr>
          <w:rFonts w:hint="default" w:ascii="仿宋_GB2312" w:hAnsi="宋体" w:eastAsia="仿宋_GB2312" w:cs="Times New Roman"/>
          <w:b w:val="0"/>
          <w:bCs w:val="0"/>
          <w:kern w:val="2"/>
          <w:sz w:val="32"/>
          <w:szCs w:val="32"/>
          <w:lang w:val="en-US" w:eastAsia="zh-CN" w:bidi="ar"/>
        </w:rPr>
        <w:t>79个基层社示范社（超额完成4个）、42个星级农村综合服务社（超额完成2个），开展了农民职业技术培训345人次（超额完成195人次）。建成</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标杆基层社</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16个、</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五星级农村综合服务社</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15个，建成数量位居全省第一，圆满完成2021年基层组织建设工作。</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（二）项目效益情况。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1.数量指标：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指标一：全市改造提示新型基层供销社13个；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指标二：领办农民合作社31个；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指标三：创办市级示范社5个；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指标四：改造农村综合服务社42个；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指标五：规范提升经营服务网点100个。</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2.质量指标：提升改造程度。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3.时效指标：2021年12月</w:t>
      </w:r>
      <w:r>
        <w:rPr>
          <w:rFonts w:hint="eastAsia" w:ascii="仿宋_GB2312" w:hAnsi="宋体" w:eastAsia="仿宋_GB2312" w:cs="仿宋_GB2312"/>
          <w:b w:val="0"/>
          <w:bCs w:val="0"/>
          <w:kern w:val="2"/>
          <w:sz w:val="32"/>
          <w:szCs w:val="32"/>
          <w:lang w:val="en-US" w:eastAsia="zh-CN" w:bidi="ar"/>
        </w:rPr>
        <w:t>31日</w:t>
      </w:r>
      <w:r>
        <w:rPr>
          <w:rFonts w:hint="default" w:ascii="仿宋_GB2312" w:hAnsi="宋体" w:eastAsia="仿宋_GB2312" w:cs="仿宋_GB2312"/>
          <w:b w:val="0"/>
          <w:bCs w:val="0"/>
          <w:kern w:val="2"/>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4.成本指标：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指标一：提升改造网点费0.07万元；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指标二：制作统一标识标牌费0.86万元；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指标三：项目工作经费3.97万元。</w:t>
      </w:r>
    </w:p>
    <w:p>
      <w:pPr>
        <w:keepNext w:val="0"/>
        <w:keepLines w:val="0"/>
        <w:widowControl w:val="0"/>
        <w:numPr>
          <w:ilvl w:val="0"/>
          <w:numId w:val="8"/>
        </w:numPr>
        <w:suppressLineNumbers w:val="0"/>
        <w:autoSpaceDE w:val="0"/>
        <w:autoSpaceDN/>
        <w:adjustRightInd w:val="0"/>
        <w:snapToGrid w:val="0"/>
        <w:spacing w:before="0" w:beforeAutospacing="0" w:after="0" w:afterAutospacing="0" w:line="576" w:lineRule="exact"/>
        <w:ind w:left="0" w:leftChars="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社会效益指标：</w:t>
      </w:r>
    </w:p>
    <w:p>
      <w:pPr>
        <w:keepNext w:val="0"/>
        <w:keepLines w:val="0"/>
        <w:widowControl w:val="0"/>
        <w:suppressLineNumbers w:val="0"/>
        <w:autoSpaceDE w:val="0"/>
        <w:autoSpaceDN/>
        <w:adjustRightInd w:val="0"/>
        <w:snapToGrid w:val="0"/>
        <w:spacing w:before="0" w:beforeAutospacing="0" w:after="0" w:afterAutospacing="0" w:line="576" w:lineRule="exact"/>
        <w:ind w:left="420" w:leftChars="200" w:right="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指标一：为农服务能力得到进一步提高；</w:t>
      </w:r>
    </w:p>
    <w:p>
      <w:pPr>
        <w:keepNext w:val="0"/>
        <w:keepLines w:val="0"/>
        <w:widowControl w:val="0"/>
        <w:suppressLineNumbers w:val="0"/>
        <w:autoSpaceDE w:val="0"/>
        <w:autoSpaceDN/>
        <w:adjustRightInd w:val="0"/>
        <w:snapToGrid w:val="0"/>
        <w:spacing w:before="0" w:beforeAutospacing="0" w:after="0" w:afterAutospacing="0" w:line="576" w:lineRule="exact"/>
        <w:ind w:left="420" w:leftChars="200" w:right="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指标二：基层社提质提能，厚实基层力量。</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（一）评价结论。</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该项目的产出指标、效益指标、满意度指标都取得了良好的成效，能够有效完成2021年度各项项目指标，确实落实相关工作部署，基层组织建设工作也得到了基层社的认可。</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（二）存在的问题。</w:t>
      </w:r>
    </w:p>
    <w:p>
      <w:pPr>
        <w:pStyle w:val="13"/>
        <w:keepNext w:val="0"/>
        <w:keepLines w:val="0"/>
        <w:widowControl w:val="0"/>
        <w:suppressLineNumbers w:val="0"/>
        <w:autoSpaceDE w:val="0"/>
        <w:autoSpaceDN/>
        <w:spacing w:before="0" w:beforeAutospacing="0" w:after="0" w:afterAutospacing="0"/>
        <w:ind w:left="0" w:right="0" w:firstLine="640" w:firstLineChars="200"/>
        <w:jc w:val="both"/>
        <w:rPr>
          <w:rFonts w:hint="eastAsia" w:ascii="方正仿宋_GBK" w:hAnsi="Times New Roman" w:eastAsia="方正仿宋_GBK" w:cs="华文仿宋"/>
          <w:kern w:val="0"/>
          <w:sz w:val="32"/>
          <w:szCs w:val="32"/>
        </w:rPr>
      </w:pPr>
      <w:r>
        <w:rPr>
          <w:rFonts w:hint="eastAsia" w:ascii="方正仿宋_GBK" w:hAnsi="方正仿宋_GBK" w:eastAsia="方正仿宋_GBK" w:cs="方正仿宋_GBK"/>
          <w:kern w:val="0"/>
          <w:sz w:val="32"/>
          <w:szCs w:val="32"/>
          <w:lang w:val="en-US" w:eastAsia="zh-CN" w:bidi="ar"/>
        </w:rPr>
        <w:t>我社主要在三农领域发挥职能作用，三农是一个庞大且系统的工作，但我社项目资金均为一般公共预算下的项目工作经费，没有专项资金配套且资金量小，因此在某些涉农工作上成效不明显。</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（三）相关建议。</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Times New Roman" w:eastAsia="方正仿宋_GBK" w:cs="华文仿宋"/>
          <w:kern w:val="0"/>
          <w:sz w:val="32"/>
          <w:szCs w:val="32"/>
        </w:rPr>
      </w:pPr>
      <w:r>
        <w:rPr>
          <w:rFonts w:hint="eastAsia" w:ascii="方正仿宋_GBK" w:hAnsi="方正仿宋_GBK" w:eastAsia="方正仿宋_GBK" w:cs="方正仿宋_GBK"/>
          <w:kern w:val="0"/>
          <w:sz w:val="32"/>
          <w:szCs w:val="32"/>
          <w:lang w:val="en-US" w:eastAsia="zh-CN" w:bidi="ar"/>
        </w:rPr>
        <w:t>针对以上存在的问题，建议财政部门给予更大的政策和资金支持，以能够我社更好地发挥为农服务综合平台的作用，在乡村振兴中贡献更大力量。</w:t>
      </w:r>
    </w:p>
    <w:p>
      <w:pPr>
        <w:pStyle w:val="13"/>
        <w:keepNext w:val="0"/>
        <w:keepLines w:val="0"/>
        <w:widowControl w:val="0"/>
        <w:suppressLineNumbers w:val="0"/>
        <w:spacing w:before="0" w:beforeAutospacing="0" w:after="0" w:afterAutospacing="0"/>
        <w:ind w:left="0" w:right="0" w:firstLine="420"/>
        <w:jc w:val="both"/>
        <w:rPr>
          <w:rFonts w:hint="eastAsia" w:ascii="方正仿宋_GBK" w:hAnsi="Times New Roman" w:eastAsia="方正仿宋_GBK" w:cs="华文仿宋"/>
          <w:kern w:val="0"/>
          <w:sz w:val="32"/>
          <w:szCs w:val="32"/>
        </w:rPr>
      </w:pPr>
      <w:r>
        <w:rPr>
          <w:rFonts w:hint="eastAsia" w:ascii="方正仿宋_GBK" w:hAnsi="Times New Roman" w:eastAsia="方正仿宋_GBK" w:cs="华文仿宋"/>
          <w:kern w:val="0"/>
          <w:sz w:val="32"/>
          <w:szCs w:val="32"/>
          <w:lang w:val="en-US" w:eastAsia="zh-CN" w:bidi="ar"/>
        </w:rPr>
        <w:t xml:space="preserve"> </w:t>
      </w:r>
    </w:p>
    <w:p>
      <w:pPr>
        <w:pStyle w:val="13"/>
        <w:keepNext w:val="0"/>
        <w:keepLines w:val="0"/>
        <w:widowControl w:val="0"/>
        <w:suppressLineNumbers w:val="0"/>
        <w:spacing w:before="0" w:beforeAutospacing="0" w:after="0" w:afterAutospacing="0"/>
        <w:ind w:left="0" w:right="0" w:firstLine="420"/>
        <w:jc w:val="both"/>
        <w:rPr>
          <w:rFonts w:hint="eastAsia"/>
          <w:color w:val="auto"/>
          <w:highlight w:val="none"/>
          <w:lang w:val="zh-CN"/>
        </w:rPr>
      </w:pPr>
      <w:r>
        <w:rPr>
          <w:rFonts w:hint="eastAsia" w:ascii="方正仿宋_GBK" w:hAnsi="Times New Roman" w:eastAsia="方正仿宋_GBK" w:cs="华文仿宋"/>
          <w:kern w:val="0"/>
          <w:sz w:val="32"/>
          <w:szCs w:val="32"/>
          <w:lang w:val="en-US" w:eastAsia="zh-CN" w:bidi="ar"/>
        </w:rPr>
        <w:t xml:space="preserve"> </w:t>
      </w:r>
    </w:p>
    <w:p>
      <w:pPr>
        <w:rPr>
          <w:rFonts w:hint="eastAsia"/>
          <w:color w:val="auto"/>
          <w:highlight w:val="none"/>
          <w:lang w:val="zh-CN"/>
        </w:rPr>
      </w:pP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color w:val="000000"/>
          <w:kern w:val="2"/>
          <w:sz w:val="44"/>
          <w:szCs w:val="44"/>
          <w:lang w:val="en-US" w:eastAsia="zh-CN" w:bidi="ar"/>
        </w:rPr>
        <w:t>2022年专项预算项目支出绩效自评报告</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 xml:space="preserve"> </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（扶贫农产品销售体系建设工作经费）</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720"/>
        <w:jc w:val="both"/>
        <w:rPr>
          <w:rFonts w:hint="eastAsia" w:ascii="黑体" w:hAnsi="宋体" w:eastAsia="黑体" w:cs="Times New Roman"/>
          <w:b w:val="0"/>
          <w:bCs w:val="0"/>
          <w:kern w:val="2"/>
          <w:sz w:val="32"/>
          <w:szCs w:val="32"/>
        </w:rPr>
      </w:pPr>
      <w:r>
        <w:rPr>
          <w:rFonts w:hint="eastAsia" w:ascii="黑体" w:hAnsi="宋体" w:eastAsia="黑体" w:cs="Times New Roman"/>
          <w:b w:val="0"/>
          <w:bCs w:val="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2021年，面对异常严峻的疫情防控形势，全市供销系统坚持以习近平新时代中国特色社会主义思想为指导，深入贯彻落实习近平总书记对供销合作社工作的重要指示批示精神，不断拓展服务领域，提升为农服务能力，不断完善</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3</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（4＋N）</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农业社会化服务体系，以</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供销社+土地托管</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模式为农业经营业主和农户提供</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一站式、全链条、保姆式</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社会化服务。在坚持深化改革的步伐下，逐步健全现代城乡流通网络，积极构建</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1+7+N</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农产品电商营销体系。在2021年里，消费帮扶成效显著，全市全年有</w:t>
      </w:r>
      <w:r>
        <w:rPr>
          <w:rFonts w:hint="default" w:ascii="仿宋_GB2312" w:hAnsi="宋体" w:eastAsia="仿宋_GB2312" w:cs="Times New Roman"/>
          <w:b w:val="0"/>
          <w:bCs w:val="0"/>
          <w:kern w:val="2"/>
          <w:sz w:val="32"/>
          <w:szCs w:val="32"/>
          <w:lang w:val="en-US" w:eastAsia="zh-CN" w:bidi="ar"/>
        </w:rPr>
        <w:t>26家企业新入驻</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832平台</w:t>
      </w:r>
      <w:r>
        <w:rPr>
          <w:rFonts w:hint="eastAsia" w:ascii="宋体" w:hAnsi="宋体" w:eastAsia="宋体" w:cs="宋体"/>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，“天府乡村”优质农产品销售实现</w:t>
      </w:r>
      <w:r>
        <w:rPr>
          <w:rFonts w:hint="default" w:ascii="仿宋_GB2312" w:hAnsi="宋体" w:eastAsia="仿宋_GB2312" w:cs="Times New Roman"/>
          <w:b w:val="0"/>
          <w:bCs w:val="0"/>
          <w:kern w:val="2"/>
          <w:sz w:val="32"/>
          <w:szCs w:val="32"/>
          <w:lang w:val="en-US" w:eastAsia="zh-CN" w:bidi="ar"/>
        </w:rPr>
        <w:t>2.95亿元。</w:t>
      </w:r>
    </w:p>
    <w:p>
      <w:pPr>
        <w:keepNext w:val="0"/>
        <w:keepLines w:val="0"/>
        <w:widowControl w:val="0"/>
        <w:numPr>
          <w:ilvl w:val="0"/>
          <w:numId w:val="10"/>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项目绩效目标。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Times New Roman"/>
          <w:b w:val="0"/>
          <w:bCs w:val="0"/>
          <w:kern w:val="2"/>
          <w:sz w:val="32"/>
          <w:szCs w:val="32"/>
          <w:lang w:val="en-US" w:eastAsia="zh-CN" w:bidi="ar"/>
        </w:rPr>
        <w:t xml:space="preserve">  </w:t>
      </w:r>
      <w:r>
        <w:rPr>
          <w:rFonts w:hint="default" w:ascii="仿宋_GB2312" w:hAnsi="宋体" w:eastAsia="仿宋_GB2312" w:cs="仿宋_GB2312"/>
          <w:b w:val="0"/>
          <w:bCs w:val="0"/>
          <w:kern w:val="2"/>
          <w:sz w:val="32"/>
          <w:szCs w:val="32"/>
          <w:lang w:val="en-US" w:eastAsia="zh-CN" w:bidi="ar"/>
        </w:rPr>
        <w:t>1.进一步拓宽各大优质特色农产品的销售网络建设。2.组织全市具有本地品牌认证的企业和信息员统计上报优质农产品销售数据，发布供需信息，全力打造全市优质农产品综合信息平台。3.进一步完善电商物流配送体系建设。4.积极主动参加各类农产品展销会，编制印发《广元市特色农产品简介》资料20000册。6.加大优质农产品“八进”活动，进一步构建完善农产品销售体系。7.积极与农产品加工企业对接，以现有冷冻库、保鲜库和配送中心为依托，开展全市农产品集中采购、推广、销售和食堂配送工作。8.利用本地农产品资源和市政府授予的“广元七绝”公共区域品牌管理使用权及公司的“广供天下”品牌商标，运营好“广元七绝”公共品牌，全力打造“广供天下”自有品牌。</w:t>
      </w:r>
    </w:p>
    <w:p>
      <w:pPr>
        <w:pStyle w:val="13"/>
        <w:keepNext w:val="0"/>
        <w:keepLines w:val="0"/>
        <w:widowControl w:val="0"/>
        <w:suppressLineNumbers w:val="0"/>
        <w:spacing w:before="0" w:beforeAutospacing="0" w:after="0" w:afterAutospacing="0"/>
        <w:ind w:left="0" w:right="0" w:firstLine="4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绩效自评三级指标体系：</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1.数量指标：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指标一：完善电商物流配送体系3条。</w:t>
      </w:r>
    </w:p>
    <w:p>
      <w:pPr>
        <w:pStyle w:val="13"/>
        <w:keepNext w:val="0"/>
        <w:keepLines w:val="0"/>
        <w:widowControl w:val="0"/>
        <w:suppressLineNumbers w:val="0"/>
        <w:spacing w:before="0" w:beforeAutospacing="0" w:after="0" w:afterAutospacing="0"/>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宋体" w:eastAsia="仿宋_GB2312" w:cs="仿宋_GB2312"/>
          <w:b w:val="0"/>
          <w:bCs w:val="0"/>
          <w:kern w:val="2"/>
          <w:sz w:val="32"/>
          <w:szCs w:val="32"/>
          <w:lang w:val="en-US" w:eastAsia="zh-CN" w:bidi="ar"/>
        </w:rPr>
        <w:t>指标二：参加展销会至少5次。</w:t>
      </w:r>
    </w:p>
    <w:p>
      <w:pPr>
        <w:keepNext w:val="0"/>
        <w:keepLines w:val="0"/>
        <w:widowControl w:val="0"/>
        <w:numPr>
          <w:ilvl w:val="0"/>
          <w:numId w:val="11"/>
        </w:numPr>
        <w:suppressLineNumbers w:val="0"/>
        <w:autoSpaceDE w:val="0"/>
        <w:autoSpaceDN/>
        <w:adjustRightInd w:val="0"/>
        <w:snapToGrid w:val="0"/>
        <w:spacing w:before="0" w:beforeAutospacing="0" w:after="0" w:afterAutospacing="0" w:line="576" w:lineRule="exact"/>
        <w:ind w:left="420" w:leftChars="200" w:right="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质量指标：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指标一：销售网络体系：进一步完善。</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指标二：品牌效力：进一步显现。</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3.时效指标：完成时间：2021年12月</w:t>
      </w:r>
      <w:r>
        <w:rPr>
          <w:rFonts w:hint="eastAsia" w:ascii="仿宋_GB2312" w:hAnsi="宋体" w:eastAsia="仿宋_GB2312" w:cs="仿宋_GB2312"/>
          <w:b w:val="0"/>
          <w:bCs w:val="0"/>
          <w:kern w:val="2"/>
          <w:sz w:val="32"/>
          <w:szCs w:val="32"/>
          <w:lang w:val="en-US" w:eastAsia="zh-CN" w:bidi="ar"/>
        </w:rPr>
        <w:t>31日</w:t>
      </w:r>
      <w:r>
        <w:rPr>
          <w:rFonts w:hint="default" w:ascii="仿宋_GB2312" w:hAnsi="宋体" w:eastAsia="仿宋_GB2312" w:cs="仿宋_GB2312"/>
          <w:b w:val="0"/>
          <w:bCs w:val="0"/>
          <w:kern w:val="2"/>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4.成本指标：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Times New Roman" w:eastAsia="仿宋_GB2312" w:cs="仿宋_GB2312"/>
          <w:kern w:val="2"/>
          <w:sz w:val="32"/>
          <w:szCs w:val="32"/>
          <w:lang w:val="en-US" w:eastAsia="zh-CN" w:bidi="ar"/>
        </w:rPr>
        <w:t>指标一</w:t>
      </w:r>
      <w:r>
        <w:rPr>
          <w:rFonts w:hint="default" w:ascii="仿宋_GB2312" w:hAnsi="宋体" w:eastAsia="仿宋_GB2312" w:cs="仿宋_GB2312"/>
          <w:b w:val="0"/>
          <w:bCs w:val="0"/>
          <w:kern w:val="2"/>
          <w:sz w:val="32"/>
          <w:szCs w:val="32"/>
          <w:lang w:val="en-US" w:eastAsia="zh-CN" w:bidi="ar"/>
        </w:rPr>
        <w:t>：展销会经费2.5万元。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指标二：宣传培训费1万元。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指标三：项目工作经费0.38万元。</w:t>
      </w:r>
    </w:p>
    <w:p>
      <w:pPr>
        <w:pStyle w:val="13"/>
        <w:keepNext w:val="0"/>
        <w:keepLines w:val="0"/>
        <w:widowControl w:val="0"/>
        <w:suppressLineNumbers w:val="0"/>
        <w:spacing w:before="0" w:beforeAutospacing="0" w:after="0" w:afterAutospacing="0"/>
        <w:ind w:left="0" w:right="0" w:firstLine="42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指标四：平台运营维护费</w:t>
      </w:r>
      <w:r>
        <w:rPr>
          <w:rFonts w:hint="default" w:ascii="Times New Roman" w:hAnsi="Times New Roman" w:eastAsia="仿宋_GB2312" w:cs="Times New Roman"/>
          <w:kern w:val="2"/>
          <w:sz w:val="32"/>
          <w:szCs w:val="32"/>
          <w:lang w:val="en-US" w:eastAsia="zh-CN" w:bidi="ar"/>
        </w:rPr>
        <w:t>2.5</w:t>
      </w:r>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5.社会效益指标：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指标一：农户：促农增收，实现收入</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bCs/>
          <w:kern w:val="2"/>
          <w:sz w:val="32"/>
          <w:szCs w:val="32"/>
        </w:rPr>
      </w:pPr>
      <w:r>
        <w:rPr>
          <w:rFonts w:hint="default" w:ascii="仿宋_GB2312" w:hAnsi="宋体" w:eastAsia="仿宋_GB2312" w:cs="仿宋_GB2312"/>
          <w:b w:val="0"/>
          <w:bCs w:val="0"/>
          <w:kern w:val="2"/>
          <w:sz w:val="32"/>
          <w:szCs w:val="32"/>
          <w:lang w:val="en-US" w:eastAsia="zh-CN" w:bidi="ar"/>
        </w:rPr>
        <w:t>指标二：农产品市场：促进优质农产品进入市场，加快流通</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6.满意度指标：</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指标一：农户：带来可观收入，达到满意。</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指标二：企业：提供优质农产品，质量得到保障。</w:t>
      </w:r>
    </w:p>
    <w:p>
      <w:pPr>
        <w:keepNext w:val="0"/>
        <w:keepLines w:val="0"/>
        <w:widowControl w:val="0"/>
        <w:numPr>
          <w:ilvl w:val="0"/>
          <w:numId w:val="10"/>
        </w:numPr>
        <w:suppressLineNumbers w:val="0"/>
        <w:autoSpaceDE w:val="0"/>
        <w:autoSpaceDN/>
        <w:adjustRightInd w:val="0"/>
        <w:snapToGrid w:val="0"/>
        <w:spacing w:before="0" w:beforeAutospacing="0" w:after="0" w:afterAutospacing="0" w:line="576" w:lineRule="exact"/>
        <w:ind w:left="0" w:leftChars="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项目自评步骤及方法。</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仿宋" w:hAnsi="仿宋" w:eastAsia="仿宋" w:cs="仿宋"/>
          <w:i w:val="0"/>
          <w:iCs w:val="0"/>
          <w:caps w:val="0"/>
          <w:color w:val="333333"/>
          <w:spacing w:val="0"/>
          <w:kern w:val="2"/>
          <w:sz w:val="32"/>
          <w:szCs w:val="32"/>
          <w:shd w:val="clear" w:fill="FFFFFF"/>
        </w:rPr>
      </w:pPr>
      <w:r>
        <w:rPr>
          <w:rFonts w:hint="eastAsia" w:ascii="仿宋" w:hAnsi="仿宋" w:eastAsia="仿宋" w:cs="仿宋"/>
          <w:i w:val="0"/>
          <w:iCs w:val="0"/>
          <w:caps w:val="0"/>
          <w:color w:val="333333"/>
          <w:spacing w:val="0"/>
          <w:kern w:val="2"/>
          <w:sz w:val="32"/>
          <w:szCs w:val="32"/>
          <w:shd w:val="clear" w:fill="FFFFFF"/>
          <w:lang w:val="en-US" w:eastAsia="zh-CN" w:bidi="ar"/>
        </w:rPr>
        <w:t>本次绩效评价遵循客观、公正、规范、透明的原则开展评价工作。评价指标的设置结合项目特点和评价实际，细化设置了评价指标。评价指标采用三级指标体系，设置一级指标3个，二级指标6个，三级指标13个，分别从项目决策、项目过程、项目产出和项目效果四个环节对项目决策、资金落实、业务管理、财务管理及项目实施后所产生的经济社会效益及项目绩效目标的完成程度等方面进行全方位的评价。</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本次评价项目预算资金安排6.38万元，2021年财政实际拨付资金6.38万元，资金拨付率</w:t>
      </w:r>
      <w:r>
        <w:rPr>
          <w:rFonts w:hint="default" w:ascii="仿宋_GB2312" w:hAnsi="宋体" w:eastAsia="仿宋_GB2312" w:cs="Times New Roman"/>
          <w:b w:val="0"/>
          <w:bCs w:val="0"/>
          <w:kern w:val="2"/>
          <w:sz w:val="32"/>
          <w:szCs w:val="32"/>
          <w:lang w:val="en-US" w:eastAsia="zh-CN" w:bidi="ar"/>
        </w:rPr>
        <w:t>100%。</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（二）资金计划、到位及使用情况</w:t>
      </w:r>
    </w:p>
    <w:p>
      <w:pPr>
        <w:keepNext w:val="0"/>
        <w:keepLines w:val="0"/>
        <w:widowControl w:val="0"/>
        <w:numPr>
          <w:ilvl w:val="0"/>
          <w:numId w:val="12"/>
        </w:numPr>
        <w:suppressLineNumbers w:val="0"/>
        <w:autoSpaceDE w:val="0"/>
        <w:autoSpaceDN/>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资金计划。</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本次评价项目预算资金计划安排6.38万元。展销会经费2.5万元，宣传培训费1万元，项目工作经费0.38万元，平台运营维护费2.5万元。</w:t>
      </w:r>
    </w:p>
    <w:p>
      <w:pPr>
        <w:keepNext w:val="0"/>
        <w:keepLines w:val="0"/>
        <w:widowControl w:val="0"/>
        <w:numPr>
          <w:ilvl w:val="0"/>
          <w:numId w:val="12"/>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资金到位。</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2021年财政实际拨付资金6.38万元，资金拨付率</w:t>
      </w:r>
      <w:r>
        <w:rPr>
          <w:rFonts w:hint="default" w:ascii="仿宋_GB2312" w:hAnsi="宋体" w:eastAsia="仿宋_GB2312" w:cs="Times New Roman"/>
          <w:b w:val="0"/>
          <w:bCs w:val="0"/>
          <w:kern w:val="2"/>
          <w:sz w:val="32"/>
          <w:szCs w:val="32"/>
          <w:lang w:val="en-US" w:eastAsia="zh-CN" w:bidi="ar"/>
        </w:rPr>
        <w:t>100%。</w:t>
      </w:r>
    </w:p>
    <w:p>
      <w:pPr>
        <w:keepNext w:val="0"/>
        <w:keepLines w:val="0"/>
        <w:widowControl w:val="0"/>
        <w:numPr>
          <w:ilvl w:val="0"/>
          <w:numId w:val="12"/>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资金使用。</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财政资金总体支出6.38万元，财政资金总体支出率100</w:t>
      </w:r>
      <w:r>
        <w:rPr>
          <w:rFonts w:hint="default" w:ascii="仿宋_GB2312" w:hAnsi="宋体" w:eastAsia="仿宋_GB2312" w:cs="Times New Roman"/>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项目资金专款专用，主要用于我社指导全市供销系统在基层社提质扩面上所需的工作经费，支出依据合法合规，资金支付与预算基本相符。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该项目为经常性项目，经费使用规范、合理、有效，保证严格资金的审批和报账程序，资金支出手续齐全规范，执行有效。报账时，附有合法合规的依据文件、凭证等，规范手续。</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（一）项目组织架构及实施流程。</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由我社组织人员完成对扶贫农产品销售体系建设的指导工作，组织对2021年度扶贫农产品销售体系建设项目资金绩效评价及日常监督检查，完成年度扶贫农产品销售体系建设的成效考核迎检工作。</w:t>
      </w:r>
    </w:p>
    <w:p>
      <w:pPr>
        <w:keepNext w:val="0"/>
        <w:keepLines w:val="0"/>
        <w:widowControl w:val="0"/>
        <w:numPr>
          <w:ilvl w:val="0"/>
          <w:numId w:val="13"/>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我社明确扶贫农产品销售体系建设工作经费主要用于扶贫农产品销售体系建设时的差旅费、会议费、项目绩效评价、动态管理。保证工作经费专项专用，严禁挪作他用。</w:t>
      </w:r>
    </w:p>
    <w:p>
      <w:pPr>
        <w:keepNext w:val="0"/>
        <w:keepLines w:val="0"/>
        <w:widowControl w:val="0"/>
        <w:numPr>
          <w:ilvl w:val="0"/>
          <w:numId w:val="13"/>
        </w:numPr>
        <w:suppressLineNumbers w:val="0"/>
        <w:autoSpaceDE w:val="0"/>
        <w:autoSpaceDN/>
        <w:adjustRightInd w:val="0"/>
        <w:snapToGrid w:val="0"/>
        <w:spacing w:before="0" w:beforeAutospacing="0" w:after="0" w:afterAutospacing="0" w:line="576" w:lineRule="exact"/>
        <w:ind w:left="0" w:leftChars="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项目监管情况。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强化过程监管，落实资金支出范围。开支符合国家财经法规和财务管理制度，资金的拨付有较完整的审批程序和手续，资金使用符合预算用途，与当年扶贫农产品销售体系建设年度目标任务相符。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eastAsia" w:ascii="黑体" w:hAnsi="宋体" w:eastAsia="黑体" w:cs="黑体"/>
          <w:b w:val="0"/>
          <w:bCs w:val="0"/>
          <w:kern w:val="2"/>
          <w:sz w:val="32"/>
          <w:szCs w:val="32"/>
          <w:lang w:val="en-US" w:eastAsia="zh-CN" w:bidi="ar"/>
        </w:rPr>
        <w:t>四、项目绩效情况</w:t>
      </w:r>
      <w:r>
        <w:rPr>
          <w:rFonts w:hint="default" w:ascii="仿宋_GB2312" w:hAnsi="宋体" w:eastAsia="仿宋_GB2312" w:cs="Times New Roman"/>
          <w:b w:val="0"/>
          <w:bCs w:val="0"/>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（一）项目完成情况。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一是服务城乡“供给端”能力明显增强。建成7个县级供销社、248个基层供销社，农业社会化服务面积达到53万亩次。二是创新开拓“消费端”能力显著提高。培育农产品销售企业10余家，做靓“广供天下”金字招牌，全市供销系统农产品购销总额达58.7亿元。三是现代“物流网”建设初见成效。冷链物流仓库建成14个，总库容达21万立方米，改建改造农产品批发交易市场12个，农产品直营、加盟店达到115个，涵盖1300多个产品。四是线上“供销网”建设取得突破。用好用活“广供天下商城”“供销Ｅ家”“中国社会扶贫网”“四川消费帮扶网”等网络平台，积极推动“数字供销”建设，我市6个脱贫县(区)农产品销售平均额位居全省前列，苍溪县位居全省第一。</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（二）项目效益情况。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1.数量指标：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指标一：完善电商物流配送体系3条。</w:t>
      </w:r>
    </w:p>
    <w:p>
      <w:pPr>
        <w:pStyle w:val="13"/>
        <w:keepNext w:val="0"/>
        <w:keepLines w:val="0"/>
        <w:widowControl w:val="0"/>
        <w:suppressLineNumbers w:val="0"/>
        <w:spacing w:before="0" w:beforeAutospacing="0" w:after="0" w:afterAutospacing="0"/>
        <w:ind w:left="0" w:leftChars="0" w:right="0" w:firstLine="640" w:firstLineChars="200"/>
        <w:jc w:val="both"/>
        <w:rPr>
          <w:rFonts w:hint="default" w:ascii="Times New Roman" w:hAnsi="Times New Roman" w:eastAsia="仿宋_GB2312" w:cs="Times New Roman"/>
          <w:kern w:val="2"/>
          <w:sz w:val="32"/>
          <w:szCs w:val="32"/>
        </w:rPr>
      </w:pPr>
      <w:r>
        <w:rPr>
          <w:rFonts w:hint="default" w:ascii="仿宋_GB2312" w:hAnsi="宋体" w:eastAsia="仿宋_GB2312" w:cs="仿宋_GB2312"/>
          <w:b w:val="0"/>
          <w:bCs w:val="0"/>
          <w:kern w:val="2"/>
          <w:sz w:val="32"/>
          <w:szCs w:val="32"/>
          <w:lang w:val="en-US" w:eastAsia="zh-CN" w:bidi="ar"/>
        </w:rPr>
        <w:t>指标二：参加展销会23次。</w:t>
      </w:r>
    </w:p>
    <w:p>
      <w:pPr>
        <w:keepNext w:val="0"/>
        <w:keepLines w:val="0"/>
        <w:widowControl w:val="0"/>
        <w:numPr>
          <w:ilvl w:val="0"/>
          <w:numId w:val="11"/>
        </w:numPr>
        <w:suppressLineNumbers w:val="0"/>
        <w:autoSpaceDE w:val="0"/>
        <w:autoSpaceDN/>
        <w:adjustRightInd w:val="0"/>
        <w:snapToGrid w:val="0"/>
        <w:spacing w:before="0" w:beforeAutospacing="0" w:after="0" w:afterAutospacing="0" w:line="576" w:lineRule="exact"/>
        <w:ind w:left="420" w:leftChars="200" w:right="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质量指标：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指标一：销售网络体系：进一步得到完善。</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指标二：品牌效力：进一步得到显现。</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3.时效指标：完成时间：</w:t>
      </w:r>
      <w:r>
        <w:rPr>
          <w:rFonts w:hint="eastAsia" w:ascii="仿宋_GB2312" w:hAnsi="宋体" w:eastAsia="仿宋_GB2312" w:cs="仿宋_GB2312"/>
          <w:b w:val="0"/>
          <w:bCs w:val="0"/>
          <w:kern w:val="2"/>
          <w:sz w:val="32"/>
          <w:szCs w:val="32"/>
          <w:lang w:val="en-US" w:eastAsia="zh-CN" w:bidi="ar"/>
        </w:rPr>
        <w:t>2021年12月31日</w:t>
      </w:r>
      <w:r>
        <w:rPr>
          <w:rFonts w:hint="default" w:ascii="仿宋_GB2312" w:hAnsi="宋体" w:eastAsia="仿宋_GB2312" w:cs="仿宋_GB2312"/>
          <w:b w:val="0"/>
          <w:bCs w:val="0"/>
          <w:kern w:val="2"/>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4.成本指标：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Times New Roman" w:eastAsia="仿宋_GB2312" w:cs="仿宋_GB2312"/>
          <w:kern w:val="2"/>
          <w:sz w:val="32"/>
          <w:szCs w:val="32"/>
          <w:lang w:val="en-US" w:eastAsia="zh-CN" w:bidi="ar"/>
        </w:rPr>
        <w:t>指标一</w:t>
      </w:r>
      <w:r>
        <w:rPr>
          <w:rFonts w:hint="default" w:ascii="仿宋_GB2312" w:hAnsi="宋体" w:eastAsia="仿宋_GB2312" w:cs="仿宋_GB2312"/>
          <w:b w:val="0"/>
          <w:bCs w:val="0"/>
          <w:kern w:val="2"/>
          <w:sz w:val="32"/>
          <w:szCs w:val="32"/>
          <w:lang w:val="en-US" w:eastAsia="zh-CN" w:bidi="ar"/>
        </w:rPr>
        <w:t>：展销会经费1.05万元。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指标二：宣传培训费1.39万元。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指标三：项目工作经费1.44万元。</w:t>
      </w:r>
    </w:p>
    <w:p>
      <w:pPr>
        <w:pStyle w:val="13"/>
        <w:keepNext w:val="0"/>
        <w:keepLines w:val="0"/>
        <w:widowControl w:val="0"/>
        <w:suppressLineNumbers w:val="0"/>
        <w:spacing w:before="0" w:beforeAutospacing="0" w:after="0" w:afterAutospacing="0"/>
        <w:ind w:left="0" w:right="0" w:firstLine="42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指标四：平台运营维护费</w:t>
      </w:r>
      <w:r>
        <w:rPr>
          <w:rFonts w:hint="default" w:ascii="Times New Roman" w:hAnsi="Times New Roman" w:eastAsia="仿宋_GB2312" w:cs="Times New Roman"/>
          <w:kern w:val="2"/>
          <w:sz w:val="32"/>
          <w:szCs w:val="32"/>
          <w:lang w:val="en-US" w:eastAsia="zh-CN" w:bidi="ar"/>
        </w:rPr>
        <w:t>2.5</w:t>
      </w:r>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5.社会效益指标：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指标一：农户：农户收入得到进一步增加</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指标二：农产品市场：优质农产品加快在市场流通</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6.满意度指标：</w:t>
      </w:r>
    </w:p>
    <w:p>
      <w:pPr>
        <w:pStyle w:val="13"/>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指标一：农户：带来可观收入，达到满意。</w:t>
      </w:r>
    </w:p>
    <w:p>
      <w:pPr>
        <w:pStyle w:val="13"/>
        <w:keepNext w:val="0"/>
        <w:keepLines w:val="0"/>
        <w:widowControl w:val="0"/>
        <w:suppressLineNumbers w:val="0"/>
        <w:spacing w:before="0" w:beforeAutospacing="0" w:after="0" w:afterAutospacing="0"/>
        <w:ind w:left="0" w:right="0" w:firstLine="739" w:firstLineChars="23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指标二：企业：优质农产品质量得以保障</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（一）评价结论。</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该项目的产出指标、效益指标、满意度指标都取得了良好的成效，能够有效完成2021年度各项项目指标，扎实落实相关工作部署，扶贫农产品体系建设工作也得到了认可。</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（二）存在的问题。</w:t>
      </w:r>
    </w:p>
    <w:p>
      <w:pPr>
        <w:pStyle w:val="13"/>
        <w:keepNext w:val="0"/>
        <w:keepLines w:val="0"/>
        <w:widowControl w:val="0"/>
        <w:suppressLineNumbers w:val="0"/>
        <w:autoSpaceDE w:val="0"/>
        <w:autoSpaceDN/>
        <w:spacing w:before="0" w:beforeAutospacing="0" w:after="0" w:afterAutospacing="0"/>
        <w:ind w:left="0" w:right="0" w:firstLine="640" w:firstLineChars="200"/>
        <w:jc w:val="both"/>
        <w:rPr>
          <w:rFonts w:hint="eastAsia" w:ascii="方正仿宋_GBK" w:hAnsi="Times New Roman" w:eastAsia="方正仿宋_GBK" w:cs="华文仿宋"/>
          <w:kern w:val="0"/>
          <w:sz w:val="32"/>
          <w:szCs w:val="32"/>
        </w:rPr>
      </w:pPr>
      <w:r>
        <w:rPr>
          <w:rFonts w:hint="eastAsia" w:ascii="方正仿宋_GBK" w:hAnsi="方正仿宋_GBK" w:eastAsia="方正仿宋_GBK" w:cs="方正仿宋_GBK"/>
          <w:kern w:val="0"/>
          <w:sz w:val="32"/>
          <w:szCs w:val="32"/>
          <w:lang w:val="en-US" w:eastAsia="zh-CN" w:bidi="ar"/>
        </w:rPr>
        <w:t>我社主要在三农领域发挥职能作用，三农是一个庞大且系统的工作，但我社项目资金均为一般公共预算下的项目工作经费，没有专项资金配套且资金量小，因此在某些涉农工作上成效不明显。</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（三）相关建议。</w:t>
      </w:r>
    </w:p>
    <w:p>
      <w:pPr>
        <w:keepNext w:val="0"/>
        <w:keepLines w:val="0"/>
        <w:widowControl w:val="0"/>
        <w:suppressLineNumbers w:val="0"/>
        <w:spacing w:before="0" w:beforeAutospacing="0" w:after="0" w:afterAutospacing="0"/>
        <w:ind w:left="0" w:right="0" w:firstLine="640" w:firstLineChars="200"/>
        <w:jc w:val="both"/>
        <w:rPr>
          <w:rFonts w:hint="eastAsia" w:ascii="方正仿宋_GBK" w:hAnsi="Times New Roman" w:eastAsia="方正仿宋_GBK" w:cs="华文仿宋"/>
          <w:kern w:val="0"/>
          <w:sz w:val="32"/>
          <w:szCs w:val="32"/>
        </w:rPr>
      </w:pPr>
      <w:r>
        <w:rPr>
          <w:rFonts w:hint="eastAsia" w:ascii="方正仿宋_GBK" w:hAnsi="方正仿宋_GBK" w:eastAsia="方正仿宋_GBK" w:cs="方正仿宋_GBK"/>
          <w:kern w:val="0"/>
          <w:sz w:val="32"/>
          <w:szCs w:val="32"/>
          <w:lang w:val="en-US" w:eastAsia="zh-CN" w:bidi="ar"/>
        </w:rPr>
        <w:t>针对以上存在的问题，建议财政部门给予更大的政策和资金支持，以能够我社更好地发挥为农服务综合平台的作用，在乡村振兴中贡献更大力量。</w:t>
      </w:r>
    </w:p>
    <w:p>
      <w:pPr>
        <w:pStyle w:val="6"/>
        <w:rPr>
          <w:rFonts w:hint="eastAsia"/>
          <w:lang w:val="zh-CN"/>
        </w:rPr>
      </w:pPr>
    </w:p>
    <w:p>
      <w:pPr>
        <w:pStyle w:val="6"/>
        <w:rPr>
          <w:rFonts w:hint="eastAsia"/>
          <w:color w:val="auto"/>
          <w:highlight w:val="none"/>
          <w:lang w:val="zh-CN"/>
        </w:rPr>
      </w:pPr>
    </w:p>
    <w:p>
      <w:pPr>
        <w:pStyle w:val="13"/>
        <w:keepNext w:val="0"/>
        <w:keepLines w:val="0"/>
        <w:widowControl w:val="0"/>
        <w:suppressLineNumbers w:val="0"/>
        <w:autoSpaceDE w:val="0"/>
        <w:autoSpaceDN/>
        <w:spacing w:before="0" w:beforeAutospacing="0" w:after="0" w:afterAutospacing="0" w:line="576" w:lineRule="exact"/>
        <w:ind w:left="0" w:right="0"/>
        <w:jc w:val="center"/>
        <w:rPr>
          <w:rFonts w:hint="default" w:ascii="方正小标宋简体" w:hAnsi="方正小标宋简体" w:eastAsia="方正小标宋简体" w:cs="方正小标宋简体"/>
          <w:b w:val="0"/>
          <w:bCs w:val="0"/>
          <w:kern w:val="2"/>
          <w:sz w:val="40"/>
          <w:szCs w:val="40"/>
        </w:rPr>
      </w:pPr>
      <w:r>
        <w:rPr>
          <w:rFonts w:hint="default" w:ascii="方正小标宋简体" w:hAnsi="方正小标宋简体" w:eastAsia="方正小标宋简体" w:cs="方正小标宋简体"/>
          <w:b w:val="0"/>
          <w:bCs w:val="0"/>
          <w:color w:val="000000"/>
          <w:kern w:val="2"/>
          <w:sz w:val="40"/>
          <w:szCs w:val="40"/>
          <w:lang w:val="en-US" w:eastAsia="zh-CN" w:bidi="ar"/>
        </w:rPr>
        <w:t>广元市供销合作社联合社</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color w:val="000000"/>
          <w:kern w:val="2"/>
          <w:sz w:val="44"/>
          <w:szCs w:val="44"/>
          <w:lang w:val="en-US" w:eastAsia="zh-CN" w:bidi="ar"/>
        </w:rPr>
        <w:t>2022年专项预算项目支出绩效自评报告</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20" w:lineRule="exact"/>
        <w:ind w:left="0" w:right="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市财政局：</w:t>
      </w:r>
    </w:p>
    <w:p>
      <w:pPr>
        <w:keepNext w:val="0"/>
        <w:keepLines w:val="0"/>
        <w:widowControl w:val="0"/>
        <w:suppressLineNumbers w:val="0"/>
        <w:autoSpaceDE w:val="0"/>
        <w:autoSpaceDN/>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现将我社完成2021年度市级化肥淡季储备任务项目绩效自评报告如下：</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b w:val="0"/>
          <w:bCs w:val="0"/>
          <w:kern w:val="2"/>
          <w:sz w:val="32"/>
          <w:szCs w:val="32"/>
          <w:lang w:val="en-US" w:eastAsia="zh-CN" w:bidi="ar"/>
        </w:rPr>
        <w:t>1．职能：我社负责贯彻落实中央、省、市有关化肥储备工作的方针、政策和决策部署；研究制定淡季化肥储备计划，指导化肥储备工作的开展；承担对化肥储备工作的经营管理工作，参与、组织、调运有关物资；协调同政府有关部门、社会组织的关系，研究扶持化肥储备的相关意见，了解、反映群众和农村新型经营主体的意见和要求；围绕建立和完善农业社会化服务体系，做好农村、农民服务工作，促进农村经济增长。</w:t>
      </w:r>
    </w:p>
    <w:p>
      <w:pPr>
        <w:keepNext w:val="0"/>
        <w:keepLines w:val="0"/>
        <w:widowControl w:val="0"/>
        <w:suppressLineNumbers w:val="0"/>
        <w:autoSpaceDE w:val="0"/>
        <w:autoSpaceDN/>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b w:val="0"/>
          <w:bCs w:val="0"/>
          <w:kern w:val="2"/>
          <w:sz w:val="32"/>
          <w:szCs w:val="32"/>
          <w:lang w:val="en-US" w:eastAsia="zh-CN" w:bidi="ar"/>
        </w:rPr>
        <w:t>2．依据：根据</w:t>
      </w:r>
      <w:r>
        <w:rPr>
          <w:rFonts w:hint="default" w:ascii="仿宋_GB2312" w:hAnsi="Times New Roman" w:eastAsia="仿宋_GB2312" w:cs="仿宋_GB2312"/>
          <w:kern w:val="2"/>
          <w:sz w:val="32"/>
          <w:szCs w:val="32"/>
          <w:lang w:val="en-US" w:eastAsia="zh-CN" w:bidi="ar"/>
        </w:rPr>
        <w:t>《广元市财政局关于下达2021年市级化肥储备财政贴息资金的通知》（广财建[2021]109号）精神，</w:t>
      </w:r>
      <w:r>
        <w:rPr>
          <w:rFonts w:hint="default" w:ascii="仿宋_GB2312" w:hAnsi="宋体" w:eastAsia="仿宋_GB2312" w:cs="仿宋_GB2312"/>
          <w:kern w:val="2"/>
          <w:sz w:val="32"/>
          <w:szCs w:val="32"/>
          <w:lang w:val="en-US" w:eastAsia="zh-CN" w:bidi="ar"/>
        </w:rPr>
        <w:t>贯彻中央、省、市关于淡季化肥储备的重要部署、安排及相关意见。</w:t>
      </w:r>
    </w:p>
    <w:p>
      <w:pPr>
        <w:keepNext w:val="0"/>
        <w:keepLines w:val="0"/>
        <w:widowControl w:val="0"/>
        <w:suppressLineNumbers w:val="0"/>
        <w:autoSpaceDE w:val="0"/>
        <w:autoSpaceDN/>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3．概况：为规范化肥淡季商业储备工作，缓解化肥常年生产、季节性使用的矛盾，保障春耕用肥供应，市政府委托化肥淡储企业在淡季储存化肥，用于旺季市场销售。化肥淡储遵循企业储备、政府补贴、市场运作、自负盈亏的原则，由广元市农业生产资料有限公司2021年度化肥淡季储备任务。</w:t>
      </w:r>
    </w:p>
    <w:p>
      <w:pPr>
        <w:keepNext w:val="0"/>
        <w:keepLines w:val="0"/>
        <w:widowControl w:val="0"/>
        <w:suppressLineNumbers w:val="0"/>
        <w:autoSpaceDE w:val="0"/>
        <w:autoSpaceDN/>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b w:val="0"/>
          <w:bCs w:val="0"/>
          <w:kern w:val="2"/>
          <w:sz w:val="32"/>
          <w:szCs w:val="32"/>
          <w:lang w:val="en-US" w:eastAsia="zh-CN" w:bidi="ar"/>
        </w:rPr>
        <w:t>4．分配原则及考虑因素：</w:t>
      </w:r>
      <w:r>
        <w:rPr>
          <w:rFonts w:hint="default" w:ascii="仿宋_GB2312" w:hAnsi="宋体" w:eastAsia="仿宋_GB2312" w:cs="仿宋_GB2312"/>
          <w:kern w:val="2"/>
          <w:sz w:val="32"/>
          <w:szCs w:val="32"/>
          <w:lang w:val="en-US" w:eastAsia="zh-CN" w:bidi="ar"/>
        </w:rPr>
        <w:t>该项目申报预算74万元，资金来源为市级财政资金。本次对项目投入经济性的评估是在项目事前绩效评估、预算测算的基础上，按照厉行节约的要求，结合项目背景、部门职能职责、年度目标和2021年实际需求及相关费用标准重点对数量是否合理、投入是否经济、预算测算是否准确、测算过程是否详细、测算依据是否充分等方面进行了评估。评估认为，该项目任务数量基本合理、预算测算过程较为详细、测算依据基本充分、有一定的经济性。</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（二）项目绩效目标。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1．项目主要内容：用于淡季化肥储备及在期间产生的各项相关费用。</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2．项目应实现的具体绩效目标：</w:t>
      </w:r>
      <w:r>
        <w:rPr>
          <w:rFonts w:hint="default" w:ascii="仿宋_GB2312" w:hAnsi="Times New Roman" w:eastAsia="仿宋_GB2312" w:cs="仿宋_GB2312"/>
          <w:color w:val="000000"/>
          <w:kern w:val="2"/>
          <w:sz w:val="32"/>
          <w:szCs w:val="32"/>
          <w:lang w:val="en-US" w:eastAsia="zh-CN" w:bidi="ar"/>
        </w:rPr>
        <w:t>至2021年4月30日，我司共储备化肥17610吨，占储备计划17000吨的103.58%，其中,尿素5108吨，占储备计划5000吨的102.16%，碳铵5</w:t>
      </w:r>
      <w:r>
        <w:rPr>
          <w:rFonts w:hint="default" w:ascii="仿宋_GB2312" w:hAnsi="Times New Roman" w:eastAsia="仿宋_GB2312" w:cs="Times New Roman"/>
          <w:color w:val="000000"/>
          <w:kern w:val="2"/>
          <w:sz w:val="32"/>
          <w:szCs w:val="32"/>
          <w:lang w:val="en-US" w:eastAsia="zh-CN" w:bidi="ar"/>
        </w:rPr>
        <w:t>02</w:t>
      </w:r>
      <w:r>
        <w:rPr>
          <w:rFonts w:hint="default" w:ascii="仿宋_GB2312" w:hAnsi="Times New Roman" w:eastAsia="仿宋_GB2312" w:cs="仿宋_GB2312"/>
          <w:color w:val="000000"/>
          <w:kern w:val="2"/>
          <w:sz w:val="32"/>
          <w:szCs w:val="32"/>
          <w:lang w:val="en-US" w:eastAsia="zh-CN" w:bidi="ar"/>
        </w:rPr>
        <w:t>0吨,占储备计划5000吨的100.4%，</w:t>
      </w:r>
      <w:r>
        <w:rPr>
          <w:rFonts w:hint="default" w:ascii="仿宋_GB2312" w:hAnsi="Times New Roman" w:eastAsia="仿宋_GB2312" w:cs="Times New Roman"/>
          <w:color w:val="000000"/>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复合肥7482吨，占储备计划7000吨的106.88%，超额完成了17000吨市级化肥淡季储备任务。</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320" w:firstLineChars="1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（三）项目自评步骤及方法。</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该项工作按照部门职能职责、化肥储备的实际情况开展具体储备工作，有专门的派驻队员进行日常工作。省、市均有相应的领导机构，有具体的考评办法，各项政策、制度体系完备、成熟可行。结合部门分工、职能职责提出年度目标任务。我社将严格按照责任分工进行项目跟进，确保年度目标实施到位。</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（一）项目资金申报及批复情况。</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经市政府同意，2021年市级淡季化肥储备任务由市供销社负责，委托广元市农业生产资料有限公司承担储备任务，经市财政局批复，财政拨款资金74万元。</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（二）资金计划、到位及使用情况。</w:t>
      </w:r>
    </w:p>
    <w:tbl>
      <w:tblPr>
        <w:tblStyle w:val="14"/>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0"/>
        <w:gridCol w:w="5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3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项目名称</w:t>
            </w:r>
          </w:p>
        </w:tc>
        <w:tc>
          <w:tcPr>
            <w:tcW w:w="5790" w:type="dxa"/>
            <w:tcBorders>
              <w:top w:val="single" w:color="auto" w:sz="4" w:space="0"/>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2021年度广元市市级化肥储备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3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预算单位</w:t>
            </w:r>
          </w:p>
        </w:tc>
        <w:tc>
          <w:tcPr>
            <w:tcW w:w="5790"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广元市农业生产资料有限公司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300" w:type="dxa"/>
            <w:vMerge w:val="restart"/>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项目资金</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（万元）</w:t>
            </w:r>
          </w:p>
        </w:tc>
        <w:tc>
          <w:tcPr>
            <w:tcW w:w="5790"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 xml:space="preserve"> 年度资金总额：3563.69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300" w:type="dxa"/>
            <w:vMerge w:val="continue"/>
            <w:tcBorders>
              <w:top w:val="nil"/>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90"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 xml:space="preserve">       其中：财政拨款：74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300" w:type="dxa"/>
            <w:vMerge w:val="continue"/>
            <w:tcBorders>
              <w:top w:val="nil"/>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9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 xml:space="preserve">             其他资金：3489.69</w:t>
            </w:r>
          </w:p>
        </w:tc>
      </w:tr>
    </w:tbl>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right="0" w:rightChars="0" w:firstLine="640" w:firstLineChars="20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（三）</w:t>
      </w:r>
      <w:r>
        <w:rPr>
          <w:rFonts w:hint="default" w:ascii="楷体_GB2312" w:hAnsi="宋体" w:eastAsia="楷体_GB2312" w:cs="楷体_GB2312"/>
          <w:b w:val="0"/>
          <w:bCs w:val="0"/>
          <w:kern w:val="2"/>
          <w:sz w:val="32"/>
          <w:szCs w:val="32"/>
          <w:lang w:val="en-US" w:eastAsia="zh-CN" w:bidi="ar"/>
        </w:rPr>
        <w:t>项目财务管理情况。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为管好、用好财政贴息资金，充分发挥其效能，公司根据</w:t>
      </w:r>
      <w:r>
        <w:rPr>
          <w:rFonts w:hint="default" w:ascii="仿宋_GB2312" w:hAnsi="宋体" w:eastAsia="仿宋_GB2312" w:cs="仿宋_GB2312"/>
          <w:kern w:val="2"/>
          <w:sz w:val="32"/>
          <w:szCs w:val="32"/>
          <w:lang w:val="en-US" w:eastAsia="zh-CN" w:bidi="ar"/>
        </w:rPr>
        <w:t>《广元市化肥淡季储备管理办法》的相关要求</w:t>
      </w:r>
      <w:r>
        <w:rPr>
          <w:rFonts w:hint="default" w:ascii="仿宋_GB2312" w:hAnsi="Times New Roman" w:eastAsia="仿宋_GB2312" w:cs="仿宋_GB2312"/>
          <w:kern w:val="2"/>
          <w:sz w:val="32"/>
          <w:szCs w:val="32"/>
          <w:lang w:val="en-US" w:eastAsia="zh-CN" w:bidi="ar"/>
        </w:rPr>
        <w:t xml:space="preserve">和财务管理制度，结合实际，制定了财政专项资金使用管理系列措施。一是专项资金的使用必须遵循专款专用、严格审查、接受监督的原则。二是突出重点，规范运作，提高资金使用效益。三是专项资金使用实行经办人事前申报、报账财务会计审核、总经理审批制度。四是明确专项资金谁开支谁负责、谁审核谁负责、谁签字谁负责的使用管理责任制。通过上述措施，公司各级人员都能各司其责，严把关口，从而有效避免了财政补助专项资金管理不规范、控制不严格等问题的发生，切实发挥了专项资金服务“三农”的应有作用。 </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三、项目实施及管理情况</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（一）</w:t>
      </w:r>
      <w:r>
        <w:rPr>
          <w:rFonts w:hint="default" w:ascii="楷体_GB2312" w:hAnsi="宋体" w:eastAsia="楷体_GB2312" w:cs="楷体_GB2312"/>
          <w:b w:val="0"/>
          <w:bCs w:val="0"/>
          <w:kern w:val="2"/>
          <w:sz w:val="32"/>
          <w:szCs w:val="32"/>
          <w:lang w:val="en-US" w:eastAsia="zh-CN" w:bidi="ar"/>
        </w:rPr>
        <w:t>项目组织架构及实施流程。</w:t>
      </w:r>
    </w:p>
    <w:p>
      <w:pPr>
        <w:keepNext w:val="0"/>
        <w:keepLines w:val="0"/>
        <w:widowControl w:val="0"/>
        <w:suppressLineNumbers w:val="0"/>
        <w:autoSpaceDE w:val="0"/>
        <w:autoSpaceDN/>
        <w:adjustRightInd w:val="0"/>
        <w:snapToGrid w:val="0"/>
        <w:spacing w:before="0" w:beforeAutospacing="0" w:after="0" w:afterAutospacing="0" w:line="576" w:lineRule="exact"/>
        <w:ind w:left="0" w:right="0"/>
        <w:jc w:val="both"/>
        <w:rPr>
          <w:rFonts w:hint="default" w:ascii="仿宋_GB2312" w:hAnsi="宋体" w:eastAsia="仿宋_GB2312" w:cs="Times New Roman"/>
          <w:b w:val="0"/>
          <w:bCs w:val="0"/>
          <w:kern w:val="2"/>
          <w:sz w:val="32"/>
          <w:szCs w:val="32"/>
        </w:rPr>
      </w:pPr>
      <w:r>
        <w:rPr>
          <w:rFonts w:hint="default" w:ascii="楷体_GB2312" w:hAnsi="宋体" w:eastAsia="楷体_GB2312" w:cs="Times New Roman"/>
          <w:b w:val="0"/>
          <w:bCs w:val="0"/>
          <w:kern w:val="2"/>
          <w:sz w:val="32"/>
          <w:szCs w:val="32"/>
          <w:lang w:val="en-US" w:eastAsia="zh-CN" w:bidi="ar"/>
        </w:rPr>
        <w:t xml:space="preserve">  </w:t>
      </w:r>
      <w:r>
        <w:rPr>
          <w:rFonts w:hint="default" w:ascii="仿宋_GB2312" w:hAnsi="宋体" w:eastAsia="仿宋_GB2312" w:cs="Times New Roman"/>
          <w:b w:val="0"/>
          <w:bCs w:val="0"/>
          <w:kern w:val="2"/>
          <w:sz w:val="32"/>
          <w:szCs w:val="32"/>
          <w:lang w:val="en-US" w:eastAsia="zh-CN" w:bidi="ar"/>
        </w:rPr>
        <w:t xml:space="preserve">  </w:t>
      </w:r>
      <w:r>
        <w:rPr>
          <w:rFonts w:hint="default" w:ascii="仿宋_GB2312" w:hAnsi="宋体" w:eastAsia="仿宋_GB2312" w:cs="仿宋_GB2312"/>
          <w:b w:val="0"/>
          <w:bCs w:val="0"/>
          <w:kern w:val="2"/>
          <w:sz w:val="32"/>
          <w:szCs w:val="32"/>
          <w:lang w:val="en-US" w:eastAsia="zh-CN" w:bidi="ar"/>
        </w:rPr>
        <w:t>该项目自上而下组织架构为市供销社、广元市农业生产资料有限公司、仓储中心，具体采购、运输、装卸和销售由广元市农业生产资料有限公司进行。</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储备肥由广元市农业生产资料有限公司在化肥淡季择时购进，用于旺季市场调节和平衡，并以防救灾之需，严防发生脱货现象，确保质量符合国家标准。储备化肥的使用由委托单位具体负责调度。化肥储备地点由广元市农业生产资料有限公司负责落实，储备数量由市供销社进行定期与不定期检查。</w:t>
      </w:r>
    </w:p>
    <w:p>
      <w:pPr>
        <w:keepNext w:val="0"/>
        <w:keepLines w:val="0"/>
        <w:widowControl w:val="0"/>
        <w:numPr>
          <w:ilvl w:val="0"/>
          <w:numId w:val="0"/>
        </w:numPr>
        <w:suppressLineNumbers w:val="0"/>
        <w:adjustRightInd w:val="0"/>
        <w:snapToGrid w:val="0"/>
        <w:spacing w:before="0" w:beforeAutospacing="0" w:after="0" w:afterAutospacing="0" w:line="520"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（三）</w:t>
      </w:r>
      <w:r>
        <w:rPr>
          <w:rFonts w:hint="default" w:ascii="楷体_GB2312" w:hAnsi="宋体" w:eastAsia="楷体_GB2312" w:cs="楷体_GB2312"/>
          <w:b w:val="0"/>
          <w:bCs w:val="0"/>
          <w:kern w:val="2"/>
          <w:sz w:val="32"/>
          <w:szCs w:val="32"/>
          <w:lang w:val="en-US" w:eastAsia="zh-CN" w:bidi="ar"/>
        </w:rPr>
        <w:t>项目监管情况。</w:t>
      </w:r>
    </w:p>
    <w:p>
      <w:pPr>
        <w:keepNext w:val="0"/>
        <w:keepLines w:val="0"/>
        <w:widowControl w:val="0"/>
        <w:suppressLineNumbers w:val="0"/>
        <w:adjustRightInd w:val="0"/>
        <w:snapToGrid w:val="0"/>
        <w:spacing w:before="0" w:beforeAutospacing="0" w:after="0" w:afterAutospacing="0" w:line="520"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kern w:val="2"/>
          <w:sz w:val="32"/>
          <w:szCs w:val="32"/>
          <w:lang w:val="en-US" w:eastAsia="zh-CN" w:bidi="ar"/>
        </w:rPr>
        <w:t>该项目绩效目标设置本着实际出发，从产出指标、效益指标、满意度指标等三大模块上提出可行、可量化、可考核的年度目标，项目目标设置合理，可操作性强。</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eastAsia" w:ascii="黑体" w:hAnsi="宋体" w:eastAsia="黑体" w:cs="黑体"/>
          <w:b w:val="0"/>
          <w:bCs w:val="0"/>
          <w:kern w:val="2"/>
          <w:sz w:val="32"/>
          <w:szCs w:val="32"/>
          <w:lang w:val="en-US" w:eastAsia="zh-CN" w:bidi="ar"/>
        </w:rPr>
        <w:t>四、项目绩效情况</w:t>
      </w:r>
      <w:r>
        <w:rPr>
          <w:rFonts w:hint="default" w:ascii="仿宋_GB2312" w:hAnsi="宋体" w:eastAsia="仿宋_GB2312" w:cs="Times New Roman"/>
          <w:b w:val="0"/>
          <w:bCs w:val="0"/>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576" w:lineRule="exact"/>
        <w:ind w:right="0" w:firstLine="320" w:firstLineChars="1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（一）项目完成情况。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2021年，广元市农业生产资料有限公司完成普通尿素储备5000吨，复合肥储备7000吨，碳铵储备5000吨，各项指标任务均在规定时间内完成。</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项目效益情况。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jc w:val="both"/>
        <w:rPr>
          <w:rFonts w:hint="default" w:ascii="楷体_GB2312" w:hAnsi="宋体" w:eastAsia="楷体_GB2312" w:cs="Times New Roman"/>
          <w:b w:val="0"/>
          <w:bCs w:val="0"/>
          <w:kern w:val="2"/>
          <w:sz w:val="32"/>
          <w:szCs w:val="32"/>
        </w:rPr>
      </w:pPr>
      <w:r>
        <w:rPr>
          <w:rFonts w:hint="default" w:ascii="楷体_GB2312" w:hAnsi="宋体" w:eastAsia="楷体_GB2312" w:cs="Times New Roman"/>
          <w:b w:val="0"/>
          <w:bCs w:val="0"/>
          <w:kern w:val="2"/>
          <w:sz w:val="32"/>
          <w:szCs w:val="32"/>
          <w:lang w:val="en-US" w:eastAsia="zh-CN" w:bidi="ar"/>
        </w:rPr>
        <w:t xml:space="preserve">   </w:t>
      </w:r>
      <w:r>
        <w:rPr>
          <w:rFonts w:hint="default" w:ascii="仿宋_GB2312" w:hAnsi="宋体" w:eastAsia="仿宋_GB2312" w:cs="仿宋_GB2312"/>
          <w:b w:val="0"/>
          <w:bCs w:val="0"/>
          <w:kern w:val="2"/>
          <w:sz w:val="32"/>
          <w:szCs w:val="32"/>
          <w:lang w:val="en-US" w:eastAsia="zh-CN" w:bidi="ar"/>
        </w:rPr>
        <w:t>化肥淡储到期后，承储企业适时、适地、适量、适价投放市场，充分发挥稳定市场、平抑价格作用，缓解了化肥常年生产、季节使用的矛盾，保障春耕用肥供应整储备品种和数量；大力推广使用测土配方肥、有机肥，减少单质肥使用，改良土壤，减少土壤板结、碱化。</w:t>
      </w:r>
    </w:p>
    <w:p>
      <w:pPr>
        <w:keepNext w:val="0"/>
        <w:keepLines w:val="0"/>
        <w:widowControl w:val="0"/>
        <w:numPr>
          <w:ilvl w:val="0"/>
          <w:numId w:val="14"/>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评价结论及建议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（一）评价结论。</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综合前述评估内容来看，该项目立项必要性和依据充分，绩效目标明确，完成情况良好，有充分的可持续发展前景，是确保我市农资市场供应，不断满足农业生产需要，增强农资市场的调控能力，促进农民增收的必要措施。</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（二）存在的问题。</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承储企业储备资金无法保证，主要是因为化肥储备需要的资金量大，承储企业难以贷到足额资金。</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（三）相关建议。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希望财政部门把我市供销社的化肥淡储工作作为全市服务“三农”工作的重要工作，加大扶持力度；另外可以进一步优化储备品种，增加有机肥的储备量，降低化学肥料的储备量，以改善储备化肥淡旺季价格倒挂现象。</w:t>
      </w:r>
    </w:p>
    <w:p>
      <w:pPr>
        <w:pStyle w:val="6"/>
        <w:rPr>
          <w:rFonts w:hint="eastAsia"/>
          <w:color w:val="auto"/>
          <w:highlight w:val="none"/>
          <w:lang w:val="zh-CN"/>
        </w:rPr>
      </w:pPr>
    </w:p>
    <w:p>
      <w:pPr>
        <w:pStyle w:val="6"/>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13"/>
        <w:keepNext w:val="0"/>
        <w:keepLines w:val="0"/>
        <w:widowControl w:val="0"/>
        <w:suppressLineNumbers w:val="0"/>
        <w:autoSpaceDE w:val="0"/>
        <w:autoSpaceDN/>
        <w:spacing w:before="0" w:beforeAutospacing="0" w:after="0" w:afterAutospacing="0" w:line="576" w:lineRule="exact"/>
        <w:ind w:left="0" w:right="0" w:firstLine="0"/>
        <w:jc w:val="both"/>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color w:val="000000"/>
          <w:kern w:val="2"/>
          <w:sz w:val="44"/>
          <w:szCs w:val="44"/>
          <w:lang w:val="en-US" w:eastAsia="zh-CN" w:bidi="ar"/>
        </w:rPr>
        <w:t>2022年专项预算项目支出绩效自评报告</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 xml:space="preserve"> </w:t>
      </w:r>
    </w:p>
    <w:p>
      <w:pPr>
        <w:pStyle w:val="13"/>
        <w:keepNext w:val="0"/>
        <w:keepLines w:val="0"/>
        <w:widowControl w:val="0"/>
        <w:suppressLineNumbers w:val="0"/>
        <w:autoSpaceDE w:val="0"/>
        <w:autoSpaceDN/>
        <w:spacing w:before="0" w:beforeAutospacing="0" w:after="0" w:afterAutospacing="0" w:line="576" w:lineRule="exact"/>
        <w:ind w:left="0" w:right="0" w:firstLine="0"/>
        <w:jc w:val="center"/>
        <w:rPr>
          <w:rFonts w:hint="default" w:ascii="楷体_GB2312" w:eastAsia="楷体_GB2312" w:cs="楷体_GB2312"/>
          <w:b w:val="0"/>
          <w:bCs w:val="0"/>
          <w:kern w:val="2"/>
          <w:sz w:val="32"/>
          <w:szCs w:val="32"/>
        </w:rPr>
      </w:pPr>
      <w:r>
        <w:rPr>
          <w:rFonts w:hint="default" w:ascii="楷体_GB2312" w:hAnsi="??" w:eastAsia="楷体_GB2312" w:cs="楷体_GB2312"/>
          <w:b w:val="0"/>
          <w:bCs w:val="0"/>
          <w:color w:val="000000"/>
          <w:kern w:val="2"/>
          <w:sz w:val="32"/>
          <w:szCs w:val="32"/>
          <w:lang w:val="en-US" w:eastAsia="zh-CN" w:bidi="ar"/>
        </w:rPr>
        <w:t>（供销社综合改革专项资金）</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720"/>
        <w:jc w:val="both"/>
        <w:rPr>
          <w:rFonts w:hint="eastAsia" w:ascii="黑体" w:hAnsi="宋体" w:eastAsia="黑体" w:cs="Times New Roman"/>
          <w:b w:val="0"/>
          <w:bCs w:val="0"/>
          <w:kern w:val="2"/>
          <w:sz w:val="32"/>
          <w:szCs w:val="32"/>
        </w:rPr>
      </w:pPr>
      <w:r>
        <w:rPr>
          <w:rFonts w:hint="eastAsia" w:ascii="黑体" w:hAnsi="宋体" w:eastAsia="黑体" w:cs="Times New Roman"/>
          <w:b w:val="0"/>
          <w:bCs w:val="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（一）项目基本情况。</w:t>
      </w:r>
    </w:p>
    <w:p>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根据省财政厅、省供销社印发的《省级供销综合改革及发展专项资金管理办法》（川财建〔2020〕408号），省供销社《关于做好2021年省级供销综合改革及发展专项资金使用管理的通知》以及《广元市省级供销综合改革及发展专项资金使用监管实施细则》相关规定，省财政厅下达广元市2021年省级供销综合改革资金662万元，为进一步加强全市供销合作社改革，我社以与农民利益为核心，以提升为农服务为根本，全面深化供销合作社综合改革，促进乡村振兴的发展，稳步推进改革各项工作，让供销系统成为服务农民生产生活的有生力量，成为党和政府密切联系群众的桥梁纽带。</w:t>
      </w:r>
    </w:p>
    <w:p>
      <w:pPr>
        <w:keepNext w:val="0"/>
        <w:keepLines w:val="0"/>
        <w:widowControl w:val="0"/>
        <w:numPr>
          <w:ilvl w:val="0"/>
          <w:numId w:val="15"/>
        </w:numPr>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项目绩效目标。</w:t>
      </w:r>
    </w:p>
    <w:p>
      <w:pPr>
        <w:keepNext w:val="0"/>
        <w:keepLines w:val="0"/>
        <w:widowControl w:val="0"/>
        <w:suppressLineNumbers w:val="0"/>
        <w:spacing w:before="0" w:beforeAutospacing="0" w:after="0" w:afterAutospacing="0" w:line="55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2021年，我社目标创建75个基层社示范社、40个星级农村综合服务社，开展农民职业技术培训150人次。建成</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标杆基层社</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14个、</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五星级农村综合服务社</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13个。拓展服务领域，提升为农服务能力，积极构建</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1+7+N</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农产品电商营销体系，建成小型冷链物流集配中心3个，全市全年至少23家企业新入驻</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832平台</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w:t>
      </w:r>
    </w:p>
    <w:p>
      <w:pPr>
        <w:keepNext w:val="0"/>
        <w:keepLines w:val="0"/>
        <w:widowControl w:val="0"/>
        <w:numPr>
          <w:ilvl w:val="0"/>
          <w:numId w:val="15"/>
        </w:numPr>
        <w:suppressLineNumbers w:val="0"/>
        <w:autoSpaceDE w:val="0"/>
        <w:autoSpaceDN/>
        <w:adjustRightInd w:val="0"/>
        <w:snapToGrid w:val="0"/>
        <w:spacing w:before="0" w:beforeAutospacing="0" w:after="0" w:afterAutospacing="0" w:line="576" w:lineRule="exact"/>
        <w:ind w:left="0" w:leftChars="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项目自评步骤及方法。</w:t>
      </w:r>
    </w:p>
    <w:p>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本次绩效评价遵循客观、公正、规范、透明的原则开展评价工作。评价指标的设置结合项目特点和评价实际，采取自评和他评相结合的方式，成立项目自评小组，结合自评内容，做到有计划、有安排，扎实开展本次自评工作，分别从项目决策、项目过程、项目产出和项目效果四个环节对项目决策、资金落实、业务管理、财务管理及项目实施后所产生的经济社会效益及项目绩效目标的完成程度等方面进行全方位的评价。</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（一）项目资金申报及批复情况。</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本次评价项目省财政厅直接下达预算资金安排662万元，2021年财政实际拨付资金662万元，资金拨付率100%。</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（二）资金计划、到位及使用情况</w:t>
      </w:r>
    </w:p>
    <w:p>
      <w:pPr>
        <w:keepNext w:val="0"/>
        <w:keepLines w:val="0"/>
        <w:widowControl w:val="0"/>
        <w:numPr>
          <w:ilvl w:val="0"/>
          <w:numId w:val="16"/>
        </w:numPr>
        <w:suppressLineNumbers w:val="0"/>
        <w:autoSpaceDE w:val="0"/>
        <w:autoSpaceDN/>
        <w:adjustRightInd w:val="0"/>
        <w:snapToGrid w:val="0"/>
        <w:spacing w:before="0" w:beforeAutospacing="0" w:after="0" w:afterAutospacing="0" w:line="576" w:lineRule="exact"/>
        <w:ind w:left="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资金计划。</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本次评价项目预算资金计划安排662万元。</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（1）苍溪县供销社4个项目共奖补105万元。</w:t>
      </w:r>
      <w:r>
        <w:rPr>
          <w:rFonts w:hint="eastAsia" w:ascii="仿宋_GB2312" w:hAnsi="宋体" w:eastAsia="仿宋_GB2312" w:cs="仿宋_GB2312"/>
          <w:b w:val="0"/>
          <w:bCs w:val="0"/>
          <w:kern w:val="2"/>
          <w:sz w:val="32"/>
          <w:szCs w:val="32"/>
          <w:lang w:val="en-US" w:eastAsia="zh-CN" w:bidi="ar"/>
        </w:rPr>
        <w:t>苍溪县供销合作社联合社50万元，用于支持县社统筹按省供销社工作安排和制定的建设标准将5个基层社建成基层社示范社。苍溪县东溪供销社35万元，主要进行改造提升农资仓储配送服务中心功能，扩大服务覆盖面。苍溪县龙山供销社10万元，主要用于土地农事（土地）托管服务。苍溪县月山乡供销社10万元，主要用于农事（土地）托管服务。</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2）剑阁县供销社4个项目共奖补90万元，剑阁县供销合作社联合社50万元，用于支持县社统筹按省供销社工作安排和制定的建设标准将5个基层社建成基层社示范社。剑阁县供销合作社鹤龄中心社10万元，新增土地托管2558亩，农事（土地）托管服务奖补资金10万元。剑阁县供销合作社元山中心社20万元，新增土地托管面积4812.8亩，本次给予其农事（土地）托管服务奖补资金20万元，用于统筹建设区域性为农服务中心。剑阁县蜀韵农业供销发展（集团）有限公司10万元，用于农村会计服务体系建设奖补资金10万元。</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3）旺苍县供销社2个项目共奖补50万元。旺苍县供销合作社联合社40万元，用于支持县社统筹按省供销社工作安排和制定的建设标准将4个基层社建成基层社示范社。旺苍县开源资产经营管理有限公司10万元，用于农村会计服务体系建设奖补资金10万元。</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（4）青川县供销社1个项目共奖补50万元，用于支持县社统筹按省供销社工作安排和制定的建设标准将5个基层社建成基层社示范社。</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5）利州区供销社3个项目共奖补70万元。利州区供销合作社联合社20万元，用于支持县社统筹按省供销社工作安排和制定的建设标准将2个基层社建成基层社示范社。广元市利州区供利云财税服务公司30万元，按照省、市供销社《“十四五”农村会计服务体系建设规划》建设标准，实施农村会计服务示范县建设，力争用1—2年创建成我市第一个农村会计服务示范县，用于农村会计服务体系建设奖补资金30万元。利州区荣山供销社20万元，该社拟投资75万元建设区域性为农服务中心1个，进一步提升其为农服务功能和实力，更好地为当地农民和农业生产服务。本次给予该项目现代流通服务体系建设奖补资金20万元。</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6）昭化区供销社3个项目共奖补52万元。昭化区供销合作社联合社40万元，用于支持县社统筹按省供销社工作安排和制定的建设标准将4个基层社建成基层社示范社。广元市昭化区卫子中心供销社10万元，2020年投资35万余元建成冷库配送管理用房和围墙、硬化路面及购置果框、托盘等，进一步提升了猕猴桃清选包装、储藏保鲜、冷链物流等服务功能，对发展当地猕猴桃产业、助农增收有着积极的作用。本次给予该项目现代流通服务体系建设奖补资金10万元。广元自俸投资有限公司2万元，该公司为区供销社全资企业，2020年建成会计服务中心并开展会计服务。经测算，2020年全年该会计服务中心运维成本（人工工资、保险及福利除外）为6.2万元，按省社制定的奖补标准给予其运维成本30%以内的补助。</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7）朝天区供销社4个项目共奖补65万元。朝天区供销合作社联合社30万元，用于支持县社统筹按省供销社工作安排和制定的建设标准将3个基层社建成基层社示范社。广元市朝天区朝天中心供销合作社10万元，2021年上半年实现销售总额200余万元，极大地解决了当地农产品销路不畅问题，农产品线上交易效果好，为方便群众生活、助农增收作出了贡献。本次给予现代流通服务体系建设奖补资金10万元。广元市朝天区维农商务服务有限公司5万元该公司在2020年农村会计服务中共支出运维成本（人工工资、保险和福利除外）14.56万元。现按省供销社指引给予运维成本30%以内的农村会计服务体系建设奖补。朝天区裕鑫农业开发有限公司20万元，020年继续租用土地130余亩发展藤椒、核桃产业，土地托管面积达4万余亩，7000余农户受益。本次给予农事（土地）托管服务奖补资金20万元。</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8）市供销社本级企业3个项目共奖补180万元。广元市农业生产资料有限公司40万元，新增土地托管面积1.5万亩，全年共托管1.96万亩，先后投入资金100余万元。本次给予农事（土地）托管服务奖补资金40万元。四川省广供天下电子商务有限公司40万元，现拟投入资金131万余元，对农产品电商配送中心和电商运营中心升级改造。通过项目实施，将有效提高配送发货效率，提升电商运营服务能力和水平，有力带动广元本地产品销售，助推我市农业产业发展和农民增收。本次给予现代流通服务体系建设奖补资金40万元。广元供销农产品集团有限公司100万元，公司拟投资245万元，开展冷链物流配送中心二期冷库扩容及恒温恒湿仓库地坪改造等项目建设，新建1300余平方米冷库及配套冷库系统设施设备和升降平台及液压提升机改造等。本次给予现代流通服务体系建设奖补资金100万元。</w:t>
      </w:r>
    </w:p>
    <w:p>
      <w:pPr>
        <w:keepNext w:val="0"/>
        <w:keepLines w:val="0"/>
        <w:widowControl w:val="0"/>
        <w:numPr>
          <w:ilvl w:val="0"/>
          <w:numId w:val="16"/>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资金到位。</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2021年财政实际拨付资金662万元，资金拨付率100%。</w:t>
      </w:r>
    </w:p>
    <w:p>
      <w:pPr>
        <w:keepNext w:val="0"/>
        <w:keepLines w:val="0"/>
        <w:widowControl w:val="0"/>
        <w:numPr>
          <w:ilvl w:val="0"/>
          <w:numId w:val="16"/>
        </w:numPr>
        <w:suppressLineNumbers w:val="0"/>
        <w:autoSpaceDE w:val="0"/>
        <w:autoSpaceDN/>
        <w:adjustRightInd w:val="0"/>
        <w:snapToGrid w:val="0"/>
        <w:spacing w:before="0" w:beforeAutospacing="0" w:after="0" w:afterAutospacing="0" w:line="576" w:lineRule="exact"/>
        <w:ind w:left="0" w:leftChars="0" w:right="0" w:firstLine="643" w:firstLineChars="200"/>
        <w:jc w:val="both"/>
        <w:rPr>
          <w:rFonts w:hint="default" w:ascii="仿宋_GB2312" w:eastAsia="仿宋_GB2312" w:cs="仿宋_GB2312"/>
          <w:b/>
          <w:bCs/>
          <w:kern w:val="2"/>
          <w:sz w:val="32"/>
          <w:szCs w:val="32"/>
        </w:rPr>
      </w:pPr>
      <w:r>
        <w:rPr>
          <w:rFonts w:hint="default" w:ascii="仿宋_GB2312" w:hAnsi="Times New Roman" w:eastAsia="仿宋_GB2312" w:cs="仿宋_GB2312"/>
          <w:b/>
          <w:bCs/>
          <w:kern w:val="2"/>
          <w:sz w:val="32"/>
          <w:szCs w:val="32"/>
          <w:lang w:val="en-US" w:eastAsia="zh-CN" w:bidi="ar"/>
        </w:rPr>
        <w:t>资金使用。</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财政资金总体支出662万元，财政资金总体支出率100%。项目资金专款专用，主要用于我市供销系统综合改革专项所需的工作经费，支出依据合法合规，资金支付与预算基本相符。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（三）项目财务管理情况。</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该项目为每年省财政资金直达项目，经费使用规范、合理、有效，保证严格资金的审批和报账程序，资金支出手续齐全规范，执行有效。报账时，附有合法合规的依据文件、凭证等，规范手续。</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（一）项目组织架构及实施流程。</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由我社组织人员完成对各个基层社和市本级企业的综合改革的指导工作，组织对2021年度供销社综合改革专项项目资金绩效评价及日常监督检查，完成年度供销社综合改革的成效考核迎检工作。</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项目管理情况。</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供销社综合改革项目资金主要用于各个项目单位上报评估后的申报项目，保证项目资金专项专用，严禁挪作他用。</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（三）</w:t>
      </w:r>
      <w:r>
        <w:rPr>
          <w:rFonts w:hint="default" w:ascii="楷体_GB2312" w:hAnsi="宋体" w:eastAsia="楷体_GB2312" w:cs="楷体_GB2312"/>
          <w:b w:val="0"/>
          <w:bCs w:val="0"/>
          <w:kern w:val="2"/>
          <w:sz w:val="32"/>
          <w:szCs w:val="32"/>
          <w:lang w:val="en-US" w:eastAsia="zh-CN" w:bidi="ar"/>
        </w:rPr>
        <w:t>项目监管情况。</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强化过程监管，落实资金支出范围。开支符合国家财经法规和财务管理制度，资金的拨付有较完整的审批程序和手续，资金使用符合预算用途，与当年供销社综合改革项目年度目标任务相符。</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eastAsia" w:ascii="黑体" w:hAnsi="宋体" w:eastAsia="黑体" w:cs="黑体"/>
          <w:b w:val="0"/>
          <w:bCs w:val="0"/>
          <w:kern w:val="2"/>
          <w:sz w:val="32"/>
          <w:szCs w:val="32"/>
          <w:lang w:val="en-US" w:eastAsia="zh-CN" w:bidi="ar"/>
        </w:rPr>
        <w:t>四、项目绩效情况</w:t>
      </w:r>
      <w:r>
        <w:rPr>
          <w:rFonts w:hint="default" w:ascii="仿宋_GB2312" w:hAnsi="宋体" w:eastAsia="仿宋_GB2312" w:cs="Times New Roman"/>
          <w:b w:val="0"/>
          <w:bCs w:val="0"/>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（一）项目完成情况。</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2021年我社积极推进综合改革，阶段性改革任务全面完成，“双线运行”取得积极成效，基本构建起以联合社机关为主导的行业指导体系和社有企业为支撑的经营服务体系，深化供销合作社双线运行体系建设的经验做法，得到了省委及总社领导的充分肯定。同时，“三会制度”基本建立，全市7个县区的党委政府都批准了县区供销社建立监事会。</w:t>
      </w:r>
    </w:p>
    <w:p>
      <w:pPr>
        <w:keepNext w:val="0"/>
        <w:keepLines w:val="0"/>
        <w:widowControl w:val="0"/>
        <w:numPr>
          <w:ilvl w:val="0"/>
          <w:numId w:val="0"/>
        </w:numPr>
        <w:suppressLineNumbers w:val="0"/>
        <w:autoSpaceDE w:val="0"/>
        <w:autoSpaceDN/>
        <w:adjustRightInd w:val="0"/>
        <w:snapToGrid w:val="0"/>
        <w:spacing w:before="0" w:beforeAutospacing="0" w:after="0" w:afterAutospacing="0" w:line="576" w:lineRule="exact"/>
        <w:ind w:leftChars="200" w:right="0" w:rightChars="0"/>
        <w:jc w:val="both"/>
        <w:rPr>
          <w:rFonts w:hint="default" w:ascii="楷体_GB2312" w:hAnsi="宋体" w:eastAsia="楷体_GB2312" w:cs="Times New Roman"/>
          <w:b w:val="0"/>
          <w:bCs w:val="0"/>
          <w:kern w:val="2"/>
          <w:sz w:val="32"/>
          <w:szCs w:val="32"/>
        </w:rPr>
      </w:pPr>
      <w:r>
        <w:rPr>
          <w:rFonts w:hint="eastAsia" w:ascii="楷体_GB2312" w:hAnsi="宋体" w:eastAsia="楷体_GB2312" w:cs="楷体_GB2312"/>
          <w:b w:val="0"/>
          <w:bCs w:val="0"/>
          <w:kern w:val="2"/>
          <w:sz w:val="32"/>
          <w:szCs w:val="32"/>
          <w:lang w:val="en-US" w:eastAsia="zh-CN" w:bidi="ar"/>
        </w:rPr>
        <w:t>（二）</w:t>
      </w:r>
      <w:r>
        <w:rPr>
          <w:rFonts w:hint="default" w:ascii="楷体_GB2312" w:hAnsi="宋体" w:eastAsia="楷体_GB2312" w:cs="楷体_GB2312"/>
          <w:b w:val="0"/>
          <w:bCs w:val="0"/>
          <w:kern w:val="2"/>
          <w:sz w:val="32"/>
          <w:szCs w:val="32"/>
          <w:lang w:val="en-US" w:eastAsia="zh-CN" w:bidi="ar"/>
        </w:rPr>
        <w:t>项目效益情况。</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基层供销社建设持续强化。深入推进两项改革</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后半篇</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文章各项部署，创新财政资金</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股权量化</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投入基层供销社建设，创建了79个基层社示范社（超额完成4个）、42个星级农村综合服务社（超额完成2个），开展了农民职业技术培训345人次（超额完成195人次）。建成</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标杆基层社</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16个、</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五星级农村综合服务社</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15个，建成数量位居全省第一。</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三社</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融合加快推进。支持供销合作社、村集体经济组织通过资本联合、业务合作等方式在组织、经济、经营等方面进行融合，与村集体经济组织、专业合作社共建村级供销社40个，强村固基、富民兴社的长效机制逐步建立。</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3</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（4＋N）</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农业社会化服务体系不断完善。以</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供销社+土地托管</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模式为农业经营业主和农户提供</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一站式、全链条、保姆式</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社会化服务。现代城乡流通网络逐步健全。积极构建</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1+7+N</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农产品电商营销体系，建成小型冷链物流集配中心4个，与市交通、商务、邮政、广运集团签订了县乡村三级运输服务体系战略合作框架协议，着力构建县乡村三级物流运输体系。</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社企关系进一步理顺。市、县级联合社均成立了社有资产管理委员会，联合社管理企业全面实现了由</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管人管事</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向</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主管资本</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转变。加强市属社社有企业发展进一步发展。全市社有企业践行</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为农服务、合作诚信、转型创新、强企惠民</w:t>
      </w:r>
      <w:r>
        <w:rPr>
          <w:rFonts w:hint="eastAsia" w:ascii="仿宋_GB2312" w:hAnsi="宋体" w:eastAsia="仿宋_GB2312" w:cs="仿宋_GB2312"/>
          <w:b w:val="0"/>
          <w:bCs w:val="0"/>
          <w:kern w:val="2"/>
          <w:sz w:val="32"/>
          <w:szCs w:val="32"/>
          <w:lang w:val="en-US" w:eastAsia="zh-CN" w:bidi="ar"/>
        </w:rPr>
        <w:t>”</w:t>
      </w:r>
      <w:r>
        <w:rPr>
          <w:rFonts w:hint="default" w:ascii="仿宋_GB2312" w:hAnsi="宋体" w:eastAsia="仿宋_GB2312" w:cs="仿宋_GB2312"/>
          <w:b w:val="0"/>
          <w:bCs w:val="0"/>
          <w:kern w:val="2"/>
          <w:sz w:val="32"/>
          <w:szCs w:val="32"/>
          <w:lang w:val="en-US" w:eastAsia="zh-CN" w:bidi="ar"/>
        </w:rPr>
        <w:t>总体发展思路，深耕农资、农产品、日用消费品、再生资源等传统业务，拓展电子商务等新型业务，综合经营服务能力不断提升。</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（一）评价结论。</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该项目的产出指标、效益指标、满意度指标都取得了良好的成效，种种成绩的取得，是习近平新时代中国特色社会主义思想科学指引的结果，是市委市政府坚强领导、省供销社有力指导、各部门鼎力支持的结果，是全市供销社系统干部职工奋力拼搏的结果，扎实落实供销社综合改革相关工作部署，该项工作也得到了认可。</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（二）存在的问题。</w:t>
      </w:r>
    </w:p>
    <w:p>
      <w:pPr>
        <w:pStyle w:val="33"/>
        <w:keepNext w:val="0"/>
        <w:keepLines w:val="0"/>
        <w:widowControl w:val="0"/>
        <w:suppressLineNumbers w:val="0"/>
        <w:autoSpaceDE w:val="0"/>
        <w:autoSpaceDN/>
        <w:snapToGrid w:val="0"/>
        <w:spacing w:line="576" w:lineRule="exact"/>
        <w:ind w:left="0" w:firstLine="707" w:firstLineChars="221"/>
        <w:jc w:val="both"/>
        <w:rPr>
          <w:rFonts w:hint="default" w:ascii="仿宋_GB2312" w:hAnsi="宋体" w:eastAsia="仿宋_GB2312" w:cs="仿宋_GB2312"/>
          <w:b w:val="0"/>
          <w:bCs w:val="0"/>
          <w:kern w:val="2"/>
          <w:sz w:val="32"/>
          <w:szCs w:val="32"/>
          <w:lang w:val="en-US" w:eastAsia="zh-CN" w:bidi="ar"/>
        </w:rPr>
      </w:pPr>
      <w:r>
        <w:rPr>
          <w:rFonts w:hint="default" w:ascii="仿宋_GB2312" w:hAnsi="宋体" w:eastAsia="仿宋_GB2312" w:cs="仿宋_GB2312"/>
          <w:b w:val="0"/>
          <w:bCs w:val="0"/>
          <w:kern w:val="2"/>
          <w:sz w:val="32"/>
          <w:szCs w:val="32"/>
          <w:lang w:val="en-US" w:eastAsia="zh-CN" w:bidi="ar"/>
        </w:rPr>
        <w:t>在充分肯定成绩的同时，我们也应当清醒地看到，深化综合改革虽然取得了进一步成效，但与习近平总书记重要指示批示和市委市政府部署要求还有不小差距，特别是总体经济实力还不强，体量还不大，为农服务的具体成效还不能满足形势需要。体制机制方面的改革突破还不多，联合社治理机制还不健全，社有企业的综合实力距离支撑为农服务主业还有不少差距。主要表现为：一是基层组织体系建设还有待进一步健全。乡镇行政区划调整后，部分建制乡镇是以专业合作社代替基层社行使服务职能，部分建制村只有服务单一的经营服务网点。二是社有企业体制机制还不完善。现代企业制度还未完全建立，市场化经营机制还不完善，防范化解各类风险的能力还有不足。社有企业转型升级相对缓慢，产业层次较为不高，实力不强，缺少核心竞争力，整体盈利能力不强。</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仿宋_GB2312" w:hAnsi="宋体" w:eastAsia="仿宋_GB2312" w:cs="仿宋_GB2312"/>
          <w:b w:val="0"/>
          <w:bCs w:val="0"/>
          <w:kern w:val="2"/>
          <w:sz w:val="32"/>
          <w:szCs w:val="32"/>
          <w:lang w:val="en-US" w:eastAsia="zh-CN" w:bidi="ar"/>
        </w:rPr>
        <w:t>（三）相关建议。</w:t>
      </w:r>
    </w:p>
    <w:p>
      <w:pPr>
        <w:pStyle w:val="33"/>
        <w:keepNext w:val="0"/>
        <w:keepLines w:val="0"/>
        <w:widowControl w:val="0"/>
        <w:suppressLineNumbers w:val="0"/>
        <w:autoSpaceDE w:val="0"/>
        <w:autoSpaceDN/>
        <w:snapToGrid w:val="0"/>
        <w:spacing w:line="576" w:lineRule="exact"/>
        <w:ind w:left="0" w:firstLine="707" w:firstLineChars="221"/>
        <w:jc w:val="both"/>
        <w:rPr>
          <w:rFonts w:hint="eastAsia" w:ascii="仿宋_GB2312" w:hAnsi="宋体" w:eastAsia="仿宋_GB2312" w:cs="仿宋_GB2312"/>
          <w:b w:val="0"/>
          <w:bCs w:val="0"/>
          <w:kern w:val="2"/>
          <w:sz w:val="32"/>
          <w:szCs w:val="32"/>
          <w:lang w:val="en-US" w:eastAsia="zh-CN" w:bidi="ar"/>
        </w:rPr>
      </w:pPr>
      <w:r>
        <w:rPr>
          <w:rFonts w:hint="eastAsia" w:ascii="仿宋_GB2312" w:hAnsi="宋体" w:eastAsia="仿宋_GB2312" w:cs="仿宋_GB2312"/>
          <w:b w:val="0"/>
          <w:bCs w:val="0"/>
          <w:kern w:val="2"/>
          <w:sz w:val="32"/>
          <w:szCs w:val="32"/>
          <w:lang w:val="en-US" w:eastAsia="zh-CN" w:bidi="ar"/>
        </w:rPr>
        <w:t>针对以上存在的问题，建议财政部门给予更大的政策和资金支持，以能够我社更好地发挥为农服务综合平台的作用，在乡村振兴中贡献更大力量。</w:t>
      </w: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ind w:left="0" w:leftChars="0" w:firstLine="0" w:firstLineChars="0"/>
        <w:rPr>
          <w:rFonts w:hint="eastAsia"/>
          <w:color w:val="auto"/>
          <w:highlight w:val="none"/>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object>
          <v:shape id="_x0000_i1025" o:spt="75" type="#_x0000_t75" style="height:0.05pt;width:0.05pt;" o:ole="t" filled="f" stroked="f" coordsize="21600,21600">
            <v:path/>
            <v:fill on="f" focussize="0,0"/>
            <v:stroke on="f"/>
            <v:imagedata o:title=""/>
            <o:lock v:ext="edit" aspectratio="t"/>
            <w10:wrap type="none"/>
            <w10:anchorlock/>
          </v:shape>
          <o:OLEObject Type="Link" ProgID="Excel.Sheet.12" ShapeID="_x0000_i1025" UpdateMode="Always" DrawAspect="Content" ObjectID="_1468075725" r:id="rId13">
            <o:LinkType>EnhancedMetaFile</o:LinkType>
            <o:LockedField>false</o:LockedField>
          </o:OLEObject>
        </w:object>
      </w:r>
      <w:r>
        <w:rPr>
          <w:rFonts w:hint="eastAsia" w:ascii="仿宋_GB2312" w:hAnsi="宋体" w:eastAsia="仿宋_GB2312" w:cs="宋体"/>
          <w:b w:val="0"/>
          <w:bCs w:val="0"/>
          <w:color w:val="auto"/>
          <w:kern w:val="0"/>
          <w:sz w:val="32"/>
          <w:szCs w:val="32"/>
          <w:highlight w:val="none"/>
          <w:shd w:val="clear" w:color="auto" w:fill="FFFFFF"/>
          <w:lang w:val="zh-CN"/>
        </w:rPr>
        <w:object>
          <v:shape id="_x0000_i1026" o:spt="75" type="#_x0000_t75" style="height:614.25pt;width:457.8pt;" o:ole="t" filled="f" o:preferrelative="t" stroked="f" coordsize="21600,21600">
            <v:path/>
            <v:fill on="f" focussize="0,0"/>
            <v:stroke on="f"/>
            <v:imagedata r:id="rId14" o:title=""/>
            <o:lock v:ext="edit" aspectratio="t"/>
            <w10:wrap type="none"/>
            <w10:anchorlock/>
          </v:shape>
          <o:OLEObject Type="Link" ProgID="Excel.Sheet.12" ShapeID="_x0000_i1026" UpdateMode="Always" DrawAspect="Content" ObjectID="_1468075726" r:id="rId13">
            <o:LinkType>EnhancedMetaFile</o:LinkType>
            <o:LockedField>false</o:LockedField>
          </o:OLEObject>
        </w:object>
      </w: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object>
          <v:shape id="_x0000_i1027" o:spt="75" type="#_x0000_t75" style="height:0.05pt;width:0.05pt;" o:ole="t" filled="f" stroked="f" coordsize="21600,21600">
            <v:path/>
            <v:fill on="f" focussize="0,0"/>
            <v:stroke on="f"/>
            <v:imagedata o:title=""/>
            <o:lock v:ext="edit" aspectratio="t"/>
            <w10:wrap type="none"/>
            <w10:anchorlock/>
          </v:shape>
          <o:OLEObject Type="Link" ProgID="Excel.Sheet.12" ShapeID="_x0000_i1027" UpdateMode="Always" DrawAspect="Content" ObjectID="_1468075727" r:id="rId15">
            <o:LinkType>EnhancedMetaFile</o:LinkType>
            <o:LockedField>false</o:LockedField>
          </o:OLEObject>
        </w:object>
      </w:r>
      <w:r>
        <w:rPr>
          <w:rFonts w:hint="eastAsia" w:ascii="仿宋_GB2312" w:hAnsi="宋体" w:eastAsia="仿宋_GB2312" w:cs="宋体"/>
          <w:b w:val="0"/>
          <w:bCs w:val="0"/>
          <w:color w:val="auto"/>
          <w:kern w:val="0"/>
          <w:sz w:val="32"/>
          <w:szCs w:val="32"/>
          <w:highlight w:val="none"/>
          <w:shd w:val="clear" w:color="auto" w:fill="FFFFFF"/>
          <w:lang w:val="zh-CN"/>
        </w:rPr>
        <w:object>
          <v:shape id="_x0000_i1028" o:spt="75" type="#_x0000_t75" style="height:674pt;width:454.1pt;" o:ole="t" filled="f" o:preferrelative="t" stroked="f" coordsize="21600,21600">
            <v:path/>
            <v:fill on="f" focussize="0,0"/>
            <v:stroke on="f"/>
            <v:imagedata r:id="rId16" o:title=""/>
            <o:lock v:ext="edit" aspectratio="t"/>
            <w10:wrap type="none"/>
            <w10:anchorlock/>
          </v:shape>
          <o:OLEObject Type="Link" ProgID="Excel.Sheet.12" ShapeID="_x0000_i1028" UpdateMode="Always" DrawAspect="Content" ObjectID="_1468075728" r:id="rId15">
            <o:LinkType>EnhancedMetaFile</o:LinkType>
            <o:LockedField>false</o:LockedField>
          </o:OLEObject>
        </w:object>
      </w: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object>
          <v:shape id="_x0000_i1029" o:spt="75" type="#_x0000_t75" style="height:0.05pt;width:0.05pt;" o:ole="t" filled="f" stroked="f" coordsize="21600,21600">
            <v:path/>
            <v:fill on="f" focussize="0,0"/>
            <v:stroke on="f"/>
            <v:imagedata o:title=""/>
            <o:lock v:ext="edit" aspectratio="t"/>
            <w10:wrap type="none"/>
            <w10:anchorlock/>
          </v:shape>
          <o:OLEObject Type="Link" ProgID="Excel.Sheet.12" ShapeID="_x0000_i1029" UpdateMode="Always" DrawAspect="Content" ObjectID="_1468075729" r:id="rId17">
            <o:LinkType>EnhancedMetaFile</o:LinkType>
            <o:LockedField>false</o:LockedField>
          </o:OLEObject>
        </w:object>
      </w:r>
      <w:r>
        <w:rPr>
          <w:rFonts w:hint="eastAsia" w:ascii="仿宋_GB2312" w:hAnsi="宋体" w:eastAsia="仿宋_GB2312" w:cs="宋体"/>
          <w:b w:val="0"/>
          <w:bCs w:val="0"/>
          <w:color w:val="auto"/>
          <w:kern w:val="0"/>
          <w:sz w:val="32"/>
          <w:szCs w:val="32"/>
          <w:highlight w:val="none"/>
          <w:shd w:val="clear" w:color="auto" w:fill="FFFFFF"/>
          <w:lang w:val="zh-CN"/>
        </w:rPr>
        <w:object>
          <v:shape id="_x0000_i1030" o:spt="75" type="#_x0000_t75" style="height:430.5pt;width:438.3pt;" o:ole="t" filled="f" o:preferrelative="t" stroked="f" coordsize="21600,21600">
            <v:path/>
            <v:fill on="f" focussize="0,0"/>
            <v:stroke on="f"/>
            <v:imagedata r:id="rId18" o:title=""/>
            <o:lock v:ext="edit" aspectratio="t"/>
            <w10:wrap type="none"/>
            <w10:anchorlock/>
          </v:shape>
          <o:OLEObject Type="Link" ProgID="Excel.Sheet.12" ShapeID="_x0000_i1030" UpdateMode="Always" DrawAspect="Content" ObjectID="_1468075730" r:id="rId17">
            <o:LinkType>EnhancedMetaFile</o:LinkType>
            <o:LockedField>false</o:LockedField>
          </o:OLEObject>
        </w:object>
      </w: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object>
          <v:shape id="_x0000_i1031" o:spt="75" type="#_x0000_t75" style="height:0.05pt;width:0.05pt;" o:ole="t" filled="f" stroked="f" coordsize="21600,21600">
            <v:path/>
            <v:fill on="f" focussize="0,0"/>
            <v:stroke on="f"/>
            <v:imagedata o:title=""/>
            <o:lock v:ext="edit" aspectratio="t"/>
            <w10:wrap type="none"/>
            <w10:anchorlock/>
          </v:shape>
          <o:OLEObject Type="Link" ProgID="Excel.Sheet.12" ShapeID="_x0000_i1031" UpdateMode="Always" DrawAspect="Content" ObjectID="_1468075731" r:id="rId19">
            <o:LinkType>EnhancedMetaFile</o:LinkType>
            <o:LockedField>false</o:LockedField>
          </o:OLEObject>
        </w:object>
      </w:r>
      <w:r>
        <w:rPr>
          <w:rFonts w:hint="eastAsia" w:ascii="仿宋_GB2312" w:hAnsi="宋体" w:eastAsia="仿宋_GB2312" w:cs="宋体"/>
          <w:b w:val="0"/>
          <w:bCs w:val="0"/>
          <w:color w:val="auto"/>
          <w:kern w:val="0"/>
          <w:sz w:val="32"/>
          <w:szCs w:val="32"/>
          <w:highlight w:val="none"/>
          <w:shd w:val="clear" w:color="auto" w:fill="FFFFFF"/>
          <w:lang w:val="zh-CN"/>
        </w:rPr>
        <w:object>
          <v:shape id="_x0000_i1032" o:spt="75" type="#_x0000_t75" style="height:591pt;width:436.5pt;" o:ole="t" filled="f" o:preferrelative="t" stroked="f" coordsize="21600,21600">
            <v:path/>
            <v:fill on="f" focussize="0,0"/>
            <v:stroke on="f"/>
            <v:imagedata r:id="rId20" o:title=""/>
            <o:lock v:ext="edit" aspectratio="t"/>
            <w10:wrap type="none"/>
            <w10:anchorlock/>
          </v:shape>
          <o:OLEObject Type="Link" ProgID="Excel.Sheet.12" ShapeID="_x0000_i1032" UpdateMode="Always" DrawAspect="Content" ObjectID="_1468075732" r:id="rId19">
            <o:LinkType>EnhancedMetaFile</o:LinkType>
            <o:LockedField>false</o:LockedField>
          </o:OLEObject>
        </w:object>
      </w: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pPr>
    </w:p>
    <w:p>
      <w:pPr>
        <w:pStyle w:val="2"/>
        <w:ind w:left="0" w:leftChars="0" w:firstLine="0" w:firstLineChars="0"/>
        <w:rPr>
          <w:rFonts w:hint="eastAsia" w:ascii="仿宋_GB2312" w:hAnsi="宋体" w:eastAsia="仿宋_GB2312" w:cs="宋体"/>
          <w:b w:val="0"/>
          <w:bCs w:val="0"/>
          <w:color w:val="auto"/>
          <w:kern w:val="0"/>
          <w:sz w:val="32"/>
          <w:szCs w:val="32"/>
          <w:highlight w:val="none"/>
          <w:shd w:val="clear" w:color="auto" w:fill="FFFFFF"/>
          <w:lang w:val="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宋体" w:eastAsia="仿宋_GB2312" w:cs="宋体"/>
          <w:b w:val="0"/>
          <w:bCs w:val="0"/>
          <w:color w:val="auto"/>
          <w:kern w:val="0"/>
          <w:sz w:val="32"/>
          <w:szCs w:val="32"/>
          <w:highlight w:val="none"/>
          <w:shd w:val="clear" w:color="auto" w:fill="FFFFFF"/>
          <w:lang w:val="zh-CN"/>
        </w:rPr>
        <w:object>
          <v:shape id="_x0000_i1033" o:spt="75" type="#_x0000_t75" style="height:0.05pt;width:0.05pt;" o:ole="t" filled="f" stroked="f" coordsize="21600,21600">
            <v:path/>
            <v:fill on="f" focussize="0,0"/>
            <v:stroke on="f"/>
            <v:imagedata o:title=""/>
            <o:lock v:ext="edit" aspectratio="t"/>
            <w10:wrap type="none"/>
            <w10:anchorlock/>
          </v:shape>
          <o:OLEObject Type="Link" ProgID="Excel.Sheet.12" ShapeID="_x0000_i1033" UpdateMode="Always" DrawAspect="Content" ObjectID="_1468075733" r:id="rId21">
            <o:LinkType>EnhancedMetaFile</o:LinkType>
            <o:LockedField>false</o:LockedField>
          </o:OLEObject>
        </w:object>
      </w:r>
      <w:r>
        <w:rPr>
          <w:rFonts w:hint="eastAsia" w:ascii="仿宋_GB2312" w:hAnsi="宋体" w:eastAsia="仿宋_GB2312" w:cs="宋体"/>
          <w:b w:val="0"/>
          <w:bCs w:val="0"/>
          <w:color w:val="auto"/>
          <w:kern w:val="0"/>
          <w:sz w:val="32"/>
          <w:szCs w:val="32"/>
          <w:highlight w:val="none"/>
          <w:shd w:val="clear" w:color="auto" w:fill="FFFFFF"/>
          <w:lang w:val="zh-CN"/>
        </w:rPr>
        <w:object>
          <v:shape id="_x0000_i1034" o:spt="75" type="#_x0000_t75" style="height:672.05pt;width:446.8pt;" o:ole="t" filled="f" o:preferrelative="t" stroked="f" coordsize="21600,21600">
            <v:path/>
            <v:fill on="f" focussize="0,0"/>
            <v:stroke on="f"/>
            <v:imagedata r:id="rId22" o:title=""/>
            <o:lock v:ext="edit" aspectratio="t"/>
            <w10:wrap type="none"/>
            <w10:anchorlock/>
          </v:shape>
          <o:OLEObject Type="Link" ProgID="Excel.Sheet.12" ShapeID="_x0000_i1034" UpdateMode="Always" DrawAspect="Content" ObjectID="_1468075734" r:id="rId21">
            <o:LinkType>EnhancedMetaFile</o:LinkType>
            <o:LockedField>false</o:LockedField>
          </o:OLEObject>
        </w:object>
      </w:r>
    </w:p>
    <w:p>
      <w:pPr>
        <w:widowControl/>
        <w:jc w:val="left"/>
        <w:rPr>
          <w:rFonts w:hint="eastAsia" w:ascii="仿宋" w:hAnsi="仿宋" w:eastAsia="仿宋"/>
          <w:b w:val="0"/>
          <w:color w:val="auto"/>
          <w:highlight w:val="none"/>
        </w:rPr>
      </w:pPr>
      <w:bookmarkStart w:id="59"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8"/>
      <w:bookmarkEnd w:id="59"/>
      <w:bookmarkStart w:id="60"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60"/>
    </w:p>
    <w:p>
      <w:pPr>
        <w:pStyle w:val="4"/>
        <w:rPr>
          <w:rFonts w:ascii="仿宋" w:hAnsi="仿宋" w:eastAsia="仿宋"/>
          <w:color w:val="auto"/>
          <w:highlight w:val="none"/>
        </w:rPr>
      </w:pPr>
      <w:bookmarkStart w:id="61"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1"/>
    </w:p>
    <w:p>
      <w:pPr>
        <w:pStyle w:val="4"/>
        <w:rPr>
          <w:rFonts w:ascii="仿宋" w:hAnsi="仿宋" w:eastAsia="仿宋"/>
          <w:color w:val="auto"/>
          <w:highlight w:val="none"/>
        </w:rPr>
      </w:pPr>
      <w:bookmarkStart w:id="62"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2"/>
    </w:p>
    <w:p>
      <w:pPr>
        <w:pStyle w:val="4"/>
        <w:rPr>
          <w:rFonts w:ascii="仿宋" w:hAnsi="仿宋" w:eastAsia="仿宋"/>
          <w:b w:val="0"/>
          <w:color w:val="auto"/>
          <w:highlight w:val="none"/>
        </w:rPr>
      </w:pPr>
      <w:bookmarkStart w:id="63"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3"/>
    </w:p>
    <w:p>
      <w:pPr>
        <w:pStyle w:val="4"/>
        <w:rPr>
          <w:rStyle w:val="27"/>
          <w:rFonts w:ascii="仿宋" w:hAnsi="仿宋" w:eastAsia="仿宋"/>
          <w:b w:val="0"/>
          <w:bCs w:val="0"/>
          <w:color w:val="auto"/>
          <w:highlight w:val="none"/>
        </w:rPr>
      </w:pPr>
      <w:bookmarkStart w:id="64"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4"/>
      <w:bookmarkStart w:id="65"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5"/>
    </w:p>
    <w:p>
      <w:pPr>
        <w:pStyle w:val="4"/>
        <w:rPr>
          <w:rFonts w:ascii="仿宋" w:hAnsi="仿宋" w:eastAsia="仿宋"/>
          <w:color w:val="auto"/>
          <w:highlight w:val="none"/>
        </w:rPr>
      </w:pPr>
      <w:bookmarkStart w:id="66"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6"/>
    </w:p>
    <w:p>
      <w:pPr>
        <w:pStyle w:val="4"/>
        <w:rPr>
          <w:rFonts w:ascii="仿宋" w:hAnsi="仿宋" w:eastAsia="仿宋"/>
          <w:color w:val="auto"/>
          <w:highlight w:val="none"/>
        </w:rPr>
      </w:pPr>
      <w:bookmarkStart w:id="67"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7"/>
    </w:p>
    <w:p>
      <w:pPr>
        <w:pStyle w:val="4"/>
        <w:rPr>
          <w:rFonts w:ascii="仿宋" w:hAnsi="仿宋" w:eastAsia="仿宋"/>
          <w:color w:val="auto"/>
          <w:highlight w:val="none"/>
        </w:rPr>
      </w:pPr>
      <w:bookmarkStart w:id="68"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8"/>
    </w:p>
    <w:p>
      <w:pPr>
        <w:pStyle w:val="4"/>
        <w:rPr>
          <w:rFonts w:ascii="仿宋" w:hAnsi="仿宋" w:eastAsia="仿宋"/>
          <w:color w:val="auto"/>
          <w:highlight w:val="none"/>
        </w:rPr>
      </w:pPr>
      <w:bookmarkStart w:id="69"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9"/>
    </w:p>
    <w:p>
      <w:pPr>
        <w:pStyle w:val="4"/>
        <w:rPr>
          <w:rFonts w:ascii="仿宋" w:hAnsi="仿宋" w:eastAsia="仿宋"/>
          <w:color w:val="auto"/>
          <w:highlight w:val="none"/>
        </w:rPr>
      </w:pPr>
      <w:bookmarkStart w:id="70"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70"/>
    </w:p>
    <w:p>
      <w:pPr>
        <w:pStyle w:val="4"/>
        <w:rPr>
          <w:rFonts w:ascii="仿宋" w:hAnsi="仿宋" w:eastAsia="仿宋"/>
          <w:color w:val="auto"/>
          <w:highlight w:val="none"/>
        </w:rPr>
      </w:pPr>
      <w:bookmarkStart w:id="71"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71"/>
    </w:p>
    <w:p>
      <w:pPr>
        <w:pStyle w:val="4"/>
        <w:rPr>
          <w:rStyle w:val="27"/>
          <w:rFonts w:hint="eastAsia" w:ascii="仿宋" w:hAnsi="仿宋" w:eastAsia="仿宋"/>
          <w:b w:val="0"/>
          <w:bCs w:val="0"/>
          <w:color w:val="auto"/>
          <w:highlight w:val="none"/>
        </w:rPr>
      </w:pPr>
      <w:bookmarkStart w:id="72"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2"/>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华文仿宋">
    <w:altName w:val="微软雅黑"/>
    <w:panose1 w:val="00000000000000000000"/>
    <w:charset w:val="86"/>
    <w:family w:val="auto"/>
    <w:pitch w:val="default"/>
    <w:sig w:usb0="00000000" w:usb1="00000000" w:usb2="00000010" w:usb3="00000000" w:csb0="0004009F"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91FC"/>
    <w:multiLevelType w:val="multilevel"/>
    <w:tmpl w:val="A7B091FC"/>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ADA2922B"/>
    <w:multiLevelType w:val="multilevel"/>
    <w:tmpl w:val="ADA2922B"/>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B26E08A4"/>
    <w:multiLevelType w:val="multilevel"/>
    <w:tmpl w:val="B26E08A4"/>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9EE212A"/>
    <w:multiLevelType w:val="multilevel"/>
    <w:tmpl w:val="B9EE212A"/>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E3060E7"/>
    <w:multiLevelType w:val="multilevel"/>
    <w:tmpl w:val="DE3060E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C796CD4"/>
    <w:multiLevelType w:val="multilevel"/>
    <w:tmpl w:val="EC796CD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EEFB394A"/>
    <w:multiLevelType w:val="multilevel"/>
    <w:tmpl w:val="EEFB394A"/>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EF11B157"/>
    <w:multiLevelType w:val="multilevel"/>
    <w:tmpl w:val="EF11B15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3DA5251"/>
    <w:multiLevelType w:val="multilevel"/>
    <w:tmpl w:val="13DA525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254F678E"/>
    <w:multiLevelType w:val="multilevel"/>
    <w:tmpl w:val="254F678E"/>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3">
    <w:nsid w:val="5F922CCF"/>
    <w:multiLevelType w:val="multilevel"/>
    <w:tmpl w:val="5F922CC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675A3F4C"/>
    <w:multiLevelType w:val="multilevel"/>
    <w:tmpl w:val="675A3F4C"/>
    <w:lvl w:ilvl="0" w:tentative="0">
      <w:start w:val="5"/>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5">
    <w:nsid w:val="690039BB"/>
    <w:multiLevelType w:val="multilevel"/>
    <w:tmpl w:val="690039BB"/>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0"/>
  </w:num>
  <w:num w:numId="2">
    <w:abstractNumId w:val="4"/>
  </w:num>
  <w:num w:numId="3">
    <w:abstractNumId w:val="6"/>
  </w:num>
  <w:num w:numId="4">
    <w:abstractNumId w:val="15"/>
  </w:num>
  <w:num w:numId="5">
    <w:abstractNumId w:val="9"/>
  </w:num>
  <w:num w:numId="6">
    <w:abstractNumId w:val="8"/>
  </w:num>
  <w:num w:numId="7">
    <w:abstractNumId w:val="13"/>
  </w:num>
  <w:num w:numId="8">
    <w:abstractNumId w:val="5"/>
  </w:num>
  <w:num w:numId="9">
    <w:abstractNumId w:val="3"/>
  </w:num>
  <w:num w:numId="10">
    <w:abstractNumId w:val="1"/>
  </w:num>
  <w:num w:numId="11">
    <w:abstractNumId w:val="0"/>
  </w:num>
  <w:num w:numId="12">
    <w:abstractNumId w:val="7"/>
  </w:num>
  <w:num w:numId="13">
    <w:abstractNumId w:val="2"/>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mZmY2E4NGZiNzQ5NTQ4YmVmNGQ3OGM3OTRkMmQ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849345E"/>
    <w:rsid w:val="0A2032A3"/>
    <w:rsid w:val="0AF928C9"/>
    <w:rsid w:val="101860EC"/>
    <w:rsid w:val="10C055FF"/>
    <w:rsid w:val="118107EC"/>
    <w:rsid w:val="12557610"/>
    <w:rsid w:val="13D50BC4"/>
    <w:rsid w:val="16BB723D"/>
    <w:rsid w:val="1BE8440E"/>
    <w:rsid w:val="1D155CEE"/>
    <w:rsid w:val="1E3844A6"/>
    <w:rsid w:val="20D20332"/>
    <w:rsid w:val="23860B96"/>
    <w:rsid w:val="240371BF"/>
    <w:rsid w:val="29FD04D3"/>
    <w:rsid w:val="2A8D7AA0"/>
    <w:rsid w:val="2C8A61B5"/>
    <w:rsid w:val="2DF04E50"/>
    <w:rsid w:val="319F7F4E"/>
    <w:rsid w:val="359F7AA1"/>
    <w:rsid w:val="36AA5135"/>
    <w:rsid w:val="37E16F03"/>
    <w:rsid w:val="3BC65015"/>
    <w:rsid w:val="3D98207C"/>
    <w:rsid w:val="3DC54BB2"/>
    <w:rsid w:val="3EF73477"/>
    <w:rsid w:val="42973A5A"/>
    <w:rsid w:val="44E268DA"/>
    <w:rsid w:val="48542E72"/>
    <w:rsid w:val="4A627F82"/>
    <w:rsid w:val="4B313DEE"/>
    <w:rsid w:val="4B4F25DA"/>
    <w:rsid w:val="4BE068DB"/>
    <w:rsid w:val="4D577224"/>
    <w:rsid w:val="4D901140"/>
    <w:rsid w:val="4EA36C51"/>
    <w:rsid w:val="4EAB630A"/>
    <w:rsid w:val="4ECE2238"/>
    <w:rsid w:val="4FB6209A"/>
    <w:rsid w:val="537600B7"/>
    <w:rsid w:val="5AF92295"/>
    <w:rsid w:val="5CD71FC4"/>
    <w:rsid w:val="5F2345A8"/>
    <w:rsid w:val="609E371C"/>
    <w:rsid w:val="62AF1C11"/>
    <w:rsid w:val="63A93AB7"/>
    <w:rsid w:val="66376316"/>
    <w:rsid w:val="664B15D6"/>
    <w:rsid w:val="6C4A05C8"/>
    <w:rsid w:val="6CC2601E"/>
    <w:rsid w:val="6E7E3605"/>
    <w:rsid w:val="6FF5CC65"/>
    <w:rsid w:val="715C0E4B"/>
    <w:rsid w:val="72734D90"/>
    <w:rsid w:val="73AD73D5"/>
    <w:rsid w:val="73B6EB34"/>
    <w:rsid w:val="79EE5BA4"/>
    <w:rsid w:val="7A894339"/>
    <w:rsid w:val="7BF723EE"/>
    <w:rsid w:val="7DE7005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Body Text"/>
    <w:basedOn w:val="1"/>
    <w:next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character" w:customStyle="1" w:styleId="34">
    <w:name w:val="font31"/>
    <w:basedOn w:val="15"/>
    <w:qFormat/>
    <w:uiPriority w:val="0"/>
    <w:rPr>
      <w:rFonts w:hint="eastAsia" w:ascii="宋体" w:hAnsi="宋体" w:eastAsia="宋体" w:cs="宋体"/>
      <w:color w:val="000000"/>
      <w:sz w:val="24"/>
      <w:szCs w:val="24"/>
      <w:u w:val="none"/>
    </w:rPr>
  </w:style>
  <w:style w:type="character" w:customStyle="1" w:styleId="35">
    <w:name w:val="font61"/>
    <w:basedOn w:val="1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emf"/><Relationship Id="rId21" Type="http://schemas.openxmlformats.org/officeDocument/2006/relationships/oleObject" Target="file:///&#24037;&#20316;&#31807;1!Sheet5!R1C1:R22C8" TargetMode="External"/><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file:///&#24037;&#20316;&#31807;1!&#24223;&#24323;&#20892;&#33180;&#22238;&#25910;&#32593;&#32476;&#25552;&#21319;&#25913;&#36896;!R1C1:R20C7" TargetMode="External"/><Relationship Id="rId18" Type="http://schemas.openxmlformats.org/officeDocument/2006/relationships/image" Target="media/image3.emf"/><Relationship Id="rId17" Type="http://schemas.openxmlformats.org/officeDocument/2006/relationships/oleObject" Target="file:///&#24037;&#20316;&#31807;1!&#33073;&#36139;&#25915;&#22362;!R1C1:R18C7" TargetMode="External"/><Relationship Id="rId16" Type="http://schemas.openxmlformats.org/officeDocument/2006/relationships/image" Target="media/image2.emf"/><Relationship Id="rId15" Type="http://schemas.openxmlformats.org/officeDocument/2006/relationships/oleObject" Target="file:///&#24037;&#20316;&#31807;1!&#22522;&#23618;&#32452;&#32455;&#24314;&#35774;!R1C1:R25C7" TargetMode="External"/><Relationship Id="rId14" Type="http://schemas.openxmlformats.org/officeDocument/2006/relationships/image" Target="media/image1.emf"/><Relationship Id="rId13" Type="http://schemas.openxmlformats.org/officeDocument/2006/relationships/oleObject" Target="file:///&#24037;&#20316;&#31807;1!&#25206;&#36139;&#20892;&#20135;&#21697;!R1C1:R24C7" TargetMode="Externa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2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20(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20(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20(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X%20&#24037;&#20316;&#34920;%20(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1033.07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 (2).xlsx]Sheet1'!$D$7:$D$8</c:f>
              <c:strCache>
                <c:ptCount val="2"/>
                <c:pt idx="0">
                  <c:v>2020年</c:v>
                </c:pt>
                <c:pt idx="1">
                  <c:v>2019年</c:v>
                </c:pt>
              </c:strCache>
            </c:strRef>
          </c:cat>
          <c:val>
            <c:numRef>
              <c:f>'[新建 XLSX 工作表 (2).xlsx]Sheet1'!$E$7:$E$8</c:f>
              <c:numCache>
                <c:formatCode>General</c:formatCode>
                <c:ptCount val="2"/>
                <c:pt idx="0">
                  <c:v>546.02</c:v>
                </c:pt>
                <c:pt idx="1">
                  <c:v>735.9</c:v>
                </c:pt>
              </c:numCache>
            </c:numRef>
          </c:val>
        </c:ser>
        <c:dLbls>
          <c:showLegendKey val="0"/>
          <c:showVal val="1"/>
          <c:showCatName val="0"/>
          <c:showSerName val="0"/>
          <c:showPercent val="0"/>
          <c:showBubbleSize val="0"/>
        </c:dLbls>
        <c:gapWidth val="150"/>
        <c:overlap val="0"/>
        <c:axId val="455756719"/>
        <c:axId val="78556200"/>
      </c:barChart>
      <c:catAx>
        <c:axId val="45575671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8556200"/>
        <c:crosses val="autoZero"/>
        <c:auto val="1"/>
        <c:lblAlgn val="ctr"/>
        <c:lblOffset val="100"/>
        <c:noMultiLvlLbl val="0"/>
      </c:catAx>
      <c:valAx>
        <c:axId val="78556200"/>
        <c:scaling>
          <c:orientation val="minMax"/>
          <c:max val="1300"/>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55756719"/>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manualLayout>
                  <c:x val="-0.360469897672097"/>
                  <c:y val="-0.1288796382974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一般公共预算财政拨款收入</a:t>
                    </a:r>
                  </a:p>
                  <a:p>
                    <a:pPr defTabSz="914400">
                      <a:defRPr lang="zh-CN" sz="900" b="0" i="0" u="none" strike="noStrike" kern="1200" baseline="0">
                        <a:solidFill>
                          <a:srgbClr val="404040">
                            <a:lumMod val="75000"/>
                            <a:lumOff val="25000"/>
                          </a:srgbClr>
                        </a:solidFill>
                        <a:latin typeface="+mn-lt"/>
                        <a:ea typeface="+mn-ea"/>
                        <a:cs typeface="+mn-cs"/>
                      </a:defRPr>
                    </a:pPr>
                    <a:r>
                      <a:rPr lang="en-US" altLang="zh-CN"/>
                      <a:t>99.99</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97951047329939"/>
                  <c:y val="0.04386805101600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其他收入0</a:t>
                    </a:r>
                    <a:r>
                      <a:rPr lang="en-US" altLang="zh-CN"/>
                      <a:t>.01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 (2).xlsx]Sheet1'!$D$7:$E$7</c:f>
              <c:strCache>
                <c:ptCount val="2"/>
                <c:pt idx="0">
                  <c:v>一般公共预算财政拨款收入</c:v>
                </c:pt>
                <c:pt idx="1">
                  <c:v>其他收入</c:v>
                </c:pt>
              </c:strCache>
            </c:strRef>
          </c:cat>
          <c:val>
            <c:numRef>
              <c:f>'[新建 XLSX 工作表 (2).xlsx]Sheet1'!$D$8:$E$8</c:f>
              <c:numCache>
                <c:formatCode>General</c:formatCode>
                <c:ptCount val="2"/>
                <c:pt idx="0">
                  <c:v>512.69</c:v>
                </c:pt>
                <c:pt idx="1">
                  <c:v>0.04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spPr>
            <a:gradFill rotWithShape="1">
              <a:gsLst>
                <a:gs pos="0">
                  <a:srgbClr val="4F81BD">
                    <a:tint val="50000"/>
                    <a:satMod val="300000"/>
                  </a:srgbClr>
                </a:gs>
                <a:gs pos="35000">
                  <a:srgbClr val="4F81BD">
                    <a:tint val="37000"/>
                    <a:satMod val="300000"/>
                  </a:srgbClr>
                </a:gs>
                <a:gs pos="100000">
                  <a:srgbClr val="4F81BD">
                    <a:tint val="15000"/>
                    <a:satMod val="350000"/>
                  </a:srgbClr>
                </a:gs>
              </a:gsLst>
              <a:lin ang="17400000" scaled="1"/>
            </a:gradFill>
          </c:spPr>
          <c:explosion val="1"/>
          <c:dPt>
            <c:idx val="0"/>
            <c:bubble3D val="0"/>
            <c:spPr>
              <a:gradFill rotWithShape="1">
                <a:gsLst>
                  <a:gs pos="0">
                    <a:srgbClr val="4F81BD">
                      <a:tint val="50000"/>
                      <a:satMod val="300000"/>
                    </a:srgbClr>
                  </a:gs>
                  <a:gs pos="35000">
                    <a:srgbClr val="4F81BD">
                      <a:tint val="37000"/>
                      <a:satMod val="300000"/>
                    </a:srgbClr>
                  </a:gs>
                  <a:gs pos="100000">
                    <a:srgbClr val="4F81BD">
                      <a:tint val="15000"/>
                      <a:satMod val="350000"/>
                    </a:srgbClr>
                  </a:gs>
                </a:gsLst>
                <a:lin ang="17400000" scaled="1"/>
              </a:gradFill>
              <a:ln w="9525" cap="flat" cmpd="sng" algn="ctr">
                <a:solidFill>
                  <a:srgbClr val="4F81BD">
                    <a:shade val="95000"/>
                  </a:srgbClr>
                </a:solidFill>
                <a:round/>
              </a:ln>
              <a:effectLst>
                <a:outerShdw blurRad="40000" dist="20000" dir="5400000" rotWithShape="0">
                  <a:srgbClr val="000000">
                    <a:alpha val="38000"/>
                  </a:srgbClr>
                </a:outerShdw>
              </a:effectLst>
            </c:spPr>
          </c:dPt>
          <c:dPt>
            <c:idx val="1"/>
            <c:bubble3D val="0"/>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7400000" scaled="1"/>
              </a:gradFill>
              <a:ln w="9525" cap="flat" cmpd="sng" algn="ctr">
                <a:solidFill>
                  <a:srgbClr val="C0504D">
                    <a:shade val="95000"/>
                  </a:srgbClr>
                </a:solidFill>
                <a:round/>
              </a:ln>
              <a:effectLst>
                <a:outerShdw blurRad="40000" dist="20000" dir="5400000" rotWithShape="0">
                  <a:srgbClr val="000000">
                    <a:alpha val="38000"/>
                  </a:srgbClr>
                </a:outerShdw>
              </a:effectLst>
            </c:spPr>
          </c:dPt>
          <c:dLbls>
            <c:dLbl>
              <c:idx val="0"/>
              <c:layout>
                <c:manualLayout>
                  <c:x val="0.270084056420197"/>
                  <c:y val="-0.091064283765028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基本支出57.31%</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24250737650743"/>
                  <c:y val="0.075297787347759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项目支出42.69%</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'[新建 XLSX 工作表 (2).xlsx]Sheet1'!$D$7:$E$7</c:f>
              <c:strCache>
                <c:ptCount val="2"/>
                <c:pt idx="0">
                  <c:v>基本支出</c:v>
                </c:pt>
                <c:pt idx="1">
                  <c:v>项目支出</c:v>
                </c:pt>
              </c:strCache>
            </c:strRef>
          </c:cat>
          <c:val>
            <c:numRef>
              <c:f>'[新建 XLSX 工作表 (2).xlsx]Sheet1'!$D$8:$E$8</c:f>
              <c:numCache>
                <c:formatCode>General</c:formatCode>
                <c:ptCount val="2"/>
                <c:pt idx="0">
                  <c:v>474.14</c:v>
                </c:pt>
                <c:pt idx="1">
                  <c:v>63.24</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c:rich>
      </c:tx>
      <c:layout>
        <c:manualLayout>
          <c:xMode val="edge"/>
          <c:yMode val="edge"/>
          <c:x val="0.210277777777778"/>
          <c:y val="0.03125"/>
        </c:manualLayout>
      </c:layout>
      <c:overlay val="0"/>
      <c:spPr>
        <a:noFill/>
        <a:ln>
          <a:noFill/>
        </a:ln>
        <a:effectLst/>
      </c:spPr>
    </c:title>
    <c:autoTitleDeleted val="0"/>
    <c:plotArea>
      <c:layout/>
      <c:barChart>
        <c:barDir val="col"/>
        <c:grouping val="clustered"/>
        <c:varyColors val="0"/>
        <c:ser>
          <c:idx val="0"/>
          <c:order val="0"/>
          <c:spPr>
            <a:solidFill>
              <a:srgbClr val="4F81BD"/>
            </a:solidFill>
            <a:ln w="19050">
              <a:solidFill>
                <a:srgbClr val="FFFFFF"/>
              </a:solid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1032.7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'[新建 XLSX 工作表 (2).xlsx]Sheet1'!$D$7:$E$7</c:f>
              <c:numCache>
                <c:formatCode>General</c:formatCode>
                <c:ptCount val="2"/>
                <c:pt idx="0">
                  <c:v>2020</c:v>
                </c:pt>
                <c:pt idx="1">
                  <c:v>2019</c:v>
                </c:pt>
              </c:numCache>
            </c:numRef>
          </c:cat>
          <c:val>
            <c:numRef>
              <c:f>'[新建 XLSX 工作表 (2).xlsx]Sheet1'!$D$8:$E$8</c:f>
              <c:numCache>
                <c:formatCode>General</c:formatCode>
                <c:ptCount val="2"/>
                <c:pt idx="0">
                  <c:v>545.7</c:v>
                </c:pt>
                <c:pt idx="1">
                  <c:v>735.6</c:v>
                </c:pt>
              </c:numCache>
            </c:numRef>
          </c:val>
        </c:ser>
        <c:dLbls>
          <c:showLegendKey val="0"/>
          <c:showVal val="1"/>
          <c:showCatName val="0"/>
          <c:showSerName val="0"/>
          <c:showPercent val="0"/>
          <c:showBubbleSize val="0"/>
        </c:dLbls>
        <c:gapWidth val="150"/>
        <c:overlap val="-25"/>
        <c:axId val="738635198"/>
        <c:axId val="945071155"/>
      </c:barChart>
      <c:catAx>
        <c:axId val="73863519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45071155"/>
        <c:crosses val="autoZero"/>
        <c:auto val="1"/>
        <c:lblAlgn val="ctr"/>
        <c:lblOffset val="100"/>
        <c:noMultiLvlLbl val="0"/>
      </c:catAx>
      <c:valAx>
        <c:axId val="945071155"/>
        <c:scaling>
          <c:orientation val="minMax"/>
          <c:max val="1300"/>
        </c:scaling>
        <c:delete val="0"/>
        <c:axPos val="l"/>
        <c:majorGridlines>
          <c:spPr>
            <a:ln w="9525" cap="flat" cmpd="sng" algn="ctr">
              <a:solidFill>
                <a:srgbClr val="D9D9D9">
                  <a:lumMod val="15000"/>
                  <a:lumOff val="85000"/>
                </a:srgb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38635198"/>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a:t>
            </a:r>
          </a:p>
        </c:rich>
      </c:tx>
      <c:layout>
        <c:manualLayout>
          <c:xMode val="edge"/>
          <c:yMode val="edge"/>
          <c:x val="0.210277777777778"/>
          <c:y val="0.03125"/>
        </c:manualLayout>
      </c:layout>
      <c:overlay val="0"/>
      <c:spPr>
        <a:noFill/>
        <a:ln>
          <a:noFill/>
        </a:ln>
        <a:effectLst/>
      </c:spPr>
    </c:title>
    <c:autoTitleDeleted val="0"/>
    <c:plotArea>
      <c:layout/>
      <c:barChart>
        <c:barDir val="col"/>
        <c:grouping val="clustered"/>
        <c:varyColors val="0"/>
        <c:ser>
          <c:idx val="0"/>
          <c:order val="0"/>
          <c:spPr>
            <a:solidFill>
              <a:srgbClr val="4F81BD"/>
            </a:solidFill>
            <a:ln w="19050">
              <a:solidFill>
                <a:srgbClr val="FFFFFF"/>
              </a:solid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1032.62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'[新建 XLSX 工作表 (2).xlsx]Sheet1'!$D$7:$E$7</c:f>
              <c:numCache>
                <c:formatCode>General</c:formatCode>
                <c:ptCount val="2"/>
                <c:pt idx="0">
                  <c:v>2020</c:v>
                </c:pt>
                <c:pt idx="1">
                  <c:v>2019</c:v>
                </c:pt>
              </c:numCache>
            </c:numRef>
          </c:cat>
          <c:val>
            <c:numRef>
              <c:f>'[新建 XLSX 工作表 (2).xlsx]Sheet1'!$D$8:$E$8</c:f>
              <c:numCache>
                <c:formatCode>General</c:formatCode>
                <c:ptCount val="2"/>
                <c:pt idx="0">
                  <c:v>537.39</c:v>
                </c:pt>
                <c:pt idx="1">
                  <c:v>696.29</c:v>
                </c:pt>
              </c:numCache>
            </c:numRef>
          </c:val>
        </c:ser>
        <c:dLbls>
          <c:showLegendKey val="0"/>
          <c:showVal val="1"/>
          <c:showCatName val="0"/>
          <c:showSerName val="0"/>
          <c:showPercent val="0"/>
          <c:showBubbleSize val="0"/>
        </c:dLbls>
        <c:gapWidth val="150"/>
        <c:overlap val="-25"/>
        <c:axId val="738635198"/>
        <c:axId val="945071155"/>
      </c:barChart>
      <c:catAx>
        <c:axId val="73863519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45071155"/>
        <c:crosses val="autoZero"/>
        <c:auto val="1"/>
        <c:lblAlgn val="ctr"/>
        <c:lblOffset val="100"/>
        <c:noMultiLvlLbl val="0"/>
      </c:catAx>
      <c:valAx>
        <c:axId val="945071155"/>
        <c:scaling>
          <c:orientation val="minMax"/>
          <c:max val="1100"/>
        </c:scaling>
        <c:delete val="0"/>
        <c:axPos val="l"/>
        <c:majorGridlines>
          <c:spPr>
            <a:ln w="9525" cap="flat" cmpd="sng" algn="ctr">
              <a:solidFill>
                <a:srgbClr val="D9D9D9">
                  <a:lumMod val="15000"/>
                  <a:lumOff val="85000"/>
                </a:srgb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38635198"/>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社会保障和就业（类）</c:v>
                </c:pt>
                <c:pt idx="1">
                  <c:v>卫生健康（类）</c:v>
                </c:pt>
                <c:pt idx="2">
                  <c:v>住房保障支出</c:v>
                </c:pt>
                <c:pt idx="3">
                  <c:v>商业服务业等支出（类）</c:v>
                </c:pt>
                <c:pt idx="4">
                  <c:v>粮油物资储备（类）</c:v>
                </c:pt>
              </c:strCache>
            </c:strRef>
          </c:cat>
          <c:val>
            <c:numRef>
              <c:f>Sheet1!$B$2:$B$6</c:f>
              <c:numCache>
                <c:formatCode>0.00%</c:formatCode>
                <c:ptCount val="5"/>
                <c:pt idx="0">
                  <c:v>0.0819</c:v>
                </c:pt>
                <c:pt idx="1">
                  <c:v>0.0179</c:v>
                </c:pt>
                <c:pt idx="2">
                  <c:v>0.0441</c:v>
                </c:pt>
                <c:pt idx="3">
                  <c:v>0.7844</c:v>
                </c:pt>
                <c:pt idx="4">
                  <c:v>0.0717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manualLayout>
                  <c:x val="0.100301843223828"/>
                  <c:y val="-0.1967747161593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公务用车购置及运行维护费</a:t>
                    </a:r>
                  </a:p>
                  <a:p>
                    <a:pPr defTabSz="914400">
                      <a:defRPr lang="zh-CN" sz="900" b="0" i="0" u="none" strike="noStrike" kern="1200" baseline="0">
                        <a:solidFill>
                          <a:srgbClr val="404040">
                            <a:lumMod val="75000"/>
                            <a:lumOff val="25000"/>
                          </a:srgbClr>
                        </a:solidFill>
                        <a:latin typeface="+mn-lt"/>
                        <a:ea typeface="+mn-ea"/>
                        <a:cs typeface="+mn-cs"/>
                      </a:defRPr>
                    </a:pPr>
                    <a:r>
                      <a:rPr lang="en-US" altLang="zh-CN"/>
                      <a:t>65.52</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782419362760862"/>
                  <c:y val="-0.0089442884535074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公务接待费34</a:t>
                    </a:r>
                    <a:r>
                      <a:rPr lang="en-US" altLang="zh-CN"/>
                      <a:t>.48</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 (2).xlsx]Sheet1'!$D$7:$E$7</c:f>
              <c:strCache>
                <c:ptCount val="2"/>
                <c:pt idx="0">
                  <c:v>公务用车购置及运行维护费</c:v>
                </c:pt>
                <c:pt idx="1">
                  <c:v>公务接待费</c:v>
                </c:pt>
              </c:strCache>
            </c:strRef>
          </c:cat>
          <c:val>
            <c:numRef>
              <c:f>'[新建 XLSX 工作表 (2).xlsx]Sheet1'!$D$8:$E$8</c:f>
              <c:numCache>
                <c:formatCode>General</c:formatCode>
                <c:ptCount val="2"/>
                <c:pt idx="0">
                  <c:v>2.01</c:v>
                </c:pt>
                <c:pt idx="1">
                  <c:v>1.02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25021</Words>
  <Characters>26947</Characters>
  <Lines>1</Lines>
  <Paragraphs>1</Paragraphs>
  <TotalTime>97</TotalTime>
  <ScaleCrop>false</ScaleCrop>
  <LinksUpToDate>false</LinksUpToDate>
  <CharactersWithSpaces>27039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易遥</cp:lastModifiedBy>
  <cp:lastPrinted>2022-09-26T10:21:00Z</cp:lastPrinted>
  <dcterms:modified xsi:type="dcterms:W3CDTF">2023-06-27T08:42:53Z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78A85CA56EA0474F9ED3224F89EDCB64</vt:lpwstr>
  </property>
</Properties>
</file>