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color w:val="auto"/>
          <w:sz w:val="72"/>
          <w:szCs w:val="72"/>
          <w:lang w:val="en-US" w:eastAsia="zh-CN"/>
          <w:highlight w:val="auto"/>
        </w:rPr>
      </w:pPr>
      <w:bookmarkStart w:id="0" w:name="_Toc15306267"/>
    </w:p>
    <w:p>
      <w:pPr>
        <w:pStyle w:val="15"/>
        <w:spacing w:line="560" w:lineRule="exact"/>
        <w:ind w:left="0" w:firstLineChars="0" w:firstLine="0"/>
      </w:pPr>
    </w:p>
    <w:p>
      <w:pPr>
        <w:pStyle w:val="15"/>
        <w:spacing w:line="560" w:lineRule="exact"/>
      </w:pPr>
    </w:p>
    <w:p>
      <w:pPr>
        <w:keepNext w:val="0"/>
        <w:keepLines w:val="0"/>
        <w:pageBreakBefore w:val="0"/>
        <w:widowControl w:val="0"/>
        <w:kinsoku/>
        <w:wordWrap/>
        <w:overflowPunct/>
        <w:topLinePunct w:val="0"/>
        <w:autoSpaceDE/>
        <w:autoSpaceDN/>
        <w:bidi w:val="0"/>
        <w:adjustRightInd w:val="0"/>
        <w:snapToGrid w:val="0"/>
        <w:spacing w:line="1300" w:lineRule="exact"/>
        <w:jc w:val="center"/>
        <w:textAlignment w:val="auto"/>
        <w:outlineLvl w:val="0"/>
        <w:rPr>
          <w:rFonts w:ascii="方正小标宋简体" w:eastAsia="方正小标宋简体" w:cs="方正小标宋简体" w:hint="eastAsia"/>
          <w:color w:val="auto"/>
          <w:sz w:val="84"/>
          <w:szCs w:val="84"/>
          <w:highlight w:val="auto"/>
        </w:rPr>
      </w:pPr>
      <w:bookmarkStart w:id="1" w:name="_Toc15377425"/>
      <w:bookmarkStart w:id="2" w:name="_Toc15396475"/>
      <w:bookmarkStart w:id="3" w:name="_Toc15377193"/>
      <w:bookmarkStart w:id="4" w:name="_Toc15396597"/>
      <w:bookmarkStart w:id="5" w:name="_Toc15378441"/>
      <w:r>
        <w:rPr>
          <w:rFonts w:ascii="方正小标宋简体" w:eastAsia="方正小标宋简体" w:cs="方正小标宋简体" w:hint="eastAsia"/>
          <w:color w:val="auto"/>
          <w:sz w:val="84"/>
          <w:szCs w:val="84"/>
          <w:highlight w:val="auto"/>
        </w:rPr>
        <w:t>20</w:t>
      </w:r>
      <w:r>
        <w:rPr>
          <w:rFonts w:ascii="方正小标宋简体" w:eastAsia="方正小标宋简体" w:cs="方正小标宋简体" w:hint="eastAsia"/>
          <w:color w:val="auto"/>
          <w:sz w:val="84"/>
          <w:szCs w:val="84"/>
          <w:lang w:val="en-US" w:eastAsia="zh-CN"/>
          <w:highlight w:val="auto"/>
        </w:rPr>
        <w:t>21</w:t>
      </w:r>
      <w:r>
        <w:rPr>
          <w:rFonts w:ascii="方正小标宋简体" w:eastAsia="方正小标宋简体" w:cs="方正小标宋简体" w:hint="eastAsia"/>
          <w:color w:val="auto"/>
          <w:sz w:val="84"/>
          <w:szCs w:val="84"/>
          <w:highlight w:val="auto"/>
        </w:rPr>
        <w:t>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1300" w:lineRule="exact"/>
        <w:jc w:val="center"/>
        <w:textAlignment w:val="auto"/>
        <w:outlineLvl w:val="0"/>
        <w:rPr>
          <w:rFonts w:ascii="方正小标宋简体" w:eastAsia="方正小标宋简体" w:cs="方正小标宋简体" w:hint="eastAsia"/>
          <w:color w:val="auto"/>
          <w:sz w:val="84"/>
          <w:szCs w:val="84"/>
          <w:lang w:eastAsia="zh-CN"/>
          <w:highlight w:val="auto"/>
        </w:rPr>
      </w:pPr>
      <w:bookmarkStart w:id="6" w:name="_Toc15396598"/>
      <w:bookmarkStart w:id="7" w:name="_Toc15378442"/>
      <w:bookmarkStart w:id="8" w:name="_Toc15377426"/>
      <w:bookmarkStart w:id="9" w:name="_Toc15377194"/>
      <w:bookmarkStart w:id="10" w:name="_Toc15396476"/>
      <w:r>
        <w:rPr>
          <w:rFonts w:ascii="方正小标宋简体" w:eastAsia="方正小标宋简体" w:cs="方正小标宋简体" w:hint="eastAsia"/>
          <w:color w:val="auto"/>
          <w:sz w:val="84"/>
          <w:szCs w:val="84"/>
          <w:lang w:val="en-US" w:eastAsia="zh-CN"/>
          <w:highlight w:val="auto"/>
        </w:rPr>
        <w:t>广元市</w:t>
      </w:r>
      <w:bookmarkStart w:id="11" w:name="_Toc15306268"/>
      <w:bookmarkEnd w:id="0"/>
      <w:r>
        <w:rPr>
          <w:rFonts w:ascii="方正小标宋简体" w:eastAsia="方正小标宋简体" w:cs="方正小标宋简体" w:hint="eastAsia"/>
          <w:color w:val="auto"/>
          <w:sz w:val="84"/>
          <w:szCs w:val="84"/>
          <w:lang w:eastAsia="zh-CN"/>
          <w:highlight w:val="auto"/>
        </w:rPr>
        <w:t>烈士陵园管理所</w:t>
      </w:r>
    </w:p>
    <w:p>
      <w:pPr>
        <w:keepNext w:val="0"/>
        <w:keepLines w:val="0"/>
        <w:pageBreakBefore w:val="0"/>
        <w:widowControl w:val="0"/>
        <w:kinsoku/>
        <w:wordWrap/>
        <w:overflowPunct/>
        <w:topLinePunct w:val="0"/>
        <w:autoSpaceDE/>
        <w:autoSpaceDN/>
        <w:bidi w:val="0"/>
        <w:adjustRightInd w:val="0"/>
        <w:snapToGrid w:val="0"/>
        <w:spacing w:line="1300" w:lineRule="exact"/>
        <w:jc w:val="center"/>
        <w:textAlignment w:val="auto"/>
        <w:outlineLvl w:val="0"/>
        <w:rPr>
          <w:rFonts w:ascii="方正小标宋简体" w:eastAsia="方正小标宋简体" w:cs="方正小标宋简体" w:hint="eastAsia"/>
          <w:color w:val="auto"/>
          <w:sz w:val="84"/>
          <w:szCs w:val="84"/>
          <w:highlight w:val="auto"/>
        </w:rPr>
      </w:pPr>
      <w:r>
        <w:rPr>
          <w:rFonts w:ascii="方正小标宋简体" w:eastAsia="方正小标宋简体" w:cs="方正小标宋简体" w:hint="eastAsia"/>
          <w:color w:val="auto"/>
          <w:sz w:val="84"/>
          <w:szCs w:val="84"/>
          <w:lang w:eastAsia="zh-CN"/>
          <w:highlight w:val="auto"/>
        </w:rPr>
        <w:t>单位</w:t>
      </w:r>
      <w:r>
        <w:rPr>
          <w:rFonts w:ascii="方正小标宋简体" w:eastAsia="方正小标宋简体" w:cs="方正小标宋简体" w:hint="eastAsia"/>
          <w:color w:val="auto"/>
          <w:sz w:val="84"/>
          <w:szCs w:val="84"/>
          <w:highlight w:val="auto"/>
        </w:rPr>
        <w:t>决算</w:t>
      </w:r>
      <w:bookmarkEnd w:id="6"/>
      <w:bookmarkEnd w:id="7"/>
      <w:bookmarkEnd w:id="8"/>
      <w:bookmarkEnd w:id="9"/>
      <w:bookmarkEnd w:id="10"/>
      <w:bookmarkEnd w:id="11"/>
    </w:p>
    <w:p>
      <w:pPr>
        <w:widowControl/>
        <w:jc w:val="center"/>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pPr>
    </w:p>
    <w:p>
      <w:pPr>
        <w:pStyle w:val="15"/>
        <w:rPr>
          <w:rFonts w:ascii="方正小标宋简体" w:eastAsia="方正小标宋简体" w:cs="方正小标宋简体" w:hint="eastAsia"/>
          <w:color w:val="auto"/>
          <w:sz w:val="44"/>
          <w:szCs w:val="44"/>
          <w:highlight w:val="auto"/>
        </w:rPr>
        <w:sectPr>
          <w:headerReference w:type="default" r:id="rId2"/>
          <w:footerReference w:type="default" r:id="rId3"/>
          <w:pgSz w:w="11906" w:h="16838"/>
          <w:pgMar w:top="2098" w:right="1474" w:bottom="1984" w:left="1587" w:header="851" w:footer="1559" w:gutter="0"/>
          <w:pgNumType w:fmt="numberInDash" w:start="1"/>
          <w:cols w:num="1" w:space="720"/>
          <w:titlePg/>
          <w:rtlGutter/>
          <w:docGrid w:type="lines" w:linePitch="312" w:charSpace="0"/>
        </w:sectPr>
      </w:pPr>
    </w:p>
    <w:p>
      <w:pPr>
        <w:widowControl/>
        <w:jc w:val="center"/>
        <w:rPr>
          <w:rFonts w:ascii="方正小标宋简体" w:eastAsia="方正小标宋简体" w:cs="方正小标宋简体" w:hint="eastAsia"/>
          <w:color w:val="auto"/>
          <w:sz w:val="44"/>
          <w:szCs w:val="44"/>
          <w:highlight w:val="auto"/>
        </w:rPr>
      </w:pPr>
      <w:r>
        <w:rPr>
          <w:rFonts w:ascii="方正小标宋简体" w:eastAsia="方正小标宋简体" w:cs="方正小标宋简体" w:hint="eastAsia"/>
          <w:color w:val="auto"/>
          <w:sz w:val="44"/>
          <w:szCs w:val="44"/>
          <w:highlight w:val="auto"/>
        </w:rPr>
        <w:t>目</w:t>
      </w:r>
      <w:r>
        <w:rPr>
          <w:rFonts w:ascii="方正小标宋简体" w:eastAsia="方正小标宋简体" w:cs="方正小标宋简体" w:hint="eastAsia"/>
          <w:color w:val="auto"/>
          <w:sz w:val="44"/>
          <w:szCs w:val="44"/>
          <w:lang w:val="en-US" w:eastAsia="zh-CN"/>
          <w:highlight w:val="auto"/>
        </w:rPr>
        <w:t xml:space="preserve">  </w:t>
      </w:r>
      <w:r>
        <w:rPr>
          <w:rFonts w:ascii="方正小标宋简体" w:eastAsia="方正小标宋简体" w:cs="方正小标宋简体" w:hint="eastAsia"/>
          <w:color w:val="auto"/>
          <w:sz w:val="44"/>
          <w:szCs w:val="44"/>
          <w:highlight w:val="auto"/>
        </w:rPr>
        <w:t>录</w:t>
      </w:r>
    </w:p>
    <w:p>
      <w:pPr>
        <w:pStyle w:val="21"/>
        <w:tabs>
          <w:tab w:val="right" w:leader="dot" w:pos="8296"/>
        </w:tabs>
        <w:rPr>
          <w:rFonts w:ascii="楷体_GB2312" w:eastAsia="楷体_GB2312" w:cs="楷体_GB2312" w:hint="eastAsia"/>
          <w:color w:val="FF0000"/>
          <w:highlight w:val="auto"/>
        </w:rPr>
      </w:pPr>
      <w:r>
        <w:rPr>
          <w:rFonts w:ascii="楷体_GB2312" w:eastAsia="楷体_GB2312" w:cs="楷体_GB2312" w:hint="eastAsia"/>
          <w:color w:val="000000"/>
          <w:highlight w:val="auto"/>
        </w:rPr>
        <w:t>公开时间：20</w:t>
      </w:r>
      <w:r>
        <w:rPr>
          <w:rFonts w:ascii="楷体_GB2312" w:eastAsia="楷体_GB2312" w:cs="楷体_GB2312" w:hint="eastAsia"/>
          <w:color w:val="000000"/>
          <w:lang w:val="en-US" w:eastAsia="zh-CN"/>
          <w:highlight w:val="auto"/>
        </w:rPr>
        <w:t>22</w:t>
      </w:r>
      <w:r>
        <w:rPr>
          <w:rFonts w:ascii="楷体_GB2312" w:eastAsia="楷体_GB2312" w:cs="楷体_GB2312" w:hint="eastAsia"/>
          <w:color w:val="000000"/>
          <w:highlight w:val="auto"/>
        </w:rPr>
        <w:t>年</w:t>
      </w:r>
      <w:r>
        <w:rPr>
          <w:rFonts w:ascii="楷体_GB2312" w:eastAsia="楷体_GB2312" w:cs="楷体_GB2312" w:hint="eastAsia"/>
          <w:color w:val="000000"/>
          <w:lang w:val="en-US" w:eastAsia="zh-CN"/>
          <w:highlight w:val="auto"/>
        </w:rPr>
        <w:t>10</w:t>
      </w:r>
      <w:r>
        <w:rPr>
          <w:rFonts w:ascii="楷体_GB2312" w:eastAsia="楷体_GB2312" w:cs="楷体_GB2312" w:hint="eastAsia"/>
          <w:color w:val="000000"/>
          <w:highlight w:val="auto"/>
        </w:rPr>
        <w:t>月</w:t>
      </w:r>
      <w:r>
        <w:rPr>
          <w:rFonts w:ascii="楷体_GB2312" w:eastAsia="楷体_GB2312" w:cs="楷体_GB2312"/>
          <w:color w:val="000000"/>
          <w:lang w:val="en-US" w:eastAsia="zh-CN"/>
          <w:highlight w:val="auto"/>
        </w:rPr>
        <w:t xml:space="preserve"> </w:t>
      </w:r>
      <w:r>
        <w:rPr>
          <w:rFonts w:ascii="楷体_GB2312" w:eastAsia="楷体_GB2312" w:cs="楷体_GB2312" w:hint="eastAsia"/>
          <w:color w:val="000000"/>
          <w:lang w:val="en-US" w:eastAsia="zh-CN"/>
          <w:highlight w:val="auto"/>
        </w:rPr>
        <w:t>17</w:t>
      </w:r>
      <w:r>
        <w:rPr>
          <w:rFonts w:ascii="楷体_GB2312" w:eastAsia="楷体_GB2312" w:cs="楷体_GB2312" w:hint="eastAsia"/>
          <w:color w:val="000000"/>
          <w:highlight w:val="auto"/>
        </w:rPr>
        <w:t>日</w:t>
      </w:r>
    </w:p>
    <w:p>
      <w:pPr>
        <w:rPr>
          <w:color w:val="auto"/>
          <w:highlight w:val="auto"/>
        </w:rPr>
      </w:pP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before="0" w:line="600" w:lineRule="exact"/>
        <w:jc w:val="left"/>
        <w:textAlignment w:val="auto"/>
        <w:rPr>
          <w:rFonts w:ascii="黑体" w:eastAsia="黑体" w:cs="黑体" w:hint="eastAsia"/>
          <w:color w:val="auto"/>
          <w:sz w:val="32"/>
          <w:szCs w:val="32"/>
          <w:highlight w:val="auto"/>
        </w:rPr>
      </w:pPr>
      <w:r>
        <w:rPr>
          <w:rFonts w:ascii="黑体" w:eastAsia="黑体" w:cs="黑体" w:hint="eastAsia"/>
          <w:color w:val="auto"/>
          <w:sz w:val="32"/>
          <w:szCs w:val="32"/>
          <w:highlight w:val="auto"/>
        </w:rPr>
        <w:t xml:space="preserve">第一部分 </w:t>
      </w:r>
      <w:r>
        <w:rPr>
          <w:rFonts w:ascii="黑体" w:eastAsia="黑体" w:cs="黑体" w:hint="eastAsia"/>
          <w:color w:val="auto"/>
          <w:sz w:val="32"/>
          <w:szCs w:val="32"/>
          <w:lang w:eastAsia="zh-CN"/>
          <w:highlight w:val="auto"/>
        </w:rPr>
        <w:t>单位</w:t>
      </w:r>
      <w:r>
        <w:rPr>
          <w:rFonts w:ascii="黑体" w:eastAsia="黑体" w:cs="黑体" w:hint="eastAsia"/>
          <w:color w:val="auto"/>
          <w:sz w:val="32"/>
          <w:szCs w:val="32"/>
          <w:highlight w:val="auto"/>
        </w:rPr>
        <w:t>概况</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color w:val="auto"/>
          <w:sz w:val="32"/>
          <w:szCs w:val="32"/>
          <w:lang w:val="en-US" w:eastAsia="zh-CN"/>
          <w:highlight w:val="auto"/>
        </w:rPr>
      </w:pPr>
      <w:r>
        <w:rPr>
          <w:rFonts w:ascii="仿宋_GB2312" w:eastAsia="仿宋_GB2312" w:cs="仿宋_GB2312" w:hint="eastAsia"/>
          <w:color w:val="auto"/>
          <w:sz w:val="32"/>
          <w:szCs w:val="32"/>
          <w:highlight w:val="auto"/>
        </w:rPr>
        <w:t>一、职能</w:t>
      </w:r>
      <w:r>
        <w:rPr>
          <w:rFonts w:ascii="仿宋_GB2312" w:eastAsia="仿宋_GB2312" w:cs="仿宋_GB2312" w:hint="eastAsia"/>
          <w:color w:val="auto"/>
          <w:sz w:val="32"/>
          <w:szCs w:val="32"/>
          <w:lang w:eastAsia="zh-CN"/>
          <w:highlight w:val="auto"/>
        </w:rPr>
        <w:t>简介</w:t>
      </w:r>
      <w:r>
        <w:rPr>
          <w:rFonts w:ascii="仿宋_GB2312" w:eastAsia="仿宋_GB2312" w:cs="仿宋_GB2312" w:hint="eastAsia"/>
          <w:color w:val="auto"/>
          <w:sz w:val="32"/>
          <w:szCs w:val="32"/>
          <w:lang w:val="en-US" w:eastAsia="zh-CN"/>
          <w:highlight w:val="auto"/>
        </w:rPr>
        <w:t>........................................1</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lang w:eastAsia="zh-CN"/>
          <w:highlight w:val="auto"/>
        </w:rPr>
      </w:pPr>
      <w:r>
        <w:rPr>
          <w:rFonts w:ascii="仿宋_GB2312" w:eastAsia="仿宋_GB2312" w:cs="仿宋_GB2312" w:hint="eastAsia"/>
          <w:color w:val="auto"/>
          <w:sz w:val="32"/>
          <w:szCs w:val="32"/>
          <w:lang w:eastAsia="zh-CN"/>
          <w:highlight w:val="auto"/>
        </w:rPr>
        <w:t>二、</w:t>
      </w:r>
      <w:r>
        <w:rPr>
          <w:rFonts w:ascii="仿宋_GB2312" w:eastAsia="仿宋_GB2312" w:cs="仿宋_GB2312" w:hint="eastAsia"/>
          <w:color w:val="auto"/>
          <w:sz w:val="32"/>
          <w:szCs w:val="32"/>
          <w:lang w:val="en-US" w:eastAsia="zh-CN"/>
          <w:highlight w:val="auto"/>
        </w:rPr>
        <w:t>2021年重点</w:t>
      </w:r>
      <w:r>
        <w:rPr>
          <w:rFonts w:ascii="仿宋_GB2312" w:eastAsia="仿宋_GB2312" w:cs="仿宋_GB2312" w:hint="eastAsia"/>
          <w:color w:val="auto"/>
          <w:sz w:val="32"/>
          <w:szCs w:val="32"/>
          <w:highlight w:val="auto"/>
        </w:rPr>
        <w:t>工作</w:t>
      </w:r>
      <w:r>
        <w:rPr>
          <w:rFonts w:ascii="仿宋_GB2312" w:eastAsia="仿宋_GB2312" w:cs="仿宋_GB2312" w:hint="eastAsia"/>
          <w:color w:val="auto"/>
          <w:sz w:val="32"/>
          <w:szCs w:val="32"/>
          <w:lang w:eastAsia="zh-CN"/>
          <w:highlight w:val="auto"/>
        </w:rPr>
        <w:t>完成情况</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1</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before="0" w:line="600" w:lineRule="exact"/>
        <w:jc w:val="left"/>
        <w:textAlignment w:val="auto"/>
        <w:rPr>
          <w:rFonts w:ascii="黑体" w:eastAsia="黑体" w:cs="黑体" w:hint="eastAsia"/>
          <w:color w:val="auto"/>
          <w:sz w:val="32"/>
          <w:szCs w:val="32"/>
          <w:highlight w:val="auto"/>
        </w:rPr>
      </w:pPr>
      <w:r>
        <w:rPr>
          <w:rFonts w:ascii="黑体" w:eastAsia="黑体" w:cs="黑体" w:hint="eastAsia"/>
          <w:color w:val="auto"/>
          <w:sz w:val="32"/>
          <w:szCs w:val="32"/>
          <w:highlight w:val="auto"/>
        </w:rPr>
        <w:t>第二部分</w:t>
      </w:r>
      <w:r>
        <w:rPr>
          <w:rFonts w:ascii="黑体" w:eastAsia="黑体" w:cs="黑体" w:hint="eastAsia"/>
          <w:color w:val="auto"/>
          <w:sz w:val="32"/>
          <w:szCs w:val="32"/>
          <w:lang w:val="en-US" w:eastAsia="zh-CN"/>
          <w:highlight w:val="auto"/>
        </w:rPr>
        <w:t xml:space="preserve"> 2021年度</w:t>
      </w:r>
      <w:r>
        <w:rPr>
          <w:rFonts w:ascii="黑体" w:eastAsia="黑体" w:cs="黑体" w:hint="eastAsia"/>
          <w:color w:val="auto"/>
          <w:sz w:val="32"/>
          <w:szCs w:val="32"/>
          <w:lang w:eastAsia="zh-CN"/>
          <w:highlight w:val="auto"/>
        </w:rPr>
        <w:t>单位</w:t>
      </w:r>
      <w:r>
        <w:rPr>
          <w:rFonts w:ascii="黑体" w:eastAsia="黑体" w:cs="黑体" w:hint="eastAsia"/>
          <w:color w:val="auto"/>
          <w:sz w:val="32"/>
          <w:szCs w:val="32"/>
          <w:highlight w:val="auto"/>
        </w:rPr>
        <w:t>决算情况说明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3</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一、收入支出决算总体情况说明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3</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二、收入决算情况说明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3</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三、支出决算情况说明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4</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四、财政拨款收入支出决算总体情况说明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5</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五、一般公共预算财政拨款支出决算情况说明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5</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六、一般公共预算财政拨款基本支出决算情况说明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8</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七、</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highlight w:val="auto"/>
        </w:rPr>
        <w:t>三公”经费财政拨款支出决算情况说明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8</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八、政府性基金预算支出决算情况说明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10</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九、国有资本经营预算支出决算情况说明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10</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sz w:val="32"/>
          <w:szCs w:val="32"/>
          <w:lang w:val="en-US" w:eastAsia="zh-CN"/>
        </w:rPr>
      </w:pPr>
      <w:r>
        <w:rPr>
          <w:rFonts w:ascii="仿宋_GB2312" w:eastAsia="仿宋_GB2312" w:cs="仿宋_GB2312" w:hint="eastAsia"/>
          <w:color w:val="auto"/>
          <w:sz w:val="32"/>
          <w:szCs w:val="32"/>
          <w:highlight w:val="auto"/>
        </w:rPr>
        <w:t>十、</w:t>
      </w:r>
      <w:r>
        <w:rPr>
          <w:rFonts w:ascii="仿宋_GB2312" w:eastAsia="仿宋_GB2312" w:cs="仿宋_GB2312" w:hint="eastAsia"/>
          <w:color w:val="auto"/>
          <w:sz w:val="32"/>
          <w:szCs w:val="32"/>
          <w:lang w:val="en-US" w:eastAsia="zh-CN"/>
          <w:highlight w:val="auto"/>
        </w:rPr>
        <w:t>预算绩效管理情况...............................</w:t>
      </w:r>
      <w:r>
        <w:rPr>
          <w:rFonts w:ascii="仿宋_GB2312" w:eastAsia="仿宋_GB2312" w:cs="仿宋_GB2312"/>
          <w:color w:val="auto"/>
          <w:sz w:val="32"/>
          <w:szCs w:val="32"/>
          <w:lang w:val="en-US" w:eastAsia="zh-CN"/>
          <w:highlight w:val="auto"/>
        </w:rPr>
        <w:t>10</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sz w:val="32"/>
          <w:szCs w:val="32"/>
          <w:lang w:val="en-US" w:eastAsia="zh-CN"/>
        </w:rPr>
      </w:pPr>
      <w:r>
        <w:rPr>
          <w:rFonts w:ascii="仿宋_GB2312" w:eastAsia="仿宋_GB2312" w:cs="仿宋_GB2312" w:hint="eastAsia"/>
          <w:color w:val="auto"/>
          <w:sz w:val="32"/>
          <w:szCs w:val="32"/>
          <w:lang w:val="en-US" w:eastAsia="zh-CN"/>
          <w:highlight w:val="auto"/>
        </w:rPr>
        <w:t>十一、</w:t>
      </w:r>
      <w:r>
        <w:rPr>
          <w:rFonts w:ascii="仿宋_GB2312" w:eastAsia="仿宋_GB2312" w:cs="仿宋_GB2312" w:hint="eastAsia"/>
          <w:color w:val="auto"/>
          <w:sz w:val="32"/>
          <w:szCs w:val="32"/>
          <w:highlight w:val="auto"/>
        </w:rPr>
        <w:t>其他重要事项的情况说明</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10</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before="0" w:line="600" w:lineRule="exact"/>
        <w:jc w:val="left"/>
        <w:textAlignment w:val="auto"/>
        <w:rPr>
          <w:rFonts w:ascii="黑体" w:eastAsia="黑体" w:cs="黑体" w:hint="eastAsia"/>
          <w:color w:val="auto"/>
          <w:sz w:val="32"/>
          <w:szCs w:val="32"/>
          <w:highlight w:val="auto"/>
        </w:rPr>
      </w:pPr>
      <w:r>
        <w:rPr>
          <w:rFonts w:ascii="黑体" w:eastAsia="黑体" w:cs="黑体" w:hint="eastAsia"/>
          <w:color w:val="auto"/>
          <w:sz w:val="32"/>
          <w:szCs w:val="32"/>
          <w:highlight w:val="auto"/>
        </w:rPr>
        <w:t>第三部分 名词解释</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12</w:t>
      </w: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before="0" w:line="600" w:lineRule="exact"/>
        <w:jc w:val="left"/>
        <w:textAlignment w:val="auto"/>
        <w:rPr>
          <w:rFonts w:ascii="黑体" w:eastAsia="黑体" w:cs="黑体" w:hint="eastAsia"/>
          <w:color w:val="auto"/>
          <w:sz w:val="32"/>
          <w:szCs w:val="32"/>
          <w:highlight w:val="auto"/>
        </w:rPr>
      </w:pPr>
      <w:r>
        <w:rPr>
          <w:rFonts w:ascii="黑体" w:eastAsia="黑体" w:cs="黑体" w:hint="eastAsia"/>
          <w:color w:val="auto"/>
          <w:sz w:val="32"/>
          <w:szCs w:val="32"/>
          <w:highlight w:val="auto"/>
        </w:rPr>
        <w:t>第四部分 附件</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14</w:t>
      </w:r>
    </w:p>
    <w:p>
      <w:pPr>
        <w:rPr>
          <w:rFonts w:hint="eastAsia"/>
        </w:rPr>
        <w:sectPr>
          <w:footerReference w:type="default" r:id="rId4"/>
          <w:footerReference w:type="first" r:id="rId5"/>
          <w:pgSz w:w="11906" w:h="16838"/>
          <w:pgMar w:top="2098" w:right="1474" w:bottom="1984" w:left="1587" w:header="851" w:footer="1559" w:gutter="0"/>
          <w:pgNumType w:fmt="numberInDash" w:start="1"/>
          <w:cols w:num="1" w:space="720"/>
          <w:rtlGutter/>
          <w:docGrid w:type="lines" w:linePitch="312" w:charSpace="0"/>
        </w:sectPr>
      </w:pPr>
    </w:p>
    <w:p>
      <w:pPr>
        <w:pStyle w:val="21"/>
        <w:keepNext w:val="0"/>
        <w:keepLines w:val="0"/>
        <w:pageBreakBefore w:val="0"/>
        <w:widowControl w:val="0"/>
        <w:tabs>
          <w:tab w:val="right" w:leader="dot" w:pos="8296"/>
        </w:tabs>
        <w:kinsoku/>
        <w:wordWrap/>
        <w:overflowPunct/>
        <w:topLinePunct w:val="0"/>
        <w:autoSpaceDE/>
        <w:autoSpaceDN/>
        <w:bidi w:val="0"/>
        <w:adjustRightInd w:val="0"/>
        <w:snapToGrid w:val="0"/>
        <w:spacing w:before="0" w:line="600" w:lineRule="exact"/>
        <w:jc w:val="left"/>
        <w:textAlignment w:val="auto"/>
        <w:rPr>
          <w:rFonts w:ascii="黑体" w:eastAsia="黑体" w:cs="黑体" w:hint="eastAsia"/>
          <w:color w:val="auto"/>
          <w:sz w:val="32"/>
          <w:szCs w:val="32"/>
          <w:highlight w:val="auto"/>
        </w:rPr>
      </w:pPr>
      <w:r>
        <w:rPr>
          <w:rFonts w:ascii="黑体" w:eastAsia="黑体" w:cs="黑体" w:hint="eastAsia"/>
          <w:color w:val="auto"/>
          <w:sz w:val="32"/>
          <w:szCs w:val="32"/>
          <w:highlight w:val="auto"/>
        </w:rPr>
        <w:t>第五部分 附表</w:t>
      </w:r>
      <w:r>
        <w:rPr>
          <w:rFonts w:ascii="仿宋_GB2312" w:eastAsia="仿宋_GB2312" w:cs="仿宋_GB2312" w:hint="eastAsia"/>
          <w:color w:val="auto"/>
          <w:sz w:val="32"/>
          <w:szCs w:val="32"/>
          <w:lang w:val="en-US" w:eastAsia="zh-CN"/>
          <w:highlight w:val="auto"/>
        </w:rPr>
        <w:t>........................................</w:t>
      </w:r>
      <w:r>
        <w:rPr>
          <w:rFonts w:ascii="仿宋_GB2312" w:eastAsia="仿宋_GB2312" w:cs="仿宋_GB2312"/>
          <w:color w:val="auto"/>
          <w:sz w:val="32"/>
          <w:szCs w:val="32"/>
          <w:lang w:val="en-US" w:eastAsia="zh-CN"/>
          <w:highlight w:val="auto"/>
        </w:rPr>
        <w:t>25</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一、收入支出决算总表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二、收入决算表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三、支出决算表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四、财政拨款收入支出决算总表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五、财政拨款支出决算明细表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六、一般公共预算财政拨款支出决算表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七、一般公共预算财政拨款支出决算明细表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八、一般公共预算财政拨款基本支出决算表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九、一般公共预算财政拨款项目支出决算表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十、一般公共预算财政拨款“三公”经费支出决算表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十一、政府性基金预算财政拨款收入支出决算表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十二、政府性基金预算财政拨款“三公”经费支出决算表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highlight w:val="auto"/>
        </w:rPr>
      </w:pPr>
      <w:r>
        <w:rPr>
          <w:rFonts w:ascii="仿宋_GB2312" w:eastAsia="仿宋_GB2312" w:cs="仿宋_GB2312" w:hint="eastAsia"/>
          <w:color w:val="auto"/>
          <w:sz w:val="32"/>
          <w:szCs w:val="32"/>
          <w:highlight w:val="auto"/>
        </w:rPr>
        <w:t>十三、国有资本经营预算</w:t>
      </w:r>
      <w:r>
        <w:rPr>
          <w:rFonts w:ascii="仿宋_GB2312" w:eastAsia="仿宋_GB2312" w:cs="仿宋_GB2312" w:hint="eastAsia"/>
          <w:color w:val="auto"/>
          <w:sz w:val="32"/>
          <w:szCs w:val="32"/>
          <w:lang w:eastAsia="zh-CN"/>
          <w:highlight w:val="auto"/>
        </w:rPr>
        <w:t>财政拨款收入</w:t>
      </w:r>
      <w:r>
        <w:rPr>
          <w:rFonts w:ascii="仿宋_GB2312" w:eastAsia="仿宋_GB2312" w:cs="仿宋_GB2312" w:hint="eastAsia"/>
          <w:color w:val="auto"/>
          <w:sz w:val="32"/>
          <w:szCs w:val="32"/>
          <w:highlight w:val="auto"/>
        </w:rPr>
        <w:t>支出决算表</w:t>
      </w:r>
    </w:p>
    <w:p>
      <w:pPr>
        <w:pStyle w:val="22"/>
        <w:keepNext w:val="0"/>
        <w:keepLines w:val="0"/>
        <w:pageBreakBefore w:val="0"/>
        <w:widowControl w:val="0"/>
        <w:tabs>
          <w:tab w:val="right" w:leader="dot" w:pos="8296"/>
        </w:tabs>
        <w:kinsoku/>
        <w:wordWrap/>
        <w:overflowPunct/>
        <w:topLinePunct w:val="0"/>
        <w:autoSpaceDE/>
        <w:autoSpaceDN/>
        <w:bidi w:val="0"/>
        <w:adjustRightInd w:val="0"/>
        <w:snapToGrid w:val="0"/>
        <w:spacing w:line="600" w:lineRule="exact"/>
        <w:jc w:val="left"/>
        <w:textAlignment w:val="auto"/>
        <w:rPr>
          <w:rFonts w:ascii="仿宋_GB2312" w:eastAsia="仿宋_GB2312" w:cs="仿宋_GB2312" w:hint="eastAsia"/>
          <w:color w:val="auto"/>
          <w:sz w:val="32"/>
          <w:szCs w:val="32"/>
          <w:lang w:val="en-US" w:eastAsia="zh-CN"/>
          <w:highlight w:val="auto"/>
        </w:rPr>
      </w:pPr>
      <w:r>
        <w:rPr>
          <w:rFonts w:ascii="仿宋_GB2312" w:eastAsia="仿宋_GB2312" w:cs="仿宋_GB2312" w:hint="eastAsia"/>
          <w:color w:val="auto"/>
          <w:sz w:val="32"/>
          <w:szCs w:val="32"/>
          <w:lang w:val="en-US" w:eastAsia="zh-CN"/>
          <w:highlight w:val="auto"/>
        </w:rPr>
        <w:t>十四、国有资本经营预算财政拨款支出决算表</w:t>
      </w:r>
    </w:p>
    <w:p>
      <w:pPr>
        <w:pStyle w:val="1"/>
        <w:jc w:val="center"/>
        <w:rPr>
          <w:rFonts w:ascii="方正小标宋简体" w:eastAsia="方正小标宋简体" w:cs="方正小标宋简体" w:hint="eastAsia"/>
          <w:b w:val="0"/>
          <w:color w:val="auto"/>
          <w:highlight w:val="auto"/>
        </w:rPr>
        <w:sectPr>
          <w:footerReference w:type="default" r:id="rId6"/>
          <w:pgSz w:w="11906" w:h="16838"/>
          <w:pgMar w:top="2098" w:right="1474" w:bottom="1984" w:left="1587" w:header="851" w:footer="1559" w:gutter="0"/>
          <w:pgNumType w:fmt="numberInDash" w:start="1"/>
          <w:cols w:num="1" w:space="720"/>
          <w:rtlGutter/>
          <w:docGrid w:type="lines" w:linePitch="312" w:charSpace="0"/>
        </w:sectPr>
      </w:pPr>
      <w:bookmarkStart w:id="12" w:name="_Toc15377196"/>
      <w:bookmarkStart w:id="13" w:name="_Toc15396599"/>
    </w:p>
    <w:p>
      <w:pPr>
        <w:pStyle w:val="1"/>
        <w:jc w:val="center"/>
        <w:rPr>
          <w:rStyle w:val="1Char"/>
          <w:rFonts w:ascii="方正小标宋简体" w:eastAsia="方正小标宋简体" w:cs="方正小标宋简体" w:hint="eastAsia"/>
          <w:b w:val="0"/>
          <w:bCs w:val="0"/>
        </w:rPr>
      </w:pPr>
      <w:r>
        <w:rPr>
          <w:rFonts w:ascii="方正小标宋简体" w:eastAsia="方正小标宋简体" w:cs="方正小标宋简体" w:hint="eastAsia"/>
          <w:b w:val="0"/>
          <w:color w:val="auto"/>
          <w:highlight w:val="auto"/>
        </w:rPr>
        <w:t xml:space="preserve">第一部分 </w:t>
      </w:r>
      <w:r>
        <w:rPr>
          <w:rFonts w:ascii="方正小标宋简体" w:eastAsia="方正小标宋简体" w:cs="方正小标宋简体" w:hint="eastAsia"/>
          <w:b w:val="0"/>
          <w:color w:val="auto"/>
          <w:lang w:eastAsia="zh-CN"/>
          <w:highlight w:val="auto"/>
        </w:rPr>
        <w:t>单位</w:t>
      </w:r>
      <w:r>
        <w:rPr>
          <w:rStyle w:val="1Char"/>
          <w:rFonts w:ascii="方正小标宋简体" w:eastAsia="方正小标宋简体" w:cs="方正小标宋简体" w:hint="eastAsia"/>
          <w:b w:val="0"/>
          <w:bCs w:val="0"/>
          <w:color w:val="auto"/>
          <w:highlight w:val="auto"/>
        </w:rPr>
        <w:t>概况</w:t>
      </w:r>
      <w:bookmarkEnd w:id="12"/>
      <w:bookmarkEnd w:id="13"/>
    </w:p>
    <w:p>
      <w:pPr>
        <w:pStyle w:val="2"/>
        <w:keepNext/>
        <w:keepLines/>
        <w:pageBreakBefore w:val="0"/>
        <w:widowControl w:val="0"/>
        <w:kinsoku/>
        <w:wordWrap/>
        <w:overflowPunct/>
        <w:topLinePunct w:val="0"/>
        <w:autoSpaceDE/>
        <w:autoSpaceDN/>
        <w:bidi w:val="0"/>
        <w:adjustRightInd/>
        <w:snapToGrid/>
        <w:spacing w:before="0" w:after="0" w:line="560" w:lineRule="exact"/>
        <w:ind w:left="0" w:firstLineChars="200" w:firstLine="640"/>
        <w:textAlignment w:val="auto"/>
        <w:rPr>
          <w:rStyle w:val="2Char"/>
          <w:rFonts w:ascii="黑体" w:eastAsia="黑体" w:hint="eastAsia"/>
          <w:b w:val="0"/>
          <w:bCs w:val="0"/>
          <w:color w:val="auto"/>
          <w:sz w:val="32"/>
          <w:szCs w:val="32"/>
          <w:lang w:eastAsia="zh-CN"/>
          <w:highlight w:val="auto"/>
        </w:rPr>
      </w:pPr>
      <w:bookmarkStart w:id="14" w:name="_Toc15396600"/>
      <w:bookmarkStart w:id="15" w:name="_Toc15377197"/>
      <w:r>
        <w:rPr>
          <w:rStyle w:val="2Char"/>
          <w:rFonts w:ascii="黑体" w:eastAsia="黑体" w:hint="eastAsia"/>
          <w:b w:val="0"/>
          <w:bCs w:val="0"/>
          <w:color w:val="auto"/>
          <w:sz w:val="32"/>
          <w:szCs w:val="32"/>
          <w:lang w:eastAsia="zh-CN"/>
          <w:highlight w:val="auto"/>
        </w:rPr>
        <w:t>一、</w:t>
      </w:r>
      <w:r>
        <w:rPr>
          <w:rStyle w:val="2Char"/>
          <w:rFonts w:ascii="黑体" w:eastAsia="黑体" w:hint="eastAsia"/>
          <w:b w:val="0"/>
          <w:bCs w:val="0"/>
          <w:color w:val="auto"/>
          <w:sz w:val="32"/>
          <w:szCs w:val="32"/>
          <w:highlight w:val="auto"/>
        </w:rPr>
        <w:t>职能</w:t>
      </w:r>
      <w:r>
        <w:rPr>
          <w:rStyle w:val="2Char"/>
          <w:rFonts w:ascii="黑体" w:eastAsia="黑体" w:hint="eastAsia"/>
          <w:b w:val="0"/>
          <w:bCs w:val="0"/>
          <w:color w:val="auto"/>
          <w:sz w:val="32"/>
          <w:szCs w:val="32"/>
          <w:lang w:eastAsia="zh-CN"/>
          <w:highlight w:val="auto"/>
        </w:rPr>
        <w:t>简介</w:t>
      </w:r>
    </w:p>
    <w:p>
      <w:pPr>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负责烈士陵园、烈士纪念馆的管理；负责全市烈士纪念设施数据平台建设和运行维护；协助全市烈士纪念设施和军人公墓建设规划、管理；协调组织、指导全市烈士纪念设施修缮保护；负责开展烈士相关对外交流合作等。</w:t>
      </w:r>
    </w:p>
    <w:p>
      <w:pPr>
        <w:pStyle w:val="2"/>
        <w:keepNext/>
        <w:keepLines/>
        <w:pageBreakBefore w:val="0"/>
        <w:widowControl w:val="0"/>
        <w:kinsoku/>
        <w:wordWrap/>
        <w:overflowPunct/>
        <w:topLinePunct w:val="0"/>
        <w:autoSpaceDE/>
        <w:autoSpaceDN/>
        <w:bidi w:val="0"/>
        <w:adjustRightInd/>
        <w:snapToGrid/>
        <w:spacing w:before="0" w:after="0" w:line="560" w:lineRule="exact"/>
        <w:ind w:left="0" w:firstLineChars="200" w:firstLine="640"/>
        <w:textAlignment w:val="auto"/>
        <w:rPr>
          <w:rFonts w:ascii="黑体" w:eastAsia="黑体" w:hint="eastAsia"/>
          <w:b w:val="0"/>
          <w:color w:val="auto"/>
          <w:sz w:val="32"/>
          <w:szCs w:val="32"/>
          <w:highlight w:val="auto"/>
        </w:rPr>
      </w:pPr>
      <w:r>
        <w:rPr>
          <w:rFonts w:ascii="黑体" w:eastAsia="黑体" w:hint="eastAsia"/>
          <w:b w:val="0"/>
          <w:color w:val="auto"/>
          <w:sz w:val="32"/>
          <w:szCs w:val="32"/>
          <w:lang w:val="en-US" w:eastAsia="zh-CN"/>
          <w:highlight w:val="auto"/>
        </w:rPr>
        <w:t>二、2021年重点</w:t>
      </w:r>
      <w:r>
        <w:rPr>
          <w:rFonts w:ascii="黑体" w:eastAsia="黑体" w:hint="eastAsia"/>
          <w:b w:val="0"/>
          <w:color w:val="auto"/>
          <w:sz w:val="32"/>
          <w:szCs w:val="32"/>
          <w:highlight w:val="auto"/>
        </w:rPr>
        <w:t>工作</w:t>
      </w:r>
      <w:bookmarkEnd w:id="14"/>
      <w:bookmarkEnd w:id="15"/>
      <w:r>
        <w:rPr>
          <w:rFonts w:ascii="黑体" w:eastAsia="黑体" w:hint="eastAsia"/>
          <w:b w:val="0"/>
          <w:color w:val="auto"/>
          <w:sz w:val="32"/>
          <w:szCs w:val="32"/>
          <w:lang w:eastAsia="zh-CN"/>
          <w:highlight w:val="auto"/>
        </w:rPr>
        <w:t>完成情况</w:t>
      </w:r>
    </w:p>
    <w:p>
      <w:pPr>
        <w:spacing w:line="560" w:lineRule="exact"/>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1.</w:t>
      </w:r>
      <w:r>
        <w:rPr>
          <w:rFonts w:ascii="仿宋_GB2312" w:eastAsia="仿宋_GB2312" w:cs="仿宋_GB2312" w:hint="eastAsia"/>
          <w:sz w:val="32"/>
          <w:szCs w:val="32"/>
          <w:lang w:eastAsia="zh-CN"/>
        </w:rPr>
        <w:t>扎实开展“学党史·强党性”活动。制订计划，掀起学习热潮，通过宣传栏、电子屏等载体广泛宣传上级精神，增强党性修养。</w:t>
      </w:r>
    </w:p>
    <w:p>
      <w:pPr>
        <w:spacing w:line="560" w:lineRule="exact"/>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2.</w:t>
      </w:r>
      <w:r>
        <w:rPr>
          <w:rFonts w:ascii="仿宋_GB2312" w:eastAsia="仿宋_GB2312" w:cs="仿宋_GB2312" w:hint="eastAsia"/>
          <w:sz w:val="32"/>
          <w:szCs w:val="32"/>
          <w:lang w:eastAsia="zh-CN"/>
        </w:rPr>
        <w:t>常态化抓好疫情防控和园区清洁卫生。做好进出园区扫码、测体温、消毒等工作；保持园区环境清洁，做到环境卫生不留死角。</w:t>
      </w:r>
    </w:p>
    <w:p>
      <w:pPr>
        <w:spacing w:line="560" w:lineRule="exact"/>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3.</w:t>
      </w:r>
      <w:r>
        <w:rPr>
          <w:rFonts w:ascii="仿宋_GB2312" w:eastAsia="仿宋_GB2312" w:cs="仿宋_GB2312" w:hint="eastAsia"/>
          <w:sz w:val="32"/>
          <w:szCs w:val="32"/>
          <w:lang w:eastAsia="zh-CN"/>
        </w:rPr>
        <w:t>做实做细安全生产防范工作。</w:t>
      </w:r>
    </w:p>
    <w:p>
      <w:pPr>
        <w:spacing w:line="560" w:lineRule="exact"/>
        <w:ind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4.</w:t>
      </w:r>
      <w:r>
        <w:rPr>
          <w:rFonts w:ascii="仿宋_GB2312" w:eastAsia="仿宋_GB2312" w:cs="仿宋_GB2312" w:hint="eastAsia"/>
          <w:sz w:val="32"/>
          <w:szCs w:val="32"/>
          <w:lang w:eastAsia="zh-CN"/>
        </w:rPr>
        <w:t>扎实开展好“守护·2021清明祭英烈”活动：联合附近村民集中开展为期1周拔草护绿活动；结合疫情防控和森林防灭火工作需要，发布“清明祭英烈祭扫”公告，提供网络祭扫、委托祭扫、烈属视频远程祭扫三项服务选择。报请市局主持召开由雪峰街道办、泡石村村委会、雪峰公墓等驻地单位参加的森林防灭火联席会，联合广元监狱、利州区环卫局、利州区城管执法大队等单位开展陵园门口大桥车辆停放和环境卫生整治，协调利州区环卫局、川北幼专、四川信息学院等单位到陵园开展地面清洁、义务拔草等志愿服务活动；购置防疫物资，邀请退役军人、老党员为前来开展集中祭扫活动的群众讲授党课，全体职工齐上阵提供讲解服务。截至目前，共接待广元监狱、081中学、市公安局等41家机关企事业单位共7000余人次，取得良好社会效益。</w:t>
      </w:r>
      <w:r>
        <w:rPr>
          <w:rFonts w:ascii="仿宋_GB2312" w:eastAsia="仿宋_GB2312" w:cs="仿宋_GB2312" w:hint="eastAsia"/>
          <w:sz w:val="32"/>
          <w:szCs w:val="32"/>
          <w:lang w:val="en-US" w:eastAsia="zh-CN"/>
        </w:rPr>
        <w:t xml:space="preserve"> </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val="en-US" w:eastAsia="zh-CN"/>
        </w:rPr>
        <w:t>5.顺利完成</w:t>
      </w:r>
      <w:r>
        <w:rPr>
          <w:rFonts w:ascii="仿宋_GB2312" w:eastAsia="仿宋_GB2312" w:cs="仿宋_GB2312" w:hint="eastAsia"/>
          <w:sz w:val="32"/>
          <w:szCs w:val="32"/>
        </w:rPr>
        <w:t xml:space="preserve">“9·30”向人民英雄敬献花篮活动。市委、市人大常委会、市政府、市政协、广元军分区、市法院、市检察院领导，市级民主党派及人民团体代表，市级部门、单位、警察、军队和学生代表，利州区、广元经济技术开发区和市天然气综合利用工业园区干部代表，烈军属、退伍老战士、军队离退休干部和各界群众代表等近千人参加活动。 </w:t>
      </w:r>
    </w:p>
    <w:p>
      <w:pPr>
        <w:spacing w:line="560" w:lineRule="exact"/>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6.</w:t>
      </w:r>
      <w:r>
        <w:rPr>
          <w:rFonts w:ascii="仿宋_GB2312" w:eastAsia="仿宋_GB2312" w:cs="仿宋_GB2312" w:hint="eastAsia"/>
          <w:sz w:val="32"/>
          <w:szCs w:val="32"/>
          <w:lang w:eastAsia="zh-CN"/>
        </w:rPr>
        <w:t>按时按质完成四川英烈堂烈士褒扬纪念系统数据采集填报工作。</w:t>
      </w:r>
    </w:p>
    <w:p>
      <w:pPr>
        <w:spacing w:line="560" w:lineRule="exact"/>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val="en-US" w:eastAsia="zh-CN"/>
        </w:rPr>
        <w:t>7.</w:t>
      </w:r>
      <w:r>
        <w:rPr>
          <w:rFonts w:ascii="仿宋_GB2312" w:eastAsia="仿宋_GB2312" w:cs="仿宋_GB2312" w:hint="eastAsia"/>
          <w:sz w:val="32"/>
          <w:szCs w:val="32"/>
          <w:lang w:eastAsia="zh-CN"/>
        </w:rPr>
        <w:t>烈保中心率先挂牌。3月18日，经机构编制部门批准，广元市烈士纪念设施保护中心挂牌成立。</w:t>
      </w:r>
    </w:p>
    <w:p>
      <w:pPr>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lang w:val="en-US" w:eastAsia="zh-CN"/>
        </w:rPr>
        <w:t>8.</w:t>
      </w:r>
      <w:r>
        <w:rPr>
          <w:rFonts w:ascii="仿宋_GB2312" w:eastAsia="仿宋_GB2312" w:cs="仿宋_GB2312" w:hint="eastAsia"/>
          <w:sz w:val="32"/>
          <w:szCs w:val="32"/>
          <w:lang w:eastAsia="zh-CN"/>
        </w:rPr>
        <w:t>稳步推进项目建设。</w:t>
      </w:r>
      <w:r>
        <w:rPr>
          <w:rFonts w:ascii="仿宋_GB2312" w:eastAsia="仿宋_GB2312" w:cs="仿宋_GB2312" w:hint="eastAsia"/>
          <w:sz w:val="32"/>
          <w:szCs w:val="32"/>
          <w:lang w:val="en-US" w:eastAsia="zh-CN"/>
        </w:rPr>
        <w:t>12月19日</w:t>
      </w:r>
      <w:r>
        <w:rPr>
          <w:rFonts w:ascii="仿宋_GB2312" w:eastAsia="仿宋_GB2312" w:cs="仿宋_GB2312" w:hint="eastAsia"/>
          <w:sz w:val="32"/>
          <w:szCs w:val="32"/>
          <w:lang w:eastAsia="zh-CN"/>
        </w:rPr>
        <w:t>陈列馆展陈项目完成竣工验收；烈士纪念设施改建项目综合楼改造标段完成施工；投入3.2万元栽培凌霄花，美化纪念碑后山坡；完成灾后重建项目</w:t>
      </w:r>
      <w:r>
        <w:rPr>
          <w:rFonts w:ascii="仿宋_GB2312" w:eastAsia="仿宋_GB2312" w:cs="仿宋_GB2312" w:hint="eastAsia"/>
          <w:sz w:val="32"/>
          <w:szCs w:val="32"/>
          <w:lang w:val="en-US" w:eastAsia="zh-CN"/>
        </w:rPr>
        <w:t>竣工决算工作。</w:t>
      </w:r>
    </w:p>
    <w:p>
      <w:pPr>
        <w:widowControl/>
        <w:jc w:val="left"/>
        <w:rPr>
          <w:rFonts w:ascii="仿宋" w:eastAsia="仿宋"/>
          <w:color w:val="auto"/>
          <w:kern w:val="0"/>
          <w:sz w:val="32"/>
          <w:szCs w:val="32"/>
          <w:highlight w:val="auto"/>
        </w:rPr>
      </w:pPr>
      <w:r>
        <w:rPr>
          <w:rFonts w:ascii="仿宋" w:eastAsia="仿宋"/>
          <w:color w:val="auto"/>
          <w:sz w:val="32"/>
          <w:szCs w:val="32"/>
          <w:highlight w:val="auto"/>
        </w:rPr>
        <w:br w:type="page"/>
      </w:r>
    </w:p>
    <w:p>
      <w:pPr>
        <w:pStyle w:val="1"/>
        <w:ind w:right="440"/>
        <w:jc w:val="center"/>
        <w:rPr>
          <w:rStyle w:val="1Char"/>
          <w:rFonts w:ascii="方正小标宋简体" w:eastAsia="方正小标宋简体" w:cs="方正小标宋简体" w:hint="eastAsia"/>
          <w:b w:val="0"/>
          <w:bCs w:val="0"/>
        </w:rPr>
      </w:pPr>
      <w:bookmarkStart w:id="16" w:name="_Toc15377204"/>
      <w:bookmarkStart w:id="17" w:name="_Toc15396602"/>
      <w:r>
        <w:rPr>
          <w:rFonts w:ascii="方正小标宋简体" w:eastAsia="方正小标宋简体" w:cs="方正小标宋简体" w:hint="eastAsia"/>
          <w:b w:val="0"/>
          <w:bCs/>
          <w:color w:val="auto"/>
          <w:highlight w:val="auto"/>
        </w:rPr>
        <w:t xml:space="preserve">第二部分 </w:t>
      </w:r>
      <w:r>
        <w:rPr>
          <w:rFonts w:ascii="方正小标宋简体" w:eastAsia="方正小标宋简体" w:cs="方正小标宋简体" w:hint="eastAsia"/>
          <w:b w:val="0"/>
          <w:bCs/>
          <w:color w:val="auto"/>
          <w:lang w:val="en-US" w:eastAsia="zh-CN"/>
          <w:highlight w:val="auto"/>
        </w:rPr>
        <w:t>2021年度</w:t>
      </w:r>
      <w:r>
        <w:rPr>
          <w:rStyle w:val="1Char"/>
          <w:rFonts w:ascii="方正小标宋简体" w:eastAsia="方正小标宋简体" w:cs="方正小标宋简体" w:hint="eastAsia"/>
          <w:b w:val="0"/>
          <w:bCs/>
          <w:color w:val="auto"/>
          <w:lang w:eastAsia="zh-CN"/>
          <w:highlight w:val="auto"/>
        </w:rPr>
        <w:t>单位</w:t>
      </w:r>
      <w:r>
        <w:rPr>
          <w:rStyle w:val="1Char"/>
          <w:rFonts w:ascii="方正小标宋简体" w:eastAsia="方正小标宋简体" w:cs="方正小标宋简体" w:hint="eastAsia"/>
          <w:b w:val="0"/>
          <w:bCs/>
          <w:color w:val="auto"/>
          <w:highlight w:val="auto"/>
        </w:rPr>
        <w:t>决算情况说明</w:t>
      </w:r>
      <w:bookmarkEnd w:id="16"/>
      <w:bookmarkEnd w:id="17"/>
    </w:p>
    <w:p>
      <w:pPr>
        <w:pStyle w:val="30"/>
        <w:spacing w:line="600" w:lineRule="exact"/>
        <w:ind w:left="640"/>
        <w:outlineLvl w:val="1"/>
        <w:rPr>
          <w:rStyle w:val="2Char"/>
          <w:rFonts w:ascii="黑体" w:eastAsia="黑体"/>
          <w:b w:val="0"/>
          <w:color w:val="auto"/>
          <w:highlight w:val="auto"/>
        </w:rPr>
      </w:pPr>
      <w:bookmarkStart w:id="18" w:name="_Toc15377205"/>
      <w:bookmarkStart w:id="19" w:name="_Toc15396603"/>
      <w:r>
        <w:rPr>
          <w:rFonts w:ascii="黑体" w:eastAsia="黑体" w:hint="eastAsia"/>
          <w:color w:val="auto"/>
          <w:sz w:val="32"/>
          <w:szCs w:val="32"/>
          <w:lang w:eastAsia="zh-CN"/>
          <w:highlight w:val="auto"/>
        </w:rPr>
        <w:t>一、</w:t>
      </w:r>
      <w:r>
        <w:rPr>
          <w:rFonts w:ascii="黑体" w:eastAsia="黑体" w:hint="eastAsia"/>
          <w:color w:val="auto"/>
          <w:sz w:val="32"/>
          <w:szCs w:val="32"/>
          <w:highlight w:val="auto"/>
        </w:rPr>
        <w:t>收</w:t>
      </w:r>
      <w:r>
        <w:rPr>
          <w:rStyle w:val="2Char"/>
          <w:rFonts w:ascii="黑体" w:eastAsia="黑体" w:hint="eastAsia"/>
          <w:b w:val="0"/>
          <w:color w:val="auto"/>
          <w:highlight w:val="auto"/>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240" w:lineRule="auto"/>
        <w:ind w:firstLineChars="200" w:firstLine="640"/>
        <w:textAlignment w:val="auto"/>
        <w:rPr>
          <w:rFonts w:ascii="仿宋_GB2312" w:eastAsia="仿宋_GB2312" w:cs="仿宋_GB2312"/>
          <w:sz w:val="32"/>
          <w:szCs w:val="32"/>
          <w:lang w:val="en-US"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val="en-US" w:eastAsia="zh-CN"/>
        </w:rPr>
        <w:t>21</w:t>
      </w:r>
      <w:r>
        <w:rPr>
          <w:rFonts w:ascii="仿宋_GB2312" w:eastAsia="仿宋_GB2312" w:cs="仿宋_GB2312" w:hint="eastAsia"/>
          <w:sz w:val="32"/>
          <w:szCs w:val="32"/>
          <w:lang w:eastAsia="zh-CN"/>
        </w:rPr>
        <w:t>年度收、支总计</w:t>
      </w:r>
      <w:r>
        <w:rPr>
          <w:rFonts w:ascii="仿宋_GB2312" w:eastAsia="仿宋_GB2312" w:cs="仿宋_GB2312"/>
          <w:sz w:val="32"/>
          <w:szCs w:val="32"/>
          <w:lang w:eastAsia="zh-CN"/>
        </w:rPr>
        <w:t>965.78</w:t>
      </w:r>
      <w:r>
        <w:rPr>
          <w:rFonts w:ascii="仿宋_GB2312" w:eastAsia="仿宋_GB2312" w:cs="仿宋_GB2312" w:hint="eastAsia"/>
          <w:sz w:val="32"/>
          <w:szCs w:val="32"/>
          <w:lang w:eastAsia="zh-CN"/>
        </w:rPr>
        <w:t>万元。与20</w:t>
      </w:r>
      <w:r>
        <w:rPr>
          <w:rFonts w:ascii="仿宋_GB2312" w:eastAsia="仿宋_GB2312" w:cs="仿宋_GB2312" w:hint="eastAsia"/>
          <w:sz w:val="32"/>
          <w:szCs w:val="32"/>
          <w:lang w:val="en-US" w:eastAsia="zh-CN"/>
        </w:rPr>
        <w:t>20</w:t>
      </w:r>
      <w:r>
        <w:rPr>
          <w:rFonts w:ascii="仿宋_GB2312" w:eastAsia="仿宋_GB2312" w:cs="仿宋_GB2312" w:hint="eastAsia"/>
          <w:sz w:val="32"/>
          <w:szCs w:val="32"/>
          <w:lang w:eastAsia="zh-CN"/>
        </w:rPr>
        <w:t>年</w:t>
      </w:r>
      <w:r>
        <w:rPr>
          <w:rFonts w:ascii="仿宋_GB2312" w:eastAsia="仿宋_GB2312" w:cs="仿宋_GB2312"/>
          <w:sz w:val="32"/>
          <w:szCs w:val="32"/>
          <w:lang w:eastAsia="zh-CN"/>
        </w:rPr>
        <w:t>313.31</w:t>
      </w:r>
      <w:r>
        <w:rPr>
          <w:rFonts w:ascii="仿宋_GB2312" w:eastAsia="仿宋_GB2312" w:cs="仿宋_GB2312" w:hint="eastAsia"/>
          <w:sz w:val="32"/>
          <w:szCs w:val="32"/>
          <w:lang w:eastAsia="zh-CN"/>
        </w:rPr>
        <w:t>万元相比，收、支总计各增加</w:t>
      </w:r>
      <w:r>
        <w:rPr>
          <w:rFonts w:ascii="仿宋_GB2312" w:eastAsia="仿宋_GB2312" w:cs="仿宋_GB2312" w:hint="eastAsia"/>
          <w:sz w:val="32"/>
          <w:szCs w:val="32"/>
          <w:lang w:val="en-US" w:eastAsia="zh-CN"/>
        </w:rPr>
        <w:t>652.47</w:t>
      </w:r>
      <w:r>
        <w:rPr>
          <w:rFonts w:ascii="仿宋_GB2312" w:eastAsia="仿宋_GB2312" w:cs="仿宋_GB2312" w:hint="eastAsia"/>
          <w:sz w:val="32"/>
          <w:szCs w:val="32"/>
          <w:lang w:eastAsia="zh-CN"/>
        </w:rPr>
        <w:t>万元，增长</w:t>
      </w:r>
      <w:r>
        <w:rPr>
          <w:rFonts w:ascii="仿宋_GB2312" w:eastAsia="仿宋_GB2312" w:cs="仿宋_GB2312" w:hint="eastAsia"/>
          <w:sz w:val="32"/>
          <w:szCs w:val="32"/>
          <w:lang w:val="en-US" w:eastAsia="zh-CN"/>
        </w:rPr>
        <w:t>208</w:t>
      </w:r>
      <w:r>
        <w:rPr>
          <w:rFonts w:ascii="仿宋_GB2312" w:eastAsia="仿宋_GB2312" w:cs="仿宋_GB2312" w:hint="eastAsia"/>
          <w:sz w:val="32"/>
          <w:szCs w:val="32"/>
          <w:lang w:eastAsia="zh-CN"/>
        </w:rPr>
        <w:t>%。主要变动原因是</w:t>
      </w:r>
      <w:r>
        <w:rPr>
          <w:rFonts w:ascii="仿宋_GB2312" w:eastAsia="仿宋_GB2312" w:cs="仿宋_GB2312" w:hint="eastAsia"/>
          <w:sz w:val="32"/>
          <w:szCs w:val="32"/>
          <w:lang w:val="en-US" w:eastAsia="zh-CN"/>
        </w:rPr>
        <w:t>2021年市烈士陵园陈列馆综合楼展陈布展项目（陈列馆）作为2021年全省30件民生实事（对21处烈士纪念设施进行修缮改造），下达省级、市级专项资金</w:t>
      </w:r>
      <w:r>
        <w:rPr>
          <w:rFonts w:ascii="仿宋_GB2312" w:eastAsia="仿宋_GB2312" w:cs="仿宋_GB2312"/>
          <w:sz w:val="32"/>
          <w:szCs w:val="32"/>
          <w:lang w:val="en-US" w:eastAsia="zh-CN"/>
        </w:rPr>
        <w:t>690.36</w:t>
      </w:r>
      <w:r>
        <w:rPr>
          <w:rFonts w:ascii="仿宋_GB2312" w:eastAsia="仿宋_GB2312" w:cs="仿宋_GB2312" w:hint="eastAsia"/>
          <w:sz w:val="32"/>
          <w:szCs w:val="32"/>
          <w:lang w:val="en-US" w:eastAsia="zh-CN"/>
        </w:rPr>
        <w:t>万元，专项用于烈士纪念设施维修改造、设备购置、环境整治、陈展宣传等支出。</w:t>
      </w:r>
    </w:p>
    <w:p>
      <w:pPr>
        <w:keepNext w:val="0"/>
        <w:keepLines w:val="0"/>
        <w:pageBreakBefore w:val="0"/>
        <w:widowControl w:val="0"/>
        <w:kinsoku/>
        <w:wordWrap/>
        <w:overflowPunct/>
        <w:topLinePunct w:val="0"/>
        <w:autoSpaceDE/>
        <w:autoSpaceDN/>
        <w:adjustRightInd/>
        <w:snapToGrid/>
        <w:ind w:firstLineChars="200" w:firstLine="420"/>
        <w:jc w:val="center"/>
      </w:pPr>
      <w:r>
        <w:drawing>
          <wp:inline distT="0" distB="0" distL="84455" distR="84455">
            <wp:extent cx="4628515" cy="2399665"/>
            <wp:effectExtent l="0" t="0" r="0" b="0"/>
            <wp:docPr id="7" name="对象"/>
            <wp:cNvGraphicFramePr>
              <a:graphicFrameLocks noChangeAspect="0"/>
            </wp:cNvGraphicFramePr>
            <a:graphic>
              <a:graphicData uri="http://schemas.openxmlformats.org/drawingml/2006/chart">
                <c:chart xmlns:c="http://schemas.openxmlformats.org/drawingml/2006/chart" r:id="rId8"/>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仿宋_GB2312" w:eastAsia="仿宋_GB2312"/>
          <w:color w:val="auto"/>
          <w:sz w:val="32"/>
          <w:szCs w:val="32"/>
          <w:highlight w:val="auto"/>
        </w:rPr>
      </w:pPr>
      <w:r>
        <w:rPr>
          <w:rFonts w:ascii="仿宋" w:eastAsia="仿宋" w:hint="eastAsia"/>
          <w:color w:val="FF0000"/>
          <w:sz w:val="32"/>
          <w:szCs w:val="32"/>
          <w:highlight w:val="auto"/>
        </w:rPr>
        <w:t>（图</w:t>
      </w:r>
      <w:r>
        <w:rPr>
          <w:rFonts w:ascii="仿宋" w:eastAsia="仿宋"/>
          <w:color w:val="FF0000"/>
          <w:sz w:val="32"/>
          <w:szCs w:val="32"/>
          <w:highlight w:val="auto"/>
        </w:rPr>
        <w:t>1</w:t>
      </w:r>
      <w:r>
        <w:rPr>
          <w:rFonts w:ascii="仿宋" w:eastAsia="仿宋" w:hint="eastAsia"/>
          <w:color w:val="FF0000"/>
          <w:sz w:val="32"/>
          <w:szCs w:val="32"/>
          <w:highlight w:val="auto"/>
        </w:rPr>
        <w:t>：收、支决算总计变动情况图）（柱状图）</w:t>
      </w:r>
    </w:p>
    <w:p>
      <w:pPr>
        <w:pStyle w:val="30"/>
        <w:spacing w:line="600" w:lineRule="exact"/>
        <w:ind w:left="640"/>
        <w:outlineLvl w:val="1"/>
        <w:rPr>
          <w:rStyle w:val="2Char"/>
          <w:rFonts w:ascii="黑体" w:eastAsia="黑体"/>
          <w:b w:val="0"/>
          <w:color w:val="auto"/>
          <w:highlight w:val="auto"/>
        </w:rPr>
      </w:pPr>
      <w:bookmarkStart w:id="20" w:name="_Toc15377206"/>
      <w:bookmarkStart w:id="21" w:name="_Toc15396604"/>
      <w:r>
        <w:rPr>
          <w:rFonts w:ascii="黑体" w:eastAsia="黑体" w:hint="eastAsia"/>
          <w:color w:val="auto"/>
          <w:sz w:val="32"/>
          <w:szCs w:val="32"/>
          <w:lang w:eastAsia="zh-CN"/>
          <w:highlight w:val="auto"/>
        </w:rPr>
        <w:t>二、</w:t>
      </w:r>
      <w:r>
        <w:rPr>
          <w:rFonts w:ascii="黑体" w:eastAsia="黑体" w:hint="eastAsia"/>
          <w:color w:val="auto"/>
          <w:sz w:val="32"/>
          <w:szCs w:val="32"/>
          <w:highlight w:val="auto"/>
        </w:rPr>
        <w:t>收</w:t>
      </w:r>
      <w:r>
        <w:rPr>
          <w:rStyle w:val="2Char"/>
          <w:rFonts w:ascii="黑体" w:eastAsia="黑体" w:hint="eastAsia"/>
          <w:b w:val="0"/>
          <w:color w:val="auto"/>
          <w:highlight w:val="auto"/>
        </w:rPr>
        <w:t>入决算情况说明</w:t>
      </w:r>
      <w:bookmarkEnd w:id="20"/>
      <w:bookmarkEnd w:id="21"/>
    </w:p>
    <w:p>
      <w:pPr>
        <w:ind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val="en-US" w:eastAsia="zh-CN"/>
        </w:rPr>
        <w:t>21</w:t>
      </w:r>
      <w:r>
        <w:rPr>
          <w:rFonts w:ascii="仿宋_GB2312" w:eastAsia="仿宋_GB2312" w:cs="仿宋_GB2312" w:hint="eastAsia"/>
          <w:sz w:val="32"/>
          <w:szCs w:val="32"/>
          <w:lang w:eastAsia="zh-CN"/>
        </w:rPr>
        <w:t>年本年收入合计</w:t>
      </w:r>
      <w:r>
        <w:rPr>
          <w:rFonts w:ascii="仿宋_GB2312" w:eastAsia="仿宋_GB2312" w:cs="仿宋_GB2312" w:hint="eastAsia"/>
          <w:sz w:val="32"/>
          <w:szCs w:val="32"/>
          <w:lang w:val="en-US" w:eastAsia="zh-CN"/>
        </w:rPr>
        <w:t>737.73</w:t>
      </w:r>
      <w:r>
        <w:rPr>
          <w:rFonts w:ascii="仿宋_GB2312" w:eastAsia="仿宋_GB2312" w:cs="仿宋_GB2312" w:hint="eastAsia"/>
          <w:sz w:val="32"/>
          <w:szCs w:val="32"/>
          <w:lang w:eastAsia="zh-CN"/>
        </w:rPr>
        <w:t>万元，其中：一般公共预算财政拨款收入</w:t>
      </w:r>
      <w:r>
        <w:rPr>
          <w:rFonts w:ascii="仿宋_GB2312" w:eastAsia="仿宋_GB2312" w:cs="仿宋_GB2312" w:hint="eastAsia"/>
          <w:sz w:val="32"/>
          <w:szCs w:val="32"/>
          <w:lang w:val="en-US" w:eastAsia="zh-CN"/>
        </w:rPr>
        <w:t>467.73</w:t>
      </w:r>
      <w:r>
        <w:rPr>
          <w:rFonts w:ascii="仿宋_GB2312" w:eastAsia="仿宋_GB2312" w:cs="仿宋_GB2312" w:hint="eastAsia"/>
          <w:sz w:val="32"/>
          <w:szCs w:val="32"/>
          <w:lang w:eastAsia="zh-CN"/>
        </w:rPr>
        <w:t>万元，占</w:t>
      </w:r>
      <w:r>
        <w:rPr>
          <w:rFonts w:ascii="仿宋_GB2312" w:eastAsia="仿宋_GB2312" w:cs="仿宋_GB2312" w:hint="eastAsia"/>
          <w:sz w:val="32"/>
          <w:szCs w:val="32"/>
          <w:lang w:val="en-US" w:eastAsia="zh-CN"/>
        </w:rPr>
        <w:t>63.40</w:t>
      </w:r>
      <w:r>
        <w:rPr>
          <w:rFonts w:ascii="仿宋_GB2312" w:eastAsia="仿宋_GB2312" w:cs="仿宋_GB2312" w:hint="eastAsia"/>
          <w:sz w:val="32"/>
          <w:szCs w:val="32"/>
          <w:lang w:eastAsia="zh-CN"/>
        </w:rPr>
        <w:t>%；政府性基金预算财政拨款收入</w:t>
      </w:r>
      <w:r>
        <w:rPr>
          <w:rFonts w:ascii="仿宋_GB2312" w:eastAsia="仿宋_GB2312" w:cs="仿宋_GB2312" w:hint="eastAsia"/>
          <w:sz w:val="32"/>
          <w:szCs w:val="32"/>
          <w:lang w:val="en-US" w:eastAsia="zh-CN"/>
        </w:rPr>
        <w:t>270</w:t>
      </w:r>
      <w:r>
        <w:rPr>
          <w:rFonts w:ascii="仿宋_GB2312" w:eastAsia="仿宋_GB2312" w:cs="仿宋_GB2312" w:hint="eastAsia"/>
          <w:sz w:val="32"/>
          <w:szCs w:val="32"/>
          <w:lang w:eastAsia="zh-CN"/>
        </w:rPr>
        <w:t>万元，占</w:t>
      </w:r>
      <w:r>
        <w:rPr>
          <w:rFonts w:ascii="仿宋_GB2312" w:eastAsia="仿宋_GB2312" w:cs="仿宋_GB2312" w:hint="eastAsia"/>
          <w:sz w:val="32"/>
          <w:szCs w:val="32"/>
          <w:lang w:val="en-US" w:eastAsia="zh-CN"/>
        </w:rPr>
        <w:t>36.60</w:t>
      </w:r>
      <w:r>
        <w:rPr>
          <w:rFonts w:ascii="仿宋_GB2312" w:eastAsia="仿宋_GB2312" w:cs="仿宋_GB2312" w:hint="eastAsia"/>
          <w:sz w:val="32"/>
          <w:szCs w:val="32"/>
          <w:lang w:eastAsia="zh-CN"/>
        </w:rPr>
        <w:t>%</w:t>
      </w:r>
      <w:r>
        <w:rPr>
          <w:rFonts w:ascii="仿宋_GB2312" w:eastAsia="仿宋_GB2312" w:cs="仿宋_GB2312" w:hint="eastAsia"/>
          <w:sz w:val="32"/>
          <w:szCs w:val="32"/>
          <w:lang w:val="en-US" w:eastAsia="zh-CN"/>
        </w:rPr>
        <w:t>。</w:t>
      </w:r>
    </w:p>
    <w:p>
      <w:pPr>
        <w:ind w:firstLineChars="200" w:firstLine="420"/>
        <w:jc w:val="center"/>
      </w:pPr>
      <w:r>
        <w:drawing>
          <wp:inline distT="0" distB="0" distL="84455" distR="84455">
            <wp:extent cx="4123690" cy="2713990"/>
            <wp:effectExtent l="0" t="0" r="0" b="0"/>
            <wp:docPr id="8" name="对象"/>
            <wp:cNvGraphicFramePr>
              <a:graphicFrameLocks noChangeAspect="0"/>
            </wp:cNvGraphicFramePr>
            <a:graphic>
              <a:graphicData uri="http://schemas.openxmlformats.org/drawingml/2006/chart">
                <c:chart xmlns:c="http://schemas.openxmlformats.org/drawingml/2006/chart" r:id="rId9"/>
              </a:graphicData>
            </a:graphic>
          </wp:inline>
        </w:drawing>
      </w:r>
    </w:p>
    <w:p>
      <w:pPr>
        <w:ind w:left="0"/>
        <w:jc w:val="center"/>
        <w:rPr>
          <w:rFonts w:ascii="仿宋_GB2312" w:eastAsia="仿宋_GB2312"/>
          <w:color w:val="auto"/>
          <w:sz w:val="32"/>
          <w:szCs w:val="32"/>
          <w:highlight w:val="auto"/>
        </w:rPr>
      </w:pPr>
      <w:r>
        <w:rPr>
          <w:rFonts w:ascii="仿宋" w:eastAsia="仿宋" w:hint="eastAsia"/>
          <w:color w:val="FF0000"/>
          <w:sz w:val="32"/>
          <w:szCs w:val="32"/>
          <w:highlight w:val="auto"/>
        </w:rPr>
        <w:t>（图2：收入决算结构图）（饼状图）</w:t>
      </w:r>
    </w:p>
    <w:p>
      <w:pPr>
        <w:pStyle w:val="30"/>
        <w:ind w:left="640"/>
        <w:outlineLvl w:val="1"/>
        <w:rPr>
          <w:rStyle w:val="2Char"/>
          <w:rFonts w:ascii="黑体" w:eastAsia="黑体"/>
          <w:b w:val="0"/>
          <w:color w:val="auto"/>
          <w:highlight w:val="auto"/>
        </w:rPr>
      </w:pPr>
      <w:bookmarkStart w:id="22" w:name="_Toc15396605"/>
      <w:bookmarkStart w:id="23" w:name="_Toc15377207"/>
      <w:r>
        <w:rPr>
          <w:rFonts w:ascii="黑体" w:eastAsia="黑体" w:hint="eastAsia"/>
          <w:color w:val="auto"/>
          <w:sz w:val="32"/>
          <w:szCs w:val="32"/>
          <w:lang w:eastAsia="zh-CN"/>
          <w:highlight w:val="auto"/>
        </w:rPr>
        <w:t>三、</w:t>
      </w:r>
      <w:r>
        <w:rPr>
          <w:rFonts w:ascii="黑体" w:eastAsia="黑体" w:hint="eastAsia"/>
          <w:color w:val="auto"/>
          <w:sz w:val="32"/>
          <w:szCs w:val="32"/>
          <w:highlight w:val="auto"/>
        </w:rPr>
        <w:t>支</w:t>
      </w:r>
      <w:r>
        <w:rPr>
          <w:rStyle w:val="2Char"/>
          <w:rFonts w:ascii="黑体" w:eastAsia="黑体" w:hint="eastAsia"/>
          <w:b w:val="0"/>
          <w:color w:val="auto"/>
          <w:highlight w:val="auto"/>
        </w:rPr>
        <w:t>出决算情况说明</w:t>
      </w:r>
      <w:bookmarkEnd w:id="22"/>
      <w:bookmarkEnd w:id="23"/>
    </w:p>
    <w:p>
      <w:pPr>
        <w:ind w:firstLineChars="200" w:firstLine="640"/>
        <w:outlineLvl w:val="1"/>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val="en-US" w:eastAsia="zh-CN"/>
        </w:rPr>
        <w:t>21</w:t>
      </w:r>
      <w:r>
        <w:rPr>
          <w:rFonts w:ascii="仿宋_GB2312" w:eastAsia="仿宋_GB2312" w:cs="仿宋_GB2312" w:hint="eastAsia"/>
          <w:sz w:val="32"/>
          <w:szCs w:val="32"/>
          <w:lang w:eastAsia="zh-CN"/>
        </w:rPr>
        <w:t>年本年支出合计</w:t>
      </w:r>
      <w:r>
        <w:rPr>
          <w:rFonts w:ascii="仿宋_GB2312" w:eastAsia="仿宋_GB2312" w:cs="仿宋_GB2312" w:hint="eastAsia"/>
          <w:sz w:val="32"/>
          <w:szCs w:val="32"/>
          <w:lang w:val="en-US" w:eastAsia="zh-CN"/>
        </w:rPr>
        <w:t>819.55</w:t>
      </w:r>
      <w:r>
        <w:rPr>
          <w:rFonts w:ascii="仿宋_GB2312" w:eastAsia="仿宋_GB2312" w:cs="仿宋_GB2312" w:hint="eastAsia"/>
          <w:sz w:val="32"/>
          <w:szCs w:val="32"/>
          <w:lang w:eastAsia="zh-CN"/>
        </w:rPr>
        <w:t>万元，其中：基本支出</w:t>
      </w:r>
      <w:r>
        <w:rPr>
          <w:rFonts w:ascii="仿宋_GB2312" w:eastAsia="仿宋_GB2312" w:cs="仿宋_GB2312" w:hint="eastAsia"/>
          <w:sz w:val="32"/>
          <w:szCs w:val="32"/>
          <w:lang w:val="en-US" w:eastAsia="zh-CN"/>
        </w:rPr>
        <w:t>47.38</w:t>
      </w:r>
      <w:r>
        <w:rPr>
          <w:rFonts w:ascii="仿宋_GB2312" w:eastAsia="仿宋_GB2312" w:cs="仿宋_GB2312" w:hint="eastAsia"/>
          <w:sz w:val="32"/>
          <w:szCs w:val="32"/>
          <w:lang w:eastAsia="zh-CN"/>
        </w:rPr>
        <w:t>万元，占</w:t>
      </w:r>
      <w:r>
        <w:rPr>
          <w:rFonts w:ascii="仿宋_GB2312" w:eastAsia="仿宋_GB2312" w:cs="仿宋_GB2312" w:hint="eastAsia"/>
          <w:sz w:val="32"/>
          <w:szCs w:val="32"/>
          <w:lang w:val="en-US" w:eastAsia="zh-CN"/>
        </w:rPr>
        <w:t>5.78</w:t>
      </w:r>
      <w:r>
        <w:rPr>
          <w:rFonts w:ascii="仿宋_GB2312" w:eastAsia="仿宋_GB2312" w:cs="仿宋_GB2312" w:hint="eastAsia"/>
          <w:sz w:val="32"/>
          <w:szCs w:val="32"/>
          <w:lang w:eastAsia="zh-CN"/>
        </w:rPr>
        <w:t>%；项目支出</w:t>
      </w:r>
      <w:r>
        <w:rPr>
          <w:rFonts w:ascii="仿宋_GB2312" w:eastAsia="仿宋_GB2312" w:cs="仿宋_GB2312" w:hint="eastAsia"/>
          <w:sz w:val="32"/>
          <w:szCs w:val="32"/>
          <w:lang w:val="en-US" w:eastAsia="zh-CN"/>
        </w:rPr>
        <w:t>772.17</w:t>
      </w:r>
      <w:r>
        <w:rPr>
          <w:rFonts w:ascii="仿宋_GB2312" w:eastAsia="仿宋_GB2312" w:cs="仿宋_GB2312" w:hint="eastAsia"/>
          <w:sz w:val="32"/>
          <w:szCs w:val="32"/>
          <w:lang w:eastAsia="zh-CN"/>
        </w:rPr>
        <w:t>万元，占</w:t>
      </w:r>
      <w:r>
        <w:rPr>
          <w:rFonts w:ascii="仿宋_GB2312" w:eastAsia="仿宋_GB2312" w:cs="仿宋_GB2312" w:hint="eastAsia"/>
          <w:sz w:val="32"/>
          <w:szCs w:val="32"/>
          <w:lang w:val="en-US" w:eastAsia="zh-CN"/>
        </w:rPr>
        <w:t>94.22</w:t>
      </w:r>
      <w:r>
        <w:rPr>
          <w:rFonts w:ascii="仿宋_GB2312" w:eastAsia="仿宋_GB2312" w:cs="仿宋_GB2312" w:hint="eastAsia"/>
          <w:sz w:val="32"/>
          <w:szCs w:val="32"/>
          <w:lang w:eastAsia="zh-CN"/>
        </w:rPr>
        <w:t>%。</w:t>
      </w:r>
    </w:p>
    <w:p>
      <w:pPr>
        <w:ind w:firstLine="640"/>
        <w:jc w:val="center"/>
      </w:pPr>
      <w:r>
        <w:drawing>
          <wp:inline distT="0" distB="0" distL="84455" distR="84455">
            <wp:extent cx="5562600" cy="2894965"/>
            <wp:effectExtent l="0" t="0" r="0" b="0"/>
            <wp:docPr id="9" name="对象"/>
            <wp:cNvGraphicFramePr>
              <a:graphicFrameLocks noChangeAspect="0"/>
            </wp:cNvGraphicFramePr>
            <a:graphic>
              <a:graphicData uri="http://schemas.openxmlformats.org/drawingml/2006/chart">
                <c:chart xmlns:c="http://schemas.openxmlformats.org/drawingml/2006/chart" r:id="rId10"/>
              </a:graphicData>
            </a:graphic>
          </wp:inline>
        </w:drawing>
      </w:r>
    </w:p>
    <w:p>
      <w:pPr>
        <w:ind w:left="0"/>
        <w:jc w:val="center"/>
        <w:rPr>
          <w:rFonts w:ascii="仿宋_GB2312" w:eastAsia="仿宋_GB2312"/>
          <w:color w:val="auto"/>
          <w:sz w:val="32"/>
          <w:szCs w:val="32"/>
          <w:highlight w:val="auto"/>
        </w:rPr>
      </w:pPr>
      <w:r>
        <w:rPr>
          <w:rFonts w:ascii="仿宋" w:eastAsia="仿宋" w:hint="eastAsia"/>
          <w:color w:val="FF0000"/>
          <w:sz w:val="32"/>
          <w:szCs w:val="32"/>
          <w:highlight w:val="auto"/>
        </w:rPr>
        <w:t>（图3：支出决算结构图）（饼状图）</w:t>
      </w:r>
    </w:p>
    <w:p>
      <w:pPr>
        <w:spacing w:line="600" w:lineRule="exact"/>
        <w:ind w:firstLineChars="200" w:firstLine="640"/>
        <w:outlineLvl w:val="1"/>
        <w:rPr>
          <w:rStyle w:val="2Char"/>
          <w:rFonts w:ascii="黑体" w:eastAsia="黑体"/>
          <w:b w:val="0"/>
          <w:color w:val="auto"/>
          <w:highlight w:val="auto"/>
        </w:rPr>
      </w:pPr>
      <w:bookmarkStart w:id="24" w:name="_Toc15396606"/>
      <w:bookmarkStart w:id="25" w:name="_Toc15377208"/>
      <w:r>
        <w:rPr>
          <w:rFonts w:ascii="黑体" w:eastAsia="黑体" w:hint="eastAsia"/>
          <w:color w:val="auto"/>
          <w:sz w:val="32"/>
          <w:szCs w:val="32"/>
          <w:highlight w:val="auto"/>
        </w:rPr>
        <w:t>四、财</w:t>
      </w:r>
      <w:r>
        <w:rPr>
          <w:rStyle w:val="2Char"/>
          <w:rFonts w:ascii="黑体" w:eastAsia="黑体" w:hint="eastAsia"/>
          <w:b w:val="0"/>
          <w:color w:val="auto"/>
          <w:highlight w:val="auto"/>
        </w:rPr>
        <w:t>政拨款收入支出决算总体情况说明</w:t>
      </w:r>
      <w:bookmarkEnd w:id="24"/>
      <w:bookmarkEnd w:id="25"/>
    </w:p>
    <w:p>
      <w:pPr>
        <w:ind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val="en-US" w:eastAsia="zh-CN"/>
        </w:rPr>
        <w:t>21</w:t>
      </w:r>
      <w:r>
        <w:rPr>
          <w:rFonts w:ascii="仿宋_GB2312" w:eastAsia="仿宋_GB2312" w:cs="仿宋_GB2312" w:hint="eastAsia"/>
          <w:sz w:val="32"/>
          <w:szCs w:val="32"/>
          <w:lang w:eastAsia="zh-CN"/>
        </w:rPr>
        <w:t>年财政拨款收、支总计</w:t>
      </w:r>
      <w:r>
        <w:rPr>
          <w:rFonts w:ascii="仿宋_GB2312" w:eastAsia="仿宋_GB2312" w:cs="仿宋_GB2312" w:hint="eastAsia"/>
          <w:sz w:val="32"/>
          <w:szCs w:val="32"/>
          <w:lang w:val="en-US" w:eastAsia="zh-CN"/>
        </w:rPr>
        <w:t>965.78</w:t>
      </w:r>
      <w:r>
        <w:rPr>
          <w:rFonts w:ascii="仿宋_GB2312" w:eastAsia="仿宋_GB2312" w:cs="仿宋_GB2312" w:hint="eastAsia"/>
          <w:sz w:val="32"/>
          <w:szCs w:val="32"/>
          <w:lang w:eastAsia="zh-CN"/>
        </w:rPr>
        <w:t>万元。与20</w:t>
      </w:r>
      <w:r>
        <w:rPr>
          <w:rFonts w:ascii="仿宋_GB2312" w:eastAsia="仿宋_GB2312" w:cs="仿宋_GB2312" w:hint="eastAsia"/>
          <w:sz w:val="32"/>
          <w:szCs w:val="32"/>
          <w:lang w:val="en-US" w:eastAsia="zh-CN"/>
        </w:rPr>
        <w:t>20</w:t>
      </w:r>
      <w:r>
        <w:rPr>
          <w:rFonts w:ascii="仿宋_GB2312" w:eastAsia="仿宋_GB2312" w:cs="仿宋_GB2312" w:hint="eastAsia"/>
          <w:sz w:val="32"/>
          <w:szCs w:val="32"/>
          <w:lang w:eastAsia="zh-CN"/>
        </w:rPr>
        <w:t>年</w:t>
      </w:r>
      <w:r>
        <w:rPr>
          <w:rFonts w:ascii="仿宋_GB2312" w:eastAsia="仿宋_GB2312" w:cs="仿宋_GB2312" w:hint="eastAsia"/>
          <w:sz w:val="32"/>
          <w:szCs w:val="32"/>
          <w:lang w:val="en-US" w:eastAsia="zh-CN"/>
        </w:rPr>
        <w:t>313.31万元</w:t>
      </w:r>
      <w:r>
        <w:rPr>
          <w:rFonts w:ascii="仿宋_GB2312" w:eastAsia="仿宋_GB2312" w:cs="仿宋_GB2312" w:hint="eastAsia"/>
          <w:sz w:val="32"/>
          <w:szCs w:val="32"/>
          <w:lang w:eastAsia="zh-CN"/>
        </w:rPr>
        <w:t>相比，财政拨款收、支总计各增加</w:t>
      </w:r>
      <w:r>
        <w:rPr>
          <w:rFonts w:ascii="仿宋_GB2312" w:eastAsia="仿宋_GB2312" w:cs="仿宋_GB2312" w:hint="eastAsia"/>
          <w:sz w:val="32"/>
          <w:szCs w:val="32"/>
          <w:lang w:val="en-US" w:eastAsia="zh-CN"/>
        </w:rPr>
        <w:t>652.47</w:t>
      </w:r>
      <w:r>
        <w:rPr>
          <w:rFonts w:ascii="仿宋_GB2312" w:eastAsia="仿宋_GB2312" w:cs="仿宋_GB2312" w:hint="eastAsia"/>
          <w:sz w:val="32"/>
          <w:szCs w:val="32"/>
          <w:lang w:eastAsia="zh-CN"/>
        </w:rPr>
        <w:t>万元，增长</w:t>
      </w:r>
      <w:r>
        <w:rPr>
          <w:rFonts w:ascii="仿宋_GB2312" w:eastAsia="仿宋_GB2312" w:cs="仿宋_GB2312" w:hint="eastAsia"/>
          <w:sz w:val="32"/>
          <w:szCs w:val="32"/>
          <w:lang w:val="en-US" w:eastAsia="zh-CN"/>
        </w:rPr>
        <w:t>208</w:t>
      </w:r>
      <w:r>
        <w:rPr>
          <w:rFonts w:ascii="仿宋_GB2312" w:eastAsia="仿宋_GB2312" w:cs="仿宋_GB2312" w:hint="eastAsia"/>
          <w:sz w:val="32"/>
          <w:szCs w:val="32"/>
          <w:lang w:eastAsia="zh-CN"/>
        </w:rPr>
        <w:t>%。主要变动原因是</w:t>
      </w:r>
      <w:r>
        <w:rPr>
          <w:rFonts w:ascii="仿宋_GB2312" w:eastAsia="仿宋_GB2312" w:cs="仿宋_GB2312" w:hint="eastAsia"/>
          <w:sz w:val="32"/>
          <w:szCs w:val="32"/>
          <w:lang w:val="en-US" w:eastAsia="zh-CN"/>
        </w:rPr>
        <w:t>2021年市烈士陵园陈列馆综合楼展陈布展项目（陈列馆）作为2021年全省30件民生实事（对21处烈士纪念设施进行修缮改造），下达省级、市级专项资金</w:t>
      </w:r>
      <w:r>
        <w:rPr>
          <w:rFonts w:ascii="仿宋_GB2312" w:eastAsia="仿宋_GB2312" w:cs="仿宋_GB2312"/>
          <w:sz w:val="32"/>
          <w:szCs w:val="32"/>
          <w:lang w:val="en-US" w:eastAsia="zh-CN"/>
        </w:rPr>
        <w:t>690.36</w:t>
      </w:r>
      <w:r>
        <w:rPr>
          <w:rFonts w:ascii="仿宋_GB2312" w:eastAsia="仿宋_GB2312" w:cs="仿宋_GB2312" w:hint="eastAsia"/>
          <w:sz w:val="32"/>
          <w:szCs w:val="32"/>
          <w:lang w:val="en-US" w:eastAsia="zh-CN"/>
        </w:rPr>
        <w:t>万元，专项用于烈士纪念设施维修改造、设备购置、环境整治、陈展宣传等支出。</w:t>
      </w:r>
    </w:p>
    <w:p>
      <w:pPr>
        <w:jc w:val="center"/>
      </w:pPr>
      <w:r>
        <w:drawing>
          <wp:inline distT="0" distB="0" distL="84455" distR="84455">
            <wp:extent cx="4809490" cy="2713990"/>
            <wp:effectExtent l="0" t="0" r="0" b="0"/>
            <wp:docPr id="10" name="对象"/>
            <wp:cNvGraphicFramePr>
              <a:graphicFrameLocks noChangeAspect="0"/>
            </wp:cNvGraphicFramePr>
            <a:graphic>
              <a:graphicData uri="http://schemas.openxmlformats.org/drawingml/2006/chart">
                <c:chart xmlns:c="http://schemas.openxmlformats.org/drawingml/2006/chart" r:id="rId11"/>
              </a:graphicData>
            </a:graphic>
          </wp:inline>
        </w:drawing>
      </w:r>
    </w:p>
    <w:p>
      <w:pPr>
        <w:ind w:left="0"/>
        <w:jc w:val="center"/>
        <w:rPr>
          <w:rFonts w:ascii="仿宋" w:eastAsia="仿宋"/>
          <w:b/>
          <w:color w:val="auto"/>
          <w:sz w:val="32"/>
          <w:szCs w:val="32"/>
          <w:highlight w:val="auto"/>
        </w:rPr>
      </w:pPr>
      <w:r>
        <w:rPr>
          <w:rFonts w:ascii="仿宋" w:eastAsia="仿宋" w:hint="eastAsia"/>
          <w:color w:val="FF0000"/>
          <w:sz w:val="32"/>
          <w:szCs w:val="32"/>
          <w:highlight w:val="auto"/>
        </w:rPr>
        <w:t>（图4：财政拨款收、支决算总计变动情况）（柱状图）</w:t>
      </w:r>
    </w:p>
    <w:p>
      <w:pPr>
        <w:spacing w:line="600" w:lineRule="exact"/>
        <w:ind w:firstLineChars="200" w:firstLine="640"/>
        <w:outlineLvl w:val="1"/>
        <w:rPr>
          <w:rStyle w:val="2Char"/>
          <w:rFonts w:ascii="黑体" w:eastAsia="黑体"/>
          <w:b w:val="0"/>
          <w:color w:val="auto"/>
          <w:highlight w:val="auto"/>
        </w:rPr>
      </w:pPr>
      <w:bookmarkStart w:id="26" w:name="_Toc15396607"/>
      <w:bookmarkStart w:id="27" w:name="_Toc15377209"/>
      <w:r>
        <w:rPr>
          <w:rFonts w:ascii="黑体" w:eastAsia="黑体" w:hint="eastAsia"/>
          <w:color w:val="auto"/>
          <w:sz w:val="32"/>
          <w:szCs w:val="32"/>
          <w:highlight w:val="auto"/>
        </w:rPr>
        <w:t>五、</w:t>
      </w:r>
      <w:r>
        <w:rPr>
          <w:rFonts w:ascii="黑体" w:eastAsia="黑体" w:hint="eastAsia"/>
          <w:b/>
          <w:color w:val="auto"/>
          <w:sz w:val="32"/>
          <w:szCs w:val="32"/>
          <w:highlight w:val="auto"/>
        </w:rPr>
        <w:t>一</w:t>
      </w:r>
      <w:r>
        <w:rPr>
          <w:rStyle w:val="2Char"/>
          <w:rFonts w:ascii="黑体" w:eastAsia="黑体" w:hint="eastAsia"/>
          <w:b w:val="0"/>
          <w:color w:val="auto"/>
          <w:highlight w:val="auto"/>
        </w:rPr>
        <w:t>般公共预算财政拨款支出决算情况说明</w:t>
      </w:r>
      <w:bookmarkEnd w:id="26"/>
      <w:bookmarkEnd w:id="27"/>
    </w:p>
    <w:p>
      <w:pPr>
        <w:spacing w:line="600" w:lineRule="exact"/>
        <w:ind w:firstLineChars="200" w:firstLine="640"/>
        <w:outlineLvl w:val="2"/>
        <w:rPr>
          <w:rFonts w:ascii="仿宋" w:eastAsia="仿宋"/>
          <w:b/>
          <w:color w:val="auto"/>
          <w:sz w:val="32"/>
          <w:szCs w:val="32"/>
          <w:highlight w:val="auto"/>
        </w:rPr>
      </w:pPr>
      <w:bookmarkStart w:id="28" w:name="_Toc15377210"/>
      <w:r>
        <w:rPr>
          <w:rFonts w:ascii="仿宋" w:eastAsia="仿宋" w:hint="eastAsia"/>
          <w:b/>
          <w:color w:val="auto"/>
          <w:sz w:val="32"/>
          <w:szCs w:val="32"/>
          <w:highlight w:val="auto"/>
        </w:rPr>
        <w:t>（一）一般公共预算财政拨款支出决算总体情况</w:t>
      </w:r>
      <w:bookmarkEnd w:id="28"/>
    </w:p>
    <w:p>
      <w:pPr>
        <w:ind w:firstLine="640"/>
        <w:rPr>
          <w:rFonts w:ascii="仿宋" w:eastAsia="仿宋"/>
          <w:color w:val="auto"/>
          <w:sz w:val="32"/>
          <w:szCs w:val="32"/>
          <w:lang w:val="en-US" w:eastAsia="zh-CN"/>
          <w:highlight w:val="auto"/>
        </w:rPr>
      </w:pPr>
      <w:r>
        <w:rPr>
          <w:rFonts w:ascii="仿宋_GB2312" w:eastAsia="仿宋_GB2312" w:cs="仿宋_GB2312" w:hint="eastAsia"/>
          <w:sz w:val="32"/>
          <w:szCs w:val="32"/>
          <w:lang w:eastAsia="zh-CN"/>
        </w:rPr>
        <w:t>20</w:t>
      </w:r>
      <w:r>
        <w:rPr>
          <w:rFonts w:ascii="仿宋_GB2312" w:eastAsia="仿宋_GB2312" w:cs="仿宋_GB2312" w:hint="eastAsia"/>
          <w:sz w:val="32"/>
          <w:szCs w:val="32"/>
          <w:lang w:val="en-US" w:eastAsia="zh-CN"/>
        </w:rPr>
        <w:t>21</w:t>
      </w:r>
      <w:r>
        <w:rPr>
          <w:rFonts w:ascii="仿宋_GB2312" w:eastAsia="仿宋_GB2312" w:cs="仿宋_GB2312" w:hint="eastAsia"/>
          <w:sz w:val="32"/>
          <w:szCs w:val="32"/>
          <w:lang w:eastAsia="zh-CN"/>
        </w:rPr>
        <w:t>年一般公共预算财政拨款支出</w:t>
      </w:r>
      <w:r>
        <w:rPr>
          <w:rFonts w:ascii="仿宋_GB2312" w:eastAsia="仿宋_GB2312" w:cs="仿宋_GB2312" w:hint="eastAsia"/>
          <w:sz w:val="32"/>
          <w:szCs w:val="32"/>
          <w:lang w:val="en-US" w:eastAsia="zh-CN"/>
        </w:rPr>
        <w:t>549.55</w:t>
      </w:r>
      <w:r>
        <w:rPr>
          <w:rFonts w:ascii="仿宋_GB2312" w:eastAsia="仿宋_GB2312" w:cs="仿宋_GB2312" w:hint="eastAsia"/>
          <w:sz w:val="32"/>
          <w:szCs w:val="32"/>
          <w:lang w:eastAsia="zh-CN"/>
        </w:rPr>
        <w:t>万元，占本年支出合计的</w:t>
      </w:r>
      <w:r>
        <w:rPr>
          <w:rFonts w:ascii="仿宋_GB2312" w:eastAsia="仿宋_GB2312" w:cs="仿宋_GB2312"/>
          <w:sz w:val="32"/>
          <w:szCs w:val="32"/>
          <w:lang w:val="en-US" w:eastAsia="zh-CN"/>
        </w:rPr>
        <w:t>67.06</w:t>
      </w:r>
      <w:r>
        <w:rPr>
          <w:rFonts w:ascii="仿宋_GB2312" w:eastAsia="仿宋_GB2312" w:cs="仿宋_GB2312" w:hint="eastAsia"/>
          <w:sz w:val="32"/>
          <w:szCs w:val="32"/>
          <w:lang w:eastAsia="zh-CN"/>
        </w:rPr>
        <w:t>%。与20</w:t>
      </w:r>
      <w:r>
        <w:rPr>
          <w:rFonts w:ascii="仿宋_GB2312" w:eastAsia="仿宋_GB2312" w:cs="仿宋_GB2312" w:hint="eastAsia"/>
          <w:sz w:val="32"/>
          <w:szCs w:val="32"/>
          <w:lang w:val="en-US" w:eastAsia="zh-CN"/>
        </w:rPr>
        <w:t>20</w:t>
      </w:r>
      <w:r>
        <w:rPr>
          <w:rFonts w:ascii="仿宋_GB2312" w:eastAsia="仿宋_GB2312" w:cs="仿宋_GB2312" w:hint="eastAsia"/>
          <w:sz w:val="32"/>
          <w:szCs w:val="32"/>
          <w:lang w:eastAsia="zh-CN"/>
        </w:rPr>
        <w:t>年</w:t>
      </w:r>
      <w:r>
        <w:rPr>
          <w:rFonts w:ascii="仿宋_GB2312" w:eastAsia="仿宋_GB2312" w:cs="仿宋_GB2312" w:hint="eastAsia"/>
          <w:sz w:val="32"/>
          <w:szCs w:val="32"/>
          <w:lang w:val="en-US" w:eastAsia="zh-CN"/>
        </w:rPr>
        <w:t>85.27万元</w:t>
      </w:r>
      <w:r>
        <w:rPr>
          <w:rFonts w:ascii="仿宋_GB2312" w:eastAsia="仿宋_GB2312" w:cs="仿宋_GB2312" w:hint="eastAsia"/>
          <w:sz w:val="32"/>
          <w:szCs w:val="32"/>
          <w:lang w:eastAsia="zh-CN"/>
        </w:rPr>
        <w:t>相比，一般公共预算财政拨款支出增加</w:t>
      </w:r>
      <w:r>
        <w:rPr>
          <w:rFonts w:ascii="仿宋_GB2312" w:eastAsia="仿宋_GB2312" w:cs="仿宋_GB2312" w:hint="eastAsia"/>
          <w:sz w:val="32"/>
          <w:szCs w:val="32"/>
          <w:lang w:val="en-US" w:eastAsia="zh-CN"/>
        </w:rPr>
        <w:t>464.28</w:t>
      </w:r>
      <w:r>
        <w:rPr>
          <w:rFonts w:ascii="仿宋_GB2312" w:eastAsia="仿宋_GB2312" w:cs="仿宋_GB2312" w:hint="eastAsia"/>
          <w:sz w:val="32"/>
          <w:szCs w:val="32"/>
          <w:lang w:eastAsia="zh-CN"/>
        </w:rPr>
        <w:t>万元，增长</w:t>
      </w:r>
      <w:r>
        <w:rPr>
          <w:rFonts w:ascii="仿宋_GB2312" w:eastAsia="仿宋_GB2312" w:cs="仿宋_GB2312" w:hint="eastAsia"/>
          <w:sz w:val="32"/>
          <w:szCs w:val="32"/>
          <w:lang w:val="en-US" w:eastAsia="zh-CN"/>
        </w:rPr>
        <w:t>544</w:t>
      </w:r>
      <w:r>
        <w:rPr>
          <w:rFonts w:ascii="仿宋_GB2312" w:eastAsia="仿宋_GB2312" w:cs="仿宋_GB2312" w:hint="eastAsia"/>
          <w:sz w:val="32"/>
          <w:szCs w:val="32"/>
          <w:lang w:eastAsia="zh-CN"/>
        </w:rPr>
        <w:t>%。主要变动原因是</w:t>
      </w:r>
      <w:r>
        <w:rPr>
          <w:rFonts w:ascii="仿宋_GB2312" w:eastAsia="仿宋_GB2312" w:cs="仿宋_GB2312" w:hint="eastAsia"/>
          <w:sz w:val="32"/>
          <w:szCs w:val="32"/>
          <w:lang w:val="en-US" w:eastAsia="zh-CN"/>
        </w:rPr>
        <w:t>2021年市烈士陵园陈列馆综合楼展陈布展项目（陈列馆）作为2021年全省30件民生实事（对21处烈士纪念设施进行修缮改造），于2021年12月竣工验收，按合同约定支付款项306.10万元；支付LED显示屏监控项目和屋面防水改造及地下管网维修项目等合同款；同时，随着烈士陵园的不断发展，宣传、祭扫、政府购买服务等经费相较2020年增加。</w:t>
      </w:r>
    </w:p>
    <w:p>
      <w:pPr>
        <w:ind w:firstLineChars="200" w:firstLine="420"/>
        <w:jc w:val="center"/>
      </w:pPr>
      <w:r>
        <w:drawing>
          <wp:inline distT="0" distB="0" distL="84455" distR="84455">
            <wp:extent cx="4809490" cy="2713990"/>
            <wp:effectExtent l="0" t="0" r="0" b="0"/>
            <wp:docPr id="11" name="对象"/>
            <wp:cNvGraphicFramePr>
              <a:graphicFrameLocks noChangeAspect="0"/>
            </wp:cNvGraphicFramePr>
            <a:graphic>
              <a:graphicData uri="http://schemas.openxmlformats.org/drawingml/2006/chart">
                <c:chart xmlns:c="http://schemas.openxmlformats.org/drawingml/2006/chart" r:id="rId12"/>
              </a:graphicData>
            </a:graphic>
          </wp:inline>
        </w:drawing>
      </w:r>
    </w:p>
    <w:p>
      <w:pPr>
        <w:ind w:left="0"/>
        <w:jc w:val="center"/>
        <w:rPr>
          <w:rFonts w:ascii="仿宋" w:eastAsia="仿宋"/>
          <w:color w:val="auto"/>
          <w:sz w:val="32"/>
          <w:szCs w:val="32"/>
          <w:highlight w:val="auto"/>
        </w:rPr>
      </w:pPr>
      <w:r>
        <w:rPr>
          <w:rFonts w:ascii="仿宋" w:eastAsia="仿宋" w:hint="eastAsia"/>
          <w:color w:val="FF0000"/>
          <w:sz w:val="32"/>
          <w:szCs w:val="32"/>
          <w:highlight w:val="auto"/>
        </w:rPr>
        <w:t>（图5：一般公共预算财政拨款支出决算变动情况）（柱状图）</w:t>
      </w:r>
    </w:p>
    <w:p>
      <w:pPr>
        <w:spacing w:line="600" w:lineRule="exact"/>
        <w:ind w:firstLineChars="200" w:firstLine="640"/>
        <w:outlineLvl w:val="2"/>
        <w:rPr>
          <w:rFonts w:ascii="仿宋" w:eastAsia="仿宋"/>
          <w:b/>
          <w:color w:val="auto"/>
          <w:sz w:val="32"/>
          <w:szCs w:val="32"/>
          <w:highlight w:val="auto"/>
        </w:rPr>
      </w:pPr>
      <w:bookmarkStart w:id="29" w:name="_Toc15377211"/>
      <w:r>
        <w:rPr>
          <w:rFonts w:ascii="仿宋" w:eastAsia="仿宋" w:hint="eastAsia"/>
          <w:b/>
          <w:color w:val="auto"/>
          <w:sz w:val="32"/>
          <w:szCs w:val="32"/>
          <w:highlight w:val="auto"/>
        </w:rPr>
        <w:t>（二）一般公共预算财政拨款支出决算结构情况</w:t>
      </w:r>
      <w:bookmarkEnd w:id="29"/>
    </w:p>
    <w:p>
      <w:pPr>
        <w:ind w:firstLine="640"/>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2021年一般公共预算财政拨款支出549.55万元，主要用于以下方面:</w:t>
      </w:r>
      <w:r>
        <w:rPr>
          <w:rFonts w:ascii="仿宋" w:eastAsia="仿宋" w:hint="eastAsia"/>
          <w:b w:val="0"/>
          <w:bCs w:val="0"/>
          <w:color w:val="auto"/>
          <w:sz w:val="32"/>
          <w:szCs w:val="32"/>
          <w:highlight w:val="auto"/>
        </w:rPr>
        <w:t>社会保障和就业（类）</w:t>
      </w:r>
      <w:r>
        <w:rPr>
          <w:rFonts w:ascii="仿宋_GB2312" w:eastAsia="仿宋_GB2312" w:cs="仿宋_GB2312" w:hint="eastAsia"/>
          <w:b w:val="0"/>
          <w:bCs w:val="0"/>
          <w:sz w:val="32"/>
          <w:szCs w:val="32"/>
          <w:lang w:val="en-US" w:eastAsia="zh-CN"/>
        </w:rPr>
        <w:t>支出542.51万元，占98.72%；</w:t>
      </w:r>
      <w:r>
        <w:rPr>
          <w:rFonts w:ascii="仿宋" w:eastAsia="仿宋" w:cs="仿宋_GB2312" w:hint="eastAsia"/>
          <w:b w:val="0"/>
          <w:bCs w:val="0"/>
          <w:sz w:val="32"/>
          <w:szCs w:val="32"/>
          <w:lang w:val="en-US" w:eastAsia="zh-CN"/>
        </w:rPr>
        <w:t>卫生健康支出</w:t>
      </w:r>
      <w:r>
        <w:rPr>
          <w:rFonts w:ascii="仿宋_GB2312" w:eastAsia="仿宋_GB2312" w:cs="仿宋_GB2312" w:hint="eastAsia"/>
          <w:b w:val="0"/>
          <w:bCs w:val="0"/>
          <w:sz w:val="32"/>
          <w:szCs w:val="32"/>
          <w:lang w:val="en-US" w:eastAsia="zh-CN"/>
        </w:rPr>
        <w:t>2.18万元，占0.4%；</w:t>
      </w:r>
      <w:r>
        <w:rPr>
          <w:rFonts w:ascii="仿宋" w:eastAsia="仿宋" w:cs="仿宋_GB2312" w:hint="eastAsia"/>
          <w:b w:val="0"/>
          <w:bCs w:val="0"/>
          <w:sz w:val="32"/>
          <w:szCs w:val="32"/>
          <w:lang w:val="en-US" w:eastAsia="zh-CN"/>
        </w:rPr>
        <w:t>住房保障支出</w:t>
      </w:r>
      <w:r>
        <w:rPr>
          <w:rFonts w:ascii="仿宋_GB2312" w:eastAsia="仿宋_GB2312" w:cs="仿宋_GB2312" w:hint="eastAsia"/>
          <w:b w:val="0"/>
          <w:bCs w:val="0"/>
          <w:sz w:val="32"/>
          <w:szCs w:val="32"/>
          <w:lang w:val="en-US" w:eastAsia="zh-CN"/>
        </w:rPr>
        <w:t>4.86万元，占0.88%。</w:t>
      </w:r>
    </w:p>
    <w:p>
      <w:pPr>
        <w:ind w:firstLine="640"/>
        <w:jc w:val="center"/>
      </w:pPr>
      <w:r>
        <w:drawing>
          <wp:inline distT="0" distB="0" distL="84455" distR="84455">
            <wp:extent cx="4809490" cy="3437890"/>
            <wp:effectExtent l="0" t="0" r="0" b="0"/>
            <wp:docPr id="12" name="对象"/>
            <wp:cNvGraphicFramePr>
              <a:graphicFrameLocks noChangeAspect="0"/>
            </wp:cNvGraphicFramePr>
            <a:graphic>
              <a:graphicData uri="http://schemas.openxmlformats.org/drawingml/2006/chart">
                <c:chart xmlns:c="http://schemas.openxmlformats.org/drawingml/2006/chart" r:id="rId13"/>
              </a:graphicData>
            </a:graphic>
          </wp:inline>
        </w:drawing>
      </w:r>
    </w:p>
    <w:p>
      <w:pPr>
        <w:ind w:left="0"/>
        <w:jc w:val="center"/>
        <w:rPr>
          <w:rFonts w:ascii="仿宋" w:eastAsia="仿宋"/>
          <w:color w:val="auto"/>
          <w:sz w:val="32"/>
          <w:szCs w:val="32"/>
          <w:highlight w:val="auto"/>
        </w:rPr>
      </w:pPr>
      <w:r>
        <w:rPr>
          <w:rFonts w:ascii="仿宋" w:eastAsia="仿宋" w:hint="eastAsia"/>
          <w:color w:val="FF0000"/>
          <w:sz w:val="32"/>
          <w:szCs w:val="32"/>
          <w:highlight w:val="auto"/>
        </w:rPr>
        <w:t>（图6：一般公共预算财政拨款支出决算结构）（饼状图）</w:t>
      </w:r>
    </w:p>
    <w:p>
      <w:pPr>
        <w:spacing w:line="600" w:lineRule="exact"/>
        <w:ind w:firstLineChars="200" w:firstLine="640"/>
        <w:outlineLvl w:val="2"/>
        <w:rPr>
          <w:rFonts w:ascii="仿宋" w:eastAsia="仿宋"/>
          <w:b/>
          <w:color w:val="auto"/>
          <w:sz w:val="32"/>
          <w:szCs w:val="32"/>
          <w:highlight w:val="auto"/>
        </w:rPr>
      </w:pPr>
      <w:bookmarkStart w:id="30" w:name="_Toc15377212"/>
      <w:r>
        <w:rPr>
          <w:rFonts w:ascii="仿宋" w:eastAsia="仿宋" w:hint="eastAsia"/>
          <w:b/>
          <w:color w:val="auto"/>
          <w:sz w:val="32"/>
          <w:szCs w:val="32"/>
          <w:highlight w:val="auto"/>
        </w:rPr>
        <w:t>（三）一般公共预算财政拨款支出决算具体情况</w:t>
      </w:r>
      <w:bookmarkEnd w:id="30"/>
    </w:p>
    <w:p>
      <w:pPr>
        <w:spacing w:line="600" w:lineRule="exact"/>
        <w:ind w:firstLineChars="200" w:firstLine="640"/>
        <w:outlineLvl w:val="2"/>
        <w:rPr>
          <w:rFonts w:ascii="仿宋" w:eastAsia="仿宋"/>
          <w:b w:val="0"/>
          <w:bCs/>
          <w:color w:val="auto"/>
          <w:sz w:val="32"/>
          <w:szCs w:val="32"/>
          <w:highlight w:val="auto"/>
        </w:rPr>
      </w:pPr>
      <w:bookmarkStart w:id="31" w:name="_Toc15377444"/>
      <w:bookmarkStart w:id="32" w:name="_Toc15377213"/>
      <w:bookmarkStart w:id="33" w:name="_Toc15378460"/>
      <w:r>
        <w:rPr>
          <w:rFonts w:ascii="仿宋" w:eastAsia="仿宋" w:hint="eastAsia"/>
          <w:b w:val="0"/>
          <w:bCs/>
          <w:color w:val="auto"/>
          <w:sz w:val="32"/>
          <w:szCs w:val="32"/>
          <w:highlight w:val="auto"/>
        </w:rPr>
        <w:t>20</w:t>
      </w:r>
      <w:r>
        <w:rPr>
          <w:rFonts w:ascii="仿宋" w:eastAsia="仿宋" w:hint="eastAsia"/>
          <w:b w:val="0"/>
          <w:bCs/>
          <w:color w:val="auto"/>
          <w:sz w:val="32"/>
          <w:szCs w:val="32"/>
          <w:lang w:val="en-US" w:eastAsia="zh-CN"/>
          <w:highlight w:val="auto"/>
        </w:rPr>
        <w:t>21</w:t>
      </w:r>
      <w:r>
        <w:rPr>
          <w:rFonts w:ascii="仿宋" w:eastAsia="仿宋" w:hint="eastAsia"/>
          <w:b w:val="0"/>
          <w:bCs/>
          <w:color w:val="auto"/>
          <w:sz w:val="32"/>
          <w:szCs w:val="32"/>
          <w:highlight w:val="auto"/>
        </w:rPr>
        <w:t>年</w:t>
      </w:r>
      <w:r>
        <w:rPr>
          <w:rFonts w:ascii="仿宋" w:eastAsia="仿宋" w:hint="eastAsia"/>
          <w:b w:val="0"/>
          <w:bCs/>
          <w:color w:val="auto"/>
          <w:sz w:val="32"/>
          <w:szCs w:val="32"/>
          <w:lang w:eastAsia="zh-CN"/>
          <w:highlight w:val="auto"/>
        </w:rPr>
        <w:t>一</w:t>
      </w:r>
      <w:r>
        <w:rPr>
          <w:rFonts w:ascii="仿宋" w:eastAsia="仿宋" w:hint="eastAsia"/>
          <w:b w:val="0"/>
          <w:bCs/>
          <w:color w:val="auto"/>
          <w:sz w:val="32"/>
          <w:szCs w:val="32"/>
          <w:highlight w:val="auto"/>
        </w:rPr>
        <w:t>般公共预算支出决算数为</w:t>
      </w:r>
      <w:r>
        <w:rPr>
          <w:rFonts w:ascii="仿宋" w:eastAsia="仿宋" w:hint="eastAsia"/>
          <w:b w:val="0"/>
          <w:bCs/>
          <w:color w:val="auto"/>
          <w:sz w:val="32"/>
          <w:szCs w:val="32"/>
          <w:lang w:val="en-US" w:eastAsia="zh-CN"/>
          <w:highlight w:val="auto"/>
        </w:rPr>
        <w:t>549.55</w:t>
      </w:r>
      <w:r>
        <w:rPr>
          <w:rFonts w:ascii="仿宋" w:eastAsia="仿宋"/>
          <w:b w:val="0"/>
          <w:bCs/>
          <w:color w:val="auto"/>
          <w:sz w:val="32"/>
          <w:szCs w:val="32"/>
          <w:lang w:val="en-US" w:eastAsia="zh-CN"/>
          <w:highlight w:val="auto"/>
        </w:rPr>
        <w:t>万元</w:t>
      </w:r>
      <w:r>
        <w:rPr>
          <w:rFonts w:ascii="仿宋" w:eastAsia="仿宋" w:hint="eastAsia"/>
          <w:b w:val="0"/>
          <w:bCs/>
          <w:color w:val="auto"/>
          <w:sz w:val="32"/>
          <w:szCs w:val="32"/>
          <w:highlight w:val="auto"/>
        </w:rPr>
        <w:t>，</w:t>
      </w:r>
      <w:r>
        <w:rPr>
          <w:rStyle w:val="24"/>
          <w:rFonts w:ascii="仿宋" w:eastAsia="仿宋" w:hint="eastAsia"/>
          <w:b w:val="0"/>
          <w:bCs/>
          <w:color w:val="auto"/>
          <w:sz w:val="32"/>
          <w:szCs w:val="32"/>
          <w:highlight w:val="auto"/>
        </w:rPr>
        <w:t>完成预算</w:t>
      </w:r>
      <w:r>
        <w:rPr>
          <w:rStyle w:val="24"/>
          <w:rFonts w:ascii="仿宋" w:eastAsia="仿宋" w:hint="eastAsia"/>
          <w:b w:val="0"/>
          <w:bCs/>
          <w:color w:val="auto"/>
          <w:sz w:val="32"/>
          <w:szCs w:val="32"/>
          <w:lang w:val="en-US" w:eastAsia="zh-CN"/>
          <w:highlight w:val="auto"/>
        </w:rPr>
        <w:t>78.98</w:t>
      </w:r>
      <w:r>
        <w:rPr>
          <w:rStyle w:val="24"/>
          <w:rFonts w:ascii="仿宋" w:eastAsia="仿宋"/>
          <w:b w:val="0"/>
          <w:bCs/>
          <w:color w:val="auto"/>
          <w:sz w:val="32"/>
          <w:szCs w:val="32"/>
          <w:highlight w:val="auto"/>
        </w:rPr>
        <w:t>%</w:t>
      </w:r>
      <w:r>
        <w:rPr>
          <w:rStyle w:val="24"/>
          <w:rFonts w:ascii="仿宋" w:eastAsia="仿宋" w:hint="eastAsia"/>
          <w:b w:val="0"/>
          <w:bCs/>
          <w:color w:val="auto"/>
          <w:sz w:val="32"/>
          <w:szCs w:val="32"/>
          <w:highlight w:val="auto"/>
        </w:rPr>
        <w:t>。其中：</w:t>
      </w:r>
      <w:bookmarkEnd w:id="31"/>
      <w:bookmarkEnd w:id="32"/>
      <w:bookmarkEnd w:id="33"/>
    </w:p>
    <w:p>
      <w:pPr>
        <w:spacing w:line="600" w:lineRule="exact"/>
        <w:ind w:left="0" w:firstLineChars="200" w:firstLine="640"/>
        <w:rPr>
          <w:rFonts w:ascii="仿宋_GB2312" w:eastAsia="仿宋_GB2312" w:cs="仿宋_GB2312" w:hint="eastAsia"/>
          <w:b w:val="0"/>
          <w:bCs/>
          <w:sz w:val="32"/>
          <w:szCs w:val="32"/>
          <w:lang w:val="en-US" w:eastAsia="zh-CN"/>
        </w:rPr>
      </w:pPr>
      <w:r>
        <w:rPr>
          <w:rStyle w:val="24"/>
          <w:rFonts w:ascii="仿宋" w:eastAsia="仿宋"/>
          <w:b w:val="0"/>
          <w:bCs/>
          <w:color w:val="auto"/>
          <w:sz w:val="32"/>
          <w:szCs w:val="32"/>
          <w:highlight w:val="auto"/>
        </w:rPr>
        <w:t>1.</w:t>
      </w:r>
      <w:r>
        <w:rPr>
          <w:rStyle w:val="24"/>
          <w:rFonts w:ascii="仿宋" w:eastAsia="仿宋" w:hint="eastAsia"/>
          <w:b w:val="0"/>
          <w:bCs/>
          <w:color w:val="auto"/>
          <w:sz w:val="32"/>
          <w:szCs w:val="32"/>
          <w:highlight w:val="auto"/>
        </w:rPr>
        <w:t>社会保障和就业（类）</w:t>
      </w:r>
      <w:r>
        <w:rPr>
          <w:rStyle w:val="24"/>
          <w:rFonts w:ascii="仿宋" w:eastAsia="仿宋" w:hint="eastAsia"/>
          <w:b w:val="0"/>
          <w:bCs/>
          <w:color w:val="000000"/>
          <w:sz w:val="32"/>
          <w:szCs w:val="32"/>
        </w:rPr>
        <w:t>行政事业单位养老支出（款）机关事业单位基本养老保险缴费支出（项）</w:t>
      </w:r>
      <w:r>
        <w:rPr>
          <w:rStyle w:val="24"/>
          <w:rFonts w:ascii="仿宋" w:eastAsia="仿宋"/>
          <w:b w:val="0"/>
          <w:bCs/>
          <w:color w:val="auto"/>
          <w:sz w:val="32"/>
          <w:szCs w:val="32"/>
          <w:highlight w:val="auto"/>
        </w:rPr>
        <w:t xml:space="preserve">: </w:t>
      </w:r>
      <w:r>
        <w:rPr>
          <w:rFonts w:ascii="仿宋_GB2312" w:eastAsia="仿宋_GB2312" w:cs="仿宋_GB2312" w:hint="eastAsia"/>
          <w:b w:val="0"/>
          <w:bCs/>
          <w:sz w:val="32"/>
          <w:szCs w:val="32"/>
          <w:lang w:val="en-US" w:eastAsia="zh-CN"/>
        </w:rPr>
        <w:t>支出决算为</w:t>
      </w:r>
      <w:r>
        <w:rPr>
          <w:rFonts w:ascii="仿宋_GB2312" w:eastAsia="仿宋_GB2312" w:cs="仿宋_GB2312"/>
          <w:b w:val="0"/>
          <w:bCs/>
          <w:sz w:val="32"/>
          <w:szCs w:val="32"/>
          <w:lang w:eastAsia="zh-CN"/>
        </w:rPr>
        <w:t>4.20</w:t>
      </w:r>
      <w:r>
        <w:rPr>
          <w:rFonts w:ascii="仿宋_GB2312" w:eastAsia="仿宋_GB2312" w:cs="仿宋_GB2312" w:hint="eastAsia"/>
          <w:b w:val="0"/>
          <w:bCs/>
          <w:sz w:val="32"/>
          <w:szCs w:val="32"/>
          <w:lang w:val="en-US" w:eastAsia="zh-CN"/>
        </w:rPr>
        <w:t>万元，完成预算</w:t>
      </w:r>
      <w:r>
        <w:rPr>
          <w:rFonts w:ascii="仿宋_GB2312" w:eastAsia="仿宋_GB2312" w:cs="仿宋_GB2312"/>
          <w:b w:val="0"/>
          <w:bCs/>
          <w:sz w:val="32"/>
          <w:szCs w:val="32"/>
          <w:lang w:eastAsia="zh-CN"/>
        </w:rPr>
        <w:t>100</w:t>
      </w:r>
      <w:r>
        <w:rPr>
          <w:rFonts w:ascii="仿宋_GB2312" w:eastAsia="仿宋_GB2312" w:cs="仿宋_GB2312" w:hint="eastAsia"/>
          <w:b w:val="0"/>
          <w:bCs/>
          <w:sz w:val="32"/>
          <w:szCs w:val="32"/>
          <w:lang w:val="en-US" w:eastAsia="zh-CN"/>
        </w:rPr>
        <w:t>%，决算数</w:t>
      </w:r>
      <w:r>
        <w:rPr>
          <w:rFonts w:ascii="仿宋_GB2312" w:eastAsia="仿宋_GB2312" w:cs="仿宋_GB2312"/>
          <w:b w:val="0"/>
          <w:bCs/>
          <w:sz w:val="32"/>
          <w:szCs w:val="32"/>
          <w:lang w:val="en-US" w:eastAsia="zh-CN"/>
        </w:rPr>
        <w:t>与</w:t>
      </w:r>
      <w:r>
        <w:rPr>
          <w:rFonts w:ascii="仿宋_GB2312" w:eastAsia="仿宋_GB2312" w:cs="仿宋_GB2312" w:hint="eastAsia"/>
          <w:b w:val="0"/>
          <w:bCs/>
          <w:sz w:val="32"/>
          <w:szCs w:val="32"/>
          <w:lang w:val="en-US" w:eastAsia="zh-CN"/>
        </w:rPr>
        <w:t>预算数</w:t>
      </w:r>
      <w:r>
        <w:rPr>
          <w:rFonts w:ascii="仿宋_GB2312" w:eastAsia="仿宋_GB2312" w:cs="仿宋_GB2312"/>
          <w:b w:val="0"/>
          <w:bCs/>
          <w:sz w:val="32"/>
          <w:szCs w:val="32"/>
          <w:lang w:val="en-US" w:eastAsia="zh-CN"/>
        </w:rPr>
        <w:t>持平</w:t>
      </w:r>
      <w:r>
        <w:rPr>
          <w:rFonts w:ascii="仿宋_GB2312" w:eastAsia="仿宋_GB2312" w:cs="仿宋_GB2312" w:hint="eastAsia"/>
          <w:b w:val="0"/>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b w:val="0"/>
          <w:bCs/>
          <w:sz w:val="32"/>
          <w:szCs w:val="32"/>
          <w:lang w:eastAsia="zh-CN"/>
        </w:rPr>
      </w:pPr>
      <w:r>
        <w:rPr>
          <w:rStyle w:val="24"/>
          <w:rFonts w:ascii="仿宋" w:eastAsia="仿宋" w:hint="eastAsia"/>
          <w:b w:val="0"/>
          <w:bCs/>
          <w:color w:val="000000"/>
          <w:sz w:val="32"/>
          <w:szCs w:val="32"/>
        </w:rPr>
        <w:t>2</w:t>
      </w:r>
      <w:r>
        <w:rPr>
          <w:rStyle w:val="24"/>
          <w:rFonts w:ascii="仿宋" w:eastAsia="仿宋"/>
          <w:b w:val="0"/>
          <w:bCs/>
          <w:color w:val="000000"/>
          <w:sz w:val="32"/>
          <w:szCs w:val="32"/>
        </w:rPr>
        <w:t>.</w:t>
      </w:r>
      <w:r>
        <w:rPr>
          <w:rStyle w:val="24"/>
          <w:rFonts w:ascii="仿宋" w:eastAsia="仿宋" w:hint="eastAsia"/>
          <w:b w:val="0"/>
          <w:bCs/>
          <w:color w:val="000000"/>
          <w:sz w:val="32"/>
          <w:szCs w:val="32"/>
        </w:rPr>
        <w:t>社会保障和就业（类）抚恤（款）优抚事业单位支出（项）</w:t>
      </w:r>
      <w:r>
        <w:rPr>
          <w:rStyle w:val="24"/>
          <w:rFonts w:ascii="仿宋" w:eastAsia="仿宋"/>
          <w:b w:val="0"/>
          <w:bCs/>
          <w:color w:val="000000"/>
          <w:sz w:val="32"/>
          <w:szCs w:val="32"/>
        </w:rPr>
        <w:t>:</w:t>
      </w:r>
      <w:r>
        <w:rPr>
          <w:rFonts w:ascii="仿宋_GB2312" w:eastAsia="仿宋_GB2312" w:cs="仿宋_GB2312" w:hint="eastAsia"/>
          <w:b w:val="0"/>
          <w:bCs/>
          <w:sz w:val="32"/>
          <w:szCs w:val="32"/>
          <w:lang w:val="en-US" w:eastAsia="zh-CN"/>
        </w:rPr>
        <w:t>支出决算为</w:t>
      </w:r>
      <w:r>
        <w:rPr>
          <w:rFonts w:ascii="仿宋_GB2312" w:eastAsia="仿宋_GB2312" w:cs="仿宋_GB2312"/>
          <w:b w:val="0"/>
          <w:bCs/>
          <w:sz w:val="32"/>
          <w:szCs w:val="32"/>
          <w:lang w:eastAsia="zh-CN"/>
        </w:rPr>
        <w:t>538.30</w:t>
      </w:r>
      <w:r>
        <w:rPr>
          <w:rFonts w:ascii="仿宋_GB2312" w:eastAsia="仿宋_GB2312" w:cs="仿宋_GB2312" w:hint="eastAsia"/>
          <w:b w:val="0"/>
          <w:bCs/>
          <w:sz w:val="32"/>
          <w:szCs w:val="32"/>
          <w:lang w:val="en-US" w:eastAsia="zh-CN"/>
        </w:rPr>
        <w:t>万元，完成预算</w:t>
      </w:r>
      <w:r>
        <w:rPr>
          <w:rFonts w:ascii="仿宋_GB2312" w:eastAsia="仿宋_GB2312" w:cs="仿宋_GB2312"/>
          <w:b w:val="0"/>
          <w:bCs/>
          <w:sz w:val="32"/>
          <w:szCs w:val="32"/>
          <w:lang w:eastAsia="zh-CN"/>
        </w:rPr>
        <w:t>78.64</w:t>
      </w:r>
      <w:r>
        <w:rPr>
          <w:rFonts w:ascii="仿宋_GB2312" w:eastAsia="仿宋_GB2312" w:cs="仿宋_GB2312" w:hint="eastAsia"/>
          <w:b w:val="0"/>
          <w:bCs/>
          <w:sz w:val="32"/>
          <w:szCs w:val="32"/>
          <w:lang w:val="en-US" w:eastAsia="zh-CN"/>
        </w:rPr>
        <w:t>%，决算数小于预算数的主要原因是市烈士陵园陈列馆综合楼展陈布展项目（陈列馆）按合同约定，剩余合同款需审计完成后支付。</w:t>
      </w:r>
    </w:p>
    <w:p>
      <w:pPr>
        <w:spacing w:line="600" w:lineRule="exact"/>
        <w:ind w:firstLineChars="200" w:firstLine="640"/>
        <w:rPr>
          <w:rFonts w:ascii="仿宋_GB2312" w:eastAsia="仿宋_GB2312" w:cs="仿宋_GB2312" w:hint="eastAsia"/>
          <w:b w:val="0"/>
          <w:bCs w:val="0"/>
          <w:sz w:val="32"/>
          <w:szCs w:val="32"/>
          <w:lang w:val="en-US" w:eastAsia="zh-CN"/>
        </w:rPr>
      </w:pPr>
      <w:r>
        <w:rPr>
          <w:rStyle w:val="24"/>
          <w:rFonts w:ascii="仿宋" w:eastAsia="仿宋" w:hint="eastAsia"/>
          <w:b w:val="0"/>
          <w:bCs w:val="0"/>
          <w:color w:val="auto"/>
          <w:sz w:val="32"/>
          <w:szCs w:val="32"/>
          <w:lang w:val="en-US" w:eastAsia="zh-CN"/>
          <w:highlight w:val="auto"/>
        </w:rPr>
        <w:t>3</w:t>
      </w:r>
      <w:r>
        <w:rPr>
          <w:rStyle w:val="24"/>
          <w:rFonts w:ascii="仿宋" w:eastAsia="仿宋"/>
          <w:b w:val="0"/>
          <w:bCs w:val="0"/>
          <w:color w:val="auto"/>
          <w:sz w:val="32"/>
          <w:szCs w:val="32"/>
          <w:highlight w:val="auto"/>
        </w:rPr>
        <w:t>.</w:t>
      </w:r>
      <w:r>
        <w:rPr>
          <w:rFonts w:ascii="仿宋" w:eastAsia="仿宋" w:hint="eastAsia"/>
          <w:b w:val="0"/>
          <w:bCs w:val="0"/>
          <w:color w:val="auto"/>
          <w:sz w:val="32"/>
          <w:szCs w:val="32"/>
          <w:highlight w:val="auto"/>
        </w:rPr>
        <w:t>卫生健康</w:t>
      </w:r>
      <w:r>
        <w:rPr>
          <w:rStyle w:val="24"/>
          <w:rFonts w:ascii="仿宋" w:eastAsia="仿宋" w:hint="eastAsia"/>
          <w:b w:val="0"/>
          <w:bCs w:val="0"/>
          <w:color w:val="auto"/>
          <w:sz w:val="32"/>
          <w:szCs w:val="32"/>
          <w:highlight w:val="auto"/>
        </w:rPr>
        <w:t>（类）</w:t>
      </w:r>
      <w:r>
        <w:rPr>
          <w:rStyle w:val="24"/>
          <w:rFonts w:ascii="仿宋" w:eastAsia="仿宋" w:hint="eastAsia"/>
          <w:b w:val="0"/>
          <w:bCs w:val="0"/>
          <w:color w:val="000000"/>
          <w:sz w:val="32"/>
          <w:szCs w:val="32"/>
        </w:rPr>
        <w:t>行政事业单位医疗（款）事业单位医疗（项）</w:t>
      </w:r>
      <w:r>
        <w:rPr>
          <w:rStyle w:val="24"/>
          <w:rFonts w:ascii="仿宋" w:eastAsia="仿宋"/>
          <w:b w:val="0"/>
          <w:bCs w:val="0"/>
          <w:color w:val="auto"/>
          <w:sz w:val="32"/>
          <w:szCs w:val="32"/>
          <w:highlight w:val="auto"/>
        </w:rPr>
        <w:t>:</w:t>
      </w:r>
      <w:r>
        <w:rPr>
          <w:rFonts w:ascii="仿宋_GB2312" w:eastAsia="仿宋_GB2312" w:cs="仿宋_GB2312" w:hint="eastAsia"/>
          <w:b w:val="0"/>
          <w:bCs w:val="0"/>
          <w:sz w:val="32"/>
          <w:szCs w:val="32"/>
          <w:lang w:val="en-US" w:eastAsia="zh-CN"/>
        </w:rPr>
        <w:t>支出决算为2.18万元，完成预算100%，决算数</w:t>
      </w:r>
      <w:r>
        <w:rPr>
          <w:rFonts w:ascii="仿宋_GB2312" w:eastAsia="仿宋_GB2312" w:cs="仿宋_GB2312"/>
          <w:b w:val="0"/>
          <w:bCs w:val="0"/>
          <w:sz w:val="32"/>
          <w:szCs w:val="32"/>
          <w:lang w:val="en-US" w:eastAsia="zh-CN"/>
        </w:rPr>
        <w:t>与</w:t>
      </w:r>
      <w:r>
        <w:rPr>
          <w:rFonts w:ascii="仿宋_GB2312" w:eastAsia="仿宋_GB2312" w:cs="仿宋_GB2312" w:hint="eastAsia"/>
          <w:b w:val="0"/>
          <w:bCs w:val="0"/>
          <w:sz w:val="32"/>
          <w:szCs w:val="32"/>
          <w:lang w:val="en-US" w:eastAsia="zh-CN"/>
        </w:rPr>
        <w:t>预算数</w:t>
      </w:r>
      <w:r>
        <w:rPr>
          <w:rFonts w:ascii="仿宋_GB2312" w:eastAsia="仿宋_GB2312" w:cs="仿宋_GB2312"/>
          <w:b w:val="0"/>
          <w:bCs w:val="0"/>
          <w:sz w:val="32"/>
          <w:szCs w:val="32"/>
          <w:lang w:val="en-US" w:eastAsia="zh-CN"/>
        </w:rPr>
        <w:t>持平</w:t>
      </w:r>
      <w:r>
        <w:rPr>
          <w:rFonts w:ascii="仿宋_GB2312" w:eastAsia="仿宋_GB2312" w:cs="仿宋_GB2312" w:hint="eastAsia"/>
          <w:b w:val="0"/>
          <w:bCs w:val="0"/>
          <w:sz w:val="32"/>
          <w:szCs w:val="32"/>
          <w:lang w:val="en-US" w:eastAsia="zh-CN"/>
        </w:rPr>
        <w:t>。</w:t>
      </w:r>
    </w:p>
    <w:p>
      <w:pPr>
        <w:spacing w:line="600" w:lineRule="exact"/>
        <w:ind w:firstLineChars="200" w:firstLine="640"/>
        <w:rPr>
          <w:rFonts w:ascii="仿宋_GB2312" w:eastAsia="仿宋_GB2312" w:cs="仿宋_GB2312" w:hint="eastAsia"/>
          <w:b w:val="0"/>
          <w:bCs w:val="0"/>
          <w:sz w:val="32"/>
          <w:szCs w:val="32"/>
          <w:lang w:val="en-US" w:eastAsia="zh-CN"/>
        </w:rPr>
      </w:pPr>
      <w:r>
        <w:rPr>
          <w:rStyle w:val="24"/>
          <w:rFonts w:ascii="仿宋" w:eastAsia="仿宋" w:hint="eastAsia"/>
          <w:b w:val="0"/>
          <w:bCs w:val="0"/>
          <w:color w:val="000000"/>
          <w:sz w:val="32"/>
          <w:szCs w:val="32"/>
        </w:rPr>
        <w:t>4</w:t>
      </w:r>
      <w:r>
        <w:rPr>
          <w:rStyle w:val="24"/>
          <w:rFonts w:ascii="仿宋" w:eastAsia="仿宋"/>
          <w:b w:val="0"/>
          <w:bCs w:val="0"/>
          <w:color w:val="000000"/>
          <w:sz w:val="32"/>
          <w:szCs w:val="32"/>
        </w:rPr>
        <w:t>.</w:t>
      </w:r>
      <w:r>
        <w:rPr>
          <w:rFonts w:hint="eastAsia"/>
          <w:b w:val="0"/>
          <w:bCs w:val="0"/>
        </w:rPr>
        <w:t xml:space="preserve"> </w:t>
      </w:r>
      <w:r>
        <w:rPr>
          <w:rFonts w:ascii="仿宋" w:eastAsia="仿宋" w:hint="eastAsia"/>
          <w:b w:val="0"/>
          <w:bCs w:val="0"/>
          <w:color w:val="000000"/>
          <w:sz w:val="32"/>
          <w:szCs w:val="32"/>
        </w:rPr>
        <w:t>住房保障支出</w:t>
      </w:r>
      <w:r>
        <w:rPr>
          <w:rStyle w:val="24"/>
          <w:rFonts w:ascii="仿宋" w:eastAsia="仿宋" w:hint="eastAsia"/>
          <w:b w:val="0"/>
          <w:bCs w:val="0"/>
          <w:color w:val="000000"/>
          <w:sz w:val="32"/>
          <w:szCs w:val="32"/>
        </w:rPr>
        <w:t>（类）住房改革支出（款）住房公积金（项）</w:t>
      </w:r>
      <w:r>
        <w:rPr>
          <w:rStyle w:val="24"/>
          <w:rFonts w:ascii="仿宋" w:eastAsia="仿宋"/>
          <w:b w:val="0"/>
          <w:bCs w:val="0"/>
          <w:color w:val="000000"/>
          <w:sz w:val="32"/>
          <w:szCs w:val="32"/>
        </w:rPr>
        <w:t>:</w:t>
      </w:r>
      <w:r>
        <w:rPr>
          <w:rFonts w:ascii="仿宋_GB2312" w:eastAsia="仿宋_GB2312" w:cs="仿宋_GB2312" w:hint="eastAsia"/>
          <w:b w:val="0"/>
          <w:bCs w:val="0"/>
          <w:sz w:val="32"/>
          <w:szCs w:val="32"/>
          <w:lang w:val="en-US" w:eastAsia="zh-CN"/>
        </w:rPr>
        <w:t>支出决算为4.86万元，完成预算100%，决算数</w:t>
      </w:r>
      <w:r>
        <w:rPr>
          <w:rFonts w:ascii="仿宋_GB2312" w:eastAsia="仿宋_GB2312" w:cs="仿宋_GB2312"/>
          <w:b w:val="0"/>
          <w:bCs w:val="0"/>
          <w:sz w:val="32"/>
          <w:szCs w:val="32"/>
          <w:lang w:val="en-US" w:eastAsia="zh-CN"/>
        </w:rPr>
        <w:t>与</w:t>
      </w:r>
      <w:r>
        <w:rPr>
          <w:rFonts w:ascii="仿宋_GB2312" w:eastAsia="仿宋_GB2312" w:cs="仿宋_GB2312" w:hint="eastAsia"/>
          <w:b w:val="0"/>
          <w:bCs w:val="0"/>
          <w:sz w:val="32"/>
          <w:szCs w:val="32"/>
          <w:lang w:val="en-US" w:eastAsia="zh-CN"/>
        </w:rPr>
        <w:t>预算数</w:t>
      </w:r>
      <w:r>
        <w:rPr>
          <w:rFonts w:ascii="仿宋_GB2312" w:eastAsia="仿宋_GB2312" w:cs="仿宋_GB2312"/>
          <w:b w:val="0"/>
          <w:bCs w:val="0"/>
          <w:sz w:val="32"/>
          <w:szCs w:val="32"/>
          <w:lang w:val="en-US" w:eastAsia="zh-CN"/>
        </w:rPr>
        <w:t>持平</w:t>
      </w:r>
      <w:r>
        <w:rPr>
          <w:rFonts w:ascii="仿宋_GB2312" w:eastAsia="仿宋_GB2312" w:cs="仿宋_GB2312" w:hint="eastAsia"/>
          <w:b w:val="0"/>
          <w:bCs w:val="0"/>
          <w:sz w:val="32"/>
          <w:szCs w:val="32"/>
          <w:lang w:val="en-US" w:eastAsia="zh-CN"/>
        </w:rPr>
        <w:t>。</w:t>
      </w:r>
    </w:p>
    <w:p>
      <w:pPr>
        <w:tabs>
          <w:tab w:val="right" w:pos="8306"/>
        </w:tabs>
        <w:spacing w:line="600" w:lineRule="exact"/>
        <w:ind w:firstLine="640"/>
        <w:outlineLvl w:val="1"/>
        <w:rPr>
          <w:rStyle w:val="2Char"/>
          <w:color w:val="auto"/>
          <w:highlight w:val="auto"/>
        </w:rPr>
      </w:pPr>
      <w:bookmarkStart w:id="34" w:name="_Toc15396608"/>
      <w:bookmarkStart w:id="35" w:name="_Toc15377214"/>
      <w:r>
        <w:rPr>
          <w:rFonts w:ascii="黑体" w:eastAsia="黑体" w:hint="eastAsia"/>
          <w:color w:val="auto"/>
          <w:sz w:val="32"/>
          <w:szCs w:val="32"/>
          <w:highlight w:val="auto"/>
        </w:rPr>
        <w:t>六</w:t>
      </w:r>
      <w:r>
        <w:rPr>
          <w:rFonts w:ascii="黑体" w:eastAsia="黑体" w:hint="eastAsia"/>
          <w:b/>
          <w:color w:val="auto"/>
          <w:sz w:val="32"/>
          <w:szCs w:val="32"/>
          <w:highlight w:val="auto"/>
        </w:rPr>
        <w:t>、一</w:t>
      </w:r>
      <w:r>
        <w:rPr>
          <w:rStyle w:val="2Char"/>
          <w:rFonts w:ascii="黑体" w:eastAsia="黑体" w:hint="eastAsia"/>
          <w:b w:val="0"/>
          <w:color w:val="auto"/>
          <w:highlight w:val="auto"/>
        </w:rPr>
        <w:t>般公共预算财政拨款基本支出决算情况说明</w:t>
      </w:r>
      <w:bookmarkEnd w:id="34"/>
      <w:bookmarkEnd w:id="35"/>
      <w:r>
        <w:rPr>
          <w:rStyle w:val="2Char"/>
          <w:rFonts w:ascii="黑体" w:eastAsia="黑体"/>
          <w:b w:val="0"/>
          <w:color w:val="auto"/>
          <w:highlight w:val="auto"/>
        </w:rPr>
        <w:tab/>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2021年一般公共预算财政拨款基本支出</w:t>
      </w:r>
      <w:r>
        <w:rPr>
          <w:rFonts w:ascii="仿宋_GB2312" w:eastAsia="仿宋_GB2312" w:cs="仿宋_GB2312"/>
          <w:sz w:val="32"/>
          <w:szCs w:val="32"/>
          <w:lang w:eastAsia="zh-CN"/>
        </w:rPr>
        <w:t>47.37</w:t>
      </w:r>
      <w:r>
        <w:rPr>
          <w:rFonts w:ascii="仿宋_GB2312" w:eastAsia="仿宋_GB2312" w:cs="仿宋_GB2312" w:hint="eastAsia"/>
          <w:sz w:val="32"/>
          <w:szCs w:val="32"/>
          <w:lang w:val="en-US" w:eastAsia="zh-CN"/>
        </w:rPr>
        <w:t>万元，其中：人员经费</w:t>
      </w:r>
      <w:r>
        <w:rPr>
          <w:rFonts w:ascii="仿宋_GB2312" w:eastAsia="仿宋_GB2312" w:cs="仿宋_GB2312"/>
          <w:sz w:val="32"/>
          <w:szCs w:val="32"/>
          <w:lang w:eastAsia="zh-CN"/>
        </w:rPr>
        <w:t>42.57</w:t>
      </w:r>
      <w:r>
        <w:rPr>
          <w:rFonts w:ascii="仿宋_GB2312" w:eastAsia="仿宋_GB2312" w:cs="仿宋_GB2312" w:hint="eastAsia"/>
          <w:sz w:val="32"/>
          <w:szCs w:val="32"/>
          <w:lang w:val="en-US" w:eastAsia="zh-CN"/>
        </w:rPr>
        <w:t>万元，主要包括：基本工资、津贴补贴、机关事业单位基本养老保险缴费、职业基本医疗保险缴费、其他社会保障缴费、其他工资福利支出、住房公积金、生活补助、奖励金、其他个人和家庭补助支出等。</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公用经费</w:t>
      </w:r>
      <w:r>
        <w:rPr>
          <w:rFonts w:ascii="仿宋_GB2312" w:eastAsia="仿宋_GB2312" w:cs="仿宋_GB2312"/>
          <w:sz w:val="32"/>
          <w:szCs w:val="32"/>
          <w:lang w:eastAsia="zh-CN"/>
        </w:rPr>
        <w:t>4.8</w:t>
      </w:r>
      <w:r>
        <w:rPr>
          <w:rFonts w:ascii="仿宋_GB2312" w:eastAsia="仿宋_GB2312" w:cs="仿宋_GB2312" w:hint="eastAsia"/>
          <w:sz w:val="32"/>
          <w:szCs w:val="32"/>
          <w:lang w:val="en-US" w:eastAsia="zh-CN"/>
        </w:rPr>
        <w:t>万元，主要包括：办公费、印刷费、</w:t>
      </w:r>
      <w:bookmarkStart w:id="36" w:name="_GoBack"/>
      <w:bookmarkEnd w:id="36"/>
      <w:r>
        <w:rPr>
          <w:rFonts w:ascii="仿宋_GB2312" w:eastAsia="仿宋_GB2312" w:cs="仿宋_GB2312" w:hint="eastAsia"/>
          <w:sz w:val="32"/>
          <w:szCs w:val="32"/>
          <w:lang w:val="en-US" w:eastAsia="zh-CN"/>
        </w:rPr>
        <w:t>差旅费、公务接待费、工会经费、福利费、其他商品和服务支出等。</w:t>
      </w:r>
    </w:p>
    <w:p>
      <w:pPr>
        <w:spacing w:line="600" w:lineRule="exact"/>
        <w:ind w:firstLine="640"/>
        <w:outlineLvl w:val="1"/>
        <w:rPr>
          <w:rStyle w:val="2Char"/>
          <w:rFonts w:ascii="黑体" w:eastAsia="黑体"/>
          <w:b w:val="0"/>
          <w:color w:val="auto"/>
          <w:highlight w:val="auto"/>
        </w:rPr>
      </w:pPr>
      <w:bookmarkStart w:id="37" w:name="_Toc15396609"/>
      <w:bookmarkStart w:id="38" w:name="_Toc15377215"/>
      <w:r>
        <w:rPr>
          <w:rFonts w:ascii="黑体" w:eastAsia="黑体" w:hint="eastAsia"/>
          <w:color w:val="auto"/>
          <w:sz w:val="32"/>
          <w:szCs w:val="32"/>
          <w:highlight w:val="auto"/>
        </w:rPr>
        <w:t>七、</w:t>
      </w:r>
      <w:r>
        <w:rPr>
          <w:rStyle w:val="2Char"/>
          <w:rFonts w:ascii="黑体" w:eastAsia="黑体" w:hint="eastAsia"/>
          <w:color w:val="auto"/>
          <w:highlight w:val="auto"/>
        </w:rPr>
        <w:t>“</w:t>
      </w:r>
      <w:r>
        <w:rPr>
          <w:rStyle w:val="2Char"/>
          <w:rFonts w:ascii="黑体" w:eastAsia="黑体" w:hint="eastAsia"/>
          <w:b w:val="0"/>
          <w:color w:val="auto"/>
          <w:highlight w:val="auto"/>
        </w:rPr>
        <w:t>三公”经费财政拨款支出决算情况说明</w:t>
      </w:r>
      <w:bookmarkEnd w:id="37"/>
      <w:bookmarkEnd w:id="38"/>
    </w:p>
    <w:p>
      <w:pPr>
        <w:spacing w:line="600" w:lineRule="exact"/>
        <w:ind w:firstLine="640"/>
        <w:outlineLvl w:val="2"/>
        <w:rPr>
          <w:rFonts w:ascii="仿宋" w:eastAsia="仿宋"/>
          <w:b/>
          <w:color w:val="auto"/>
          <w:sz w:val="32"/>
          <w:szCs w:val="32"/>
          <w:highlight w:val="auto"/>
        </w:rPr>
      </w:pPr>
      <w:bookmarkStart w:id="39" w:name="_Toc15377216"/>
      <w:r>
        <w:rPr>
          <w:rFonts w:ascii="仿宋" w:eastAsia="仿宋" w:hint="eastAsia"/>
          <w:b/>
          <w:color w:val="auto"/>
          <w:sz w:val="32"/>
          <w:szCs w:val="32"/>
          <w:highlight w:val="auto"/>
        </w:rPr>
        <w:t>（一）“三公”经费财政拨款支出决算总体情况说明</w:t>
      </w:r>
      <w:bookmarkEnd w:id="39"/>
    </w:p>
    <w:p>
      <w:pPr>
        <w:spacing w:line="600" w:lineRule="exact"/>
        <w:ind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2021年“三公”经费财政拨款支出决算为0.09万元，完成预算45%，决算数小于预算数的主要原因是厉行节约。</w:t>
      </w:r>
    </w:p>
    <w:p>
      <w:pPr>
        <w:spacing w:line="600" w:lineRule="exact"/>
        <w:ind w:firstLine="640"/>
        <w:outlineLvl w:val="2"/>
        <w:rPr>
          <w:rFonts w:ascii="仿宋" w:eastAsia="仿宋"/>
          <w:b/>
          <w:color w:val="auto"/>
          <w:sz w:val="32"/>
          <w:szCs w:val="32"/>
          <w:highlight w:val="auto"/>
        </w:rPr>
      </w:pPr>
      <w:bookmarkStart w:id="40" w:name="_Toc15377217"/>
      <w:r>
        <w:rPr>
          <w:rFonts w:ascii="仿宋" w:eastAsia="仿宋" w:hint="eastAsia"/>
          <w:b/>
          <w:color w:val="auto"/>
          <w:sz w:val="32"/>
          <w:szCs w:val="32"/>
          <w:highlight w:val="auto"/>
        </w:rPr>
        <w:t>（二）“三公”经费财政拨款支出决算具体情况说明</w:t>
      </w:r>
      <w:bookmarkEnd w:id="40"/>
    </w:p>
    <w:p>
      <w:pPr>
        <w:ind w:firstLine="640"/>
        <w:rPr>
          <w:rFonts w:ascii="仿宋" w:eastAsia="仿宋" w:hint="eastAsia"/>
          <w:color w:val="auto"/>
          <w:sz w:val="32"/>
          <w:szCs w:val="32"/>
          <w:highlight w:val="auto"/>
        </w:rPr>
      </w:pPr>
      <w:r>
        <w:rPr>
          <w:rFonts w:ascii="仿宋_GB2312" w:eastAsia="仿宋_GB2312" w:cs="仿宋_GB2312" w:hint="eastAsia"/>
          <w:sz w:val="32"/>
          <w:szCs w:val="32"/>
          <w:lang w:val="en-US" w:eastAsia="zh-CN"/>
        </w:rPr>
        <w:t>2021年“三公”经费财政拨款支出决算中，因公出国（境）费支出决算0万元，占0%；公务用车购置及运行维护费支出决算0万元，占0%；公务接待费支出决算0.09万元，占100%。具体情况如下：</w:t>
      </w:r>
    </w:p>
    <w:p>
      <w:pPr>
        <w:pStyle w:val="15"/>
        <w:spacing w:line="240" w:lineRule="auto"/>
        <w:jc w:val="center"/>
      </w:pPr>
      <w:r>
        <w:drawing>
          <wp:inline distT="0" distB="0" distL="84455" distR="84455">
            <wp:extent cx="2752090" cy="2894965"/>
            <wp:effectExtent l="0" t="0" r="0" b="0"/>
            <wp:docPr id="13" name="对象"/>
            <wp:cNvGraphicFramePr>
              <a:graphicFrameLocks noChangeAspect="0"/>
            </wp:cNvGraphicFramePr>
            <a:graphic>
              <a:graphicData uri="http://schemas.openxmlformats.org/drawingml/2006/chart">
                <c:chart xmlns:c="http://schemas.openxmlformats.org/drawingml/2006/chart" r:id="rId14"/>
              </a:graphicData>
            </a:graphic>
          </wp:inline>
        </w:drawing>
      </w:r>
    </w:p>
    <w:p>
      <w:pPr>
        <w:ind w:left="0"/>
        <w:jc w:val="center"/>
        <w:rPr>
          <w:rFonts w:ascii="仿宋" w:eastAsia="仿宋"/>
          <w:color w:val="FF0000"/>
          <w:sz w:val="32"/>
          <w:szCs w:val="32"/>
          <w:highlight w:val="auto"/>
        </w:rPr>
      </w:pPr>
      <w:r>
        <w:rPr>
          <w:rFonts w:ascii="仿宋" w:eastAsia="仿宋" w:hint="eastAsia"/>
          <w:color w:val="FF0000"/>
          <w:sz w:val="32"/>
          <w:szCs w:val="32"/>
          <w:highlight w:val="auto"/>
        </w:rPr>
        <w:t>（图7：“三公”经费财政拨款支出结构）（饼状图）</w:t>
      </w:r>
    </w:p>
    <w:p>
      <w:pPr>
        <w:spacing w:line="600" w:lineRule="exact"/>
        <w:ind w:firstLine="640"/>
        <w:rPr>
          <w:rFonts w:ascii="仿宋_GB2312" w:eastAsia="仿宋_GB2312"/>
          <w:b w:val="0"/>
          <w:bCs/>
          <w:color w:val="auto"/>
          <w:sz w:val="32"/>
          <w:szCs w:val="32"/>
          <w:highlight w:val="auto"/>
        </w:rPr>
      </w:pPr>
      <w:r>
        <w:rPr>
          <w:rFonts w:ascii="仿宋_GB2312" w:eastAsia="仿宋_GB2312"/>
          <w:b w:val="0"/>
          <w:bCs/>
          <w:color w:val="auto"/>
          <w:sz w:val="32"/>
          <w:szCs w:val="32"/>
          <w:highlight w:val="auto"/>
        </w:rPr>
        <w:t>1.</w:t>
      </w:r>
      <w:r>
        <w:rPr>
          <w:rFonts w:ascii="仿宋_GB2312" w:eastAsia="仿宋_GB2312" w:hint="eastAsia"/>
          <w:b w:val="0"/>
          <w:bCs/>
          <w:color w:val="auto"/>
          <w:sz w:val="32"/>
          <w:szCs w:val="32"/>
          <w:highlight w:val="auto"/>
        </w:rPr>
        <w:t>因公出国（境）经费支出</w:t>
      </w:r>
      <w:r>
        <w:rPr>
          <w:rFonts w:ascii="仿宋_GB2312" w:eastAsia="仿宋_GB2312" w:hint="eastAsia"/>
          <w:b w:val="0"/>
          <w:bCs/>
          <w:color w:val="auto"/>
          <w:sz w:val="32"/>
          <w:szCs w:val="32"/>
          <w:lang w:val="en-US" w:eastAsia="zh-CN"/>
          <w:highlight w:val="auto"/>
        </w:rPr>
        <w:t>0</w:t>
      </w:r>
      <w:r>
        <w:rPr>
          <w:rFonts w:ascii="仿宋_GB2312" w:eastAsia="仿宋_GB2312" w:hint="eastAsia"/>
          <w:b w:val="0"/>
          <w:bCs/>
          <w:color w:val="auto"/>
          <w:sz w:val="32"/>
          <w:szCs w:val="32"/>
          <w:highlight w:val="auto"/>
        </w:rPr>
        <w:t>万元，年初未安排预算，与上年数持平。</w:t>
      </w:r>
    </w:p>
    <w:p>
      <w:pPr>
        <w:spacing w:line="600" w:lineRule="exact"/>
        <w:ind w:firstLine="640"/>
        <w:rPr>
          <w:rFonts w:ascii="仿宋_GB2312" w:eastAsia="仿宋_GB2312" w:hint="eastAsia"/>
          <w:b w:val="0"/>
          <w:bCs/>
          <w:color w:val="auto"/>
          <w:sz w:val="32"/>
          <w:szCs w:val="32"/>
          <w:lang w:val="en-US" w:eastAsia="zh-CN"/>
          <w:highlight w:val="auto"/>
        </w:rPr>
      </w:pPr>
      <w:r>
        <w:rPr>
          <w:rFonts w:ascii="仿宋_GB2312" w:eastAsia="仿宋_GB2312"/>
          <w:b w:val="0"/>
          <w:bCs/>
          <w:color w:val="auto"/>
          <w:sz w:val="32"/>
          <w:szCs w:val="32"/>
          <w:highlight w:val="auto"/>
        </w:rPr>
        <w:t>2.</w:t>
      </w:r>
      <w:r>
        <w:rPr>
          <w:rFonts w:ascii="仿宋_GB2312" w:eastAsia="仿宋_GB2312" w:hint="eastAsia"/>
          <w:b w:val="0"/>
          <w:bCs/>
          <w:color w:val="auto"/>
          <w:sz w:val="32"/>
          <w:szCs w:val="32"/>
          <w:highlight w:val="auto"/>
        </w:rPr>
        <w:t>公务用车购置及运行维护费支出</w:t>
      </w:r>
      <w:r>
        <w:rPr>
          <w:rFonts w:ascii="仿宋_GB2312" w:eastAsia="仿宋_GB2312" w:hint="eastAsia"/>
          <w:b w:val="0"/>
          <w:bCs/>
          <w:color w:val="auto"/>
          <w:sz w:val="32"/>
          <w:szCs w:val="32"/>
          <w:lang w:val="en-US" w:eastAsia="zh-CN"/>
          <w:highlight w:val="auto"/>
        </w:rPr>
        <w:t>0</w:t>
      </w:r>
      <w:r>
        <w:rPr>
          <w:rFonts w:ascii="仿宋_GB2312" w:eastAsia="仿宋_GB2312" w:hint="eastAsia"/>
          <w:b w:val="0"/>
          <w:bCs/>
          <w:color w:val="auto"/>
          <w:sz w:val="32"/>
          <w:szCs w:val="32"/>
          <w:highlight w:val="auto"/>
        </w:rPr>
        <w:t>万元，年初未安排预算，与上年数持平。</w:t>
      </w: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hint="eastAsia"/>
          <w:sz w:val="32"/>
          <w:szCs w:val="32"/>
          <w:lang w:val="en-US" w:eastAsia="zh-CN"/>
        </w:rPr>
        <w:t>0</w:t>
      </w:r>
      <w:r>
        <w:rPr>
          <w:rFonts w:ascii="仿宋_GB2312" w:eastAsia="仿宋_GB2312" w:hint="eastAsia"/>
          <w:sz w:val="32"/>
          <w:szCs w:val="32"/>
        </w:rPr>
        <w:t>辆</w:t>
      </w:r>
      <w:r>
        <w:rPr>
          <w:rFonts w:ascii="仿宋_GB2312" w:eastAsia="仿宋_GB2312" w:hint="eastAsia"/>
          <w:sz w:val="32"/>
          <w:szCs w:val="32"/>
          <w:lang w:eastAsia="zh-CN"/>
        </w:rPr>
        <w:t>。</w:t>
      </w:r>
    </w:p>
    <w:p>
      <w:pPr>
        <w:spacing w:line="600" w:lineRule="exact"/>
        <w:ind w:firstLine="640"/>
        <w:rPr>
          <w:rFonts w:ascii="仿宋_GB2312" w:eastAsia="仿宋_GB2312"/>
          <w:b w:val="0"/>
          <w:bCs/>
          <w:color w:val="auto"/>
          <w:sz w:val="32"/>
          <w:szCs w:val="32"/>
          <w:highlight w:val="auto"/>
        </w:rPr>
      </w:pPr>
      <w:r>
        <w:rPr>
          <w:rFonts w:ascii="仿宋_GB2312" w:eastAsia="仿宋_GB2312"/>
          <w:b w:val="0"/>
          <w:bCs/>
          <w:color w:val="auto"/>
          <w:sz w:val="32"/>
          <w:szCs w:val="32"/>
          <w:highlight w:val="auto"/>
        </w:rPr>
        <w:t>3.</w:t>
      </w:r>
      <w:r>
        <w:rPr>
          <w:rFonts w:ascii="仿宋_GB2312" w:eastAsia="仿宋_GB2312" w:hint="eastAsia"/>
          <w:b w:val="0"/>
          <w:bCs/>
          <w:color w:val="auto"/>
          <w:sz w:val="32"/>
          <w:szCs w:val="32"/>
          <w:highlight w:val="auto"/>
        </w:rPr>
        <w:t>公务接待费支出</w:t>
      </w:r>
      <w:r>
        <w:rPr>
          <w:rFonts w:ascii="仿宋_GB2312" w:eastAsia="仿宋_GB2312" w:hint="eastAsia"/>
          <w:b w:val="0"/>
          <w:bCs/>
          <w:color w:val="auto"/>
          <w:sz w:val="32"/>
          <w:szCs w:val="32"/>
          <w:lang w:val="en-US" w:eastAsia="zh-CN"/>
          <w:highlight w:val="auto"/>
        </w:rPr>
        <w:t>0.09</w:t>
      </w:r>
      <w:r>
        <w:rPr>
          <w:rFonts w:ascii="仿宋_GB2312" w:eastAsia="仿宋_GB2312" w:hint="eastAsia"/>
          <w:b w:val="0"/>
          <w:bCs/>
          <w:color w:val="auto"/>
          <w:sz w:val="32"/>
          <w:szCs w:val="32"/>
          <w:highlight w:val="auto"/>
        </w:rPr>
        <w:t>万元，</w:t>
      </w:r>
      <w:r>
        <w:rPr>
          <w:rStyle w:val="24"/>
          <w:rFonts w:ascii="仿宋" w:eastAsia="仿宋" w:hint="eastAsia"/>
          <w:b w:val="0"/>
          <w:bCs/>
          <w:color w:val="auto"/>
          <w:sz w:val="32"/>
          <w:szCs w:val="32"/>
          <w:highlight w:val="auto"/>
        </w:rPr>
        <w:t>完成预算</w:t>
      </w:r>
      <w:r>
        <w:rPr>
          <w:rStyle w:val="24"/>
          <w:rFonts w:ascii="仿宋" w:eastAsia="仿宋" w:hint="eastAsia"/>
          <w:b w:val="0"/>
          <w:bCs/>
          <w:color w:val="auto"/>
          <w:sz w:val="32"/>
          <w:szCs w:val="32"/>
          <w:lang w:val="en-US" w:eastAsia="zh-CN"/>
          <w:highlight w:val="auto"/>
        </w:rPr>
        <w:t>45</w:t>
      </w:r>
      <w:r>
        <w:rPr>
          <w:rStyle w:val="24"/>
          <w:rFonts w:ascii="仿宋" w:eastAsia="仿宋"/>
          <w:b w:val="0"/>
          <w:bCs/>
          <w:color w:val="auto"/>
          <w:sz w:val="32"/>
          <w:szCs w:val="32"/>
          <w:highlight w:val="auto"/>
        </w:rPr>
        <w:t>%</w:t>
      </w:r>
      <w:r>
        <w:rPr>
          <w:rStyle w:val="24"/>
          <w:rFonts w:ascii="仿宋" w:eastAsia="仿宋" w:hint="eastAsia"/>
          <w:b w:val="0"/>
          <w:bCs/>
          <w:color w:val="auto"/>
          <w:sz w:val="32"/>
          <w:szCs w:val="32"/>
          <w:highlight w:val="auto"/>
        </w:rPr>
        <w:t>。</w:t>
      </w:r>
      <w:r>
        <w:rPr>
          <w:rFonts w:ascii="仿宋_GB2312" w:eastAsia="仿宋_GB2312" w:hint="eastAsia"/>
          <w:b w:val="0"/>
          <w:bCs/>
          <w:color w:val="auto"/>
          <w:sz w:val="32"/>
          <w:szCs w:val="32"/>
          <w:highlight w:val="auto"/>
        </w:rPr>
        <w:t>公务接待费支出决算比</w:t>
      </w:r>
      <w:r>
        <w:rPr>
          <w:rFonts w:ascii="仿宋_GB2312" w:eastAsia="仿宋_GB2312"/>
          <w:b w:val="0"/>
          <w:bCs/>
          <w:color w:val="auto"/>
          <w:sz w:val="32"/>
          <w:szCs w:val="32"/>
          <w:highlight w:val="auto"/>
        </w:rPr>
        <w:t>20</w:t>
      </w:r>
      <w:r>
        <w:rPr>
          <w:rFonts w:ascii="仿宋_GB2312" w:eastAsia="仿宋_GB2312" w:hint="eastAsia"/>
          <w:b w:val="0"/>
          <w:bCs/>
          <w:color w:val="auto"/>
          <w:sz w:val="32"/>
          <w:szCs w:val="32"/>
          <w:lang w:val="en-US" w:eastAsia="zh-CN"/>
          <w:highlight w:val="auto"/>
        </w:rPr>
        <w:t>20</w:t>
      </w:r>
      <w:r>
        <w:rPr>
          <w:rFonts w:ascii="仿宋_GB2312" w:eastAsia="仿宋_GB2312" w:hint="eastAsia"/>
          <w:b w:val="0"/>
          <w:bCs/>
          <w:color w:val="auto"/>
          <w:sz w:val="32"/>
          <w:szCs w:val="32"/>
          <w:highlight w:val="auto"/>
        </w:rPr>
        <w:t>年减少</w:t>
      </w:r>
      <w:r>
        <w:rPr>
          <w:rFonts w:ascii="仿宋_GB2312" w:eastAsia="仿宋_GB2312" w:hint="eastAsia"/>
          <w:b w:val="0"/>
          <w:bCs/>
          <w:color w:val="auto"/>
          <w:sz w:val="32"/>
          <w:szCs w:val="32"/>
          <w:lang w:val="en-US" w:eastAsia="zh-CN"/>
          <w:highlight w:val="auto"/>
        </w:rPr>
        <w:t>0.01</w:t>
      </w:r>
      <w:r>
        <w:rPr>
          <w:rFonts w:ascii="仿宋_GB2312" w:eastAsia="仿宋_GB2312" w:hint="eastAsia"/>
          <w:b w:val="0"/>
          <w:bCs/>
          <w:color w:val="auto"/>
          <w:sz w:val="32"/>
          <w:szCs w:val="32"/>
          <w:highlight w:val="auto"/>
        </w:rPr>
        <w:t>万元，下降</w:t>
      </w:r>
      <w:r>
        <w:rPr>
          <w:rFonts w:ascii="仿宋_GB2312" w:eastAsia="仿宋_GB2312" w:hint="eastAsia"/>
          <w:b w:val="0"/>
          <w:bCs/>
          <w:color w:val="auto"/>
          <w:sz w:val="32"/>
          <w:szCs w:val="32"/>
          <w:lang w:val="en-US" w:eastAsia="zh-CN"/>
          <w:highlight w:val="auto"/>
        </w:rPr>
        <w:t>10</w:t>
      </w:r>
      <w:r>
        <w:rPr>
          <w:rFonts w:ascii="仿宋_GB2312" w:eastAsia="仿宋_GB2312"/>
          <w:b w:val="0"/>
          <w:bCs/>
          <w:color w:val="auto"/>
          <w:sz w:val="32"/>
          <w:szCs w:val="32"/>
          <w:highlight w:val="auto"/>
        </w:rPr>
        <w:t>%</w:t>
      </w:r>
      <w:r>
        <w:rPr>
          <w:rFonts w:ascii="仿宋_GB2312" w:eastAsia="仿宋_GB2312" w:hint="eastAsia"/>
          <w:b w:val="0"/>
          <w:bCs/>
          <w:color w:val="auto"/>
          <w:sz w:val="32"/>
          <w:szCs w:val="32"/>
          <w:highlight w:val="auto"/>
        </w:rPr>
        <w:t>。主要原因是</w:t>
      </w:r>
      <w:r>
        <w:rPr>
          <w:rFonts w:ascii="仿宋_GB2312" w:eastAsia="仿宋_GB2312" w:hint="eastAsia"/>
          <w:b w:val="0"/>
          <w:bCs/>
          <w:color w:val="auto"/>
          <w:sz w:val="32"/>
          <w:szCs w:val="32"/>
          <w:lang w:eastAsia="zh-CN"/>
          <w:highlight w:val="auto"/>
        </w:rPr>
        <w:t>厉行节约</w:t>
      </w:r>
      <w:r>
        <w:rPr>
          <w:rFonts w:ascii="仿宋_GB2312" w:eastAsia="仿宋_GB2312" w:hint="eastAsia"/>
          <w:b w:val="0"/>
          <w:bCs/>
          <w:color w:val="auto"/>
          <w:sz w:val="32"/>
          <w:szCs w:val="32"/>
          <w:highlight w:val="auto"/>
        </w:rPr>
        <w:t>。其中：</w:t>
      </w:r>
    </w:p>
    <w:p>
      <w:pPr>
        <w:spacing w:line="600" w:lineRule="exact"/>
        <w:ind w:firstLine="640"/>
        <w:rPr>
          <w:rFonts w:ascii="仿宋_GB2312" w:eastAsia="仿宋_GB2312"/>
          <w:color w:val="auto"/>
          <w:sz w:val="32"/>
          <w:szCs w:val="32"/>
          <w:lang w:val="en-US" w:eastAsia="zh-CN"/>
          <w:highlight w:val="auto"/>
        </w:rPr>
      </w:pPr>
      <w:r>
        <w:rPr>
          <w:rFonts w:ascii="仿宋" w:eastAsia="仿宋" w:hint="eastAsia"/>
          <w:b w:val="0"/>
          <w:bCs/>
          <w:color w:val="auto"/>
          <w:sz w:val="32"/>
          <w:szCs w:val="32"/>
          <w:highlight w:val="auto"/>
        </w:rPr>
        <w:t>国内公务接待支出</w:t>
      </w:r>
      <w:r>
        <w:rPr>
          <w:rFonts w:ascii="仿宋" w:eastAsia="仿宋" w:hint="eastAsia"/>
          <w:b w:val="0"/>
          <w:bCs/>
          <w:color w:val="auto"/>
          <w:sz w:val="32"/>
          <w:szCs w:val="32"/>
          <w:lang w:val="en-US" w:eastAsia="zh-CN"/>
          <w:highlight w:val="auto"/>
        </w:rPr>
        <w:t>0.09</w:t>
      </w:r>
      <w:r>
        <w:rPr>
          <w:rFonts w:ascii="仿宋_GB2312" w:eastAsia="仿宋_GB2312" w:hint="eastAsia"/>
          <w:b w:val="0"/>
          <w:bCs/>
          <w:color w:val="auto"/>
          <w:sz w:val="32"/>
          <w:szCs w:val="32"/>
          <w:highlight w:val="auto"/>
        </w:rPr>
        <w:t>万元，主要用于</w:t>
      </w:r>
      <w:r>
        <w:rPr>
          <w:rFonts w:ascii="仿宋_GB2312" w:eastAsia="仿宋_GB2312" w:hint="eastAsia"/>
          <w:b w:val="0"/>
          <w:bCs/>
          <w:color w:val="auto"/>
          <w:sz w:val="32"/>
          <w:szCs w:val="32"/>
          <w:lang w:eastAsia="zh-CN"/>
          <w:highlight w:val="auto"/>
        </w:rPr>
        <w:t>省厅领导到烈士陵园检查指导工作</w:t>
      </w:r>
      <w:r>
        <w:rPr>
          <w:rFonts w:ascii="仿宋_GB2312" w:eastAsia="仿宋_GB2312" w:hint="eastAsia"/>
          <w:b w:val="0"/>
          <w:bCs/>
          <w:color w:val="auto"/>
          <w:sz w:val="32"/>
          <w:szCs w:val="32"/>
          <w:highlight w:val="auto"/>
        </w:rPr>
        <w:t>开支的用餐费。国内公务接待</w:t>
      </w:r>
      <w:r>
        <w:rPr>
          <w:rFonts w:ascii="仿宋_GB2312" w:eastAsia="仿宋_GB2312" w:hint="eastAsia"/>
          <w:b w:val="0"/>
          <w:bCs/>
          <w:color w:val="auto"/>
          <w:sz w:val="32"/>
          <w:szCs w:val="32"/>
          <w:lang w:val="en-US" w:eastAsia="zh-CN"/>
          <w:highlight w:val="auto"/>
        </w:rPr>
        <w:t>2</w:t>
      </w:r>
      <w:r>
        <w:rPr>
          <w:rFonts w:ascii="仿宋_GB2312" w:eastAsia="仿宋_GB2312" w:hint="eastAsia"/>
          <w:b w:val="0"/>
          <w:bCs/>
          <w:color w:val="auto"/>
          <w:sz w:val="32"/>
          <w:szCs w:val="32"/>
          <w:highlight w:val="auto"/>
        </w:rPr>
        <w:t>批次，</w:t>
      </w:r>
      <w:r>
        <w:rPr>
          <w:rFonts w:ascii="仿宋_GB2312" w:eastAsia="仿宋_GB2312" w:hint="eastAsia"/>
          <w:b w:val="0"/>
          <w:bCs/>
          <w:color w:val="auto"/>
          <w:sz w:val="32"/>
          <w:szCs w:val="32"/>
          <w:lang w:val="en-US" w:eastAsia="zh-CN"/>
          <w:highlight w:val="auto"/>
        </w:rPr>
        <w:t>8</w:t>
      </w:r>
      <w:r>
        <w:rPr>
          <w:rFonts w:ascii="仿宋_GB2312" w:eastAsia="仿宋_GB2312" w:hint="eastAsia"/>
          <w:b w:val="0"/>
          <w:bCs/>
          <w:color w:val="auto"/>
          <w:sz w:val="32"/>
          <w:szCs w:val="32"/>
          <w:highlight w:val="auto"/>
        </w:rPr>
        <w:t>人次（不包括陪同人员），共计支出</w:t>
      </w:r>
      <w:r>
        <w:rPr>
          <w:rFonts w:ascii="仿宋_GB2312" w:eastAsia="仿宋_GB2312" w:hint="eastAsia"/>
          <w:b w:val="0"/>
          <w:bCs/>
          <w:color w:val="auto"/>
          <w:sz w:val="32"/>
          <w:szCs w:val="32"/>
          <w:lang w:val="en-US" w:eastAsia="zh-CN"/>
          <w:highlight w:val="auto"/>
        </w:rPr>
        <w:t>0.09</w:t>
      </w:r>
      <w:r>
        <w:rPr>
          <w:rFonts w:ascii="仿宋_GB2312" w:eastAsia="仿宋_GB2312" w:hint="eastAsia"/>
          <w:b w:val="0"/>
          <w:bCs/>
          <w:color w:val="auto"/>
          <w:sz w:val="32"/>
          <w:szCs w:val="32"/>
          <w:highlight w:val="auto"/>
        </w:rPr>
        <w:t>万元，具体内容包括：</w:t>
      </w:r>
      <w:r>
        <w:rPr>
          <w:rFonts w:ascii="仿宋_GB2312" w:eastAsia="仿宋_GB2312" w:hint="eastAsia"/>
          <w:b w:val="0"/>
          <w:bCs/>
          <w:color w:val="auto"/>
          <w:sz w:val="32"/>
          <w:szCs w:val="32"/>
          <w:lang w:eastAsia="zh-CN"/>
          <w:highlight w:val="auto"/>
        </w:rPr>
        <w:t>省退役军人事务厅整修工作第</w:t>
      </w:r>
      <w:r>
        <w:rPr>
          <w:rFonts w:ascii="仿宋_GB2312" w:eastAsia="仿宋_GB2312" w:hint="eastAsia"/>
          <w:b w:val="0"/>
          <w:bCs/>
          <w:color w:val="auto"/>
          <w:sz w:val="32"/>
          <w:szCs w:val="32"/>
          <w:lang w:val="en-US" w:eastAsia="zh-CN"/>
          <w:highlight w:val="auto"/>
        </w:rPr>
        <w:t>2督导组到市烈士陵</w:t>
      </w:r>
      <w:r>
        <w:rPr>
          <w:rFonts w:ascii="仿宋_GB2312" w:eastAsia="仿宋_GB2312" w:hint="eastAsia"/>
          <w:color w:val="auto"/>
          <w:sz w:val="32"/>
          <w:szCs w:val="32"/>
          <w:lang w:val="en-US" w:eastAsia="zh-CN"/>
          <w:highlight w:val="auto"/>
        </w:rPr>
        <w:t>园开展烈士纪念设施整修工程现场督导工作开支费用0.04万元；省退役军人事务厅领导赴广元开</w:t>
      </w:r>
      <w:r>
        <w:rPr>
          <w:rFonts w:ascii="仿宋_GB2312" w:eastAsia="仿宋_GB2312"/>
          <w:color w:val="auto"/>
          <w:sz w:val="32"/>
          <w:szCs w:val="32"/>
          <w:lang w:val="en-US" w:eastAsia="zh-CN"/>
          <w:highlight w:val="auto"/>
        </w:rPr>
        <w:t>展</w:t>
      </w:r>
      <w:r>
        <w:rPr>
          <w:rFonts w:ascii="仿宋_GB2312" w:eastAsia="仿宋_GB2312" w:hint="eastAsia"/>
          <w:color w:val="auto"/>
          <w:sz w:val="32"/>
          <w:szCs w:val="32"/>
          <w:lang w:val="en-US" w:eastAsia="zh-CN"/>
          <w:highlight w:val="auto"/>
        </w:rPr>
        <w:t>2021年全省民生实事项目和烈士纪念设施整修工程现场督导工作开支费用0.05万元。</w:t>
      </w:r>
    </w:p>
    <w:p>
      <w:pPr>
        <w:spacing w:line="600" w:lineRule="exact"/>
        <w:ind w:firstLine="645"/>
        <w:rPr>
          <w:rFonts w:ascii="黑体" w:eastAsia="黑体"/>
          <w:b w:val="0"/>
          <w:bCs/>
          <w:color w:val="auto"/>
          <w:sz w:val="32"/>
          <w:szCs w:val="32"/>
          <w:highlight w:val="auto"/>
        </w:rPr>
      </w:pPr>
      <w:r>
        <w:rPr>
          <w:rFonts w:ascii="仿宋" w:eastAsia="仿宋" w:hint="eastAsia"/>
          <w:b w:val="0"/>
          <w:bCs/>
          <w:color w:val="auto"/>
          <w:sz w:val="32"/>
          <w:szCs w:val="32"/>
          <w:highlight w:val="auto"/>
        </w:rPr>
        <w:t>外事接待支出</w:t>
      </w:r>
      <w:r>
        <w:rPr>
          <w:rFonts w:ascii="仿宋" w:eastAsia="仿宋" w:hint="eastAsia"/>
          <w:b w:val="0"/>
          <w:bCs/>
          <w:color w:val="auto"/>
          <w:sz w:val="32"/>
          <w:szCs w:val="32"/>
          <w:lang w:val="en-US" w:eastAsia="zh-CN"/>
          <w:highlight w:val="auto"/>
        </w:rPr>
        <w:t>0</w:t>
      </w:r>
      <w:r>
        <w:rPr>
          <w:rFonts w:ascii="仿宋_GB2312" w:eastAsia="仿宋_GB2312" w:hint="eastAsia"/>
          <w:b w:val="0"/>
          <w:bCs/>
          <w:color w:val="auto"/>
          <w:sz w:val="32"/>
          <w:szCs w:val="32"/>
          <w:highlight w:val="auto"/>
        </w:rPr>
        <w:t>万元，全年未发生外事接待支出。</w:t>
      </w:r>
      <w:bookmarkStart w:id="41" w:name="_Toc15377218"/>
      <w:bookmarkStart w:id="42" w:name="_Toc15396610"/>
    </w:p>
    <w:p>
      <w:pPr>
        <w:spacing w:line="600" w:lineRule="exact"/>
        <w:ind w:firstLine="640"/>
        <w:outlineLvl w:val="1"/>
        <w:rPr>
          <w:rStyle w:val="2Char"/>
          <w:rFonts w:ascii="黑体" w:eastAsia="黑体"/>
          <w:color w:val="auto"/>
          <w:highlight w:val="auto"/>
        </w:rPr>
      </w:pPr>
      <w:r>
        <w:rPr>
          <w:rFonts w:ascii="黑体" w:eastAsia="黑体" w:hint="eastAsia"/>
          <w:color w:val="auto"/>
          <w:sz w:val="32"/>
          <w:szCs w:val="32"/>
          <w:highlight w:val="auto"/>
        </w:rPr>
        <w:t>八、</w:t>
      </w:r>
      <w:r>
        <w:rPr>
          <w:rStyle w:val="2Char"/>
          <w:rFonts w:ascii="黑体" w:eastAsia="黑体" w:hint="eastAsia"/>
          <w:b w:val="0"/>
          <w:color w:val="auto"/>
          <w:highlight w:val="auto"/>
        </w:rPr>
        <w:t>政府性基金预算支出决算情况说明</w:t>
      </w:r>
      <w:bookmarkEnd w:id="41"/>
      <w:bookmarkEnd w:id="42"/>
    </w:p>
    <w:p>
      <w:pPr>
        <w:spacing w:line="600" w:lineRule="exact"/>
        <w:ind w:firstLine="640"/>
        <w:rPr>
          <w:rFonts w:ascii="仿宋_GB2312" w:eastAsia="仿宋_GB2312" w:hint="eastAsia"/>
          <w:color w:val="auto"/>
          <w:sz w:val="32"/>
          <w:szCs w:val="32"/>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21</w:t>
      </w:r>
      <w:r>
        <w:rPr>
          <w:rFonts w:ascii="仿宋_GB2312" w:eastAsia="仿宋_GB2312" w:hint="eastAsia"/>
          <w:color w:val="auto"/>
          <w:sz w:val="32"/>
          <w:szCs w:val="32"/>
          <w:highlight w:val="auto"/>
        </w:rPr>
        <w:t>年政府性基金预算</w:t>
      </w:r>
      <w:r>
        <w:rPr>
          <w:rFonts w:ascii="仿宋_GB2312" w:eastAsia="仿宋_GB2312" w:hint="eastAsia"/>
          <w:color w:val="auto"/>
          <w:sz w:val="32"/>
          <w:szCs w:val="32"/>
          <w:lang w:eastAsia="zh-CN"/>
          <w:highlight w:val="auto"/>
        </w:rPr>
        <w:t>财政</w:t>
      </w:r>
      <w:r>
        <w:rPr>
          <w:rFonts w:ascii="仿宋_GB2312" w:eastAsia="仿宋_GB2312" w:hint="eastAsia"/>
          <w:color w:val="auto"/>
          <w:sz w:val="32"/>
          <w:szCs w:val="32"/>
          <w:highlight w:val="auto"/>
        </w:rPr>
        <w:t>拨款支出</w:t>
      </w:r>
      <w:r>
        <w:rPr>
          <w:rFonts w:ascii="仿宋_GB2312" w:eastAsia="仿宋_GB2312" w:hint="eastAsia"/>
          <w:color w:val="auto"/>
          <w:sz w:val="32"/>
          <w:szCs w:val="32"/>
          <w:lang w:val="en-US" w:eastAsia="zh-CN"/>
          <w:highlight w:val="auto"/>
        </w:rPr>
        <w:t>270</w:t>
      </w:r>
      <w:r>
        <w:rPr>
          <w:rFonts w:ascii="仿宋_GB2312" w:eastAsia="仿宋_GB2312" w:hint="eastAsia"/>
          <w:color w:val="auto"/>
          <w:sz w:val="32"/>
          <w:szCs w:val="32"/>
          <w:highlight w:val="auto"/>
        </w:rPr>
        <w:t>万元</w:t>
      </w:r>
      <w:r>
        <w:rPr>
          <w:rFonts w:ascii="仿宋_GB2312" w:eastAsia="仿宋_GB2312" w:hint="eastAsia"/>
          <w:color w:val="auto"/>
          <w:sz w:val="32"/>
          <w:szCs w:val="32"/>
          <w:lang w:eastAsia="zh-CN"/>
          <w:highlight w:val="auto"/>
        </w:rPr>
        <w:t>，主要用于市烈士陵园陈列馆综合楼展陈布展项目（陈列馆）的项目支出</w:t>
      </w:r>
      <w:r>
        <w:rPr>
          <w:rFonts w:ascii="仿宋_GB2312" w:eastAsia="仿宋_GB2312" w:hint="eastAsia"/>
          <w:color w:val="auto"/>
          <w:sz w:val="32"/>
          <w:szCs w:val="32"/>
          <w:highlight w:val="auto"/>
        </w:rPr>
        <w:t>。</w:t>
      </w:r>
    </w:p>
    <w:p>
      <w:pPr>
        <w:pStyle w:val="15"/>
        <w:rPr>
          <w:rFonts w:ascii="仿宋_GB2312" w:eastAsia="仿宋_GB2312"/>
          <w:color w:val="auto"/>
          <w:sz w:val="32"/>
          <w:szCs w:val="32"/>
          <w:highlight w:val="auto"/>
        </w:rPr>
      </w:pPr>
      <w:r>
        <w:rPr>
          <w:rFonts w:ascii="仿宋_GB2312" w:eastAsia="仿宋_GB2312" w:cs="Times New Roman" w:hint="eastAsia"/>
          <w:color w:val="auto"/>
          <w:kern w:val="2"/>
          <w:sz w:val="32"/>
          <w:szCs w:val="32"/>
          <w:lang w:val="en-US" w:eastAsia="zh-CN" w:bidi="ar-SA"/>
          <w:highlight w:val="auto"/>
        </w:rPr>
        <w:t>2021年</w:t>
      </w:r>
      <w:r>
        <w:rPr>
          <w:rFonts w:hint="eastAsia"/>
        </w:rPr>
        <w:t>本单位未在政府性基金预算拨款安排“三公”经费支出。</w:t>
      </w:r>
    </w:p>
    <w:p>
      <w:pPr>
        <w:numPr>
          <w:ilvl w:val="0"/>
          <w:numId w:val="1"/>
        </w:numPr>
        <w:spacing w:line="600" w:lineRule="exact"/>
        <w:ind w:left="0" w:firstLine="640"/>
        <w:outlineLvl w:val="1"/>
        <w:rPr>
          <w:rStyle w:val="2Char"/>
          <w:rFonts w:ascii="黑体" w:eastAsia="黑体"/>
          <w:b w:val="0"/>
          <w:color w:val="auto"/>
          <w:highlight w:val="auto"/>
        </w:rPr>
      </w:pPr>
      <w:bookmarkStart w:id="43" w:name="_Toc15377219"/>
      <w:bookmarkStart w:id="44" w:name="_Toc15396611"/>
      <w:r>
        <w:rPr>
          <w:rStyle w:val="2Char"/>
          <w:rFonts w:ascii="黑体" w:eastAsia="黑体" w:hint="eastAsia"/>
          <w:b w:val="0"/>
          <w:color w:val="auto"/>
          <w:highlight w:val="auto"/>
        </w:rPr>
        <w:t>国有资本经营预算支出决算情况说明</w:t>
      </w:r>
      <w:bookmarkEnd w:id="43"/>
      <w:bookmarkEnd w:id="44"/>
    </w:p>
    <w:p>
      <w:pPr>
        <w:spacing w:line="600" w:lineRule="exact"/>
        <w:ind w:firstLine="640"/>
        <w:rPr>
          <w:rFonts w:ascii="方正小标宋简体" w:eastAsia="方正小标宋简体" w:cs="方正小标宋简体"/>
          <w:color w:val="auto"/>
          <w:sz w:val="44"/>
          <w:szCs w:val="44"/>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21</w:t>
      </w:r>
      <w:r>
        <w:rPr>
          <w:rFonts w:ascii="仿宋_GB2312" w:eastAsia="仿宋_GB2312" w:hint="eastAsia"/>
          <w:color w:val="auto"/>
          <w:sz w:val="32"/>
          <w:szCs w:val="32"/>
          <w:highlight w:val="auto"/>
        </w:rPr>
        <w:t>年国有资本经营预算</w:t>
      </w:r>
      <w:r>
        <w:rPr>
          <w:rFonts w:ascii="仿宋_GB2312" w:eastAsia="仿宋_GB2312" w:hint="eastAsia"/>
          <w:color w:val="auto"/>
          <w:sz w:val="32"/>
          <w:szCs w:val="32"/>
          <w:lang w:eastAsia="zh-CN"/>
          <w:highlight w:val="auto"/>
        </w:rPr>
        <w:t>财政</w:t>
      </w:r>
      <w:r>
        <w:rPr>
          <w:rFonts w:ascii="仿宋_GB2312" w:eastAsia="仿宋_GB2312" w:hint="eastAsia"/>
          <w:color w:val="auto"/>
          <w:sz w:val="32"/>
          <w:szCs w:val="32"/>
          <w:highlight w:val="auto"/>
        </w:rPr>
        <w:t>拨款支出</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万元。</w:t>
      </w:r>
    </w:p>
    <w:p>
      <w:pPr>
        <w:numPr>
          <w:ilvl w:val="0"/>
          <w:numId w:val="1"/>
        </w:numPr>
        <w:spacing w:line="600" w:lineRule="exact"/>
        <w:ind w:left="0" w:firstLine="640"/>
        <w:outlineLvl w:val="1"/>
        <w:rPr>
          <w:rStyle w:val="2Char"/>
          <w:rFonts w:ascii="黑体" w:eastAsia="黑体" w:hint="eastAsia"/>
          <w:b w:val="0"/>
          <w:color w:val="auto"/>
          <w:highlight w:val="auto"/>
        </w:rPr>
      </w:pPr>
      <w:bookmarkStart w:id="45" w:name="_Toc15396612"/>
      <w:bookmarkStart w:id="46" w:name="_Toc15377221"/>
      <w:r>
        <w:rPr>
          <w:rStyle w:val="2Char"/>
          <w:rFonts w:ascii="黑体" w:eastAsia="黑体" w:hint="eastAsia"/>
          <w:b w:val="0"/>
          <w:color w:val="auto"/>
          <w:lang w:val="en-US" w:eastAsia="zh-CN"/>
          <w:highlight w:val="auto"/>
        </w:rPr>
        <w:t>预算绩效管理情况</w:t>
      </w:r>
    </w:p>
    <w:p>
      <w:pPr>
        <w:spacing w:line="580" w:lineRule="exact"/>
        <w:ind w:firstLineChars="200" w:firstLine="640"/>
        <w:rPr>
          <w:rFonts w:ascii="仿宋_GB2312" w:eastAsia="仿宋_GB2312" w:cs="仿宋_GB2312" w:hint="eastAsia"/>
          <w:sz w:val="32"/>
          <w:szCs w:val="32"/>
        </w:rPr>
      </w:pPr>
      <w:r>
        <w:rPr>
          <w:rFonts w:ascii="仿宋_GB2312" w:eastAsia="仿宋_GB2312" w:cs="仿宋_GB2312" w:hint="eastAsia"/>
          <w:color w:val="auto"/>
          <w:sz w:val="32"/>
          <w:szCs w:val="32"/>
          <w:highlight w:val="auto"/>
        </w:rPr>
        <w:t>根据预算绩效管理要求，本单位在</w:t>
      </w:r>
      <w:r>
        <w:rPr>
          <w:rFonts w:ascii="仿宋_GB2312" w:eastAsia="仿宋_GB2312" w:cs="仿宋_GB2312" w:hint="eastAsia"/>
          <w:color w:val="auto"/>
          <w:sz w:val="32"/>
          <w:szCs w:val="32"/>
          <w:lang w:val="en-US" w:eastAsia="zh-CN"/>
          <w:highlight w:val="auto"/>
        </w:rPr>
        <w:t>2021年度</w:t>
      </w:r>
      <w:r>
        <w:rPr>
          <w:rFonts w:ascii="仿宋_GB2312" w:eastAsia="仿宋_GB2312" w:cs="仿宋_GB2312" w:hint="eastAsia"/>
          <w:color w:val="auto"/>
          <w:sz w:val="32"/>
          <w:szCs w:val="32"/>
          <w:highlight w:val="auto"/>
        </w:rPr>
        <w:t>预算编制阶段，组织对</w:t>
      </w:r>
      <w:r>
        <w:rPr>
          <w:rFonts w:ascii="仿宋_GB2312" w:eastAsia="仿宋_GB2312" w:cs="仿宋_GB2312"/>
          <w:color w:val="auto"/>
          <w:sz w:val="32"/>
          <w:szCs w:val="32"/>
          <w:highlight w:val="auto"/>
        </w:rPr>
        <w:t>烈士陵园绿化、设施设备维护、日常运行工作经费</w:t>
      </w:r>
      <w:r>
        <w:rPr>
          <w:rFonts w:ascii="仿宋_GB2312" w:eastAsia="仿宋_GB2312" w:cs="仿宋_GB2312" w:hint="eastAsia"/>
          <w:color w:val="auto"/>
          <w:sz w:val="32"/>
          <w:szCs w:val="32"/>
          <w:lang w:eastAsia="zh-CN"/>
          <w:highlight w:val="auto"/>
        </w:rPr>
        <w:t>等</w:t>
      </w:r>
      <w:r>
        <w:rPr>
          <w:rFonts w:ascii="仿宋_GB2312" w:eastAsia="仿宋_GB2312" w:cs="仿宋_GB2312"/>
          <w:color w:val="auto"/>
          <w:sz w:val="32"/>
          <w:szCs w:val="32"/>
          <w:lang w:val="en-US" w:eastAsia="zh-CN"/>
        </w:rPr>
        <w:t>2</w:t>
      </w:r>
      <w:r>
        <w:rPr>
          <w:rFonts w:ascii="仿宋_GB2312" w:eastAsia="仿宋_GB2312" w:cs="仿宋_GB2312" w:hint="eastAsia"/>
          <w:color w:val="auto"/>
          <w:sz w:val="32"/>
          <w:szCs w:val="32"/>
          <w:lang w:val="en-US" w:eastAsia="zh-CN"/>
          <w:highlight w:val="auto"/>
        </w:rPr>
        <w:t>个项目</w:t>
      </w:r>
      <w:r>
        <w:rPr>
          <w:rFonts w:ascii="仿宋_GB2312" w:eastAsia="仿宋_GB2312" w:cs="仿宋_GB2312" w:hint="eastAsia"/>
          <w:color w:val="auto"/>
          <w:sz w:val="32"/>
          <w:szCs w:val="32"/>
          <w:highlight w:val="auto"/>
        </w:rPr>
        <w:t>开展了预算事前绩效评估，对</w:t>
      </w:r>
      <w:r>
        <w:rPr>
          <w:rFonts w:ascii="仿宋_GB2312" w:eastAsia="仿宋_GB2312" w:cs="仿宋_GB2312"/>
          <w:color w:val="auto"/>
          <w:sz w:val="32"/>
          <w:szCs w:val="32"/>
          <w:highlight w:val="auto"/>
        </w:rPr>
        <w:t>烈士陵园绿化、设施设备维护、日常运行工作经费,市烈士陵园陈列馆综合楼展陈项目（陈列馆）等2</w:t>
      </w:r>
      <w:r>
        <w:rPr>
          <w:rFonts w:ascii="仿宋_GB2312" w:eastAsia="仿宋_GB2312" w:cs="仿宋_GB2312" w:hint="eastAsia"/>
          <w:color w:val="auto"/>
          <w:sz w:val="32"/>
          <w:szCs w:val="32"/>
          <w:highlight w:val="auto"/>
        </w:rPr>
        <w:t>个项目编制了绩效目标，预算执行过程中，选取</w:t>
      </w:r>
      <w:r>
        <w:rPr>
          <w:rFonts w:ascii="仿宋_GB2312" w:eastAsia="仿宋_GB2312" w:cs="仿宋_GB2312"/>
          <w:color w:val="auto"/>
          <w:sz w:val="32"/>
          <w:szCs w:val="32"/>
          <w:highlight w:val="auto"/>
        </w:rPr>
        <w:t>2</w:t>
      </w:r>
      <w:r>
        <w:rPr>
          <w:rFonts w:ascii="仿宋_GB2312" w:eastAsia="仿宋_GB2312" w:cs="仿宋_GB2312" w:hint="eastAsia"/>
          <w:color w:val="auto"/>
          <w:sz w:val="32"/>
          <w:szCs w:val="32"/>
          <w:highlight w:val="auto"/>
        </w:rPr>
        <w:t>个项目开展绩效监控，年终执行完毕后，对</w:t>
      </w:r>
      <w:r>
        <w:rPr>
          <w:rFonts w:ascii="仿宋_GB2312" w:eastAsia="仿宋_GB2312" w:cs="仿宋_GB2312"/>
          <w:color w:val="auto"/>
          <w:sz w:val="32"/>
          <w:szCs w:val="32"/>
          <w:highlight w:val="auto"/>
        </w:rPr>
        <w:t>2</w:t>
      </w:r>
      <w:r>
        <w:rPr>
          <w:rFonts w:ascii="仿宋_GB2312" w:eastAsia="仿宋_GB2312" w:cs="仿宋_GB2312" w:hint="eastAsia"/>
          <w:color w:val="auto"/>
          <w:sz w:val="32"/>
          <w:szCs w:val="32"/>
          <w:highlight w:val="auto"/>
        </w:rPr>
        <w:t>个项目开展了绩效自评</w:t>
      </w:r>
      <w:r>
        <w:rPr>
          <w:rFonts w:ascii="仿宋_GB2312" w:eastAsia="仿宋_GB2312" w:cs="仿宋_GB2312" w:hint="eastAsia"/>
          <w:color w:val="auto"/>
          <w:sz w:val="32"/>
          <w:szCs w:val="32"/>
          <w:lang w:eastAsia="zh-CN"/>
          <w:highlight w:val="auto"/>
        </w:rPr>
        <w:t>，</w:t>
      </w:r>
      <w:r>
        <w:rPr>
          <w:rFonts w:ascii="仿宋_GB2312" w:eastAsia="仿宋_GB2312" w:cs="仿宋_GB2312" w:hint="eastAsia"/>
          <w:color w:val="auto"/>
          <w:sz w:val="32"/>
          <w:szCs w:val="32"/>
          <w:lang w:val="en-US" w:eastAsia="zh-CN"/>
          <w:highlight w:val="auto"/>
        </w:rPr>
        <w:t>2021年部门预算项目绩效目标自评表见附件（第四部分）</w:t>
      </w:r>
      <w:r>
        <w:rPr>
          <w:rFonts w:ascii="仿宋_GB2312" w:eastAsia="仿宋_GB2312" w:cs="仿宋_GB2312" w:hint="eastAsia"/>
          <w:color w:val="auto"/>
          <w:sz w:val="32"/>
          <w:szCs w:val="32"/>
          <w:highlight w:val="auto"/>
        </w:rPr>
        <w:t>。</w:t>
      </w:r>
    </w:p>
    <w:p>
      <w:pPr>
        <w:numPr>
          <w:ilvl w:val="0"/>
          <w:numId w:val="1"/>
        </w:numPr>
        <w:spacing w:line="600" w:lineRule="exact"/>
        <w:ind w:left="0" w:firstLine="640"/>
        <w:outlineLvl w:val="1"/>
        <w:rPr>
          <w:rStyle w:val="2Char"/>
          <w:rFonts w:ascii="黑体" w:eastAsia="黑体" w:hint="eastAsia"/>
          <w:b w:val="0"/>
          <w:color w:val="auto"/>
          <w:highlight w:val="auto"/>
        </w:rPr>
      </w:pPr>
      <w:r>
        <w:rPr>
          <w:rStyle w:val="2Char"/>
          <w:rFonts w:ascii="黑体" w:eastAsia="黑体" w:hint="eastAsia"/>
          <w:b w:val="0"/>
          <w:color w:val="auto"/>
          <w:highlight w:val="auto"/>
        </w:rPr>
        <w:t>其他重要事项的情况说明</w:t>
      </w:r>
      <w:bookmarkEnd w:id="45"/>
      <w:bookmarkEnd w:id="46"/>
    </w:p>
    <w:p>
      <w:pPr>
        <w:spacing w:line="600" w:lineRule="exact"/>
        <w:ind w:firstLineChars="200" w:firstLine="640"/>
        <w:outlineLvl w:val="2"/>
        <w:rPr>
          <w:rFonts w:ascii="仿宋" w:eastAsia="仿宋"/>
          <w:color w:val="auto"/>
          <w:sz w:val="32"/>
          <w:szCs w:val="32"/>
          <w:highlight w:val="auto"/>
        </w:rPr>
      </w:pPr>
      <w:bookmarkStart w:id="47" w:name="_Toc15377222"/>
      <w:r>
        <w:rPr>
          <w:rFonts w:ascii="仿宋" w:eastAsia="仿宋" w:hint="eastAsia"/>
          <w:b/>
          <w:color w:val="auto"/>
          <w:sz w:val="32"/>
          <w:szCs w:val="32"/>
          <w:highlight w:val="auto"/>
        </w:rPr>
        <w:t>（一）机关运行经费支出情况</w:t>
      </w:r>
      <w:bookmarkEnd w:id="47"/>
    </w:p>
    <w:p>
      <w:pPr>
        <w:spacing w:line="580" w:lineRule="exact"/>
        <w:ind w:firstLineChars="200" w:firstLine="640"/>
        <w:rPr>
          <w:rFonts w:ascii="仿宋_GB2312" w:eastAsia="仿宋_GB2312" w:cs="仿宋_GB2312"/>
          <w:color w:val="auto"/>
          <w:sz w:val="32"/>
          <w:szCs w:val="32"/>
          <w:lang w:val="en-US" w:eastAsia="zh-CN"/>
          <w:highlight w:val="auto"/>
        </w:rPr>
      </w:pPr>
      <w:r>
        <w:rPr>
          <w:rFonts w:ascii="仿宋_GB2312" w:eastAsia="仿宋_GB2312" w:cs="仿宋_GB2312" w:hint="eastAsia"/>
          <w:color w:val="auto"/>
          <w:sz w:val="32"/>
          <w:szCs w:val="32"/>
          <w:lang w:val="en-US" w:eastAsia="zh-CN"/>
          <w:highlight w:val="auto"/>
        </w:rPr>
        <w:t>2021年未发生机关运行经费支出，与2020年决算数持平。</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bookmarkStart w:id="48" w:name="_Toc15377223"/>
      <w:r>
        <w:rPr>
          <w:rFonts w:ascii="仿宋" w:eastAsia="仿宋" w:hint="eastAsia"/>
          <w:b/>
          <w:color w:val="auto"/>
          <w:sz w:val="32"/>
          <w:szCs w:val="32"/>
          <w:highlight w:val="auto"/>
        </w:rPr>
        <w:t>（二）政府采购支出情况</w:t>
      </w:r>
      <w:bookmarkEnd w:id="48"/>
    </w:p>
    <w:p>
      <w:pPr>
        <w:spacing w:line="600" w:lineRule="exact"/>
        <w:ind w:firstLineChars="200" w:firstLine="640"/>
        <w:rPr>
          <w:rFonts w:ascii="仿宋_GB2312" w:eastAsia="仿宋_GB2312"/>
          <w:color w:val="auto"/>
          <w:sz w:val="32"/>
          <w:szCs w:val="32"/>
          <w:highlight w:val="auto"/>
        </w:rPr>
      </w:pP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21</w:t>
      </w:r>
      <w:r>
        <w:rPr>
          <w:rFonts w:ascii="仿宋_GB2312" w:eastAsia="仿宋_GB2312" w:hint="eastAsia"/>
          <w:color w:val="auto"/>
          <w:sz w:val="32"/>
          <w:szCs w:val="32"/>
          <w:highlight w:val="auto"/>
        </w:rPr>
        <w:t>年，</w:t>
      </w:r>
      <w:r>
        <w:rPr>
          <w:rFonts w:ascii="仿宋_GB2312" w:eastAsia="仿宋_GB2312" w:hint="eastAsia"/>
          <w:color w:val="auto"/>
          <w:sz w:val="32"/>
          <w:szCs w:val="32"/>
          <w:lang w:eastAsia="zh-CN"/>
          <w:highlight w:val="auto"/>
        </w:rPr>
        <w:t>广元市烈士陵园管理所</w:t>
      </w:r>
      <w:r>
        <w:rPr>
          <w:rFonts w:ascii="仿宋_GB2312" w:eastAsia="仿宋_GB2312" w:hint="eastAsia"/>
          <w:color w:val="auto"/>
          <w:sz w:val="32"/>
          <w:szCs w:val="32"/>
          <w:highlight w:val="auto"/>
        </w:rPr>
        <w:t>政府采购支出总额</w:t>
      </w:r>
      <w:r>
        <w:rPr>
          <w:rFonts w:ascii="仿宋_GB2312" w:eastAsia="仿宋_GB2312" w:hint="eastAsia"/>
          <w:color w:val="auto"/>
          <w:sz w:val="32"/>
          <w:szCs w:val="32"/>
          <w:lang w:val="en-US" w:eastAsia="zh-CN"/>
          <w:highlight w:val="auto"/>
        </w:rPr>
        <w:t>576.6</w:t>
      </w:r>
      <w:r>
        <w:rPr>
          <w:rFonts w:ascii="仿宋_GB2312" w:eastAsia="仿宋_GB2312" w:hint="eastAsia"/>
          <w:color w:val="auto"/>
          <w:sz w:val="32"/>
          <w:szCs w:val="32"/>
          <w:highlight w:val="auto"/>
        </w:rPr>
        <w:t>万元，其中：政府采购货物支出</w:t>
      </w:r>
      <w:r>
        <w:rPr>
          <w:rFonts w:ascii="仿宋_GB2312" w:eastAsia="仿宋_GB2312" w:hint="eastAsia"/>
          <w:color w:val="auto"/>
          <w:sz w:val="32"/>
          <w:szCs w:val="32"/>
          <w:lang w:val="en-US" w:eastAsia="zh-CN"/>
          <w:highlight w:val="auto"/>
        </w:rPr>
        <w:t>0.5</w:t>
      </w:r>
      <w:r>
        <w:rPr>
          <w:rFonts w:ascii="仿宋_GB2312" w:eastAsia="仿宋_GB2312" w:hint="eastAsia"/>
          <w:color w:val="auto"/>
          <w:sz w:val="32"/>
          <w:szCs w:val="32"/>
          <w:highlight w:val="auto"/>
        </w:rPr>
        <w:t>万元、政府采购服务支出</w:t>
      </w:r>
      <w:r>
        <w:rPr>
          <w:rFonts w:ascii="仿宋_GB2312" w:eastAsia="仿宋_GB2312" w:hint="eastAsia"/>
          <w:color w:val="auto"/>
          <w:sz w:val="32"/>
          <w:szCs w:val="32"/>
          <w:lang w:val="en-US" w:eastAsia="zh-CN"/>
          <w:highlight w:val="auto"/>
        </w:rPr>
        <w:t>576.1</w:t>
      </w:r>
      <w:r>
        <w:rPr>
          <w:rFonts w:ascii="仿宋_GB2312" w:eastAsia="仿宋_GB2312" w:hint="eastAsia"/>
          <w:color w:val="auto"/>
          <w:sz w:val="32"/>
          <w:szCs w:val="32"/>
          <w:highlight w:val="auto"/>
        </w:rPr>
        <w:t>万元。主要用于</w:t>
      </w:r>
      <w:r>
        <w:rPr>
          <w:rFonts w:ascii="仿宋_GB2312" w:eastAsia="仿宋_GB2312" w:hint="eastAsia"/>
          <w:color w:val="auto"/>
          <w:sz w:val="32"/>
          <w:szCs w:val="32"/>
          <w:lang w:eastAsia="zh-CN"/>
          <w:highlight w:val="auto"/>
        </w:rPr>
        <w:t>货物支出为采购多功能一体机，服务支出为市烈士陵园陈列馆综合楼展陈布展项目（陈列馆）</w:t>
      </w:r>
      <w:r>
        <w:rPr>
          <w:rFonts w:ascii="仿宋_GB2312" w:eastAsia="仿宋_GB2312" w:hint="eastAsia"/>
          <w:color w:val="auto"/>
          <w:sz w:val="32"/>
          <w:szCs w:val="32"/>
          <w:highlight w:val="auto"/>
        </w:rPr>
        <w:t>。授予中小企业合同金额</w:t>
      </w:r>
      <w:r>
        <w:rPr>
          <w:rFonts w:ascii="仿宋_GB2312" w:eastAsia="仿宋_GB2312" w:hint="eastAsia"/>
          <w:color w:val="auto"/>
          <w:sz w:val="32"/>
          <w:szCs w:val="32"/>
          <w:lang w:val="en-US" w:eastAsia="zh-CN"/>
          <w:highlight w:val="auto"/>
        </w:rPr>
        <w:t>576.6</w:t>
      </w:r>
      <w:r>
        <w:rPr>
          <w:rFonts w:ascii="仿宋_GB2312" w:eastAsia="仿宋_GB2312" w:hint="eastAsia"/>
          <w:color w:val="auto"/>
          <w:sz w:val="32"/>
          <w:szCs w:val="32"/>
          <w:highlight w:val="auto"/>
        </w:rPr>
        <w:t>万元，占政府采购支出总额的</w:t>
      </w:r>
      <w:r>
        <w:rPr>
          <w:rFonts w:ascii="仿宋_GB2312" w:eastAsia="仿宋_GB2312" w:hint="eastAsia"/>
          <w:color w:val="auto"/>
          <w:sz w:val="32"/>
          <w:szCs w:val="32"/>
          <w:lang w:val="en-US" w:eastAsia="zh-CN"/>
          <w:highlight w:val="auto"/>
        </w:rPr>
        <w:t>100</w:t>
      </w:r>
      <w:r>
        <w:rPr>
          <w:rFonts w:ascii="仿宋_GB2312" w:eastAsia="仿宋_GB2312"/>
          <w:color w:val="auto"/>
          <w:sz w:val="32"/>
          <w:szCs w:val="32"/>
          <w:highlight w:val="auto"/>
        </w:rPr>
        <w:t>%</w:t>
      </w:r>
      <w:r>
        <w:rPr>
          <w:rFonts w:ascii="仿宋_GB2312" w:eastAsia="仿宋_GB2312" w:hint="eastAsia"/>
          <w:color w:val="auto"/>
          <w:sz w:val="32"/>
          <w:szCs w:val="32"/>
          <w:highlight w:val="auto"/>
        </w:rPr>
        <w:t>，其中：授予小微企业合同金额</w:t>
      </w:r>
      <w:r>
        <w:rPr>
          <w:rFonts w:ascii="仿宋_GB2312" w:eastAsia="仿宋_GB2312" w:hint="eastAsia"/>
          <w:color w:val="auto"/>
          <w:sz w:val="32"/>
          <w:szCs w:val="32"/>
          <w:lang w:val="en-US" w:eastAsia="zh-CN"/>
          <w:highlight w:val="auto"/>
        </w:rPr>
        <w:t>576.6</w:t>
      </w:r>
      <w:r>
        <w:rPr>
          <w:rFonts w:ascii="仿宋_GB2312" w:eastAsia="仿宋_GB2312" w:hint="eastAsia"/>
          <w:color w:val="auto"/>
          <w:sz w:val="32"/>
          <w:szCs w:val="32"/>
          <w:highlight w:val="auto"/>
        </w:rPr>
        <w:t>万元，占政府采购支出总额的</w:t>
      </w:r>
      <w:r>
        <w:rPr>
          <w:rFonts w:ascii="仿宋_GB2312" w:eastAsia="仿宋_GB2312" w:hint="eastAsia"/>
          <w:color w:val="auto"/>
          <w:sz w:val="32"/>
          <w:szCs w:val="32"/>
          <w:lang w:val="en-US" w:eastAsia="zh-CN"/>
          <w:highlight w:val="auto"/>
        </w:rPr>
        <w:t>100</w:t>
      </w:r>
      <w:r>
        <w:rPr>
          <w:rFonts w:ascii="仿宋_GB2312" w:eastAsia="仿宋_GB2312"/>
          <w:color w:val="auto"/>
          <w:sz w:val="32"/>
          <w:szCs w:val="32"/>
          <w:highlight w:val="auto"/>
        </w:rPr>
        <w:t>%</w:t>
      </w:r>
      <w:r>
        <w:rPr>
          <w:rFonts w:ascii="仿宋_GB2312" w:eastAsia="仿宋_GB2312" w:hint="eastAsia"/>
          <w:color w:val="auto"/>
          <w:sz w:val="32"/>
          <w:szCs w:val="32"/>
          <w:highlight w:val="auto"/>
        </w:rPr>
        <w:t>。</w:t>
      </w:r>
    </w:p>
    <w:p>
      <w:pPr>
        <w:autoSpaceDE w:val="0"/>
        <w:autoSpaceDN w:val="0"/>
        <w:adjustRightInd w:val="0"/>
        <w:spacing w:line="600" w:lineRule="exact"/>
        <w:ind w:firstLineChars="200" w:firstLine="640"/>
        <w:jc w:val="left"/>
        <w:outlineLvl w:val="2"/>
        <w:rPr>
          <w:rFonts w:ascii="仿宋" w:eastAsia="仿宋"/>
          <w:b/>
          <w:color w:val="auto"/>
          <w:sz w:val="32"/>
          <w:szCs w:val="32"/>
          <w:highlight w:val="auto"/>
        </w:rPr>
      </w:pPr>
      <w:bookmarkStart w:id="49" w:name="_Toc15377224"/>
      <w:r>
        <w:rPr>
          <w:rFonts w:ascii="仿宋" w:eastAsia="仿宋" w:hint="eastAsia"/>
          <w:b/>
          <w:color w:val="auto"/>
          <w:sz w:val="32"/>
          <w:szCs w:val="32"/>
          <w:highlight w:val="auto"/>
        </w:rPr>
        <w:t>（三）国有资产占有使用情况</w:t>
      </w:r>
      <w:bookmarkEnd w:id="49"/>
    </w:p>
    <w:p>
      <w:pPr>
        <w:autoSpaceDE w:val="0"/>
        <w:autoSpaceDN w:val="0"/>
        <w:adjustRightInd w:val="0"/>
        <w:spacing w:line="600" w:lineRule="exact"/>
        <w:ind w:firstLineChars="200" w:firstLine="640"/>
        <w:jc w:val="left"/>
        <w:rPr>
          <w:rFonts w:ascii="仿宋_GB2312" w:eastAsia="仿宋_GB2312" w:hint="eastAsia"/>
          <w:color w:val="auto"/>
          <w:sz w:val="32"/>
          <w:szCs w:val="32"/>
          <w:highlight w:val="auto"/>
        </w:rPr>
      </w:pPr>
      <w:r>
        <w:rPr>
          <w:rFonts w:ascii="仿宋_GB2312" w:eastAsia="仿宋_GB2312" w:hint="eastAsia"/>
          <w:color w:val="auto"/>
          <w:sz w:val="32"/>
          <w:szCs w:val="32"/>
          <w:highlight w:val="auto"/>
        </w:rPr>
        <w:t>截至</w:t>
      </w:r>
      <w:r>
        <w:rPr>
          <w:rFonts w:ascii="仿宋_GB2312" w:eastAsia="仿宋_GB2312"/>
          <w:color w:val="auto"/>
          <w:sz w:val="32"/>
          <w:szCs w:val="32"/>
          <w:highlight w:val="auto"/>
        </w:rPr>
        <w:t>20</w:t>
      </w:r>
      <w:r>
        <w:rPr>
          <w:rFonts w:ascii="仿宋_GB2312" w:eastAsia="仿宋_GB2312" w:hint="eastAsia"/>
          <w:color w:val="auto"/>
          <w:sz w:val="32"/>
          <w:szCs w:val="32"/>
          <w:lang w:val="en-US" w:eastAsia="zh-CN"/>
          <w:highlight w:val="auto"/>
        </w:rPr>
        <w:t>21</w:t>
      </w:r>
      <w:r>
        <w:rPr>
          <w:rFonts w:ascii="仿宋_GB2312" w:eastAsia="仿宋_GB2312" w:hint="eastAsia"/>
          <w:color w:val="auto"/>
          <w:sz w:val="32"/>
          <w:szCs w:val="32"/>
          <w:highlight w:val="auto"/>
        </w:rPr>
        <w:t>年</w:t>
      </w:r>
      <w:r>
        <w:rPr>
          <w:rFonts w:ascii="仿宋_GB2312" w:eastAsia="仿宋_GB2312"/>
          <w:color w:val="auto"/>
          <w:sz w:val="32"/>
          <w:szCs w:val="32"/>
          <w:highlight w:val="auto"/>
        </w:rPr>
        <w:t>12</w:t>
      </w:r>
      <w:r>
        <w:rPr>
          <w:rFonts w:ascii="仿宋_GB2312" w:eastAsia="仿宋_GB2312" w:hint="eastAsia"/>
          <w:color w:val="auto"/>
          <w:sz w:val="32"/>
          <w:szCs w:val="32"/>
          <w:highlight w:val="auto"/>
        </w:rPr>
        <w:t>月</w:t>
      </w:r>
      <w:r>
        <w:rPr>
          <w:rFonts w:ascii="仿宋_GB2312" w:eastAsia="仿宋_GB2312"/>
          <w:color w:val="auto"/>
          <w:sz w:val="32"/>
          <w:szCs w:val="32"/>
          <w:highlight w:val="auto"/>
        </w:rPr>
        <w:t>31</w:t>
      </w:r>
      <w:r>
        <w:rPr>
          <w:rFonts w:ascii="仿宋_GB2312" w:eastAsia="仿宋_GB2312" w:hint="eastAsia"/>
          <w:color w:val="auto"/>
          <w:sz w:val="32"/>
          <w:szCs w:val="32"/>
          <w:highlight w:val="auto"/>
        </w:rPr>
        <w:t>日，</w:t>
      </w:r>
      <w:r>
        <w:rPr>
          <w:rFonts w:ascii="仿宋_GB2312" w:eastAsia="仿宋_GB2312" w:hint="eastAsia"/>
          <w:color w:val="auto"/>
          <w:sz w:val="32"/>
          <w:szCs w:val="32"/>
          <w:lang w:eastAsia="zh-CN"/>
          <w:highlight w:val="auto"/>
        </w:rPr>
        <w:t>广元市烈士陵园管理所</w:t>
      </w:r>
      <w:r>
        <w:rPr>
          <w:rFonts w:ascii="仿宋_GB2312" w:eastAsia="仿宋_GB2312" w:hint="eastAsia"/>
          <w:color w:val="auto"/>
          <w:sz w:val="32"/>
          <w:szCs w:val="32"/>
          <w:highlight w:val="auto"/>
        </w:rPr>
        <w:t>共有车辆</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辆，单价</w:t>
      </w:r>
      <w:r>
        <w:rPr>
          <w:rFonts w:ascii="仿宋_GB2312" w:eastAsia="仿宋_GB2312"/>
          <w:color w:val="auto"/>
          <w:sz w:val="32"/>
          <w:szCs w:val="32"/>
          <w:highlight w:val="auto"/>
        </w:rPr>
        <w:t>50</w:t>
      </w:r>
      <w:r>
        <w:rPr>
          <w:rFonts w:ascii="仿宋_GB2312" w:eastAsia="仿宋_GB2312" w:hint="eastAsia"/>
          <w:color w:val="auto"/>
          <w:sz w:val="32"/>
          <w:szCs w:val="32"/>
          <w:highlight w:val="auto"/>
        </w:rPr>
        <w:t>万元以上通用设备</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台（套），单价</w:t>
      </w:r>
      <w:r>
        <w:rPr>
          <w:rFonts w:ascii="仿宋_GB2312" w:eastAsia="仿宋_GB2312"/>
          <w:color w:val="auto"/>
          <w:sz w:val="32"/>
          <w:szCs w:val="32"/>
          <w:highlight w:val="auto"/>
        </w:rPr>
        <w:t>100</w:t>
      </w:r>
      <w:r>
        <w:rPr>
          <w:rFonts w:ascii="仿宋_GB2312" w:eastAsia="仿宋_GB2312" w:hint="eastAsia"/>
          <w:color w:val="auto"/>
          <w:sz w:val="32"/>
          <w:szCs w:val="32"/>
          <w:highlight w:val="auto"/>
        </w:rPr>
        <w:t>万元以上专用设备</w:t>
      </w:r>
      <w:r>
        <w:rPr>
          <w:rFonts w:ascii="仿宋_GB2312" w:eastAsia="仿宋_GB2312" w:hint="eastAsia"/>
          <w:color w:val="auto"/>
          <w:sz w:val="32"/>
          <w:szCs w:val="32"/>
          <w:lang w:val="en-US" w:eastAsia="zh-CN"/>
          <w:highlight w:val="auto"/>
        </w:rPr>
        <w:t>0</w:t>
      </w:r>
      <w:r>
        <w:rPr>
          <w:rFonts w:ascii="仿宋_GB2312" w:eastAsia="仿宋_GB2312" w:hint="eastAsia"/>
          <w:color w:val="auto"/>
          <w:sz w:val="32"/>
          <w:szCs w:val="32"/>
          <w:highlight w:val="auto"/>
        </w:rPr>
        <w:t>台（套）。</w:t>
      </w:r>
    </w:p>
    <w:p>
      <w:pPr>
        <w:pStyle w:val="16"/>
        <w:rPr>
          <w:highlight w:val="yellow"/>
        </w:rPr>
      </w:pPr>
    </w:p>
    <w:p>
      <w:pPr>
        <w:widowControl/>
        <w:jc w:val="left"/>
        <w:rPr>
          <w:rFonts w:ascii="仿宋_GB2312" w:eastAsia="仿宋_GB2312"/>
          <w:b/>
          <w:color w:val="auto"/>
          <w:sz w:val="32"/>
          <w:szCs w:val="32"/>
          <w:highlight w:val="auto"/>
        </w:rPr>
      </w:pPr>
      <w:r>
        <w:rPr>
          <w:rFonts w:ascii="仿宋_GB2312" w:eastAsia="仿宋_GB2312"/>
          <w:b/>
          <w:color w:val="auto"/>
          <w:sz w:val="32"/>
          <w:szCs w:val="32"/>
          <w:highlight w:val="auto"/>
        </w:rPr>
        <w:br w:type="page"/>
      </w:r>
    </w:p>
    <w:p>
      <w:pPr>
        <w:spacing w:line="600" w:lineRule="exact"/>
        <w:ind w:leftChars="150" w:left="315"/>
        <w:jc w:val="center"/>
        <w:outlineLvl w:val="0"/>
        <w:rPr>
          <w:rStyle w:val="1Char"/>
          <w:rFonts w:ascii="方正小标宋简体" w:eastAsia="方正小标宋简体" w:cs="方正小标宋简体" w:hint="eastAsia"/>
          <w:b w:val="0"/>
        </w:rPr>
      </w:pPr>
      <w:bookmarkStart w:id="50" w:name="_Toc15396613"/>
      <w:bookmarkStart w:id="51" w:name="_Toc15377225"/>
      <w:r>
        <w:rPr>
          <w:rFonts w:ascii="方正小标宋简体" w:eastAsia="方正小标宋简体" w:cs="方正小标宋简体" w:hint="eastAsia"/>
          <w:color w:val="auto"/>
          <w:sz w:val="44"/>
          <w:szCs w:val="44"/>
          <w:lang w:eastAsia="zh-CN"/>
          <w:highlight w:val="auto"/>
        </w:rPr>
        <w:t>第三部分</w:t>
      </w:r>
      <w:r>
        <w:rPr>
          <w:rFonts w:ascii="方正小标宋简体" w:eastAsia="方正小标宋简体" w:cs="方正小标宋简体" w:hint="eastAsia"/>
          <w:color w:val="auto"/>
          <w:sz w:val="44"/>
          <w:szCs w:val="44"/>
          <w:lang w:val="en-US" w:eastAsia="zh-CN"/>
          <w:highlight w:val="auto"/>
        </w:rPr>
        <w:t xml:space="preserve"> </w:t>
      </w:r>
      <w:r>
        <w:rPr>
          <w:rFonts w:ascii="方正小标宋简体" w:eastAsia="方正小标宋简体" w:cs="方正小标宋简体" w:hint="eastAsia"/>
          <w:color w:val="auto"/>
          <w:sz w:val="44"/>
          <w:szCs w:val="44"/>
          <w:highlight w:val="auto"/>
        </w:rPr>
        <w:t>名</w:t>
      </w:r>
      <w:r>
        <w:rPr>
          <w:rStyle w:val="1Char"/>
          <w:rFonts w:ascii="方正小标宋简体" w:eastAsia="方正小标宋简体" w:cs="方正小标宋简体" w:hint="eastAsia"/>
          <w:b w:val="0"/>
          <w:color w:val="auto"/>
          <w:highlight w:val="auto"/>
        </w:rPr>
        <w:t>词解释</w:t>
      </w:r>
      <w:bookmarkEnd w:id="50"/>
      <w:bookmarkEnd w:id="51"/>
    </w:p>
    <w:p>
      <w:pPr>
        <w:pStyle w:val="15"/>
        <w:spacing w:line="560" w:lineRule="exact"/>
        <w:ind w:firstLineChars="200" w:firstLine="640"/>
      </w:pPr>
    </w:p>
    <w:p>
      <w:pPr>
        <w:pStyle w:val="29"/>
        <w:spacing w:line="560" w:lineRule="exact"/>
        <w:ind w:firstLineChars="200" w:firstLine="640"/>
        <w:rPr>
          <w:rFonts w:ascii="仿宋_GB2312" w:eastAsia="仿宋_GB2312"/>
          <w:color w:val="auto"/>
          <w:sz w:val="32"/>
          <w:szCs w:val="32"/>
          <w:highlight w:val="auto"/>
        </w:rPr>
      </w:pPr>
      <w:r>
        <w:rPr>
          <w:rFonts w:ascii="仿宋_GB2312" w:eastAsia="仿宋_GB2312"/>
          <w:color w:val="auto"/>
          <w:sz w:val="32"/>
          <w:szCs w:val="32"/>
          <w:highlight w:val="auto"/>
        </w:rPr>
        <w:t>1.</w:t>
      </w:r>
      <w:r>
        <w:rPr>
          <w:rFonts w:ascii="仿宋_GB2312" w:eastAsia="仿宋_GB2312" w:hint="eastAsia"/>
          <w:color w:val="auto"/>
          <w:sz w:val="32"/>
          <w:szCs w:val="32"/>
          <w:highlight w:val="auto"/>
        </w:rPr>
        <w:t>财政拨款收入：指单位从同级财政部门取得的财政预算资金。</w:t>
      </w:r>
    </w:p>
    <w:p>
      <w:pPr>
        <w:pStyle w:val="29"/>
        <w:spacing w:line="576"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2</w:t>
      </w:r>
      <w:r>
        <w:rPr>
          <w:rFonts w:ascii="仿宋_GB2312" w:eastAsia="仿宋_GB2312"/>
          <w:color w:val="auto"/>
          <w:sz w:val="32"/>
          <w:szCs w:val="32"/>
        </w:rPr>
        <w:t>.</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9"/>
        <w:spacing w:line="576" w:lineRule="exact"/>
        <w:ind w:firstLineChars="200" w:firstLine="640"/>
        <w:rPr>
          <w:rFonts w:ascii="仿宋_GB2312" w:eastAsia="仿宋_GB2312"/>
          <w:color w:val="auto"/>
          <w:sz w:val="32"/>
          <w:szCs w:val="32"/>
        </w:rPr>
      </w:pPr>
      <w:r>
        <w:rPr>
          <w:rFonts w:ascii="仿宋_GB2312" w:eastAsia="仿宋_GB2312" w:hint="eastAsia"/>
          <w:color w:val="auto"/>
          <w:sz w:val="32"/>
          <w:szCs w:val="32"/>
          <w:lang w:val="en-US" w:eastAsia="zh-CN"/>
        </w:rPr>
        <w:t>3.</w:t>
      </w:r>
      <w:r>
        <w:rPr>
          <w:rFonts w:ascii="仿宋_GB2312" w:eastAsia="仿宋_GB2312" w:hint="eastAsia"/>
          <w:color w:val="auto"/>
          <w:sz w:val="32"/>
          <w:szCs w:val="32"/>
        </w:rPr>
        <w:t>年末结转和结余：指单位按有关规定结转到下年或以后年度继续使用的资金。</w:t>
      </w:r>
    </w:p>
    <w:p>
      <w:pPr>
        <w:spacing w:line="560" w:lineRule="exact"/>
        <w:ind w:firstLineChars="200" w:firstLine="640"/>
        <w:rPr>
          <w:rFonts w:ascii="仿宋_GB2312" w:eastAsia="仿宋_GB2312" w:cs="仿宋" w:hint="eastAsia"/>
          <w:color w:val="auto"/>
          <w:kern w:val="0"/>
          <w:sz w:val="32"/>
          <w:szCs w:val="32"/>
          <w:lang w:val="en-US" w:eastAsia="zh-CN" w:bidi="ar-SA"/>
          <w:highlight w:val="auto"/>
        </w:rPr>
      </w:pPr>
      <w:r>
        <w:rPr>
          <w:rFonts w:ascii="仿宋_GB2312" w:eastAsia="仿宋_GB2312" w:cs="仿宋"/>
          <w:color w:val="auto"/>
          <w:kern w:val="0"/>
          <w:sz w:val="32"/>
          <w:szCs w:val="32"/>
          <w:lang w:val="en-US" w:eastAsia="zh-CN" w:bidi="ar-SA"/>
          <w:highlight w:val="auto"/>
        </w:rPr>
        <w:t>4</w:t>
      </w:r>
      <w:r>
        <w:rPr>
          <w:rFonts w:ascii="仿宋_GB2312" w:eastAsia="仿宋_GB2312" w:cs="仿宋" w:hint="eastAsia"/>
          <w:color w:val="auto"/>
          <w:kern w:val="0"/>
          <w:sz w:val="32"/>
          <w:szCs w:val="32"/>
          <w:lang w:val="en-US" w:eastAsia="zh-CN" w:bidi="ar-SA"/>
          <w:highlight w:val="auto"/>
        </w:rPr>
        <w:t>.社会保障和就业支出（类）行政事业单位养老支出（款）机关事业单位基本养老保险缴费支出（项）：指机关事业单位实施养老保险制度由单位缴纳的基本养老保险费支出。</w:t>
      </w:r>
    </w:p>
    <w:p>
      <w:pPr>
        <w:spacing w:line="576" w:lineRule="exact"/>
        <w:ind w:firstLineChars="200" w:firstLine="640"/>
        <w:rPr>
          <w:rFonts w:ascii="仿宋_GB2312" w:eastAsia="仿宋_GB2312" w:cs="仿宋" w:hint="eastAsia"/>
          <w:color w:val="auto"/>
          <w:kern w:val="0"/>
          <w:sz w:val="32"/>
          <w:szCs w:val="32"/>
          <w:lang w:val="en-US" w:eastAsia="zh-CN" w:bidi="ar-SA"/>
          <w:highlight w:val="auto"/>
        </w:rPr>
      </w:pPr>
      <w:r>
        <w:rPr>
          <w:rFonts w:ascii="仿宋_GB2312" w:eastAsia="仿宋_GB2312" w:cs="仿宋"/>
          <w:color w:val="auto"/>
          <w:kern w:val="0"/>
          <w:sz w:val="32"/>
          <w:szCs w:val="32"/>
          <w:lang w:val="en-US" w:eastAsia="zh-CN" w:bidi="ar-SA"/>
          <w:highlight w:val="auto"/>
        </w:rPr>
        <w:t>5</w:t>
      </w:r>
      <w:r>
        <w:rPr>
          <w:rFonts w:ascii="仿宋_GB2312" w:eastAsia="仿宋_GB2312" w:cs="仿宋" w:hint="eastAsia"/>
          <w:color w:val="auto"/>
          <w:kern w:val="0"/>
          <w:sz w:val="32"/>
          <w:szCs w:val="32"/>
          <w:lang w:val="en-US" w:eastAsia="zh-CN" w:bidi="ar-SA"/>
          <w:highlight w:val="auto"/>
        </w:rPr>
        <w:t>. 社会保障和就业（类）抚恤（款）优抚事业单位支出（项）：指</w:t>
      </w:r>
      <w:r>
        <w:rPr>
          <w:rFonts w:ascii="仿宋_GB2312" w:eastAsia="仿宋_GB2312" w:cs="仿宋"/>
          <w:color w:val="auto"/>
          <w:kern w:val="0"/>
          <w:sz w:val="32"/>
          <w:szCs w:val="32"/>
          <w:lang w:val="en-US" w:eastAsia="zh-CN" w:bidi="ar-SA"/>
          <w:highlight w:val="auto"/>
        </w:rPr>
        <w:t>退役军人事务</w:t>
      </w:r>
      <w:r>
        <w:rPr>
          <w:rFonts w:ascii="仿宋_GB2312" w:eastAsia="仿宋_GB2312" w:cs="仿宋" w:hint="eastAsia"/>
          <w:color w:val="auto"/>
          <w:kern w:val="0"/>
          <w:sz w:val="32"/>
          <w:szCs w:val="32"/>
          <w:lang w:val="en-US" w:eastAsia="zh-CN" w:bidi="ar-SA"/>
          <w:highlight w:val="auto"/>
        </w:rPr>
        <w:t>部门管理的优抚事业单位支出，对集体优抚事业单位的补助，对烈士纪念设施的维修改造和管理保护支出，以及全国重点军供站设施维修改造和设备更新支出。</w:t>
      </w:r>
    </w:p>
    <w:p>
      <w:pPr>
        <w:spacing w:line="576" w:lineRule="exact"/>
        <w:ind w:firstLineChars="200" w:firstLine="640"/>
        <w:rPr>
          <w:rFonts w:ascii="仿宋_GB2312" w:eastAsia="仿宋_GB2312" w:cs="仿宋" w:hint="eastAsia"/>
          <w:color w:val="auto"/>
          <w:kern w:val="0"/>
          <w:sz w:val="32"/>
          <w:szCs w:val="32"/>
          <w:lang w:val="en-US" w:eastAsia="zh-CN" w:bidi="ar-SA"/>
          <w:highlight w:val="auto"/>
        </w:rPr>
      </w:pPr>
      <w:r>
        <w:rPr>
          <w:rFonts w:ascii="仿宋_GB2312" w:eastAsia="仿宋_GB2312" w:cs="仿宋"/>
          <w:color w:val="auto"/>
          <w:kern w:val="0"/>
          <w:sz w:val="32"/>
          <w:szCs w:val="32"/>
          <w:lang w:val="en-US" w:eastAsia="zh-CN" w:bidi="ar-SA"/>
          <w:highlight w:val="auto"/>
        </w:rPr>
        <w:t>6</w:t>
      </w:r>
      <w:r>
        <w:rPr>
          <w:rFonts w:ascii="仿宋_GB2312" w:eastAsia="仿宋_GB2312" w:cs="仿宋" w:hint="eastAsia"/>
          <w:color w:val="auto"/>
          <w:kern w:val="0"/>
          <w:sz w:val="32"/>
          <w:szCs w:val="32"/>
          <w:lang w:val="en-US" w:eastAsia="zh-CN" w:bidi="ar-SA"/>
          <w:highlight w:val="auto"/>
        </w:rPr>
        <w:t>.卫生健康支出（类）行政事业单位医疗（款）事业单位医疗（项）：指财政部门安排的事业单位基本医疗保险经费，未参加医疗保险的事业单位公费医疗经费，按国家规定享受离休人员待遇的医疗费。。</w:t>
      </w:r>
    </w:p>
    <w:p>
      <w:pPr>
        <w:spacing w:line="576" w:lineRule="exact"/>
        <w:ind w:firstLineChars="200" w:firstLine="640"/>
        <w:rPr>
          <w:rFonts w:ascii="仿宋_GB2312" w:eastAsia="仿宋_GB2312" w:cs="仿宋" w:hint="eastAsia"/>
          <w:color w:val="auto"/>
          <w:kern w:val="0"/>
          <w:sz w:val="32"/>
          <w:szCs w:val="32"/>
          <w:lang w:val="en-US" w:eastAsia="zh-CN" w:bidi="ar-SA"/>
          <w:highlight w:val="auto"/>
        </w:rPr>
      </w:pPr>
      <w:r>
        <w:rPr>
          <w:rFonts w:ascii="仿宋_GB2312" w:eastAsia="仿宋_GB2312" w:cs="仿宋"/>
          <w:color w:val="auto"/>
          <w:kern w:val="0"/>
          <w:sz w:val="32"/>
          <w:szCs w:val="32"/>
          <w:lang w:val="en-US" w:eastAsia="zh-CN" w:bidi="ar-SA"/>
          <w:highlight w:val="auto"/>
        </w:rPr>
        <w:t>7</w:t>
      </w:r>
      <w:r>
        <w:rPr>
          <w:rFonts w:ascii="仿宋_GB2312" w:eastAsia="仿宋_GB2312" w:cs="仿宋" w:hint="eastAsia"/>
          <w:color w:val="auto"/>
          <w:kern w:val="0"/>
          <w:sz w:val="32"/>
          <w:szCs w:val="32"/>
          <w:lang w:val="en-US" w:eastAsia="zh-CN" w:bidi="ar-SA"/>
          <w:highlight w:val="auto"/>
        </w:rPr>
        <w:t>.住房保障支出（类）住房保障支出（款）住房公积金（项）：指行政事业单位按人力资源和社会保障部、财政部规定的基本工资和津贴补贴以及规定比例为职工缴纳的住房公积金。</w:t>
      </w:r>
    </w:p>
    <w:p>
      <w:pPr>
        <w:pStyle w:val="15"/>
        <w:rPr>
          <w:lang w:val="en-US" w:eastAsia="zh-CN"/>
        </w:rPr>
      </w:pPr>
      <w:r>
        <w:rPr>
          <w:rFonts w:ascii="仿宋_GB2312" w:eastAsia="仿宋_GB2312" w:cs="仿宋"/>
          <w:color w:val="auto"/>
          <w:kern w:val="0"/>
          <w:sz w:val="32"/>
          <w:szCs w:val="32"/>
          <w:lang w:val="en-US" w:eastAsia="zh-CN" w:bidi="ar-SA"/>
        </w:rPr>
        <w:t>8</w:t>
      </w:r>
      <w:r>
        <w:rPr>
          <w:rFonts w:ascii="仿宋_GB2312" w:eastAsia="仿宋_GB2312" w:cs="仿宋" w:hint="eastAsia"/>
          <w:color w:val="auto"/>
          <w:kern w:val="0"/>
          <w:sz w:val="32"/>
          <w:szCs w:val="32"/>
          <w:lang w:val="en-US" w:eastAsia="zh-CN" w:bidi="ar-SA"/>
        </w:rPr>
        <w:t>.</w:t>
      </w:r>
      <w:r>
        <w:rPr>
          <w:rFonts w:ascii="仿宋_GB2312" w:eastAsia="仿宋_GB2312" w:cs="仿宋"/>
          <w:color w:val="auto"/>
          <w:kern w:val="0"/>
          <w:sz w:val="32"/>
          <w:szCs w:val="32"/>
          <w:lang w:val="en-US" w:eastAsia="zh-CN" w:bidi="ar-SA"/>
        </w:rPr>
        <w:t>其他支出（类）彩票公益金安排的支出（款）</w:t>
      </w:r>
      <w:r>
        <w:rPr>
          <w:rFonts w:ascii="仿宋_GB2312" w:eastAsia="仿宋_GB2312" w:cs="仿宋" w:hint="eastAsia"/>
          <w:color w:val="auto"/>
          <w:kern w:val="0"/>
          <w:sz w:val="32"/>
          <w:szCs w:val="32"/>
          <w:lang w:val="en-US" w:eastAsia="zh-CN" w:bidi="ar-SA"/>
        </w:rPr>
        <w:t>用于其他社会公益事业的彩票公益金支出（项）：</w:t>
      </w:r>
      <w:r>
        <w:rPr>
          <w:rFonts w:ascii="仿宋_GB2312" w:eastAsia="仿宋_GB2312" w:cs="仿宋"/>
          <w:color w:val="auto"/>
          <w:kern w:val="0"/>
          <w:sz w:val="32"/>
          <w:szCs w:val="32"/>
          <w:lang w:val="en-US" w:eastAsia="zh-CN" w:bidi="ar-SA"/>
        </w:rPr>
        <w:t>指省级财政优抚安置事业单位补助资金，专项用于烈士纪念设施维修改造、设备购置、环境整治、陈展宣传等支出。</w:t>
      </w:r>
    </w:p>
    <w:p>
      <w:pPr>
        <w:ind w:firstLineChars="200" w:firstLine="640"/>
        <w:rPr>
          <w:rFonts w:ascii="仿宋_GB2312" w:eastAsia="仿宋_GB2312" w:cs="仿宋" w:hint="eastAsia"/>
          <w:color w:val="auto"/>
          <w:kern w:val="0"/>
          <w:sz w:val="32"/>
          <w:szCs w:val="32"/>
          <w:lang w:val="en-US" w:eastAsia="zh-CN" w:bidi="ar-SA"/>
          <w:highlight w:val="auto"/>
        </w:rPr>
      </w:pPr>
      <w:r>
        <w:rPr>
          <w:rFonts w:ascii="仿宋_GB2312" w:eastAsia="仿宋_GB2312" w:cs="仿宋"/>
          <w:color w:val="auto"/>
          <w:kern w:val="0"/>
          <w:sz w:val="32"/>
          <w:szCs w:val="32"/>
          <w:lang w:val="en-US" w:eastAsia="zh-CN" w:bidi="ar-SA"/>
          <w:highlight w:val="auto"/>
        </w:rPr>
        <w:t>9</w:t>
      </w:r>
      <w:r>
        <w:rPr>
          <w:rFonts w:ascii="仿宋_GB2312" w:eastAsia="仿宋_GB2312" w:cs="仿宋" w:hint="eastAsia"/>
          <w:color w:val="auto"/>
          <w:kern w:val="0"/>
          <w:sz w:val="32"/>
          <w:szCs w:val="32"/>
          <w:lang w:val="en-US" w:eastAsia="zh-CN" w:bidi="ar-SA"/>
          <w:highlight w:val="auto"/>
        </w:rPr>
        <w:t>.基本支出：指为保障机构正常运转、完成日常工作任务而发生的人员支出和公用支出。</w:t>
      </w:r>
    </w:p>
    <w:p>
      <w:pPr>
        <w:ind w:firstLineChars="200" w:firstLine="640"/>
        <w:rPr>
          <w:rFonts w:ascii="仿宋_GB2312" w:eastAsia="仿宋_GB2312"/>
          <w:color w:val="auto"/>
          <w:sz w:val="32"/>
          <w:szCs w:val="32"/>
          <w:highlight w:val="auto"/>
        </w:rPr>
      </w:pPr>
      <w:r>
        <w:rPr>
          <w:rFonts w:ascii="仿宋_GB2312" w:eastAsia="仿宋_GB2312"/>
          <w:color w:val="auto"/>
          <w:sz w:val="32"/>
          <w:szCs w:val="32"/>
          <w:highlight w:val="auto"/>
        </w:rPr>
        <w:t>10.</w:t>
      </w:r>
      <w:r>
        <w:rPr>
          <w:rFonts w:ascii="仿宋_GB2312" w:eastAsia="仿宋_GB2312" w:hint="eastAsia"/>
          <w:color w:val="auto"/>
          <w:sz w:val="32"/>
          <w:szCs w:val="32"/>
          <w:highlight w:val="auto"/>
        </w:rPr>
        <w:t>项目支出：指在基本支出之外为完成特定行政任务和事业发展目标所发生的支出。</w:t>
      </w:r>
      <w:r>
        <w:rPr>
          <w:rFonts w:ascii="仿宋_GB2312" w:eastAsia="仿宋_GB2312"/>
          <w:color w:val="auto"/>
          <w:sz w:val="32"/>
          <w:szCs w:val="32"/>
          <w:highlight w:val="auto"/>
        </w:rPr>
        <w:t xml:space="preserve"> </w:t>
      </w:r>
    </w:p>
    <w:p>
      <w:pPr>
        <w:pStyle w:val="29"/>
        <w:spacing w:line="560" w:lineRule="exact"/>
        <w:ind w:firstLineChars="200" w:firstLine="640"/>
        <w:rPr>
          <w:rFonts w:ascii="仿宋_GB2312" w:eastAsia="仿宋_GB2312"/>
          <w:color w:val="auto"/>
          <w:sz w:val="32"/>
          <w:szCs w:val="32"/>
          <w:highlight w:val="auto"/>
        </w:rPr>
      </w:pPr>
      <w:r>
        <w:rPr>
          <w:rFonts w:ascii="仿宋_GB2312" w:eastAsia="仿宋_GB2312"/>
          <w:color w:val="auto"/>
          <w:sz w:val="32"/>
          <w:szCs w:val="32"/>
          <w:lang w:val="en-US" w:eastAsia="zh-CN"/>
          <w:highlight w:val="auto"/>
        </w:rPr>
        <w:t>11</w:t>
      </w:r>
      <w:r>
        <w:rPr>
          <w:rFonts w:ascii="仿宋_GB2312" w:eastAsia="仿宋_GB2312"/>
          <w:color w:val="auto"/>
          <w:sz w:val="32"/>
          <w:szCs w:val="32"/>
          <w:highlight w:val="auto"/>
        </w:rPr>
        <w:t>.</w:t>
      </w:r>
      <w:r>
        <w:rPr>
          <w:rFonts w:ascii="仿宋_GB2312" w:eastAsia="仿宋_GB2312" w:hint="eastAsia"/>
          <w:color w:val="auto"/>
          <w:sz w:val="32"/>
          <w:szCs w:val="32"/>
          <w:highlight w:val="auto"/>
        </w:rPr>
        <w:t>“三公”经费：指</w:t>
      </w:r>
      <w:r>
        <w:rPr>
          <w:rFonts w:ascii="仿宋_GB2312" w:eastAsia="仿宋_GB2312" w:hint="eastAsia"/>
          <w:color w:val="auto"/>
          <w:sz w:val="32"/>
          <w:szCs w:val="32"/>
          <w:lang w:eastAsia="zh-CN"/>
          <w:highlight w:val="auto"/>
        </w:rPr>
        <w:t>单位</w:t>
      </w:r>
      <w:r>
        <w:rPr>
          <w:rFonts w:ascii="仿宋_GB2312" w:eastAsia="仿宋_GB2312" w:hint="eastAsia"/>
          <w:color w:val="auto"/>
          <w:sz w:val="32"/>
          <w:szCs w:val="32"/>
          <w:highlight w:val="auto"/>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ascii="宋体"/>
          <w:b/>
          <w:color w:val="auto"/>
          <w:sz w:val="44"/>
          <w:szCs w:val="44"/>
          <w:highlight w:val="auto"/>
        </w:rPr>
      </w:pPr>
      <w:bookmarkStart w:id="52" w:name="_Toc15377226"/>
      <w:r>
        <w:rPr>
          <w:rFonts w:ascii="宋体"/>
          <w:b/>
          <w:color w:val="auto"/>
          <w:sz w:val="44"/>
          <w:szCs w:val="44"/>
          <w:highlight w:val="auto"/>
        </w:rPr>
        <w:br w:type="page"/>
      </w:r>
      <w:bookmarkStart w:id="53" w:name="_Toc15396614"/>
    </w:p>
    <w:p>
      <w:pPr>
        <w:spacing w:line="600" w:lineRule="exact"/>
        <w:jc w:val="both"/>
        <w:outlineLvl w:val="0"/>
        <w:rPr>
          <w:rFonts w:ascii="黑体" w:eastAsia="黑体" w:cs="黑体" w:hint="eastAsia"/>
          <w:b w:val="0"/>
          <w:bCs/>
          <w:color w:val="auto"/>
          <w:sz w:val="32"/>
          <w:szCs w:val="32"/>
          <w:lang w:eastAsia="zh-CN"/>
          <w:highlight w:val="auto"/>
        </w:rPr>
      </w:pPr>
      <w:r>
        <w:rPr>
          <w:rFonts w:ascii="黑体" w:eastAsia="黑体" w:cs="黑体" w:hint="eastAsia"/>
          <w:b w:val="0"/>
          <w:bCs/>
          <w:color w:val="auto"/>
          <w:sz w:val="32"/>
          <w:szCs w:val="32"/>
          <w:lang w:eastAsia="zh-CN"/>
          <w:highlight w:val="auto"/>
        </w:rPr>
        <w:t>附件</w:t>
      </w:r>
    </w:p>
    <w:p>
      <w:pPr>
        <w:spacing w:line="600" w:lineRule="exact"/>
        <w:jc w:val="center"/>
        <w:outlineLvl w:val="0"/>
        <w:rPr>
          <w:rStyle w:val="1Char"/>
          <w:rFonts w:ascii="方正小标宋简体" w:eastAsia="方正小标宋简体" w:cs="方正小标宋简体" w:hint="eastAsia"/>
          <w:b w:val="0"/>
          <w:color w:val="auto"/>
          <w:highlight w:val="auto"/>
        </w:rPr>
      </w:pPr>
      <w:r>
        <w:rPr>
          <w:rFonts w:ascii="方正小标宋简体" w:eastAsia="方正小标宋简体" w:cs="方正小标宋简体" w:hint="eastAsia"/>
          <w:color w:val="auto"/>
          <w:sz w:val="44"/>
          <w:szCs w:val="44"/>
          <w:highlight w:val="auto"/>
        </w:rPr>
        <w:t>第</w:t>
      </w:r>
      <w:r>
        <w:rPr>
          <w:rStyle w:val="1Char"/>
          <w:rFonts w:ascii="方正小标宋简体" w:eastAsia="方正小标宋简体" w:cs="方正小标宋简体" w:hint="eastAsia"/>
          <w:b w:val="0"/>
          <w:color w:val="auto"/>
          <w:highlight w:val="auto"/>
        </w:rPr>
        <w:t>四部分 附件</w:t>
      </w:r>
      <w:bookmarkEnd w:id="53"/>
    </w:p>
    <w:p>
      <w:pPr>
        <w:pStyle w:val="16"/>
        <w:rPr>
          <w:rFonts w:hint="eastAsia"/>
          <w:color w:val="auto"/>
          <w:lang w:val="zh-CN"/>
          <w:highlight w:val="auto"/>
        </w:rPr>
      </w:pPr>
    </w:p>
    <w:p>
      <w:pPr>
        <w:spacing w:line="560" w:lineRule="exact"/>
        <w:jc w:val="center"/>
        <w:rPr>
          <w:rFonts w:ascii="方正小标宋简体" w:eastAsia="方正小标宋简体" w:cs="方正小标宋简体"/>
          <w:sz w:val="36"/>
          <w:szCs w:val="36"/>
          <w:lang w:val="zh-CN"/>
        </w:rPr>
      </w:pPr>
      <w:bookmarkStart w:id="54" w:name="_Toc15396618"/>
      <w:r>
        <w:rPr>
          <w:rFonts w:ascii="方正小标宋简体" w:eastAsia="方正小标宋简体" w:cs="方正小标宋简体" w:hint="eastAsia"/>
          <w:sz w:val="36"/>
          <w:szCs w:val="36"/>
        </w:rPr>
        <w:t>2021年</w:t>
      </w:r>
      <w:r>
        <w:rPr>
          <w:rFonts w:ascii="方正小标宋简体" w:eastAsia="方正小标宋简体" w:cs="方正小标宋简体" w:hint="eastAsia"/>
          <w:sz w:val="36"/>
          <w:szCs w:val="36"/>
          <w:lang w:val="zh-CN"/>
        </w:rPr>
        <w:t>专项预算项目支出绩效自评报告</w:t>
      </w:r>
    </w:p>
    <w:p>
      <w:pPr>
        <w:spacing w:line="560" w:lineRule="exact"/>
        <w:jc w:val="center"/>
        <w:rPr>
          <w:rFonts w:ascii="仿宋_GB2312" w:hAnsi="仿宋_GB2312"/>
          <w:sz w:val="30"/>
          <w:szCs w:val="30"/>
        </w:rPr>
      </w:pPr>
      <w:r>
        <w:rPr>
          <w:rFonts w:ascii="楷体_GB2312" w:eastAsia="楷体_GB2312" w:hint="eastAsia"/>
          <w:sz w:val="30"/>
          <w:szCs w:val="30"/>
        </w:rPr>
        <w:t>（</w:t>
      </w:r>
      <w:r>
        <w:rPr>
          <w:rFonts w:ascii="楷体_GB2312" w:eastAsia="楷体_GB2312" w:hint="eastAsia"/>
          <w:kern w:val="0"/>
          <w:sz w:val="30"/>
          <w:szCs w:val="30"/>
        </w:rPr>
        <w:t>广元市烈士陵园陈列馆综合楼展陈项目（陈列馆）</w:t>
      </w:r>
      <w:r>
        <w:rPr>
          <w:rFonts w:ascii="楷体_GB2312" w:eastAsia="楷体_GB2312" w:hint="eastAsia"/>
          <w:sz w:val="30"/>
          <w:szCs w:val="30"/>
        </w:rPr>
        <w:t>）</w:t>
      </w:r>
    </w:p>
    <w:p>
      <w:pPr>
        <w:adjustRightInd w:val="0"/>
        <w:snapToGrid w:val="0"/>
        <w:spacing w:line="560" w:lineRule="exact"/>
        <w:ind w:firstLine="720"/>
        <w:rPr>
          <w:rFonts w:ascii="黑体" w:eastAsia="黑体" w:hint="eastAsia"/>
          <w:sz w:val="32"/>
          <w:szCs w:val="32"/>
        </w:rPr>
      </w:pPr>
    </w:p>
    <w:p>
      <w:pPr>
        <w:adjustRightInd w:val="0"/>
        <w:snapToGrid w:val="0"/>
        <w:spacing w:line="560"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（一）项目基本情况。</w:t>
      </w:r>
    </w:p>
    <w:p>
      <w:pPr>
        <w:adjustRightInd w:val="0"/>
        <w:snapToGrid w:val="0"/>
        <w:spacing w:line="560" w:lineRule="exact"/>
        <w:ind w:firstLine="720"/>
        <w:rPr>
          <w:rFonts w:ascii="仿宋_GB2312" w:eastAsia="仿宋_GB2312"/>
          <w:sz w:val="32"/>
          <w:szCs w:val="32"/>
          <w:lang w:val="zh-CN"/>
        </w:rPr>
      </w:pPr>
      <w:r>
        <w:rPr>
          <w:rFonts w:ascii="仿宋_GB2312" w:eastAsia="仿宋_GB2312" w:hint="eastAsia"/>
          <w:sz w:val="32"/>
          <w:szCs w:val="32"/>
          <w:lang w:val="zh-CN"/>
        </w:rPr>
        <w:t>1</w:t>
      </w:r>
      <w:r>
        <w:rPr>
          <w:rFonts w:ascii="仿宋_GB2312" w:eastAsia="仿宋_GB2312" w:hint="eastAsia"/>
          <w:sz w:val="32"/>
          <w:szCs w:val="32"/>
        </w:rPr>
        <w:t>.</w:t>
      </w:r>
      <w:r>
        <w:rPr>
          <w:rFonts w:ascii="仿宋_GB2312" w:eastAsia="仿宋_GB2312" w:hint="eastAsia"/>
          <w:sz w:val="32"/>
          <w:szCs w:val="32"/>
          <w:lang w:val="zh-CN"/>
        </w:rPr>
        <w:t>说明项目主管部门（单位）在该项目管理中的职能。</w:t>
      </w:r>
    </w:p>
    <w:p>
      <w:pPr>
        <w:pStyle w:val="15"/>
        <w:rPr>
          <w:rFonts w:ascii="仿宋_GB2312" w:eastAsia="仿宋_GB2312"/>
          <w:szCs w:val="32"/>
          <w:lang w:val="zh-CN"/>
        </w:rPr>
      </w:pPr>
      <w:r>
        <w:rPr>
          <w:rFonts w:ascii="仿宋_GB2312" w:eastAsia="仿宋_GB2312" w:hint="eastAsia"/>
          <w:szCs w:val="32"/>
          <w:lang w:val="zh-CN"/>
        </w:rPr>
        <w:t>项目主管单位：广元市烈士陵园管理所。</w:t>
      </w:r>
    </w:p>
    <w:p>
      <w:pPr>
        <w:pStyle w:val="15"/>
        <w:rPr>
          <w:rFonts w:ascii="仿宋_GB2312" w:eastAsia="仿宋_GB2312"/>
          <w:szCs w:val="32"/>
          <w:lang w:val="zh-CN"/>
        </w:rPr>
      </w:pPr>
      <w:r>
        <w:rPr>
          <w:rFonts w:ascii="仿宋_GB2312" w:eastAsia="仿宋_GB2312" w:hint="eastAsia"/>
          <w:szCs w:val="32"/>
          <w:lang w:val="zh-CN"/>
        </w:rPr>
        <w:t>职能：牵头实施项目、编制实施方案等。</w:t>
      </w:r>
    </w:p>
    <w:p>
      <w:pPr>
        <w:adjustRightInd w:val="0"/>
        <w:snapToGri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rPr>
        <w:t>2.</w:t>
      </w:r>
      <w:r>
        <w:rPr>
          <w:rFonts w:ascii="仿宋_GB2312" w:eastAsia="仿宋_GB2312" w:cs="仿宋_GB2312" w:hint="eastAsia"/>
          <w:sz w:val="32"/>
          <w:szCs w:val="32"/>
          <w:lang w:val="zh-CN"/>
        </w:rPr>
        <w:t>项目立项、资金申报的依据。</w:t>
      </w:r>
    </w:p>
    <w:p>
      <w:pPr>
        <w:pStyle w:val="15"/>
        <w:rPr>
          <w:rFonts w:ascii="仿宋_GB2312" w:eastAsia="仿宋_GB2312" w:cs="仿宋_GB2312"/>
          <w:lang w:val="zh-CN"/>
        </w:rPr>
      </w:pPr>
      <w:r>
        <w:rPr>
          <w:rFonts w:ascii="仿宋_GB2312" w:eastAsia="仿宋_GB2312" w:cs="仿宋_GB2312" w:hint="eastAsia"/>
          <w:lang w:val="zh-CN"/>
        </w:rPr>
        <w:t>该项目</w:t>
      </w:r>
      <w:r>
        <w:rPr>
          <w:rFonts w:ascii="仿宋_GB2312" w:eastAsia="仿宋_GB2312" w:cs="仿宋_GB2312" w:hint="eastAsia"/>
          <w:szCs w:val="32"/>
        </w:rPr>
        <w:t>作为2021年全省30件民生实事（对21处烈士纪念设施进行修缮改造），下达</w:t>
      </w:r>
      <w:r>
        <w:rPr>
          <w:rFonts w:ascii="仿宋_GB2312" w:eastAsia="仿宋_GB2312" w:cs="仿宋_GB2312" w:hint="eastAsia"/>
          <w:lang w:val="zh-CN"/>
        </w:rPr>
        <w:t>省级财政优抚安置事业单位补助资金和市级资金专项用于陈列馆展陈布展，经市财政局批复同意设立。</w:t>
      </w:r>
    </w:p>
    <w:p>
      <w:pPr>
        <w:adjustRightInd w:val="0"/>
        <w:snapToGri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rPr>
        <w:t>3.</w:t>
      </w:r>
      <w:r>
        <w:rPr>
          <w:rFonts w:ascii="仿宋_GB2312" w:eastAsia="仿宋_GB2312" w:cs="仿宋_GB2312" w:hint="eastAsia"/>
          <w:sz w:val="32"/>
          <w:szCs w:val="32"/>
          <w:lang w:val="zh-CN"/>
        </w:rPr>
        <w:t>资金管理办法制定情况，资金支持具体项目的条件、范围与支持方式概况。</w:t>
      </w:r>
    </w:p>
    <w:p>
      <w:pPr>
        <w:pStyle w:val="15"/>
        <w:ind w:firstLineChars="0" w:firstLine="640"/>
        <w:rPr>
          <w:rFonts w:ascii="仿宋_GB2312" w:eastAsia="仿宋_GB2312" w:cs="仿宋_GB2312"/>
          <w:lang w:val="zh-CN"/>
        </w:rPr>
      </w:pPr>
      <w:r>
        <w:rPr>
          <w:rFonts w:ascii="仿宋_GB2312" w:eastAsia="仿宋_GB2312" w:cs="仿宋_GB2312" w:hint="eastAsia"/>
          <w:lang w:val="zh-CN"/>
        </w:rPr>
        <w:t>资金按市烈士陵园管理所财务管理办法进行管理，该笔资金专项用于市烈士陵园陈列馆布展，通过政府采购进行项目实施，按照合同约定进行资金拨付。</w:t>
      </w:r>
    </w:p>
    <w:p>
      <w:pPr>
        <w:adjustRightInd w:val="0"/>
        <w:snapToGrid w:val="0"/>
        <w:spacing w:line="560" w:lineRule="exact"/>
        <w:ind w:left="720"/>
        <w:rPr>
          <w:rFonts w:ascii="仿宋_GB2312" w:eastAsia="仿宋_GB2312" w:cs="仿宋_GB2312"/>
          <w:sz w:val="32"/>
          <w:szCs w:val="32"/>
          <w:lang w:val="zh-CN"/>
        </w:rPr>
      </w:pPr>
      <w:r>
        <w:rPr>
          <w:rFonts w:ascii="仿宋_GB2312" w:eastAsia="仿宋_GB2312" w:cs="仿宋_GB2312" w:hint="eastAsia"/>
          <w:sz w:val="32"/>
          <w:szCs w:val="32"/>
        </w:rPr>
        <w:t>4.</w:t>
      </w:r>
      <w:r>
        <w:rPr>
          <w:rFonts w:ascii="仿宋_GB2312" w:eastAsia="仿宋_GB2312" w:cs="仿宋_GB2312" w:hint="eastAsia"/>
          <w:sz w:val="32"/>
          <w:szCs w:val="32"/>
          <w:lang w:val="zh-CN"/>
        </w:rPr>
        <w:t>资金分配的原则及考虑因素。</w:t>
      </w:r>
    </w:p>
    <w:p>
      <w:pPr>
        <w:pStyle w:val="15"/>
        <w:ind w:left="720" w:firstLineChars="0" w:firstLine="0"/>
        <w:rPr>
          <w:rFonts w:ascii="仿宋_GB2312" w:eastAsia="仿宋_GB2312" w:cs="仿宋_GB2312"/>
          <w:lang w:val="zh-CN"/>
        </w:rPr>
      </w:pPr>
      <w:r>
        <w:rPr>
          <w:rFonts w:ascii="仿宋_GB2312" w:eastAsia="仿宋_GB2312" w:cs="仿宋_GB2312" w:hint="eastAsia"/>
          <w:lang w:val="zh-CN"/>
        </w:rPr>
        <w:t>科学合理安排资金预算支出，实现资金落到实处，强化执</w:t>
      </w:r>
    </w:p>
    <w:p>
      <w:pPr>
        <w:pStyle w:val="15"/>
        <w:ind w:firstLineChars="0" w:firstLine="0"/>
        <w:rPr>
          <w:rFonts w:ascii="仿宋_GB2312" w:eastAsia="仿宋_GB2312" w:cs="仿宋_GB2312"/>
          <w:lang w:val="zh-CN"/>
        </w:rPr>
      </w:pPr>
      <w:r>
        <w:rPr>
          <w:rFonts w:ascii="仿宋_GB2312" w:eastAsia="仿宋_GB2312" w:cs="仿宋_GB2312" w:hint="eastAsia"/>
          <w:lang w:val="zh-CN"/>
        </w:rPr>
        <w:t>行过程监督，成本严格控制在预算范围内，专项用于市烈士陵园陈列馆布展。</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（二）项目绩效目标。</w:t>
      </w:r>
    </w:p>
    <w:p>
      <w:pPr>
        <w:adjustRightInd w:val="0"/>
        <w:snapToGrid w:val="0"/>
        <w:spacing w:line="560" w:lineRule="exact"/>
        <w:ind w:firstLine="720"/>
        <w:rPr>
          <w:rFonts w:ascii="仿宋_GB2312" w:eastAsia="仿宋_GB2312"/>
          <w:sz w:val="32"/>
          <w:szCs w:val="32"/>
          <w:lang w:val="zh-CN"/>
        </w:rPr>
      </w:pPr>
      <w:r>
        <w:rPr>
          <w:rFonts w:ascii="仿宋_GB2312" w:eastAsia="仿宋_GB2312" w:hint="eastAsia"/>
          <w:sz w:val="32"/>
          <w:szCs w:val="32"/>
          <w:lang w:val="zh-CN"/>
        </w:rPr>
        <w:t>1．项目主要内容。</w:t>
      </w:r>
    </w:p>
    <w:p>
      <w:pPr>
        <w:autoSpaceDN w:val="0"/>
        <w:adjustRightInd w:val="0"/>
        <w:snapToGrid w:val="0"/>
        <w:spacing w:line="560" w:lineRule="exact"/>
        <w:ind w:firstLineChars="200" w:firstLine="640"/>
        <w:rPr>
          <w:lang w:val="zh-CN"/>
        </w:rPr>
      </w:pPr>
      <w:r>
        <w:rPr>
          <w:rFonts w:ascii="仿宋_GB2312" w:eastAsia="仿宋_GB2312" w:hint="eastAsia"/>
          <w:sz w:val="32"/>
          <w:szCs w:val="32"/>
        </w:rPr>
        <w:t>完成市烈士陵园陈列馆展陈布展工作。</w:t>
      </w:r>
    </w:p>
    <w:p>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int="eastAsia"/>
          <w:sz w:val="32"/>
          <w:szCs w:val="32"/>
        </w:rPr>
        <w:t>2.</w:t>
      </w:r>
      <w:r>
        <w:rPr>
          <w:rFonts w:ascii="仿宋_GB2312" w:eastAsia="仿宋_GB2312" w:hint="eastAsia"/>
          <w:sz w:val="32"/>
          <w:szCs w:val="32"/>
          <w:lang w:val="zh-CN"/>
        </w:rPr>
        <w:t>项目应实现的具体绩效目标，包括目标的量化、细化情况以及项目实施进度计划等。</w:t>
      </w:r>
    </w:p>
    <w:p>
      <w:pPr>
        <w:autoSpaceDN w:val="0"/>
        <w:adjustRightInd w:val="0"/>
        <w:snapToGrid w:val="0"/>
        <w:spacing w:line="560" w:lineRule="exact"/>
        <w:ind w:firstLineChars="200" w:firstLine="640"/>
        <w:rPr>
          <w:rFonts w:eastAsia="方正仿宋简体"/>
        </w:rPr>
      </w:pPr>
      <w:r>
        <w:rPr>
          <w:rFonts w:ascii="仿宋_GB2312" w:eastAsia="仿宋_GB2312" w:hint="eastAsia"/>
          <w:sz w:val="32"/>
          <w:szCs w:val="32"/>
        </w:rPr>
        <w:t>全面完成陈列馆展陈布展。</w:t>
      </w:r>
    </w:p>
    <w:p>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int="eastAsia"/>
          <w:sz w:val="32"/>
          <w:szCs w:val="32"/>
        </w:rPr>
        <w:t>3.</w:t>
      </w:r>
      <w:r>
        <w:rPr>
          <w:rFonts w:ascii="仿宋_GB2312" w:eastAsia="仿宋_GB2312" w:hint="eastAsia"/>
          <w:sz w:val="32"/>
          <w:szCs w:val="32"/>
          <w:lang w:val="zh-CN"/>
        </w:rPr>
        <w:t>分析评价申报内容是否与实际相符，申报目标是否合理可行。</w:t>
      </w:r>
    </w:p>
    <w:p>
      <w:pPr>
        <w:autoSpaceDN w:val="0"/>
        <w:adjustRightInd w:val="0"/>
        <w:snapToGrid w:val="0"/>
        <w:spacing w:line="560" w:lineRule="exact"/>
        <w:ind w:firstLineChars="200" w:firstLine="640"/>
        <w:rPr>
          <w:lang w:val="zh-CN"/>
        </w:rPr>
      </w:pPr>
      <w:r>
        <w:rPr>
          <w:rFonts w:ascii="仿宋_GB2312" w:eastAsia="仿宋_GB2312" w:hint="eastAsia"/>
          <w:sz w:val="32"/>
          <w:szCs w:val="32"/>
        </w:rPr>
        <w:t>申报内容与工作相符，目标合理可行。</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（三）项目自评步骤及方法。</w:t>
      </w:r>
    </w:p>
    <w:p>
      <w:pPr>
        <w:adjustRightInd w:val="0"/>
        <w:snapToGrid w:val="0"/>
        <w:spacing w:line="560" w:lineRule="exact"/>
        <w:ind w:firstLine="720"/>
        <w:rPr>
          <w:rFonts w:ascii="仿宋_GB2312" w:eastAsia="仿宋_GB2312"/>
          <w:sz w:val="32"/>
          <w:szCs w:val="32"/>
          <w:lang w:val="zh-CN"/>
        </w:rPr>
      </w:pPr>
      <w:r>
        <w:rPr>
          <w:rFonts w:ascii="仿宋_GB2312" w:eastAsia="仿宋_GB2312" w:hint="eastAsia"/>
          <w:sz w:val="32"/>
          <w:szCs w:val="32"/>
          <w:lang w:val="zh-CN"/>
        </w:rPr>
        <w:t>项目由财务人员草拟自评报告，分别报单位分管领导、主要领导审阅后报送。</w:t>
      </w:r>
    </w:p>
    <w:p>
      <w:pPr>
        <w:adjustRightInd w:val="0"/>
        <w:snapToGrid w:val="0"/>
        <w:spacing w:line="560" w:lineRule="exact"/>
        <w:ind w:firstLine="720"/>
        <w:rPr>
          <w:rFonts w:ascii="黑体" w:eastAsia="黑体"/>
          <w:sz w:val="32"/>
          <w:szCs w:val="32"/>
        </w:rPr>
      </w:pPr>
      <w:r>
        <w:rPr>
          <w:rFonts w:ascii="黑体" w:eastAsia="黑体" w:hint="eastAsia"/>
          <w:sz w:val="32"/>
          <w:szCs w:val="32"/>
        </w:rPr>
        <w:t>二、项目资金申报及使用情况</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（一）项目资金申报及批复情况。</w:t>
      </w:r>
    </w:p>
    <w:p>
      <w:pPr>
        <w:adjustRightInd w:val="0"/>
        <w:snapToGrid w:val="0"/>
        <w:spacing w:line="560" w:lineRule="exact"/>
        <w:ind w:firstLine="720"/>
        <w:rPr>
          <w:rFonts w:ascii="仿宋_GB2312" w:hAnsi="仿宋_GB2312"/>
        </w:rPr>
      </w:pPr>
      <w:r>
        <w:rPr>
          <w:rFonts w:ascii="仿宋_GB2312" w:eastAsia="仿宋_GB2312" w:hint="eastAsia"/>
          <w:sz w:val="32"/>
          <w:szCs w:val="32"/>
        </w:rPr>
        <w:t>该项目2021年预算690.36万元，其中省级财政优抚安置事业单位补助资金270万为政府性基金预算资金，市级财政预算430.36万，经市财政局批复同意设立。</w:t>
      </w:r>
    </w:p>
    <w:p>
      <w:pPr>
        <w:adjustRightInd w:val="0"/>
        <w:snapToGrid w:val="0"/>
        <w:spacing w:line="560" w:lineRule="exact"/>
        <w:ind w:firstLine="720"/>
        <w:rPr>
          <w:rFonts w:ascii="仿宋_GB2312" w:eastAsia="仿宋_GB2312"/>
          <w:b w:val="0"/>
          <w:bCs/>
          <w:sz w:val="32"/>
          <w:szCs w:val="32"/>
          <w:lang w:val="zh-CN"/>
        </w:rPr>
      </w:pPr>
      <w:r>
        <w:rPr>
          <w:rFonts w:ascii="楷体_GB2312" w:eastAsia="楷体_GB2312" w:hint="eastAsia"/>
          <w:b w:val="0"/>
          <w:bCs/>
          <w:sz w:val="32"/>
          <w:szCs w:val="32"/>
          <w:lang w:val="zh-CN"/>
        </w:rPr>
        <w:t>（二）资金计划、到位及使用情况。</w:t>
      </w:r>
    </w:p>
    <w:p>
      <w:pPr>
        <w:adjustRightInd w:val="0"/>
        <w:snapToGrid w:val="0"/>
        <w:spacing w:line="560" w:lineRule="exact"/>
        <w:ind w:firstLine="720"/>
        <w:rPr>
          <w:rFonts w:ascii="仿宋_GB2312" w:eastAsia="仿宋_GB2312"/>
          <w:sz w:val="32"/>
          <w:szCs w:val="32"/>
          <w:lang w:val="zh-CN"/>
        </w:rPr>
      </w:pPr>
      <w:r>
        <w:rPr>
          <w:rFonts w:ascii="楷体_GB2312" w:eastAsia="楷体_GB2312" w:hint="eastAsia"/>
          <w:sz w:val="32"/>
          <w:szCs w:val="32"/>
          <w:lang w:val="zh-CN"/>
        </w:rPr>
        <w:t>1．资金计划。</w:t>
      </w:r>
      <w:r>
        <w:rPr>
          <w:rFonts w:ascii="仿宋_GB2312" w:eastAsia="仿宋_GB2312" w:hint="eastAsia"/>
          <w:sz w:val="32"/>
          <w:szCs w:val="32"/>
        </w:rPr>
        <w:t>该项目预算690.36万元，其中省级财政优抚安置事业单位补助资金270万为政府性基金预算资金，市级财政预算430.36万，全部到位。</w:t>
      </w:r>
    </w:p>
    <w:p>
      <w:pPr>
        <w:adjustRightInd w:val="0"/>
        <w:snapToGrid w:val="0"/>
        <w:spacing w:line="560" w:lineRule="exact"/>
        <w:ind w:firstLine="720"/>
        <w:rPr>
          <w:rFonts w:ascii="仿宋_GB2312" w:eastAsia="仿宋_GB2312"/>
          <w:sz w:val="32"/>
          <w:szCs w:val="32"/>
          <w:lang w:val="zh-CN"/>
        </w:rPr>
      </w:pPr>
      <w:r>
        <w:rPr>
          <w:rFonts w:ascii="楷体_GB2312" w:eastAsia="楷体_GB2312" w:hint="eastAsia"/>
          <w:sz w:val="32"/>
          <w:szCs w:val="32"/>
          <w:lang w:val="zh-CN"/>
        </w:rPr>
        <w:t>2．资金到位。</w:t>
      </w:r>
      <w:r>
        <w:rPr>
          <w:rFonts w:ascii="仿宋_GB2312" w:eastAsia="仿宋_GB2312" w:hint="eastAsia"/>
          <w:sz w:val="32"/>
          <w:szCs w:val="32"/>
          <w:lang w:val="zh-CN"/>
        </w:rPr>
        <w:t>全部资金均到位，到位率100%，到位及时。</w:t>
      </w:r>
    </w:p>
    <w:p>
      <w:pPr>
        <w:adjustRightInd w:val="0"/>
        <w:snapToGrid w:val="0"/>
        <w:spacing w:line="560" w:lineRule="exact"/>
        <w:ind w:firstLine="720"/>
        <w:rPr>
          <w:rFonts w:ascii="仿宋_GB2312" w:hAnsi="仿宋_GB2312"/>
        </w:rPr>
      </w:pPr>
      <w:r>
        <w:rPr>
          <w:rFonts w:ascii="楷体_GB2312" w:eastAsia="楷体_GB2312" w:hint="eastAsia"/>
          <w:sz w:val="32"/>
          <w:szCs w:val="32"/>
          <w:lang w:val="zh-CN"/>
        </w:rPr>
        <w:t>3．资金使用。</w:t>
      </w:r>
      <w:r>
        <w:rPr>
          <w:rFonts w:ascii="仿宋_GB2312" w:eastAsia="仿宋_GB2312" w:hint="eastAsia"/>
          <w:sz w:val="32"/>
          <w:szCs w:val="32"/>
        </w:rPr>
        <w:t>该项目资金实际支出576.1万元，严格按合同约定进度进行支付，严格执行上级关于资金使用管理办法的要求，按照工作需要，对所支付资金按单位资金管理相关程序拨付，切实做到资金专款专用、严格规范、安全高效。</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（三）项目财务管理情况。</w:t>
      </w:r>
    </w:p>
    <w:p>
      <w:pPr>
        <w:adjustRightInd w:val="0"/>
        <w:snapToGrid w:val="0"/>
        <w:spacing w:line="560" w:lineRule="exact"/>
        <w:ind w:firstLine="720"/>
        <w:rPr>
          <w:rFonts w:ascii="仿宋_GB2312" w:hAnsi="仿宋_GB2312"/>
        </w:rPr>
      </w:pPr>
      <w:r>
        <w:rPr>
          <w:rFonts w:ascii="仿宋_GB2312" w:eastAsia="仿宋_GB2312" w:hint="eastAsia"/>
          <w:sz w:val="32"/>
          <w:szCs w:val="32"/>
        </w:rPr>
        <w:t>项目资金严格按照单位财务管理制度及相关财经记录执行。坚持先做事、后报账，保证资金专款专用，有效防止截留、挤占和挪用等现象。财务资料完整，对资金的支出严格把关，对不符合程序的及时纠正，对不符合规定的票据拒绝报销，严格执行不同支出额度的审批程序。</w:t>
      </w:r>
    </w:p>
    <w:p>
      <w:pPr>
        <w:adjustRightInd w:val="0"/>
        <w:snapToGrid w:val="0"/>
        <w:spacing w:line="560" w:lineRule="exact"/>
        <w:ind w:firstLine="720"/>
        <w:rPr>
          <w:rFonts w:ascii="黑体" w:eastAsia="黑体"/>
          <w:sz w:val="32"/>
          <w:szCs w:val="32"/>
        </w:rPr>
      </w:pPr>
      <w:r>
        <w:rPr>
          <w:rFonts w:ascii="黑体" w:eastAsia="黑体" w:hint="eastAsia"/>
          <w:sz w:val="32"/>
          <w:szCs w:val="32"/>
        </w:rPr>
        <w:t>三、项目实施及管理情况</w:t>
      </w:r>
    </w:p>
    <w:p>
      <w:pPr>
        <w:adjustRightInd w:val="0"/>
        <w:snapToGrid w:val="0"/>
        <w:spacing w:line="560" w:lineRule="exact"/>
        <w:ind w:firstLine="720"/>
        <w:rPr>
          <w:rFonts w:ascii="仿宋_GB2312" w:eastAsia="仿宋_GB2312"/>
          <w:sz w:val="32"/>
          <w:szCs w:val="32"/>
          <w:lang w:val="zh-CN"/>
        </w:rPr>
      </w:pPr>
      <w:r>
        <w:rPr>
          <w:rFonts w:ascii="仿宋_GB2312" w:eastAsia="仿宋_GB2312" w:hint="eastAsia"/>
          <w:sz w:val="32"/>
          <w:szCs w:val="32"/>
          <w:lang w:val="zh-CN"/>
        </w:rPr>
        <w:t>结合项目组织实施管理办法，重点围绕以下内容进行分析评价，并对自评中发现的问题分析说明。</w:t>
      </w:r>
    </w:p>
    <w:p>
      <w:pPr>
        <w:pStyle w:val="30"/>
        <w:numPr>
          <w:ilvl w:val="0"/>
          <w:numId w:val="2"/>
        </w:numPr>
        <w:adjustRightInd w:val="0"/>
        <w:snapToGrid w:val="0"/>
        <w:spacing w:line="560" w:lineRule="exact"/>
        <w:ind w:firstLineChars="0"/>
        <w:rPr>
          <w:rFonts w:ascii="楷体_GB2312" w:eastAsia="楷体_GB2312"/>
          <w:b w:val="0"/>
          <w:bCs/>
          <w:sz w:val="32"/>
          <w:szCs w:val="32"/>
          <w:lang w:val="zh-CN"/>
        </w:rPr>
      </w:pPr>
      <w:r>
        <w:rPr>
          <w:rFonts w:ascii="楷体_GB2312" w:eastAsia="楷体_GB2312" w:hint="eastAsia"/>
          <w:b w:val="0"/>
          <w:bCs/>
          <w:sz w:val="32"/>
          <w:szCs w:val="32"/>
          <w:lang w:val="zh-CN"/>
        </w:rPr>
        <w:t>项目组织架构及实施流程。</w:t>
      </w:r>
    </w:p>
    <w:p>
      <w:pPr>
        <w:pStyle w:val="15"/>
        <w:ind w:firstLineChars="0" w:firstLine="640"/>
        <w:rPr>
          <w:rFonts w:ascii="仿宋_GB2312" w:eastAsia="仿宋_GB2312"/>
          <w:szCs w:val="32"/>
          <w:lang w:val="zh-CN"/>
        </w:rPr>
      </w:pPr>
      <w:r>
        <w:rPr>
          <w:rFonts w:ascii="仿宋_GB2312" w:eastAsia="仿宋_GB2312" w:hint="eastAsia"/>
          <w:szCs w:val="32"/>
          <w:lang w:val="zh-CN"/>
        </w:rPr>
        <w:t>1.项目</w:t>
      </w:r>
      <w:r>
        <w:rPr>
          <w:rFonts w:ascii="仿宋_GB2312" w:eastAsia="仿宋_GB2312"/>
          <w:szCs w:val="32"/>
          <w:lang w:val="zh-CN"/>
        </w:rPr>
        <w:t>经办人根据项目申报和经费下达情况进行项目建设方案编制</w:t>
      </w:r>
      <w:r>
        <w:rPr>
          <w:rFonts w:ascii="仿宋_GB2312" w:eastAsia="仿宋_GB2312" w:hint="eastAsia"/>
          <w:szCs w:val="32"/>
          <w:lang w:val="zh-CN"/>
        </w:rPr>
        <w:t>。</w:t>
      </w:r>
    </w:p>
    <w:p>
      <w:pPr>
        <w:pStyle w:val="15"/>
        <w:ind w:firstLineChars="0" w:firstLine="640"/>
        <w:rPr>
          <w:rFonts w:ascii="仿宋_GB2312" w:eastAsia="仿宋_GB2312"/>
          <w:szCs w:val="32"/>
          <w:lang w:val="zh-CN"/>
        </w:rPr>
      </w:pPr>
      <w:r>
        <w:rPr>
          <w:rFonts w:ascii="仿宋_GB2312" w:eastAsia="仿宋_GB2312" w:hint="eastAsia"/>
          <w:szCs w:val="32"/>
          <w:lang w:val="zh-CN"/>
        </w:rPr>
        <w:t>2.编制政府采购需求论证，进行公开招标，签订合同。</w:t>
      </w:r>
    </w:p>
    <w:p>
      <w:pPr>
        <w:pStyle w:val="15"/>
        <w:ind w:firstLineChars="0" w:firstLine="640"/>
        <w:rPr>
          <w:rFonts w:ascii="仿宋_GB2312" w:eastAsia="仿宋_GB2312"/>
          <w:szCs w:val="32"/>
          <w:lang w:val="zh-CN"/>
        </w:rPr>
      </w:pPr>
      <w:r>
        <w:rPr>
          <w:rFonts w:ascii="仿宋_GB2312" w:eastAsia="仿宋_GB2312" w:hint="eastAsia"/>
          <w:szCs w:val="32"/>
          <w:lang w:val="zh-CN"/>
        </w:rPr>
        <w:t>3.中标企业按合同提供服务。</w:t>
      </w:r>
    </w:p>
    <w:p>
      <w:pPr>
        <w:pStyle w:val="15"/>
        <w:ind w:firstLineChars="0" w:firstLine="640"/>
        <w:rPr>
          <w:rFonts w:ascii="仿宋_GB2312" w:eastAsia="仿宋_GB2312"/>
          <w:szCs w:val="32"/>
          <w:lang w:val="zh-CN"/>
        </w:rPr>
      </w:pPr>
      <w:r>
        <w:rPr>
          <w:rFonts w:ascii="仿宋_GB2312" w:eastAsia="仿宋_GB2312" w:hint="eastAsia"/>
          <w:szCs w:val="32"/>
          <w:lang w:val="zh-CN"/>
        </w:rPr>
        <w:t>4.根据合同约定按进度拨付资金。</w:t>
      </w:r>
    </w:p>
    <w:p>
      <w:pPr>
        <w:adjustRightInd w:val="0"/>
        <w:snapToGrid w:val="0"/>
        <w:spacing w:line="560" w:lineRule="exact"/>
        <w:ind w:firstLine="720"/>
        <w:rPr>
          <w:rFonts w:ascii="仿宋_GB2312" w:eastAsia="仿宋_GB2312"/>
          <w:sz w:val="32"/>
          <w:szCs w:val="32"/>
          <w:lang w:val="zh-CN"/>
        </w:rPr>
      </w:pPr>
      <w:r>
        <w:rPr>
          <w:rFonts w:ascii="楷体_GB2312" w:eastAsia="楷体_GB2312" w:hint="eastAsia"/>
          <w:b w:val="0"/>
          <w:bCs/>
          <w:sz w:val="32"/>
          <w:szCs w:val="32"/>
          <w:lang w:val="zh-CN"/>
        </w:rPr>
        <w:t>（二）项目管理情况。</w:t>
      </w:r>
      <w:r>
        <w:rPr>
          <w:rFonts w:ascii="仿宋_GB2312" w:eastAsia="仿宋_GB2312" w:hint="eastAsia"/>
          <w:sz w:val="32"/>
          <w:szCs w:val="32"/>
        </w:rPr>
        <w:t>按要求进行政府采购，通过公开招标方式进行采购，按照规定公示，项目实施完毕后进行验收。</w:t>
      </w:r>
    </w:p>
    <w:p>
      <w:pPr>
        <w:adjustRightInd w:val="0"/>
        <w:snapToGrid w:val="0"/>
        <w:spacing w:line="560" w:lineRule="exact"/>
        <w:ind w:firstLine="720"/>
        <w:rPr>
          <w:rFonts w:ascii="仿宋_GB2312" w:eastAsia="仿宋_GB2312"/>
          <w:sz w:val="32"/>
          <w:szCs w:val="32"/>
          <w:lang w:val="zh-CN"/>
        </w:rPr>
      </w:pPr>
      <w:r>
        <w:rPr>
          <w:rFonts w:ascii="楷体_GB2312" w:eastAsia="楷体_GB2312" w:hint="eastAsia"/>
          <w:b w:val="0"/>
          <w:bCs/>
          <w:sz w:val="32"/>
          <w:szCs w:val="32"/>
          <w:lang w:val="zh-CN"/>
        </w:rPr>
        <w:t>（三）项目监管情况。</w:t>
      </w:r>
      <w:r>
        <w:rPr>
          <w:rFonts w:ascii="仿宋_GB2312" w:eastAsia="仿宋_GB2312" w:hint="eastAsia"/>
          <w:sz w:val="32"/>
          <w:szCs w:val="32"/>
          <w:lang w:val="zh-CN"/>
        </w:rPr>
        <w:t>按要求专款专用。</w:t>
      </w:r>
    </w:p>
    <w:p>
      <w:pPr>
        <w:adjustRightInd w:val="0"/>
        <w:snapToGrid w:val="0"/>
        <w:spacing w:line="560" w:lineRule="exact"/>
        <w:ind w:firstLine="720"/>
        <w:rPr>
          <w:rFonts w:ascii="仿宋_GB2312" w:eastAsia="仿宋_GB2312"/>
          <w:sz w:val="32"/>
          <w:szCs w:val="32"/>
          <w:lang w:val="zh-CN"/>
        </w:rPr>
      </w:pPr>
      <w:r>
        <w:rPr>
          <w:rFonts w:ascii="黑体" w:eastAsia="黑体" w:hint="eastAsia"/>
          <w:sz w:val="32"/>
          <w:szCs w:val="32"/>
        </w:rPr>
        <w:t>四、项目绩效情况</w:t>
      </w:r>
      <w:r>
        <w:rPr>
          <w:rFonts w:ascii="仿宋_GB2312" w:eastAsia="仿宋_GB2312" w:hint="eastAsia"/>
          <w:sz w:val="32"/>
          <w:szCs w:val="32"/>
          <w:lang w:val="zh-CN"/>
        </w:rPr>
        <w:tab/>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（一）项目完成情况。</w:t>
      </w:r>
    </w:p>
    <w:p>
      <w:pPr>
        <w:adjustRightInd w:val="0"/>
        <w:snapToGrid w:val="0"/>
        <w:spacing w:line="560" w:lineRule="exact"/>
        <w:ind w:firstLine="720"/>
        <w:rPr>
          <w:rFonts w:ascii="楷体_GB2312" w:eastAsia="楷体_GB2312"/>
          <w:b/>
          <w:sz w:val="32"/>
          <w:szCs w:val="32"/>
          <w:lang w:val="zh-CN"/>
        </w:rPr>
      </w:pPr>
      <w:r>
        <w:rPr>
          <w:rFonts w:ascii="仿宋_GB2312" w:eastAsia="仿宋_GB2312" w:hint="eastAsia"/>
          <w:sz w:val="32"/>
          <w:szCs w:val="32"/>
        </w:rPr>
        <w:t>完成烈士陵园陈列馆展陈布展，资金支付按合同约定进度执行，</w:t>
      </w:r>
      <w:r>
        <w:rPr>
          <w:rFonts w:ascii="仿宋_GB2312" w:eastAsia="仿宋_GB2312" w:hint="eastAsia"/>
          <w:sz w:val="32"/>
          <w:szCs w:val="32"/>
          <w:lang w:val="zh-CN"/>
        </w:rPr>
        <w:t>结余资金待项目审计完成后拨付。</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（二）项目效益情况。</w:t>
      </w:r>
    </w:p>
    <w:p>
      <w:pPr>
        <w:adjustRightInd w:val="0"/>
        <w:snapToGrid w:val="0"/>
        <w:spacing w:line="560" w:lineRule="exact"/>
        <w:ind w:firstLine="720"/>
        <w:rPr>
          <w:rFonts w:ascii="仿宋_GB2312" w:hAnsi="仿宋_GB2312"/>
        </w:rPr>
      </w:pPr>
      <w:r>
        <w:rPr>
          <w:rFonts w:ascii="仿宋_GB2312" w:eastAsia="仿宋_GB2312" w:hint="eastAsia"/>
          <w:sz w:val="32"/>
          <w:szCs w:val="32"/>
        </w:rPr>
        <w:t>通过展陈布展，烈士陵园纪念设施条件不断完善，能在宣传红色文化和英烈事迹方面更好地发挥作用，更好地进行爱国主义教育，传承英烈精神。</w:t>
      </w:r>
    </w:p>
    <w:p>
      <w:pPr>
        <w:adjustRightInd w:val="0"/>
        <w:snapToGrid w:val="0"/>
        <w:spacing w:line="560" w:lineRule="exact"/>
        <w:ind w:firstLine="720"/>
        <w:rPr>
          <w:rFonts w:ascii="黑体" w:eastAsia="黑体"/>
          <w:sz w:val="32"/>
          <w:szCs w:val="32"/>
        </w:rPr>
      </w:pPr>
      <w:r>
        <w:rPr>
          <w:rFonts w:ascii="黑体" w:eastAsia="黑体" w:hint="eastAsia"/>
          <w:sz w:val="32"/>
          <w:szCs w:val="32"/>
        </w:rPr>
        <w:t>五、评价结论及建议</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（一）评价结论。</w:t>
      </w:r>
    </w:p>
    <w:p>
      <w:pPr>
        <w:adjustRightInd w:val="0"/>
        <w:snapToGrid w:val="0"/>
        <w:spacing w:line="560" w:lineRule="exact"/>
        <w:ind w:firstLineChars="200" w:firstLine="640"/>
        <w:rPr>
          <w:rFonts w:ascii="仿宋_GB2312" w:eastAsia="仿宋_GB2312"/>
          <w:sz w:val="32"/>
          <w:szCs w:val="32"/>
          <w:bdr w:val="single" w:sz="4" w:space="0" w:color="auto"/>
          <w:lang w:val="zh-CN"/>
        </w:rPr>
      </w:pPr>
      <w:r>
        <w:rPr>
          <w:rFonts w:ascii="仿宋_GB2312" w:eastAsia="仿宋_GB2312" w:hint="eastAsia"/>
          <w:sz w:val="32"/>
          <w:szCs w:val="32"/>
          <w:lang w:val="zh-CN"/>
        </w:rPr>
        <w:t>按照要求专款专用，管理符合相关制度，运行项目实施达到预期社会效益，受益群众满意度较好，及时报账，不挪作他用，账务处理及时。</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（二）存在的问题。</w:t>
      </w:r>
    </w:p>
    <w:p>
      <w:pPr>
        <w:adjustRightInd w:val="0"/>
        <w:snapToGrid w:val="0"/>
        <w:spacing w:line="560" w:lineRule="exact"/>
        <w:ind w:firstLine="720"/>
        <w:rPr>
          <w:rFonts w:ascii="楷体_GB2312" w:eastAsia="楷体_GB2312"/>
        </w:rPr>
      </w:pPr>
      <w:r>
        <w:rPr>
          <w:rFonts w:ascii="仿宋_GB2312" w:eastAsia="仿宋_GB2312" w:hint="eastAsia"/>
          <w:sz w:val="32"/>
          <w:szCs w:val="32"/>
        </w:rPr>
        <w:t>因单位人手少，且工程项目方面业务不熟悉，导致项目实施进度慢，资金执行缓慢。</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（三）相关建议。</w:t>
      </w:r>
    </w:p>
    <w:p>
      <w:pPr>
        <w:pBdr>
          <w:top w:val="single" w:sz="4" w:space="1" w:color="FFFFFF"/>
          <w:left w:val="single" w:sz="4" w:space="4" w:color="FFFFFF"/>
          <w:bottom w:val="single" w:sz="4" w:space="1" w:color="FFFFFF"/>
          <w:right w:val="single" w:sz="4" w:space="4" w:color="FFFFFF"/>
        </w:pBdr>
        <w:spacing w:line="560" w:lineRule="exact"/>
        <w:ind w:firstLine="640"/>
        <w:rPr>
          <w:rFonts w:ascii="仿宋_GB2312" w:eastAsia="仿宋_GB2312"/>
          <w:sz w:val="32"/>
          <w:szCs w:val="32"/>
        </w:rPr>
      </w:pPr>
      <w:r>
        <w:rPr>
          <w:rFonts w:ascii="仿宋_GB2312" w:eastAsia="仿宋_GB2312" w:hint="eastAsia"/>
          <w:sz w:val="32"/>
          <w:szCs w:val="32"/>
        </w:rPr>
        <w:t>总结项目资金使用和管理经验，进一步加强和规范项目经费管理，充分发挥项目资金使用效益。</w:t>
      </w:r>
    </w:p>
    <w:p>
      <w:pPr>
        <w:spacing w:line="572" w:lineRule="exact"/>
        <w:jc w:val="left"/>
        <w:outlineLvl w:val="0"/>
        <w:rPr>
          <w:rFonts w:ascii="仿宋_GB2312" w:eastAsia="黑体" w:cs="仿宋_GB2312" w:hAnsi="仿宋_GB2312"/>
          <w:sz w:val="32"/>
          <w:szCs w:val="32"/>
        </w:rPr>
      </w:pPr>
      <w:r>
        <w:rPr>
          <w:rFonts w:ascii="黑体" w:eastAsia="黑体" w:cs="黑体" w:hint="eastAsia"/>
          <w:sz w:val="32"/>
          <w:szCs w:val="32"/>
        </w:rPr>
        <w:t>附表</w:t>
      </w:r>
    </w:p>
    <w:tbl>
      <w:tblPr>
        <w:tblpPr w:leftFromText="180" w:rightFromText="180" w:vertAnchor="text" w:horzAnchor="page" w:tblpX="1071" w:tblpY="660"/>
        <w:tblOverlap w:val="never"/>
        <w:tblW w:w="1002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867"/>
        <w:gridCol w:w="1167"/>
        <w:gridCol w:w="1483"/>
        <w:gridCol w:w="1850"/>
        <w:gridCol w:w="1009"/>
        <w:gridCol w:w="2409"/>
        <w:gridCol w:w="236"/>
      </w:tblGrid>
      <w:tr>
        <w:trPr>
          <w:trHeight w:val="249"/>
        </w:trPr>
        <w:tc>
          <w:tcPr>
            <w:tcW w:w="9784" w:type="dxa"/>
            <w:gridSpan w:val="6"/>
            <w:tcBorders>
              <w:top w:val="nil"/>
              <w:left w:val="nil"/>
              <w:bottom w:val="nil"/>
              <w:right w:val="nil"/>
            </w:tcBorders>
            <w:shd w:val="clear" w:color="auto" w:fill="auto"/>
            <w:vAlign w:val="center"/>
          </w:tcPr>
          <w:p>
            <w:pPr>
              <w:widowControl/>
              <w:jc w:val="center"/>
              <w:textAlignment w:val="center"/>
              <w:rPr>
                <w:rFonts w:ascii="方正小标宋简体" w:eastAsia="方正小标宋简体" w:cs="方正小标宋简体" w:hint="eastAsia"/>
                <w:b w:val="0"/>
                <w:bCs/>
                <w:sz w:val="36"/>
                <w:szCs w:val="36"/>
              </w:rPr>
            </w:pPr>
            <w:r>
              <w:rPr>
                <w:rFonts w:ascii="方正小标宋简体" w:eastAsia="方正小标宋简体" w:cs="方正小标宋简体" w:hint="eastAsia"/>
                <w:b w:val="0"/>
                <w:bCs/>
                <w:sz w:val="36"/>
                <w:szCs w:val="36"/>
              </w:rPr>
              <w:t>2021年部门预算项目绩效目标自评</w:t>
            </w:r>
          </w:p>
          <w:p>
            <w:pPr>
              <w:pStyle w:val="15"/>
              <w:ind w:firstLineChars="0" w:firstLine="0"/>
              <w:jc w:val="center"/>
              <w:rPr>
                <w:rFonts w:ascii="楷体" w:eastAsia="楷体"/>
              </w:rPr>
            </w:pPr>
            <w:r>
              <w:rPr>
                <w:rFonts w:ascii="楷体" w:eastAsia="楷体" w:hint="eastAsia"/>
                <w:sz w:val="28"/>
                <w:szCs w:val="28"/>
              </w:rPr>
              <w:t>（广元市烈士陵园陈列馆综合楼展陈项目（陈列馆））</w:t>
            </w:r>
          </w:p>
        </w:tc>
        <w:tc>
          <w:tcPr>
            <w:tcW w:w="236" w:type="dxa"/>
            <w:tcBorders>
              <w:top w:val="nil"/>
              <w:left w:val="nil"/>
              <w:bottom w:val="nil"/>
              <w:right w:val="nil"/>
            </w:tcBorders>
            <w:shd w:val="clear" w:color="auto" w:fill="auto"/>
            <w:vAlign w:val="center"/>
          </w:tcPr>
          <w:p>
            <w:pPr>
              <w:widowControl/>
              <w:jc w:val="center"/>
              <w:textAlignment w:val="center"/>
              <w:rPr>
                <w:rFonts w:ascii="宋体" w:cs="宋体"/>
                <w:b/>
                <w:kern w:val="0"/>
                <w:sz w:val="32"/>
                <w:szCs w:val="32"/>
              </w:rPr>
            </w:pPr>
          </w:p>
        </w:tc>
      </w:tr>
      <w:tr>
        <w:trPr>
          <w:trHeight w:val="249"/>
          <w:gridAfter w:val="1"/>
          <w:wAfter w:w="236" w:type="dxa"/>
        </w:trPr>
        <w:tc>
          <w:tcPr>
            <w:tcW w:w="30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主管部门及代码</w:t>
            </w:r>
          </w:p>
        </w:tc>
        <w:tc>
          <w:tcPr>
            <w:tcW w:w="33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sz w:val="18"/>
                <w:szCs w:val="18"/>
              </w:rPr>
              <w:t>广元市退役军人事务局</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实施单位</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sz w:val="18"/>
                <w:szCs w:val="18"/>
              </w:rPr>
              <w:t>广元市烈士陵园管理所</w:t>
            </w:r>
          </w:p>
        </w:tc>
      </w:tr>
      <w:tr>
        <w:trPr>
          <w:trHeight w:val="249"/>
          <w:gridAfter w:val="1"/>
          <w:wAfter w:w="236" w:type="dxa"/>
        </w:trPr>
        <w:tc>
          <w:tcPr>
            <w:tcW w:w="30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项目预算</w:t>
              <w:br/>
              <w:t>执行情况</w:t>
              <w:br/>
              <w:t>（万元）</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预算数：</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sz w:val="18"/>
                <w:szCs w:val="18"/>
              </w:rPr>
              <w:t>690.36</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执行数：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sz w:val="18"/>
                <w:szCs w:val="18"/>
              </w:rPr>
              <w:t>576.1</w:t>
            </w:r>
          </w:p>
        </w:tc>
      </w:tr>
      <w:tr>
        <w:trPr>
          <w:trHeight w:val="249"/>
          <w:gridAfter w:val="1"/>
          <w:wAfter w:w="236" w:type="dxa"/>
        </w:trPr>
        <w:tc>
          <w:tcPr>
            <w:tcW w:w="31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其中：</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财政拨款</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sz w:val="18"/>
                <w:szCs w:val="18"/>
              </w:rPr>
              <w:t>690.36</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其中：</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财政拨款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sz w:val="18"/>
                <w:szCs w:val="18"/>
              </w:rPr>
              <w:t>576.1</w:t>
            </w:r>
          </w:p>
        </w:tc>
      </w:tr>
      <w:tr>
        <w:trPr>
          <w:trHeight w:val="249"/>
          <w:gridAfter w:val="1"/>
          <w:wAfter w:w="236" w:type="dxa"/>
        </w:trPr>
        <w:tc>
          <w:tcPr>
            <w:tcW w:w="315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其他资金</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其他资金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p>
        </w:tc>
      </w:tr>
      <w:tr>
        <w:trPr>
          <w:trHeight w:val="249"/>
          <w:gridAfter w:val="1"/>
          <w:wAfter w:w="236" w:type="dxa"/>
        </w:trPr>
        <w:tc>
          <w:tcPr>
            <w:tcW w:w="18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年度总体目标</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完成情况</w:t>
            </w:r>
          </w:p>
        </w:tc>
        <w:tc>
          <w:tcPr>
            <w:tcW w:w="4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预期目标</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sz w:val="18"/>
                <w:szCs w:val="18"/>
              </w:rPr>
            </w:pPr>
            <w:r>
              <w:rPr>
                <w:rFonts w:ascii="仿宋_GB2312" w:eastAsia="仿宋_GB2312" w:cs="仿宋_GB2312" w:hint="eastAsia"/>
                <w:kern w:val="0"/>
                <w:sz w:val="18"/>
                <w:szCs w:val="18"/>
              </w:rPr>
              <w:t>目标实际完成情况</w:t>
            </w:r>
          </w:p>
        </w:tc>
      </w:tr>
      <w:tr>
        <w:trPr>
          <w:trHeight w:val="249"/>
          <w:gridAfter w:val="1"/>
          <w:wAfter w:w="236" w:type="dxa"/>
        </w:trPr>
        <w:tc>
          <w:tcPr>
            <w:tcW w:w="2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top"/>
              <w:rPr>
                <w:rFonts w:ascii="仿宋_GB2312" w:eastAsia="仿宋_GB2312" w:cs="仿宋_GB2312" w:hint="eastAsia"/>
                <w:sz w:val="18"/>
                <w:szCs w:val="18"/>
              </w:rPr>
            </w:pPr>
            <w:r>
              <w:rPr>
                <w:rFonts w:ascii="仿宋_GB2312" w:eastAsia="仿宋_GB2312" w:cs="仿宋_GB2312" w:hint="eastAsia"/>
                <w:sz w:val="18"/>
                <w:szCs w:val="18"/>
              </w:rPr>
              <w:t>完成市烈士陵园陈列馆展陈布展。</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top"/>
              <w:rPr>
                <w:rFonts w:ascii="仿宋_GB2312" w:eastAsia="仿宋_GB2312" w:cs="仿宋_GB2312" w:hint="eastAsia"/>
                <w:sz w:val="18"/>
                <w:szCs w:val="18"/>
              </w:rPr>
            </w:pPr>
            <w:r>
              <w:rPr>
                <w:rFonts w:ascii="仿宋_GB2312" w:eastAsia="仿宋_GB2312" w:cs="仿宋_GB2312" w:hint="eastAsia"/>
                <w:sz w:val="18"/>
                <w:szCs w:val="18"/>
              </w:rPr>
              <w:t>完成市烈士陵园陈列馆展陈布展。</w:t>
            </w:r>
          </w:p>
        </w:tc>
      </w:tr>
      <w:tr>
        <w:trPr>
          <w:trHeight w:val="249"/>
          <w:gridAfter w:val="1"/>
          <w:wAfter w:w="236" w:type="dxa"/>
        </w:trPr>
        <w:tc>
          <w:tcPr>
            <w:tcW w:w="186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年度绩效指标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完成情况</w:t>
            </w:r>
          </w:p>
        </w:tc>
        <w:tc>
          <w:tcPr>
            <w:tcW w:w="1167" w:type="dxa"/>
            <w:tcBorders>
              <w:top w:val="single" w:sz="4" w:space="0" w:color="000000"/>
              <w:left w:val="nil"/>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一级指标</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二级指标</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三级指标</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预期指标值</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实际完成指标值</w:t>
            </w:r>
          </w:p>
        </w:tc>
      </w:tr>
      <w:tr>
        <w:trPr>
          <w:trHeight w:val="249"/>
          <w:gridAfter w:val="1"/>
          <w:wAfter w:w="236" w:type="dxa"/>
        </w:trPr>
        <w:tc>
          <w:tcPr>
            <w:tcW w:w="2010" w:type="dxa"/>
            <w:vMerge/>
            <w:tcBorders>
              <w:top w:val="nil"/>
              <w:left w:val="single" w:sz="4" w:space="0" w:color="000000"/>
              <w:bottom w:val="nil"/>
              <w:right w:val="single" w:sz="4" w:space="0" w:color="000000"/>
            </w:tcBorders>
            <w:shd w:val="clear" w:color="auto" w:fill="auto"/>
            <w:vAlign w:val="center"/>
          </w:tc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完成</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指标</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数量指标</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展陈布展服务</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1批</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1批</w:t>
            </w:r>
          </w:p>
        </w:tc>
      </w:tr>
      <w:tr>
        <w:trPr>
          <w:trHeight w:val="249"/>
          <w:gridAfter w:val="1"/>
          <w:wAfter w:w="236" w:type="dxa"/>
        </w:trPr>
        <w:tc>
          <w:tcPr>
            <w:tcW w:w="2010" w:type="dxa"/>
            <w:vMerge/>
            <w:tcBorders>
              <w:top w:val="nil"/>
              <w:left w:val="single" w:sz="4" w:space="0" w:color="000000"/>
              <w:bottom w:val="nil"/>
              <w:right w:val="single" w:sz="4" w:space="0" w:color="000000"/>
            </w:tcBorders>
            <w:shd w:val="clear" w:color="auto" w:fill="auto"/>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质量指标</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项目按期完成度</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100%</w:t>
            </w:r>
          </w:p>
        </w:tc>
      </w:tr>
      <w:tr>
        <w:trPr>
          <w:trHeight w:val="249"/>
          <w:gridAfter w:val="1"/>
          <w:wAfter w:w="236" w:type="dxa"/>
        </w:trPr>
        <w:tc>
          <w:tcPr>
            <w:tcW w:w="2010" w:type="dxa"/>
            <w:vMerge/>
            <w:tcBorders>
              <w:top w:val="nil"/>
              <w:left w:val="single" w:sz="4" w:space="0" w:color="000000"/>
              <w:bottom w:val="nil"/>
              <w:right w:val="single" w:sz="4" w:space="0" w:color="000000"/>
            </w:tcBorders>
            <w:shd w:val="clear" w:color="auto" w:fill="auto"/>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时效指标</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完成时间</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2021年12月31日前</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2021年12月31日前</w:t>
            </w:r>
          </w:p>
        </w:tc>
      </w:tr>
      <w:tr>
        <w:trPr>
          <w:trHeight w:val="249"/>
          <w:gridAfter w:val="1"/>
          <w:wAfter w:w="236" w:type="dxa"/>
        </w:trPr>
        <w:tc>
          <w:tcPr>
            <w:tcW w:w="2010" w:type="dxa"/>
            <w:vMerge/>
            <w:tcBorders>
              <w:top w:val="nil"/>
              <w:left w:val="single" w:sz="4" w:space="0" w:color="000000"/>
              <w:bottom w:val="nil"/>
              <w:right w:val="single" w:sz="4" w:space="0" w:color="000000"/>
            </w:tcBorders>
            <w:shd w:val="clear" w:color="auto" w:fill="auto"/>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成本指标</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展陈布展服务</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690.36</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576.1</w:t>
            </w:r>
          </w:p>
        </w:tc>
      </w:tr>
      <w:tr>
        <w:trPr>
          <w:trHeight w:val="249"/>
          <w:gridAfter w:val="1"/>
          <w:wAfter w:w="236" w:type="dxa"/>
        </w:trPr>
        <w:tc>
          <w:tcPr>
            <w:tcW w:w="2010" w:type="dxa"/>
            <w:vMerge/>
            <w:tcBorders>
              <w:top w:val="nil"/>
              <w:left w:val="single" w:sz="4" w:space="0" w:color="000000"/>
              <w:bottom w:val="nil"/>
              <w:right w:val="single" w:sz="4" w:space="0" w:color="000000"/>
            </w:tcBorders>
            <w:shd w:val="clear" w:color="auto" w:fill="auto"/>
            <w:vAlign w:val="center"/>
          </w:tcPr>
          <w:p/>
        </w:tc>
        <w:tc>
          <w:tcPr>
            <w:tcW w:w="11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效益指标</w:t>
            </w:r>
          </w:p>
        </w:tc>
        <w:tc>
          <w:tcPr>
            <w:tcW w:w="1483"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社会效益指标</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对烈士陵园烈士纪念设施条件的促进作用</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通过展陈布展，烈士陵园纪念设施条件不断完善，更好的发挥作用。</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通过展陈布展，烈士陵园纪念设施条件不断完善，更好的发挥作用。</w:t>
            </w:r>
          </w:p>
        </w:tc>
      </w:tr>
      <w:tr>
        <w:trPr>
          <w:trHeight w:val="249"/>
          <w:gridAfter w:val="1"/>
          <w:wAfter w:w="236" w:type="dxa"/>
        </w:trPr>
        <w:tc>
          <w:tcPr>
            <w:tcW w:w="2010" w:type="dxa"/>
            <w:vMerge/>
            <w:tcBorders>
              <w:top w:val="nil"/>
              <w:left w:val="single" w:sz="4" w:space="0" w:color="000000"/>
              <w:bottom w:val="nil"/>
              <w:right w:val="single" w:sz="4" w:space="0" w:color="000000"/>
            </w:tcBorders>
            <w:shd w:val="clear" w:color="auto" w:fill="auto"/>
            <w:vAlign w:val="center"/>
          </w:tc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5" w:type="dxa"/>
            <w:vMerge/>
            <w:tcBorders>
              <w:top w:val="nil"/>
              <w:left w:val="single" w:sz="4" w:space="0" w:color="000000"/>
              <w:bottom w:val="single" w:sz="4" w:space="0" w:color="000000"/>
              <w:right w:val="single" w:sz="4" w:space="0" w:color="000000"/>
            </w:tcBorders>
            <w:shd w:val="clear" w:color="auto" w:fill="auto"/>
            <w:vAlign w:val="center"/>
          </w:tcP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对传承英烈精神的促进作用</w:t>
            </w:r>
          </w:p>
        </w:tc>
        <w:tc>
          <w:tcPr>
            <w:tcW w:w="1009"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通过展陈布展，宣传红色文化和英烈事迹，更好地进行爱国主义教育，传承英烈精神。</w:t>
            </w:r>
          </w:p>
        </w:tc>
        <w:tc>
          <w:tcPr>
            <w:tcW w:w="2409"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通过展陈布展，宣传红色文化和英烈事迹，更好地进行爱国主义教育，传承英烈精神。</w:t>
            </w:r>
          </w:p>
        </w:tc>
      </w:tr>
      <w:tr>
        <w:trPr>
          <w:trHeight w:val="249"/>
          <w:gridAfter w:val="1"/>
          <w:wAfter w:w="236" w:type="dxa"/>
        </w:trPr>
        <w:tc>
          <w:tcPr>
            <w:tcW w:w="2010" w:type="dxa"/>
            <w:vMerge/>
            <w:tcBorders>
              <w:top w:val="nil"/>
              <w:left w:val="single" w:sz="4" w:space="0" w:color="000000"/>
              <w:bottom w:val="nil"/>
              <w:right w:val="single" w:sz="4" w:space="0" w:color="000000"/>
            </w:tcBorders>
            <w:shd w:val="clear" w:color="auto" w:fill="auto"/>
            <w:vAlign w:val="center"/>
          </w:tcPr>
          <w:p/>
        </w:tc>
        <w:tc>
          <w:tcPr>
            <w:tcW w:w="116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满意度指标</w:t>
            </w:r>
          </w:p>
        </w:tc>
        <w:tc>
          <w:tcPr>
            <w:tcW w:w="1483"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指标</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群众对烈士陵园工作满意度</w:t>
            </w:r>
          </w:p>
        </w:tc>
        <w:tc>
          <w:tcPr>
            <w:tcW w:w="1009"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≥98%</w:t>
            </w:r>
          </w:p>
        </w:tc>
        <w:tc>
          <w:tcPr>
            <w:tcW w:w="2409" w:type="dxa"/>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≥98%</w:t>
            </w:r>
          </w:p>
        </w:tc>
      </w:tr>
      <w:tr>
        <w:trPr>
          <w:trHeight w:val="249"/>
          <w:gridAfter w:val="1"/>
          <w:wAfter w:w="236" w:type="dxa"/>
        </w:trPr>
        <w:tc>
          <w:tcPr>
            <w:tcW w:w="1867" w:type="dxa"/>
            <w:tcBorders>
              <w:top w:val="nil"/>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p>
        </w:tc>
        <w:tc>
          <w:tcPr>
            <w:tcW w:w="1142" w:type="dxa"/>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635" w:type="dxa"/>
            <w:vMerge/>
            <w:tcBorders>
              <w:top w:val="nil"/>
              <w:left w:val="single" w:sz="4" w:space="0" w:color="000000"/>
              <w:bottom w:val="single" w:sz="4" w:space="0" w:color="000000"/>
              <w:right w:val="single" w:sz="4" w:space="0" w:color="000000"/>
            </w:tcBorders>
            <w:shd w:val="clear" w:color="auto" w:fill="auto"/>
            <w:vAlign w:val="center"/>
          </w:tcP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来烈士陵园祭扫、参观群众满意度</w:t>
            </w:r>
          </w:p>
        </w:tc>
        <w:tc>
          <w:tcPr>
            <w:tcW w:w="1009"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≥98%</w:t>
            </w:r>
          </w:p>
        </w:tc>
        <w:tc>
          <w:tcPr>
            <w:tcW w:w="2409" w:type="dxa"/>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仿宋_GB2312" w:eastAsia="仿宋_GB2312" w:cs="仿宋_GB2312" w:hint="eastAsia"/>
                <w:kern w:val="0"/>
                <w:sz w:val="18"/>
                <w:szCs w:val="18"/>
              </w:rPr>
            </w:pPr>
            <w:r>
              <w:rPr>
                <w:rFonts w:ascii="仿宋_GB2312" w:eastAsia="仿宋_GB2312" w:cs="仿宋_GB2312" w:hint="eastAsia"/>
                <w:kern w:val="0"/>
                <w:sz w:val="18"/>
                <w:szCs w:val="18"/>
              </w:rPr>
              <w:t>≥98%</w:t>
            </w:r>
          </w:p>
        </w:tc>
      </w:tr>
    </w:tbl>
    <w:p>
      <w:pPr>
        <w:pStyle w:val="16"/>
        <w:rPr>
          <w:rFonts w:ascii="黑体" w:eastAsia="黑体" w:cs="黑体" w:hint="eastAsia"/>
          <w:sz w:val="32"/>
          <w:szCs w:val="32"/>
          <w:lang w:val="zh-CN"/>
        </w:rPr>
      </w:pPr>
      <w:r>
        <w:rPr>
          <w:rFonts w:ascii="黑体" w:eastAsia="黑体" w:cs="黑体" w:hint="eastAsia"/>
          <w:sz w:val="32"/>
          <w:szCs w:val="32"/>
          <w:lang w:val="zh-CN"/>
        </w:rPr>
        <w:t>附件</w:t>
      </w:r>
    </w:p>
    <w:p>
      <w:pPr>
        <w:spacing w:line="560" w:lineRule="exact"/>
        <w:jc w:val="center"/>
        <w:rPr>
          <w:rFonts w:ascii="仿宋_GB2312" w:hAnsi="仿宋_GB2312"/>
          <w:sz w:val="30"/>
          <w:szCs w:val="30"/>
        </w:rPr>
      </w:pPr>
      <w:r>
        <w:rPr>
          <w:rFonts w:ascii="楷体_GB2312" w:eastAsia="楷体_GB2312" w:hint="eastAsia"/>
          <w:sz w:val="30"/>
          <w:szCs w:val="30"/>
        </w:rPr>
        <w:t>（</w:t>
      </w:r>
      <w:r>
        <w:rPr>
          <w:rFonts w:ascii="楷体_GB2312" w:eastAsia="楷体_GB2312" w:hint="eastAsia"/>
          <w:kern w:val="0"/>
          <w:sz w:val="30"/>
          <w:szCs w:val="30"/>
        </w:rPr>
        <w:t>绿化、设施设备维护、日常运行工作经费项目</w:t>
      </w:r>
      <w:r>
        <w:rPr>
          <w:rFonts w:ascii="楷体_GB2312" w:eastAsia="楷体_GB2312" w:hint="eastAsia"/>
          <w:sz w:val="30"/>
          <w:szCs w:val="30"/>
        </w:rPr>
        <w:t>）</w:t>
      </w:r>
    </w:p>
    <w:p>
      <w:pPr>
        <w:adjustRightInd w:val="0"/>
        <w:snapToGrid w:val="0"/>
        <w:spacing w:line="560"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（一）项目基本情况。</w:t>
      </w:r>
    </w:p>
    <w:p>
      <w:pPr>
        <w:adjustRightInd w:val="0"/>
        <w:snapToGrid w:val="0"/>
        <w:spacing w:line="560" w:lineRule="exact"/>
        <w:ind w:firstLine="720"/>
        <w:rPr>
          <w:rFonts w:ascii="仿宋_GB2312" w:eastAsia="仿宋_GB2312"/>
          <w:sz w:val="32"/>
          <w:szCs w:val="32"/>
          <w:lang w:val="zh-CN"/>
        </w:rPr>
      </w:pPr>
      <w:r>
        <w:rPr>
          <w:rFonts w:ascii="仿宋_GB2312" w:eastAsia="仿宋_GB2312" w:hint="eastAsia"/>
          <w:sz w:val="32"/>
          <w:szCs w:val="32"/>
          <w:lang w:val="zh-CN"/>
        </w:rPr>
        <w:t>1</w:t>
      </w:r>
      <w:r>
        <w:rPr>
          <w:rFonts w:ascii="仿宋_GB2312" w:eastAsia="仿宋_GB2312" w:hint="eastAsia"/>
          <w:sz w:val="32"/>
          <w:szCs w:val="32"/>
        </w:rPr>
        <w:t>.</w:t>
      </w:r>
      <w:r>
        <w:rPr>
          <w:rFonts w:ascii="仿宋_GB2312" w:eastAsia="仿宋_GB2312" w:hint="eastAsia"/>
          <w:sz w:val="32"/>
          <w:szCs w:val="32"/>
          <w:lang w:val="zh-CN"/>
        </w:rPr>
        <w:t>说明项目主管部门（单位）在该项目管理中的职能。</w:t>
      </w:r>
    </w:p>
    <w:p>
      <w:pPr>
        <w:pStyle w:val="15"/>
        <w:rPr>
          <w:rFonts w:ascii="仿宋_GB2312" w:eastAsia="仿宋_GB2312"/>
          <w:szCs w:val="32"/>
          <w:lang w:val="zh-CN"/>
        </w:rPr>
      </w:pPr>
      <w:r>
        <w:rPr>
          <w:rFonts w:ascii="仿宋_GB2312" w:eastAsia="仿宋_GB2312" w:hint="eastAsia"/>
          <w:szCs w:val="32"/>
          <w:lang w:val="zh-CN"/>
        </w:rPr>
        <w:t>项目主管单位：广元市烈士陵园管理所。</w:t>
      </w:r>
    </w:p>
    <w:p>
      <w:pPr>
        <w:pStyle w:val="15"/>
        <w:rPr>
          <w:rFonts w:ascii="仿宋_GB2312" w:eastAsia="仿宋_GB2312"/>
          <w:szCs w:val="32"/>
          <w:lang w:val="zh-CN"/>
        </w:rPr>
      </w:pPr>
      <w:r>
        <w:rPr>
          <w:rFonts w:ascii="仿宋_GB2312" w:eastAsia="仿宋_GB2312" w:hint="eastAsia"/>
          <w:szCs w:val="32"/>
          <w:lang w:val="zh-CN"/>
        </w:rPr>
        <w:t>职能：牵头实施项目、编制实施方案等。</w:t>
      </w:r>
    </w:p>
    <w:p>
      <w:pPr>
        <w:adjustRightInd w:val="0"/>
        <w:snapToGri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rPr>
        <w:t>2.</w:t>
      </w:r>
      <w:r>
        <w:rPr>
          <w:rFonts w:ascii="仿宋_GB2312" w:eastAsia="仿宋_GB2312" w:cs="仿宋_GB2312" w:hint="eastAsia"/>
          <w:sz w:val="32"/>
          <w:szCs w:val="32"/>
          <w:lang w:val="zh-CN"/>
        </w:rPr>
        <w:t>项目立项、资金申报的依据。</w:t>
      </w:r>
    </w:p>
    <w:p>
      <w:pPr>
        <w:pStyle w:val="15"/>
        <w:rPr>
          <w:rFonts w:ascii="仿宋_GB2312" w:eastAsia="仿宋_GB2312" w:cs="仿宋_GB2312"/>
          <w:lang w:val="zh-CN"/>
        </w:rPr>
      </w:pPr>
      <w:r>
        <w:rPr>
          <w:rFonts w:ascii="仿宋_GB2312" w:eastAsia="仿宋_GB2312" w:cs="仿宋_GB2312" w:hint="eastAsia"/>
          <w:lang w:val="zh-CN"/>
        </w:rPr>
        <w:t>该项目</w:t>
      </w:r>
      <w:r>
        <w:rPr>
          <w:rFonts w:ascii="仿宋_GB2312" w:eastAsia="仿宋_GB2312" w:cs="仿宋_GB2312" w:hint="eastAsia"/>
          <w:szCs w:val="32"/>
        </w:rPr>
        <w:t>主要为烈士陵园绿化、设施设备维护、日常运行等</w:t>
      </w:r>
      <w:r>
        <w:rPr>
          <w:rFonts w:ascii="仿宋_GB2312" w:eastAsia="仿宋_GB2312" w:cs="仿宋_GB2312" w:hint="eastAsia"/>
          <w:lang w:val="zh-CN"/>
        </w:rPr>
        <w:t>，经市财政局批复同意设立。</w:t>
      </w:r>
    </w:p>
    <w:p>
      <w:pPr>
        <w:adjustRightInd w:val="0"/>
        <w:snapToGrid w:val="0"/>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rPr>
        <w:t>3.</w:t>
      </w:r>
      <w:r>
        <w:rPr>
          <w:rFonts w:ascii="仿宋_GB2312" w:eastAsia="仿宋_GB2312" w:cs="仿宋_GB2312" w:hint="eastAsia"/>
          <w:sz w:val="32"/>
          <w:szCs w:val="32"/>
          <w:lang w:val="zh-CN"/>
        </w:rPr>
        <w:t>资金管理办法制定情况，资金支持具体项目的条件、范围与支持方式概况。</w:t>
      </w:r>
    </w:p>
    <w:p>
      <w:pPr>
        <w:pStyle w:val="15"/>
        <w:ind w:firstLineChars="0" w:firstLine="640"/>
        <w:rPr>
          <w:rFonts w:ascii="仿宋_GB2312" w:eastAsia="仿宋_GB2312" w:cs="仿宋_GB2312"/>
          <w:lang w:val="zh-CN"/>
        </w:rPr>
      </w:pPr>
      <w:r>
        <w:rPr>
          <w:rFonts w:ascii="仿宋_GB2312" w:eastAsia="仿宋_GB2312" w:cs="仿宋_GB2312" w:hint="eastAsia"/>
          <w:lang w:val="zh-CN"/>
        </w:rPr>
        <w:t>资金按市烈士陵园管理所财务管理办法进行管理，该笔资金用于</w:t>
      </w:r>
      <w:r>
        <w:rPr>
          <w:rFonts w:ascii="仿宋_GB2312" w:eastAsia="仿宋_GB2312" w:cs="仿宋_GB2312" w:hint="eastAsia"/>
          <w:szCs w:val="32"/>
        </w:rPr>
        <w:t>烈士陵园绿化、设施设备维护、日常运行等开支产生的相关费用</w:t>
      </w:r>
      <w:r>
        <w:rPr>
          <w:rFonts w:ascii="仿宋_GB2312" w:eastAsia="仿宋_GB2312" w:cs="仿宋_GB2312" w:hint="eastAsia"/>
          <w:lang w:val="zh-CN"/>
        </w:rPr>
        <w:t>，按照实际情况进行资金拨付。</w:t>
      </w:r>
    </w:p>
    <w:p>
      <w:pPr>
        <w:adjustRightInd w:val="0"/>
        <w:snapToGrid w:val="0"/>
        <w:spacing w:line="560" w:lineRule="exact"/>
        <w:ind w:left="720"/>
        <w:rPr>
          <w:rFonts w:ascii="仿宋_GB2312" w:eastAsia="仿宋_GB2312" w:cs="仿宋_GB2312"/>
          <w:sz w:val="32"/>
          <w:szCs w:val="32"/>
          <w:lang w:val="zh-CN"/>
        </w:rPr>
      </w:pPr>
      <w:r>
        <w:rPr>
          <w:rFonts w:ascii="仿宋_GB2312" w:eastAsia="仿宋_GB2312" w:cs="仿宋_GB2312" w:hint="eastAsia"/>
          <w:sz w:val="32"/>
          <w:szCs w:val="32"/>
        </w:rPr>
        <w:t>4.</w:t>
      </w:r>
      <w:r>
        <w:rPr>
          <w:rFonts w:ascii="仿宋_GB2312" w:eastAsia="仿宋_GB2312" w:cs="仿宋_GB2312" w:hint="eastAsia"/>
          <w:sz w:val="32"/>
          <w:szCs w:val="32"/>
          <w:lang w:val="zh-CN"/>
        </w:rPr>
        <w:t>资金分配的原则及考虑因素。</w:t>
      </w:r>
    </w:p>
    <w:p>
      <w:pPr>
        <w:pStyle w:val="15"/>
        <w:ind w:left="720" w:firstLineChars="0" w:firstLine="0"/>
        <w:rPr>
          <w:rFonts w:ascii="仿宋_GB2312" w:eastAsia="仿宋_GB2312" w:cs="仿宋_GB2312"/>
          <w:lang w:val="zh-CN"/>
        </w:rPr>
      </w:pPr>
      <w:r>
        <w:rPr>
          <w:rFonts w:ascii="仿宋_GB2312" w:eastAsia="仿宋_GB2312" w:cs="仿宋_GB2312" w:hint="eastAsia"/>
          <w:lang w:val="zh-CN"/>
        </w:rPr>
        <w:t>科学合理安排资金预算支出，实现资金落到实处，强化执</w:t>
      </w:r>
    </w:p>
    <w:p>
      <w:pPr>
        <w:pStyle w:val="15"/>
        <w:ind w:firstLineChars="0" w:firstLine="0"/>
        <w:rPr>
          <w:rFonts w:ascii="仿宋_GB2312" w:eastAsia="仿宋_GB2312" w:cs="仿宋_GB2312"/>
          <w:lang w:val="zh-CN"/>
        </w:rPr>
      </w:pPr>
      <w:r>
        <w:rPr>
          <w:rFonts w:ascii="仿宋_GB2312" w:eastAsia="仿宋_GB2312" w:cs="仿宋_GB2312" w:hint="eastAsia"/>
          <w:lang w:val="zh-CN"/>
        </w:rPr>
        <w:t>行过程监督，成本严格控制在预算范围内。</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（二）项目绩效目标。</w:t>
      </w:r>
    </w:p>
    <w:p>
      <w:pPr>
        <w:adjustRightInd w:val="0"/>
        <w:snapToGrid w:val="0"/>
        <w:spacing w:line="560" w:lineRule="exact"/>
        <w:ind w:firstLine="720"/>
        <w:rPr>
          <w:rFonts w:ascii="仿宋_GB2312" w:eastAsia="仿宋_GB2312"/>
          <w:sz w:val="32"/>
          <w:szCs w:val="32"/>
          <w:lang w:val="zh-CN"/>
        </w:rPr>
      </w:pPr>
      <w:r>
        <w:rPr>
          <w:rFonts w:ascii="仿宋_GB2312" w:eastAsia="仿宋_GB2312" w:hint="eastAsia"/>
          <w:sz w:val="32"/>
          <w:szCs w:val="32"/>
          <w:lang w:val="zh-CN"/>
        </w:rPr>
        <w:t>1．项目主要内容。</w:t>
      </w:r>
    </w:p>
    <w:p>
      <w:pPr>
        <w:pBdr>
          <w:top w:val="single" w:sz="4" w:space="1" w:color="FFFFFF"/>
          <w:left w:val="single" w:sz="4" w:space="4" w:color="FFFFFF"/>
          <w:bottom w:val="single" w:sz="4" w:space="1" w:color="FFFFFF"/>
          <w:right w:val="single" w:sz="4" w:space="4" w:color="FFFFFF"/>
        </w:pBdr>
        <w:spacing w:line="560" w:lineRule="exact"/>
        <w:ind w:firstLineChars="200" w:firstLine="640"/>
        <w:rPr>
          <w:rFonts w:ascii="仿宋_GB2312" w:hAnsi="仿宋_GB2312"/>
        </w:rPr>
      </w:pPr>
      <w:r>
        <w:rPr>
          <w:rFonts w:ascii="仿宋_GB2312" w:eastAsia="仿宋_GB2312" w:hint="eastAsia"/>
          <w:sz w:val="32"/>
          <w:szCs w:val="32"/>
        </w:rPr>
        <w:t>陵园内绿化养护；纪念设施日常维护保养；完成前来烈士陵园祭扫烈士遗属的接待工作，对自行前来祭扫经济上确有困难的给予适当补助及确保烈士陵园正常运转的相关工作。</w:t>
      </w:r>
    </w:p>
    <w:p>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int="eastAsia"/>
          <w:sz w:val="32"/>
          <w:szCs w:val="32"/>
        </w:rPr>
        <w:t>2.</w:t>
      </w:r>
      <w:r>
        <w:rPr>
          <w:rFonts w:ascii="仿宋_GB2312" w:eastAsia="仿宋_GB2312" w:hint="eastAsia"/>
          <w:sz w:val="32"/>
          <w:szCs w:val="32"/>
          <w:lang w:val="zh-CN"/>
        </w:rPr>
        <w:t>项目应实现的具体绩效目标，包括目标的量化、细化情况以及项目实施进度计划等。</w:t>
      </w:r>
    </w:p>
    <w:p>
      <w:pPr>
        <w:pBdr>
          <w:top w:val="single" w:sz="4" w:space="1" w:color="FFFFFF"/>
          <w:left w:val="single" w:sz="4" w:space="4" w:color="FFFFFF"/>
          <w:bottom w:val="single" w:sz="4" w:space="1" w:color="FFFFFF"/>
          <w:right w:val="single" w:sz="4" w:space="4" w:color="FFFFFF"/>
        </w:pBdr>
        <w:spacing w:line="560" w:lineRule="exact"/>
        <w:ind w:firstLineChars="200" w:firstLine="640"/>
        <w:rPr>
          <w:rFonts w:ascii="仿宋_GB2312" w:hAnsi="仿宋_GB2312"/>
        </w:rPr>
      </w:pPr>
      <w:r>
        <w:rPr>
          <w:rFonts w:ascii="仿宋_GB2312" w:eastAsia="仿宋_GB2312" w:hint="eastAsia"/>
          <w:sz w:val="32"/>
          <w:szCs w:val="32"/>
        </w:rPr>
        <w:t>完成12000平方米的绿化养护，纪念碑、纪念广场、墓区等纪念设施的维护、20人次烈属的接待及其他日常运行工作。</w:t>
      </w:r>
    </w:p>
    <w:p>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int="eastAsia"/>
          <w:sz w:val="32"/>
          <w:szCs w:val="32"/>
        </w:rPr>
        <w:t>3.</w:t>
      </w:r>
      <w:r>
        <w:rPr>
          <w:rFonts w:ascii="仿宋_GB2312" w:eastAsia="仿宋_GB2312" w:hint="eastAsia"/>
          <w:sz w:val="32"/>
          <w:szCs w:val="32"/>
          <w:lang w:val="zh-CN"/>
        </w:rPr>
        <w:t>分析评价申报内容是否与实际相符，申报目标是否合理可行。</w:t>
      </w:r>
    </w:p>
    <w:p>
      <w:pPr>
        <w:autoSpaceDN w:val="0"/>
        <w:adjustRightInd w:val="0"/>
        <w:snapToGrid w:val="0"/>
        <w:spacing w:line="560" w:lineRule="exact"/>
        <w:ind w:firstLineChars="200" w:firstLine="640"/>
        <w:rPr>
          <w:lang w:val="zh-CN"/>
        </w:rPr>
      </w:pPr>
      <w:r>
        <w:rPr>
          <w:rFonts w:ascii="仿宋_GB2312" w:eastAsia="仿宋_GB2312" w:hint="eastAsia"/>
          <w:sz w:val="32"/>
          <w:szCs w:val="32"/>
        </w:rPr>
        <w:t>申报内容与工作相符，目标合理可行。</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（三）项目自评步骤及方法。</w:t>
      </w:r>
    </w:p>
    <w:p>
      <w:pPr>
        <w:adjustRightInd w:val="0"/>
        <w:snapToGrid w:val="0"/>
        <w:spacing w:line="560" w:lineRule="exact"/>
        <w:ind w:firstLine="720"/>
        <w:rPr>
          <w:rFonts w:ascii="仿宋_GB2312" w:eastAsia="仿宋_GB2312"/>
          <w:sz w:val="32"/>
          <w:szCs w:val="32"/>
          <w:lang w:val="zh-CN"/>
        </w:rPr>
      </w:pPr>
      <w:r>
        <w:rPr>
          <w:rFonts w:ascii="仿宋_GB2312" w:eastAsia="仿宋_GB2312" w:hint="eastAsia"/>
          <w:sz w:val="32"/>
          <w:szCs w:val="32"/>
          <w:lang w:val="zh-CN"/>
        </w:rPr>
        <w:t>项目由财务人员草拟自评报告，分别报单位分管领导、主要领导审阅后报送。</w:t>
      </w:r>
    </w:p>
    <w:p>
      <w:pPr>
        <w:adjustRightInd w:val="0"/>
        <w:snapToGrid w:val="0"/>
        <w:spacing w:line="560" w:lineRule="exact"/>
        <w:ind w:firstLine="720"/>
        <w:rPr>
          <w:rFonts w:ascii="黑体" w:eastAsia="黑体"/>
          <w:sz w:val="32"/>
          <w:szCs w:val="32"/>
        </w:rPr>
      </w:pPr>
      <w:r>
        <w:rPr>
          <w:rFonts w:ascii="黑体" w:eastAsia="黑体" w:hint="eastAsia"/>
          <w:sz w:val="32"/>
          <w:szCs w:val="32"/>
        </w:rPr>
        <w:t>二、项目资金申报及使用情况</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（一）项目资金申报及批复情况。</w:t>
      </w:r>
    </w:p>
    <w:p>
      <w:pPr>
        <w:adjustRightInd w:val="0"/>
        <w:snapToGrid w:val="0"/>
        <w:spacing w:line="560" w:lineRule="exact"/>
        <w:ind w:firstLine="720"/>
        <w:rPr>
          <w:rFonts w:ascii="仿宋_GB2312" w:hAnsi="仿宋_GB2312"/>
        </w:rPr>
      </w:pPr>
      <w:r>
        <w:rPr>
          <w:rFonts w:ascii="仿宋_GB2312" w:eastAsia="仿宋_GB2312" w:hint="eastAsia"/>
          <w:sz w:val="32"/>
          <w:szCs w:val="32"/>
        </w:rPr>
        <w:t>该项目为市级预算项目，经市财政局批复同意设立。</w:t>
      </w:r>
    </w:p>
    <w:p>
      <w:pPr>
        <w:adjustRightInd w:val="0"/>
        <w:snapToGrid w:val="0"/>
        <w:spacing w:line="560" w:lineRule="exact"/>
        <w:ind w:firstLine="720"/>
        <w:rPr>
          <w:rFonts w:ascii="仿宋_GB2312" w:eastAsia="仿宋_GB2312"/>
          <w:b w:val="0"/>
          <w:bCs/>
          <w:sz w:val="32"/>
          <w:szCs w:val="32"/>
          <w:lang w:val="zh-CN"/>
        </w:rPr>
      </w:pPr>
      <w:r>
        <w:rPr>
          <w:rFonts w:ascii="楷体_GB2312" w:eastAsia="楷体_GB2312" w:hint="eastAsia"/>
          <w:b w:val="0"/>
          <w:bCs/>
          <w:sz w:val="32"/>
          <w:szCs w:val="32"/>
          <w:lang w:val="zh-CN"/>
        </w:rPr>
        <w:t>（二）资金计划、到位及使用情况。</w:t>
      </w:r>
    </w:p>
    <w:p>
      <w:pPr>
        <w:adjustRightInd w:val="0"/>
        <w:snapToGrid w:val="0"/>
        <w:spacing w:line="560" w:lineRule="exact"/>
        <w:ind w:firstLine="720"/>
        <w:rPr>
          <w:rFonts w:ascii="仿宋_GB2312" w:eastAsia="仿宋_GB2312"/>
          <w:sz w:val="32"/>
          <w:szCs w:val="32"/>
        </w:rPr>
      </w:pPr>
      <w:r>
        <w:rPr>
          <w:rFonts w:ascii="楷体_GB2312" w:eastAsia="楷体_GB2312" w:hint="eastAsia"/>
          <w:sz w:val="32"/>
          <w:szCs w:val="32"/>
          <w:lang w:val="zh-CN"/>
        </w:rPr>
        <w:t>1．资金计划。</w:t>
      </w:r>
      <w:r>
        <w:rPr>
          <w:rFonts w:ascii="仿宋_GB2312" w:eastAsia="仿宋_GB2312" w:hint="eastAsia"/>
          <w:sz w:val="32"/>
          <w:szCs w:val="32"/>
        </w:rPr>
        <w:t>该项目资金来源于市财政资金，无其他渠道资金，于2021年年初市财政局预算批复时全部到位。</w:t>
      </w:r>
    </w:p>
    <w:p>
      <w:pPr>
        <w:adjustRightInd w:val="0"/>
        <w:snapToGrid w:val="0"/>
        <w:spacing w:line="560" w:lineRule="exact"/>
        <w:ind w:firstLine="720"/>
        <w:rPr>
          <w:rFonts w:ascii="仿宋_GB2312" w:eastAsia="仿宋_GB2312"/>
          <w:sz w:val="32"/>
          <w:szCs w:val="32"/>
          <w:lang w:val="zh-CN"/>
        </w:rPr>
      </w:pPr>
      <w:r>
        <w:rPr>
          <w:rFonts w:ascii="楷体_GB2312" w:eastAsia="楷体_GB2312" w:hint="eastAsia"/>
          <w:sz w:val="32"/>
          <w:szCs w:val="32"/>
          <w:lang w:val="zh-CN"/>
        </w:rPr>
        <w:t>2．资金到位。</w:t>
      </w:r>
      <w:r>
        <w:rPr>
          <w:rFonts w:ascii="仿宋_GB2312" w:eastAsia="仿宋_GB2312" w:hint="eastAsia"/>
          <w:sz w:val="32"/>
          <w:szCs w:val="32"/>
          <w:lang w:val="zh-CN"/>
        </w:rPr>
        <w:t>全部资金均到位，到位率100%，到位及时。</w:t>
      </w:r>
    </w:p>
    <w:p>
      <w:pPr>
        <w:adjustRightInd w:val="0"/>
        <w:snapToGrid w:val="0"/>
        <w:spacing w:line="560" w:lineRule="exact"/>
        <w:ind w:firstLine="720"/>
        <w:rPr>
          <w:rFonts w:ascii="仿宋_GB2312" w:hAnsi="仿宋_GB2312"/>
        </w:rPr>
      </w:pPr>
      <w:r>
        <w:rPr>
          <w:rFonts w:ascii="楷体_GB2312" w:eastAsia="楷体_GB2312" w:hint="eastAsia"/>
          <w:sz w:val="32"/>
          <w:szCs w:val="32"/>
          <w:lang w:val="zh-CN"/>
        </w:rPr>
        <w:t>3．资金使用。</w:t>
      </w:r>
      <w:r>
        <w:rPr>
          <w:rFonts w:ascii="仿宋_GB2312" w:eastAsia="仿宋_GB2312" w:hint="eastAsia"/>
          <w:sz w:val="32"/>
          <w:szCs w:val="32"/>
        </w:rPr>
        <w:t>严格执行上级关于资金使用管理办法的要求，按照工作需要，对所支付资金按单位资金管理相关程序拨付，切实做到资金专款专用、严格规范、安全高效。</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（三）项目财务管理情况。</w:t>
      </w:r>
    </w:p>
    <w:p>
      <w:pPr>
        <w:adjustRightInd w:val="0"/>
        <w:snapToGrid w:val="0"/>
        <w:spacing w:line="560" w:lineRule="exact"/>
        <w:ind w:firstLine="720"/>
        <w:rPr>
          <w:rFonts w:ascii="仿宋_GB2312" w:hAnsi="仿宋_GB2312"/>
        </w:rPr>
      </w:pPr>
      <w:r>
        <w:rPr>
          <w:rFonts w:ascii="仿宋_GB2312" w:eastAsia="仿宋_GB2312" w:hint="eastAsia"/>
          <w:sz w:val="32"/>
          <w:szCs w:val="32"/>
        </w:rPr>
        <w:t>项目资金严格按照单位财务管理制度及相关财经记录执行。坚持先做事、后报账，保证资金专款专用，有效防止截留、挤占和挪用等现象。财务资料完整，对资金的支出严格把关，对不符合程序的及时纠正，对不符合规定的票据拒绝报销，严格执行不同支出额度的审批程序。</w:t>
      </w:r>
    </w:p>
    <w:p>
      <w:pPr>
        <w:adjustRightInd w:val="0"/>
        <w:snapToGrid w:val="0"/>
        <w:spacing w:line="560" w:lineRule="exact"/>
        <w:ind w:firstLine="720"/>
        <w:rPr>
          <w:rFonts w:ascii="黑体" w:eastAsia="黑体"/>
          <w:sz w:val="32"/>
          <w:szCs w:val="32"/>
        </w:rPr>
      </w:pPr>
      <w:r>
        <w:rPr>
          <w:rFonts w:ascii="黑体" w:eastAsia="黑体" w:hint="eastAsia"/>
          <w:sz w:val="32"/>
          <w:szCs w:val="32"/>
        </w:rPr>
        <w:t>三、项目实施及管理情况</w:t>
      </w:r>
    </w:p>
    <w:p>
      <w:pPr>
        <w:adjustRightInd w:val="0"/>
        <w:snapToGrid w:val="0"/>
        <w:spacing w:line="560" w:lineRule="exact"/>
        <w:ind w:firstLine="720"/>
        <w:rPr>
          <w:rFonts w:ascii="仿宋_GB2312" w:eastAsia="仿宋_GB2312"/>
          <w:sz w:val="32"/>
          <w:szCs w:val="32"/>
          <w:lang w:val="zh-CN"/>
        </w:rPr>
      </w:pPr>
      <w:r>
        <w:rPr>
          <w:rFonts w:ascii="仿宋_GB2312" w:eastAsia="仿宋_GB2312" w:hint="eastAsia"/>
          <w:sz w:val="32"/>
          <w:szCs w:val="32"/>
          <w:lang w:val="zh-CN"/>
        </w:rPr>
        <w:t>结合项目组织实施管理办法，重点围绕以下内容进行分析评价，并对自评中发现的问题分析说明。</w:t>
      </w:r>
    </w:p>
    <w:p>
      <w:pPr>
        <w:pStyle w:val="30"/>
        <w:numPr>
          <w:ilvl w:val="0"/>
          <w:numId w:val="2"/>
        </w:numPr>
        <w:adjustRightInd w:val="0"/>
        <w:snapToGrid w:val="0"/>
        <w:spacing w:line="560" w:lineRule="exact"/>
        <w:ind w:firstLineChars="0"/>
        <w:rPr>
          <w:rFonts w:ascii="楷体_GB2312" w:eastAsia="楷体_GB2312"/>
          <w:b w:val="0"/>
          <w:bCs/>
          <w:sz w:val="32"/>
          <w:szCs w:val="32"/>
          <w:lang w:val="zh-CN"/>
        </w:rPr>
      </w:pPr>
      <w:r>
        <w:rPr>
          <w:rFonts w:ascii="楷体_GB2312" w:eastAsia="楷体_GB2312" w:hint="eastAsia"/>
          <w:b w:val="0"/>
          <w:bCs/>
          <w:sz w:val="32"/>
          <w:szCs w:val="32"/>
          <w:lang w:val="zh-CN"/>
        </w:rPr>
        <w:t>项目组织架构及实施流程。</w:t>
      </w:r>
    </w:p>
    <w:p>
      <w:pPr>
        <w:pStyle w:val="15"/>
        <w:ind w:firstLineChars="0" w:firstLine="640"/>
        <w:rPr>
          <w:rFonts w:ascii="仿宋_GB2312" w:eastAsia="仿宋_GB2312"/>
          <w:szCs w:val="32"/>
          <w:lang w:val="zh-CN"/>
        </w:rPr>
      </w:pPr>
      <w:r>
        <w:rPr>
          <w:rFonts w:ascii="仿宋_GB2312" w:eastAsia="仿宋_GB2312" w:hint="eastAsia"/>
          <w:szCs w:val="32"/>
          <w:lang w:val="zh-CN"/>
        </w:rPr>
        <w:t>1.项目</w:t>
      </w:r>
      <w:r>
        <w:rPr>
          <w:rFonts w:ascii="仿宋_GB2312" w:eastAsia="仿宋_GB2312"/>
          <w:szCs w:val="32"/>
          <w:lang w:val="zh-CN"/>
        </w:rPr>
        <w:t>经办人根据项目申报和经费下达情况进行项目</w:t>
      </w:r>
      <w:r>
        <w:rPr>
          <w:rFonts w:ascii="仿宋_GB2312" w:eastAsia="仿宋_GB2312" w:hint="eastAsia"/>
          <w:szCs w:val="32"/>
          <w:lang w:val="zh-CN"/>
        </w:rPr>
        <w:t>实施。</w:t>
      </w:r>
    </w:p>
    <w:p>
      <w:pPr>
        <w:pStyle w:val="15"/>
        <w:ind w:firstLineChars="0" w:firstLine="640"/>
        <w:rPr>
          <w:rFonts w:ascii="仿宋_GB2312" w:eastAsia="仿宋_GB2312"/>
          <w:szCs w:val="32"/>
          <w:lang w:val="zh-CN"/>
        </w:rPr>
      </w:pPr>
      <w:r>
        <w:rPr>
          <w:rFonts w:ascii="仿宋_GB2312" w:eastAsia="仿宋_GB2312" w:hint="eastAsia"/>
          <w:szCs w:val="32"/>
          <w:lang w:val="zh-CN"/>
        </w:rPr>
        <w:t>2.根据实际情况拨付资金。</w:t>
      </w:r>
    </w:p>
    <w:p>
      <w:pPr>
        <w:adjustRightInd w:val="0"/>
        <w:snapToGrid w:val="0"/>
        <w:spacing w:line="560" w:lineRule="exact"/>
        <w:ind w:firstLine="720"/>
        <w:rPr>
          <w:rFonts w:ascii="仿宋_GB2312" w:eastAsia="仿宋_GB2312"/>
          <w:sz w:val="32"/>
          <w:szCs w:val="32"/>
          <w:lang w:val="zh-CN"/>
        </w:rPr>
      </w:pPr>
      <w:r>
        <w:rPr>
          <w:rFonts w:ascii="楷体_GB2312" w:eastAsia="楷体_GB2312" w:hint="eastAsia"/>
          <w:b w:val="0"/>
          <w:bCs/>
          <w:sz w:val="32"/>
          <w:szCs w:val="32"/>
          <w:lang w:val="zh-CN"/>
        </w:rPr>
        <w:t>（二）项目管理情况。</w:t>
      </w:r>
      <w:r>
        <w:rPr>
          <w:rFonts w:ascii="仿宋_GB2312" w:eastAsia="仿宋_GB2312" w:hint="eastAsia"/>
          <w:sz w:val="32"/>
          <w:szCs w:val="32"/>
        </w:rPr>
        <w:t>按要求实施。</w:t>
      </w:r>
    </w:p>
    <w:p>
      <w:pPr>
        <w:adjustRightInd w:val="0"/>
        <w:snapToGrid w:val="0"/>
        <w:spacing w:line="560" w:lineRule="exact"/>
        <w:ind w:firstLine="720"/>
        <w:rPr>
          <w:rFonts w:ascii="仿宋_GB2312" w:eastAsia="仿宋_GB2312"/>
          <w:sz w:val="32"/>
          <w:szCs w:val="32"/>
          <w:lang w:val="zh-CN"/>
        </w:rPr>
      </w:pPr>
      <w:r>
        <w:rPr>
          <w:rFonts w:ascii="楷体_GB2312" w:eastAsia="楷体_GB2312" w:hint="eastAsia"/>
          <w:b w:val="0"/>
          <w:bCs/>
          <w:sz w:val="32"/>
          <w:szCs w:val="32"/>
          <w:lang w:val="zh-CN"/>
        </w:rPr>
        <w:t>（三）项目监管情况。</w:t>
      </w:r>
      <w:r>
        <w:rPr>
          <w:rFonts w:ascii="仿宋_GB2312" w:eastAsia="仿宋_GB2312" w:hint="eastAsia"/>
          <w:sz w:val="32"/>
          <w:szCs w:val="32"/>
          <w:lang w:val="zh-CN"/>
        </w:rPr>
        <w:t>按要求专款专用。</w:t>
      </w:r>
    </w:p>
    <w:p>
      <w:pPr>
        <w:adjustRightInd w:val="0"/>
        <w:snapToGrid w:val="0"/>
        <w:spacing w:line="560" w:lineRule="exact"/>
        <w:ind w:firstLine="720"/>
        <w:rPr>
          <w:rFonts w:ascii="仿宋_GB2312" w:eastAsia="仿宋_GB2312"/>
          <w:sz w:val="32"/>
          <w:szCs w:val="32"/>
          <w:lang w:val="zh-CN"/>
        </w:rPr>
      </w:pPr>
      <w:r>
        <w:rPr>
          <w:rFonts w:ascii="黑体" w:eastAsia="黑体" w:hint="eastAsia"/>
          <w:sz w:val="32"/>
          <w:szCs w:val="32"/>
        </w:rPr>
        <w:t>四、项目绩效情况</w:t>
      </w:r>
      <w:r>
        <w:rPr>
          <w:rFonts w:ascii="仿宋_GB2312" w:eastAsia="仿宋_GB2312" w:hint="eastAsia"/>
          <w:sz w:val="32"/>
          <w:szCs w:val="32"/>
          <w:lang w:val="zh-CN"/>
        </w:rPr>
        <w:tab/>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（一）项目完成情况。</w:t>
      </w:r>
    </w:p>
    <w:p>
      <w:pPr>
        <w:pBdr>
          <w:top w:val="single" w:sz="4" w:space="1" w:color="FFFFFF"/>
          <w:left w:val="single" w:sz="4" w:space="4" w:color="FFFFFF"/>
          <w:bottom w:val="single" w:sz="4" w:space="1" w:color="FFFFFF"/>
          <w:right w:val="single" w:sz="4" w:space="4" w:color="FFFFFF"/>
        </w:pBdr>
        <w:spacing w:line="560" w:lineRule="exact"/>
        <w:ind w:firstLineChars="200" w:firstLine="640"/>
        <w:rPr>
          <w:rFonts w:ascii="仿宋_GB2312" w:hAnsi="仿宋_GB2312"/>
        </w:rPr>
      </w:pPr>
      <w:r>
        <w:rPr>
          <w:rFonts w:ascii="仿宋_GB2312" w:eastAsia="仿宋_GB2312" w:hint="eastAsia"/>
          <w:sz w:val="32"/>
          <w:szCs w:val="32"/>
        </w:rPr>
        <w:t>2021年，完成了对陵园的绿化养护，完成纪念设施维护保养，全年接待前来烈士陵园祭扫的烈属52人次，完成其他确保烈士陵园正常运转的相关工作。</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（二）项目效益情况。</w:t>
      </w:r>
    </w:p>
    <w:p>
      <w:pPr>
        <w:pBdr>
          <w:top w:val="single" w:sz="4" w:space="1" w:color="FFFFFF"/>
          <w:left w:val="single" w:sz="4" w:space="4" w:color="FFFFFF"/>
          <w:bottom w:val="single" w:sz="4" w:space="1" w:color="FFFFFF"/>
          <w:right w:val="single" w:sz="4" w:space="4" w:color="FFFFFF"/>
        </w:pBdr>
        <w:spacing w:line="560" w:lineRule="exact"/>
        <w:ind w:firstLineChars="200" w:firstLine="640"/>
        <w:rPr>
          <w:rFonts w:ascii="仿宋_GB2312" w:hAnsi="仿宋_GB2312"/>
        </w:rPr>
      </w:pPr>
      <w:r>
        <w:rPr>
          <w:rFonts w:ascii="仿宋_GB2312" w:eastAsia="仿宋_GB2312" w:hint="eastAsia"/>
          <w:sz w:val="32"/>
          <w:szCs w:val="32"/>
        </w:rPr>
        <w:t>通过项目实施，营造了良好的祭扫环境，提高了对烈士纪念设施的保护管理，更好地发挥爱国主义教育基地作用，更好地传承英烈精神。群众对烈士陵园日常管理工作满意度及对烈士纪念设施保护管理工作满意度均达到98%以上。</w:t>
      </w:r>
    </w:p>
    <w:p>
      <w:pPr>
        <w:adjustRightInd w:val="0"/>
        <w:snapToGrid w:val="0"/>
        <w:spacing w:line="560" w:lineRule="exact"/>
        <w:ind w:firstLine="720"/>
        <w:rPr>
          <w:rFonts w:ascii="黑体" w:eastAsia="黑体"/>
          <w:sz w:val="32"/>
          <w:szCs w:val="32"/>
        </w:rPr>
      </w:pPr>
      <w:r>
        <w:rPr>
          <w:rFonts w:ascii="黑体" w:eastAsia="黑体" w:hint="eastAsia"/>
          <w:sz w:val="32"/>
          <w:szCs w:val="32"/>
        </w:rPr>
        <w:t>五、评价结论及建议</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（一）评价结论。</w:t>
      </w:r>
    </w:p>
    <w:p>
      <w:pPr>
        <w:adjustRightInd w:val="0"/>
        <w:snapToGrid w:val="0"/>
        <w:spacing w:line="560" w:lineRule="exact"/>
        <w:ind w:firstLineChars="200" w:firstLine="640"/>
        <w:rPr>
          <w:rFonts w:ascii="仿宋_GB2312" w:eastAsia="仿宋_GB2312"/>
          <w:sz w:val="32"/>
          <w:szCs w:val="32"/>
          <w:bdr w:val="single" w:sz="4" w:space="0" w:color="auto"/>
          <w:lang w:val="zh-CN"/>
        </w:rPr>
      </w:pPr>
      <w:r>
        <w:rPr>
          <w:rFonts w:ascii="仿宋_GB2312" w:eastAsia="仿宋_GB2312" w:hint="eastAsia"/>
          <w:sz w:val="32"/>
          <w:szCs w:val="32"/>
          <w:lang w:val="zh-CN"/>
        </w:rPr>
        <w:t>按照要求专款专用，管理符合相关制度，运行项目实施达到预期社会效益，受益群众满意度较好，及时报账，不挪作他用，账务处理及时。</w:t>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（二）存在的问题。</w:t>
      </w:r>
    </w:p>
    <w:p>
      <w:pPr>
        <w:adjustRightInd w:val="0"/>
        <w:snapToGrid w:val="0"/>
        <w:spacing w:line="560" w:lineRule="exact"/>
        <w:ind w:firstLineChars="200" w:firstLine="640"/>
        <w:rPr>
          <w:rFonts w:ascii="仿宋_GB2312" w:eastAsia="仿宋_GB2312"/>
          <w:sz w:val="32"/>
          <w:szCs w:val="32"/>
          <w:lang w:val="zh-CN"/>
        </w:rPr>
      </w:pPr>
      <w:r>
        <w:rPr>
          <w:rFonts w:ascii="仿宋_GB2312" w:eastAsia="仿宋_GB2312" w:hint="eastAsia"/>
          <w:sz w:val="32"/>
          <w:szCs w:val="32"/>
        </w:rPr>
        <w:t>在预算执行方面，部分资金使用进度缓慢，没有较好地统一预算执行进度。</w:t>
      </w:r>
      <w:r>
        <w:rPr>
          <w:rFonts w:ascii="仿宋_GB2312" w:eastAsia="仿宋_GB2312" w:hint="eastAsia"/>
          <w:sz w:val="32"/>
          <w:szCs w:val="32"/>
          <w:lang w:val="zh-CN"/>
        </w:rPr>
        <w:tab/>
      </w:r>
    </w:p>
    <w:p>
      <w:pPr>
        <w:adjustRightInd w:val="0"/>
        <w:snapToGrid w:val="0"/>
        <w:spacing w:line="560" w:lineRule="exact"/>
        <w:ind w:firstLine="720"/>
        <w:rPr>
          <w:rFonts w:ascii="楷体_GB2312" w:eastAsia="楷体_GB2312"/>
          <w:b w:val="0"/>
          <w:bCs/>
          <w:sz w:val="32"/>
          <w:szCs w:val="32"/>
          <w:lang w:val="zh-CN"/>
        </w:rPr>
      </w:pPr>
      <w:r>
        <w:rPr>
          <w:rFonts w:ascii="楷体_GB2312" w:eastAsia="楷体_GB2312" w:hint="eastAsia"/>
          <w:b w:val="0"/>
          <w:bCs/>
          <w:sz w:val="32"/>
          <w:szCs w:val="32"/>
          <w:lang w:val="zh-CN"/>
        </w:rPr>
        <w:t>（三）相关建议。</w:t>
      </w:r>
    </w:p>
    <w:p>
      <w:pPr>
        <w:pBdr>
          <w:top w:val="single" w:sz="4" w:space="1" w:color="FFFFFF"/>
          <w:left w:val="single" w:sz="4" w:space="4" w:color="FFFFFF"/>
          <w:bottom w:val="single" w:sz="4" w:space="1" w:color="FFFFFF"/>
          <w:right w:val="single" w:sz="4" w:space="4" w:color="FFFFFF"/>
        </w:pBdr>
        <w:spacing w:line="560" w:lineRule="exact"/>
        <w:ind w:firstLine="640"/>
        <w:rPr>
          <w:rFonts w:ascii="仿宋_GB2312" w:eastAsia="仿宋_GB2312"/>
          <w:sz w:val="32"/>
          <w:szCs w:val="32"/>
        </w:rPr>
      </w:pPr>
      <w:r>
        <w:rPr>
          <w:rFonts w:ascii="仿宋_GB2312" w:eastAsia="仿宋_GB2312" w:hint="eastAsia"/>
          <w:sz w:val="32"/>
          <w:szCs w:val="32"/>
        </w:rPr>
        <w:t>总结项目资金使用和管理经验，进一步加强和规范项目经费管理，充分发挥项目资金使用效益。</w:t>
      </w: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pStyle w:val="15"/>
        <w:pBdr>
          <w:top w:val="none" w:sz="0" w:space="0" w:color="auto"/>
          <w:left w:val="none" w:sz="0" w:space="0" w:color="auto"/>
          <w:bottom w:val="none" w:sz="0" w:space="0" w:color="auto"/>
          <w:right w:val="none" w:sz="0" w:space="0" w:color="auto"/>
        </w:pBdr>
        <w:spacing w:line="560" w:lineRule="exact"/>
        <w:ind w:firstLineChars="200" w:firstLine="640"/>
      </w:pPr>
    </w:p>
    <w:p>
      <w:pPr>
        <w:spacing w:line="572" w:lineRule="exact"/>
        <w:jc w:val="left"/>
        <w:outlineLvl w:val="0"/>
        <w:rPr>
          <w:rFonts w:ascii="仿宋_GB2312" w:eastAsia="黑体" w:cs="仿宋_GB2312" w:hAnsi="仿宋_GB2312"/>
          <w:sz w:val="32"/>
          <w:szCs w:val="32"/>
        </w:rPr>
      </w:pPr>
      <w:r>
        <w:rPr>
          <w:rFonts w:ascii="黑体" w:eastAsia="黑体" w:cs="黑体" w:hint="eastAsia"/>
          <w:sz w:val="32"/>
          <w:szCs w:val="32"/>
        </w:rPr>
        <w:t>附表</w:t>
      </w:r>
    </w:p>
    <w:tbl>
      <w:tblPr>
        <w:tblpPr w:leftFromText="180" w:rightFromText="180" w:vertAnchor="text" w:horzAnchor="page" w:tblpX="1032" w:tblpY="660"/>
        <w:tblOverlap w:val="never"/>
        <w:tblW w:w="1005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67"/>
        <w:gridCol w:w="1217"/>
        <w:gridCol w:w="1417"/>
        <w:gridCol w:w="2200"/>
        <w:gridCol w:w="1292"/>
        <w:gridCol w:w="2468"/>
      </w:tblGrid>
      <w:tr>
        <w:trPr>
          <w:trHeight w:val="675"/>
        </w:trPr>
        <w:tc>
          <w:tcPr>
            <w:tcW w:w="10059" w:type="dxa"/>
            <w:gridSpan w:val="6"/>
            <w:tcBorders>
              <w:top w:val="nil"/>
              <w:left w:val="nil"/>
              <w:bottom w:val="nil"/>
              <w:right w:val="nil"/>
            </w:tcBorders>
            <w:shd w:val="clear" w:color="auto" w:fill="auto"/>
            <w:vAlign w:val="center"/>
          </w:tcPr>
          <w:p>
            <w:pPr>
              <w:widowControl/>
              <w:jc w:val="center"/>
              <w:textAlignment w:val="center"/>
              <w:rPr>
                <w:rFonts w:ascii="方正小标宋简体" w:eastAsia="方正小标宋简体" w:cs="方正小标宋简体" w:hint="eastAsia"/>
                <w:b w:val="0"/>
                <w:bCs/>
                <w:sz w:val="36"/>
                <w:szCs w:val="36"/>
              </w:rPr>
            </w:pPr>
            <w:r>
              <w:rPr>
                <w:rFonts w:ascii="方正小标宋简体" w:eastAsia="方正小标宋简体" w:cs="方正小标宋简体" w:hint="eastAsia"/>
                <w:b w:val="0"/>
                <w:bCs/>
                <w:sz w:val="36"/>
                <w:szCs w:val="36"/>
              </w:rPr>
              <w:t>2021年部门预算项目绩效目标自评</w:t>
            </w:r>
          </w:p>
          <w:p>
            <w:pPr>
              <w:widowControl/>
              <w:jc w:val="center"/>
              <w:textAlignment w:val="center"/>
              <w:rPr>
                <w:rFonts w:ascii="楷体" w:eastAsia="楷体" w:cs="宋体"/>
                <w:sz w:val="32"/>
                <w:szCs w:val="32"/>
              </w:rPr>
            </w:pPr>
            <w:r>
              <w:rPr>
                <w:rFonts w:ascii="楷体" w:eastAsia="楷体" w:cs="宋体" w:hint="eastAsia"/>
                <w:sz w:val="30"/>
                <w:szCs w:val="30"/>
              </w:rPr>
              <w:t>（烈士陵园绿化、设施设备维护、日常运行工作经费）</w:t>
            </w:r>
          </w:p>
        </w:tc>
      </w:tr>
      <w:tr>
        <w:trPr>
          <w:trHeight w:val="254"/>
        </w:trPr>
        <w:tc>
          <w:tcPr>
            <w:tcW w:w="2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sz w:val="18"/>
                <w:szCs w:val="18"/>
              </w:rPr>
            </w:pPr>
            <w:r>
              <w:rPr>
                <w:rFonts w:ascii="宋体" w:cs="宋体" w:hint="eastAsia"/>
                <w:kern w:val="0"/>
                <w:sz w:val="18"/>
                <w:szCs w:val="18"/>
              </w:rPr>
              <w:t>主管部门及代码</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rPr>
                <w:rFonts w:ascii="宋体" w:cs="宋体"/>
                <w:sz w:val="18"/>
                <w:szCs w:val="18"/>
              </w:rPr>
            </w:pPr>
            <w:r>
              <w:rPr>
                <w:rFonts w:ascii="宋体" w:cs="宋体"/>
                <w:sz w:val="18"/>
                <w:szCs w:val="18"/>
              </w:rPr>
              <w:t>广元市退役军人事务局</w:t>
            </w:r>
            <w:r>
              <w:rPr>
                <w:rFonts w:ascii="宋体" w:cs="宋体" w:hint="eastAsia"/>
                <w:sz w:val="18"/>
                <w:szCs w:val="18"/>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sz w:val="18"/>
                <w:szCs w:val="18"/>
              </w:rPr>
            </w:pPr>
            <w:r>
              <w:rPr>
                <w:rFonts w:ascii="宋体" w:cs="宋体" w:hint="eastAsia"/>
                <w:kern w:val="0"/>
                <w:sz w:val="18"/>
                <w:szCs w:val="18"/>
              </w:rPr>
              <w:t>实施单位</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sz w:val="18"/>
                <w:szCs w:val="18"/>
              </w:rPr>
            </w:pPr>
            <w:r>
              <w:rPr>
                <w:rFonts w:ascii="宋体" w:cs="宋体"/>
                <w:sz w:val="18"/>
                <w:szCs w:val="18"/>
              </w:rPr>
              <w:t>广元市烈士陵园管理所</w:t>
            </w:r>
          </w:p>
        </w:tc>
      </w:tr>
      <w:tr>
        <w:trPr>
          <w:trHeight w:val="362"/>
        </w:trPr>
        <w:tc>
          <w:tcPr>
            <w:tcW w:w="26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sz w:val="18"/>
                <w:szCs w:val="18"/>
              </w:rPr>
            </w:pPr>
            <w:r>
              <w:rPr>
                <w:rFonts w:ascii="宋体" w:cs="宋体" w:hint="eastAsia"/>
                <w:kern w:val="0"/>
                <w:sz w:val="18"/>
                <w:szCs w:val="18"/>
              </w:rPr>
              <w:t>项目预算</w:t>
              <w:br/>
              <w:t>执行情况</w:t>
              <w:br/>
              <w:t>（万元）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r>
              <w:rPr>
                <w:rFonts w:ascii="宋体" w:cs="宋体" w:hint="eastAsia"/>
                <w:kern w:val="0"/>
                <w:sz w:val="18"/>
                <w:szCs w:val="18"/>
              </w:rPr>
              <w:t xml:space="preserve"> 预算数：</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r>
              <w:rPr>
                <w:rFonts w:ascii="宋体" w:cs="宋体"/>
                <w:sz w:val="18"/>
                <w:szCs w:val="18"/>
              </w:rPr>
              <w:t>228.04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r>
              <w:rPr>
                <w:rFonts w:ascii="宋体" w:cs="宋体" w:hint="eastAsia"/>
                <w:kern w:val="0"/>
                <w:sz w:val="18"/>
                <w:szCs w:val="18"/>
              </w:rPr>
              <w:t xml:space="preserve"> 执行数：</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ascii="宋体" w:cs="宋体"/>
                <w:sz w:val="18"/>
                <w:szCs w:val="18"/>
              </w:rPr>
            </w:pPr>
            <w:r>
              <w:rPr>
                <w:rFonts w:ascii="宋体" w:cs="宋体" w:hint="eastAsia"/>
                <w:sz w:val="18"/>
                <w:szCs w:val="18"/>
              </w:rPr>
              <w:t>196.07</w:t>
            </w:r>
          </w:p>
        </w:tc>
      </w:tr>
      <w:tr>
        <w:trPr>
          <w:trHeight w:val="555"/>
        </w:trPr>
        <w:tc>
          <w:tcPr>
            <w:tcW w:w="31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其中：</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r>
              <w:rPr>
                <w:rFonts w:ascii="宋体" w:cs="宋体" w:hint="eastAsia"/>
                <w:kern w:val="0"/>
                <w:sz w:val="18"/>
                <w:szCs w:val="18"/>
              </w:rPr>
              <w:t>财政拨款</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r>
              <w:rPr>
                <w:rFonts w:ascii="宋体" w:cs="宋体"/>
                <w:sz w:val="18"/>
                <w:szCs w:val="18"/>
              </w:rPr>
              <w:t>228.04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其中：</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r>
              <w:rPr>
                <w:rFonts w:ascii="宋体" w:cs="宋体" w:hint="eastAsia"/>
                <w:kern w:val="0"/>
                <w:sz w:val="18"/>
                <w:szCs w:val="18"/>
              </w:rPr>
              <w:t>财政拨款</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right"/>
              <w:textAlignment w:val="center"/>
              <w:rPr>
                <w:rFonts w:ascii="宋体" w:cs="宋体"/>
                <w:sz w:val="18"/>
                <w:szCs w:val="18"/>
              </w:rPr>
            </w:pPr>
            <w:r>
              <w:rPr>
                <w:rFonts w:ascii="宋体" w:cs="宋体" w:hint="eastAsia"/>
                <w:sz w:val="18"/>
                <w:szCs w:val="18"/>
              </w:rPr>
              <w:t>196.07</w:t>
            </w:r>
          </w:p>
        </w:tc>
      </w:tr>
      <w:tr>
        <w:trPr>
          <w:trHeight w:val="341"/>
        </w:trPr>
        <w:tc>
          <w:tcPr>
            <w:tcW w:w="319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r>
              <w:rPr>
                <w:rFonts w:ascii="宋体" w:cs="宋体" w:hint="eastAsia"/>
                <w:kern w:val="0"/>
                <w:sz w:val="18"/>
                <w:szCs w:val="18"/>
              </w:rPr>
              <w:t>其他资金</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sz w:val="18"/>
                <w:szCs w:val="18"/>
              </w:rPr>
            </w:pPr>
            <w:r>
              <w:rPr>
                <w:rFonts w:ascii="宋体" w:cs="宋体" w:hint="eastAsia"/>
                <w:kern w:val="0"/>
                <w:sz w:val="18"/>
                <w:szCs w:val="18"/>
              </w:rPr>
              <w:t>其他资金</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sz w:val="18"/>
                <w:szCs w:val="18"/>
              </w:rPr>
            </w:pPr>
          </w:p>
        </w:tc>
      </w:tr>
      <w:tr>
        <w:trPr>
          <w:trHeight w:val="217"/>
        </w:trPr>
        <w:tc>
          <w:tcPr>
            <w:tcW w:w="14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年度总体目标</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sz w:val="18"/>
                <w:szCs w:val="18"/>
              </w:rPr>
            </w:pPr>
            <w:r>
              <w:rPr>
                <w:rFonts w:ascii="宋体" w:cs="宋体" w:hint="eastAsia"/>
                <w:kern w:val="0"/>
                <w:sz w:val="18"/>
                <w:szCs w:val="18"/>
              </w:rPr>
              <w:t>完成情况</w:t>
            </w:r>
          </w:p>
        </w:tc>
        <w:tc>
          <w:tcPr>
            <w:tcW w:w="48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sz w:val="18"/>
                <w:szCs w:val="18"/>
              </w:rPr>
            </w:pPr>
            <w:r>
              <w:rPr>
                <w:rFonts w:ascii="宋体" w:cs="宋体" w:hint="eastAsia"/>
                <w:kern w:val="0"/>
                <w:sz w:val="18"/>
                <w:szCs w:val="18"/>
              </w:rPr>
              <w:t>预期目标</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sz w:val="18"/>
                <w:szCs w:val="18"/>
              </w:rPr>
            </w:pPr>
            <w:r>
              <w:rPr>
                <w:rFonts w:ascii="宋体" w:cs="宋体" w:hint="eastAsia"/>
                <w:kern w:val="0"/>
                <w:sz w:val="18"/>
                <w:szCs w:val="18"/>
              </w:rPr>
              <w:t>目标实际完成情况</w:t>
            </w:r>
          </w:p>
        </w:tc>
      </w:tr>
      <w:tr>
        <w:trPr>
          <w:trHeight w:val="1055"/>
        </w:trPr>
        <w:tc>
          <w:tcPr>
            <w:tcW w:w="20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top"/>
              <w:rPr>
                <w:rFonts w:ascii="宋体" w:cs="宋体"/>
                <w:sz w:val="18"/>
                <w:szCs w:val="18"/>
              </w:rPr>
            </w:pPr>
            <w:r>
              <w:rPr>
                <w:rFonts w:ascii="宋体" w:cs="宋体" w:hint="eastAsia"/>
                <w:sz w:val="18"/>
                <w:szCs w:val="18"/>
              </w:rPr>
              <w:t>完成陵园内绿化养护；完成纪念设施日常维护保养；完成前来烈士陵园祭扫烈士遗属的接待工作，对自行前来祭扫经济上确有困难的给予适当补助；及确保烈士陵园正常运转的相关工作。</w:t>
            </w:r>
          </w:p>
        </w:tc>
        <w:tc>
          <w:tcPr>
            <w:tcW w:w="37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top"/>
              <w:rPr>
                <w:rFonts w:ascii="宋体" w:cs="宋体"/>
                <w:sz w:val="18"/>
                <w:szCs w:val="18"/>
              </w:rPr>
            </w:pPr>
            <w:r>
              <w:rPr>
                <w:rFonts w:ascii="宋体" w:cs="宋体" w:hint="eastAsia"/>
                <w:sz w:val="18"/>
                <w:szCs w:val="18"/>
              </w:rPr>
              <w:t>完成陵园内绿化养护；完成纪念设施日常维护保养；完成前来烈士陵园祭扫烈士遗属的接待工作，对自行前来祭扫经济上确有困难的给予适当补助；及确保烈士陵园正常运转的相关工作。</w:t>
            </w:r>
          </w:p>
        </w:tc>
      </w:tr>
      <w:tr>
        <w:trPr>
          <w:trHeight w:val="462"/>
        </w:trPr>
        <w:tc>
          <w:tcPr>
            <w:tcW w:w="146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年度绩效指标完成情况</w:t>
            </w:r>
          </w:p>
        </w:tc>
        <w:tc>
          <w:tcPr>
            <w:tcW w:w="1217" w:type="dxa"/>
            <w:tcBorders>
              <w:top w:val="single" w:sz="4" w:space="0" w:color="000000"/>
              <w:left w:val="nil"/>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一级指标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二级指标</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三级指标</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预期指标值</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实际完成指标值</w:t>
            </w:r>
          </w:p>
        </w:tc>
      </w:tr>
      <w:tr>
        <w:trPr>
          <w:trHeight w:val="415"/>
        </w:trPr>
        <w:tc>
          <w:tcPr>
            <w:tcW w:w="2026" w:type="dxa"/>
            <w:vMerge/>
            <w:tcBorders>
              <w:top w:val="nil"/>
              <w:left w:val="single" w:sz="4" w:space="0" w:color="000000"/>
              <w:bottom w:val="nil"/>
              <w:right w:val="single" w:sz="4" w:space="0" w:color="000000"/>
            </w:tcBorders>
            <w:shd w:val="clear" w:color="auto" w:fill="auto"/>
            <w:vAlign w:val="center"/>
          </w:tcPr>
          <w:p/>
        </w:tc>
        <w:tc>
          <w:tcPr>
            <w:tcW w:w="121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完成指标</w:t>
            </w:r>
          </w:p>
        </w:tc>
        <w:tc>
          <w:tcPr>
            <w:tcW w:w="141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数量指标</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陵园内绿化养护</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12000平方米</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12000平方米</w:t>
            </w:r>
          </w:p>
        </w:tc>
      </w:tr>
      <w:tr>
        <w:trPr>
          <w:trHeight w:val="415"/>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nil"/>
              <w:left w:val="single" w:sz="4" w:space="0" w:color="000000"/>
              <w:bottom w:val="nil"/>
              <w:right w:val="single" w:sz="4" w:space="0" w:color="000000"/>
            </w:tcBorders>
            <w:shd w:val="clear" w:color="auto" w:fill="auto"/>
            <w:vAlign w:val="center"/>
          </w:tcPr>
          <w:p/>
        </w:tc>
        <w:tc>
          <w:tcPr>
            <w:tcW w:w="1675" w:type="dxa"/>
            <w:vMerge/>
            <w:tcBorders>
              <w:top w:val="nil"/>
              <w:left w:val="single" w:sz="4" w:space="0" w:color="000000"/>
              <w:bottom w:val="nil"/>
              <w:right w:val="single" w:sz="4" w:space="0" w:color="000000"/>
            </w:tcBorders>
            <w:shd w:val="clear" w:color="auto" w:fill="auto"/>
            <w:vAlign w:val="bottom"/>
          </w:tcP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纪念设施日常维护</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墓区、纪念碑、纪念广场等基础设施维护保养。</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cs="宋体"/>
                <w:kern w:val="0"/>
                <w:sz w:val="18"/>
                <w:szCs w:val="18"/>
              </w:rPr>
            </w:pPr>
            <w:r>
              <w:rPr>
                <w:rFonts w:ascii="宋体" w:cs="宋体" w:hint="eastAsia"/>
                <w:kern w:val="0"/>
                <w:sz w:val="18"/>
                <w:szCs w:val="18"/>
              </w:rPr>
              <w:t>墓区、纪念碑、纪念广场等基础设施维护保养。</w:t>
            </w:r>
          </w:p>
        </w:tc>
      </w:tr>
      <w:tr>
        <w:trPr>
          <w:trHeight w:val="415"/>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nil"/>
              <w:left w:val="single" w:sz="4" w:space="0" w:color="000000"/>
              <w:bottom w:val="nil"/>
              <w:right w:val="single" w:sz="4" w:space="0" w:color="000000"/>
            </w:tcBorders>
            <w:shd w:val="clear" w:color="auto" w:fill="auto"/>
            <w:vAlign w:val="center"/>
          </w:tcPr>
          <w:p/>
        </w:tc>
        <w:tc>
          <w:tcPr>
            <w:tcW w:w="1675" w:type="dxa"/>
            <w:vMerge/>
            <w:tcBorders>
              <w:top w:val="nil"/>
              <w:left w:val="single" w:sz="4" w:space="0" w:color="000000"/>
              <w:bottom w:val="nil"/>
              <w:right w:val="single" w:sz="4" w:space="0" w:color="000000"/>
            </w:tcBorders>
            <w:shd w:val="clear" w:color="auto" w:fill="auto"/>
            <w:vAlign w:val="bottom"/>
          </w:tcP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祭扫烈士遗属接待</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20人次</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52人次</w:t>
            </w:r>
          </w:p>
        </w:tc>
      </w:tr>
      <w:tr>
        <w:trPr>
          <w:trHeight w:val="415"/>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nil"/>
              <w:left w:val="single" w:sz="4" w:space="0" w:color="000000"/>
              <w:bottom w:val="nil"/>
              <w:right w:val="single" w:sz="4" w:space="0" w:color="000000"/>
            </w:tcBorders>
            <w:shd w:val="clear" w:color="auto" w:fill="auto"/>
            <w:vAlign w:val="center"/>
          </w:tcPr>
          <w:p/>
        </w:tc>
        <w:tc>
          <w:tcPr>
            <w:tcW w:w="1675" w:type="dxa"/>
            <w:vMerge/>
            <w:tcBorders>
              <w:top w:val="nil"/>
              <w:left w:val="single" w:sz="4" w:space="0" w:color="000000"/>
              <w:bottom w:val="single" w:sz="4" w:space="0" w:color="000000"/>
              <w:right w:val="single" w:sz="4" w:space="0" w:color="000000"/>
            </w:tcBorders>
            <w:shd w:val="clear" w:color="auto" w:fill="auto"/>
            <w:vAlign w:val="bottom"/>
          </w:tcP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烈士陵园正常运转</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水电、电信网络、垃圾清运及其他确保工作正常运转的开支。</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cs="宋体"/>
                <w:kern w:val="0"/>
                <w:sz w:val="18"/>
                <w:szCs w:val="18"/>
              </w:rPr>
            </w:pPr>
            <w:r>
              <w:rPr>
                <w:rFonts w:ascii="宋体" w:cs="宋体" w:hint="eastAsia"/>
                <w:kern w:val="0"/>
                <w:sz w:val="18"/>
                <w:szCs w:val="18"/>
              </w:rPr>
              <w:t>水电、电信网络、垃圾清运及其他确保工作正常运转的开支。</w:t>
            </w:r>
          </w:p>
        </w:tc>
      </w:tr>
      <w:tr>
        <w:trPr>
          <w:trHeight w:val="415"/>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nil"/>
              <w:left w:val="single" w:sz="4" w:space="0" w:color="000000"/>
              <w:bottom w:val="nil"/>
              <w:right w:val="single" w:sz="4" w:space="0" w:color="000000"/>
            </w:tcBorders>
            <w:shd w:val="clear" w:color="auto" w:fill="auto"/>
            <w:vAlign w:val="bottom"/>
          </w:tcPr>
          <w:p/>
        </w:tc>
        <w:tc>
          <w:tcPr>
            <w:tcW w:w="141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质量指标</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陵园内绿化养护完成度</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100%</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100%</w:t>
            </w:r>
          </w:p>
        </w:tc>
      </w:tr>
      <w:tr>
        <w:trPr>
          <w:trHeight w:val="415"/>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nil"/>
              <w:left w:val="single" w:sz="4" w:space="0" w:color="000000"/>
              <w:bottom w:val="nil"/>
              <w:right w:val="single" w:sz="4" w:space="0" w:color="000000"/>
            </w:tcBorders>
            <w:shd w:val="clear" w:color="auto" w:fill="auto"/>
            <w:vAlign w:val="bottom"/>
          </w:tcPr>
          <w:p/>
        </w:tc>
        <w:tc>
          <w:tcPr>
            <w:tcW w:w="1675" w:type="dxa"/>
            <w:vMerge/>
            <w:tcBorders>
              <w:top w:val="nil"/>
              <w:left w:val="single" w:sz="4" w:space="0" w:color="000000"/>
              <w:bottom w:val="nil"/>
              <w:right w:val="single" w:sz="4" w:space="0" w:color="000000"/>
            </w:tcBorders>
            <w:shd w:val="clear" w:color="auto" w:fill="auto"/>
            <w:vAlign w:val="bottom"/>
          </w:tcP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烈士纪念设施维护完成度</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100%</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100%</w:t>
            </w:r>
          </w:p>
        </w:tc>
      </w:tr>
      <w:tr>
        <w:trPr>
          <w:trHeight w:val="415"/>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nil"/>
              <w:left w:val="single" w:sz="4" w:space="0" w:color="000000"/>
              <w:bottom w:val="nil"/>
              <w:right w:val="single" w:sz="4" w:space="0" w:color="000000"/>
            </w:tcBorders>
            <w:shd w:val="clear" w:color="auto" w:fill="auto"/>
            <w:vAlign w:val="bottom"/>
          </w:tcPr>
          <w:p/>
        </w:tc>
        <w:tc>
          <w:tcPr>
            <w:tcW w:w="1675" w:type="dxa"/>
            <w:vMerge/>
            <w:tcBorders>
              <w:top w:val="nil"/>
              <w:left w:val="single" w:sz="4" w:space="0" w:color="000000"/>
              <w:bottom w:val="single" w:sz="4" w:space="0" w:color="000000"/>
              <w:right w:val="single" w:sz="4" w:space="0" w:color="000000"/>
            </w:tcBorders>
            <w:shd w:val="clear" w:color="auto" w:fill="auto"/>
            <w:vAlign w:val="bottom"/>
          </w:tcP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烈士陵园日常工作完成度</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100%</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100%</w:t>
            </w:r>
          </w:p>
        </w:tc>
      </w:tr>
      <w:tr>
        <w:trPr>
          <w:trHeight w:val="415"/>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nil"/>
              <w:left w:val="single" w:sz="4" w:space="0" w:color="000000"/>
              <w:bottom w:val="nil"/>
              <w:right w:val="single" w:sz="4" w:space="0" w:color="000000"/>
            </w:tcBorders>
            <w:shd w:val="clear" w:color="auto" w:fill="auto"/>
            <w:vAlign w:val="bottom"/>
          </w:tc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时效指标</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kern w:val="0"/>
                <w:sz w:val="18"/>
                <w:szCs w:val="18"/>
              </w:rPr>
              <w:t>完成时间</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2021年12月31日前</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cs="宋体"/>
                <w:kern w:val="0"/>
                <w:sz w:val="18"/>
                <w:szCs w:val="18"/>
              </w:rPr>
            </w:pPr>
            <w:r>
              <w:rPr>
                <w:rFonts w:ascii="宋体" w:cs="宋体" w:hint="eastAsia"/>
                <w:kern w:val="0"/>
                <w:sz w:val="18"/>
                <w:szCs w:val="18"/>
              </w:rPr>
              <w:t>2021年12月31日前</w:t>
            </w:r>
          </w:p>
        </w:tc>
      </w:tr>
      <w:tr>
        <w:trPr>
          <w:trHeight w:val="480"/>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nil"/>
              <w:left w:val="single" w:sz="4" w:space="0" w:color="000000"/>
              <w:bottom w:val="nil"/>
              <w:right w:val="single" w:sz="4" w:space="0" w:color="000000"/>
            </w:tcBorders>
            <w:shd w:val="clear" w:color="auto" w:fill="auto"/>
            <w:vAlign w:val="bottom"/>
          </w:tcPr>
          <w:p/>
        </w:tc>
        <w:tc>
          <w:tcPr>
            <w:tcW w:w="1417" w:type="dxa"/>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成本指标</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kern w:val="0"/>
                <w:sz w:val="18"/>
                <w:szCs w:val="18"/>
              </w:rPr>
              <w:t>228.04万元</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kern w:val="0"/>
                <w:sz w:val="18"/>
                <w:szCs w:val="18"/>
              </w:rPr>
              <w:t>100%</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cs="宋体"/>
                <w:kern w:val="0"/>
                <w:sz w:val="18"/>
                <w:szCs w:val="18"/>
              </w:rPr>
            </w:pPr>
            <w:r>
              <w:rPr>
                <w:rFonts w:ascii="宋体" w:cs="宋体"/>
                <w:kern w:val="0"/>
                <w:sz w:val="18"/>
                <w:szCs w:val="18"/>
              </w:rPr>
              <w:t>85.98%</w:t>
            </w:r>
          </w:p>
        </w:tc>
      </w:tr>
      <w:tr>
        <w:trPr>
          <w:trHeight w:val="480"/>
        </w:trPr>
        <w:tc>
          <w:tcPr>
            <w:tcW w:w="2026" w:type="dxa"/>
            <w:vMerge/>
            <w:tcBorders>
              <w:top w:val="nil"/>
              <w:left w:val="single" w:sz="4" w:space="0" w:color="000000"/>
              <w:bottom w:val="nil"/>
              <w:right w:val="single" w:sz="4" w:space="0" w:color="000000"/>
            </w:tcBorders>
            <w:shd w:val="clear" w:color="auto" w:fill="auto"/>
            <w:vAlign w:val="center"/>
          </w:tcP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效益指标</w:t>
            </w:r>
          </w:p>
        </w:tc>
        <w:tc>
          <w:tcPr>
            <w:tcW w:w="141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社会效益指标</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对陵园管理的促进作用</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营造良好祭扫环境，更好地进行爱国主义教育，传承英烈精神。</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cs="宋体"/>
                <w:kern w:val="0"/>
                <w:sz w:val="18"/>
                <w:szCs w:val="18"/>
              </w:rPr>
            </w:pPr>
            <w:r>
              <w:rPr>
                <w:rFonts w:ascii="宋体" w:cs="宋体" w:hint="eastAsia"/>
                <w:kern w:val="0"/>
                <w:sz w:val="18"/>
                <w:szCs w:val="18"/>
              </w:rPr>
              <w:t>营造良好祭扫环境，更好地进行爱国主义教育，传承英烈精神。</w:t>
            </w:r>
          </w:p>
        </w:tc>
      </w:tr>
      <w:tr>
        <w:trPr>
          <w:trHeight w:val="480"/>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vMerge/>
            <w:tcBorders>
              <w:top w:val="nil"/>
              <w:left w:val="single" w:sz="4" w:space="0" w:color="000000"/>
              <w:bottom w:val="single" w:sz="4" w:space="0" w:color="000000"/>
              <w:right w:val="single" w:sz="4" w:space="0" w:color="000000"/>
            </w:tcBorders>
            <w:shd w:val="clear" w:color="auto" w:fill="auto"/>
            <w:vAlign w:val="center"/>
          </w:tcP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对保护烈士纪念设施的促进作用</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完善烈士纪念设施的维修改造，加强对烈士纪念设施的保护管理，利于弘扬爱国主义、集体主义精神和社会主义道德风尚，促进社会主义精神文明建设。</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cs="宋体"/>
                <w:kern w:val="0"/>
                <w:sz w:val="18"/>
                <w:szCs w:val="18"/>
              </w:rPr>
            </w:pPr>
            <w:r>
              <w:rPr>
                <w:rFonts w:ascii="宋体" w:cs="宋体" w:hint="eastAsia"/>
                <w:kern w:val="0"/>
                <w:sz w:val="18"/>
                <w:szCs w:val="18"/>
              </w:rPr>
              <w:t>完善烈士纪念设施的维修改造，加强对烈士纪念设施的保护管理，利于弘扬爱国主义、集体主义精神和社会主义道德风尚，促进社会主义精神文明建设。</w:t>
            </w:r>
          </w:p>
        </w:tc>
      </w:tr>
      <w:tr>
        <w:trPr>
          <w:trHeight w:val="480"/>
        </w:trPr>
        <w:tc>
          <w:tcPr>
            <w:tcW w:w="2026" w:type="dxa"/>
            <w:vMerge/>
            <w:tcBorders>
              <w:top w:val="nil"/>
              <w:left w:val="single" w:sz="4" w:space="0" w:color="000000"/>
              <w:bottom w:val="nil"/>
              <w:right w:val="single" w:sz="4" w:space="0" w:color="000000"/>
            </w:tcBorders>
            <w:shd w:val="clear" w:color="auto" w:fill="auto"/>
            <w:vAlign w:val="center"/>
          </w:tc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75" w:type="dxa"/>
            <w:vMerge/>
            <w:tcBorders>
              <w:top w:val="nil"/>
              <w:left w:val="single" w:sz="4" w:space="0" w:color="000000"/>
              <w:bottom w:val="single" w:sz="4" w:space="0" w:color="000000"/>
              <w:right w:val="single" w:sz="4" w:space="0" w:color="000000"/>
            </w:tcBorders>
            <w:shd w:val="clear" w:color="auto" w:fill="auto"/>
            <w:vAlign w:val="center"/>
          </w:tcP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对传承英烈精神的促进作用</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加强烈士陵园日常管理，营造良好祭扫环境，更好地进行爱国主义教育，传承英烈精神。</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ascii="宋体" w:cs="宋体"/>
                <w:kern w:val="0"/>
                <w:sz w:val="18"/>
                <w:szCs w:val="18"/>
              </w:rPr>
            </w:pPr>
            <w:r>
              <w:rPr>
                <w:rFonts w:ascii="宋体" w:cs="宋体" w:hint="eastAsia"/>
                <w:kern w:val="0"/>
                <w:sz w:val="18"/>
                <w:szCs w:val="18"/>
              </w:rPr>
              <w:t>加强烈士陵园日常管理，营造良好祭扫环境，更好地进行爱国主义教育，传承英烈精神。</w:t>
            </w:r>
          </w:p>
        </w:tc>
      </w:tr>
      <w:tr>
        <w:trPr>
          <w:trHeight w:val="530"/>
        </w:trPr>
        <w:tc>
          <w:tcPr>
            <w:tcW w:w="2026" w:type="dxa"/>
            <w:vMerge/>
            <w:tcBorders>
              <w:top w:val="nil"/>
              <w:left w:val="single" w:sz="4" w:space="0" w:color="000000"/>
              <w:bottom w:val="nil"/>
              <w:right w:val="single" w:sz="4" w:space="0" w:color="000000"/>
            </w:tcBorders>
            <w:shd w:val="clear" w:color="auto" w:fill="auto"/>
            <w:vAlign w:val="center"/>
          </w:tcPr>
          <w:p/>
        </w:tc>
        <w:tc>
          <w:tcPr>
            <w:tcW w:w="121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满意度指标</w:t>
            </w:r>
          </w:p>
        </w:tc>
        <w:tc>
          <w:tcPr>
            <w:tcW w:w="1417" w:type="dxa"/>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满意度指标</w:t>
            </w: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群众对烈士陵园日常管理工作满意度</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≥98%</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≥98%</w:t>
            </w:r>
          </w:p>
        </w:tc>
      </w:tr>
      <w:tr>
        <w:trPr>
          <w:trHeight w:val="530"/>
        </w:trPr>
        <w:tc>
          <w:tcPr>
            <w:tcW w:w="1467" w:type="dxa"/>
            <w:tcBorders>
              <w:top w:val="nil"/>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p>
        </w:tc>
        <w:tc>
          <w:tcPr>
            <w:tcW w:w="1170" w:type="dxa"/>
            <w:vMerge/>
            <w:tcBorders>
              <w:top w:val="nil"/>
              <w:left w:val="single" w:sz="4" w:space="0" w:color="000000"/>
              <w:bottom w:val="single" w:sz="4" w:space="0" w:color="000000"/>
              <w:right w:val="single" w:sz="4" w:space="0" w:color="000000"/>
            </w:tcBorders>
            <w:shd w:val="clear" w:color="auto" w:fill="auto"/>
            <w:vAlign w:val="bottom"/>
          </w:tcPr>
          <w:p/>
        </w:tc>
        <w:tc>
          <w:tcPr>
            <w:tcW w:w="1675" w:type="dxa"/>
            <w:vMerge/>
            <w:tcBorders>
              <w:top w:val="nil"/>
              <w:left w:val="single" w:sz="4" w:space="0" w:color="000000"/>
              <w:bottom w:val="single" w:sz="4" w:space="0" w:color="000000"/>
              <w:right w:val="single" w:sz="4" w:space="0" w:color="000000"/>
            </w:tcBorders>
            <w:shd w:val="clear" w:color="auto" w:fill="auto"/>
            <w:vAlign w:val="bottom"/>
          </w:tcPr>
          <w:p/>
        </w:tc>
        <w:tc>
          <w:tcPr>
            <w:tcW w:w="2200" w:type="dxa"/>
            <w:tcBorders>
              <w:top w:val="single" w:sz="4" w:space="0" w:color="000000"/>
              <w:left w:val="single" w:sz="4" w:space="0" w:color="000000"/>
              <w:bottom w:val="single" w:sz="4" w:space="0" w:color="000000"/>
              <w:right w:val="single" w:sz="4" w:space="0" w:color="00000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ascii="宋体" w:cs="宋体"/>
                <w:kern w:val="0"/>
                <w:sz w:val="18"/>
                <w:szCs w:val="18"/>
              </w:rPr>
            </w:pPr>
            <w:r>
              <w:rPr>
                <w:rFonts w:ascii="宋体" w:cs="宋体" w:hint="eastAsia"/>
                <w:kern w:val="0"/>
                <w:sz w:val="18"/>
                <w:szCs w:val="18"/>
              </w:rPr>
              <w:t>群众对烈士纪念设施保护管理工作满意度</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≥98%</w:t>
            </w:r>
          </w:p>
        </w:tc>
        <w:tc>
          <w:tcPr>
            <w:tcW w:w="246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宋体" w:cs="宋体"/>
                <w:kern w:val="0"/>
                <w:sz w:val="18"/>
                <w:szCs w:val="18"/>
              </w:rPr>
            </w:pPr>
            <w:r>
              <w:rPr>
                <w:rFonts w:ascii="宋体" w:cs="宋体" w:hint="eastAsia"/>
                <w:kern w:val="0"/>
                <w:sz w:val="18"/>
                <w:szCs w:val="18"/>
              </w:rPr>
              <w:t>≥98%</w:t>
            </w:r>
          </w:p>
        </w:tc>
      </w:tr>
    </w:tbl>
    <w:p>
      <w:pPr>
        <w:rPr>
          <w:rFonts w:ascii="仿宋" w:eastAsia="仿宋"/>
          <w:b/>
          <w:color w:val="000000"/>
          <w:sz w:val="18"/>
          <w:szCs w:val="18"/>
        </w:rPr>
      </w:pPr>
    </w:p>
    <w:p>
      <w:pPr>
        <w:pStyle w:val="15"/>
        <w:rPr>
          <w:sz w:val="18"/>
          <w:szCs w:val="18"/>
        </w:rPr>
      </w:pPr>
    </w:p>
    <w:p>
      <w:pPr>
        <w:pStyle w:val="15"/>
        <w:rPr>
          <w:sz w:val="18"/>
          <w:szCs w:val="18"/>
        </w:rPr>
      </w:pPr>
    </w:p>
    <w:p>
      <w:pPr>
        <w:pStyle w:val="15"/>
        <w:rPr>
          <w:sz w:val="18"/>
          <w:szCs w:val="18"/>
        </w:rPr>
      </w:pPr>
    </w:p>
    <w:p>
      <w:pPr>
        <w:pStyle w:val="15"/>
        <w:rPr>
          <w:sz w:val="18"/>
          <w:szCs w:val="18"/>
        </w:rPr>
      </w:pPr>
    </w:p>
    <w:p>
      <w:pPr>
        <w:pStyle w:val="15"/>
        <w:ind w:left="0" w:firstLineChars="0" w:firstLine="0"/>
        <w:rPr>
          <w:sz w:val="18"/>
          <w:szCs w:val="18"/>
        </w:rPr>
      </w:pPr>
    </w:p>
    <w:p>
      <w:pPr>
        <w:pStyle w:val="15"/>
        <w:ind w:left="0" w:firstLineChars="0" w:firstLine="0"/>
      </w:pPr>
    </w:p>
    <w:p>
      <w:pPr>
        <w:spacing w:line="600" w:lineRule="exact"/>
        <w:jc w:val="center"/>
        <w:outlineLvl w:val="0"/>
        <w:rPr>
          <w:rStyle w:val="1Char"/>
          <w:rFonts w:ascii="方正小标宋简体" w:eastAsia="方正小标宋简体" w:cs="方正小标宋简体" w:hint="eastAsia"/>
          <w:b w:val="0"/>
          <w:color w:val="auto"/>
          <w:highlight w:val="auto"/>
        </w:rPr>
      </w:pPr>
      <w:r>
        <w:rPr>
          <w:rFonts w:ascii="方正小标宋简体" w:eastAsia="方正小标宋简体" w:cs="方正小标宋简体" w:hint="eastAsia"/>
          <w:color w:val="auto"/>
          <w:sz w:val="44"/>
          <w:szCs w:val="44"/>
          <w:highlight w:val="auto"/>
        </w:rPr>
        <w:t>第</w:t>
      </w:r>
      <w:r>
        <w:rPr>
          <w:rStyle w:val="1Char"/>
          <w:rFonts w:ascii="方正小标宋简体" w:eastAsia="方正小标宋简体" w:cs="方正小标宋简体" w:hint="eastAsia"/>
          <w:b w:val="0"/>
          <w:color w:val="auto"/>
          <w:highlight w:val="auto"/>
        </w:rPr>
        <w:t>五部分 附表</w:t>
      </w:r>
      <w:bookmarkStart w:id="55" w:name="_Toc15396619"/>
      <w:bookmarkEnd w:id="52"/>
      <w:bookmarkEnd w:id="54"/>
    </w:p>
    <w:p>
      <w:pPr>
        <w:pageBreakBefore w:val="0"/>
        <w:widowControl w:val="0"/>
        <w:kinsoku/>
        <w:wordWrap/>
        <w:overflowPunct/>
        <w:topLinePunct w:val="0"/>
        <w:autoSpaceDE/>
        <w:autoSpaceDN/>
        <w:bidi w:val="0"/>
        <w:adjustRightInd/>
        <w:snapToGrid/>
        <w:spacing w:line="240" w:lineRule="auto"/>
        <w:textAlignment w:val="auto"/>
        <w:outlineLvl w:val="0"/>
        <w:rPr>
          <w:rStyle w:val="2Char"/>
          <w:rFonts w:ascii="仿宋" w:eastAsia="仿宋" w:hint="eastAsia"/>
          <w:b w:val="0"/>
          <w:bCs w:val="0"/>
          <w:color w:val="auto"/>
          <w:highlight w:val="auto"/>
        </w:rPr>
      </w:pPr>
      <w:r>
        <w:rPr>
          <w:rFonts w:ascii="仿宋" w:eastAsia="仿宋" w:hint="eastAsia"/>
          <w:b w:val="0"/>
          <w:color w:val="auto"/>
          <w:sz w:val="32"/>
          <w:szCs w:val="32"/>
          <w:highlight w:val="auto"/>
        </w:rPr>
        <w:t>一、收</w:t>
      </w:r>
      <w:r>
        <w:rPr>
          <w:rStyle w:val="2Char"/>
          <w:rFonts w:ascii="仿宋" w:eastAsia="仿宋" w:hint="eastAsia"/>
          <w:b w:val="0"/>
          <w:bCs w:val="0"/>
          <w:color w:val="auto"/>
          <w:highlight w:val="auto"/>
        </w:rPr>
        <w:t>入支出决算总表</w:t>
      </w:r>
      <w:bookmarkEnd w:id="55"/>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ascii="仿宋" w:eastAsia="仿宋"/>
          <w:color w:val="auto"/>
          <w:highlight w:val="auto"/>
        </w:rPr>
      </w:pPr>
      <w:r>
        <w:rPr>
          <w:rFonts w:ascii="仿宋" w:eastAsia="仿宋" w:hint="eastAsia"/>
          <w:b w:val="0"/>
          <w:color w:val="auto"/>
          <w:highlight w:val="auto"/>
        </w:rPr>
        <w:t>二、收</w:t>
      </w:r>
      <w:r>
        <w:rPr>
          <w:rStyle w:val="2Char"/>
          <w:rFonts w:ascii="仿宋" w:eastAsia="仿宋" w:hint="eastAsia"/>
          <w:b w:val="0"/>
          <w:bCs w:val="0"/>
          <w:color w:val="auto"/>
          <w:highlight w:val="auto"/>
        </w:rPr>
        <w:t>入决算表</w:t>
      </w:r>
    </w:p>
    <w:p>
      <w:pPr>
        <w:pStyle w:val="15"/>
        <w:pageBreakBefore w:val="0"/>
        <w:widowControl w:val="0"/>
        <w:kinsoku/>
        <w:wordWrap/>
        <w:overflowPunct/>
        <w:topLinePunct w:val="0"/>
        <w:autoSpaceDE/>
        <w:autoSpaceDN/>
        <w:bidi w:val="0"/>
        <w:adjustRightInd/>
        <w:snapToGrid/>
        <w:spacing w:line="240" w:lineRule="auto"/>
        <w:ind w:left="0" w:firstLineChars="0" w:firstLine="0"/>
        <w:textAlignment w:val="auto"/>
        <w:rPr>
          <w:rStyle w:val="2Char"/>
          <w:rFonts w:ascii="仿宋" w:eastAsia="仿宋" w:hint="eastAsia"/>
          <w:b w:val="0"/>
          <w:bCs w:val="0"/>
          <w:color w:val="auto"/>
          <w:highlight w:val="auto"/>
        </w:rPr>
      </w:pPr>
      <w:r>
        <w:rPr>
          <w:rStyle w:val="2Char"/>
          <w:rFonts w:ascii="仿宋" w:eastAsia="仿宋" w:hint="eastAsia"/>
          <w:b w:val="0"/>
          <w:bCs w:val="0"/>
          <w:color w:val="auto"/>
          <w:highlight w:val="auto"/>
        </w:rPr>
        <w:t>三、</w:t>
      </w:r>
      <w:r>
        <w:rPr>
          <w:rFonts w:ascii="仿宋" w:eastAsia="仿宋" w:hint="eastAsia"/>
          <w:b w:val="0"/>
          <w:color w:val="auto"/>
          <w:highlight w:val="auto"/>
        </w:rPr>
        <w:t>支</w:t>
      </w:r>
      <w:r>
        <w:rPr>
          <w:rStyle w:val="2Char"/>
          <w:rFonts w:ascii="仿宋" w:eastAsia="仿宋" w:hint="eastAsia"/>
          <w:b w:val="0"/>
          <w:bCs w:val="0"/>
          <w:color w:val="auto"/>
          <w:highlight w:val="auto"/>
        </w:rPr>
        <w:t>出决算表</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ascii="仿宋" w:eastAsia="仿宋"/>
          <w:b w:val="0"/>
          <w:color w:val="auto"/>
          <w:highlight w:val="auto"/>
        </w:rPr>
      </w:pPr>
      <w:r>
        <w:rPr>
          <w:rStyle w:val="2Char"/>
          <w:rFonts w:ascii="仿宋" w:eastAsia="仿宋" w:hint="eastAsia"/>
          <w:b w:val="0"/>
          <w:bCs w:val="0"/>
          <w:color w:val="auto"/>
          <w:highlight w:val="auto"/>
        </w:rPr>
        <w:t>四、</w:t>
      </w:r>
      <w:r>
        <w:rPr>
          <w:rFonts w:ascii="仿宋" w:eastAsia="仿宋" w:hint="eastAsia"/>
          <w:b w:val="0"/>
          <w:color w:val="auto"/>
          <w:highlight w:val="auto"/>
        </w:rPr>
        <w:t>财</w:t>
      </w:r>
      <w:r>
        <w:rPr>
          <w:rStyle w:val="2Char"/>
          <w:rFonts w:ascii="仿宋" w:eastAsia="仿宋" w:hint="eastAsia"/>
          <w:b w:val="0"/>
          <w:bCs w:val="0"/>
          <w:color w:val="auto"/>
          <w:highlight w:val="auto"/>
        </w:rPr>
        <w:t>政拨款收入支出决算总表</w:t>
      </w:r>
    </w:p>
    <w:p>
      <w:pPr>
        <w:pStyle w:val="2"/>
        <w:keepNext/>
        <w:keepLines/>
        <w:pageBreakBefore w:val="0"/>
        <w:widowControl w:val="0"/>
        <w:kinsoku/>
        <w:wordWrap/>
        <w:overflowPunct/>
        <w:topLinePunct w:val="0"/>
        <w:autoSpaceDE/>
        <w:autoSpaceDN/>
        <w:bidi w:val="0"/>
        <w:adjustRightInd/>
        <w:snapToGrid/>
        <w:spacing w:line="240" w:lineRule="auto"/>
        <w:textAlignment w:val="auto"/>
        <w:rPr>
          <w:rStyle w:val="2Char"/>
          <w:rFonts w:ascii="仿宋" w:eastAsia="仿宋"/>
          <w:b w:val="0"/>
          <w:bCs w:val="0"/>
          <w:color w:val="auto"/>
          <w:highlight w:val="auto"/>
        </w:rPr>
      </w:pPr>
      <w:r>
        <w:rPr>
          <w:rStyle w:val="2Char"/>
          <w:rFonts w:ascii="仿宋" w:eastAsia="仿宋" w:hint="eastAsia"/>
          <w:b w:val="0"/>
          <w:bCs w:val="0"/>
          <w:color w:val="auto"/>
          <w:highlight w:val="auto"/>
        </w:rPr>
        <w:t>五、</w:t>
      </w:r>
      <w:r>
        <w:rPr>
          <w:rFonts w:ascii="仿宋" w:eastAsia="仿宋" w:hint="eastAsia"/>
          <w:b w:val="0"/>
          <w:color w:val="auto"/>
          <w:highlight w:val="auto"/>
        </w:rPr>
        <w:t>财</w:t>
      </w:r>
      <w:r>
        <w:rPr>
          <w:rStyle w:val="2Char"/>
          <w:rFonts w:ascii="仿宋" w:eastAsia="仿宋" w:hint="eastAsia"/>
          <w:b w:val="0"/>
          <w:bCs w:val="0"/>
          <w:color w:val="auto"/>
          <w:highlight w:val="auto"/>
        </w:rPr>
        <w:t>政拨款支出决算明细表</w:t>
      </w:r>
    </w:p>
    <w:p>
      <w:pPr>
        <w:pStyle w:val="15"/>
        <w:pageBreakBefore w:val="0"/>
        <w:widowControl w:val="0"/>
        <w:kinsoku/>
        <w:wordWrap/>
        <w:overflowPunct/>
        <w:topLinePunct w:val="0"/>
        <w:autoSpaceDE/>
        <w:autoSpaceDN/>
        <w:bidi w:val="0"/>
        <w:adjustRightInd/>
        <w:snapToGrid/>
        <w:spacing w:line="240" w:lineRule="auto"/>
        <w:ind w:left="0" w:firstLineChars="0" w:firstLine="0"/>
        <w:textAlignment w:val="auto"/>
        <w:rPr>
          <w:rStyle w:val="2Char"/>
          <w:rFonts w:ascii="仿宋" w:eastAsia="仿宋" w:hint="eastAsia"/>
          <w:b w:val="0"/>
          <w:bCs w:val="0"/>
          <w:color w:val="auto"/>
          <w:highlight w:val="auto"/>
        </w:rPr>
      </w:pPr>
      <w:r>
        <w:rPr>
          <w:rStyle w:val="2Char"/>
          <w:rFonts w:ascii="仿宋" w:eastAsia="仿宋" w:hint="eastAsia"/>
          <w:b w:val="0"/>
          <w:bCs w:val="0"/>
          <w:color w:val="auto"/>
          <w:highlight w:val="auto"/>
        </w:rPr>
        <w:t>六、</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般公共预算财政拨款支出决算表</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ascii="仿宋" w:eastAsia="仿宋"/>
          <w:color w:val="auto"/>
          <w:highlight w:val="auto"/>
        </w:rPr>
      </w:pPr>
      <w:r>
        <w:rPr>
          <w:rStyle w:val="2Char"/>
          <w:rFonts w:ascii="仿宋" w:eastAsia="仿宋" w:hint="eastAsia"/>
          <w:b w:val="0"/>
          <w:bCs w:val="0"/>
          <w:color w:val="auto"/>
          <w:highlight w:val="auto"/>
        </w:rPr>
        <w:t>七、</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般公共预算财政拨款支出决算明细表</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ascii="仿宋" w:eastAsia="仿宋"/>
          <w:color w:val="auto"/>
          <w:highlight w:val="auto"/>
        </w:rPr>
      </w:pPr>
      <w:r>
        <w:rPr>
          <w:rStyle w:val="2Char"/>
          <w:rFonts w:ascii="仿宋" w:eastAsia="仿宋" w:hint="eastAsia"/>
          <w:b w:val="0"/>
          <w:bCs w:val="0"/>
          <w:color w:val="auto"/>
          <w:highlight w:val="auto"/>
        </w:rPr>
        <w:t>八、</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般公共预算财政拨款基本支出决算表</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ascii="仿宋" w:eastAsia="仿宋"/>
          <w:color w:val="auto"/>
          <w:highlight w:val="auto"/>
        </w:rPr>
      </w:pPr>
      <w:r>
        <w:rPr>
          <w:rStyle w:val="2Char"/>
          <w:rFonts w:ascii="仿宋" w:eastAsia="仿宋" w:hint="eastAsia"/>
          <w:b w:val="0"/>
          <w:bCs w:val="0"/>
          <w:color w:val="auto"/>
          <w:highlight w:val="auto"/>
        </w:rPr>
        <w:t>九、</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般公共预算财政拨款项目支出决算表</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ascii="仿宋" w:eastAsia="仿宋"/>
          <w:color w:val="auto"/>
          <w:highlight w:val="auto"/>
        </w:rPr>
      </w:pPr>
      <w:r>
        <w:rPr>
          <w:rStyle w:val="2Char"/>
          <w:rFonts w:ascii="仿宋" w:eastAsia="仿宋" w:hint="eastAsia"/>
          <w:b w:val="0"/>
          <w:bCs w:val="0"/>
          <w:color w:val="auto"/>
          <w:highlight w:val="auto"/>
        </w:rPr>
        <w:t>十、</w:t>
      </w:r>
      <w:r>
        <w:rPr>
          <w:rFonts w:ascii="仿宋" w:eastAsia="仿宋" w:hint="eastAsia"/>
          <w:b w:val="0"/>
          <w:color w:val="auto"/>
          <w:highlight w:val="auto"/>
        </w:rPr>
        <w:t>一</w:t>
      </w:r>
      <w:r>
        <w:rPr>
          <w:rStyle w:val="2Char"/>
          <w:rFonts w:ascii="仿宋" w:eastAsia="仿宋" w:hint="eastAsia"/>
          <w:b w:val="0"/>
          <w:bCs w:val="0"/>
          <w:color w:val="auto"/>
          <w:highlight w:val="auto"/>
        </w:rPr>
        <w:t>般公共预算财政拨款“三公”经费支出决算表</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ascii="仿宋" w:eastAsia="仿宋"/>
          <w:color w:val="auto"/>
          <w:highlight w:val="auto"/>
        </w:rPr>
      </w:pPr>
      <w:r>
        <w:rPr>
          <w:rStyle w:val="2Char"/>
          <w:rFonts w:ascii="仿宋" w:eastAsia="仿宋" w:hint="eastAsia"/>
          <w:b w:val="0"/>
          <w:bCs w:val="0"/>
          <w:color w:val="auto"/>
          <w:highlight w:val="auto"/>
        </w:rPr>
        <w:t>十一、</w:t>
      </w:r>
      <w:r>
        <w:rPr>
          <w:rFonts w:ascii="仿宋" w:eastAsia="仿宋" w:hint="eastAsia"/>
          <w:b w:val="0"/>
          <w:color w:val="auto"/>
          <w:highlight w:val="auto"/>
        </w:rPr>
        <w:t>政</w:t>
      </w:r>
      <w:r>
        <w:rPr>
          <w:rStyle w:val="2Char"/>
          <w:rFonts w:ascii="仿宋" w:eastAsia="仿宋" w:hint="eastAsia"/>
          <w:b w:val="0"/>
          <w:bCs w:val="0"/>
          <w:color w:val="auto"/>
          <w:highlight w:val="auto"/>
        </w:rPr>
        <w:t>府性基金预算财政拨款收入支出决算表</w:t>
      </w:r>
    </w:p>
    <w:p>
      <w:pPr>
        <w:pStyle w:val="2"/>
        <w:keepNext/>
        <w:keepLines/>
        <w:pageBreakBefore w:val="0"/>
        <w:widowControl w:val="0"/>
        <w:kinsoku/>
        <w:wordWrap/>
        <w:overflowPunct/>
        <w:topLinePunct w:val="0"/>
        <w:autoSpaceDE/>
        <w:autoSpaceDN/>
        <w:bidi w:val="0"/>
        <w:adjustRightInd/>
        <w:snapToGrid/>
        <w:spacing w:line="240" w:lineRule="auto"/>
        <w:textAlignment w:val="auto"/>
        <w:rPr>
          <w:rStyle w:val="2Char"/>
          <w:rFonts w:ascii="仿宋" w:eastAsia="仿宋" w:hint="eastAsia"/>
          <w:b w:val="0"/>
          <w:bCs w:val="0"/>
          <w:color w:val="auto"/>
          <w:highlight w:val="auto"/>
        </w:rPr>
      </w:pPr>
      <w:r>
        <w:rPr>
          <w:rStyle w:val="2Char"/>
          <w:rFonts w:ascii="仿宋" w:eastAsia="仿宋" w:hint="eastAsia"/>
          <w:b w:val="0"/>
          <w:bCs w:val="0"/>
          <w:color w:val="auto"/>
          <w:highlight w:val="auto"/>
        </w:rPr>
        <w:t>十二、</w:t>
      </w:r>
      <w:r>
        <w:rPr>
          <w:rFonts w:ascii="仿宋" w:eastAsia="仿宋" w:hint="eastAsia"/>
          <w:b w:val="0"/>
          <w:color w:val="auto"/>
          <w:highlight w:val="auto"/>
        </w:rPr>
        <w:t>政</w:t>
      </w:r>
      <w:r>
        <w:rPr>
          <w:rStyle w:val="2Char"/>
          <w:rFonts w:ascii="仿宋" w:eastAsia="仿宋" w:hint="eastAsia"/>
          <w:b w:val="0"/>
          <w:bCs w:val="0"/>
          <w:color w:val="auto"/>
          <w:highlight w:val="auto"/>
        </w:rPr>
        <w:t>府性基金预算财政拨款“三公”经费支出决算表</w:t>
      </w:r>
    </w:p>
    <w:p>
      <w:pPr>
        <w:pageBreakBefore w:val="0"/>
        <w:widowControl w:val="0"/>
        <w:kinsoku/>
        <w:wordWrap/>
        <w:overflowPunct/>
        <w:topLinePunct w:val="0"/>
        <w:autoSpaceDE/>
        <w:autoSpaceDN/>
        <w:bidi w:val="0"/>
        <w:adjustRightInd/>
        <w:snapToGrid/>
        <w:spacing w:line="240" w:lineRule="auto"/>
        <w:textAlignment w:val="auto"/>
        <w:rPr>
          <w:rStyle w:val="2Char"/>
          <w:rFonts w:ascii="仿宋" w:eastAsia="仿宋" w:hint="eastAsia"/>
          <w:b w:val="0"/>
          <w:bCs w:val="0"/>
          <w:color w:val="auto"/>
          <w:lang w:val="en-US" w:eastAsia="zh-CN"/>
          <w:highlight w:val="auto"/>
        </w:rPr>
      </w:pPr>
      <w:r>
        <w:rPr>
          <w:rStyle w:val="2Char"/>
          <w:rFonts w:ascii="仿宋" w:eastAsia="仿宋" w:hint="eastAsia"/>
          <w:b w:val="0"/>
          <w:bCs w:val="0"/>
          <w:color w:val="auto"/>
          <w:lang w:val="en-US" w:eastAsia="zh-CN"/>
          <w:highlight w:val="auto"/>
        </w:rPr>
        <w:t>十三、国有资本经营预算财政拨款收入支出决算表</w:t>
      </w:r>
    </w:p>
    <w:p>
      <w:pPr>
        <w:pageBreakBefore w:val="0"/>
        <w:widowControl w:val="0"/>
        <w:kinsoku/>
        <w:wordWrap/>
        <w:overflowPunct/>
        <w:topLinePunct w:val="0"/>
        <w:autoSpaceDE/>
        <w:autoSpaceDN/>
        <w:bidi w:val="0"/>
        <w:adjustRightInd/>
        <w:snapToGrid/>
        <w:spacing w:line="240" w:lineRule="auto"/>
        <w:textAlignment w:val="auto"/>
        <w:rPr>
          <w:rFonts w:eastAsia="仿宋" w:hint="eastAsia"/>
          <w:color w:val="auto"/>
          <w:lang w:eastAsia="zh-CN"/>
          <w:highlight w:val="auto"/>
        </w:rPr>
      </w:pPr>
      <w:r>
        <w:rPr>
          <w:rStyle w:val="2Char"/>
          <w:rFonts w:ascii="仿宋" w:eastAsia="仿宋" w:hint="eastAsia"/>
          <w:b w:val="0"/>
          <w:bCs w:val="0"/>
          <w:color w:val="auto"/>
          <w:lang w:val="en-US" w:eastAsia="zh-CN"/>
          <w:highlight w:val="auto"/>
        </w:rPr>
        <w:t>十四、</w:t>
      </w:r>
      <w:r>
        <w:rPr>
          <w:rStyle w:val="2Char"/>
          <w:rFonts w:ascii="仿宋" w:eastAsia="仿宋" w:hint="eastAsia"/>
          <w:b w:val="0"/>
          <w:bCs w:val="0"/>
          <w:color w:val="auto"/>
          <w:lang w:eastAsia="zh-CN"/>
          <w:highlight w:val="auto"/>
        </w:rPr>
        <w:t>国有资本经营预算财政拨款支出决算表</w:t>
      </w:r>
    </w:p>
    <w:p>
      <w:pPr>
        <w:rPr>
          <w:rFonts w:eastAsia="仿宋" w:hint="eastAsia"/>
          <w:color w:val="auto"/>
          <w:lang w:eastAsia="zh-CN"/>
          <w:highlight w:val="auto"/>
        </w:rPr>
      </w:pPr>
    </w:p>
    <w:sectPr>
      <w:footerReference w:type="default" r:id="rId7"/>
      <w:pgSz w:w="11906" w:h="16838"/>
      <w:pgMar w:top="2098" w:right="1474" w:bottom="1984" w:left="1587" w:header="851" w:footer="1559" w:gutter="0"/>
      <w:pgNumType w:fmt="numberInDash" w:start="1"/>
      <w:cols w:num="1" w:space="72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方正粗宋简体"/>
    <w:panose1 w:val="02010601030101010101"/>
    <w:charset w:val="86"/>
    <w:family w:val="script"/>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宋体">
    <w:panose1 w:val="02010600030101010101"/>
    <w:charset w:val="7A"/>
    <w:family w:val="auto"/>
    <w:pitch w:val="variable"/>
    <w:sig w:usb0="00000203" w:usb1="288F0000" w:usb2="00000006" w:usb3="00000000" w:csb0="00040001" w:csb1="00000000"/>
  </w:font>
  <w:font w:name="仿宋">
    <w:altName w:val="仿宋_GB2312"/>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方正仿宋简体">
    <w:altName w:val="微软雅黑"/>
    <w:panose1 w:val="03000509000000000000"/>
    <w:charset w:val="86"/>
    <w:family w:val="auto"/>
    <w:pitch w:val="variable"/>
    <w:sig w:usb0="00000000" w:usb1="00000000" w:usb2="00000000" w:usb3="00000000" w:csb0="00040000" w:csb1="00000000"/>
  </w:font>
  <w:font w:name="楷体">
    <w:altName w:val="楷体_GB2312"/>
    <w:panose1 w:val="02010609060101010101"/>
    <w:charset w:val="86"/>
    <w:family w:val="auto"/>
    <w:pitch w:val="variable"/>
    <w:sig w:usb0="800002BF" w:usb1="38CF7CFA" w:usb2="00000016" w:usb3="00000000" w:csb0="00040001" w:csb1="00000000"/>
  </w:font>
  <w:font w:name="Lucida Sans">
    <w:panose1 w:val="020B0602030504020204"/>
    <w:charset w:val="00"/>
    <w:family w:val="auto"/>
    <w:pitch w:val="variable"/>
    <w:sig w:usb0="00000003" w:usb1="00000000" w:usb2="00000000" w:usb3="00000000" w:csb0="20000001" w:csb1="00000000"/>
  </w:font>
  <w:font w:name="Cambria">
    <w:altName w:val="Arial"/>
    <w:panose1 w:val="02040503050406030204"/>
    <w:charset w:val="00"/>
    <w:family w:val="roman"/>
    <w:pitch w:val="variable"/>
    <w:sig w:usb0="E00006FF" w:usb1="420024FF" w:usb2="02000000" w:usb3="00000000" w:csb0="2000019F" w:csb1="00000000"/>
  </w:font>
  <w:font w:name="Calibri">
    <w:altName w:val="Times New Roman"/>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p>
  <w:p>
    <w:pPr>
      <w:pStyle w:val="19"/>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w:rPr>
        <w:sz w:val="18"/>
      </w:rPr>
      <mc:AlternateContent>
        <mc:Choice Requires="wps">
          <w:drawing>
            <wp:anchor distT="0" distB="0" distL="114298" distR="114298" simplePos="0" relativeHeight="34" behindDoc="0" locked="0" layoutInCell="1" hidden="0" allowOverlap="1">
              <wp:simplePos x="0" y="0"/>
              <wp:positionH relativeFrom="margin">
                <wp:align>outside</wp:align>
              </wp:positionH>
              <wp:positionV relativeFrom="paragraph">
                <wp:posOffset>0</wp:posOffset>
              </wp:positionV>
              <wp:extent cx="217170" cy="134620"/>
              <wp:effectExtent l="0" t="0" r="0" b="0"/>
              <wp:wrapNone/>
              <wp:docPr id="1" name="文本框 11"/>
              <wp:cNvGraphicFramePr>
                <a:graphicFrameLocks noChangeAspect="0"/>
              </wp:cNvGraphicFramePr>
              <a:graphic>
                <a:graphicData uri="http://schemas.microsoft.com/office/word/2010/wordprocessingShape">
                  <wps:wsp>
                    <wps:cNvSpPr/>
                    <wps:spPr>
                      <a:xfrm rot="0">
                        <a:off x="0" y="0"/>
                        <a:ext cx="217170" cy="134620"/>
                      </a:xfrm>
                      <a:prstGeom prst="rect"/>
                      <a:noFill/>
                      <a:ln w="6350" cmpd="sng" cap="flat">
                        <a:noFill/>
                        <a:prstDash val="solid"/>
                        <a:round/>
                      </a:ln>
                    </wps:spPr>
                    <wps:txbx id="2">
                      <w:txbxContent>
                        <w:p>
                          <w:pPr>
                            <w:pStyle w:val="19"/>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rect type="#_x0000_t1" id="文本框 11 3" o:spid="_x0000_s3" filled="f" stroked="f" strokeweight="0.5pt" style="position:absolute;margin-left:0.0pt;margin-top:0.0pt;width:17.1pt;height:10.6pt;z-index:34;mso-position-horizontal:outside;mso-position-horizontal-relative:margin;mso-position-vertical:absolute;mso-wrap-distance-left:8.999863pt;mso-wrap-distance-right:8.999863pt;mso-wrap-style:none;">
              <v:stroke color="#000000"/>
              <v:textbox id="855"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p>
  <w:p>
    <w:pPr>
      <w:pStyle w:val="19"/>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r>
      <w:rPr>
        <w:sz w:val="18"/>
      </w:rPr>
      <mc:AlternateContent>
        <mc:Choice Requires="wps">
          <w:drawing>
            <wp:anchor distT="0" distB="0" distL="114298" distR="114298" simplePos="0" relativeHeight="36" behindDoc="0" locked="0" layoutInCell="1" hidden="0" allowOverlap="1">
              <wp:simplePos x="0" y="0"/>
              <wp:positionH relativeFrom="margin">
                <wp:align>outside</wp:align>
              </wp:positionH>
              <wp:positionV relativeFrom="paragraph">
                <wp:posOffset>0</wp:posOffset>
              </wp:positionV>
              <wp:extent cx="533400" cy="585850"/>
              <wp:effectExtent l="0" t="0" r="0" b="0"/>
              <wp:wrapNone/>
              <wp:docPr id="4" name="文本框 13"/>
              <wp:cNvGraphicFramePr>
                <a:graphicFrameLocks noChangeAspect="0"/>
              </wp:cNvGraphicFramePr>
              <a:graphic>
                <a:graphicData uri="http://schemas.microsoft.com/office/word/2010/wordprocessingShape">
                  <wps:wsp>
                    <wps:cNvSpPr/>
                    <wps:spPr>
                      <a:xfrm rot="0">
                        <a:off x="0" y="0"/>
                        <a:ext cx="533400" cy="585850"/>
                      </a:xfrm>
                      <a:prstGeom prst="rect"/>
                      <a:noFill/>
                      <a:ln w="6350" cmpd="sng" cap="flat">
                        <a:noFill/>
                        <a:prstDash val="solid"/>
                        <a:round/>
                      </a:ln>
                    </wps:spPr>
                    <wps:txbx id="5">
                      <w:txbxContent>
                        <w:sdt>
                          <w:sdtPr>
                            <w:id w:val="290235510"/>
                          </w:sdtPr>
                          <w:sdtContent>
                            <w:p>
                              <w:pPr>
                                <w:pStyle w:val="19"/>
                                <w:tabs>
                                  <w:tab w:val="center" w:pos="4153"/>
                                  <w:tab w:val="right" w:pos="8306"/>
                                </w:tabs>
                                <w:jc w:val="center"/>
                              </w:pP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hint="eastAsia"/>
                                  <w:sz w:val="28"/>
                                  <w:szCs w:val="28"/>
                                  <w:lang w:val="zh-CN"/>
                                </w:rPr>
                                <w:t>8</w:t>
                              </w:r>
                              <w:r>
                                <w:rPr>
                                  <w:rFonts w:ascii="宋体" w:eastAsia="宋体" w:cs="宋体" w:hint="eastAsia"/>
                                  <w:sz w:val="28"/>
                                  <w:szCs w:val="28"/>
                                </w:rPr>
                                <w:fldChar w:fldCharType="end"/>
                              </w:r>
                            </w:p>
                          </w:sdtContent>
                        </w:sdt>
                        <w:p>
                          <w:pPr>
                            <w:pStyle w:val="15"/>
                          </w:pPr>
                        </w:p>
                      </w:txbxContent>
                    </wps:txbx>
                    <wps:bodyPr vert="horz" wrap="none" lIns="0" tIns="0" rIns="0" bIns="0" anchor="t" anchorCtr="0" upright="0">
                      <a:spAutoFit/>
                    </wps:bodyPr>
                  </wps:wsp>
                </a:graphicData>
              </a:graphic>
            </wp:anchor>
          </w:drawing>
        </mc:Choice>
        <mc:Fallback>
          <w:pict>
            <v:rect type="#_x0000_t1" id="文本框 13 6" o:spid="_x0000_s6" filled="f" stroked="f" strokeweight="0.5pt" style="position:absolute;margin-left:-400.25pt;margin-top:0.0pt;width:42.0pt;height:46.129974pt;z-index:36;mso-position-horizontal:outside;mso-position-horizontal-relative:margin;mso-position-vertical:absolute;mso-wrap-distance-left:8.999863pt;mso-wrap-distance-right:8.999863pt;mso-wrap-style:none;">
              <v:stroke color="#000000"/>
              <v:textbox id="856" inset="0mm,0mm,0mm,0mm" o:insetmode="custom" style="layout-flow:horizontal;v-text-anchor:top;mso-fit-shape-to-text:t;">
                <w:txbxContent>
                  <w:sdt>
                    <w:sdtPr>
                      <w:id w:val="290235510"/>
                    </w:sdtPr>
                    <w:sdtContent>
                      <w:p>
                        <w:pPr>
                          <w:pStyle w:val="19"/>
                          <w:tabs>
                            <w:tab w:val="center" w:pos="4153"/>
                            <w:tab w:val="right" w:pos="8306"/>
                          </w:tabs>
                          <w:jc w:val="center"/>
                        </w:pPr>
                        <w:r>
                          <w:rPr>
                            <w:rFonts w:ascii="宋体" w:eastAsia="宋体" w:cs="宋体" w:hint="eastAsia"/>
                            <w:sz w:val="28"/>
                            <w:szCs w:val="28"/>
                          </w:rPr>
                          <w:fldChar w:fldCharType="begin"/>
                        </w:r>
                        <w:r>
                          <w:rPr>
                            <w:rFonts w:ascii="宋体" w:eastAsia="宋体" w:cs="宋体" w:hint="eastAsia"/>
                            <w:sz w:val="28"/>
                            <w:szCs w:val="28"/>
                          </w:rPr>
                          <w:instrText>PAGE   \* MERGEFORMAT</w:instrText>
                        </w:r>
                        <w:r>
                          <w:rPr>
                            <w:rFonts w:ascii="宋体" w:eastAsia="宋体" w:cs="宋体" w:hint="eastAsia"/>
                            <w:sz w:val="28"/>
                            <w:szCs w:val="28"/>
                          </w:rPr>
                          <w:fldChar w:fldCharType="separate"/>
                        </w:r>
                        <w:r>
                          <w:rPr>
                            <w:rFonts w:ascii="宋体" w:eastAsia="宋体" w:cs="宋体" w:hint="eastAsia"/>
                            <w:sz w:val="28"/>
                            <w:szCs w:val="28"/>
                            <w:lang w:val="zh-CN"/>
                          </w:rPr>
                          <w:t>8</w:t>
                        </w:r>
                        <w:r>
                          <w:rPr>
                            <w:rFonts w:ascii="宋体" w:eastAsia="宋体" w:cs="宋体" w:hint="eastAsia"/>
                            <w:sz w:val="28"/>
                            <w:szCs w:val="28"/>
                          </w:rPr>
                          <w:fldChar w:fldCharType="end"/>
                        </w:r>
                      </w:p>
                    </w:sdtContent>
                  </w:sdt>
                  <w:p>
                    <w:pPr>
                      <w:pStyle w:val="15"/>
                    </w:pPr>
                  </w:p>
                </w:txbxContent>
              </v:textbox>
            </v:rect>
          </w:pict>
        </mc:Fallback>
      </mc:AlternateContent>
    </w:r>
  </w:p>
  <w:p>
    <w:pPr>
      <w:pStyle w:val="19"/>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F652CEC"/>
    <w:multiLevelType w:val="singleLevel"/>
    <w:tmpl w:val="CF652CEC"/>
    <w:lvl w:ilvl="0">
      <w:start w:val="9"/>
      <w:numFmt w:val="chineseCounting"/>
      <w:lvlRestart w:val="0"/>
      <w:suff w:val="nothing"/>
      <w:lvlText w:val="%1、"/>
      <w:lvlJc w:val="left"/>
      <w:pPr>
        <w:ind w:left="0" w:hanging="0"/>
      </w:pPr>
      <w:rPr>
        <w:rFonts w:hint="eastAsia"/>
      </w:rPr>
    </w:lvl>
  </w:abstractNum>
  <w:abstractNum w:abstractNumId="1">
    <w:nsid w:val="33A62227"/>
    <w:multiLevelType w:val="multilevel"/>
    <w:tmpl w:val="33A62227"/>
    <w:lvl w:ilvl="0">
      <w:start w:val="1"/>
      <w:numFmt w:val="japaneseCounting"/>
      <w:lvlRestart w:val="0"/>
      <w:lvlText w:val="（%1）"/>
      <w:lvlJc w:val="left"/>
      <w:pPr>
        <w:ind w:left="1710" w:hanging="99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MzZjMGRmZTcyZDM2ZWM3MjliZDYyMjU5OWU5ZTc5Mj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常用样式（方正仿宋简）"/>
    <w:basedOn w:val="0"/>
    <w:pPr>
      <w:spacing w:line="560" w:lineRule="exact"/>
      <w:ind w:firstLineChars="200" w:firstLine="200"/>
    </w:pPr>
    <w:rPr>
      <w:rFonts w:ascii="Times New Roman" w:eastAsia="方正仿宋简体" w:cs="Times New Roman" w:hAnsi="Times New Roman"/>
      <w:sz w:val="32"/>
      <w:szCs w:val="24"/>
    </w:rPr>
  </w:style>
  <w:style w:type="paragraph" w:styleId="16">
    <w:name w:val="Body Text"/>
    <w:basedOn w:val="0"/>
    <w:pPr>
      <w:spacing w:beforeLines="30" w:before="30"/>
    </w:pPr>
    <w:rPr>
      <w:rFonts w:ascii="仿宋_GB2312" w:eastAsia="仿宋_GB2312"/>
      <w:kern w:val="0"/>
      <w:sz w:val="30"/>
    </w:rPr>
  </w:style>
  <w:style w:type="paragraph" w:styleId="17">
    <w:name w:val="toc 3"/>
    <w:basedOn w:val="0"/>
    <w:next w:val="0"/>
    <w:pPr>
      <w:tabs>
        <w:tab w:val="right" w:leader="dot" w:pos="8296"/>
      </w:tabs>
      <w:ind w:leftChars="400" w:left="400"/>
    </w:p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rFonts w:ascii="Calibri" w:hAnsi="Calibri"/>
      <w:kern w:val="0"/>
      <w:sz w:val="18"/>
      <w:szCs w:val="18"/>
    </w:rPr>
  </w:style>
  <w:style w:type="paragraph" w:styleId="20">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1">
    <w:name w:val="toc 1"/>
    <w:basedOn w:val="0"/>
    <w:next w:val="0"/>
    <w:pPr>
      <w:tabs>
        <w:tab w:val="right" w:leader="dot" w:pos="8296"/>
      </w:tabs>
      <w:spacing w:before="93"/>
      <w:jc w:val="center"/>
    </w:pPr>
    <w:rPr>
      <w:rFonts w:ascii="仿宋" w:eastAsia="仿宋"/>
      <w:sz w:val="28"/>
      <w:szCs w:val="28"/>
    </w:rPr>
  </w:style>
  <w:style w:type="paragraph" w:styleId="22">
    <w:name w:val="toc 2"/>
    <w:basedOn w:val="0"/>
    <w:next w:val="0"/>
    <w:pPr>
      <w:tabs>
        <w:tab w:val="right" w:leader="dot" w:pos="8296"/>
      </w:tabs>
      <w:ind w:leftChars="200" w:left="200"/>
    </w:pPr>
  </w:style>
  <w:style w:type="paragraph" w:styleId="23">
    <w:name w:val="Normal (Web)"/>
    <w:basedOn w:val="0"/>
    <w:rPr>
      <w:sz w:val="24"/>
    </w:rPr>
  </w:style>
  <w:style w:type="character" w:styleId="24">
    <w:name w:val="Strong"/>
    <w:basedOn w:val="10"/>
    <w:rPr>
      <w:b/>
    </w:rPr>
  </w:style>
  <w:style w:type="character" w:styleId="25">
    <w:name w:val="Hyperlink"/>
    <w:basedOn w:val="10"/>
    <w:rPr>
      <w:color w:val="0000FF"/>
      <w:u w:val="single"/>
    </w:rPr>
  </w:style>
  <w:style w:type="character" w:customStyle="1" w:styleId="26">
    <w:name w:val="Header Char"/>
    <w:basedOn w:val="10"/>
    <w:rPr>
      <w:rFonts w:ascii="Times New Roman" w:hAnsi="Times New Roman"/>
      <w:sz w:val="18"/>
      <w:szCs w:val="18"/>
    </w:rPr>
  </w:style>
  <w:style w:type="character" w:customStyle="1" w:styleId="27">
    <w:name w:val="Footer Char"/>
    <w:basedOn w:val="10"/>
    <w:rPr>
      <w:rFonts w:ascii="Times New Roman" w:hAnsi="Times New Roman"/>
      <w:sz w:val="18"/>
      <w:szCs w:val="18"/>
    </w:rPr>
  </w:style>
  <w:style w:type="character" w:customStyle="1" w:styleId="28">
    <w:name w:val="Body Text Char"/>
    <w:basedOn w:val="10"/>
    <w:rPr>
      <w:rFonts w:ascii="Times New Roman" w:hAnsi="Times New Roman"/>
      <w:szCs w:val="24"/>
    </w:rPr>
  </w:style>
  <w:style w:type="paragraph" w:customStyle="1" w:styleId="29">
    <w:name w:val="Default"/>
    <w:pPr>
      <w:widowControl w:val="0"/>
      <w:autoSpaceDE w:val="0"/>
      <w:autoSpaceDN w:val="0"/>
      <w:adjustRightInd w:val="0"/>
    </w:pPr>
    <w:rPr>
      <w:rFonts w:ascii="仿宋" w:eastAsia="仿宋" w:cs="仿宋" w:hAnsi="Times New Roman"/>
      <w:color w:val="000000"/>
      <w:sz w:val="24"/>
      <w:szCs w:val="24"/>
      <w:lang w:val="en-US" w:eastAsia="zh-CN" w:bidi="ar-SA"/>
    </w:rPr>
  </w:style>
  <w:style w:type="paragraph" w:styleId="30">
    <w:name w:val="List Paragraph"/>
    <w:basedOn w:val="0"/>
    <w:pPr>
      <w:ind w:firstLineChars="200" w:firstLine="200"/>
    </w:pPr>
  </w:style>
  <w:style w:type="paragraph" w:customStyle="1" w:styleId="31">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2">
    <w:name w:val="TOC Heading"/>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styles" Target="styl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customXml" Target="../customXml/item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'工作表465537'!$A$2</c:f>
              <c:strCache>
                <c:ptCount val="1"/>
                <c:pt idx="0">
                  <c:v>收支决算总计</c:v>
                </c:pt>
              </c:strCache>
            </c:strRef>
          </c:tx>
          <c:spPr>
            <a:solidFill>
              <a:srgbClr val="5B9BD5"/>
            </a:solidFill>
            <a:ln>
              <a:noFill/>
            </a:ln>
          </c:spPr>
          <c:invertIfNegative val="0"/>
          <c:dLbls>
            <c:dLbl>
              <c:idx val="0"/>
              <c:numFmt formatCode="General"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dLblPos val="outEnd"/>
              <c:tx>
                <c:rich>
                  <a:bodyPr vert="horz"/>
                  <a:lstStyle/>
                  <a:p>
                    <a:pPr>
                      <a:defRPr sz="900" b="0" i="0" u="none" strike="noStrike" baseline="0">
                        <a:solidFill>
                          <a:srgbClr val="3F3F3F"/>
                        </a:solidFill>
                        <a:latin typeface="Times New Roman"/>
                        <a:ea typeface="宋体"/>
                        <a:cs typeface="Lucida Sans"/>
                      </a:defRPr>
                    </a:pPr>
                    <a:r>
                      <a:rPr lang="zh-CN"/>
                      <a:t>313.31万元</a:t>
                    </a:r>
                  </a:p>
                </c:rich>
              </c:tx>
              <c:showLegendKey val="0"/>
              <c:showVal val="1"/>
              <c:showCatName val="0"/>
              <c:showSerName val="0"/>
              <c:showPercent val="0"/>
              <c:showBubbleSize val="0"/>
            </c:dLbl>
            <c:dLbl>
              <c:idx val="1"/>
              <c:numFmt formatCode="General"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dLblPos val="outEnd"/>
              <c:tx>
                <c:rich>
                  <a:bodyPr vert="horz"/>
                  <a:lstStyle/>
                  <a:p>
                    <a:pPr>
                      <a:defRPr sz="900" b="0" i="0" u="none" strike="noStrike" baseline="0">
                        <a:solidFill>
                          <a:srgbClr val="3F3F3F"/>
                        </a:solidFill>
                        <a:latin typeface="Times New Roman"/>
                        <a:ea typeface="宋体"/>
                        <a:cs typeface="Lucida Sans"/>
                      </a:defRPr>
                    </a:pPr>
                    <a:r>
                      <a:rPr lang="zh-CN"/>
                      <a:t>965.78万元	</a:t>
                    </a:r>
                  </a:p>
                </c:rich>
              </c:tx>
              <c:showLegendKey val="0"/>
              <c:showVal val="1"/>
              <c:showCatName val="0"/>
              <c:showSerName val="0"/>
              <c:showPercent val="0"/>
              <c:showBubbleSize val="0"/>
            </c:dLbl>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'工作表465537'!$B$1:$C$1</c:f>
              <c:strCache>
                <c:ptCount val="2"/>
                <c:pt idx="0">
                  <c:v>2020年</c:v>
                </c:pt>
                <c:pt idx="1">
                  <c:v>2021年</c:v>
                </c:pt>
              </c:strCache>
            </c:strRef>
          </c:cat>
          <c:val>
            <c:numRef>
              <c:f>'工作表465537'!$B$2:$C$2</c:f>
              <c:numCache>
                <c:formatCode>General</c:formatCode>
                <c:ptCount val="2"/>
                <c:pt idx="0">
                  <c:v>313.31</c:v>
                </c:pt>
                <c:pt idx="1">
                  <c:v>965.78</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min val="0.0"/>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minorUnit val="2.0"/>
        <c:crossAx val="0"/>
      </c:valAx>
      <c:spPr>
        <a:noFill/>
        <a:ln>
          <a:noFill/>
        </a:ln>
      </c:spPr>
    </c:plotArea>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0"/>
        <c:ser>
          <c:idx val="0"/>
          <c:order val="0"/>
          <c:tx>
            <c:strRef>
              <c:f>'工作表465538'!$A$2</c:f>
              <c:strCache>
                <c:ptCount val="1"/>
                <c:pt idx="0">
                  <c:v>东部</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Lbls>
            <c:dLbl>
              <c:idx val="0"/>
              <c:numFmt formatCode="0.00%" sourceLinked="0"/>
              <c:spPr>
                <a:noFill/>
                <a:ln>
                  <a:noFill/>
                </a:ln>
              </c:spPr>
              <c:txPr>
                <a:bodyPr vert="horz"/>
                <a:lstStyle/>
                <a:p>
                  <a:pPr>
                    <a:defRPr sz="1050" b="0" i="0" u="none" strike="noStrike" baseline="0">
                      <a:solidFill>
                        <a:srgbClr val="000000"/>
                      </a:solidFill>
                      <a:latin typeface="Times New Roman"/>
                      <a:ea typeface="宋体"/>
                      <a:cs typeface="Lucida Sans"/>
                    </a:defRPr>
                  </a:pPr>
                  <a:endParaRPr lang="zh-CN"/>
                </a:p>
              </c:txPr>
              <c:dLblPos val="ctr"/>
              <c:tx>
                <c:rich>
                  <a:bodyPr vert="horz"/>
                  <a:lstStyle/>
                  <a:p>
                    <a:pPr>
                      <a:defRPr sz="1050" b="0" i="0" u="none" strike="noStrike" baseline="0">
                        <a:solidFill>
                          <a:srgbClr val="000000"/>
                        </a:solidFill>
                        <a:latin typeface="Times New Roman"/>
                        <a:ea typeface="宋体"/>
                        <a:cs typeface="Lucida Sans"/>
                      </a:defRPr>
                    </a:pPr>
                    <a:r>
                      <a:rPr lang="zh-CN"/>
                      <a:t>467.73万元,占63.40%</a:t>
                    </a:r>
                  </a:p>
                </c:rich>
              </c:tx>
              <c:showLegendKey val="0"/>
              <c:showVal val="1"/>
              <c:showCatName val="0"/>
              <c:showSerName val="0"/>
              <c:showPercent val="0"/>
              <c:showBubbleSize val="0"/>
            </c:dLbl>
            <c:dLbl>
              <c:idx val="1"/>
              <c:numFmt formatCode="0.00%" sourceLinked="0"/>
              <c:spPr>
                <a:noFill/>
                <a:ln>
                  <a:noFill/>
                </a:ln>
              </c:spPr>
              <c:txPr>
                <a:bodyPr vert="horz"/>
                <a:lstStyle/>
                <a:p>
                  <a:pPr>
                    <a:defRPr sz="1050" b="0" i="0" u="none" strike="noStrike" baseline="0">
                      <a:solidFill>
                        <a:srgbClr val="000000"/>
                      </a:solidFill>
                      <a:latin typeface="Times New Roman"/>
                      <a:ea typeface="宋体"/>
                      <a:cs typeface="Lucida Sans"/>
                    </a:defRPr>
                  </a:pPr>
                  <a:endParaRPr lang="zh-CN"/>
                </a:p>
              </c:txPr>
              <c:dLblPos val="ctr"/>
              <c:tx>
                <c:rich>
                  <a:bodyPr vert="horz"/>
                  <a:lstStyle/>
                  <a:p>
                    <a:pPr>
                      <a:defRPr sz="1050" b="0" i="0" u="none" strike="noStrike" baseline="0">
                        <a:solidFill>
                          <a:srgbClr val="000000"/>
                        </a:solidFill>
                        <a:latin typeface="Times New Roman"/>
                        <a:ea typeface="宋体"/>
                        <a:cs typeface="Lucida Sans"/>
                      </a:defRPr>
                    </a:pPr>
                    <a:r>
                      <a:rPr lang="zh-CN"/>
                      <a:t>270万元,占
36.60%</a:t>
                    </a:r>
                  </a:p>
                </c:rich>
              </c:tx>
              <c:showLegendKey val="0"/>
              <c:showVal val="1"/>
              <c:showCatName val="0"/>
              <c:showSerName val="0"/>
              <c:showPercent val="0"/>
              <c:showBubbleSize val="0"/>
              <c:separator>
</c:separator>
            </c:dLbl>
            <c:dLblPos val="ctr"/>
            <c:showLegendKey val="0"/>
            <c:showVal val="0"/>
            <c:showCatName val="0"/>
            <c:showSerName val="0"/>
            <c:showPercent val="0"/>
            <c:showBubbleSize val="0"/>
            <c:showLeaderLines val="1"/>
          </c:dLbls>
          <c:cat>
            <c:strRef>
              <c:f>'工作表465538'!$B$1:$C$1</c:f>
              <c:strCache>
                <c:ptCount val="2"/>
                <c:pt idx="0">
                  <c:v>一般公共预算财政拨款收入</c:v>
                </c:pt>
                <c:pt idx="1">
                  <c:v>政府性基金预算财政拨款收入</c:v>
                </c:pt>
              </c:strCache>
            </c:strRef>
          </c:cat>
          <c:val>
            <c:numRef>
              <c:f>'工作表465538'!$B$2:$C$2</c:f>
              <c:numCache>
                <c:formatCode>General</c:formatCode>
                <c:ptCount val="2"/>
                <c:pt idx="0">
                  <c:v>467.73</c:v>
                </c:pt>
                <c:pt idx="1">
                  <c:v>270.0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3F3F3F"/>
              </a:solidFill>
              <a:latin typeface="Times New Roman"/>
              <a:ea typeface="宋体"/>
              <a:cs typeface="Lucida Sans"/>
            </a:defRPr>
          </a:pPr>
          <a:endParaRPr lang="zh-CN"/>
        </a:p>
      </c:txPr>
    </c:legend>
    <c:plotVisOnly val="1"/>
    <c:dispBlanksAs val="gap"/>
    <c:showDLblsOverMax val="0"/>
  </c:chart>
  <c:spPr>
    <a:noFill/>
    <a:ln w="6350">
      <a:solidFill>
        <a:srgbClr val="BFBFBF"/>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0"/>
        <c:ser>
          <c:idx val="0"/>
          <c:order val="0"/>
          <c:tx>
            <c:strRef>
              <c:f>'工作表465539'!$A$2</c:f>
              <c:strCache>
                <c:ptCount val="1"/>
                <c:pt idx="0">
                  <c:v>支出决算</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Lbls>
            <c:dLbl>
              <c:idx val="0"/>
              <c:layout>
                <c:manualLayout>
                  <c:x val="0.13494682"/>
                  <c:y val="0.0"/>
                </c:manualLayout>
              </c:layout>
              <c:numFmt formatCode="0.00%" sourceLinked="0"/>
              <c:spPr>
                <a:noFill/>
                <a:ln>
                  <a:noFill/>
                </a:ln>
              </c:spPr>
              <c:txPr>
                <a:bodyPr vert="horz"/>
                <a:lstStyle/>
                <a:p>
                  <a:pPr>
                    <a:defRPr sz="1050" b="0" i="0" u="none" strike="noStrike" baseline="0">
                      <a:solidFill>
                        <a:srgbClr val="3F3F3F"/>
                      </a:solidFill>
                      <a:latin typeface="Times New Roman"/>
                      <a:ea typeface="宋体"/>
                      <a:cs typeface="Lucida Sans"/>
                    </a:defRPr>
                  </a:pPr>
                  <a:endParaRPr lang="zh-CN"/>
                </a:p>
              </c:txPr>
              <c:tx>
                <c:rich>
                  <a:bodyPr vert="horz"/>
                  <a:lstStyle/>
                  <a:p>
                    <a:pPr>
                      <a:defRPr sz="1050" b="0" i="0" u="none" strike="noStrike" baseline="0">
                        <a:solidFill>
                          <a:srgbClr val="3F3F3F"/>
                        </a:solidFill>
                        <a:latin typeface="Times New Roman"/>
                        <a:ea typeface="宋体"/>
                        <a:cs typeface="Lucida Sans"/>
                      </a:defRPr>
                    </a:pPr>
                    <a:r>
                      <a:rPr lang="zh-CN"/>
                      <a:t>47.38万元,占5.78%</a:t>
                    </a:r>
                  </a:p>
                </c:rich>
              </c:tx>
              <c:showLegendKey val="0"/>
              <c:showVal val="1"/>
              <c:showCatName val="0"/>
              <c:showSerName val="0"/>
              <c:showPercent val="0"/>
              <c:showBubbleSize val="0"/>
            </c:dLbl>
            <c:dLbl>
              <c:idx val="1"/>
              <c:layout>
                <c:manualLayout>
                  <c:x val="0.07746608"/>
                  <c:y val="-0.31460407"/>
                </c:manualLayout>
              </c:layout>
              <c:numFmt formatCode="0.00%" sourceLinked="0"/>
              <c:spPr>
                <a:noFill/>
                <a:ln>
                  <a:noFill/>
                </a:ln>
              </c:spPr>
              <c:txPr>
                <a:bodyPr vert="horz"/>
                <a:lstStyle/>
                <a:p>
                  <a:pPr>
                    <a:defRPr sz="1050" b="0" i="0" u="none" strike="noStrike" baseline="0">
                      <a:solidFill>
                        <a:srgbClr val="3F3F3F"/>
                      </a:solidFill>
                      <a:latin typeface="Times New Roman"/>
                      <a:ea typeface="宋体"/>
                      <a:cs typeface="Lucida Sans"/>
                    </a:defRPr>
                  </a:pPr>
                  <a:endParaRPr lang="zh-CN"/>
                </a:p>
              </c:txPr>
              <c:tx>
                <c:rich>
                  <a:bodyPr vert="horz"/>
                  <a:lstStyle/>
                  <a:p>
                    <a:pPr>
                      <a:defRPr sz="1050" b="0" i="0" u="none" strike="noStrike" baseline="0">
                        <a:solidFill>
                          <a:srgbClr val="3F3F3F"/>
                        </a:solidFill>
                        <a:latin typeface="Times New Roman"/>
                        <a:ea typeface="宋体"/>
                        <a:cs typeface="Lucida Sans"/>
                      </a:defRPr>
                    </a:pPr>
                    <a:r>
                      <a:rPr lang="zh-CN"/>
                      <a:t>772.17万元,占94.22%</a:t>
                    </a:r>
                  </a:p>
                </c:rich>
              </c:tx>
              <c:showLegendKey val="0"/>
              <c:showVal val="1"/>
              <c:showCatName val="0"/>
              <c:showSerName val="0"/>
              <c:showPercent val="0"/>
              <c:showBubbleSize val="0"/>
            </c:dLbl>
            <c:showLegendKey val="0"/>
            <c:showVal val="0"/>
            <c:showCatName val="0"/>
            <c:showSerName val="0"/>
            <c:showPercent val="0"/>
            <c:showBubbleSize val="0"/>
            <c:showLeaderLines val="1"/>
          </c:dLbls>
          <c:cat>
            <c:strRef>
              <c:f>'工作表465539'!$B$1:$C$1</c:f>
              <c:strCache>
                <c:ptCount val="2"/>
                <c:pt idx="0">
                  <c:v>基本支出</c:v>
                </c:pt>
                <c:pt idx="1">
                  <c:v>项目支出</c:v>
                </c:pt>
              </c:strCache>
            </c:strRef>
          </c:cat>
          <c:val>
            <c:numRef>
              <c:f>'工作表465539'!$B$2:$C$2</c:f>
              <c:numCache>
                <c:formatCode>General</c:formatCode>
                <c:ptCount val="2"/>
                <c:pt idx="0">
                  <c:v>47.38</c:v>
                </c:pt>
                <c:pt idx="1">
                  <c:v>772.17</c:v>
                </c:pt>
              </c:numCache>
            </c:numRef>
          </c:val>
        </c:ser>
        <c:ser>
          <c:idx val="1"/>
          <c:order val="1"/>
          <c:tx>
            <c:v>系列2</c:v>
          </c:tx>
          <c:spPr>
            <a:solidFill>
              <a:srgbClr val="C0504D"/>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1"/>
          </c:dLbls>
          <c:cat>
            <c:strLit>
              <c:ptCount val="2"/>
              <c:pt idx="0">
                <c:v>基本支出</c:v>
              </c:pt>
              <c:pt idx="1">
                <c:v>项目支出</c:v>
              </c:pt>
            </c:strLit>
          </c:cat>
          <c:val>
            <c:numRef>
              <c:f/>
            </c:numRef>
          </c:val>
        </c:ser>
        <c:ser>
          <c:idx val="2"/>
          <c:order val="2"/>
          <c:tx>
            <c:v>系列3</c:v>
          </c:tx>
          <c:spPr>
            <a:solidFill>
              <a:srgbClr val="9BBB59"/>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1"/>
          </c:dLbls>
          <c:cat>
            <c:strLit>
              <c:ptCount val="2"/>
              <c:pt idx="0">
                <c:v>基本支出</c:v>
              </c:pt>
              <c:pt idx="1">
                <c:v>项目支出</c:v>
              </c:pt>
            </c:strLit>
          </c:cat>
          <c:val>
            <c:numRef>
              <c:f/>
            </c:numRef>
          </c:val>
        </c:ser>
        <c:firstSliceAng val="0"/>
      </c:pieChart>
      <c:spPr>
        <a:noFill/>
        <a:ln>
          <a:noFill/>
        </a:ln>
      </c:spPr>
    </c:plotArea>
    <c:legend>
      <c:legendPos val="r"/>
      <c:layout>
        <c:manualLayout>
          <c:xMode val="edge"/>
          <c:yMode val="edge"/>
          <c:x val="0.64026403"/>
          <c:y val="0.4009009"/>
        </c:manualLayout>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'工作表465540'!$A$2</c:f>
              <c:strCache>
                <c:ptCount val="1"/>
                <c:pt idx="0">
                  <c:v>财政拨款收支决算</c:v>
                </c:pt>
              </c:strCache>
            </c:strRef>
          </c:tx>
          <c:spPr>
            <a:solidFill>
              <a:srgbClr val="5B9BD5"/>
            </a:solidFill>
            <a:ln>
              <a:noFill/>
            </a:ln>
          </c:spPr>
          <c:invertIfNegative val="0"/>
          <c:dLbls>
            <c:dLbl>
              <c:idx val="0"/>
              <c:numFmt formatCode="General"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dLblPos val="outEnd"/>
              <c:tx>
                <c:rich>
                  <a:bodyPr vert="horz"/>
                  <a:lstStyle/>
                  <a:p>
                    <a:pPr>
                      <a:defRPr sz="900" b="0" i="0" u="none" strike="noStrike" baseline="0">
                        <a:solidFill>
                          <a:srgbClr val="3F3F3F"/>
                        </a:solidFill>
                        <a:latin typeface="Times New Roman"/>
                        <a:ea typeface="宋体"/>
                        <a:cs typeface="Lucida Sans"/>
                      </a:defRPr>
                    </a:pPr>
                    <a:r>
                      <a:rPr lang="zh-CN"/>
                      <a:t>313.31万元</a:t>
                    </a:r>
                  </a:p>
                </c:rich>
              </c:tx>
              <c:showLegendKey val="0"/>
              <c:showVal val="1"/>
              <c:showCatName val="0"/>
              <c:showSerName val="0"/>
              <c:showPercent val="0"/>
              <c:showBubbleSize val="0"/>
            </c:dLbl>
            <c:dLbl>
              <c:idx val="1"/>
              <c:numFmt formatCode="General"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dLblPos val="outEnd"/>
              <c:tx>
                <c:rich>
                  <a:bodyPr vert="horz"/>
                  <a:lstStyle/>
                  <a:p>
                    <a:pPr>
                      <a:defRPr sz="900" b="0" i="0" u="none" strike="noStrike" baseline="0">
                        <a:solidFill>
                          <a:srgbClr val="3F3F3F"/>
                        </a:solidFill>
                        <a:latin typeface="Times New Roman"/>
                        <a:ea typeface="宋体"/>
                        <a:cs typeface="Lucida Sans"/>
                      </a:defRPr>
                    </a:pPr>
                    <a:r>
                      <a:rPr lang="zh-CN"/>
                      <a:t>965.78万元</a:t>
                    </a:r>
                  </a:p>
                </c:rich>
              </c:tx>
              <c:showLegendKey val="0"/>
              <c:showVal val="1"/>
              <c:showCatName val="0"/>
              <c:showSerName val="0"/>
              <c:showPercent val="0"/>
              <c:showBubbleSize val="0"/>
            </c:dLbl>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'工作表465540'!$B$1:$C$1</c:f>
              <c:strCache>
                <c:ptCount val="2"/>
                <c:pt idx="0">
                  <c:v>2020年</c:v>
                </c:pt>
                <c:pt idx="1">
                  <c:v>2021年</c:v>
                </c:pt>
              </c:strCache>
            </c:strRef>
          </c:cat>
          <c:val>
            <c:numRef>
              <c:f>'工作表465540'!$B$2:$C$2</c:f>
              <c:numCache>
                <c:formatCode>General</c:formatCode>
                <c:ptCount val="2"/>
                <c:pt idx="0">
                  <c:v>313.31</c:v>
                </c:pt>
                <c:pt idx="1">
                  <c:v>965.78</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'工作表465541'!$A$2</c:f>
              <c:strCache>
                <c:ptCount val="1"/>
                <c:pt idx="0">
                  <c:v>一般公共预算财政拨款支出</c:v>
                </c:pt>
              </c:strCache>
            </c:strRef>
          </c:tx>
          <c:spPr>
            <a:solidFill>
              <a:srgbClr val="5B9BD5"/>
            </a:solidFill>
            <a:ln>
              <a:noFill/>
            </a:ln>
          </c:spPr>
          <c:invertIfNegative val="0"/>
          <c:dLbls>
            <c:dLbl>
              <c:idx val="0"/>
              <c:numFmt formatCode="General"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dLblPos val="outEnd"/>
              <c:tx>
                <c:rich>
                  <a:bodyPr vert="horz"/>
                  <a:lstStyle/>
                  <a:p>
                    <a:pPr>
                      <a:defRPr sz="900" b="0" i="0" u="none" strike="noStrike" baseline="0">
                        <a:solidFill>
                          <a:srgbClr val="3F3F3F"/>
                        </a:solidFill>
                        <a:latin typeface="Times New Roman"/>
                        <a:ea typeface="宋体"/>
                        <a:cs typeface="Lucida Sans"/>
                      </a:defRPr>
                    </a:pPr>
                    <a:r>
                      <a:rPr lang="zh-CN"/>
                      <a:t>85.27万元</a:t>
                    </a:r>
                  </a:p>
                </c:rich>
              </c:tx>
              <c:showLegendKey val="0"/>
              <c:showVal val="1"/>
              <c:showCatName val="0"/>
              <c:showSerName val="0"/>
              <c:showPercent val="0"/>
              <c:showBubbleSize val="0"/>
            </c:dLbl>
            <c:dLbl>
              <c:idx val="1"/>
              <c:numFmt formatCode="General"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dLblPos val="outEnd"/>
              <c:tx>
                <c:rich>
                  <a:bodyPr vert="horz"/>
                  <a:lstStyle/>
                  <a:p>
                    <a:pPr>
                      <a:defRPr sz="900" b="0" i="0" u="none" strike="noStrike" baseline="0">
                        <a:solidFill>
                          <a:srgbClr val="3F3F3F"/>
                        </a:solidFill>
                        <a:latin typeface="Times New Roman"/>
                        <a:ea typeface="宋体"/>
                        <a:cs typeface="Lucida Sans"/>
                      </a:defRPr>
                    </a:pPr>
                    <a:r>
                      <a:rPr lang="zh-CN"/>
                      <a:t>549.55万元	</a:t>
                    </a:r>
                  </a:p>
                </c:rich>
              </c:tx>
              <c:showLegendKey val="0"/>
              <c:showVal val="1"/>
              <c:showCatName val="0"/>
              <c:showSerName val="0"/>
              <c:showPercent val="0"/>
              <c:showBubbleSize val="0"/>
            </c:dLbl>
            <c:dLblPos val="outEnd"/>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'工作表465541'!$B$1:$C$1</c:f>
              <c:strCache>
                <c:ptCount val="2"/>
                <c:pt idx="0">
                  <c:v>2020年</c:v>
                </c:pt>
                <c:pt idx="1">
                  <c:v>2021年</c:v>
                </c:pt>
              </c:strCache>
            </c:strRef>
          </c:cat>
          <c:val>
            <c:numRef>
              <c:f>'工作表465541'!$B$2:$C$2</c:f>
              <c:numCache>
                <c:formatCode>General</c:formatCode>
                <c:ptCount val="2"/>
                <c:pt idx="0">
                  <c:v>85.27</c:v>
                </c:pt>
                <c:pt idx="1">
                  <c:v>549.55</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0"/>
        <c:ser>
          <c:idx val="0"/>
          <c:order val="0"/>
          <c:tx>
            <c:strRef>
              <c:f>'工作表465542'!$A$2</c:f>
              <c:strCache>
                <c:ptCount val="1"/>
                <c:pt idx="0">
                  <c:v>一般公共预算财政拨款支出</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953734"/>
              </a:solidFill>
              <a:ln>
                <a:noFill/>
              </a:ln>
            </c:spPr>
          </c:dPt>
          <c:dLbls>
            <c:dLbl>
              <c:idx val="0"/>
              <c:layout>
                <c:manualLayout>
                  <c:x val="-0.006386585"/>
                  <c:y val="-0.3125"/>
                </c:manualLayout>
              </c:layout>
              <c:numFmt formatCode="0.00%"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tx>
                <c:rich>
                  <a:bodyPr vert="horz"/>
                  <a:lstStyle/>
                  <a:p>
                    <a:pPr>
                      <a:defRPr sz="900" b="0" i="0" u="none" strike="noStrike" baseline="0">
                        <a:solidFill>
                          <a:srgbClr val="3F3F3F"/>
                        </a:solidFill>
                        <a:latin typeface="Times New Roman"/>
                        <a:ea typeface="宋体"/>
                        <a:cs typeface="Lucida Sans"/>
                      </a:defRPr>
                    </a:pPr>
                    <a:r>
                      <a:rPr lang="zh-CN"/>
                      <a:t>542.51万元, 占98.72%</a:t>
                    </a:r>
                  </a:p>
                </c:rich>
              </c:tx>
              <c:showLegendKey val="0"/>
              <c:showVal val="1"/>
              <c:showCatName val="0"/>
              <c:showSerName val="0"/>
              <c:showPercent val="0"/>
              <c:showBubbleSize val="0"/>
            </c:dLbl>
            <c:dLbl>
              <c:idx val="1"/>
              <c:layout>
                <c:manualLayout>
                  <c:x val="-0.16499695"/>
                  <c:y val="-0.008032128"/>
                </c:manualLayout>
              </c:layout>
              <c:numFmt formatCode="0.00%"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tx>
                <c:rich>
                  <a:bodyPr vert="horz"/>
                  <a:lstStyle/>
                  <a:p>
                    <a:pPr>
                      <a:defRPr sz="900" b="0" i="0" u="none" strike="noStrike" baseline="0">
                        <a:solidFill>
                          <a:srgbClr val="3F3F3F"/>
                        </a:solidFill>
                        <a:latin typeface="Times New Roman"/>
                        <a:ea typeface="宋体"/>
                        <a:cs typeface="Lucida Sans"/>
                      </a:defRPr>
                    </a:pPr>
                    <a:r>
                      <a:rPr lang="zh-CN"/>
                      <a:t>2.18万元,占 0.40%</a:t>
                    </a:r>
                  </a:p>
                </c:rich>
              </c:tx>
              <c:showLegendKey val="0"/>
              <c:showVal val="1"/>
              <c:showCatName val="0"/>
              <c:showSerName val="0"/>
              <c:showPercent val="0"/>
              <c:showBubbleSize val="0"/>
            </c:dLbl>
            <c:dLbl>
              <c:idx val="2"/>
              <c:layout>
                <c:manualLayout>
                  <c:x val="0.13387978"/>
                  <c:y val="0.0"/>
                </c:manualLayout>
              </c:layout>
              <c:numFmt formatCode="0.00%" sourceLinked="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tx>
                <c:rich>
                  <a:bodyPr vert="horz"/>
                  <a:lstStyle/>
                  <a:p>
                    <a:pPr>
                      <a:defRPr sz="900" b="0" i="0" u="none" strike="noStrike" baseline="0">
                        <a:solidFill>
                          <a:srgbClr val="3F3F3F"/>
                        </a:solidFill>
                        <a:latin typeface="Times New Roman"/>
                        <a:ea typeface="宋体"/>
                        <a:cs typeface="Lucida Sans"/>
                      </a:defRPr>
                    </a:pPr>
                    <a:r>
                      <a:rPr lang="zh-CN"/>
                      <a:t>4.86万元,占 0.88%</a:t>
                    </a:r>
                  </a:p>
                </c:rich>
              </c:tx>
              <c:showLegendKey val="0"/>
              <c:showVal val="1"/>
              <c:showCatName val="0"/>
              <c:showSerName val="0"/>
              <c:showPercent val="0"/>
              <c:showBubbleSize val="0"/>
            </c:dLbl>
            <c:showLegendKey val="0"/>
            <c:showVal val="0"/>
            <c:showCatName val="0"/>
            <c:showSerName val="0"/>
            <c:showPercent val="0"/>
            <c:showBubbleSize val="0"/>
            <c:showLeaderLines val="1"/>
          </c:dLbls>
          <c:cat>
            <c:strRef>
              <c:f>'工作表465542'!$B$1:$D$1</c:f>
              <c:strCache>
                <c:ptCount val="3"/>
                <c:pt idx="0">
                  <c:v>社会保障和就业（类）支出</c:v>
                </c:pt>
                <c:pt idx="1">
                  <c:v>卫生健康支出</c:v>
                </c:pt>
                <c:pt idx="2">
                  <c:v>住房保障支出</c:v>
                </c:pt>
              </c:strCache>
            </c:strRef>
          </c:cat>
          <c:val>
            <c:numRef>
              <c:f>'工作表465542'!$B$2:$D$2</c:f>
              <c:numCache>
                <c:formatCode>General</c:formatCode>
                <c:ptCount val="3"/>
                <c:pt idx="0">
                  <c:v>542.51</c:v>
                </c:pt>
                <c:pt idx="1">
                  <c:v>2.18</c:v>
                </c:pt>
                <c:pt idx="2">
                  <c:v>4.86</c:v>
                </c:pt>
              </c:numCache>
            </c:numRef>
          </c:val>
        </c:ser>
        <c:ser>
          <c:idx val="1"/>
          <c:order val="1"/>
          <c:tx>
            <c:v>系列2</c:v>
          </c:tx>
          <c:spPr>
            <a:solidFill>
              <a:srgbClr val="C0504D"/>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1"/>
          </c:dLbls>
          <c:cat>
            <c:strLit>
              <c:ptCount val="3"/>
              <c:pt idx="0">
                <c:v>社会保障和就业（类）支出</c:v>
              </c:pt>
              <c:pt idx="1">
                <c:v>卫生健康支出</c:v>
              </c:pt>
              <c:pt idx="2">
                <c:v>住房保障支出</c:v>
              </c:pt>
            </c:strLit>
          </c:cat>
          <c:val>
            <c:numRef>
              <c:f/>
            </c:numRef>
          </c:val>
        </c:ser>
        <c:ser>
          <c:idx val="2"/>
          <c:order val="2"/>
          <c:tx>
            <c:v>系列3</c:v>
          </c:tx>
          <c:spPr>
            <a:solidFill>
              <a:srgbClr val="9BBB59"/>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1"/>
          </c:dLbls>
          <c:cat>
            <c:strLit>
              <c:ptCount val="3"/>
              <c:pt idx="0">
                <c:v>社会保障和就业（类）支出</c:v>
              </c:pt>
              <c:pt idx="1">
                <c:v>卫生健康支出</c:v>
              </c:pt>
              <c:pt idx="2">
                <c:v>住房保障支出</c:v>
              </c:pt>
            </c:strLit>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0"/>
        <c:ser>
          <c:idx val="0"/>
          <c:order val="0"/>
          <c:tx>
            <c:strRef>
              <c:f>'工作表465543'!$A$2</c:f>
              <c:strCache>
                <c:ptCount val="1"/>
                <c:pt idx="0">
                  <c:v>"三公"经费财政拨款支出</c:v>
                </c:pt>
              </c:strCache>
            </c:strRef>
          </c:tx>
          <c:spPr>
            <a:solidFill>
              <a:srgbClr val="4F81BD"/>
            </a:solidFill>
            <a:ln>
              <a:noFill/>
            </a:ln>
          </c:spPr>
          <c:dPt>
            <c:idx val="0"/>
            <c:bubble3D val="0"/>
            <c:spPr>
              <a:solidFill>
                <a:srgbClr val="5B9BD5"/>
              </a:solidFill>
              <a:ln>
                <a:noFill/>
              </a:ln>
            </c:spPr>
          </c:dPt>
          <c:dLbls>
            <c:dLbl>
              <c:idx val="0"/>
              <c:layout>
                <c:manualLayout>
                  <c:x val="-0.031598512"/>
                  <c:y val="-0.4451827"/>
                </c:manualLayout>
              </c:layout>
              <c:numFmt formatCode="0%" sourceLinked="0"/>
              <c:spPr>
                <a:noFill/>
                <a:ln>
                  <a:noFill/>
                </a:ln>
              </c:spPr>
              <c:txPr>
                <a:bodyPr vert="horz"/>
                <a:lstStyle/>
                <a:p>
                  <a:pPr>
                    <a:defRPr sz="1050" b="0" i="0" u="none" strike="noStrike" baseline="0">
                      <a:solidFill>
                        <a:srgbClr val="000000"/>
                      </a:solidFill>
                      <a:latin typeface="Times New Roman"/>
                      <a:ea typeface="宋体"/>
                      <a:cs typeface="Lucida Sans"/>
                    </a:defRPr>
                  </a:pPr>
                  <a:endParaRPr lang="zh-CN"/>
                </a:p>
              </c:txPr>
              <c:dLblPos val="bestFit"/>
              <c:tx>
                <c:rich>
                  <a:bodyPr vert="horz"/>
                  <a:lstStyle/>
                  <a:p>
                    <a:pPr>
                      <a:defRPr sz="1050" b="0" i="0" u="none" strike="noStrike" baseline="0">
                        <a:solidFill>
                          <a:srgbClr val="000000"/>
                        </a:solidFill>
                        <a:latin typeface="Times New Roman"/>
                        <a:ea typeface="宋体"/>
                        <a:cs typeface="Lucida Sans"/>
                      </a:defRPr>
                    </a:pPr>
                    <a:r>
                      <a:rPr lang="zh-CN"/>
                      <a:t>公务接待费支出0.09万元,占 100%</a:t>
                    </a:r>
                  </a:p>
                </c:rich>
              </c:tx>
              <c:showLegendKey val="0"/>
              <c:showVal val="1"/>
              <c:showCatName val="0"/>
              <c:showSerName val="0"/>
              <c:showPercent val="0"/>
              <c:showBubbleSize val="0"/>
            </c:dLbl>
            <c:dLblPos val="inEnd"/>
            <c:showLegendKey val="0"/>
            <c:showVal val="0"/>
            <c:showCatName val="0"/>
            <c:showSerName val="0"/>
            <c:showPercent val="0"/>
            <c:showBubbleSize val="0"/>
            <c:showLeaderLines val="1"/>
          </c:dLbls>
          <c:cat>
            <c:strRef>
              <c:f>'工作表465543'!$B$1</c:f>
              <c:strCache>
                <c:ptCount val="1"/>
                <c:pt idx="0">
                  <c:v>公务接待费支出</c:v>
                </c:pt>
              </c:strCache>
            </c:strRef>
          </c:cat>
          <c:val>
            <c:numRef>
              <c:f>工作表465543!$B$2</c:f>
              <c:numCache>
                <c:formatCode>General</c:formatCode>
                <c:ptCount val="1"/>
                <c:pt idx="0">
                  <c:v>0.09</c:v>
                </c:pt>
              </c:numCache>
            </c:numRef>
          </c:val>
        </c:ser>
        <c:ser>
          <c:idx val="1"/>
          <c:order val="1"/>
          <c:tx>
            <c:v>系列2</c:v>
          </c:tx>
          <c:spPr>
            <a:solidFill>
              <a:srgbClr val="C0504D"/>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1"/>
          </c:dLbls>
          <c:cat>
            <c:strLit>
              <c:ptCount val="1"/>
              <c:pt idx="0">
                <c:v>公务接待费支出</c:v>
              </c:pt>
            </c:strLit>
          </c:cat>
          <c:val>
            <c:numRef>
              <c:f/>
            </c:numRef>
          </c:val>
        </c:ser>
        <c:ser>
          <c:idx val="2"/>
          <c:order val="2"/>
          <c:tx>
            <c:v>系列3</c:v>
          </c:tx>
          <c:spPr>
            <a:solidFill>
              <a:srgbClr val="9BBB59"/>
            </a:solidFill>
            <a:ln>
              <a:noFill/>
            </a:ln>
          </c:spPr>
          <c:dLbls>
            <c:txPr>
              <a:bodyPr/>
              <a:lstStyle/>
              <a:p>
                <a:pPr>
                  <a:defRPr sz="900" b="0" i="0" u="none" strike="noStrike" baseline="0">
                    <a:solidFill>
                      <a:srgbClr val="000000"/>
                    </a:solidFill>
                    <a:latin typeface="Times New Roman"/>
                    <a:ea typeface="宋体"/>
                    <a:cs typeface="Lucida Sans"/>
                  </a:defRPr>
                </a:pPr>
                <a:endParaRPr lang="zh-CN"/>
              </a:p>
            </c:txPr>
            <c:numFmt formatCode="General" sourceLinked="1"/>
            <c:showLegendKey val="0"/>
            <c:showVal val="0"/>
            <c:showCatName val="0"/>
            <c:showSerName val="0"/>
            <c:showPercent val="0"/>
            <c:showBubbleSize val="0"/>
            <c:showLeaderLines val="1"/>
          </c:dLbls>
          <c:cat>
            <c:strLit>
              <c:ptCount val="1"/>
              <c:pt idx="0">
                <c:v>公务接待费支出</c:v>
              </c:pt>
            </c:strLit>
          </c:cat>
          <c:val>
            <c:numRef>
              <c:f/>
            </c:numRef>
          </c:val>
        </c:ser>
        <c:firstSliceAng val="0"/>
      </c:pieChart>
      <c:spPr>
        <a:noFill/>
        <a:ln>
          <a:noFill/>
        </a:ln>
      </c:spPr>
    </c:plotArea>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09508F41-9D85-48FF-A440-9B2BA64969B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183</TotalTime>
  <Application>Yozo_Office27021597764231179</Application>
  <Pages>28</Pages>
  <Words>0</Words>
  <Characters>8301</Characters>
  <Lines>0</Lines>
  <Paragraphs>291</Paragraphs>
  <CharactersWithSpaces>11069</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32</cp:revision>
  <cp:lastPrinted>2022-09-30T10:58:00Z</cp:lastPrinted>
  <dcterms:created xsi:type="dcterms:W3CDTF">2020-08-06T17:49:00Z</dcterms:created>
  <dcterms:modified xsi:type="dcterms:W3CDTF">2023-06-21T02:51:51Z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2052-11.1.0.12358</vt:lpwstr>
  </property>
  <property fmtid="{D5CDD505-2E9C-101B-9397-08002B2CF9AE}" pid="3" name="ICV">
    <vt:lpwstr>18C4299B72334D3095585539B3212D20</vt:lpwstr>
  </property>
</Properties>
</file>