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spacing w:line="600" w:lineRule="exact"/>
        <w:jc w:val="both"/>
        <w:outlineLvl w:val="0"/>
        <w:rPr>
          <w:rFonts w:hint="default" w:ascii="方正小标宋简体" w:hAnsi="宋体" w:eastAsia="方正小标宋简体"/>
          <w:color w:val="auto"/>
          <w:sz w:val="72"/>
          <w:szCs w:val="72"/>
          <w:highlight w:val="none"/>
          <w:lang w:val="en-US" w:eastAsia="zh-CN"/>
        </w:rPr>
      </w:pPr>
      <w:bookmarkStart w:id="0" w:name="_Toc15306267"/>
    </w:p>
    <w:p>
      <w:pPr>
        <w:keepNext w:val="0"/>
        <w:keepLines w:val="0"/>
        <w:pageBreakBefore w:val="0"/>
        <w:widowControl w:val="0"/>
        <w:kinsoku/>
        <w:overflowPunct/>
        <w:topLinePunct w:val="0"/>
        <w:bidi w:val="0"/>
        <w:spacing w:line="600" w:lineRule="exact"/>
        <w:jc w:val="center"/>
        <w:outlineLvl w:val="0"/>
        <w:rPr>
          <w:rFonts w:ascii="方正小标宋简体" w:hAnsi="宋体" w:eastAsia="方正小标宋简体"/>
          <w:color w:val="auto"/>
          <w:sz w:val="72"/>
          <w:szCs w:val="72"/>
          <w:highlight w:val="none"/>
        </w:rPr>
      </w:pPr>
    </w:p>
    <w:p>
      <w:pPr>
        <w:keepNext w:val="0"/>
        <w:keepLines w:val="0"/>
        <w:pageBreakBefore w:val="0"/>
        <w:widowControl w:val="0"/>
        <w:kinsoku/>
        <w:overflowPunct/>
        <w:topLinePunct w:val="0"/>
        <w:bidi w:val="0"/>
        <w:spacing w:line="600" w:lineRule="exact"/>
        <w:jc w:val="center"/>
        <w:outlineLvl w:val="0"/>
        <w:rPr>
          <w:rFonts w:ascii="方正小标宋简体" w:hAnsi="宋体" w:eastAsia="方正小标宋简体"/>
          <w:color w:val="auto"/>
          <w:sz w:val="72"/>
          <w:szCs w:val="72"/>
          <w:highlight w:val="none"/>
        </w:rPr>
      </w:pPr>
    </w:p>
    <w:p>
      <w:pPr>
        <w:keepNext w:val="0"/>
        <w:keepLines w:val="0"/>
        <w:pageBreakBefore w:val="0"/>
        <w:widowControl w:val="0"/>
        <w:kinsoku/>
        <w:overflowPunct/>
        <w:topLinePunct w:val="0"/>
        <w:bidi w:val="0"/>
        <w:spacing w:line="600" w:lineRule="exact"/>
        <w:jc w:val="center"/>
        <w:outlineLvl w:val="0"/>
        <w:rPr>
          <w:rFonts w:ascii="方正小标宋简体" w:hAnsi="宋体" w:eastAsia="方正小标宋简体"/>
          <w:color w:val="auto"/>
          <w:sz w:val="72"/>
          <w:szCs w:val="72"/>
          <w:highlight w:val="none"/>
        </w:rPr>
      </w:pPr>
    </w:p>
    <w:p>
      <w:pPr>
        <w:keepNext w:val="0"/>
        <w:keepLines w:val="0"/>
        <w:pageBreakBefore w:val="0"/>
        <w:widowControl w:val="0"/>
        <w:kinsoku/>
        <w:overflowPunct/>
        <w:topLinePunct w:val="0"/>
        <w:bidi w:val="0"/>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597"/>
      <w:bookmarkStart w:id="2" w:name="_Toc15396475"/>
      <w:bookmarkStart w:id="3" w:name="_Toc15377425"/>
      <w:bookmarkStart w:id="4" w:name="_Toc15378441"/>
      <w:bookmarkStart w:id="5" w:name="_Toc1537719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bookmarkEnd w:id="0"/>
    <w:p>
      <w:pPr>
        <w:keepNext w:val="0"/>
        <w:keepLines w:val="0"/>
        <w:pageBreakBefore w:val="0"/>
        <w:widowControl w:val="0"/>
        <w:kinsoku/>
        <w:overflowPunct/>
        <w:topLinePunct w:val="0"/>
        <w:bidi w:val="0"/>
        <w:jc w:val="center"/>
        <w:rPr>
          <w:rFonts w:ascii="方正小标宋简体" w:hAnsi="宋体" w:eastAsia="方正小标宋简体"/>
          <w:sz w:val="72"/>
          <w:szCs w:val="72"/>
        </w:rPr>
      </w:pPr>
      <w:bookmarkStart w:id="6" w:name="_Toc15306268"/>
      <w:bookmarkStart w:id="7" w:name="_Toc15378442"/>
      <w:bookmarkStart w:id="8" w:name="_Toc15396598"/>
      <w:bookmarkStart w:id="9" w:name="_Toc15377426"/>
      <w:bookmarkStart w:id="10" w:name="_Toc15396476"/>
      <w:bookmarkStart w:id="11" w:name="_Toc15377194"/>
      <w:r>
        <w:rPr>
          <w:rFonts w:hint="eastAsia" w:ascii="方正小标宋简体" w:hAnsi="宋体" w:eastAsia="方正小标宋简体"/>
          <w:sz w:val="72"/>
          <w:szCs w:val="72"/>
        </w:rPr>
        <w:t>广元市财政绩效管理中心</w:t>
      </w:r>
    </w:p>
    <w:p>
      <w:pPr>
        <w:keepNext w:val="0"/>
        <w:keepLines w:val="0"/>
        <w:pageBreakBefore w:val="0"/>
        <w:widowControl w:val="0"/>
        <w:kinsoku/>
        <w:overflowPunct/>
        <w:topLinePunct w:val="0"/>
        <w:bidi w:val="0"/>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color w:val="auto"/>
          <w:sz w:val="44"/>
          <w:szCs w:val="44"/>
          <w:highlight w:val="none"/>
        </w:rPr>
      </w:pPr>
      <w:r>
        <w:rPr>
          <w:rFonts w:ascii="方正小标宋简体" w:hAnsi="宋体" w:eastAsia="方正小标宋简体"/>
          <w:color w:val="auto"/>
          <w:sz w:val="36"/>
          <w:szCs w:val="36"/>
          <w:highlight w:val="none"/>
        </w:rPr>
        <w:br w:type="page"/>
      </w:r>
      <w:r>
        <w:rPr>
          <w:rFonts w:hint="eastAsia" w:ascii="方正小标宋简体" w:hAnsi="方正小标宋简体" w:eastAsia="方正小标宋简体" w:cs="方正小标宋简体"/>
          <w:color w:val="auto"/>
          <w:sz w:val="44"/>
          <w:szCs w:val="44"/>
          <w:highlight w:val="none"/>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录</w:t>
      </w:r>
    </w:p>
    <w:p>
      <w:pPr>
        <w:keepNext w:val="0"/>
        <w:keepLines w:val="0"/>
        <w:pageBreakBefore w:val="0"/>
        <w:widowControl w:val="0"/>
        <w:kinsoku/>
        <w:overflowPunct/>
        <w:topLinePunct w:val="0"/>
        <w:bidi w:val="0"/>
        <w:jc w:val="center"/>
        <w:rPr>
          <w:rFonts w:ascii="黑体" w:hAnsi="黑体" w:eastAsia="黑体" w:cstheme="minorBidi"/>
          <w:color w:val="auto"/>
          <w:sz w:val="28"/>
          <w:szCs w:val="28"/>
          <w:highlight w:val="none"/>
        </w:rPr>
      </w:pPr>
    </w:p>
    <w:p>
      <w:pPr>
        <w:pStyle w:val="10"/>
        <w:keepNext w:val="0"/>
        <w:keepLines w:val="0"/>
        <w:pageBreakBefore w:val="0"/>
        <w:widowControl w:val="0"/>
        <w:kinsoku/>
        <w:overflowPunct/>
        <w:topLinePunct w:val="0"/>
        <w:bidi w:val="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p>
      <w:pPr>
        <w:keepNext w:val="0"/>
        <w:keepLines w:val="0"/>
        <w:pageBreakBefore w:val="0"/>
        <w:widowControl w:val="0"/>
        <w:kinsoku/>
        <w:overflowPunct/>
        <w:topLinePunct w:val="0"/>
        <w:bidi w:val="0"/>
        <w:rPr>
          <w:color w:val="auto"/>
          <w:highlight w:val="none"/>
        </w:rPr>
      </w:pPr>
    </w:p>
    <w:p>
      <w:pPr>
        <w:pStyle w:val="10"/>
        <w:keepNext w:val="0"/>
        <w:keepLines w:val="0"/>
        <w:pageBreakBefore w:val="0"/>
        <w:widowControl w:val="0"/>
        <w:kinsoku/>
        <w:overflowPunct/>
        <w:topLinePunct w:val="0"/>
        <w:bidi w:val="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tab/>
      </w:r>
      <w:r>
        <w:rPr>
          <w:rFonts w:hint="eastAsia"/>
          <w:lang w:val="en-US" w:eastAsia="zh-CN"/>
        </w:rPr>
        <w:t>1</w:t>
      </w:r>
    </w:p>
    <w:p>
      <w:pPr>
        <w:pStyle w:val="11"/>
        <w:keepNext w:val="0"/>
        <w:keepLines w:val="0"/>
        <w:pageBreakBefore w:val="0"/>
        <w:widowControl w:val="0"/>
        <w:kinsoku/>
        <w:overflowPunct/>
        <w:topLinePunct w:val="0"/>
        <w:bidi w:val="0"/>
        <w:adjustRightInd w:val="0"/>
        <w:snapToGrid w:val="0"/>
        <w:spacing w:line="440" w:lineRule="exact"/>
        <w:jc w:val="left"/>
        <w:rPr>
          <w:rFonts w:hint="eastAsia" w:eastAsia="宋体"/>
          <w:color w:val="auto"/>
          <w:sz w:val="24"/>
          <w:highlight w:val="none"/>
          <w:lang w:eastAsia="zh-CN"/>
        </w:rPr>
      </w:pPr>
      <w:r>
        <w:rPr>
          <w:rFonts w:hint="eastAsia"/>
          <w:color w:val="auto"/>
          <w:sz w:val="24"/>
          <w:highlight w:val="none"/>
        </w:rPr>
        <w:t>一、职能</w:t>
      </w:r>
      <w:r>
        <w:rPr>
          <w:rFonts w:hint="eastAsia"/>
          <w:color w:val="auto"/>
          <w:sz w:val="24"/>
          <w:highlight w:val="none"/>
          <w:lang w:eastAsia="zh-CN"/>
        </w:rPr>
        <w:t>简介</w:t>
      </w:r>
      <w:r>
        <w:tab/>
      </w:r>
      <w:r>
        <w:rPr>
          <w:rFonts w:hint="eastAsia"/>
          <w:lang w:val="en-US" w:eastAsia="zh-CN"/>
        </w:rPr>
        <w:t>1</w:t>
      </w:r>
    </w:p>
    <w:p>
      <w:pPr>
        <w:pStyle w:val="11"/>
        <w:keepNext w:val="0"/>
        <w:keepLines w:val="0"/>
        <w:pageBreakBefore w:val="0"/>
        <w:widowControl w:val="0"/>
        <w:kinsoku/>
        <w:overflowPunct/>
        <w:topLinePunct w:val="0"/>
        <w:bidi w:val="0"/>
        <w:adjustRightInd w:val="0"/>
        <w:snapToGrid w:val="0"/>
        <w:spacing w:line="440" w:lineRule="exact"/>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完成情况</w:t>
      </w:r>
      <w:r>
        <w:tab/>
      </w:r>
      <w:r>
        <w:rPr>
          <w:rFonts w:hint="eastAsia"/>
          <w:lang w:val="en-US" w:eastAsia="zh-CN"/>
        </w:rPr>
        <w:t>1</w:t>
      </w:r>
    </w:p>
    <w:p>
      <w:pPr>
        <w:pStyle w:val="10"/>
        <w:keepNext w:val="0"/>
        <w:keepLines w:val="0"/>
        <w:pageBreakBefore w:val="0"/>
        <w:widowControl w:val="0"/>
        <w:kinsoku/>
        <w:overflowPunct/>
        <w:topLinePunct w:val="0"/>
        <w:bidi w:val="0"/>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r>
        <w:tab/>
      </w:r>
      <w:r>
        <w:rPr>
          <w:rFonts w:hint="eastAsia"/>
          <w:sz w:val="21"/>
          <w:szCs w:val="21"/>
          <w:lang w:val="en-US" w:eastAsia="zh-CN"/>
        </w:rPr>
        <w:t>6</w:t>
      </w:r>
    </w:p>
    <w:p>
      <w:pPr>
        <w:pStyle w:val="11"/>
        <w:keepNext w:val="0"/>
        <w:keepLines w:val="0"/>
        <w:pageBreakBefore w:val="0"/>
        <w:widowControl w:val="0"/>
        <w:kinsoku/>
        <w:overflowPunct/>
        <w:topLinePunct w:val="0"/>
        <w:bidi w:val="0"/>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一、收入支出决算总体情况说明</w:t>
      </w:r>
      <w:r>
        <w:tab/>
      </w:r>
      <w:r>
        <w:rPr>
          <w:rFonts w:hint="eastAsia"/>
          <w:lang w:val="en-US" w:eastAsia="zh-CN"/>
        </w:rPr>
        <w:t>6</w:t>
      </w:r>
    </w:p>
    <w:p>
      <w:pPr>
        <w:pStyle w:val="11"/>
        <w:keepNext w:val="0"/>
        <w:keepLines w:val="0"/>
        <w:pageBreakBefore w:val="0"/>
        <w:widowControl w:val="0"/>
        <w:kinsoku/>
        <w:overflowPunct/>
        <w:topLinePunct w:val="0"/>
        <w:bidi w:val="0"/>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二、收入决算情况说明</w:t>
      </w:r>
      <w:r>
        <w:tab/>
      </w:r>
      <w:r>
        <w:rPr>
          <w:rFonts w:hint="eastAsia"/>
          <w:lang w:val="en-US" w:eastAsia="zh-CN"/>
        </w:rPr>
        <w:t>6</w:t>
      </w:r>
    </w:p>
    <w:p>
      <w:pPr>
        <w:pStyle w:val="11"/>
        <w:keepNext w:val="0"/>
        <w:keepLines w:val="0"/>
        <w:pageBreakBefore w:val="0"/>
        <w:widowControl w:val="0"/>
        <w:kinsoku/>
        <w:overflowPunct/>
        <w:topLinePunct w:val="0"/>
        <w:bidi w:val="0"/>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三、支出决算情况说明</w:t>
      </w:r>
      <w:r>
        <w:tab/>
      </w:r>
      <w:r>
        <w:rPr>
          <w:rFonts w:hint="eastAsia"/>
          <w:lang w:val="en-US" w:eastAsia="zh-CN"/>
        </w:rPr>
        <w:t>7</w:t>
      </w:r>
    </w:p>
    <w:p>
      <w:pPr>
        <w:pStyle w:val="11"/>
        <w:keepNext w:val="0"/>
        <w:keepLines w:val="0"/>
        <w:pageBreakBefore w:val="0"/>
        <w:widowControl w:val="0"/>
        <w:kinsoku/>
        <w:overflowPunct/>
        <w:topLinePunct w:val="0"/>
        <w:bidi w:val="0"/>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四、财政拨款收入支出决算总体情况说明</w:t>
      </w:r>
      <w:r>
        <w:tab/>
      </w:r>
      <w:r>
        <w:rPr>
          <w:rFonts w:hint="eastAsia"/>
          <w:lang w:val="en-US" w:eastAsia="zh-CN"/>
        </w:rPr>
        <w:t>7</w:t>
      </w:r>
    </w:p>
    <w:p>
      <w:pPr>
        <w:pStyle w:val="11"/>
        <w:keepNext w:val="0"/>
        <w:keepLines w:val="0"/>
        <w:pageBreakBefore w:val="0"/>
        <w:widowControl w:val="0"/>
        <w:kinsoku/>
        <w:overflowPunct/>
        <w:topLinePunct w:val="0"/>
        <w:bidi w:val="0"/>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五、一般公共预算财政拨款支出决算情况说明</w:t>
      </w:r>
      <w:r>
        <w:tab/>
      </w:r>
      <w:r>
        <w:rPr>
          <w:rFonts w:hint="eastAsia"/>
          <w:lang w:val="en-US" w:eastAsia="zh-CN"/>
        </w:rPr>
        <w:t>7</w:t>
      </w:r>
    </w:p>
    <w:p>
      <w:pPr>
        <w:pStyle w:val="11"/>
        <w:keepNext w:val="0"/>
        <w:keepLines w:val="0"/>
        <w:pageBreakBefore w:val="0"/>
        <w:widowControl w:val="0"/>
        <w:kinsoku/>
        <w:overflowPunct/>
        <w:topLinePunct w:val="0"/>
        <w:bidi w:val="0"/>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六、一般公共预算财政拨款基本支出决算情况说明</w:t>
      </w:r>
      <w:r>
        <w:tab/>
      </w:r>
      <w:r>
        <w:rPr>
          <w:rFonts w:hint="eastAsia"/>
          <w:lang w:val="en-US" w:eastAsia="zh-CN"/>
        </w:rPr>
        <w:t>10</w:t>
      </w:r>
    </w:p>
    <w:p>
      <w:pPr>
        <w:pStyle w:val="11"/>
        <w:keepNext w:val="0"/>
        <w:keepLines w:val="0"/>
        <w:pageBreakBefore w:val="0"/>
        <w:widowControl w:val="0"/>
        <w:kinsoku/>
        <w:overflowPunct/>
        <w:topLinePunct w:val="0"/>
        <w:bidi w:val="0"/>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tab/>
      </w:r>
      <w:r>
        <w:rPr>
          <w:rFonts w:hint="eastAsia"/>
          <w:lang w:val="en-US" w:eastAsia="zh-CN"/>
        </w:rPr>
        <w:t>10</w:t>
      </w:r>
    </w:p>
    <w:p>
      <w:pPr>
        <w:pStyle w:val="11"/>
        <w:keepNext w:val="0"/>
        <w:keepLines w:val="0"/>
        <w:pageBreakBefore w:val="0"/>
        <w:widowControl w:val="0"/>
        <w:kinsoku/>
        <w:overflowPunct/>
        <w:topLinePunct w:val="0"/>
        <w:bidi w:val="0"/>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八、政府性基金预算支出决算情况说明</w:t>
      </w:r>
      <w:r>
        <w:tab/>
      </w:r>
      <w:r>
        <w:rPr>
          <w:rFonts w:hint="eastAsia"/>
          <w:lang w:val="en-US" w:eastAsia="zh-CN"/>
        </w:rPr>
        <w:t>10</w:t>
      </w:r>
    </w:p>
    <w:p>
      <w:pPr>
        <w:pStyle w:val="11"/>
        <w:keepNext w:val="0"/>
        <w:keepLines w:val="0"/>
        <w:pageBreakBefore w:val="0"/>
        <w:widowControl w:val="0"/>
        <w:kinsoku/>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九、国有资本经营预算支出决算情况说明</w:t>
      </w:r>
      <w:r>
        <w:tab/>
      </w:r>
      <w:r>
        <w:rPr>
          <w:rFonts w:hint="eastAsia"/>
          <w:lang w:val="en-US" w:eastAsia="zh-CN"/>
        </w:rPr>
        <w:t>10</w:t>
      </w:r>
    </w:p>
    <w:p>
      <w:pPr>
        <w:pStyle w:val="11"/>
        <w:keepNext w:val="0"/>
        <w:keepLines w:val="0"/>
        <w:pageBreakBefore w:val="0"/>
        <w:widowControl w:val="0"/>
        <w:kinsoku/>
        <w:overflowPunct/>
        <w:topLinePunct w:val="0"/>
        <w:bidi w:val="0"/>
        <w:adjustRightInd w:val="0"/>
        <w:snapToGrid w:val="0"/>
        <w:spacing w:line="440" w:lineRule="exact"/>
        <w:jc w:val="left"/>
        <w:rPr>
          <w:rFonts w:hint="default" w:eastAsia="宋体"/>
          <w:lang w:val="en-US" w:eastAsia="zh-CN"/>
        </w:rPr>
      </w:pPr>
      <w:r>
        <w:rPr>
          <w:rFonts w:hint="eastAsia"/>
          <w:color w:val="auto"/>
          <w:sz w:val="24"/>
          <w:highlight w:val="none"/>
        </w:rPr>
        <w:t>十、</w:t>
      </w:r>
      <w:r>
        <w:rPr>
          <w:rFonts w:hint="eastAsia" w:asciiTheme="minorEastAsia" w:hAnsiTheme="minorEastAsia" w:eastAsiaTheme="minorEastAsia" w:cstheme="minorEastAsia"/>
          <w:color w:val="auto"/>
          <w:sz w:val="24"/>
          <w:highlight w:val="none"/>
          <w:lang w:val="en-US" w:eastAsia="zh-CN"/>
        </w:rPr>
        <w:t>预算绩效管理情况</w:t>
      </w:r>
      <w:r>
        <w:tab/>
      </w:r>
      <w:r>
        <w:rPr>
          <w:rFonts w:hint="eastAsia"/>
          <w:lang w:val="en-US" w:eastAsia="zh-CN"/>
        </w:rPr>
        <w:t>10</w:t>
      </w:r>
    </w:p>
    <w:p>
      <w:pPr>
        <w:pStyle w:val="11"/>
        <w:keepNext w:val="0"/>
        <w:keepLines w:val="0"/>
        <w:pageBreakBefore w:val="0"/>
        <w:widowControl w:val="0"/>
        <w:kinsoku/>
        <w:overflowPunct/>
        <w:topLinePunct w:val="0"/>
        <w:bidi w:val="0"/>
        <w:adjustRightInd w:val="0"/>
        <w:snapToGrid w:val="0"/>
        <w:spacing w:line="440" w:lineRule="exact"/>
        <w:jc w:val="left"/>
        <w:rPr>
          <w:rFonts w:hint="default" w:eastAsia="宋体"/>
          <w:lang w:val="en-US" w:eastAsia="zh-CN"/>
        </w:rPr>
      </w:pPr>
      <w:r>
        <w:rPr>
          <w:rFonts w:hint="eastAsia"/>
          <w:color w:val="auto"/>
          <w:sz w:val="24"/>
          <w:highlight w:val="none"/>
          <w:lang w:val="en-US" w:eastAsia="zh-CN"/>
        </w:rPr>
        <w:t>十一、</w:t>
      </w:r>
      <w:r>
        <w:rPr>
          <w:rFonts w:hint="eastAsia"/>
          <w:color w:val="auto"/>
          <w:sz w:val="24"/>
          <w:highlight w:val="none"/>
        </w:rPr>
        <w:t>其他重要事项的情况说明</w:t>
      </w:r>
      <w:r>
        <w:tab/>
      </w:r>
      <w:r>
        <w:rPr>
          <w:rFonts w:hint="eastAsia"/>
          <w:lang w:val="en-US" w:eastAsia="zh-CN"/>
        </w:rPr>
        <w:t>11</w:t>
      </w:r>
    </w:p>
    <w:p>
      <w:pPr>
        <w:pStyle w:val="10"/>
        <w:keepNext w:val="0"/>
        <w:keepLines w:val="0"/>
        <w:pageBreakBefore w:val="0"/>
        <w:widowControl w:val="0"/>
        <w:kinsoku/>
        <w:overflowPunct/>
        <w:topLinePunct w:val="0"/>
        <w:bidi w:val="0"/>
        <w:adjustRightInd w:val="0"/>
        <w:snapToGrid w:val="0"/>
        <w:spacing w:before="0" w:line="440" w:lineRule="exact"/>
        <w:jc w:val="left"/>
        <w:rPr>
          <w:rFonts w:cstheme="minorBidi"/>
          <w:color w:val="auto"/>
          <w:sz w:val="21"/>
          <w:szCs w:val="21"/>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tab/>
      </w:r>
      <w:r>
        <w:rPr>
          <w:rFonts w:hint="eastAsia"/>
          <w:sz w:val="21"/>
          <w:szCs w:val="21"/>
          <w:lang w:val="en-US" w:eastAsia="zh-CN"/>
        </w:rPr>
        <w:t>12</w:t>
      </w:r>
    </w:p>
    <w:p>
      <w:pPr>
        <w:pStyle w:val="10"/>
        <w:keepNext w:val="0"/>
        <w:keepLines w:val="0"/>
        <w:pageBreakBefore w:val="0"/>
        <w:widowControl w:val="0"/>
        <w:kinsoku/>
        <w:overflowPunct/>
        <w:topLinePunct w:val="0"/>
        <w:bidi w:val="0"/>
        <w:adjustRightInd w:val="0"/>
        <w:snapToGrid w:val="0"/>
        <w:spacing w:before="0" w:line="440" w:lineRule="exact"/>
        <w:jc w:val="left"/>
        <w:rPr>
          <w:rFonts w:hint="default" w:cstheme="minorBidi"/>
          <w:color w:val="auto"/>
          <w:sz w:val="21"/>
          <w:szCs w:val="21"/>
          <w:highlight w:val="none"/>
          <w:lang w:val="en-US"/>
        </w:rPr>
      </w:pPr>
      <w:r>
        <w:rPr>
          <w:rFonts w:hint="eastAsia"/>
          <w:color w:val="auto"/>
          <w:sz w:val="21"/>
          <w:szCs w:val="21"/>
          <w:highlight w:val="none"/>
        </w:rPr>
        <w:t>第四部分</w:t>
      </w:r>
      <w:r>
        <w:rPr>
          <w:color w:val="auto"/>
          <w:sz w:val="21"/>
          <w:szCs w:val="21"/>
          <w:highlight w:val="none"/>
        </w:rPr>
        <w:t xml:space="preserve"> </w:t>
      </w:r>
      <w:r>
        <w:rPr>
          <w:rFonts w:hint="eastAsia"/>
          <w:color w:val="auto"/>
          <w:sz w:val="21"/>
          <w:szCs w:val="21"/>
          <w:highlight w:val="none"/>
        </w:rPr>
        <w:t>附件</w:t>
      </w:r>
      <w:r>
        <w:rPr>
          <w:sz w:val="21"/>
          <w:szCs w:val="21"/>
        </w:rPr>
        <w:tab/>
      </w:r>
      <w:r>
        <w:rPr>
          <w:rFonts w:hint="eastAsia"/>
          <w:sz w:val="21"/>
          <w:szCs w:val="21"/>
          <w:lang w:val="en-US" w:eastAsia="zh-CN"/>
        </w:rPr>
        <w:t>14</w:t>
      </w:r>
    </w:p>
    <w:p>
      <w:pPr>
        <w:pStyle w:val="10"/>
        <w:keepNext w:val="0"/>
        <w:keepLines w:val="0"/>
        <w:pageBreakBefore w:val="0"/>
        <w:widowControl w:val="0"/>
        <w:kinsoku/>
        <w:overflowPunct/>
        <w:topLinePunct w:val="0"/>
        <w:bidi w:val="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1"/>
          <w:szCs w:val="21"/>
          <w:highlight w:val="none"/>
        </w:rPr>
        <w:t>第五部分</w:t>
      </w:r>
      <w:r>
        <w:rPr>
          <w:color w:val="auto"/>
          <w:sz w:val="21"/>
          <w:szCs w:val="21"/>
          <w:highlight w:val="none"/>
        </w:rPr>
        <w:t xml:space="preserve"> </w:t>
      </w:r>
      <w:r>
        <w:rPr>
          <w:rFonts w:hint="eastAsia"/>
          <w:color w:val="auto"/>
          <w:sz w:val="21"/>
          <w:szCs w:val="21"/>
          <w:highlight w:val="none"/>
        </w:rPr>
        <w:t>附表</w:t>
      </w:r>
      <w:r>
        <w:rPr>
          <w:sz w:val="21"/>
          <w:szCs w:val="21"/>
        </w:rPr>
        <w:tab/>
      </w:r>
      <w:r>
        <w:rPr>
          <w:rFonts w:hint="eastAsia"/>
          <w:sz w:val="21"/>
          <w:szCs w:val="21"/>
          <w:lang w:val="en-US" w:eastAsia="zh-CN"/>
        </w:rPr>
        <w:t>26</w:t>
      </w:r>
    </w:p>
    <w:p>
      <w:pPr>
        <w:pStyle w:val="11"/>
        <w:keepNext w:val="0"/>
        <w:keepLines w:val="0"/>
        <w:pageBreakBefore w:val="0"/>
        <w:widowControl w:val="0"/>
        <w:kinsoku/>
        <w:overflowPunct/>
        <w:topLinePunct w:val="0"/>
        <w:bidi w:val="0"/>
        <w:adjustRightInd w:val="0"/>
        <w:snapToGrid w:val="0"/>
        <w:spacing w:line="440" w:lineRule="exact"/>
        <w:jc w:val="left"/>
        <w:rPr>
          <w:rFonts w:hint="default"/>
          <w:color w:val="auto"/>
          <w:sz w:val="24"/>
          <w:highlight w:val="none"/>
          <w:lang w:val="en-US"/>
        </w:rPr>
      </w:pPr>
      <w:r>
        <w:rPr>
          <w:rFonts w:hint="eastAsia"/>
          <w:color w:val="auto"/>
          <w:sz w:val="24"/>
          <w:highlight w:val="none"/>
        </w:rPr>
        <w:t>一、收入支出决算总表</w:t>
      </w:r>
      <w:r>
        <w:tab/>
      </w:r>
      <w:r>
        <w:rPr>
          <w:rFonts w:hint="eastAsia"/>
          <w:lang w:val="en-US" w:eastAsia="zh-CN"/>
        </w:rPr>
        <w:t>26</w:t>
      </w:r>
    </w:p>
    <w:p>
      <w:pPr>
        <w:pStyle w:val="11"/>
        <w:keepNext w:val="0"/>
        <w:keepLines w:val="0"/>
        <w:pageBreakBefore w:val="0"/>
        <w:widowControl w:val="0"/>
        <w:kinsoku/>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r>
        <w:tab/>
      </w:r>
      <w:r>
        <w:rPr>
          <w:rFonts w:hint="eastAsia"/>
          <w:lang w:val="en-US" w:eastAsia="zh-CN"/>
        </w:rPr>
        <w:t>26</w:t>
      </w:r>
    </w:p>
    <w:p>
      <w:pPr>
        <w:pStyle w:val="11"/>
        <w:keepNext w:val="0"/>
        <w:keepLines w:val="0"/>
        <w:pageBreakBefore w:val="0"/>
        <w:widowControl w:val="0"/>
        <w:kinsoku/>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r>
        <w:tab/>
      </w:r>
      <w:r>
        <w:rPr>
          <w:rFonts w:hint="eastAsia"/>
          <w:lang w:val="en-US" w:eastAsia="zh-CN"/>
        </w:rPr>
        <w:t>26</w:t>
      </w:r>
    </w:p>
    <w:p>
      <w:pPr>
        <w:pStyle w:val="11"/>
        <w:keepNext w:val="0"/>
        <w:keepLines w:val="0"/>
        <w:pageBreakBefore w:val="0"/>
        <w:widowControl w:val="0"/>
        <w:kinsoku/>
        <w:overflowPunct/>
        <w:topLinePunct w:val="0"/>
        <w:bidi w:val="0"/>
        <w:adjustRightInd w:val="0"/>
        <w:snapToGrid w:val="0"/>
        <w:spacing w:line="440" w:lineRule="exact"/>
        <w:jc w:val="left"/>
        <w:rPr>
          <w:rFonts w:hint="default"/>
          <w:color w:val="auto"/>
          <w:sz w:val="24"/>
          <w:highlight w:val="none"/>
          <w:lang w:val="en-US"/>
        </w:rPr>
      </w:pPr>
      <w:r>
        <w:rPr>
          <w:rFonts w:hint="eastAsia"/>
          <w:color w:val="auto"/>
          <w:sz w:val="24"/>
          <w:highlight w:val="none"/>
        </w:rPr>
        <w:t>四、财政拨款收入支出决算总表</w:t>
      </w:r>
      <w:r>
        <w:tab/>
      </w:r>
      <w:r>
        <w:rPr>
          <w:rFonts w:hint="eastAsia"/>
          <w:lang w:val="en-US" w:eastAsia="zh-CN"/>
        </w:rPr>
        <w:t>26</w:t>
      </w:r>
    </w:p>
    <w:p>
      <w:pPr>
        <w:pStyle w:val="11"/>
        <w:keepNext w:val="0"/>
        <w:keepLines w:val="0"/>
        <w:pageBreakBefore w:val="0"/>
        <w:widowControl w:val="0"/>
        <w:kinsoku/>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r>
        <w:tab/>
      </w:r>
      <w:r>
        <w:rPr>
          <w:rFonts w:hint="eastAsia"/>
          <w:lang w:val="en-US" w:eastAsia="zh-CN"/>
        </w:rPr>
        <w:t>26</w:t>
      </w:r>
    </w:p>
    <w:p>
      <w:pPr>
        <w:pStyle w:val="11"/>
        <w:keepNext w:val="0"/>
        <w:keepLines w:val="0"/>
        <w:pageBreakBefore w:val="0"/>
        <w:widowControl w:val="0"/>
        <w:kinsoku/>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r>
        <w:tab/>
      </w:r>
      <w:r>
        <w:rPr>
          <w:rFonts w:hint="eastAsia"/>
          <w:lang w:val="en-US" w:eastAsia="zh-CN"/>
        </w:rPr>
        <w:t>26</w:t>
      </w:r>
    </w:p>
    <w:p>
      <w:pPr>
        <w:pStyle w:val="11"/>
        <w:keepNext w:val="0"/>
        <w:keepLines w:val="0"/>
        <w:pageBreakBefore w:val="0"/>
        <w:widowControl w:val="0"/>
        <w:kinsoku/>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r>
        <w:tab/>
      </w:r>
      <w:r>
        <w:rPr>
          <w:rFonts w:hint="eastAsia"/>
          <w:lang w:val="en-US" w:eastAsia="zh-CN"/>
        </w:rPr>
        <w:t>26</w:t>
      </w:r>
    </w:p>
    <w:p>
      <w:pPr>
        <w:pStyle w:val="11"/>
        <w:keepNext w:val="0"/>
        <w:keepLines w:val="0"/>
        <w:pageBreakBefore w:val="0"/>
        <w:widowControl w:val="0"/>
        <w:kinsoku/>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八、一般公共预算财政拨款基本支出决算表</w:t>
      </w:r>
      <w:r>
        <w:tab/>
      </w:r>
      <w:r>
        <w:rPr>
          <w:rFonts w:hint="eastAsia"/>
          <w:lang w:val="en-US" w:eastAsia="zh-CN"/>
        </w:rPr>
        <w:t>26</w:t>
      </w:r>
    </w:p>
    <w:p>
      <w:pPr>
        <w:pStyle w:val="11"/>
        <w:keepNext w:val="0"/>
        <w:keepLines w:val="0"/>
        <w:pageBreakBefore w:val="0"/>
        <w:widowControl w:val="0"/>
        <w:kinsoku/>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r>
        <w:tab/>
      </w:r>
      <w:r>
        <w:rPr>
          <w:rFonts w:hint="eastAsia"/>
          <w:lang w:val="en-US" w:eastAsia="zh-CN"/>
        </w:rPr>
        <w:t>26</w:t>
      </w:r>
    </w:p>
    <w:p>
      <w:pPr>
        <w:pStyle w:val="11"/>
        <w:keepNext w:val="0"/>
        <w:keepLines w:val="0"/>
        <w:pageBreakBefore w:val="0"/>
        <w:widowControl w:val="0"/>
        <w:kinsoku/>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十、一般公共预算财政拨款“三公”经费支出决算表</w:t>
      </w:r>
      <w:r>
        <w:tab/>
      </w:r>
      <w:r>
        <w:rPr>
          <w:rFonts w:hint="eastAsia"/>
          <w:lang w:val="en-US" w:eastAsia="zh-CN"/>
        </w:rPr>
        <w:t>26</w:t>
      </w:r>
    </w:p>
    <w:p>
      <w:pPr>
        <w:pStyle w:val="11"/>
        <w:keepNext w:val="0"/>
        <w:keepLines w:val="0"/>
        <w:pageBreakBefore w:val="0"/>
        <w:widowControl w:val="0"/>
        <w:kinsoku/>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十一、政府性基金预算财政拨款收入支出决算表</w:t>
      </w:r>
      <w:r>
        <w:tab/>
      </w:r>
      <w:r>
        <w:rPr>
          <w:rFonts w:hint="eastAsia"/>
          <w:lang w:val="en-US" w:eastAsia="zh-CN"/>
        </w:rPr>
        <w:t>26</w:t>
      </w:r>
    </w:p>
    <w:p>
      <w:pPr>
        <w:pStyle w:val="11"/>
        <w:keepNext w:val="0"/>
        <w:keepLines w:val="0"/>
        <w:pageBreakBefore w:val="0"/>
        <w:widowControl w:val="0"/>
        <w:kinsoku/>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十二、政府性基金预算财政拨款“三公”经费支出决算表</w:t>
      </w:r>
      <w:r>
        <w:tab/>
      </w:r>
      <w:r>
        <w:rPr>
          <w:rFonts w:hint="eastAsia"/>
          <w:lang w:val="en-US" w:eastAsia="zh-CN"/>
        </w:rPr>
        <w:t>26</w:t>
      </w:r>
    </w:p>
    <w:p>
      <w:pPr>
        <w:pStyle w:val="11"/>
        <w:keepNext w:val="0"/>
        <w:keepLines w:val="0"/>
        <w:pageBreakBefore w:val="0"/>
        <w:widowControl w:val="0"/>
        <w:kinsoku/>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r>
        <w:tab/>
      </w:r>
      <w:r>
        <w:rPr>
          <w:rFonts w:hint="eastAsia"/>
          <w:lang w:val="en-US" w:eastAsia="zh-CN"/>
        </w:rPr>
        <w:t>26</w:t>
      </w:r>
    </w:p>
    <w:p>
      <w:pPr>
        <w:pStyle w:val="11"/>
        <w:keepNext w:val="0"/>
        <w:keepLines w:val="0"/>
        <w:pageBreakBefore w:val="0"/>
        <w:widowControl w:val="0"/>
        <w:kinsoku/>
        <w:overflowPunct/>
        <w:topLinePunct w:val="0"/>
        <w:bidi w:val="0"/>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十四、国有资本经营预算财政拨款支出决算表</w:t>
      </w:r>
      <w:r>
        <w:tab/>
      </w:r>
      <w:r>
        <w:rPr>
          <w:rFonts w:hint="eastAsia"/>
          <w:lang w:val="en-US" w:eastAsia="zh-CN"/>
        </w:rPr>
        <w:t>26</w:t>
      </w:r>
    </w:p>
    <w:p>
      <w:pPr>
        <w:pStyle w:val="3"/>
        <w:keepNext w:val="0"/>
        <w:keepLines w:val="0"/>
        <w:pageBreakBefore w:val="0"/>
        <w:widowControl w:val="0"/>
        <w:kinsoku/>
        <w:overflowPunct/>
        <w:topLinePunct w:val="0"/>
        <w:bidi w:val="0"/>
        <w:jc w:val="center"/>
        <w:rPr>
          <w:rFonts w:hint="eastAsia" w:ascii="黑体" w:hAnsi="黑体" w:eastAsia="黑体"/>
          <w:b w:val="0"/>
          <w:color w:val="auto"/>
          <w:highlight w:val="none"/>
        </w:rPr>
        <w:sectPr>
          <w:headerReference r:id="rId3" w:type="default"/>
          <w:pgSz w:w="11906" w:h="16838"/>
          <w:pgMar w:top="1440" w:right="1800" w:bottom="1440" w:left="1800" w:header="851" w:footer="992" w:gutter="0"/>
          <w:pgNumType w:start="1"/>
          <w:cols w:space="425" w:num="1"/>
          <w:titlePg/>
          <w:docGrid w:type="lines" w:linePitch="312" w:charSpace="0"/>
        </w:sectPr>
      </w:pPr>
      <w:bookmarkStart w:id="12" w:name="_Toc15377196"/>
      <w:bookmarkStart w:id="13" w:name="_Toc15396599"/>
      <w:r>
        <w:tab/>
      </w:r>
    </w:p>
    <w:p>
      <w:pPr>
        <w:pStyle w:val="3"/>
        <w:keepNext w:val="0"/>
        <w:keepLines w:val="0"/>
        <w:pageBreakBefore w:val="0"/>
        <w:widowControl w:val="0"/>
        <w:kinsoku/>
        <w:wordWrap/>
        <w:overflowPunct/>
        <w:topLinePunct w:val="0"/>
        <w:autoSpaceDE/>
        <w:autoSpaceDN/>
        <w:bidi w:val="0"/>
        <w:adjustRightInd/>
        <w:snapToGrid/>
        <w:spacing w:before="157" w:beforeLines="50" w:after="469" w:afterLines="150" w:line="576" w:lineRule="exact"/>
        <w:jc w:val="center"/>
        <w:textAlignment w:val="auto"/>
        <w:rPr>
          <w:rFonts w:hint="eastAsia" w:ascii="方正小标宋简体" w:hAnsi="方正小标宋简体" w:eastAsia="方正小标宋简体" w:cs="方正小标宋简体"/>
          <w:b w:val="0"/>
          <w:color w:val="auto"/>
          <w:sz w:val="44"/>
          <w:szCs w:val="44"/>
          <w:highlight w:val="none"/>
        </w:rPr>
      </w:pPr>
      <w:r>
        <w:rPr>
          <w:rFonts w:hint="eastAsia" w:ascii="方正小标宋简体" w:hAnsi="方正小标宋简体" w:eastAsia="方正小标宋简体" w:cs="方正小标宋简体"/>
          <w:b w:val="0"/>
          <w:color w:val="auto"/>
          <w:sz w:val="44"/>
          <w:szCs w:val="44"/>
          <w:highlight w:val="none"/>
        </w:rPr>
        <w:t xml:space="preserve">第一部分 </w:t>
      </w:r>
      <w:r>
        <w:rPr>
          <w:rFonts w:hint="eastAsia" w:ascii="方正小标宋简体" w:hAnsi="方正小标宋简体" w:eastAsia="方正小标宋简体" w:cs="方正小标宋简体"/>
          <w:b w:val="0"/>
          <w:color w:val="auto"/>
          <w:sz w:val="44"/>
          <w:szCs w:val="44"/>
          <w:highlight w:val="none"/>
          <w:lang w:eastAsia="zh-CN"/>
        </w:rPr>
        <w:t>单位</w:t>
      </w:r>
      <w:r>
        <w:rPr>
          <w:rFonts w:hint="eastAsia" w:ascii="方正小标宋简体" w:hAnsi="方正小标宋简体" w:eastAsia="方正小标宋简体" w:cs="方正小标宋简体"/>
          <w:b w:val="0"/>
          <w:color w:val="auto"/>
          <w:sz w:val="44"/>
          <w:szCs w:val="44"/>
          <w:highlight w:val="none"/>
        </w:rPr>
        <w:t>概况</w:t>
      </w:r>
      <w:bookmarkEnd w:id="12"/>
      <w:bookmarkEnd w:id="13"/>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Style w:val="27"/>
          <w:rFonts w:hint="eastAsia" w:ascii="黑体" w:hAnsi="黑体" w:eastAsia="黑体"/>
          <w:b w:val="0"/>
          <w:bCs w:val="0"/>
          <w:color w:val="auto"/>
          <w:highlight w:val="none"/>
          <w:lang w:eastAsia="zh-CN"/>
        </w:rPr>
      </w:pPr>
      <w:bookmarkStart w:id="14" w:name="_Toc15377197"/>
      <w:bookmarkStart w:id="15" w:name="_Toc15396600"/>
      <w:r>
        <w:rPr>
          <w:rStyle w:val="27"/>
          <w:rFonts w:hint="eastAsia" w:ascii="黑体" w:hAnsi="黑体" w:eastAsia="黑体"/>
          <w:b w:val="0"/>
          <w:bCs w:val="0"/>
          <w:color w:val="auto"/>
          <w:highlight w:val="none"/>
          <w:lang w:val="en-US" w:eastAsia="zh-CN"/>
        </w:rPr>
        <w:t>一、</w:t>
      </w:r>
      <w:r>
        <w:rPr>
          <w:rStyle w:val="27"/>
          <w:rFonts w:hint="eastAsia" w:ascii="黑体" w:hAnsi="黑体" w:eastAsia="黑体"/>
          <w:b w:val="0"/>
          <w:bCs w:val="0"/>
          <w:color w:val="auto"/>
          <w:highlight w:val="none"/>
        </w:rPr>
        <w:t>职能</w:t>
      </w:r>
      <w:r>
        <w:rPr>
          <w:rStyle w:val="27"/>
          <w:rFonts w:hint="eastAsia" w:ascii="黑体" w:hAnsi="黑体" w:eastAsia="黑体"/>
          <w:b w:val="0"/>
          <w:bCs w:val="0"/>
          <w:color w:val="auto"/>
          <w:highlight w:val="none"/>
          <w:lang w:eastAsia="zh-CN"/>
        </w:rPr>
        <w:t>简介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ascii="仿宋_GB2312" w:hAnsi="微软雅黑" w:eastAsia="仿宋_GB2312"/>
          <w:sz w:val="32"/>
          <w:szCs w:val="32"/>
        </w:rPr>
        <w:t>承担市级财政绩效管理工作，负责市级各部门、各单位政府公共预算、国有资本经营预算、政府性基金预算和社会保障基金预算草案的初审、汇总；研究制定市级财政绩效管理制度并组织实施；负责组织实施市级财政绩效考评工作，研究提出考评结果运用建议；指导县区财政绩效管理工作。</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b w:val="0"/>
          <w:color w:val="auto"/>
          <w:highlight w:val="none"/>
          <w:lang w:eastAsia="zh-CN"/>
        </w:rPr>
      </w:pPr>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p>
    <w:p>
      <w:pPr>
        <w:pStyle w:val="12"/>
        <w:keepNext w:val="0"/>
        <w:keepLines w:val="0"/>
        <w:pageBreakBefore w:val="0"/>
        <w:widowControl w:val="0"/>
        <w:numPr>
          <w:ilvl w:val="0"/>
          <w:numId w:val="0"/>
        </w:numPr>
        <w:kinsoku/>
        <w:wordWrap w:val="0"/>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sz w:val="32"/>
          <w:szCs w:val="32"/>
          <w:highlight w:val="none"/>
          <w:lang w:val="en-US" w:eastAsia="zh-CN"/>
        </w:rPr>
        <w:t>（一）高度重视，强化预算绩效管理组织保障。</w:t>
      </w:r>
      <w:r>
        <w:rPr>
          <w:rFonts w:hint="eastAsia" w:ascii="仿宋_GB2312" w:hAnsi="仿宋_GB2312" w:eastAsia="仿宋_GB2312" w:cs="仿宋_GB2312"/>
          <w:color w:val="auto"/>
          <w:sz w:val="32"/>
          <w:szCs w:val="32"/>
          <w:highlight w:val="none"/>
          <w:lang w:val="en-US" w:eastAsia="zh-CN"/>
        </w:rPr>
        <w:t>局党组多次专题研究预算绩效管理工作，分析存在问题</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总结上年预算绩效管理考核工作教训，制定了《全面加强预算绩效管理工作方案》，全力推动全市预算绩效管</w:t>
      </w:r>
      <w:r>
        <w:rPr>
          <w:rFonts w:hint="eastAsia" w:ascii="仿宋_GB2312" w:hAnsi="仿宋_GB2312" w:eastAsia="仿宋_GB2312" w:cs="仿宋_GB2312"/>
          <w:color w:val="auto"/>
          <w:sz w:val="32"/>
          <w:szCs w:val="32"/>
          <w:lang w:val="en-US" w:eastAsia="zh-CN"/>
        </w:rPr>
        <w:t>理工作提档升位。一是组建工作专班。成立了由局主要领导任组长、分管领导任副组长、相关科室负责人为成员的预算绩效管理推进领导小组，明确职能职责，落实工作任务，形成了齐抓共管的良好局面。</w:t>
      </w:r>
      <w:r>
        <w:rPr>
          <w:rFonts w:hint="eastAsia" w:ascii="仿宋_GB2312" w:hAnsi="仿宋_GB2312" w:eastAsia="仿宋_GB2312" w:cs="仿宋_GB2312"/>
          <w:color w:val="auto"/>
          <w:sz w:val="32"/>
          <w:szCs w:val="32"/>
          <w:highlight w:val="none"/>
          <w:lang w:val="en-US" w:eastAsia="zh-CN"/>
        </w:rPr>
        <w:t>二是增强工作力量。统筹整合市财政评审中心和市绩效管理中心工作人员，充实绩效管理人员力量。</w:t>
      </w:r>
      <w:r>
        <w:rPr>
          <w:rFonts w:hint="eastAsia" w:ascii="仿宋_GB2312" w:hAnsi="仿宋_GB2312" w:eastAsia="仿宋_GB2312" w:cs="仿宋_GB2312"/>
          <w:b w:val="0"/>
          <w:bCs w:val="0"/>
          <w:color w:val="auto"/>
          <w:kern w:val="2"/>
          <w:sz w:val="32"/>
          <w:szCs w:val="32"/>
          <w:highlight w:val="none"/>
          <w:lang w:val="en-US" w:eastAsia="zh-CN" w:bidi="ar-SA"/>
        </w:rPr>
        <w:t>督促各县区财政部门健全绩效管理机构，配备预算绩效管理专职人员。</w:t>
      </w:r>
      <w:r>
        <w:rPr>
          <w:rFonts w:hint="eastAsia" w:ascii="仿宋_GB2312" w:hAnsi="仿宋_GB2312" w:eastAsia="仿宋_GB2312" w:cs="仿宋_GB2312"/>
          <w:color w:val="auto"/>
          <w:sz w:val="32"/>
          <w:szCs w:val="32"/>
          <w:highlight w:val="none"/>
          <w:lang w:val="en-US" w:eastAsia="zh-CN"/>
        </w:rPr>
        <w:t>建立并推行绩效专管员制度，在局机关各科室和预算单位设立绩效专管员，专门负责预算绩效管理工作，并保持相对稳定</w:t>
      </w:r>
      <w:r>
        <w:rPr>
          <w:rFonts w:hint="eastAsia" w:ascii="仿宋_GB2312" w:hAnsi="仿宋_GB2312" w:eastAsia="仿宋_GB2312" w:cs="仿宋_GB2312"/>
          <w:b w:val="0"/>
          <w:bCs w:val="0"/>
          <w:color w:val="auto"/>
          <w:kern w:val="2"/>
          <w:sz w:val="32"/>
          <w:szCs w:val="32"/>
          <w:highlight w:val="none"/>
          <w:lang w:val="en-US" w:eastAsia="zh-CN" w:bidi="ar-SA"/>
        </w:rPr>
        <w:t>。三是共享中介智库。采取政府购买服务方式，选定四家中介机构协力助推预算绩效管理工作开展。四是加强培训学习。安排市绩效管理中心人员到省财政厅学习锻炼，组织人员到广安市学习绩效管理先进经验和做法，聘请专家对全市绩效专管员和市本级财会人员300余人进行专题培训。</w:t>
      </w:r>
    </w:p>
    <w:p>
      <w:pPr>
        <w:pStyle w:val="6"/>
        <w:keepNext w:val="0"/>
        <w:keepLines w:val="0"/>
        <w:pageBreakBefore w:val="0"/>
        <w:widowControl w:val="0"/>
        <w:tabs>
          <w:tab w:val="left" w:pos="465"/>
          <w:tab w:val="left" w:pos="884"/>
        </w:tabs>
        <w:kinsoku/>
        <w:wordWrap/>
        <w:overflowPunct/>
        <w:topLinePunct w:val="0"/>
        <w:autoSpaceDE/>
        <w:autoSpaceDN/>
        <w:bidi w:val="0"/>
        <w:adjustRightInd/>
        <w:snapToGrid/>
        <w:spacing w:beforeLines="0" w:line="576"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Cs/>
          <w:color w:val="auto"/>
          <w:sz w:val="32"/>
          <w:szCs w:val="32"/>
          <w:lang w:eastAsia="zh-CN"/>
        </w:rPr>
        <w:t>（二）多措并举，</w:t>
      </w:r>
      <w:r>
        <w:rPr>
          <w:rFonts w:hint="eastAsia" w:ascii="楷体_GB2312" w:hAnsi="楷体_GB2312" w:eastAsia="楷体_GB2312" w:cs="楷体_GB2312"/>
          <w:bCs/>
          <w:color w:val="auto"/>
          <w:sz w:val="32"/>
          <w:szCs w:val="32"/>
        </w:rPr>
        <w:t>压实</w:t>
      </w:r>
      <w:r>
        <w:rPr>
          <w:rFonts w:hint="eastAsia" w:ascii="楷体_GB2312" w:hAnsi="楷体_GB2312" w:eastAsia="楷体_GB2312" w:cs="楷体_GB2312"/>
          <w:b w:val="0"/>
          <w:bCs w:val="0"/>
          <w:color w:val="auto"/>
          <w:sz w:val="32"/>
          <w:szCs w:val="32"/>
          <w:highlight w:val="none"/>
          <w:lang w:val="en-US" w:eastAsia="zh-CN"/>
        </w:rPr>
        <w:t>预算绩效管理</w:t>
      </w:r>
      <w:r>
        <w:rPr>
          <w:rFonts w:hint="eastAsia" w:ascii="楷体_GB2312" w:hAnsi="楷体_GB2312" w:eastAsia="楷体_GB2312" w:cs="楷体_GB2312"/>
          <w:bCs/>
          <w:color w:val="auto"/>
          <w:sz w:val="32"/>
          <w:szCs w:val="32"/>
        </w:rPr>
        <w:t>主体责任</w:t>
      </w:r>
      <w:r>
        <w:rPr>
          <w:rFonts w:hint="eastAsia" w:ascii="楷体_GB2312" w:hAnsi="楷体_GB2312" w:eastAsia="楷体_GB2312" w:cs="楷体_GB2312"/>
          <w:bCs/>
          <w:color w:val="auto"/>
          <w:sz w:val="32"/>
          <w:szCs w:val="32"/>
          <w:lang w:eastAsia="zh-CN"/>
        </w:rPr>
        <w:t>。</w:t>
      </w:r>
      <w:r>
        <w:rPr>
          <w:rFonts w:hint="eastAsia" w:hAnsi="仿宋_GB2312" w:cs="仿宋_GB2312"/>
          <w:bCs/>
          <w:color w:val="auto"/>
          <w:sz w:val="32"/>
          <w:szCs w:val="32"/>
          <w:lang w:eastAsia="zh-CN"/>
        </w:rPr>
        <w:t>一是召开全市预算绩效管理改革工作推进会，分析全市预算绩效管理改革工作现状和存在的差距，统一思想认识，研究措施办法，将预算绩效管理工作纳入对县区财政局和局机关相关科室年度目标工作考核，压实主体责任。二是将绩效评价结果与市级部门单位追加或追减项目经费及部门预算特定项目经费安排挂钩，压实部门单位主体责任。三是采取督促检查、“两书一函”</w:t>
      </w:r>
      <w:r>
        <w:rPr>
          <w:rFonts w:hint="eastAsia" w:ascii="仿宋_GB2312" w:hAnsi="仿宋_GB2312" w:eastAsia="仿宋_GB2312" w:cs="仿宋_GB2312"/>
          <w:b w:val="0"/>
          <w:bCs w:val="0"/>
          <w:color w:val="auto"/>
          <w:kern w:val="2"/>
          <w:sz w:val="32"/>
          <w:szCs w:val="32"/>
          <w:lang w:val="en-US" w:eastAsia="zh-CN" w:bidi="ar-SA"/>
        </w:rPr>
        <w:t>敦促提醒和约谈</w:t>
      </w:r>
      <w:r>
        <w:rPr>
          <w:rFonts w:hint="eastAsia" w:hAnsi="仿宋_GB2312" w:cs="仿宋_GB2312"/>
          <w:b w:val="0"/>
          <w:bCs w:val="0"/>
          <w:color w:val="auto"/>
          <w:kern w:val="2"/>
          <w:sz w:val="32"/>
          <w:szCs w:val="32"/>
          <w:lang w:val="en-US" w:eastAsia="zh-CN" w:bidi="ar-SA"/>
        </w:rPr>
        <w:t>、</w:t>
      </w:r>
      <w:r>
        <w:rPr>
          <w:rFonts w:hint="eastAsia" w:hAnsi="仿宋_GB2312" w:cs="仿宋_GB2312"/>
          <w:bCs/>
          <w:color w:val="auto"/>
          <w:sz w:val="32"/>
          <w:szCs w:val="32"/>
          <w:lang w:eastAsia="zh-CN"/>
        </w:rPr>
        <w:t>绩效评价考核指标完成进度周调度等方式督促各单位高质量完成绩效评价工作。</w:t>
      </w:r>
    </w:p>
    <w:p>
      <w:pPr>
        <w:pStyle w:val="12"/>
        <w:keepNext w:val="0"/>
        <w:keepLines w:val="0"/>
        <w:pageBreakBefore w:val="0"/>
        <w:widowControl w:val="0"/>
        <w:numPr>
          <w:ilvl w:val="0"/>
          <w:numId w:val="0"/>
        </w:numPr>
        <w:kinsoku/>
        <w:wordWrap w:val="0"/>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kern w:val="2"/>
          <w:sz w:val="32"/>
          <w:szCs w:val="32"/>
          <w:highlight w:val="none"/>
          <w:lang w:val="en-US" w:eastAsia="zh-CN" w:bidi="ar-SA"/>
        </w:rPr>
        <w:t>（三）建章立制，夯实</w:t>
      </w:r>
      <w:r>
        <w:rPr>
          <w:rFonts w:hint="eastAsia" w:ascii="楷体_GB2312" w:hAnsi="楷体_GB2312" w:eastAsia="楷体_GB2312" w:cs="楷体_GB2312"/>
          <w:b w:val="0"/>
          <w:bCs w:val="0"/>
          <w:color w:val="auto"/>
          <w:sz w:val="32"/>
          <w:szCs w:val="32"/>
          <w:highlight w:val="none"/>
          <w:lang w:val="en-US" w:eastAsia="zh-CN"/>
        </w:rPr>
        <w:t>预算绩效管理</w:t>
      </w:r>
      <w:r>
        <w:rPr>
          <w:rFonts w:hint="eastAsia" w:ascii="楷体_GB2312" w:hAnsi="楷体_GB2312" w:eastAsia="楷体_GB2312" w:cs="楷体_GB2312"/>
          <w:b w:val="0"/>
          <w:bCs w:val="0"/>
          <w:color w:val="auto"/>
          <w:kern w:val="2"/>
          <w:sz w:val="32"/>
          <w:szCs w:val="32"/>
          <w:highlight w:val="none"/>
          <w:lang w:val="en-US" w:eastAsia="zh-CN" w:bidi="ar-SA"/>
        </w:rPr>
        <w:t>基础。</w:t>
      </w:r>
      <w:r>
        <w:rPr>
          <w:rFonts w:hint="eastAsia" w:ascii="仿宋_GB2312" w:hAnsi="仿宋_GB2312" w:eastAsia="仿宋_GB2312" w:cs="仿宋_GB2312"/>
          <w:b w:val="0"/>
          <w:bCs w:val="0"/>
          <w:color w:val="auto"/>
          <w:kern w:val="2"/>
          <w:sz w:val="32"/>
          <w:szCs w:val="32"/>
          <w:lang w:val="en-US" w:eastAsia="zh-CN" w:bidi="ar-SA"/>
        </w:rPr>
        <w:t>在全面梳理我市原有工作制度的基础上，制定了《广元市预算绩效管理工作考核暂行办法》《广元市财政局关于实行预算绩效管理跟踪问效敦促提醒和约谈制度的通知》《广元市市级项目支出绩效评价管理办法》《广元市预算事前绩效评估管理暂行规定》《广元市市级财政预算绩效结果应用管理办法》。</w:t>
      </w:r>
      <w:r>
        <w:rPr>
          <w:rFonts w:hint="eastAsia" w:ascii="仿宋_GB2312" w:hAnsi="仿宋_GB2312" w:eastAsia="仿宋_GB2312" w:cs="仿宋_GB2312"/>
          <w:b w:val="0"/>
          <w:bCs w:val="0"/>
          <w:color w:val="auto"/>
          <w:sz w:val="32"/>
          <w:szCs w:val="32"/>
          <w:lang w:val="en-US" w:eastAsia="zh-CN"/>
        </w:rPr>
        <w:t>收集整理了中央、省、市出台的预算绩效管理制度办法，</w:t>
      </w:r>
      <w:r>
        <w:rPr>
          <w:rFonts w:hint="eastAsia" w:ascii="仿宋_GB2312" w:hAnsi="仿宋_GB2312" w:eastAsia="仿宋_GB2312" w:cs="仿宋_GB2312"/>
          <w:b w:val="0"/>
          <w:bCs w:val="0"/>
          <w:color w:val="auto"/>
          <w:kern w:val="2"/>
          <w:sz w:val="32"/>
          <w:szCs w:val="32"/>
          <w:lang w:val="en-US" w:eastAsia="zh-CN" w:bidi="ar-SA"/>
        </w:rPr>
        <w:t>形成了《预算绩效管理政策制度汇编》，确保全市预算绩效管理工作更加规范有序高效开展</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四</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抓好源头，强化</w:t>
      </w:r>
      <w:r>
        <w:rPr>
          <w:rFonts w:hint="eastAsia" w:ascii="楷体_GB2312" w:hAnsi="楷体_GB2312" w:eastAsia="楷体_GB2312" w:cs="楷体_GB2312"/>
          <w:b w:val="0"/>
          <w:bCs w:val="0"/>
          <w:color w:val="auto"/>
          <w:sz w:val="32"/>
          <w:szCs w:val="32"/>
          <w:highlight w:val="none"/>
          <w:lang w:val="en-US" w:eastAsia="zh-CN"/>
        </w:rPr>
        <w:t>预算绩效</w:t>
      </w:r>
      <w:r>
        <w:rPr>
          <w:rFonts w:hint="eastAsia" w:ascii="楷体_GB2312" w:hAnsi="楷体_GB2312" w:eastAsia="楷体_GB2312" w:cs="楷体_GB2312"/>
          <w:b w:val="0"/>
          <w:bCs w:val="0"/>
          <w:color w:val="auto"/>
          <w:sz w:val="32"/>
          <w:szCs w:val="32"/>
        </w:rPr>
        <w:t>目标</w:t>
      </w:r>
      <w:r>
        <w:rPr>
          <w:rFonts w:hint="eastAsia" w:ascii="楷体_GB2312" w:hAnsi="楷体_GB2312" w:eastAsia="楷体_GB2312" w:cs="楷体_GB2312"/>
          <w:b w:val="0"/>
          <w:bCs w:val="0"/>
          <w:color w:val="auto"/>
          <w:sz w:val="32"/>
          <w:szCs w:val="32"/>
          <w:lang w:eastAsia="zh-CN"/>
        </w:rPr>
        <w:t>管理。</w:t>
      </w:r>
      <w:r>
        <w:rPr>
          <w:rFonts w:hint="eastAsia" w:ascii="仿宋_GB2312" w:hAnsi="仿宋_GB2312" w:eastAsia="仿宋_GB2312" w:cs="仿宋_GB2312"/>
          <w:b w:val="0"/>
          <w:bCs w:val="0"/>
          <w:color w:val="auto"/>
          <w:sz w:val="32"/>
          <w:szCs w:val="32"/>
          <w:lang w:eastAsia="zh-CN"/>
        </w:rPr>
        <w:t>一是要求</w:t>
      </w:r>
      <w:r>
        <w:rPr>
          <w:rFonts w:hint="eastAsia" w:ascii="仿宋_GB2312" w:hAnsi="仿宋_GB2312" w:eastAsia="仿宋_GB2312" w:cs="仿宋_GB2312"/>
          <w:color w:val="auto"/>
          <w:sz w:val="32"/>
          <w:szCs w:val="32"/>
        </w:rPr>
        <w:t>预算单位</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编报年初部门预算</w:t>
      </w:r>
      <w:r>
        <w:rPr>
          <w:rFonts w:hint="eastAsia" w:ascii="仿宋_GB2312" w:hAnsi="仿宋_GB2312" w:eastAsia="仿宋_GB2312" w:cs="仿宋_GB2312"/>
          <w:color w:val="auto"/>
          <w:sz w:val="32"/>
          <w:szCs w:val="32"/>
          <w:lang w:eastAsia="zh-CN"/>
        </w:rPr>
        <w:t>时同步编报特定项目预算</w:t>
      </w:r>
      <w:r>
        <w:rPr>
          <w:rFonts w:hint="eastAsia" w:ascii="仿宋_GB2312" w:hAnsi="仿宋_GB2312" w:eastAsia="仿宋_GB2312" w:cs="仿宋_GB2312"/>
          <w:color w:val="auto"/>
          <w:sz w:val="32"/>
          <w:szCs w:val="32"/>
        </w:rPr>
        <w:t>绩效目标</w:t>
      </w:r>
      <w:r>
        <w:rPr>
          <w:rFonts w:hint="eastAsia" w:ascii="仿宋_GB2312" w:hAnsi="仿宋_GB2312" w:eastAsia="仿宋_GB2312" w:cs="仿宋_GB2312"/>
          <w:color w:val="auto"/>
          <w:sz w:val="32"/>
          <w:szCs w:val="32"/>
          <w:lang w:eastAsia="zh-CN"/>
        </w:rPr>
        <w:t>和部门预算整体绩效目标，经审核后在部门预算批复时同步批复绩效目标。二是在分配下达上级专项经费时，同步下达专项经费绩效目标。三是延伸</w:t>
      </w:r>
      <w:r>
        <w:rPr>
          <w:rFonts w:hint="eastAsia" w:ascii="仿宋_GB2312" w:hAnsi="仿宋_GB2312" w:eastAsia="仿宋_GB2312" w:cs="仿宋_GB2312"/>
          <w:b w:val="0"/>
          <w:bCs w:val="0"/>
          <w:color w:val="auto"/>
          <w:sz w:val="32"/>
          <w:szCs w:val="32"/>
          <w:lang w:val="en-US" w:eastAsia="zh-CN"/>
        </w:rPr>
        <w:t>绩效目标管理范围，扩大到所有财政拨款安排的项目。四是加强预算绩效目标审核，采取“财政+部门+专家”联审方式，提高绩效目标编报质量，实现了目标编制内容完整、要素关联、指标科学、细化量化。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pacing w:val="0"/>
          <w:sz w:val="32"/>
          <w:szCs w:val="32"/>
          <w:lang w:val="en-US"/>
        </w:rPr>
      </w:pPr>
      <w:r>
        <w:rPr>
          <w:rFonts w:hint="eastAsia" w:ascii="楷体_GB2312" w:hAnsi="楷体_GB2312" w:eastAsia="楷体_GB2312" w:cs="楷体_GB2312"/>
          <w:b w:val="0"/>
          <w:bCs w:val="0"/>
          <w:color w:val="auto"/>
          <w:spacing w:val="0"/>
          <w:sz w:val="32"/>
          <w:szCs w:val="32"/>
        </w:rPr>
        <w:t>（</w:t>
      </w:r>
      <w:r>
        <w:rPr>
          <w:rFonts w:hint="eastAsia" w:ascii="楷体_GB2312" w:hAnsi="楷体_GB2312" w:eastAsia="楷体_GB2312" w:cs="楷体_GB2312"/>
          <w:b w:val="0"/>
          <w:bCs w:val="0"/>
          <w:color w:val="auto"/>
          <w:spacing w:val="0"/>
          <w:sz w:val="32"/>
          <w:szCs w:val="32"/>
          <w:lang w:eastAsia="zh-CN"/>
        </w:rPr>
        <w:t>五</w:t>
      </w:r>
      <w:r>
        <w:rPr>
          <w:rFonts w:hint="eastAsia" w:ascii="楷体_GB2312" w:hAnsi="楷体_GB2312" w:eastAsia="楷体_GB2312" w:cs="楷体_GB2312"/>
          <w:b w:val="0"/>
          <w:bCs w:val="0"/>
          <w:color w:val="auto"/>
          <w:spacing w:val="0"/>
          <w:sz w:val="32"/>
          <w:szCs w:val="32"/>
        </w:rPr>
        <w:t>）</w:t>
      </w:r>
      <w:r>
        <w:rPr>
          <w:rFonts w:hint="eastAsia" w:ascii="楷体_GB2312" w:hAnsi="楷体_GB2312" w:eastAsia="楷体_GB2312" w:cs="楷体_GB2312"/>
          <w:b w:val="0"/>
          <w:bCs w:val="0"/>
          <w:color w:val="auto"/>
          <w:spacing w:val="0"/>
          <w:sz w:val="32"/>
          <w:szCs w:val="32"/>
          <w:lang w:eastAsia="zh-CN"/>
        </w:rPr>
        <w:t>有效跟踪，强化</w:t>
      </w:r>
      <w:r>
        <w:rPr>
          <w:rFonts w:hint="eastAsia" w:ascii="楷体_GB2312" w:hAnsi="楷体_GB2312" w:eastAsia="楷体_GB2312" w:cs="楷体_GB2312"/>
          <w:b w:val="0"/>
          <w:bCs w:val="0"/>
          <w:color w:val="auto"/>
          <w:sz w:val="32"/>
          <w:szCs w:val="32"/>
          <w:highlight w:val="none"/>
          <w:lang w:val="en-US" w:eastAsia="zh-CN"/>
        </w:rPr>
        <w:t>预算绩效</w:t>
      </w:r>
      <w:r>
        <w:rPr>
          <w:rFonts w:hint="eastAsia" w:ascii="楷体_GB2312" w:hAnsi="楷体_GB2312" w:eastAsia="楷体_GB2312" w:cs="楷体_GB2312"/>
          <w:b w:val="0"/>
          <w:bCs w:val="0"/>
          <w:color w:val="auto"/>
          <w:spacing w:val="0"/>
          <w:sz w:val="32"/>
          <w:szCs w:val="32"/>
        </w:rPr>
        <w:t>监控</w:t>
      </w:r>
      <w:r>
        <w:rPr>
          <w:rFonts w:hint="eastAsia" w:ascii="楷体_GB2312" w:hAnsi="楷体_GB2312" w:eastAsia="楷体_GB2312" w:cs="楷体_GB2312"/>
          <w:b w:val="0"/>
          <w:bCs w:val="0"/>
          <w:color w:val="auto"/>
          <w:spacing w:val="0"/>
          <w:sz w:val="32"/>
          <w:szCs w:val="32"/>
          <w:lang w:eastAsia="zh-CN"/>
        </w:rPr>
        <w:t>管理。</w:t>
      </w:r>
      <w:r>
        <w:rPr>
          <w:rFonts w:hint="eastAsia" w:ascii="仿宋_GB2312" w:hAnsi="仿宋_GB2312" w:eastAsia="仿宋_GB2312" w:cs="仿宋_GB2312"/>
          <w:b w:val="0"/>
          <w:bCs w:val="0"/>
          <w:color w:val="auto"/>
          <w:spacing w:val="0"/>
          <w:sz w:val="32"/>
          <w:szCs w:val="32"/>
          <w:lang w:eastAsia="zh-CN"/>
        </w:rPr>
        <w:t>一是综合利用财政指标管理大平台系统、直达资金管理系统、惠民惠农财政补贴资金“一卡通”阳光审批系统，对预算执行跟踪监控，对监控预警的项目及时与部门单位沟通，要求部门单位及时整改或作出情况说明。二是将预算支出目标任务数分解下达到部门单位和各县区，预算执行进度实行“日通报，周调度”，指导督促部门单位和县区采取措施切实加快预算执行。三是组织市级部门单位</w:t>
      </w:r>
      <w:r>
        <w:rPr>
          <w:rFonts w:hint="eastAsia" w:ascii="仿宋_GB2312" w:hAnsi="仿宋_GB2312" w:eastAsia="仿宋_GB2312" w:cs="仿宋_GB2312"/>
          <w:color w:val="auto"/>
          <w:spacing w:val="0"/>
          <w:sz w:val="32"/>
          <w:szCs w:val="32"/>
        </w:rPr>
        <w:t>认真</w:t>
      </w:r>
      <w:r>
        <w:rPr>
          <w:rFonts w:hint="eastAsia" w:ascii="仿宋_GB2312" w:hAnsi="仿宋_GB2312" w:eastAsia="仿宋_GB2312" w:cs="仿宋_GB2312"/>
          <w:color w:val="auto"/>
          <w:sz w:val="32"/>
          <w:szCs w:val="32"/>
        </w:rPr>
        <w:t>开展202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预算</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支出</w:t>
      </w:r>
      <w:r>
        <w:rPr>
          <w:rFonts w:hint="eastAsia" w:ascii="仿宋_GB2312" w:hAnsi="仿宋_GB2312" w:eastAsia="仿宋_GB2312" w:cs="仿宋_GB2312"/>
          <w:color w:val="auto"/>
          <w:sz w:val="32"/>
          <w:szCs w:val="32"/>
        </w:rPr>
        <w:t>绩效监控分析工作</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lang w:val="en-US" w:eastAsia="zh-CN"/>
        </w:rPr>
        <w:t>各部门单位根据预算执行情况，对照年初部门预算项目和部门整体支出绩效目标，认真分析本</w:t>
      </w:r>
      <w:r>
        <w:rPr>
          <w:rFonts w:hint="eastAsia" w:ascii="仿宋_GB2312" w:hAnsi="仿宋_GB2312" w:eastAsia="仿宋_GB2312" w:cs="仿宋_GB2312"/>
          <w:i w:val="0"/>
          <w:caps w:val="0"/>
          <w:color w:val="auto"/>
          <w:spacing w:val="-6"/>
          <w:kern w:val="2"/>
          <w:sz w:val="32"/>
          <w:szCs w:val="32"/>
          <w:shd w:val="clear" w:color="auto" w:fill="FFFFFF"/>
          <w:lang w:val="en-US" w:eastAsia="zh-CN" w:bidi="ar-SA"/>
        </w:rPr>
        <w:t>部门整体支出、项目产出、项目效益年度绩效目标完成情况，对偏离目标的分析原因，及时纠偏，对不能完成目标的采取暂停项目实施、调整预算安排等措施予以纠正。</w:t>
      </w:r>
    </w:p>
    <w:p>
      <w:pPr>
        <w:pStyle w:val="32"/>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pacing w:val="-4"/>
          <w:sz w:val="32"/>
          <w:szCs w:val="32"/>
        </w:rPr>
      </w:pPr>
      <w:r>
        <w:rPr>
          <w:rFonts w:hint="eastAsia" w:ascii="楷体_GB2312" w:hAnsi="楷体_GB2312" w:eastAsia="楷体_GB2312" w:cs="楷体_GB2312"/>
          <w:b w:val="0"/>
          <w:bCs w:val="0"/>
          <w:color w:val="auto"/>
          <w:spacing w:val="0"/>
          <w:sz w:val="32"/>
          <w:szCs w:val="32"/>
        </w:rPr>
        <w:t>（</w:t>
      </w:r>
      <w:r>
        <w:rPr>
          <w:rFonts w:hint="eastAsia" w:ascii="楷体_GB2312" w:hAnsi="楷体_GB2312" w:eastAsia="楷体_GB2312" w:cs="楷体_GB2312"/>
          <w:b w:val="0"/>
          <w:bCs w:val="0"/>
          <w:color w:val="auto"/>
          <w:spacing w:val="0"/>
          <w:sz w:val="32"/>
          <w:szCs w:val="32"/>
          <w:lang w:eastAsia="zh-CN"/>
        </w:rPr>
        <w:t>六</w:t>
      </w:r>
      <w:r>
        <w:rPr>
          <w:rFonts w:hint="eastAsia" w:ascii="楷体_GB2312" w:hAnsi="楷体_GB2312" w:eastAsia="楷体_GB2312" w:cs="楷体_GB2312"/>
          <w:b w:val="0"/>
          <w:bCs w:val="0"/>
          <w:color w:val="auto"/>
          <w:spacing w:val="0"/>
          <w:sz w:val="32"/>
          <w:szCs w:val="32"/>
        </w:rPr>
        <w:t>）</w:t>
      </w:r>
      <w:r>
        <w:rPr>
          <w:rFonts w:hint="eastAsia" w:ascii="楷体_GB2312" w:hAnsi="楷体_GB2312" w:eastAsia="楷体_GB2312" w:cs="楷体_GB2312"/>
          <w:b w:val="0"/>
          <w:bCs w:val="0"/>
          <w:color w:val="auto"/>
          <w:spacing w:val="0"/>
          <w:sz w:val="32"/>
          <w:szCs w:val="32"/>
          <w:lang w:eastAsia="zh-CN"/>
        </w:rPr>
        <w:t>精心组织，推进预算</w:t>
      </w:r>
      <w:r>
        <w:rPr>
          <w:rFonts w:hint="eastAsia" w:ascii="楷体_GB2312" w:hAnsi="楷体_GB2312" w:eastAsia="楷体_GB2312" w:cs="楷体_GB2312"/>
          <w:b w:val="0"/>
          <w:bCs w:val="0"/>
          <w:color w:val="auto"/>
          <w:spacing w:val="0"/>
          <w:sz w:val="32"/>
          <w:szCs w:val="32"/>
        </w:rPr>
        <w:t>绩效评价</w:t>
      </w:r>
      <w:r>
        <w:rPr>
          <w:rFonts w:hint="eastAsia" w:ascii="楷体_GB2312" w:hAnsi="楷体_GB2312" w:eastAsia="楷体_GB2312" w:cs="楷体_GB2312"/>
          <w:b w:val="0"/>
          <w:bCs w:val="0"/>
          <w:color w:val="auto"/>
          <w:spacing w:val="0"/>
          <w:sz w:val="32"/>
          <w:szCs w:val="32"/>
          <w:lang w:eastAsia="zh-CN"/>
        </w:rPr>
        <w:t>工作有序开展。</w:t>
      </w:r>
      <w:r>
        <w:rPr>
          <w:rFonts w:hint="eastAsia" w:ascii="仿宋_GB2312" w:hAnsi="仿宋_GB2312" w:eastAsia="仿宋_GB2312" w:cs="仿宋_GB2312"/>
          <w:color w:val="auto"/>
          <w:spacing w:val="-4"/>
          <w:sz w:val="32"/>
          <w:szCs w:val="32"/>
          <w:lang w:eastAsia="zh-CN"/>
        </w:rPr>
        <w:t>依据</w:t>
      </w:r>
      <w:r>
        <w:rPr>
          <w:rFonts w:hint="eastAsia" w:ascii="仿宋_GB2312" w:hAnsi="仿宋_GB2312" w:eastAsia="仿宋_GB2312" w:cs="仿宋_GB2312"/>
          <w:color w:val="auto"/>
          <w:spacing w:val="-4"/>
          <w:sz w:val="32"/>
          <w:szCs w:val="32"/>
        </w:rPr>
        <w:t>财政支出绩效评价指标体系</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b w:val="0"/>
          <w:bCs w:val="0"/>
          <w:color w:val="auto"/>
          <w:spacing w:val="0"/>
          <w:sz w:val="32"/>
          <w:szCs w:val="32"/>
          <w:lang w:eastAsia="zh-CN"/>
        </w:rPr>
        <w:t>制定预算绩效评价工作方案，</w:t>
      </w:r>
      <w:r>
        <w:rPr>
          <w:rFonts w:hint="eastAsia" w:ascii="仿宋_GB2312" w:hAnsi="仿宋_GB2312" w:eastAsia="仿宋_GB2312" w:cs="仿宋_GB2312"/>
          <w:color w:val="auto"/>
          <w:spacing w:val="-4"/>
          <w:sz w:val="32"/>
          <w:szCs w:val="32"/>
          <w:lang w:eastAsia="zh-CN"/>
        </w:rPr>
        <w:t>采取</w:t>
      </w:r>
      <w:r>
        <w:rPr>
          <w:rFonts w:hint="eastAsia" w:ascii="仿宋_GB2312" w:hAnsi="仿宋_GB2312" w:eastAsia="仿宋_GB2312" w:cs="仿宋_GB2312"/>
          <w:color w:val="auto"/>
          <w:spacing w:val="-4"/>
          <w:sz w:val="32"/>
          <w:szCs w:val="32"/>
        </w:rPr>
        <w:t>单位自评、资料审阅、量化考核、意见征询、满意度调查</w:t>
      </w:r>
      <w:r>
        <w:rPr>
          <w:rFonts w:hint="eastAsia" w:ascii="仿宋_GB2312" w:hAnsi="仿宋_GB2312" w:eastAsia="仿宋_GB2312" w:cs="仿宋_GB2312"/>
          <w:color w:val="auto"/>
          <w:spacing w:val="-4"/>
          <w:sz w:val="32"/>
          <w:szCs w:val="32"/>
          <w:lang w:eastAsia="zh-CN"/>
        </w:rPr>
        <w:t>等方式，对项目单位绩效目标设置、绩效目标完成、</w:t>
      </w:r>
      <w:r>
        <w:rPr>
          <w:rFonts w:hint="eastAsia" w:ascii="仿宋_GB2312" w:hAnsi="仿宋_GB2312" w:eastAsia="仿宋_GB2312" w:cs="仿宋_GB2312"/>
          <w:color w:val="auto"/>
          <w:spacing w:val="-4"/>
          <w:sz w:val="32"/>
          <w:szCs w:val="32"/>
        </w:rPr>
        <w:t>问题</w:t>
      </w:r>
      <w:r>
        <w:rPr>
          <w:rFonts w:hint="eastAsia" w:ascii="仿宋_GB2312" w:hAnsi="仿宋_GB2312" w:eastAsia="仿宋_GB2312" w:cs="仿宋_GB2312"/>
          <w:color w:val="auto"/>
          <w:spacing w:val="-4"/>
          <w:sz w:val="32"/>
          <w:szCs w:val="32"/>
          <w:lang w:eastAsia="zh-CN"/>
        </w:rPr>
        <w:t>自查</w:t>
      </w:r>
      <w:r>
        <w:rPr>
          <w:rFonts w:hint="eastAsia" w:ascii="仿宋_GB2312" w:hAnsi="仿宋_GB2312" w:eastAsia="仿宋_GB2312" w:cs="仿宋_GB2312"/>
          <w:color w:val="auto"/>
          <w:spacing w:val="-4"/>
          <w:sz w:val="32"/>
          <w:szCs w:val="32"/>
        </w:rPr>
        <w:t>整改等</w:t>
      </w:r>
      <w:r>
        <w:rPr>
          <w:rFonts w:hint="eastAsia" w:ascii="仿宋_GB2312" w:hAnsi="仿宋_GB2312" w:eastAsia="仿宋_GB2312" w:cs="仿宋_GB2312"/>
          <w:color w:val="auto"/>
          <w:spacing w:val="-4"/>
          <w:sz w:val="32"/>
          <w:szCs w:val="32"/>
          <w:lang w:eastAsia="zh-CN"/>
        </w:rPr>
        <w:t>方面</w:t>
      </w:r>
      <w:r>
        <w:rPr>
          <w:rFonts w:hint="eastAsia" w:ascii="仿宋_GB2312" w:hAnsi="仿宋_GB2312" w:eastAsia="仿宋_GB2312" w:cs="仿宋_GB2312"/>
          <w:color w:val="auto"/>
          <w:spacing w:val="-4"/>
          <w:sz w:val="32"/>
          <w:szCs w:val="32"/>
        </w:rPr>
        <w:t>进行了考评</w:t>
      </w:r>
      <w:r>
        <w:rPr>
          <w:rFonts w:hint="eastAsia" w:ascii="仿宋_GB2312" w:hAnsi="仿宋_GB2312" w:eastAsia="仿宋_GB2312" w:cs="仿宋_GB2312"/>
          <w:color w:val="auto"/>
          <w:spacing w:val="-4"/>
          <w:sz w:val="32"/>
          <w:szCs w:val="32"/>
          <w:lang w:eastAsia="zh-CN"/>
        </w:rPr>
        <w:t>。一是开展重大项目财政重点绩效评价。选取</w:t>
      </w:r>
      <w:r>
        <w:rPr>
          <w:rFonts w:hint="eastAsia" w:ascii="仿宋_GB2312" w:hAnsi="仿宋" w:eastAsia="仿宋_GB2312"/>
          <w:color w:val="auto"/>
          <w:sz w:val="32"/>
          <w:szCs w:val="32"/>
        </w:rPr>
        <w:t>“资金量大、代表性强、社会关注度高”的重大项目、产业发展、</w:t>
      </w:r>
      <w:r>
        <w:rPr>
          <w:rFonts w:hint="eastAsia" w:ascii="仿宋_GB2312" w:hAnsi="仿宋" w:eastAsia="仿宋_GB2312"/>
          <w:color w:val="auto"/>
          <w:sz w:val="32"/>
          <w:szCs w:val="32"/>
          <w:lang w:eastAsia="zh-CN"/>
        </w:rPr>
        <w:t>疫情防控</w:t>
      </w:r>
      <w:r>
        <w:rPr>
          <w:rFonts w:hint="eastAsia" w:ascii="仿宋_GB2312" w:hAnsi="仿宋" w:eastAsia="仿宋_GB2312"/>
          <w:color w:val="auto"/>
          <w:sz w:val="32"/>
          <w:szCs w:val="32"/>
        </w:rPr>
        <w:t>等</w:t>
      </w:r>
      <w:r>
        <w:rPr>
          <w:rFonts w:hint="eastAsia" w:ascii="仿宋_GB2312" w:hAnsi="仿宋" w:eastAsia="仿宋_GB2312"/>
          <w:color w:val="auto"/>
          <w:sz w:val="32"/>
          <w:szCs w:val="32"/>
          <w:lang w:val="en-US" w:eastAsia="zh-CN"/>
        </w:rPr>
        <w:t>24</w:t>
      </w:r>
      <w:r>
        <w:rPr>
          <w:rFonts w:hint="eastAsia" w:ascii="仿宋_GB2312" w:hAnsi="仿宋" w:eastAsia="仿宋_GB2312"/>
          <w:color w:val="auto"/>
          <w:sz w:val="32"/>
          <w:szCs w:val="32"/>
        </w:rPr>
        <w:t>个</w:t>
      </w:r>
      <w:r>
        <w:rPr>
          <w:rFonts w:hint="eastAsia" w:ascii="仿宋_GB2312" w:eastAsia="仿宋_GB2312"/>
          <w:color w:val="auto"/>
          <w:sz w:val="32"/>
          <w:szCs w:val="32"/>
        </w:rPr>
        <w:t>项目</w:t>
      </w:r>
      <w:r>
        <w:rPr>
          <w:rFonts w:hint="eastAsia" w:ascii="仿宋_GB2312" w:eastAsia="仿宋_GB2312"/>
          <w:color w:val="auto"/>
          <w:sz w:val="32"/>
          <w:szCs w:val="32"/>
          <w:lang w:eastAsia="zh-CN"/>
        </w:rPr>
        <w:t>进行</w:t>
      </w:r>
      <w:r>
        <w:rPr>
          <w:rFonts w:hint="eastAsia" w:ascii="仿宋_GB2312" w:eastAsia="仿宋_GB2312"/>
          <w:color w:val="auto"/>
          <w:sz w:val="32"/>
          <w:szCs w:val="32"/>
        </w:rPr>
        <w:t>了</w:t>
      </w:r>
      <w:r>
        <w:rPr>
          <w:rFonts w:hint="eastAsia" w:ascii="仿宋_GB2312" w:eastAsia="仿宋_GB2312"/>
          <w:color w:val="auto"/>
          <w:sz w:val="32"/>
          <w:szCs w:val="32"/>
          <w:lang w:eastAsia="zh-CN"/>
        </w:rPr>
        <w:t>重点</w:t>
      </w:r>
      <w:r>
        <w:rPr>
          <w:rFonts w:hint="eastAsia" w:ascii="仿宋_GB2312" w:eastAsia="仿宋_GB2312"/>
          <w:color w:val="auto"/>
          <w:sz w:val="32"/>
          <w:szCs w:val="32"/>
        </w:rPr>
        <w:t>绩效评价，被评价项目涉及财政资金</w:t>
      </w:r>
      <w:r>
        <w:rPr>
          <w:rFonts w:hint="eastAsia" w:ascii="仿宋_GB2312" w:hAnsi="仿宋_GB2312" w:eastAsia="仿宋_GB2312" w:cs="仿宋_GB2312"/>
          <w:color w:val="auto"/>
          <w:sz w:val="32"/>
          <w:szCs w:val="32"/>
          <w:lang w:val="en-US" w:eastAsia="zh-CN"/>
        </w:rPr>
        <w:t>13.35</w:t>
      </w:r>
      <w:r>
        <w:rPr>
          <w:rFonts w:hint="eastAsia" w:ascii="仿宋_GB2312" w:eastAsia="仿宋_GB2312"/>
          <w:color w:val="auto"/>
          <w:sz w:val="32"/>
          <w:szCs w:val="32"/>
        </w:rPr>
        <w:t>亿元</w:t>
      </w:r>
      <w:r>
        <w:rPr>
          <w:rFonts w:hint="eastAsia" w:ascii="仿宋_GB2312" w:eastAsia="仿宋_GB2312"/>
          <w:color w:val="auto"/>
          <w:sz w:val="32"/>
          <w:szCs w:val="32"/>
          <w:lang w:eastAsia="zh-CN"/>
        </w:rPr>
        <w:t>。对照每个项目绩效目标指标分别评分，根据总分评定项目绩效目标完成优、良、中、差等级，指出项目实施中存在的问题，提出绩效评价整改建议，督促部门单位整改落实，有力推进了项目规范实施，有效提高了财政资金使用效益。</w:t>
      </w:r>
      <w:r>
        <w:rPr>
          <w:rFonts w:hint="eastAsia" w:ascii="仿宋_GB2312" w:hAnsi="华文仿宋" w:eastAsia="仿宋_GB2312" w:cs="仿宋_GB2312"/>
          <w:color w:val="auto"/>
          <w:sz w:val="32"/>
          <w:szCs w:val="32"/>
          <w:lang w:eastAsia="zh-CN"/>
        </w:rPr>
        <w:t>二是开展部门整体支出绩效评价。在各部门单位对</w:t>
      </w:r>
      <w:r>
        <w:rPr>
          <w:rFonts w:hint="eastAsia" w:ascii="仿宋_GB2312" w:hAnsi="华文仿宋" w:eastAsia="仿宋_GB2312" w:cs="仿宋_GB2312"/>
          <w:color w:val="auto"/>
          <w:sz w:val="32"/>
          <w:szCs w:val="32"/>
        </w:rPr>
        <w:t>预算编制</w:t>
      </w:r>
      <w:r>
        <w:rPr>
          <w:rFonts w:hint="eastAsia" w:ascii="仿宋_GB2312" w:hAnsi="华文仿宋" w:eastAsia="仿宋_GB2312" w:cs="仿宋_GB2312"/>
          <w:color w:val="auto"/>
          <w:sz w:val="32"/>
          <w:szCs w:val="32"/>
          <w:lang w:eastAsia="zh-CN"/>
        </w:rPr>
        <w:t>、预算</w:t>
      </w:r>
      <w:r>
        <w:rPr>
          <w:rFonts w:hint="eastAsia" w:ascii="仿宋_GB2312" w:hAnsi="华文仿宋" w:eastAsia="仿宋_GB2312" w:cs="仿宋_GB2312"/>
          <w:color w:val="auto"/>
          <w:sz w:val="32"/>
          <w:szCs w:val="32"/>
        </w:rPr>
        <w:t>执行、</w:t>
      </w:r>
      <w:r>
        <w:rPr>
          <w:rFonts w:hint="eastAsia" w:ascii="仿宋_GB2312" w:hAnsi="华文仿宋" w:eastAsia="仿宋_GB2312" w:cs="仿宋_GB2312"/>
          <w:color w:val="auto"/>
          <w:sz w:val="32"/>
          <w:szCs w:val="32"/>
          <w:lang w:eastAsia="zh-CN"/>
        </w:rPr>
        <w:t>资金使用、财务管理</w:t>
      </w:r>
      <w:r>
        <w:rPr>
          <w:rFonts w:hint="eastAsia" w:ascii="仿宋_GB2312" w:hAnsi="华文仿宋" w:eastAsia="仿宋_GB2312" w:cs="仿宋_GB2312"/>
          <w:color w:val="auto"/>
          <w:sz w:val="32"/>
          <w:szCs w:val="32"/>
        </w:rPr>
        <w:t>等</w:t>
      </w:r>
      <w:r>
        <w:rPr>
          <w:rFonts w:hint="eastAsia" w:ascii="仿宋_GB2312" w:hAnsi="华文仿宋" w:eastAsia="仿宋_GB2312" w:cs="仿宋_GB2312"/>
          <w:color w:val="auto"/>
          <w:sz w:val="32"/>
          <w:szCs w:val="32"/>
          <w:lang w:eastAsia="zh-CN"/>
        </w:rPr>
        <w:t>方面开展绩效</w:t>
      </w:r>
      <w:r>
        <w:rPr>
          <w:rFonts w:hint="eastAsia" w:ascii="仿宋_GB2312" w:hAnsi="华文仿宋" w:eastAsia="仿宋_GB2312" w:cs="仿宋_GB2312"/>
          <w:color w:val="auto"/>
          <w:sz w:val="32"/>
          <w:szCs w:val="32"/>
        </w:rPr>
        <w:t>自评</w:t>
      </w:r>
      <w:r>
        <w:rPr>
          <w:rFonts w:hint="eastAsia" w:ascii="仿宋_GB2312" w:hAnsi="华文仿宋" w:eastAsia="仿宋_GB2312" w:cs="仿宋_GB2312"/>
          <w:color w:val="auto"/>
          <w:sz w:val="32"/>
          <w:szCs w:val="32"/>
          <w:lang w:eastAsia="zh-CN"/>
        </w:rPr>
        <w:t>的基础上，重点</w:t>
      </w:r>
      <w:r>
        <w:rPr>
          <w:rFonts w:hint="eastAsia" w:ascii="仿宋_GB2312" w:hAnsi="华文仿宋" w:eastAsia="仿宋_GB2312" w:cs="仿宋_GB2312"/>
          <w:color w:val="auto"/>
          <w:sz w:val="32"/>
          <w:szCs w:val="32"/>
        </w:rPr>
        <w:t>抽取1</w:t>
      </w:r>
      <w:r>
        <w:rPr>
          <w:rFonts w:hint="eastAsia" w:ascii="仿宋_GB2312" w:hAnsi="华文仿宋" w:eastAsia="仿宋_GB2312" w:cs="仿宋_GB2312"/>
          <w:color w:val="auto"/>
          <w:sz w:val="32"/>
          <w:szCs w:val="32"/>
          <w:lang w:val="en-US" w:eastAsia="zh-CN"/>
        </w:rPr>
        <w:t>4</w:t>
      </w:r>
      <w:r>
        <w:rPr>
          <w:rFonts w:hint="eastAsia" w:ascii="仿宋_GB2312" w:hAnsi="华文仿宋" w:eastAsia="仿宋_GB2312" w:cs="仿宋_GB2312"/>
          <w:color w:val="auto"/>
          <w:sz w:val="32"/>
          <w:szCs w:val="32"/>
        </w:rPr>
        <w:t>个单位开展</w:t>
      </w:r>
      <w:r>
        <w:rPr>
          <w:rFonts w:hint="eastAsia" w:ascii="仿宋_GB2312" w:hAnsi="华文仿宋" w:eastAsia="仿宋_GB2312" w:cs="仿宋_GB2312"/>
          <w:color w:val="auto"/>
          <w:sz w:val="32"/>
          <w:szCs w:val="32"/>
          <w:lang w:eastAsia="zh-CN"/>
        </w:rPr>
        <w:t>了</w:t>
      </w:r>
      <w:r>
        <w:rPr>
          <w:rFonts w:hint="eastAsia" w:ascii="仿宋_GB2312" w:hAnsi="华文仿宋" w:eastAsia="仿宋_GB2312" w:cs="仿宋_GB2312"/>
          <w:color w:val="auto"/>
          <w:sz w:val="32"/>
          <w:szCs w:val="32"/>
        </w:rPr>
        <w:t>部门整体支出绩效评价</w:t>
      </w:r>
      <w:r>
        <w:rPr>
          <w:rFonts w:hint="eastAsia" w:ascii="仿宋_GB2312" w:hAnsi="华文仿宋" w:eastAsia="仿宋_GB2312" w:cs="仿宋_GB2312"/>
          <w:color w:val="auto"/>
          <w:sz w:val="32"/>
          <w:szCs w:val="32"/>
          <w:lang w:eastAsia="zh-CN"/>
        </w:rPr>
        <w:t>，发现</w:t>
      </w:r>
      <w:r>
        <w:rPr>
          <w:rFonts w:hint="eastAsia" w:ascii="仿宋_GB2312" w:hAnsi="华文仿宋" w:eastAsia="仿宋_GB2312" w:cs="仿宋_GB2312"/>
          <w:color w:val="auto"/>
          <w:sz w:val="32"/>
          <w:szCs w:val="32"/>
          <w:lang w:val="en-US" w:eastAsia="zh-CN"/>
        </w:rPr>
        <w:t>15</w:t>
      </w:r>
      <w:r>
        <w:rPr>
          <w:rFonts w:hint="eastAsia" w:ascii="仿宋_GB2312" w:hAnsi="华文仿宋" w:eastAsia="仿宋_GB2312" w:cs="仿宋_GB2312"/>
          <w:color w:val="auto"/>
          <w:sz w:val="32"/>
          <w:szCs w:val="32"/>
          <w:lang w:eastAsia="zh-CN"/>
        </w:rPr>
        <w:t>个方面问题，要求部门单位及时整改完善，提升了部门单位财务规范管理水平。</w:t>
      </w:r>
      <w:r>
        <w:rPr>
          <w:rFonts w:hint="eastAsia" w:ascii="仿宋_GB2312" w:hAnsi="仿宋_GB2312" w:eastAsia="仿宋_GB2312" w:cs="仿宋_GB2312"/>
          <w:color w:val="auto"/>
          <w:kern w:val="0"/>
          <w:sz w:val="32"/>
          <w:szCs w:val="32"/>
          <w:lang w:eastAsia="zh-CN"/>
        </w:rPr>
        <w:t>三是开展事前绩效评估。</w:t>
      </w:r>
      <w:r>
        <w:rPr>
          <w:rFonts w:hint="eastAsia" w:ascii="仿宋_GB2312" w:hAnsi="仿宋_GB2312" w:eastAsia="仿宋_GB2312" w:cs="仿宋_GB2312"/>
          <w:color w:val="auto"/>
          <w:sz w:val="32"/>
          <w:szCs w:val="32"/>
        </w:rPr>
        <w:t>遵循“先预事、后预钱”的原则，把项目是否有绩效作为安排资金的主要依据，对部分低效无效或重复安排的资金进行压减，切实提高预算编制精准性。202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年对9个政府重点项目、</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个政策组织</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rPr>
        <w:t>了事前绩效评估，</w:t>
      </w:r>
      <w:r>
        <w:rPr>
          <w:rFonts w:hint="eastAsia" w:ascii="仿宋_GB2312" w:hAnsi="仿宋_GB2312" w:eastAsia="仿宋_GB2312" w:cs="仿宋_GB2312"/>
          <w:color w:val="auto"/>
          <w:sz w:val="32"/>
          <w:szCs w:val="32"/>
          <w:lang w:eastAsia="zh-CN"/>
        </w:rPr>
        <w:t>涉及金额</w:t>
      </w:r>
      <w:r>
        <w:rPr>
          <w:rFonts w:hint="eastAsia" w:ascii="仿宋_GB2312" w:hAnsi="仿宋_GB2312" w:eastAsia="仿宋_GB2312" w:cs="仿宋_GB2312"/>
          <w:color w:val="auto"/>
          <w:sz w:val="32"/>
          <w:szCs w:val="32"/>
          <w:lang w:val="en-US" w:eastAsia="zh-CN"/>
        </w:rPr>
        <w:t>2.61亿元。</w:t>
      </w:r>
      <w:r>
        <w:rPr>
          <w:rFonts w:hint="eastAsia" w:ascii="仿宋_GB2312" w:hAnsi="仿宋_GB2312" w:eastAsia="仿宋_GB2312" w:cs="仿宋_GB2312"/>
          <w:color w:val="auto"/>
          <w:sz w:val="32"/>
          <w:szCs w:val="32"/>
        </w:rPr>
        <w:t>通</w:t>
      </w:r>
      <w:r>
        <w:rPr>
          <w:rFonts w:hint="eastAsia" w:ascii="仿宋_GB2312" w:hAnsi="仿宋_GB2312" w:eastAsia="仿宋_GB2312" w:cs="仿宋_GB2312"/>
          <w:color w:val="auto"/>
          <w:sz w:val="32"/>
          <w:szCs w:val="32"/>
          <w:lang w:eastAsia="zh-CN"/>
        </w:rPr>
        <w:t>过</w:t>
      </w:r>
      <w:r>
        <w:rPr>
          <w:rFonts w:hint="eastAsia" w:ascii="仿宋_GB2312" w:hAnsi="仿宋_GB2312" w:eastAsia="仿宋_GB2312" w:cs="仿宋_GB2312"/>
          <w:color w:val="auto"/>
          <w:sz w:val="32"/>
          <w:szCs w:val="32"/>
        </w:rPr>
        <w:t>对项目立项必要性、投入经济性、绩效目标合理性、实施方案可行性、筹资合规性等</w:t>
      </w:r>
      <w:r>
        <w:rPr>
          <w:rFonts w:hint="eastAsia" w:ascii="仿宋_GB2312" w:hAnsi="仿宋_GB2312" w:eastAsia="仿宋_GB2312" w:cs="仿宋_GB2312"/>
          <w:color w:val="auto"/>
          <w:sz w:val="32"/>
          <w:szCs w:val="32"/>
          <w:lang w:eastAsia="zh-CN"/>
        </w:rPr>
        <w:t>方面</w:t>
      </w:r>
      <w:r>
        <w:rPr>
          <w:rFonts w:hint="eastAsia" w:ascii="仿宋_GB2312" w:hAnsi="仿宋_GB2312" w:eastAsia="仿宋_GB2312" w:cs="仿宋_GB2312"/>
          <w:color w:val="auto"/>
          <w:sz w:val="32"/>
          <w:szCs w:val="32"/>
        </w:rPr>
        <w:t>全面评估，从源头上控制预算安排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4"/>
          <w:sz w:val="32"/>
          <w:szCs w:val="32"/>
        </w:rPr>
        <w:t>提高了财政资金使用绩效。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pacing w:val="-3"/>
          <w:sz w:val="32"/>
          <w:szCs w:val="32"/>
          <w:lang w:val="en-US" w:eastAsia="zh-CN"/>
        </w:rPr>
      </w:pPr>
      <w:r>
        <w:rPr>
          <w:rFonts w:hint="eastAsia" w:ascii="楷体_GB2312" w:hAnsi="楷体_GB2312" w:eastAsia="楷体_GB2312" w:cs="楷体_GB2312"/>
          <w:b w:val="0"/>
          <w:bCs w:val="0"/>
          <w:color w:val="auto"/>
          <w:sz w:val="32"/>
          <w:szCs w:val="32"/>
          <w:lang w:eastAsia="zh-CN"/>
        </w:rPr>
        <w:t>（七）严格逗硬，强化绩效评价</w:t>
      </w:r>
      <w:r>
        <w:rPr>
          <w:rFonts w:hint="eastAsia" w:ascii="楷体_GB2312" w:hAnsi="楷体_GB2312" w:eastAsia="楷体_GB2312" w:cs="楷体_GB2312"/>
          <w:b w:val="0"/>
          <w:bCs w:val="0"/>
          <w:color w:val="auto"/>
          <w:sz w:val="32"/>
          <w:szCs w:val="32"/>
        </w:rPr>
        <w:t>结果运用</w:t>
      </w:r>
      <w:r>
        <w:rPr>
          <w:rFonts w:hint="eastAsia" w:ascii="楷体_GB2312" w:hAnsi="楷体_GB2312" w:eastAsia="楷体_GB2312" w:cs="楷体_GB2312"/>
          <w:b w:val="0"/>
          <w:bCs w:val="0"/>
          <w:color w:val="auto"/>
          <w:sz w:val="32"/>
          <w:szCs w:val="32"/>
          <w:lang w:eastAsia="zh-CN"/>
        </w:rPr>
        <w:t>。</w:t>
      </w:r>
      <w:r>
        <w:rPr>
          <w:rFonts w:hint="eastAsia" w:ascii="仿宋_GB2312" w:hAnsi="仿宋_GB2312" w:eastAsia="仿宋_GB2312" w:cs="仿宋_GB2312"/>
          <w:b w:val="0"/>
          <w:bCs w:val="0"/>
          <w:color w:val="auto"/>
          <w:sz w:val="32"/>
          <w:szCs w:val="32"/>
          <w:lang w:eastAsia="zh-CN"/>
        </w:rPr>
        <w:t>一是对</w:t>
      </w:r>
      <w:r>
        <w:rPr>
          <w:rFonts w:hint="eastAsia" w:ascii="仿宋_GB2312" w:hAnsi="仿宋_GB2312" w:eastAsia="仿宋_GB2312" w:cs="仿宋_GB2312"/>
          <w:color w:val="auto"/>
          <w:spacing w:val="-3"/>
          <w:sz w:val="32"/>
          <w:szCs w:val="32"/>
        </w:rPr>
        <w:t>绩效评价</w:t>
      </w:r>
      <w:r>
        <w:rPr>
          <w:rFonts w:hint="eastAsia" w:ascii="仿宋_GB2312" w:hAnsi="仿宋_GB2312" w:eastAsia="仿宋_GB2312" w:cs="仿宋_GB2312"/>
          <w:color w:val="auto"/>
          <w:spacing w:val="-3"/>
          <w:sz w:val="32"/>
          <w:szCs w:val="32"/>
          <w:lang w:eastAsia="zh-CN"/>
        </w:rPr>
        <w:t>发现的</w:t>
      </w:r>
      <w:r>
        <w:rPr>
          <w:rFonts w:hint="eastAsia" w:ascii="仿宋_GB2312" w:hAnsi="仿宋_GB2312" w:eastAsia="仿宋_GB2312" w:cs="仿宋_GB2312"/>
          <w:color w:val="auto"/>
          <w:spacing w:val="-3"/>
          <w:sz w:val="32"/>
          <w:szCs w:val="32"/>
        </w:rPr>
        <w:t>问题</w:t>
      </w:r>
      <w:r>
        <w:rPr>
          <w:rFonts w:hint="eastAsia" w:ascii="仿宋_GB2312" w:hAnsi="仿宋_GB2312" w:eastAsia="仿宋_GB2312" w:cs="仿宋_GB2312"/>
          <w:color w:val="auto"/>
          <w:spacing w:val="-3"/>
          <w:sz w:val="32"/>
          <w:szCs w:val="32"/>
          <w:lang w:eastAsia="zh-CN"/>
        </w:rPr>
        <w:t>督促部门单位建立整改台账，实行销号管理，并将整改情况报送市财政局，该收回的资金坚决按照绩效评价建议意见收回。二是将绩效评价问题整改落实情况纳入财政监督检查年度工作安排，对整改落实情况，开展“回头看”，倒逼工作落实。三是将绩效评价结果作为财政资金预算安排的重要依据。在</w:t>
      </w:r>
      <w:r>
        <w:rPr>
          <w:rFonts w:hint="eastAsia" w:ascii="仿宋_GB2312" w:hAnsi="仿宋_GB2312" w:eastAsia="仿宋_GB2312" w:cs="仿宋_GB2312"/>
          <w:color w:val="auto"/>
          <w:spacing w:val="-3"/>
          <w:sz w:val="32"/>
          <w:szCs w:val="32"/>
          <w:lang w:val="en-US" w:eastAsia="zh-CN"/>
        </w:rPr>
        <w:t>2022年市级部门预算特定项目资金额度安排中，建立标准计算模型，将绩效评价结果作为重要的计算指标。</w:t>
      </w:r>
    </w:p>
    <w:p>
      <w:pPr>
        <w:keepNext w:val="0"/>
        <w:keepLines w:val="0"/>
        <w:pageBreakBefore w:val="0"/>
        <w:widowControl w:val="0"/>
        <w:kinsoku/>
        <w:overflowPunct/>
        <w:topLinePunct w:val="0"/>
        <w:autoSpaceDE/>
        <w:autoSpaceDN/>
        <w:bidi w:val="0"/>
        <w:adjustRightInd/>
        <w:snapToGrid/>
        <w:spacing w:line="576" w:lineRule="exact"/>
        <w:ind w:firstLine="420" w:firstLineChars="200"/>
        <w:textAlignment w:val="auto"/>
        <w:rPr>
          <w:rFonts w:hint="eastAsia"/>
        </w:rPr>
      </w:pPr>
    </w:p>
    <w:p>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keepNext w:val="0"/>
        <w:keepLines w:val="0"/>
        <w:pageBreakBefore w:val="0"/>
        <w:widowControl w:val="0"/>
        <w:kinsoku/>
        <w:wordWrap/>
        <w:overflowPunct/>
        <w:topLinePunct w:val="0"/>
        <w:autoSpaceDE/>
        <w:autoSpaceDN/>
        <w:bidi w:val="0"/>
        <w:adjustRightInd/>
        <w:snapToGrid/>
        <w:spacing w:before="157" w:beforeLines="50" w:after="469" w:afterLines="150" w:line="576" w:lineRule="exact"/>
        <w:jc w:val="center"/>
        <w:textAlignment w:val="auto"/>
        <w:rPr>
          <w:rFonts w:hint="eastAsia" w:ascii="方正小标宋简体" w:hAnsi="方正小标宋简体" w:eastAsia="方正小标宋简体" w:cs="方正小标宋简体"/>
          <w:b w:val="0"/>
          <w:color w:val="auto"/>
          <w:sz w:val="44"/>
          <w:szCs w:val="44"/>
          <w:highlight w:val="none"/>
          <w:lang w:eastAsia="zh-CN"/>
        </w:rPr>
      </w:pPr>
      <w:bookmarkStart w:id="16" w:name="_Toc15377204"/>
      <w:bookmarkStart w:id="17" w:name="_Toc15396602"/>
      <w:r>
        <w:rPr>
          <w:rFonts w:hint="eastAsia" w:ascii="方正小标宋简体" w:hAnsi="方正小标宋简体" w:eastAsia="方正小标宋简体" w:cs="方正小标宋简体"/>
          <w:b w:val="0"/>
          <w:color w:val="auto"/>
          <w:sz w:val="44"/>
          <w:szCs w:val="44"/>
          <w:highlight w:val="none"/>
          <w:lang w:eastAsia="zh-CN"/>
        </w:rPr>
        <w:t xml:space="preserve">第二部分 </w:t>
      </w:r>
      <w:r>
        <w:rPr>
          <w:rFonts w:hint="eastAsia" w:ascii="方正小标宋简体" w:hAnsi="方正小标宋简体" w:eastAsia="方正小标宋简体" w:cs="方正小标宋简体"/>
          <w:b w:val="0"/>
          <w:color w:val="auto"/>
          <w:sz w:val="44"/>
          <w:szCs w:val="44"/>
          <w:highlight w:val="none"/>
          <w:lang w:val="en-US" w:eastAsia="zh-CN"/>
        </w:rPr>
        <w:t>2021年度</w:t>
      </w:r>
      <w:r>
        <w:rPr>
          <w:rFonts w:hint="eastAsia" w:ascii="方正小标宋简体" w:hAnsi="方正小标宋简体" w:eastAsia="方正小标宋简体" w:cs="方正小标宋简体"/>
          <w:b w:val="0"/>
          <w:color w:val="auto"/>
          <w:sz w:val="44"/>
          <w:szCs w:val="44"/>
          <w:highlight w:val="none"/>
          <w:lang w:eastAsia="zh-CN"/>
        </w:rPr>
        <w:t>单位决算情况说明</w:t>
      </w:r>
      <w:bookmarkEnd w:id="16"/>
      <w:bookmarkEnd w:id="17"/>
    </w:p>
    <w:p>
      <w:pPr>
        <w:pStyle w:val="2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1"/>
        <w:rPr>
          <w:rStyle w:val="27"/>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18"/>
      <w:bookmarkEnd w:id="19"/>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406.09</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年相比，收、支总计各增加</w:t>
      </w:r>
      <w:r>
        <w:rPr>
          <w:rFonts w:hint="eastAsia" w:ascii="仿宋_GB2312" w:hAnsi="仿宋_GB2312" w:eastAsia="仿宋_GB2312" w:cs="仿宋_GB2312"/>
          <w:color w:val="auto"/>
          <w:sz w:val="32"/>
          <w:szCs w:val="32"/>
          <w:highlight w:val="none"/>
          <w:lang w:val="en-US" w:eastAsia="zh-CN"/>
        </w:rPr>
        <w:t>59.1</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17.03</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val="en-US" w:eastAsia="zh-CN"/>
        </w:rPr>
        <w:t>人员增加引起的基本支出增加；二是2021年项目支出增加。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（图1：收、支决算总计变动情况图）（柱状图）</w:t>
      </w:r>
    </w:p>
    <w:p>
      <w:pPr>
        <w:pStyle w:val="17"/>
        <w:keepNext w:val="0"/>
        <w:keepLines w:val="0"/>
        <w:pageBreakBefore w:val="0"/>
        <w:widowControl w:val="0"/>
        <w:kinsoku/>
        <w:overflowPunct/>
        <w:topLinePunct w:val="0"/>
        <w:bidi w:val="0"/>
        <w:jc w:val="center"/>
      </w:pPr>
      <w:r>
        <w:drawing>
          <wp:inline distT="0" distB="0" distL="114300" distR="114300">
            <wp:extent cx="2988310" cy="1814830"/>
            <wp:effectExtent l="4445" t="5080" r="17145" b="889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outlineLvl w:val="1"/>
        <w:rPr>
          <w:rStyle w:val="27"/>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0"/>
      <w:bookmarkEnd w:id="2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250.57</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250.56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（图2：收入决算结构图）（饼状图）</w:t>
      </w:r>
    </w:p>
    <w:p>
      <w:pPr>
        <w:keepNext w:val="0"/>
        <w:keepLines w:val="0"/>
        <w:pageBreakBefore w:val="0"/>
        <w:widowControl w:val="0"/>
        <w:kinsoku/>
        <w:overflowPunct/>
        <w:topLinePunct w:val="0"/>
        <w:bidi w:val="0"/>
        <w:jc w:val="center"/>
      </w:pPr>
      <w:r>
        <w:drawing>
          <wp:inline distT="0" distB="0" distL="114300" distR="114300">
            <wp:extent cx="3019425" cy="1808480"/>
            <wp:effectExtent l="4445" t="4445" r="5080" b="1587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outlineLvl w:val="1"/>
        <w:rPr>
          <w:rStyle w:val="27"/>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22"/>
      <w:bookmarkEnd w:id="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226.51</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135.17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59.67</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91.35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40.33</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（图3：支出决算结构图）（饼状图）</w:t>
      </w:r>
    </w:p>
    <w:p>
      <w:pPr>
        <w:keepNext w:val="0"/>
        <w:keepLines w:val="0"/>
        <w:pageBreakBefore w:val="0"/>
        <w:widowControl w:val="0"/>
        <w:kinsoku/>
        <w:overflowPunct/>
        <w:topLinePunct w:val="0"/>
        <w:bidi w:val="0"/>
        <w:jc w:val="center"/>
      </w:pPr>
      <w:r>
        <w:drawing>
          <wp:inline distT="0" distB="0" distL="114300" distR="114300">
            <wp:extent cx="3159125" cy="1677035"/>
            <wp:effectExtent l="4445" t="4445" r="17780" b="1397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Style w:val="27"/>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24"/>
      <w:bookmarkEnd w:id="25"/>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405.99</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年相比，财政拨款收、支总计各增加</w:t>
      </w:r>
      <w:r>
        <w:rPr>
          <w:rFonts w:hint="eastAsia" w:ascii="仿宋_GB2312" w:hAnsi="仿宋_GB2312" w:eastAsia="仿宋_GB2312" w:cs="仿宋_GB2312"/>
          <w:color w:val="auto"/>
          <w:sz w:val="32"/>
          <w:szCs w:val="32"/>
          <w:highlight w:val="none"/>
          <w:lang w:val="en-US" w:eastAsia="zh-CN"/>
        </w:rPr>
        <w:t>59.13</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17.05</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val="en-US" w:eastAsia="zh-CN"/>
        </w:rPr>
        <w:t>人员增加引起的基本支出增加；二是2021年项目支出增加。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（图4：财政拨款收、支决算总计变动情况）（柱状图）</w:t>
      </w:r>
    </w:p>
    <w:p>
      <w:pPr>
        <w:keepNext w:val="0"/>
        <w:keepLines w:val="0"/>
        <w:pageBreakBefore w:val="0"/>
        <w:widowControl w:val="0"/>
        <w:kinsoku/>
        <w:overflowPunct/>
        <w:topLinePunct w:val="0"/>
        <w:bidi w:val="0"/>
        <w:jc w:val="center"/>
      </w:pPr>
      <w:r>
        <w:drawing>
          <wp:inline distT="0" distB="0" distL="114300" distR="114300">
            <wp:extent cx="3295650" cy="1767840"/>
            <wp:effectExtent l="5080" t="4445" r="13970" b="184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27"/>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28" w:name="_Toc15377210"/>
      <w:r>
        <w:rPr>
          <w:rFonts w:hint="eastAsia" w:ascii="楷体_GB2312" w:hAnsi="楷体_GB2312" w:eastAsia="楷体_GB2312" w:cs="楷体_GB2312"/>
          <w:b w:val="0"/>
          <w:bCs/>
          <w:color w:val="auto"/>
          <w:sz w:val="32"/>
          <w:szCs w:val="32"/>
          <w:highlight w:val="none"/>
        </w:rPr>
        <w:t>（一）一般公共预算财政拨款支出决算总体情况</w:t>
      </w:r>
      <w:bookmarkEnd w:id="28"/>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226.48</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99.98</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116.85</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106.59</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val="en-US" w:eastAsia="zh-CN"/>
        </w:rPr>
        <w:t>人员增加引起的基本支出增加；二是2021年项目支出增加。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pacing w:val="-20"/>
          <w:sz w:val="32"/>
          <w:szCs w:val="32"/>
          <w:highlight w:val="none"/>
        </w:rPr>
      </w:pPr>
      <w:r>
        <w:rPr>
          <w:rFonts w:hint="eastAsia" w:ascii="仿宋_GB2312" w:hAnsi="仿宋_GB2312" w:eastAsia="仿宋_GB2312" w:cs="仿宋_GB2312"/>
          <w:color w:val="auto"/>
          <w:spacing w:val="-20"/>
          <w:sz w:val="32"/>
          <w:szCs w:val="32"/>
          <w:highlight w:val="none"/>
        </w:rPr>
        <w:t>（图5：一般公共预算财政拨款支出决算变动情况）（柱状图）</w:t>
      </w:r>
    </w:p>
    <w:p>
      <w:pPr>
        <w:pStyle w:val="17"/>
        <w:keepNext w:val="0"/>
        <w:keepLines w:val="0"/>
        <w:pageBreakBefore w:val="0"/>
        <w:widowControl w:val="0"/>
        <w:kinsoku/>
        <w:overflowPunct/>
        <w:topLinePunct w:val="0"/>
        <w:bidi w:val="0"/>
        <w:jc w:val="center"/>
      </w:pPr>
      <w:r>
        <w:drawing>
          <wp:inline distT="0" distB="0" distL="114300" distR="114300">
            <wp:extent cx="3509010" cy="1586230"/>
            <wp:effectExtent l="4445" t="4445" r="10795" b="9525"/>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29" w:name="_Toc15377211"/>
      <w:r>
        <w:rPr>
          <w:rFonts w:hint="eastAsia" w:ascii="楷体_GB2312" w:hAnsi="楷体_GB2312" w:eastAsia="楷体_GB2312" w:cs="楷体_GB2312"/>
          <w:b w:val="0"/>
          <w:bCs/>
          <w:color w:val="auto"/>
          <w:sz w:val="32"/>
          <w:szCs w:val="32"/>
          <w:highlight w:val="none"/>
        </w:rPr>
        <w:t>（二）一般公共预算财政拨款支出决算结构情况</w:t>
      </w:r>
      <w:bookmarkEnd w:id="29"/>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226.48</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b/>
          <w:color w:val="auto"/>
          <w:sz w:val="32"/>
          <w:szCs w:val="32"/>
          <w:highlight w:val="none"/>
        </w:rPr>
        <w:t>一般公共服务（类）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169.89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75.01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社会保障和就业（类）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34.96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15.44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Fonts w:hint="eastAsia" w:ascii="仿宋_GB2312" w:hAnsi="仿宋_GB2312" w:eastAsia="仿宋_GB2312" w:cs="仿宋_GB2312"/>
          <w:b/>
          <w:color w:val="auto"/>
          <w:sz w:val="32"/>
          <w:szCs w:val="32"/>
          <w:highlight w:val="none"/>
        </w:rPr>
        <w:t>（类）</w:t>
      </w:r>
      <w:r>
        <w:rPr>
          <w:rFonts w:hint="eastAsia" w:ascii="仿宋_GB2312" w:hAnsi="仿宋_GB2312" w:eastAsia="仿宋_GB2312" w:cs="仿宋_GB2312"/>
          <w:b w:val="0"/>
          <w:bCs w:val="0"/>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4.1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1.81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住房保障</w:t>
      </w:r>
      <w:r>
        <w:rPr>
          <w:rFonts w:hint="eastAsia" w:ascii="仿宋_GB2312" w:hAnsi="仿宋_GB2312" w:eastAsia="仿宋_GB2312" w:cs="仿宋_GB2312"/>
          <w:b/>
          <w:color w:val="auto"/>
          <w:sz w:val="32"/>
          <w:szCs w:val="32"/>
          <w:highlight w:val="none"/>
        </w:rPr>
        <w:t>（类）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17.53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7.74</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（图6：一般公共预算财政拨款支出决算结构）（饼状图）</w:t>
      </w:r>
    </w:p>
    <w:p>
      <w:pPr>
        <w:pStyle w:val="17"/>
        <w:keepNext w:val="0"/>
        <w:keepLines w:val="0"/>
        <w:pageBreakBefore w:val="0"/>
        <w:widowControl w:val="0"/>
        <w:kinsoku/>
        <w:overflowPunct/>
        <w:topLinePunct w:val="0"/>
        <w:bidi w:val="0"/>
        <w:jc w:val="center"/>
      </w:pPr>
      <w:r>
        <w:drawing>
          <wp:inline distT="0" distB="0" distL="114300" distR="114300">
            <wp:extent cx="3517265" cy="1941830"/>
            <wp:effectExtent l="4445" t="4445" r="21590" b="1587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keepNext w:val="0"/>
        <w:keepLines w:val="0"/>
        <w:pageBreakBefore w:val="0"/>
        <w:widowControl w:val="0"/>
        <w:kinsoku/>
        <w:wordWrap/>
        <w:overflowPunct/>
        <w:topLinePunct w:val="0"/>
        <w:bidi w:val="0"/>
        <w:snapToGrid/>
        <w:spacing w:line="576" w:lineRule="exact"/>
        <w:ind w:firstLine="640" w:firstLineChars="200"/>
        <w:jc w:val="both"/>
        <w:textAlignment w:val="auto"/>
        <w:outlineLvl w:val="2"/>
        <w:rPr>
          <w:rFonts w:hint="eastAsia" w:ascii="楷体_GB2312" w:hAnsi="楷体_GB2312" w:eastAsia="楷体_GB2312" w:cs="楷体_GB2312"/>
          <w:b w:val="0"/>
          <w:bCs/>
          <w:color w:val="auto"/>
          <w:sz w:val="32"/>
          <w:szCs w:val="32"/>
          <w:highlight w:val="none"/>
        </w:rPr>
      </w:pPr>
      <w:bookmarkStart w:id="30" w:name="_Toc15377212"/>
      <w:r>
        <w:rPr>
          <w:rFonts w:hint="eastAsia" w:ascii="楷体_GB2312" w:hAnsi="楷体_GB2312" w:eastAsia="楷体_GB2312" w:cs="楷体_GB2312"/>
          <w:b w:val="0"/>
          <w:bCs/>
          <w:color w:val="auto"/>
          <w:sz w:val="32"/>
          <w:szCs w:val="32"/>
          <w:highlight w:val="none"/>
        </w:rPr>
        <w:t>（三）一般公共预算财政拨款支出决算具体情况</w:t>
      </w:r>
      <w:bookmarkEnd w:id="30"/>
    </w:p>
    <w:p>
      <w:pPr>
        <w:keepNext w:val="0"/>
        <w:keepLines w:val="0"/>
        <w:pageBreakBefore w:val="0"/>
        <w:widowControl w:val="0"/>
        <w:kinsoku/>
        <w:wordWrap/>
        <w:overflowPunct/>
        <w:topLinePunct w:val="0"/>
        <w:bidi w:val="0"/>
        <w:snapToGrid/>
        <w:spacing w:line="576" w:lineRule="exact"/>
        <w:ind w:firstLine="642" w:firstLineChars="200"/>
        <w:jc w:val="both"/>
        <w:textAlignment w:val="auto"/>
        <w:outlineLvl w:val="2"/>
        <w:rPr>
          <w:rFonts w:hint="eastAsia" w:ascii="仿宋_GB2312" w:hAnsi="仿宋_GB2312" w:eastAsia="仿宋_GB2312" w:cs="仿宋_GB2312"/>
          <w:color w:val="auto"/>
          <w:sz w:val="32"/>
          <w:szCs w:val="32"/>
          <w:highlight w:val="none"/>
        </w:rPr>
      </w:pPr>
      <w:bookmarkStart w:id="31" w:name="_Toc15377213"/>
      <w:bookmarkStart w:id="32" w:name="_Toc15377444"/>
      <w:bookmarkStart w:id="33" w:name="_Toc15378460"/>
      <w:r>
        <w:rPr>
          <w:rFonts w:hint="eastAsia" w:ascii="仿宋_GB2312" w:hAnsi="仿宋_GB2312" w:eastAsia="仿宋_GB2312" w:cs="仿宋_GB2312"/>
          <w:b/>
          <w:color w:val="auto"/>
          <w:sz w:val="32"/>
          <w:szCs w:val="32"/>
          <w:highlight w:val="none"/>
        </w:rPr>
        <w:t>20</w:t>
      </w:r>
      <w:r>
        <w:rPr>
          <w:rFonts w:hint="eastAsia" w:ascii="仿宋_GB2312" w:hAnsi="仿宋_GB2312" w:eastAsia="仿宋_GB2312" w:cs="仿宋_GB2312"/>
          <w:b/>
          <w:color w:val="auto"/>
          <w:sz w:val="32"/>
          <w:szCs w:val="32"/>
          <w:highlight w:val="none"/>
          <w:lang w:val="en-US" w:eastAsia="zh-CN"/>
        </w:rPr>
        <w:t>21</w:t>
      </w:r>
      <w:r>
        <w:rPr>
          <w:rFonts w:hint="eastAsia" w:ascii="仿宋_GB2312" w:hAnsi="仿宋_GB2312" w:eastAsia="仿宋_GB2312" w:cs="仿宋_GB2312"/>
          <w:b/>
          <w:color w:val="auto"/>
          <w:sz w:val="32"/>
          <w:szCs w:val="32"/>
          <w:highlight w:val="none"/>
        </w:rPr>
        <w:t>年</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eastAsia="仿宋_GB2312" w:cs="仿宋_GB2312"/>
          <w:b/>
          <w:color w:val="auto"/>
          <w:sz w:val="32"/>
          <w:szCs w:val="32"/>
          <w:highlight w:val="none"/>
          <w:lang w:val="en-US" w:eastAsia="zh-CN"/>
        </w:rPr>
        <w:t>226.48万元</w:t>
      </w:r>
      <w:r>
        <w:rPr>
          <w:rFonts w:hint="eastAsia" w:ascii="仿宋_GB2312" w:hAnsi="仿宋_GB2312" w:eastAsia="仿宋_GB2312" w:cs="仿宋_GB2312"/>
          <w:color w:val="auto"/>
          <w:sz w:val="32"/>
          <w:szCs w:val="32"/>
          <w:highlight w:val="none"/>
        </w:rPr>
        <w:t>，</w:t>
      </w:r>
      <w:r>
        <w:rPr>
          <w:rStyle w:val="15"/>
          <w:rFonts w:hint="eastAsia" w:ascii="仿宋_GB2312" w:hAnsi="仿宋_GB2312" w:eastAsia="仿宋_GB2312" w:cs="仿宋_GB2312"/>
          <w:bCs/>
          <w:color w:val="auto"/>
          <w:sz w:val="32"/>
          <w:szCs w:val="32"/>
          <w:highlight w:val="none"/>
        </w:rPr>
        <w:t>完成预算</w:t>
      </w:r>
      <w:r>
        <w:rPr>
          <w:rStyle w:val="15"/>
          <w:rFonts w:hint="eastAsia" w:ascii="仿宋_GB2312" w:hAnsi="仿宋_GB2312" w:eastAsia="仿宋_GB2312" w:cs="仿宋_GB2312"/>
          <w:bCs/>
          <w:color w:val="auto"/>
          <w:sz w:val="32"/>
          <w:szCs w:val="32"/>
          <w:highlight w:val="none"/>
          <w:lang w:val="en-US" w:eastAsia="zh-CN"/>
        </w:rPr>
        <w:t>55.78</w:t>
      </w:r>
      <w:r>
        <w:rPr>
          <w:rStyle w:val="15"/>
          <w:rFonts w:hint="eastAsia" w:ascii="仿宋_GB2312" w:hAnsi="仿宋_GB2312" w:eastAsia="仿宋_GB2312" w:cs="仿宋_GB2312"/>
          <w:bCs/>
          <w:color w:val="auto"/>
          <w:sz w:val="32"/>
          <w:szCs w:val="32"/>
          <w:highlight w:val="none"/>
        </w:rPr>
        <w:t>%。其中：</w:t>
      </w:r>
      <w:bookmarkEnd w:id="31"/>
      <w:bookmarkEnd w:id="32"/>
      <w:bookmarkEnd w:id="33"/>
    </w:p>
    <w:p>
      <w:pPr>
        <w:keepNext w:val="0"/>
        <w:keepLines w:val="0"/>
        <w:pageBreakBefore w:val="0"/>
        <w:widowControl w:val="0"/>
        <w:kinsoku/>
        <w:wordWrap/>
        <w:overflowPunct/>
        <w:topLinePunct w:val="0"/>
        <w:bidi w:val="0"/>
        <w:snapToGrid/>
        <w:spacing w:line="576" w:lineRule="exact"/>
        <w:ind w:firstLine="642" w:firstLineChars="200"/>
        <w:jc w:val="both"/>
        <w:textAlignment w:val="auto"/>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Cs/>
          <w:color w:val="auto"/>
          <w:sz w:val="32"/>
          <w:szCs w:val="32"/>
          <w:highlight w:val="none"/>
        </w:rPr>
        <w:t>1.一般公共服务（类）</w:t>
      </w:r>
      <w:r>
        <w:rPr>
          <w:rStyle w:val="15"/>
          <w:rFonts w:hint="eastAsia" w:ascii="仿宋_GB2312" w:hAnsi="仿宋_GB2312" w:eastAsia="仿宋_GB2312" w:cs="仿宋_GB2312"/>
          <w:bCs/>
          <w:color w:val="auto"/>
          <w:sz w:val="32"/>
          <w:szCs w:val="32"/>
          <w:highlight w:val="none"/>
          <w:lang w:val="en-US" w:eastAsia="zh-CN"/>
        </w:rPr>
        <w:t>财政事务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事业运行</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eastAsia="仿宋_GB2312" w:cs="仿宋_GB2312"/>
          <w:b w:val="0"/>
          <w:bCs/>
          <w:color w:val="auto"/>
          <w:sz w:val="32"/>
          <w:szCs w:val="32"/>
          <w:highlight w:val="none"/>
          <w:lang w:val="en-US" w:eastAsia="zh-CN"/>
        </w:rPr>
        <w:t>78.54</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99.9</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基本持平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napToGrid/>
        <w:spacing w:line="576" w:lineRule="exact"/>
        <w:ind w:firstLine="642" w:firstLineChars="200"/>
        <w:jc w:val="both"/>
        <w:textAlignment w:val="auto"/>
        <w:rPr>
          <w:rFonts w:hint="eastAsia" w:ascii="仿宋_GB2312" w:hAnsi="仿宋_GB2312" w:eastAsia="仿宋_GB2312" w:cs="仿宋_GB2312"/>
          <w:b/>
          <w:color w:val="auto"/>
          <w:sz w:val="32"/>
          <w:szCs w:val="32"/>
          <w:highlight w:val="none"/>
        </w:rPr>
      </w:pPr>
      <w:r>
        <w:rPr>
          <w:rStyle w:val="15"/>
          <w:rFonts w:hint="eastAsia" w:ascii="仿宋_GB2312" w:hAnsi="仿宋_GB2312" w:eastAsia="仿宋_GB2312" w:cs="仿宋_GB2312"/>
          <w:bCs/>
          <w:color w:val="auto"/>
          <w:sz w:val="32"/>
          <w:szCs w:val="32"/>
          <w:highlight w:val="none"/>
        </w:rPr>
        <w:t>2.一般公共服务（类）</w:t>
      </w:r>
      <w:r>
        <w:rPr>
          <w:rStyle w:val="15"/>
          <w:rFonts w:hint="eastAsia" w:ascii="仿宋_GB2312" w:hAnsi="仿宋_GB2312" w:eastAsia="仿宋_GB2312" w:cs="仿宋_GB2312"/>
          <w:bCs/>
          <w:color w:val="auto"/>
          <w:sz w:val="32"/>
          <w:szCs w:val="32"/>
          <w:highlight w:val="none"/>
          <w:lang w:val="en-US" w:eastAsia="zh-CN"/>
        </w:rPr>
        <w:t>财政事务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其他财政事务支出</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eastAsia="仿宋_GB2312" w:cs="仿宋_GB2312"/>
          <w:b w:val="0"/>
          <w:bCs/>
          <w:color w:val="auto"/>
          <w:sz w:val="32"/>
          <w:szCs w:val="32"/>
          <w:highlight w:val="none"/>
          <w:lang w:val="en-US" w:eastAsia="zh-CN"/>
        </w:rPr>
        <w:t>91.35</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33.74</w:t>
      </w:r>
      <w:r>
        <w:rPr>
          <w:rStyle w:val="15"/>
          <w:rFonts w:hint="eastAsia" w:ascii="仿宋_GB2312" w:hAnsi="仿宋_GB2312" w:eastAsia="仿宋_GB2312" w:cs="仿宋_GB2312"/>
          <w:b w:val="0"/>
          <w:bCs/>
          <w:color w:val="auto"/>
          <w:sz w:val="32"/>
          <w:szCs w:val="32"/>
          <w:highlight w:val="none"/>
        </w:rPr>
        <w:t>%，决算数小于预算数的主要原因是</w:t>
      </w:r>
      <w:r>
        <w:rPr>
          <w:rStyle w:val="15"/>
          <w:rFonts w:hint="eastAsia" w:ascii="仿宋_GB2312" w:hAnsi="仿宋_GB2312" w:eastAsia="仿宋_GB2312" w:cs="仿宋_GB2312"/>
          <w:b w:val="0"/>
          <w:bCs/>
          <w:color w:val="000000"/>
          <w:sz w:val="32"/>
          <w:szCs w:val="32"/>
        </w:rPr>
        <w:t>项目支出202</w:t>
      </w:r>
      <w:r>
        <w:rPr>
          <w:rStyle w:val="15"/>
          <w:rFonts w:hint="eastAsia" w:ascii="仿宋_GB2312" w:hAnsi="仿宋_GB2312" w:eastAsia="仿宋_GB2312" w:cs="仿宋_GB2312"/>
          <w:b w:val="0"/>
          <w:bCs/>
          <w:color w:val="000000"/>
          <w:sz w:val="32"/>
          <w:szCs w:val="32"/>
          <w:lang w:val="en-US" w:eastAsia="zh-CN"/>
        </w:rPr>
        <w:t>1</w:t>
      </w:r>
      <w:r>
        <w:rPr>
          <w:rStyle w:val="15"/>
          <w:rFonts w:hint="eastAsia" w:ascii="仿宋_GB2312" w:hAnsi="仿宋_GB2312" w:eastAsia="仿宋_GB2312" w:cs="仿宋_GB2312"/>
          <w:b w:val="0"/>
          <w:bCs/>
          <w:color w:val="000000"/>
          <w:sz w:val="32"/>
          <w:szCs w:val="32"/>
        </w:rPr>
        <w:t>年未完成，202</w:t>
      </w:r>
      <w:r>
        <w:rPr>
          <w:rStyle w:val="15"/>
          <w:rFonts w:hint="eastAsia" w:ascii="仿宋_GB2312" w:hAnsi="仿宋_GB2312" w:eastAsia="仿宋_GB2312" w:cs="仿宋_GB2312"/>
          <w:b w:val="0"/>
          <w:bCs/>
          <w:color w:val="000000"/>
          <w:sz w:val="32"/>
          <w:szCs w:val="32"/>
          <w:lang w:val="en-US" w:eastAsia="zh-CN"/>
        </w:rPr>
        <w:t>2</w:t>
      </w:r>
      <w:r>
        <w:rPr>
          <w:rStyle w:val="15"/>
          <w:rFonts w:hint="eastAsia" w:ascii="仿宋_GB2312" w:hAnsi="仿宋_GB2312" w:eastAsia="仿宋_GB2312" w:cs="仿宋_GB2312"/>
          <w:b w:val="0"/>
          <w:bCs/>
          <w:color w:val="000000"/>
          <w:sz w:val="32"/>
          <w:szCs w:val="32"/>
        </w:rPr>
        <w:t>年还将继续实施</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napToGrid/>
        <w:spacing w:line="576" w:lineRule="exact"/>
        <w:ind w:firstLine="642" w:firstLineChars="200"/>
        <w:jc w:val="both"/>
        <w:textAlignment w:val="auto"/>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Cs/>
          <w:color w:val="auto"/>
          <w:sz w:val="32"/>
          <w:szCs w:val="32"/>
          <w:highlight w:val="none"/>
        </w:rPr>
        <w:t>3.社会保障和就业（类）</w:t>
      </w:r>
      <w:r>
        <w:rPr>
          <w:rStyle w:val="15"/>
          <w:rFonts w:hint="eastAsia" w:ascii="仿宋_GB2312" w:hAnsi="仿宋_GB2312" w:eastAsia="仿宋_GB2312" w:cs="仿宋_GB2312"/>
          <w:bCs/>
          <w:color w:val="auto"/>
          <w:sz w:val="32"/>
          <w:szCs w:val="32"/>
          <w:highlight w:val="none"/>
          <w:lang w:val="en-US" w:eastAsia="zh-CN"/>
        </w:rPr>
        <w:t>人力资源和社会保障管理事务支出</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其他人力资源和社会保障管理事务支出</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eastAsia="仿宋_GB2312" w:cs="仿宋_GB2312"/>
          <w:b w:val="0"/>
          <w:bCs/>
          <w:color w:val="auto"/>
          <w:sz w:val="32"/>
          <w:szCs w:val="32"/>
          <w:highlight w:val="none"/>
          <w:lang w:val="en-US" w:eastAsia="zh-CN"/>
        </w:rPr>
        <w:t>16.6</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napToGrid/>
        <w:spacing w:line="576" w:lineRule="exact"/>
        <w:ind w:firstLine="642" w:firstLineChars="200"/>
        <w:jc w:val="both"/>
        <w:textAlignment w:val="auto"/>
        <w:rPr>
          <w:rFonts w:hint="eastAsia" w:ascii="仿宋_GB2312" w:hAnsi="仿宋_GB2312" w:eastAsia="仿宋_GB2312" w:cs="仿宋_GB2312"/>
          <w:b/>
          <w:color w:val="auto"/>
          <w:sz w:val="32"/>
          <w:szCs w:val="32"/>
          <w:highlight w:val="none"/>
        </w:rPr>
      </w:pPr>
      <w:r>
        <w:rPr>
          <w:rStyle w:val="15"/>
          <w:rFonts w:hint="eastAsia" w:ascii="仿宋_GB2312" w:hAnsi="仿宋_GB2312" w:eastAsia="仿宋_GB2312" w:cs="仿宋_GB2312"/>
          <w:bCs/>
          <w:color w:val="auto"/>
          <w:sz w:val="32"/>
          <w:szCs w:val="32"/>
          <w:highlight w:val="none"/>
        </w:rPr>
        <w:t>4.社会保障和就业（类）</w:t>
      </w:r>
      <w:r>
        <w:rPr>
          <w:rStyle w:val="15"/>
          <w:rFonts w:hint="eastAsia" w:ascii="仿宋_GB2312" w:hAnsi="仿宋_GB2312" w:eastAsia="仿宋_GB2312" w:cs="仿宋_GB2312"/>
          <w:bCs/>
          <w:color w:val="auto"/>
          <w:sz w:val="32"/>
          <w:szCs w:val="32"/>
          <w:highlight w:val="none"/>
          <w:lang w:val="en-US" w:eastAsia="zh-CN"/>
        </w:rPr>
        <w:t>行政事业单位养老支出</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机关事业单位基本养老保险缴费支出</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7.9</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napToGrid/>
        <w:spacing w:line="576" w:lineRule="exact"/>
        <w:ind w:firstLine="642" w:firstLineChars="200"/>
        <w:jc w:val="both"/>
        <w:textAlignment w:val="auto"/>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Cs/>
          <w:color w:val="auto"/>
          <w:sz w:val="32"/>
          <w:szCs w:val="32"/>
          <w:highlight w:val="none"/>
        </w:rPr>
        <w:t>5.社会保障和就业（类）</w:t>
      </w:r>
      <w:r>
        <w:rPr>
          <w:rStyle w:val="15"/>
          <w:rFonts w:hint="eastAsia" w:ascii="仿宋_GB2312" w:hAnsi="仿宋_GB2312" w:eastAsia="仿宋_GB2312" w:cs="仿宋_GB2312"/>
          <w:bCs/>
          <w:color w:val="auto"/>
          <w:sz w:val="32"/>
          <w:szCs w:val="32"/>
          <w:highlight w:val="none"/>
          <w:lang w:val="en-US" w:eastAsia="zh-CN"/>
        </w:rPr>
        <w:t>行政事业单位养老支出</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机关事业单位职业年金缴费支出</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eastAsia="仿宋_GB2312" w:cs="仿宋_GB2312"/>
          <w:b w:val="0"/>
          <w:bCs/>
          <w:color w:val="auto"/>
          <w:sz w:val="32"/>
          <w:szCs w:val="32"/>
          <w:highlight w:val="none"/>
          <w:lang w:val="en-US" w:eastAsia="zh-CN"/>
        </w:rPr>
        <w:t>8.05</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napToGrid/>
        <w:spacing w:line="576" w:lineRule="exact"/>
        <w:ind w:firstLine="642" w:firstLineChars="200"/>
        <w:jc w:val="both"/>
        <w:textAlignment w:val="auto"/>
        <w:rPr>
          <w:rFonts w:hint="eastAsia" w:ascii="仿宋_GB2312" w:hAnsi="仿宋_GB2312" w:eastAsia="仿宋_GB2312" w:cs="仿宋_GB2312"/>
          <w:b/>
          <w:color w:val="auto"/>
          <w:sz w:val="32"/>
          <w:szCs w:val="32"/>
          <w:highlight w:val="none"/>
        </w:rPr>
      </w:pPr>
      <w:r>
        <w:rPr>
          <w:rStyle w:val="15"/>
          <w:rFonts w:hint="eastAsia" w:ascii="仿宋_GB2312" w:hAnsi="仿宋_GB2312" w:eastAsia="仿宋_GB2312" w:cs="仿宋_GB2312"/>
          <w:bCs/>
          <w:color w:val="auto"/>
          <w:sz w:val="32"/>
          <w:szCs w:val="32"/>
          <w:highlight w:val="none"/>
        </w:rPr>
        <w:t>6.社会保障和就业（类）</w:t>
      </w:r>
      <w:r>
        <w:rPr>
          <w:rStyle w:val="15"/>
          <w:rFonts w:hint="eastAsia" w:ascii="仿宋_GB2312" w:hAnsi="仿宋_GB2312" w:eastAsia="仿宋_GB2312" w:cs="仿宋_GB2312"/>
          <w:bCs/>
          <w:color w:val="auto"/>
          <w:sz w:val="32"/>
          <w:szCs w:val="32"/>
          <w:highlight w:val="none"/>
          <w:lang w:val="en-US" w:eastAsia="zh-CN"/>
        </w:rPr>
        <w:t>其他社会保障和就业支出（</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其他社会保障和就业支出</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eastAsia="仿宋_GB2312" w:cs="仿宋_GB2312"/>
          <w:b w:val="0"/>
          <w:bCs/>
          <w:color w:val="auto"/>
          <w:sz w:val="32"/>
          <w:szCs w:val="32"/>
          <w:highlight w:val="none"/>
          <w:lang w:val="en-US" w:eastAsia="zh-CN"/>
        </w:rPr>
        <w:t>2.4</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napToGrid/>
        <w:spacing w:line="576" w:lineRule="exact"/>
        <w:ind w:firstLine="642" w:firstLineChars="200"/>
        <w:jc w:val="both"/>
        <w:textAlignment w:val="auto"/>
        <w:rPr>
          <w:rStyle w:val="15"/>
          <w:rFonts w:hint="eastAsia" w:ascii="仿宋_GB2312" w:hAnsi="仿宋_GB2312" w:eastAsia="仿宋_GB2312" w:cs="仿宋_GB2312"/>
          <w:bCs/>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7</w:t>
      </w:r>
      <w:r>
        <w:rPr>
          <w:rStyle w:val="15"/>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Style w:val="15"/>
          <w:rFonts w:hint="eastAsia" w:ascii="仿宋_GB2312" w:hAnsi="仿宋_GB2312" w:eastAsia="仿宋_GB2312" w:cs="仿宋_GB2312"/>
          <w:bCs/>
          <w:color w:val="auto"/>
          <w:sz w:val="32"/>
          <w:szCs w:val="32"/>
          <w:highlight w:val="none"/>
        </w:rPr>
        <w:t>（类）</w:t>
      </w:r>
      <w:r>
        <w:rPr>
          <w:rStyle w:val="15"/>
          <w:rFonts w:hint="eastAsia" w:ascii="仿宋_GB2312" w:hAnsi="仿宋_GB2312" w:eastAsia="仿宋_GB2312" w:cs="仿宋_GB2312"/>
          <w:bCs/>
          <w:color w:val="auto"/>
          <w:sz w:val="32"/>
          <w:szCs w:val="32"/>
          <w:highlight w:val="none"/>
          <w:lang w:val="en-US" w:eastAsia="zh-CN"/>
        </w:rPr>
        <w:t>行政事业单位医疗</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事业单位医疗</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4.1</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napToGrid/>
        <w:spacing w:line="576" w:lineRule="exact"/>
        <w:ind w:firstLine="642" w:firstLineChars="200"/>
        <w:jc w:val="both"/>
        <w:textAlignment w:val="auto"/>
        <w:rPr>
          <w:rFonts w:hint="eastAsia" w:ascii="仿宋_GB2312" w:hAnsi="仿宋_GB2312" w:eastAsia="仿宋_GB2312" w:cs="仿宋_GB2312"/>
        </w:rPr>
      </w:pPr>
      <w:r>
        <w:rPr>
          <w:rStyle w:val="15"/>
          <w:rFonts w:hint="eastAsia" w:ascii="仿宋_GB2312" w:hAnsi="仿宋_GB2312" w:eastAsia="仿宋_GB2312" w:cs="仿宋_GB2312"/>
          <w:bCs/>
          <w:color w:val="auto"/>
          <w:sz w:val="32"/>
          <w:szCs w:val="32"/>
          <w:highlight w:val="none"/>
          <w:lang w:val="en-US" w:eastAsia="zh-CN"/>
        </w:rPr>
        <w:t>8</w:t>
      </w:r>
      <w:r>
        <w:rPr>
          <w:rStyle w:val="15"/>
          <w:rFonts w:hint="eastAsia" w:ascii="仿宋_GB2312" w:hAnsi="仿宋_GB2312" w:eastAsia="仿宋_GB2312" w:cs="仿宋_GB2312"/>
          <w:bCs/>
          <w:color w:val="auto"/>
          <w:sz w:val="32"/>
          <w:szCs w:val="32"/>
          <w:highlight w:val="none"/>
        </w:rPr>
        <w:t>.</w:t>
      </w:r>
      <w:r>
        <w:rPr>
          <w:rStyle w:val="15"/>
          <w:rFonts w:hint="eastAsia" w:ascii="仿宋_GB2312" w:hAnsi="仿宋_GB2312" w:eastAsia="仿宋_GB2312" w:cs="仿宋_GB2312"/>
          <w:bCs/>
          <w:color w:val="000000"/>
          <w:sz w:val="32"/>
          <w:szCs w:val="32"/>
        </w:rPr>
        <w:t>住房保障（类）住房改革</w:t>
      </w:r>
      <w:r>
        <w:rPr>
          <w:rStyle w:val="15"/>
          <w:rFonts w:hint="eastAsia" w:ascii="仿宋_GB2312" w:hAnsi="仿宋_GB2312" w:eastAsia="仿宋_GB2312" w:cs="仿宋_GB2312"/>
          <w:bCs/>
          <w:color w:val="000000"/>
          <w:sz w:val="32"/>
          <w:szCs w:val="32"/>
          <w:lang w:val="en-US" w:eastAsia="zh-CN"/>
        </w:rPr>
        <w:t>支出</w:t>
      </w:r>
      <w:r>
        <w:rPr>
          <w:rStyle w:val="15"/>
          <w:rFonts w:hint="eastAsia" w:ascii="仿宋_GB2312" w:hAnsi="仿宋_GB2312" w:eastAsia="仿宋_GB2312" w:cs="仿宋_GB2312"/>
          <w:bCs/>
          <w:color w:val="000000"/>
          <w:sz w:val="32"/>
          <w:szCs w:val="32"/>
        </w:rPr>
        <w:t>（款）住房公积金（项）:</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17.53</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w:t>
      </w:r>
      <w:r>
        <w:rPr>
          <w:rStyle w:val="15"/>
          <w:rFonts w:hint="eastAsia" w:ascii="仿宋_GB2312" w:hAnsi="仿宋_GB2312" w:eastAsia="仿宋_GB2312" w:cs="仿宋_GB2312"/>
          <w:b w:val="0"/>
          <w:bCs/>
          <w:color w:val="000000"/>
          <w:sz w:val="32"/>
          <w:szCs w:val="32"/>
        </w:rPr>
        <w:t>%，</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tabs>
          <w:tab w:val="right" w:pos="8306"/>
        </w:tabs>
        <w:kinsoku/>
        <w:wordWrap/>
        <w:overflowPunct/>
        <w:topLinePunct w:val="0"/>
        <w:bidi w:val="0"/>
        <w:snapToGrid/>
        <w:spacing w:line="576" w:lineRule="exact"/>
        <w:ind w:firstLine="640" w:firstLineChars="200"/>
        <w:jc w:val="both"/>
        <w:textAlignment w:val="auto"/>
        <w:outlineLvl w:val="1"/>
        <w:rPr>
          <w:rStyle w:val="27"/>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34"/>
      <w:bookmarkEnd w:id="35"/>
      <w:r>
        <w:rPr>
          <w:rStyle w:val="27"/>
          <w:rFonts w:ascii="黑体" w:hAnsi="黑体" w:eastAsia="黑体"/>
          <w:b w:val="0"/>
          <w:color w:val="auto"/>
          <w:highlight w:val="none"/>
        </w:rPr>
        <w:tab/>
      </w:r>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135.13</w:t>
      </w:r>
      <w:r>
        <w:rPr>
          <w:rFonts w:hint="eastAsia" w:ascii="仿宋_GB2312" w:hAnsi="仿宋_GB2312" w:eastAsia="仿宋_GB2312" w:cs="仿宋_GB2312"/>
          <w:color w:val="auto"/>
          <w:sz w:val="32"/>
          <w:szCs w:val="32"/>
          <w:highlight w:val="none"/>
        </w:rPr>
        <w:t>万元，其中：</w:t>
      </w:r>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129</w:t>
      </w:r>
      <w:r>
        <w:rPr>
          <w:rFonts w:hint="eastAsia" w:ascii="仿宋_GB2312" w:hAnsi="仿宋_GB2312" w:eastAsia="仿宋_GB2312" w:cs="仿宋_GB2312"/>
          <w:color w:val="auto"/>
          <w:sz w:val="32"/>
          <w:szCs w:val="32"/>
          <w:highlight w:val="none"/>
        </w:rPr>
        <w:t>万元，主要包括：基本工资、津贴补贴、奖金、伙食补助费、绩效工资、机关事业单位基本养老保险缴费、职业年金缴费、</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_GB2312" w:hAnsi="仿宋_GB2312" w:eastAsia="仿宋_GB2312" w:cs="仿宋_GB2312"/>
          <w:color w:val="auto"/>
          <w:sz w:val="32"/>
          <w:szCs w:val="32"/>
          <w:highlight w:val="none"/>
        </w:rPr>
        <w:t>其他社会保障缴费、住房公积金、其他工资福利支出、其他对个人和家庭的补助支出等。</w:t>
      </w:r>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6.13</w:t>
      </w:r>
      <w:r>
        <w:rPr>
          <w:rFonts w:hint="eastAsia" w:ascii="仿宋_GB2312" w:hAnsi="仿宋_GB2312" w:eastAsia="仿宋_GB2312" w:cs="仿宋_GB2312"/>
          <w:color w:val="auto"/>
          <w:sz w:val="32"/>
          <w:szCs w:val="32"/>
          <w:highlight w:val="none"/>
        </w:rPr>
        <w:t>万元，主要包括：办公费、差旅费、工会经费、福利费、其他商品和服务支出。</w:t>
      </w:r>
    </w:p>
    <w:p>
      <w:pPr>
        <w:keepNext w:val="0"/>
        <w:keepLines w:val="0"/>
        <w:pageBreakBefore w:val="0"/>
        <w:widowControl w:val="0"/>
        <w:kinsoku/>
        <w:wordWrap/>
        <w:overflowPunct/>
        <w:topLinePunct w:val="0"/>
        <w:bidi w:val="0"/>
        <w:snapToGrid/>
        <w:spacing w:line="576" w:lineRule="exact"/>
        <w:ind w:firstLine="640" w:firstLineChars="200"/>
        <w:jc w:val="both"/>
        <w:textAlignment w:val="auto"/>
        <w:outlineLvl w:val="1"/>
        <w:rPr>
          <w:rFonts w:ascii="仿宋" w:hAnsi="仿宋" w:eastAsia="仿宋"/>
          <w:b/>
          <w:color w:val="auto"/>
          <w:sz w:val="32"/>
          <w:szCs w:val="32"/>
          <w:highlight w:val="none"/>
        </w:rPr>
      </w:pPr>
      <w:bookmarkStart w:id="36" w:name="_Toc15377215"/>
      <w:bookmarkStart w:id="37" w:name="_Toc15396609"/>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36"/>
      <w:bookmarkEnd w:id="37"/>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年初未安排</w:t>
      </w:r>
      <w:r>
        <w:rPr>
          <w:rFonts w:hint="eastAsia" w:ascii="仿宋_GB2312" w:hAnsi="仿宋_GB2312" w:eastAsia="仿宋_GB2312" w:cs="仿宋_GB2312"/>
          <w:color w:val="auto"/>
          <w:sz w:val="32"/>
          <w:szCs w:val="32"/>
          <w:highlight w:val="none"/>
        </w:rPr>
        <w:t>“三公”经费</w:t>
      </w:r>
      <w:r>
        <w:rPr>
          <w:rFonts w:hint="eastAsia" w:ascii="仿宋_GB2312" w:hAnsi="仿宋_GB2312" w:eastAsia="仿宋_GB2312" w:cs="仿宋_GB2312"/>
          <w:color w:val="auto"/>
          <w:sz w:val="32"/>
          <w:szCs w:val="32"/>
          <w:highlight w:val="none"/>
          <w:lang w:val="en-US" w:eastAsia="zh-CN"/>
        </w:rPr>
        <w:t>预算。2021年</w:t>
      </w:r>
      <w:r>
        <w:rPr>
          <w:rFonts w:hint="eastAsia" w:ascii="仿宋_GB2312" w:hAnsi="仿宋_GB2312" w:eastAsia="仿宋_GB2312" w:cs="仿宋_GB2312"/>
          <w:color w:val="auto"/>
          <w:sz w:val="32"/>
          <w:szCs w:val="32"/>
          <w:highlight w:val="none"/>
        </w:rPr>
        <w:t>“三公”经费财政拨款支出</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一致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无</w:t>
      </w:r>
      <w:r>
        <w:rPr>
          <w:rFonts w:hint="eastAsia" w:ascii="仿宋_GB2312" w:hAnsi="仿宋_GB2312" w:eastAsia="仿宋_GB2312" w:cs="仿宋_GB2312"/>
          <w:color w:val="auto"/>
          <w:sz w:val="32"/>
          <w:szCs w:val="32"/>
          <w:highlight w:val="none"/>
        </w:rPr>
        <w:t>公务用车</w:t>
      </w:r>
      <w:r>
        <w:rPr>
          <w:rFonts w:hint="eastAsia" w:ascii="仿宋_GB2312" w:hAnsi="仿宋_GB2312" w:eastAsia="仿宋_GB2312" w:cs="仿宋_GB2312"/>
          <w:color w:val="auto"/>
          <w:sz w:val="32"/>
          <w:szCs w:val="32"/>
          <w:highlight w:val="none"/>
          <w:lang w:val="en-US" w:eastAsia="zh-CN"/>
        </w:rPr>
        <w:t>保有量</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snapToGrid/>
        <w:spacing w:line="576" w:lineRule="exact"/>
        <w:ind w:firstLine="640" w:firstLineChars="200"/>
        <w:jc w:val="both"/>
        <w:textAlignment w:val="auto"/>
        <w:outlineLvl w:val="1"/>
        <w:rPr>
          <w:rStyle w:val="27"/>
          <w:rFonts w:ascii="黑体" w:hAnsi="黑体" w:eastAsia="黑体"/>
          <w:color w:val="auto"/>
          <w:highlight w:val="none"/>
        </w:rPr>
      </w:pPr>
      <w:bookmarkStart w:id="38" w:name="_Toc15396610"/>
      <w:bookmarkStart w:id="39" w:name="_Toc15377218"/>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38"/>
      <w:bookmarkEnd w:id="39"/>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年本单位未在政府性基金预算拨款安排“三公经费”支出。</w:t>
      </w:r>
    </w:p>
    <w:p>
      <w:pPr>
        <w:keepNext w:val="0"/>
        <w:keepLines w:val="0"/>
        <w:pageBreakBefore w:val="0"/>
        <w:widowControl w:val="0"/>
        <w:numPr>
          <w:ilvl w:val="0"/>
          <w:numId w:val="1"/>
        </w:numPr>
        <w:kinsoku/>
        <w:wordWrap/>
        <w:overflowPunct/>
        <w:topLinePunct w:val="0"/>
        <w:bidi w:val="0"/>
        <w:snapToGrid/>
        <w:spacing w:line="576" w:lineRule="exact"/>
        <w:ind w:firstLine="640" w:firstLineChars="200"/>
        <w:jc w:val="both"/>
        <w:textAlignment w:val="auto"/>
        <w:outlineLvl w:val="1"/>
        <w:rPr>
          <w:rStyle w:val="27"/>
          <w:rFonts w:ascii="黑体" w:hAnsi="黑体" w:eastAsia="黑体"/>
          <w:b w:val="0"/>
          <w:color w:val="auto"/>
          <w:highlight w:val="none"/>
        </w:rPr>
      </w:pPr>
      <w:bookmarkStart w:id="40" w:name="_Toc15377219"/>
      <w:bookmarkStart w:id="41" w:name="_Toc15396611"/>
      <w:r>
        <w:rPr>
          <w:rStyle w:val="27"/>
          <w:rFonts w:hint="eastAsia" w:ascii="黑体" w:hAnsi="黑体" w:eastAsia="黑体"/>
          <w:b w:val="0"/>
          <w:color w:val="auto"/>
          <w:highlight w:val="none"/>
        </w:rPr>
        <w:t>国有资本经营预算支出决算情况说明</w:t>
      </w:r>
      <w:bookmarkEnd w:id="40"/>
      <w:bookmarkEnd w:id="41"/>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keepNext w:val="0"/>
        <w:keepLines w:val="0"/>
        <w:pageBreakBefore w:val="0"/>
        <w:widowControl w:val="0"/>
        <w:numPr>
          <w:ilvl w:val="0"/>
          <w:numId w:val="1"/>
        </w:numPr>
        <w:kinsoku/>
        <w:wordWrap/>
        <w:overflowPunct/>
        <w:topLinePunct w:val="0"/>
        <w:bidi w:val="0"/>
        <w:snapToGrid/>
        <w:spacing w:line="576" w:lineRule="exact"/>
        <w:ind w:firstLine="640" w:firstLineChars="200"/>
        <w:jc w:val="both"/>
        <w:textAlignment w:val="auto"/>
        <w:outlineLvl w:val="1"/>
        <w:rPr>
          <w:rStyle w:val="27"/>
          <w:rFonts w:hint="eastAsia" w:ascii="黑体" w:hAnsi="黑体" w:eastAsia="黑体"/>
          <w:b w:val="0"/>
          <w:color w:val="auto"/>
          <w:highlight w:val="none"/>
        </w:rPr>
      </w:pPr>
      <w:bookmarkStart w:id="42" w:name="_Toc15377221"/>
      <w:bookmarkStart w:id="43" w:name="_Toc15396612"/>
      <w:r>
        <w:rPr>
          <w:rStyle w:val="27"/>
          <w:rFonts w:hint="eastAsia" w:ascii="黑体" w:hAnsi="黑体" w:eastAsia="黑体"/>
          <w:b w:val="0"/>
          <w:color w:val="auto"/>
          <w:highlight w:val="none"/>
          <w:lang w:val="en-US" w:eastAsia="zh-CN"/>
        </w:rPr>
        <w:t>预算绩效管理情况</w:t>
      </w:r>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预算编制阶段，组织对第三方绩效评价工作经费项目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4个项目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1"/>
        </w:numPr>
        <w:kinsoku/>
        <w:wordWrap/>
        <w:overflowPunct/>
        <w:topLinePunct w:val="0"/>
        <w:bidi w:val="0"/>
        <w:snapToGrid/>
        <w:spacing w:line="576" w:lineRule="exact"/>
        <w:ind w:firstLine="640" w:firstLineChars="200"/>
        <w:jc w:val="both"/>
        <w:textAlignment w:val="auto"/>
        <w:outlineLvl w:val="1"/>
        <w:rPr>
          <w:rStyle w:val="27"/>
          <w:rFonts w:hint="eastAsia" w:ascii="黑体" w:hAnsi="黑体" w:eastAsia="黑体"/>
          <w:b w:val="0"/>
          <w:color w:val="auto"/>
          <w:highlight w:val="none"/>
        </w:rPr>
      </w:pPr>
      <w:r>
        <w:rPr>
          <w:rStyle w:val="27"/>
          <w:rFonts w:hint="eastAsia" w:ascii="黑体" w:hAnsi="黑体" w:eastAsia="黑体"/>
          <w:b w:val="0"/>
          <w:color w:val="auto"/>
          <w:highlight w:val="none"/>
        </w:rPr>
        <w:t>其他重要事项的情况说明</w:t>
      </w:r>
      <w:bookmarkEnd w:id="42"/>
      <w:bookmarkEnd w:id="43"/>
    </w:p>
    <w:p>
      <w:pPr>
        <w:keepNext w:val="0"/>
        <w:keepLines w:val="0"/>
        <w:pageBreakBefore w:val="0"/>
        <w:widowControl w:val="0"/>
        <w:kinsoku/>
        <w:wordWrap/>
        <w:overflowPunct/>
        <w:topLinePunct w:val="0"/>
        <w:bidi w:val="0"/>
        <w:snapToGrid/>
        <w:spacing w:line="576" w:lineRule="exact"/>
        <w:ind w:firstLine="640" w:firstLineChars="200"/>
        <w:jc w:val="both"/>
        <w:textAlignment w:val="auto"/>
        <w:outlineLvl w:val="2"/>
        <w:rPr>
          <w:rFonts w:hint="eastAsia" w:ascii="楷体_GB2312" w:hAnsi="楷体_GB2312" w:eastAsia="楷体_GB2312" w:cs="楷体_GB2312"/>
          <w:b w:val="0"/>
          <w:bCs/>
          <w:color w:val="auto"/>
          <w:sz w:val="32"/>
          <w:szCs w:val="32"/>
          <w:highlight w:val="none"/>
        </w:rPr>
      </w:pPr>
      <w:bookmarkStart w:id="44" w:name="_Toc15377222"/>
      <w:r>
        <w:rPr>
          <w:rFonts w:hint="eastAsia" w:ascii="楷体_GB2312" w:hAnsi="楷体_GB2312" w:eastAsia="楷体_GB2312" w:cs="楷体_GB2312"/>
          <w:b w:val="0"/>
          <w:bCs/>
          <w:color w:val="auto"/>
          <w:sz w:val="32"/>
          <w:szCs w:val="32"/>
          <w:highlight w:val="none"/>
        </w:rPr>
        <w:t>（一）机关运行经费支出情况</w:t>
      </w:r>
      <w:bookmarkEnd w:id="44"/>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highlight w:val="none"/>
        </w:rPr>
      </w:pPr>
      <w:bookmarkStart w:id="45" w:name="_Toc15377223"/>
      <w:r>
        <w:rPr>
          <w:rFonts w:hint="eastAsia" w:ascii="仿宋_GB2312" w:hAnsi="仿宋_GB2312" w:eastAsia="仿宋_GB2312" w:cs="仿宋_GB2312"/>
          <w:b w:val="0"/>
          <w:bCs/>
          <w:color w:val="auto"/>
          <w:sz w:val="32"/>
          <w:szCs w:val="32"/>
          <w:highlight w:val="none"/>
          <w:lang w:val="en-US" w:eastAsia="zh-CN"/>
        </w:rPr>
        <w:t>2021年</w:t>
      </w:r>
      <w:r>
        <w:rPr>
          <w:rFonts w:hint="eastAsia" w:ascii="仿宋_GB2312" w:hAnsi="仿宋_GB2312" w:eastAsia="仿宋_GB2312" w:cs="仿宋_GB2312"/>
          <w:b w:val="0"/>
          <w:bCs/>
          <w:i w:val="0"/>
          <w:iCs w:val="0"/>
          <w:caps w:val="0"/>
          <w:color w:val="000000"/>
          <w:spacing w:val="0"/>
          <w:sz w:val="32"/>
          <w:szCs w:val="32"/>
          <w:highlight w:val="none"/>
        </w:rPr>
        <w:t>未发生机关运行经费支出</w:t>
      </w:r>
      <w:r>
        <w:rPr>
          <w:rFonts w:hint="eastAsia" w:ascii="仿宋_GB2312" w:hAnsi="仿宋_GB2312" w:eastAsia="仿宋_GB2312" w:cs="仿宋_GB2312"/>
          <w:b w:val="0"/>
          <w:bCs/>
          <w:i w:val="0"/>
          <w:iCs w:val="0"/>
          <w:caps w:val="0"/>
          <w:color w:val="000000"/>
          <w:spacing w:val="0"/>
          <w:sz w:val="32"/>
          <w:szCs w:val="32"/>
          <w:highlight w:val="none"/>
          <w:lang w:eastAsia="zh-CN"/>
        </w:rPr>
        <w:t>，</w:t>
      </w:r>
      <w:r>
        <w:rPr>
          <w:rFonts w:hint="eastAsia" w:ascii="仿宋_GB2312" w:hAnsi="仿宋_GB2312" w:eastAsia="仿宋_GB2312" w:cs="仿宋_GB2312"/>
          <w:b w:val="0"/>
          <w:bCs/>
          <w:i w:val="0"/>
          <w:iCs w:val="0"/>
          <w:caps w:val="0"/>
          <w:color w:val="000000"/>
          <w:spacing w:val="0"/>
          <w:sz w:val="32"/>
          <w:szCs w:val="32"/>
          <w:highlight w:val="none"/>
          <w:lang w:val="en-US" w:eastAsia="zh-CN"/>
        </w:rPr>
        <w:t>与2020年决算数持平。</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（二）政府采购支出情况</w:t>
      </w:r>
      <w:bookmarkEnd w:id="45"/>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广元市财政绩效管理中心</w:t>
      </w:r>
      <w:r>
        <w:rPr>
          <w:rFonts w:hint="eastAsia" w:ascii="仿宋_GB2312" w:hAnsi="仿宋_GB2312" w:eastAsia="仿宋_GB2312" w:cs="仿宋_GB2312"/>
          <w:color w:val="auto"/>
          <w:sz w:val="32"/>
          <w:szCs w:val="32"/>
          <w:highlight w:val="none"/>
        </w:rPr>
        <w:t>政府采购支出总额</w:t>
      </w:r>
      <w:r>
        <w:rPr>
          <w:rFonts w:hint="eastAsia" w:ascii="仿宋_GB2312" w:hAnsi="仿宋_GB2312" w:eastAsia="仿宋_GB2312" w:cs="仿宋_GB2312"/>
          <w:color w:val="auto"/>
          <w:sz w:val="32"/>
          <w:szCs w:val="32"/>
          <w:highlight w:val="none"/>
          <w:lang w:val="en-US" w:eastAsia="zh-CN"/>
        </w:rPr>
        <w:t>1.52</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1.52</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办公打印纸采购</w:t>
      </w:r>
      <w:r>
        <w:rPr>
          <w:rFonts w:hint="eastAsia" w:ascii="仿宋_GB2312" w:hAnsi="仿宋_GB2312" w:eastAsia="仿宋_GB2312" w:cs="仿宋_GB2312"/>
          <w:color w:val="auto"/>
          <w:sz w:val="32"/>
          <w:szCs w:val="32"/>
          <w:highlight w:val="none"/>
        </w:rPr>
        <w:t>。授予中小企业合同金额</w:t>
      </w:r>
      <w:r>
        <w:rPr>
          <w:rFonts w:hint="eastAsia" w:ascii="仿宋_GB2312" w:hAnsi="仿宋_GB2312" w:eastAsia="仿宋_GB2312" w:cs="仿宋_GB2312"/>
          <w:color w:val="auto"/>
          <w:sz w:val="32"/>
          <w:szCs w:val="32"/>
          <w:highlight w:val="none"/>
          <w:lang w:val="en-US" w:eastAsia="zh-CN"/>
        </w:rPr>
        <w:t>1.52</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1.52</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outlineLvl w:val="2"/>
        <w:rPr>
          <w:rFonts w:hint="eastAsia" w:ascii="楷体_GB2312" w:hAnsi="楷体_GB2312" w:eastAsia="楷体_GB2312" w:cs="楷体_GB2312"/>
          <w:b w:val="0"/>
          <w:bCs/>
          <w:color w:val="auto"/>
          <w:sz w:val="32"/>
          <w:szCs w:val="32"/>
          <w:highlight w:val="none"/>
        </w:rPr>
      </w:pPr>
      <w:bookmarkStart w:id="46" w:name="_Toc15377224"/>
      <w:r>
        <w:rPr>
          <w:rFonts w:hint="eastAsia" w:ascii="楷体_GB2312" w:hAnsi="楷体_GB2312" w:eastAsia="楷体_GB2312" w:cs="楷体_GB2312"/>
          <w:b w:val="0"/>
          <w:bCs/>
          <w:color w:val="auto"/>
          <w:sz w:val="32"/>
          <w:szCs w:val="32"/>
          <w:highlight w:val="none"/>
        </w:rPr>
        <w:t>（三）国有资产占有使用情况</w:t>
      </w:r>
      <w:bookmarkEnd w:id="46"/>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eastAsia="仿宋_GB2312"/>
          <w:highlight w:val="yellow"/>
          <w:lang w:eastAsia="zh-CN"/>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广元市财政绩效管理中心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keepNext w:val="0"/>
        <w:keepLines w:val="0"/>
        <w:pageBreakBefore w:val="0"/>
        <w:widowControl w:val="0"/>
        <w:kinsoku/>
        <w:overflowPunct/>
        <w:topLinePunct w:val="0"/>
        <w:bidi w:val="0"/>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pStyle w:val="3"/>
        <w:keepNext w:val="0"/>
        <w:keepLines w:val="0"/>
        <w:pageBreakBefore w:val="0"/>
        <w:widowControl w:val="0"/>
        <w:kinsoku/>
        <w:wordWrap/>
        <w:overflowPunct/>
        <w:topLinePunct w:val="0"/>
        <w:autoSpaceDE/>
        <w:autoSpaceDN/>
        <w:bidi w:val="0"/>
        <w:adjustRightInd/>
        <w:snapToGrid/>
        <w:spacing w:before="157" w:beforeLines="50" w:after="469" w:afterLines="150" w:line="576" w:lineRule="exact"/>
        <w:jc w:val="center"/>
        <w:textAlignment w:val="auto"/>
        <w:rPr>
          <w:rFonts w:hint="eastAsia" w:ascii="方正小标宋简体" w:hAnsi="方正小标宋简体" w:eastAsia="方正小标宋简体" w:cs="方正小标宋简体"/>
          <w:b w:val="0"/>
          <w:color w:val="auto"/>
          <w:sz w:val="44"/>
          <w:szCs w:val="44"/>
          <w:highlight w:val="none"/>
          <w:lang w:eastAsia="zh-CN"/>
        </w:rPr>
      </w:pPr>
      <w:bookmarkStart w:id="47" w:name="_Toc15396613"/>
      <w:bookmarkStart w:id="48" w:name="_Toc15377225"/>
      <w:r>
        <w:rPr>
          <w:rFonts w:hint="eastAsia" w:ascii="方正小标宋简体" w:hAnsi="方正小标宋简体" w:eastAsia="方正小标宋简体" w:cs="方正小标宋简体"/>
          <w:b w:val="0"/>
          <w:color w:val="auto"/>
          <w:sz w:val="44"/>
          <w:szCs w:val="44"/>
          <w:highlight w:val="none"/>
          <w:lang w:eastAsia="zh-CN"/>
        </w:rPr>
        <w:t>第三部分</w:t>
      </w:r>
      <w:r>
        <w:rPr>
          <w:rFonts w:hint="eastAsia" w:ascii="方正小标宋简体" w:hAnsi="方正小标宋简体" w:eastAsia="方正小标宋简体" w:cs="方正小标宋简体"/>
          <w:b w:val="0"/>
          <w:color w:val="auto"/>
          <w:sz w:val="44"/>
          <w:szCs w:val="44"/>
          <w:highlight w:val="none"/>
          <w:lang w:val="en-US" w:eastAsia="zh-CN"/>
        </w:rPr>
        <w:t xml:space="preserve"> </w:t>
      </w:r>
      <w:r>
        <w:rPr>
          <w:rFonts w:hint="eastAsia" w:ascii="方正小标宋简体" w:hAnsi="方正小标宋简体" w:eastAsia="方正小标宋简体" w:cs="方正小标宋简体"/>
          <w:b w:val="0"/>
          <w:color w:val="auto"/>
          <w:sz w:val="44"/>
          <w:szCs w:val="44"/>
          <w:highlight w:val="none"/>
          <w:lang w:eastAsia="zh-CN"/>
        </w:rPr>
        <w:t>名词解释</w:t>
      </w:r>
      <w:bookmarkEnd w:id="47"/>
      <w:bookmarkEnd w:id="48"/>
    </w:p>
    <w:p>
      <w:pPr>
        <w:pStyle w:val="24"/>
        <w:keepNext w:val="0"/>
        <w:keepLines w:val="0"/>
        <w:pageBreakBefore w:val="0"/>
        <w:widowControl w:val="0"/>
        <w:kinsoku/>
        <w:wordWrap/>
        <w:overflowPunct/>
        <w:topLinePunct w:val="0"/>
        <w:bidi w:val="0"/>
        <w:snapToGrid/>
        <w:spacing w:line="576" w:lineRule="exact"/>
        <w:ind w:firstLine="640" w:firstLineChars="200"/>
        <w:jc w:val="both"/>
        <w:textAlignment w:val="auto"/>
        <w:rPr>
          <w:rFonts w:ascii="仿宋_GB2312" w:eastAsia="仿宋_GB2312"/>
          <w:color w:val="auto"/>
          <w:sz w:val="32"/>
          <w:szCs w:val="32"/>
          <w:highlight w:val="none"/>
        </w:rPr>
      </w:pPr>
      <w:bookmarkStart w:id="49" w:name="_Toc15396614"/>
      <w:bookmarkStart w:id="50"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4"/>
        <w:keepNext w:val="0"/>
        <w:keepLines w:val="0"/>
        <w:pageBreakBefore w:val="0"/>
        <w:widowControl w:val="0"/>
        <w:kinsoku/>
        <w:wordWrap/>
        <w:overflowPunct/>
        <w:topLinePunct w:val="0"/>
        <w:bidi w:val="0"/>
        <w:snapToGrid/>
        <w:spacing w:line="576" w:lineRule="exact"/>
        <w:ind w:firstLine="640" w:firstLineChars="200"/>
        <w:jc w:val="both"/>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val="en-US" w:eastAsia="zh-CN"/>
        </w:rPr>
        <w:t>利息收入、疫情防控专项收入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4"/>
        <w:keepNext w:val="0"/>
        <w:keepLines w:val="0"/>
        <w:pageBreakBefore w:val="0"/>
        <w:widowControl w:val="0"/>
        <w:kinsoku/>
        <w:wordWrap/>
        <w:overflowPunct/>
        <w:topLinePunct w:val="0"/>
        <w:bidi w:val="0"/>
        <w:snapToGrid/>
        <w:spacing w:line="576"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4"/>
        <w:keepNext w:val="0"/>
        <w:keepLines w:val="0"/>
        <w:pageBreakBefore w:val="0"/>
        <w:widowControl w:val="0"/>
        <w:kinsoku/>
        <w:wordWrap/>
        <w:overflowPunct/>
        <w:topLinePunct w:val="0"/>
        <w:bidi w:val="0"/>
        <w:snapToGrid/>
        <w:spacing w:line="576"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shd w:val="clear" w:color="auto" w:fill="FFFFFF"/>
        </w:rPr>
        <w:t>一般公共服务（类）财政事务（款）事业运行（项）：指事业单位用于保障机构正常运行、开展日常工作的基本支出。</w:t>
      </w:r>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.一般公共服务（类）财政事务（款）其他财政事务支出(项）：指事业单位用于除上述项目以外其他财政事务等方面支出。</w:t>
      </w:r>
    </w:p>
    <w:p>
      <w:pPr>
        <w:pStyle w:val="6"/>
        <w:keepNext w:val="0"/>
        <w:keepLines w:val="0"/>
        <w:pageBreakBefore w:val="0"/>
        <w:widowControl w:val="0"/>
        <w:kinsoku/>
        <w:wordWrap/>
        <w:overflowPunct/>
        <w:topLinePunct w:val="0"/>
        <w:bidi w:val="0"/>
        <w:snapToGrid/>
        <w:spacing w:beforeLines="0" w:line="576" w:lineRule="exact"/>
        <w:ind w:firstLine="640" w:firstLineChars="200"/>
        <w:jc w:val="both"/>
        <w:textAlignment w:val="auto"/>
        <w:rPr>
          <w:rFonts w:hint="default" w:eastAsia="仿宋_GB2312"/>
          <w:lang w:val="en-US" w:eastAsia="zh-CN"/>
        </w:rPr>
      </w:pPr>
      <w:r>
        <w:rPr>
          <w:rStyle w:val="15"/>
          <w:rFonts w:hint="eastAsia" w:hAnsi="仿宋_GB2312" w:cs="仿宋_GB2312"/>
          <w:b w:val="0"/>
          <w:sz w:val="32"/>
          <w:szCs w:val="32"/>
          <w:lang w:val="en-US" w:eastAsia="zh-CN"/>
        </w:rPr>
        <w:t>7</w:t>
      </w:r>
      <w:r>
        <w:rPr>
          <w:rStyle w:val="15"/>
          <w:rFonts w:hint="eastAsia" w:ascii="仿宋_GB2312" w:hAnsi="仿宋_GB2312" w:eastAsia="仿宋_GB2312" w:cs="仿宋_GB2312"/>
          <w:b w:val="0"/>
          <w:sz w:val="32"/>
          <w:szCs w:val="32"/>
        </w:rPr>
        <w:t>.社会保障和就业（类）</w:t>
      </w:r>
      <w:r>
        <w:rPr>
          <w:rStyle w:val="15"/>
          <w:rFonts w:hint="eastAsia" w:hAnsi="仿宋_GB2312" w:cs="仿宋_GB2312"/>
          <w:b w:val="0"/>
          <w:sz w:val="32"/>
          <w:szCs w:val="32"/>
          <w:lang w:val="en-US" w:eastAsia="zh-CN"/>
        </w:rPr>
        <w:t>人力资源和社会保障管理事务</w:t>
      </w:r>
      <w:r>
        <w:rPr>
          <w:rStyle w:val="15"/>
          <w:rFonts w:hint="eastAsia" w:ascii="仿宋_GB2312" w:hAnsi="仿宋_GB2312" w:eastAsia="仿宋_GB2312" w:cs="仿宋_GB2312"/>
          <w:b w:val="0"/>
          <w:sz w:val="32"/>
          <w:szCs w:val="32"/>
        </w:rPr>
        <w:t>（款）</w:t>
      </w:r>
      <w:r>
        <w:rPr>
          <w:rStyle w:val="15"/>
          <w:rFonts w:hint="eastAsia" w:hAnsi="仿宋_GB2312" w:cs="仿宋_GB2312"/>
          <w:b w:val="0"/>
          <w:sz w:val="32"/>
          <w:szCs w:val="32"/>
          <w:lang w:val="en-US" w:eastAsia="zh-CN"/>
        </w:rPr>
        <w:t>其他人力资源和社会保障管理事务支出</w:t>
      </w:r>
      <w:r>
        <w:rPr>
          <w:rStyle w:val="15"/>
          <w:rFonts w:hint="eastAsia" w:ascii="仿宋_GB2312" w:hAnsi="仿宋_GB2312" w:eastAsia="仿宋_GB2312" w:cs="仿宋_GB2312"/>
          <w:b w:val="0"/>
          <w:sz w:val="32"/>
          <w:szCs w:val="32"/>
        </w:rPr>
        <w:t>（项）</w:t>
      </w:r>
      <w:r>
        <w:rPr>
          <w:rStyle w:val="15"/>
          <w:rFonts w:hint="eastAsia" w:hAnsi="仿宋_GB2312" w:cs="仿宋_GB2312"/>
          <w:b w:val="0"/>
          <w:sz w:val="32"/>
          <w:szCs w:val="32"/>
          <w:lang w:eastAsia="zh-CN"/>
        </w:rPr>
        <w:t>：</w:t>
      </w:r>
      <w:r>
        <w:rPr>
          <w:rStyle w:val="15"/>
          <w:rFonts w:hint="eastAsia" w:hAnsi="仿宋_GB2312" w:cs="仿宋_GB2312"/>
          <w:b w:val="0"/>
          <w:sz w:val="32"/>
          <w:szCs w:val="32"/>
          <w:lang w:val="en-US" w:eastAsia="zh-CN"/>
        </w:rPr>
        <w:t>指局机关及事业单位其他用于人力资源和社会保障管理事务方面的支出，主要是指引进高层次人才安家补助和工作补助。</w:t>
      </w:r>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sz w:val="32"/>
          <w:szCs w:val="32"/>
          <w:lang w:val="en-US" w:eastAsia="zh-CN"/>
        </w:rPr>
        <w:t>8</w:t>
      </w:r>
      <w:r>
        <w:rPr>
          <w:rStyle w:val="15"/>
          <w:rFonts w:hint="eastAsia" w:ascii="仿宋_GB2312" w:hAnsi="仿宋_GB2312" w:eastAsia="仿宋_GB2312" w:cs="仿宋_GB2312"/>
          <w:b w:val="0"/>
          <w:sz w:val="32"/>
          <w:szCs w:val="32"/>
        </w:rPr>
        <w:t>.社会保障和就业（类）行政事业单位养老支出（款）机关事业单位基本养老保险缴费</w:t>
      </w:r>
      <w:r>
        <w:rPr>
          <w:rStyle w:val="15"/>
          <w:rFonts w:hint="eastAsia" w:ascii="仿宋_GB2312" w:hAnsi="仿宋_GB2312" w:eastAsia="仿宋_GB2312" w:cs="仿宋_GB2312"/>
          <w:b w:val="0"/>
          <w:sz w:val="32"/>
          <w:szCs w:val="32"/>
          <w:lang w:val="en-US" w:eastAsia="zh-CN"/>
        </w:rPr>
        <w:t>支出</w:t>
      </w:r>
      <w:r>
        <w:rPr>
          <w:rStyle w:val="15"/>
          <w:rFonts w:hint="eastAsia" w:ascii="仿宋_GB2312" w:hAnsi="仿宋_GB2312" w:eastAsia="仿宋_GB2312" w:cs="仿宋_GB2312"/>
          <w:b w:val="0"/>
          <w:sz w:val="32"/>
          <w:szCs w:val="32"/>
        </w:rPr>
        <w:t>（项）：指机关事业单位</w:t>
      </w:r>
      <w:r>
        <w:rPr>
          <w:rStyle w:val="15"/>
          <w:rFonts w:hint="eastAsia" w:ascii="仿宋_GB2312" w:hAnsi="仿宋_GB2312" w:eastAsia="仿宋_GB2312" w:cs="仿宋_GB2312"/>
          <w:b w:val="0"/>
          <w:color w:val="000000"/>
          <w:sz w:val="32"/>
          <w:szCs w:val="32"/>
        </w:rPr>
        <w:t>实施养老保险制度由单位缴纳的基本养老保险费支出。</w:t>
      </w:r>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Style w:val="15"/>
          <w:rFonts w:ascii="仿宋_GB2312" w:hAnsi="仿宋_GB2312" w:eastAsia="仿宋_GB2312" w:cs="仿宋_GB2312"/>
          <w:b w:val="0"/>
          <w:sz w:val="32"/>
          <w:szCs w:val="32"/>
        </w:rPr>
      </w:pPr>
      <w:r>
        <w:rPr>
          <w:rStyle w:val="15"/>
          <w:rFonts w:hint="eastAsia" w:ascii="仿宋_GB2312" w:hAnsi="仿宋_GB2312" w:eastAsia="仿宋_GB2312" w:cs="仿宋_GB2312"/>
          <w:b w:val="0"/>
          <w:sz w:val="32"/>
          <w:szCs w:val="32"/>
          <w:lang w:val="en-US" w:eastAsia="zh-CN"/>
        </w:rPr>
        <w:t>9</w:t>
      </w:r>
      <w:r>
        <w:rPr>
          <w:rStyle w:val="15"/>
          <w:rFonts w:hint="eastAsia" w:ascii="仿宋_GB2312" w:hAnsi="仿宋_GB2312" w:eastAsia="仿宋_GB2312" w:cs="仿宋_GB2312"/>
          <w:b w:val="0"/>
          <w:sz w:val="32"/>
          <w:szCs w:val="32"/>
        </w:rPr>
        <w:t>.社会保障和就业（类）行政事业单位养老支出（款）机关事业单位职业年金缴费</w:t>
      </w:r>
      <w:r>
        <w:rPr>
          <w:rStyle w:val="15"/>
          <w:rFonts w:hint="eastAsia" w:ascii="仿宋_GB2312" w:hAnsi="仿宋_GB2312" w:eastAsia="仿宋_GB2312" w:cs="仿宋_GB2312"/>
          <w:b w:val="0"/>
          <w:sz w:val="32"/>
          <w:szCs w:val="32"/>
          <w:lang w:val="en-US" w:eastAsia="zh-CN"/>
        </w:rPr>
        <w:t>支出</w:t>
      </w:r>
      <w:r>
        <w:rPr>
          <w:rStyle w:val="15"/>
          <w:rFonts w:hint="eastAsia" w:ascii="仿宋_GB2312" w:hAnsi="仿宋_GB2312" w:eastAsia="仿宋_GB2312" w:cs="仿宋_GB2312"/>
          <w:b w:val="0"/>
          <w:sz w:val="32"/>
          <w:szCs w:val="32"/>
        </w:rPr>
        <w:t>（项）：指机关事业单位实施养老保险制度由单位实际缴纳的职业年金支出。</w:t>
      </w:r>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Style w:val="15"/>
          <w:rFonts w:hint="eastAsia" w:ascii="仿宋_GB2312" w:hAnsi="仿宋_GB2312" w:eastAsia="仿宋_GB2312" w:cs="仿宋_GB2312"/>
          <w:b w:val="0"/>
          <w:color w:val="000000"/>
          <w:sz w:val="32"/>
          <w:szCs w:val="32"/>
          <w:lang w:val="en-US" w:eastAsia="zh-CN"/>
        </w:rPr>
        <w:t>10</w:t>
      </w:r>
      <w:r>
        <w:rPr>
          <w:rStyle w:val="15"/>
          <w:rFonts w:hint="eastAsia" w:ascii="仿宋_GB2312" w:hAnsi="仿宋_GB2312" w:eastAsia="仿宋_GB2312" w:cs="仿宋_GB2312"/>
          <w:b w:val="0"/>
          <w:color w:val="000000"/>
          <w:sz w:val="32"/>
          <w:szCs w:val="32"/>
        </w:rPr>
        <w:t>.社会保障和就业（类）其他社会保障和就业支出（款）其他社会保障和就业支出（类）：反映其他用于社会保障和就业方面的支出。</w:t>
      </w:r>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Style w:val="15"/>
          <w:rFonts w:ascii="仿宋_GB2312" w:hAnsi="仿宋_GB2312" w:eastAsia="仿宋_GB2312" w:cs="仿宋_GB2312"/>
          <w:sz w:val="32"/>
          <w:szCs w:val="32"/>
        </w:rPr>
      </w:pPr>
      <w:r>
        <w:rPr>
          <w:rStyle w:val="15"/>
          <w:rFonts w:hint="eastAsia" w:ascii="仿宋_GB2312" w:hAnsi="仿宋_GB2312" w:eastAsia="仿宋_GB2312" w:cs="仿宋_GB2312"/>
          <w:b w:val="0"/>
          <w:sz w:val="32"/>
          <w:szCs w:val="32"/>
        </w:rPr>
        <w:t>1</w:t>
      </w:r>
      <w:r>
        <w:rPr>
          <w:rStyle w:val="15"/>
          <w:rFonts w:hint="eastAsia" w:ascii="仿宋_GB2312" w:hAnsi="仿宋_GB2312" w:eastAsia="仿宋_GB2312" w:cs="仿宋_GB2312"/>
          <w:b w:val="0"/>
          <w:sz w:val="32"/>
          <w:szCs w:val="32"/>
          <w:lang w:val="en-US" w:eastAsia="zh-CN"/>
        </w:rPr>
        <w:t>1</w:t>
      </w:r>
      <w:r>
        <w:rPr>
          <w:rStyle w:val="15"/>
          <w:rFonts w:hint="eastAsia" w:ascii="仿宋_GB2312" w:hAnsi="仿宋_GB2312" w:eastAsia="仿宋_GB2312" w:cs="仿宋_GB2312"/>
          <w:b w:val="0"/>
          <w:sz w:val="32"/>
          <w:szCs w:val="32"/>
        </w:rPr>
        <w:t>.卫生健康支出（类）行政事业单位医疗（款）事业单位医疗（项）：指</w:t>
      </w:r>
      <w:r>
        <w:rPr>
          <w:rFonts w:hint="eastAsia" w:ascii="仿宋_GB2312" w:hAnsi="仿宋_GB2312" w:eastAsia="仿宋_GB2312" w:cs="仿宋_GB2312"/>
          <w:sz w:val="32"/>
          <w:szCs w:val="32"/>
          <w:shd w:val="clear" w:color="auto" w:fill="FFFFFF"/>
        </w:rPr>
        <w:t>事业单位用于缴纳单位基本医疗保险支出。</w:t>
      </w:r>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.住房保障（类）住房改革（款）住房公积金（项）：指局机关及事业单位按行政事业单位按人力资源部和社会保障部、财政部规定的基本工资和津贴补贴以及规定比例为职工缴纳的住房公积金。</w:t>
      </w:r>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4"/>
        <w:keepNext w:val="0"/>
        <w:keepLines w:val="0"/>
        <w:pageBreakBefore w:val="0"/>
        <w:widowControl w:val="0"/>
        <w:kinsoku/>
        <w:wordWrap/>
        <w:overflowPunct/>
        <w:topLinePunct w:val="0"/>
        <w:bidi w:val="0"/>
        <w:snapToGrid/>
        <w:spacing w:line="576"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
        <w:keepNext w:val="0"/>
        <w:keepLines w:val="0"/>
        <w:pageBreakBefore w:val="0"/>
        <w:widowControl w:val="0"/>
        <w:kinsoku/>
        <w:wordWrap/>
        <w:overflowPunct/>
        <w:topLinePunct w:val="0"/>
        <w:autoSpaceDE/>
        <w:autoSpaceDN/>
        <w:bidi w:val="0"/>
        <w:adjustRightInd/>
        <w:snapToGrid/>
        <w:spacing w:before="0" w:after="0" w:line="576" w:lineRule="exact"/>
        <w:jc w:val="center"/>
        <w:textAlignment w:val="auto"/>
        <w:rPr>
          <w:rFonts w:hint="eastAsia" w:ascii="方正小标宋简体" w:hAnsi="方正小标宋简体" w:eastAsia="方正小标宋简体" w:cs="方正小标宋简体"/>
          <w:b w:val="0"/>
          <w:color w:val="auto"/>
          <w:sz w:val="44"/>
          <w:szCs w:val="44"/>
          <w:highlight w:val="none"/>
          <w:lang w:eastAsia="zh-CN"/>
        </w:rPr>
      </w:pPr>
      <w:r>
        <w:rPr>
          <w:rFonts w:hint="eastAsia" w:ascii="方正小标宋简体" w:hAnsi="方正小标宋简体" w:eastAsia="方正小标宋简体" w:cs="方正小标宋简体"/>
          <w:b w:val="0"/>
          <w:color w:val="auto"/>
          <w:sz w:val="44"/>
          <w:szCs w:val="44"/>
          <w:highlight w:val="none"/>
          <w:lang w:eastAsia="zh-CN"/>
        </w:rPr>
        <w:t>第四部分 附</w:t>
      </w:r>
      <w:r>
        <w:rPr>
          <w:rFonts w:hint="eastAsia" w:ascii="方正小标宋简体" w:hAnsi="方正小标宋简体" w:eastAsia="方正小标宋简体" w:cs="方正小标宋简体"/>
          <w:b w:val="0"/>
          <w:color w:val="auto"/>
          <w:sz w:val="44"/>
          <w:szCs w:val="44"/>
          <w:highlight w:val="none"/>
          <w:lang w:val="en-US" w:eastAsia="zh-CN"/>
        </w:rPr>
        <w:t xml:space="preserve">  </w:t>
      </w:r>
      <w:r>
        <w:rPr>
          <w:rFonts w:hint="eastAsia" w:ascii="方正小标宋简体" w:hAnsi="方正小标宋简体" w:eastAsia="方正小标宋简体" w:cs="方正小标宋简体"/>
          <w:b w:val="0"/>
          <w:color w:val="auto"/>
          <w:sz w:val="44"/>
          <w:szCs w:val="44"/>
          <w:highlight w:val="none"/>
          <w:lang w:eastAsia="zh-CN"/>
        </w:rPr>
        <w:t>件</w:t>
      </w:r>
      <w:bookmarkEnd w:id="49"/>
    </w:p>
    <w:p>
      <w:pPr>
        <w:pStyle w:val="3"/>
        <w:keepNext w:val="0"/>
        <w:keepLines w:val="0"/>
        <w:pageBreakBefore w:val="0"/>
        <w:widowControl w:val="0"/>
        <w:kinsoku/>
        <w:wordWrap/>
        <w:overflowPunct/>
        <w:topLinePunct w:val="0"/>
        <w:autoSpaceDE/>
        <w:autoSpaceDN/>
        <w:bidi w:val="0"/>
        <w:adjustRightInd/>
        <w:snapToGrid/>
        <w:spacing w:before="0" w:after="0" w:line="576" w:lineRule="exact"/>
        <w:jc w:val="center"/>
        <w:textAlignment w:val="auto"/>
        <w:rPr>
          <w:rFonts w:hint="eastAsia" w:ascii="方正小标宋简体" w:hAnsi="宋体" w:eastAsia="方正小标宋简体"/>
          <w:b w:val="0"/>
          <w:bCs w:val="0"/>
          <w:color w:val="auto"/>
          <w:sz w:val="44"/>
          <w:szCs w:val="44"/>
          <w:lang w:val="en-US" w:eastAsia="zh-CN"/>
        </w:rPr>
      </w:pPr>
      <w:r>
        <w:rPr>
          <w:rFonts w:hint="eastAsia" w:ascii="方正小标宋简体" w:hAnsi="宋体" w:eastAsia="方正小标宋简体"/>
          <w:b w:val="0"/>
          <w:bCs w:val="0"/>
          <w:color w:val="auto"/>
          <w:sz w:val="44"/>
          <w:szCs w:val="44"/>
          <w:lang w:val="en-US" w:eastAsia="zh-CN"/>
        </w:rPr>
        <w:t>广元市财政绩效管理中心</w:t>
      </w:r>
    </w:p>
    <w:p>
      <w:pPr>
        <w:pStyle w:val="33"/>
        <w:keepNext w:val="0"/>
        <w:keepLines w:val="0"/>
        <w:pageBreakBefore w:val="0"/>
        <w:widowControl w:val="0"/>
        <w:kinsoku/>
        <w:wordWrap/>
        <w:overflowPunct/>
        <w:topLinePunct w:val="0"/>
        <w:autoSpaceDE/>
        <w:autoSpaceDN/>
        <w:bidi w:val="0"/>
        <w:spacing w:line="576" w:lineRule="exact"/>
        <w:ind w:left="3520" w:hanging="3520" w:hangingChars="800"/>
        <w:jc w:val="center"/>
        <w:textAlignment w:val="auto"/>
        <w:rPr>
          <w:rFonts w:hint="eastAsia" w:ascii="方正小标宋简体" w:hAnsi="宋体" w:eastAsia="方正小标宋简体"/>
          <w:b w:val="0"/>
          <w:bCs w:val="0"/>
          <w:color w:val="auto"/>
          <w:sz w:val="44"/>
          <w:szCs w:val="44"/>
          <w:lang w:eastAsia="zh-CN"/>
        </w:rPr>
      </w:pPr>
      <w:r>
        <w:rPr>
          <w:rFonts w:hint="eastAsia" w:ascii="方正小标宋简体" w:hAnsi="宋体" w:eastAsia="方正小标宋简体"/>
          <w:b w:val="0"/>
          <w:bCs w:val="0"/>
          <w:color w:val="auto"/>
          <w:sz w:val="44"/>
          <w:szCs w:val="44"/>
          <w:lang w:val="en-US" w:eastAsia="zh-CN"/>
        </w:rPr>
        <w:t>关于2021年度</w:t>
      </w:r>
      <w:r>
        <w:rPr>
          <w:rFonts w:hint="eastAsia" w:ascii="方正小标宋简体" w:hAnsi="宋体" w:eastAsia="方正小标宋简体"/>
          <w:b w:val="0"/>
          <w:bCs w:val="0"/>
          <w:color w:val="auto"/>
          <w:sz w:val="44"/>
          <w:szCs w:val="44"/>
          <w:lang w:eastAsia="zh-CN"/>
        </w:rPr>
        <w:t>第三方绩效评价工作经费项</w:t>
      </w:r>
    </w:p>
    <w:p>
      <w:pPr>
        <w:pStyle w:val="33"/>
        <w:keepNext w:val="0"/>
        <w:keepLines w:val="0"/>
        <w:pageBreakBefore w:val="0"/>
        <w:widowControl w:val="0"/>
        <w:kinsoku/>
        <w:wordWrap/>
        <w:overflowPunct/>
        <w:topLinePunct w:val="0"/>
        <w:autoSpaceDE/>
        <w:autoSpaceDN/>
        <w:bidi w:val="0"/>
        <w:spacing w:line="576" w:lineRule="exact"/>
        <w:ind w:left="3520" w:hanging="3520" w:hangingChars="800"/>
        <w:jc w:val="center"/>
        <w:textAlignment w:val="auto"/>
        <w:rPr>
          <w:rFonts w:hint="eastAsia" w:ascii="楷体_GB2312" w:hAnsi="楷体_GB2312" w:eastAsia="楷体_GB2312" w:cs="楷体_GB2312"/>
          <w:b w:val="0"/>
          <w:bCs w:val="0"/>
          <w:color w:val="auto"/>
          <w:kern w:val="2"/>
          <w:sz w:val="32"/>
          <w:szCs w:val="32"/>
          <w:lang w:val="en-US" w:eastAsia="zh-CN"/>
        </w:rPr>
      </w:pPr>
      <w:r>
        <w:rPr>
          <w:rFonts w:hint="eastAsia" w:ascii="方正小标宋简体" w:hAnsi="宋体" w:eastAsia="方正小标宋简体"/>
          <w:b w:val="0"/>
          <w:bCs w:val="0"/>
          <w:color w:val="auto"/>
          <w:sz w:val="44"/>
          <w:szCs w:val="44"/>
          <w:lang w:eastAsia="zh-CN"/>
        </w:rPr>
        <w:t>目</w:t>
      </w:r>
      <w:r>
        <w:rPr>
          <w:rFonts w:hint="eastAsia" w:ascii="方正小标宋简体" w:hAnsi="宋体" w:eastAsia="方正小标宋简体"/>
          <w:b w:val="0"/>
          <w:bCs w:val="0"/>
          <w:color w:val="auto"/>
          <w:sz w:val="44"/>
          <w:szCs w:val="44"/>
        </w:rPr>
        <w:t>绩效自评报告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b w:val="0"/>
          <w:bCs w:val="0"/>
          <w:color w:val="auto"/>
          <w:sz w:val="32"/>
          <w:szCs w:val="32"/>
          <w:lang w:val="zh-CN"/>
        </w:rPr>
      </w:pPr>
      <w:r>
        <w:rPr>
          <w:rFonts w:hint="eastAsia" w:ascii="黑体" w:hAnsi="宋体" w:eastAsia="黑体"/>
          <w:b w:val="0"/>
          <w:bCs w:val="0"/>
          <w:color w:val="auto"/>
          <w:sz w:val="32"/>
          <w:szCs w:val="32"/>
        </w:rPr>
        <w:t>一、</w:t>
      </w:r>
      <w:r>
        <w:rPr>
          <w:rFonts w:hint="eastAsia" w:ascii="黑体" w:hAnsi="宋体" w:eastAsia="黑体"/>
          <w:b w:val="0"/>
          <w:bCs w:val="0"/>
          <w:color w:val="auto"/>
          <w:sz w:val="32"/>
          <w:szCs w:val="32"/>
          <w:lang w:val="zh-CN"/>
        </w:rPr>
        <w:t>项目概况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本项目根据部门工作职能和年度工作安排确定，为保障第三方绩效评价工作开展纳入预算。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宋体" w:eastAsia="楷体_GB2312"/>
          <w:b w:val="0"/>
          <w:bCs w:val="0"/>
          <w:color w:val="auto"/>
          <w:sz w:val="32"/>
          <w:szCs w:val="32"/>
          <w:lang w:val="zh-CN"/>
        </w:rPr>
        <w:t>（一）项目资金申报及批复情况。</w:t>
      </w:r>
      <w:r>
        <w:rPr>
          <w:rFonts w:hint="eastAsia" w:ascii="仿宋_GB2312" w:hAnsi="仿宋_GB2312" w:eastAsia="仿宋_GB2312" w:cs="仿宋_GB2312"/>
          <w:color w:val="auto"/>
          <w:sz w:val="32"/>
          <w:szCs w:val="32"/>
        </w:rPr>
        <w:t>按照一般公共预算管理要求，年初由市财政绩效管理中心申报项目资金预算，202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 年由广元市财政局通过《广元市财政局关于批复202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年市级部门预算的通知》(广财预〔202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号)文件下达我单位项目资金预算指标</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宋体" w:eastAsia="楷体_GB2312"/>
          <w:b w:val="0"/>
          <w:bCs w:val="0"/>
          <w:color w:val="auto"/>
          <w:sz w:val="32"/>
          <w:szCs w:val="32"/>
          <w:lang w:val="zh-CN"/>
        </w:rPr>
      </w:pPr>
      <w:r>
        <w:rPr>
          <w:rFonts w:hint="eastAsia" w:ascii="楷体_GB2312" w:hAnsi="宋体" w:eastAsia="楷体_GB2312"/>
          <w:b w:val="0"/>
          <w:bCs w:val="0"/>
          <w:color w:val="auto"/>
          <w:sz w:val="32"/>
          <w:szCs w:val="32"/>
          <w:lang w:val="zh-CN"/>
        </w:rPr>
        <w:t>（二）项目绩效目标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rPr>
        <w:t>1.</w:t>
      </w:r>
      <w:r>
        <w:rPr>
          <w:rFonts w:hint="eastAsia" w:ascii="仿宋_GB2312" w:hAnsi="仿宋_GB2312" w:eastAsia="仿宋_GB2312" w:cs="仿宋_GB2312"/>
          <w:color w:val="auto"/>
          <w:sz w:val="32"/>
          <w:szCs w:val="32"/>
        </w:rPr>
        <w:t>项目主要内容。聘请第三方机构开展绩效评价工作，完成项目</w:t>
      </w:r>
      <w:r>
        <w:rPr>
          <w:rFonts w:hint="eastAsia" w:ascii="仿宋_GB2312" w:hAnsi="仿宋_GB2312" w:eastAsia="仿宋_GB2312" w:cs="仿宋_GB2312"/>
          <w:color w:val="auto"/>
          <w:sz w:val="32"/>
          <w:szCs w:val="32"/>
          <w:lang w:val="en-US" w:eastAsia="zh-CN"/>
        </w:rPr>
        <w:t>支出绩效</w:t>
      </w:r>
      <w:r>
        <w:rPr>
          <w:rFonts w:hint="eastAsia" w:ascii="仿宋_GB2312" w:hAnsi="仿宋_GB2312" w:eastAsia="仿宋_GB2312" w:cs="仿宋_GB2312"/>
          <w:color w:val="auto"/>
          <w:sz w:val="32"/>
          <w:szCs w:val="32"/>
        </w:rPr>
        <w:t>评价</w:t>
      </w:r>
      <w:r>
        <w:rPr>
          <w:rFonts w:hint="eastAsia" w:ascii="仿宋_GB2312" w:hAnsi="仿宋_GB2312" w:eastAsia="仿宋_GB2312" w:cs="仿宋_GB2312"/>
          <w:color w:val="auto"/>
          <w:sz w:val="32"/>
          <w:szCs w:val="32"/>
          <w:lang w:val="en-US" w:eastAsia="zh-CN"/>
        </w:rPr>
        <w:t>40</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val="en-US" w:eastAsia="zh-CN"/>
        </w:rPr>
        <w:t>整体支出绩效</w:t>
      </w:r>
      <w:r>
        <w:rPr>
          <w:rFonts w:hint="eastAsia" w:ascii="仿宋_GB2312" w:hAnsi="仿宋_GB2312" w:eastAsia="仿宋_GB2312" w:cs="仿宋_GB2312"/>
          <w:color w:val="auto"/>
          <w:sz w:val="32"/>
          <w:szCs w:val="32"/>
        </w:rPr>
        <w:t>评价</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政策支出绩效评价1个。</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eastAsia="仿宋_GB2312"/>
          <w:color w:val="auto"/>
          <w:sz w:val="32"/>
          <w:szCs w:val="32"/>
        </w:rPr>
        <w:t>2.</w:t>
      </w:r>
      <w:r>
        <w:rPr>
          <w:rFonts w:hint="eastAsia" w:eastAsia="仿宋_GB2312"/>
          <w:color w:val="auto"/>
          <w:sz w:val="32"/>
          <w:szCs w:val="32"/>
        </w:rPr>
        <w:t> </w:t>
      </w:r>
      <w:r>
        <w:rPr>
          <w:rFonts w:hint="eastAsia" w:ascii="仿宋_GB2312" w:hAnsi="仿宋_GB2312" w:eastAsia="仿宋_GB2312" w:cs="仿宋_GB2312"/>
          <w:color w:val="auto"/>
          <w:sz w:val="32"/>
          <w:szCs w:val="32"/>
        </w:rPr>
        <w:t>项目绩效目标。完成部门整体</w:t>
      </w:r>
      <w:r>
        <w:rPr>
          <w:rFonts w:hint="eastAsia" w:ascii="仿宋_GB2312" w:hAnsi="仿宋_GB2312" w:eastAsia="仿宋_GB2312" w:cs="仿宋_GB2312"/>
          <w:color w:val="auto"/>
          <w:sz w:val="32"/>
          <w:szCs w:val="32"/>
          <w:lang w:val="en-US" w:eastAsia="zh-CN"/>
        </w:rPr>
        <w:t>支出、</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和政策支出</w:t>
      </w:r>
      <w:r>
        <w:rPr>
          <w:rFonts w:hint="eastAsia" w:ascii="仿宋_GB2312" w:hAnsi="仿宋_GB2312" w:eastAsia="仿宋_GB2312" w:cs="仿宋_GB2312"/>
          <w:color w:val="auto"/>
          <w:sz w:val="32"/>
          <w:szCs w:val="32"/>
        </w:rPr>
        <w:t>绩效评价，确保评价结果运用于202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年预算安排，使预算和绩效直接挂钩。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color w:val="auto"/>
          <w:sz w:val="32"/>
          <w:szCs w:val="32"/>
          <w:lang w:val="zh-CN"/>
        </w:rPr>
      </w:pPr>
      <w:r>
        <w:rPr>
          <w:rFonts w:hint="eastAsia" w:ascii="楷体_GB2312" w:hAnsi="宋体" w:eastAsia="楷体_GB2312"/>
          <w:b w:val="0"/>
          <w:bCs w:val="0"/>
          <w:color w:val="auto"/>
          <w:sz w:val="32"/>
          <w:szCs w:val="32"/>
          <w:lang w:val="zh-CN"/>
        </w:rPr>
        <w:t>（三）项目资金申报相符性。</w:t>
      </w:r>
      <w:r>
        <w:rPr>
          <w:rFonts w:hint="eastAsia" w:ascii="仿宋_GB2312" w:hAnsi="仿宋_GB2312" w:eastAsia="仿宋_GB2312" w:cs="仿宋_GB2312"/>
          <w:color w:val="auto"/>
          <w:sz w:val="32"/>
          <w:szCs w:val="32"/>
          <w:lang w:val="zh-CN"/>
        </w:rPr>
        <w:t>根据财政部《关于委托第三方机构参与预算绩效管理的指导意见》（财预〔2021〕6 号）规定。遵循“谁委托、谁付费”的原则，综合考虑委托业务的难易程度和工作量、时间与人员资质要求以及第三方机构工作成本等因素，合理确定委托费用并按协议支付。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b w:val="0"/>
          <w:bCs w:val="0"/>
          <w:color w:val="auto"/>
          <w:sz w:val="32"/>
          <w:szCs w:val="32"/>
        </w:rPr>
      </w:pPr>
      <w:r>
        <w:rPr>
          <w:rFonts w:hint="eastAsia" w:ascii="黑体" w:hAnsi="宋体" w:eastAsia="黑体"/>
          <w:b w:val="0"/>
          <w:bCs w:val="0"/>
          <w:color w:val="auto"/>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color w:val="auto"/>
          <w:sz w:val="32"/>
          <w:szCs w:val="32"/>
          <w:lang w:val="zh-CN"/>
        </w:rPr>
      </w:pPr>
      <w:r>
        <w:rPr>
          <w:rFonts w:hint="eastAsia" w:ascii="仿宋_GB2312" w:hAnsi="宋体"/>
          <w:b w:val="0"/>
          <w:bCs w:val="0"/>
          <w:color w:val="auto"/>
          <w:sz w:val="32"/>
          <w:szCs w:val="32"/>
          <w:lang w:val="zh-CN"/>
        </w:rPr>
        <w:tab/>
      </w:r>
      <w:r>
        <w:rPr>
          <w:rFonts w:hint="eastAsia" w:ascii="楷体_GB2312" w:hAnsi="宋体" w:eastAsia="楷体_GB2312"/>
          <w:b w:val="0"/>
          <w:bCs w:val="0"/>
          <w:color w:val="auto"/>
          <w:sz w:val="32"/>
          <w:szCs w:val="32"/>
          <w:lang w:val="zh-CN"/>
        </w:rPr>
        <w:t>（一）资金计划、到位及使用情况</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zh-CN"/>
        </w:rPr>
        <w:t>1</w:t>
      </w:r>
      <w:r>
        <w:rPr>
          <w:rFonts w:hint="eastAsia" w:ascii="仿宋_GB2312" w:hAnsi="仿宋_GB2312" w:cs="仿宋_GB2312"/>
          <w:b/>
          <w:bCs/>
          <w:color w:val="auto"/>
          <w:sz w:val="32"/>
          <w:szCs w:val="32"/>
          <w:lang w:val="zh-CN"/>
        </w:rPr>
        <w:t>.</w:t>
      </w:r>
      <w:r>
        <w:rPr>
          <w:rFonts w:hint="eastAsia" w:ascii="仿宋_GB2312" w:hAnsi="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val="zh-CN"/>
        </w:rPr>
        <w:t>资金计划及到位。</w:t>
      </w:r>
      <w:r>
        <w:rPr>
          <w:rFonts w:hint="eastAsia" w:ascii="仿宋_GB2312" w:hAnsi="仿宋_GB2312" w:eastAsia="仿宋_GB2312" w:cs="仿宋_GB2312"/>
          <w:color w:val="auto"/>
          <w:sz w:val="32"/>
          <w:szCs w:val="32"/>
        </w:rPr>
        <w:t>本项目预算指标为1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万元，截至202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年底，市财政实际拨付资金1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万元，资金拨付率为100%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到位及时</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2．资金使用。</w:t>
      </w:r>
      <w:r>
        <w:rPr>
          <w:rFonts w:hint="eastAsia" w:ascii="仿宋_GB2312" w:hAnsi="仿宋_GB2312" w:eastAsia="仿宋_GB2312" w:cs="仿宋_GB2312"/>
          <w:color w:val="auto"/>
          <w:sz w:val="32"/>
          <w:szCs w:val="32"/>
          <w:lang w:val="en-US" w:eastAsia="zh-CN"/>
        </w:rPr>
        <w:t>2021年度采用竞争性磋商方式引入4家会计师事务所开展工作绩效评价（估）工作，实际支付 63.25万元因4家机构良性竞争，在完成好工作的同时又节约了该项目的预算资金，上年度第三方绩效评价工作经费结转资金100万元，足够支付，因此该项目资金未使用。结转</w:t>
      </w:r>
      <w:r>
        <w:rPr>
          <w:rFonts w:hint="eastAsia" w:ascii="仿宋_GB2312" w:hAnsi="仿宋_GB2312" w:eastAsia="仿宋_GB2312" w:cs="仿宋_GB2312"/>
          <w:color w:val="auto"/>
          <w:sz w:val="32"/>
          <w:szCs w:val="32"/>
          <w:lang w:val="zh-CN"/>
        </w:rPr>
        <w:t>资金开支范围、标准及支付进度合规合法。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宋体" w:eastAsia="楷体_GB2312"/>
          <w:b w:val="0"/>
          <w:bCs w:val="0"/>
          <w:color w:val="auto"/>
          <w:sz w:val="32"/>
          <w:szCs w:val="32"/>
          <w:lang w:val="zh-CN"/>
        </w:rPr>
        <w:t>（二）项目财务管理情况。</w:t>
      </w:r>
      <w:r>
        <w:rPr>
          <w:rFonts w:hint="eastAsia" w:ascii="仿宋_GB2312" w:hAnsi="仿宋_GB2312" w:eastAsia="仿宋_GB2312" w:cs="仿宋_GB2312"/>
          <w:color w:val="auto"/>
          <w:sz w:val="32"/>
          <w:szCs w:val="32"/>
        </w:rPr>
        <w:t>我单位严格按照财务管理相关制度规定，建立健全财务管理制度及内控制度，加强对财政管理专项经费的使用管理，按照专项资金管理办法做好项目实施和监管，及时、规范进行账务处理及会计核算。切实做到专款专用，最大可能发挥专项资金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color w:val="auto"/>
          <w:sz w:val="32"/>
          <w:szCs w:val="32"/>
          <w:lang w:val="zh-CN"/>
        </w:rPr>
      </w:pPr>
      <w:r>
        <w:rPr>
          <w:rFonts w:hint="eastAsia" w:ascii="楷体_GB2312" w:hAnsi="宋体" w:eastAsia="楷体_GB2312"/>
          <w:b w:val="0"/>
          <w:bCs w:val="0"/>
          <w:color w:val="auto"/>
          <w:sz w:val="32"/>
          <w:szCs w:val="32"/>
          <w:lang w:val="zh-CN"/>
        </w:rPr>
        <w:t>（三）项目组织实施情况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按照项目评价要求，明确自评责任人，通过查验资料、报告工作等形式严格自评，做到自评真实不走形式。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b w:val="0"/>
          <w:bCs w:val="0"/>
          <w:color w:val="auto"/>
          <w:sz w:val="32"/>
          <w:szCs w:val="32"/>
          <w:lang w:val="zh-CN"/>
        </w:rPr>
      </w:pPr>
      <w:r>
        <w:rPr>
          <w:rFonts w:hint="eastAsia" w:ascii="黑体" w:hAnsi="宋体" w:eastAsia="黑体"/>
          <w:b w:val="0"/>
          <w:bCs w:val="0"/>
          <w:color w:val="auto"/>
          <w:sz w:val="32"/>
          <w:szCs w:val="32"/>
        </w:rPr>
        <w:t>三、项目绩效情况</w:t>
      </w:r>
      <w:r>
        <w:rPr>
          <w:rFonts w:hint="eastAsia" w:ascii="仿宋_GB2312" w:hAnsi="宋体"/>
          <w:b w:val="0"/>
          <w:bCs w:val="0"/>
          <w:color w:val="auto"/>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color w:val="auto"/>
          <w:sz w:val="32"/>
          <w:szCs w:val="32"/>
          <w:lang w:val="zh-CN"/>
        </w:rPr>
      </w:pPr>
      <w:r>
        <w:rPr>
          <w:rFonts w:hint="eastAsia" w:ascii="楷体_GB2312" w:hAnsi="宋体" w:eastAsia="楷体_GB2312"/>
          <w:b w:val="0"/>
          <w:bCs w:val="0"/>
          <w:color w:val="auto"/>
          <w:sz w:val="32"/>
          <w:szCs w:val="32"/>
          <w:lang w:val="zh-CN"/>
        </w:rPr>
        <w:t>（一）项目完成情况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通过项目实施，</w:t>
      </w:r>
      <w:r>
        <w:rPr>
          <w:rFonts w:hint="eastAsia" w:ascii="仿宋_GB2312" w:hAnsi="仿宋_GB2312" w:eastAsia="仿宋_GB2312" w:cs="仿宋_GB2312"/>
          <w:color w:val="auto"/>
          <w:sz w:val="32"/>
          <w:szCs w:val="32"/>
          <w:lang w:val="en-US" w:eastAsia="zh-CN"/>
        </w:rPr>
        <w:t>2021年度</w:t>
      </w:r>
      <w:r>
        <w:rPr>
          <w:rFonts w:hint="eastAsia" w:ascii="仿宋_GB2312" w:hAnsi="仿宋_GB2312" w:eastAsia="仿宋_GB2312" w:cs="仿宋_GB2312"/>
          <w:color w:val="auto"/>
          <w:sz w:val="32"/>
          <w:szCs w:val="32"/>
        </w:rPr>
        <w:t>完成2个政策</w:t>
      </w:r>
      <w:r>
        <w:rPr>
          <w:rFonts w:hint="eastAsia" w:ascii="仿宋_GB2312" w:hAnsi="仿宋_GB2312" w:eastAsia="仿宋_GB2312" w:cs="仿宋_GB2312"/>
          <w:color w:val="auto"/>
          <w:sz w:val="32"/>
          <w:szCs w:val="32"/>
          <w:lang w:val="en-US" w:eastAsia="zh-CN"/>
        </w:rPr>
        <w:t>支出绩效</w:t>
      </w:r>
      <w:r>
        <w:rPr>
          <w:rFonts w:hint="eastAsia" w:ascii="仿宋_GB2312" w:hAnsi="仿宋_GB2312" w:eastAsia="仿宋_GB2312" w:cs="仿宋_GB2312"/>
          <w:color w:val="auto"/>
          <w:sz w:val="32"/>
          <w:szCs w:val="32"/>
        </w:rPr>
        <w:t>评价和</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个项目</w:t>
      </w:r>
      <w:r>
        <w:rPr>
          <w:rFonts w:hint="eastAsia" w:ascii="仿宋_GB2312" w:hAnsi="仿宋_GB2312" w:eastAsia="仿宋_GB2312" w:cs="仿宋_GB2312"/>
          <w:color w:val="auto"/>
          <w:sz w:val="32"/>
          <w:szCs w:val="32"/>
          <w:lang w:val="en-US" w:eastAsia="zh-CN"/>
        </w:rPr>
        <w:t>支出绩效</w:t>
      </w:r>
      <w:r>
        <w:rPr>
          <w:rFonts w:hint="eastAsia" w:ascii="仿宋_GB2312" w:hAnsi="仿宋_GB2312" w:eastAsia="仿宋_GB2312" w:cs="仿宋_GB2312"/>
          <w:color w:val="auto"/>
          <w:sz w:val="32"/>
          <w:szCs w:val="32"/>
        </w:rPr>
        <w:t>评价、1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个部门整体</w:t>
      </w:r>
      <w:r>
        <w:rPr>
          <w:rFonts w:hint="eastAsia" w:ascii="仿宋_GB2312" w:hAnsi="仿宋_GB2312" w:eastAsia="仿宋_GB2312" w:cs="仿宋_GB2312"/>
          <w:color w:val="auto"/>
          <w:sz w:val="32"/>
          <w:szCs w:val="32"/>
          <w:lang w:val="en-US" w:eastAsia="zh-CN"/>
        </w:rPr>
        <w:t>支出绩效</w:t>
      </w:r>
      <w:r>
        <w:rPr>
          <w:rFonts w:hint="eastAsia" w:ascii="仿宋_GB2312" w:hAnsi="仿宋_GB2312" w:eastAsia="仿宋_GB2312" w:cs="仿宋_GB2312"/>
          <w:color w:val="auto"/>
          <w:sz w:val="32"/>
          <w:szCs w:val="32"/>
        </w:rPr>
        <w:t>评价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已完成年初设置的政策支出个数1个，未完成40个项目支出绩效评价、20个部门整体支出，原因为：因2021年度省厅考核工作要求变化，提高项目评价质量，因此项目评价个数减少。</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b w:val="0"/>
          <w:bCs w:val="0"/>
          <w:color w:val="auto"/>
          <w:sz w:val="32"/>
          <w:szCs w:val="32"/>
          <w:lang w:val="zh-CN"/>
        </w:rPr>
      </w:pPr>
      <w:r>
        <w:rPr>
          <w:rFonts w:hint="eastAsia" w:ascii="楷体_GB2312" w:hAnsi="宋体" w:eastAsia="楷体_GB2312"/>
          <w:b w:val="0"/>
          <w:bCs w:val="0"/>
          <w:color w:val="auto"/>
          <w:sz w:val="32"/>
          <w:szCs w:val="32"/>
          <w:lang w:val="zh-CN"/>
        </w:rPr>
        <w:t>项目效益情况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1.通过开展绩效评价工作，提高了全市绩效管理水平，确保全市绩效目标全覆盖，做好做实了项目绩效评价及部门整体绩效评价工作。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2.项目服务对象满意度。各单位满意度达95%。</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b w:val="0"/>
          <w:bCs w:val="0"/>
          <w:color w:val="auto"/>
          <w:sz w:val="32"/>
          <w:szCs w:val="32"/>
        </w:rPr>
      </w:pPr>
      <w:r>
        <w:rPr>
          <w:rFonts w:hint="eastAsia" w:ascii="黑体" w:hAnsi="宋体" w:eastAsia="黑体"/>
          <w:b w:val="0"/>
          <w:bCs w:val="0"/>
          <w:color w:val="auto"/>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宋体" w:eastAsia="楷体_GB2312"/>
          <w:b w:val="0"/>
          <w:bCs w:val="0"/>
          <w:color w:val="auto"/>
          <w:sz w:val="32"/>
          <w:szCs w:val="32"/>
          <w:lang w:val="zh-CN"/>
        </w:rPr>
        <w:t>（一）存在的问题。</w:t>
      </w:r>
      <w:r>
        <w:rPr>
          <w:rFonts w:hint="eastAsia" w:ascii="仿宋_GB2312" w:hAnsi="仿宋_GB2312" w:eastAsia="仿宋_GB2312" w:cs="仿宋_GB2312"/>
          <w:color w:val="auto"/>
          <w:sz w:val="32"/>
          <w:szCs w:val="32"/>
          <w:lang w:val="en-US" w:eastAsia="zh-CN"/>
        </w:rPr>
        <w:t>项目年初绩效目标设置不准确，缺少与上级部门沟通，仅用历史标准作参考；</w:t>
      </w:r>
      <w:r>
        <w:rPr>
          <w:rFonts w:hint="eastAsia" w:ascii="仿宋_GB2312" w:hAnsi="仿宋_GB2312" w:eastAsia="仿宋_GB2312" w:cs="仿宋_GB2312"/>
          <w:color w:val="auto"/>
          <w:sz w:val="32"/>
          <w:szCs w:val="32"/>
        </w:rPr>
        <w:t>项目测算标准有待细化，项目预算执行度不高。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宋体" w:eastAsia="楷体_GB2312"/>
          <w:b w:val="0"/>
          <w:bCs w:val="0"/>
          <w:color w:val="auto"/>
          <w:sz w:val="32"/>
          <w:szCs w:val="32"/>
          <w:lang w:val="zh-CN"/>
        </w:rPr>
        <w:t>（二）相关建议。</w:t>
      </w:r>
      <w:r>
        <w:rPr>
          <w:rFonts w:hint="eastAsia" w:ascii="仿宋_GB2312" w:hAnsi="仿宋_GB2312" w:eastAsia="仿宋_GB2312" w:cs="仿宋_GB2312"/>
          <w:color w:val="auto"/>
          <w:sz w:val="32"/>
          <w:szCs w:val="32"/>
          <w:lang w:val="en-US" w:eastAsia="zh-CN"/>
        </w:rPr>
        <w:t>加强与省厅工作对接结合，结合省厅考核要求、项目支出绩效评价要求，参与市场调研，准确把握绩效评价（估）项目市</w:t>
      </w:r>
      <w:bookmarkStart w:id="65" w:name="_GoBack"/>
      <w:bookmarkEnd w:id="65"/>
      <w:r>
        <w:rPr>
          <w:rFonts w:hint="eastAsia" w:ascii="仿宋_GB2312" w:hAnsi="仿宋_GB2312" w:eastAsia="仿宋_GB2312" w:cs="仿宋_GB2312"/>
          <w:color w:val="auto"/>
          <w:sz w:val="32"/>
          <w:szCs w:val="32"/>
          <w:lang w:val="en-US" w:eastAsia="zh-CN"/>
        </w:rPr>
        <w:t>场标准价格，立足我市实际，修订完善2022年度第三方绩效评价工作经费项目的年初绩效目标、</w:t>
      </w:r>
      <w:r>
        <w:rPr>
          <w:rFonts w:hint="eastAsia" w:ascii="仿宋_GB2312" w:hAnsi="仿宋_GB2312" w:eastAsia="仿宋_GB2312" w:cs="仿宋_GB2312"/>
          <w:color w:val="auto"/>
          <w:sz w:val="32"/>
          <w:szCs w:val="32"/>
        </w:rPr>
        <w:t>细化预算编制工作，加快预算执行进度。</w:t>
      </w:r>
    </w:p>
    <w:p>
      <w:pPr>
        <w:pStyle w:val="2"/>
        <w:keepNext w:val="0"/>
        <w:keepLines w:val="0"/>
        <w:pageBreakBefore w:val="0"/>
        <w:widowControl w:val="0"/>
        <w:kinsoku/>
        <w:overflowPunct/>
        <w:topLinePunct w:val="0"/>
        <w:bidi w:val="0"/>
        <w:rPr>
          <w:rFonts w:hint="eastAsia" w:ascii="黑体" w:hAnsi="黑体" w:eastAsia="黑体" w:cs="黑体"/>
          <w:color w:val="auto"/>
          <w:sz w:val="32"/>
          <w:szCs w:val="32"/>
          <w:highlight w:val="none"/>
        </w:rPr>
        <w:sectPr>
          <w:footerReference r:id="rId5" w:type="first"/>
          <w:footerReference r:id="rId4" w:type="default"/>
          <w:pgSz w:w="11906" w:h="16838"/>
          <w:pgMar w:top="2098" w:right="1474" w:bottom="1984" w:left="1587" w:header="851" w:footer="1559" w:gutter="0"/>
          <w:pgNumType w:fmt="decimal" w:start="1"/>
          <w:cols w:space="425" w:num="1"/>
          <w:titlePg/>
          <w:docGrid w:type="lines" w:linePitch="312" w:charSpace="0"/>
        </w:sect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953"/>
        <w:gridCol w:w="1350"/>
        <w:gridCol w:w="1663"/>
        <w:gridCol w:w="1579"/>
        <w:gridCol w:w="2055"/>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pStyle w:val="33"/>
              <w:keepNext w:val="0"/>
              <w:keepLines w:val="0"/>
              <w:pageBreakBefore w:val="0"/>
              <w:widowControl w:val="0"/>
              <w:kinsoku/>
              <w:wordWrap/>
              <w:overflowPunct/>
              <w:topLinePunct w:val="0"/>
              <w:autoSpaceDE/>
              <w:autoSpaceDN/>
              <w:bidi w:val="0"/>
              <w:spacing w:line="576" w:lineRule="exact"/>
              <w:ind w:left="3520" w:hanging="2570" w:hangingChars="800"/>
              <w:jc w:val="center"/>
              <w:textAlignment w:val="auto"/>
              <w:rPr>
                <w:rFonts w:hint="eastAsia" w:ascii="宋体" w:hAnsi="宋体" w:eastAsia="宋体" w:cs="宋体"/>
                <w:b/>
                <w:i w:val="0"/>
                <w:color w:val="auto"/>
                <w:sz w:val="32"/>
                <w:szCs w:val="32"/>
                <w:u w:val="none"/>
              </w:rPr>
            </w:pPr>
            <w:bookmarkStart w:id="51" w:name="_Toc15396618"/>
            <w:r>
              <w:rPr>
                <w:rFonts w:hint="eastAsia" w:asciiTheme="minorEastAsia" w:hAnsiTheme="minorEastAsia" w:eastAsiaTheme="minorEastAsia" w:cstheme="minorEastAsia"/>
                <w:b/>
                <w:bCs w:val="0"/>
                <w:i w:val="0"/>
                <w:color w:val="auto"/>
                <w:sz w:val="32"/>
                <w:szCs w:val="32"/>
                <w:highlight w:val="none"/>
                <w:u w:val="none"/>
                <w:lang w:val="en-US" w:eastAsia="zh-CN"/>
              </w:rPr>
              <w:t>2021年部门预算</w:t>
            </w:r>
            <w:r>
              <w:rPr>
                <w:rFonts w:hint="eastAsia" w:asciiTheme="minorEastAsia" w:hAnsiTheme="minorEastAsia" w:eastAsiaTheme="minorEastAsia" w:cstheme="minorEastAsia"/>
                <w:b/>
                <w:bCs w:val="0"/>
                <w:color w:val="auto"/>
                <w:sz w:val="32"/>
                <w:szCs w:val="32"/>
                <w:highlight w:val="none"/>
                <w:lang w:eastAsia="zh-CN"/>
              </w:rPr>
              <w:t>第三方绩效评价工作经费项目</w:t>
            </w:r>
            <w:r>
              <w:rPr>
                <w:rFonts w:hint="eastAsia" w:asciiTheme="minorEastAsia" w:hAnsiTheme="minorEastAsia" w:eastAsiaTheme="minorEastAsia" w:cstheme="minorEastAsia"/>
                <w:b/>
                <w:bCs w:val="0"/>
                <w:i w:val="0"/>
                <w:color w:val="auto"/>
                <w:sz w:val="32"/>
                <w:szCs w:val="32"/>
                <w:highlight w:val="none"/>
                <w:u w:val="none"/>
                <w:lang w:val="en-US" w:eastAsia="zh-CN"/>
              </w:rPr>
              <w:t>项目绩效目标自评</w:t>
            </w:r>
          </w:p>
        </w:tc>
        <w:tc>
          <w:tcPr>
            <w:tcW w:w="234" w:type="dxa"/>
            <w:tcBorders>
              <w:top w:val="nil"/>
              <w:left w:val="nil"/>
              <w:bottom w:val="nil"/>
              <w:right w:val="nil"/>
            </w:tcBorders>
            <w:shd w:val="clear" w:color="auto" w:fill="auto"/>
            <w:vAlign w:val="center"/>
          </w:tcPr>
          <w:p>
            <w:pPr>
              <w:keepNext w:val="0"/>
              <w:keepLines w:val="0"/>
              <w:pageBreakBefore w:val="0"/>
              <w:widowControl w:val="0"/>
              <w:suppressLineNumbers w:val="0"/>
              <w:kinsoku/>
              <w:overflowPunct/>
              <w:topLinePunct w:val="0"/>
              <w:bidi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2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广元市财政局</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广元市财政绩效管理中心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19</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19</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ind w:firstLine="960" w:firstLineChars="400"/>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overflowPunct/>
              <w:topLinePunct w:val="0"/>
              <w:bidi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紧紧围绕完成部门整体和项目支出绩效评价，让评价的结果运用于2021年预算安排，使预算和绩效直接挂钩。</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年度绩效指标完成情况</w:t>
            </w:r>
          </w:p>
        </w:tc>
        <w:tc>
          <w:tcPr>
            <w:tcW w:w="9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预期指标值</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完成</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3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完成项目评价</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40个</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35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完成部门评价</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20个</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3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完成政策评价</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1个</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质量指标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评价个数不少于20</w:t>
            </w:r>
            <w:r>
              <w:rPr>
                <w:rFonts w:hint="eastAsia" w:asciiTheme="minorEastAsia" w:hAnsiTheme="minorEastAsia" w:eastAsiaTheme="minorEastAsia" w:cstheme="minorEastAsia"/>
                <w:i w:val="0"/>
                <w:color w:val="auto"/>
                <w:sz w:val="21"/>
                <w:szCs w:val="21"/>
                <w:u w:val="none"/>
                <w:lang w:val="en-US" w:eastAsia="zh-CN"/>
              </w:rPr>
              <w:t>20</w:t>
            </w:r>
            <w:r>
              <w:rPr>
                <w:rFonts w:hint="eastAsia" w:asciiTheme="minorEastAsia" w:hAnsiTheme="minorEastAsia" w:eastAsiaTheme="minorEastAsia" w:cstheme="minorEastAsia"/>
                <w:i w:val="0"/>
                <w:color w:val="auto"/>
                <w:sz w:val="21"/>
                <w:szCs w:val="21"/>
                <w:u w:val="none"/>
              </w:rPr>
              <w:t>年</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增长20%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因2021年度省厅考核工作要求变化，提高项目评价质量，因此项目评价个数减少。</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时效指标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完成时间</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202</w:t>
            </w:r>
            <w:r>
              <w:rPr>
                <w:rFonts w:hint="eastAsia" w:asciiTheme="minorEastAsia" w:hAnsiTheme="minorEastAsia" w:eastAsiaTheme="minorEastAsia" w:cstheme="minorEastAsia"/>
                <w:i w:val="0"/>
                <w:color w:val="auto"/>
                <w:sz w:val="21"/>
                <w:szCs w:val="21"/>
                <w:u w:val="none"/>
                <w:lang w:val="en-US" w:eastAsia="zh-CN"/>
              </w:rPr>
              <w:t>1</w:t>
            </w:r>
            <w:r>
              <w:rPr>
                <w:rFonts w:hint="eastAsia" w:asciiTheme="minorEastAsia" w:hAnsiTheme="minorEastAsia" w:eastAsiaTheme="minorEastAsia" w:cstheme="minorEastAsia"/>
                <w:i w:val="0"/>
                <w:color w:val="auto"/>
                <w:sz w:val="21"/>
                <w:szCs w:val="21"/>
                <w:u w:val="none"/>
              </w:rPr>
              <w:t>年12月前</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项目经费</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19万元</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效益</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经济效益指标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预算挂钩</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运用评价结果科学安排来年预算，提高资金使用效益</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社会效益指标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促进资金安排科学合理性</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合理分配财政资金。提高资金使用公开透明度</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可持续影响指标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长期开展</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长期</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满意</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度指标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满意度指标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各部门满意度</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95%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95%</w:t>
            </w:r>
          </w:p>
        </w:tc>
      </w:tr>
    </w:tbl>
    <w:p>
      <w:pPr>
        <w:keepNext w:val="0"/>
        <w:keepLines w:val="0"/>
        <w:pageBreakBefore w:val="0"/>
        <w:widowControl w:val="0"/>
        <w:kinsoku/>
        <w:overflowPunct/>
        <w:topLinePunct w:val="0"/>
        <w:bidi w:val="0"/>
        <w:spacing w:line="600" w:lineRule="exact"/>
        <w:jc w:val="center"/>
        <w:outlineLvl w:val="0"/>
        <w:rPr>
          <w:rFonts w:hint="eastAsia" w:asciiTheme="minorEastAsia" w:hAnsiTheme="minorEastAsia" w:eastAsiaTheme="minorEastAsia" w:cstheme="minorEastAsia"/>
          <w:color w:val="auto"/>
          <w:sz w:val="21"/>
          <w:szCs w:val="21"/>
          <w:highlight w:val="none"/>
        </w:rPr>
      </w:pPr>
    </w:p>
    <w:p>
      <w:pPr>
        <w:keepNext w:val="0"/>
        <w:keepLines w:val="0"/>
        <w:pageBreakBefore w:val="0"/>
        <w:widowControl w:val="0"/>
        <w:kinsoku/>
        <w:overflowPunct/>
        <w:topLinePunct w:val="0"/>
        <w:bidi w:val="0"/>
        <w:spacing w:line="600" w:lineRule="exact"/>
        <w:jc w:val="both"/>
        <w:outlineLvl w:val="0"/>
        <w:rPr>
          <w:rFonts w:hint="eastAsia" w:ascii="黑体" w:hAnsi="黑体" w:eastAsia="黑体"/>
          <w:color w:val="auto"/>
          <w:sz w:val="44"/>
          <w:szCs w:val="44"/>
          <w:highlight w:val="none"/>
        </w:rPr>
        <w:sectPr>
          <w:footerReference r:id="rId7" w:type="first"/>
          <w:footerReference r:id="rId6" w:type="default"/>
          <w:pgSz w:w="11906" w:h="16838"/>
          <w:pgMar w:top="1247" w:right="1474" w:bottom="1701" w:left="1587" w:header="851" w:footer="1559" w:gutter="0"/>
          <w:pgNumType w:fmt="decimal" w:start="17"/>
          <w:cols w:space="0" w:num="1"/>
          <w:titlePg/>
          <w:rtlGutter w:val="0"/>
          <w:docGrid w:type="lines" w:linePitch="312" w:charSpace="0"/>
        </w:sectPr>
      </w:pPr>
    </w:p>
    <w:p>
      <w:pPr>
        <w:pStyle w:val="2"/>
        <w:rPr>
          <w:rFonts w:hint="eastAsia"/>
        </w:rPr>
      </w:pPr>
    </w:p>
    <w:p>
      <w:pPr>
        <w:pStyle w:val="33"/>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color w:val="auto"/>
          <w:sz w:val="44"/>
          <w:szCs w:val="44"/>
          <w:lang w:val="en-US" w:eastAsia="zh-CN"/>
        </w:rPr>
      </w:pPr>
      <w:r>
        <w:rPr>
          <w:rFonts w:hint="eastAsia" w:ascii="方正小标宋简体" w:hAnsi="宋体" w:eastAsia="方正小标宋简体"/>
          <w:b w:val="0"/>
          <w:bCs w:val="0"/>
          <w:color w:val="auto"/>
          <w:sz w:val="44"/>
          <w:szCs w:val="44"/>
          <w:lang w:val="en-US" w:eastAsia="zh-CN"/>
        </w:rPr>
        <w:t>广元市财政绩效管理中心</w:t>
      </w:r>
    </w:p>
    <w:p>
      <w:pPr>
        <w:pStyle w:val="33"/>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color w:val="auto"/>
          <w:sz w:val="44"/>
          <w:szCs w:val="44"/>
          <w:lang w:eastAsia="zh-CN"/>
        </w:rPr>
      </w:pPr>
      <w:r>
        <w:rPr>
          <w:rFonts w:hint="eastAsia" w:ascii="方正小标宋简体" w:hAnsi="宋体" w:eastAsia="方正小标宋简体"/>
          <w:b w:val="0"/>
          <w:bCs w:val="0"/>
          <w:color w:val="auto"/>
          <w:sz w:val="44"/>
          <w:szCs w:val="44"/>
          <w:lang w:val="en-US" w:eastAsia="zh-CN"/>
        </w:rPr>
        <w:t>关于2021年度绩效评价管理工作经费</w:t>
      </w:r>
      <w:r>
        <w:rPr>
          <w:rFonts w:hint="eastAsia" w:ascii="方正小标宋简体" w:hAnsi="宋体" w:eastAsia="方正小标宋简体"/>
          <w:b w:val="0"/>
          <w:bCs w:val="0"/>
          <w:color w:val="auto"/>
          <w:sz w:val="44"/>
          <w:szCs w:val="44"/>
          <w:lang w:eastAsia="zh-CN"/>
        </w:rPr>
        <w:t>项目</w:t>
      </w:r>
    </w:p>
    <w:p>
      <w:pPr>
        <w:pStyle w:val="33"/>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color w:val="auto"/>
          <w:sz w:val="44"/>
          <w:szCs w:val="44"/>
        </w:rPr>
      </w:pPr>
      <w:r>
        <w:rPr>
          <w:rFonts w:hint="eastAsia" w:ascii="方正小标宋简体" w:hAnsi="宋体" w:eastAsia="方正小标宋简体"/>
          <w:b w:val="0"/>
          <w:bCs w:val="0"/>
          <w:color w:val="auto"/>
          <w:sz w:val="44"/>
          <w:szCs w:val="44"/>
        </w:rPr>
        <w:t>绩效自评报告</w:t>
      </w:r>
    </w:p>
    <w:p>
      <w:pPr>
        <w:keepNext w:val="0"/>
        <w:keepLines w:val="0"/>
        <w:pageBreakBefore w:val="0"/>
        <w:widowControl w:val="0"/>
        <w:kinsoku/>
        <w:wordWrap/>
        <w:overflowPunct/>
        <w:topLinePunct w:val="0"/>
        <w:autoSpaceDE/>
        <w:autoSpaceDN/>
        <w:bidi w:val="0"/>
        <w:snapToGrid w:val="0"/>
        <w:spacing w:line="576" w:lineRule="exact"/>
        <w:ind w:firstLine="640" w:firstLineChars="200"/>
        <w:jc w:val="left"/>
        <w:textAlignment w:val="auto"/>
        <w:rPr>
          <w:rFonts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lang w:val="zh-CN"/>
        </w:rPr>
      </w:pPr>
      <w:r>
        <w:rPr>
          <w:rFonts w:hint="eastAsia" w:ascii="黑体" w:hAnsi="宋体" w:eastAsia="黑体"/>
          <w:b w:val="0"/>
          <w:bCs w:val="0"/>
          <w:color w:val="auto"/>
          <w:sz w:val="32"/>
          <w:szCs w:val="32"/>
        </w:rPr>
        <w:t>一、</w:t>
      </w:r>
      <w:r>
        <w:rPr>
          <w:rFonts w:hint="eastAsia" w:ascii="黑体" w:hAnsi="宋体" w:eastAsia="黑体"/>
          <w:b w:val="0"/>
          <w:bCs w:val="0"/>
          <w:color w:val="auto"/>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rPr>
        <w:t>承担市级财政绩效管理工作，负责市级各部门</w:t>
      </w:r>
      <w:r>
        <w:rPr>
          <w:rFonts w:hint="eastAsia" w:ascii="仿宋_GB2312" w:hAnsi="仿宋_GB2312" w:eastAsia="仿宋_GB2312" w:cs="仿宋_GB2312"/>
          <w:color w:val="auto"/>
          <w:sz w:val="32"/>
          <w:szCs w:val="32"/>
          <w:lang w:val="en-US" w:eastAsia="zh-CN"/>
        </w:rPr>
        <w:t>(单位)一般</w:t>
      </w:r>
      <w:r>
        <w:rPr>
          <w:rFonts w:hint="eastAsia" w:ascii="仿宋_GB2312" w:hAnsi="仿宋_GB2312" w:eastAsia="仿宋_GB2312" w:cs="仿宋_GB2312"/>
          <w:color w:val="auto"/>
          <w:sz w:val="32"/>
          <w:szCs w:val="32"/>
        </w:rPr>
        <w:t>公共预算、国有资本经营预算、政府性基金预算和社会保障基金预算草案的初审、汇总；研究制定市级财政绩效管理制度并组织实施；负责组织实施市级财政绩效考评工作，研究提出考评结果运用建议；指导县区财政绩效管理工作</w:t>
      </w:r>
      <w:r>
        <w:rPr>
          <w:rFonts w:hint="eastAsia" w:ascii="仿宋_GB2312" w:hAnsi="仿宋_GB2312" w:eastAsia="仿宋_GB2312" w:cs="仿宋_GB2312"/>
          <w:color w:val="auto"/>
          <w:sz w:val="32"/>
          <w:szCs w:val="32"/>
          <w:shd w:val="clear" w:color="auto" w:fill="FFFFFF"/>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宋体" w:eastAsia="楷体_GB2312"/>
          <w:b w:val="0"/>
          <w:bCs w:val="0"/>
          <w:color w:val="auto"/>
          <w:sz w:val="32"/>
          <w:szCs w:val="32"/>
          <w:lang w:val="zh-CN"/>
        </w:rPr>
        <w:t>（一）项目资金申报及批复情况。</w:t>
      </w:r>
      <w:r>
        <w:rPr>
          <w:rFonts w:hint="eastAsia" w:ascii="仿宋_GB2312" w:hAnsi="仿宋_GB2312" w:eastAsia="仿宋_GB2312" w:cs="仿宋_GB2312"/>
          <w:color w:val="auto"/>
          <w:sz w:val="32"/>
          <w:szCs w:val="32"/>
        </w:rPr>
        <w:t>按照一般公共预算管理要求，年初由市财政绩效管理中心申报项目资金预算，202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年由广元市财政局通过《广元市财政局关于批复202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年市级部门预算的通知》(广财预〔202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号)文件下达我单位项目资金预算指标</w:t>
      </w:r>
      <w:r>
        <w:rPr>
          <w:rFonts w:hint="eastAsia" w:ascii="仿宋_GB2312" w:hAnsi="仿宋_GB2312" w:eastAsia="仿宋_GB2312" w:cs="仿宋_GB2312"/>
          <w:color w:val="auto"/>
          <w:sz w:val="32"/>
          <w:szCs w:val="32"/>
          <w:lang w:val="en-US" w:eastAsia="zh-CN"/>
        </w:rPr>
        <w:t>46.2</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楷体_GB2312" w:hAnsi="宋体" w:eastAsia="楷体_GB2312"/>
          <w:b w:val="0"/>
          <w:bCs w:val="0"/>
          <w:color w:val="auto"/>
          <w:sz w:val="32"/>
          <w:szCs w:val="32"/>
          <w:lang w:val="zh-CN"/>
        </w:rPr>
      </w:pPr>
      <w:r>
        <w:rPr>
          <w:rFonts w:hint="eastAsia" w:ascii="楷体_GB2312" w:hAnsi="宋体" w:eastAsia="楷体_GB2312"/>
          <w:b w:val="0"/>
          <w:bCs w:val="0"/>
          <w:color w:val="auto"/>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1.项目主要内容开展绩效评价工作所需的各类经费支出。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2.项目绩效目标</w:t>
      </w:r>
      <w:r>
        <w:rPr>
          <w:rFonts w:hint="eastAsia" w:ascii="仿宋_GB2312" w:hAnsi="仿宋_GB2312" w:eastAsia="仿宋_GB2312" w:cs="仿宋_GB2312"/>
          <w:i w:val="0"/>
          <w:color w:val="auto"/>
          <w:sz w:val="32"/>
          <w:szCs w:val="32"/>
          <w:u w:val="none"/>
          <w:lang w:val="en-US" w:eastAsia="zh-CN"/>
        </w:rPr>
        <w:t>开展</w:t>
      </w:r>
      <w:r>
        <w:rPr>
          <w:rFonts w:hint="eastAsia" w:ascii="仿宋_GB2312" w:hAnsi="仿宋_GB2312" w:eastAsia="仿宋_GB2312" w:cs="仿宋_GB2312"/>
          <w:i w:val="0"/>
          <w:color w:val="auto"/>
          <w:sz w:val="32"/>
          <w:szCs w:val="32"/>
          <w:u w:val="none"/>
        </w:rPr>
        <w:t>项目评价</w:t>
      </w:r>
      <w:r>
        <w:rPr>
          <w:rFonts w:hint="eastAsia" w:ascii="仿宋_GB2312" w:hAnsi="仿宋_GB2312" w:eastAsia="仿宋_GB2312" w:cs="仿宋_GB2312"/>
          <w:i w:val="0"/>
          <w:color w:val="auto"/>
          <w:sz w:val="32"/>
          <w:szCs w:val="32"/>
          <w:u w:val="none"/>
          <w:lang w:val="en-US" w:eastAsia="zh-CN"/>
        </w:rPr>
        <w:t>40个、部门评价20个、政策评价1个</w:t>
      </w:r>
      <w:r>
        <w:rPr>
          <w:rFonts w:hint="eastAsia" w:ascii="仿宋_GB2312" w:hAnsi="仿宋_GB2312" w:eastAsia="仿宋_GB2312" w:cs="仿宋_GB2312"/>
          <w:color w:val="auto"/>
          <w:sz w:val="32"/>
          <w:szCs w:val="32"/>
        </w:rPr>
        <w:t>，提高全市绩效管理水平，确保全市绩效目标全覆盖，做好做实项目绩效评价及部门整体绩效评价工作。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楷体_GB2312" w:hAnsi="宋体" w:eastAsia="楷体_GB2312"/>
          <w:b w:val="0"/>
          <w:bCs w:val="0"/>
          <w:color w:val="auto"/>
          <w:sz w:val="32"/>
          <w:szCs w:val="32"/>
          <w:lang w:val="zh-CN"/>
        </w:rPr>
        <w:t>（三）项目资金申报相符性。</w:t>
      </w:r>
      <w:r>
        <w:rPr>
          <w:rFonts w:hint="eastAsia" w:ascii="仿宋_GB2312" w:hAnsi="仿宋_GB2312" w:eastAsia="仿宋_GB2312" w:cs="仿宋_GB2312"/>
          <w:color w:val="auto"/>
          <w:sz w:val="32"/>
          <w:szCs w:val="32"/>
          <w:lang w:val="en-US" w:eastAsia="zh-CN"/>
        </w:rPr>
        <w:t>根据财政部门</w:t>
      </w:r>
      <w:r>
        <w:rPr>
          <w:rFonts w:hint="eastAsia" w:ascii="仿宋_GB2312" w:hAnsi="仿宋_GB2312" w:eastAsia="仿宋_GB2312" w:cs="仿宋_GB2312"/>
          <w:color w:val="auto"/>
          <w:sz w:val="32"/>
          <w:szCs w:val="32"/>
          <w:lang w:val="zh-CN"/>
        </w:rPr>
        <w:t>《财政部门监督办法》</w:t>
      </w:r>
      <w:r>
        <w:rPr>
          <w:rFonts w:hint="eastAsia" w:ascii="仿宋_GB2312" w:hAnsi="仿宋_GB2312" w:eastAsia="仿宋_GB2312" w:cs="仿宋_GB2312"/>
          <w:color w:val="auto"/>
          <w:sz w:val="32"/>
          <w:szCs w:val="32"/>
          <w:lang w:val="en-US" w:eastAsia="zh-CN"/>
        </w:rPr>
        <w:t>相关规定。</w:t>
      </w:r>
      <w:r>
        <w:rPr>
          <w:rFonts w:hint="eastAsia" w:ascii="仿宋_GB2312" w:hAnsi="仿宋_GB2312" w:eastAsia="仿宋_GB2312" w:cs="仿宋_GB2312"/>
          <w:color w:val="auto"/>
          <w:sz w:val="32"/>
          <w:szCs w:val="32"/>
          <w:lang w:val="zh-CN"/>
        </w:rPr>
        <w:t>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rPr>
      </w:pPr>
      <w:r>
        <w:rPr>
          <w:rFonts w:hint="eastAsia" w:ascii="黑体" w:hAnsi="宋体" w:eastAsia="黑体"/>
          <w:b w:val="0"/>
          <w:bCs w:val="0"/>
          <w:color w:val="auto"/>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lang w:val="zh-CN"/>
        </w:rPr>
      </w:pPr>
      <w:r>
        <w:rPr>
          <w:rFonts w:hint="eastAsia" w:ascii="楷体_GB2312" w:hAnsi="宋体" w:eastAsia="楷体_GB2312"/>
          <w:b w:val="0"/>
          <w:bCs w:val="0"/>
          <w:color w:val="auto"/>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1．资金计划及到位。</w:t>
      </w:r>
      <w:r>
        <w:rPr>
          <w:rFonts w:hint="eastAsia" w:ascii="仿宋_GB2312" w:hAnsi="仿宋_GB2312" w:eastAsia="仿宋_GB2312" w:cs="仿宋_GB2312"/>
          <w:color w:val="auto"/>
          <w:sz w:val="32"/>
          <w:szCs w:val="32"/>
        </w:rPr>
        <w:t>本项目预算指标为</w:t>
      </w:r>
      <w:r>
        <w:rPr>
          <w:rFonts w:hint="eastAsia" w:ascii="仿宋_GB2312" w:hAnsi="仿宋_GB2312" w:eastAsia="仿宋_GB2312" w:cs="仿宋_GB2312"/>
          <w:color w:val="auto"/>
          <w:sz w:val="32"/>
          <w:szCs w:val="32"/>
          <w:lang w:val="en-US" w:eastAsia="zh-CN"/>
        </w:rPr>
        <w:t>46.2</w:t>
      </w:r>
      <w:r>
        <w:rPr>
          <w:rFonts w:hint="eastAsia" w:ascii="仿宋_GB2312" w:hAnsi="仿宋_GB2312" w:eastAsia="仿宋_GB2312" w:cs="仿宋_GB2312"/>
          <w:color w:val="auto"/>
          <w:sz w:val="32"/>
          <w:szCs w:val="32"/>
        </w:rPr>
        <w:t>万元，截至202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年底，市财政实际拨付资金</w:t>
      </w:r>
      <w:r>
        <w:rPr>
          <w:rFonts w:hint="eastAsia" w:ascii="仿宋_GB2312" w:hAnsi="仿宋_GB2312" w:eastAsia="仿宋_GB2312" w:cs="仿宋_GB2312"/>
          <w:color w:val="auto"/>
          <w:sz w:val="32"/>
          <w:szCs w:val="32"/>
          <w:lang w:val="en-US" w:eastAsia="zh-CN"/>
        </w:rPr>
        <w:t>46.2</w:t>
      </w:r>
      <w:r>
        <w:rPr>
          <w:rFonts w:hint="eastAsia" w:ascii="仿宋_GB2312" w:hAnsi="仿宋_GB2312" w:eastAsia="仿宋_GB2312" w:cs="仿宋_GB2312"/>
          <w:color w:val="auto"/>
          <w:sz w:val="32"/>
          <w:szCs w:val="32"/>
        </w:rPr>
        <w:t>万元，资金拨付率为100%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zh-CN"/>
        </w:rPr>
        <w:t>到位及时</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olor w:val="auto"/>
          <w:sz w:val="32"/>
          <w:szCs w:val="32"/>
        </w:rPr>
      </w:pPr>
      <w:r>
        <w:rPr>
          <w:rFonts w:hint="eastAsia" w:ascii="仿宋_GB2312" w:hAnsi="仿宋_GB2312" w:eastAsia="仿宋_GB2312" w:cs="仿宋_GB2312"/>
          <w:color w:val="auto"/>
          <w:sz w:val="32"/>
          <w:szCs w:val="32"/>
          <w:lang w:val="zh-CN"/>
        </w:rPr>
        <w:t>2．资金使用。</w:t>
      </w:r>
      <w:r>
        <w:rPr>
          <w:rFonts w:hint="eastAsia" w:ascii="仿宋_GB2312" w:hAnsi="仿宋_GB2312" w:eastAsia="仿宋_GB2312" w:cs="仿宋_GB2312"/>
          <w:color w:val="auto"/>
          <w:sz w:val="32"/>
          <w:szCs w:val="32"/>
          <w:lang w:val="en-US" w:eastAsia="zh-CN"/>
        </w:rPr>
        <w:t>受疫情影响，部分项目实施情况现场核查、实地调研、老百姓访谈访问等绩效评价工作相关环节开展困难，上年度绩效管理工作经费结转资金27.2万元，优先使用结转资金，因此该</w:t>
      </w:r>
      <w:r>
        <w:rPr>
          <w:rFonts w:hint="eastAsia" w:ascii="仿宋_GB2312" w:hAnsi="仿宋_GB2312" w:eastAsia="仿宋_GB2312" w:cs="仿宋_GB2312"/>
          <w:color w:val="auto"/>
          <w:sz w:val="32"/>
          <w:szCs w:val="32"/>
        </w:rPr>
        <w:t>项目资金全年共支出</w:t>
      </w:r>
      <w:r>
        <w:rPr>
          <w:rFonts w:hint="eastAsia" w:ascii="仿宋_GB2312" w:hAnsi="仿宋_GB2312" w:eastAsia="仿宋_GB2312" w:cs="仿宋_GB2312"/>
          <w:color w:val="auto"/>
          <w:sz w:val="32"/>
          <w:szCs w:val="32"/>
          <w:lang w:val="en-US" w:eastAsia="zh-CN"/>
        </w:rPr>
        <w:t>8.53</w:t>
      </w:r>
      <w:r>
        <w:rPr>
          <w:rFonts w:hint="eastAsia" w:ascii="仿宋_GB2312" w:hAnsi="仿宋_GB2312" w:eastAsia="仿宋_GB2312" w:cs="仿宋_GB2312"/>
          <w:color w:val="auto"/>
          <w:sz w:val="32"/>
          <w:szCs w:val="32"/>
        </w:rPr>
        <w:t>万元，支出进度为</w:t>
      </w:r>
      <w:r>
        <w:rPr>
          <w:rFonts w:hint="eastAsia" w:ascii="仿宋_GB2312" w:hAnsi="仿宋_GB2312" w:eastAsia="仿宋_GB2312" w:cs="仿宋_GB2312"/>
          <w:color w:val="auto"/>
          <w:sz w:val="32"/>
          <w:szCs w:val="32"/>
          <w:lang w:val="en-US" w:eastAsia="zh-CN"/>
        </w:rPr>
        <w:t>18.5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是用于开展部门整体支出绩效评价、项目绩效评价。在项目执行过程中，严格按照预算批复执行，不随意改变该项目资金支付范围、支付标准，严控预算执行进度和经费支出情况，确保资金使用安全、规范、高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lang w:val="zh-CN"/>
        </w:rPr>
      </w:pPr>
      <w:r>
        <w:rPr>
          <w:rFonts w:hint="eastAsia" w:ascii="楷体_GB2312" w:hAnsi="宋体" w:eastAsia="楷体_GB2312"/>
          <w:b w:val="0"/>
          <w:bCs w:val="0"/>
          <w:color w:val="auto"/>
          <w:sz w:val="32"/>
          <w:szCs w:val="32"/>
          <w:lang w:val="zh-CN"/>
        </w:rPr>
        <w:t>（二）项目财务管理情况。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eastAsia="仿宋_GB2312"/>
          <w:color w:val="auto"/>
          <w:sz w:val="32"/>
          <w:szCs w:val="32"/>
        </w:rPr>
      </w:pPr>
      <w:r>
        <w:rPr>
          <w:rFonts w:hint="eastAsia" w:ascii="仿宋_GB2312" w:hAnsi="仿宋_GB2312" w:eastAsia="仿宋_GB2312" w:cs="仿宋_GB2312"/>
          <w:color w:val="auto"/>
          <w:sz w:val="32"/>
          <w:szCs w:val="32"/>
        </w:rPr>
        <w:t>我单位严格按照财务管理相关制度规定，建立健全财务管理制度及内控制度，加强对财政管理专项经费的使用管理，按照专项资金管理办法做好项目实施和监管，及时、规范进行账务处理及会计核算。切实做到专款专用， 最大可能发挥专项资金作用。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lang w:val="zh-CN"/>
        </w:rPr>
      </w:pPr>
      <w:r>
        <w:rPr>
          <w:rFonts w:hint="eastAsia" w:ascii="楷体_GB2312" w:hAnsi="宋体" w:eastAsia="楷体_GB2312"/>
          <w:b w:val="0"/>
          <w:bCs w:val="0"/>
          <w:color w:val="auto"/>
          <w:sz w:val="32"/>
          <w:szCs w:val="32"/>
          <w:lang w:val="zh-CN"/>
        </w:rPr>
        <w:t>（三）项目组织实施情况。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eastAsia="仿宋_GB2312"/>
          <w:color w:val="auto"/>
          <w:sz w:val="32"/>
          <w:szCs w:val="32"/>
        </w:rPr>
      </w:pPr>
      <w:r>
        <w:rPr>
          <w:rFonts w:hint="eastAsia" w:ascii="仿宋_GB2312" w:hAnsi="仿宋_GB2312" w:eastAsia="仿宋_GB2312" w:cs="仿宋_GB2312"/>
          <w:color w:val="auto"/>
          <w:sz w:val="32"/>
          <w:szCs w:val="32"/>
        </w:rPr>
        <w:t>我单位严格按照项目管理有关规定管理专项经费，为保障项目资金安全，确保资金专款专用，从资金申请、资金使用、会计核算三个环节加强资金管理。在项目资金申请环节，严格按照国库集中支付流程申请财政资金;在资金使用环节，严格遵守相关法律法规规定，严格按照单位财务管理审批流程办理款项支付；在会计核算环节，对本项目资金实行单独核算，确保专款专用。通过上述三个环节的管理，极力避免了挪用、挤占、截留项目资金的现象，保证财政资金安全有效使用。同时经费管理主动接受驻局纪检监察组和审计部门的监督检查，对预算执行实行动态监控，无违纪违法现象。</w:t>
      </w:r>
      <w:r>
        <w:rPr>
          <w:rFonts w:hint="eastAsia" w:ascii="仿宋_GB2312"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color w:val="auto"/>
          <w:sz w:val="32"/>
          <w:szCs w:val="32"/>
          <w:lang w:val="zh-CN"/>
        </w:rPr>
      </w:pPr>
      <w:r>
        <w:rPr>
          <w:rFonts w:hint="eastAsia" w:ascii="黑体" w:hAnsi="宋体" w:eastAsia="黑体"/>
          <w:b w:val="0"/>
          <w:bCs w:val="0"/>
          <w:color w:val="auto"/>
          <w:sz w:val="32"/>
          <w:szCs w:val="32"/>
        </w:rPr>
        <w:t>三、项目绩效情况</w:t>
      </w:r>
      <w:r>
        <w:rPr>
          <w:rFonts w:hint="eastAsia" w:ascii="仿宋_GB2312" w:hAnsi="宋体"/>
          <w:b w:val="0"/>
          <w:bCs w:val="0"/>
          <w:color w:val="auto"/>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lang w:val="zh-CN"/>
        </w:rPr>
      </w:pPr>
      <w:r>
        <w:rPr>
          <w:rFonts w:hint="eastAsia" w:ascii="楷体_GB2312" w:hAnsi="宋体" w:eastAsia="楷体_GB2312"/>
          <w:b w:val="0"/>
          <w:bCs w:val="0"/>
          <w:color w:val="auto"/>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通过项目实施，完成财政支出项目绩效评价</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个、部门整体绩效评价</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个、政策绩效评价2个。</w:t>
      </w:r>
    </w:p>
    <w:p>
      <w:pPr>
        <w:keepNext w:val="0"/>
        <w:keepLines w:val="0"/>
        <w:pageBreakBefore w:val="0"/>
        <w:widowControl w:val="0"/>
        <w:numPr>
          <w:ilvl w:val="0"/>
          <w:numId w:val="3"/>
        </w:numPr>
        <w:kinsoku/>
        <w:wordWrap/>
        <w:overflowPunct/>
        <w:topLinePunct w:val="0"/>
        <w:autoSpaceDE/>
        <w:autoSpaceDN/>
        <w:bidi w:val="0"/>
        <w:spacing w:line="576" w:lineRule="exact"/>
        <w:ind w:firstLine="640" w:firstLineChars="200"/>
        <w:textAlignment w:val="auto"/>
        <w:rPr>
          <w:rFonts w:hint="eastAsia" w:ascii="楷体_GB2312" w:hAnsi="宋体" w:eastAsia="楷体_GB2312"/>
          <w:b w:val="0"/>
          <w:bCs w:val="0"/>
          <w:color w:val="auto"/>
          <w:sz w:val="32"/>
          <w:szCs w:val="32"/>
          <w:lang w:val="zh-CN"/>
        </w:rPr>
      </w:pPr>
      <w:r>
        <w:rPr>
          <w:rFonts w:hint="eastAsia" w:ascii="楷体_GB2312" w:hAnsi="宋体" w:eastAsia="楷体_GB2312"/>
          <w:b w:val="0"/>
          <w:bCs w:val="0"/>
          <w:color w:val="auto"/>
          <w:sz w:val="32"/>
          <w:szCs w:val="32"/>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1.通过开展绩效评价工作，提高了全市绩效管理水平，确保全市绩效目标全覆盖，做好做实了项目绩效评价及部门整体绩效评价工作。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2.项目服务对象满意度。各单位满意度达100%。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rPr>
      </w:pPr>
      <w:r>
        <w:rPr>
          <w:rFonts w:hint="eastAsia" w:ascii="黑体" w:hAnsi="宋体" w:eastAsia="黑体"/>
          <w:b w:val="0"/>
          <w:bCs w:val="0"/>
          <w:color w:val="auto"/>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楷体_GB2312" w:hAnsi="宋体" w:eastAsia="楷体_GB2312"/>
          <w:b w:val="0"/>
          <w:bCs w:val="0"/>
          <w:color w:val="auto"/>
          <w:sz w:val="32"/>
          <w:szCs w:val="32"/>
          <w:lang w:val="zh-CN"/>
        </w:rPr>
        <w:t>（一）存在的问题。</w:t>
      </w:r>
      <w:r>
        <w:rPr>
          <w:rFonts w:hint="eastAsia" w:ascii="仿宋_GB2312" w:hAnsi="仿宋_GB2312" w:eastAsia="仿宋_GB2312" w:cs="仿宋_GB2312"/>
          <w:color w:val="auto"/>
          <w:sz w:val="32"/>
          <w:szCs w:val="32"/>
        </w:rPr>
        <w:t>项目测算标准有待细化，项目预算执行度不高。</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rPr>
        <w:sectPr>
          <w:footerReference r:id="rId9" w:type="first"/>
          <w:footerReference r:id="rId8" w:type="default"/>
          <w:pgSz w:w="11906" w:h="16838"/>
          <w:pgMar w:top="2098" w:right="1474" w:bottom="1701" w:left="1587" w:header="851" w:footer="1559" w:gutter="0"/>
          <w:pgNumType w:fmt="decimal" w:start="18"/>
          <w:cols w:space="0" w:num="1"/>
          <w:titlePg/>
          <w:rtlGutter w:val="0"/>
          <w:docGrid w:type="lines" w:linePitch="312" w:charSpace="0"/>
        </w:sectPr>
      </w:pPr>
      <w:r>
        <w:rPr>
          <w:rFonts w:hint="eastAsia" w:ascii="楷体_GB2312" w:hAnsi="宋体" w:eastAsia="楷体_GB2312"/>
          <w:b w:val="0"/>
          <w:bCs w:val="0"/>
          <w:color w:val="auto"/>
          <w:sz w:val="32"/>
          <w:szCs w:val="32"/>
          <w:lang w:val="zh-CN"/>
        </w:rPr>
        <w:t>（二）相关建议。</w:t>
      </w:r>
      <w:r>
        <w:rPr>
          <w:rFonts w:hint="eastAsia" w:ascii="仿宋_GB2312" w:hAnsi="仿宋_GB2312" w:eastAsia="仿宋_GB2312" w:cs="仿宋_GB2312"/>
          <w:color w:val="auto"/>
          <w:sz w:val="32"/>
          <w:szCs w:val="32"/>
        </w:rPr>
        <w:t>细化预算编制工作，提升预算准确度和执行进度。</w:t>
      </w:r>
    </w:p>
    <w:tbl>
      <w:tblPr>
        <w:tblStyle w:val="13"/>
        <w:tblpPr w:leftFromText="180" w:rightFromText="180" w:vertAnchor="text" w:horzAnchor="page" w:tblpXSpec="center" w:tblpY="660"/>
        <w:tblOverlap w:val="never"/>
        <w:tblW w:w="102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3"/>
        <w:gridCol w:w="1140"/>
        <w:gridCol w:w="1477"/>
        <w:gridCol w:w="1617"/>
        <w:gridCol w:w="2221"/>
        <w:gridCol w:w="2492"/>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9980" w:type="dxa"/>
            <w:gridSpan w:val="6"/>
            <w:tcBorders>
              <w:top w:val="nil"/>
              <w:left w:val="nil"/>
              <w:bottom w:val="nil"/>
              <w:right w:val="nil"/>
            </w:tcBorders>
            <w:shd w:val="clear" w:color="auto" w:fill="auto"/>
            <w:vAlign w:val="center"/>
          </w:tcPr>
          <w:p>
            <w:pPr>
              <w:pStyle w:val="33"/>
              <w:keepNext w:val="0"/>
              <w:keepLines w:val="0"/>
              <w:pageBreakBefore w:val="0"/>
              <w:widowControl w:val="0"/>
              <w:kinsoku/>
              <w:wordWrap/>
              <w:overflowPunct/>
              <w:topLinePunct w:val="0"/>
              <w:autoSpaceDE/>
              <w:autoSpaceDN/>
              <w:bidi w:val="0"/>
              <w:spacing w:line="576" w:lineRule="exact"/>
              <w:ind w:left="3520" w:hanging="2560" w:hangingChars="80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p>
            <w:pPr>
              <w:pStyle w:val="33"/>
              <w:keepNext w:val="0"/>
              <w:keepLines w:val="0"/>
              <w:pageBreakBefore w:val="0"/>
              <w:widowControl w:val="0"/>
              <w:kinsoku/>
              <w:wordWrap/>
              <w:overflowPunct/>
              <w:topLinePunct w:val="0"/>
              <w:autoSpaceDE/>
              <w:autoSpaceDN/>
              <w:bidi w:val="0"/>
              <w:spacing w:line="576" w:lineRule="exact"/>
              <w:ind w:left="3520" w:hanging="2570" w:hangingChars="800"/>
              <w:jc w:val="center"/>
              <w:textAlignment w:val="auto"/>
              <w:rPr>
                <w:rFonts w:hint="eastAsia" w:ascii="宋体" w:hAnsi="宋体" w:eastAsia="宋体" w:cs="宋体"/>
                <w:b/>
                <w:i w:val="0"/>
                <w:color w:val="auto"/>
                <w:sz w:val="32"/>
                <w:szCs w:val="32"/>
                <w:u w:val="none"/>
              </w:rPr>
            </w:pPr>
            <w:r>
              <w:rPr>
                <w:rFonts w:hint="eastAsia" w:asciiTheme="minorEastAsia" w:hAnsiTheme="minorEastAsia" w:eastAsiaTheme="minorEastAsia" w:cstheme="minorEastAsia"/>
                <w:b/>
                <w:bCs w:val="0"/>
                <w:i w:val="0"/>
                <w:color w:val="auto"/>
                <w:sz w:val="32"/>
                <w:szCs w:val="32"/>
                <w:highlight w:val="none"/>
                <w:u w:val="none"/>
                <w:lang w:val="en-US" w:eastAsia="zh-CN"/>
              </w:rPr>
              <w:t>2021年部门预算</w:t>
            </w:r>
            <w:r>
              <w:rPr>
                <w:rFonts w:hint="eastAsia" w:asciiTheme="minorEastAsia" w:hAnsiTheme="minorEastAsia" w:eastAsiaTheme="minorEastAsia" w:cstheme="minorEastAsia"/>
                <w:b/>
                <w:bCs w:val="0"/>
                <w:color w:val="auto"/>
                <w:sz w:val="32"/>
                <w:szCs w:val="32"/>
                <w:lang w:val="en-US" w:eastAsia="zh-CN"/>
              </w:rPr>
              <w:t>绩效评价管理工作经费</w:t>
            </w:r>
            <w:r>
              <w:rPr>
                <w:rFonts w:hint="eastAsia" w:asciiTheme="minorEastAsia" w:hAnsiTheme="minorEastAsia" w:eastAsiaTheme="minorEastAsia" w:cstheme="minorEastAsia"/>
                <w:b/>
                <w:bCs w:val="0"/>
                <w:i w:val="0"/>
                <w:color w:val="auto"/>
                <w:sz w:val="32"/>
                <w:szCs w:val="32"/>
                <w:highlight w:val="none"/>
                <w:u w:val="none"/>
                <w:lang w:val="en-US" w:eastAsia="zh-CN"/>
              </w:rPr>
              <w:t>项目绩效目标自评</w:t>
            </w:r>
          </w:p>
        </w:tc>
        <w:tc>
          <w:tcPr>
            <w:tcW w:w="236" w:type="dxa"/>
            <w:tcBorders>
              <w:top w:val="nil"/>
              <w:left w:val="nil"/>
              <w:bottom w:val="nil"/>
              <w:right w:val="nil"/>
            </w:tcBorders>
            <w:shd w:val="clear" w:color="auto" w:fill="auto"/>
            <w:vAlign w:val="center"/>
          </w:tcPr>
          <w:p>
            <w:pPr>
              <w:keepNext w:val="0"/>
              <w:keepLines w:val="0"/>
              <w:pageBreakBefore w:val="0"/>
              <w:widowControl w:val="0"/>
              <w:suppressLineNumbers w:val="0"/>
              <w:kinsoku/>
              <w:overflowPunct/>
              <w:topLinePunct w:val="0"/>
              <w:bidi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4" w:hRule="atLeast"/>
          <w:jc w:val="center"/>
        </w:trPr>
        <w:tc>
          <w:tcPr>
            <w:tcW w:w="2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主管部门及代码</w:t>
            </w:r>
          </w:p>
        </w:tc>
        <w:tc>
          <w:tcPr>
            <w:tcW w:w="3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广元市财政局</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实施单位</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广元市财政绩效管理中心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jc w:val="center"/>
        </w:trPr>
        <w:tc>
          <w:tcPr>
            <w:tcW w:w="21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项目预算</w:t>
            </w:r>
          </w:p>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执行情况</w:t>
            </w:r>
          </w:p>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（万元）</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预算数：</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46.2</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执行数：</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5" w:hRule="atLeast"/>
          <w:jc w:val="center"/>
        </w:trPr>
        <w:tc>
          <w:tcPr>
            <w:tcW w:w="21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18"/>
                <w:szCs w:val="18"/>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财政拨款</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46.2</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财政拨款</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ind w:firstLine="540" w:firstLineChars="300"/>
              <w:jc w:val="both"/>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81" w:hRule="atLeast"/>
          <w:jc w:val="center"/>
        </w:trPr>
        <w:tc>
          <w:tcPr>
            <w:tcW w:w="21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18"/>
                <w:szCs w:val="18"/>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其他资金</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其他资金</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41" w:hRule="atLeast"/>
          <w:jc w:val="center"/>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年度总体</w:t>
            </w:r>
          </w:p>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目标</w:t>
            </w:r>
          </w:p>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完成情况</w:t>
            </w:r>
          </w:p>
        </w:tc>
        <w:tc>
          <w:tcPr>
            <w:tcW w:w="4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预期目标</w:t>
            </w:r>
          </w:p>
        </w:tc>
        <w:tc>
          <w:tcPr>
            <w:tcW w:w="4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873"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18"/>
                <w:szCs w:val="18"/>
                <w:u w:val="none"/>
              </w:rPr>
            </w:pPr>
          </w:p>
        </w:tc>
        <w:tc>
          <w:tcPr>
            <w:tcW w:w="423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top"/>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完成部门整体和项为更好地全面推进全市预算绩效管理，提高全市绩效管理水平，确保全市绩效目标全覆盖，做好绩效目标管理及运行监控试点工作，做好做实项目绩效评价及部门整体绩效评价工作。</w:t>
            </w:r>
          </w:p>
        </w:tc>
        <w:tc>
          <w:tcPr>
            <w:tcW w:w="4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top"/>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21" w:hRule="atLeast"/>
          <w:jc w:val="center"/>
        </w:trPr>
        <w:tc>
          <w:tcPr>
            <w:tcW w:w="10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年度绩效指标完成情况</w:t>
            </w:r>
          </w:p>
        </w:tc>
        <w:tc>
          <w:tcPr>
            <w:tcW w:w="11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指标</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指标</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预期指标值</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jc w:val="center"/>
        </w:trPr>
        <w:tc>
          <w:tcPr>
            <w:tcW w:w="10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auto"/>
                <w:sz w:val="18"/>
                <w:szCs w:val="18"/>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完成</w:t>
            </w:r>
          </w:p>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指标</w:t>
            </w:r>
          </w:p>
        </w:tc>
        <w:tc>
          <w:tcPr>
            <w:tcW w:w="14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数量指标</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绩效评价</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default"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sz w:val="18"/>
                <w:szCs w:val="18"/>
                <w:u w:val="none"/>
              </w:rPr>
              <w:t>完成项目评价</w:t>
            </w:r>
            <w:r>
              <w:rPr>
                <w:rFonts w:hint="eastAsia" w:asciiTheme="minorEastAsia" w:hAnsiTheme="minorEastAsia" w:eastAsiaTheme="minorEastAsia" w:cstheme="minorEastAsia"/>
                <w:i w:val="0"/>
                <w:color w:val="auto"/>
                <w:sz w:val="18"/>
                <w:szCs w:val="18"/>
                <w:u w:val="none"/>
                <w:lang w:val="en-US" w:eastAsia="zh-CN"/>
              </w:rPr>
              <w:t>40个、部门评价20个、政策评价1个。</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color w:val="auto"/>
                <w:sz w:val="18"/>
                <w:szCs w:val="18"/>
                <w:lang w:val="en-US" w:eastAsia="zh-CN"/>
              </w:rPr>
              <w:t>因2021年度省厅考核工作要求变化，提高项目评价质量，因此项目评价个数减少，</w:t>
            </w:r>
            <w:r>
              <w:rPr>
                <w:rFonts w:hint="eastAsia" w:asciiTheme="minorEastAsia" w:hAnsiTheme="minorEastAsia" w:eastAsiaTheme="minorEastAsia" w:cstheme="minorEastAsia"/>
                <w:i w:val="0"/>
                <w:color w:val="auto"/>
                <w:sz w:val="18"/>
                <w:szCs w:val="18"/>
                <w:u w:val="none"/>
              </w:rPr>
              <w:t>完成项目评价</w:t>
            </w:r>
            <w:r>
              <w:rPr>
                <w:rFonts w:hint="eastAsia" w:asciiTheme="minorEastAsia" w:hAnsiTheme="minorEastAsia" w:eastAsiaTheme="minorEastAsia" w:cstheme="minorEastAsia"/>
                <w:i w:val="0"/>
                <w:color w:val="auto"/>
                <w:sz w:val="18"/>
                <w:szCs w:val="18"/>
                <w:u w:val="none"/>
                <w:lang w:val="en-US" w:eastAsia="zh-CN"/>
              </w:rPr>
              <w:t>22个、部门评价14个、政策评价2个。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jc w:val="center"/>
        </w:trPr>
        <w:tc>
          <w:tcPr>
            <w:tcW w:w="10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auto"/>
                <w:sz w:val="18"/>
                <w:szCs w:val="18"/>
                <w:u w:val="none"/>
              </w:rPr>
            </w:pPr>
          </w:p>
        </w:tc>
        <w:tc>
          <w:tcPr>
            <w:tcW w:w="114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p>
        </w:tc>
        <w:tc>
          <w:tcPr>
            <w:tcW w:w="1477"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default"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sz w:val="18"/>
                <w:szCs w:val="18"/>
                <w:u w:val="none"/>
                <w:lang w:val="en-US" w:eastAsia="zh-CN"/>
              </w:rPr>
              <w:t>开展对接及调研工作</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default"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sz w:val="18"/>
                <w:szCs w:val="18"/>
                <w:u w:val="none"/>
                <w:lang w:val="en-US" w:eastAsia="zh-CN"/>
              </w:rPr>
              <w:t>到省厅及上级部门汇报对接工作、开展代言指导共5次</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default"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sz w:val="18"/>
                <w:szCs w:val="18"/>
                <w:u w:val="none"/>
                <w:lang w:val="en-US" w:eastAsia="zh-CN"/>
              </w:rPr>
              <w:t>到省厅及上级部门汇报对接工作、开展代言指导共8次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jc w:val="center"/>
        </w:trPr>
        <w:tc>
          <w:tcPr>
            <w:tcW w:w="10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auto"/>
                <w:sz w:val="18"/>
                <w:szCs w:val="18"/>
                <w:u w:val="none"/>
              </w:rPr>
            </w:pPr>
          </w:p>
        </w:tc>
        <w:tc>
          <w:tcPr>
            <w:tcW w:w="114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p>
        </w:tc>
        <w:tc>
          <w:tcPr>
            <w:tcW w:w="1477"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劳务派遣</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保证工作开展支付劳务派遣费。</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default"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sz w:val="18"/>
                <w:szCs w:val="18"/>
                <w:u w:val="none"/>
                <w:lang w:val="en-US" w:eastAsia="zh-CN"/>
              </w:rPr>
              <w:t>已完成支付。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jc w:val="center"/>
        </w:trPr>
        <w:tc>
          <w:tcPr>
            <w:tcW w:w="10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auto"/>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color w:val="auto"/>
                <w:sz w:val="18"/>
                <w:szCs w:val="18"/>
                <w:u w:val="none"/>
              </w:rPr>
            </w:pPr>
          </w:p>
        </w:tc>
        <w:tc>
          <w:tcPr>
            <w:tcW w:w="1477"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default"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sz w:val="18"/>
                <w:szCs w:val="18"/>
                <w:u w:val="none"/>
                <w:lang w:val="en-US" w:eastAsia="zh-CN"/>
              </w:rPr>
              <w:t>工作会议</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lang w:eastAsia="zh-CN"/>
              </w:rPr>
            </w:pPr>
            <w:r>
              <w:rPr>
                <w:rFonts w:hint="eastAsia" w:asciiTheme="minorEastAsia" w:hAnsiTheme="minorEastAsia" w:eastAsiaTheme="minorEastAsia" w:cstheme="minorEastAsia"/>
                <w:i w:val="0"/>
                <w:color w:val="auto"/>
                <w:sz w:val="18"/>
                <w:szCs w:val="18"/>
                <w:u w:val="none"/>
              </w:rPr>
              <w:t>召开工作会1次，安排布置全市预算绩效工作</w:t>
            </w:r>
            <w:r>
              <w:rPr>
                <w:rFonts w:hint="eastAsia" w:asciiTheme="minorEastAsia" w:hAnsiTheme="minorEastAsia" w:eastAsiaTheme="minorEastAsia" w:cstheme="minorEastAsia"/>
                <w:i w:val="0"/>
                <w:color w:val="auto"/>
                <w:sz w:val="18"/>
                <w:szCs w:val="18"/>
                <w:u w:val="none"/>
                <w:lang w:eastAsia="zh-CN"/>
              </w:rPr>
              <w:t>。</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default"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sz w:val="18"/>
                <w:szCs w:val="18"/>
                <w:u w:val="none"/>
                <w:lang w:val="en-US" w:eastAsia="zh-CN"/>
              </w:rPr>
              <w:t>召开1次全预算绩效管理改革推进会议。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jc w:val="center"/>
        </w:trPr>
        <w:tc>
          <w:tcPr>
            <w:tcW w:w="10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auto"/>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color w:val="auto"/>
                <w:sz w:val="18"/>
                <w:szCs w:val="18"/>
                <w:u w:val="none"/>
              </w:rPr>
            </w:pPr>
          </w:p>
        </w:tc>
        <w:tc>
          <w:tcPr>
            <w:tcW w:w="14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质量指标</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绩效目标填报</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全市各部门绩效目标填报全覆盖</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default"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sz w:val="18"/>
                <w:szCs w:val="18"/>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jc w:val="center"/>
        </w:trPr>
        <w:tc>
          <w:tcPr>
            <w:tcW w:w="10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auto"/>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color w:val="auto"/>
                <w:sz w:val="18"/>
                <w:szCs w:val="18"/>
                <w:u w:val="none"/>
              </w:rPr>
            </w:pPr>
          </w:p>
        </w:tc>
        <w:tc>
          <w:tcPr>
            <w:tcW w:w="1477"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绩效目标监控跟踪</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抽取部分项目进行预算绩效跟踪监控</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31" w:hRule="atLeast"/>
          <w:jc w:val="center"/>
        </w:trPr>
        <w:tc>
          <w:tcPr>
            <w:tcW w:w="10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auto"/>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color w:val="auto"/>
                <w:sz w:val="18"/>
                <w:szCs w:val="18"/>
                <w:u w:val="none"/>
              </w:rPr>
            </w:pPr>
          </w:p>
        </w:tc>
        <w:tc>
          <w:tcPr>
            <w:tcW w:w="14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时效指标</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lang w:val="en-US" w:eastAsia="zh-CN"/>
              </w:rPr>
              <w:t>会议</w:t>
            </w:r>
            <w:r>
              <w:rPr>
                <w:rFonts w:hint="eastAsia" w:asciiTheme="minorEastAsia" w:hAnsiTheme="minorEastAsia" w:eastAsiaTheme="minorEastAsia" w:cstheme="minorEastAsia"/>
                <w:i w:val="0"/>
                <w:color w:val="auto"/>
                <w:sz w:val="18"/>
                <w:szCs w:val="18"/>
                <w:u w:val="none"/>
              </w:rPr>
              <w:t>完成时间</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default"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sz w:val="18"/>
                <w:szCs w:val="18"/>
                <w:u w:val="none"/>
                <w:lang w:val="en-US" w:eastAsia="zh-CN"/>
              </w:rPr>
              <w:t>2021年</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21" w:hRule="atLeast"/>
          <w:jc w:val="center"/>
        </w:trPr>
        <w:tc>
          <w:tcPr>
            <w:tcW w:w="10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auto"/>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color w:val="auto"/>
                <w:sz w:val="18"/>
                <w:szCs w:val="18"/>
                <w:u w:val="none"/>
              </w:rPr>
            </w:pPr>
          </w:p>
        </w:tc>
        <w:tc>
          <w:tcPr>
            <w:tcW w:w="1477"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目标填报时间</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2月份前完成</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32" w:hRule="atLeast"/>
          <w:jc w:val="center"/>
        </w:trPr>
        <w:tc>
          <w:tcPr>
            <w:tcW w:w="10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auto"/>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color w:val="auto"/>
                <w:sz w:val="18"/>
                <w:szCs w:val="18"/>
                <w:u w:val="none"/>
              </w:rPr>
            </w:pPr>
          </w:p>
        </w:tc>
        <w:tc>
          <w:tcPr>
            <w:tcW w:w="1477"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绩效监控时间</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10月份前完成</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19" w:hRule="atLeast"/>
          <w:jc w:val="center"/>
        </w:trPr>
        <w:tc>
          <w:tcPr>
            <w:tcW w:w="10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auto"/>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color w:val="auto"/>
                <w:sz w:val="18"/>
                <w:szCs w:val="18"/>
                <w:u w:val="none"/>
              </w:rPr>
            </w:pPr>
          </w:p>
        </w:tc>
        <w:tc>
          <w:tcPr>
            <w:tcW w:w="1477"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绩效评价时间</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11月前完成</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28" w:hRule="atLeast"/>
          <w:jc w:val="center"/>
        </w:trPr>
        <w:tc>
          <w:tcPr>
            <w:tcW w:w="10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auto"/>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color w:val="auto"/>
                <w:sz w:val="18"/>
                <w:szCs w:val="18"/>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成本指标</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default"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sz w:val="18"/>
                <w:szCs w:val="18"/>
                <w:u w:val="none"/>
                <w:lang w:val="en-US" w:eastAsia="zh-CN"/>
              </w:rPr>
              <w:t>工作经费</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default"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sz w:val="18"/>
                <w:szCs w:val="18"/>
                <w:u w:val="none"/>
                <w:lang w:val="en-US" w:eastAsia="zh-CN"/>
              </w:rPr>
              <w:t>46.2万元</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default"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sz w:val="18"/>
                <w:szCs w:val="18"/>
                <w:u w:val="none"/>
                <w:lang w:val="en-US" w:eastAsia="zh-CN"/>
              </w:rPr>
              <w:t>8.53万元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jc w:val="center"/>
        </w:trPr>
        <w:tc>
          <w:tcPr>
            <w:tcW w:w="10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auto"/>
                <w:sz w:val="18"/>
                <w:szCs w:val="18"/>
                <w:u w:val="none"/>
              </w:rPr>
            </w:pPr>
          </w:p>
        </w:tc>
        <w:tc>
          <w:tcPr>
            <w:tcW w:w="11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效益</w:t>
            </w:r>
          </w:p>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指标</w:t>
            </w:r>
          </w:p>
        </w:tc>
        <w:tc>
          <w:tcPr>
            <w:tcW w:w="14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经济效益指标</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填报绩效目标效益</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通过目标测算是否合理，可以科学批复预算，规避财政风险</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jc w:val="center"/>
        </w:trPr>
        <w:tc>
          <w:tcPr>
            <w:tcW w:w="10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auto"/>
                <w:sz w:val="18"/>
                <w:szCs w:val="18"/>
                <w:u w:val="none"/>
              </w:rPr>
            </w:pPr>
          </w:p>
        </w:tc>
        <w:tc>
          <w:tcPr>
            <w:tcW w:w="114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p>
        </w:tc>
        <w:tc>
          <w:tcPr>
            <w:tcW w:w="1477"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评价结果经济效益</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避免财政资金流失</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jc w:val="center"/>
        </w:trPr>
        <w:tc>
          <w:tcPr>
            <w:tcW w:w="10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auto"/>
                <w:sz w:val="18"/>
                <w:szCs w:val="18"/>
                <w:u w:val="none"/>
              </w:rPr>
            </w:pPr>
          </w:p>
        </w:tc>
        <w:tc>
          <w:tcPr>
            <w:tcW w:w="114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color w:val="auto"/>
                <w:sz w:val="18"/>
                <w:szCs w:val="18"/>
                <w:u w:val="none"/>
              </w:rPr>
            </w:pPr>
          </w:p>
        </w:tc>
        <w:tc>
          <w:tcPr>
            <w:tcW w:w="14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社会效益指标</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绩效目标社会效益</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强化支出责任，避免盲目投资</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jc w:val="center"/>
        </w:trPr>
        <w:tc>
          <w:tcPr>
            <w:tcW w:w="10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auto"/>
                <w:sz w:val="18"/>
                <w:szCs w:val="18"/>
                <w:u w:val="none"/>
              </w:rPr>
            </w:pPr>
          </w:p>
        </w:tc>
        <w:tc>
          <w:tcPr>
            <w:tcW w:w="114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color w:val="auto"/>
                <w:sz w:val="18"/>
                <w:szCs w:val="18"/>
                <w:u w:val="none"/>
              </w:rPr>
            </w:pPr>
          </w:p>
        </w:tc>
        <w:tc>
          <w:tcPr>
            <w:tcW w:w="1477"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绩效监控社会效益</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提高财政资金管理使用绩效</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51" w:hRule="atLeast"/>
          <w:jc w:val="center"/>
        </w:trPr>
        <w:tc>
          <w:tcPr>
            <w:tcW w:w="10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auto"/>
                <w:sz w:val="18"/>
                <w:szCs w:val="18"/>
                <w:u w:val="none"/>
              </w:rPr>
            </w:pPr>
          </w:p>
        </w:tc>
        <w:tc>
          <w:tcPr>
            <w:tcW w:w="114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color w:val="auto"/>
                <w:sz w:val="18"/>
                <w:szCs w:val="18"/>
                <w:u w:val="none"/>
              </w:rPr>
            </w:pPr>
          </w:p>
        </w:tc>
        <w:tc>
          <w:tcPr>
            <w:tcW w:w="14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可持续影响指标</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绩效目标编制</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长期</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05" w:hRule="atLeast"/>
          <w:jc w:val="center"/>
        </w:trPr>
        <w:tc>
          <w:tcPr>
            <w:tcW w:w="10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auto"/>
                <w:sz w:val="18"/>
                <w:szCs w:val="18"/>
                <w:u w:val="none"/>
              </w:rPr>
            </w:pPr>
          </w:p>
        </w:tc>
        <w:tc>
          <w:tcPr>
            <w:tcW w:w="114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color w:val="auto"/>
                <w:sz w:val="18"/>
                <w:szCs w:val="18"/>
                <w:u w:val="none"/>
              </w:rPr>
            </w:pPr>
          </w:p>
        </w:tc>
        <w:tc>
          <w:tcPr>
            <w:tcW w:w="1477"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绩效监控跟踪</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长期</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05" w:hRule="atLeast"/>
          <w:jc w:val="center"/>
        </w:trPr>
        <w:tc>
          <w:tcPr>
            <w:tcW w:w="10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auto"/>
                <w:sz w:val="18"/>
                <w:szCs w:val="18"/>
                <w:u w:val="none"/>
              </w:rPr>
            </w:pPr>
          </w:p>
        </w:tc>
        <w:tc>
          <w:tcPr>
            <w:tcW w:w="114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auto"/>
                <w:sz w:val="18"/>
                <w:szCs w:val="18"/>
                <w:u w:val="none"/>
              </w:rPr>
            </w:pPr>
          </w:p>
        </w:tc>
        <w:tc>
          <w:tcPr>
            <w:tcW w:w="1477"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绩效评价</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长期</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jc w:val="center"/>
        </w:trPr>
        <w:tc>
          <w:tcPr>
            <w:tcW w:w="10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color w:val="auto"/>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满意</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度指标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满意度指标</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绩效评价满意度</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100%</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100%</w:t>
            </w:r>
          </w:p>
        </w:tc>
      </w:tr>
    </w:tbl>
    <w:p>
      <w:pPr>
        <w:keepNext w:val="0"/>
        <w:keepLines w:val="0"/>
        <w:pageBreakBefore w:val="0"/>
        <w:widowControl w:val="0"/>
        <w:kinsoku/>
        <w:wordWrap/>
        <w:overflowPunct/>
        <w:topLinePunct w:val="0"/>
        <w:autoSpaceDE/>
        <w:autoSpaceDN/>
        <w:bidi w:val="0"/>
        <w:adjustRightInd/>
        <w:snapToGrid/>
        <w:spacing w:line="240" w:lineRule="exact"/>
        <w:jc w:val="center"/>
        <w:outlineLvl w:val="0"/>
        <w:rPr>
          <w:rFonts w:hint="eastAsia" w:asciiTheme="minorEastAsia" w:hAnsiTheme="minorEastAsia" w:eastAsiaTheme="minorEastAsia" w:cstheme="minorEastAsia"/>
          <w:color w:val="auto"/>
          <w:sz w:val="18"/>
          <w:szCs w:val="18"/>
          <w:highlight w:val="none"/>
        </w:rPr>
      </w:pPr>
    </w:p>
    <w:p>
      <w:pPr>
        <w:keepNext w:val="0"/>
        <w:keepLines w:val="0"/>
        <w:pageBreakBefore w:val="0"/>
        <w:widowControl w:val="0"/>
        <w:kinsoku/>
        <w:overflowPunct/>
        <w:topLinePunct w:val="0"/>
        <w:bidi w:val="0"/>
        <w:spacing w:line="600" w:lineRule="exact"/>
        <w:jc w:val="center"/>
        <w:outlineLvl w:val="0"/>
        <w:rPr>
          <w:rFonts w:hint="eastAsia" w:asciiTheme="minorEastAsia" w:hAnsiTheme="minorEastAsia" w:eastAsiaTheme="minorEastAsia" w:cstheme="minorEastAsia"/>
          <w:color w:val="auto"/>
          <w:sz w:val="18"/>
          <w:szCs w:val="18"/>
          <w:highlight w:val="none"/>
        </w:rPr>
        <w:sectPr>
          <w:footerReference r:id="rId11" w:type="first"/>
          <w:footerReference r:id="rId10" w:type="default"/>
          <w:pgSz w:w="11906" w:h="16838"/>
          <w:pgMar w:top="1134" w:right="1474" w:bottom="1134" w:left="1587" w:header="851" w:footer="1559" w:gutter="0"/>
          <w:pgNumType w:fmt="decimal" w:start="21"/>
          <w:cols w:space="0" w:num="1"/>
          <w:titlePg/>
          <w:rtlGutter w:val="0"/>
          <w:docGrid w:type="lines" w:linePitch="312" w:charSpace="0"/>
        </w:sectPr>
      </w:pPr>
    </w:p>
    <w:p>
      <w:pPr>
        <w:pStyle w:val="2"/>
        <w:rPr>
          <w:rFonts w:hint="eastAsia"/>
        </w:rPr>
      </w:pPr>
    </w:p>
    <w:p>
      <w:pPr>
        <w:pStyle w:val="33"/>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color w:val="auto"/>
          <w:sz w:val="44"/>
          <w:szCs w:val="44"/>
          <w:lang w:val="en-US" w:eastAsia="zh-CN"/>
        </w:rPr>
      </w:pPr>
      <w:r>
        <w:rPr>
          <w:rFonts w:hint="eastAsia" w:ascii="方正小标宋简体" w:hAnsi="宋体" w:eastAsia="方正小标宋简体"/>
          <w:b w:val="0"/>
          <w:bCs w:val="0"/>
          <w:color w:val="auto"/>
          <w:sz w:val="44"/>
          <w:szCs w:val="44"/>
          <w:lang w:val="en-US" w:eastAsia="zh-CN"/>
        </w:rPr>
        <w:t>广元市财政绩效管理中心</w:t>
      </w:r>
    </w:p>
    <w:p>
      <w:pPr>
        <w:pStyle w:val="33"/>
        <w:keepNext w:val="0"/>
        <w:keepLines w:val="0"/>
        <w:pageBreakBefore w:val="0"/>
        <w:widowControl w:val="0"/>
        <w:kinsoku/>
        <w:wordWrap/>
        <w:overflowPunct/>
        <w:topLinePunct w:val="0"/>
        <w:autoSpaceDE/>
        <w:autoSpaceDN/>
        <w:bidi w:val="0"/>
        <w:spacing w:line="576" w:lineRule="exact"/>
        <w:jc w:val="center"/>
        <w:textAlignment w:val="auto"/>
        <w:rPr>
          <w:rFonts w:hint="eastAsia" w:ascii="楷体_GB2312" w:hAnsi="楷体_GB2312" w:eastAsia="楷体_GB2312" w:cs="楷体_GB2312"/>
          <w:b w:val="0"/>
          <w:bCs w:val="0"/>
          <w:color w:val="auto"/>
          <w:kern w:val="2"/>
          <w:sz w:val="32"/>
          <w:szCs w:val="32"/>
        </w:rPr>
      </w:pPr>
      <w:r>
        <w:rPr>
          <w:rFonts w:hint="eastAsia" w:ascii="方正小标宋简体" w:hAnsi="宋体" w:eastAsia="方正小标宋简体"/>
          <w:b w:val="0"/>
          <w:bCs w:val="0"/>
          <w:color w:val="auto"/>
          <w:sz w:val="44"/>
          <w:szCs w:val="44"/>
          <w:lang w:val="en-US" w:eastAsia="zh-CN"/>
        </w:rPr>
        <w:t>关于2021年财政管理设备采购经费</w:t>
      </w:r>
      <w:r>
        <w:rPr>
          <w:rFonts w:hint="eastAsia" w:ascii="方正小标宋简体" w:hAnsi="宋体" w:eastAsia="方正小标宋简体"/>
          <w:b w:val="0"/>
          <w:bCs w:val="0"/>
          <w:color w:val="auto"/>
          <w:sz w:val="44"/>
          <w:szCs w:val="44"/>
          <w:lang w:eastAsia="zh-CN"/>
        </w:rPr>
        <w:t>项目</w:t>
      </w:r>
      <w:r>
        <w:rPr>
          <w:rFonts w:hint="eastAsia" w:ascii="方正小标宋简体" w:hAnsi="宋体" w:eastAsia="方正小标宋简体"/>
          <w:b w:val="0"/>
          <w:bCs w:val="0"/>
          <w:color w:val="auto"/>
          <w:sz w:val="44"/>
          <w:szCs w:val="44"/>
        </w:rPr>
        <w:t>绩效自评报告</w:t>
      </w:r>
    </w:p>
    <w:p>
      <w:pPr>
        <w:pStyle w:val="33"/>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b w:val="0"/>
          <w:bCs w:val="0"/>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lang w:val="zh-CN"/>
        </w:rPr>
      </w:pPr>
      <w:r>
        <w:rPr>
          <w:rFonts w:hint="eastAsia" w:ascii="黑体" w:hAnsi="宋体" w:eastAsia="黑体"/>
          <w:b w:val="0"/>
          <w:bCs w:val="0"/>
          <w:color w:val="auto"/>
          <w:sz w:val="32"/>
          <w:szCs w:val="32"/>
        </w:rPr>
        <w:t>一、</w:t>
      </w:r>
      <w:r>
        <w:rPr>
          <w:rFonts w:hint="eastAsia" w:ascii="黑体" w:hAnsi="宋体" w:eastAsia="黑体"/>
          <w:b w:val="0"/>
          <w:bCs w:val="0"/>
          <w:color w:val="auto"/>
          <w:sz w:val="32"/>
          <w:szCs w:val="32"/>
          <w:lang w:val="zh-CN"/>
        </w:rPr>
        <w:t>项目概况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本项目根据部门工作职能和年度工作安排确定，为保障</w:t>
      </w:r>
      <w:r>
        <w:rPr>
          <w:rFonts w:hint="eastAsia" w:ascii="仿宋_GB2312" w:hAnsi="仿宋_GB2312" w:eastAsia="仿宋_GB2312" w:cs="仿宋_GB2312"/>
          <w:color w:val="auto"/>
          <w:sz w:val="32"/>
          <w:szCs w:val="32"/>
          <w:lang w:val="en-US" w:eastAsia="zh-CN"/>
        </w:rPr>
        <w:t>全市预算绩效管理工作顺利开展，将</w:t>
      </w:r>
      <w:r>
        <w:rPr>
          <w:rFonts w:hint="eastAsia" w:ascii="仿宋_GB2312" w:hAnsi="仿宋_GB2312" w:eastAsia="仿宋_GB2312" w:cs="仿宋_GB2312"/>
          <w:b w:val="0"/>
          <w:bCs w:val="0"/>
          <w:color w:val="auto"/>
          <w:sz w:val="32"/>
          <w:szCs w:val="32"/>
          <w:lang w:val="en-US" w:eastAsia="zh-CN"/>
        </w:rPr>
        <w:t>财政管理设备采购经费</w:t>
      </w:r>
      <w:r>
        <w:rPr>
          <w:rFonts w:hint="eastAsia" w:ascii="仿宋_GB2312" w:hAnsi="仿宋_GB2312" w:eastAsia="仿宋_GB2312" w:cs="仿宋_GB2312"/>
          <w:color w:val="auto"/>
          <w:sz w:val="32"/>
          <w:szCs w:val="32"/>
        </w:rPr>
        <w:t>开展纳入预算。</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宋体" w:eastAsia="楷体_GB2312"/>
          <w:b w:val="0"/>
          <w:bCs w:val="0"/>
          <w:color w:val="auto"/>
          <w:sz w:val="32"/>
          <w:szCs w:val="32"/>
          <w:lang w:val="zh-CN"/>
        </w:rPr>
        <w:t>（一）项目资金申报及批复情况。</w:t>
      </w:r>
      <w:r>
        <w:rPr>
          <w:rFonts w:hint="eastAsia" w:ascii="仿宋_GB2312" w:hAnsi="仿宋_GB2312" w:eastAsia="仿宋_GB2312" w:cs="仿宋_GB2312"/>
          <w:color w:val="auto"/>
          <w:sz w:val="32"/>
          <w:szCs w:val="32"/>
        </w:rPr>
        <w:t>按照一般公共预算管理要求，年初由市财政绩效管理中心申报项目资金预算，202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 年由广元市财政局通过《广元市财政局关于批复202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年市级部门预算的通知》(广财预〔202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号)文件下达我单位项目资金预算指标</w:t>
      </w:r>
      <w:r>
        <w:rPr>
          <w:rFonts w:hint="eastAsia" w:ascii="仿宋_GB2312" w:hAnsi="仿宋_GB2312" w:eastAsia="仿宋_GB2312" w:cs="仿宋_GB2312"/>
          <w:color w:val="auto"/>
          <w:sz w:val="32"/>
          <w:szCs w:val="32"/>
          <w:lang w:val="en-US" w:eastAsia="zh-CN"/>
        </w:rPr>
        <w:t>1.52</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color w:val="auto"/>
          <w:sz w:val="32"/>
          <w:szCs w:val="32"/>
          <w:lang w:val="zh-CN"/>
        </w:rPr>
      </w:pPr>
      <w:r>
        <w:rPr>
          <w:rFonts w:hint="eastAsia" w:ascii="楷体_GB2312" w:hAnsi="宋体" w:eastAsia="楷体_GB2312"/>
          <w:b w:val="0"/>
          <w:bCs w:val="0"/>
          <w:color w:val="auto"/>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zh-CN"/>
        </w:rPr>
        <w:t>项目主要内容</w:t>
      </w:r>
      <w:r>
        <w:rPr>
          <w:rFonts w:hint="eastAsia" w:ascii="仿宋_GB2312" w:hAnsi="仿宋_GB2312" w:eastAsia="仿宋_GB2312" w:cs="仿宋_GB2312"/>
          <w:b w:val="0"/>
          <w:bCs w:val="0"/>
          <w:sz w:val="32"/>
          <w:szCs w:val="32"/>
          <w:lang w:val="en-US" w:eastAsia="zh-CN"/>
        </w:rPr>
        <w:t>和绩效目标</w:t>
      </w:r>
      <w:r>
        <w:rPr>
          <w:rFonts w:hint="eastAsia" w:ascii="仿宋_GB2312" w:hAnsi="仿宋_GB2312" w:eastAsia="仿宋_GB2312" w:cs="仿宋_GB2312"/>
          <w:b w:val="0"/>
          <w:bCs w:val="0"/>
          <w:sz w:val="32"/>
          <w:szCs w:val="32"/>
          <w:lang w:val="zh-CN"/>
        </w:rPr>
        <w:t>。</w:t>
      </w:r>
      <w:r>
        <w:rPr>
          <w:rFonts w:hint="eastAsia" w:ascii="仿宋_GB2312" w:hAnsi="仿宋_GB2312" w:eastAsia="仿宋_GB2312" w:cs="仿宋_GB2312"/>
          <w:b w:val="0"/>
          <w:bCs w:val="0"/>
          <w:i w:val="0"/>
          <w:caps w:val="0"/>
          <w:color w:val="333333"/>
          <w:spacing w:val="0"/>
          <w:sz w:val="32"/>
          <w:szCs w:val="32"/>
        </w:rPr>
        <w:t>通过实施</w:t>
      </w:r>
      <w:r>
        <w:rPr>
          <w:rFonts w:hint="eastAsia" w:ascii="仿宋_GB2312" w:hAnsi="仿宋_GB2312" w:eastAsia="仿宋_GB2312" w:cs="仿宋_GB2312"/>
          <w:b w:val="0"/>
          <w:bCs w:val="0"/>
          <w:i w:val="0"/>
          <w:caps w:val="0"/>
          <w:color w:val="333333"/>
          <w:spacing w:val="0"/>
          <w:sz w:val="32"/>
          <w:szCs w:val="32"/>
          <w:lang w:val="en-US" w:eastAsia="zh-CN"/>
        </w:rPr>
        <w:t>工作用纸采购，</w:t>
      </w:r>
      <w:r>
        <w:rPr>
          <w:rFonts w:hint="eastAsia" w:ascii="仿宋_GB2312" w:hAnsi="仿宋_GB2312" w:eastAsia="仿宋_GB2312" w:cs="仿宋_GB2312"/>
          <w:b w:val="0"/>
          <w:bCs w:val="0"/>
          <w:i w:val="0"/>
          <w:caps w:val="0"/>
          <w:color w:val="333333"/>
          <w:spacing w:val="0"/>
          <w:sz w:val="32"/>
          <w:szCs w:val="32"/>
        </w:rPr>
        <w:t>确保</w:t>
      </w:r>
      <w:r>
        <w:rPr>
          <w:rFonts w:hint="eastAsia" w:ascii="仿宋_GB2312" w:hAnsi="仿宋_GB2312" w:eastAsia="仿宋_GB2312" w:cs="仿宋_GB2312"/>
          <w:b w:val="0"/>
          <w:bCs w:val="0"/>
          <w:i w:val="0"/>
          <w:caps w:val="0"/>
          <w:color w:val="333333"/>
          <w:spacing w:val="0"/>
          <w:sz w:val="32"/>
          <w:szCs w:val="32"/>
          <w:lang w:val="en-US" w:eastAsia="zh-CN"/>
        </w:rPr>
        <w:t>财政绩效管理</w:t>
      </w:r>
      <w:r>
        <w:rPr>
          <w:rFonts w:hint="eastAsia" w:ascii="仿宋_GB2312" w:hAnsi="仿宋_GB2312" w:eastAsia="仿宋_GB2312" w:cs="仿宋_GB2312"/>
          <w:b w:val="0"/>
          <w:bCs w:val="0"/>
          <w:i w:val="0"/>
          <w:caps w:val="0"/>
          <w:color w:val="333333"/>
          <w:spacing w:val="0"/>
          <w:sz w:val="32"/>
          <w:szCs w:val="32"/>
        </w:rPr>
        <w:t>工作扎实有效开展，为</w:t>
      </w:r>
      <w:r>
        <w:rPr>
          <w:rFonts w:hint="eastAsia" w:ascii="仿宋_GB2312" w:hAnsi="仿宋_GB2312" w:eastAsia="仿宋_GB2312" w:cs="仿宋_GB2312"/>
          <w:b w:val="0"/>
          <w:bCs w:val="0"/>
          <w:i w:val="0"/>
          <w:caps w:val="0"/>
          <w:color w:val="333333"/>
          <w:spacing w:val="0"/>
          <w:sz w:val="32"/>
          <w:szCs w:val="32"/>
          <w:lang w:val="en-US" w:eastAsia="zh-CN"/>
        </w:rPr>
        <w:t>财政绩效管理</w:t>
      </w:r>
      <w:r>
        <w:rPr>
          <w:rFonts w:hint="eastAsia" w:ascii="仿宋_GB2312" w:hAnsi="仿宋_GB2312" w:eastAsia="仿宋_GB2312" w:cs="仿宋_GB2312"/>
          <w:b w:val="0"/>
          <w:bCs w:val="0"/>
          <w:i w:val="0"/>
          <w:caps w:val="0"/>
          <w:color w:val="333333"/>
          <w:spacing w:val="0"/>
          <w:sz w:val="32"/>
          <w:szCs w:val="32"/>
        </w:rPr>
        <w:t>工作顺利开展提供保障。按照年度计划，顺利完成</w:t>
      </w:r>
      <w:r>
        <w:rPr>
          <w:rFonts w:hint="eastAsia" w:ascii="仿宋_GB2312" w:hAnsi="仿宋_GB2312" w:eastAsia="仿宋_GB2312" w:cs="仿宋_GB2312"/>
          <w:b w:val="0"/>
          <w:bCs w:val="0"/>
          <w:i w:val="0"/>
          <w:caps w:val="0"/>
          <w:color w:val="333333"/>
          <w:spacing w:val="0"/>
          <w:sz w:val="32"/>
          <w:szCs w:val="32"/>
          <w:lang w:val="en-US" w:eastAsia="zh-CN"/>
        </w:rPr>
        <w:t>工作需要的复印纸</w:t>
      </w:r>
      <w:r>
        <w:rPr>
          <w:rFonts w:hint="eastAsia" w:ascii="仿宋_GB2312" w:hAnsi="仿宋_GB2312" w:eastAsia="仿宋_GB2312" w:cs="仿宋_GB2312"/>
          <w:b w:val="0"/>
          <w:bCs w:val="0"/>
          <w:i w:val="0"/>
          <w:caps w:val="0"/>
          <w:color w:val="333333"/>
          <w:spacing w:val="0"/>
          <w:sz w:val="32"/>
          <w:szCs w:val="32"/>
        </w:rPr>
        <w:t>采购任务</w:t>
      </w:r>
      <w:r>
        <w:rPr>
          <w:rFonts w:hint="eastAsia" w:ascii="仿宋_GB2312" w:hAnsi="仿宋_GB2312" w:eastAsia="仿宋_GB2312" w:cs="仿宋_GB2312"/>
          <w:b w:val="0"/>
          <w:bCs w:val="0"/>
          <w:i w:val="0"/>
          <w:caps w:val="0"/>
          <w:color w:val="333333"/>
          <w:spacing w:val="0"/>
          <w:sz w:val="32"/>
          <w:szCs w:val="32"/>
          <w:lang w:eastAsia="zh-CN"/>
        </w:rPr>
        <w:t>，</w:t>
      </w:r>
      <w:r>
        <w:rPr>
          <w:rFonts w:hint="eastAsia" w:ascii="仿宋_GB2312" w:hAnsi="仿宋_GB2312" w:eastAsia="仿宋_GB2312" w:cs="仿宋_GB2312"/>
          <w:b w:val="0"/>
          <w:bCs w:val="0"/>
          <w:i w:val="0"/>
          <w:caps w:val="0"/>
          <w:color w:val="333333"/>
          <w:spacing w:val="0"/>
          <w:sz w:val="32"/>
          <w:szCs w:val="32"/>
        </w:rPr>
        <w:t>确保各项工作开展达到预期效果。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CN"/>
        </w:rPr>
        <w:t>项目资金申报相符性。</w:t>
      </w:r>
      <w:r>
        <w:rPr>
          <w:rFonts w:hint="eastAsia" w:ascii="仿宋_GB2312" w:hAnsi="仿宋_GB2312" w:eastAsia="仿宋_GB2312" w:cs="仿宋_GB2312"/>
          <w:b w:val="0"/>
          <w:bCs w:val="0"/>
          <w:sz w:val="32"/>
          <w:szCs w:val="32"/>
          <w:lang w:val="en-US" w:eastAsia="zh-CN"/>
        </w:rPr>
        <w:t>该</w:t>
      </w:r>
      <w:r>
        <w:rPr>
          <w:rFonts w:hint="eastAsia" w:ascii="仿宋_GB2312" w:hAnsi="仿宋_GB2312" w:eastAsia="仿宋_GB2312" w:cs="仿宋_GB2312"/>
          <w:b w:val="0"/>
          <w:bCs w:val="0"/>
          <w:sz w:val="32"/>
          <w:szCs w:val="32"/>
          <w:lang w:val="zh-CN"/>
        </w:rPr>
        <w:t>项目</w:t>
      </w:r>
      <w:r>
        <w:rPr>
          <w:rFonts w:hint="eastAsia" w:ascii="仿宋_GB2312" w:hAnsi="仿宋_GB2312" w:eastAsia="仿宋_GB2312" w:cs="仿宋_GB2312"/>
          <w:b w:val="0"/>
          <w:bCs w:val="0"/>
          <w:sz w:val="32"/>
          <w:szCs w:val="32"/>
          <w:lang w:val="en-US" w:eastAsia="zh-CN"/>
        </w:rPr>
        <w:t>根据单位职能职责设定具体工作内容，</w:t>
      </w:r>
      <w:r>
        <w:rPr>
          <w:rFonts w:hint="eastAsia" w:ascii="仿宋_GB2312" w:hAnsi="仿宋_GB2312" w:eastAsia="仿宋_GB2312" w:cs="仿宋_GB2312"/>
          <w:b w:val="0"/>
          <w:bCs w:val="0"/>
          <w:sz w:val="32"/>
          <w:szCs w:val="32"/>
          <w:lang w:val="zh-CN"/>
        </w:rPr>
        <w:t>申报内容</w:t>
      </w:r>
      <w:r>
        <w:rPr>
          <w:rFonts w:hint="eastAsia" w:ascii="仿宋_GB2312" w:hAnsi="仿宋_GB2312" w:eastAsia="仿宋_GB2312" w:cs="仿宋_GB2312"/>
          <w:b w:val="0"/>
          <w:bCs w:val="0"/>
          <w:sz w:val="32"/>
          <w:szCs w:val="32"/>
          <w:lang w:val="en-US" w:eastAsia="zh-CN"/>
        </w:rPr>
        <w:t>和项目绩效</w:t>
      </w:r>
      <w:r>
        <w:rPr>
          <w:rFonts w:hint="eastAsia" w:ascii="仿宋_GB2312" w:hAnsi="仿宋_GB2312" w:eastAsia="仿宋_GB2312" w:cs="仿宋_GB2312"/>
          <w:b w:val="0"/>
          <w:bCs w:val="0"/>
          <w:sz w:val="32"/>
          <w:szCs w:val="32"/>
          <w:lang w:val="zh-CN"/>
        </w:rPr>
        <w:t>目标</w:t>
      </w:r>
      <w:r>
        <w:rPr>
          <w:rFonts w:hint="eastAsia" w:ascii="仿宋_GB2312" w:hAnsi="仿宋_GB2312" w:eastAsia="仿宋_GB2312" w:cs="仿宋_GB2312"/>
          <w:b w:val="0"/>
          <w:bCs w:val="0"/>
          <w:sz w:val="32"/>
          <w:szCs w:val="32"/>
          <w:lang w:val="en-US" w:eastAsia="zh-CN"/>
        </w:rPr>
        <w:t>与财政绩效管理业务工作</w:t>
      </w:r>
      <w:r>
        <w:rPr>
          <w:rFonts w:hint="eastAsia" w:ascii="仿宋_GB2312" w:hAnsi="仿宋_GB2312" w:eastAsia="仿宋_GB2312" w:cs="仿宋_GB2312"/>
          <w:b w:val="0"/>
          <w:bCs w:val="0"/>
          <w:sz w:val="32"/>
          <w:szCs w:val="32"/>
          <w:lang w:val="zh-CN"/>
        </w:rPr>
        <w:t>相符，</w:t>
      </w:r>
      <w:r>
        <w:rPr>
          <w:rFonts w:hint="eastAsia" w:ascii="仿宋_GB2312" w:hAnsi="仿宋_GB2312" w:eastAsia="仿宋_GB2312" w:cs="仿宋_GB2312"/>
          <w:b w:val="0"/>
          <w:bCs w:val="0"/>
          <w:sz w:val="32"/>
          <w:szCs w:val="32"/>
          <w:lang w:val="en-US" w:eastAsia="zh-CN"/>
        </w:rPr>
        <w:t>项目</w:t>
      </w:r>
      <w:r>
        <w:rPr>
          <w:rFonts w:hint="eastAsia" w:ascii="仿宋_GB2312" w:hAnsi="仿宋_GB2312" w:eastAsia="仿宋_GB2312" w:cs="仿宋_GB2312"/>
          <w:b w:val="0"/>
          <w:bCs w:val="0"/>
          <w:sz w:val="32"/>
          <w:szCs w:val="32"/>
          <w:lang w:val="zh-CN"/>
        </w:rPr>
        <w:t>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rPr>
      </w:pPr>
      <w:r>
        <w:rPr>
          <w:rFonts w:hint="eastAsia" w:ascii="黑体" w:hAnsi="宋体" w:eastAsia="黑体"/>
          <w:b w:val="0"/>
          <w:bCs w:val="0"/>
          <w:color w:val="auto"/>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宋体"/>
          <w:b w:val="0"/>
          <w:bCs w:val="0"/>
          <w:color w:val="auto"/>
          <w:sz w:val="32"/>
          <w:szCs w:val="32"/>
          <w:lang w:val="zh-CN"/>
        </w:rPr>
      </w:pPr>
      <w:r>
        <w:rPr>
          <w:rFonts w:hint="eastAsia" w:ascii="仿宋_GB2312" w:hAnsi="仿宋_GB2312" w:eastAsia="仿宋_GB2312" w:cs="仿宋_GB2312"/>
          <w:sz w:val="32"/>
          <w:szCs w:val="32"/>
        </w:rPr>
        <w:t>按照一般公共预算管理要求， 市财政局申报项目资金预算，202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年由广元市财政局通过</w:t>
      </w:r>
      <w:r>
        <w:rPr>
          <w:rFonts w:hint="eastAsia" w:ascii="仿宋_GB2312" w:hAnsi="仿宋_GB2312" w:eastAsia="仿宋_GB2312" w:cs="仿宋_GB2312"/>
          <w:sz w:val="32"/>
          <w:szCs w:val="32"/>
          <w:lang w:val="en-US" w:eastAsia="zh-CN"/>
        </w:rPr>
        <w:t>《广元市财政局关于批复2021年市级部门预算的通知》（广财预〔2021〕1号）</w:t>
      </w:r>
      <w:r>
        <w:rPr>
          <w:rFonts w:hint="eastAsia" w:ascii="仿宋_GB2312" w:hAnsi="仿宋_GB2312" w:eastAsia="仿宋_GB2312" w:cs="仿宋_GB2312"/>
          <w:sz w:val="32"/>
          <w:szCs w:val="32"/>
        </w:rPr>
        <w:t>文件下达我单位项目资金</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lang w:val="zh-CN"/>
        </w:rPr>
      </w:pPr>
      <w:r>
        <w:rPr>
          <w:rFonts w:hint="eastAsia" w:ascii="楷体_GB2312" w:hAnsi="宋体" w:eastAsia="楷体_GB2312"/>
          <w:b w:val="0"/>
          <w:bCs w:val="0"/>
          <w:color w:val="auto"/>
          <w:sz w:val="32"/>
          <w:szCs w:val="32"/>
          <w:lang w:val="zh-CN"/>
        </w:rPr>
        <w:t>（</w:t>
      </w:r>
      <w:r>
        <w:rPr>
          <w:rFonts w:hint="eastAsia" w:ascii="楷体_GB2312" w:hAnsi="宋体" w:eastAsia="楷体_GB2312"/>
          <w:b w:val="0"/>
          <w:bCs w:val="0"/>
          <w:color w:val="auto"/>
          <w:sz w:val="32"/>
          <w:szCs w:val="32"/>
          <w:lang w:val="en-US" w:eastAsia="zh-CN"/>
        </w:rPr>
        <w:t>二</w:t>
      </w:r>
      <w:r>
        <w:rPr>
          <w:rFonts w:hint="eastAsia" w:ascii="楷体_GB2312" w:hAnsi="宋体" w:eastAsia="楷体_GB2312"/>
          <w:b w:val="0"/>
          <w:bCs w:val="0"/>
          <w:color w:val="auto"/>
          <w:sz w:val="32"/>
          <w:szCs w:val="32"/>
          <w:lang w:val="zh-CN"/>
        </w:rPr>
        <w:t>）资金计划、到位及使用情况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本项目预算</w:t>
      </w:r>
      <w:r>
        <w:rPr>
          <w:rFonts w:hint="eastAsia" w:ascii="仿宋_GB2312" w:hAnsi="仿宋_GB2312" w:eastAsia="仿宋_GB2312" w:cs="仿宋_GB2312"/>
          <w:sz w:val="32"/>
          <w:szCs w:val="32"/>
          <w:lang w:val="en-US" w:eastAsia="zh-CN"/>
        </w:rPr>
        <w:t>批复资金</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万元，截至202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年底，</w:t>
      </w:r>
      <w:r>
        <w:rPr>
          <w:rFonts w:hint="eastAsia" w:ascii="仿宋_GB2312" w:hAnsi="仿宋_GB2312" w:eastAsia="仿宋_GB2312" w:cs="仿宋_GB2312"/>
          <w:sz w:val="32"/>
          <w:szCs w:val="32"/>
          <w:lang w:val="en-US" w:eastAsia="zh-CN"/>
        </w:rPr>
        <w:t>该项目</w:t>
      </w:r>
      <w:r>
        <w:rPr>
          <w:rFonts w:hint="eastAsia" w:ascii="仿宋_GB2312" w:hAnsi="仿宋_GB2312" w:eastAsia="仿宋_GB2312" w:cs="仿宋_GB2312"/>
          <w:sz w:val="32"/>
          <w:szCs w:val="32"/>
        </w:rPr>
        <w:t>实际拨付</w:t>
      </w:r>
      <w:r>
        <w:rPr>
          <w:rFonts w:hint="eastAsia" w:ascii="仿宋_GB2312" w:hAnsi="仿宋_GB2312" w:eastAsia="仿宋_GB2312" w:cs="仿宋_GB2312"/>
          <w:sz w:val="32"/>
          <w:szCs w:val="32"/>
          <w:lang w:val="en-US" w:eastAsia="zh-CN"/>
        </w:rPr>
        <w:t>到位</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万元，资金拨付率为100%。该项目资金全年共支出</w:t>
      </w:r>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万元，支出进度为</w:t>
      </w:r>
      <w:r>
        <w:rPr>
          <w:rFonts w:hint="eastAsia" w:ascii="仿宋_GB2312" w:hAnsi="仿宋_GB2312" w:eastAsia="仿宋_GB2312" w:cs="仿宋_GB2312"/>
          <w:sz w:val="32"/>
          <w:szCs w:val="32"/>
          <w:lang w:val="en-US" w:eastAsia="zh-CN"/>
        </w:rPr>
        <w:t>76</w:t>
      </w:r>
      <w:r>
        <w:rPr>
          <w:rFonts w:hint="eastAsia" w:ascii="仿宋_GB2312" w:hAnsi="仿宋_GB2312" w:eastAsia="仿宋_GB2312" w:cs="仿宋_GB2312"/>
          <w:sz w:val="32"/>
          <w:szCs w:val="32"/>
        </w:rPr>
        <w:t>%，主要是用于</w:t>
      </w:r>
      <w:r>
        <w:rPr>
          <w:rFonts w:hint="eastAsia" w:ascii="仿宋_GB2312" w:hAnsi="仿宋_GB2312" w:eastAsia="仿宋_GB2312" w:cs="仿宋_GB2312"/>
          <w:sz w:val="32"/>
          <w:szCs w:val="32"/>
          <w:lang w:val="en-US" w:eastAsia="zh-CN"/>
        </w:rPr>
        <w:t>复印纸采购。</w:t>
      </w:r>
      <w:r>
        <w:rPr>
          <w:rFonts w:hint="eastAsia" w:ascii="仿宋_GB2312" w:hAnsi="仿宋_GB2312" w:eastAsia="仿宋_GB2312" w:cs="仿宋_GB2312"/>
          <w:sz w:val="32"/>
          <w:szCs w:val="32"/>
        </w:rPr>
        <w:t>在项目执行过程中，严格按照预算批复执行，不随意改变该项目资金支付范围、支付标准，严控预算执行进度和经费支出情况，确保资金使用安全、规范、高效。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三、项目实施及管理情况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i w:val="0"/>
          <w:caps w:val="0"/>
          <w:color w:val="333333"/>
          <w:spacing w:val="0"/>
          <w:sz w:val="32"/>
          <w:szCs w:val="32"/>
          <w:lang w:val="en-US" w:eastAsia="zh-CN"/>
        </w:rPr>
        <w:t>该项目为政府采购项目，</w:t>
      </w:r>
      <w:r>
        <w:rPr>
          <w:rFonts w:hint="eastAsia" w:ascii="仿宋_GB2312" w:hAnsi="仿宋_GB2312" w:eastAsia="仿宋_GB2312" w:cs="仿宋_GB2312"/>
          <w:i w:val="0"/>
          <w:caps w:val="0"/>
          <w:color w:val="333333"/>
          <w:spacing w:val="0"/>
          <w:sz w:val="32"/>
          <w:szCs w:val="32"/>
        </w:rPr>
        <w:t>项目资金严格按工作计划有序开展，20</w:t>
      </w:r>
      <w:r>
        <w:rPr>
          <w:rFonts w:hint="eastAsia" w:ascii="仿宋_GB2312" w:hAnsi="仿宋_GB2312" w:eastAsia="仿宋_GB2312" w:cs="仿宋_GB2312"/>
          <w:i w:val="0"/>
          <w:caps w:val="0"/>
          <w:color w:val="333333"/>
          <w:spacing w:val="0"/>
          <w:sz w:val="32"/>
          <w:szCs w:val="32"/>
          <w:lang w:val="en-US" w:eastAsia="zh-CN"/>
        </w:rPr>
        <w:t>21</w:t>
      </w:r>
      <w:r>
        <w:rPr>
          <w:rFonts w:hint="eastAsia" w:ascii="仿宋_GB2312" w:hAnsi="仿宋_GB2312" w:eastAsia="仿宋_GB2312" w:cs="仿宋_GB2312"/>
          <w:i w:val="0"/>
          <w:caps w:val="0"/>
          <w:color w:val="333333"/>
          <w:spacing w:val="0"/>
          <w:sz w:val="32"/>
          <w:szCs w:val="32"/>
        </w:rPr>
        <w:t>年度</w:t>
      </w:r>
      <w:r>
        <w:rPr>
          <w:rFonts w:hint="eastAsia" w:ascii="仿宋_GB2312" w:hAnsi="仿宋_GB2312" w:eastAsia="仿宋_GB2312" w:cs="仿宋_GB2312"/>
          <w:i w:val="0"/>
          <w:caps w:val="0"/>
          <w:color w:val="333333"/>
          <w:spacing w:val="0"/>
          <w:sz w:val="32"/>
          <w:szCs w:val="32"/>
          <w:lang w:val="en-US" w:eastAsia="zh-CN"/>
        </w:rPr>
        <w:t>完成复印纸</w:t>
      </w:r>
      <w:r>
        <w:rPr>
          <w:rFonts w:hint="eastAsia" w:ascii="仿宋_GB2312" w:hAnsi="仿宋_GB2312" w:eastAsia="仿宋_GB2312" w:cs="仿宋_GB2312"/>
          <w:i w:val="0"/>
          <w:caps w:val="0"/>
          <w:color w:val="333333"/>
          <w:spacing w:val="0"/>
          <w:sz w:val="32"/>
          <w:szCs w:val="32"/>
        </w:rPr>
        <w:t>的采购，均按照</w:t>
      </w:r>
      <w:r>
        <w:rPr>
          <w:rFonts w:hint="eastAsia" w:ascii="仿宋_GB2312" w:hAnsi="仿宋_GB2312" w:eastAsia="仿宋_GB2312" w:cs="仿宋_GB2312"/>
          <w:i w:val="0"/>
          <w:caps w:val="0"/>
          <w:color w:val="333333"/>
          <w:spacing w:val="0"/>
          <w:sz w:val="32"/>
          <w:szCs w:val="32"/>
          <w:lang w:val="en-US" w:eastAsia="zh-CN"/>
        </w:rPr>
        <w:t>政府采购和</w:t>
      </w:r>
      <w:r>
        <w:rPr>
          <w:rFonts w:hint="eastAsia" w:ascii="仿宋_GB2312" w:hAnsi="仿宋_GB2312" w:eastAsia="仿宋_GB2312" w:cs="仿宋_GB2312"/>
          <w:i w:val="0"/>
          <w:caps w:val="0"/>
          <w:color w:val="333333"/>
          <w:spacing w:val="0"/>
          <w:sz w:val="32"/>
          <w:szCs w:val="32"/>
        </w:rPr>
        <w:t>单位</w:t>
      </w:r>
      <w:r>
        <w:rPr>
          <w:rFonts w:hint="eastAsia" w:ascii="仿宋_GB2312" w:hAnsi="仿宋_GB2312" w:eastAsia="仿宋_GB2312" w:cs="仿宋_GB2312"/>
          <w:i w:val="0"/>
          <w:caps w:val="0"/>
          <w:color w:val="333333"/>
          <w:spacing w:val="0"/>
          <w:sz w:val="32"/>
          <w:szCs w:val="32"/>
          <w:lang w:val="en-US" w:eastAsia="zh-CN"/>
        </w:rPr>
        <w:t>经费支出管理规定</w:t>
      </w:r>
      <w:r>
        <w:rPr>
          <w:rFonts w:hint="eastAsia" w:ascii="仿宋_GB2312" w:hAnsi="仿宋_GB2312" w:eastAsia="仿宋_GB2312" w:cs="仿宋_GB2312"/>
          <w:i w:val="0"/>
          <w:caps w:val="0"/>
          <w:color w:val="333333"/>
          <w:spacing w:val="0"/>
          <w:sz w:val="32"/>
          <w:szCs w:val="32"/>
        </w:rPr>
        <w:t>严格执行</w:t>
      </w:r>
      <w:r>
        <w:rPr>
          <w:rFonts w:hint="eastAsia" w:ascii="仿宋_GB2312" w:hAnsi="仿宋_GB2312" w:eastAsia="仿宋_GB2312" w:cs="仿宋_GB2312"/>
          <w:i w:val="0"/>
          <w:caps w:val="0"/>
          <w:color w:val="333333"/>
          <w:spacing w:val="0"/>
          <w:sz w:val="32"/>
          <w:szCs w:val="32"/>
          <w:lang w:eastAsia="zh-CN"/>
        </w:rPr>
        <w:t>。</w:t>
      </w:r>
      <w:r>
        <w:rPr>
          <w:rFonts w:hint="eastAsia" w:ascii="仿宋_GB2312" w:hAnsi="仿宋_GB2312" w:eastAsia="仿宋_GB2312" w:cs="仿宋_GB2312"/>
          <w:sz w:val="32"/>
          <w:szCs w:val="32"/>
        </w:rPr>
        <w:t>我单位严格按照项目管理有关规定管理专项经费，为保障项目资金安全，确保资金专款专用， 从资金申请、资金使用、会计核算三个环节加强资金管理，在项目资金申请环节，严格按照国库集中支付流程申请财政资金；在资金使用环节，严格遵守相关法律法规规定，严格按照单位财务管理审批流程办理款项支付；在会计核算环节，对本项目资金实行单独核算，确保专款专用。通过上述三个环节的管理，极力避免了挪用、挤占、截留项目资金的现象，保证财政资金安全有效使用。同时经费管理主动接受驻局纪检监察组和审计部门的监督检查，对预算执行实行动态监控，无违纪违法现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四、项目绩效情况</w:t>
      </w:r>
      <w:r>
        <w:rPr>
          <w:rFonts w:hint="eastAsia" w:ascii="黑体" w:hAnsi="黑体" w:eastAsia="黑体" w:cs="黑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（一）项目完成情况。</w:t>
      </w:r>
      <w:r>
        <w:rPr>
          <w:rFonts w:hint="eastAsia" w:ascii="仿宋_GB2312" w:hAnsi="仿宋_GB2312" w:eastAsia="仿宋_GB2312" w:cs="仿宋_GB2312"/>
          <w:b w:val="0"/>
          <w:bCs w:val="0"/>
          <w:sz w:val="32"/>
          <w:szCs w:val="32"/>
          <w:lang w:val="en-US" w:eastAsia="zh-CN"/>
        </w:rPr>
        <w:t>2021年共采购复印纸1批。因预算编制采购内容与实际需要采购设备存在偏差，采购项目未全部实施，项目资金未全部支付。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（二）项目效益情况。</w:t>
      </w:r>
      <w:r>
        <w:rPr>
          <w:rFonts w:hint="eastAsia" w:ascii="仿宋_GB2312" w:hAnsi="仿宋_GB2312" w:eastAsia="仿宋_GB2312" w:cs="仿宋_GB2312"/>
          <w:b w:val="0"/>
          <w:bCs w:val="0"/>
          <w:sz w:val="32"/>
          <w:szCs w:val="32"/>
          <w:lang w:val="en-US" w:eastAsia="zh-CN"/>
        </w:rPr>
        <w:t>通过配备及完善办公用品，进一步改善了办公环境，提高了工作效率，确保了财政工作正常开展。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zh-CN"/>
        </w:rPr>
        <w:t>结合项目自身特点、评价重点及管理办法等要求，</w:t>
      </w:r>
      <w:r>
        <w:rPr>
          <w:rFonts w:hint="eastAsia" w:ascii="仿宋_GB2312" w:hAnsi="仿宋_GB2312" w:eastAsia="仿宋_GB2312" w:cs="仿宋_GB2312"/>
          <w:b w:val="0"/>
          <w:bCs w:val="0"/>
          <w:sz w:val="32"/>
          <w:szCs w:val="32"/>
          <w:lang w:val="en-US" w:eastAsia="zh-CN"/>
        </w:rPr>
        <w:t>根据</w:t>
      </w:r>
      <w:r>
        <w:rPr>
          <w:rFonts w:hint="eastAsia" w:ascii="仿宋_GB2312" w:hAnsi="仿宋_GB2312" w:eastAsia="仿宋_GB2312" w:cs="仿宋_GB2312"/>
          <w:b w:val="0"/>
          <w:bCs w:val="0"/>
          <w:sz w:val="32"/>
          <w:szCs w:val="32"/>
          <w:lang w:val="zh-CN"/>
        </w:rPr>
        <w:t>专项项目支出绩效评价指标体系，</w:t>
      </w:r>
      <w:r>
        <w:rPr>
          <w:rFonts w:hint="eastAsia" w:ascii="仿宋_GB2312" w:hAnsi="仿宋_GB2312" w:eastAsia="仿宋_GB2312" w:cs="仿宋_GB2312"/>
          <w:b w:val="0"/>
          <w:bCs w:val="0"/>
          <w:sz w:val="32"/>
          <w:szCs w:val="32"/>
          <w:lang w:val="en-US" w:eastAsia="zh-CN"/>
        </w:rPr>
        <w:t>该</w:t>
      </w:r>
      <w:r>
        <w:rPr>
          <w:rFonts w:hint="eastAsia" w:ascii="仿宋_GB2312" w:hAnsi="仿宋_GB2312" w:eastAsia="仿宋_GB2312" w:cs="仿宋_GB2312"/>
          <w:b w:val="0"/>
          <w:bCs w:val="0"/>
          <w:sz w:val="32"/>
          <w:szCs w:val="32"/>
          <w:lang w:val="zh-CN"/>
        </w:rPr>
        <w:t>项目</w:t>
      </w:r>
      <w:r>
        <w:rPr>
          <w:rFonts w:hint="eastAsia" w:ascii="仿宋_GB2312" w:hAnsi="仿宋_GB2312" w:eastAsia="仿宋_GB2312" w:cs="仿宋_GB2312"/>
          <w:b w:val="0"/>
          <w:bCs w:val="0"/>
          <w:sz w:val="32"/>
          <w:szCs w:val="32"/>
          <w:lang w:val="en-US" w:eastAsia="zh-CN"/>
        </w:rPr>
        <w:t>自评得分为98分</w:t>
      </w:r>
      <w:r>
        <w:rPr>
          <w:rFonts w:hint="eastAsia" w:ascii="仿宋_GB2312" w:hAnsi="仿宋_GB2312" w:eastAsia="仿宋_GB2312" w:cs="仿宋_GB2312"/>
          <w:b w:val="0"/>
          <w:bCs w:val="0"/>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val="zh-CN"/>
        </w:rPr>
        <w:t>）存在的问题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采购项目和内容测算不够精准</w:t>
      </w:r>
      <w:r>
        <w:rPr>
          <w:rFonts w:hint="eastAsia" w:ascii="仿宋_GB2312" w:hAnsi="仿宋_GB2312" w:eastAsia="仿宋_GB2312" w:cs="仿宋_GB2312"/>
          <w:i w:val="0"/>
          <w:caps w:val="0"/>
          <w:color w:val="333333"/>
          <w:spacing w:val="0"/>
          <w:sz w:val="32"/>
          <w:szCs w:val="32"/>
          <w:shd w:val="clear" w:fill="FFFFFF"/>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val="zh-CN"/>
        </w:rPr>
        <w:t>）相关建议</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强化预算编制管理</w:t>
      </w:r>
      <w:r>
        <w:rPr>
          <w:rFonts w:hint="eastAsia" w:ascii="仿宋_GB2312" w:hAnsi="仿宋_GB2312" w:eastAsia="仿宋_GB2312" w:cs="仿宋_GB2312"/>
          <w:sz w:val="32"/>
          <w:szCs w:val="32"/>
          <w:shd w:val="clear" w:fill="FFFFFF"/>
        </w:rPr>
        <w:t>，提高资金支出时效。</w:t>
      </w:r>
    </w:p>
    <w:p>
      <w:pPr>
        <w:keepNext w:val="0"/>
        <w:keepLines w:val="0"/>
        <w:pageBreakBefore w:val="0"/>
        <w:widowControl w:val="0"/>
        <w:kinsoku/>
        <w:wordWrap/>
        <w:overflowPunct/>
        <w:topLinePunct w:val="0"/>
        <w:autoSpaceDE/>
        <w:autoSpaceDN/>
        <w:bidi w:val="0"/>
        <w:spacing w:line="572" w:lineRule="exact"/>
        <w:ind w:firstLine="640" w:firstLineChars="200"/>
        <w:jc w:val="left"/>
        <w:textAlignment w:val="auto"/>
        <w:outlineLvl w:val="0"/>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ind w:firstLine="640" w:firstLineChars="200"/>
        <w:jc w:val="left"/>
        <w:textAlignment w:val="auto"/>
        <w:outlineLvl w:val="0"/>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184"/>
        <w:gridCol w:w="219"/>
        <w:gridCol w:w="1421"/>
        <w:gridCol w:w="1614"/>
        <w:gridCol w:w="202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7"/>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spacing w:line="572" w:lineRule="exact"/>
              <w:jc w:val="center"/>
              <w:textAlignment w:val="auto"/>
              <w:outlineLvl w:val="0"/>
              <w:rPr>
                <w:rFonts w:hint="eastAsia" w:ascii="宋体" w:hAnsi="宋体" w:eastAsia="宋体" w:cs="宋体"/>
                <w:b/>
                <w:i w:val="0"/>
                <w:color w:val="auto"/>
                <w:sz w:val="32"/>
                <w:szCs w:val="32"/>
                <w:u w:val="none"/>
              </w:rPr>
            </w:pPr>
            <w:r>
              <w:rPr>
                <w:rFonts w:hint="eastAsia" w:asciiTheme="minorEastAsia" w:hAnsiTheme="minorEastAsia" w:eastAsiaTheme="minorEastAsia" w:cstheme="minorEastAsia"/>
                <w:b/>
                <w:bCs w:val="0"/>
                <w:i w:val="0"/>
                <w:color w:val="auto"/>
                <w:sz w:val="32"/>
                <w:szCs w:val="32"/>
                <w:highlight w:val="none"/>
                <w:u w:val="none"/>
                <w:lang w:val="en-US" w:eastAsia="zh-CN"/>
              </w:rPr>
              <w:t>2021年部门预算</w:t>
            </w:r>
            <w:r>
              <w:rPr>
                <w:rFonts w:hint="eastAsia" w:asciiTheme="minorEastAsia" w:hAnsiTheme="minorEastAsia" w:eastAsiaTheme="minorEastAsia" w:cstheme="minorEastAsia"/>
                <w:b/>
                <w:bCs/>
                <w:color w:val="auto"/>
                <w:sz w:val="32"/>
                <w:szCs w:val="32"/>
                <w:lang w:val="en-US" w:eastAsia="zh-CN"/>
              </w:rPr>
              <w:t>财政管理设备采购经费</w:t>
            </w:r>
            <w:r>
              <w:rPr>
                <w:rFonts w:hint="eastAsia" w:asciiTheme="minorEastAsia" w:hAnsiTheme="minorEastAsia" w:eastAsiaTheme="minorEastAsia" w:cstheme="minorEastAsia"/>
                <w:b/>
                <w:bCs w:val="0"/>
                <w:i w:val="0"/>
                <w:color w:val="auto"/>
                <w:sz w:val="32"/>
                <w:szCs w:val="32"/>
                <w:highlight w:val="none"/>
                <w:u w:val="none"/>
                <w:lang w:val="en-US" w:eastAsia="zh-CN"/>
              </w:rPr>
              <w:t>项目绩效目标自评</w:t>
            </w:r>
          </w:p>
        </w:tc>
        <w:tc>
          <w:tcPr>
            <w:tcW w:w="234" w:type="dxa"/>
            <w:tcBorders>
              <w:top w:val="nil"/>
              <w:left w:val="nil"/>
              <w:bottom w:val="nil"/>
              <w:right w:val="nil"/>
            </w:tcBorders>
            <w:shd w:val="clear" w:color="auto" w:fill="auto"/>
            <w:vAlign w:val="center"/>
          </w:tcPr>
          <w:p>
            <w:pPr>
              <w:keepNext w:val="0"/>
              <w:keepLines w:val="0"/>
              <w:pageBreakBefore w:val="0"/>
              <w:widowControl w:val="0"/>
              <w:suppressLineNumbers w:val="0"/>
              <w:kinsoku/>
              <w:overflowPunct/>
              <w:topLinePunct w:val="0"/>
              <w:bidi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广元市财政局</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广元市财政绩效管理中心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2</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2</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ind w:firstLine="720" w:firstLineChars="300"/>
              <w:jc w:val="both"/>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rPr>
              <w:t>完善财政工作办事环境，提高工作效率，保证各项工作稳步推进。</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预期指标值</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完成</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数量指标</w:t>
            </w: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设备数量</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3台办公设备</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采购复印纸1批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84"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质量指标</w:t>
            </w: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tabs>
                <w:tab w:val="left" w:pos="330"/>
              </w:tabs>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设备质量</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达到政府采购标准，保证工作使用。</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lang w:val="en-US"/>
              </w:rPr>
            </w:pPr>
            <w:r>
              <w:rPr>
                <w:rFonts w:hint="eastAsia" w:ascii="宋体" w:hAnsi="宋体" w:eastAsia="宋体" w:cs="宋体"/>
                <w:i w:val="0"/>
                <w:color w:val="auto"/>
                <w:sz w:val="24"/>
                <w:szCs w:val="24"/>
                <w:u w:val="none"/>
                <w:lang w:val="en-US" w:eastAsia="zh-CN"/>
              </w:rPr>
              <w:t>符合标准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时效指标</w:t>
            </w: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政府采购时效</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按政府采购时效要求完成。</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按规定完成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成本指标</w:t>
            </w: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购置经费</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2万</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1.52万元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效益</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经济效益指标</w:t>
            </w: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财政工作开展</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保证财政工作顺利开展。</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保证财政工作顺利开展。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ind w:left="423" w:leftChars="87" w:hanging="240" w:hangingChars="10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生态效益  指标</w:t>
            </w: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设备环保要求</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采购设备</w:t>
            </w:r>
            <w:r>
              <w:rPr>
                <w:rFonts w:hint="eastAsia" w:ascii="宋体" w:hAnsi="宋体" w:eastAsia="宋体" w:cs="宋体"/>
                <w:i w:val="0"/>
                <w:iCs w:val="0"/>
                <w:color w:val="auto"/>
                <w:sz w:val="24"/>
                <w:szCs w:val="24"/>
                <w:u w:val="none"/>
              </w:rPr>
              <w:t>达到国家环保标准。</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达到国家环保标准。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可持续影响指标</w:t>
            </w: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设备采购标准</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满足工作需要，严格质量标准，达到使用年限。</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满足工作需要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满意</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度指标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满意度指标</w:t>
            </w: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使用人员满意度</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100%</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100%</w:t>
            </w:r>
          </w:p>
        </w:tc>
      </w:tr>
    </w:tbl>
    <w:p>
      <w:pPr>
        <w:keepNext w:val="0"/>
        <w:keepLines w:val="0"/>
        <w:pageBreakBefore w:val="0"/>
        <w:widowControl w:val="0"/>
        <w:kinsoku/>
        <w:overflowPunct/>
        <w:topLinePunct w:val="0"/>
        <w:bidi w:val="0"/>
        <w:spacing w:line="600" w:lineRule="exact"/>
        <w:jc w:val="both"/>
        <w:outlineLvl w:val="0"/>
        <w:rPr>
          <w:rFonts w:hint="eastAsia" w:asciiTheme="minorEastAsia" w:hAnsiTheme="minorEastAsia" w:eastAsiaTheme="minorEastAsia" w:cstheme="minorEastAsia"/>
          <w:color w:val="auto"/>
          <w:sz w:val="18"/>
          <w:szCs w:val="18"/>
          <w:highlight w:val="none"/>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p>
      <w:pPr>
        <w:keepNext w:val="0"/>
        <w:keepLines w:val="0"/>
        <w:pageBreakBefore w:val="0"/>
        <w:widowControl w:val="0"/>
        <w:kinsoku/>
        <w:overflowPunct/>
        <w:topLinePunct w:val="0"/>
        <w:bidi w:val="0"/>
        <w:spacing w:line="600" w:lineRule="exact"/>
        <w:jc w:val="center"/>
        <w:outlineLvl w:val="0"/>
        <w:rPr>
          <w:rFonts w:hint="eastAsia" w:asciiTheme="minorEastAsia" w:hAnsiTheme="minorEastAsia" w:eastAsiaTheme="minorEastAsia" w:cstheme="minorEastAsia"/>
          <w:color w:val="auto"/>
          <w:sz w:val="18"/>
          <w:szCs w:val="18"/>
          <w:highlight w:val="none"/>
        </w:rPr>
      </w:pPr>
    </w:p>
    <w:p>
      <w:pPr>
        <w:keepNext w:val="0"/>
        <w:keepLines w:val="0"/>
        <w:pageBreakBefore w:val="0"/>
        <w:widowControl w:val="0"/>
        <w:kinsoku/>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overflowPunct/>
        <w:topLinePunct w:val="0"/>
        <w:bidi w:val="0"/>
        <w:spacing w:line="600" w:lineRule="exact"/>
        <w:jc w:val="both"/>
        <w:outlineLvl w:val="0"/>
        <w:rPr>
          <w:rFonts w:hint="eastAsia" w:ascii="黑体" w:hAnsi="黑体" w:eastAsia="黑体"/>
          <w:color w:val="auto"/>
          <w:sz w:val="44"/>
          <w:szCs w:val="44"/>
          <w:highlight w:val="none"/>
        </w:rPr>
      </w:pP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jc w:val="center"/>
        <w:textAlignment w:val="auto"/>
        <w:outlineLvl w:val="0"/>
        <w:rPr>
          <w:rStyle w:val="26"/>
          <w:rFonts w:hint="eastAsia" w:ascii="方正小标宋简体" w:hAnsi="方正小标宋简体" w:eastAsia="方正小标宋简体" w:cs="方正小标宋简体"/>
          <w:b w:val="0"/>
          <w:color w:val="auto"/>
          <w:sz w:val="44"/>
          <w:szCs w:val="44"/>
          <w:highlight w:val="none"/>
        </w:rPr>
      </w:pPr>
      <w:r>
        <w:rPr>
          <w:rStyle w:val="26"/>
          <w:rFonts w:hint="eastAsia" w:ascii="方正小标宋简体" w:hAnsi="方正小标宋简体" w:eastAsia="方正小标宋简体" w:cs="方正小标宋简体"/>
          <w:b w:val="0"/>
          <w:color w:val="auto"/>
          <w:sz w:val="44"/>
          <w:szCs w:val="44"/>
          <w:highlight w:val="none"/>
        </w:rPr>
        <w:t>附表</w:t>
      </w:r>
      <w:bookmarkEnd w:id="50"/>
      <w:bookmarkEnd w:id="51"/>
      <w:bookmarkStart w:id="52" w:name="_Toc15396619"/>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rPr>
      </w:pPr>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ascii="仿宋" w:hAnsi="仿宋" w:eastAsia="仿宋"/>
          <w:color w:val="auto"/>
          <w:highlight w:val="none"/>
        </w:rPr>
      </w:pPr>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52"/>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ascii="仿宋" w:hAnsi="仿宋" w:eastAsia="仿宋"/>
          <w:color w:val="auto"/>
          <w:highlight w:val="none"/>
        </w:rPr>
      </w:pPr>
      <w:bookmarkStart w:id="53"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53"/>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ascii="仿宋" w:hAnsi="仿宋" w:eastAsia="仿宋"/>
          <w:color w:val="auto"/>
          <w:highlight w:val="none"/>
        </w:rPr>
      </w:pPr>
      <w:bookmarkStart w:id="54"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54"/>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ascii="仿宋" w:hAnsi="仿宋" w:eastAsia="仿宋"/>
          <w:b w:val="0"/>
          <w:color w:val="auto"/>
          <w:highlight w:val="none"/>
        </w:rPr>
      </w:pPr>
      <w:bookmarkStart w:id="55"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55"/>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Style w:val="27"/>
          <w:rFonts w:ascii="仿宋" w:hAnsi="仿宋" w:eastAsia="仿宋"/>
          <w:b w:val="0"/>
          <w:bCs w:val="0"/>
          <w:color w:val="auto"/>
          <w:highlight w:val="none"/>
        </w:rPr>
      </w:pPr>
      <w:bookmarkStart w:id="56"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56"/>
      <w:bookmarkStart w:id="57" w:name="_Toc15396624"/>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ascii="仿宋" w:hAnsi="仿宋" w:eastAsia="仿宋"/>
          <w:color w:val="auto"/>
          <w:highlight w:val="none"/>
        </w:rPr>
      </w:pPr>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57"/>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ascii="仿宋" w:hAnsi="仿宋" w:eastAsia="仿宋"/>
          <w:color w:val="auto"/>
          <w:highlight w:val="none"/>
        </w:rPr>
      </w:pPr>
      <w:bookmarkStart w:id="58"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58"/>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ascii="仿宋" w:hAnsi="仿宋" w:eastAsia="仿宋"/>
          <w:color w:val="auto"/>
          <w:highlight w:val="none"/>
        </w:rPr>
      </w:pPr>
      <w:bookmarkStart w:id="59"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59"/>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ascii="仿宋" w:hAnsi="仿宋" w:eastAsia="仿宋"/>
          <w:color w:val="auto"/>
          <w:highlight w:val="none"/>
        </w:rPr>
      </w:pPr>
      <w:bookmarkStart w:id="60"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60"/>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ascii="仿宋" w:hAnsi="仿宋" w:eastAsia="仿宋"/>
          <w:color w:val="auto"/>
          <w:highlight w:val="none"/>
        </w:rPr>
      </w:pPr>
      <w:bookmarkStart w:id="61" w:name="_Toc15396628"/>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61"/>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ascii="仿宋" w:hAnsi="仿宋" w:eastAsia="仿宋"/>
          <w:color w:val="auto"/>
          <w:highlight w:val="none"/>
        </w:rPr>
      </w:pPr>
      <w:bookmarkStart w:id="62" w:name="_Toc15396629"/>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62"/>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ascii="仿宋" w:hAnsi="仿宋" w:eastAsia="仿宋"/>
          <w:color w:val="auto"/>
          <w:highlight w:val="none"/>
        </w:rPr>
      </w:pPr>
      <w:bookmarkStart w:id="63" w:name="_Toc15396630"/>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63"/>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Style w:val="27"/>
          <w:rFonts w:hint="eastAsia" w:ascii="仿宋" w:hAnsi="仿宋" w:eastAsia="仿宋"/>
          <w:b w:val="0"/>
          <w:bCs w:val="0"/>
          <w:color w:val="auto"/>
          <w:highlight w:val="none"/>
        </w:rPr>
      </w:pPr>
      <w:bookmarkStart w:id="64" w:name="_Toc15396631"/>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6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
          <w:color w:val="auto"/>
          <w:highlight w:val="none"/>
          <w:lang w:eastAsia="zh-CN"/>
        </w:rPr>
      </w:pPr>
      <w:r>
        <w:rPr>
          <w:rStyle w:val="27"/>
          <w:rFonts w:hint="eastAsia" w:ascii="仿宋" w:hAnsi="仿宋" w:eastAsia="仿宋"/>
          <w:b w:val="0"/>
          <w:bCs w:val="0"/>
          <w:color w:val="auto"/>
          <w:highlight w:val="none"/>
          <w:lang w:eastAsia="zh-CN"/>
        </w:rPr>
        <w:t>十四、国有资本经营预算财政拨款支出决算表</w:t>
      </w:r>
    </w:p>
    <w:sectPr>
      <w:footerReference r:id="rId13" w:type="first"/>
      <w:footerReference r:id="rId12" w:type="default"/>
      <w:pgSz w:w="11906" w:h="16838"/>
      <w:pgMar w:top="2098" w:right="1474" w:bottom="1984" w:left="1587" w:header="851" w:footer="1559" w:gutter="0"/>
      <w:pgNumType w:fmt="decimal" w:start="22"/>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
    <w:altName w:val="URW Book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05E0B1"/>
    <w:multiLevelType w:val="singleLevel"/>
    <w:tmpl w:val="CD05E0B1"/>
    <w:lvl w:ilvl="0" w:tentative="0">
      <w:start w:val="5"/>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FE1EFD2F"/>
    <w:multiLevelType w:val="singleLevel"/>
    <w:tmpl w:val="FE1EFD2F"/>
    <w:lvl w:ilvl="0" w:tentative="0">
      <w:start w:val="2"/>
      <w:numFmt w:val="chineseCounting"/>
      <w:suff w:val="nothing"/>
      <w:lvlText w:val="（%1）"/>
      <w:lvlJc w:val="left"/>
      <w:rPr>
        <w:rFonts w:hint="eastAsia"/>
      </w:rPr>
    </w:lvl>
  </w:abstractNum>
  <w:abstractNum w:abstractNumId="3">
    <w:nsid w:val="77727A4E"/>
    <w:multiLevelType w:val="singleLevel"/>
    <w:tmpl w:val="77727A4E"/>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NjAxODZjOWE0OTJiNzY5YmM0NTIyMWMxNDQ0ZD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1D4C"/>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130A7"/>
    <w:rsid w:val="01B77D6A"/>
    <w:rsid w:val="02262FB6"/>
    <w:rsid w:val="02874F24"/>
    <w:rsid w:val="02EB070E"/>
    <w:rsid w:val="04F83259"/>
    <w:rsid w:val="05AF65CF"/>
    <w:rsid w:val="064611DC"/>
    <w:rsid w:val="06AE4FC5"/>
    <w:rsid w:val="07015516"/>
    <w:rsid w:val="071821F1"/>
    <w:rsid w:val="08135D98"/>
    <w:rsid w:val="08402CC1"/>
    <w:rsid w:val="08442A2B"/>
    <w:rsid w:val="08A83C5A"/>
    <w:rsid w:val="09BE6593"/>
    <w:rsid w:val="09CB64B2"/>
    <w:rsid w:val="0A0F6B6B"/>
    <w:rsid w:val="0A2032A3"/>
    <w:rsid w:val="0B4A1861"/>
    <w:rsid w:val="0B8A37D8"/>
    <w:rsid w:val="0C10432B"/>
    <w:rsid w:val="0C10450D"/>
    <w:rsid w:val="0E752577"/>
    <w:rsid w:val="0E83183D"/>
    <w:rsid w:val="0F013568"/>
    <w:rsid w:val="0F0E09C3"/>
    <w:rsid w:val="0F491413"/>
    <w:rsid w:val="0FA75909"/>
    <w:rsid w:val="10043EE6"/>
    <w:rsid w:val="10915628"/>
    <w:rsid w:val="10C055FF"/>
    <w:rsid w:val="118107EC"/>
    <w:rsid w:val="11A7551F"/>
    <w:rsid w:val="11AF1F54"/>
    <w:rsid w:val="11D07331"/>
    <w:rsid w:val="11DD6519"/>
    <w:rsid w:val="122A07FD"/>
    <w:rsid w:val="12B15919"/>
    <w:rsid w:val="12E17CD4"/>
    <w:rsid w:val="136E349F"/>
    <w:rsid w:val="13AF0A6D"/>
    <w:rsid w:val="13F92923"/>
    <w:rsid w:val="14001B2D"/>
    <w:rsid w:val="142B523F"/>
    <w:rsid w:val="14531F49"/>
    <w:rsid w:val="14A77F07"/>
    <w:rsid w:val="14B6021C"/>
    <w:rsid w:val="14F00920"/>
    <w:rsid w:val="16BB723D"/>
    <w:rsid w:val="16F3276A"/>
    <w:rsid w:val="172F74C5"/>
    <w:rsid w:val="17DB7F63"/>
    <w:rsid w:val="18015F3F"/>
    <w:rsid w:val="18335D56"/>
    <w:rsid w:val="196525AD"/>
    <w:rsid w:val="1A35531C"/>
    <w:rsid w:val="1B106F7F"/>
    <w:rsid w:val="1B1F4B9F"/>
    <w:rsid w:val="1B525CA1"/>
    <w:rsid w:val="1B8973CB"/>
    <w:rsid w:val="1BC55EF0"/>
    <w:rsid w:val="1BE8440E"/>
    <w:rsid w:val="1BF05A10"/>
    <w:rsid w:val="1CCD2565"/>
    <w:rsid w:val="1CDA2A4D"/>
    <w:rsid w:val="1D155CEE"/>
    <w:rsid w:val="1E142F6D"/>
    <w:rsid w:val="1E9F25F9"/>
    <w:rsid w:val="1F0F400F"/>
    <w:rsid w:val="1FC34F41"/>
    <w:rsid w:val="1FD0120A"/>
    <w:rsid w:val="20035683"/>
    <w:rsid w:val="20975B17"/>
    <w:rsid w:val="20A4091B"/>
    <w:rsid w:val="20EC58A1"/>
    <w:rsid w:val="20F57F95"/>
    <w:rsid w:val="20FC7D8D"/>
    <w:rsid w:val="215608D5"/>
    <w:rsid w:val="21FF23F6"/>
    <w:rsid w:val="223A5008"/>
    <w:rsid w:val="22930EFD"/>
    <w:rsid w:val="22C16AAA"/>
    <w:rsid w:val="22CF6FB9"/>
    <w:rsid w:val="23D57E26"/>
    <w:rsid w:val="240371BF"/>
    <w:rsid w:val="25AC5DE8"/>
    <w:rsid w:val="25C741E6"/>
    <w:rsid w:val="2697063B"/>
    <w:rsid w:val="27075DB2"/>
    <w:rsid w:val="2711048D"/>
    <w:rsid w:val="277148EF"/>
    <w:rsid w:val="27842671"/>
    <w:rsid w:val="27A071CD"/>
    <w:rsid w:val="27CC5F37"/>
    <w:rsid w:val="27DE41DF"/>
    <w:rsid w:val="28066B11"/>
    <w:rsid w:val="280A162D"/>
    <w:rsid w:val="281A2C26"/>
    <w:rsid w:val="28B833E0"/>
    <w:rsid w:val="297867CA"/>
    <w:rsid w:val="29F14242"/>
    <w:rsid w:val="29FD04D3"/>
    <w:rsid w:val="2A9325AF"/>
    <w:rsid w:val="2AA6469A"/>
    <w:rsid w:val="2ABE7A3E"/>
    <w:rsid w:val="2B555150"/>
    <w:rsid w:val="2C484A9E"/>
    <w:rsid w:val="2C935FEC"/>
    <w:rsid w:val="2CB67635"/>
    <w:rsid w:val="2CC66CEE"/>
    <w:rsid w:val="2CD969A8"/>
    <w:rsid w:val="2CE809E8"/>
    <w:rsid w:val="2D81690E"/>
    <w:rsid w:val="2E28151E"/>
    <w:rsid w:val="2E457585"/>
    <w:rsid w:val="2EFA178C"/>
    <w:rsid w:val="2EFF0DDD"/>
    <w:rsid w:val="301F3B25"/>
    <w:rsid w:val="30B10965"/>
    <w:rsid w:val="30B46D73"/>
    <w:rsid w:val="311F2207"/>
    <w:rsid w:val="31891010"/>
    <w:rsid w:val="319F7F4E"/>
    <w:rsid w:val="31CE2DB9"/>
    <w:rsid w:val="320469F4"/>
    <w:rsid w:val="327366B3"/>
    <w:rsid w:val="33FD24F1"/>
    <w:rsid w:val="341249AF"/>
    <w:rsid w:val="358842F1"/>
    <w:rsid w:val="360770D0"/>
    <w:rsid w:val="36176397"/>
    <w:rsid w:val="367453B8"/>
    <w:rsid w:val="36BB31AF"/>
    <w:rsid w:val="37304667"/>
    <w:rsid w:val="37DB3C6A"/>
    <w:rsid w:val="37E02AB9"/>
    <w:rsid w:val="388F22FA"/>
    <w:rsid w:val="39220B3E"/>
    <w:rsid w:val="397F5F2D"/>
    <w:rsid w:val="39AE70AB"/>
    <w:rsid w:val="3A2C7D3E"/>
    <w:rsid w:val="3AC371F1"/>
    <w:rsid w:val="3C0C0783"/>
    <w:rsid w:val="3C126EFD"/>
    <w:rsid w:val="3DBF4F51"/>
    <w:rsid w:val="3E3134A0"/>
    <w:rsid w:val="3E4E5063"/>
    <w:rsid w:val="3EBD05FD"/>
    <w:rsid w:val="3ECF4675"/>
    <w:rsid w:val="3EDE7C9E"/>
    <w:rsid w:val="3F6A50CF"/>
    <w:rsid w:val="3F795B0E"/>
    <w:rsid w:val="3F9F3A96"/>
    <w:rsid w:val="3FD030E8"/>
    <w:rsid w:val="40350D30"/>
    <w:rsid w:val="40480878"/>
    <w:rsid w:val="40D871B3"/>
    <w:rsid w:val="41144E7D"/>
    <w:rsid w:val="41B9010B"/>
    <w:rsid w:val="42DD5C85"/>
    <w:rsid w:val="43B07FFD"/>
    <w:rsid w:val="441770D8"/>
    <w:rsid w:val="44605571"/>
    <w:rsid w:val="44BD26DA"/>
    <w:rsid w:val="44D15E6E"/>
    <w:rsid w:val="451D1578"/>
    <w:rsid w:val="470E60E9"/>
    <w:rsid w:val="47144162"/>
    <w:rsid w:val="473F1D19"/>
    <w:rsid w:val="47935210"/>
    <w:rsid w:val="47C239EB"/>
    <w:rsid w:val="47E21F3F"/>
    <w:rsid w:val="493C27E9"/>
    <w:rsid w:val="496F39ED"/>
    <w:rsid w:val="49FF41D3"/>
    <w:rsid w:val="4A185DC8"/>
    <w:rsid w:val="4B415D88"/>
    <w:rsid w:val="4BE068DB"/>
    <w:rsid w:val="4BF6002B"/>
    <w:rsid w:val="4CBB03B8"/>
    <w:rsid w:val="4D022F4E"/>
    <w:rsid w:val="4DAC3C3B"/>
    <w:rsid w:val="4E141D71"/>
    <w:rsid w:val="4ECE2238"/>
    <w:rsid w:val="4EDB51C2"/>
    <w:rsid w:val="4F03546E"/>
    <w:rsid w:val="4F3F6591"/>
    <w:rsid w:val="4F6B3656"/>
    <w:rsid w:val="4FB57E74"/>
    <w:rsid w:val="50B85BB4"/>
    <w:rsid w:val="51DB4B86"/>
    <w:rsid w:val="51EC026C"/>
    <w:rsid w:val="52214A59"/>
    <w:rsid w:val="52307A8B"/>
    <w:rsid w:val="53001A9D"/>
    <w:rsid w:val="539F00E7"/>
    <w:rsid w:val="53B01A42"/>
    <w:rsid w:val="54341105"/>
    <w:rsid w:val="55333C3E"/>
    <w:rsid w:val="55B6323B"/>
    <w:rsid w:val="56D14F58"/>
    <w:rsid w:val="578F7B3C"/>
    <w:rsid w:val="58621DB2"/>
    <w:rsid w:val="58D8681F"/>
    <w:rsid w:val="58E84611"/>
    <w:rsid w:val="5A22125F"/>
    <w:rsid w:val="5AA91900"/>
    <w:rsid w:val="5AAA101A"/>
    <w:rsid w:val="5AAE5EA5"/>
    <w:rsid w:val="5B2D1B00"/>
    <w:rsid w:val="5BE212E5"/>
    <w:rsid w:val="5C4E3108"/>
    <w:rsid w:val="5CDA2D95"/>
    <w:rsid w:val="5E262AB6"/>
    <w:rsid w:val="5E526650"/>
    <w:rsid w:val="5E774486"/>
    <w:rsid w:val="5E8D20DA"/>
    <w:rsid w:val="5EB63EC5"/>
    <w:rsid w:val="5F0C54D5"/>
    <w:rsid w:val="60B43DE0"/>
    <w:rsid w:val="60EB5E69"/>
    <w:rsid w:val="616D6EBD"/>
    <w:rsid w:val="617838E6"/>
    <w:rsid w:val="61CE54A8"/>
    <w:rsid w:val="62060FD9"/>
    <w:rsid w:val="63430C2E"/>
    <w:rsid w:val="63522C3C"/>
    <w:rsid w:val="63A31A0D"/>
    <w:rsid w:val="641B5321"/>
    <w:rsid w:val="646D7192"/>
    <w:rsid w:val="64C92EA4"/>
    <w:rsid w:val="64CA39A1"/>
    <w:rsid w:val="674A484B"/>
    <w:rsid w:val="675171FF"/>
    <w:rsid w:val="675449E4"/>
    <w:rsid w:val="682B440D"/>
    <w:rsid w:val="68802031"/>
    <w:rsid w:val="68B86A1C"/>
    <w:rsid w:val="68CB5809"/>
    <w:rsid w:val="6A022F6E"/>
    <w:rsid w:val="6A8B7BBA"/>
    <w:rsid w:val="6BA07F22"/>
    <w:rsid w:val="6C077699"/>
    <w:rsid w:val="6C1A7C54"/>
    <w:rsid w:val="6C201532"/>
    <w:rsid w:val="6C4A05C8"/>
    <w:rsid w:val="6DF1146A"/>
    <w:rsid w:val="6E481A7C"/>
    <w:rsid w:val="6EB8066C"/>
    <w:rsid w:val="6ECC2E9E"/>
    <w:rsid w:val="6FA737B2"/>
    <w:rsid w:val="70423573"/>
    <w:rsid w:val="70E7717A"/>
    <w:rsid w:val="70EB78CE"/>
    <w:rsid w:val="712B02D2"/>
    <w:rsid w:val="716625DA"/>
    <w:rsid w:val="722B0A20"/>
    <w:rsid w:val="72734D90"/>
    <w:rsid w:val="74800413"/>
    <w:rsid w:val="74813CE1"/>
    <w:rsid w:val="74DC060F"/>
    <w:rsid w:val="750F0692"/>
    <w:rsid w:val="778B5CA4"/>
    <w:rsid w:val="77A036EE"/>
    <w:rsid w:val="77F72554"/>
    <w:rsid w:val="78364EBF"/>
    <w:rsid w:val="784F42B1"/>
    <w:rsid w:val="78C8616F"/>
    <w:rsid w:val="78DF77F0"/>
    <w:rsid w:val="79285D8E"/>
    <w:rsid w:val="79BA2EBF"/>
    <w:rsid w:val="79E7B28D"/>
    <w:rsid w:val="79FEDDC0"/>
    <w:rsid w:val="7A182CF4"/>
    <w:rsid w:val="7AAE32A2"/>
    <w:rsid w:val="7B9928FC"/>
    <w:rsid w:val="7C775BAB"/>
    <w:rsid w:val="7E1F7CF5"/>
    <w:rsid w:val="7F012BA5"/>
    <w:rsid w:val="7F0C4FBC"/>
    <w:rsid w:val="7F937D09"/>
    <w:rsid w:val="7F9F20EE"/>
    <w:rsid w:val="7FDDCE6A"/>
    <w:rsid w:val="9E3A10E2"/>
    <w:rsid w:val="F2E1F9D4"/>
    <w:rsid w:val="F67F9260"/>
    <w:rsid w:val="F7880819"/>
    <w:rsid w:val="FDFAC696"/>
    <w:rsid w:val="FF599C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TOC1"/>
    <w:basedOn w:val="1"/>
    <w:next w:val="1"/>
    <w:semiHidden/>
    <w:qFormat/>
    <w:uiPriority w:val="0"/>
    <w:pPr>
      <w:jc w:val="both"/>
      <w:textAlignment w:val="baseline"/>
    </w:p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9"/>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2"/>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4"/>
    <w:link w:val="3"/>
    <w:qFormat/>
    <w:uiPriority w:val="9"/>
    <w:rPr>
      <w:rFonts w:ascii="Times New Roman" w:hAnsi="Times New Roman"/>
      <w:b/>
      <w:bCs/>
      <w:kern w:val="44"/>
      <w:sz w:val="44"/>
      <w:szCs w:val="44"/>
    </w:rPr>
  </w:style>
  <w:style w:type="character" w:customStyle="1" w:styleId="27">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8"/>
    <w:semiHidden/>
    <w:qFormat/>
    <w:uiPriority w:val="99"/>
    <w:rPr>
      <w:rFonts w:ascii="Times New Roman" w:hAnsi="Times New Roman"/>
      <w:kern w:val="2"/>
      <w:sz w:val="18"/>
      <w:szCs w:val="18"/>
    </w:rPr>
  </w:style>
  <w:style w:type="character" w:customStyle="1" w:styleId="30">
    <w:name w:val="标题 3 Char"/>
    <w:basedOn w:val="14"/>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Normal Indent"/>
    <w:basedOn w:val="1"/>
    <w:qFormat/>
    <w:uiPriority w:val="0"/>
  </w:style>
  <w:style w:type="paragraph" w:customStyle="1" w:styleId="33">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[工作簿1]Sheet1!$D$4:$D$5</c:f>
              <c:strCache>
                <c:ptCount val="2"/>
                <c:pt idx="0">
                  <c:v>2021年度收、支</c:v>
                </c:pt>
                <c:pt idx="1">
                  <c:v>2020年度收、支</c:v>
                </c:pt>
              </c:strCache>
            </c:strRef>
          </c:cat>
          <c:val>
            <c:numRef>
              <c:f>[工作簿1]Sheet1!$E$4:$E$5</c:f>
              <c:numCache>
                <c:formatCode>General</c:formatCode>
                <c:ptCount val="2"/>
                <c:pt idx="0">
                  <c:v>406.09</c:v>
                </c:pt>
                <c:pt idx="1">
                  <c:v>346.99</c:v>
                </c:pt>
              </c:numCache>
            </c:numRef>
          </c:val>
        </c:ser>
        <c:dLbls>
          <c:showLegendKey val="false"/>
          <c:showVal val="false"/>
          <c:showCatName val="false"/>
          <c:showSerName val="false"/>
          <c:showPercent val="false"/>
          <c:showBubbleSize val="false"/>
        </c:dLbls>
        <c:gapWidth val="219"/>
        <c:overlap val="-27"/>
        <c:axId val="202842718"/>
        <c:axId val="330132454"/>
      </c:barChart>
      <c:catAx>
        <c:axId val="202842718"/>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30132454"/>
        <c:crosses val="autoZero"/>
        <c:auto val="true"/>
        <c:lblAlgn val="ctr"/>
        <c:lblOffset val="100"/>
        <c:noMultiLvlLbl val="false"/>
      </c:catAx>
      <c:valAx>
        <c:axId val="33013245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02842718"/>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00707067330318097"/>
                  <c:y val="-0.186519564543736"/>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100%</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120138888888889"/>
                      <c:h val="0.100925925925926"/>
                    </c:manualLayout>
                  </c15:layout>
                </c:ext>
              </c:extLst>
            </c:dLbl>
            <c:dLbl>
              <c:idx val="1"/>
              <c:layout>
                <c:manualLayout>
                  <c:x val="0.00177106591690318"/>
                  <c:y val="0.053558159702399"/>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0%</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[工作簿1]Sheet1!$D$4:$D$5</c:f>
              <c:strCache>
                <c:ptCount val="2"/>
                <c:pt idx="0">
                  <c:v>一般公共预算财政拨款收入</c:v>
                </c:pt>
                <c:pt idx="1">
                  <c:v>其他收入</c:v>
                </c:pt>
              </c:strCache>
            </c:strRef>
          </c:cat>
          <c:val>
            <c:numRef>
              <c:f>[工作簿1]Sheet1!$E$4:$E$5</c:f>
              <c:numCache>
                <c:formatCode>General</c:formatCode>
                <c:ptCount val="2"/>
                <c:pt idx="0">
                  <c:v>250.56</c:v>
                </c:pt>
                <c:pt idx="1">
                  <c:v>0.01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0838944106109434"/>
                  <c:y val="-0.072516030528843"/>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59.67%</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153768844221106"/>
                      <c:h val="0.10109806891329"/>
                    </c:manualLayout>
                  </c15:layout>
                </c:ext>
              </c:extLst>
            </c:dLbl>
            <c:dLbl>
              <c:idx val="1"/>
              <c:layout>
                <c:manualLayout>
                  <c:x val="0.0920002969362496"/>
                  <c:y val="0.053558159702399"/>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40.33%</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[工作簿1]Sheet1!$D$4:$D$5</c:f>
              <c:strCache>
                <c:ptCount val="2"/>
                <c:pt idx="0">
                  <c:v>基本支出</c:v>
                </c:pt>
                <c:pt idx="1">
                  <c:v>项目支出</c:v>
                </c:pt>
              </c:strCache>
            </c:strRef>
          </c:cat>
          <c:val>
            <c:numRef>
              <c:f>[工作簿1]Sheet1!$E$4:$E$5</c:f>
              <c:numCache>
                <c:formatCode>0.00%</c:formatCode>
                <c:ptCount val="2"/>
                <c:pt idx="0">
                  <c:v>0.5967</c:v>
                </c:pt>
                <c:pt idx="1">
                  <c:v>0.4033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405.99万元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346.86万元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[工作簿1]Sheet1!$D$4:$D$5</c:f>
              <c:strCache>
                <c:ptCount val="2"/>
                <c:pt idx="0">
                  <c:v>2021年财政拨款收、支</c:v>
                </c:pt>
                <c:pt idx="1">
                  <c:v>2020年财政拨款收、支</c:v>
                </c:pt>
              </c:strCache>
            </c:strRef>
          </c:cat>
          <c:val>
            <c:numRef>
              <c:f>[工作簿1]Sheet1!$E$4:$E$5</c:f>
              <c:numCache>
                <c:formatCode>General</c:formatCode>
                <c:ptCount val="2"/>
                <c:pt idx="0">
                  <c:v>405.99</c:v>
                </c:pt>
                <c:pt idx="1">
                  <c:v>346.86</c:v>
                </c:pt>
              </c:numCache>
            </c:numRef>
          </c:val>
        </c:ser>
        <c:dLbls>
          <c:showLegendKey val="false"/>
          <c:showVal val="true"/>
          <c:showCatName val="false"/>
          <c:showSerName val="false"/>
          <c:showPercent val="false"/>
          <c:showBubbleSize val="false"/>
        </c:dLbls>
        <c:gapWidth val="219"/>
        <c:overlap val="-27"/>
        <c:axId val="824218699"/>
        <c:axId val="912884074"/>
      </c:barChart>
      <c:catAx>
        <c:axId val="82421869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2884074"/>
        <c:crosses val="autoZero"/>
        <c:auto val="true"/>
        <c:lblAlgn val="ctr"/>
        <c:lblOffset val="100"/>
        <c:noMultiLvlLbl val="false"/>
      </c:catAx>
      <c:valAx>
        <c:axId val="91288407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2421869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200" b="0" i="0" u="none" strike="noStrike" kern="1200" spc="0" baseline="0">
                <a:solidFill>
                  <a:schemeClr val="tx1">
                    <a:lumMod val="65000"/>
                    <a:lumOff val="35000"/>
                  </a:schemeClr>
                </a:solidFill>
                <a:latin typeface="+mn-lt"/>
                <a:ea typeface="+mn-ea"/>
                <a:cs typeface="+mn-cs"/>
              </a:defRPr>
            </a:pPr>
            <a:r>
              <a:rPr sz="1400"/>
              <a:t>一般公共预算财政拨款支出决算变动情况</a:t>
            </a:r>
            <a:endParaRPr sz="1400"/>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226.48</a:t>
                    </a:r>
                    <a:r>
                      <a:t>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109.63</a:t>
                    </a:r>
                    <a:r>
                      <a:t>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[工作簿1]Sheet1!$D$4:$D$5</c:f>
              <c:strCache>
                <c:ptCount val="2"/>
                <c:pt idx="0">
                  <c:v>2021年一般公共预算财政拨款支出</c:v>
                </c:pt>
                <c:pt idx="1">
                  <c:v>2020年一般公共预算财政拨款支出</c:v>
                </c:pt>
              </c:strCache>
            </c:strRef>
          </c:cat>
          <c:val>
            <c:numRef>
              <c:f>[工作簿1]Sheet1!$E$4:$E$5</c:f>
              <c:numCache>
                <c:formatCode>General</c:formatCode>
                <c:ptCount val="2"/>
                <c:pt idx="0">
                  <c:v>226.48</c:v>
                </c:pt>
                <c:pt idx="1">
                  <c:v>109.63</c:v>
                </c:pt>
              </c:numCache>
            </c:numRef>
          </c:val>
        </c:ser>
        <c:dLbls>
          <c:showLegendKey val="false"/>
          <c:showVal val="true"/>
          <c:showCatName val="false"/>
          <c:showSerName val="false"/>
          <c:showPercent val="false"/>
          <c:showBubbleSize val="false"/>
        </c:dLbls>
        <c:gapWidth val="219"/>
        <c:overlap val="-27"/>
        <c:axId val="824218699"/>
        <c:axId val="912884074"/>
      </c:barChart>
      <c:catAx>
        <c:axId val="82421869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750" b="0" i="0" u="none" strike="noStrike" kern="1200" baseline="0">
                <a:solidFill>
                  <a:schemeClr val="tx1">
                    <a:lumMod val="65000"/>
                    <a:lumOff val="35000"/>
                  </a:schemeClr>
                </a:solidFill>
                <a:latin typeface="+mn-lt"/>
                <a:ea typeface="+mn-ea"/>
                <a:cs typeface="+mn-cs"/>
              </a:defRPr>
            </a:pPr>
          </a:p>
        </c:txPr>
        <c:crossAx val="912884074"/>
        <c:crosses val="autoZero"/>
        <c:auto val="true"/>
        <c:lblAlgn val="ctr"/>
        <c:lblOffset val="100"/>
        <c:noMultiLvlLbl val="false"/>
      </c:catAx>
      <c:valAx>
        <c:axId val="91288407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2421869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Lbl>
              <c:idx val="0"/>
              <c:layout>
                <c:manualLayout>
                  <c:x val="-0.13154972866606"/>
                  <c:y val="-0.0976656770930729"/>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75.01%</a:t>
                    </a:r>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15417945477523"/>
                      <c:h val="0.0604838709677419"/>
                    </c:manualLayout>
                  </c15:layout>
                </c:ext>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15.44%</a:t>
                    </a:r>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1.81%</a:t>
                    </a:r>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3"/>
              <c:layout>
                <c:manualLayout>
                  <c:x val="0.03125"/>
                  <c:y val="0.0902777777777778"/>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7.74%</a:t>
                    </a:r>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[工作簿1]Sheet1!$D$4:$D$7</c:f>
              <c:strCache>
                <c:ptCount val="4"/>
                <c:pt idx="0">
                  <c:v>一般公共服务</c:v>
                </c:pt>
                <c:pt idx="1">
                  <c:v>社会保障和就业</c:v>
                </c:pt>
                <c:pt idx="2">
                  <c:v>卫生健康</c:v>
                </c:pt>
                <c:pt idx="3">
                  <c:v>住房保障</c:v>
                </c:pt>
              </c:strCache>
            </c:strRef>
          </c:cat>
          <c:val>
            <c:numRef>
              <c:f>[工作簿1]Sheet1!$E$4:$E$7</c:f>
              <c:numCache>
                <c:formatCode>General</c:formatCode>
                <c:ptCount val="4"/>
                <c:pt idx="0">
                  <c:v>169.89</c:v>
                </c:pt>
                <c:pt idx="1">
                  <c:v>34.96</c:v>
                </c:pt>
                <c:pt idx="2">
                  <c:v>4.1</c:v>
                </c:pt>
                <c:pt idx="3">
                  <c:v>17.53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11596</Words>
  <Characters>12232</Characters>
  <Lines>61</Lines>
  <Paragraphs>17</Paragraphs>
  <TotalTime>0</TotalTime>
  <ScaleCrop>false</ScaleCrop>
  <LinksUpToDate>false</LinksUpToDate>
  <CharactersWithSpaces>12317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2020-08-06T09:49:00Z</dcterms:created>
  <dc:creator>曹颖</dc:creator>
  <cp:lastModifiedBy> </cp:lastModifiedBy>
  <cp:lastPrinted>2022-08-07T10:23:00Z</cp:lastPrinted>
  <dcterms:modified xsi:type="dcterms:W3CDTF">2023-06-27T11:40:02Z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291487BBC8A84A1BA5D7F9AF6FC8165A</vt:lpwstr>
  </property>
</Properties>
</file>