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A8" w:rsidRDefault="000F0EA8" w:rsidP="000F0EA8">
      <w:pPr>
        <w:spacing w:beforeLines="200" w:afterLines="200" w:line="600" w:lineRule="exact"/>
        <w:jc w:val="center"/>
        <w:outlineLvl w:val="0"/>
        <w:rPr>
          <w:rFonts w:ascii="仿宋_GB2312" w:eastAsia="仿宋_GB2312" w:hAnsi="方正小标宋简体" w:cs="方正小标宋简体"/>
          <w:w w:val="90"/>
          <w:sz w:val="48"/>
          <w:szCs w:val="48"/>
        </w:rPr>
      </w:pPr>
      <w:bookmarkStart w:id="0" w:name="_Toc15378441"/>
      <w:bookmarkStart w:id="1" w:name="_Toc15377193"/>
      <w:bookmarkStart w:id="2" w:name="_Toc15377425"/>
      <w:bookmarkStart w:id="3" w:name="_Toc15396597"/>
      <w:bookmarkStart w:id="4" w:name="_Toc15396475"/>
      <w:bookmarkStart w:id="5" w:name="_Toc114132053"/>
    </w:p>
    <w:p w:rsidR="000F0EA8" w:rsidRDefault="000F0EA8" w:rsidP="000F0EA8">
      <w:pPr>
        <w:spacing w:beforeLines="200" w:afterLines="200" w:line="600" w:lineRule="exact"/>
        <w:jc w:val="center"/>
        <w:outlineLvl w:val="0"/>
        <w:rPr>
          <w:rFonts w:ascii="仿宋_GB2312" w:eastAsia="仿宋_GB2312" w:hAnsi="方正小标宋简体" w:cs="方正小标宋简体"/>
          <w:w w:val="90"/>
          <w:sz w:val="48"/>
          <w:szCs w:val="48"/>
        </w:rPr>
      </w:pPr>
    </w:p>
    <w:p w:rsidR="000F0EA8" w:rsidRDefault="00885E0F" w:rsidP="000F0EA8">
      <w:pPr>
        <w:spacing w:beforeLines="200" w:afterLines="200" w:line="600" w:lineRule="exact"/>
        <w:jc w:val="center"/>
        <w:outlineLvl w:val="0"/>
        <w:rPr>
          <w:rFonts w:ascii="新宋体" w:eastAsia="新宋体" w:hAnsi="新宋体" w:cs="新宋体"/>
          <w:b/>
          <w:bCs/>
          <w:kern w:val="44"/>
          <w:sz w:val="52"/>
          <w:szCs w:val="52"/>
        </w:rPr>
      </w:pPr>
      <w:r>
        <w:rPr>
          <w:rFonts w:ascii="新宋体" w:eastAsia="新宋体" w:hAnsi="新宋体" w:cs="新宋体" w:hint="eastAsia"/>
          <w:b/>
          <w:bCs/>
          <w:kern w:val="44"/>
          <w:sz w:val="52"/>
          <w:szCs w:val="52"/>
        </w:rPr>
        <w:t>2021</w:t>
      </w:r>
      <w:r>
        <w:rPr>
          <w:rFonts w:ascii="新宋体" w:eastAsia="新宋体" w:hAnsi="新宋体" w:cs="新宋体" w:hint="eastAsia"/>
          <w:b/>
          <w:bCs/>
          <w:kern w:val="44"/>
          <w:sz w:val="52"/>
          <w:szCs w:val="52"/>
        </w:rPr>
        <w:t>年度</w:t>
      </w:r>
      <w:bookmarkStart w:id="6" w:name="_Toc15377426"/>
      <w:bookmarkStart w:id="7" w:name="_Toc15378442"/>
      <w:bookmarkStart w:id="8" w:name="_Toc15396476"/>
      <w:bookmarkStart w:id="9" w:name="_Toc15377194"/>
      <w:bookmarkStart w:id="10" w:name="_Toc15396598"/>
      <w:bookmarkEnd w:id="0"/>
      <w:bookmarkEnd w:id="1"/>
      <w:bookmarkEnd w:id="2"/>
      <w:bookmarkEnd w:id="3"/>
      <w:bookmarkEnd w:id="4"/>
      <w:bookmarkEnd w:id="5"/>
    </w:p>
    <w:p w:rsidR="000F0EA8" w:rsidRDefault="00885E0F" w:rsidP="000F0EA8">
      <w:pPr>
        <w:spacing w:beforeLines="200" w:afterLines="200" w:line="600" w:lineRule="exact"/>
        <w:jc w:val="center"/>
        <w:outlineLvl w:val="0"/>
        <w:rPr>
          <w:rFonts w:ascii="新宋体" w:eastAsia="新宋体" w:hAnsi="新宋体" w:cs="新宋体"/>
          <w:b/>
          <w:bCs/>
          <w:kern w:val="44"/>
          <w:sz w:val="52"/>
          <w:szCs w:val="52"/>
        </w:rPr>
      </w:pPr>
      <w:bookmarkStart w:id="11" w:name="_Toc114132054"/>
      <w:r>
        <w:rPr>
          <w:rFonts w:ascii="新宋体" w:eastAsia="新宋体" w:hAnsi="新宋体" w:cs="新宋体" w:hint="eastAsia"/>
          <w:b/>
          <w:bCs/>
          <w:kern w:val="44"/>
          <w:sz w:val="52"/>
          <w:szCs w:val="52"/>
        </w:rPr>
        <w:t>广元市</w:t>
      </w:r>
      <w:bookmarkStart w:id="12" w:name="_Toc15306268"/>
      <w:r>
        <w:rPr>
          <w:rFonts w:ascii="新宋体" w:eastAsia="新宋体" w:hAnsi="新宋体" w:cs="新宋体" w:hint="eastAsia"/>
          <w:b/>
          <w:bCs/>
          <w:kern w:val="44"/>
          <w:sz w:val="52"/>
          <w:szCs w:val="52"/>
        </w:rPr>
        <w:t>市场监督管理局广元经开区分局</w:t>
      </w:r>
      <w:bookmarkEnd w:id="11"/>
    </w:p>
    <w:p w:rsidR="000F0EA8" w:rsidRDefault="00885E0F" w:rsidP="000F0EA8">
      <w:pPr>
        <w:spacing w:beforeLines="200" w:afterLines="200" w:line="600" w:lineRule="exact"/>
        <w:jc w:val="center"/>
        <w:outlineLvl w:val="0"/>
        <w:rPr>
          <w:rFonts w:asciiTheme="majorEastAsia" w:eastAsiaTheme="majorEastAsia" w:hAnsiTheme="majorEastAsia" w:cstheme="majorEastAsia"/>
          <w:b/>
          <w:bCs/>
          <w:kern w:val="44"/>
          <w:sz w:val="52"/>
          <w:szCs w:val="52"/>
        </w:rPr>
      </w:pPr>
      <w:bookmarkStart w:id="13" w:name="_Toc114132055"/>
      <w:r>
        <w:rPr>
          <w:rFonts w:ascii="新宋体" w:eastAsia="新宋体" w:hAnsi="新宋体" w:cs="新宋体" w:hint="eastAsia"/>
          <w:b/>
          <w:bCs/>
          <w:kern w:val="44"/>
          <w:sz w:val="52"/>
          <w:szCs w:val="52"/>
        </w:rPr>
        <w:t>单位决算</w:t>
      </w:r>
      <w:bookmarkEnd w:id="6"/>
      <w:bookmarkEnd w:id="7"/>
      <w:bookmarkEnd w:id="8"/>
      <w:bookmarkEnd w:id="9"/>
      <w:bookmarkEnd w:id="10"/>
      <w:bookmarkEnd w:id="12"/>
      <w:bookmarkEnd w:id="13"/>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Pr="001046B5" w:rsidRDefault="000F0EA8">
      <w:pPr>
        <w:widowControl/>
        <w:jc w:val="center"/>
        <w:rPr>
          <w:rFonts w:ascii="仿宋_GB2312" w:eastAsia="仿宋_GB2312" w:hAnsi="黑体"/>
          <w:b/>
          <w:sz w:val="48"/>
          <w:szCs w:val="48"/>
        </w:rPr>
      </w:pPr>
    </w:p>
    <w:p w:rsidR="000F0EA8" w:rsidRDefault="00885E0F">
      <w:pPr>
        <w:widowControl/>
        <w:jc w:val="center"/>
        <w:rPr>
          <w:rFonts w:ascii="仿宋_GB2312" w:eastAsia="仿宋_GB2312" w:hAnsi="黑体"/>
          <w:b/>
          <w:sz w:val="48"/>
          <w:szCs w:val="48"/>
        </w:rPr>
      </w:pPr>
      <w:r>
        <w:rPr>
          <w:rFonts w:ascii="仿宋_GB2312" w:eastAsia="仿宋_GB2312" w:hAnsi="黑体" w:hint="eastAsia"/>
          <w:b/>
          <w:sz w:val="48"/>
          <w:szCs w:val="48"/>
        </w:rPr>
        <w:t>目录</w:t>
      </w:r>
    </w:p>
    <w:p w:rsidR="000F0EA8" w:rsidRDefault="000F0EA8">
      <w:pPr>
        <w:widowControl/>
        <w:jc w:val="center"/>
        <w:rPr>
          <w:rFonts w:ascii="仿宋_GB2312" w:eastAsia="仿宋_GB2312" w:hAnsi="黑体" w:cstheme="minorBidi"/>
          <w:sz w:val="28"/>
          <w:szCs w:val="28"/>
        </w:rPr>
      </w:pPr>
    </w:p>
    <w:p w:rsidR="000F0EA8" w:rsidRDefault="00885E0F">
      <w:pPr>
        <w:pStyle w:val="10"/>
        <w:rPr>
          <w:rFonts w:ascii="仿宋_GB2312" w:eastAsia="仿宋_GB2312"/>
          <w:sz w:val="32"/>
          <w:szCs w:val="32"/>
        </w:rPr>
      </w:pPr>
      <w:r>
        <w:rPr>
          <w:rFonts w:ascii="仿宋_GB2312" w:eastAsia="仿宋_GB2312" w:hint="eastAsia"/>
          <w:sz w:val="32"/>
          <w:szCs w:val="32"/>
        </w:rPr>
        <w:t>公开时间：</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sidR="001046B5">
        <w:rPr>
          <w:rFonts w:ascii="仿宋_GB2312" w:eastAsia="仿宋_GB2312" w:hint="eastAsia"/>
          <w:sz w:val="32"/>
          <w:szCs w:val="32"/>
        </w:rPr>
        <w:t>29</w:t>
      </w:r>
      <w:r>
        <w:rPr>
          <w:rFonts w:ascii="仿宋_GB2312" w:eastAsia="仿宋_GB2312" w:hint="eastAsia"/>
          <w:sz w:val="32"/>
          <w:szCs w:val="32"/>
        </w:rPr>
        <w:t>日</w:t>
      </w:r>
    </w:p>
    <w:sdt>
      <w:sdtPr>
        <w:rPr>
          <w:rFonts w:ascii="仿宋_GB2312" w:eastAsia="仿宋_GB2312" w:hAnsi="仿宋" w:hint="eastAsia"/>
          <w:b/>
          <w:bCs/>
          <w:sz w:val="28"/>
          <w:szCs w:val="28"/>
          <w:lang w:val="zh-CN"/>
        </w:rPr>
        <w:id w:val="7090699"/>
        <w:docPartObj>
          <w:docPartGallery w:val="Table of Contents"/>
          <w:docPartUnique/>
        </w:docPartObj>
      </w:sdtPr>
      <w:sdtEndPr>
        <w:rPr>
          <w:b w:val="0"/>
          <w:bCs w:val="0"/>
          <w:lang w:val="en-US"/>
        </w:rPr>
      </w:sdtEndPr>
      <w:sdtContent>
        <w:p w:rsidR="000F0EA8" w:rsidRDefault="000F0EA8">
          <w:pPr>
            <w:tabs>
              <w:tab w:val="right" w:leader="dot" w:pos="8296"/>
            </w:tabs>
            <w:rPr>
              <w:rFonts w:ascii="仿宋_GB2312" w:eastAsia="仿宋_GB2312"/>
            </w:rPr>
          </w:pPr>
          <w:r w:rsidRPr="000F0EA8">
            <w:rPr>
              <w:rFonts w:ascii="仿宋_GB2312" w:eastAsia="仿宋_GB2312" w:hAnsiTheme="majorHAnsi" w:cstheme="majorBidi" w:hint="eastAsia"/>
              <w:b/>
              <w:bCs/>
              <w:color w:val="365F91" w:themeColor="accent1" w:themeShade="BF"/>
              <w:kern w:val="0"/>
            </w:rPr>
            <w:fldChar w:fldCharType="begin"/>
          </w:r>
          <w:r w:rsidR="00885E0F">
            <w:rPr>
              <w:rFonts w:ascii="仿宋_GB2312" w:eastAsia="仿宋_GB2312" w:hint="eastAsia"/>
            </w:rPr>
            <w:instrText xml:space="preserve"> TOC \o "1-3" \h \z \u </w:instrText>
          </w:r>
          <w:r w:rsidRPr="000F0EA8">
            <w:rPr>
              <w:rFonts w:ascii="仿宋_GB2312" w:eastAsia="仿宋_GB2312" w:hAnsiTheme="majorHAnsi" w:cstheme="majorBidi" w:hint="eastAsia"/>
              <w:b/>
              <w:bCs/>
              <w:color w:val="365F91" w:themeColor="accent1" w:themeShade="BF"/>
              <w:kern w:val="0"/>
            </w:rPr>
            <w:fldChar w:fldCharType="separate"/>
          </w:r>
        </w:p>
        <w:p w:rsidR="000F0EA8" w:rsidRDefault="000F0EA8">
          <w:pPr>
            <w:pStyle w:val="10"/>
            <w:tabs>
              <w:tab w:val="clear" w:pos="8296"/>
              <w:tab w:val="right" w:leader="dot" w:pos="9070"/>
            </w:tabs>
            <w:rPr>
              <w:rFonts w:cs="仿宋"/>
              <w:sz w:val="32"/>
              <w:szCs w:val="32"/>
            </w:rPr>
          </w:pPr>
          <w:hyperlink w:anchor="_Toc4600" w:history="1">
            <w:r w:rsidR="00885E0F">
              <w:rPr>
                <w:rFonts w:ascii="方正黑体简体" w:eastAsia="方正黑体简体" w:hAnsi="方正黑体简体" w:cs="方正黑体简体" w:hint="eastAsia"/>
                <w:sz w:val="32"/>
                <w:szCs w:val="32"/>
              </w:rPr>
              <w:t>第一部分</w:t>
            </w:r>
            <w:r w:rsidR="00885E0F">
              <w:rPr>
                <w:rFonts w:ascii="方正黑体简体" w:eastAsia="方正黑体简体" w:hAnsi="方正黑体简体" w:cs="方正黑体简体" w:hint="eastAsia"/>
                <w:sz w:val="32"/>
                <w:szCs w:val="32"/>
              </w:rPr>
              <w:t xml:space="preserve"> </w:t>
            </w:r>
            <w:r w:rsidR="00885E0F">
              <w:rPr>
                <w:rFonts w:ascii="方正黑体简体" w:eastAsia="方正黑体简体" w:hAnsi="方正黑体简体" w:cs="方正黑体简体" w:hint="eastAsia"/>
                <w:sz w:val="32"/>
                <w:szCs w:val="32"/>
              </w:rPr>
              <w:t>单位概况</w:t>
            </w:r>
            <w:r w:rsidR="00885E0F">
              <w:rPr>
                <w:rFonts w:cs="仿宋" w:hint="eastAsia"/>
                <w:sz w:val="32"/>
                <w:szCs w:val="32"/>
              </w:rPr>
              <w:tab/>
            </w:r>
            <w:r>
              <w:rPr>
                <w:rFonts w:cs="仿宋" w:hint="eastAsia"/>
                <w:sz w:val="32"/>
                <w:szCs w:val="32"/>
              </w:rPr>
              <w:fldChar w:fldCharType="begin"/>
            </w:r>
            <w:r w:rsidR="00885E0F">
              <w:rPr>
                <w:rFonts w:cs="仿宋" w:hint="eastAsia"/>
                <w:sz w:val="32"/>
                <w:szCs w:val="32"/>
              </w:rPr>
              <w:instrText xml:space="preserve"> PAGEREF _Toc4600 \h </w:instrText>
            </w:r>
            <w:r>
              <w:rPr>
                <w:rFonts w:cs="仿宋" w:hint="eastAsia"/>
                <w:sz w:val="32"/>
                <w:szCs w:val="32"/>
              </w:rPr>
            </w:r>
            <w:r>
              <w:rPr>
                <w:rFonts w:cs="仿宋" w:hint="eastAsia"/>
                <w:sz w:val="32"/>
                <w:szCs w:val="32"/>
              </w:rPr>
              <w:fldChar w:fldCharType="separate"/>
            </w:r>
            <w:r w:rsidR="00885E0F">
              <w:rPr>
                <w:rFonts w:cs="仿宋" w:hint="eastAsia"/>
                <w:sz w:val="32"/>
                <w:szCs w:val="32"/>
              </w:rPr>
              <w:t>1</w:t>
            </w:r>
            <w:r>
              <w:rPr>
                <w:rFonts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2504" w:history="1">
            <w:r w:rsidR="00885E0F">
              <w:rPr>
                <w:rFonts w:ascii="仿宋" w:eastAsia="仿宋" w:hAnsi="仿宋" w:cs="仿宋" w:hint="eastAsia"/>
                <w:sz w:val="32"/>
                <w:szCs w:val="32"/>
              </w:rPr>
              <w:t>一、职能简介</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_Toc22504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5721" w:history="1">
            <w:r w:rsidR="00885E0F">
              <w:rPr>
                <w:rFonts w:ascii="仿宋" w:eastAsia="仿宋" w:hAnsi="仿宋" w:cs="仿宋" w:hint="eastAsia"/>
                <w:sz w:val="32"/>
                <w:szCs w:val="32"/>
              </w:rPr>
              <w:t>二、重点工作完成情况</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_Toc25721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3</w:t>
            </w:r>
            <w:r>
              <w:rPr>
                <w:rFonts w:ascii="仿宋" w:eastAsia="仿宋" w:hAnsi="仿宋" w:cs="仿宋" w:hint="eastAsia"/>
                <w:sz w:val="32"/>
                <w:szCs w:val="32"/>
              </w:rPr>
              <w:fldChar w:fldCharType="end"/>
            </w:r>
          </w:hyperlink>
        </w:p>
        <w:p w:rsidR="000F0EA8" w:rsidRDefault="000F0EA8">
          <w:pPr>
            <w:pStyle w:val="10"/>
            <w:tabs>
              <w:tab w:val="clear" w:pos="8296"/>
              <w:tab w:val="right" w:leader="dot" w:pos="9070"/>
            </w:tabs>
            <w:rPr>
              <w:rFonts w:cs="仿宋"/>
              <w:sz w:val="32"/>
              <w:szCs w:val="32"/>
            </w:rPr>
          </w:pPr>
          <w:hyperlink w:anchor="_Toc13143" w:history="1">
            <w:r w:rsidR="00885E0F">
              <w:rPr>
                <w:rFonts w:ascii="方正黑体简体" w:eastAsia="方正黑体简体" w:hAnsi="方正黑体简体" w:cs="方正黑体简体" w:hint="eastAsia"/>
                <w:sz w:val="32"/>
                <w:szCs w:val="32"/>
              </w:rPr>
              <w:t>第二部分</w:t>
            </w:r>
            <w:r w:rsidR="00885E0F">
              <w:rPr>
                <w:rFonts w:ascii="方正黑体简体" w:eastAsia="方正黑体简体" w:hAnsi="方正黑体简体" w:cs="方正黑体简体" w:hint="eastAsia"/>
                <w:sz w:val="32"/>
                <w:szCs w:val="32"/>
              </w:rPr>
              <w:t xml:space="preserve"> 2021</w:t>
            </w:r>
            <w:r w:rsidR="00885E0F">
              <w:rPr>
                <w:rFonts w:ascii="方正黑体简体" w:eastAsia="方正黑体简体" w:hAnsi="方正黑体简体" w:cs="方正黑体简体" w:hint="eastAsia"/>
                <w:sz w:val="32"/>
                <w:szCs w:val="32"/>
              </w:rPr>
              <w:t>年度</w:t>
            </w:r>
            <w:r w:rsidR="00885E0F">
              <w:rPr>
                <w:rFonts w:ascii="方正黑体简体" w:eastAsia="方正黑体简体" w:hAnsi="方正黑体简体" w:cs="方正黑体简体" w:hint="eastAsia"/>
                <w:bCs/>
                <w:sz w:val="32"/>
                <w:szCs w:val="32"/>
              </w:rPr>
              <w:t>单位决算情况说明</w:t>
            </w:r>
            <w:r w:rsidR="00885E0F">
              <w:rPr>
                <w:rFonts w:cs="仿宋" w:hint="eastAsia"/>
                <w:sz w:val="32"/>
                <w:szCs w:val="32"/>
              </w:rPr>
              <w:tab/>
            </w:r>
            <w:r>
              <w:rPr>
                <w:rFonts w:cs="仿宋" w:hint="eastAsia"/>
                <w:sz w:val="32"/>
                <w:szCs w:val="32"/>
              </w:rPr>
              <w:fldChar w:fldCharType="begin"/>
            </w:r>
            <w:r w:rsidR="00885E0F">
              <w:rPr>
                <w:rFonts w:cs="仿宋" w:hint="eastAsia"/>
                <w:sz w:val="32"/>
                <w:szCs w:val="32"/>
              </w:rPr>
              <w:instrText xml:space="preserve"> PAGEREF _Toc13143 \h</w:instrText>
            </w:r>
            <w:r w:rsidR="00885E0F">
              <w:rPr>
                <w:rFonts w:cs="仿宋" w:hint="eastAsia"/>
                <w:sz w:val="32"/>
                <w:szCs w:val="32"/>
              </w:rPr>
              <w:instrText xml:space="preserve"> </w:instrText>
            </w:r>
            <w:r>
              <w:rPr>
                <w:rFonts w:cs="仿宋" w:hint="eastAsia"/>
                <w:sz w:val="32"/>
                <w:szCs w:val="32"/>
              </w:rPr>
            </w:r>
            <w:r>
              <w:rPr>
                <w:rFonts w:cs="仿宋" w:hint="eastAsia"/>
                <w:sz w:val="32"/>
                <w:szCs w:val="32"/>
              </w:rPr>
              <w:fldChar w:fldCharType="separate"/>
            </w:r>
            <w:r w:rsidR="00885E0F">
              <w:rPr>
                <w:rFonts w:cs="仿宋" w:hint="eastAsia"/>
                <w:sz w:val="32"/>
                <w:szCs w:val="32"/>
              </w:rPr>
              <w:t>8</w:t>
            </w:r>
            <w:r>
              <w:rPr>
                <w:rFonts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31231" w:history="1">
            <w:r w:rsidR="00885E0F">
              <w:rPr>
                <w:rFonts w:ascii="仿宋" w:eastAsia="仿宋" w:hAnsi="仿宋" w:cs="仿宋" w:hint="eastAsia"/>
                <w:sz w:val="32"/>
                <w:szCs w:val="32"/>
              </w:rPr>
              <w:t>一、收入支出决算总体情况说明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_Toc31231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8</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6515" w:history="1">
            <w:r w:rsidR="00885E0F">
              <w:rPr>
                <w:rFonts w:ascii="仿宋" w:eastAsia="仿宋" w:hAnsi="仿宋" w:cs="仿宋" w:hint="eastAsia"/>
                <w:sz w:val="32"/>
                <w:szCs w:val="32"/>
              </w:rPr>
              <w:t>二、收入决算情况说明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_Toc6515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9</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31045" w:history="1">
            <w:r w:rsidR="00885E0F">
              <w:rPr>
                <w:rFonts w:ascii="仿宋" w:eastAsia="仿宋" w:hAnsi="仿宋" w:cs="仿宋" w:hint="eastAsia"/>
                <w:sz w:val="32"/>
                <w:szCs w:val="32"/>
              </w:rPr>
              <w:t>三、支出决算情况说明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_Toc31045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10</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5621" w:history="1">
            <w:r w:rsidR="00885E0F">
              <w:rPr>
                <w:rFonts w:ascii="仿宋" w:eastAsia="仿宋" w:hAnsi="仿宋" w:cs="仿宋" w:hint="eastAsia"/>
                <w:sz w:val="32"/>
                <w:szCs w:val="32"/>
              </w:rPr>
              <w:t>四、财政拨款收入支出决算总体情况说明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_Toc5621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10</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6465" w:history="1">
            <w:r w:rsidR="00885E0F">
              <w:rPr>
                <w:rFonts w:ascii="仿宋" w:eastAsia="仿宋" w:hAnsi="仿宋" w:cs="仿宋" w:hint="eastAsia"/>
                <w:sz w:val="32"/>
                <w:szCs w:val="32"/>
              </w:rPr>
              <w:t>五、一般公共预算财政拨款支出决算情况说明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_Toc26465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0452" w:history="1">
            <w:r w:rsidR="00885E0F">
              <w:rPr>
                <w:rFonts w:ascii="仿宋" w:eastAsia="仿宋" w:hAnsi="仿宋" w:cs="仿宋" w:hint="eastAsia"/>
                <w:sz w:val="32"/>
                <w:szCs w:val="32"/>
              </w:rPr>
              <w:t>六、一般公共预算财政拨款基本支出决算情况说明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_Toc10452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13</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32452" w:history="1">
            <w:r w:rsidR="00885E0F">
              <w:rPr>
                <w:rFonts w:ascii="仿宋" w:eastAsia="仿宋" w:hAnsi="仿宋" w:cs="仿宋" w:hint="eastAsia"/>
                <w:sz w:val="32"/>
                <w:szCs w:val="32"/>
              </w:rPr>
              <w:t>七、“三公经费”财政拨款支出决算情况说明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_Toc32452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14</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5310" w:history="1">
            <w:r w:rsidR="00885E0F">
              <w:rPr>
                <w:rFonts w:ascii="仿宋" w:eastAsia="仿宋" w:hAnsi="仿宋" w:cs="仿宋" w:hint="eastAsia"/>
                <w:sz w:val="32"/>
                <w:szCs w:val="32"/>
              </w:rPr>
              <w:t>八、政府性基金预算情况支出决算情况说明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_Toc15310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15</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4340" w:history="1">
            <w:r w:rsidR="00885E0F">
              <w:rPr>
                <w:rFonts w:ascii="仿宋" w:eastAsia="仿宋" w:hAnsi="仿宋" w:cs="仿宋" w:hint="eastAsia"/>
                <w:sz w:val="32"/>
                <w:szCs w:val="32"/>
              </w:rPr>
              <w:t>九、国有资本经营预算支出决算情况说明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_Toc24340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16</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4899" w:history="1">
            <w:r w:rsidR="00885E0F">
              <w:rPr>
                <w:rFonts w:ascii="仿宋" w:eastAsia="仿宋" w:hAnsi="仿宋" w:cs="仿宋" w:hint="eastAsia"/>
                <w:sz w:val="32"/>
                <w:szCs w:val="32"/>
              </w:rPr>
              <w:t>十、预算绩效管理情况</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_Toc24899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16</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5891" w:history="1">
            <w:r w:rsidR="00885E0F">
              <w:rPr>
                <w:rFonts w:ascii="仿宋" w:eastAsia="仿宋" w:hAnsi="仿宋" w:cs="仿宋" w:hint="eastAsia"/>
                <w:sz w:val="32"/>
                <w:szCs w:val="32"/>
              </w:rPr>
              <w:t>十一、其他重要事项的情况说明</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_Toc25891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16</w:t>
            </w:r>
            <w:r>
              <w:rPr>
                <w:rFonts w:ascii="仿宋" w:eastAsia="仿宋" w:hAnsi="仿宋" w:cs="仿宋" w:hint="eastAsia"/>
                <w:sz w:val="32"/>
                <w:szCs w:val="32"/>
              </w:rPr>
              <w:fldChar w:fldCharType="end"/>
            </w:r>
          </w:hyperlink>
        </w:p>
        <w:p w:rsidR="000F0EA8" w:rsidRDefault="000F0EA8">
          <w:pPr>
            <w:pStyle w:val="10"/>
            <w:tabs>
              <w:tab w:val="clear" w:pos="8296"/>
              <w:tab w:val="right" w:leader="dot" w:pos="9070"/>
            </w:tabs>
            <w:rPr>
              <w:rFonts w:cs="仿宋"/>
              <w:sz w:val="32"/>
              <w:szCs w:val="32"/>
            </w:rPr>
          </w:pPr>
          <w:hyperlink w:anchor="_Toc3818" w:history="1">
            <w:r w:rsidR="00885E0F">
              <w:rPr>
                <w:rFonts w:ascii="方正黑体简体" w:eastAsia="方正黑体简体" w:hAnsi="方正黑体简体" w:cs="方正黑体简体" w:hint="eastAsia"/>
                <w:sz w:val="32"/>
                <w:szCs w:val="32"/>
              </w:rPr>
              <w:t>第三部分</w:t>
            </w:r>
            <w:r w:rsidR="00885E0F">
              <w:rPr>
                <w:rFonts w:ascii="方正黑体简体" w:eastAsia="方正黑体简体" w:hAnsi="方正黑体简体" w:cs="方正黑体简体" w:hint="eastAsia"/>
                <w:sz w:val="32"/>
                <w:szCs w:val="32"/>
              </w:rPr>
              <w:t xml:space="preserve"> </w:t>
            </w:r>
            <w:r w:rsidR="00885E0F">
              <w:rPr>
                <w:rFonts w:ascii="方正黑体简体" w:eastAsia="方正黑体简体" w:hAnsi="方正黑体简体" w:cs="方正黑体简体" w:hint="eastAsia"/>
                <w:sz w:val="32"/>
                <w:szCs w:val="32"/>
              </w:rPr>
              <w:t>名词解释</w:t>
            </w:r>
            <w:r w:rsidR="00885E0F">
              <w:rPr>
                <w:rFonts w:cs="仿宋" w:hint="eastAsia"/>
                <w:sz w:val="32"/>
                <w:szCs w:val="32"/>
              </w:rPr>
              <w:tab/>
            </w:r>
            <w:r>
              <w:rPr>
                <w:rFonts w:cs="仿宋" w:hint="eastAsia"/>
                <w:sz w:val="32"/>
                <w:szCs w:val="32"/>
              </w:rPr>
              <w:fldChar w:fldCharType="begin"/>
            </w:r>
            <w:r w:rsidR="00885E0F">
              <w:rPr>
                <w:rFonts w:cs="仿宋" w:hint="eastAsia"/>
                <w:sz w:val="32"/>
                <w:szCs w:val="32"/>
              </w:rPr>
              <w:instrText xml:space="preserve"> PAGEREF _Toc3818 \h </w:instrText>
            </w:r>
            <w:r>
              <w:rPr>
                <w:rFonts w:cs="仿宋" w:hint="eastAsia"/>
                <w:sz w:val="32"/>
                <w:szCs w:val="32"/>
              </w:rPr>
            </w:r>
            <w:r>
              <w:rPr>
                <w:rFonts w:cs="仿宋" w:hint="eastAsia"/>
                <w:sz w:val="32"/>
                <w:szCs w:val="32"/>
              </w:rPr>
              <w:fldChar w:fldCharType="separate"/>
            </w:r>
            <w:r w:rsidR="00885E0F">
              <w:rPr>
                <w:rFonts w:cs="仿宋" w:hint="eastAsia"/>
                <w:sz w:val="32"/>
                <w:szCs w:val="32"/>
              </w:rPr>
              <w:t>17</w:t>
            </w:r>
            <w:r>
              <w:rPr>
                <w:rFonts w:cs="仿宋" w:hint="eastAsia"/>
                <w:sz w:val="32"/>
                <w:szCs w:val="32"/>
              </w:rPr>
              <w:fldChar w:fldCharType="end"/>
            </w:r>
          </w:hyperlink>
        </w:p>
        <w:p w:rsidR="000F0EA8" w:rsidRDefault="000F0EA8">
          <w:pPr>
            <w:pStyle w:val="10"/>
            <w:tabs>
              <w:tab w:val="clear" w:pos="8296"/>
              <w:tab w:val="right" w:leader="dot" w:pos="9070"/>
            </w:tabs>
            <w:rPr>
              <w:rFonts w:cs="仿宋"/>
              <w:sz w:val="32"/>
              <w:szCs w:val="32"/>
            </w:rPr>
          </w:pPr>
          <w:hyperlink w:anchor="_Toc13135" w:history="1">
            <w:r w:rsidR="00885E0F">
              <w:rPr>
                <w:rFonts w:ascii="方正黑体简体" w:eastAsia="方正黑体简体" w:hAnsi="方正黑体简体" w:cs="方正黑体简体" w:hint="eastAsia"/>
                <w:sz w:val="32"/>
                <w:szCs w:val="32"/>
              </w:rPr>
              <w:t>第四部分</w:t>
            </w:r>
            <w:r w:rsidR="00885E0F">
              <w:rPr>
                <w:rFonts w:ascii="方正黑体简体" w:eastAsia="方正黑体简体" w:hAnsi="方正黑体简体" w:cs="方正黑体简体" w:hint="eastAsia"/>
                <w:sz w:val="32"/>
                <w:szCs w:val="32"/>
              </w:rPr>
              <w:t xml:space="preserve"> </w:t>
            </w:r>
            <w:r w:rsidR="00885E0F">
              <w:rPr>
                <w:rFonts w:ascii="方正黑体简体" w:eastAsia="方正黑体简体" w:hAnsi="方正黑体简体" w:cs="方正黑体简体" w:hint="eastAsia"/>
                <w:sz w:val="32"/>
                <w:szCs w:val="32"/>
              </w:rPr>
              <w:t>附件</w:t>
            </w:r>
            <w:r w:rsidR="00885E0F">
              <w:rPr>
                <w:rFonts w:cs="仿宋" w:hint="eastAsia"/>
                <w:sz w:val="32"/>
                <w:szCs w:val="32"/>
              </w:rPr>
              <w:tab/>
            </w:r>
            <w:r>
              <w:rPr>
                <w:rFonts w:cs="仿宋" w:hint="eastAsia"/>
                <w:sz w:val="32"/>
                <w:szCs w:val="32"/>
              </w:rPr>
              <w:fldChar w:fldCharType="begin"/>
            </w:r>
            <w:r w:rsidR="00885E0F">
              <w:rPr>
                <w:rFonts w:cs="仿宋" w:hint="eastAsia"/>
                <w:sz w:val="32"/>
                <w:szCs w:val="32"/>
              </w:rPr>
              <w:instrText xml:space="preserve"> PAGEREF _Toc13135 \h </w:instrText>
            </w:r>
            <w:r>
              <w:rPr>
                <w:rFonts w:cs="仿宋" w:hint="eastAsia"/>
                <w:sz w:val="32"/>
                <w:szCs w:val="32"/>
              </w:rPr>
            </w:r>
            <w:r>
              <w:rPr>
                <w:rFonts w:cs="仿宋" w:hint="eastAsia"/>
                <w:sz w:val="32"/>
                <w:szCs w:val="32"/>
              </w:rPr>
              <w:fldChar w:fldCharType="separate"/>
            </w:r>
            <w:r w:rsidR="00885E0F">
              <w:rPr>
                <w:rFonts w:cs="仿宋" w:hint="eastAsia"/>
                <w:sz w:val="32"/>
                <w:szCs w:val="32"/>
              </w:rPr>
              <w:t>20</w:t>
            </w:r>
            <w:r>
              <w:rPr>
                <w:rFonts w:cs="仿宋" w:hint="eastAsia"/>
                <w:sz w:val="32"/>
                <w:szCs w:val="32"/>
              </w:rPr>
              <w:fldChar w:fldCharType="end"/>
            </w:r>
          </w:hyperlink>
        </w:p>
        <w:p w:rsidR="000F0EA8" w:rsidRDefault="000F0EA8">
          <w:pPr>
            <w:pStyle w:val="10"/>
            <w:tabs>
              <w:tab w:val="clear" w:pos="8296"/>
              <w:tab w:val="right" w:leader="dot" w:pos="9070"/>
            </w:tabs>
            <w:rPr>
              <w:rFonts w:cs="仿宋"/>
              <w:sz w:val="32"/>
              <w:szCs w:val="32"/>
            </w:rPr>
          </w:pPr>
          <w:hyperlink w:anchor="_Toc23334" w:history="1">
            <w:r w:rsidR="00885E0F">
              <w:rPr>
                <w:rFonts w:ascii="方正黑体简体" w:eastAsia="方正黑体简体" w:hAnsi="方正黑体简体" w:cs="方正黑体简体" w:hint="eastAsia"/>
                <w:sz w:val="32"/>
                <w:szCs w:val="32"/>
              </w:rPr>
              <w:t>第五部分</w:t>
            </w:r>
            <w:r w:rsidR="00885E0F">
              <w:rPr>
                <w:rFonts w:ascii="方正黑体简体" w:eastAsia="方正黑体简体" w:hAnsi="方正黑体简体" w:cs="方正黑体简体" w:hint="eastAsia"/>
                <w:sz w:val="32"/>
                <w:szCs w:val="32"/>
              </w:rPr>
              <w:t xml:space="preserve"> </w:t>
            </w:r>
            <w:r w:rsidR="00885E0F">
              <w:rPr>
                <w:rFonts w:ascii="方正黑体简体" w:eastAsia="方正黑体简体" w:hAnsi="方正黑体简体" w:cs="方正黑体简体" w:hint="eastAsia"/>
                <w:sz w:val="32"/>
                <w:szCs w:val="32"/>
              </w:rPr>
              <w:t>附表</w:t>
            </w:r>
            <w:r w:rsidR="00885E0F">
              <w:rPr>
                <w:rFonts w:cs="仿宋" w:hint="eastAsia"/>
                <w:sz w:val="32"/>
                <w:szCs w:val="32"/>
              </w:rPr>
              <w:tab/>
            </w:r>
            <w:r>
              <w:rPr>
                <w:rFonts w:cs="仿宋" w:hint="eastAsia"/>
                <w:sz w:val="32"/>
                <w:szCs w:val="32"/>
              </w:rPr>
              <w:fldChar w:fldCharType="begin"/>
            </w:r>
            <w:r w:rsidR="00885E0F">
              <w:rPr>
                <w:rFonts w:cs="仿宋" w:hint="eastAsia"/>
                <w:sz w:val="32"/>
                <w:szCs w:val="32"/>
              </w:rPr>
              <w:instrText xml:space="preserve"> PAGEREF _Toc23334 \h </w:instrText>
            </w:r>
            <w:r>
              <w:rPr>
                <w:rFonts w:cs="仿宋" w:hint="eastAsia"/>
                <w:sz w:val="32"/>
                <w:szCs w:val="32"/>
              </w:rPr>
            </w:r>
            <w:r>
              <w:rPr>
                <w:rFonts w:cs="仿宋" w:hint="eastAsia"/>
                <w:sz w:val="32"/>
                <w:szCs w:val="32"/>
              </w:rPr>
              <w:fldChar w:fldCharType="separate"/>
            </w:r>
            <w:r w:rsidR="00885E0F">
              <w:rPr>
                <w:rFonts w:cs="仿宋" w:hint="eastAsia"/>
                <w:sz w:val="32"/>
                <w:szCs w:val="32"/>
              </w:rPr>
              <w:t>41</w:t>
            </w:r>
            <w:r>
              <w:rPr>
                <w:rFonts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30208" w:history="1">
            <w:r w:rsidR="00885E0F">
              <w:rPr>
                <w:rFonts w:ascii="仿宋" w:eastAsia="仿宋" w:hAnsi="仿宋" w:cs="仿宋" w:hint="eastAsia"/>
                <w:sz w:val="32"/>
                <w:szCs w:val="32"/>
              </w:rPr>
              <w:t>一、收入支出决算总表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_Toc30208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4851" w:history="1">
            <w:r w:rsidR="00885E0F">
              <w:rPr>
                <w:rFonts w:ascii="仿宋" w:eastAsia="仿宋" w:hAnsi="仿宋" w:cs="仿宋" w:hint="eastAsia"/>
                <w:sz w:val="32"/>
                <w:szCs w:val="32"/>
              </w:rPr>
              <w:t>二、收入决算表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_Toc14851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3380" w:history="1">
            <w:r w:rsidR="00885E0F">
              <w:rPr>
                <w:rFonts w:ascii="仿宋" w:eastAsia="仿宋" w:hAnsi="仿宋" w:cs="仿宋" w:hint="eastAsia"/>
                <w:sz w:val="32"/>
                <w:szCs w:val="32"/>
              </w:rPr>
              <w:t>三、支出决算表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_Toc3380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4359" w:history="1">
            <w:r w:rsidR="00885E0F">
              <w:rPr>
                <w:rFonts w:ascii="仿宋" w:eastAsia="仿宋" w:hAnsi="仿宋" w:cs="仿宋" w:hint="eastAsia"/>
                <w:sz w:val="32"/>
                <w:szCs w:val="32"/>
              </w:rPr>
              <w:t>四、财政拨款收入支出决算总表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_Toc24359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9243" w:history="1">
            <w:r w:rsidR="00885E0F">
              <w:rPr>
                <w:rFonts w:ascii="仿宋" w:eastAsia="仿宋" w:hAnsi="仿宋" w:cs="仿宋" w:hint="eastAsia"/>
                <w:sz w:val="32"/>
                <w:szCs w:val="32"/>
              </w:rPr>
              <w:t>五、财政拨款支出决算明细表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_Toc19243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1561" w:history="1">
            <w:r w:rsidR="00885E0F">
              <w:rPr>
                <w:rFonts w:ascii="仿宋" w:eastAsia="仿宋" w:hAnsi="仿宋" w:cs="仿宋" w:hint="eastAsia"/>
                <w:sz w:val="32"/>
                <w:szCs w:val="32"/>
              </w:rPr>
              <w:t>六、一般公共预算财政拨款支出决算表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_Toc21561 </w:instrText>
            </w:r>
            <w:r w:rsidR="00885E0F">
              <w:rPr>
                <w:rFonts w:ascii="仿宋" w:eastAsia="仿宋" w:hAnsi="仿宋" w:cs="仿宋" w:hint="eastAsia"/>
                <w:sz w:val="32"/>
                <w:szCs w:val="32"/>
              </w:rPr>
              <w:instrText xml:space="preserve">\h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4770" w:history="1">
            <w:r w:rsidR="00885E0F">
              <w:rPr>
                <w:rFonts w:ascii="仿宋" w:eastAsia="仿宋" w:hAnsi="仿宋" w:cs="仿宋" w:hint="eastAsia"/>
                <w:sz w:val="32"/>
                <w:szCs w:val="32"/>
              </w:rPr>
              <w:t>七、一般公共预算财政拨款支出决算明细表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_Toc14770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3978" w:history="1">
            <w:r w:rsidR="00885E0F">
              <w:rPr>
                <w:rFonts w:ascii="仿宋" w:eastAsia="仿宋" w:hAnsi="仿宋" w:cs="仿宋" w:hint="eastAsia"/>
                <w:sz w:val="32"/>
                <w:szCs w:val="32"/>
              </w:rPr>
              <w:t>八、一般公共预算财政拨款基本支出决算表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w:instrText>
            </w:r>
            <w:r w:rsidR="00885E0F">
              <w:rPr>
                <w:rFonts w:ascii="仿宋" w:eastAsia="仿宋" w:hAnsi="仿宋" w:cs="仿宋" w:hint="eastAsia"/>
                <w:sz w:val="32"/>
                <w:szCs w:val="32"/>
              </w:rPr>
              <w:instrText xml:space="preserve">EREF _Toc3978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8873" w:history="1">
            <w:r w:rsidR="00885E0F">
              <w:rPr>
                <w:rFonts w:ascii="仿宋" w:eastAsia="仿宋" w:hAnsi="仿宋" w:cs="仿宋" w:hint="eastAsia"/>
                <w:sz w:val="32"/>
                <w:szCs w:val="32"/>
              </w:rPr>
              <w:t>九、一般公共预算财政拨款项目支出决算表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_Toc8873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29959" w:history="1">
            <w:r w:rsidR="00885E0F">
              <w:rPr>
                <w:rFonts w:ascii="仿宋" w:eastAsia="仿宋" w:hAnsi="仿宋" w:cs="仿宋" w:hint="eastAsia"/>
                <w:sz w:val="32"/>
                <w:szCs w:val="32"/>
              </w:rPr>
              <w:t>十、一般公共预算财政拨款“三公”经费支出决算表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_Toc29959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5786" w:history="1">
            <w:r w:rsidR="00885E0F">
              <w:rPr>
                <w:rFonts w:ascii="仿宋" w:eastAsia="仿宋" w:hAnsi="仿宋" w:cs="仿宋" w:hint="eastAsia"/>
                <w:sz w:val="32"/>
                <w:szCs w:val="32"/>
              </w:rPr>
              <w:t>十一、政府性基金预算财政拨款收入支出决算表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w:instrText>
            </w:r>
            <w:r w:rsidR="00885E0F">
              <w:rPr>
                <w:rFonts w:ascii="仿宋" w:eastAsia="仿宋" w:hAnsi="仿宋" w:cs="仿宋" w:hint="eastAsia"/>
                <w:sz w:val="32"/>
                <w:szCs w:val="32"/>
              </w:rPr>
              <w:instrText xml:space="preserve">REF _Toc15786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5293" w:history="1">
            <w:r w:rsidR="00885E0F">
              <w:rPr>
                <w:rFonts w:ascii="仿宋" w:eastAsia="仿宋" w:hAnsi="仿宋" w:cs="仿宋" w:hint="eastAsia"/>
                <w:sz w:val="32"/>
                <w:szCs w:val="32"/>
              </w:rPr>
              <w:t>十二、政府性基金预算财政拨款“三公”经费支出决算表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_Toc15293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3311" w:history="1">
            <w:r w:rsidR="00885E0F">
              <w:rPr>
                <w:rFonts w:ascii="仿宋" w:eastAsia="仿宋" w:hAnsi="仿宋" w:cs="仿宋" w:hint="eastAsia"/>
                <w:sz w:val="32"/>
                <w:szCs w:val="32"/>
              </w:rPr>
              <w:t>十三、国有资本经营预算财政拨款收入支出决算表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_Toc13311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20"/>
            <w:tabs>
              <w:tab w:val="clear" w:pos="8296"/>
              <w:tab w:val="right" w:leader="dot" w:pos="9070"/>
            </w:tabs>
            <w:rPr>
              <w:rFonts w:ascii="仿宋" w:eastAsia="仿宋" w:hAnsi="仿宋" w:cs="仿宋"/>
              <w:sz w:val="32"/>
              <w:szCs w:val="32"/>
            </w:rPr>
          </w:pPr>
          <w:hyperlink w:anchor="_Toc17526" w:history="1">
            <w:r w:rsidR="00885E0F">
              <w:rPr>
                <w:rFonts w:ascii="仿宋" w:eastAsia="仿宋" w:hAnsi="仿宋" w:cs="仿宋" w:hint="eastAsia"/>
                <w:bCs/>
                <w:sz w:val="32"/>
                <w:szCs w:val="32"/>
              </w:rPr>
              <w:t>十四、国有资本经营预算财政拨款支出决算表</w:t>
            </w:r>
            <w:r w:rsidR="00885E0F">
              <w:rPr>
                <w:rFonts w:ascii="仿宋" w:eastAsia="仿宋" w:hAnsi="仿宋" w:cs="仿宋" w:hint="eastAsia"/>
                <w:sz w:val="32"/>
                <w:szCs w:val="32"/>
              </w:rPr>
              <w:tab/>
            </w:r>
            <w:r>
              <w:rPr>
                <w:rFonts w:ascii="仿宋" w:eastAsia="仿宋" w:hAnsi="仿宋" w:cs="仿宋" w:hint="eastAsia"/>
                <w:sz w:val="32"/>
                <w:szCs w:val="32"/>
              </w:rPr>
              <w:fldChar w:fldCharType="begin"/>
            </w:r>
            <w:r w:rsidR="00885E0F">
              <w:rPr>
                <w:rFonts w:ascii="仿宋" w:eastAsia="仿宋" w:hAnsi="仿宋" w:cs="仿宋" w:hint="eastAsia"/>
                <w:sz w:val="32"/>
                <w:szCs w:val="32"/>
              </w:rPr>
              <w:instrText xml:space="preserve"> PAGEREF _Toc17526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885E0F">
              <w:rPr>
                <w:rFonts w:ascii="仿宋" w:eastAsia="仿宋" w:hAnsi="仿宋" w:cs="仿宋" w:hint="eastAsia"/>
                <w:sz w:val="32"/>
                <w:szCs w:val="32"/>
              </w:rPr>
              <w:t>41</w:t>
            </w:r>
            <w:r>
              <w:rPr>
                <w:rFonts w:ascii="仿宋" w:eastAsia="仿宋" w:hAnsi="仿宋" w:cs="仿宋" w:hint="eastAsia"/>
                <w:sz w:val="32"/>
                <w:szCs w:val="32"/>
              </w:rPr>
              <w:fldChar w:fldCharType="end"/>
            </w:r>
          </w:hyperlink>
        </w:p>
        <w:p w:rsidR="000F0EA8" w:rsidRDefault="000F0EA8">
          <w:pPr>
            <w:pStyle w:val="10"/>
            <w:rPr>
              <w:rFonts w:ascii="黑体" w:eastAsia="黑体" w:hAnsi="黑体"/>
            </w:rPr>
            <w:sectPr w:rsidR="000F0EA8">
              <w:headerReference w:type="default" r:id="rId7"/>
              <w:pgSz w:w="11906" w:h="16838"/>
              <w:pgMar w:top="1418" w:right="1418" w:bottom="1134" w:left="1418" w:header="851" w:footer="964" w:gutter="0"/>
              <w:cols w:space="425"/>
              <w:docGrid w:type="lines" w:linePitch="312"/>
            </w:sectPr>
          </w:pPr>
          <w:r>
            <w:rPr>
              <w:rFonts w:ascii="仿宋_GB2312" w:eastAsia="仿宋_GB2312" w:hint="eastAsia"/>
            </w:rPr>
            <w:fldChar w:fldCharType="end"/>
          </w:r>
        </w:p>
      </w:sdtContent>
    </w:sdt>
    <w:p w:rsidR="000F0EA8" w:rsidRDefault="00885E0F">
      <w:pPr>
        <w:pStyle w:val="1"/>
        <w:jc w:val="center"/>
        <w:rPr>
          <w:rStyle w:val="1Char"/>
          <w:rFonts w:ascii="新宋体" w:eastAsia="新宋体" w:hAnsi="新宋体" w:cs="新宋体"/>
          <w:b/>
          <w:sz w:val="36"/>
          <w:szCs w:val="36"/>
        </w:rPr>
      </w:pPr>
      <w:bookmarkStart w:id="14" w:name="_Toc4600"/>
      <w:bookmarkStart w:id="15" w:name="_Toc115248302"/>
      <w:r>
        <w:rPr>
          <w:rFonts w:ascii="新宋体" w:eastAsia="新宋体" w:hAnsi="新宋体" w:cs="新宋体" w:hint="eastAsia"/>
          <w:sz w:val="36"/>
          <w:szCs w:val="36"/>
        </w:rPr>
        <w:lastRenderedPageBreak/>
        <w:t>第一部分</w:t>
      </w:r>
      <w:r>
        <w:rPr>
          <w:rFonts w:ascii="新宋体" w:eastAsia="新宋体" w:hAnsi="新宋体" w:cs="新宋体" w:hint="eastAsia"/>
          <w:sz w:val="36"/>
          <w:szCs w:val="36"/>
        </w:rPr>
        <w:t xml:space="preserve"> </w:t>
      </w:r>
      <w:r>
        <w:rPr>
          <w:rFonts w:ascii="新宋体" w:eastAsia="新宋体" w:hAnsi="新宋体" w:cs="新宋体" w:hint="eastAsia"/>
          <w:sz w:val="36"/>
          <w:szCs w:val="36"/>
        </w:rPr>
        <w:t>单位</w:t>
      </w:r>
      <w:r>
        <w:rPr>
          <w:rStyle w:val="1Char"/>
          <w:rFonts w:ascii="新宋体" w:eastAsia="新宋体" w:hAnsi="新宋体" w:cs="新宋体" w:hint="eastAsia"/>
          <w:b/>
          <w:sz w:val="36"/>
          <w:szCs w:val="36"/>
        </w:rPr>
        <w:t>概况</w:t>
      </w:r>
      <w:bookmarkEnd w:id="14"/>
      <w:bookmarkEnd w:id="15"/>
    </w:p>
    <w:p w:rsidR="000F0EA8" w:rsidRDefault="00885E0F">
      <w:pPr>
        <w:pStyle w:val="2"/>
        <w:ind w:firstLineChars="200" w:firstLine="643"/>
        <w:rPr>
          <w:rFonts w:ascii="新宋体" w:eastAsia="新宋体" w:hAnsi="新宋体" w:cs="新宋体"/>
        </w:rPr>
      </w:pPr>
      <w:bookmarkStart w:id="16" w:name="_Toc22504"/>
      <w:r>
        <w:rPr>
          <w:rFonts w:ascii="新宋体" w:eastAsia="新宋体" w:hAnsi="新宋体" w:cs="新宋体" w:hint="eastAsia"/>
        </w:rPr>
        <w:t>一、职能简介</w:t>
      </w:r>
      <w:bookmarkEnd w:id="16"/>
    </w:p>
    <w:p w:rsidR="000F0EA8" w:rsidRDefault="00885E0F">
      <w:pPr>
        <w:pStyle w:val="a8"/>
        <w:spacing w:before="0" w:beforeAutospacing="0" w:after="0" w:afterAutospacing="0" w:line="560" w:lineRule="exact"/>
        <w:ind w:firstLineChars="200" w:firstLine="640"/>
        <w:rPr>
          <w:rFonts w:ascii="仿宋" w:eastAsia="仿宋" w:hAnsi="仿宋" w:cs="仿宋"/>
          <w:sz w:val="32"/>
          <w:szCs w:val="32"/>
        </w:rPr>
      </w:pPr>
      <w:bookmarkStart w:id="17" w:name="_Toc15377197"/>
      <w:bookmarkStart w:id="18" w:name="_Toc15396600"/>
      <w:r>
        <w:rPr>
          <w:rFonts w:ascii="仿宋" w:eastAsia="仿宋" w:hAnsi="仿宋" w:cs="仿宋" w:hint="eastAsia"/>
          <w:sz w:val="32"/>
          <w:szCs w:val="32"/>
        </w:rPr>
        <w:t>1.</w:t>
      </w:r>
      <w:r>
        <w:rPr>
          <w:rFonts w:ascii="仿宋" w:eastAsia="仿宋" w:hAnsi="仿宋" w:cs="仿宋" w:hint="eastAsia"/>
          <w:sz w:val="32"/>
          <w:szCs w:val="32"/>
        </w:rPr>
        <w:t>负责经开区市场监督管理工作。组织实施质量强区、食品安全、标准化和知识产权战略，拟订并组织实施全区食品、药品安全等规划，规范和维护市场秩序，营造诚实守信、公平竞争的市场环境。</w:t>
      </w:r>
    </w:p>
    <w:p w:rsidR="000F0EA8" w:rsidRDefault="00885E0F">
      <w:pPr>
        <w:pStyle w:val="a8"/>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全区市场主体统一登记注册。负责全区各类企业、农民专业合作社和从事经营活动的单位、个体工商户等市场主体的登记注册和监督管理工作。建立市场主体信息公示和共享机制，依法公示和共享有关信息，加强信用监管，推动市场主体信用体系建设。</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负责组织全区市场监管综合执法工作。规范市场交易执法行为。组织查处各类违反市场监管法律法规的案件。</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负责监督管理全区市场经济秩序。依法监督管理市场交易，网络商品交易及有关服务的行为。组织查处价格收费违法违规、不正当竞争、违法直销、传销、侵犯商标专利知识产权和制售假冒伪劣行为</w:t>
      </w:r>
      <w:r>
        <w:rPr>
          <w:rFonts w:ascii="仿宋" w:eastAsia="仿宋" w:hAnsi="仿宋" w:cs="仿宋" w:hint="eastAsia"/>
          <w:sz w:val="32"/>
          <w:szCs w:val="32"/>
        </w:rPr>
        <w:t>。指导广告业发展，监督管理广告活动。依法查处无照生产经营和相关无证生产经营行为。</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负责全区宏观质量管理。拟订并实施质量发展的制度措施。会同有关单位组织实施重大工程设备质量监理制度，组织重大质量事故调查，贯彻实施缺陷产品召回制度，监督管理产品防伪工作。</w:t>
      </w:r>
    </w:p>
    <w:p w:rsidR="000F0EA8" w:rsidRDefault="000F0EA8">
      <w:pPr>
        <w:pStyle w:val="a8"/>
        <w:spacing w:before="0" w:beforeAutospacing="0" w:after="0" w:afterAutospacing="0" w:line="600" w:lineRule="exact"/>
        <w:ind w:firstLineChars="200" w:firstLine="640"/>
        <w:rPr>
          <w:rFonts w:ascii="仿宋" w:eastAsia="仿宋" w:hAnsi="仿宋" w:cs="仿宋"/>
          <w:sz w:val="32"/>
          <w:szCs w:val="32"/>
        </w:rPr>
        <w:sectPr w:rsidR="000F0EA8">
          <w:footerReference w:type="default" r:id="rId8"/>
          <w:pgSz w:w="11906" w:h="16838"/>
          <w:pgMar w:top="1418" w:right="1418" w:bottom="1134" w:left="1418" w:header="851" w:footer="964" w:gutter="0"/>
          <w:pgNumType w:start="1"/>
          <w:cols w:space="425"/>
          <w:docGrid w:type="lines" w:linePitch="312"/>
        </w:sectPr>
      </w:pP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6.</w:t>
      </w:r>
      <w:r>
        <w:rPr>
          <w:rFonts w:ascii="仿宋" w:eastAsia="仿宋" w:hAnsi="仿宋" w:cs="仿宋" w:hint="eastAsia"/>
          <w:sz w:val="32"/>
          <w:szCs w:val="32"/>
        </w:rPr>
        <w:t>负责全区产品质量安全监督管理。负责产品质量监督抽检和安全风险监控工作，组织实施质量分级制度、质量安全追溯制度。负责纤维质量监督</w:t>
      </w:r>
      <w:r>
        <w:rPr>
          <w:rFonts w:ascii="仿宋" w:eastAsia="仿宋" w:hAnsi="仿宋" w:cs="仿宋" w:hint="eastAsia"/>
          <w:sz w:val="32"/>
          <w:szCs w:val="32"/>
        </w:rPr>
        <w:t>工作。</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负责全区特种设备安全监督管理。综合管理特种设备安全监察、监督工作，监督检查高耗能特种设备节能标准和锅炉产品环境保护标准的执行情况。</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负责全区食品安全监督管理综合协调。统筹指导全区食品安全工作。负责食品安全应急体系建设，组织指导重大食品安全事件应急处置和调查处理工作。建立健全食品安全重要信息直报制度。承担区食品安全委员会日常工作。</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负责全区食品安全监督管理。建立覆盖食品生产、流通、消费全过程的监督检查制度和隐患排查治理机制并组织实施，防范区域性、系统性食品安全风险。负责食品经营许可。推动建</w:t>
      </w:r>
      <w:r>
        <w:rPr>
          <w:rFonts w:ascii="仿宋" w:eastAsia="仿宋" w:hAnsi="仿宋" w:cs="仿宋" w:hint="eastAsia"/>
          <w:sz w:val="32"/>
          <w:szCs w:val="32"/>
        </w:rPr>
        <w:t>立食品生产经营者落实主体责任的机制，健全食品安全追溯体系。指导督促食品生产经营企业的安全生产工作，组织开展食品安全监督抽检、风险监测、核查处置和风险预警、风险交流工作。</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负责统一管理全区计量工作。推行法定计量单位，执行国家计量制度，管理计量器具及量值传递和比对工作。规范、监督商品量和市场计量行为。</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协助市局统一管理全区标准化工作。依法承担本级地方性标准的立项、编号发布工作。依法对标准制定和实施情况开展监督。</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12.</w:t>
      </w:r>
      <w:r>
        <w:rPr>
          <w:rFonts w:ascii="仿宋" w:eastAsia="仿宋" w:hAnsi="仿宋" w:cs="仿宋" w:hint="eastAsia"/>
          <w:sz w:val="32"/>
          <w:szCs w:val="32"/>
        </w:rPr>
        <w:t>协助市局统一管理全区检验检测工作。规范检验检测市场，完善检验检测体系，指导协调检验检测行业发展。</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协助市局统一管理全区认证认可工作。监督管理认证认可和合格评定工作。</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协助市局开展全区市场监督管理科技和信息化建设、新闻宣传。</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贯彻执行国家有关药品、医疗器械和化妆品监督管理的方针政策和法律法规。</w:t>
      </w:r>
    </w:p>
    <w:p w:rsidR="000F0EA8" w:rsidRDefault="00885E0F">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依职责监督和指导实施药品、医疗器械经营、使用质量管理规范，监督实施标准和技术规范。负责全区药品、医疗器械和化妆品上市后风险管理。组织开展药品不良反应、医疗器械不良事件和化妆品不良反应的监测</w:t>
      </w:r>
      <w:r>
        <w:rPr>
          <w:rFonts w:ascii="仿宋" w:eastAsia="仿宋" w:hAnsi="仿宋" w:cs="仿宋" w:hint="eastAsia"/>
          <w:sz w:val="32"/>
          <w:szCs w:val="32"/>
        </w:rPr>
        <w:t>工作。依法承担药品、医疗器械和化妆品安全应急管理和投诉举报处置工作。</w:t>
      </w:r>
    </w:p>
    <w:p w:rsidR="000F0EA8" w:rsidRDefault="00885E0F">
      <w:pPr>
        <w:pStyle w:val="2"/>
        <w:ind w:firstLineChars="200" w:firstLine="643"/>
        <w:rPr>
          <w:rFonts w:ascii="新宋体" w:eastAsia="新宋体" w:hAnsi="新宋体" w:cs="新宋体"/>
        </w:rPr>
      </w:pPr>
      <w:bookmarkStart w:id="19" w:name="_Toc25721"/>
      <w:r>
        <w:rPr>
          <w:rFonts w:ascii="新宋体" w:eastAsia="新宋体" w:hAnsi="新宋体" w:cs="新宋体" w:hint="eastAsia"/>
        </w:rPr>
        <w:t>二、重点工作完成情况</w:t>
      </w:r>
      <w:bookmarkEnd w:id="19"/>
    </w:p>
    <w:bookmarkEnd w:id="17"/>
    <w:bookmarkEnd w:id="18"/>
    <w:p w:rsidR="000F0EA8" w:rsidRDefault="00885E0F" w:rsidP="000F0EA8">
      <w:pPr>
        <w:ind w:firstLineChars="200" w:firstLine="640"/>
        <w:rPr>
          <w:rFonts w:ascii="楷体" w:eastAsia="楷体" w:hAnsi="楷体"/>
          <w:b/>
          <w:sz w:val="32"/>
          <w:szCs w:val="32"/>
        </w:rPr>
      </w:pPr>
      <w:r>
        <w:rPr>
          <w:rFonts w:ascii="楷体" w:eastAsia="楷体" w:hAnsi="楷体" w:hint="eastAsia"/>
          <w:b/>
          <w:sz w:val="32"/>
          <w:szCs w:val="32"/>
        </w:rPr>
        <w:t>（一）严守安全底线，强化重点领域市场监管</w:t>
      </w:r>
    </w:p>
    <w:p w:rsidR="000F0EA8" w:rsidRDefault="00885E0F">
      <w:pPr>
        <w:pStyle w:val="a0"/>
        <w:spacing w:before="93"/>
        <w:ind w:firstLineChars="200" w:firstLine="640"/>
        <w:rPr>
          <w:rFonts w:ascii="仿宋" w:eastAsia="仿宋" w:hAnsi="仿宋" w:cs="仿宋"/>
          <w:sz w:val="32"/>
          <w:szCs w:val="32"/>
        </w:rPr>
      </w:pPr>
      <w:r>
        <w:rPr>
          <w:rFonts w:ascii="仿宋" w:eastAsia="仿宋" w:hAnsi="仿宋" w:cs="仿宋" w:hint="eastAsia"/>
          <w:sz w:val="32"/>
          <w:szCs w:val="32"/>
        </w:rPr>
        <w:t>加强冷</w:t>
      </w:r>
      <w:proofErr w:type="gramStart"/>
      <w:r>
        <w:rPr>
          <w:rFonts w:ascii="仿宋" w:eastAsia="仿宋" w:hAnsi="仿宋" w:cs="仿宋" w:hint="eastAsia"/>
          <w:sz w:val="32"/>
          <w:szCs w:val="32"/>
        </w:rPr>
        <w:t>链食品</w:t>
      </w:r>
      <w:proofErr w:type="gramEnd"/>
      <w:r>
        <w:rPr>
          <w:rFonts w:ascii="仿宋" w:eastAsia="仿宋" w:hAnsi="仿宋" w:cs="仿宋" w:hint="eastAsia"/>
          <w:sz w:val="32"/>
          <w:szCs w:val="32"/>
        </w:rPr>
        <w:t>监管。一是全面落实冷库“三方库长制”，设置重点场所视频在线监管系统，坚持周排查和日巡查结合方式，对辖区</w:t>
      </w:r>
      <w:r>
        <w:rPr>
          <w:rFonts w:ascii="仿宋" w:eastAsia="仿宋" w:hAnsi="仿宋" w:cs="仿宋" w:hint="eastAsia"/>
          <w:sz w:val="32"/>
          <w:szCs w:val="32"/>
        </w:rPr>
        <w:t>2</w:t>
      </w:r>
      <w:r>
        <w:rPr>
          <w:rFonts w:ascii="仿宋" w:eastAsia="仿宋" w:hAnsi="仿宋" w:cs="仿宋" w:hint="eastAsia"/>
          <w:sz w:val="32"/>
          <w:szCs w:val="32"/>
        </w:rPr>
        <w:t>个第三方冻库、</w:t>
      </w:r>
      <w:r>
        <w:rPr>
          <w:rFonts w:ascii="仿宋" w:eastAsia="仿宋" w:hAnsi="仿宋" w:cs="仿宋" w:hint="eastAsia"/>
          <w:sz w:val="32"/>
          <w:szCs w:val="32"/>
        </w:rPr>
        <w:t>26</w:t>
      </w:r>
      <w:r>
        <w:rPr>
          <w:rFonts w:ascii="仿宋" w:eastAsia="仿宋" w:hAnsi="仿宋" w:cs="仿宋" w:hint="eastAsia"/>
          <w:sz w:val="32"/>
          <w:szCs w:val="32"/>
        </w:rPr>
        <w:t>个自建冻库、</w:t>
      </w:r>
      <w:r>
        <w:rPr>
          <w:rFonts w:ascii="仿宋" w:eastAsia="仿宋" w:hAnsi="仿宋" w:cs="仿宋" w:hint="eastAsia"/>
          <w:sz w:val="32"/>
          <w:szCs w:val="32"/>
        </w:rPr>
        <w:t>32</w:t>
      </w:r>
      <w:r>
        <w:rPr>
          <w:rFonts w:ascii="仿宋" w:eastAsia="仿宋" w:hAnsi="仿宋" w:cs="仿宋" w:hint="eastAsia"/>
          <w:sz w:val="32"/>
          <w:szCs w:val="32"/>
        </w:rPr>
        <w:t>个冷</w:t>
      </w:r>
      <w:proofErr w:type="gramStart"/>
      <w:r>
        <w:rPr>
          <w:rFonts w:ascii="仿宋" w:eastAsia="仿宋" w:hAnsi="仿宋" w:cs="仿宋" w:hint="eastAsia"/>
          <w:sz w:val="32"/>
          <w:szCs w:val="32"/>
        </w:rPr>
        <w:t>链食品</w:t>
      </w:r>
      <w:proofErr w:type="gramEnd"/>
      <w:r>
        <w:rPr>
          <w:rFonts w:ascii="仿宋" w:eastAsia="仿宋" w:hAnsi="仿宋" w:cs="仿宋" w:hint="eastAsia"/>
          <w:sz w:val="32"/>
          <w:szCs w:val="32"/>
        </w:rPr>
        <w:t>经营户及</w:t>
      </w:r>
      <w:r>
        <w:rPr>
          <w:rFonts w:ascii="仿宋" w:eastAsia="仿宋" w:hAnsi="仿宋" w:cs="仿宋" w:hint="eastAsia"/>
          <w:sz w:val="32"/>
          <w:szCs w:val="32"/>
        </w:rPr>
        <w:t>80</w:t>
      </w:r>
      <w:r>
        <w:rPr>
          <w:rFonts w:ascii="仿宋" w:eastAsia="仿宋" w:hAnsi="仿宋" w:cs="仿宋" w:hint="eastAsia"/>
          <w:sz w:val="32"/>
          <w:szCs w:val="32"/>
        </w:rPr>
        <w:t>个水果批发户进行日常监督管理，杜绝进口冷</w:t>
      </w:r>
      <w:proofErr w:type="gramStart"/>
      <w:r>
        <w:rPr>
          <w:rFonts w:ascii="仿宋" w:eastAsia="仿宋" w:hAnsi="仿宋" w:cs="仿宋" w:hint="eastAsia"/>
          <w:sz w:val="32"/>
          <w:szCs w:val="32"/>
        </w:rPr>
        <w:t>链食品</w:t>
      </w:r>
      <w:proofErr w:type="gramEnd"/>
      <w:r>
        <w:rPr>
          <w:rFonts w:ascii="仿宋" w:eastAsia="仿宋" w:hAnsi="仿宋" w:cs="仿宋" w:hint="eastAsia"/>
          <w:sz w:val="32"/>
          <w:szCs w:val="32"/>
        </w:rPr>
        <w:t>和进口水果进入经开区。二是按照“非必要不进口，进口必报批”的原则，引导经营</w:t>
      </w:r>
      <w:proofErr w:type="gramStart"/>
      <w:r>
        <w:rPr>
          <w:rFonts w:ascii="仿宋" w:eastAsia="仿宋" w:hAnsi="仿宋" w:cs="仿宋" w:hint="eastAsia"/>
          <w:sz w:val="32"/>
          <w:szCs w:val="32"/>
        </w:rPr>
        <w:t>户严格</w:t>
      </w:r>
      <w:proofErr w:type="gramEnd"/>
      <w:r>
        <w:rPr>
          <w:rFonts w:ascii="仿宋" w:eastAsia="仿宋" w:hAnsi="仿宋" w:cs="仿宋" w:hint="eastAsia"/>
          <w:sz w:val="32"/>
          <w:szCs w:val="32"/>
        </w:rPr>
        <w:t>落实</w:t>
      </w:r>
      <w:r>
        <w:rPr>
          <w:rFonts w:ascii="仿宋" w:eastAsia="仿宋" w:hAnsi="仿宋" w:cs="仿宋" w:hint="eastAsia"/>
          <w:sz w:val="32"/>
          <w:szCs w:val="32"/>
        </w:rPr>
        <w:t>43</w:t>
      </w:r>
      <w:r>
        <w:rPr>
          <w:rFonts w:ascii="仿宋" w:eastAsia="仿宋" w:hAnsi="仿宋" w:cs="仿宋" w:hint="eastAsia"/>
          <w:sz w:val="32"/>
          <w:szCs w:val="32"/>
        </w:rPr>
        <w:t>号公告要求。对高金公司进口的</w:t>
      </w:r>
      <w:r>
        <w:rPr>
          <w:rFonts w:ascii="仿宋" w:eastAsia="仿宋" w:hAnsi="仿宋" w:cs="仿宋" w:hint="eastAsia"/>
          <w:sz w:val="32"/>
          <w:szCs w:val="32"/>
        </w:rPr>
        <w:t>58</w:t>
      </w:r>
      <w:r>
        <w:rPr>
          <w:rFonts w:ascii="仿宋" w:eastAsia="仿宋" w:hAnsi="仿宋" w:cs="仿宋" w:hint="eastAsia"/>
          <w:sz w:val="32"/>
          <w:szCs w:val="32"/>
        </w:rPr>
        <w:t>批次</w:t>
      </w:r>
      <w:r>
        <w:rPr>
          <w:rFonts w:ascii="仿宋" w:eastAsia="仿宋" w:hAnsi="仿宋" w:cs="仿宋" w:hint="eastAsia"/>
          <w:sz w:val="32"/>
          <w:szCs w:val="32"/>
        </w:rPr>
        <w:t>520</w:t>
      </w:r>
      <w:r>
        <w:rPr>
          <w:rFonts w:ascii="仿宋" w:eastAsia="仿宋" w:hAnsi="仿宋" w:cs="仿宋" w:hint="eastAsia"/>
          <w:sz w:val="32"/>
          <w:szCs w:val="32"/>
        </w:rPr>
        <w:t>吨猪肉严格执行进口冷</w:t>
      </w:r>
      <w:proofErr w:type="gramStart"/>
      <w:r>
        <w:rPr>
          <w:rFonts w:ascii="仿宋" w:eastAsia="仿宋" w:hAnsi="仿宋" w:cs="仿宋" w:hint="eastAsia"/>
          <w:sz w:val="32"/>
          <w:szCs w:val="32"/>
        </w:rPr>
        <w:t>链食品</w:t>
      </w:r>
      <w:proofErr w:type="gramEnd"/>
      <w:r>
        <w:rPr>
          <w:rFonts w:ascii="仿宋" w:eastAsia="仿宋" w:hAnsi="仿宋" w:cs="仿宋" w:hint="eastAsia"/>
          <w:sz w:val="32"/>
          <w:szCs w:val="32"/>
        </w:rPr>
        <w:t>监管的各项要求。据不完全统计，</w:t>
      </w:r>
      <w:r>
        <w:rPr>
          <w:rFonts w:ascii="仿宋" w:eastAsia="仿宋" w:hAnsi="仿宋" w:cs="仿宋" w:hint="eastAsia"/>
          <w:sz w:val="32"/>
          <w:szCs w:val="32"/>
        </w:rPr>
        <w:lastRenderedPageBreak/>
        <w:t>截至</w:t>
      </w:r>
      <w:r>
        <w:rPr>
          <w:rFonts w:ascii="仿宋" w:eastAsia="仿宋" w:hAnsi="仿宋" w:cs="仿宋" w:hint="eastAsia"/>
          <w:sz w:val="32"/>
          <w:szCs w:val="32"/>
        </w:rPr>
        <w:t>11</w:t>
      </w:r>
      <w:r>
        <w:rPr>
          <w:rFonts w:ascii="仿宋" w:eastAsia="仿宋" w:hAnsi="仿宋" w:cs="仿宋" w:hint="eastAsia"/>
          <w:sz w:val="32"/>
          <w:szCs w:val="32"/>
        </w:rPr>
        <w:t>月底，共出动执法人员</w:t>
      </w:r>
      <w:r>
        <w:rPr>
          <w:rFonts w:ascii="仿宋" w:eastAsia="仿宋" w:hAnsi="仿宋" w:cs="仿宋" w:hint="eastAsia"/>
          <w:sz w:val="32"/>
          <w:szCs w:val="32"/>
        </w:rPr>
        <w:t>1330</w:t>
      </w:r>
      <w:r>
        <w:rPr>
          <w:rFonts w:ascii="仿宋" w:eastAsia="仿宋" w:hAnsi="仿宋" w:cs="仿宋" w:hint="eastAsia"/>
          <w:sz w:val="32"/>
          <w:szCs w:val="32"/>
        </w:rPr>
        <w:t>人次，执法车辆</w:t>
      </w:r>
      <w:r>
        <w:rPr>
          <w:rFonts w:ascii="仿宋" w:eastAsia="仿宋" w:hAnsi="仿宋" w:cs="仿宋" w:hint="eastAsia"/>
          <w:sz w:val="32"/>
          <w:szCs w:val="32"/>
        </w:rPr>
        <w:t>670</w:t>
      </w:r>
      <w:r>
        <w:rPr>
          <w:rFonts w:ascii="仿宋" w:eastAsia="仿宋" w:hAnsi="仿宋" w:cs="仿宋" w:hint="eastAsia"/>
          <w:sz w:val="32"/>
          <w:szCs w:val="32"/>
        </w:rPr>
        <w:t>台次，检查各类经营户</w:t>
      </w:r>
      <w:r>
        <w:rPr>
          <w:rFonts w:ascii="仿宋" w:eastAsia="仿宋" w:hAnsi="仿宋" w:cs="仿宋" w:hint="eastAsia"/>
          <w:sz w:val="32"/>
          <w:szCs w:val="32"/>
        </w:rPr>
        <w:t>1882</w:t>
      </w:r>
      <w:r>
        <w:rPr>
          <w:rFonts w:ascii="仿宋" w:eastAsia="仿宋" w:hAnsi="仿宋" w:cs="仿宋" w:hint="eastAsia"/>
          <w:sz w:val="32"/>
          <w:szCs w:val="32"/>
        </w:rPr>
        <w:t>户次（其中冷</w:t>
      </w:r>
      <w:proofErr w:type="gramStart"/>
      <w:r>
        <w:rPr>
          <w:rFonts w:ascii="仿宋" w:eastAsia="仿宋" w:hAnsi="仿宋" w:cs="仿宋" w:hint="eastAsia"/>
          <w:sz w:val="32"/>
          <w:szCs w:val="32"/>
        </w:rPr>
        <w:t>链食品</w:t>
      </w:r>
      <w:proofErr w:type="gramEnd"/>
      <w:r>
        <w:rPr>
          <w:rFonts w:ascii="仿宋" w:eastAsia="仿宋" w:hAnsi="仿宋" w:cs="仿宋" w:hint="eastAsia"/>
          <w:sz w:val="32"/>
          <w:szCs w:val="32"/>
        </w:rPr>
        <w:t>经营户</w:t>
      </w:r>
      <w:r>
        <w:rPr>
          <w:rFonts w:ascii="仿宋" w:eastAsia="仿宋" w:hAnsi="仿宋" w:cs="仿宋" w:hint="eastAsia"/>
          <w:sz w:val="32"/>
          <w:szCs w:val="32"/>
        </w:rPr>
        <w:t>638</w:t>
      </w:r>
      <w:r>
        <w:rPr>
          <w:rFonts w:ascii="仿宋" w:eastAsia="仿宋" w:hAnsi="仿宋" w:cs="仿宋" w:hint="eastAsia"/>
          <w:sz w:val="32"/>
          <w:szCs w:val="32"/>
        </w:rPr>
        <w:t>户次），冷库</w:t>
      </w:r>
      <w:r>
        <w:rPr>
          <w:rFonts w:ascii="仿宋" w:eastAsia="仿宋" w:hAnsi="仿宋" w:cs="仿宋" w:hint="eastAsia"/>
          <w:sz w:val="32"/>
          <w:szCs w:val="32"/>
        </w:rPr>
        <w:t>260</w:t>
      </w:r>
      <w:r>
        <w:rPr>
          <w:rFonts w:ascii="仿宋" w:eastAsia="仿宋" w:hAnsi="仿宋" w:cs="仿宋" w:hint="eastAsia"/>
          <w:sz w:val="32"/>
          <w:szCs w:val="32"/>
        </w:rPr>
        <w:t>个次，发放各类疫情防控宣传资料</w:t>
      </w:r>
      <w:r>
        <w:rPr>
          <w:rFonts w:ascii="仿宋" w:eastAsia="仿宋" w:hAnsi="仿宋" w:cs="仿宋" w:hint="eastAsia"/>
          <w:sz w:val="32"/>
          <w:szCs w:val="32"/>
        </w:rPr>
        <w:t>3000</w:t>
      </w:r>
      <w:r>
        <w:rPr>
          <w:rFonts w:ascii="仿宋" w:eastAsia="仿宋" w:hAnsi="仿宋" w:cs="仿宋" w:hint="eastAsia"/>
          <w:sz w:val="32"/>
          <w:szCs w:val="32"/>
        </w:rPr>
        <w:t>余份，排查并督促整改风险隐患</w:t>
      </w:r>
      <w:r>
        <w:rPr>
          <w:rFonts w:ascii="仿宋" w:eastAsia="仿宋" w:hAnsi="仿宋" w:cs="仿宋" w:hint="eastAsia"/>
          <w:sz w:val="32"/>
          <w:szCs w:val="32"/>
        </w:rPr>
        <w:t>56</w:t>
      </w:r>
      <w:r>
        <w:rPr>
          <w:rFonts w:ascii="仿宋" w:eastAsia="仿宋" w:hAnsi="仿宋" w:cs="仿宋" w:hint="eastAsia"/>
          <w:sz w:val="32"/>
          <w:szCs w:val="32"/>
        </w:rPr>
        <w:t>个。</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加强食品安全监管。一是做好宣传培训工作。</w:t>
      </w:r>
      <w:r>
        <w:rPr>
          <w:rFonts w:ascii="仿宋" w:eastAsia="仿宋" w:hAnsi="仿宋" w:cs="仿宋" w:hint="eastAsia"/>
          <w:kern w:val="0"/>
          <w:sz w:val="32"/>
          <w:szCs w:val="32"/>
        </w:rPr>
        <w:t>2021</w:t>
      </w:r>
      <w:r>
        <w:rPr>
          <w:rFonts w:ascii="仿宋" w:eastAsia="仿宋" w:hAnsi="仿宋" w:cs="仿宋" w:hint="eastAsia"/>
          <w:kern w:val="0"/>
          <w:sz w:val="32"/>
          <w:szCs w:val="32"/>
        </w:rPr>
        <w:t>年共组织食品安全、保健食品等宣传</w:t>
      </w:r>
      <w:r>
        <w:rPr>
          <w:rFonts w:ascii="仿宋" w:eastAsia="仿宋" w:hAnsi="仿宋" w:cs="仿宋" w:hint="eastAsia"/>
          <w:kern w:val="0"/>
          <w:sz w:val="32"/>
          <w:szCs w:val="32"/>
        </w:rPr>
        <w:t>3</w:t>
      </w:r>
      <w:r>
        <w:rPr>
          <w:rFonts w:ascii="仿宋" w:eastAsia="仿宋" w:hAnsi="仿宋" w:cs="仿宋" w:hint="eastAsia"/>
          <w:kern w:val="0"/>
          <w:sz w:val="32"/>
          <w:szCs w:val="32"/>
        </w:rPr>
        <w:t>次，通过</w:t>
      </w:r>
      <w:r>
        <w:rPr>
          <w:rFonts w:ascii="仿宋" w:eastAsia="仿宋" w:hAnsi="仿宋" w:cs="仿宋" w:hint="eastAsia"/>
          <w:kern w:val="0"/>
          <w:sz w:val="32"/>
          <w:szCs w:val="32"/>
        </w:rPr>
        <w:t>LED</w:t>
      </w:r>
      <w:r>
        <w:rPr>
          <w:rFonts w:ascii="仿宋" w:eastAsia="仿宋" w:hAnsi="仿宋" w:cs="仿宋" w:hint="eastAsia"/>
          <w:kern w:val="0"/>
          <w:sz w:val="32"/>
          <w:szCs w:val="32"/>
        </w:rPr>
        <w:t>显示屏、横幅、展板等形式宣传食品安全科普知识、法律法规</w:t>
      </w:r>
      <w:r>
        <w:rPr>
          <w:rFonts w:ascii="仿宋" w:eastAsia="仿宋" w:hAnsi="仿宋" w:cs="仿宋" w:hint="eastAsia"/>
          <w:kern w:val="0"/>
          <w:sz w:val="32"/>
          <w:szCs w:val="32"/>
        </w:rPr>
        <w:t>400</w:t>
      </w:r>
      <w:r>
        <w:rPr>
          <w:rFonts w:ascii="仿宋" w:eastAsia="仿宋" w:hAnsi="仿宋" w:cs="仿宋" w:hint="eastAsia"/>
          <w:kern w:val="0"/>
          <w:sz w:val="32"/>
          <w:szCs w:val="32"/>
        </w:rPr>
        <w:t>多条（幅），发放宣传单</w:t>
      </w:r>
      <w:r>
        <w:rPr>
          <w:rFonts w:ascii="仿宋" w:eastAsia="仿宋" w:hAnsi="仿宋" w:cs="仿宋" w:hint="eastAsia"/>
          <w:kern w:val="0"/>
          <w:sz w:val="32"/>
          <w:szCs w:val="32"/>
        </w:rPr>
        <w:t>2000</w:t>
      </w:r>
      <w:r>
        <w:rPr>
          <w:rFonts w:ascii="仿宋" w:eastAsia="仿宋" w:hAnsi="仿宋" w:cs="仿宋" w:hint="eastAsia"/>
          <w:kern w:val="0"/>
          <w:sz w:val="32"/>
          <w:szCs w:val="32"/>
        </w:rPr>
        <w:t>余份。开展食品安全培训</w:t>
      </w:r>
      <w:r>
        <w:rPr>
          <w:rFonts w:ascii="仿宋" w:eastAsia="仿宋" w:hAnsi="仿宋" w:cs="仿宋" w:hint="eastAsia"/>
          <w:kern w:val="0"/>
          <w:sz w:val="32"/>
          <w:szCs w:val="32"/>
        </w:rPr>
        <w:t>1</w:t>
      </w:r>
      <w:r>
        <w:rPr>
          <w:rFonts w:ascii="仿宋" w:eastAsia="仿宋" w:hAnsi="仿宋" w:cs="仿宋" w:hint="eastAsia"/>
          <w:kern w:val="0"/>
          <w:sz w:val="32"/>
          <w:szCs w:val="32"/>
        </w:rPr>
        <w:t>次，辖区内</w:t>
      </w:r>
      <w:r>
        <w:rPr>
          <w:rFonts w:ascii="仿宋" w:eastAsia="仿宋" w:hAnsi="仿宋" w:cs="仿宋" w:hint="eastAsia"/>
          <w:kern w:val="0"/>
          <w:sz w:val="32"/>
          <w:szCs w:val="32"/>
        </w:rPr>
        <w:t>130</w:t>
      </w:r>
      <w:r>
        <w:rPr>
          <w:rFonts w:ascii="仿宋" w:eastAsia="仿宋" w:hAnsi="仿宋" w:cs="仿宋" w:hint="eastAsia"/>
          <w:kern w:val="0"/>
          <w:sz w:val="32"/>
          <w:szCs w:val="32"/>
        </w:rPr>
        <w:t>余名食品生产经营单位的食品安全管理人员和从业人员参加了培训。二是做好学校食品安全保障工作。对辖区中小学幼儿园开展开学食堂食品安全和校园周边食品专项检查，共检查</w:t>
      </w:r>
      <w:r>
        <w:rPr>
          <w:rFonts w:ascii="仿宋" w:eastAsia="仿宋" w:hAnsi="仿宋" w:cs="仿宋" w:hint="eastAsia"/>
          <w:kern w:val="0"/>
          <w:sz w:val="32"/>
          <w:szCs w:val="32"/>
        </w:rPr>
        <w:t>18</w:t>
      </w:r>
      <w:r>
        <w:rPr>
          <w:rFonts w:ascii="仿宋" w:eastAsia="仿宋" w:hAnsi="仿宋" w:cs="仿宋" w:hint="eastAsia"/>
          <w:kern w:val="0"/>
          <w:sz w:val="32"/>
          <w:szCs w:val="32"/>
        </w:rPr>
        <w:t>所学校幼儿园</w:t>
      </w:r>
      <w:r>
        <w:rPr>
          <w:rFonts w:ascii="仿宋" w:eastAsia="仿宋" w:hAnsi="仿宋" w:cs="仿宋" w:hint="eastAsia"/>
          <w:kern w:val="0"/>
          <w:sz w:val="32"/>
          <w:szCs w:val="32"/>
        </w:rPr>
        <w:t>19</w:t>
      </w:r>
      <w:r>
        <w:rPr>
          <w:rFonts w:ascii="仿宋" w:eastAsia="仿宋" w:hAnsi="仿宋" w:cs="仿宋" w:hint="eastAsia"/>
          <w:kern w:val="0"/>
          <w:sz w:val="32"/>
          <w:szCs w:val="32"/>
        </w:rPr>
        <w:t>个食堂，</w:t>
      </w:r>
      <w:r>
        <w:rPr>
          <w:rFonts w:ascii="仿宋" w:eastAsia="仿宋" w:hAnsi="仿宋" w:cs="仿宋" w:hint="eastAsia"/>
          <w:kern w:val="0"/>
          <w:sz w:val="32"/>
          <w:szCs w:val="32"/>
        </w:rPr>
        <w:t>学校幼儿</w:t>
      </w:r>
      <w:proofErr w:type="gramStart"/>
      <w:r>
        <w:rPr>
          <w:rFonts w:ascii="仿宋" w:eastAsia="仿宋" w:hAnsi="仿宋" w:cs="仿宋" w:hint="eastAsia"/>
          <w:kern w:val="0"/>
          <w:sz w:val="32"/>
          <w:szCs w:val="32"/>
        </w:rPr>
        <w:t>园周边食品</w:t>
      </w:r>
      <w:proofErr w:type="gramEnd"/>
      <w:r>
        <w:rPr>
          <w:rFonts w:ascii="仿宋" w:eastAsia="仿宋" w:hAnsi="仿宋" w:cs="仿宋" w:hint="eastAsia"/>
          <w:kern w:val="0"/>
          <w:sz w:val="32"/>
          <w:szCs w:val="32"/>
        </w:rPr>
        <w:t>经营户</w:t>
      </w:r>
      <w:r>
        <w:rPr>
          <w:rFonts w:ascii="仿宋" w:eastAsia="仿宋" w:hAnsi="仿宋" w:cs="仿宋" w:hint="eastAsia"/>
          <w:kern w:val="0"/>
          <w:sz w:val="32"/>
          <w:szCs w:val="32"/>
        </w:rPr>
        <w:t>45</w:t>
      </w:r>
      <w:r>
        <w:rPr>
          <w:rFonts w:ascii="仿宋" w:eastAsia="仿宋" w:hAnsi="仿宋" w:cs="仿宋" w:hint="eastAsia"/>
          <w:kern w:val="0"/>
          <w:sz w:val="32"/>
          <w:szCs w:val="32"/>
        </w:rPr>
        <w:t>户。下发监督意见书</w:t>
      </w:r>
      <w:r>
        <w:rPr>
          <w:rFonts w:ascii="仿宋" w:eastAsia="仿宋" w:hAnsi="仿宋" w:cs="仿宋" w:hint="eastAsia"/>
          <w:kern w:val="0"/>
          <w:sz w:val="32"/>
          <w:szCs w:val="32"/>
        </w:rPr>
        <w:t>17</w:t>
      </w:r>
      <w:r>
        <w:rPr>
          <w:rFonts w:ascii="仿宋" w:eastAsia="仿宋" w:hAnsi="仿宋" w:cs="仿宋" w:hint="eastAsia"/>
          <w:kern w:val="0"/>
          <w:sz w:val="32"/>
          <w:szCs w:val="32"/>
        </w:rPr>
        <w:t>份，收回整改报告</w:t>
      </w:r>
      <w:r>
        <w:rPr>
          <w:rFonts w:ascii="仿宋" w:eastAsia="仿宋" w:hAnsi="仿宋" w:cs="仿宋" w:hint="eastAsia"/>
          <w:kern w:val="0"/>
          <w:sz w:val="32"/>
          <w:szCs w:val="32"/>
        </w:rPr>
        <w:t>17</w:t>
      </w:r>
      <w:r>
        <w:rPr>
          <w:rFonts w:ascii="仿宋" w:eastAsia="仿宋" w:hAnsi="仿宋" w:cs="仿宋" w:hint="eastAsia"/>
          <w:kern w:val="0"/>
          <w:sz w:val="32"/>
          <w:szCs w:val="32"/>
        </w:rPr>
        <w:t>份。三是开展食品生产企业、小作坊安全生产专项检查和辖区企业安全隐患大排查工作。结合“两项行动”和“百日攻坚”行动，共计检查食品生产企业</w:t>
      </w:r>
      <w:r>
        <w:rPr>
          <w:rFonts w:ascii="仿宋" w:eastAsia="仿宋" w:hAnsi="仿宋" w:cs="仿宋" w:hint="eastAsia"/>
          <w:kern w:val="0"/>
          <w:sz w:val="32"/>
          <w:szCs w:val="32"/>
        </w:rPr>
        <w:t>23</w:t>
      </w:r>
      <w:r>
        <w:rPr>
          <w:rFonts w:ascii="仿宋" w:eastAsia="仿宋" w:hAnsi="仿宋" w:cs="仿宋" w:hint="eastAsia"/>
          <w:kern w:val="0"/>
          <w:sz w:val="32"/>
          <w:szCs w:val="32"/>
        </w:rPr>
        <w:t>家，食品小作坊</w:t>
      </w:r>
      <w:r>
        <w:rPr>
          <w:rFonts w:ascii="仿宋" w:eastAsia="仿宋" w:hAnsi="仿宋" w:cs="仿宋" w:hint="eastAsia"/>
          <w:kern w:val="0"/>
          <w:sz w:val="32"/>
          <w:szCs w:val="32"/>
        </w:rPr>
        <w:t>32</w:t>
      </w:r>
      <w:r>
        <w:rPr>
          <w:rFonts w:ascii="仿宋" w:eastAsia="仿宋" w:hAnsi="仿宋" w:cs="仿宋" w:hint="eastAsia"/>
          <w:kern w:val="0"/>
          <w:sz w:val="32"/>
          <w:szCs w:val="32"/>
        </w:rPr>
        <w:t>家，药品经营单位</w:t>
      </w:r>
      <w:r>
        <w:rPr>
          <w:rFonts w:ascii="仿宋" w:eastAsia="仿宋" w:hAnsi="仿宋" w:cs="仿宋" w:hint="eastAsia"/>
          <w:kern w:val="0"/>
          <w:sz w:val="32"/>
          <w:szCs w:val="32"/>
        </w:rPr>
        <w:t>21</w:t>
      </w:r>
      <w:r>
        <w:rPr>
          <w:rFonts w:ascii="仿宋" w:eastAsia="仿宋" w:hAnsi="仿宋" w:cs="仿宋" w:hint="eastAsia"/>
          <w:kern w:val="0"/>
          <w:sz w:val="32"/>
          <w:szCs w:val="32"/>
        </w:rPr>
        <w:t>家，发现食品生产企业安全隐患</w:t>
      </w:r>
      <w:r>
        <w:rPr>
          <w:rFonts w:ascii="仿宋" w:eastAsia="仿宋" w:hAnsi="仿宋" w:cs="仿宋" w:hint="eastAsia"/>
          <w:kern w:val="0"/>
          <w:sz w:val="32"/>
          <w:szCs w:val="32"/>
        </w:rPr>
        <w:t>41</w:t>
      </w:r>
      <w:r>
        <w:rPr>
          <w:rFonts w:ascii="仿宋" w:eastAsia="仿宋" w:hAnsi="仿宋" w:cs="仿宋" w:hint="eastAsia"/>
          <w:kern w:val="0"/>
          <w:sz w:val="32"/>
          <w:szCs w:val="32"/>
        </w:rPr>
        <w:t>个，食品小作坊安全隐患</w:t>
      </w:r>
      <w:r>
        <w:rPr>
          <w:rFonts w:ascii="仿宋" w:eastAsia="仿宋" w:hAnsi="仿宋" w:cs="仿宋" w:hint="eastAsia"/>
          <w:kern w:val="0"/>
          <w:sz w:val="32"/>
          <w:szCs w:val="32"/>
        </w:rPr>
        <w:t>57</w:t>
      </w:r>
      <w:r>
        <w:rPr>
          <w:rFonts w:ascii="仿宋" w:eastAsia="仿宋" w:hAnsi="仿宋" w:cs="仿宋" w:hint="eastAsia"/>
          <w:kern w:val="0"/>
          <w:sz w:val="32"/>
          <w:szCs w:val="32"/>
        </w:rPr>
        <w:t>个，药品经营单位安全隐患</w:t>
      </w:r>
      <w:r>
        <w:rPr>
          <w:rFonts w:ascii="仿宋" w:eastAsia="仿宋" w:hAnsi="仿宋" w:cs="仿宋" w:hint="eastAsia"/>
          <w:kern w:val="0"/>
          <w:sz w:val="32"/>
          <w:szCs w:val="32"/>
        </w:rPr>
        <w:t>8</w:t>
      </w:r>
      <w:r>
        <w:rPr>
          <w:rFonts w:ascii="仿宋" w:eastAsia="仿宋" w:hAnsi="仿宋" w:cs="仿宋" w:hint="eastAsia"/>
          <w:kern w:val="0"/>
          <w:sz w:val="32"/>
          <w:szCs w:val="32"/>
        </w:rPr>
        <w:t>个，均已整改完毕。四是开展特殊医学用途配方食品，固体饮料、压片糖果等食品专项整治两次。共检查食品经营户</w:t>
      </w:r>
      <w:r>
        <w:rPr>
          <w:rFonts w:ascii="仿宋" w:eastAsia="仿宋" w:hAnsi="仿宋" w:cs="仿宋" w:hint="eastAsia"/>
          <w:kern w:val="0"/>
          <w:sz w:val="32"/>
          <w:szCs w:val="32"/>
        </w:rPr>
        <w:t>47</w:t>
      </w:r>
      <w:r>
        <w:rPr>
          <w:rFonts w:ascii="仿宋" w:eastAsia="仿宋" w:hAnsi="仿宋" w:cs="仿宋" w:hint="eastAsia"/>
          <w:kern w:val="0"/>
          <w:sz w:val="32"/>
          <w:szCs w:val="32"/>
        </w:rPr>
        <w:t>家，下发监督意见书和</w:t>
      </w:r>
      <w:proofErr w:type="gramStart"/>
      <w:r>
        <w:rPr>
          <w:rFonts w:ascii="仿宋" w:eastAsia="仿宋" w:hAnsi="仿宋" w:cs="仿宋" w:hint="eastAsia"/>
          <w:kern w:val="0"/>
          <w:sz w:val="32"/>
          <w:szCs w:val="32"/>
        </w:rPr>
        <w:t>责改</w:t>
      </w:r>
      <w:proofErr w:type="gramEnd"/>
      <w:r>
        <w:rPr>
          <w:rFonts w:ascii="仿宋" w:eastAsia="仿宋" w:hAnsi="仿宋" w:cs="仿宋" w:hint="eastAsia"/>
          <w:kern w:val="0"/>
          <w:sz w:val="32"/>
          <w:szCs w:val="32"/>
        </w:rPr>
        <w:t>通知书</w:t>
      </w:r>
      <w:r>
        <w:rPr>
          <w:rFonts w:ascii="仿宋" w:eastAsia="仿宋" w:hAnsi="仿宋" w:cs="仿宋" w:hint="eastAsia"/>
          <w:kern w:val="0"/>
          <w:sz w:val="32"/>
          <w:szCs w:val="32"/>
        </w:rPr>
        <w:t>12</w:t>
      </w:r>
      <w:r>
        <w:rPr>
          <w:rFonts w:ascii="仿宋" w:eastAsia="仿宋" w:hAnsi="仿宋" w:cs="仿宋" w:hint="eastAsia"/>
          <w:kern w:val="0"/>
          <w:sz w:val="32"/>
          <w:szCs w:val="32"/>
        </w:rPr>
        <w:t>份。五是严格抽检监测。全年共组织抽检月饼、</w:t>
      </w:r>
      <w:r>
        <w:rPr>
          <w:rFonts w:ascii="仿宋" w:eastAsia="仿宋" w:hAnsi="仿宋" w:cs="仿宋" w:hint="eastAsia"/>
          <w:kern w:val="0"/>
          <w:sz w:val="32"/>
          <w:szCs w:val="32"/>
        </w:rPr>
        <w:t>大米、火锅底料等</w:t>
      </w:r>
      <w:r>
        <w:rPr>
          <w:rFonts w:ascii="仿宋" w:eastAsia="仿宋" w:hAnsi="仿宋" w:cs="仿宋" w:hint="eastAsia"/>
          <w:kern w:val="0"/>
          <w:sz w:val="32"/>
          <w:szCs w:val="32"/>
        </w:rPr>
        <w:t>22</w:t>
      </w:r>
      <w:r>
        <w:rPr>
          <w:rFonts w:ascii="仿宋" w:eastAsia="仿宋" w:hAnsi="仿宋" w:cs="仿宋" w:hint="eastAsia"/>
          <w:kern w:val="0"/>
          <w:sz w:val="32"/>
          <w:szCs w:val="32"/>
        </w:rPr>
        <w:t>个品种</w:t>
      </w:r>
      <w:r>
        <w:rPr>
          <w:rFonts w:ascii="仿宋" w:eastAsia="仿宋" w:hAnsi="仿宋" w:cs="仿宋" w:hint="eastAsia"/>
          <w:kern w:val="0"/>
          <w:sz w:val="32"/>
          <w:szCs w:val="32"/>
        </w:rPr>
        <w:t>150</w:t>
      </w:r>
      <w:r>
        <w:rPr>
          <w:rFonts w:ascii="仿宋" w:eastAsia="仿宋" w:hAnsi="仿宋" w:cs="仿宋" w:hint="eastAsia"/>
          <w:kern w:val="0"/>
          <w:sz w:val="32"/>
          <w:szCs w:val="32"/>
        </w:rPr>
        <w:t>批次，抽检合格率达</w:t>
      </w:r>
      <w:r>
        <w:rPr>
          <w:rFonts w:ascii="仿宋" w:eastAsia="仿宋" w:hAnsi="仿宋" w:cs="仿宋" w:hint="eastAsia"/>
          <w:kern w:val="0"/>
          <w:sz w:val="32"/>
          <w:szCs w:val="32"/>
        </w:rPr>
        <w:t>99%</w:t>
      </w:r>
      <w:r>
        <w:rPr>
          <w:rFonts w:ascii="仿宋" w:eastAsia="仿宋" w:hAnsi="仿宋" w:cs="仿宋" w:hint="eastAsia"/>
          <w:kern w:val="0"/>
          <w:sz w:val="32"/>
          <w:szCs w:val="32"/>
        </w:rPr>
        <w:t>（还有</w:t>
      </w:r>
      <w:r>
        <w:rPr>
          <w:rFonts w:ascii="仿宋" w:eastAsia="仿宋" w:hAnsi="仿宋" w:cs="仿宋" w:hint="eastAsia"/>
          <w:kern w:val="0"/>
          <w:sz w:val="32"/>
          <w:szCs w:val="32"/>
        </w:rPr>
        <w:t>50</w:t>
      </w:r>
      <w:r>
        <w:rPr>
          <w:rFonts w:ascii="仿宋" w:eastAsia="仿宋" w:hAnsi="仿宋" w:cs="仿宋" w:hint="eastAsia"/>
          <w:kern w:val="0"/>
          <w:sz w:val="32"/>
          <w:szCs w:val="32"/>
        </w:rPr>
        <w:t>批次仍在检测中）。</w:t>
      </w:r>
    </w:p>
    <w:p w:rsidR="000F0EA8" w:rsidRDefault="00885E0F">
      <w:pPr>
        <w:ind w:firstLine="640"/>
        <w:rPr>
          <w:rFonts w:ascii="仿宋" w:eastAsia="仿宋" w:hAnsi="仿宋" w:cs="仿宋"/>
          <w:kern w:val="0"/>
          <w:sz w:val="32"/>
          <w:szCs w:val="32"/>
        </w:rPr>
      </w:pPr>
      <w:r>
        <w:rPr>
          <w:rFonts w:ascii="仿宋" w:eastAsia="仿宋" w:hAnsi="仿宋" w:cs="仿宋" w:hint="eastAsia"/>
          <w:kern w:val="0"/>
          <w:sz w:val="32"/>
          <w:szCs w:val="32"/>
        </w:rPr>
        <w:lastRenderedPageBreak/>
        <w:t>强化药械化监管。一是有序开展宣传。组织安全用药知识、</w:t>
      </w:r>
      <w:r>
        <w:rPr>
          <w:rFonts w:ascii="仿宋" w:eastAsia="仿宋" w:hAnsi="仿宋" w:cs="仿宋" w:hint="eastAsia"/>
          <w:kern w:val="0"/>
          <w:sz w:val="32"/>
          <w:szCs w:val="32"/>
        </w:rPr>
        <w:t>5.25</w:t>
      </w:r>
      <w:proofErr w:type="gramStart"/>
      <w:r>
        <w:rPr>
          <w:rFonts w:ascii="仿宋" w:eastAsia="仿宋" w:hAnsi="仿宋" w:cs="仿宋" w:hint="eastAsia"/>
          <w:kern w:val="0"/>
          <w:sz w:val="32"/>
          <w:szCs w:val="32"/>
        </w:rPr>
        <w:t>国际爱肤日</w:t>
      </w:r>
      <w:proofErr w:type="gramEnd"/>
      <w:r>
        <w:rPr>
          <w:rFonts w:ascii="仿宋" w:eastAsia="仿宋" w:hAnsi="仿宋" w:cs="仿宋" w:hint="eastAsia"/>
          <w:kern w:val="0"/>
          <w:sz w:val="32"/>
          <w:szCs w:val="32"/>
        </w:rPr>
        <w:t>等宣传活动。通过</w:t>
      </w:r>
      <w:r>
        <w:rPr>
          <w:rFonts w:ascii="仿宋" w:eastAsia="仿宋" w:hAnsi="仿宋" w:cs="仿宋" w:hint="eastAsia"/>
          <w:kern w:val="0"/>
          <w:sz w:val="32"/>
          <w:szCs w:val="32"/>
        </w:rPr>
        <w:t>LED</w:t>
      </w:r>
      <w:r>
        <w:rPr>
          <w:rFonts w:ascii="仿宋" w:eastAsia="仿宋" w:hAnsi="仿宋" w:cs="仿宋" w:hint="eastAsia"/>
          <w:kern w:val="0"/>
          <w:sz w:val="32"/>
          <w:szCs w:val="32"/>
        </w:rPr>
        <w:t>显示屏、横幅、展板等形式宣传药品安全科普知识、法律法规</w:t>
      </w:r>
      <w:r>
        <w:rPr>
          <w:rFonts w:ascii="仿宋" w:eastAsia="仿宋" w:hAnsi="仿宋" w:cs="仿宋" w:hint="eastAsia"/>
          <w:kern w:val="0"/>
          <w:sz w:val="32"/>
          <w:szCs w:val="32"/>
        </w:rPr>
        <w:t>160</w:t>
      </w:r>
      <w:r>
        <w:rPr>
          <w:rFonts w:ascii="仿宋" w:eastAsia="仿宋" w:hAnsi="仿宋" w:cs="仿宋" w:hint="eastAsia"/>
          <w:kern w:val="0"/>
          <w:sz w:val="32"/>
          <w:szCs w:val="32"/>
        </w:rPr>
        <w:t>多条（幅），发放宣传单</w:t>
      </w:r>
      <w:r>
        <w:rPr>
          <w:rFonts w:ascii="仿宋" w:eastAsia="仿宋" w:hAnsi="仿宋" w:cs="仿宋" w:hint="eastAsia"/>
          <w:kern w:val="0"/>
          <w:sz w:val="32"/>
          <w:szCs w:val="32"/>
        </w:rPr>
        <w:t>500</w:t>
      </w:r>
      <w:r>
        <w:rPr>
          <w:rFonts w:ascii="仿宋" w:eastAsia="仿宋" w:hAnsi="仿宋" w:cs="仿宋" w:hint="eastAsia"/>
          <w:kern w:val="0"/>
          <w:sz w:val="32"/>
          <w:szCs w:val="32"/>
        </w:rPr>
        <w:t>余份。二是开展新冠疫苗、一次性医用口罩、</w:t>
      </w:r>
      <w:proofErr w:type="gramStart"/>
      <w:r>
        <w:rPr>
          <w:rFonts w:ascii="仿宋" w:eastAsia="仿宋" w:hAnsi="仿宋" w:cs="仿宋" w:hint="eastAsia"/>
          <w:kern w:val="0"/>
          <w:sz w:val="32"/>
          <w:szCs w:val="32"/>
        </w:rPr>
        <w:t>医</w:t>
      </w:r>
      <w:proofErr w:type="gramEnd"/>
      <w:r>
        <w:rPr>
          <w:rFonts w:ascii="仿宋" w:eastAsia="仿宋" w:hAnsi="仿宋" w:cs="仿宋" w:hint="eastAsia"/>
          <w:kern w:val="0"/>
          <w:sz w:val="32"/>
          <w:szCs w:val="32"/>
        </w:rPr>
        <w:t>美医疗器械等专项整治。共指导检查相关企业单位</w:t>
      </w:r>
      <w:r>
        <w:rPr>
          <w:rFonts w:ascii="仿宋" w:eastAsia="仿宋" w:hAnsi="仿宋" w:cs="仿宋" w:hint="eastAsia"/>
          <w:kern w:val="0"/>
          <w:sz w:val="32"/>
          <w:szCs w:val="32"/>
        </w:rPr>
        <w:t>75</w:t>
      </w:r>
      <w:r>
        <w:rPr>
          <w:rFonts w:ascii="仿宋" w:eastAsia="仿宋" w:hAnsi="仿宋" w:cs="仿宋" w:hint="eastAsia"/>
          <w:kern w:val="0"/>
          <w:sz w:val="32"/>
          <w:szCs w:val="32"/>
        </w:rPr>
        <w:t>户次，</w:t>
      </w:r>
      <w:proofErr w:type="gramStart"/>
      <w:r>
        <w:rPr>
          <w:rFonts w:ascii="仿宋" w:eastAsia="仿宋" w:hAnsi="仿宋" w:cs="仿宋" w:hint="eastAsia"/>
          <w:kern w:val="0"/>
          <w:sz w:val="32"/>
          <w:szCs w:val="32"/>
        </w:rPr>
        <w:t>下发责改通知书</w:t>
      </w:r>
      <w:proofErr w:type="gramEnd"/>
      <w:r>
        <w:rPr>
          <w:rFonts w:ascii="仿宋" w:eastAsia="仿宋" w:hAnsi="仿宋" w:cs="仿宋" w:hint="eastAsia"/>
          <w:kern w:val="0"/>
          <w:sz w:val="32"/>
          <w:szCs w:val="32"/>
        </w:rPr>
        <w:t>17</w:t>
      </w:r>
      <w:r>
        <w:rPr>
          <w:rFonts w:ascii="仿宋" w:eastAsia="仿宋" w:hAnsi="仿宋" w:cs="仿宋" w:hint="eastAsia"/>
          <w:kern w:val="0"/>
          <w:sz w:val="32"/>
          <w:szCs w:val="32"/>
        </w:rPr>
        <w:t>份；查处医疗器械案件</w:t>
      </w:r>
      <w:r>
        <w:rPr>
          <w:rFonts w:ascii="仿宋" w:eastAsia="仿宋" w:hAnsi="仿宋" w:cs="仿宋" w:hint="eastAsia"/>
          <w:kern w:val="0"/>
          <w:sz w:val="32"/>
          <w:szCs w:val="32"/>
        </w:rPr>
        <w:t>2</w:t>
      </w:r>
      <w:r>
        <w:rPr>
          <w:rFonts w:ascii="仿宋" w:eastAsia="仿宋" w:hAnsi="仿宋" w:cs="仿宋" w:hint="eastAsia"/>
          <w:kern w:val="0"/>
          <w:sz w:val="32"/>
          <w:szCs w:val="32"/>
        </w:rPr>
        <w:t>件，处罚没款</w:t>
      </w:r>
      <w:r>
        <w:rPr>
          <w:rFonts w:ascii="仿宋" w:eastAsia="仿宋" w:hAnsi="仿宋" w:cs="仿宋" w:hint="eastAsia"/>
          <w:kern w:val="0"/>
          <w:sz w:val="32"/>
          <w:szCs w:val="32"/>
        </w:rPr>
        <w:t>0.99</w:t>
      </w:r>
      <w:r>
        <w:rPr>
          <w:rFonts w:ascii="仿宋" w:eastAsia="仿宋" w:hAnsi="仿宋" w:cs="仿宋" w:hint="eastAsia"/>
          <w:kern w:val="0"/>
          <w:sz w:val="32"/>
          <w:szCs w:val="32"/>
        </w:rPr>
        <w:t>万元。三是开展问题药品医疗器械化妆品排查工作。现场封存涉事药品</w:t>
      </w:r>
      <w:r>
        <w:rPr>
          <w:rFonts w:ascii="仿宋" w:eastAsia="仿宋" w:hAnsi="仿宋" w:cs="仿宋" w:hint="eastAsia"/>
          <w:kern w:val="0"/>
          <w:sz w:val="32"/>
          <w:szCs w:val="32"/>
        </w:rPr>
        <w:t>102</w:t>
      </w:r>
      <w:r>
        <w:rPr>
          <w:rFonts w:ascii="仿宋" w:eastAsia="仿宋" w:hAnsi="仿宋" w:cs="仿宋" w:hint="eastAsia"/>
          <w:kern w:val="0"/>
          <w:sz w:val="32"/>
          <w:szCs w:val="32"/>
        </w:rPr>
        <w:t>盒，协助召回涉事药品</w:t>
      </w:r>
      <w:r>
        <w:rPr>
          <w:rFonts w:ascii="仿宋" w:eastAsia="仿宋" w:hAnsi="仿宋" w:cs="仿宋" w:hint="eastAsia"/>
          <w:kern w:val="0"/>
          <w:sz w:val="32"/>
          <w:szCs w:val="32"/>
        </w:rPr>
        <w:t>2</w:t>
      </w:r>
      <w:r>
        <w:rPr>
          <w:rFonts w:ascii="仿宋" w:eastAsia="仿宋" w:hAnsi="仿宋" w:cs="仿宋" w:hint="eastAsia"/>
          <w:kern w:val="0"/>
          <w:sz w:val="32"/>
          <w:szCs w:val="32"/>
        </w:rPr>
        <w:t>55</w:t>
      </w:r>
      <w:r>
        <w:rPr>
          <w:rFonts w:ascii="仿宋" w:eastAsia="仿宋" w:hAnsi="仿宋" w:cs="仿宋" w:hint="eastAsia"/>
          <w:kern w:val="0"/>
          <w:sz w:val="32"/>
          <w:szCs w:val="32"/>
        </w:rPr>
        <w:t>盒，查扣不合格染发剂</w:t>
      </w:r>
      <w:r>
        <w:rPr>
          <w:rFonts w:ascii="仿宋" w:eastAsia="仿宋" w:hAnsi="仿宋" w:cs="仿宋" w:hint="eastAsia"/>
          <w:kern w:val="0"/>
          <w:sz w:val="32"/>
          <w:szCs w:val="32"/>
        </w:rPr>
        <w:t>39</w:t>
      </w:r>
      <w:r>
        <w:rPr>
          <w:rFonts w:ascii="仿宋" w:eastAsia="仿宋" w:hAnsi="仿宋" w:cs="仿宋" w:hint="eastAsia"/>
          <w:kern w:val="0"/>
          <w:sz w:val="32"/>
          <w:szCs w:val="32"/>
        </w:rPr>
        <w:t>瓶。四是认真开展药械化抽检工作。已抽检药品</w:t>
      </w:r>
      <w:r>
        <w:rPr>
          <w:rFonts w:ascii="仿宋" w:eastAsia="仿宋" w:hAnsi="仿宋" w:cs="仿宋" w:hint="eastAsia"/>
          <w:kern w:val="0"/>
          <w:sz w:val="32"/>
          <w:szCs w:val="32"/>
        </w:rPr>
        <w:t>10</w:t>
      </w:r>
      <w:r>
        <w:rPr>
          <w:rFonts w:ascii="仿宋" w:eastAsia="仿宋" w:hAnsi="仿宋" w:cs="仿宋" w:hint="eastAsia"/>
          <w:kern w:val="0"/>
          <w:sz w:val="32"/>
          <w:szCs w:val="32"/>
        </w:rPr>
        <w:t>批次、医疗器械</w:t>
      </w:r>
      <w:r>
        <w:rPr>
          <w:rFonts w:ascii="仿宋" w:eastAsia="仿宋" w:hAnsi="仿宋" w:cs="仿宋" w:hint="eastAsia"/>
          <w:kern w:val="0"/>
          <w:sz w:val="32"/>
          <w:szCs w:val="32"/>
        </w:rPr>
        <w:t>2</w:t>
      </w:r>
      <w:r>
        <w:rPr>
          <w:rFonts w:ascii="仿宋" w:eastAsia="仿宋" w:hAnsi="仿宋" w:cs="仿宋" w:hint="eastAsia"/>
          <w:kern w:val="0"/>
          <w:sz w:val="32"/>
          <w:szCs w:val="32"/>
        </w:rPr>
        <w:t>批次，化妆品</w:t>
      </w:r>
      <w:r>
        <w:rPr>
          <w:rFonts w:ascii="仿宋" w:eastAsia="仿宋" w:hAnsi="仿宋" w:cs="仿宋" w:hint="eastAsia"/>
          <w:kern w:val="0"/>
          <w:sz w:val="32"/>
          <w:szCs w:val="32"/>
        </w:rPr>
        <w:t>14</w:t>
      </w:r>
      <w:r>
        <w:rPr>
          <w:rFonts w:ascii="仿宋" w:eastAsia="仿宋" w:hAnsi="仿宋" w:cs="仿宋" w:hint="eastAsia"/>
          <w:kern w:val="0"/>
          <w:sz w:val="32"/>
          <w:szCs w:val="32"/>
        </w:rPr>
        <w:t>批次，覆盖流通、使用各环节。五是开展药械</w:t>
      </w:r>
      <w:proofErr w:type="gramStart"/>
      <w:r>
        <w:rPr>
          <w:rFonts w:ascii="仿宋" w:eastAsia="仿宋" w:hAnsi="仿宋" w:cs="仿宋" w:hint="eastAsia"/>
          <w:kern w:val="0"/>
          <w:sz w:val="32"/>
          <w:szCs w:val="32"/>
        </w:rPr>
        <w:t>化安全</w:t>
      </w:r>
      <w:proofErr w:type="gramEnd"/>
      <w:r>
        <w:rPr>
          <w:rFonts w:ascii="仿宋" w:eastAsia="仿宋" w:hAnsi="仿宋" w:cs="仿宋" w:hint="eastAsia"/>
          <w:kern w:val="0"/>
          <w:sz w:val="32"/>
          <w:szCs w:val="32"/>
        </w:rPr>
        <w:t>监测工作。截至目前药品不良反应上报</w:t>
      </w:r>
      <w:r>
        <w:rPr>
          <w:rFonts w:ascii="仿宋" w:eastAsia="仿宋" w:hAnsi="仿宋" w:cs="仿宋" w:hint="eastAsia"/>
          <w:kern w:val="0"/>
          <w:sz w:val="32"/>
          <w:szCs w:val="32"/>
        </w:rPr>
        <w:t xml:space="preserve"> 210</w:t>
      </w:r>
      <w:r>
        <w:rPr>
          <w:rFonts w:ascii="仿宋" w:eastAsia="仿宋" w:hAnsi="仿宋" w:cs="仿宋" w:hint="eastAsia"/>
          <w:kern w:val="0"/>
          <w:sz w:val="32"/>
          <w:szCs w:val="32"/>
        </w:rPr>
        <w:t>例，医疗器械不良事件上报</w:t>
      </w:r>
      <w:r>
        <w:rPr>
          <w:rFonts w:ascii="仿宋" w:eastAsia="仿宋" w:hAnsi="仿宋" w:cs="仿宋" w:hint="eastAsia"/>
          <w:kern w:val="0"/>
          <w:sz w:val="32"/>
          <w:szCs w:val="32"/>
        </w:rPr>
        <w:t>72</w:t>
      </w:r>
      <w:r>
        <w:rPr>
          <w:rFonts w:ascii="仿宋" w:eastAsia="仿宋" w:hAnsi="仿宋" w:cs="仿宋" w:hint="eastAsia"/>
          <w:kern w:val="0"/>
          <w:sz w:val="32"/>
          <w:szCs w:val="32"/>
        </w:rPr>
        <w:t>例，化妆品不良反应</w:t>
      </w:r>
      <w:r>
        <w:rPr>
          <w:rFonts w:ascii="仿宋" w:eastAsia="仿宋" w:hAnsi="仿宋" w:cs="仿宋" w:hint="eastAsia"/>
          <w:kern w:val="0"/>
          <w:sz w:val="32"/>
          <w:szCs w:val="32"/>
        </w:rPr>
        <w:t>30</w:t>
      </w:r>
      <w:r>
        <w:rPr>
          <w:rFonts w:ascii="仿宋" w:eastAsia="仿宋" w:hAnsi="仿宋" w:cs="仿宋" w:hint="eastAsia"/>
          <w:kern w:val="0"/>
          <w:sz w:val="32"/>
          <w:szCs w:val="32"/>
        </w:rPr>
        <w:t>例。</w:t>
      </w:r>
    </w:p>
    <w:p w:rsidR="000F0EA8" w:rsidRDefault="00885E0F">
      <w:pPr>
        <w:pStyle w:val="a0"/>
        <w:spacing w:before="93"/>
        <w:ind w:firstLineChars="200" w:firstLine="640"/>
        <w:rPr>
          <w:rFonts w:ascii="仿宋" w:eastAsia="仿宋" w:hAnsi="仿宋" w:cs="仿宋"/>
          <w:sz w:val="32"/>
          <w:szCs w:val="32"/>
        </w:rPr>
      </w:pPr>
      <w:r>
        <w:rPr>
          <w:rFonts w:ascii="仿宋" w:eastAsia="仿宋" w:hAnsi="仿宋" w:cs="仿宋" w:hint="eastAsia"/>
          <w:sz w:val="32"/>
          <w:szCs w:val="32"/>
        </w:rPr>
        <w:t>加强特种设备安全监管。一是开展专项检查、整治。共检查特种设备制造、使用单位</w:t>
      </w:r>
      <w:r>
        <w:rPr>
          <w:rFonts w:ascii="仿宋" w:eastAsia="仿宋" w:hAnsi="仿宋" w:cs="仿宋" w:hint="eastAsia"/>
          <w:sz w:val="32"/>
          <w:szCs w:val="32"/>
        </w:rPr>
        <w:t>40</w:t>
      </w:r>
      <w:r>
        <w:rPr>
          <w:rFonts w:ascii="仿宋" w:eastAsia="仿宋" w:hAnsi="仿宋" w:cs="仿宋" w:hint="eastAsia"/>
          <w:sz w:val="32"/>
          <w:szCs w:val="32"/>
        </w:rPr>
        <w:t>多家，检查涉及各类设备共计</w:t>
      </w:r>
      <w:r>
        <w:rPr>
          <w:rFonts w:ascii="仿宋" w:eastAsia="仿宋" w:hAnsi="仿宋" w:cs="仿宋" w:hint="eastAsia"/>
          <w:sz w:val="32"/>
          <w:szCs w:val="32"/>
        </w:rPr>
        <w:t>300</w:t>
      </w:r>
      <w:r>
        <w:rPr>
          <w:rFonts w:ascii="仿宋" w:eastAsia="仿宋" w:hAnsi="仿宋" w:cs="仿宋" w:hint="eastAsia"/>
          <w:sz w:val="32"/>
          <w:szCs w:val="32"/>
        </w:rPr>
        <w:t>余台；开展“快开门式”压力容器专项整治，排查、巡查各种“快开门式”压力容器</w:t>
      </w:r>
      <w:r>
        <w:rPr>
          <w:rFonts w:ascii="仿宋" w:eastAsia="仿宋" w:hAnsi="仿宋" w:cs="仿宋" w:hint="eastAsia"/>
          <w:sz w:val="32"/>
          <w:szCs w:val="32"/>
        </w:rPr>
        <w:t>60</w:t>
      </w:r>
      <w:r>
        <w:rPr>
          <w:rFonts w:ascii="仿宋" w:eastAsia="仿宋" w:hAnsi="仿宋" w:cs="仿宋" w:hint="eastAsia"/>
          <w:sz w:val="32"/>
          <w:szCs w:val="32"/>
        </w:rPr>
        <w:t>余台。二是开展“安全生产月”活动。发放各类宣传资料</w:t>
      </w:r>
      <w:r>
        <w:rPr>
          <w:rFonts w:ascii="仿宋" w:eastAsia="仿宋" w:hAnsi="仿宋" w:cs="仿宋" w:hint="eastAsia"/>
          <w:sz w:val="32"/>
          <w:szCs w:val="32"/>
        </w:rPr>
        <w:t>800</w:t>
      </w:r>
      <w:r>
        <w:rPr>
          <w:rFonts w:ascii="仿宋" w:eastAsia="仿宋" w:hAnsi="仿宋" w:cs="仿宋" w:hint="eastAsia"/>
          <w:sz w:val="32"/>
          <w:szCs w:val="32"/>
        </w:rPr>
        <w:t>余份。三是召开特种</w:t>
      </w:r>
      <w:r>
        <w:rPr>
          <w:rFonts w:ascii="仿宋" w:eastAsia="仿宋" w:hAnsi="仿宋" w:cs="仿宋" w:hint="eastAsia"/>
          <w:sz w:val="32"/>
          <w:szCs w:val="32"/>
        </w:rPr>
        <w:t>设备安全培训会。对辖区内</w:t>
      </w:r>
      <w:r>
        <w:rPr>
          <w:rFonts w:ascii="仿宋" w:eastAsia="仿宋" w:hAnsi="仿宋" w:cs="仿宋" w:hint="eastAsia"/>
          <w:sz w:val="32"/>
          <w:szCs w:val="32"/>
        </w:rPr>
        <w:t>55</w:t>
      </w:r>
      <w:r>
        <w:rPr>
          <w:rFonts w:ascii="仿宋" w:eastAsia="仿宋" w:hAnsi="仿宋" w:cs="仿宋" w:hint="eastAsia"/>
          <w:sz w:val="32"/>
          <w:szCs w:val="32"/>
        </w:rPr>
        <w:t>家特种设备使用单位分管安全负责人和设备操作人员进行了安全培训。四是开展了特种设备“双随机、</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公开”部门联合抽查检查。</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稳步推进产品质量安全监管。一是开展抽样检查。对辖区内</w:t>
      </w:r>
      <w:r>
        <w:rPr>
          <w:rFonts w:ascii="仿宋" w:eastAsia="仿宋" w:hAnsi="仿宋" w:cs="仿宋" w:hint="eastAsia"/>
          <w:kern w:val="0"/>
          <w:sz w:val="32"/>
          <w:szCs w:val="32"/>
        </w:rPr>
        <w:t>2</w:t>
      </w:r>
      <w:r>
        <w:rPr>
          <w:rFonts w:ascii="仿宋" w:eastAsia="仿宋" w:hAnsi="仿宋" w:cs="仿宋" w:hint="eastAsia"/>
          <w:kern w:val="0"/>
          <w:sz w:val="32"/>
          <w:szCs w:val="32"/>
        </w:rPr>
        <w:t>家塑料包装袋销售、</w:t>
      </w:r>
      <w:r>
        <w:rPr>
          <w:rFonts w:ascii="仿宋" w:eastAsia="仿宋" w:hAnsi="仿宋" w:cs="仿宋" w:hint="eastAsia"/>
          <w:kern w:val="0"/>
          <w:sz w:val="32"/>
          <w:szCs w:val="32"/>
        </w:rPr>
        <w:t>2</w:t>
      </w:r>
      <w:r>
        <w:rPr>
          <w:rFonts w:ascii="仿宋" w:eastAsia="仿宋" w:hAnsi="仿宋" w:cs="仿宋" w:hint="eastAsia"/>
          <w:kern w:val="0"/>
          <w:sz w:val="32"/>
          <w:szCs w:val="32"/>
        </w:rPr>
        <w:t>家塑料餐具销售、</w:t>
      </w:r>
      <w:r>
        <w:rPr>
          <w:rFonts w:ascii="仿宋" w:eastAsia="仿宋" w:hAnsi="仿宋" w:cs="仿宋" w:hint="eastAsia"/>
          <w:kern w:val="0"/>
          <w:sz w:val="32"/>
          <w:szCs w:val="32"/>
        </w:rPr>
        <w:t>3</w:t>
      </w:r>
      <w:r>
        <w:rPr>
          <w:rFonts w:ascii="仿宋" w:eastAsia="仿宋" w:hAnsi="仿宋" w:cs="仿宋" w:hint="eastAsia"/>
          <w:kern w:val="0"/>
          <w:sz w:val="32"/>
          <w:szCs w:val="32"/>
        </w:rPr>
        <w:t>家</w:t>
      </w:r>
      <w:r>
        <w:rPr>
          <w:rFonts w:ascii="仿宋" w:eastAsia="仿宋" w:hAnsi="仿宋" w:cs="仿宋" w:hint="eastAsia"/>
          <w:kern w:val="0"/>
          <w:sz w:val="32"/>
          <w:szCs w:val="32"/>
        </w:rPr>
        <w:t>PVC</w:t>
      </w:r>
      <w:r>
        <w:rPr>
          <w:rFonts w:ascii="仿宋" w:eastAsia="仿宋" w:hAnsi="仿宋" w:cs="仿宋" w:hint="eastAsia"/>
          <w:kern w:val="0"/>
          <w:sz w:val="32"/>
          <w:szCs w:val="32"/>
        </w:rPr>
        <w:t>管材销售、</w:t>
      </w:r>
      <w:r>
        <w:rPr>
          <w:rFonts w:ascii="仿宋" w:eastAsia="仿宋" w:hAnsi="仿宋" w:cs="仿宋" w:hint="eastAsia"/>
          <w:kern w:val="0"/>
          <w:sz w:val="32"/>
          <w:szCs w:val="32"/>
        </w:rPr>
        <w:t>1</w:t>
      </w:r>
      <w:r>
        <w:rPr>
          <w:rFonts w:ascii="仿宋" w:eastAsia="仿宋" w:hAnsi="仿宋" w:cs="仿宋" w:hint="eastAsia"/>
          <w:kern w:val="0"/>
          <w:sz w:val="32"/>
          <w:szCs w:val="32"/>
        </w:rPr>
        <w:t>家电线电缆生产企业进行抽样检查，查处</w:t>
      </w:r>
      <w:r>
        <w:rPr>
          <w:rFonts w:ascii="仿宋" w:eastAsia="仿宋" w:hAnsi="仿宋" w:cs="仿宋" w:hint="eastAsia"/>
          <w:kern w:val="0"/>
          <w:sz w:val="32"/>
          <w:szCs w:val="32"/>
        </w:rPr>
        <w:t>1</w:t>
      </w:r>
      <w:r>
        <w:rPr>
          <w:rFonts w:ascii="仿宋" w:eastAsia="仿宋" w:hAnsi="仿宋" w:cs="仿宋" w:hint="eastAsia"/>
          <w:kern w:val="0"/>
          <w:sz w:val="32"/>
          <w:szCs w:val="32"/>
        </w:rPr>
        <w:t>家销售不合格塑料袋</w:t>
      </w:r>
      <w:r>
        <w:rPr>
          <w:rFonts w:ascii="仿宋" w:eastAsia="仿宋" w:hAnsi="仿宋" w:cs="仿宋" w:hint="eastAsia"/>
          <w:kern w:val="0"/>
          <w:sz w:val="32"/>
          <w:szCs w:val="32"/>
        </w:rPr>
        <w:lastRenderedPageBreak/>
        <w:t>门市部。对辖区内</w:t>
      </w:r>
      <w:r>
        <w:rPr>
          <w:rFonts w:ascii="仿宋" w:eastAsia="仿宋" w:hAnsi="仿宋" w:cs="仿宋" w:hint="eastAsia"/>
          <w:kern w:val="0"/>
          <w:sz w:val="32"/>
          <w:szCs w:val="32"/>
        </w:rPr>
        <w:t>1</w:t>
      </w:r>
      <w:r>
        <w:rPr>
          <w:rFonts w:ascii="仿宋" w:eastAsia="仿宋" w:hAnsi="仿宋" w:cs="仿宋" w:hint="eastAsia"/>
          <w:kern w:val="0"/>
          <w:sz w:val="32"/>
          <w:szCs w:val="32"/>
        </w:rPr>
        <w:t>家电线电缆生产企业（</w:t>
      </w:r>
      <w:proofErr w:type="gramStart"/>
      <w:r>
        <w:rPr>
          <w:rFonts w:ascii="仿宋" w:eastAsia="仿宋" w:hAnsi="仿宋" w:cs="仿宋" w:hint="eastAsia"/>
          <w:kern w:val="0"/>
          <w:sz w:val="32"/>
          <w:szCs w:val="32"/>
        </w:rPr>
        <w:t>蜀塔线缆</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家食品相关产品生产企业（娃哈哈、白龙湖）许可证获证后现场审查。二是开展“质量月”活动。印制各类宣传资料</w:t>
      </w:r>
      <w:r>
        <w:rPr>
          <w:rFonts w:ascii="仿宋" w:eastAsia="仿宋" w:hAnsi="仿宋" w:cs="仿宋" w:hint="eastAsia"/>
          <w:kern w:val="0"/>
          <w:sz w:val="32"/>
          <w:szCs w:val="32"/>
        </w:rPr>
        <w:t>5000</w:t>
      </w:r>
      <w:r>
        <w:rPr>
          <w:rFonts w:ascii="仿宋" w:eastAsia="仿宋" w:hAnsi="仿宋" w:cs="仿宋" w:hint="eastAsia"/>
          <w:kern w:val="0"/>
          <w:sz w:val="32"/>
          <w:szCs w:val="32"/>
        </w:rPr>
        <w:t>余份，发放质量基本常识宣传资料</w:t>
      </w:r>
      <w:r>
        <w:rPr>
          <w:rFonts w:ascii="仿宋" w:eastAsia="仿宋" w:hAnsi="仿宋" w:cs="仿宋" w:hint="eastAsia"/>
          <w:kern w:val="0"/>
          <w:sz w:val="32"/>
          <w:szCs w:val="32"/>
        </w:rPr>
        <w:t>800</w:t>
      </w:r>
      <w:r>
        <w:rPr>
          <w:rFonts w:ascii="仿宋" w:eastAsia="仿宋" w:hAnsi="仿宋" w:cs="仿宋" w:hint="eastAsia"/>
          <w:kern w:val="0"/>
          <w:sz w:val="32"/>
          <w:szCs w:val="32"/>
        </w:rPr>
        <w:t>余份，</w:t>
      </w:r>
      <w:r>
        <w:rPr>
          <w:rFonts w:ascii="仿宋" w:eastAsia="仿宋" w:hAnsi="仿宋" w:cs="仿宋" w:hint="eastAsia"/>
          <w:kern w:val="0"/>
          <w:sz w:val="32"/>
          <w:szCs w:val="32"/>
        </w:rPr>
        <w:t>LED</w:t>
      </w:r>
      <w:r>
        <w:rPr>
          <w:rFonts w:ascii="仿宋" w:eastAsia="仿宋" w:hAnsi="仿宋" w:cs="仿宋" w:hint="eastAsia"/>
          <w:kern w:val="0"/>
          <w:sz w:val="32"/>
          <w:szCs w:val="32"/>
        </w:rPr>
        <w:t>标语、横幅</w:t>
      </w:r>
      <w:r>
        <w:rPr>
          <w:rFonts w:ascii="仿宋" w:eastAsia="仿宋" w:hAnsi="仿宋" w:cs="仿宋" w:hint="eastAsia"/>
          <w:kern w:val="0"/>
          <w:sz w:val="32"/>
          <w:szCs w:val="32"/>
        </w:rPr>
        <w:t>30</w:t>
      </w:r>
      <w:r>
        <w:rPr>
          <w:rFonts w:ascii="仿宋" w:eastAsia="仿宋" w:hAnsi="仿宋" w:cs="仿宋" w:hint="eastAsia"/>
          <w:kern w:val="0"/>
          <w:sz w:val="32"/>
          <w:szCs w:val="32"/>
        </w:rPr>
        <w:t>余条。</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强化计量与认证认可工作。一是开展计量专项检查。对辖区</w:t>
      </w:r>
      <w:r>
        <w:rPr>
          <w:rFonts w:ascii="仿宋" w:eastAsia="仿宋" w:hAnsi="仿宋" w:cs="仿宋" w:hint="eastAsia"/>
          <w:kern w:val="0"/>
          <w:sz w:val="32"/>
          <w:szCs w:val="32"/>
        </w:rPr>
        <w:t>4</w:t>
      </w:r>
      <w:r>
        <w:rPr>
          <w:rFonts w:ascii="仿宋" w:eastAsia="仿宋" w:hAnsi="仿宋" w:cs="仿宋" w:hint="eastAsia"/>
          <w:kern w:val="0"/>
          <w:sz w:val="32"/>
          <w:szCs w:val="32"/>
        </w:rPr>
        <w:t>家加油站在用的加油机计量检定情况、农贸市场在用计量器具进行检查，共检查各类加油机</w:t>
      </w:r>
      <w:r>
        <w:rPr>
          <w:rFonts w:ascii="仿宋" w:eastAsia="仿宋" w:hAnsi="仿宋" w:cs="仿宋" w:hint="eastAsia"/>
          <w:kern w:val="0"/>
          <w:sz w:val="32"/>
          <w:szCs w:val="32"/>
        </w:rPr>
        <w:t>20</w:t>
      </w:r>
      <w:r>
        <w:rPr>
          <w:rFonts w:ascii="仿宋" w:eastAsia="仿宋" w:hAnsi="仿宋" w:cs="仿宋" w:hint="eastAsia"/>
          <w:kern w:val="0"/>
          <w:sz w:val="32"/>
          <w:szCs w:val="32"/>
        </w:rPr>
        <w:t>余台，农贸市场在用计量器具</w:t>
      </w:r>
      <w:r>
        <w:rPr>
          <w:rFonts w:ascii="仿宋" w:eastAsia="仿宋" w:hAnsi="仿宋" w:cs="仿宋" w:hint="eastAsia"/>
          <w:kern w:val="0"/>
          <w:sz w:val="32"/>
          <w:szCs w:val="32"/>
        </w:rPr>
        <w:t>90</w:t>
      </w:r>
      <w:r>
        <w:rPr>
          <w:rFonts w:ascii="仿宋" w:eastAsia="仿宋" w:hAnsi="仿宋" w:cs="仿宋" w:hint="eastAsia"/>
          <w:kern w:val="0"/>
          <w:sz w:val="32"/>
          <w:szCs w:val="32"/>
        </w:rPr>
        <w:t>余台，未发现计量问题。同时做好计量宣传，发放计量宣传使用手册</w:t>
      </w:r>
      <w:r>
        <w:rPr>
          <w:rFonts w:ascii="仿宋" w:eastAsia="仿宋" w:hAnsi="仿宋" w:cs="仿宋" w:hint="eastAsia"/>
          <w:kern w:val="0"/>
          <w:sz w:val="32"/>
          <w:szCs w:val="32"/>
        </w:rPr>
        <w:t>1000</w:t>
      </w:r>
      <w:r>
        <w:rPr>
          <w:rFonts w:ascii="仿宋" w:eastAsia="仿宋" w:hAnsi="仿宋" w:cs="仿宋" w:hint="eastAsia"/>
          <w:kern w:val="0"/>
          <w:sz w:val="32"/>
          <w:szCs w:val="32"/>
        </w:rPr>
        <w:t>余份。二是开展节能减排工作。督促辖区内</w:t>
      </w:r>
      <w:r>
        <w:rPr>
          <w:rFonts w:ascii="仿宋" w:eastAsia="仿宋" w:hAnsi="仿宋" w:cs="仿宋" w:hint="eastAsia"/>
          <w:kern w:val="0"/>
          <w:sz w:val="32"/>
          <w:szCs w:val="32"/>
        </w:rPr>
        <w:t>2</w:t>
      </w:r>
      <w:r>
        <w:rPr>
          <w:rFonts w:ascii="仿宋" w:eastAsia="仿宋" w:hAnsi="仿宋" w:cs="仿宋" w:hint="eastAsia"/>
          <w:kern w:val="0"/>
          <w:sz w:val="32"/>
          <w:szCs w:val="32"/>
        </w:rPr>
        <w:t>家高耗能企业，上报节能减排年度自查表和自查报告。我区现已全部淘汰燃煤锅炉。三是认证认可工作稳步有序推进。对辖区内销售低速电动车的</w:t>
      </w:r>
      <w:r>
        <w:rPr>
          <w:rFonts w:ascii="仿宋" w:eastAsia="仿宋" w:hAnsi="仿宋" w:cs="仿宋" w:hint="eastAsia"/>
          <w:kern w:val="0"/>
          <w:sz w:val="32"/>
          <w:szCs w:val="32"/>
        </w:rPr>
        <w:t>4</w:t>
      </w:r>
      <w:r>
        <w:rPr>
          <w:rFonts w:ascii="仿宋" w:eastAsia="仿宋" w:hAnsi="仿宋" w:cs="仿宋" w:hint="eastAsia"/>
          <w:kern w:val="0"/>
          <w:sz w:val="32"/>
          <w:szCs w:val="32"/>
        </w:rPr>
        <w:t>个门市部，</w:t>
      </w:r>
      <w:r>
        <w:rPr>
          <w:rFonts w:ascii="仿宋" w:eastAsia="仿宋" w:hAnsi="仿宋" w:cs="仿宋" w:hint="eastAsia"/>
          <w:kern w:val="0"/>
          <w:sz w:val="32"/>
          <w:szCs w:val="32"/>
        </w:rPr>
        <w:t>1</w:t>
      </w:r>
      <w:r>
        <w:rPr>
          <w:rFonts w:ascii="仿宋" w:eastAsia="仿宋" w:hAnsi="仿宋" w:cs="仿宋" w:hint="eastAsia"/>
          <w:kern w:val="0"/>
          <w:sz w:val="32"/>
          <w:szCs w:val="32"/>
        </w:rPr>
        <w:t>家新获证（</w:t>
      </w:r>
      <w:r>
        <w:rPr>
          <w:rFonts w:ascii="仿宋" w:eastAsia="仿宋" w:hAnsi="仿宋" w:cs="仿宋" w:hint="eastAsia"/>
          <w:kern w:val="0"/>
          <w:sz w:val="32"/>
          <w:szCs w:val="32"/>
        </w:rPr>
        <w:t>3C</w:t>
      </w:r>
      <w:r>
        <w:rPr>
          <w:rFonts w:ascii="仿宋" w:eastAsia="仿宋" w:hAnsi="仿宋" w:cs="仿宋" w:hint="eastAsia"/>
          <w:kern w:val="0"/>
          <w:sz w:val="32"/>
          <w:szCs w:val="32"/>
        </w:rPr>
        <w:t>）企业</w:t>
      </w:r>
      <w:proofErr w:type="gramStart"/>
      <w:r>
        <w:rPr>
          <w:rFonts w:ascii="仿宋" w:eastAsia="仿宋" w:hAnsi="仿宋" w:cs="仿宋" w:hint="eastAsia"/>
          <w:kern w:val="0"/>
          <w:sz w:val="32"/>
          <w:szCs w:val="32"/>
        </w:rPr>
        <w:t>进行证</w:t>
      </w:r>
      <w:proofErr w:type="gramEnd"/>
      <w:r>
        <w:rPr>
          <w:rFonts w:ascii="仿宋" w:eastAsia="仿宋" w:hAnsi="仿宋" w:cs="仿宋" w:hint="eastAsia"/>
          <w:kern w:val="0"/>
          <w:sz w:val="32"/>
          <w:szCs w:val="32"/>
        </w:rPr>
        <w:t>后审核。</w:t>
      </w:r>
    </w:p>
    <w:p w:rsidR="000F0EA8" w:rsidRDefault="00885E0F">
      <w:pPr>
        <w:ind w:left="640"/>
        <w:rPr>
          <w:rFonts w:ascii="楷体" w:eastAsia="楷体" w:hAnsi="楷体"/>
          <w:b/>
          <w:sz w:val="32"/>
          <w:szCs w:val="32"/>
        </w:rPr>
      </w:pPr>
      <w:r>
        <w:rPr>
          <w:rFonts w:ascii="楷体" w:eastAsia="楷体" w:hAnsi="楷体" w:hint="eastAsia"/>
          <w:b/>
          <w:sz w:val="32"/>
          <w:szCs w:val="32"/>
        </w:rPr>
        <w:t>（二）持续优化营商环境，</w:t>
      </w:r>
      <w:r>
        <w:rPr>
          <w:rFonts w:ascii="楷体" w:eastAsia="楷体" w:hAnsi="楷体" w:hint="eastAsia"/>
          <w:b/>
          <w:sz w:val="32"/>
          <w:szCs w:val="32"/>
        </w:rPr>
        <w:t>助推我区经济高质量发展。</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持续深化“放管服”改革，激活市场主体活力。一是认真落实“证照分离”改革举措，全力推进食品经营备案制登记。办理食品经营许可</w:t>
      </w:r>
      <w:r>
        <w:rPr>
          <w:rFonts w:ascii="仿宋" w:eastAsia="仿宋" w:hAnsi="仿宋" w:cs="仿宋" w:hint="eastAsia"/>
          <w:kern w:val="0"/>
          <w:sz w:val="32"/>
          <w:szCs w:val="32"/>
        </w:rPr>
        <w:t>127</w:t>
      </w:r>
      <w:r>
        <w:rPr>
          <w:rFonts w:ascii="仿宋" w:eastAsia="仿宋" w:hAnsi="仿宋" w:cs="仿宋" w:hint="eastAsia"/>
          <w:kern w:val="0"/>
          <w:sz w:val="32"/>
          <w:szCs w:val="32"/>
        </w:rPr>
        <w:t>件、食品“三小”备案</w:t>
      </w:r>
      <w:r>
        <w:rPr>
          <w:rFonts w:ascii="仿宋" w:eastAsia="仿宋" w:hAnsi="仿宋" w:cs="仿宋" w:hint="eastAsia"/>
          <w:kern w:val="0"/>
          <w:sz w:val="32"/>
          <w:szCs w:val="32"/>
        </w:rPr>
        <w:t>189</w:t>
      </w:r>
      <w:r>
        <w:rPr>
          <w:rFonts w:ascii="仿宋" w:eastAsia="仿宋" w:hAnsi="仿宋" w:cs="仿宋" w:hint="eastAsia"/>
          <w:kern w:val="0"/>
          <w:sz w:val="32"/>
          <w:szCs w:val="32"/>
        </w:rPr>
        <w:t>件。</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全力抓好“双随机、</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公开”监管工作。全年共开展参加“双随机、</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公开”抽查检查</w:t>
      </w:r>
      <w:r>
        <w:rPr>
          <w:rFonts w:ascii="仿宋" w:eastAsia="仿宋" w:hAnsi="仿宋" w:cs="仿宋" w:hint="eastAsia"/>
          <w:kern w:val="0"/>
          <w:sz w:val="32"/>
          <w:szCs w:val="32"/>
        </w:rPr>
        <w:t>9</w:t>
      </w:r>
      <w:r>
        <w:rPr>
          <w:rFonts w:ascii="仿宋" w:eastAsia="仿宋" w:hAnsi="仿宋" w:cs="仿宋" w:hint="eastAsia"/>
          <w:kern w:val="0"/>
          <w:sz w:val="32"/>
          <w:szCs w:val="32"/>
        </w:rPr>
        <w:t>次，涉及各类市场主体</w:t>
      </w:r>
      <w:r>
        <w:rPr>
          <w:rFonts w:ascii="仿宋" w:eastAsia="仿宋" w:hAnsi="仿宋" w:cs="仿宋" w:hint="eastAsia"/>
          <w:kern w:val="0"/>
          <w:sz w:val="32"/>
          <w:szCs w:val="32"/>
        </w:rPr>
        <w:t>66</w:t>
      </w:r>
      <w:r>
        <w:rPr>
          <w:rFonts w:ascii="仿宋" w:eastAsia="仿宋" w:hAnsi="仿宋" w:cs="仿宋" w:hint="eastAsia"/>
          <w:kern w:val="0"/>
          <w:sz w:val="32"/>
          <w:szCs w:val="32"/>
        </w:rPr>
        <w:t>户，基本实现了业务工作全覆盖，通过检查依法吊销企业</w:t>
      </w:r>
      <w:r>
        <w:rPr>
          <w:rFonts w:ascii="仿宋" w:eastAsia="仿宋" w:hAnsi="仿宋" w:cs="仿宋" w:hint="eastAsia"/>
          <w:kern w:val="0"/>
          <w:sz w:val="32"/>
          <w:szCs w:val="32"/>
        </w:rPr>
        <w:t>12</w:t>
      </w:r>
      <w:r>
        <w:rPr>
          <w:rFonts w:ascii="仿宋" w:eastAsia="仿宋" w:hAnsi="仿宋" w:cs="仿宋" w:hint="eastAsia"/>
          <w:kern w:val="0"/>
          <w:sz w:val="32"/>
          <w:szCs w:val="32"/>
        </w:rPr>
        <w:t>户，</w:t>
      </w:r>
      <w:proofErr w:type="gramStart"/>
      <w:r>
        <w:rPr>
          <w:rFonts w:ascii="仿宋" w:eastAsia="仿宋" w:hAnsi="仿宋" w:cs="仿宋" w:hint="eastAsia"/>
          <w:kern w:val="0"/>
          <w:sz w:val="32"/>
          <w:szCs w:val="32"/>
        </w:rPr>
        <w:t>列异</w:t>
      </w:r>
      <w:r>
        <w:rPr>
          <w:rFonts w:ascii="仿宋" w:eastAsia="仿宋" w:hAnsi="仿宋" w:cs="仿宋" w:hint="eastAsia"/>
          <w:kern w:val="0"/>
          <w:sz w:val="32"/>
          <w:szCs w:val="32"/>
        </w:rPr>
        <w:t>5</w:t>
      </w:r>
      <w:r>
        <w:rPr>
          <w:rFonts w:ascii="仿宋" w:eastAsia="仿宋" w:hAnsi="仿宋" w:cs="仿宋" w:hint="eastAsia"/>
          <w:kern w:val="0"/>
          <w:sz w:val="32"/>
          <w:szCs w:val="32"/>
        </w:rPr>
        <w:t>户</w:t>
      </w:r>
      <w:proofErr w:type="gramEnd"/>
      <w:r>
        <w:rPr>
          <w:rFonts w:ascii="仿宋" w:eastAsia="仿宋" w:hAnsi="仿宋" w:cs="仿宋" w:hint="eastAsia"/>
          <w:kern w:val="0"/>
          <w:sz w:val="32"/>
          <w:szCs w:val="32"/>
        </w:rPr>
        <w:t>。</w:t>
      </w:r>
    </w:p>
    <w:p w:rsidR="000F0EA8" w:rsidRDefault="00885E0F">
      <w:pPr>
        <w:pStyle w:val="a0"/>
        <w:spacing w:before="93"/>
        <w:ind w:firstLineChars="200" w:firstLine="640"/>
        <w:rPr>
          <w:rFonts w:ascii="仿宋" w:eastAsia="仿宋" w:hAnsi="仿宋" w:cs="仿宋"/>
          <w:sz w:val="32"/>
          <w:szCs w:val="32"/>
        </w:rPr>
      </w:pPr>
      <w:r>
        <w:rPr>
          <w:rFonts w:ascii="仿宋" w:eastAsia="仿宋" w:hAnsi="仿宋" w:cs="仿宋" w:hint="eastAsia"/>
          <w:sz w:val="32"/>
          <w:szCs w:val="32"/>
        </w:rPr>
        <w:t>强化知识产权保护，推动企业创新发展。全年共查处知识产权案件</w:t>
      </w:r>
      <w:r>
        <w:rPr>
          <w:rFonts w:ascii="仿宋" w:eastAsia="仿宋" w:hAnsi="仿宋" w:cs="仿宋" w:hint="eastAsia"/>
          <w:sz w:val="32"/>
          <w:szCs w:val="32"/>
        </w:rPr>
        <w:t>7</w:t>
      </w:r>
      <w:r>
        <w:rPr>
          <w:rFonts w:ascii="仿宋" w:eastAsia="仿宋" w:hAnsi="仿宋" w:cs="仿宋" w:hint="eastAsia"/>
          <w:sz w:val="32"/>
          <w:szCs w:val="32"/>
        </w:rPr>
        <w:t>件</w:t>
      </w:r>
      <w:r>
        <w:rPr>
          <w:rFonts w:ascii="仿宋" w:eastAsia="仿宋" w:hAnsi="仿宋" w:cs="仿宋" w:hint="eastAsia"/>
          <w:sz w:val="32"/>
          <w:szCs w:val="32"/>
        </w:rPr>
        <w:t>,</w:t>
      </w:r>
      <w:r>
        <w:rPr>
          <w:rFonts w:ascii="仿宋" w:eastAsia="仿宋" w:hAnsi="仿宋" w:cs="仿宋" w:hint="eastAsia"/>
          <w:sz w:val="32"/>
          <w:szCs w:val="32"/>
        </w:rPr>
        <w:t>处罚款</w:t>
      </w:r>
      <w:r>
        <w:rPr>
          <w:rFonts w:ascii="仿宋" w:eastAsia="仿宋" w:hAnsi="仿宋" w:cs="仿宋" w:hint="eastAsia"/>
          <w:sz w:val="32"/>
          <w:szCs w:val="32"/>
        </w:rPr>
        <w:t>8.05</w:t>
      </w:r>
      <w:r>
        <w:rPr>
          <w:rFonts w:ascii="仿宋" w:eastAsia="仿宋" w:hAnsi="仿宋" w:cs="仿宋" w:hint="eastAsia"/>
          <w:sz w:val="32"/>
          <w:szCs w:val="32"/>
        </w:rPr>
        <w:t>万元。其中查办侵犯商标专用权案件</w:t>
      </w:r>
      <w:r>
        <w:rPr>
          <w:rFonts w:ascii="仿宋" w:eastAsia="仿宋" w:hAnsi="仿宋" w:cs="仿宋" w:hint="eastAsia"/>
          <w:sz w:val="32"/>
          <w:szCs w:val="32"/>
        </w:rPr>
        <w:t>5</w:t>
      </w:r>
      <w:r>
        <w:rPr>
          <w:rFonts w:ascii="仿宋" w:eastAsia="仿宋" w:hAnsi="仿宋" w:cs="仿宋" w:hint="eastAsia"/>
          <w:sz w:val="32"/>
          <w:szCs w:val="32"/>
        </w:rPr>
        <w:t>件。三是帮助我区知识产权企业争取专项资金共计</w:t>
      </w:r>
      <w:r>
        <w:rPr>
          <w:rFonts w:ascii="仿宋" w:eastAsia="仿宋" w:hAnsi="仿宋" w:cs="仿宋" w:hint="eastAsia"/>
          <w:sz w:val="32"/>
          <w:szCs w:val="32"/>
        </w:rPr>
        <w:t>26.8</w:t>
      </w:r>
      <w:r>
        <w:rPr>
          <w:rFonts w:ascii="仿宋" w:eastAsia="仿宋" w:hAnsi="仿宋" w:cs="仿宋" w:hint="eastAsia"/>
          <w:sz w:val="32"/>
          <w:szCs w:val="32"/>
        </w:rPr>
        <w:t>万元，鼓</w:t>
      </w:r>
      <w:r>
        <w:rPr>
          <w:rFonts w:ascii="仿宋" w:eastAsia="仿宋" w:hAnsi="仿宋" w:cs="仿宋" w:hint="eastAsia"/>
          <w:sz w:val="32"/>
          <w:szCs w:val="32"/>
        </w:rPr>
        <w:lastRenderedPageBreak/>
        <w:t>励企业积极创新发展。</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有序开展公平竞争审查工作，维护公平公正交易秩序。共梳理排查文件、政策措施</w:t>
      </w:r>
      <w:r>
        <w:rPr>
          <w:rFonts w:ascii="仿宋" w:eastAsia="仿宋" w:hAnsi="仿宋" w:cs="仿宋" w:hint="eastAsia"/>
          <w:kern w:val="0"/>
          <w:sz w:val="32"/>
          <w:szCs w:val="32"/>
        </w:rPr>
        <w:t>1765</w:t>
      </w:r>
      <w:r>
        <w:rPr>
          <w:rFonts w:ascii="仿宋" w:eastAsia="仿宋" w:hAnsi="仿宋" w:cs="仿宋" w:hint="eastAsia"/>
          <w:kern w:val="0"/>
          <w:sz w:val="32"/>
          <w:szCs w:val="32"/>
        </w:rPr>
        <w:t>项，今年制定的文件中涉及市场主体经济活动的共</w:t>
      </w:r>
      <w:r>
        <w:rPr>
          <w:rFonts w:ascii="仿宋" w:eastAsia="仿宋" w:hAnsi="仿宋" w:cs="仿宋" w:hint="eastAsia"/>
          <w:kern w:val="0"/>
          <w:sz w:val="32"/>
          <w:szCs w:val="32"/>
        </w:rPr>
        <w:t>37</w:t>
      </w:r>
      <w:r>
        <w:rPr>
          <w:rFonts w:ascii="仿宋" w:eastAsia="仿宋" w:hAnsi="仿宋" w:cs="仿宋" w:hint="eastAsia"/>
          <w:kern w:val="0"/>
          <w:sz w:val="32"/>
          <w:szCs w:val="32"/>
        </w:rPr>
        <w:t>份。</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积极开展非公党建工作。据统计，辖区已建立非公党组织</w:t>
      </w:r>
      <w:r>
        <w:rPr>
          <w:rFonts w:ascii="仿宋" w:eastAsia="仿宋" w:hAnsi="仿宋" w:cs="仿宋" w:hint="eastAsia"/>
          <w:kern w:val="0"/>
          <w:sz w:val="32"/>
          <w:szCs w:val="32"/>
        </w:rPr>
        <w:t>113</w:t>
      </w:r>
      <w:r>
        <w:rPr>
          <w:rFonts w:ascii="仿宋" w:eastAsia="仿宋" w:hAnsi="仿宋" w:cs="仿宋" w:hint="eastAsia"/>
          <w:kern w:val="0"/>
          <w:sz w:val="32"/>
          <w:szCs w:val="32"/>
        </w:rPr>
        <w:t>个，全年新发展非公企业党支部</w:t>
      </w:r>
      <w:r>
        <w:rPr>
          <w:rFonts w:ascii="仿宋" w:eastAsia="仿宋" w:hAnsi="仿宋" w:cs="仿宋" w:hint="eastAsia"/>
          <w:kern w:val="0"/>
          <w:sz w:val="32"/>
          <w:szCs w:val="32"/>
        </w:rPr>
        <w:t>23</w:t>
      </w:r>
      <w:r>
        <w:rPr>
          <w:rFonts w:ascii="仿宋" w:eastAsia="仿宋" w:hAnsi="仿宋" w:cs="仿宋" w:hint="eastAsia"/>
          <w:kern w:val="0"/>
          <w:sz w:val="32"/>
          <w:szCs w:val="32"/>
        </w:rPr>
        <w:t>个，全部为小微企业。“万人进万企、党建促发展”活动期间共计走访企业</w:t>
      </w:r>
      <w:r>
        <w:rPr>
          <w:rFonts w:ascii="仿宋" w:eastAsia="仿宋" w:hAnsi="仿宋" w:cs="仿宋" w:hint="eastAsia"/>
          <w:kern w:val="0"/>
          <w:sz w:val="32"/>
          <w:szCs w:val="32"/>
        </w:rPr>
        <w:t>20</w:t>
      </w:r>
      <w:r>
        <w:rPr>
          <w:rFonts w:ascii="仿宋" w:eastAsia="仿宋" w:hAnsi="仿宋" w:cs="仿宋" w:hint="eastAsia"/>
          <w:kern w:val="0"/>
          <w:sz w:val="32"/>
          <w:szCs w:val="32"/>
        </w:rPr>
        <w:t>户，回收调查问卷</w:t>
      </w:r>
      <w:r>
        <w:rPr>
          <w:rFonts w:ascii="仿宋" w:eastAsia="仿宋" w:hAnsi="仿宋" w:cs="仿宋" w:hint="eastAsia"/>
          <w:kern w:val="0"/>
          <w:sz w:val="32"/>
          <w:szCs w:val="32"/>
        </w:rPr>
        <w:t>20</w:t>
      </w:r>
      <w:r>
        <w:rPr>
          <w:rFonts w:ascii="仿宋" w:eastAsia="仿宋" w:hAnsi="仿宋" w:cs="仿宋" w:hint="eastAsia"/>
          <w:kern w:val="0"/>
          <w:sz w:val="32"/>
          <w:szCs w:val="32"/>
        </w:rPr>
        <w:t>份，企业满意度达到了</w:t>
      </w:r>
      <w:r>
        <w:rPr>
          <w:rFonts w:ascii="仿宋" w:eastAsia="仿宋" w:hAnsi="仿宋" w:cs="仿宋" w:hint="eastAsia"/>
          <w:kern w:val="0"/>
          <w:sz w:val="32"/>
          <w:szCs w:val="32"/>
        </w:rPr>
        <w:t>100%</w:t>
      </w:r>
      <w:r>
        <w:rPr>
          <w:rFonts w:ascii="仿宋" w:eastAsia="仿宋" w:hAnsi="仿宋" w:cs="仿宋" w:hint="eastAsia"/>
          <w:kern w:val="0"/>
          <w:sz w:val="32"/>
          <w:szCs w:val="32"/>
        </w:rPr>
        <w:t>。</w:t>
      </w:r>
    </w:p>
    <w:p w:rsidR="000F0EA8" w:rsidRDefault="00885E0F" w:rsidP="000F0EA8">
      <w:pPr>
        <w:ind w:firstLineChars="200" w:firstLine="640"/>
        <w:rPr>
          <w:rFonts w:ascii="楷体" w:eastAsia="楷体" w:hAnsi="楷体"/>
          <w:b/>
          <w:sz w:val="32"/>
          <w:szCs w:val="32"/>
        </w:rPr>
      </w:pPr>
      <w:r>
        <w:rPr>
          <w:rFonts w:ascii="楷体" w:eastAsia="楷体" w:hAnsi="楷体" w:hint="eastAsia"/>
          <w:b/>
          <w:sz w:val="32"/>
          <w:szCs w:val="32"/>
        </w:rPr>
        <w:t>（三）狠抓执法监管，全力维护消费者合法权益。</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执法监管成效显著。认真组织开展了“春雷行动</w:t>
      </w:r>
      <w:r>
        <w:rPr>
          <w:rFonts w:ascii="仿宋" w:eastAsia="仿宋" w:hAnsi="仿宋" w:cs="仿宋" w:hint="eastAsia"/>
          <w:kern w:val="0"/>
          <w:sz w:val="32"/>
          <w:szCs w:val="32"/>
        </w:rPr>
        <w:t>2021</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“铁拳行动”等多项专项行动，取得显著成效。共计检查各类市场主体</w:t>
      </w:r>
      <w:r>
        <w:rPr>
          <w:rFonts w:ascii="仿宋" w:eastAsia="仿宋" w:hAnsi="仿宋" w:cs="仿宋" w:hint="eastAsia"/>
          <w:kern w:val="0"/>
          <w:sz w:val="32"/>
          <w:szCs w:val="32"/>
        </w:rPr>
        <w:t>925</w:t>
      </w:r>
      <w:r>
        <w:rPr>
          <w:rFonts w:ascii="仿宋" w:eastAsia="仿宋" w:hAnsi="仿宋" w:cs="仿宋" w:hint="eastAsia"/>
          <w:kern w:val="0"/>
          <w:sz w:val="32"/>
          <w:szCs w:val="32"/>
        </w:rPr>
        <w:t>户次，规范办照</w:t>
      </w:r>
      <w:r>
        <w:rPr>
          <w:rFonts w:ascii="仿宋" w:eastAsia="仿宋" w:hAnsi="仿宋" w:cs="仿宋" w:hint="eastAsia"/>
          <w:kern w:val="0"/>
          <w:sz w:val="32"/>
          <w:szCs w:val="32"/>
        </w:rPr>
        <w:t>160</w:t>
      </w:r>
      <w:r>
        <w:rPr>
          <w:rFonts w:ascii="仿宋" w:eastAsia="仿宋" w:hAnsi="仿宋" w:cs="仿宋" w:hint="eastAsia"/>
          <w:kern w:val="0"/>
          <w:sz w:val="32"/>
          <w:szCs w:val="32"/>
        </w:rPr>
        <w:t>户、发出整改通知书</w:t>
      </w:r>
      <w:r>
        <w:rPr>
          <w:rFonts w:ascii="仿宋" w:eastAsia="仿宋" w:hAnsi="仿宋" w:cs="仿宋" w:hint="eastAsia"/>
          <w:kern w:val="0"/>
          <w:sz w:val="32"/>
          <w:szCs w:val="32"/>
        </w:rPr>
        <w:t>120</w:t>
      </w:r>
      <w:r>
        <w:rPr>
          <w:rFonts w:ascii="仿宋" w:eastAsia="仿宋" w:hAnsi="仿宋" w:cs="仿宋" w:hint="eastAsia"/>
          <w:kern w:val="0"/>
          <w:sz w:val="32"/>
          <w:szCs w:val="32"/>
        </w:rPr>
        <w:t>份，依法依规确定吊销“死户”企业</w:t>
      </w:r>
      <w:r>
        <w:rPr>
          <w:rFonts w:ascii="仿宋" w:eastAsia="仿宋" w:hAnsi="仿宋" w:cs="仿宋" w:hint="eastAsia"/>
          <w:kern w:val="0"/>
          <w:sz w:val="32"/>
          <w:szCs w:val="32"/>
        </w:rPr>
        <w:t>34</w:t>
      </w:r>
      <w:r>
        <w:rPr>
          <w:rFonts w:ascii="仿宋" w:eastAsia="仿宋" w:hAnsi="仿宋" w:cs="仿宋" w:hint="eastAsia"/>
          <w:kern w:val="0"/>
          <w:sz w:val="32"/>
          <w:szCs w:val="32"/>
        </w:rPr>
        <w:t>家，查办案件</w:t>
      </w:r>
      <w:r>
        <w:rPr>
          <w:rFonts w:ascii="仿宋" w:eastAsia="仿宋" w:hAnsi="仿宋" w:cs="仿宋" w:hint="eastAsia"/>
          <w:kern w:val="0"/>
          <w:sz w:val="32"/>
          <w:szCs w:val="32"/>
        </w:rPr>
        <w:t>63</w:t>
      </w:r>
      <w:r>
        <w:rPr>
          <w:rFonts w:ascii="仿宋" w:eastAsia="仿宋" w:hAnsi="仿宋" w:cs="仿宋" w:hint="eastAsia"/>
          <w:kern w:val="0"/>
          <w:sz w:val="32"/>
          <w:szCs w:val="32"/>
        </w:rPr>
        <w:t>件，已结案</w:t>
      </w:r>
      <w:r>
        <w:rPr>
          <w:rFonts w:ascii="仿宋" w:eastAsia="仿宋" w:hAnsi="仿宋" w:cs="仿宋" w:hint="eastAsia"/>
          <w:kern w:val="0"/>
          <w:sz w:val="32"/>
          <w:szCs w:val="32"/>
        </w:rPr>
        <w:t>63</w:t>
      </w:r>
      <w:r>
        <w:rPr>
          <w:rFonts w:ascii="仿宋" w:eastAsia="仿宋" w:hAnsi="仿宋" w:cs="仿宋" w:hint="eastAsia"/>
          <w:kern w:val="0"/>
          <w:sz w:val="32"/>
          <w:szCs w:val="32"/>
        </w:rPr>
        <w:t>件，案值</w:t>
      </w:r>
      <w:r>
        <w:rPr>
          <w:rFonts w:ascii="仿宋" w:eastAsia="仿宋" w:hAnsi="仿宋" w:cs="仿宋" w:hint="eastAsia"/>
          <w:kern w:val="0"/>
          <w:sz w:val="32"/>
          <w:szCs w:val="32"/>
        </w:rPr>
        <w:t>25.2</w:t>
      </w:r>
      <w:r>
        <w:rPr>
          <w:rFonts w:ascii="仿宋" w:eastAsia="仿宋" w:hAnsi="仿宋" w:cs="仿宋" w:hint="eastAsia"/>
          <w:kern w:val="0"/>
          <w:sz w:val="32"/>
          <w:szCs w:val="32"/>
        </w:rPr>
        <w:t>万元，处罚没款</w:t>
      </w:r>
      <w:r>
        <w:rPr>
          <w:rFonts w:ascii="仿宋" w:eastAsia="仿宋" w:hAnsi="仿宋" w:cs="仿宋" w:hint="eastAsia"/>
          <w:kern w:val="0"/>
          <w:sz w:val="32"/>
          <w:szCs w:val="32"/>
        </w:rPr>
        <w:t>50.38</w:t>
      </w:r>
      <w:r>
        <w:rPr>
          <w:rFonts w:ascii="仿宋" w:eastAsia="仿宋" w:hAnsi="仿宋" w:cs="仿宋" w:hint="eastAsia"/>
          <w:kern w:val="0"/>
          <w:sz w:val="32"/>
          <w:szCs w:val="32"/>
        </w:rPr>
        <w:t>万。向公安机关移交涉嫌销售有毒有害食品案件</w:t>
      </w:r>
      <w:r>
        <w:rPr>
          <w:rFonts w:ascii="仿宋" w:eastAsia="仿宋" w:hAnsi="仿宋" w:cs="仿宋" w:hint="eastAsia"/>
          <w:kern w:val="0"/>
          <w:sz w:val="32"/>
          <w:szCs w:val="32"/>
        </w:rPr>
        <w:t>1</w:t>
      </w:r>
      <w:r>
        <w:rPr>
          <w:rFonts w:ascii="仿宋" w:eastAsia="仿宋" w:hAnsi="仿宋" w:cs="仿宋" w:hint="eastAsia"/>
          <w:kern w:val="0"/>
          <w:sz w:val="32"/>
          <w:szCs w:val="32"/>
        </w:rPr>
        <w:t>件，严厉打击了回收废弃火锅底料行为。我局查处的经营未经检验检疫牛大肚案被省“春雷行动”办公室评为典型案件。</w:t>
      </w:r>
    </w:p>
    <w:p w:rsidR="000F0EA8" w:rsidRDefault="00885E0F">
      <w:pPr>
        <w:ind w:firstLineChars="200" w:firstLine="640"/>
        <w:rPr>
          <w:rFonts w:ascii="仿宋" w:eastAsia="仿宋" w:hAnsi="仿宋"/>
          <w:sz w:val="32"/>
          <w:szCs w:val="32"/>
        </w:rPr>
      </w:pPr>
      <w:r>
        <w:rPr>
          <w:rFonts w:ascii="仿宋" w:eastAsia="仿宋" w:hAnsi="仿宋" w:cs="仿宋" w:hint="eastAsia"/>
          <w:kern w:val="0"/>
          <w:sz w:val="32"/>
          <w:szCs w:val="32"/>
        </w:rPr>
        <w:t>切实保护消费者权益。</w:t>
      </w:r>
      <w:r>
        <w:rPr>
          <w:rFonts w:ascii="仿宋" w:eastAsia="仿宋" w:hAnsi="仿宋" w:cs="仿宋" w:hint="eastAsia"/>
          <w:kern w:val="0"/>
          <w:sz w:val="32"/>
          <w:szCs w:val="32"/>
        </w:rPr>
        <w:t>2021</w:t>
      </w:r>
      <w:r>
        <w:rPr>
          <w:rFonts w:ascii="仿宋" w:eastAsia="仿宋" w:hAnsi="仿宋" w:cs="仿宋" w:hint="eastAsia"/>
          <w:kern w:val="0"/>
          <w:sz w:val="32"/>
          <w:szCs w:val="32"/>
        </w:rPr>
        <w:t>年，共受理各类咨询、投诉、举报</w:t>
      </w:r>
      <w:r>
        <w:rPr>
          <w:rFonts w:ascii="仿宋" w:eastAsia="仿宋" w:hAnsi="仿宋" w:cs="仿宋" w:hint="eastAsia"/>
          <w:kern w:val="0"/>
          <w:sz w:val="32"/>
          <w:szCs w:val="32"/>
        </w:rPr>
        <w:t>347</w:t>
      </w:r>
      <w:r>
        <w:rPr>
          <w:rFonts w:ascii="仿宋" w:eastAsia="仿宋" w:hAnsi="仿宋" w:cs="仿宋" w:hint="eastAsia"/>
          <w:kern w:val="0"/>
          <w:sz w:val="32"/>
          <w:szCs w:val="32"/>
        </w:rPr>
        <w:t>件，办结</w:t>
      </w:r>
      <w:r>
        <w:rPr>
          <w:rFonts w:ascii="仿宋" w:eastAsia="仿宋" w:hAnsi="仿宋" w:cs="仿宋" w:hint="eastAsia"/>
          <w:kern w:val="0"/>
          <w:sz w:val="32"/>
          <w:szCs w:val="32"/>
        </w:rPr>
        <w:t>347</w:t>
      </w:r>
      <w:r>
        <w:rPr>
          <w:rFonts w:ascii="仿宋" w:eastAsia="仿宋" w:hAnsi="仿宋" w:cs="仿宋" w:hint="eastAsia"/>
          <w:kern w:val="0"/>
          <w:sz w:val="32"/>
          <w:szCs w:val="32"/>
        </w:rPr>
        <w:t>件，办结率</w:t>
      </w:r>
      <w:r>
        <w:rPr>
          <w:rFonts w:ascii="仿宋" w:eastAsia="仿宋" w:hAnsi="仿宋" w:cs="仿宋" w:hint="eastAsia"/>
          <w:kern w:val="0"/>
          <w:sz w:val="32"/>
          <w:szCs w:val="32"/>
        </w:rPr>
        <w:t>100%</w:t>
      </w:r>
      <w:r>
        <w:rPr>
          <w:rFonts w:ascii="仿宋" w:eastAsia="仿宋" w:hAnsi="仿宋" w:cs="仿宋" w:hint="eastAsia"/>
          <w:kern w:val="0"/>
          <w:sz w:val="32"/>
          <w:szCs w:val="32"/>
        </w:rPr>
        <w:t>，为消费者挽回经济损失</w:t>
      </w:r>
      <w:r>
        <w:rPr>
          <w:rFonts w:ascii="仿宋" w:eastAsia="仿宋" w:hAnsi="仿宋" w:cs="仿宋" w:hint="eastAsia"/>
          <w:kern w:val="0"/>
          <w:sz w:val="32"/>
          <w:szCs w:val="32"/>
        </w:rPr>
        <w:t>268.5</w:t>
      </w:r>
      <w:r>
        <w:rPr>
          <w:rFonts w:ascii="仿宋" w:eastAsia="仿宋" w:hAnsi="仿宋" w:cs="仿宋" w:hint="eastAsia"/>
          <w:kern w:val="0"/>
          <w:sz w:val="32"/>
          <w:szCs w:val="32"/>
        </w:rPr>
        <w:t>万元。今年我局</w:t>
      </w:r>
      <w:r>
        <w:rPr>
          <w:rFonts w:ascii="仿宋" w:eastAsia="仿宋" w:hAnsi="仿宋" w:cs="仿宋" w:hint="eastAsia"/>
          <w:kern w:val="0"/>
          <w:sz w:val="32"/>
          <w:szCs w:val="32"/>
        </w:rPr>
        <w:t>新发展</w:t>
      </w:r>
      <w:r>
        <w:rPr>
          <w:rFonts w:ascii="仿宋" w:eastAsia="仿宋" w:hAnsi="仿宋" w:cs="仿宋" w:hint="eastAsia"/>
          <w:kern w:val="0"/>
          <w:sz w:val="32"/>
          <w:szCs w:val="32"/>
        </w:rPr>
        <w:t>ODR</w:t>
      </w:r>
      <w:r>
        <w:rPr>
          <w:rFonts w:ascii="仿宋" w:eastAsia="仿宋" w:hAnsi="仿宋" w:cs="仿宋" w:hint="eastAsia"/>
          <w:kern w:val="0"/>
          <w:sz w:val="32"/>
          <w:szCs w:val="32"/>
        </w:rPr>
        <w:t>企业（全国</w:t>
      </w:r>
      <w:r>
        <w:rPr>
          <w:rFonts w:ascii="仿宋" w:eastAsia="仿宋" w:hAnsi="仿宋" w:cs="仿宋" w:hint="eastAsia"/>
          <w:kern w:val="0"/>
          <w:sz w:val="32"/>
          <w:szCs w:val="32"/>
        </w:rPr>
        <w:t>12315</w:t>
      </w:r>
      <w:r>
        <w:rPr>
          <w:rFonts w:ascii="仿宋" w:eastAsia="仿宋" w:hAnsi="仿宋" w:cs="仿宋" w:hint="eastAsia"/>
          <w:kern w:val="0"/>
          <w:sz w:val="32"/>
          <w:szCs w:val="32"/>
        </w:rPr>
        <w:t>互联网平台在线消费纠纷解决企业）</w:t>
      </w:r>
      <w:r>
        <w:rPr>
          <w:rFonts w:ascii="仿宋" w:eastAsia="仿宋" w:hAnsi="仿宋" w:cs="仿宋" w:hint="eastAsia"/>
          <w:kern w:val="0"/>
          <w:sz w:val="32"/>
          <w:szCs w:val="32"/>
        </w:rPr>
        <w:t> 1</w:t>
      </w:r>
      <w:r>
        <w:rPr>
          <w:rFonts w:ascii="仿宋" w:eastAsia="仿宋" w:hAnsi="仿宋" w:cs="仿宋" w:hint="eastAsia"/>
          <w:kern w:val="0"/>
          <w:sz w:val="32"/>
          <w:szCs w:val="32"/>
        </w:rPr>
        <w:t>家，全区共</w:t>
      </w:r>
      <w:r>
        <w:rPr>
          <w:rFonts w:ascii="仿宋" w:eastAsia="仿宋" w:hAnsi="仿宋" w:cs="仿宋" w:hint="eastAsia"/>
          <w:kern w:val="0"/>
          <w:sz w:val="32"/>
          <w:szCs w:val="32"/>
        </w:rPr>
        <w:t>7</w:t>
      </w:r>
      <w:r>
        <w:rPr>
          <w:rFonts w:ascii="仿宋" w:eastAsia="仿宋" w:hAnsi="仿宋" w:cs="仿宋" w:hint="eastAsia"/>
          <w:kern w:val="0"/>
          <w:sz w:val="32"/>
          <w:szCs w:val="32"/>
        </w:rPr>
        <w:t>家，今年受理投诉中由</w:t>
      </w:r>
      <w:r>
        <w:rPr>
          <w:rFonts w:ascii="仿宋" w:eastAsia="仿宋" w:hAnsi="仿宋" w:cs="仿宋" w:hint="eastAsia"/>
          <w:kern w:val="0"/>
          <w:sz w:val="32"/>
          <w:szCs w:val="32"/>
        </w:rPr>
        <w:t>ODR</w:t>
      </w:r>
      <w:r>
        <w:rPr>
          <w:rFonts w:ascii="仿宋" w:eastAsia="仿宋" w:hAnsi="仿宋" w:cs="仿宋" w:hint="eastAsia"/>
          <w:kern w:val="0"/>
          <w:sz w:val="32"/>
          <w:szCs w:val="32"/>
        </w:rPr>
        <w:t>企业自行处理的</w:t>
      </w:r>
      <w:r>
        <w:rPr>
          <w:rFonts w:ascii="仿宋" w:eastAsia="仿宋" w:hAnsi="仿宋" w:cs="仿宋" w:hint="eastAsia"/>
          <w:kern w:val="0"/>
          <w:sz w:val="32"/>
          <w:szCs w:val="32"/>
        </w:rPr>
        <w:t>43</w:t>
      </w:r>
      <w:r>
        <w:rPr>
          <w:rFonts w:ascii="仿宋" w:eastAsia="仿宋" w:hAnsi="仿宋" w:cs="仿宋" w:hint="eastAsia"/>
          <w:kern w:val="0"/>
          <w:sz w:val="32"/>
          <w:szCs w:val="32"/>
        </w:rPr>
        <w:t>件。我局的大众汽车消费纠纷案例被评</w:t>
      </w:r>
      <w:r>
        <w:rPr>
          <w:rFonts w:ascii="仿宋" w:eastAsia="仿宋" w:hAnsi="仿宋" w:cs="仿宋" w:hint="eastAsia"/>
          <w:kern w:val="0"/>
          <w:sz w:val="32"/>
          <w:szCs w:val="32"/>
        </w:rPr>
        <w:lastRenderedPageBreak/>
        <w:t>选为全市唯一参选案例，将代表广元参加省局和省消委举办的消费纠纷案例评选。</w:t>
      </w:r>
    </w:p>
    <w:p w:rsidR="000F0EA8" w:rsidRDefault="00885E0F" w:rsidP="000F0EA8">
      <w:pPr>
        <w:ind w:firstLineChars="200" w:firstLine="640"/>
        <w:rPr>
          <w:rFonts w:ascii="楷体" w:eastAsia="楷体" w:hAnsi="楷体"/>
          <w:b/>
          <w:sz w:val="32"/>
          <w:szCs w:val="32"/>
        </w:rPr>
      </w:pPr>
      <w:r>
        <w:rPr>
          <w:rFonts w:ascii="楷体" w:eastAsia="楷体" w:hAnsi="楷体" w:hint="eastAsia"/>
          <w:b/>
          <w:sz w:val="32"/>
          <w:szCs w:val="32"/>
        </w:rPr>
        <w:t>（四）履职尽责，积极完成中心工作。</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巩固拓展脱贫攻坚成果与乡村振兴有效衔接。一是积极响应乡村振兴新风，共抽调</w:t>
      </w:r>
      <w:r>
        <w:rPr>
          <w:rFonts w:ascii="仿宋" w:eastAsia="仿宋" w:hAnsi="仿宋" w:cs="仿宋" w:hint="eastAsia"/>
          <w:kern w:val="0"/>
          <w:sz w:val="32"/>
          <w:szCs w:val="32"/>
        </w:rPr>
        <w:t>3</w:t>
      </w:r>
      <w:r>
        <w:rPr>
          <w:rFonts w:ascii="仿宋" w:eastAsia="仿宋" w:hAnsi="仿宋" w:cs="仿宋" w:hint="eastAsia"/>
          <w:kern w:val="0"/>
          <w:sz w:val="32"/>
          <w:szCs w:val="32"/>
        </w:rPr>
        <w:t>名干部全脱产参与乡村振兴，推动乡村振兴战略落地见效，为促进共同</w:t>
      </w:r>
      <w:proofErr w:type="gramStart"/>
      <w:r>
        <w:rPr>
          <w:rFonts w:ascii="仿宋" w:eastAsia="仿宋" w:hAnsi="仿宋" w:cs="仿宋" w:hint="eastAsia"/>
          <w:kern w:val="0"/>
          <w:sz w:val="32"/>
          <w:szCs w:val="32"/>
        </w:rPr>
        <w:t>富裕贡献市监</w:t>
      </w:r>
      <w:proofErr w:type="gramEnd"/>
      <w:r>
        <w:rPr>
          <w:rFonts w:ascii="仿宋" w:eastAsia="仿宋" w:hAnsi="仿宋" w:cs="仿宋" w:hint="eastAsia"/>
          <w:kern w:val="0"/>
          <w:sz w:val="32"/>
          <w:szCs w:val="32"/>
        </w:rPr>
        <w:t>力量。二是扎实开展走访帮扶慰问。全年共为帮扶村及帮扶户送去慰问品（金）</w:t>
      </w:r>
      <w:r>
        <w:rPr>
          <w:rFonts w:ascii="仿宋" w:eastAsia="仿宋" w:hAnsi="仿宋" w:cs="仿宋" w:hint="eastAsia"/>
          <w:kern w:val="0"/>
          <w:sz w:val="32"/>
          <w:szCs w:val="32"/>
        </w:rPr>
        <w:t>0.38</w:t>
      </w:r>
      <w:r>
        <w:rPr>
          <w:rFonts w:ascii="仿宋" w:eastAsia="仿宋" w:hAnsi="仿宋" w:cs="仿宋" w:hint="eastAsia"/>
          <w:kern w:val="0"/>
          <w:sz w:val="32"/>
          <w:szCs w:val="32"/>
        </w:rPr>
        <w:t>万元。</w:t>
      </w:r>
    </w:p>
    <w:p w:rsidR="000F0EA8" w:rsidRDefault="00885E0F">
      <w:pPr>
        <w:ind w:firstLineChars="200" w:firstLine="640"/>
        <w:rPr>
          <w:rFonts w:ascii="仿宋" w:eastAsia="仿宋" w:hAnsi="仿宋" w:cs="仿宋"/>
          <w:kern w:val="0"/>
          <w:sz w:val="32"/>
          <w:szCs w:val="32"/>
        </w:rPr>
      </w:pPr>
      <w:r>
        <w:rPr>
          <w:rFonts w:ascii="仿宋" w:eastAsia="仿宋" w:hAnsi="仿宋" w:cs="仿宋" w:hint="eastAsia"/>
          <w:kern w:val="0"/>
          <w:sz w:val="32"/>
          <w:szCs w:val="32"/>
        </w:rPr>
        <w:t>积极配合做</w:t>
      </w:r>
      <w:r>
        <w:rPr>
          <w:rFonts w:ascii="仿宋" w:eastAsia="仿宋" w:hAnsi="仿宋" w:cs="仿宋" w:hint="eastAsia"/>
          <w:kern w:val="0"/>
          <w:sz w:val="32"/>
          <w:szCs w:val="32"/>
        </w:rPr>
        <w:t>好全国文明城市创建工作和全国卫生城市复审迎检工作。分局全体职工深入农贸市场、便民服务点、沿街餐饮店，开展整治行动。</w:t>
      </w:r>
    </w:p>
    <w:p w:rsidR="000F0EA8" w:rsidRDefault="00885E0F">
      <w:pPr>
        <w:pStyle w:val="a0"/>
        <w:tabs>
          <w:tab w:val="left" w:pos="7703"/>
        </w:tabs>
        <w:spacing w:before="93"/>
        <w:ind w:firstLineChars="200" w:firstLine="640"/>
        <w:rPr>
          <w:rFonts w:ascii="仿宋" w:eastAsia="仿宋" w:hAnsi="仿宋" w:cs="仿宋"/>
          <w:sz w:val="32"/>
          <w:szCs w:val="32"/>
        </w:rPr>
      </w:pPr>
      <w:r>
        <w:rPr>
          <w:rFonts w:ascii="仿宋" w:eastAsia="仿宋" w:hAnsi="仿宋" w:cs="仿宋" w:hint="eastAsia"/>
          <w:sz w:val="32"/>
          <w:szCs w:val="32"/>
        </w:rPr>
        <w:t>依法治</w:t>
      </w:r>
      <w:proofErr w:type="gramStart"/>
      <w:r>
        <w:rPr>
          <w:rFonts w:ascii="仿宋" w:eastAsia="仿宋" w:hAnsi="仿宋" w:cs="仿宋" w:hint="eastAsia"/>
          <w:sz w:val="32"/>
          <w:szCs w:val="32"/>
        </w:rPr>
        <w:t>区成效</w:t>
      </w:r>
      <w:proofErr w:type="gramEnd"/>
      <w:r>
        <w:rPr>
          <w:rFonts w:ascii="仿宋" w:eastAsia="仿宋" w:hAnsi="仿宋" w:cs="仿宋" w:hint="eastAsia"/>
          <w:sz w:val="32"/>
          <w:szCs w:val="32"/>
        </w:rPr>
        <w:t>明显。通过各业务口的宣传培训，加大对市场主体的普法教育。</w:t>
      </w:r>
    </w:p>
    <w:p w:rsidR="000F0EA8" w:rsidRDefault="00885E0F">
      <w:pPr>
        <w:pStyle w:val="a0"/>
        <w:tabs>
          <w:tab w:val="left" w:pos="7703"/>
        </w:tabs>
        <w:spacing w:before="93"/>
        <w:ind w:firstLineChars="200" w:firstLine="640"/>
        <w:rPr>
          <w:rFonts w:ascii="仿宋" w:eastAsia="仿宋" w:hAnsi="仿宋" w:cs="仿宋"/>
          <w:sz w:val="32"/>
          <w:szCs w:val="32"/>
        </w:rPr>
      </w:pPr>
      <w:r>
        <w:rPr>
          <w:rFonts w:ascii="仿宋" w:eastAsia="仿宋" w:hAnsi="仿宋" w:cs="仿宋" w:hint="eastAsia"/>
          <w:sz w:val="32"/>
          <w:szCs w:val="32"/>
        </w:rPr>
        <w:t>助力</w:t>
      </w:r>
      <w:proofErr w:type="gramStart"/>
      <w:r>
        <w:rPr>
          <w:rFonts w:ascii="仿宋" w:eastAsia="仿宋" w:hAnsi="仿宋" w:cs="仿宋" w:hint="eastAsia"/>
          <w:sz w:val="32"/>
          <w:szCs w:val="32"/>
        </w:rPr>
        <w:t>铝产业</w:t>
      </w:r>
      <w:proofErr w:type="gramEnd"/>
      <w:r>
        <w:rPr>
          <w:rFonts w:ascii="仿宋" w:eastAsia="仿宋" w:hAnsi="仿宋" w:cs="仿宋" w:hint="eastAsia"/>
          <w:sz w:val="32"/>
          <w:szCs w:val="32"/>
        </w:rPr>
        <w:t>研究院建成省级研究院。协调市产品质量检验所与</w:t>
      </w:r>
      <w:proofErr w:type="gramStart"/>
      <w:r>
        <w:rPr>
          <w:rFonts w:ascii="仿宋" w:eastAsia="仿宋" w:hAnsi="仿宋" w:cs="仿宋" w:hint="eastAsia"/>
          <w:sz w:val="32"/>
          <w:szCs w:val="32"/>
        </w:rPr>
        <w:t>铝产业</w:t>
      </w:r>
      <w:proofErr w:type="gramEnd"/>
      <w:r>
        <w:rPr>
          <w:rFonts w:ascii="仿宋" w:eastAsia="仿宋" w:hAnsi="仿宋" w:cs="仿宋" w:hint="eastAsia"/>
          <w:sz w:val="32"/>
          <w:szCs w:val="32"/>
        </w:rPr>
        <w:t>研究院深度合作，力争建成省级检测中心。</w:t>
      </w:r>
    </w:p>
    <w:p w:rsidR="000F0EA8" w:rsidRDefault="00885E0F">
      <w:pPr>
        <w:pStyle w:val="1"/>
        <w:ind w:right="440"/>
        <w:jc w:val="center"/>
        <w:rPr>
          <w:rStyle w:val="1Char"/>
          <w:rFonts w:ascii="新宋体" w:eastAsia="新宋体" w:hAnsi="新宋体" w:cs="新宋体"/>
          <w:bCs/>
          <w:sz w:val="36"/>
          <w:szCs w:val="36"/>
        </w:rPr>
      </w:pPr>
      <w:bookmarkStart w:id="20" w:name="_Toc15377204"/>
      <w:bookmarkStart w:id="21" w:name="_Toc15396602"/>
      <w:bookmarkStart w:id="22" w:name="_Toc115248303"/>
      <w:bookmarkStart w:id="23" w:name="_Toc13143"/>
      <w:r>
        <w:rPr>
          <w:rFonts w:ascii="新宋体" w:eastAsia="新宋体" w:hAnsi="新宋体" w:cs="新宋体" w:hint="eastAsia"/>
          <w:sz w:val="36"/>
          <w:szCs w:val="36"/>
        </w:rPr>
        <w:t>第二部分</w:t>
      </w:r>
      <w:r>
        <w:rPr>
          <w:rFonts w:ascii="新宋体" w:eastAsia="新宋体" w:hAnsi="新宋体" w:cs="新宋体" w:hint="eastAsia"/>
          <w:sz w:val="36"/>
          <w:szCs w:val="36"/>
        </w:rPr>
        <w:t xml:space="preserve"> 2021</w:t>
      </w:r>
      <w:r>
        <w:rPr>
          <w:rFonts w:ascii="新宋体" w:eastAsia="新宋体" w:hAnsi="新宋体" w:cs="新宋体" w:hint="eastAsia"/>
          <w:sz w:val="36"/>
          <w:szCs w:val="36"/>
        </w:rPr>
        <w:t>年度</w:t>
      </w:r>
      <w:r>
        <w:rPr>
          <w:rStyle w:val="1Char"/>
          <w:rFonts w:ascii="新宋体" w:eastAsia="新宋体" w:hAnsi="新宋体" w:cs="新宋体" w:hint="eastAsia"/>
          <w:b/>
          <w:bCs/>
          <w:sz w:val="36"/>
          <w:szCs w:val="36"/>
        </w:rPr>
        <w:t>单位决算情况说明</w:t>
      </w:r>
      <w:bookmarkEnd w:id="20"/>
      <w:bookmarkEnd w:id="21"/>
      <w:bookmarkEnd w:id="22"/>
      <w:bookmarkEnd w:id="23"/>
    </w:p>
    <w:p w:rsidR="000F0EA8" w:rsidRDefault="00885E0F">
      <w:pPr>
        <w:pStyle w:val="2"/>
        <w:ind w:firstLineChars="200" w:firstLine="643"/>
        <w:rPr>
          <w:rFonts w:ascii="新宋体" w:eastAsia="新宋体" w:hAnsi="新宋体" w:cs="新宋体"/>
        </w:rPr>
      </w:pPr>
      <w:bookmarkStart w:id="24" w:name="_Toc31231"/>
      <w:r>
        <w:rPr>
          <w:rFonts w:ascii="新宋体" w:eastAsia="新宋体" w:hAnsi="新宋体" w:cs="新宋体" w:hint="eastAsia"/>
        </w:rPr>
        <w:t>一、收入支出决算总体情况说明</w:t>
      </w:r>
      <w:bookmarkEnd w:id="24"/>
    </w:p>
    <w:p w:rsidR="000F0EA8" w:rsidRDefault="00885E0F">
      <w:pPr>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年度收、支总计</w:t>
      </w:r>
      <w:r>
        <w:rPr>
          <w:rFonts w:ascii="仿宋" w:eastAsia="仿宋" w:hAnsi="仿宋" w:hint="eastAsia"/>
          <w:sz w:val="32"/>
          <w:szCs w:val="32"/>
        </w:rPr>
        <w:t>390.94</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年相比，收、支总计各增加</w:t>
      </w:r>
      <w:r>
        <w:rPr>
          <w:rFonts w:ascii="仿宋" w:eastAsia="仿宋" w:hAnsi="仿宋" w:hint="eastAsia"/>
          <w:sz w:val="32"/>
          <w:szCs w:val="32"/>
        </w:rPr>
        <w:t>6.35</w:t>
      </w:r>
      <w:r>
        <w:rPr>
          <w:rFonts w:ascii="仿宋" w:eastAsia="仿宋" w:hAnsi="仿宋" w:hint="eastAsia"/>
          <w:sz w:val="32"/>
          <w:szCs w:val="32"/>
        </w:rPr>
        <w:t>万元，增长</w:t>
      </w:r>
      <w:r>
        <w:rPr>
          <w:rFonts w:ascii="仿宋" w:eastAsia="仿宋" w:hAnsi="仿宋" w:hint="eastAsia"/>
          <w:sz w:val="32"/>
          <w:szCs w:val="32"/>
        </w:rPr>
        <w:t>1.65%</w:t>
      </w:r>
      <w:r>
        <w:rPr>
          <w:rFonts w:ascii="仿宋" w:eastAsia="仿宋" w:hAnsi="仿宋" w:hint="eastAsia"/>
          <w:sz w:val="32"/>
          <w:szCs w:val="32"/>
        </w:rPr>
        <w:t>。主要变动原因是</w:t>
      </w:r>
      <w:r>
        <w:rPr>
          <w:rFonts w:ascii="仿宋" w:eastAsia="仿宋" w:hAnsi="仿宋" w:hint="eastAsia"/>
          <w:sz w:val="32"/>
          <w:szCs w:val="32"/>
        </w:rPr>
        <w:t>2021</w:t>
      </w:r>
      <w:r>
        <w:rPr>
          <w:rFonts w:ascii="仿宋" w:eastAsia="仿宋" w:hAnsi="仿宋" w:hint="eastAsia"/>
          <w:sz w:val="32"/>
          <w:szCs w:val="32"/>
        </w:rPr>
        <w:t>年中央食品、药品监管补助资金和省级市场监管专项资金增加。</w:t>
      </w:r>
    </w:p>
    <w:p w:rsidR="000F0EA8" w:rsidRDefault="00885E0F">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w:t>
      </w:r>
      <w:r>
        <w:rPr>
          <w:rFonts w:ascii="仿宋" w:eastAsia="仿宋" w:hAnsi="仿宋" w:hint="eastAsia"/>
          <w:sz w:val="32"/>
          <w:szCs w:val="32"/>
        </w:rPr>
        <w:t>1</w:t>
      </w:r>
      <w:r>
        <w:rPr>
          <w:rFonts w:ascii="仿宋" w:eastAsia="仿宋" w:hAnsi="仿宋" w:hint="eastAsia"/>
          <w:sz w:val="32"/>
          <w:szCs w:val="32"/>
        </w:rPr>
        <w:t>：收、支决算总计变动情况图）（柱状图）</w:t>
      </w:r>
    </w:p>
    <w:p w:rsidR="000F0EA8" w:rsidRDefault="00885E0F">
      <w:pPr>
        <w:spacing w:line="600" w:lineRule="exact"/>
        <w:ind w:firstLineChars="200" w:firstLine="643"/>
        <w:jc w:val="left"/>
        <w:rPr>
          <w:rFonts w:ascii="新宋体" w:eastAsia="新宋体" w:hAnsi="新宋体" w:cs="新宋体"/>
          <w:b/>
          <w:bCs/>
          <w:sz w:val="32"/>
          <w:szCs w:val="32"/>
        </w:rPr>
      </w:pPr>
      <w:r>
        <w:rPr>
          <w:rFonts w:ascii="新宋体" w:eastAsia="新宋体" w:hAnsi="新宋体" w:cs="新宋体" w:hint="eastAsia"/>
          <w:b/>
          <w:bCs/>
          <w:noProof/>
          <w:sz w:val="32"/>
          <w:szCs w:val="32"/>
        </w:rPr>
        <w:drawing>
          <wp:anchor distT="0" distB="0" distL="114300" distR="114300" simplePos="0" relativeHeight="251659264" behindDoc="0" locked="0" layoutInCell="1" allowOverlap="1">
            <wp:simplePos x="0" y="0"/>
            <wp:positionH relativeFrom="column">
              <wp:posOffset>652145</wp:posOffset>
            </wp:positionH>
            <wp:positionV relativeFrom="paragraph">
              <wp:posOffset>95885</wp:posOffset>
            </wp:positionV>
            <wp:extent cx="4201795" cy="2870200"/>
            <wp:effectExtent l="6985" t="6985" r="20320" b="18415"/>
            <wp:wrapTopAndBottom/>
            <wp:docPr id="5" name="对象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5" w:name="_Toc6515"/>
      <w:r>
        <w:rPr>
          <w:rFonts w:ascii="新宋体" w:eastAsia="新宋体" w:hAnsi="新宋体" w:cs="新宋体" w:hint="eastAsia"/>
          <w:b/>
          <w:bCs/>
          <w:sz w:val="32"/>
          <w:szCs w:val="32"/>
        </w:rPr>
        <w:t>二、收入决算情况说明</w:t>
      </w:r>
      <w:bookmarkEnd w:id="25"/>
    </w:p>
    <w:p w:rsidR="000F0EA8" w:rsidRDefault="00885E0F">
      <w:pPr>
        <w:ind w:firstLineChars="200" w:firstLine="640"/>
        <w:rPr>
          <w:rFonts w:ascii="仿宋" w:eastAsia="仿宋" w:hAnsi="仿宋" w:cs="仿宋"/>
          <w:sz w:val="32"/>
          <w:szCs w:val="32"/>
        </w:rPr>
      </w:pPr>
      <w:bookmarkStart w:id="26" w:name="_Toc114132062"/>
      <w:bookmarkStart w:id="27" w:name="_Toc115253615"/>
      <w:bookmarkStart w:id="28" w:name="_Toc115248304"/>
      <w:bookmarkStart w:id="29" w:name="_Toc20245"/>
      <w:bookmarkStart w:id="30" w:name="_Toc18572"/>
      <w:bookmarkStart w:id="31" w:name="_Toc21430"/>
      <w:bookmarkStart w:id="32" w:name="_Toc1695"/>
      <w:r>
        <w:rPr>
          <w:rFonts w:ascii="仿宋" w:eastAsia="仿宋" w:hAnsi="仿宋" w:cs="仿宋" w:hint="eastAsia"/>
          <w:sz w:val="32"/>
          <w:szCs w:val="32"/>
        </w:rPr>
        <w:t>2021</w:t>
      </w:r>
      <w:r>
        <w:rPr>
          <w:rFonts w:ascii="仿宋" w:eastAsia="仿宋" w:hAnsi="仿宋" w:cs="仿宋" w:hint="eastAsia"/>
          <w:sz w:val="32"/>
          <w:szCs w:val="32"/>
        </w:rPr>
        <w:t>年本年收入合计</w:t>
      </w:r>
      <w:r>
        <w:rPr>
          <w:rFonts w:ascii="仿宋" w:eastAsia="仿宋" w:hAnsi="仿宋" w:cs="仿宋" w:hint="eastAsia"/>
          <w:sz w:val="32"/>
          <w:szCs w:val="32"/>
        </w:rPr>
        <w:t>369.78</w:t>
      </w:r>
      <w:r>
        <w:rPr>
          <w:rFonts w:ascii="仿宋" w:eastAsia="仿宋" w:hAnsi="仿宋" w:cs="仿宋" w:hint="eastAsia"/>
          <w:sz w:val="32"/>
          <w:szCs w:val="32"/>
        </w:rPr>
        <w:t>万元，其中：一般公共预算财政拨款收入</w:t>
      </w:r>
      <w:r>
        <w:rPr>
          <w:rFonts w:ascii="仿宋" w:eastAsia="仿宋" w:hAnsi="仿宋" w:cs="仿宋" w:hint="eastAsia"/>
          <w:sz w:val="32"/>
          <w:szCs w:val="32"/>
        </w:rPr>
        <w:t>369.78</w:t>
      </w:r>
      <w:r>
        <w:rPr>
          <w:rFonts w:ascii="仿宋" w:eastAsia="仿宋" w:hAnsi="仿宋" w:cs="仿宋" w:hint="eastAsia"/>
          <w:sz w:val="32"/>
          <w:szCs w:val="32"/>
        </w:rPr>
        <w:t>万元，占</w:t>
      </w:r>
      <w:r>
        <w:rPr>
          <w:rFonts w:ascii="仿宋" w:eastAsia="仿宋" w:hAnsi="仿宋" w:cs="仿宋" w:hint="eastAsia"/>
          <w:sz w:val="32"/>
          <w:szCs w:val="32"/>
        </w:rPr>
        <w:t>100%</w:t>
      </w:r>
      <w:r>
        <w:rPr>
          <w:rFonts w:ascii="仿宋" w:eastAsia="仿宋" w:hAnsi="仿宋" w:cs="仿宋" w:hint="eastAsia"/>
          <w:sz w:val="32"/>
          <w:szCs w:val="32"/>
        </w:rPr>
        <w:t>。</w:t>
      </w:r>
      <w:bookmarkEnd w:id="26"/>
      <w:bookmarkEnd w:id="27"/>
      <w:bookmarkEnd w:id="28"/>
      <w:bookmarkEnd w:id="29"/>
      <w:bookmarkEnd w:id="30"/>
      <w:bookmarkEnd w:id="31"/>
      <w:bookmarkEnd w:id="32"/>
    </w:p>
    <w:p w:rsidR="000F0EA8" w:rsidRDefault="00885E0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：收入决算结构图）（饼状图）</w:t>
      </w:r>
    </w:p>
    <w:p w:rsidR="000F0EA8" w:rsidRDefault="00885E0F">
      <w:pPr>
        <w:spacing w:line="600" w:lineRule="exact"/>
        <w:rPr>
          <w:rFonts w:ascii="仿宋" w:eastAsia="仿宋" w:hAnsi="仿宋"/>
          <w:sz w:val="32"/>
          <w:szCs w:val="32"/>
        </w:rPr>
      </w:pPr>
      <w:r>
        <w:rPr>
          <w:rFonts w:ascii="仿宋" w:eastAsia="仿宋" w:hAnsi="仿宋"/>
          <w:noProof/>
          <w:sz w:val="32"/>
          <w:szCs w:val="32"/>
        </w:rPr>
        <w:drawing>
          <wp:anchor distT="0" distB="0" distL="114300" distR="114300" simplePos="0" relativeHeight="251664384" behindDoc="1" locked="0" layoutInCell="1" allowOverlap="1">
            <wp:simplePos x="0" y="0"/>
            <wp:positionH relativeFrom="column">
              <wp:posOffset>638810</wp:posOffset>
            </wp:positionH>
            <wp:positionV relativeFrom="paragraph">
              <wp:posOffset>61595</wp:posOffset>
            </wp:positionV>
            <wp:extent cx="4330700" cy="2736215"/>
            <wp:effectExtent l="6985" t="6985" r="24765" b="19050"/>
            <wp:wrapTight wrapText="bothSides">
              <wp:wrapPolygon edited="0">
                <wp:start x="-35" y="-55"/>
                <wp:lineTo x="-35" y="21450"/>
                <wp:lineTo x="21533" y="21450"/>
                <wp:lineTo x="21533" y="-55"/>
                <wp:lineTo x="-35" y="-55"/>
              </wp:wrapPolygon>
            </wp:wrapTight>
            <wp:docPr id="1"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885E0F">
      <w:pPr>
        <w:pStyle w:val="2"/>
        <w:ind w:firstLineChars="200" w:firstLine="643"/>
        <w:rPr>
          <w:rFonts w:ascii="新宋体" w:eastAsia="新宋体" w:hAnsi="新宋体" w:cs="新宋体"/>
        </w:rPr>
      </w:pPr>
      <w:bookmarkStart w:id="33" w:name="_Toc31045"/>
      <w:bookmarkStart w:id="34" w:name="_Toc115248305"/>
      <w:bookmarkStart w:id="35" w:name="_Toc1886"/>
      <w:bookmarkStart w:id="36" w:name="_Toc114132064"/>
      <w:r>
        <w:rPr>
          <w:rFonts w:ascii="新宋体" w:eastAsia="新宋体" w:hAnsi="新宋体" w:cs="新宋体" w:hint="eastAsia"/>
        </w:rPr>
        <w:lastRenderedPageBreak/>
        <w:t>三、支出决算情况说明</w:t>
      </w:r>
      <w:bookmarkEnd w:id="33"/>
      <w:bookmarkEnd w:id="34"/>
      <w:bookmarkEnd w:id="35"/>
    </w:p>
    <w:p w:rsidR="000F0EA8" w:rsidRDefault="00885E0F">
      <w:pPr>
        <w:ind w:firstLineChars="200" w:firstLine="640"/>
        <w:rPr>
          <w:rFonts w:ascii="仿宋" w:eastAsia="仿宋" w:hAnsi="仿宋" w:cs="仿宋"/>
          <w:sz w:val="32"/>
          <w:szCs w:val="32"/>
        </w:rPr>
      </w:pPr>
      <w:bookmarkStart w:id="37" w:name="_Toc115248306"/>
      <w:bookmarkStart w:id="38" w:name="_Toc115253617"/>
      <w:bookmarkStart w:id="39" w:name="_Toc8197"/>
      <w:bookmarkStart w:id="40" w:name="_Toc6526"/>
      <w:r>
        <w:rPr>
          <w:rFonts w:ascii="仿宋" w:eastAsia="仿宋" w:hAnsi="仿宋" w:cs="仿宋" w:hint="eastAsia"/>
          <w:sz w:val="32"/>
          <w:szCs w:val="32"/>
        </w:rPr>
        <w:t>2021</w:t>
      </w:r>
      <w:r>
        <w:rPr>
          <w:rFonts w:ascii="仿宋" w:eastAsia="仿宋" w:hAnsi="仿宋" w:cs="仿宋" w:hint="eastAsia"/>
          <w:sz w:val="32"/>
          <w:szCs w:val="32"/>
        </w:rPr>
        <w:t>年本年支出合计</w:t>
      </w:r>
      <w:r>
        <w:rPr>
          <w:rFonts w:ascii="仿宋" w:eastAsia="仿宋" w:hAnsi="仿宋" w:cs="仿宋" w:hint="eastAsia"/>
          <w:sz w:val="32"/>
          <w:szCs w:val="32"/>
        </w:rPr>
        <w:t>353.22</w:t>
      </w:r>
      <w:r>
        <w:rPr>
          <w:rFonts w:ascii="仿宋" w:eastAsia="仿宋" w:hAnsi="仿宋" w:cs="仿宋" w:hint="eastAsia"/>
          <w:sz w:val="32"/>
          <w:szCs w:val="32"/>
        </w:rPr>
        <w:t>万元，其中：基本支出</w:t>
      </w:r>
      <w:r>
        <w:rPr>
          <w:rFonts w:ascii="仿宋" w:eastAsia="仿宋" w:hAnsi="仿宋" w:cs="仿宋" w:hint="eastAsia"/>
          <w:sz w:val="32"/>
          <w:szCs w:val="32"/>
        </w:rPr>
        <w:t>307.59</w:t>
      </w:r>
      <w:r>
        <w:rPr>
          <w:rFonts w:ascii="仿宋" w:eastAsia="仿宋" w:hAnsi="仿宋" w:cs="仿宋" w:hint="eastAsia"/>
          <w:sz w:val="32"/>
          <w:szCs w:val="32"/>
        </w:rPr>
        <w:t>万元，占</w:t>
      </w:r>
      <w:r>
        <w:rPr>
          <w:rFonts w:ascii="仿宋" w:eastAsia="仿宋" w:hAnsi="仿宋" w:cs="仿宋" w:hint="eastAsia"/>
          <w:sz w:val="32"/>
          <w:szCs w:val="32"/>
        </w:rPr>
        <w:t>87.08%</w:t>
      </w:r>
      <w:r>
        <w:rPr>
          <w:rFonts w:ascii="仿宋" w:eastAsia="仿宋" w:hAnsi="仿宋" w:cs="仿宋" w:hint="eastAsia"/>
          <w:sz w:val="32"/>
          <w:szCs w:val="32"/>
        </w:rPr>
        <w:t>；项目支出</w:t>
      </w:r>
      <w:r>
        <w:rPr>
          <w:rFonts w:ascii="仿宋" w:eastAsia="仿宋" w:hAnsi="仿宋" w:cs="仿宋" w:hint="eastAsia"/>
          <w:sz w:val="32"/>
          <w:szCs w:val="32"/>
        </w:rPr>
        <w:t>45.63</w:t>
      </w:r>
      <w:r>
        <w:rPr>
          <w:rFonts w:ascii="仿宋" w:eastAsia="仿宋" w:hAnsi="仿宋" w:cs="仿宋" w:hint="eastAsia"/>
          <w:sz w:val="32"/>
          <w:szCs w:val="32"/>
        </w:rPr>
        <w:t>万元，占</w:t>
      </w:r>
      <w:r>
        <w:rPr>
          <w:rFonts w:ascii="仿宋" w:eastAsia="仿宋" w:hAnsi="仿宋" w:cs="仿宋" w:hint="eastAsia"/>
          <w:sz w:val="32"/>
          <w:szCs w:val="32"/>
        </w:rPr>
        <w:t>12.92%</w:t>
      </w:r>
      <w:r>
        <w:rPr>
          <w:rFonts w:ascii="仿宋" w:eastAsia="仿宋" w:hAnsi="仿宋" w:cs="仿宋" w:hint="eastAsia"/>
          <w:sz w:val="32"/>
          <w:szCs w:val="32"/>
        </w:rPr>
        <w:t>。</w:t>
      </w:r>
      <w:bookmarkEnd w:id="36"/>
      <w:bookmarkEnd w:id="37"/>
      <w:bookmarkEnd w:id="38"/>
      <w:bookmarkEnd w:id="39"/>
      <w:bookmarkEnd w:id="40"/>
    </w:p>
    <w:p w:rsidR="000F0EA8" w:rsidRDefault="00885E0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0F0EA8" w:rsidRDefault="00885E0F">
      <w:pPr>
        <w:spacing w:line="60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0288" behindDoc="0" locked="0" layoutInCell="1" allowOverlap="1">
            <wp:simplePos x="0" y="0"/>
            <wp:positionH relativeFrom="column">
              <wp:posOffset>718185</wp:posOffset>
            </wp:positionH>
            <wp:positionV relativeFrom="paragraph">
              <wp:posOffset>64135</wp:posOffset>
            </wp:positionV>
            <wp:extent cx="4323080" cy="2256790"/>
            <wp:effectExtent l="6985" t="6985" r="13335" b="22225"/>
            <wp:wrapNone/>
            <wp:docPr id="7" name="对象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2"/>
        <w:spacing w:before="0" w:after="0" w:line="240" w:lineRule="auto"/>
        <w:rPr>
          <w:rFonts w:ascii="新宋体" w:eastAsia="新宋体" w:hAnsi="新宋体" w:cs="新宋体"/>
        </w:rPr>
      </w:pPr>
      <w:bookmarkStart w:id="41" w:name="_Toc5621"/>
    </w:p>
    <w:p w:rsidR="000F0EA8" w:rsidRDefault="00885E0F">
      <w:pPr>
        <w:pStyle w:val="2"/>
        <w:spacing w:before="0" w:after="0" w:line="240" w:lineRule="auto"/>
        <w:ind w:firstLineChars="200" w:firstLine="643"/>
        <w:rPr>
          <w:rFonts w:ascii="新宋体" w:eastAsia="新宋体" w:hAnsi="新宋体" w:cs="新宋体"/>
        </w:rPr>
      </w:pPr>
      <w:r>
        <w:rPr>
          <w:rFonts w:ascii="新宋体" w:eastAsia="新宋体" w:hAnsi="新宋体" w:cs="新宋体" w:hint="eastAsia"/>
        </w:rPr>
        <w:t>四、财政拨款收入支出决算总体情况说明</w:t>
      </w:r>
      <w:bookmarkEnd w:id="41"/>
    </w:p>
    <w:p w:rsidR="000F0EA8" w:rsidRDefault="00885E0F">
      <w:pPr>
        <w:spacing w:line="60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年财政拨款收、支总计</w:t>
      </w:r>
      <w:r>
        <w:rPr>
          <w:rFonts w:ascii="仿宋" w:eastAsia="仿宋" w:hAnsi="仿宋" w:hint="eastAsia"/>
          <w:sz w:val="32"/>
          <w:szCs w:val="32"/>
        </w:rPr>
        <w:t>390.94</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年相比，财政拨款收、支总计各增加</w:t>
      </w:r>
      <w:r>
        <w:rPr>
          <w:rFonts w:ascii="仿宋" w:eastAsia="仿宋" w:hAnsi="仿宋" w:hint="eastAsia"/>
          <w:sz w:val="32"/>
          <w:szCs w:val="32"/>
        </w:rPr>
        <w:t>6.35</w:t>
      </w:r>
      <w:r>
        <w:rPr>
          <w:rFonts w:ascii="仿宋" w:eastAsia="仿宋" w:hAnsi="仿宋" w:hint="eastAsia"/>
          <w:sz w:val="32"/>
          <w:szCs w:val="32"/>
        </w:rPr>
        <w:t>万元，增长</w:t>
      </w:r>
      <w:r>
        <w:rPr>
          <w:rFonts w:ascii="仿宋" w:eastAsia="仿宋" w:hAnsi="仿宋" w:hint="eastAsia"/>
          <w:sz w:val="32"/>
          <w:szCs w:val="32"/>
        </w:rPr>
        <w:t>1.65%</w:t>
      </w:r>
      <w:r>
        <w:rPr>
          <w:rFonts w:ascii="仿宋" w:eastAsia="仿宋" w:hAnsi="仿宋" w:hint="eastAsia"/>
          <w:sz w:val="32"/>
          <w:szCs w:val="32"/>
        </w:rPr>
        <w:t>。主要变动原因是</w:t>
      </w:r>
      <w:r>
        <w:rPr>
          <w:rFonts w:ascii="仿宋" w:eastAsia="仿宋" w:hAnsi="仿宋" w:hint="eastAsia"/>
          <w:sz w:val="32"/>
          <w:szCs w:val="32"/>
        </w:rPr>
        <w:t>2021</w:t>
      </w:r>
      <w:r>
        <w:rPr>
          <w:rFonts w:ascii="仿宋" w:eastAsia="仿宋" w:hAnsi="仿宋" w:hint="eastAsia"/>
          <w:sz w:val="32"/>
          <w:szCs w:val="32"/>
        </w:rPr>
        <w:t>年中央食品、药品监管补助资金和省级市场监管专项资金增加。</w:t>
      </w:r>
    </w:p>
    <w:p w:rsidR="000F0EA8" w:rsidRDefault="00885E0F">
      <w:pPr>
        <w:spacing w:line="600" w:lineRule="exact"/>
        <w:ind w:firstLine="640"/>
        <w:rPr>
          <w:rFonts w:ascii="仿宋" w:eastAsia="仿宋" w:hAnsi="仿宋"/>
          <w:b/>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0F0EA8" w:rsidRDefault="00885E0F">
      <w:pPr>
        <w:pStyle w:val="a0"/>
        <w:spacing w:before="93"/>
        <w:rPr>
          <w:rFonts w:ascii="仿宋" w:eastAsia="仿宋" w:hAnsi="仿宋"/>
          <w:sz w:val="32"/>
          <w:szCs w:val="32"/>
        </w:rPr>
      </w:pPr>
      <w:r>
        <w:rPr>
          <w:rFonts w:ascii="仿宋" w:eastAsia="仿宋" w:hAnsi="仿宋" w:hint="eastAsia"/>
          <w:b/>
          <w:noProof/>
          <w:sz w:val="32"/>
          <w:szCs w:val="32"/>
        </w:rPr>
        <w:drawing>
          <wp:anchor distT="0" distB="0" distL="114300" distR="114300" simplePos="0" relativeHeight="251665408" behindDoc="0" locked="0" layoutInCell="1" allowOverlap="1">
            <wp:simplePos x="0" y="0"/>
            <wp:positionH relativeFrom="column">
              <wp:posOffset>706120</wp:posOffset>
            </wp:positionH>
            <wp:positionV relativeFrom="paragraph">
              <wp:posOffset>26670</wp:posOffset>
            </wp:positionV>
            <wp:extent cx="4307205" cy="2257425"/>
            <wp:effectExtent l="6985" t="6985" r="10160" b="21590"/>
            <wp:wrapNone/>
            <wp:docPr id="2" name="对象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885E0F">
      <w:pPr>
        <w:pStyle w:val="2"/>
        <w:spacing w:before="0" w:after="0" w:line="240" w:lineRule="auto"/>
        <w:ind w:firstLineChars="200" w:firstLine="643"/>
        <w:rPr>
          <w:rFonts w:ascii="新宋体" w:eastAsia="新宋体" w:hAnsi="新宋体" w:cs="新宋体"/>
        </w:rPr>
      </w:pPr>
      <w:bookmarkStart w:id="42" w:name="_Toc26465"/>
      <w:r>
        <w:rPr>
          <w:rFonts w:ascii="新宋体" w:eastAsia="新宋体" w:hAnsi="新宋体" w:cs="新宋体" w:hint="eastAsia"/>
        </w:rPr>
        <w:lastRenderedPageBreak/>
        <w:t>五、一般公共预算财政拨款支出决算情况说明</w:t>
      </w:r>
      <w:bookmarkEnd w:id="42"/>
    </w:p>
    <w:p w:rsidR="000F0EA8" w:rsidRDefault="00885E0F" w:rsidP="000F0EA8">
      <w:pPr>
        <w:ind w:firstLineChars="200" w:firstLine="640"/>
        <w:rPr>
          <w:rFonts w:ascii="楷体" w:eastAsia="楷体" w:hAnsi="楷体"/>
          <w:b/>
          <w:sz w:val="32"/>
          <w:szCs w:val="32"/>
        </w:rPr>
      </w:pPr>
      <w:bookmarkStart w:id="43" w:name="_Toc15377210"/>
      <w:bookmarkStart w:id="44" w:name="_Toc114132067"/>
      <w:bookmarkStart w:id="45" w:name="_Toc115248307"/>
      <w:bookmarkStart w:id="46" w:name="_Toc28319"/>
      <w:r>
        <w:rPr>
          <w:rFonts w:ascii="楷体" w:eastAsia="楷体" w:hAnsi="楷体" w:hint="eastAsia"/>
          <w:b/>
          <w:sz w:val="32"/>
          <w:szCs w:val="32"/>
        </w:rPr>
        <w:t>（一）一般公共预算财政拨款支出决算总体情况</w:t>
      </w:r>
      <w:bookmarkEnd w:id="43"/>
      <w:bookmarkEnd w:id="44"/>
      <w:bookmarkEnd w:id="45"/>
      <w:bookmarkEnd w:id="46"/>
    </w:p>
    <w:p w:rsidR="000F0EA8" w:rsidRDefault="00885E0F">
      <w:pPr>
        <w:spacing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年一般公共预算财政拨款支出</w:t>
      </w:r>
      <w:r>
        <w:rPr>
          <w:rFonts w:ascii="仿宋" w:eastAsia="仿宋" w:hAnsi="仿宋" w:hint="eastAsia"/>
          <w:sz w:val="32"/>
          <w:szCs w:val="32"/>
        </w:rPr>
        <w:t>353.22</w:t>
      </w:r>
      <w:r>
        <w:rPr>
          <w:rFonts w:ascii="仿宋" w:eastAsia="仿宋" w:hAnsi="仿宋" w:hint="eastAsia"/>
          <w:sz w:val="32"/>
          <w:szCs w:val="32"/>
        </w:rPr>
        <w:t>万元，占本年支出合计的</w:t>
      </w:r>
      <w:r>
        <w:rPr>
          <w:rFonts w:ascii="仿宋" w:eastAsia="仿宋" w:hAnsi="仿宋" w:hint="eastAsia"/>
          <w:sz w:val="32"/>
          <w:szCs w:val="32"/>
        </w:rPr>
        <w:t>100%</w:t>
      </w:r>
      <w:r>
        <w:rPr>
          <w:rFonts w:ascii="仿宋" w:eastAsia="仿宋" w:hAnsi="仿宋" w:hint="eastAsia"/>
          <w:sz w:val="32"/>
          <w:szCs w:val="32"/>
        </w:rPr>
        <w:t>。与</w:t>
      </w:r>
      <w:r>
        <w:rPr>
          <w:rFonts w:ascii="仿宋" w:eastAsia="仿宋" w:hAnsi="仿宋" w:hint="eastAsia"/>
          <w:sz w:val="32"/>
          <w:szCs w:val="32"/>
        </w:rPr>
        <w:t>2020</w:t>
      </w:r>
      <w:r>
        <w:rPr>
          <w:rFonts w:ascii="仿宋" w:eastAsia="仿宋" w:hAnsi="仿宋" w:hint="eastAsia"/>
          <w:sz w:val="32"/>
          <w:szCs w:val="32"/>
        </w:rPr>
        <w:t>年相比，一般公共预算财政拨款支出减少</w:t>
      </w:r>
      <w:r>
        <w:rPr>
          <w:rFonts w:ascii="仿宋" w:eastAsia="仿宋" w:hAnsi="仿宋" w:hint="eastAsia"/>
          <w:sz w:val="32"/>
          <w:szCs w:val="32"/>
        </w:rPr>
        <w:t>10.2</w:t>
      </w:r>
      <w:r>
        <w:rPr>
          <w:rFonts w:ascii="仿宋" w:eastAsia="仿宋" w:hAnsi="仿宋" w:hint="eastAsia"/>
          <w:sz w:val="32"/>
          <w:szCs w:val="32"/>
        </w:rPr>
        <w:t>万元，下降</w:t>
      </w:r>
      <w:r>
        <w:rPr>
          <w:rFonts w:ascii="仿宋" w:eastAsia="仿宋" w:hAnsi="仿宋" w:hint="eastAsia"/>
          <w:sz w:val="32"/>
          <w:szCs w:val="32"/>
        </w:rPr>
        <w:t>2.81%</w:t>
      </w:r>
      <w:r>
        <w:rPr>
          <w:rFonts w:ascii="仿宋" w:eastAsia="仿宋" w:hAnsi="仿宋" w:hint="eastAsia"/>
          <w:sz w:val="32"/>
          <w:szCs w:val="32"/>
        </w:rPr>
        <w:t>。主要变动原因是</w:t>
      </w:r>
      <w:r>
        <w:rPr>
          <w:rFonts w:ascii="仿宋" w:eastAsia="仿宋" w:hAnsi="仿宋" w:hint="eastAsia"/>
          <w:sz w:val="32"/>
          <w:szCs w:val="32"/>
        </w:rPr>
        <w:t>2021</w:t>
      </w:r>
      <w:r>
        <w:rPr>
          <w:rFonts w:ascii="仿宋" w:eastAsia="仿宋" w:hAnsi="仿宋" w:hint="eastAsia"/>
          <w:sz w:val="32"/>
          <w:szCs w:val="32"/>
        </w:rPr>
        <w:t>年新增</w:t>
      </w:r>
      <w:r>
        <w:rPr>
          <w:rFonts w:ascii="仿宋" w:eastAsia="仿宋" w:hAnsi="仿宋" w:hint="eastAsia"/>
          <w:sz w:val="32"/>
          <w:szCs w:val="32"/>
        </w:rPr>
        <w:t>2</w:t>
      </w:r>
      <w:r>
        <w:rPr>
          <w:rFonts w:ascii="仿宋" w:eastAsia="仿宋" w:hAnsi="仿宋" w:hint="eastAsia"/>
          <w:sz w:val="32"/>
          <w:szCs w:val="32"/>
        </w:rPr>
        <w:t>名退休人员，同时受新冠肺炎疫情影响，工作重心转向疫情防控，导致其他的市场监管项目工作受到一定影响，部分业务工作未能按计划实施，导致项目支出减少。</w:t>
      </w:r>
    </w:p>
    <w:p w:rsidR="000F0EA8" w:rsidRDefault="00885E0F">
      <w:pPr>
        <w:spacing w:line="56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0F0EA8" w:rsidRDefault="00885E0F">
      <w:pPr>
        <w:pStyle w:val="a0"/>
        <w:spacing w:before="93"/>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1312" behindDoc="1" locked="0" layoutInCell="1" allowOverlap="1">
            <wp:simplePos x="0" y="0"/>
            <wp:positionH relativeFrom="column">
              <wp:posOffset>737870</wp:posOffset>
            </wp:positionH>
            <wp:positionV relativeFrom="paragraph">
              <wp:posOffset>113665</wp:posOffset>
            </wp:positionV>
            <wp:extent cx="4486275" cy="2352675"/>
            <wp:effectExtent l="19050" t="0" r="9525" b="0"/>
            <wp:wrapNone/>
            <wp:docPr id="10" name="对象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885E0F" w:rsidP="000F0EA8">
      <w:pPr>
        <w:ind w:firstLineChars="200" w:firstLine="640"/>
        <w:rPr>
          <w:rFonts w:ascii="楷体" w:eastAsia="楷体" w:hAnsi="楷体"/>
          <w:b/>
          <w:sz w:val="32"/>
          <w:szCs w:val="32"/>
        </w:rPr>
      </w:pPr>
      <w:bookmarkStart w:id="47" w:name="_Toc115248308"/>
      <w:bookmarkStart w:id="48" w:name="_Toc114132068"/>
      <w:bookmarkStart w:id="49" w:name="_Toc15377211"/>
      <w:bookmarkStart w:id="50" w:name="_Toc30556"/>
      <w:r>
        <w:rPr>
          <w:rFonts w:ascii="楷体" w:eastAsia="楷体" w:hAnsi="楷体" w:hint="eastAsia"/>
          <w:b/>
          <w:sz w:val="32"/>
          <w:szCs w:val="32"/>
        </w:rPr>
        <w:t>（二）一般公共预算财政拨款支出决算结构情况</w:t>
      </w:r>
      <w:bookmarkEnd w:id="47"/>
      <w:bookmarkEnd w:id="48"/>
      <w:bookmarkEnd w:id="49"/>
      <w:bookmarkEnd w:id="50"/>
    </w:p>
    <w:p w:rsidR="000F0EA8" w:rsidRDefault="00885E0F">
      <w:pPr>
        <w:ind w:firstLineChars="200" w:firstLine="640"/>
      </w:pPr>
      <w:r>
        <w:rPr>
          <w:rFonts w:ascii="仿宋" w:eastAsia="仿宋" w:hAnsi="仿宋" w:hint="eastAsia"/>
          <w:sz w:val="32"/>
          <w:szCs w:val="32"/>
        </w:rPr>
        <w:t>2021</w:t>
      </w:r>
      <w:r>
        <w:rPr>
          <w:rFonts w:ascii="仿宋" w:eastAsia="仿宋" w:hAnsi="仿宋" w:hint="eastAsia"/>
          <w:sz w:val="32"/>
          <w:szCs w:val="32"/>
        </w:rPr>
        <w:t>年一般公共预算财政拨款支出</w:t>
      </w:r>
      <w:r>
        <w:rPr>
          <w:rFonts w:ascii="仿宋" w:eastAsia="仿宋" w:hAnsi="仿宋" w:hint="eastAsia"/>
          <w:sz w:val="32"/>
          <w:szCs w:val="32"/>
        </w:rPr>
        <w:t>353.22</w:t>
      </w:r>
      <w:r>
        <w:rPr>
          <w:rFonts w:ascii="仿宋" w:eastAsia="仿宋" w:hAnsi="仿宋" w:hint="eastAsia"/>
          <w:sz w:val="32"/>
          <w:szCs w:val="32"/>
        </w:rPr>
        <w:t>万元，主要用于以下方面</w:t>
      </w:r>
      <w:r>
        <w:rPr>
          <w:rFonts w:ascii="仿宋" w:eastAsia="仿宋" w:hAnsi="仿宋" w:hint="eastAsia"/>
          <w:sz w:val="32"/>
          <w:szCs w:val="32"/>
        </w:rPr>
        <w:t>:</w:t>
      </w:r>
      <w:r>
        <w:rPr>
          <w:rFonts w:ascii="仿宋" w:eastAsia="仿宋" w:hAnsi="仿宋" w:hint="eastAsia"/>
          <w:sz w:val="32"/>
          <w:szCs w:val="32"/>
        </w:rPr>
        <w:t>一般公共服务（类）支出</w:t>
      </w:r>
      <w:r>
        <w:rPr>
          <w:rFonts w:ascii="仿宋" w:eastAsia="仿宋" w:hAnsi="仿宋" w:hint="eastAsia"/>
          <w:sz w:val="32"/>
          <w:szCs w:val="32"/>
        </w:rPr>
        <w:t>285.54</w:t>
      </w:r>
      <w:r>
        <w:rPr>
          <w:rFonts w:ascii="仿宋" w:eastAsia="仿宋" w:hAnsi="仿宋" w:hint="eastAsia"/>
          <w:sz w:val="32"/>
          <w:szCs w:val="32"/>
        </w:rPr>
        <w:t>万元，占</w:t>
      </w:r>
      <w:r>
        <w:rPr>
          <w:rFonts w:ascii="仿宋" w:eastAsia="仿宋" w:hAnsi="仿宋" w:hint="eastAsia"/>
          <w:sz w:val="32"/>
          <w:szCs w:val="32"/>
        </w:rPr>
        <w:t>80.84%</w:t>
      </w:r>
      <w:r>
        <w:rPr>
          <w:rFonts w:ascii="仿宋" w:eastAsia="仿宋" w:hAnsi="仿宋" w:hint="eastAsia"/>
          <w:sz w:val="32"/>
          <w:szCs w:val="32"/>
        </w:rPr>
        <w:t>；社会保障和就业（类）支出</w:t>
      </w:r>
      <w:r>
        <w:rPr>
          <w:rFonts w:ascii="仿宋" w:eastAsia="仿宋" w:hAnsi="仿宋" w:hint="eastAsia"/>
          <w:sz w:val="32"/>
          <w:szCs w:val="32"/>
        </w:rPr>
        <w:t>32.31</w:t>
      </w:r>
      <w:r>
        <w:rPr>
          <w:rFonts w:ascii="仿宋" w:eastAsia="仿宋" w:hAnsi="仿宋" w:hint="eastAsia"/>
          <w:sz w:val="32"/>
          <w:szCs w:val="32"/>
        </w:rPr>
        <w:t>万元，占</w:t>
      </w:r>
      <w:r>
        <w:rPr>
          <w:rFonts w:ascii="仿宋" w:eastAsia="仿宋" w:hAnsi="仿宋" w:hint="eastAsia"/>
          <w:sz w:val="32"/>
          <w:szCs w:val="32"/>
        </w:rPr>
        <w:t>9.15%</w:t>
      </w:r>
      <w:r>
        <w:rPr>
          <w:rFonts w:ascii="仿宋" w:eastAsia="仿宋" w:hAnsi="仿宋" w:hint="eastAsia"/>
          <w:sz w:val="32"/>
          <w:szCs w:val="32"/>
        </w:rPr>
        <w:t>；</w:t>
      </w:r>
      <w:r>
        <w:rPr>
          <w:rFonts w:ascii="仿宋" w:eastAsia="仿宋" w:hAnsi="仿宋" w:hint="eastAsia"/>
          <w:bCs/>
          <w:sz w:val="32"/>
          <w:szCs w:val="32"/>
        </w:rPr>
        <w:t>卫生健康</w:t>
      </w:r>
      <w:r>
        <w:rPr>
          <w:rFonts w:ascii="仿宋" w:eastAsia="仿宋" w:hAnsi="仿宋" w:hint="eastAsia"/>
          <w:sz w:val="32"/>
          <w:szCs w:val="32"/>
        </w:rPr>
        <w:t>支出</w:t>
      </w:r>
      <w:r>
        <w:rPr>
          <w:rFonts w:ascii="仿宋" w:eastAsia="仿宋" w:hAnsi="仿宋" w:hint="eastAsia"/>
          <w:sz w:val="32"/>
          <w:szCs w:val="32"/>
        </w:rPr>
        <w:t>11.52</w:t>
      </w:r>
      <w:r>
        <w:rPr>
          <w:rFonts w:ascii="仿宋" w:eastAsia="仿宋" w:hAnsi="仿宋" w:hint="eastAsia"/>
          <w:sz w:val="32"/>
          <w:szCs w:val="32"/>
        </w:rPr>
        <w:t>万元，占</w:t>
      </w:r>
      <w:r>
        <w:rPr>
          <w:rFonts w:ascii="仿宋" w:eastAsia="仿宋" w:hAnsi="仿宋" w:hint="eastAsia"/>
          <w:sz w:val="32"/>
          <w:szCs w:val="32"/>
        </w:rPr>
        <w:t>3.26%</w:t>
      </w:r>
      <w:r>
        <w:rPr>
          <w:rFonts w:ascii="仿宋" w:eastAsia="仿宋" w:hAnsi="仿宋" w:hint="eastAsia"/>
          <w:sz w:val="32"/>
          <w:szCs w:val="32"/>
        </w:rPr>
        <w:t>；住房保障支出</w:t>
      </w:r>
      <w:r>
        <w:rPr>
          <w:rFonts w:ascii="仿宋" w:eastAsia="仿宋" w:hAnsi="仿宋" w:hint="eastAsia"/>
          <w:sz w:val="32"/>
          <w:szCs w:val="32"/>
        </w:rPr>
        <w:t>23.85</w:t>
      </w:r>
      <w:r>
        <w:rPr>
          <w:rFonts w:ascii="仿宋" w:eastAsia="仿宋" w:hAnsi="仿宋" w:hint="eastAsia"/>
          <w:sz w:val="32"/>
          <w:szCs w:val="32"/>
        </w:rPr>
        <w:t>万元，占</w:t>
      </w:r>
      <w:r>
        <w:rPr>
          <w:rFonts w:ascii="仿宋" w:eastAsia="仿宋" w:hAnsi="仿宋" w:hint="eastAsia"/>
          <w:sz w:val="32"/>
          <w:szCs w:val="32"/>
        </w:rPr>
        <w:t>6.75%</w:t>
      </w:r>
      <w:r>
        <w:rPr>
          <w:rFonts w:ascii="仿宋" w:eastAsia="仿宋" w:hAnsi="仿宋" w:hint="eastAsia"/>
          <w:sz w:val="32"/>
          <w:szCs w:val="32"/>
        </w:rPr>
        <w:t>。</w:t>
      </w:r>
    </w:p>
    <w:p w:rsidR="000F0EA8" w:rsidRDefault="00885E0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0F0EA8" w:rsidRDefault="000F0EA8">
      <w:pPr>
        <w:pStyle w:val="a0"/>
        <w:spacing w:before="93"/>
      </w:pPr>
    </w:p>
    <w:p w:rsidR="000F0EA8" w:rsidRDefault="00885E0F">
      <w:pPr>
        <w:pStyle w:val="a0"/>
        <w:spacing w:before="93"/>
        <w:rPr>
          <w:rFonts w:ascii="仿宋" w:eastAsia="仿宋" w:hAnsi="仿宋"/>
          <w:sz w:val="32"/>
          <w:szCs w:val="32"/>
        </w:rPr>
      </w:pPr>
      <w:r>
        <w:rPr>
          <w:rFonts w:ascii="仿宋" w:eastAsia="仿宋" w:hAnsi="仿宋" w:hint="eastAsia"/>
          <w:noProof/>
          <w:sz w:val="32"/>
          <w:szCs w:val="32"/>
        </w:rPr>
        <w:lastRenderedPageBreak/>
        <w:drawing>
          <wp:anchor distT="0" distB="0" distL="114300" distR="114300" simplePos="0" relativeHeight="251662336" behindDoc="0" locked="0" layoutInCell="1" allowOverlap="1">
            <wp:simplePos x="0" y="0"/>
            <wp:positionH relativeFrom="column">
              <wp:posOffset>575945</wp:posOffset>
            </wp:positionH>
            <wp:positionV relativeFrom="paragraph">
              <wp:posOffset>76835</wp:posOffset>
            </wp:positionV>
            <wp:extent cx="4629150" cy="2540635"/>
            <wp:effectExtent l="6350" t="6350" r="12700" b="24765"/>
            <wp:wrapNone/>
            <wp:docPr id="11" name="对象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885E0F" w:rsidP="000F0EA8">
      <w:pPr>
        <w:ind w:firstLineChars="200" w:firstLine="640"/>
        <w:rPr>
          <w:rFonts w:ascii="楷体" w:eastAsia="楷体" w:hAnsi="楷体"/>
          <w:b/>
          <w:sz w:val="32"/>
          <w:szCs w:val="32"/>
        </w:rPr>
      </w:pPr>
      <w:bookmarkStart w:id="51" w:name="_Toc15377212"/>
      <w:bookmarkStart w:id="52" w:name="_Toc115248309"/>
      <w:bookmarkStart w:id="53" w:name="_Toc26247"/>
      <w:bookmarkStart w:id="54" w:name="_Toc114132069"/>
      <w:r>
        <w:rPr>
          <w:rFonts w:ascii="楷体" w:eastAsia="楷体" w:hAnsi="楷体" w:hint="eastAsia"/>
          <w:b/>
          <w:sz w:val="32"/>
          <w:szCs w:val="32"/>
        </w:rPr>
        <w:t>（三）一般公共预算财政拨款支出决算具体情况</w:t>
      </w:r>
      <w:bookmarkEnd w:id="51"/>
      <w:bookmarkEnd w:id="52"/>
      <w:bookmarkEnd w:id="53"/>
      <w:bookmarkEnd w:id="54"/>
    </w:p>
    <w:p w:rsidR="000F0EA8" w:rsidRDefault="00885E0F">
      <w:pPr>
        <w:spacing w:line="560" w:lineRule="exact"/>
        <w:ind w:firstLineChars="200" w:firstLine="640"/>
        <w:rPr>
          <w:rStyle w:val="a9"/>
          <w:rFonts w:ascii="仿宋" w:eastAsia="仿宋" w:hAnsi="仿宋" w:cstheme="minorBidi"/>
          <w:b w:val="0"/>
          <w:bCs/>
          <w:sz w:val="32"/>
          <w:szCs w:val="32"/>
        </w:rPr>
      </w:pPr>
      <w:bookmarkStart w:id="55" w:name="_Toc15378460"/>
      <w:bookmarkStart w:id="56" w:name="_Toc115253621"/>
      <w:bookmarkStart w:id="57" w:name="_Toc115248310"/>
      <w:bookmarkStart w:id="58" w:name="_Toc15377213"/>
      <w:bookmarkStart w:id="59" w:name="_Toc15377444"/>
      <w:bookmarkStart w:id="60" w:name="_Toc114132070"/>
      <w:bookmarkStart w:id="61" w:name="_Toc2803"/>
      <w:bookmarkStart w:id="62" w:name="_Toc2578"/>
      <w:r>
        <w:rPr>
          <w:rStyle w:val="a9"/>
          <w:rFonts w:ascii="仿宋" w:eastAsia="仿宋" w:hAnsi="仿宋" w:cstheme="minorBidi" w:hint="eastAsia"/>
          <w:b w:val="0"/>
          <w:bCs/>
          <w:sz w:val="32"/>
          <w:szCs w:val="32"/>
        </w:rPr>
        <w:t>2021</w:t>
      </w:r>
      <w:r>
        <w:rPr>
          <w:rStyle w:val="a9"/>
          <w:rFonts w:ascii="仿宋" w:eastAsia="仿宋" w:hAnsi="仿宋" w:cstheme="minorBidi" w:hint="eastAsia"/>
          <w:b w:val="0"/>
          <w:bCs/>
          <w:sz w:val="32"/>
          <w:szCs w:val="32"/>
        </w:rPr>
        <w:t>年一般公共预算支出决算数为</w:t>
      </w:r>
      <w:r>
        <w:rPr>
          <w:rStyle w:val="a9"/>
          <w:rFonts w:ascii="仿宋" w:eastAsia="仿宋" w:hAnsi="仿宋" w:cstheme="minorBidi" w:hint="eastAsia"/>
          <w:b w:val="0"/>
          <w:bCs/>
          <w:sz w:val="32"/>
          <w:szCs w:val="32"/>
        </w:rPr>
        <w:t>353.22</w:t>
      </w:r>
      <w:r>
        <w:rPr>
          <w:rStyle w:val="a9"/>
          <w:rFonts w:ascii="仿宋" w:eastAsia="仿宋" w:hAnsi="仿宋" w:cstheme="minorBidi" w:hint="eastAsia"/>
          <w:b w:val="0"/>
          <w:bCs/>
          <w:sz w:val="32"/>
          <w:szCs w:val="32"/>
        </w:rPr>
        <w:t>万元，完成预算</w:t>
      </w:r>
      <w:r>
        <w:rPr>
          <w:rStyle w:val="a9"/>
          <w:rFonts w:ascii="仿宋" w:eastAsia="仿宋" w:hAnsi="仿宋" w:cstheme="minorBidi" w:hint="eastAsia"/>
          <w:b w:val="0"/>
          <w:bCs/>
          <w:sz w:val="32"/>
          <w:szCs w:val="32"/>
        </w:rPr>
        <w:t>90.35%</w:t>
      </w:r>
      <w:r>
        <w:rPr>
          <w:rStyle w:val="a9"/>
          <w:rFonts w:ascii="仿宋" w:eastAsia="仿宋" w:hAnsi="仿宋" w:cstheme="minorBidi" w:hint="eastAsia"/>
          <w:b w:val="0"/>
          <w:bCs/>
          <w:sz w:val="32"/>
          <w:szCs w:val="32"/>
        </w:rPr>
        <w:t>。其中：</w:t>
      </w:r>
      <w:bookmarkEnd w:id="55"/>
      <w:bookmarkEnd w:id="56"/>
      <w:bookmarkEnd w:id="57"/>
      <w:bookmarkEnd w:id="58"/>
      <w:bookmarkEnd w:id="59"/>
      <w:bookmarkEnd w:id="60"/>
      <w:bookmarkEnd w:id="61"/>
      <w:bookmarkEnd w:id="62"/>
    </w:p>
    <w:p w:rsidR="000F0EA8" w:rsidRDefault="00885E0F">
      <w:pPr>
        <w:spacing w:line="560" w:lineRule="exact"/>
        <w:ind w:firstLineChars="200" w:firstLine="640"/>
        <w:rPr>
          <w:rFonts w:ascii="仿宋" w:eastAsia="仿宋" w:hAnsi="仿宋"/>
          <w:b/>
          <w:sz w:val="32"/>
          <w:szCs w:val="32"/>
        </w:rPr>
      </w:pPr>
      <w:r>
        <w:rPr>
          <w:rStyle w:val="a9"/>
          <w:rFonts w:ascii="仿宋" w:eastAsia="仿宋" w:hAnsi="仿宋" w:hint="eastAsia"/>
          <w:b w:val="0"/>
          <w:bCs/>
          <w:sz w:val="32"/>
          <w:szCs w:val="32"/>
        </w:rPr>
        <w:t>1.</w:t>
      </w:r>
      <w:r>
        <w:rPr>
          <w:rStyle w:val="a9"/>
          <w:rFonts w:ascii="仿宋" w:eastAsia="仿宋" w:hAnsi="仿宋" w:hint="eastAsia"/>
          <w:b w:val="0"/>
          <w:bCs/>
          <w:sz w:val="32"/>
          <w:szCs w:val="32"/>
        </w:rPr>
        <w:t>一般公共服务（类）市场监督管理事务（款）行政运行（项）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239.91</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99.55%</w:t>
      </w:r>
      <w:r>
        <w:rPr>
          <w:rStyle w:val="a9"/>
          <w:rFonts w:ascii="仿宋" w:eastAsia="仿宋" w:hAnsi="仿宋" w:hint="eastAsia"/>
          <w:b w:val="0"/>
          <w:bCs/>
          <w:sz w:val="32"/>
          <w:szCs w:val="32"/>
        </w:rPr>
        <w:t>，决算数小于预算数的主要原因是</w:t>
      </w:r>
      <w:r>
        <w:rPr>
          <w:rStyle w:val="a9"/>
          <w:rFonts w:ascii="仿宋" w:eastAsia="仿宋" w:hAnsi="仿宋" w:hint="eastAsia"/>
          <w:b w:val="0"/>
          <w:bCs/>
          <w:sz w:val="32"/>
          <w:szCs w:val="32"/>
        </w:rPr>
        <w:t>2021</w:t>
      </w:r>
      <w:r>
        <w:rPr>
          <w:rStyle w:val="a9"/>
          <w:rFonts w:ascii="仿宋" w:eastAsia="仿宋" w:hAnsi="仿宋" w:hint="eastAsia"/>
          <w:b w:val="0"/>
          <w:bCs/>
          <w:sz w:val="32"/>
          <w:szCs w:val="32"/>
        </w:rPr>
        <w:t>年新增</w:t>
      </w:r>
      <w:r>
        <w:rPr>
          <w:rStyle w:val="a9"/>
          <w:rFonts w:ascii="仿宋" w:eastAsia="仿宋" w:hAnsi="仿宋" w:hint="eastAsia"/>
          <w:b w:val="0"/>
          <w:bCs/>
          <w:sz w:val="32"/>
          <w:szCs w:val="32"/>
        </w:rPr>
        <w:t>2</w:t>
      </w:r>
      <w:r>
        <w:rPr>
          <w:rStyle w:val="a9"/>
          <w:rFonts w:ascii="仿宋" w:eastAsia="仿宋" w:hAnsi="仿宋" w:hint="eastAsia"/>
          <w:b w:val="0"/>
          <w:bCs/>
          <w:sz w:val="32"/>
          <w:szCs w:val="32"/>
        </w:rPr>
        <w:t>名退休人员，人员经费支出减少。</w:t>
      </w:r>
    </w:p>
    <w:p w:rsidR="000F0EA8" w:rsidRDefault="00885E0F">
      <w:pPr>
        <w:spacing w:line="560" w:lineRule="exact"/>
        <w:ind w:firstLineChars="200" w:firstLine="640"/>
        <w:rPr>
          <w:rFonts w:ascii="仿宋" w:eastAsia="仿宋" w:hAnsi="仿宋"/>
          <w:b/>
          <w:sz w:val="32"/>
          <w:szCs w:val="32"/>
        </w:rPr>
      </w:pPr>
      <w:r>
        <w:rPr>
          <w:rStyle w:val="a9"/>
          <w:rFonts w:ascii="仿宋" w:eastAsia="仿宋" w:hAnsi="仿宋" w:hint="eastAsia"/>
          <w:b w:val="0"/>
          <w:bCs/>
          <w:sz w:val="32"/>
          <w:szCs w:val="32"/>
        </w:rPr>
        <w:t xml:space="preserve">2. </w:t>
      </w:r>
      <w:r>
        <w:rPr>
          <w:rStyle w:val="a9"/>
          <w:rFonts w:ascii="仿宋" w:eastAsia="仿宋" w:hAnsi="仿宋" w:hint="eastAsia"/>
          <w:b w:val="0"/>
          <w:bCs/>
          <w:sz w:val="32"/>
          <w:szCs w:val="32"/>
        </w:rPr>
        <w:t>一般公共服务（类）</w:t>
      </w:r>
      <w:r>
        <w:rPr>
          <w:rStyle w:val="a9"/>
          <w:rFonts w:ascii="仿宋" w:eastAsia="仿宋" w:hAnsi="仿宋" w:cs="宋体" w:hint="eastAsia"/>
          <w:b w:val="0"/>
          <w:bCs/>
          <w:color w:val="000000"/>
          <w:sz w:val="32"/>
          <w:szCs w:val="32"/>
        </w:rPr>
        <w:t>市场监督管理事务</w:t>
      </w:r>
      <w:r>
        <w:rPr>
          <w:rStyle w:val="a9"/>
          <w:rFonts w:ascii="仿宋" w:eastAsia="仿宋" w:hAnsi="仿宋" w:hint="eastAsia"/>
          <w:b w:val="0"/>
          <w:bCs/>
          <w:sz w:val="32"/>
          <w:szCs w:val="32"/>
        </w:rPr>
        <w:t>（款）一般行政管理事务（项）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8</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40%</w:t>
      </w:r>
      <w:r>
        <w:rPr>
          <w:rStyle w:val="a9"/>
          <w:rFonts w:ascii="仿宋" w:eastAsia="仿宋" w:hAnsi="仿宋" w:hint="eastAsia"/>
          <w:b w:val="0"/>
          <w:bCs/>
          <w:sz w:val="32"/>
          <w:szCs w:val="32"/>
        </w:rPr>
        <w:t>，决算数小于预算数的主要原因是</w:t>
      </w:r>
      <w:r>
        <w:rPr>
          <w:rStyle w:val="a9"/>
          <w:rFonts w:ascii="仿宋" w:eastAsia="仿宋" w:hAnsi="仿宋" w:hint="eastAsia"/>
          <w:b w:val="0"/>
          <w:bCs/>
          <w:sz w:val="32"/>
          <w:szCs w:val="32"/>
        </w:rPr>
        <w:t>2021</w:t>
      </w:r>
      <w:r>
        <w:rPr>
          <w:rStyle w:val="a9"/>
          <w:rFonts w:ascii="仿宋" w:eastAsia="仿宋" w:hAnsi="仿宋" w:hint="eastAsia"/>
          <w:b w:val="0"/>
          <w:bCs/>
          <w:sz w:val="32"/>
          <w:szCs w:val="32"/>
        </w:rPr>
        <w:t>年追加了省级专项资金</w:t>
      </w:r>
      <w:r>
        <w:rPr>
          <w:rStyle w:val="a9"/>
          <w:rFonts w:ascii="仿宋" w:eastAsia="仿宋" w:hAnsi="仿宋" w:hint="eastAsia"/>
          <w:b w:val="0"/>
          <w:bCs/>
          <w:sz w:val="32"/>
          <w:szCs w:val="32"/>
        </w:rPr>
        <w:t>12</w:t>
      </w:r>
      <w:r>
        <w:rPr>
          <w:rStyle w:val="a9"/>
          <w:rFonts w:ascii="仿宋" w:eastAsia="仿宋" w:hAnsi="仿宋" w:hint="eastAsia"/>
          <w:b w:val="0"/>
          <w:bCs/>
          <w:sz w:val="32"/>
          <w:szCs w:val="32"/>
        </w:rPr>
        <w:t>万元，受新冠肺炎疫情影响，</w:t>
      </w:r>
      <w:r>
        <w:rPr>
          <w:rFonts w:ascii="仿宋" w:eastAsia="仿宋" w:hAnsi="仿宋" w:hint="eastAsia"/>
          <w:sz w:val="32"/>
          <w:szCs w:val="32"/>
        </w:rPr>
        <w:t>部分业务工作未能按计划实施</w:t>
      </w:r>
      <w:r>
        <w:rPr>
          <w:rStyle w:val="a9"/>
          <w:rFonts w:ascii="仿宋" w:eastAsia="仿宋" w:hAnsi="仿宋" w:hint="eastAsia"/>
          <w:bCs/>
          <w:sz w:val="32"/>
          <w:szCs w:val="32"/>
        </w:rPr>
        <w:t>。</w:t>
      </w:r>
    </w:p>
    <w:p w:rsidR="000F0EA8" w:rsidRDefault="00885E0F">
      <w:pPr>
        <w:spacing w:line="560" w:lineRule="exact"/>
        <w:ind w:firstLineChars="200" w:firstLine="640"/>
        <w:rPr>
          <w:rFonts w:ascii="仿宋" w:eastAsia="仿宋" w:hAnsi="仿宋"/>
          <w:sz w:val="32"/>
          <w:szCs w:val="32"/>
        </w:rPr>
      </w:pPr>
      <w:r>
        <w:rPr>
          <w:rStyle w:val="a9"/>
          <w:rFonts w:ascii="仿宋" w:eastAsia="仿宋" w:hAnsi="仿宋" w:hint="eastAsia"/>
          <w:b w:val="0"/>
          <w:bCs/>
          <w:sz w:val="32"/>
          <w:szCs w:val="32"/>
        </w:rPr>
        <w:t xml:space="preserve">3. </w:t>
      </w:r>
      <w:r>
        <w:rPr>
          <w:rStyle w:val="a9"/>
          <w:rFonts w:ascii="仿宋" w:eastAsia="仿宋" w:hAnsi="仿宋" w:hint="eastAsia"/>
          <w:b w:val="0"/>
          <w:bCs/>
          <w:sz w:val="32"/>
          <w:szCs w:val="32"/>
        </w:rPr>
        <w:t>一般公共服务（类）</w:t>
      </w:r>
      <w:r>
        <w:rPr>
          <w:rStyle w:val="a9"/>
          <w:rFonts w:ascii="仿宋" w:eastAsia="仿宋" w:hAnsi="仿宋" w:cs="宋体" w:hint="eastAsia"/>
          <w:b w:val="0"/>
          <w:bCs/>
          <w:color w:val="000000"/>
          <w:sz w:val="32"/>
          <w:szCs w:val="32"/>
        </w:rPr>
        <w:t>市场监督管理事务</w:t>
      </w:r>
      <w:r>
        <w:rPr>
          <w:rStyle w:val="a9"/>
          <w:rFonts w:ascii="仿宋" w:eastAsia="仿宋" w:hAnsi="仿宋" w:hint="eastAsia"/>
          <w:b w:val="0"/>
          <w:bCs/>
          <w:sz w:val="32"/>
          <w:szCs w:val="32"/>
        </w:rPr>
        <w:t>（款）市场主体管理（项）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18.43</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73.</w:t>
      </w:r>
      <w:r>
        <w:rPr>
          <w:rStyle w:val="a9"/>
          <w:rFonts w:ascii="仿宋" w:eastAsia="仿宋" w:hAnsi="仿宋" w:hint="eastAsia"/>
          <w:b w:val="0"/>
          <w:bCs/>
          <w:sz w:val="32"/>
          <w:szCs w:val="32"/>
        </w:rPr>
        <w:t>63%</w:t>
      </w:r>
      <w:r>
        <w:rPr>
          <w:rStyle w:val="a9"/>
          <w:rFonts w:ascii="仿宋" w:eastAsia="仿宋" w:hAnsi="仿宋" w:hint="eastAsia"/>
          <w:b w:val="0"/>
          <w:bCs/>
          <w:sz w:val="32"/>
          <w:szCs w:val="32"/>
        </w:rPr>
        <w:t>，决算数小于预算数的主要原因是受新冠肺炎疫情影响，</w:t>
      </w:r>
      <w:r>
        <w:rPr>
          <w:rFonts w:ascii="仿宋" w:eastAsia="仿宋" w:hAnsi="仿宋" w:hint="eastAsia"/>
          <w:sz w:val="32"/>
          <w:szCs w:val="32"/>
        </w:rPr>
        <w:t>部分市场主体业务工作未能按计划实施</w:t>
      </w:r>
      <w:r>
        <w:rPr>
          <w:rStyle w:val="a9"/>
          <w:rFonts w:ascii="仿宋" w:eastAsia="仿宋" w:hAnsi="仿宋" w:hint="eastAsia"/>
          <w:bCs/>
          <w:sz w:val="32"/>
          <w:szCs w:val="32"/>
        </w:rPr>
        <w:t>。</w:t>
      </w:r>
    </w:p>
    <w:p w:rsidR="000F0EA8" w:rsidRDefault="00885E0F">
      <w:pPr>
        <w:spacing w:line="560" w:lineRule="exact"/>
        <w:ind w:firstLineChars="200" w:firstLine="640"/>
        <w:rPr>
          <w:rStyle w:val="a9"/>
          <w:rFonts w:ascii="仿宋" w:eastAsia="仿宋" w:hAnsi="仿宋"/>
          <w:bCs/>
          <w:sz w:val="32"/>
          <w:szCs w:val="32"/>
        </w:rPr>
      </w:pPr>
      <w:r>
        <w:rPr>
          <w:rStyle w:val="a9"/>
          <w:rFonts w:ascii="仿宋" w:eastAsia="仿宋" w:hAnsi="仿宋" w:hint="eastAsia"/>
          <w:b w:val="0"/>
          <w:bCs/>
          <w:sz w:val="32"/>
          <w:szCs w:val="32"/>
        </w:rPr>
        <w:t xml:space="preserve">4. </w:t>
      </w:r>
      <w:r>
        <w:rPr>
          <w:rStyle w:val="a9"/>
          <w:rFonts w:ascii="仿宋" w:eastAsia="仿宋" w:hAnsi="仿宋" w:hint="eastAsia"/>
          <w:b w:val="0"/>
          <w:bCs/>
          <w:sz w:val="32"/>
          <w:szCs w:val="32"/>
        </w:rPr>
        <w:t>一般公共服务（类）</w:t>
      </w:r>
      <w:r>
        <w:rPr>
          <w:rStyle w:val="a9"/>
          <w:rFonts w:ascii="仿宋" w:eastAsia="仿宋" w:hAnsi="仿宋" w:cs="宋体" w:hint="eastAsia"/>
          <w:b w:val="0"/>
          <w:bCs/>
          <w:color w:val="000000"/>
          <w:sz w:val="32"/>
          <w:szCs w:val="32"/>
        </w:rPr>
        <w:t>市场监督管理事务</w:t>
      </w:r>
      <w:r>
        <w:rPr>
          <w:rStyle w:val="a9"/>
          <w:rFonts w:ascii="仿宋" w:eastAsia="仿宋" w:hAnsi="仿宋" w:hint="eastAsia"/>
          <w:b w:val="0"/>
          <w:bCs/>
          <w:sz w:val="32"/>
          <w:szCs w:val="32"/>
        </w:rPr>
        <w:t>（款）市场秩序执法（项）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4.27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59.31%</w:t>
      </w:r>
      <w:r>
        <w:rPr>
          <w:rStyle w:val="a9"/>
          <w:rFonts w:ascii="仿宋" w:eastAsia="仿宋" w:hAnsi="仿宋" w:hint="eastAsia"/>
          <w:b w:val="0"/>
          <w:bCs/>
          <w:sz w:val="32"/>
          <w:szCs w:val="32"/>
        </w:rPr>
        <w:t>，决算数小于预算数的主要原因是受新冠肺炎疫情影响，</w:t>
      </w:r>
      <w:r>
        <w:rPr>
          <w:rFonts w:ascii="仿宋" w:eastAsia="仿宋" w:hAnsi="仿宋" w:hint="eastAsia"/>
          <w:sz w:val="32"/>
          <w:szCs w:val="32"/>
        </w:rPr>
        <w:t>部分市场秩序监管业</w:t>
      </w:r>
      <w:r>
        <w:rPr>
          <w:rFonts w:ascii="仿宋" w:eastAsia="仿宋" w:hAnsi="仿宋" w:hint="eastAsia"/>
          <w:sz w:val="32"/>
          <w:szCs w:val="32"/>
        </w:rPr>
        <w:lastRenderedPageBreak/>
        <w:t>务工作未能按计划实施</w:t>
      </w:r>
      <w:r>
        <w:rPr>
          <w:rStyle w:val="a9"/>
          <w:rFonts w:ascii="仿宋" w:eastAsia="仿宋" w:hAnsi="仿宋" w:hint="eastAsia"/>
          <w:bCs/>
          <w:sz w:val="32"/>
          <w:szCs w:val="32"/>
        </w:rPr>
        <w:t>。</w:t>
      </w:r>
    </w:p>
    <w:p w:rsidR="000F0EA8" w:rsidRDefault="00885E0F">
      <w:pPr>
        <w:spacing w:line="560"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 xml:space="preserve">5. </w:t>
      </w:r>
      <w:r>
        <w:rPr>
          <w:rStyle w:val="a9"/>
          <w:rFonts w:ascii="仿宋" w:eastAsia="仿宋" w:hAnsi="仿宋" w:hint="eastAsia"/>
          <w:b w:val="0"/>
          <w:bCs/>
          <w:sz w:val="32"/>
          <w:szCs w:val="32"/>
        </w:rPr>
        <w:t>一般公共服务（类）</w:t>
      </w:r>
      <w:r>
        <w:rPr>
          <w:rStyle w:val="a9"/>
          <w:rFonts w:ascii="仿宋" w:eastAsia="仿宋" w:hAnsi="仿宋" w:cs="宋体" w:hint="eastAsia"/>
          <w:b w:val="0"/>
          <w:bCs/>
          <w:color w:val="000000"/>
          <w:sz w:val="32"/>
          <w:szCs w:val="32"/>
        </w:rPr>
        <w:t>市场监督管理事务（</w:t>
      </w:r>
      <w:r>
        <w:rPr>
          <w:rStyle w:val="a9"/>
          <w:rFonts w:ascii="仿宋" w:eastAsia="仿宋" w:hAnsi="仿宋" w:hint="eastAsia"/>
          <w:b w:val="0"/>
          <w:bCs/>
          <w:sz w:val="32"/>
          <w:szCs w:val="32"/>
        </w:rPr>
        <w:t>款）信息化建设（项）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hint="eastAsia"/>
          <w:b w:val="0"/>
          <w:bCs/>
          <w:sz w:val="32"/>
          <w:szCs w:val="32"/>
        </w:rPr>
        <w:t>。</w:t>
      </w:r>
    </w:p>
    <w:p w:rsidR="000F0EA8" w:rsidRDefault="00885E0F">
      <w:pPr>
        <w:spacing w:line="560"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 xml:space="preserve">6. </w:t>
      </w:r>
      <w:r>
        <w:rPr>
          <w:rStyle w:val="a9"/>
          <w:rFonts w:ascii="仿宋" w:eastAsia="仿宋" w:hAnsi="仿宋" w:hint="eastAsia"/>
          <w:b w:val="0"/>
          <w:bCs/>
          <w:sz w:val="32"/>
          <w:szCs w:val="32"/>
        </w:rPr>
        <w:t>一般公共服务（类）</w:t>
      </w:r>
      <w:r>
        <w:rPr>
          <w:rStyle w:val="a9"/>
          <w:rFonts w:ascii="仿宋" w:eastAsia="仿宋" w:hAnsi="仿宋" w:cs="宋体" w:hint="eastAsia"/>
          <w:b w:val="0"/>
          <w:bCs/>
          <w:color w:val="000000"/>
          <w:sz w:val="32"/>
          <w:szCs w:val="32"/>
        </w:rPr>
        <w:t>市场监督管理事务</w:t>
      </w:r>
      <w:r>
        <w:rPr>
          <w:rStyle w:val="a9"/>
          <w:rFonts w:ascii="仿宋" w:eastAsia="仿宋" w:hAnsi="仿宋" w:hint="eastAsia"/>
          <w:b w:val="0"/>
          <w:bCs/>
          <w:sz w:val="32"/>
          <w:szCs w:val="32"/>
        </w:rPr>
        <w:t>（款）药品事务（项）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6.73</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hint="eastAsia"/>
          <w:b w:val="0"/>
          <w:bCs/>
          <w:sz w:val="32"/>
          <w:szCs w:val="32"/>
        </w:rPr>
        <w:t>。</w:t>
      </w:r>
    </w:p>
    <w:p w:rsidR="000F0EA8" w:rsidRDefault="00885E0F">
      <w:pPr>
        <w:spacing w:line="560" w:lineRule="exact"/>
        <w:ind w:firstLineChars="200" w:firstLine="640"/>
        <w:rPr>
          <w:rFonts w:ascii="仿宋" w:eastAsia="仿宋" w:hAnsi="仿宋"/>
          <w:sz w:val="32"/>
          <w:szCs w:val="32"/>
        </w:rPr>
      </w:pPr>
      <w:r>
        <w:rPr>
          <w:rStyle w:val="a9"/>
          <w:rFonts w:ascii="仿宋" w:eastAsia="仿宋" w:hAnsi="仿宋" w:hint="eastAsia"/>
          <w:b w:val="0"/>
          <w:bCs/>
          <w:sz w:val="32"/>
          <w:szCs w:val="32"/>
        </w:rPr>
        <w:t>7.</w:t>
      </w:r>
      <w:r>
        <w:rPr>
          <w:rStyle w:val="a9"/>
          <w:rFonts w:ascii="仿宋" w:eastAsia="仿宋" w:hAnsi="仿宋" w:hint="eastAsia"/>
          <w:b w:val="0"/>
          <w:bCs/>
          <w:sz w:val="32"/>
          <w:szCs w:val="32"/>
        </w:rPr>
        <w:t xml:space="preserve"> </w:t>
      </w:r>
      <w:r>
        <w:rPr>
          <w:rStyle w:val="a9"/>
          <w:rFonts w:ascii="仿宋" w:eastAsia="仿宋" w:hAnsi="仿宋" w:hint="eastAsia"/>
          <w:b w:val="0"/>
          <w:bCs/>
          <w:sz w:val="32"/>
          <w:szCs w:val="32"/>
        </w:rPr>
        <w:t>一般公共服务（类）</w:t>
      </w:r>
      <w:r>
        <w:rPr>
          <w:rStyle w:val="a9"/>
          <w:rFonts w:ascii="仿宋" w:eastAsia="仿宋" w:hAnsi="仿宋" w:cs="宋体" w:hint="eastAsia"/>
          <w:b w:val="0"/>
          <w:bCs/>
          <w:color w:val="000000"/>
          <w:sz w:val="32"/>
          <w:szCs w:val="32"/>
        </w:rPr>
        <w:t>市场监督管理事务</w:t>
      </w:r>
      <w:r>
        <w:rPr>
          <w:rStyle w:val="a9"/>
          <w:rFonts w:ascii="仿宋" w:eastAsia="仿宋" w:hAnsi="仿宋" w:hint="eastAsia"/>
          <w:b w:val="0"/>
          <w:bCs/>
          <w:sz w:val="32"/>
          <w:szCs w:val="32"/>
        </w:rPr>
        <w:t>（款）其他市场监督管理事务（项）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5.5</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28.21%</w:t>
      </w:r>
      <w:r>
        <w:rPr>
          <w:rStyle w:val="a9"/>
          <w:rFonts w:ascii="仿宋" w:eastAsia="仿宋" w:hAnsi="仿宋" w:hint="eastAsia"/>
          <w:b w:val="0"/>
          <w:bCs/>
          <w:sz w:val="32"/>
          <w:szCs w:val="32"/>
        </w:rPr>
        <w:t>，决算数小于预算数的主要原因是</w:t>
      </w:r>
      <w:r>
        <w:rPr>
          <w:rStyle w:val="a9"/>
          <w:rFonts w:ascii="仿宋" w:eastAsia="仿宋" w:hAnsi="仿宋" w:hint="eastAsia"/>
          <w:b w:val="0"/>
          <w:bCs/>
          <w:sz w:val="32"/>
          <w:szCs w:val="32"/>
        </w:rPr>
        <w:t>2021</w:t>
      </w:r>
      <w:r>
        <w:rPr>
          <w:rStyle w:val="a9"/>
          <w:rFonts w:ascii="仿宋" w:eastAsia="仿宋" w:hAnsi="仿宋" w:hint="eastAsia"/>
          <w:b w:val="0"/>
          <w:bCs/>
          <w:sz w:val="32"/>
          <w:szCs w:val="32"/>
        </w:rPr>
        <w:t>年追加了中央食品、药品专项资金</w:t>
      </w:r>
      <w:r>
        <w:rPr>
          <w:rStyle w:val="a9"/>
          <w:rFonts w:ascii="仿宋" w:eastAsia="仿宋" w:hAnsi="仿宋" w:hint="eastAsia"/>
          <w:b w:val="0"/>
          <w:bCs/>
          <w:sz w:val="32"/>
          <w:szCs w:val="32"/>
        </w:rPr>
        <w:t>16.5</w:t>
      </w:r>
      <w:r>
        <w:rPr>
          <w:rStyle w:val="a9"/>
          <w:rFonts w:ascii="仿宋" w:eastAsia="仿宋" w:hAnsi="仿宋" w:hint="eastAsia"/>
          <w:b w:val="0"/>
          <w:bCs/>
          <w:sz w:val="32"/>
          <w:szCs w:val="32"/>
        </w:rPr>
        <w:t>万元，受新冠肺炎疫情影响，</w:t>
      </w:r>
      <w:r>
        <w:rPr>
          <w:rFonts w:ascii="仿宋" w:eastAsia="仿宋" w:hAnsi="仿宋" w:hint="eastAsia"/>
          <w:sz w:val="32"/>
          <w:szCs w:val="32"/>
        </w:rPr>
        <w:t>部分业务工作未能按计划实施</w:t>
      </w:r>
      <w:r>
        <w:rPr>
          <w:rStyle w:val="a9"/>
          <w:rFonts w:ascii="仿宋" w:eastAsia="仿宋" w:hAnsi="仿宋" w:hint="eastAsia"/>
          <w:bCs/>
          <w:sz w:val="32"/>
          <w:szCs w:val="32"/>
        </w:rPr>
        <w:t>。</w:t>
      </w:r>
    </w:p>
    <w:p w:rsidR="000F0EA8" w:rsidRDefault="00885E0F">
      <w:pPr>
        <w:spacing w:line="560"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8.</w:t>
      </w:r>
      <w:r>
        <w:rPr>
          <w:rStyle w:val="a9"/>
          <w:rFonts w:ascii="仿宋" w:eastAsia="仿宋" w:hAnsi="仿宋" w:hint="eastAsia"/>
          <w:b w:val="0"/>
          <w:bCs/>
          <w:sz w:val="32"/>
          <w:szCs w:val="32"/>
        </w:rPr>
        <w:t>社会保障和就业（类）行政事业单位养老支出（款）机关事业单位基本养老保险缴费支出（项）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23.04</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hint="eastAsia"/>
          <w:b w:val="0"/>
          <w:bCs/>
          <w:sz w:val="32"/>
          <w:szCs w:val="32"/>
        </w:rPr>
        <w:t>。</w:t>
      </w:r>
    </w:p>
    <w:p w:rsidR="000F0EA8" w:rsidRDefault="00885E0F">
      <w:pPr>
        <w:spacing w:line="560"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9.</w:t>
      </w:r>
      <w:r>
        <w:rPr>
          <w:rStyle w:val="a9"/>
          <w:rFonts w:ascii="仿宋" w:eastAsia="仿宋" w:hAnsi="仿宋" w:hint="eastAsia"/>
          <w:b w:val="0"/>
          <w:bCs/>
          <w:sz w:val="32"/>
          <w:szCs w:val="32"/>
        </w:rPr>
        <w:t>社会保障和就业（类）行政事业单位养老支出（款）机关事业单位职业年金缴费支出（项）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9.27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hint="eastAsia"/>
          <w:b w:val="0"/>
          <w:bCs/>
          <w:sz w:val="32"/>
          <w:szCs w:val="32"/>
        </w:rPr>
        <w:t>。</w:t>
      </w:r>
    </w:p>
    <w:p w:rsidR="000F0EA8" w:rsidRDefault="00885E0F">
      <w:pPr>
        <w:spacing w:line="560" w:lineRule="exact"/>
        <w:ind w:firstLineChars="200" w:firstLine="640"/>
        <w:rPr>
          <w:rStyle w:val="a9"/>
          <w:rFonts w:ascii="仿宋" w:eastAsia="仿宋" w:hAnsi="仿宋"/>
          <w:b w:val="0"/>
          <w:bCs/>
          <w:sz w:val="32"/>
          <w:szCs w:val="32"/>
        </w:rPr>
      </w:pPr>
      <w:r>
        <w:rPr>
          <w:rStyle w:val="a9"/>
          <w:rFonts w:ascii="仿宋" w:eastAsia="仿宋" w:hAnsi="仿宋" w:hint="eastAsia"/>
          <w:b w:val="0"/>
          <w:bCs/>
          <w:sz w:val="32"/>
          <w:szCs w:val="32"/>
        </w:rPr>
        <w:t>10.</w:t>
      </w:r>
      <w:r>
        <w:rPr>
          <w:rFonts w:ascii="仿宋" w:eastAsia="仿宋" w:hAnsi="仿宋" w:hint="eastAsia"/>
          <w:bCs/>
          <w:sz w:val="32"/>
          <w:szCs w:val="32"/>
        </w:rPr>
        <w:t>卫生健康</w:t>
      </w:r>
      <w:r>
        <w:rPr>
          <w:rStyle w:val="a9"/>
          <w:rFonts w:ascii="仿宋" w:eastAsia="仿宋" w:hAnsi="仿宋" w:hint="eastAsia"/>
          <w:b w:val="0"/>
          <w:bCs/>
          <w:sz w:val="32"/>
          <w:szCs w:val="32"/>
        </w:rPr>
        <w:t>（类）行政事业单位医疗（款）行政单位医疗（项）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11.52</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hint="eastAsia"/>
          <w:b w:val="0"/>
          <w:bCs/>
          <w:sz w:val="32"/>
          <w:szCs w:val="32"/>
        </w:rPr>
        <w:t>。</w:t>
      </w:r>
    </w:p>
    <w:p w:rsidR="000F0EA8" w:rsidRDefault="00885E0F">
      <w:pPr>
        <w:spacing w:line="560" w:lineRule="exact"/>
        <w:ind w:firstLineChars="200" w:firstLine="640"/>
        <w:rPr>
          <w:rStyle w:val="a9"/>
          <w:rFonts w:ascii="仿宋" w:eastAsia="仿宋" w:hAnsi="仿宋"/>
          <w:b w:val="0"/>
          <w:sz w:val="32"/>
          <w:szCs w:val="32"/>
        </w:rPr>
      </w:pPr>
      <w:r>
        <w:rPr>
          <w:rStyle w:val="a9"/>
          <w:rFonts w:ascii="仿宋" w:eastAsia="仿宋" w:hAnsi="仿宋" w:hint="eastAsia"/>
          <w:b w:val="0"/>
          <w:bCs/>
          <w:sz w:val="32"/>
          <w:szCs w:val="32"/>
        </w:rPr>
        <w:t>11.</w:t>
      </w:r>
      <w:r>
        <w:rPr>
          <w:rFonts w:ascii="仿宋" w:eastAsia="仿宋" w:hAnsi="仿宋" w:hint="eastAsia"/>
          <w:bCs/>
          <w:sz w:val="32"/>
          <w:szCs w:val="32"/>
        </w:rPr>
        <w:t>住房保障支出</w:t>
      </w:r>
      <w:r>
        <w:rPr>
          <w:rStyle w:val="a9"/>
          <w:rFonts w:ascii="仿宋" w:eastAsia="仿宋" w:hAnsi="仿宋" w:hint="eastAsia"/>
          <w:bCs/>
          <w:sz w:val="32"/>
          <w:szCs w:val="32"/>
        </w:rPr>
        <w:t>（</w:t>
      </w:r>
      <w:r>
        <w:rPr>
          <w:rStyle w:val="a9"/>
          <w:rFonts w:ascii="仿宋" w:eastAsia="仿宋" w:hAnsi="仿宋" w:hint="eastAsia"/>
          <w:b w:val="0"/>
          <w:bCs/>
          <w:sz w:val="32"/>
          <w:szCs w:val="32"/>
        </w:rPr>
        <w:t>类）住房改革支出（款）住房公积金（项）</w:t>
      </w:r>
      <w:r>
        <w:rPr>
          <w:rStyle w:val="a9"/>
          <w:rFonts w:ascii="仿宋" w:eastAsia="仿宋" w:hAnsi="仿宋" w:hint="eastAsia"/>
          <w:b w:val="0"/>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23.85</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95.55%</w:t>
      </w:r>
      <w:r>
        <w:rPr>
          <w:rStyle w:val="a9"/>
          <w:rFonts w:ascii="仿宋" w:eastAsia="仿宋" w:hAnsi="仿宋" w:hint="eastAsia"/>
          <w:b w:val="0"/>
          <w:bCs/>
          <w:sz w:val="32"/>
          <w:szCs w:val="32"/>
        </w:rPr>
        <w:t>，决算数小于预算数的主要原因是</w:t>
      </w:r>
      <w:r>
        <w:rPr>
          <w:rStyle w:val="a9"/>
          <w:rFonts w:ascii="仿宋" w:eastAsia="仿宋" w:hAnsi="仿宋" w:hint="eastAsia"/>
          <w:b w:val="0"/>
          <w:bCs/>
          <w:sz w:val="32"/>
          <w:szCs w:val="32"/>
        </w:rPr>
        <w:t>2021</w:t>
      </w:r>
      <w:r>
        <w:rPr>
          <w:rStyle w:val="a9"/>
          <w:rFonts w:ascii="仿宋" w:eastAsia="仿宋" w:hAnsi="仿宋" w:hint="eastAsia"/>
          <w:b w:val="0"/>
          <w:bCs/>
          <w:sz w:val="32"/>
          <w:szCs w:val="32"/>
        </w:rPr>
        <w:t>年新增</w:t>
      </w:r>
      <w:r>
        <w:rPr>
          <w:rStyle w:val="a9"/>
          <w:rFonts w:ascii="仿宋" w:eastAsia="仿宋" w:hAnsi="仿宋" w:hint="eastAsia"/>
          <w:b w:val="0"/>
          <w:bCs/>
          <w:sz w:val="32"/>
          <w:szCs w:val="32"/>
        </w:rPr>
        <w:t>2</w:t>
      </w:r>
      <w:r>
        <w:rPr>
          <w:rStyle w:val="a9"/>
          <w:rFonts w:ascii="仿宋" w:eastAsia="仿宋" w:hAnsi="仿宋" w:hint="eastAsia"/>
          <w:b w:val="0"/>
          <w:bCs/>
          <w:sz w:val="32"/>
          <w:szCs w:val="32"/>
        </w:rPr>
        <w:t>名退休人员。</w:t>
      </w:r>
    </w:p>
    <w:p w:rsidR="000F0EA8" w:rsidRDefault="00885E0F">
      <w:pPr>
        <w:pStyle w:val="2"/>
        <w:ind w:firstLineChars="200" w:firstLine="643"/>
        <w:rPr>
          <w:rStyle w:val="a9"/>
          <w:rFonts w:ascii="新宋体" w:eastAsia="新宋体" w:hAnsi="新宋体" w:cs="新宋体"/>
          <w:b/>
          <w:bCs w:val="0"/>
        </w:rPr>
      </w:pPr>
      <w:bookmarkStart w:id="63" w:name="_Toc10452"/>
      <w:r>
        <w:rPr>
          <w:rStyle w:val="a9"/>
          <w:rFonts w:ascii="新宋体" w:eastAsia="新宋体" w:hAnsi="新宋体" w:cs="新宋体" w:hint="eastAsia"/>
          <w:b/>
          <w:bCs w:val="0"/>
        </w:rPr>
        <w:t>六、一般公共预算财政拨款基本支出决算情况说明</w:t>
      </w:r>
      <w:bookmarkEnd w:id="63"/>
    </w:p>
    <w:p w:rsidR="000F0EA8" w:rsidRDefault="00885E0F">
      <w:pPr>
        <w:spacing w:line="560" w:lineRule="exact"/>
        <w:ind w:firstLine="645"/>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年一般公共预算财政拨款基本支出</w:t>
      </w:r>
      <w:r>
        <w:rPr>
          <w:rFonts w:ascii="仿宋" w:eastAsia="仿宋" w:hAnsi="仿宋" w:hint="eastAsia"/>
          <w:sz w:val="32"/>
          <w:szCs w:val="32"/>
        </w:rPr>
        <w:t>307.59</w:t>
      </w:r>
      <w:r>
        <w:rPr>
          <w:rFonts w:ascii="仿宋" w:eastAsia="仿宋" w:hAnsi="仿宋" w:hint="eastAsia"/>
          <w:sz w:val="32"/>
          <w:szCs w:val="32"/>
        </w:rPr>
        <w:t>万元，其中：</w:t>
      </w:r>
    </w:p>
    <w:p w:rsidR="000F0EA8" w:rsidRDefault="00885E0F">
      <w:pPr>
        <w:spacing w:line="56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257.82</w:t>
      </w:r>
      <w:r>
        <w:rPr>
          <w:rFonts w:ascii="仿宋" w:eastAsia="仿宋" w:hAnsi="仿宋" w:hint="eastAsia"/>
          <w:sz w:val="32"/>
          <w:szCs w:val="32"/>
        </w:rPr>
        <w:t>万元，主要包括：基本工资、津贴补贴、奖</w:t>
      </w:r>
      <w:r>
        <w:rPr>
          <w:rFonts w:ascii="仿宋" w:eastAsia="仿宋" w:hAnsi="仿宋" w:hint="eastAsia"/>
          <w:sz w:val="32"/>
          <w:szCs w:val="32"/>
        </w:rPr>
        <w:lastRenderedPageBreak/>
        <w:t>金、机关事业单位基本养老保险缴费、职业年金缴费、职工基本医疗保险缴费、</w:t>
      </w:r>
      <w:r>
        <w:rPr>
          <w:rFonts w:ascii="仿宋" w:eastAsia="仿宋" w:hAnsi="仿宋" w:hint="eastAsia"/>
          <w:sz w:val="32"/>
          <w:szCs w:val="32"/>
        </w:rPr>
        <w:t>其他社会保障缴费、其他工资福利支出、生活补助、奖励金、住房公积金等。</w:t>
      </w:r>
    </w:p>
    <w:p w:rsidR="000F0EA8" w:rsidRDefault="00885E0F">
      <w:pPr>
        <w:spacing w:line="560" w:lineRule="exact"/>
        <w:ind w:firstLine="645"/>
        <w:rPr>
          <w:rFonts w:ascii="仿宋" w:eastAsia="仿宋" w:hAnsi="仿宋"/>
          <w:sz w:val="32"/>
          <w:szCs w:val="32"/>
        </w:rPr>
      </w:pPr>
      <w:r>
        <w:rPr>
          <w:rFonts w:ascii="仿宋" w:eastAsia="仿宋" w:hAnsi="仿宋" w:hint="eastAsia"/>
          <w:sz w:val="32"/>
          <w:szCs w:val="32"/>
        </w:rPr>
        <w:t>公用经费</w:t>
      </w:r>
      <w:r>
        <w:rPr>
          <w:rFonts w:ascii="仿宋" w:eastAsia="仿宋" w:hAnsi="仿宋" w:hint="eastAsia"/>
          <w:sz w:val="32"/>
          <w:szCs w:val="32"/>
        </w:rPr>
        <w:t>49.77</w:t>
      </w:r>
      <w:r>
        <w:rPr>
          <w:rFonts w:ascii="仿宋" w:eastAsia="仿宋" w:hAnsi="仿宋" w:hint="eastAsia"/>
          <w:sz w:val="32"/>
          <w:szCs w:val="32"/>
        </w:rPr>
        <w:t>万元，主要包括：办公费、印刷费、水费、电费、邮电费、物业管理费、差旅费、维修（护）费、租赁费、培训费、公务接待费、委托业务费、工会经费、福利费、公务用车运行维护费、其他交通费、其他商品和服务支出等。</w:t>
      </w:r>
    </w:p>
    <w:p w:rsidR="000F0EA8" w:rsidRDefault="00885E0F">
      <w:pPr>
        <w:pStyle w:val="2"/>
        <w:ind w:firstLineChars="200" w:firstLine="643"/>
        <w:rPr>
          <w:rStyle w:val="a9"/>
          <w:rFonts w:ascii="新宋体" w:eastAsia="新宋体" w:hAnsi="新宋体" w:cs="新宋体"/>
          <w:b/>
          <w:bCs w:val="0"/>
        </w:rPr>
      </w:pPr>
      <w:bookmarkStart w:id="64" w:name="_Toc32452"/>
      <w:r>
        <w:rPr>
          <w:rStyle w:val="a9"/>
          <w:rFonts w:ascii="新宋体" w:eastAsia="新宋体" w:hAnsi="新宋体" w:cs="新宋体" w:hint="eastAsia"/>
          <w:b/>
          <w:bCs w:val="0"/>
        </w:rPr>
        <w:t>七、“三公经费”财政拨款支出决算情况说明</w:t>
      </w:r>
      <w:bookmarkEnd w:id="64"/>
    </w:p>
    <w:p w:rsidR="000F0EA8" w:rsidRDefault="00885E0F" w:rsidP="000F0EA8">
      <w:pPr>
        <w:ind w:firstLineChars="200" w:firstLine="640"/>
        <w:rPr>
          <w:rFonts w:ascii="楷体" w:eastAsia="楷体" w:hAnsi="楷体"/>
          <w:b/>
          <w:sz w:val="32"/>
          <w:szCs w:val="32"/>
        </w:rPr>
      </w:pPr>
      <w:bookmarkStart w:id="65" w:name="_Toc114132073"/>
      <w:bookmarkStart w:id="66" w:name="_Toc15377216"/>
      <w:bookmarkStart w:id="67" w:name="_Toc115248311"/>
      <w:bookmarkStart w:id="68" w:name="_Toc7896"/>
      <w:r>
        <w:rPr>
          <w:rFonts w:ascii="楷体" w:eastAsia="楷体" w:hAnsi="楷体" w:hint="eastAsia"/>
          <w:b/>
          <w:sz w:val="32"/>
          <w:szCs w:val="32"/>
        </w:rPr>
        <w:t>（一）“三公”经费财政拨款支出决算总体情况说明</w:t>
      </w:r>
      <w:bookmarkEnd w:id="65"/>
      <w:bookmarkEnd w:id="66"/>
      <w:bookmarkEnd w:id="67"/>
      <w:bookmarkEnd w:id="68"/>
    </w:p>
    <w:p w:rsidR="000F0EA8" w:rsidRDefault="00885E0F">
      <w:pPr>
        <w:spacing w:line="560" w:lineRule="exact"/>
        <w:ind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年“三公”经费财政拨款支出决算为</w:t>
      </w:r>
      <w:r>
        <w:rPr>
          <w:rFonts w:ascii="仿宋" w:eastAsia="仿宋" w:hAnsi="仿宋" w:hint="eastAsia"/>
          <w:sz w:val="32"/>
          <w:szCs w:val="32"/>
        </w:rPr>
        <w:t>8.7</w:t>
      </w:r>
      <w:r>
        <w:rPr>
          <w:rFonts w:ascii="仿宋" w:eastAsia="仿宋" w:hAnsi="仿宋" w:hint="eastAsia"/>
          <w:sz w:val="32"/>
          <w:szCs w:val="32"/>
        </w:rPr>
        <w:t>万元，完成预算</w:t>
      </w:r>
      <w:r>
        <w:rPr>
          <w:rFonts w:ascii="仿宋" w:eastAsia="仿宋" w:hAnsi="仿宋" w:hint="eastAsia"/>
          <w:sz w:val="32"/>
          <w:szCs w:val="32"/>
        </w:rPr>
        <w:t>93.55%</w:t>
      </w:r>
      <w:r>
        <w:rPr>
          <w:rFonts w:ascii="仿宋" w:eastAsia="仿宋" w:hAnsi="仿宋" w:hint="eastAsia"/>
          <w:sz w:val="32"/>
          <w:szCs w:val="32"/>
        </w:rPr>
        <w:t>，决算数小于预算数的主要原因是严格控制“三公”经费，压缩支出。</w:t>
      </w:r>
    </w:p>
    <w:p w:rsidR="000F0EA8" w:rsidRDefault="00885E0F" w:rsidP="000F0EA8">
      <w:pPr>
        <w:ind w:firstLineChars="200" w:firstLine="640"/>
        <w:rPr>
          <w:rFonts w:ascii="楷体" w:eastAsia="楷体" w:hAnsi="楷体"/>
          <w:b/>
          <w:sz w:val="32"/>
          <w:szCs w:val="32"/>
        </w:rPr>
      </w:pPr>
      <w:bookmarkStart w:id="69" w:name="_Toc115248312"/>
      <w:bookmarkStart w:id="70" w:name="_Toc15377217"/>
      <w:bookmarkStart w:id="71" w:name="_Toc114132074"/>
      <w:bookmarkStart w:id="72" w:name="_Toc10792"/>
      <w:r>
        <w:rPr>
          <w:rFonts w:ascii="楷体" w:eastAsia="楷体" w:hAnsi="楷体" w:hint="eastAsia"/>
          <w:b/>
          <w:sz w:val="32"/>
          <w:szCs w:val="32"/>
        </w:rPr>
        <w:t>（二）“三公”经费财政拨款支出决算具体情况说明</w:t>
      </w:r>
      <w:bookmarkEnd w:id="69"/>
      <w:bookmarkEnd w:id="70"/>
      <w:bookmarkEnd w:id="71"/>
      <w:bookmarkEnd w:id="72"/>
    </w:p>
    <w:p w:rsidR="000F0EA8" w:rsidRDefault="00885E0F">
      <w:pPr>
        <w:spacing w:line="560" w:lineRule="exact"/>
        <w:ind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；公务用车购置及运行维护费支出决算</w:t>
      </w:r>
      <w:r>
        <w:rPr>
          <w:rFonts w:ascii="仿宋" w:eastAsia="仿宋" w:hAnsi="仿宋" w:hint="eastAsia"/>
          <w:sz w:val="32"/>
          <w:szCs w:val="32"/>
        </w:rPr>
        <w:t>8.06</w:t>
      </w:r>
      <w:r>
        <w:rPr>
          <w:rFonts w:ascii="仿宋" w:eastAsia="仿宋" w:hAnsi="仿宋" w:hint="eastAsia"/>
          <w:sz w:val="32"/>
          <w:szCs w:val="32"/>
        </w:rPr>
        <w:t>万元，占</w:t>
      </w:r>
      <w:r>
        <w:rPr>
          <w:rFonts w:ascii="仿宋" w:eastAsia="仿宋" w:hAnsi="仿宋" w:hint="eastAsia"/>
          <w:sz w:val="32"/>
          <w:szCs w:val="32"/>
        </w:rPr>
        <w:t>92.53%</w:t>
      </w:r>
      <w:r>
        <w:rPr>
          <w:rFonts w:ascii="仿宋" w:eastAsia="仿宋" w:hAnsi="仿宋" w:hint="eastAsia"/>
          <w:sz w:val="32"/>
          <w:szCs w:val="32"/>
        </w:rPr>
        <w:t>；公务接待费支出决算</w:t>
      </w:r>
      <w:r>
        <w:rPr>
          <w:rFonts w:ascii="仿宋" w:eastAsia="仿宋" w:hAnsi="仿宋" w:hint="eastAsia"/>
          <w:sz w:val="32"/>
          <w:szCs w:val="32"/>
        </w:rPr>
        <w:t>0.65</w:t>
      </w:r>
      <w:r>
        <w:rPr>
          <w:rFonts w:ascii="仿宋" w:eastAsia="仿宋" w:hAnsi="仿宋" w:hint="eastAsia"/>
          <w:sz w:val="32"/>
          <w:szCs w:val="32"/>
        </w:rPr>
        <w:t>万元，占</w:t>
      </w:r>
      <w:r>
        <w:rPr>
          <w:rFonts w:ascii="仿宋" w:eastAsia="仿宋" w:hAnsi="仿宋" w:hint="eastAsia"/>
          <w:sz w:val="32"/>
          <w:szCs w:val="32"/>
        </w:rPr>
        <w:t>7.47%</w:t>
      </w:r>
      <w:r>
        <w:rPr>
          <w:rFonts w:ascii="仿宋" w:eastAsia="仿宋" w:hAnsi="仿宋" w:hint="eastAsia"/>
          <w:sz w:val="32"/>
          <w:szCs w:val="32"/>
        </w:rPr>
        <w:t>。具体情况如下：</w:t>
      </w:r>
    </w:p>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7</w:t>
      </w:r>
      <w:r>
        <w:rPr>
          <w:rFonts w:ascii="仿宋" w:eastAsia="仿宋" w:hAnsi="仿宋" w:hint="eastAsia"/>
          <w:sz w:val="32"/>
          <w:szCs w:val="32"/>
        </w:rPr>
        <w:t>：“三公”经费财政拨款支出结构）（饼状图）</w:t>
      </w:r>
    </w:p>
    <w:p w:rsidR="000F0EA8" w:rsidRDefault="00885E0F">
      <w:pPr>
        <w:pStyle w:val="a0"/>
        <w:spacing w:before="93"/>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3360" behindDoc="0" locked="0" layoutInCell="1" allowOverlap="1">
            <wp:simplePos x="0" y="0"/>
            <wp:positionH relativeFrom="column">
              <wp:posOffset>791210</wp:posOffset>
            </wp:positionH>
            <wp:positionV relativeFrom="paragraph">
              <wp:posOffset>53975</wp:posOffset>
            </wp:positionV>
            <wp:extent cx="4171950" cy="2031365"/>
            <wp:effectExtent l="6350" t="6350" r="12700" b="19685"/>
            <wp:wrapNone/>
            <wp:docPr id="16" name="对象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F0EA8" w:rsidRDefault="000F0EA8">
      <w:pPr>
        <w:pStyle w:val="a0"/>
        <w:spacing w:before="93"/>
        <w:rPr>
          <w:rFonts w:ascii="仿宋" w:eastAsia="仿宋" w:hAnsi="仿宋"/>
          <w:sz w:val="32"/>
          <w:szCs w:val="32"/>
        </w:rPr>
      </w:pPr>
    </w:p>
    <w:p w:rsidR="000F0EA8" w:rsidRDefault="00885E0F">
      <w:pPr>
        <w:pStyle w:val="a0"/>
        <w:tabs>
          <w:tab w:val="left" w:pos="5490"/>
        </w:tabs>
        <w:spacing w:before="93"/>
        <w:rPr>
          <w:rFonts w:ascii="仿宋" w:eastAsia="仿宋" w:hAnsi="仿宋"/>
          <w:sz w:val="32"/>
          <w:szCs w:val="32"/>
        </w:rPr>
      </w:pPr>
      <w:r>
        <w:rPr>
          <w:rFonts w:ascii="仿宋" w:eastAsia="仿宋" w:hAnsi="仿宋" w:hint="eastAsia"/>
          <w:sz w:val="32"/>
          <w:szCs w:val="32"/>
        </w:rPr>
        <w:tab/>
      </w:r>
    </w:p>
    <w:p w:rsidR="000F0EA8" w:rsidRDefault="00885E0F">
      <w:pPr>
        <w:pStyle w:val="a0"/>
        <w:tabs>
          <w:tab w:val="left" w:pos="2760"/>
        </w:tabs>
        <w:spacing w:before="93"/>
        <w:rPr>
          <w:rFonts w:ascii="仿宋" w:eastAsia="仿宋" w:hAnsi="仿宋"/>
          <w:sz w:val="32"/>
          <w:szCs w:val="32"/>
        </w:rPr>
      </w:pPr>
      <w:r>
        <w:rPr>
          <w:rFonts w:ascii="仿宋" w:eastAsia="仿宋" w:hAnsi="仿宋" w:hint="eastAsia"/>
          <w:sz w:val="32"/>
          <w:szCs w:val="32"/>
        </w:rPr>
        <w:tab/>
        <w:t>.</w:t>
      </w:r>
    </w:p>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hint="eastAsia"/>
          <w:sz w:val="32"/>
          <w:szCs w:val="32"/>
        </w:rPr>
        <w:t>因公出国（境）经费支出</w:t>
      </w:r>
      <w:r>
        <w:rPr>
          <w:rFonts w:ascii="仿宋" w:eastAsia="仿宋" w:hAnsi="仿宋" w:hint="eastAsia"/>
          <w:sz w:val="32"/>
          <w:szCs w:val="32"/>
        </w:rPr>
        <w:t>0</w:t>
      </w:r>
      <w:r>
        <w:rPr>
          <w:rFonts w:ascii="仿宋" w:eastAsia="仿宋" w:hAnsi="仿宋" w:hint="eastAsia"/>
          <w:sz w:val="32"/>
          <w:szCs w:val="32"/>
        </w:rPr>
        <w:t>万元，年初未安排预算，因公出国（境）支出决算较</w:t>
      </w:r>
      <w:r>
        <w:rPr>
          <w:rFonts w:ascii="仿宋" w:eastAsia="仿宋" w:hAnsi="仿宋" w:hint="eastAsia"/>
          <w:sz w:val="32"/>
          <w:szCs w:val="32"/>
        </w:rPr>
        <w:t>2020</w:t>
      </w:r>
      <w:r>
        <w:rPr>
          <w:rFonts w:ascii="仿宋" w:eastAsia="仿宋" w:hAnsi="仿宋" w:hint="eastAsia"/>
          <w:sz w:val="32"/>
          <w:szCs w:val="32"/>
        </w:rPr>
        <w:t>年无变化。</w:t>
      </w:r>
    </w:p>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公务用车购置及运行维护费支出</w:t>
      </w:r>
      <w:r>
        <w:rPr>
          <w:rFonts w:ascii="仿宋" w:eastAsia="仿宋" w:hAnsi="仿宋" w:hint="eastAsia"/>
          <w:sz w:val="32"/>
          <w:szCs w:val="32"/>
        </w:rPr>
        <w:t>8.06</w:t>
      </w:r>
      <w:r>
        <w:rPr>
          <w:rFonts w:ascii="仿宋" w:eastAsia="仿宋" w:hAnsi="仿宋" w:hint="eastAsia"/>
          <w:sz w:val="32"/>
          <w:szCs w:val="32"/>
        </w:rPr>
        <w:t>万元</w:t>
      </w:r>
      <w:r>
        <w:rPr>
          <w:rFonts w:ascii="仿宋" w:eastAsia="仿宋" w:hAnsi="仿宋" w:hint="eastAsia"/>
          <w:sz w:val="32"/>
          <w:szCs w:val="32"/>
        </w:rPr>
        <w:t>,</w:t>
      </w:r>
      <w:r>
        <w:rPr>
          <w:rStyle w:val="a9"/>
          <w:rFonts w:ascii="仿宋" w:eastAsia="仿宋" w:hAnsi="仿宋" w:hint="eastAsia"/>
          <w:b w:val="0"/>
          <w:bCs/>
          <w:sz w:val="32"/>
          <w:szCs w:val="32"/>
        </w:rPr>
        <w:t>完成预算</w:t>
      </w:r>
      <w:r>
        <w:rPr>
          <w:rStyle w:val="a9"/>
          <w:rFonts w:ascii="仿宋" w:eastAsia="仿宋" w:hAnsi="仿宋" w:hint="eastAsia"/>
          <w:b w:val="0"/>
          <w:bCs/>
          <w:sz w:val="32"/>
          <w:szCs w:val="32"/>
        </w:rPr>
        <w:t>99.51%</w:t>
      </w:r>
      <w:r>
        <w:rPr>
          <w:rStyle w:val="a9"/>
          <w:rFonts w:ascii="仿宋" w:eastAsia="仿宋" w:hAnsi="仿宋" w:hint="eastAsia"/>
          <w:b w:val="0"/>
          <w:bCs/>
          <w:sz w:val="32"/>
          <w:szCs w:val="32"/>
        </w:rPr>
        <w:t>。</w:t>
      </w:r>
      <w:r>
        <w:rPr>
          <w:rFonts w:ascii="仿宋" w:eastAsia="仿宋" w:hAnsi="仿宋" w:hint="eastAsia"/>
          <w:sz w:val="32"/>
          <w:szCs w:val="32"/>
        </w:rPr>
        <w:t>公务用车购置及运行维护费支出决算比</w:t>
      </w:r>
      <w:r>
        <w:rPr>
          <w:rFonts w:ascii="仿宋" w:eastAsia="仿宋" w:hAnsi="仿宋" w:hint="eastAsia"/>
          <w:sz w:val="32"/>
          <w:szCs w:val="32"/>
        </w:rPr>
        <w:t>2020</w:t>
      </w:r>
      <w:r>
        <w:rPr>
          <w:rFonts w:ascii="仿宋" w:eastAsia="仿宋" w:hAnsi="仿宋" w:hint="eastAsia"/>
          <w:sz w:val="32"/>
          <w:szCs w:val="32"/>
        </w:rPr>
        <w:t>年减少</w:t>
      </w:r>
      <w:r>
        <w:rPr>
          <w:rFonts w:ascii="仿宋" w:eastAsia="仿宋" w:hAnsi="仿宋" w:hint="eastAsia"/>
          <w:sz w:val="32"/>
          <w:szCs w:val="32"/>
        </w:rPr>
        <w:t>1.01</w:t>
      </w:r>
      <w:r>
        <w:rPr>
          <w:rFonts w:ascii="仿宋" w:eastAsia="仿宋" w:hAnsi="仿宋" w:hint="eastAsia"/>
          <w:sz w:val="32"/>
          <w:szCs w:val="32"/>
        </w:rPr>
        <w:t>万元，下降</w:t>
      </w:r>
      <w:r>
        <w:rPr>
          <w:rFonts w:ascii="仿宋" w:eastAsia="仿宋" w:hAnsi="仿宋" w:hint="eastAsia"/>
          <w:sz w:val="32"/>
          <w:szCs w:val="32"/>
        </w:rPr>
        <w:t>11.14%</w:t>
      </w:r>
      <w:r>
        <w:rPr>
          <w:rFonts w:ascii="仿宋" w:eastAsia="仿宋" w:hAnsi="仿宋" w:hint="eastAsia"/>
          <w:sz w:val="32"/>
          <w:szCs w:val="32"/>
        </w:rPr>
        <w:t>。主要原因是严格控制“三公”经费，压</w:t>
      </w:r>
      <w:r>
        <w:rPr>
          <w:rFonts w:ascii="仿宋" w:eastAsia="仿宋" w:hAnsi="仿宋" w:hint="eastAsia"/>
          <w:sz w:val="32"/>
          <w:szCs w:val="32"/>
        </w:rPr>
        <w:t>减</w:t>
      </w:r>
      <w:r>
        <w:rPr>
          <w:rFonts w:ascii="仿宋" w:eastAsia="仿宋" w:hAnsi="仿宋" w:hint="eastAsia"/>
          <w:sz w:val="32"/>
          <w:szCs w:val="32"/>
        </w:rPr>
        <w:t>支出。</w:t>
      </w:r>
    </w:p>
    <w:p w:rsidR="000F0EA8" w:rsidRDefault="00885E0F">
      <w:pPr>
        <w:spacing w:line="600" w:lineRule="exact"/>
        <w:ind w:firstLineChars="200" w:firstLine="640"/>
        <w:rPr>
          <w:rFonts w:ascii="仿宋" w:eastAsia="仿宋" w:hAnsi="仿宋"/>
          <w:b/>
          <w:sz w:val="32"/>
          <w:szCs w:val="32"/>
        </w:rPr>
      </w:pPr>
      <w:r>
        <w:rPr>
          <w:rFonts w:ascii="仿宋" w:eastAsia="仿宋" w:hAnsi="仿宋" w:hint="eastAsia"/>
          <w:sz w:val="32"/>
          <w:szCs w:val="32"/>
        </w:rPr>
        <w:t>其中：公务用车购置支出</w:t>
      </w:r>
      <w:r>
        <w:rPr>
          <w:rFonts w:ascii="仿宋" w:eastAsia="仿宋" w:hAnsi="仿宋" w:hint="eastAsia"/>
          <w:sz w:val="32"/>
          <w:szCs w:val="32"/>
        </w:rPr>
        <w:t>0</w:t>
      </w:r>
      <w:r>
        <w:rPr>
          <w:rFonts w:ascii="仿宋" w:eastAsia="仿宋" w:hAnsi="仿宋" w:hint="eastAsia"/>
          <w:sz w:val="32"/>
          <w:szCs w:val="32"/>
        </w:rPr>
        <w:t>万元。截至</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月底，单位共有公务用车</w:t>
      </w:r>
      <w:r>
        <w:rPr>
          <w:rFonts w:ascii="仿宋" w:eastAsia="仿宋" w:hAnsi="仿宋" w:hint="eastAsia"/>
          <w:sz w:val="32"/>
          <w:szCs w:val="32"/>
        </w:rPr>
        <w:t>3</w:t>
      </w:r>
      <w:r>
        <w:rPr>
          <w:rFonts w:ascii="仿宋" w:eastAsia="仿宋" w:hAnsi="仿宋" w:hint="eastAsia"/>
          <w:sz w:val="32"/>
          <w:szCs w:val="32"/>
        </w:rPr>
        <w:t>辆，其中：轿车</w:t>
      </w:r>
      <w:r>
        <w:rPr>
          <w:rFonts w:ascii="仿宋" w:eastAsia="仿宋" w:hAnsi="仿宋" w:hint="eastAsia"/>
          <w:sz w:val="32"/>
          <w:szCs w:val="32"/>
        </w:rPr>
        <w:t>2</w:t>
      </w:r>
      <w:r>
        <w:rPr>
          <w:rFonts w:ascii="仿宋" w:eastAsia="仿宋" w:hAnsi="仿宋" w:hint="eastAsia"/>
          <w:sz w:val="32"/>
          <w:szCs w:val="32"/>
        </w:rPr>
        <w:t>辆、越野车</w:t>
      </w:r>
      <w:r>
        <w:rPr>
          <w:rFonts w:ascii="仿宋" w:eastAsia="仿宋" w:hAnsi="仿宋" w:hint="eastAsia"/>
          <w:sz w:val="32"/>
          <w:szCs w:val="32"/>
        </w:rPr>
        <w:t>1</w:t>
      </w:r>
      <w:r>
        <w:rPr>
          <w:rFonts w:ascii="仿宋" w:eastAsia="仿宋" w:hAnsi="仿宋" w:hint="eastAsia"/>
          <w:sz w:val="32"/>
          <w:szCs w:val="32"/>
        </w:rPr>
        <w:t>辆。</w:t>
      </w:r>
    </w:p>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t>公务用车运行维护费支出</w:t>
      </w:r>
      <w:r>
        <w:rPr>
          <w:rFonts w:ascii="仿宋" w:eastAsia="仿宋" w:hAnsi="仿宋" w:hint="eastAsia"/>
          <w:sz w:val="32"/>
          <w:szCs w:val="32"/>
        </w:rPr>
        <w:t>8.06</w:t>
      </w:r>
      <w:r>
        <w:rPr>
          <w:rFonts w:ascii="仿宋" w:eastAsia="仿宋" w:hAnsi="仿宋" w:hint="eastAsia"/>
          <w:sz w:val="32"/>
          <w:szCs w:val="32"/>
        </w:rPr>
        <w:t>万元。主要用于质量技术监督、食品药品、医疗器械等市场监督管理事务，消费者权益保护等市场秩序执法工作所需的公务用车燃料费、维修费、过路过桥费、保险费等支出。</w:t>
      </w:r>
    </w:p>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公务接待费支出</w:t>
      </w:r>
      <w:r>
        <w:rPr>
          <w:rFonts w:ascii="仿宋" w:eastAsia="仿宋" w:hAnsi="仿宋" w:hint="eastAsia"/>
          <w:sz w:val="32"/>
          <w:szCs w:val="32"/>
        </w:rPr>
        <w:t>0.65</w:t>
      </w:r>
      <w:r>
        <w:rPr>
          <w:rFonts w:ascii="仿宋" w:eastAsia="仿宋" w:hAnsi="仿宋" w:hint="eastAsia"/>
          <w:sz w:val="32"/>
          <w:szCs w:val="32"/>
        </w:rPr>
        <w:t>万元，</w:t>
      </w:r>
      <w:r>
        <w:rPr>
          <w:rStyle w:val="a9"/>
          <w:rFonts w:ascii="仿宋" w:eastAsia="仿宋" w:hAnsi="仿宋" w:hint="eastAsia"/>
          <w:b w:val="0"/>
          <w:bCs/>
          <w:sz w:val="32"/>
          <w:szCs w:val="32"/>
        </w:rPr>
        <w:t>完成预算</w:t>
      </w:r>
      <w:r>
        <w:rPr>
          <w:rStyle w:val="a9"/>
          <w:rFonts w:ascii="仿宋" w:eastAsia="仿宋" w:hAnsi="仿宋" w:hint="eastAsia"/>
          <w:b w:val="0"/>
          <w:bCs/>
          <w:sz w:val="32"/>
          <w:szCs w:val="32"/>
        </w:rPr>
        <w:t>54.17%</w:t>
      </w:r>
      <w:r>
        <w:rPr>
          <w:rStyle w:val="a9"/>
          <w:rFonts w:ascii="仿宋" w:eastAsia="仿宋" w:hAnsi="仿宋" w:hint="eastAsia"/>
          <w:b w:val="0"/>
          <w:bCs/>
          <w:sz w:val="32"/>
          <w:szCs w:val="32"/>
        </w:rPr>
        <w:t>。</w:t>
      </w:r>
      <w:r>
        <w:rPr>
          <w:rFonts w:ascii="仿宋" w:eastAsia="仿宋" w:hAnsi="仿宋" w:hint="eastAsia"/>
          <w:sz w:val="32"/>
          <w:szCs w:val="32"/>
        </w:rPr>
        <w:t>公务接待费支出决算比</w:t>
      </w:r>
      <w:r>
        <w:rPr>
          <w:rFonts w:ascii="仿宋" w:eastAsia="仿宋" w:hAnsi="仿宋" w:hint="eastAsia"/>
          <w:sz w:val="32"/>
          <w:szCs w:val="32"/>
        </w:rPr>
        <w:t>2020</w:t>
      </w:r>
      <w:r>
        <w:rPr>
          <w:rFonts w:ascii="仿宋" w:eastAsia="仿宋" w:hAnsi="仿宋" w:hint="eastAsia"/>
          <w:sz w:val="32"/>
          <w:szCs w:val="32"/>
        </w:rPr>
        <w:t>年增加</w:t>
      </w:r>
      <w:r>
        <w:rPr>
          <w:rFonts w:ascii="仿宋" w:eastAsia="仿宋" w:hAnsi="仿宋" w:hint="eastAsia"/>
          <w:sz w:val="32"/>
          <w:szCs w:val="32"/>
        </w:rPr>
        <w:t>0.12</w:t>
      </w:r>
      <w:r>
        <w:rPr>
          <w:rFonts w:ascii="仿宋" w:eastAsia="仿宋" w:hAnsi="仿宋" w:hint="eastAsia"/>
          <w:sz w:val="32"/>
          <w:szCs w:val="32"/>
        </w:rPr>
        <w:t>万元，增长</w:t>
      </w:r>
      <w:r>
        <w:rPr>
          <w:rFonts w:ascii="仿宋" w:eastAsia="仿宋" w:hAnsi="仿宋" w:hint="eastAsia"/>
          <w:sz w:val="32"/>
          <w:szCs w:val="32"/>
        </w:rPr>
        <w:t>22.64%</w:t>
      </w:r>
      <w:r>
        <w:rPr>
          <w:rFonts w:ascii="仿宋" w:eastAsia="仿宋" w:hAnsi="仿宋" w:hint="eastAsia"/>
          <w:sz w:val="32"/>
          <w:szCs w:val="32"/>
        </w:rPr>
        <w:t>。主要原因是受疫情影响，疫情防控、冷链食品等各类检查增加。其中：</w:t>
      </w:r>
    </w:p>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t>国内公务接待支出</w:t>
      </w:r>
      <w:r>
        <w:rPr>
          <w:rFonts w:ascii="仿宋" w:eastAsia="仿宋" w:hAnsi="仿宋" w:hint="eastAsia"/>
          <w:sz w:val="32"/>
          <w:szCs w:val="32"/>
        </w:rPr>
        <w:t>0.65</w:t>
      </w:r>
      <w:r>
        <w:rPr>
          <w:rFonts w:ascii="仿宋" w:eastAsia="仿宋" w:hAnsi="仿宋" w:hint="eastAsia"/>
          <w:sz w:val="32"/>
          <w:szCs w:val="32"/>
        </w:rPr>
        <w:t>万元，主要用于执行公务、开展业务活动开支的用餐费。国内公务接待</w:t>
      </w:r>
      <w:r>
        <w:rPr>
          <w:rFonts w:ascii="仿宋" w:eastAsia="仿宋" w:hAnsi="仿宋" w:hint="eastAsia"/>
          <w:sz w:val="32"/>
          <w:szCs w:val="32"/>
        </w:rPr>
        <w:t>9</w:t>
      </w:r>
      <w:r>
        <w:rPr>
          <w:rFonts w:ascii="仿宋" w:eastAsia="仿宋" w:hAnsi="仿宋" w:hint="eastAsia"/>
          <w:sz w:val="32"/>
          <w:szCs w:val="32"/>
        </w:rPr>
        <w:t>批次，</w:t>
      </w:r>
      <w:r>
        <w:rPr>
          <w:rFonts w:ascii="仿宋" w:eastAsia="仿宋" w:hAnsi="仿宋" w:hint="eastAsia"/>
          <w:sz w:val="32"/>
          <w:szCs w:val="32"/>
        </w:rPr>
        <w:t>47</w:t>
      </w:r>
      <w:r>
        <w:rPr>
          <w:rFonts w:ascii="仿宋" w:eastAsia="仿宋" w:hAnsi="仿宋" w:hint="eastAsia"/>
          <w:sz w:val="32"/>
          <w:szCs w:val="32"/>
        </w:rPr>
        <w:t>人次（不包括陪同人员），共计支出</w:t>
      </w:r>
      <w:r>
        <w:rPr>
          <w:rFonts w:ascii="仿宋" w:eastAsia="仿宋" w:hAnsi="仿宋" w:hint="eastAsia"/>
          <w:sz w:val="32"/>
          <w:szCs w:val="32"/>
        </w:rPr>
        <w:t>0.65</w:t>
      </w:r>
      <w:r>
        <w:rPr>
          <w:rFonts w:ascii="仿宋" w:eastAsia="仿宋" w:hAnsi="仿宋" w:hint="eastAsia"/>
          <w:sz w:val="32"/>
          <w:szCs w:val="32"/>
        </w:rPr>
        <w:t>万元，具体内容包括：上级部门各类检查调研、市州及县区市场监督管理局来我局</w:t>
      </w:r>
      <w:proofErr w:type="gramStart"/>
      <w:r>
        <w:rPr>
          <w:rFonts w:ascii="仿宋" w:eastAsia="仿宋" w:hAnsi="仿宋" w:hint="eastAsia"/>
          <w:sz w:val="32"/>
          <w:szCs w:val="32"/>
        </w:rPr>
        <w:t>交流汇报</w:t>
      </w:r>
      <w:proofErr w:type="gramEnd"/>
      <w:r>
        <w:rPr>
          <w:rFonts w:ascii="仿宋" w:eastAsia="仿宋" w:hAnsi="仿宋" w:hint="eastAsia"/>
          <w:sz w:val="32"/>
          <w:szCs w:val="32"/>
        </w:rPr>
        <w:t>等。</w:t>
      </w:r>
    </w:p>
    <w:p w:rsidR="000F0EA8" w:rsidRDefault="00885E0F">
      <w:pPr>
        <w:spacing w:line="600" w:lineRule="exact"/>
        <w:ind w:firstLineChars="200" w:firstLine="640"/>
        <w:rPr>
          <w:rFonts w:ascii="仿宋" w:eastAsia="仿宋" w:hAnsi="仿宋"/>
          <w:color w:val="00B0F0"/>
          <w:sz w:val="32"/>
          <w:szCs w:val="32"/>
        </w:rPr>
      </w:pPr>
      <w:r>
        <w:rPr>
          <w:rFonts w:ascii="仿宋" w:eastAsia="仿宋" w:hAnsi="仿宋" w:hint="eastAsia"/>
          <w:sz w:val="32"/>
          <w:szCs w:val="32"/>
        </w:rPr>
        <w:t>无外事接待费。</w:t>
      </w:r>
      <w:bookmarkStart w:id="73" w:name="_Toc15396610"/>
      <w:bookmarkStart w:id="74" w:name="_Toc15377218"/>
    </w:p>
    <w:p w:rsidR="000F0EA8" w:rsidRDefault="00885E0F">
      <w:pPr>
        <w:pStyle w:val="2"/>
        <w:spacing w:before="0" w:after="0" w:line="240" w:lineRule="auto"/>
        <w:ind w:firstLineChars="200" w:firstLine="643"/>
        <w:rPr>
          <w:rFonts w:ascii="新宋体" w:eastAsia="新宋体" w:hAnsi="新宋体" w:cs="新宋体"/>
        </w:rPr>
      </w:pPr>
      <w:bookmarkStart w:id="75" w:name="_Toc15310"/>
      <w:r>
        <w:rPr>
          <w:rFonts w:ascii="新宋体" w:eastAsia="新宋体" w:hAnsi="新宋体" w:cs="新宋体" w:hint="eastAsia"/>
        </w:rPr>
        <w:t>八、政府性基金预算情况支出决算情况说明</w:t>
      </w:r>
      <w:bookmarkEnd w:id="75"/>
    </w:p>
    <w:bookmarkEnd w:id="73"/>
    <w:bookmarkEnd w:id="74"/>
    <w:p w:rsidR="000F0EA8" w:rsidRDefault="00885E0F">
      <w:pPr>
        <w:spacing w:line="600" w:lineRule="exact"/>
        <w:ind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年政府性基金预算财政拨款支出</w:t>
      </w:r>
      <w:r>
        <w:rPr>
          <w:rFonts w:ascii="仿宋" w:eastAsia="仿宋" w:hAnsi="仿宋" w:hint="eastAsia"/>
          <w:sz w:val="32"/>
          <w:szCs w:val="32"/>
        </w:rPr>
        <w:t>0</w:t>
      </w:r>
      <w:r>
        <w:rPr>
          <w:rFonts w:ascii="仿宋" w:eastAsia="仿宋" w:hAnsi="仿宋" w:hint="eastAsia"/>
          <w:sz w:val="32"/>
          <w:szCs w:val="32"/>
        </w:rPr>
        <w:t>万元。</w:t>
      </w:r>
    </w:p>
    <w:p w:rsidR="000F0EA8" w:rsidRDefault="00885E0F">
      <w:pPr>
        <w:pStyle w:val="2"/>
        <w:spacing w:before="0" w:after="0" w:line="240" w:lineRule="auto"/>
        <w:ind w:firstLineChars="200" w:firstLine="643"/>
        <w:rPr>
          <w:rFonts w:ascii="新宋体" w:eastAsia="新宋体" w:hAnsi="新宋体" w:cs="新宋体"/>
        </w:rPr>
      </w:pPr>
      <w:bookmarkStart w:id="76" w:name="_Toc24340"/>
      <w:r>
        <w:rPr>
          <w:rFonts w:ascii="新宋体" w:eastAsia="新宋体" w:hAnsi="新宋体" w:cs="新宋体" w:hint="eastAsia"/>
        </w:rPr>
        <w:lastRenderedPageBreak/>
        <w:t>九、国有资本经营预算支出决算情况说明</w:t>
      </w:r>
      <w:bookmarkEnd w:id="76"/>
    </w:p>
    <w:p w:rsidR="000F0EA8" w:rsidRDefault="00885E0F">
      <w:pPr>
        <w:ind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年国有资本经营预算财政拨款支出</w:t>
      </w:r>
      <w:r>
        <w:rPr>
          <w:rFonts w:ascii="仿宋" w:eastAsia="仿宋" w:hAnsi="仿宋" w:hint="eastAsia"/>
          <w:sz w:val="32"/>
          <w:szCs w:val="32"/>
        </w:rPr>
        <w:t>0</w:t>
      </w:r>
      <w:r>
        <w:rPr>
          <w:rFonts w:ascii="仿宋" w:eastAsia="仿宋" w:hAnsi="仿宋" w:hint="eastAsia"/>
          <w:sz w:val="32"/>
          <w:szCs w:val="32"/>
        </w:rPr>
        <w:t>万元。</w:t>
      </w:r>
    </w:p>
    <w:p w:rsidR="000F0EA8" w:rsidRDefault="00885E0F">
      <w:pPr>
        <w:pStyle w:val="2"/>
        <w:spacing w:before="0" w:after="0" w:line="240" w:lineRule="auto"/>
        <w:ind w:firstLineChars="200" w:firstLine="643"/>
        <w:rPr>
          <w:rFonts w:ascii="新宋体" w:eastAsia="新宋体" w:hAnsi="新宋体" w:cs="新宋体"/>
        </w:rPr>
      </w:pPr>
      <w:bookmarkStart w:id="77" w:name="_Toc24899"/>
      <w:r>
        <w:rPr>
          <w:rFonts w:ascii="新宋体" w:eastAsia="新宋体" w:hAnsi="新宋体" w:cs="新宋体" w:hint="eastAsia"/>
        </w:rPr>
        <w:t>十、预算绩效管理情况</w:t>
      </w:r>
      <w:bookmarkEnd w:id="77"/>
    </w:p>
    <w:p w:rsidR="000F0EA8" w:rsidRDefault="00885E0F">
      <w:pPr>
        <w:spacing w:line="580" w:lineRule="exact"/>
        <w:ind w:firstLineChars="200" w:firstLine="640"/>
        <w:rPr>
          <w:rFonts w:ascii="仿宋" w:eastAsia="仿宋" w:hAnsi="仿宋" w:cs="仿宋_GB2312"/>
          <w:sz w:val="32"/>
          <w:szCs w:val="32"/>
        </w:rPr>
      </w:pPr>
      <w:bookmarkStart w:id="78" w:name="_Toc15396612"/>
      <w:bookmarkStart w:id="79" w:name="_Toc15377221"/>
      <w:r>
        <w:rPr>
          <w:rFonts w:ascii="仿宋" w:eastAsia="仿宋" w:hAnsi="仿宋" w:cs="仿宋_GB2312" w:hint="eastAsia"/>
          <w:sz w:val="32"/>
          <w:szCs w:val="32"/>
        </w:rPr>
        <w:t>根据预算绩效管理要求，本单位在</w:t>
      </w:r>
      <w:r>
        <w:rPr>
          <w:rFonts w:ascii="仿宋" w:eastAsia="仿宋" w:hAnsi="仿宋" w:cs="仿宋_GB2312" w:hint="eastAsia"/>
          <w:sz w:val="32"/>
          <w:szCs w:val="32"/>
        </w:rPr>
        <w:t>2021</w:t>
      </w:r>
      <w:r>
        <w:rPr>
          <w:rFonts w:ascii="仿宋" w:eastAsia="仿宋" w:hAnsi="仿宋" w:cs="仿宋_GB2312" w:hint="eastAsia"/>
          <w:sz w:val="32"/>
          <w:szCs w:val="32"/>
        </w:rPr>
        <w:t>年度预算编制阶段，组织对市场综合监管专项、市场秩序执法办案专项、信息化建设运行及维护等</w:t>
      </w:r>
      <w:r>
        <w:rPr>
          <w:rFonts w:ascii="仿宋" w:eastAsia="仿宋" w:hAnsi="仿宋" w:cs="仿宋_GB2312" w:hint="eastAsia"/>
          <w:sz w:val="32"/>
          <w:szCs w:val="32"/>
        </w:rPr>
        <w:t>3</w:t>
      </w:r>
      <w:r>
        <w:rPr>
          <w:rFonts w:ascii="仿宋" w:eastAsia="仿宋" w:hAnsi="仿宋" w:cs="仿宋_GB2312" w:hint="eastAsia"/>
          <w:sz w:val="32"/>
          <w:szCs w:val="32"/>
        </w:rPr>
        <w:t>个项目编制了绩效目标，预算执行过程中，选取</w:t>
      </w:r>
      <w:r>
        <w:rPr>
          <w:rFonts w:ascii="仿宋" w:eastAsia="仿宋" w:hAnsi="仿宋" w:cs="仿宋_GB2312" w:hint="eastAsia"/>
          <w:sz w:val="32"/>
          <w:szCs w:val="32"/>
        </w:rPr>
        <w:t>3</w:t>
      </w:r>
      <w:r>
        <w:rPr>
          <w:rFonts w:ascii="仿宋" w:eastAsia="仿宋" w:hAnsi="仿宋" w:cs="仿宋_GB2312" w:hint="eastAsia"/>
          <w:sz w:val="32"/>
          <w:szCs w:val="32"/>
        </w:rPr>
        <w:t>个项目开展绩效监控，年终执行完毕后，对</w:t>
      </w:r>
      <w:r>
        <w:rPr>
          <w:rFonts w:ascii="仿宋" w:eastAsia="仿宋" w:hAnsi="仿宋" w:cs="仿宋_GB2312" w:hint="eastAsia"/>
          <w:sz w:val="32"/>
          <w:szCs w:val="32"/>
        </w:rPr>
        <w:t>3</w:t>
      </w:r>
      <w:r>
        <w:rPr>
          <w:rFonts w:ascii="仿宋" w:eastAsia="仿宋" w:hAnsi="仿宋" w:cs="仿宋_GB2312" w:hint="eastAsia"/>
          <w:sz w:val="32"/>
          <w:szCs w:val="32"/>
        </w:rPr>
        <w:t>个项目开展了绩效自评，</w:t>
      </w:r>
      <w:r>
        <w:rPr>
          <w:rFonts w:ascii="仿宋" w:eastAsia="仿宋" w:hAnsi="仿宋" w:cs="仿宋_GB2312" w:hint="eastAsia"/>
          <w:sz w:val="32"/>
          <w:szCs w:val="32"/>
        </w:rPr>
        <w:t>2021</w:t>
      </w:r>
      <w:r>
        <w:rPr>
          <w:rFonts w:ascii="仿宋" w:eastAsia="仿宋" w:hAnsi="仿宋" w:cs="仿宋_GB2312" w:hint="eastAsia"/>
          <w:sz w:val="32"/>
          <w:szCs w:val="32"/>
        </w:rPr>
        <w:t>年部门预算项目绩效目标自评表见附件（第四部分）。</w:t>
      </w:r>
    </w:p>
    <w:p w:rsidR="000F0EA8" w:rsidRDefault="00885E0F">
      <w:pPr>
        <w:pStyle w:val="2"/>
        <w:spacing w:before="0" w:after="0" w:line="240" w:lineRule="auto"/>
        <w:ind w:firstLineChars="200" w:firstLine="643"/>
        <w:rPr>
          <w:rFonts w:ascii="新宋体" w:eastAsia="新宋体" w:hAnsi="新宋体" w:cs="新宋体"/>
        </w:rPr>
      </w:pPr>
      <w:bookmarkStart w:id="80" w:name="_Toc25891"/>
      <w:r>
        <w:rPr>
          <w:rFonts w:ascii="新宋体" w:eastAsia="新宋体" w:hAnsi="新宋体" w:cs="新宋体" w:hint="eastAsia"/>
        </w:rPr>
        <w:t>十一、其他重要事项的情况说明</w:t>
      </w:r>
      <w:bookmarkEnd w:id="80"/>
    </w:p>
    <w:p w:rsidR="000F0EA8" w:rsidRDefault="00885E0F" w:rsidP="000F0EA8">
      <w:pPr>
        <w:ind w:firstLineChars="200" w:firstLine="640"/>
        <w:rPr>
          <w:rFonts w:ascii="楷体" w:eastAsia="楷体" w:hAnsi="楷体"/>
          <w:b/>
          <w:sz w:val="32"/>
          <w:szCs w:val="32"/>
        </w:rPr>
      </w:pPr>
      <w:bookmarkStart w:id="81" w:name="_Toc115248313"/>
      <w:bookmarkStart w:id="82" w:name="_Toc114132079"/>
      <w:bookmarkStart w:id="83" w:name="_Toc15377222"/>
      <w:bookmarkStart w:id="84" w:name="_Toc16334"/>
      <w:bookmarkEnd w:id="78"/>
      <w:bookmarkEnd w:id="79"/>
      <w:r>
        <w:rPr>
          <w:rFonts w:ascii="楷体" w:eastAsia="楷体" w:hAnsi="楷体" w:hint="eastAsia"/>
          <w:b/>
          <w:sz w:val="32"/>
          <w:szCs w:val="32"/>
        </w:rPr>
        <w:t>（一）机关运行经费支出情况</w:t>
      </w:r>
      <w:bookmarkEnd w:id="81"/>
      <w:bookmarkEnd w:id="82"/>
      <w:bookmarkEnd w:id="83"/>
      <w:bookmarkEnd w:id="84"/>
    </w:p>
    <w:p w:rsidR="000F0EA8" w:rsidRDefault="00885E0F">
      <w:pPr>
        <w:ind w:firstLineChars="200" w:firstLine="640"/>
        <w:rPr>
          <w:rFonts w:ascii="仿宋" w:eastAsia="仿宋" w:hAnsi="仿宋" w:cs="仿宋"/>
          <w:sz w:val="32"/>
          <w:szCs w:val="32"/>
        </w:rPr>
      </w:pPr>
      <w:bookmarkStart w:id="85" w:name="_Toc4965"/>
      <w:bookmarkStart w:id="86" w:name="_Toc115253625"/>
      <w:bookmarkStart w:id="87" w:name="_Toc23011"/>
      <w:r>
        <w:rPr>
          <w:rFonts w:ascii="仿宋" w:eastAsia="仿宋" w:hAnsi="仿宋" w:cs="仿宋" w:hint="eastAsia"/>
          <w:sz w:val="32"/>
          <w:szCs w:val="32"/>
        </w:rPr>
        <w:t>2021</w:t>
      </w:r>
      <w:r>
        <w:rPr>
          <w:rFonts w:ascii="仿宋" w:eastAsia="仿宋" w:hAnsi="仿宋" w:cs="仿宋" w:hint="eastAsia"/>
          <w:sz w:val="32"/>
          <w:szCs w:val="32"/>
        </w:rPr>
        <w:t>年，广元市市场监督管理局广元经开区分局机关运行经费支出</w:t>
      </w:r>
      <w:r>
        <w:rPr>
          <w:rFonts w:ascii="仿宋" w:eastAsia="仿宋" w:hAnsi="仿宋" w:cs="仿宋" w:hint="eastAsia"/>
          <w:sz w:val="32"/>
          <w:szCs w:val="32"/>
        </w:rPr>
        <w:t>49.77</w:t>
      </w:r>
      <w:r>
        <w:rPr>
          <w:rFonts w:ascii="仿宋" w:eastAsia="仿宋" w:hAnsi="仿宋" w:cs="仿宋" w:hint="eastAsia"/>
          <w:sz w:val="32"/>
          <w:szCs w:val="32"/>
        </w:rPr>
        <w:t>万元，比</w:t>
      </w:r>
      <w:r>
        <w:rPr>
          <w:rFonts w:ascii="仿宋" w:eastAsia="仿宋" w:hAnsi="仿宋" w:cs="仿宋" w:hint="eastAsia"/>
          <w:sz w:val="32"/>
          <w:szCs w:val="32"/>
        </w:rPr>
        <w:t>2020</w:t>
      </w:r>
      <w:r>
        <w:rPr>
          <w:rFonts w:ascii="仿宋" w:eastAsia="仿宋" w:hAnsi="仿宋" w:cs="仿宋" w:hint="eastAsia"/>
          <w:sz w:val="32"/>
          <w:szCs w:val="32"/>
        </w:rPr>
        <w:t>年增加</w:t>
      </w:r>
      <w:r>
        <w:rPr>
          <w:rFonts w:ascii="仿宋" w:eastAsia="仿宋" w:hAnsi="仿宋" w:cs="仿宋" w:hint="eastAsia"/>
          <w:sz w:val="32"/>
          <w:szCs w:val="32"/>
        </w:rPr>
        <w:t>2.8</w:t>
      </w:r>
      <w:r>
        <w:rPr>
          <w:rFonts w:ascii="仿宋" w:eastAsia="仿宋" w:hAnsi="仿宋" w:cs="仿宋" w:hint="eastAsia"/>
          <w:sz w:val="32"/>
          <w:szCs w:val="32"/>
        </w:rPr>
        <w:t>万元，增长</w:t>
      </w:r>
      <w:r>
        <w:rPr>
          <w:rFonts w:ascii="仿宋" w:eastAsia="仿宋" w:hAnsi="仿宋" w:cs="仿宋" w:hint="eastAsia"/>
          <w:sz w:val="32"/>
          <w:szCs w:val="32"/>
        </w:rPr>
        <w:t>5.96%</w:t>
      </w:r>
      <w:r>
        <w:rPr>
          <w:rFonts w:ascii="仿宋" w:eastAsia="仿宋" w:hAnsi="仿宋" w:cs="仿宋" w:hint="eastAsia"/>
          <w:sz w:val="32"/>
          <w:szCs w:val="32"/>
        </w:rPr>
        <w:t>。主要原因是</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新增</w:t>
      </w:r>
      <w:r>
        <w:rPr>
          <w:rFonts w:ascii="仿宋" w:eastAsia="仿宋" w:hAnsi="仿宋" w:cs="仿宋" w:hint="eastAsia"/>
          <w:sz w:val="32"/>
          <w:szCs w:val="32"/>
        </w:rPr>
        <w:t>1</w:t>
      </w:r>
      <w:r>
        <w:rPr>
          <w:rFonts w:ascii="仿宋" w:eastAsia="仿宋" w:hAnsi="仿宋" w:cs="仿宋" w:hint="eastAsia"/>
          <w:sz w:val="32"/>
          <w:szCs w:val="32"/>
        </w:rPr>
        <w:t>名在编人员和</w:t>
      </w:r>
      <w:r>
        <w:rPr>
          <w:rFonts w:ascii="仿宋" w:eastAsia="仿宋" w:hAnsi="仿宋" w:cs="仿宋" w:hint="eastAsia"/>
          <w:sz w:val="32"/>
          <w:szCs w:val="32"/>
        </w:rPr>
        <w:t>3</w:t>
      </w:r>
      <w:r>
        <w:rPr>
          <w:rFonts w:ascii="仿宋" w:eastAsia="仿宋" w:hAnsi="仿宋" w:cs="仿宋" w:hint="eastAsia"/>
          <w:sz w:val="32"/>
          <w:szCs w:val="32"/>
        </w:rPr>
        <w:t>名借调人员。</w:t>
      </w:r>
      <w:bookmarkEnd w:id="85"/>
      <w:bookmarkEnd w:id="86"/>
      <w:bookmarkEnd w:id="87"/>
    </w:p>
    <w:p w:rsidR="000F0EA8" w:rsidRDefault="00885E0F" w:rsidP="000F0EA8">
      <w:pPr>
        <w:ind w:firstLineChars="200" w:firstLine="640"/>
        <w:rPr>
          <w:rFonts w:ascii="楷体" w:eastAsia="楷体" w:hAnsi="楷体"/>
          <w:b/>
          <w:sz w:val="32"/>
          <w:szCs w:val="32"/>
        </w:rPr>
      </w:pPr>
      <w:bookmarkStart w:id="88" w:name="_Toc15377223"/>
      <w:bookmarkStart w:id="89" w:name="_Toc115248314"/>
      <w:bookmarkStart w:id="90" w:name="_Toc114132080"/>
      <w:bookmarkStart w:id="91" w:name="_Toc8572"/>
      <w:r>
        <w:rPr>
          <w:rFonts w:ascii="楷体" w:eastAsia="楷体" w:hAnsi="楷体" w:hint="eastAsia"/>
          <w:b/>
          <w:sz w:val="32"/>
          <w:szCs w:val="32"/>
        </w:rPr>
        <w:t>（二）政府采购支出情况</w:t>
      </w:r>
      <w:bookmarkEnd w:id="88"/>
      <w:bookmarkEnd w:id="89"/>
      <w:bookmarkEnd w:id="90"/>
      <w:bookmarkEnd w:id="91"/>
    </w:p>
    <w:p w:rsidR="000F0EA8" w:rsidRDefault="00885E0F">
      <w:pPr>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年，广元市市场监督管理局广元经开区分局政府采购支出总额</w:t>
      </w:r>
      <w:r>
        <w:rPr>
          <w:rFonts w:ascii="仿宋" w:eastAsia="仿宋" w:hAnsi="仿宋" w:cs="仿宋" w:hint="eastAsia"/>
          <w:sz w:val="32"/>
          <w:szCs w:val="32"/>
        </w:rPr>
        <w:t>0</w:t>
      </w:r>
      <w:r>
        <w:rPr>
          <w:rFonts w:ascii="仿宋" w:eastAsia="仿宋" w:hAnsi="仿宋" w:cs="仿宋" w:hint="eastAsia"/>
          <w:sz w:val="32"/>
          <w:szCs w:val="32"/>
        </w:rPr>
        <w:t>万元。</w:t>
      </w:r>
    </w:p>
    <w:p w:rsidR="000F0EA8" w:rsidRDefault="00885E0F" w:rsidP="000F0EA8">
      <w:pPr>
        <w:ind w:firstLineChars="200" w:firstLine="640"/>
        <w:rPr>
          <w:rFonts w:ascii="楷体" w:eastAsia="楷体" w:hAnsi="楷体"/>
          <w:b/>
          <w:sz w:val="32"/>
          <w:szCs w:val="32"/>
        </w:rPr>
      </w:pPr>
      <w:bookmarkStart w:id="92" w:name="_Toc114132081"/>
      <w:bookmarkStart w:id="93" w:name="_Toc15377224"/>
      <w:bookmarkStart w:id="94" w:name="_Toc115248315"/>
      <w:bookmarkStart w:id="95" w:name="_Toc854"/>
      <w:r>
        <w:rPr>
          <w:rFonts w:ascii="楷体" w:eastAsia="楷体" w:hAnsi="楷体" w:hint="eastAsia"/>
          <w:b/>
          <w:sz w:val="32"/>
          <w:szCs w:val="32"/>
        </w:rPr>
        <w:t>（三）国有资产占有使用情况</w:t>
      </w:r>
      <w:bookmarkEnd w:id="92"/>
      <w:bookmarkEnd w:id="93"/>
      <w:bookmarkEnd w:id="94"/>
      <w:bookmarkEnd w:id="95"/>
    </w:p>
    <w:p w:rsidR="000F0EA8" w:rsidRDefault="00885E0F">
      <w:pPr>
        <w:ind w:firstLineChars="200" w:firstLine="640"/>
        <w:rPr>
          <w:rFonts w:ascii="仿宋" w:eastAsia="仿宋" w:hAnsi="仿宋" w:cs="仿宋"/>
          <w:sz w:val="32"/>
          <w:szCs w:val="32"/>
        </w:rPr>
      </w:pPr>
      <w:r>
        <w:rPr>
          <w:rFonts w:ascii="仿宋" w:eastAsia="仿宋" w:hAnsi="仿宋" w:cs="仿宋" w:hint="eastAsia"/>
          <w:sz w:val="32"/>
          <w:szCs w:val="32"/>
        </w:rPr>
        <w:t>截至</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日，广元市市场监督管理局广元经开区分局共有车辆</w:t>
      </w:r>
      <w:r>
        <w:rPr>
          <w:rFonts w:ascii="仿宋" w:eastAsia="仿宋" w:hAnsi="仿宋" w:cs="仿宋" w:hint="eastAsia"/>
          <w:sz w:val="32"/>
          <w:szCs w:val="32"/>
        </w:rPr>
        <w:t>3</w:t>
      </w:r>
      <w:r>
        <w:rPr>
          <w:rFonts w:ascii="仿宋" w:eastAsia="仿宋" w:hAnsi="仿宋" w:cs="仿宋" w:hint="eastAsia"/>
          <w:sz w:val="32"/>
          <w:szCs w:val="32"/>
        </w:rPr>
        <w:t>辆，其中：</w:t>
      </w:r>
      <w:r w:rsidR="001046B5">
        <w:rPr>
          <w:rFonts w:ascii="仿宋" w:eastAsia="仿宋" w:hAnsi="仿宋" w:cs="仿宋" w:hint="eastAsia"/>
          <w:sz w:val="32"/>
          <w:szCs w:val="32"/>
        </w:rPr>
        <w:t>执法执勤</w:t>
      </w:r>
      <w:r>
        <w:rPr>
          <w:rFonts w:ascii="仿宋" w:eastAsia="仿宋" w:hAnsi="仿宋" w:cs="仿宋" w:hint="eastAsia"/>
          <w:sz w:val="32"/>
          <w:szCs w:val="32"/>
        </w:rPr>
        <w:t>用车</w:t>
      </w:r>
      <w:r>
        <w:rPr>
          <w:rFonts w:ascii="仿宋" w:eastAsia="仿宋" w:hAnsi="仿宋" w:cs="仿宋" w:hint="eastAsia"/>
          <w:sz w:val="32"/>
          <w:szCs w:val="32"/>
        </w:rPr>
        <w:t>3</w:t>
      </w:r>
      <w:r w:rsidR="001046B5">
        <w:rPr>
          <w:rFonts w:ascii="仿宋" w:eastAsia="仿宋" w:hAnsi="仿宋" w:cs="仿宋" w:hint="eastAsia"/>
          <w:sz w:val="32"/>
          <w:szCs w:val="32"/>
        </w:rPr>
        <w:t>辆，执法执勤</w:t>
      </w:r>
      <w:r>
        <w:rPr>
          <w:rFonts w:ascii="仿宋" w:eastAsia="仿宋" w:hAnsi="仿宋" w:cs="仿宋" w:hint="eastAsia"/>
          <w:sz w:val="32"/>
          <w:szCs w:val="32"/>
        </w:rPr>
        <w:t>用车主要是用于质量技术监督、食品药品、医疗器械等市场监督管理事务，消费者权益保护等市场秩序执法工作。单价</w:t>
      </w:r>
      <w:r>
        <w:rPr>
          <w:rFonts w:ascii="仿宋" w:eastAsia="仿宋" w:hAnsi="仿宋" w:cs="仿宋" w:hint="eastAsia"/>
          <w:sz w:val="32"/>
          <w:szCs w:val="32"/>
        </w:rPr>
        <w:t>50</w:t>
      </w:r>
      <w:r>
        <w:rPr>
          <w:rFonts w:ascii="仿宋" w:eastAsia="仿宋" w:hAnsi="仿宋" w:cs="仿宋" w:hint="eastAsia"/>
          <w:sz w:val="32"/>
          <w:szCs w:val="32"/>
        </w:rPr>
        <w:t>万元以上通用设备</w:t>
      </w:r>
      <w:r>
        <w:rPr>
          <w:rFonts w:ascii="仿宋" w:eastAsia="仿宋" w:hAnsi="仿宋" w:cs="仿宋" w:hint="eastAsia"/>
          <w:sz w:val="32"/>
          <w:szCs w:val="32"/>
        </w:rPr>
        <w:t>0</w:t>
      </w:r>
      <w:r>
        <w:rPr>
          <w:rFonts w:ascii="仿宋" w:eastAsia="仿宋" w:hAnsi="仿宋" w:cs="仿宋" w:hint="eastAsia"/>
          <w:sz w:val="32"/>
          <w:szCs w:val="32"/>
        </w:rPr>
        <w:t>台（套），单价</w:t>
      </w:r>
      <w:r>
        <w:rPr>
          <w:rFonts w:ascii="仿宋" w:eastAsia="仿宋" w:hAnsi="仿宋" w:cs="仿宋" w:hint="eastAsia"/>
          <w:sz w:val="32"/>
          <w:szCs w:val="32"/>
        </w:rPr>
        <w:t>100</w:t>
      </w:r>
      <w:r>
        <w:rPr>
          <w:rFonts w:ascii="仿宋" w:eastAsia="仿宋" w:hAnsi="仿宋" w:cs="仿宋" w:hint="eastAsia"/>
          <w:sz w:val="32"/>
          <w:szCs w:val="32"/>
        </w:rPr>
        <w:t>万元以上专用设备</w:t>
      </w:r>
      <w:r>
        <w:rPr>
          <w:rFonts w:ascii="仿宋" w:eastAsia="仿宋" w:hAnsi="仿宋" w:cs="仿宋" w:hint="eastAsia"/>
          <w:sz w:val="32"/>
          <w:szCs w:val="32"/>
        </w:rPr>
        <w:t>0</w:t>
      </w:r>
      <w:r>
        <w:rPr>
          <w:rFonts w:ascii="仿宋" w:eastAsia="仿宋" w:hAnsi="仿宋" w:cs="仿宋" w:hint="eastAsia"/>
          <w:sz w:val="32"/>
          <w:szCs w:val="32"/>
        </w:rPr>
        <w:t>台（套）。</w:t>
      </w:r>
    </w:p>
    <w:p w:rsidR="000F0EA8" w:rsidRDefault="00885E0F">
      <w:pPr>
        <w:widowControl/>
        <w:jc w:val="center"/>
        <w:rPr>
          <w:rFonts w:ascii="新宋体" w:eastAsia="新宋体" w:hAnsi="新宋体" w:cs="新宋体"/>
          <w:b/>
          <w:sz w:val="36"/>
          <w:szCs w:val="36"/>
        </w:rPr>
      </w:pPr>
      <w:r>
        <w:rPr>
          <w:rFonts w:ascii="仿宋" w:eastAsia="仿宋" w:hAnsi="仿宋" w:hint="eastAsia"/>
          <w:b/>
          <w:sz w:val="32"/>
          <w:szCs w:val="32"/>
        </w:rPr>
        <w:br w:type="page"/>
      </w:r>
      <w:bookmarkStart w:id="96" w:name="_Toc15396613"/>
      <w:bookmarkStart w:id="97" w:name="_Toc15377225"/>
      <w:bookmarkStart w:id="98" w:name="_Toc3818"/>
      <w:r>
        <w:rPr>
          <w:rStyle w:val="1Char"/>
          <w:rFonts w:ascii="新宋体" w:eastAsia="新宋体" w:hAnsi="新宋体" w:cs="新宋体" w:hint="eastAsia"/>
        </w:rPr>
        <w:lastRenderedPageBreak/>
        <w:t>第三部分</w:t>
      </w:r>
      <w:r>
        <w:rPr>
          <w:rStyle w:val="1Char"/>
          <w:rFonts w:ascii="新宋体" w:eastAsia="新宋体" w:hAnsi="新宋体" w:cs="新宋体" w:hint="eastAsia"/>
        </w:rPr>
        <w:t xml:space="preserve"> </w:t>
      </w:r>
      <w:r>
        <w:rPr>
          <w:rStyle w:val="1Char"/>
          <w:rFonts w:ascii="新宋体" w:eastAsia="新宋体" w:hAnsi="新宋体" w:cs="新宋体" w:hint="eastAsia"/>
        </w:rPr>
        <w:t>名词解释</w:t>
      </w:r>
      <w:bookmarkEnd w:id="96"/>
      <w:bookmarkEnd w:id="97"/>
      <w:bookmarkEnd w:id="98"/>
    </w:p>
    <w:p w:rsidR="000F0EA8" w:rsidRDefault="00885E0F">
      <w:pPr>
        <w:pStyle w:val="Default"/>
        <w:spacing w:line="560" w:lineRule="exact"/>
        <w:ind w:firstLineChars="200" w:firstLine="640"/>
        <w:rPr>
          <w:rFonts w:hAnsi="仿宋"/>
          <w:color w:val="auto"/>
          <w:sz w:val="32"/>
          <w:szCs w:val="32"/>
        </w:rPr>
      </w:pPr>
      <w:r>
        <w:rPr>
          <w:rFonts w:hAnsi="仿宋" w:hint="eastAsia"/>
          <w:color w:val="auto"/>
          <w:sz w:val="32"/>
          <w:szCs w:val="32"/>
        </w:rPr>
        <w:t>1.</w:t>
      </w:r>
      <w:r>
        <w:rPr>
          <w:rFonts w:hAnsi="仿宋" w:hint="eastAsia"/>
          <w:color w:val="auto"/>
          <w:sz w:val="32"/>
          <w:szCs w:val="32"/>
        </w:rPr>
        <w:t>财政拨款收入：指单位从同级财政部门取得的财政预算资金。</w:t>
      </w:r>
    </w:p>
    <w:p w:rsidR="000F0EA8" w:rsidRDefault="00885E0F">
      <w:pPr>
        <w:pStyle w:val="Default"/>
        <w:spacing w:line="560" w:lineRule="exact"/>
        <w:ind w:firstLineChars="200" w:firstLine="640"/>
        <w:rPr>
          <w:rFonts w:hAnsi="仿宋"/>
          <w:color w:val="auto"/>
          <w:sz w:val="32"/>
          <w:szCs w:val="32"/>
        </w:rPr>
      </w:pPr>
      <w:r>
        <w:rPr>
          <w:rFonts w:hAnsi="仿宋" w:hint="eastAsia"/>
          <w:color w:val="auto"/>
          <w:sz w:val="32"/>
          <w:szCs w:val="32"/>
        </w:rPr>
        <w:t>2.</w:t>
      </w:r>
      <w:r>
        <w:rPr>
          <w:rFonts w:hAnsi="仿宋" w:hint="eastAsia"/>
          <w:color w:val="auto"/>
          <w:sz w:val="32"/>
          <w:szCs w:val="32"/>
        </w:rPr>
        <w:t>年初结转和结余：指以前年度尚未完成、结转到本年按有关规定继续使用的资金。</w:t>
      </w:r>
    </w:p>
    <w:p w:rsidR="000F0EA8" w:rsidRDefault="00885E0F">
      <w:pPr>
        <w:pStyle w:val="Default"/>
        <w:spacing w:line="560" w:lineRule="exact"/>
        <w:ind w:firstLineChars="200" w:firstLine="640"/>
        <w:rPr>
          <w:rFonts w:hAnsi="仿宋"/>
          <w:color w:val="auto"/>
          <w:sz w:val="32"/>
          <w:szCs w:val="32"/>
        </w:rPr>
      </w:pPr>
      <w:r>
        <w:rPr>
          <w:rFonts w:hAnsi="仿宋" w:hint="eastAsia"/>
          <w:color w:val="auto"/>
          <w:sz w:val="32"/>
          <w:szCs w:val="32"/>
        </w:rPr>
        <w:t>3.</w:t>
      </w:r>
      <w:r>
        <w:rPr>
          <w:rFonts w:hAnsi="仿宋" w:hint="eastAsia"/>
          <w:color w:val="auto"/>
          <w:sz w:val="32"/>
          <w:szCs w:val="32"/>
        </w:rPr>
        <w:t>年末结转和结余：指单位按有关规定结转到下年或以后年度继续使用的资金。</w:t>
      </w:r>
    </w:p>
    <w:p w:rsidR="000F0EA8" w:rsidRDefault="00885E0F">
      <w:pPr>
        <w:pStyle w:val="Default"/>
        <w:spacing w:line="560" w:lineRule="exact"/>
        <w:ind w:firstLineChars="200" w:firstLine="640"/>
        <w:rPr>
          <w:rFonts w:hAnsi="仿宋" w:cs="宋体"/>
          <w:sz w:val="32"/>
          <w:szCs w:val="32"/>
        </w:rPr>
      </w:pPr>
      <w:r>
        <w:rPr>
          <w:rFonts w:hAnsi="仿宋" w:cs="宋体" w:hint="eastAsia"/>
          <w:sz w:val="32"/>
          <w:szCs w:val="32"/>
        </w:rPr>
        <w:t>4.</w:t>
      </w:r>
      <w:r>
        <w:rPr>
          <w:rFonts w:hAnsi="仿宋" w:cs="宋体" w:hint="eastAsia"/>
          <w:sz w:val="32"/>
          <w:szCs w:val="32"/>
        </w:rPr>
        <w:t>一般公共服务</w:t>
      </w:r>
      <w:r>
        <w:rPr>
          <w:rFonts w:hAnsi="仿宋" w:cs="宋体" w:hint="eastAsia"/>
          <w:sz w:val="32"/>
          <w:szCs w:val="32"/>
        </w:rPr>
        <w:t>(</w:t>
      </w:r>
      <w:r>
        <w:rPr>
          <w:rFonts w:hAnsi="仿宋" w:cs="宋体" w:hint="eastAsia"/>
          <w:sz w:val="32"/>
          <w:szCs w:val="32"/>
        </w:rPr>
        <w:t>类</w:t>
      </w:r>
      <w:r>
        <w:rPr>
          <w:rFonts w:hAnsi="仿宋" w:cs="宋体" w:hint="eastAsia"/>
          <w:sz w:val="32"/>
          <w:szCs w:val="32"/>
        </w:rPr>
        <w:t>)</w:t>
      </w:r>
      <w:r>
        <w:rPr>
          <w:rFonts w:hAnsi="仿宋" w:cs="宋体" w:hint="eastAsia"/>
          <w:sz w:val="32"/>
          <w:szCs w:val="32"/>
        </w:rPr>
        <w:t>市场监督管理事务</w:t>
      </w:r>
      <w:r>
        <w:rPr>
          <w:rFonts w:hAnsi="仿宋" w:cs="宋体" w:hint="eastAsia"/>
          <w:sz w:val="32"/>
          <w:szCs w:val="32"/>
        </w:rPr>
        <w:t>(</w:t>
      </w:r>
      <w:r>
        <w:rPr>
          <w:rFonts w:hAnsi="仿宋" w:cs="宋体" w:hint="eastAsia"/>
          <w:sz w:val="32"/>
          <w:szCs w:val="32"/>
        </w:rPr>
        <w:t>款</w:t>
      </w:r>
      <w:r>
        <w:rPr>
          <w:rFonts w:hAnsi="仿宋" w:cs="宋体" w:hint="eastAsia"/>
          <w:sz w:val="32"/>
          <w:szCs w:val="32"/>
        </w:rPr>
        <w:t>)</w:t>
      </w:r>
      <w:r>
        <w:rPr>
          <w:rFonts w:hAnsi="仿宋" w:cs="宋体" w:hint="eastAsia"/>
          <w:sz w:val="32"/>
          <w:szCs w:val="32"/>
        </w:rPr>
        <w:t>行政运行</w:t>
      </w:r>
      <w:r>
        <w:rPr>
          <w:rFonts w:hAnsi="仿宋" w:cs="宋体" w:hint="eastAsia"/>
          <w:sz w:val="32"/>
          <w:szCs w:val="32"/>
        </w:rPr>
        <w:t>(</w:t>
      </w:r>
      <w:r>
        <w:rPr>
          <w:rFonts w:hAnsi="仿宋" w:cs="宋体" w:hint="eastAsia"/>
          <w:sz w:val="32"/>
          <w:szCs w:val="32"/>
        </w:rPr>
        <w:t>项</w:t>
      </w:r>
      <w:r>
        <w:rPr>
          <w:rFonts w:hAnsi="仿宋" w:cs="宋体" w:hint="eastAsia"/>
          <w:sz w:val="32"/>
          <w:szCs w:val="32"/>
        </w:rPr>
        <w:t>):</w:t>
      </w:r>
      <w:r>
        <w:rPr>
          <w:rFonts w:hAnsi="仿宋" w:cs="宋体" w:hint="eastAsia"/>
          <w:sz w:val="32"/>
          <w:szCs w:val="32"/>
        </w:rPr>
        <w:t>指广元市市场监督管理局广元经开区分局用于行政单位的基本支出。</w:t>
      </w:r>
    </w:p>
    <w:p w:rsidR="000F0EA8" w:rsidRDefault="00885E0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宋体" w:hint="eastAsia"/>
          <w:sz w:val="32"/>
          <w:szCs w:val="32"/>
        </w:rPr>
        <w:t>5.</w:t>
      </w:r>
      <w:r>
        <w:rPr>
          <w:rFonts w:ascii="仿宋" w:eastAsia="仿宋" w:hAnsi="仿宋" w:cs="宋体" w:hint="eastAsia"/>
          <w:sz w:val="32"/>
          <w:szCs w:val="32"/>
        </w:rPr>
        <w:t>一般公共服务</w:t>
      </w:r>
      <w:r>
        <w:rPr>
          <w:rFonts w:ascii="仿宋" w:eastAsia="仿宋" w:hAnsi="仿宋" w:cs="宋体" w:hint="eastAsia"/>
          <w:sz w:val="32"/>
          <w:szCs w:val="32"/>
        </w:rPr>
        <w:t>(</w:t>
      </w:r>
      <w:r>
        <w:rPr>
          <w:rFonts w:ascii="仿宋" w:eastAsia="仿宋" w:hAnsi="仿宋" w:cs="宋体" w:hint="eastAsia"/>
          <w:sz w:val="32"/>
          <w:szCs w:val="32"/>
        </w:rPr>
        <w:t>类</w:t>
      </w:r>
      <w:r>
        <w:rPr>
          <w:rFonts w:ascii="仿宋" w:eastAsia="仿宋" w:hAnsi="仿宋" w:cs="宋体" w:hint="eastAsia"/>
          <w:sz w:val="32"/>
          <w:szCs w:val="32"/>
        </w:rPr>
        <w:t>)</w:t>
      </w:r>
      <w:r>
        <w:rPr>
          <w:rFonts w:ascii="仿宋" w:eastAsia="仿宋" w:hAnsi="仿宋" w:cs="宋体" w:hint="eastAsia"/>
          <w:sz w:val="32"/>
          <w:szCs w:val="32"/>
        </w:rPr>
        <w:t>市场监督管理事务</w:t>
      </w:r>
      <w:r>
        <w:rPr>
          <w:rFonts w:ascii="仿宋" w:eastAsia="仿宋" w:hAnsi="仿宋" w:cs="宋体" w:hint="eastAsia"/>
          <w:sz w:val="32"/>
          <w:szCs w:val="32"/>
        </w:rPr>
        <w:t>(</w:t>
      </w:r>
      <w:r>
        <w:rPr>
          <w:rFonts w:ascii="仿宋" w:eastAsia="仿宋" w:hAnsi="仿宋" w:cs="宋体" w:hint="eastAsia"/>
          <w:sz w:val="32"/>
          <w:szCs w:val="32"/>
        </w:rPr>
        <w:t>款</w:t>
      </w:r>
      <w:r>
        <w:rPr>
          <w:rFonts w:ascii="仿宋" w:eastAsia="仿宋" w:hAnsi="仿宋" w:cs="宋体" w:hint="eastAsia"/>
          <w:sz w:val="32"/>
          <w:szCs w:val="32"/>
        </w:rPr>
        <w:t>)</w:t>
      </w:r>
      <w:r>
        <w:rPr>
          <w:rFonts w:ascii="仿宋" w:eastAsia="仿宋" w:hAnsi="仿宋" w:cs="宋体" w:hint="eastAsia"/>
          <w:sz w:val="32"/>
          <w:szCs w:val="32"/>
        </w:rPr>
        <w:t>一般行政管理事务</w:t>
      </w:r>
      <w:r>
        <w:rPr>
          <w:rFonts w:ascii="仿宋" w:eastAsia="仿宋" w:hAnsi="仿宋" w:cs="宋体" w:hint="eastAsia"/>
          <w:sz w:val="32"/>
          <w:szCs w:val="32"/>
        </w:rPr>
        <w:t>(</w:t>
      </w:r>
      <w:r>
        <w:rPr>
          <w:rFonts w:ascii="仿宋" w:eastAsia="仿宋" w:hAnsi="仿宋" w:cs="宋体" w:hint="eastAsia"/>
          <w:sz w:val="32"/>
          <w:szCs w:val="32"/>
        </w:rPr>
        <w:t>项</w:t>
      </w:r>
      <w:r>
        <w:rPr>
          <w:rFonts w:ascii="仿宋" w:eastAsia="仿宋" w:hAnsi="仿宋" w:cs="宋体" w:hint="eastAsia"/>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指广元市市场监督管理局广元经开区分局用于未单独设置项级科目的其他项目支出。</w:t>
      </w:r>
    </w:p>
    <w:p w:rsidR="000F0EA8" w:rsidRDefault="00885E0F">
      <w:pPr>
        <w:pStyle w:val="Default"/>
        <w:spacing w:line="560" w:lineRule="exact"/>
        <w:ind w:firstLineChars="200" w:firstLine="640"/>
        <w:rPr>
          <w:rFonts w:hAnsi="仿宋" w:cs="宋体"/>
          <w:sz w:val="32"/>
          <w:szCs w:val="32"/>
        </w:rPr>
      </w:pPr>
      <w:r>
        <w:rPr>
          <w:rFonts w:hAnsi="仿宋" w:cs="宋体" w:hint="eastAsia"/>
          <w:sz w:val="32"/>
          <w:szCs w:val="32"/>
        </w:rPr>
        <w:t>6.</w:t>
      </w:r>
      <w:r>
        <w:rPr>
          <w:rFonts w:hAnsi="仿宋" w:cs="宋体" w:hint="eastAsia"/>
          <w:sz w:val="32"/>
          <w:szCs w:val="32"/>
        </w:rPr>
        <w:t>一般公共服务</w:t>
      </w:r>
      <w:r>
        <w:rPr>
          <w:rFonts w:hAnsi="仿宋" w:cs="宋体" w:hint="eastAsia"/>
          <w:sz w:val="32"/>
          <w:szCs w:val="32"/>
        </w:rPr>
        <w:t>(</w:t>
      </w:r>
      <w:r>
        <w:rPr>
          <w:rFonts w:hAnsi="仿宋" w:cs="宋体" w:hint="eastAsia"/>
          <w:sz w:val="32"/>
          <w:szCs w:val="32"/>
        </w:rPr>
        <w:t>类</w:t>
      </w:r>
      <w:r>
        <w:rPr>
          <w:rFonts w:hAnsi="仿宋" w:cs="宋体" w:hint="eastAsia"/>
          <w:sz w:val="32"/>
          <w:szCs w:val="32"/>
        </w:rPr>
        <w:t>)</w:t>
      </w:r>
      <w:r>
        <w:rPr>
          <w:rFonts w:hAnsi="仿宋" w:cs="宋体" w:hint="eastAsia"/>
          <w:sz w:val="32"/>
          <w:szCs w:val="32"/>
        </w:rPr>
        <w:t>市场监督管理事务</w:t>
      </w:r>
      <w:r>
        <w:rPr>
          <w:rFonts w:hAnsi="仿宋" w:cs="宋体" w:hint="eastAsia"/>
          <w:sz w:val="32"/>
          <w:szCs w:val="32"/>
        </w:rPr>
        <w:t>(</w:t>
      </w:r>
      <w:r>
        <w:rPr>
          <w:rFonts w:hAnsi="仿宋" w:cs="宋体" w:hint="eastAsia"/>
          <w:sz w:val="32"/>
          <w:szCs w:val="32"/>
        </w:rPr>
        <w:t>款</w:t>
      </w:r>
      <w:r>
        <w:rPr>
          <w:rFonts w:hAnsi="仿宋" w:cs="宋体" w:hint="eastAsia"/>
          <w:sz w:val="32"/>
          <w:szCs w:val="32"/>
        </w:rPr>
        <w:t>)</w:t>
      </w:r>
      <w:r>
        <w:rPr>
          <w:rFonts w:hAnsi="仿宋" w:cs="宋体" w:hint="eastAsia"/>
          <w:sz w:val="32"/>
          <w:szCs w:val="32"/>
        </w:rPr>
        <w:t>市场主体管理</w:t>
      </w:r>
      <w:r>
        <w:rPr>
          <w:rFonts w:hAnsi="仿宋" w:cs="宋体" w:hint="eastAsia"/>
          <w:sz w:val="32"/>
          <w:szCs w:val="32"/>
        </w:rPr>
        <w:t>(</w:t>
      </w:r>
      <w:r>
        <w:rPr>
          <w:rFonts w:hAnsi="仿宋" w:cs="宋体" w:hint="eastAsia"/>
          <w:sz w:val="32"/>
          <w:szCs w:val="32"/>
        </w:rPr>
        <w:t>项</w:t>
      </w:r>
      <w:r>
        <w:rPr>
          <w:rFonts w:hAnsi="仿宋" w:cs="宋体" w:hint="eastAsia"/>
          <w:sz w:val="32"/>
          <w:szCs w:val="32"/>
        </w:rPr>
        <w:t>):</w:t>
      </w:r>
      <w:r>
        <w:rPr>
          <w:rFonts w:hAnsi="仿宋" w:cs="宋体" w:hint="eastAsia"/>
          <w:sz w:val="32"/>
          <w:szCs w:val="32"/>
        </w:rPr>
        <w:t>指广元市市场监督管理局广元经开区分局用于市场准入、许可审批、信用监管等市场主体管理专项工作的支出。</w:t>
      </w:r>
    </w:p>
    <w:p w:rsidR="000F0EA8" w:rsidRDefault="00885E0F">
      <w:pPr>
        <w:pStyle w:val="Default"/>
        <w:spacing w:line="560" w:lineRule="exact"/>
        <w:ind w:firstLineChars="200" w:firstLine="640"/>
        <w:rPr>
          <w:rFonts w:hAnsi="仿宋" w:cs="宋体"/>
          <w:sz w:val="32"/>
          <w:szCs w:val="32"/>
        </w:rPr>
      </w:pPr>
      <w:r>
        <w:rPr>
          <w:rFonts w:hAnsi="仿宋" w:cs="宋体" w:hint="eastAsia"/>
          <w:sz w:val="32"/>
          <w:szCs w:val="32"/>
        </w:rPr>
        <w:t>7.</w:t>
      </w:r>
      <w:r>
        <w:rPr>
          <w:rFonts w:hAnsi="仿宋" w:cs="宋体" w:hint="eastAsia"/>
          <w:sz w:val="32"/>
          <w:szCs w:val="32"/>
        </w:rPr>
        <w:t>一般公共服务</w:t>
      </w:r>
      <w:r>
        <w:rPr>
          <w:rFonts w:hAnsi="仿宋" w:cs="宋体" w:hint="eastAsia"/>
          <w:sz w:val="32"/>
          <w:szCs w:val="32"/>
        </w:rPr>
        <w:t>(</w:t>
      </w:r>
      <w:r>
        <w:rPr>
          <w:rFonts w:hAnsi="仿宋" w:cs="宋体" w:hint="eastAsia"/>
          <w:sz w:val="32"/>
          <w:szCs w:val="32"/>
        </w:rPr>
        <w:t>类</w:t>
      </w:r>
      <w:r>
        <w:rPr>
          <w:rFonts w:hAnsi="仿宋" w:cs="宋体" w:hint="eastAsia"/>
          <w:sz w:val="32"/>
          <w:szCs w:val="32"/>
        </w:rPr>
        <w:t>)</w:t>
      </w:r>
      <w:r>
        <w:rPr>
          <w:rFonts w:hAnsi="仿宋" w:cs="宋体" w:hint="eastAsia"/>
          <w:sz w:val="32"/>
          <w:szCs w:val="32"/>
        </w:rPr>
        <w:t>市场监督管理事务</w:t>
      </w:r>
      <w:r>
        <w:rPr>
          <w:rFonts w:hAnsi="仿宋" w:cs="宋体" w:hint="eastAsia"/>
          <w:sz w:val="32"/>
          <w:szCs w:val="32"/>
        </w:rPr>
        <w:t>(</w:t>
      </w:r>
      <w:r>
        <w:rPr>
          <w:rFonts w:hAnsi="仿宋" w:cs="宋体" w:hint="eastAsia"/>
          <w:sz w:val="32"/>
          <w:szCs w:val="32"/>
        </w:rPr>
        <w:t>款</w:t>
      </w:r>
      <w:r>
        <w:rPr>
          <w:rFonts w:hAnsi="仿宋" w:cs="宋体" w:hint="eastAsia"/>
          <w:sz w:val="32"/>
          <w:szCs w:val="32"/>
        </w:rPr>
        <w:t>)</w:t>
      </w:r>
      <w:r>
        <w:rPr>
          <w:rFonts w:hAnsi="仿宋" w:cs="宋体" w:hint="eastAsia"/>
          <w:sz w:val="32"/>
          <w:szCs w:val="32"/>
        </w:rPr>
        <w:t>市场秩序执法</w:t>
      </w:r>
      <w:r>
        <w:rPr>
          <w:rFonts w:hAnsi="仿宋" w:cs="宋体" w:hint="eastAsia"/>
          <w:sz w:val="32"/>
          <w:szCs w:val="32"/>
        </w:rPr>
        <w:t>(</w:t>
      </w:r>
      <w:r>
        <w:rPr>
          <w:rFonts w:hAnsi="仿宋" w:cs="宋体" w:hint="eastAsia"/>
          <w:sz w:val="32"/>
          <w:szCs w:val="32"/>
        </w:rPr>
        <w:t>项</w:t>
      </w:r>
      <w:r>
        <w:rPr>
          <w:rFonts w:hAnsi="仿宋" w:cs="宋体" w:hint="eastAsia"/>
          <w:sz w:val="32"/>
          <w:szCs w:val="32"/>
        </w:rPr>
        <w:t>):</w:t>
      </w:r>
      <w:r>
        <w:rPr>
          <w:rFonts w:hAnsi="仿宋" w:cs="宋体" w:hint="eastAsia"/>
          <w:sz w:val="32"/>
          <w:szCs w:val="32"/>
        </w:rPr>
        <w:t>指广元市市场监督管理局广元经开区分局用于反垄断、价格监督、反不正当竞争、规范直销与打击传销、网络交易监管、广告监管、消费者权益保护、综合执法等市场秩序执法专项工作的支出。</w:t>
      </w:r>
    </w:p>
    <w:p w:rsidR="000F0EA8" w:rsidRDefault="00885E0F">
      <w:pPr>
        <w:pStyle w:val="Default"/>
        <w:spacing w:line="560" w:lineRule="exact"/>
        <w:ind w:firstLineChars="200" w:firstLine="640"/>
        <w:rPr>
          <w:rFonts w:hAnsi="仿宋" w:cs="宋体"/>
          <w:sz w:val="32"/>
          <w:szCs w:val="32"/>
        </w:rPr>
      </w:pPr>
      <w:r>
        <w:rPr>
          <w:rFonts w:hAnsi="仿宋" w:cs="宋体" w:hint="eastAsia"/>
          <w:sz w:val="32"/>
          <w:szCs w:val="32"/>
        </w:rPr>
        <w:t>8.</w:t>
      </w:r>
      <w:r>
        <w:rPr>
          <w:rFonts w:hAnsi="仿宋" w:cs="宋体" w:hint="eastAsia"/>
          <w:sz w:val="32"/>
          <w:szCs w:val="32"/>
        </w:rPr>
        <w:t>一般公共服务</w:t>
      </w:r>
      <w:r>
        <w:rPr>
          <w:rFonts w:hAnsi="仿宋" w:cs="宋体" w:hint="eastAsia"/>
          <w:sz w:val="32"/>
          <w:szCs w:val="32"/>
        </w:rPr>
        <w:t>(</w:t>
      </w:r>
      <w:r>
        <w:rPr>
          <w:rFonts w:hAnsi="仿宋" w:cs="宋体" w:hint="eastAsia"/>
          <w:sz w:val="32"/>
          <w:szCs w:val="32"/>
        </w:rPr>
        <w:t>类</w:t>
      </w:r>
      <w:r>
        <w:rPr>
          <w:rFonts w:hAnsi="仿宋" w:cs="宋体" w:hint="eastAsia"/>
          <w:sz w:val="32"/>
          <w:szCs w:val="32"/>
        </w:rPr>
        <w:t>)</w:t>
      </w:r>
      <w:r>
        <w:rPr>
          <w:rFonts w:hAnsi="仿宋" w:cs="宋体" w:hint="eastAsia"/>
          <w:sz w:val="32"/>
          <w:szCs w:val="32"/>
        </w:rPr>
        <w:t>市场监督管理事务</w:t>
      </w:r>
      <w:r>
        <w:rPr>
          <w:rFonts w:hAnsi="仿宋" w:cs="宋体" w:hint="eastAsia"/>
          <w:sz w:val="32"/>
          <w:szCs w:val="32"/>
        </w:rPr>
        <w:t>(</w:t>
      </w:r>
      <w:r>
        <w:rPr>
          <w:rFonts w:hAnsi="仿宋" w:cs="宋体" w:hint="eastAsia"/>
          <w:sz w:val="32"/>
          <w:szCs w:val="32"/>
        </w:rPr>
        <w:t>款</w:t>
      </w:r>
      <w:r>
        <w:rPr>
          <w:rFonts w:hAnsi="仿宋" w:cs="宋体" w:hint="eastAsia"/>
          <w:sz w:val="32"/>
          <w:szCs w:val="32"/>
        </w:rPr>
        <w:t>)</w:t>
      </w:r>
      <w:r>
        <w:rPr>
          <w:rFonts w:hAnsi="仿宋" w:cs="宋体" w:hint="eastAsia"/>
          <w:sz w:val="32"/>
          <w:szCs w:val="32"/>
        </w:rPr>
        <w:t>信息化建设</w:t>
      </w:r>
      <w:r>
        <w:rPr>
          <w:rFonts w:hAnsi="仿宋" w:cs="宋体" w:hint="eastAsia"/>
          <w:sz w:val="32"/>
          <w:szCs w:val="32"/>
        </w:rPr>
        <w:t>(</w:t>
      </w:r>
      <w:r>
        <w:rPr>
          <w:rFonts w:hAnsi="仿宋" w:cs="宋体" w:hint="eastAsia"/>
          <w:sz w:val="32"/>
          <w:szCs w:val="32"/>
        </w:rPr>
        <w:t>项</w:t>
      </w:r>
      <w:r>
        <w:rPr>
          <w:rFonts w:hAnsi="仿宋" w:cs="宋体" w:hint="eastAsia"/>
          <w:sz w:val="32"/>
          <w:szCs w:val="32"/>
        </w:rPr>
        <w:t>):</w:t>
      </w:r>
      <w:r>
        <w:rPr>
          <w:rFonts w:hAnsi="仿宋" w:cs="宋体" w:hint="eastAsia"/>
          <w:sz w:val="32"/>
          <w:szCs w:val="32"/>
        </w:rPr>
        <w:t>指广元市市场监督管理局广元经开区分局用于信息化建设</w:t>
      </w:r>
      <w:r>
        <w:rPr>
          <w:rFonts w:hAnsi="仿宋" w:cs="宋体" w:hint="eastAsia"/>
          <w:sz w:val="32"/>
          <w:szCs w:val="32"/>
        </w:rPr>
        <w:t>及运行维护等方面的支出。</w:t>
      </w:r>
    </w:p>
    <w:p w:rsidR="000F0EA8" w:rsidRDefault="00885E0F">
      <w:pPr>
        <w:pStyle w:val="Default"/>
        <w:spacing w:line="560" w:lineRule="exact"/>
        <w:ind w:firstLineChars="200" w:firstLine="640"/>
        <w:rPr>
          <w:rFonts w:hAnsi="仿宋" w:cs="宋体"/>
          <w:sz w:val="32"/>
          <w:szCs w:val="32"/>
        </w:rPr>
      </w:pPr>
      <w:r>
        <w:rPr>
          <w:rFonts w:hAnsi="仿宋" w:cs="宋体" w:hint="eastAsia"/>
          <w:sz w:val="32"/>
          <w:szCs w:val="32"/>
        </w:rPr>
        <w:t>9.</w:t>
      </w:r>
      <w:r>
        <w:rPr>
          <w:rFonts w:hAnsi="仿宋" w:cs="宋体" w:hint="eastAsia"/>
          <w:sz w:val="32"/>
          <w:szCs w:val="32"/>
        </w:rPr>
        <w:t>一般公共服务</w:t>
      </w:r>
      <w:r>
        <w:rPr>
          <w:rFonts w:hAnsi="仿宋" w:cs="宋体" w:hint="eastAsia"/>
          <w:sz w:val="32"/>
          <w:szCs w:val="32"/>
        </w:rPr>
        <w:t>(</w:t>
      </w:r>
      <w:r>
        <w:rPr>
          <w:rFonts w:hAnsi="仿宋" w:cs="宋体" w:hint="eastAsia"/>
          <w:sz w:val="32"/>
          <w:szCs w:val="32"/>
        </w:rPr>
        <w:t>类</w:t>
      </w:r>
      <w:r>
        <w:rPr>
          <w:rFonts w:hAnsi="仿宋" w:cs="宋体" w:hint="eastAsia"/>
          <w:sz w:val="32"/>
          <w:szCs w:val="32"/>
        </w:rPr>
        <w:t>)</w:t>
      </w:r>
      <w:r>
        <w:rPr>
          <w:rFonts w:hAnsi="仿宋" w:cs="宋体" w:hint="eastAsia"/>
          <w:sz w:val="32"/>
          <w:szCs w:val="32"/>
        </w:rPr>
        <w:t>市场监督管理事务</w:t>
      </w:r>
      <w:r>
        <w:rPr>
          <w:rFonts w:hAnsi="仿宋" w:cs="宋体" w:hint="eastAsia"/>
          <w:sz w:val="32"/>
          <w:szCs w:val="32"/>
        </w:rPr>
        <w:t>(</w:t>
      </w:r>
      <w:r>
        <w:rPr>
          <w:rFonts w:hAnsi="仿宋" w:cs="宋体" w:hint="eastAsia"/>
          <w:sz w:val="32"/>
          <w:szCs w:val="32"/>
        </w:rPr>
        <w:t>款</w:t>
      </w:r>
      <w:r>
        <w:rPr>
          <w:rFonts w:hAnsi="仿宋" w:cs="宋体" w:hint="eastAsia"/>
          <w:sz w:val="32"/>
          <w:szCs w:val="32"/>
        </w:rPr>
        <w:t>)</w:t>
      </w:r>
      <w:r>
        <w:rPr>
          <w:rFonts w:hAnsi="仿宋" w:cs="宋体" w:hint="eastAsia"/>
          <w:sz w:val="32"/>
          <w:szCs w:val="32"/>
        </w:rPr>
        <w:t>药品事务</w:t>
      </w:r>
      <w:r>
        <w:rPr>
          <w:rFonts w:hAnsi="仿宋" w:cs="宋体" w:hint="eastAsia"/>
          <w:sz w:val="32"/>
          <w:szCs w:val="32"/>
        </w:rPr>
        <w:t>(</w:t>
      </w:r>
      <w:r>
        <w:rPr>
          <w:rFonts w:hAnsi="仿宋" w:cs="宋体" w:hint="eastAsia"/>
          <w:sz w:val="32"/>
          <w:szCs w:val="32"/>
        </w:rPr>
        <w:t>项</w:t>
      </w:r>
      <w:r>
        <w:rPr>
          <w:rFonts w:hAnsi="仿宋" w:cs="宋体" w:hint="eastAsia"/>
          <w:sz w:val="32"/>
          <w:szCs w:val="32"/>
        </w:rPr>
        <w:t>):</w:t>
      </w:r>
      <w:r>
        <w:rPr>
          <w:rFonts w:hAnsi="仿宋" w:cs="宋体" w:hint="eastAsia"/>
          <w:sz w:val="32"/>
          <w:szCs w:val="32"/>
        </w:rPr>
        <w:t>指广元市市场监督管理局广元经开区分局用于药品（含中药、民族药）监督管理方面的支出。</w:t>
      </w:r>
    </w:p>
    <w:p w:rsidR="000F0EA8" w:rsidRDefault="00885E0F">
      <w:pPr>
        <w:pStyle w:val="Default"/>
        <w:spacing w:line="560" w:lineRule="exact"/>
        <w:ind w:firstLineChars="200" w:firstLine="640"/>
        <w:rPr>
          <w:rFonts w:hAnsi="仿宋" w:cs="宋体"/>
          <w:sz w:val="32"/>
          <w:szCs w:val="32"/>
        </w:rPr>
      </w:pPr>
      <w:r>
        <w:rPr>
          <w:rFonts w:hAnsi="仿宋" w:cs="宋体" w:hint="eastAsia"/>
          <w:sz w:val="32"/>
          <w:szCs w:val="32"/>
        </w:rPr>
        <w:t>10.</w:t>
      </w:r>
      <w:r>
        <w:rPr>
          <w:rFonts w:hAnsi="仿宋" w:cs="宋体" w:hint="eastAsia"/>
          <w:sz w:val="32"/>
          <w:szCs w:val="32"/>
        </w:rPr>
        <w:t>一般公共服务</w:t>
      </w:r>
      <w:r>
        <w:rPr>
          <w:rFonts w:hAnsi="仿宋" w:cs="宋体" w:hint="eastAsia"/>
          <w:sz w:val="32"/>
          <w:szCs w:val="32"/>
        </w:rPr>
        <w:t>(</w:t>
      </w:r>
      <w:r>
        <w:rPr>
          <w:rFonts w:hAnsi="仿宋" w:cs="宋体" w:hint="eastAsia"/>
          <w:sz w:val="32"/>
          <w:szCs w:val="32"/>
        </w:rPr>
        <w:t>类</w:t>
      </w:r>
      <w:r>
        <w:rPr>
          <w:rFonts w:hAnsi="仿宋" w:cs="宋体" w:hint="eastAsia"/>
          <w:sz w:val="32"/>
          <w:szCs w:val="32"/>
        </w:rPr>
        <w:t>)</w:t>
      </w:r>
      <w:r>
        <w:rPr>
          <w:rFonts w:hAnsi="仿宋" w:cs="宋体" w:hint="eastAsia"/>
          <w:sz w:val="32"/>
          <w:szCs w:val="32"/>
        </w:rPr>
        <w:t>市场监督管理事务</w:t>
      </w:r>
      <w:r>
        <w:rPr>
          <w:rFonts w:hAnsi="仿宋" w:cs="宋体" w:hint="eastAsia"/>
          <w:sz w:val="32"/>
          <w:szCs w:val="32"/>
        </w:rPr>
        <w:t>(</w:t>
      </w:r>
      <w:r>
        <w:rPr>
          <w:rFonts w:hAnsi="仿宋" w:cs="宋体" w:hint="eastAsia"/>
          <w:sz w:val="32"/>
          <w:szCs w:val="32"/>
        </w:rPr>
        <w:t>款</w:t>
      </w:r>
      <w:r>
        <w:rPr>
          <w:rFonts w:hAnsi="仿宋" w:cs="宋体" w:hint="eastAsia"/>
          <w:sz w:val="32"/>
          <w:szCs w:val="32"/>
        </w:rPr>
        <w:t>)</w:t>
      </w:r>
      <w:r>
        <w:rPr>
          <w:rFonts w:hAnsi="仿宋" w:cs="宋体" w:hint="eastAsia"/>
          <w:sz w:val="32"/>
          <w:szCs w:val="32"/>
        </w:rPr>
        <w:t>其他市场监督管</w:t>
      </w:r>
      <w:r>
        <w:rPr>
          <w:rFonts w:hAnsi="仿宋" w:cs="宋体" w:hint="eastAsia"/>
          <w:sz w:val="32"/>
          <w:szCs w:val="32"/>
        </w:rPr>
        <w:lastRenderedPageBreak/>
        <w:t>理事务支出</w:t>
      </w:r>
      <w:r>
        <w:rPr>
          <w:rFonts w:hAnsi="仿宋" w:cs="宋体" w:hint="eastAsia"/>
          <w:sz w:val="32"/>
          <w:szCs w:val="32"/>
        </w:rPr>
        <w:t>(</w:t>
      </w:r>
      <w:r>
        <w:rPr>
          <w:rFonts w:hAnsi="仿宋" w:cs="宋体" w:hint="eastAsia"/>
          <w:sz w:val="32"/>
          <w:szCs w:val="32"/>
        </w:rPr>
        <w:t>项</w:t>
      </w:r>
      <w:r>
        <w:rPr>
          <w:rFonts w:hAnsi="仿宋" w:cs="宋体" w:hint="eastAsia"/>
          <w:sz w:val="32"/>
          <w:szCs w:val="32"/>
        </w:rPr>
        <w:t>):</w:t>
      </w:r>
      <w:r>
        <w:rPr>
          <w:rFonts w:hAnsi="仿宋" w:cs="宋体" w:hint="eastAsia"/>
          <w:sz w:val="32"/>
          <w:szCs w:val="32"/>
        </w:rPr>
        <w:t>指广元市市场监督管理局广元经开区分局用于除上述项目以外其他市场监督管理事务方面的支出。</w:t>
      </w:r>
    </w:p>
    <w:p w:rsidR="000F0EA8" w:rsidRDefault="00885E0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w:t>
      </w:r>
      <w:r>
        <w:rPr>
          <w:rFonts w:ascii="仿宋" w:eastAsia="仿宋" w:hAnsi="仿宋" w:cs="仿宋" w:hint="eastAsia"/>
          <w:kern w:val="0"/>
          <w:sz w:val="32"/>
          <w:szCs w:val="32"/>
        </w:rPr>
        <w:t>社会保障和就业支出（类）行政事业单位养老支出（款）机关事业单位基本养老保险缴费支出（项）：指广元市市场监督管理局广元经开区分局用于实施养老保险制度由单位缴纳的基本养老保险</w:t>
      </w:r>
      <w:r>
        <w:rPr>
          <w:rFonts w:ascii="仿宋" w:eastAsia="仿宋" w:hAnsi="仿宋" w:cs="仿宋" w:hint="eastAsia"/>
          <w:kern w:val="0"/>
          <w:sz w:val="32"/>
          <w:szCs w:val="32"/>
        </w:rPr>
        <w:t>费支出。</w:t>
      </w:r>
    </w:p>
    <w:p w:rsidR="000F0EA8" w:rsidRDefault="00885E0F">
      <w:pPr>
        <w:pStyle w:val="a0"/>
        <w:spacing w:before="93"/>
        <w:ind w:firstLineChars="200" w:firstLine="600"/>
      </w:pPr>
      <w:r>
        <w:rPr>
          <w:rFonts w:ascii="仿宋" w:eastAsia="仿宋" w:hAnsi="仿宋" w:hint="eastAsia"/>
        </w:rPr>
        <w:t>12</w:t>
      </w:r>
      <w:r>
        <w:rPr>
          <w:rFonts w:hint="eastAsia"/>
        </w:rPr>
        <w:t>、</w:t>
      </w:r>
      <w:r>
        <w:rPr>
          <w:rFonts w:ascii="仿宋" w:eastAsia="仿宋" w:hAnsi="仿宋" w:cs="仿宋_GB2312" w:hint="eastAsia"/>
          <w:sz w:val="32"/>
          <w:szCs w:val="32"/>
        </w:rPr>
        <w:t>社会保障和就业（类）行政事业单位养老支出（款）机关事业单位职业年金缴费支出（项）：指反映机关事业单位实施养老保险制度由单位实际缴纳的职业年金支出。</w:t>
      </w:r>
    </w:p>
    <w:p w:rsidR="000F0EA8" w:rsidRDefault="00885E0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13.</w:t>
      </w:r>
      <w:r>
        <w:rPr>
          <w:rFonts w:ascii="仿宋" w:eastAsia="仿宋" w:hAnsi="仿宋" w:cs="仿宋" w:hint="eastAsia"/>
          <w:kern w:val="0"/>
          <w:sz w:val="32"/>
          <w:szCs w:val="32"/>
        </w:rPr>
        <w:t>卫生健康支出（类）行政事业单位医疗（款）行政单位医疗（项）：指广元市市场监督管理局广元经开区分局用于行政单位基本医疗保险缴费。</w:t>
      </w:r>
    </w:p>
    <w:p w:rsidR="000F0EA8" w:rsidRDefault="00885E0F">
      <w:pPr>
        <w:widowControl/>
        <w:shd w:val="clear" w:color="auto" w:fill="FFFFFF"/>
        <w:spacing w:line="560" w:lineRule="exact"/>
        <w:ind w:firstLineChars="200" w:firstLine="640"/>
        <w:rPr>
          <w:rFonts w:ascii="仿宋" w:eastAsia="仿宋" w:hAnsi="仿宋" w:cs="仿宋"/>
          <w:color w:val="00B0F0"/>
          <w:kern w:val="0"/>
          <w:sz w:val="32"/>
          <w:szCs w:val="32"/>
        </w:rPr>
      </w:pPr>
      <w:r>
        <w:rPr>
          <w:rFonts w:ascii="仿宋" w:eastAsia="仿宋" w:hAnsi="仿宋" w:cs="仿宋" w:hint="eastAsia"/>
          <w:kern w:val="0"/>
          <w:sz w:val="32"/>
          <w:szCs w:val="32"/>
        </w:rPr>
        <w:t>14.</w:t>
      </w:r>
      <w:r>
        <w:rPr>
          <w:rFonts w:ascii="仿宋" w:eastAsia="仿宋" w:hAnsi="仿宋" w:cs="仿宋" w:hint="eastAsia"/>
          <w:kern w:val="0"/>
          <w:sz w:val="32"/>
          <w:szCs w:val="32"/>
        </w:rPr>
        <w:t>住房保障支出（类）住房改革支出（款）住房公积金（项）：指广元市市场监督管理局广元经开区分局用于按规定的工资基数以及规定比例为职工缴纳的住房公积金。</w:t>
      </w:r>
    </w:p>
    <w:p w:rsidR="000F0EA8" w:rsidRDefault="00885E0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hint="eastAsia"/>
          <w:sz w:val="32"/>
          <w:szCs w:val="32"/>
        </w:rPr>
        <w:t>15.</w:t>
      </w:r>
      <w:r>
        <w:rPr>
          <w:rFonts w:ascii="仿宋" w:eastAsia="仿宋" w:hAnsi="仿宋" w:hint="eastAsia"/>
          <w:sz w:val="32"/>
          <w:szCs w:val="32"/>
        </w:rPr>
        <w:t>基本支出：指为保障机构正常运转、完成日常工作任务而发生</w:t>
      </w:r>
      <w:r>
        <w:rPr>
          <w:rFonts w:ascii="仿宋" w:eastAsia="仿宋" w:hAnsi="仿宋" w:hint="eastAsia"/>
          <w:sz w:val="32"/>
          <w:szCs w:val="32"/>
        </w:rPr>
        <w:t>的人员支出和公用支出。</w:t>
      </w:r>
    </w:p>
    <w:p w:rsidR="000F0EA8" w:rsidRDefault="00885E0F">
      <w:pPr>
        <w:spacing w:line="560" w:lineRule="exact"/>
        <w:ind w:firstLineChars="200" w:firstLine="640"/>
        <w:rPr>
          <w:rFonts w:ascii="仿宋" w:eastAsia="仿宋" w:hAnsi="仿宋"/>
          <w:sz w:val="32"/>
          <w:szCs w:val="32"/>
        </w:rPr>
      </w:pPr>
      <w:r>
        <w:rPr>
          <w:rFonts w:ascii="仿宋" w:eastAsia="仿宋" w:hAnsi="仿宋" w:hint="eastAsia"/>
          <w:sz w:val="32"/>
          <w:szCs w:val="32"/>
        </w:rPr>
        <w:t>16.</w:t>
      </w:r>
      <w:r>
        <w:rPr>
          <w:rFonts w:ascii="仿宋" w:eastAsia="仿宋" w:hAnsi="仿宋" w:hint="eastAsia"/>
          <w:sz w:val="32"/>
          <w:szCs w:val="32"/>
        </w:rPr>
        <w:t>项目支出：指在基本支出之外为完成特定行政任务和事业发展目标所发生的支出。</w:t>
      </w:r>
    </w:p>
    <w:p w:rsidR="000F0EA8" w:rsidRDefault="00885E0F">
      <w:pPr>
        <w:pStyle w:val="Default"/>
        <w:spacing w:line="560" w:lineRule="exact"/>
        <w:ind w:firstLineChars="200" w:firstLine="640"/>
        <w:rPr>
          <w:rFonts w:hAnsi="仿宋"/>
          <w:color w:val="auto"/>
          <w:sz w:val="32"/>
          <w:szCs w:val="32"/>
        </w:rPr>
      </w:pPr>
      <w:r>
        <w:rPr>
          <w:rFonts w:hAnsi="仿宋" w:hint="eastAsia"/>
          <w:color w:val="auto"/>
          <w:sz w:val="32"/>
          <w:szCs w:val="32"/>
        </w:rPr>
        <w:t>17.</w:t>
      </w:r>
      <w:r>
        <w:rPr>
          <w:rFonts w:hAnsi="仿宋" w:hint="eastAsia"/>
          <w:color w:val="auto"/>
          <w:sz w:val="32"/>
          <w:szCs w:val="32"/>
        </w:rPr>
        <w:t>“三公”经费：指单位用财政拨款安排的因公出国（境）费、公务用车购置及运行费和公务接待费。其中，因公出国（境）</w:t>
      </w:r>
      <w:proofErr w:type="gramStart"/>
      <w:r>
        <w:rPr>
          <w:rFonts w:hAnsi="仿宋" w:hint="eastAsia"/>
          <w:color w:val="auto"/>
          <w:sz w:val="32"/>
          <w:szCs w:val="32"/>
        </w:rPr>
        <w:t>费反映</w:t>
      </w:r>
      <w:proofErr w:type="gramEnd"/>
      <w:r>
        <w:rPr>
          <w:rFonts w:hAnsi="仿宋" w:hint="eastAsia"/>
          <w:color w:val="auto"/>
          <w:sz w:val="32"/>
          <w:szCs w:val="32"/>
        </w:rPr>
        <w:t>单位公务出国（境）的国际旅费、国外城市间交通费、住宿费、伙食费、培训费、公杂费等支出；公务用车购置及运行</w:t>
      </w:r>
      <w:proofErr w:type="gramStart"/>
      <w:r>
        <w:rPr>
          <w:rFonts w:hAnsi="仿宋" w:hint="eastAsia"/>
          <w:color w:val="auto"/>
          <w:sz w:val="32"/>
          <w:szCs w:val="32"/>
        </w:rPr>
        <w:t>费反映</w:t>
      </w:r>
      <w:proofErr w:type="gramEnd"/>
      <w:r>
        <w:rPr>
          <w:rFonts w:hAnsi="仿宋" w:hint="eastAsia"/>
          <w:color w:val="auto"/>
          <w:sz w:val="32"/>
          <w:szCs w:val="32"/>
        </w:rPr>
        <w:t>单位公务用车车辆购置支出（</w:t>
      </w:r>
      <w:proofErr w:type="gramStart"/>
      <w:r>
        <w:rPr>
          <w:rFonts w:hAnsi="仿宋" w:hint="eastAsia"/>
          <w:color w:val="auto"/>
          <w:sz w:val="32"/>
          <w:szCs w:val="32"/>
        </w:rPr>
        <w:t>含车辆</w:t>
      </w:r>
      <w:proofErr w:type="gramEnd"/>
      <w:r>
        <w:rPr>
          <w:rFonts w:hAnsi="仿宋" w:hint="eastAsia"/>
          <w:color w:val="auto"/>
          <w:sz w:val="32"/>
          <w:szCs w:val="32"/>
        </w:rPr>
        <w:t>购置税）及租用费、燃料</w:t>
      </w:r>
      <w:r>
        <w:rPr>
          <w:rFonts w:hAnsi="仿宋" w:hint="eastAsia"/>
          <w:color w:val="auto"/>
          <w:sz w:val="32"/>
          <w:szCs w:val="32"/>
        </w:rPr>
        <w:lastRenderedPageBreak/>
        <w:t>费、维修费、过路过桥费、保险费等支出；公务接待</w:t>
      </w:r>
      <w:proofErr w:type="gramStart"/>
      <w:r>
        <w:rPr>
          <w:rFonts w:hAnsi="仿宋" w:hint="eastAsia"/>
          <w:color w:val="auto"/>
          <w:sz w:val="32"/>
          <w:szCs w:val="32"/>
        </w:rPr>
        <w:t>费反映</w:t>
      </w:r>
      <w:proofErr w:type="gramEnd"/>
      <w:r>
        <w:rPr>
          <w:rFonts w:hAnsi="仿宋" w:hint="eastAsia"/>
          <w:color w:val="auto"/>
          <w:sz w:val="32"/>
          <w:szCs w:val="32"/>
        </w:rPr>
        <w:t>单位按规定开支的各类公务接待（含外宾接待）支出。</w:t>
      </w:r>
    </w:p>
    <w:p w:rsidR="000F0EA8" w:rsidRDefault="00885E0F">
      <w:pPr>
        <w:pStyle w:val="Default"/>
        <w:spacing w:line="560" w:lineRule="exact"/>
        <w:ind w:firstLineChars="200" w:firstLine="640"/>
        <w:rPr>
          <w:rFonts w:hAnsi="仿宋"/>
          <w:color w:val="auto"/>
          <w:sz w:val="32"/>
          <w:szCs w:val="32"/>
        </w:rPr>
      </w:pPr>
      <w:r>
        <w:rPr>
          <w:rFonts w:hAnsi="仿宋" w:hint="eastAsia"/>
          <w:color w:val="auto"/>
          <w:sz w:val="32"/>
          <w:szCs w:val="32"/>
        </w:rPr>
        <w:t>18.</w:t>
      </w:r>
      <w:r>
        <w:rPr>
          <w:rFonts w:hAnsi="仿宋" w:hint="eastAsia"/>
          <w:color w:val="auto"/>
          <w:sz w:val="32"/>
          <w:szCs w:val="32"/>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bookmarkStart w:id="99" w:name="_Toc15377226"/>
      <w:r>
        <w:rPr>
          <w:rFonts w:hAnsi="仿宋" w:hint="eastAsia"/>
          <w:sz w:val="32"/>
          <w:szCs w:val="32"/>
        </w:rPr>
        <w:br w:type="page"/>
      </w:r>
    </w:p>
    <w:p w:rsidR="000F0EA8" w:rsidRDefault="00885E0F">
      <w:pPr>
        <w:pStyle w:val="1"/>
        <w:jc w:val="center"/>
        <w:rPr>
          <w:rFonts w:ascii="新宋体" w:eastAsia="新宋体" w:hAnsi="新宋体" w:cs="新宋体"/>
          <w:b w:val="0"/>
          <w:bCs w:val="0"/>
          <w:sz w:val="36"/>
          <w:szCs w:val="36"/>
        </w:rPr>
      </w:pPr>
      <w:bookmarkStart w:id="100" w:name="_Toc115248316"/>
      <w:bookmarkStart w:id="101" w:name="_Toc15396614"/>
      <w:bookmarkStart w:id="102" w:name="_Toc13135"/>
      <w:r>
        <w:rPr>
          <w:rFonts w:ascii="新宋体" w:eastAsia="新宋体" w:hAnsi="新宋体" w:cs="新宋体" w:hint="eastAsia"/>
          <w:sz w:val="36"/>
          <w:szCs w:val="36"/>
        </w:rPr>
        <w:lastRenderedPageBreak/>
        <w:t>第</w:t>
      </w:r>
      <w:r>
        <w:rPr>
          <w:rStyle w:val="1Char"/>
          <w:rFonts w:ascii="新宋体" w:eastAsia="新宋体" w:hAnsi="新宋体" w:cs="新宋体" w:hint="eastAsia"/>
          <w:b/>
          <w:sz w:val="36"/>
          <w:szCs w:val="36"/>
        </w:rPr>
        <w:t>四部分</w:t>
      </w:r>
      <w:r>
        <w:rPr>
          <w:rStyle w:val="1Char"/>
          <w:rFonts w:ascii="新宋体" w:eastAsia="新宋体" w:hAnsi="新宋体" w:cs="新宋体" w:hint="eastAsia"/>
          <w:b/>
          <w:sz w:val="36"/>
          <w:szCs w:val="36"/>
        </w:rPr>
        <w:t xml:space="preserve"> </w:t>
      </w:r>
      <w:r>
        <w:rPr>
          <w:rStyle w:val="1Char"/>
          <w:rFonts w:ascii="新宋体" w:eastAsia="新宋体" w:hAnsi="新宋体" w:cs="新宋体" w:hint="eastAsia"/>
          <w:b/>
          <w:sz w:val="36"/>
          <w:szCs w:val="36"/>
        </w:rPr>
        <w:t>附件</w:t>
      </w:r>
      <w:bookmarkEnd w:id="100"/>
      <w:bookmarkEnd w:id="101"/>
      <w:bookmarkEnd w:id="102"/>
    </w:p>
    <w:p w:rsidR="000F0EA8" w:rsidRDefault="00885E0F">
      <w:pPr>
        <w:spacing w:line="600" w:lineRule="exact"/>
        <w:jc w:val="center"/>
        <w:rPr>
          <w:rFonts w:ascii="新宋体" w:eastAsia="新宋体" w:hAnsi="新宋体" w:cs="新宋体"/>
          <w:b/>
          <w:sz w:val="36"/>
          <w:szCs w:val="36"/>
        </w:rPr>
      </w:pPr>
      <w:r>
        <w:rPr>
          <w:rFonts w:ascii="新宋体" w:eastAsia="新宋体" w:hAnsi="新宋体" w:cs="新宋体" w:hint="eastAsia"/>
          <w:b/>
          <w:sz w:val="36"/>
          <w:szCs w:val="36"/>
        </w:rPr>
        <w:t>广元市市场监督管理局广元经开区分局</w:t>
      </w:r>
    </w:p>
    <w:p w:rsidR="000F0EA8" w:rsidRDefault="00885E0F">
      <w:pPr>
        <w:spacing w:line="600" w:lineRule="exact"/>
        <w:jc w:val="center"/>
        <w:rPr>
          <w:rFonts w:ascii="新宋体" w:eastAsia="新宋体" w:hAnsi="新宋体" w:cs="新宋体"/>
          <w:b/>
          <w:sz w:val="36"/>
          <w:szCs w:val="36"/>
          <w:lang w:val="zh-CN"/>
        </w:rPr>
      </w:pPr>
      <w:r>
        <w:rPr>
          <w:rFonts w:ascii="新宋体" w:eastAsia="新宋体" w:hAnsi="新宋体" w:cs="新宋体" w:hint="eastAsia"/>
          <w:b/>
          <w:sz w:val="36"/>
          <w:szCs w:val="36"/>
        </w:rPr>
        <w:t>2021</w:t>
      </w:r>
      <w:r>
        <w:rPr>
          <w:rFonts w:ascii="新宋体" w:eastAsia="新宋体" w:hAnsi="新宋体" w:cs="新宋体" w:hint="eastAsia"/>
          <w:b/>
          <w:sz w:val="36"/>
          <w:szCs w:val="36"/>
        </w:rPr>
        <w:t>年市场综合监管专项项目</w:t>
      </w:r>
      <w:r>
        <w:rPr>
          <w:rFonts w:ascii="新宋体" w:eastAsia="新宋体" w:hAnsi="新宋体" w:cs="新宋体" w:hint="eastAsia"/>
          <w:b/>
          <w:sz w:val="36"/>
          <w:szCs w:val="36"/>
          <w:lang w:val="zh-CN"/>
        </w:rPr>
        <w:t>支出绩效自评报告</w:t>
      </w:r>
    </w:p>
    <w:p w:rsidR="000F0EA8" w:rsidRDefault="000F0EA8">
      <w:pPr>
        <w:pStyle w:val="a0"/>
        <w:spacing w:before="93"/>
        <w:jc w:val="center"/>
        <w:rPr>
          <w:rFonts w:asciiTheme="minorEastAsia" w:eastAsiaTheme="minorEastAsia" w:hAnsiTheme="minorEastAsia"/>
          <w:sz w:val="36"/>
          <w:szCs w:val="36"/>
          <w:lang w:val="zh-CN"/>
        </w:rPr>
      </w:pPr>
    </w:p>
    <w:p w:rsidR="000F0EA8" w:rsidRDefault="00885E0F">
      <w:pPr>
        <w:adjustRightInd w:val="0"/>
        <w:snapToGrid w:val="0"/>
        <w:spacing w:line="560" w:lineRule="exact"/>
        <w:ind w:firstLine="720"/>
        <w:rPr>
          <w:rFonts w:ascii="黑体" w:eastAsia="黑体" w:hAnsi="黑体"/>
          <w:sz w:val="32"/>
          <w:szCs w:val="32"/>
          <w:lang w:val="zh-CN"/>
        </w:rPr>
      </w:pPr>
      <w:r>
        <w:rPr>
          <w:rFonts w:ascii="黑体" w:eastAsia="黑体" w:hAnsi="黑体" w:hint="eastAsia"/>
          <w:sz w:val="32"/>
          <w:szCs w:val="32"/>
        </w:rPr>
        <w:t>一、</w:t>
      </w:r>
      <w:r>
        <w:rPr>
          <w:rFonts w:ascii="黑体" w:eastAsia="黑体" w:hAnsi="黑体" w:hint="eastAsia"/>
          <w:sz w:val="32"/>
          <w:szCs w:val="32"/>
          <w:lang w:val="zh-CN"/>
        </w:rPr>
        <w:t>项目概况</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（一）项目基本情况</w:t>
      </w:r>
    </w:p>
    <w:p w:rsidR="000F0EA8" w:rsidRDefault="00885E0F">
      <w:pPr>
        <w:spacing w:line="560" w:lineRule="exact"/>
        <w:ind w:firstLineChars="200" w:firstLine="640"/>
        <w:rPr>
          <w:rFonts w:ascii="仿宋" w:eastAsia="仿宋" w:hAnsi="仿宋" w:cs="仿宋_GB2312"/>
          <w:sz w:val="32"/>
          <w:szCs w:val="32"/>
        </w:rPr>
      </w:pPr>
      <w:r>
        <w:rPr>
          <w:rFonts w:ascii="仿宋" w:eastAsia="仿宋" w:hAnsi="仿宋" w:hint="eastAsia"/>
          <w:sz w:val="32"/>
          <w:szCs w:val="32"/>
          <w:lang w:val="zh-CN"/>
        </w:rPr>
        <w:t>1.</w:t>
      </w:r>
      <w:r>
        <w:rPr>
          <w:rFonts w:ascii="仿宋" w:eastAsia="仿宋" w:hAnsi="仿宋" w:hint="eastAsia"/>
          <w:sz w:val="32"/>
          <w:szCs w:val="32"/>
          <w:lang w:val="zh-CN"/>
        </w:rPr>
        <w:t>项目主管部门（单位）在该项目管理中的职能：</w:t>
      </w:r>
      <w:r>
        <w:rPr>
          <w:rFonts w:ascii="仿宋" w:eastAsia="仿宋" w:hAnsi="仿宋" w:hint="eastAsia"/>
          <w:color w:val="000000"/>
          <w:sz w:val="32"/>
          <w:szCs w:val="32"/>
        </w:rPr>
        <w:t>负责经开区市场监督管理工作。组织实施质量强区、食品安全、标准化和知识产权战略，拟订并组织实施全区食品、药品安全等规划，规范和维护市场秩序，营造诚实守信、公平竞争的市场环境。负责全区市场主体统一登记注册。负责全区宏观质量管理、产品质量安全监督管理、特种设备安全监督管理。负责全区食品安全监督管理综合协调和食品安全监督管理。负责统一管理全区计量工作，协助市局统一管理全区标准化工作、认证认可工作。依职责监督和指导实施药品、医疗器械经营、使用质量管理规范，监督实施标准和技术规范。</w:t>
      </w:r>
    </w:p>
    <w:p w:rsidR="000F0EA8" w:rsidRDefault="00885E0F">
      <w:pPr>
        <w:pStyle w:val="a8"/>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lang w:val="zh-CN"/>
        </w:rPr>
        <w:t>2.</w:t>
      </w:r>
      <w:r>
        <w:rPr>
          <w:rFonts w:ascii="仿宋" w:eastAsia="仿宋" w:hAnsi="仿宋" w:hint="eastAsia"/>
          <w:sz w:val="32"/>
          <w:szCs w:val="32"/>
          <w:lang w:val="zh-CN"/>
        </w:rPr>
        <w:t>项目立项、资金申报的依据：</w:t>
      </w:r>
      <w:r>
        <w:rPr>
          <w:rFonts w:ascii="仿宋" w:eastAsia="仿宋" w:hAnsi="仿宋" w:hint="eastAsia"/>
          <w:color w:val="000000"/>
          <w:sz w:val="32"/>
          <w:szCs w:val="32"/>
        </w:rPr>
        <w:t>依法履</w:t>
      </w:r>
      <w:r>
        <w:rPr>
          <w:rFonts w:ascii="仿宋" w:eastAsia="仿宋" w:hAnsi="仿宋" w:hint="eastAsia"/>
          <w:color w:val="000000"/>
          <w:sz w:val="32"/>
          <w:szCs w:val="32"/>
        </w:rPr>
        <w:t>行职能职责。</w:t>
      </w:r>
    </w:p>
    <w:p w:rsidR="000F0EA8" w:rsidRDefault="00885E0F">
      <w:pPr>
        <w:pStyle w:val="a8"/>
        <w:spacing w:before="0" w:beforeAutospacing="0" w:after="0" w:afterAutospacing="0" w:line="560" w:lineRule="exact"/>
        <w:ind w:firstLineChars="200" w:firstLine="640"/>
        <w:rPr>
          <w:rFonts w:ascii="仿宋" w:eastAsia="仿宋" w:hAnsi="仿宋"/>
          <w:sz w:val="32"/>
          <w:szCs w:val="32"/>
        </w:rPr>
      </w:pPr>
      <w:r>
        <w:rPr>
          <w:rFonts w:ascii="仿宋" w:eastAsia="仿宋" w:hAnsi="仿宋" w:cs="Times New Roman" w:hint="eastAsia"/>
          <w:sz w:val="32"/>
          <w:szCs w:val="32"/>
          <w:lang w:val="zh-CN"/>
        </w:rPr>
        <w:t>3.</w:t>
      </w:r>
      <w:r>
        <w:rPr>
          <w:rFonts w:ascii="仿宋" w:eastAsia="仿宋" w:hAnsi="仿宋" w:cs="Times New Roman" w:hint="eastAsia"/>
          <w:color w:val="000000" w:themeColor="text1"/>
          <w:sz w:val="32"/>
          <w:szCs w:val="32"/>
          <w:lang w:val="zh-CN"/>
        </w:rPr>
        <w:t>资</w:t>
      </w:r>
      <w:r>
        <w:rPr>
          <w:rFonts w:ascii="仿宋" w:eastAsia="仿宋" w:hAnsi="仿宋" w:hint="eastAsia"/>
          <w:color w:val="000000" w:themeColor="text1"/>
          <w:sz w:val="32"/>
          <w:szCs w:val="32"/>
          <w:lang w:val="zh-CN"/>
        </w:rPr>
        <w:t>金管理办法制定情况，资金支持具体项目的条件、范围与支持方式概况：制定了专项资金管理使用制度和内控制度，该项目待市财政局资金指标下达后，按照预算指标进行使用，专款专用。</w:t>
      </w:r>
    </w:p>
    <w:p w:rsidR="000F0EA8" w:rsidRDefault="00885E0F">
      <w:pPr>
        <w:adjustRightInd w:val="0"/>
        <w:snapToGrid w:val="0"/>
        <w:spacing w:line="560" w:lineRule="exact"/>
        <w:ind w:firstLineChars="200" w:firstLine="640"/>
        <w:rPr>
          <w:rFonts w:ascii="仿宋" w:eastAsia="仿宋" w:hAnsi="仿宋" w:cs="宋体"/>
          <w:color w:val="000000"/>
          <w:kern w:val="0"/>
          <w:sz w:val="32"/>
          <w:szCs w:val="32"/>
        </w:rPr>
      </w:pPr>
      <w:r>
        <w:rPr>
          <w:rFonts w:ascii="仿宋" w:eastAsia="仿宋" w:hAnsi="仿宋" w:hint="eastAsia"/>
          <w:sz w:val="32"/>
          <w:szCs w:val="32"/>
          <w:lang w:val="zh-CN"/>
        </w:rPr>
        <w:t>4.</w:t>
      </w:r>
      <w:r>
        <w:rPr>
          <w:rFonts w:ascii="仿宋" w:eastAsia="仿宋" w:hAnsi="仿宋" w:hint="eastAsia"/>
          <w:sz w:val="32"/>
          <w:szCs w:val="32"/>
          <w:lang w:val="zh-CN"/>
        </w:rPr>
        <w:t>资金分配的原则及考虑因素：</w:t>
      </w:r>
      <w:r>
        <w:rPr>
          <w:rFonts w:ascii="仿宋" w:eastAsia="仿宋" w:hAnsi="仿宋" w:cs="宋体" w:hint="eastAsia"/>
          <w:color w:val="000000"/>
          <w:kern w:val="0"/>
          <w:sz w:val="32"/>
          <w:szCs w:val="32"/>
        </w:rPr>
        <w:t>根据明确的资金用途，相关规定实施，资金的申报、分配、拨付严格按规定程序办理。</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（二）项目绩效目标</w:t>
      </w:r>
    </w:p>
    <w:p w:rsidR="000F0EA8" w:rsidRDefault="00885E0F">
      <w:pPr>
        <w:adjustRightInd w:val="0"/>
        <w:snapToGrid w:val="0"/>
        <w:spacing w:line="560" w:lineRule="exact"/>
        <w:ind w:firstLine="720"/>
        <w:rPr>
          <w:rFonts w:ascii="仿宋" w:eastAsia="仿宋" w:hAnsi="仿宋"/>
          <w:sz w:val="32"/>
          <w:szCs w:val="32"/>
          <w:lang w:val="zh-CN"/>
        </w:rPr>
      </w:pPr>
      <w:r>
        <w:rPr>
          <w:rFonts w:ascii="仿宋" w:eastAsia="仿宋" w:hAnsi="仿宋" w:hint="eastAsia"/>
          <w:sz w:val="32"/>
          <w:szCs w:val="32"/>
          <w:lang w:val="zh-CN"/>
        </w:rPr>
        <w:lastRenderedPageBreak/>
        <w:t>1.</w:t>
      </w:r>
      <w:r>
        <w:rPr>
          <w:rFonts w:ascii="仿宋" w:eastAsia="仿宋" w:hAnsi="仿宋" w:hint="eastAsia"/>
          <w:sz w:val="32"/>
          <w:szCs w:val="32"/>
          <w:lang w:val="zh-CN"/>
        </w:rPr>
        <w:t>项目主要内容：负责市场主体信用监督管理，营造公平诚信的市场和社会环境。注册登记商事制度改革，优化营商环境，提高监管效能，增强经济发展内生动力。</w:t>
      </w:r>
      <w:proofErr w:type="gramStart"/>
      <w:r>
        <w:rPr>
          <w:rFonts w:ascii="仿宋" w:eastAsia="仿宋" w:hAnsi="仿宋" w:hint="eastAsia"/>
          <w:sz w:val="32"/>
          <w:szCs w:val="32"/>
          <w:lang w:val="zh-CN"/>
        </w:rPr>
        <w:t>指导非</w:t>
      </w:r>
      <w:proofErr w:type="gramEnd"/>
      <w:r>
        <w:rPr>
          <w:rFonts w:ascii="仿宋" w:eastAsia="仿宋" w:hAnsi="仿宋" w:hint="eastAsia"/>
          <w:sz w:val="32"/>
          <w:szCs w:val="32"/>
          <w:lang w:val="zh-CN"/>
        </w:rPr>
        <w:t>公党建工作，促进民营经济健康发展。开展安全形势教育和执法检查，遏制和减少事故发生。负责辖区内食品、药械化、特种设备安全生产经营安全监管。综合协调指导食品工作、药械化工作、培育知名品牌，计量，认证工作。开展食品安全宣传周、药品安全宣传月、</w:t>
      </w:r>
      <w:r>
        <w:rPr>
          <w:rFonts w:ascii="仿宋" w:eastAsia="仿宋" w:hAnsi="仿宋" w:hint="eastAsia"/>
          <w:sz w:val="32"/>
          <w:szCs w:val="32"/>
          <w:lang w:val="zh-CN"/>
        </w:rPr>
        <w:t>5.25</w:t>
      </w:r>
      <w:proofErr w:type="gramStart"/>
      <w:r>
        <w:rPr>
          <w:rFonts w:ascii="仿宋" w:eastAsia="仿宋" w:hAnsi="仿宋" w:hint="eastAsia"/>
          <w:sz w:val="32"/>
          <w:szCs w:val="32"/>
          <w:lang w:val="zh-CN"/>
        </w:rPr>
        <w:t>国际爱</w:t>
      </w:r>
      <w:proofErr w:type="gramEnd"/>
      <w:r>
        <w:rPr>
          <w:rFonts w:ascii="仿宋" w:eastAsia="仿宋" w:hAnsi="仿宋" w:hint="eastAsia"/>
          <w:sz w:val="32"/>
          <w:szCs w:val="32"/>
          <w:lang w:val="zh-CN"/>
        </w:rPr>
        <w:t>肤日、质量安全宣传月等宣传活动。开展食品、药械</w:t>
      </w:r>
      <w:proofErr w:type="gramStart"/>
      <w:r>
        <w:rPr>
          <w:rFonts w:ascii="仿宋" w:eastAsia="仿宋" w:hAnsi="仿宋" w:hint="eastAsia"/>
          <w:sz w:val="32"/>
          <w:szCs w:val="32"/>
          <w:lang w:val="zh-CN"/>
        </w:rPr>
        <w:t>化各个</w:t>
      </w:r>
      <w:proofErr w:type="gramEnd"/>
      <w:r>
        <w:rPr>
          <w:rFonts w:ascii="仿宋" w:eastAsia="仿宋" w:hAnsi="仿宋" w:hint="eastAsia"/>
          <w:sz w:val="32"/>
          <w:szCs w:val="32"/>
          <w:lang w:val="zh-CN"/>
        </w:rPr>
        <w:t>专项整治工作，协助标准化管理工作。</w:t>
      </w:r>
    </w:p>
    <w:p w:rsidR="000F0EA8" w:rsidRDefault="00885E0F">
      <w:pPr>
        <w:adjustRightInd w:val="0"/>
        <w:snapToGrid w:val="0"/>
        <w:spacing w:line="560" w:lineRule="exact"/>
        <w:ind w:firstLine="720"/>
        <w:rPr>
          <w:rFonts w:ascii="仿宋" w:eastAsia="仿宋" w:hAnsi="仿宋" w:cs="宋体"/>
          <w:color w:val="000000"/>
          <w:kern w:val="0"/>
          <w:sz w:val="32"/>
          <w:szCs w:val="32"/>
        </w:rPr>
      </w:pPr>
      <w:r>
        <w:rPr>
          <w:rFonts w:ascii="仿宋" w:eastAsia="仿宋" w:hAnsi="仿宋" w:hint="eastAsia"/>
          <w:sz w:val="32"/>
          <w:szCs w:val="32"/>
          <w:lang w:val="zh-CN"/>
        </w:rPr>
        <w:t>2.</w:t>
      </w:r>
      <w:r>
        <w:rPr>
          <w:rFonts w:ascii="仿宋" w:eastAsia="仿宋" w:hAnsi="仿宋" w:hint="eastAsia"/>
          <w:sz w:val="32"/>
          <w:szCs w:val="32"/>
          <w:lang w:val="zh-CN"/>
        </w:rPr>
        <w:t>项目应实现的具体绩</w:t>
      </w:r>
      <w:r>
        <w:rPr>
          <w:rFonts w:ascii="仿宋" w:eastAsia="仿宋" w:hAnsi="仿宋" w:hint="eastAsia"/>
          <w:sz w:val="32"/>
          <w:szCs w:val="32"/>
          <w:lang w:val="zh-CN"/>
        </w:rPr>
        <w:t>效目标：</w:t>
      </w:r>
      <w:r>
        <w:rPr>
          <w:rFonts w:ascii="仿宋" w:eastAsia="仿宋" w:hAnsi="仿宋" w:cs="宋体" w:hint="eastAsia"/>
          <w:color w:val="000000"/>
          <w:kern w:val="0"/>
          <w:sz w:val="32"/>
          <w:szCs w:val="32"/>
        </w:rPr>
        <w:t>一是市场主体监管。市场主体年报公示、信用监管≥</w:t>
      </w:r>
      <w:r>
        <w:rPr>
          <w:rFonts w:ascii="仿宋" w:eastAsia="仿宋" w:hAnsi="仿宋" w:cs="宋体" w:hint="eastAsia"/>
          <w:color w:val="000000"/>
          <w:kern w:val="0"/>
          <w:sz w:val="32"/>
          <w:szCs w:val="32"/>
        </w:rPr>
        <w:t>4000</w:t>
      </w:r>
      <w:r>
        <w:rPr>
          <w:rFonts w:ascii="仿宋" w:eastAsia="仿宋" w:hAnsi="仿宋" w:cs="宋体" w:hint="eastAsia"/>
          <w:color w:val="000000"/>
          <w:kern w:val="0"/>
          <w:sz w:val="32"/>
          <w:szCs w:val="32"/>
        </w:rPr>
        <w:t>户。新登记注册各类市场主体≥</w:t>
      </w:r>
      <w:r>
        <w:rPr>
          <w:rFonts w:ascii="仿宋" w:eastAsia="仿宋" w:hAnsi="仿宋" w:cs="宋体" w:hint="eastAsia"/>
          <w:color w:val="000000"/>
          <w:kern w:val="0"/>
          <w:sz w:val="32"/>
          <w:szCs w:val="32"/>
        </w:rPr>
        <w:t>250</w:t>
      </w:r>
      <w:r>
        <w:rPr>
          <w:rFonts w:ascii="仿宋" w:eastAsia="仿宋" w:hAnsi="仿宋" w:cs="宋体" w:hint="eastAsia"/>
          <w:color w:val="000000"/>
          <w:kern w:val="0"/>
          <w:sz w:val="32"/>
          <w:szCs w:val="32"/>
        </w:rPr>
        <w:t>户。</w:t>
      </w:r>
      <w:proofErr w:type="gramStart"/>
      <w:r>
        <w:rPr>
          <w:rFonts w:ascii="仿宋" w:eastAsia="仿宋" w:hAnsi="仿宋" w:cs="宋体" w:hint="eastAsia"/>
          <w:color w:val="000000"/>
          <w:kern w:val="0"/>
          <w:sz w:val="32"/>
          <w:szCs w:val="32"/>
        </w:rPr>
        <w:t>新建非</w:t>
      </w:r>
      <w:proofErr w:type="gramEnd"/>
      <w:r>
        <w:rPr>
          <w:rFonts w:ascii="仿宋" w:eastAsia="仿宋" w:hAnsi="仿宋" w:cs="宋体" w:hint="eastAsia"/>
          <w:color w:val="000000"/>
          <w:kern w:val="0"/>
          <w:sz w:val="32"/>
          <w:szCs w:val="32"/>
        </w:rPr>
        <w:t>公党支部≥</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个。对辖区市场主体（企业）实施“双随机</w:t>
      </w:r>
      <w:proofErr w:type="gramStart"/>
      <w:r>
        <w:rPr>
          <w:rFonts w:ascii="仿宋" w:eastAsia="仿宋" w:hAnsi="仿宋" w:cs="宋体" w:hint="eastAsia"/>
          <w:color w:val="000000"/>
          <w:kern w:val="0"/>
          <w:sz w:val="32"/>
          <w:szCs w:val="32"/>
        </w:rPr>
        <w:t>一</w:t>
      </w:r>
      <w:proofErr w:type="gramEnd"/>
      <w:r>
        <w:rPr>
          <w:rFonts w:ascii="仿宋" w:eastAsia="仿宋" w:hAnsi="仿宋" w:cs="宋体" w:hint="eastAsia"/>
          <w:color w:val="000000"/>
          <w:kern w:val="0"/>
          <w:sz w:val="32"/>
          <w:szCs w:val="32"/>
        </w:rPr>
        <w:t>公开”检查抽查，开展行政人员培训学时≥</w:t>
      </w:r>
      <w:r>
        <w:rPr>
          <w:rFonts w:ascii="仿宋" w:eastAsia="仿宋" w:hAnsi="仿宋" w:cs="宋体" w:hint="eastAsia"/>
          <w:color w:val="000000"/>
          <w:kern w:val="0"/>
          <w:sz w:val="32"/>
          <w:szCs w:val="32"/>
        </w:rPr>
        <w:t>60</w:t>
      </w:r>
      <w:r>
        <w:rPr>
          <w:rFonts w:ascii="仿宋" w:eastAsia="仿宋" w:hAnsi="仿宋" w:cs="宋体" w:hint="eastAsia"/>
          <w:color w:val="000000"/>
          <w:kern w:val="0"/>
          <w:sz w:val="32"/>
          <w:szCs w:val="32"/>
        </w:rPr>
        <w:t>学时。企业负责人和安全管理人员培训≥</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次，开展安全执法检查</w:t>
      </w:r>
      <w:r>
        <w:rPr>
          <w:rFonts w:ascii="仿宋" w:eastAsia="仿宋" w:hAnsi="仿宋" w:cs="宋体" w:hint="eastAsia"/>
          <w:color w:val="000000"/>
          <w:kern w:val="0"/>
          <w:sz w:val="32"/>
          <w:szCs w:val="32"/>
        </w:rPr>
        <w:t>40</w:t>
      </w:r>
      <w:r>
        <w:rPr>
          <w:rFonts w:ascii="仿宋" w:eastAsia="仿宋" w:hAnsi="仿宋" w:cs="宋体" w:hint="eastAsia"/>
          <w:color w:val="000000"/>
          <w:kern w:val="0"/>
          <w:sz w:val="32"/>
          <w:szCs w:val="32"/>
        </w:rPr>
        <w:t>家次。二是食药械化监管。食药械</w:t>
      </w:r>
      <w:proofErr w:type="gramStart"/>
      <w:r>
        <w:rPr>
          <w:rFonts w:ascii="仿宋" w:eastAsia="仿宋" w:hAnsi="仿宋" w:cs="宋体" w:hint="eastAsia"/>
          <w:color w:val="000000"/>
          <w:kern w:val="0"/>
          <w:sz w:val="32"/>
          <w:szCs w:val="32"/>
        </w:rPr>
        <w:t>化法律</w:t>
      </w:r>
      <w:proofErr w:type="gramEnd"/>
      <w:r>
        <w:rPr>
          <w:rFonts w:ascii="仿宋" w:eastAsia="仿宋" w:hAnsi="仿宋" w:cs="宋体" w:hint="eastAsia"/>
          <w:color w:val="000000"/>
          <w:kern w:val="0"/>
          <w:sz w:val="32"/>
          <w:szCs w:val="32"/>
        </w:rPr>
        <w:t>法规宣传各≥</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次，食药械</w:t>
      </w:r>
      <w:proofErr w:type="gramStart"/>
      <w:r>
        <w:rPr>
          <w:rFonts w:ascii="仿宋" w:eastAsia="仿宋" w:hAnsi="仿宋" w:cs="宋体" w:hint="eastAsia"/>
          <w:color w:val="000000"/>
          <w:kern w:val="0"/>
          <w:sz w:val="32"/>
          <w:szCs w:val="32"/>
        </w:rPr>
        <w:t>化质量管控培训</w:t>
      </w:r>
      <w:proofErr w:type="gramEnd"/>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40</w:t>
      </w:r>
      <w:r>
        <w:rPr>
          <w:rFonts w:ascii="仿宋" w:eastAsia="仿宋" w:hAnsi="仿宋" w:cs="宋体" w:hint="eastAsia"/>
          <w:color w:val="000000"/>
          <w:kern w:val="0"/>
          <w:sz w:val="32"/>
          <w:szCs w:val="32"/>
        </w:rPr>
        <w:t>学时</w:t>
      </w:r>
      <w:r>
        <w:rPr>
          <w:rFonts w:ascii="仿宋" w:eastAsia="仿宋" w:hAnsi="仿宋" w:cs="宋体" w:hint="eastAsia"/>
          <w:color w:val="000000"/>
          <w:kern w:val="0"/>
          <w:sz w:val="32"/>
          <w:szCs w:val="32"/>
        </w:rPr>
        <w:t>800</w:t>
      </w:r>
      <w:r>
        <w:rPr>
          <w:rFonts w:ascii="仿宋" w:eastAsia="仿宋" w:hAnsi="仿宋" w:cs="宋体" w:hint="eastAsia"/>
          <w:color w:val="000000"/>
          <w:kern w:val="0"/>
          <w:sz w:val="32"/>
          <w:szCs w:val="32"/>
        </w:rPr>
        <w:t>人次，食品、食用农产品监督抽检监测≥</w:t>
      </w:r>
      <w:r>
        <w:rPr>
          <w:rFonts w:ascii="仿宋" w:eastAsia="仿宋" w:hAnsi="仿宋" w:cs="宋体" w:hint="eastAsia"/>
          <w:color w:val="000000"/>
          <w:kern w:val="0"/>
          <w:sz w:val="32"/>
          <w:szCs w:val="32"/>
        </w:rPr>
        <w:t>30</w:t>
      </w:r>
      <w:r>
        <w:rPr>
          <w:rFonts w:ascii="仿宋" w:eastAsia="仿宋" w:hAnsi="仿宋" w:cs="宋体" w:hint="eastAsia"/>
          <w:color w:val="000000"/>
          <w:kern w:val="0"/>
          <w:sz w:val="32"/>
          <w:szCs w:val="32"/>
        </w:rPr>
        <w:t>批次，各类产品专项整治≥</w:t>
      </w:r>
      <w:r>
        <w:rPr>
          <w:rFonts w:ascii="仿宋" w:eastAsia="仿宋" w:hAnsi="仿宋" w:cs="宋体" w:hint="eastAsia"/>
          <w:color w:val="000000"/>
          <w:kern w:val="0"/>
          <w:sz w:val="32"/>
          <w:szCs w:val="32"/>
        </w:rPr>
        <w:t>16</w:t>
      </w:r>
      <w:r>
        <w:rPr>
          <w:rFonts w:ascii="仿宋" w:eastAsia="仿宋" w:hAnsi="仿宋" w:cs="宋体" w:hint="eastAsia"/>
          <w:color w:val="000000"/>
          <w:kern w:val="0"/>
          <w:sz w:val="32"/>
          <w:szCs w:val="32"/>
        </w:rPr>
        <w:t>次。三是质监专项。特种设备安全培训≥</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次，专项检查≥</w:t>
      </w:r>
      <w:r>
        <w:rPr>
          <w:rFonts w:ascii="仿宋" w:eastAsia="仿宋" w:hAnsi="仿宋" w:cs="宋体" w:hint="eastAsia"/>
          <w:color w:val="000000"/>
          <w:kern w:val="0"/>
          <w:sz w:val="32"/>
          <w:szCs w:val="32"/>
        </w:rPr>
        <w:t>8</w:t>
      </w:r>
      <w:r>
        <w:rPr>
          <w:rFonts w:ascii="仿宋" w:eastAsia="仿宋" w:hAnsi="仿宋" w:cs="宋体" w:hint="eastAsia"/>
          <w:color w:val="000000"/>
          <w:kern w:val="0"/>
          <w:sz w:val="32"/>
          <w:szCs w:val="32"/>
        </w:rPr>
        <w:t>次，巡查≥</w:t>
      </w:r>
      <w:r>
        <w:rPr>
          <w:rFonts w:ascii="仿宋" w:eastAsia="仿宋" w:hAnsi="仿宋" w:cs="宋体" w:hint="eastAsia"/>
          <w:color w:val="000000"/>
          <w:kern w:val="0"/>
          <w:sz w:val="32"/>
          <w:szCs w:val="32"/>
        </w:rPr>
        <w:t>30</w:t>
      </w:r>
      <w:r>
        <w:rPr>
          <w:rFonts w:ascii="仿宋" w:eastAsia="仿宋" w:hAnsi="仿宋" w:cs="宋体" w:hint="eastAsia"/>
          <w:color w:val="000000"/>
          <w:kern w:val="0"/>
          <w:sz w:val="32"/>
          <w:szCs w:val="32"/>
        </w:rPr>
        <w:t>户。世界计量日宣传≥</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次</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3C</w:t>
      </w:r>
      <w:r>
        <w:rPr>
          <w:rFonts w:ascii="仿宋" w:eastAsia="仿宋" w:hAnsi="仿宋" w:cs="宋体" w:hint="eastAsia"/>
          <w:color w:val="000000"/>
          <w:kern w:val="0"/>
          <w:sz w:val="32"/>
          <w:szCs w:val="32"/>
        </w:rPr>
        <w:t>认证≥</w:t>
      </w: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户，标准上档升级≥</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户，品牌培育≥</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件，培育“广元市市长质量奖”≥</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家。</w:t>
      </w:r>
    </w:p>
    <w:p w:rsidR="000F0EA8" w:rsidRDefault="00885E0F">
      <w:pPr>
        <w:adjustRightInd w:val="0"/>
        <w:snapToGrid w:val="0"/>
        <w:spacing w:line="560" w:lineRule="exact"/>
        <w:ind w:firstLine="720"/>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申报内容与实际相符，申报目标合理可行。</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（三）项目自评步骤及方法</w:t>
      </w:r>
    </w:p>
    <w:p w:rsidR="000F0EA8" w:rsidRDefault="00885E0F">
      <w:pPr>
        <w:adjustRightInd w:val="0"/>
        <w:snapToGrid w:val="0"/>
        <w:spacing w:line="560" w:lineRule="exact"/>
        <w:ind w:firstLine="720"/>
        <w:rPr>
          <w:rFonts w:ascii="仿宋" w:eastAsia="仿宋" w:hAnsi="仿宋" w:cs="宋体"/>
          <w:color w:val="000000"/>
          <w:kern w:val="0"/>
          <w:sz w:val="32"/>
          <w:szCs w:val="32"/>
        </w:rPr>
      </w:pPr>
      <w:r>
        <w:rPr>
          <w:rFonts w:ascii="仿宋" w:eastAsia="仿宋" w:hAnsi="仿宋" w:cs="宋体" w:hint="eastAsia"/>
          <w:color w:val="000000"/>
          <w:kern w:val="0"/>
          <w:sz w:val="32"/>
          <w:szCs w:val="32"/>
        </w:rPr>
        <w:t>项目绩效自评采用的组织实施步骤及方法是：组织力量、制定自评采用的方式方法；收集资料，加以查证核实；审查分析；编写自评报告。</w:t>
      </w:r>
    </w:p>
    <w:p w:rsidR="000F0EA8" w:rsidRDefault="00885E0F">
      <w:pPr>
        <w:adjustRightInd w:val="0"/>
        <w:snapToGrid w:val="0"/>
        <w:spacing w:line="560" w:lineRule="exact"/>
        <w:ind w:firstLine="720"/>
        <w:rPr>
          <w:rFonts w:ascii="黑体" w:eastAsia="黑体" w:hAnsi="黑体"/>
          <w:sz w:val="32"/>
          <w:szCs w:val="32"/>
        </w:rPr>
      </w:pPr>
      <w:r>
        <w:rPr>
          <w:rFonts w:ascii="黑体" w:eastAsia="黑体" w:hAnsi="黑体" w:hint="eastAsia"/>
          <w:sz w:val="32"/>
          <w:szCs w:val="32"/>
        </w:rPr>
        <w:lastRenderedPageBreak/>
        <w:t>二、项目资金申报及使用情况</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（一）项目资金申报及批复情况</w:t>
      </w:r>
    </w:p>
    <w:p w:rsidR="000F0EA8" w:rsidRDefault="00885E0F">
      <w:pPr>
        <w:adjustRightInd w:val="0"/>
        <w:snapToGrid w:val="0"/>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项目资金申报是年初相关股室根据工作需要提交立项审核表，拟定项目资金预算申请数</w:t>
      </w:r>
      <w:r>
        <w:rPr>
          <w:rFonts w:ascii="仿宋" w:eastAsia="仿宋" w:hAnsi="仿宋" w:cs="宋体" w:hint="eastAsia"/>
          <w:color w:val="000000"/>
          <w:kern w:val="0"/>
          <w:sz w:val="32"/>
          <w:szCs w:val="32"/>
        </w:rPr>
        <w:t>21.6</w:t>
      </w:r>
      <w:r>
        <w:rPr>
          <w:rFonts w:ascii="仿宋" w:eastAsia="仿宋" w:hAnsi="仿宋" w:cs="宋体" w:hint="eastAsia"/>
          <w:color w:val="000000"/>
          <w:kern w:val="0"/>
          <w:sz w:val="32"/>
          <w:szCs w:val="32"/>
        </w:rPr>
        <w:t>万元，经财务股初审，报经分管领导审核，局长审批，再报市局审批，然后报市财政局，市财政局最</w:t>
      </w:r>
      <w:r>
        <w:rPr>
          <w:rFonts w:ascii="仿宋" w:eastAsia="仿宋" w:hAnsi="仿宋" w:cs="宋体" w:hint="eastAsia"/>
          <w:color w:val="000000"/>
          <w:kern w:val="0"/>
          <w:sz w:val="32"/>
          <w:szCs w:val="32"/>
        </w:rPr>
        <w:t>终批复为</w:t>
      </w:r>
      <w:r>
        <w:rPr>
          <w:rFonts w:ascii="仿宋" w:eastAsia="仿宋" w:hAnsi="仿宋" w:cs="宋体" w:hint="eastAsia"/>
          <w:color w:val="000000"/>
          <w:kern w:val="0"/>
          <w:sz w:val="32"/>
          <w:szCs w:val="32"/>
        </w:rPr>
        <w:t>21.6</w:t>
      </w:r>
      <w:r>
        <w:rPr>
          <w:rFonts w:ascii="仿宋" w:eastAsia="仿宋" w:hAnsi="仿宋" w:cs="宋体" w:hint="eastAsia"/>
          <w:color w:val="000000"/>
          <w:kern w:val="0"/>
          <w:sz w:val="32"/>
          <w:szCs w:val="32"/>
        </w:rPr>
        <w:t>万元。</w:t>
      </w:r>
    </w:p>
    <w:p w:rsidR="000F0EA8" w:rsidRDefault="00885E0F">
      <w:pPr>
        <w:adjustRightInd w:val="0"/>
        <w:snapToGrid w:val="0"/>
        <w:spacing w:line="560" w:lineRule="exact"/>
        <w:ind w:firstLine="720"/>
        <w:rPr>
          <w:rFonts w:ascii="楷体" w:eastAsia="楷体" w:hAnsi="楷体"/>
          <w:sz w:val="32"/>
          <w:szCs w:val="32"/>
          <w:lang w:val="zh-CN"/>
        </w:rPr>
      </w:pPr>
      <w:r>
        <w:rPr>
          <w:rFonts w:ascii="楷体" w:eastAsia="楷体" w:hAnsi="楷体" w:hint="eastAsia"/>
          <w:b/>
          <w:sz w:val="32"/>
          <w:szCs w:val="32"/>
          <w:lang w:val="zh-CN"/>
        </w:rPr>
        <w:t>（二）资金计划、到位及使用情况</w:t>
      </w:r>
    </w:p>
    <w:p w:rsidR="000F0EA8" w:rsidRDefault="00885E0F">
      <w:pPr>
        <w:adjustRightInd w:val="0"/>
        <w:snapToGrid w:val="0"/>
        <w:spacing w:line="560" w:lineRule="exact"/>
        <w:ind w:firstLine="720"/>
        <w:rPr>
          <w:rFonts w:ascii="仿宋" w:eastAsia="仿宋" w:hAnsi="仿宋" w:cs="宋体"/>
          <w:color w:val="000000"/>
          <w:kern w:val="0"/>
          <w:sz w:val="32"/>
          <w:szCs w:val="32"/>
        </w:rPr>
      </w:pPr>
      <w:r>
        <w:rPr>
          <w:rFonts w:ascii="仿宋" w:eastAsia="仿宋" w:hAnsi="仿宋" w:hint="eastAsia"/>
          <w:sz w:val="32"/>
          <w:szCs w:val="32"/>
          <w:lang w:val="zh-CN"/>
        </w:rPr>
        <w:t>1.</w:t>
      </w:r>
      <w:r>
        <w:rPr>
          <w:rFonts w:ascii="仿宋" w:eastAsia="仿宋" w:hAnsi="仿宋" w:hint="eastAsia"/>
          <w:sz w:val="32"/>
          <w:szCs w:val="32"/>
          <w:lang w:val="zh-CN"/>
        </w:rPr>
        <w:t>资金计划：</w:t>
      </w:r>
      <w:r>
        <w:rPr>
          <w:rFonts w:ascii="仿宋" w:eastAsia="仿宋" w:hAnsi="仿宋" w:cs="宋体" w:hint="eastAsia"/>
          <w:color w:val="000000"/>
          <w:kern w:val="0"/>
          <w:sz w:val="32"/>
          <w:szCs w:val="32"/>
        </w:rPr>
        <w:t>市场主体、食药械化、质监</w:t>
      </w:r>
      <w:proofErr w:type="gramStart"/>
      <w:r>
        <w:rPr>
          <w:rFonts w:ascii="仿宋" w:eastAsia="仿宋" w:hAnsi="仿宋" w:cs="宋体" w:hint="eastAsia"/>
          <w:color w:val="000000"/>
          <w:kern w:val="0"/>
          <w:sz w:val="32"/>
          <w:szCs w:val="32"/>
        </w:rPr>
        <w:t>专项等</w:t>
      </w:r>
      <w:proofErr w:type="gramEnd"/>
      <w:r>
        <w:rPr>
          <w:rFonts w:ascii="仿宋" w:eastAsia="仿宋" w:hAnsi="仿宋" w:cs="宋体" w:hint="eastAsia"/>
          <w:color w:val="000000"/>
          <w:kern w:val="0"/>
          <w:sz w:val="32"/>
          <w:szCs w:val="32"/>
        </w:rPr>
        <w:t>市场综合监管资金计划</w:t>
      </w:r>
      <w:r>
        <w:rPr>
          <w:rFonts w:ascii="仿宋" w:eastAsia="仿宋" w:hAnsi="仿宋" w:cs="宋体" w:hint="eastAsia"/>
          <w:color w:val="000000"/>
          <w:kern w:val="0"/>
          <w:sz w:val="32"/>
          <w:szCs w:val="32"/>
        </w:rPr>
        <w:t>21.6</w:t>
      </w:r>
      <w:r>
        <w:rPr>
          <w:rFonts w:ascii="仿宋" w:eastAsia="仿宋" w:hAnsi="仿宋" w:cs="宋体" w:hint="eastAsia"/>
          <w:color w:val="000000"/>
          <w:kern w:val="0"/>
          <w:sz w:val="32"/>
          <w:szCs w:val="32"/>
        </w:rPr>
        <w:t>万元，经费属于本级财政拨款收入。</w:t>
      </w:r>
    </w:p>
    <w:p w:rsidR="000F0EA8" w:rsidRDefault="00885E0F">
      <w:pPr>
        <w:pStyle w:val="21"/>
        <w:spacing w:after="0" w:line="560" w:lineRule="exact"/>
        <w:ind w:leftChars="0" w:left="0" w:firstLine="640"/>
        <w:rPr>
          <w:rFonts w:ascii="仿宋" w:eastAsia="仿宋" w:hAnsi="仿宋"/>
          <w:sz w:val="32"/>
          <w:szCs w:val="32"/>
          <w:lang w:val="zh-CN"/>
        </w:rPr>
      </w:pPr>
      <w:r>
        <w:rPr>
          <w:rFonts w:ascii="仿宋" w:eastAsia="仿宋" w:hAnsi="仿宋" w:hint="eastAsia"/>
          <w:sz w:val="32"/>
          <w:szCs w:val="32"/>
          <w:lang w:val="zh-CN"/>
        </w:rPr>
        <w:t>2.</w:t>
      </w:r>
      <w:r>
        <w:rPr>
          <w:rFonts w:ascii="仿宋" w:eastAsia="仿宋" w:hAnsi="仿宋" w:hint="eastAsia"/>
          <w:sz w:val="32"/>
          <w:szCs w:val="32"/>
          <w:lang w:val="zh-CN"/>
        </w:rPr>
        <w:t>资金到位：该项目资金截止评价时点实际到位资金</w:t>
      </w:r>
      <w:r>
        <w:rPr>
          <w:rFonts w:ascii="仿宋" w:eastAsia="仿宋" w:hAnsi="仿宋" w:hint="eastAsia"/>
          <w:sz w:val="32"/>
          <w:szCs w:val="32"/>
          <w:lang w:val="zh-CN"/>
        </w:rPr>
        <w:t>21.6</w:t>
      </w:r>
      <w:r>
        <w:rPr>
          <w:rFonts w:ascii="仿宋" w:eastAsia="仿宋" w:hAnsi="仿宋" w:hint="eastAsia"/>
          <w:sz w:val="32"/>
          <w:szCs w:val="32"/>
          <w:lang w:val="zh-CN"/>
        </w:rPr>
        <w:t>万元，资金到位及时，资金到位率</w:t>
      </w:r>
      <w:r>
        <w:rPr>
          <w:rFonts w:ascii="仿宋" w:eastAsia="仿宋" w:hAnsi="仿宋" w:hint="eastAsia"/>
          <w:sz w:val="32"/>
          <w:szCs w:val="32"/>
          <w:lang w:val="zh-CN"/>
        </w:rPr>
        <w:t>100%</w:t>
      </w:r>
      <w:r>
        <w:rPr>
          <w:rFonts w:ascii="仿宋" w:eastAsia="仿宋" w:hAnsi="仿宋" w:hint="eastAsia"/>
          <w:sz w:val="32"/>
          <w:szCs w:val="32"/>
          <w:lang w:val="zh-CN"/>
        </w:rPr>
        <w:t>。</w:t>
      </w:r>
    </w:p>
    <w:p w:rsidR="000F0EA8" w:rsidRDefault="00885E0F">
      <w:pPr>
        <w:pStyle w:val="21"/>
        <w:spacing w:after="0" w:line="560" w:lineRule="exact"/>
        <w:ind w:leftChars="0" w:left="0" w:firstLine="640"/>
        <w:rPr>
          <w:rFonts w:ascii="仿宋" w:eastAsia="仿宋" w:hAnsi="仿宋"/>
          <w:sz w:val="32"/>
          <w:szCs w:val="32"/>
          <w:lang w:val="zh-CN"/>
        </w:rPr>
      </w:pPr>
      <w:r>
        <w:rPr>
          <w:rFonts w:ascii="仿宋" w:eastAsia="仿宋" w:hAnsi="仿宋" w:hint="eastAsia"/>
          <w:sz w:val="32"/>
          <w:szCs w:val="32"/>
          <w:lang w:val="zh-CN"/>
        </w:rPr>
        <w:t>3.</w:t>
      </w:r>
      <w:r>
        <w:rPr>
          <w:rFonts w:ascii="仿宋" w:eastAsia="仿宋" w:hAnsi="仿宋" w:hint="eastAsia"/>
          <w:sz w:val="32"/>
          <w:szCs w:val="32"/>
          <w:lang w:val="zh-CN"/>
        </w:rPr>
        <w:t>资金使用：该项目资金截止评价时点实际支付</w:t>
      </w:r>
      <w:r>
        <w:rPr>
          <w:rFonts w:ascii="仿宋" w:eastAsia="仿宋" w:hAnsi="仿宋" w:hint="eastAsia"/>
          <w:sz w:val="32"/>
          <w:szCs w:val="32"/>
          <w:lang w:val="zh-CN"/>
        </w:rPr>
        <w:t>15</w:t>
      </w:r>
      <w:r>
        <w:rPr>
          <w:rFonts w:ascii="仿宋" w:eastAsia="仿宋" w:hAnsi="仿宋" w:hint="eastAsia"/>
          <w:sz w:val="32"/>
          <w:szCs w:val="32"/>
          <w:lang w:val="zh-CN"/>
        </w:rPr>
        <w:t>万元，资金使用率为</w:t>
      </w:r>
      <w:r>
        <w:rPr>
          <w:rFonts w:ascii="仿宋" w:eastAsia="仿宋" w:hAnsi="仿宋" w:hint="eastAsia"/>
          <w:sz w:val="32"/>
          <w:szCs w:val="32"/>
          <w:lang w:val="zh-CN"/>
        </w:rPr>
        <w:t>69.44%</w:t>
      </w:r>
      <w:r>
        <w:rPr>
          <w:rFonts w:ascii="仿宋" w:eastAsia="仿宋" w:hAnsi="仿宋" w:hint="eastAsia"/>
          <w:sz w:val="32"/>
          <w:szCs w:val="32"/>
          <w:lang w:val="zh-CN"/>
        </w:rPr>
        <w:t>。资金开支主要用于办公费、差旅费、培训费、印刷费、水电费、公务用车运行维护费及其他商品服务支出等方面。专项资金在使用上，严格按照专项经费补助使用范围，专款专用，支付依据合</w:t>
      </w:r>
      <w:proofErr w:type="gramStart"/>
      <w:r>
        <w:rPr>
          <w:rFonts w:ascii="仿宋" w:eastAsia="仿宋" w:hAnsi="仿宋" w:hint="eastAsia"/>
          <w:sz w:val="32"/>
          <w:szCs w:val="32"/>
          <w:lang w:val="zh-CN"/>
        </w:rPr>
        <w:t>规</w:t>
      </w:r>
      <w:proofErr w:type="gramEnd"/>
      <w:r>
        <w:rPr>
          <w:rFonts w:ascii="仿宋" w:eastAsia="仿宋" w:hAnsi="仿宋" w:hint="eastAsia"/>
          <w:sz w:val="32"/>
          <w:szCs w:val="32"/>
          <w:lang w:val="zh-CN"/>
        </w:rPr>
        <w:t>合</w:t>
      </w:r>
      <w:r>
        <w:rPr>
          <w:rFonts w:ascii="仿宋" w:eastAsia="仿宋" w:hAnsi="仿宋" w:hint="eastAsia"/>
          <w:sz w:val="32"/>
          <w:szCs w:val="32"/>
          <w:lang w:val="zh-CN"/>
        </w:rPr>
        <w:t>法，资金支付与预算相符。</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（三）项目财务管理情况</w:t>
      </w:r>
    </w:p>
    <w:p w:rsidR="000F0EA8" w:rsidRDefault="00885E0F">
      <w:pPr>
        <w:pStyle w:val="21"/>
        <w:spacing w:after="0" w:line="560" w:lineRule="exact"/>
        <w:ind w:leftChars="0" w:left="0" w:firstLine="640"/>
        <w:rPr>
          <w:rFonts w:ascii="仿宋" w:eastAsia="仿宋" w:hAnsi="仿宋"/>
          <w:sz w:val="32"/>
          <w:szCs w:val="32"/>
          <w:lang w:val="zh-CN"/>
        </w:rPr>
      </w:pPr>
      <w:r>
        <w:rPr>
          <w:rFonts w:ascii="仿宋" w:eastAsia="仿宋" w:hAnsi="仿宋" w:hint="eastAsia"/>
          <w:sz w:val="32"/>
          <w:szCs w:val="32"/>
          <w:lang w:val="zh-CN"/>
        </w:rPr>
        <w:t>根据财务管理制度和内部控制管理制度，专设财务股对专项资金进行管理、核算。在对专项资金的会计核算和账务处理中，严格按照支出功能分类科目和部门预算经济分类科目进行会计核算和账务处理，资金拨付严格按照财务程序，强化报销环节管理，按照先请示、后审批、再核查的程序进行专项资金的支付，建立重大事项集体议事决策机制，保证其专项资金的专款专用、使用安全，财务处理及时、会计核算规范，有效发挥了专项资金的有效性和效益最大化。</w:t>
      </w:r>
    </w:p>
    <w:p w:rsidR="000F0EA8" w:rsidRDefault="00885E0F">
      <w:pPr>
        <w:adjustRightInd w:val="0"/>
        <w:snapToGrid w:val="0"/>
        <w:spacing w:line="560" w:lineRule="exact"/>
        <w:ind w:firstLine="720"/>
        <w:rPr>
          <w:rFonts w:ascii="黑体" w:eastAsia="黑体" w:hAnsi="黑体"/>
          <w:sz w:val="32"/>
          <w:szCs w:val="32"/>
        </w:rPr>
      </w:pPr>
      <w:r>
        <w:rPr>
          <w:rFonts w:ascii="黑体" w:eastAsia="黑体" w:hAnsi="黑体" w:hint="eastAsia"/>
          <w:sz w:val="32"/>
          <w:szCs w:val="32"/>
        </w:rPr>
        <w:lastRenderedPageBreak/>
        <w:t>三、项目实施及管理情况</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（一）项目组织架构及实施流程</w:t>
      </w:r>
    </w:p>
    <w:p w:rsidR="000F0EA8" w:rsidRDefault="00885E0F">
      <w:pPr>
        <w:pStyle w:val="21"/>
        <w:spacing w:after="0" w:line="560" w:lineRule="exact"/>
        <w:ind w:leftChars="0" w:left="0" w:firstLine="640"/>
        <w:rPr>
          <w:rFonts w:ascii="仿宋" w:eastAsia="仿宋" w:hAnsi="仿宋"/>
          <w:sz w:val="32"/>
          <w:szCs w:val="32"/>
          <w:lang w:val="zh-CN"/>
        </w:rPr>
      </w:pPr>
      <w:r>
        <w:rPr>
          <w:rFonts w:ascii="仿宋" w:eastAsia="仿宋" w:hAnsi="仿宋" w:hint="eastAsia"/>
          <w:sz w:val="32"/>
          <w:szCs w:val="32"/>
          <w:lang w:val="zh-CN"/>
        </w:rPr>
        <w:t>2021</w:t>
      </w:r>
      <w:r>
        <w:rPr>
          <w:rFonts w:ascii="仿宋" w:eastAsia="仿宋" w:hAnsi="仿宋" w:hint="eastAsia"/>
          <w:sz w:val="32"/>
          <w:szCs w:val="32"/>
          <w:lang w:val="zh-CN"/>
        </w:rPr>
        <w:t>年市场综合监管专项项目由相关股室牵头，负责规划、组织、指导市场主体监管、食药械化、质量监管及疫情防控宣传等工作的实施。通过制定专项工作计划方案、确定工作目标、明确组织实施措施和策略，有效地指导工作的正常有序开展。</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（二）项目管理情况</w:t>
      </w:r>
    </w:p>
    <w:p w:rsidR="000F0EA8" w:rsidRDefault="00885E0F">
      <w:pPr>
        <w:adjustRightInd w:val="0"/>
        <w:snapToGrid w:val="0"/>
        <w:spacing w:line="560" w:lineRule="exact"/>
        <w:ind w:firstLine="720"/>
        <w:rPr>
          <w:rFonts w:ascii="仿宋" w:eastAsia="仿宋" w:hAnsi="仿宋"/>
          <w:sz w:val="32"/>
          <w:szCs w:val="32"/>
          <w:lang w:val="zh-CN"/>
        </w:rPr>
      </w:pPr>
      <w:r>
        <w:rPr>
          <w:rFonts w:ascii="仿宋" w:eastAsia="仿宋" w:hAnsi="仿宋" w:hint="eastAsia"/>
          <w:sz w:val="32"/>
          <w:szCs w:val="32"/>
          <w:lang w:val="zh-CN"/>
        </w:rPr>
        <w:t>市场综合监管专项项目的管理程序、项目公示等严格按照相关法律法规及项目管理制度执行，项目无调整，无变更。</w:t>
      </w:r>
    </w:p>
    <w:p w:rsidR="000F0EA8" w:rsidRDefault="00885E0F" w:rsidP="000F0EA8">
      <w:pPr>
        <w:adjustRightInd w:val="0"/>
        <w:snapToGrid w:val="0"/>
        <w:spacing w:line="560" w:lineRule="exact"/>
        <w:ind w:firstLineChars="200" w:firstLine="640"/>
        <w:rPr>
          <w:rFonts w:ascii="楷体" w:eastAsia="楷体" w:hAnsi="楷体"/>
          <w:b/>
          <w:sz w:val="32"/>
          <w:szCs w:val="32"/>
          <w:lang w:val="zh-CN"/>
        </w:rPr>
      </w:pPr>
      <w:r>
        <w:rPr>
          <w:rFonts w:ascii="楷体" w:eastAsia="楷体" w:hAnsi="楷体" w:hint="eastAsia"/>
          <w:b/>
          <w:sz w:val="32"/>
          <w:szCs w:val="32"/>
          <w:lang w:val="zh-CN"/>
        </w:rPr>
        <w:t>（三）项目监管情况</w:t>
      </w:r>
    </w:p>
    <w:p w:rsidR="000F0EA8" w:rsidRDefault="00885E0F">
      <w:pPr>
        <w:adjustRightInd w:val="0"/>
        <w:snapToGrid w:val="0"/>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市市场监督管理局负责项目任务完成及资金使用情况的监督与考核。</w:t>
      </w:r>
    </w:p>
    <w:p w:rsidR="000F0EA8" w:rsidRDefault="00885E0F">
      <w:pPr>
        <w:adjustRightInd w:val="0"/>
        <w:snapToGrid w:val="0"/>
        <w:spacing w:line="560" w:lineRule="exact"/>
        <w:ind w:firstLine="720"/>
        <w:rPr>
          <w:rFonts w:ascii="黑体" w:eastAsia="黑体" w:hAnsi="黑体"/>
          <w:sz w:val="32"/>
          <w:szCs w:val="32"/>
          <w:lang w:val="zh-CN"/>
        </w:rPr>
      </w:pPr>
      <w:r>
        <w:rPr>
          <w:rFonts w:ascii="黑体" w:eastAsia="黑体" w:hAnsi="黑体" w:hint="eastAsia"/>
          <w:sz w:val="32"/>
          <w:szCs w:val="32"/>
        </w:rPr>
        <w:t>四、项目绩效情况</w:t>
      </w:r>
      <w:r>
        <w:rPr>
          <w:rFonts w:ascii="黑体" w:eastAsia="黑体" w:hAnsi="黑体" w:hint="eastAsia"/>
          <w:sz w:val="32"/>
          <w:szCs w:val="32"/>
          <w:lang w:val="zh-CN"/>
        </w:rPr>
        <w:tab/>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（一）项目完成情况</w:t>
      </w:r>
    </w:p>
    <w:p w:rsidR="000F0EA8" w:rsidRDefault="00885E0F">
      <w:pPr>
        <w:adjustRightInd w:val="0"/>
        <w:snapToGrid w:val="0"/>
        <w:spacing w:line="560" w:lineRule="exact"/>
        <w:ind w:firstLine="720"/>
        <w:rPr>
          <w:rFonts w:ascii="仿宋" w:eastAsia="仿宋" w:hAnsi="仿宋"/>
          <w:sz w:val="32"/>
          <w:szCs w:val="32"/>
        </w:rPr>
      </w:pPr>
      <w:r>
        <w:rPr>
          <w:rFonts w:ascii="仿宋" w:eastAsia="仿宋" w:hAnsi="仿宋" w:hint="eastAsia"/>
          <w:sz w:val="32"/>
          <w:szCs w:val="32"/>
          <w:lang w:val="zh-CN"/>
        </w:rPr>
        <w:t>2021</w:t>
      </w:r>
      <w:r>
        <w:rPr>
          <w:rFonts w:ascii="仿宋" w:eastAsia="仿宋" w:hAnsi="仿宋" w:hint="eastAsia"/>
          <w:sz w:val="32"/>
          <w:szCs w:val="32"/>
          <w:lang w:val="zh-CN"/>
        </w:rPr>
        <w:t>年，</w:t>
      </w:r>
      <w:r>
        <w:rPr>
          <w:rFonts w:ascii="仿宋" w:eastAsia="仿宋" w:hAnsi="仿宋" w:hint="eastAsia"/>
          <w:sz w:val="32"/>
          <w:szCs w:val="32"/>
        </w:rPr>
        <w:t>市场综合监管专项项目当年预算安排经费</w:t>
      </w:r>
      <w:r>
        <w:rPr>
          <w:rFonts w:ascii="仿宋" w:eastAsia="仿宋" w:hAnsi="仿宋" w:hint="eastAsia"/>
          <w:sz w:val="32"/>
          <w:szCs w:val="32"/>
        </w:rPr>
        <w:t>21.6</w:t>
      </w:r>
      <w:r>
        <w:rPr>
          <w:rFonts w:ascii="仿宋" w:eastAsia="仿宋" w:hAnsi="仿宋" w:hint="eastAsia"/>
          <w:sz w:val="32"/>
          <w:szCs w:val="32"/>
        </w:rPr>
        <w:t>万元，截止评价时点使用</w:t>
      </w:r>
      <w:r>
        <w:rPr>
          <w:rFonts w:ascii="仿宋" w:eastAsia="仿宋" w:hAnsi="仿宋" w:hint="eastAsia"/>
          <w:sz w:val="32"/>
          <w:szCs w:val="32"/>
        </w:rPr>
        <w:t>15</w:t>
      </w:r>
      <w:r>
        <w:rPr>
          <w:rFonts w:ascii="仿宋" w:eastAsia="仿宋" w:hAnsi="仿宋" w:hint="eastAsia"/>
          <w:sz w:val="32"/>
          <w:szCs w:val="32"/>
        </w:rPr>
        <w:t>万元，项目资金结转</w:t>
      </w:r>
      <w:r>
        <w:rPr>
          <w:rFonts w:ascii="仿宋" w:eastAsia="仿宋" w:hAnsi="仿宋" w:hint="eastAsia"/>
          <w:sz w:val="32"/>
          <w:szCs w:val="32"/>
        </w:rPr>
        <w:t>6.6</w:t>
      </w:r>
      <w:r>
        <w:rPr>
          <w:rFonts w:ascii="仿宋" w:eastAsia="仿宋" w:hAnsi="仿宋" w:hint="eastAsia"/>
          <w:sz w:val="32"/>
          <w:szCs w:val="32"/>
        </w:rPr>
        <w:t>万元。</w:t>
      </w:r>
    </w:p>
    <w:p w:rsidR="000F0EA8" w:rsidRDefault="00885E0F">
      <w:pPr>
        <w:adjustRightInd w:val="0"/>
        <w:snapToGrid w:val="0"/>
        <w:spacing w:line="560" w:lineRule="exact"/>
        <w:ind w:firstLine="720"/>
        <w:rPr>
          <w:rFonts w:ascii="仿宋" w:eastAsia="仿宋" w:hAnsi="仿宋"/>
          <w:sz w:val="32"/>
          <w:szCs w:val="32"/>
          <w:lang w:val="zh-CN"/>
        </w:rPr>
      </w:pPr>
      <w:r>
        <w:rPr>
          <w:rFonts w:ascii="仿宋" w:eastAsia="仿宋" w:hAnsi="仿宋" w:hint="eastAsia"/>
          <w:sz w:val="32"/>
          <w:szCs w:val="32"/>
        </w:rPr>
        <w:t>一是市场主体监管工作。</w:t>
      </w:r>
      <w:r>
        <w:rPr>
          <w:rFonts w:ascii="仿宋" w:eastAsia="仿宋" w:hAnsi="仿宋" w:hint="eastAsia"/>
          <w:sz w:val="32"/>
          <w:szCs w:val="32"/>
          <w:lang w:val="zh-CN"/>
        </w:rPr>
        <w:t>新登记注册各类市场主体</w:t>
      </w:r>
      <w:r>
        <w:rPr>
          <w:rFonts w:ascii="仿宋" w:eastAsia="仿宋" w:hAnsi="仿宋" w:hint="eastAsia"/>
          <w:sz w:val="32"/>
          <w:szCs w:val="32"/>
          <w:lang w:val="zh-CN"/>
        </w:rPr>
        <w:t>720</w:t>
      </w:r>
      <w:r>
        <w:rPr>
          <w:rFonts w:ascii="仿宋" w:eastAsia="仿宋" w:hAnsi="仿宋" w:hint="eastAsia"/>
          <w:sz w:val="32"/>
          <w:szCs w:val="32"/>
          <w:lang w:val="zh-CN"/>
        </w:rPr>
        <w:t>户，完成市场主体年报公示、信用监管</w:t>
      </w:r>
      <w:r>
        <w:rPr>
          <w:rFonts w:ascii="仿宋" w:eastAsia="仿宋" w:hAnsi="仿宋" w:hint="eastAsia"/>
          <w:sz w:val="32"/>
          <w:szCs w:val="32"/>
          <w:lang w:val="zh-CN"/>
        </w:rPr>
        <w:t>3652</w:t>
      </w:r>
      <w:r>
        <w:rPr>
          <w:rFonts w:ascii="仿宋" w:eastAsia="仿宋" w:hAnsi="仿宋" w:hint="eastAsia"/>
          <w:sz w:val="32"/>
          <w:szCs w:val="32"/>
          <w:lang w:val="zh-CN"/>
        </w:rPr>
        <w:t>户，</w:t>
      </w:r>
      <w:proofErr w:type="gramStart"/>
      <w:r>
        <w:rPr>
          <w:rFonts w:ascii="仿宋" w:eastAsia="仿宋" w:hAnsi="仿宋" w:hint="eastAsia"/>
          <w:sz w:val="32"/>
          <w:szCs w:val="32"/>
          <w:lang w:val="zh-CN"/>
        </w:rPr>
        <w:t>新建非</w:t>
      </w:r>
      <w:proofErr w:type="gramEnd"/>
      <w:r>
        <w:rPr>
          <w:rFonts w:ascii="仿宋" w:eastAsia="仿宋" w:hAnsi="仿宋" w:hint="eastAsia"/>
          <w:sz w:val="32"/>
          <w:szCs w:val="32"/>
          <w:lang w:val="zh-CN"/>
        </w:rPr>
        <w:t>公党支部</w:t>
      </w:r>
      <w:r>
        <w:rPr>
          <w:rFonts w:ascii="仿宋" w:eastAsia="仿宋" w:hAnsi="仿宋" w:hint="eastAsia"/>
          <w:sz w:val="32"/>
          <w:szCs w:val="32"/>
          <w:lang w:val="zh-CN"/>
        </w:rPr>
        <w:t>10</w:t>
      </w:r>
      <w:r>
        <w:rPr>
          <w:rFonts w:ascii="仿宋" w:eastAsia="仿宋" w:hAnsi="仿宋" w:hint="eastAsia"/>
          <w:sz w:val="32"/>
          <w:szCs w:val="32"/>
          <w:lang w:val="zh-CN"/>
        </w:rPr>
        <w:t>个，开展培训</w:t>
      </w:r>
      <w:r>
        <w:rPr>
          <w:rFonts w:ascii="仿宋" w:eastAsia="仿宋" w:hAnsi="仿宋" w:hint="eastAsia"/>
          <w:sz w:val="32"/>
          <w:szCs w:val="32"/>
          <w:lang w:val="zh-CN"/>
        </w:rPr>
        <w:t>1</w:t>
      </w:r>
      <w:r>
        <w:rPr>
          <w:rFonts w:ascii="仿宋" w:eastAsia="仿宋" w:hAnsi="仿宋" w:hint="eastAsia"/>
          <w:sz w:val="32"/>
          <w:szCs w:val="32"/>
          <w:lang w:val="zh-CN"/>
        </w:rPr>
        <w:t>次，开展安全执法检查</w:t>
      </w:r>
      <w:r>
        <w:rPr>
          <w:rFonts w:ascii="仿宋" w:eastAsia="仿宋" w:hAnsi="仿宋" w:hint="eastAsia"/>
          <w:sz w:val="32"/>
          <w:szCs w:val="32"/>
          <w:lang w:val="zh-CN"/>
        </w:rPr>
        <w:t>40</w:t>
      </w:r>
      <w:r>
        <w:rPr>
          <w:rFonts w:ascii="仿宋" w:eastAsia="仿宋" w:hAnsi="仿宋" w:hint="eastAsia"/>
          <w:sz w:val="32"/>
          <w:szCs w:val="32"/>
          <w:lang w:val="zh-CN"/>
        </w:rPr>
        <w:t>家次。年报公示率达</w:t>
      </w:r>
      <w:r>
        <w:rPr>
          <w:rFonts w:ascii="仿宋" w:eastAsia="仿宋" w:hAnsi="仿宋" w:hint="eastAsia"/>
          <w:sz w:val="32"/>
          <w:szCs w:val="32"/>
          <w:lang w:val="zh-CN"/>
        </w:rPr>
        <w:t>75%</w:t>
      </w:r>
      <w:r>
        <w:rPr>
          <w:rFonts w:ascii="仿宋" w:eastAsia="仿宋" w:hAnsi="仿宋" w:hint="eastAsia"/>
          <w:sz w:val="32"/>
          <w:szCs w:val="32"/>
          <w:lang w:val="zh-CN"/>
        </w:rPr>
        <w:t>，对符合失信条件的惩戒率达</w:t>
      </w:r>
      <w:r>
        <w:rPr>
          <w:rFonts w:ascii="仿宋" w:eastAsia="仿宋" w:hAnsi="仿宋" w:hint="eastAsia"/>
          <w:sz w:val="32"/>
          <w:szCs w:val="32"/>
          <w:lang w:val="zh-CN"/>
        </w:rPr>
        <w:t>100%</w:t>
      </w:r>
      <w:r>
        <w:rPr>
          <w:rFonts w:ascii="仿宋" w:eastAsia="仿宋" w:hAnsi="仿宋" w:hint="eastAsia"/>
          <w:sz w:val="32"/>
          <w:szCs w:val="32"/>
          <w:lang w:val="zh-CN"/>
        </w:rPr>
        <w:t>，新登记注册各类市场主体完成率达</w:t>
      </w:r>
      <w:r>
        <w:rPr>
          <w:rFonts w:ascii="仿宋" w:eastAsia="仿宋" w:hAnsi="仿宋" w:hint="eastAsia"/>
          <w:sz w:val="32"/>
          <w:szCs w:val="32"/>
          <w:lang w:val="zh-CN"/>
        </w:rPr>
        <w:t>100%</w:t>
      </w:r>
      <w:r>
        <w:rPr>
          <w:rFonts w:ascii="仿宋" w:eastAsia="仿宋" w:hAnsi="仿宋" w:hint="eastAsia"/>
          <w:sz w:val="32"/>
          <w:szCs w:val="32"/>
          <w:lang w:val="zh-CN"/>
        </w:rPr>
        <w:t>，</w:t>
      </w:r>
      <w:proofErr w:type="gramStart"/>
      <w:r>
        <w:rPr>
          <w:rFonts w:ascii="仿宋" w:eastAsia="仿宋" w:hAnsi="仿宋" w:hint="eastAsia"/>
          <w:sz w:val="32"/>
          <w:szCs w:val="32"/>
          <w:lang w:val="zh-CN"/>
        </w:rPr>
        <w:t>新建非</w:t>
      </w:r>
      <w:proofErr w:type="gramEnd"/>
      <w:r>
        <w:rPr>
          <w:rFonts w:ascii="仿宋" w:eastAsia="仿宋" w:hAnsi="仿宋" w:hint="eastAsia"/>
          <w:sz w:val="32"/>
          <w:szCs w:val="32"/>
          <w:lang w:val="zh-CN"/>
        </w:rPr>
        <w:t>公党支部完成率达</w:t>
      </w:r>
      <w:r>
        <w:rPr>
          <w:rFonts w:ascii="仿宋" w:eastAsia="仿宋" w:hAnsi="仿宋" w:hint="eastAsia"/>
          <w:sz w:val="32"/>
          <w:szCs w:val="32"/>
          <w:lang w:val="zh-CN"/>
        </w:rPr>
        <w:t>100%</w:t>
      </w:r>
      <w:r>
        <w:rPr>
          <w:rFonts w:ascii="仿宋" w:eastAsia="仿宋" w:hAnsi="仿宋" w:hint="eastAsia"/>
          <w:sz w:val="32"/>
          <w:szCs w:val="32"/>
          <w:lang w:val="zh-CN"/>
        </w:rPr>
        <w:t>，“双随机、</w:t>
      </w:r>
      <w:proofErr w:type="gramStart"/>
      <w:r>
        <w:rPr>
          <w:rFonts w:ascii="仿宋" w:eastAsia="仿宋" w:hAnsi="仿宋" w:hint="eastAsia"/>
          <w:sz w:val="32"/>
          <w:szCs w:val="32"/>
          <w:lang w:val="zh-CN"/>
        </w:rPr>
        <w:t>一</w:t>
      </w:r>
      <w:proofErr w:type="gramEnd"/>
      <w:r>
        <w:rPr>
          <w:rFonts w:ascii="仿宋" w:eastAsia="仿宋" w:hAnsi="仿宋" w:hint="eastAsia"/>
          <w:sz w:val="32"/>
          <w:szCs w:val="32"/>
          <w:lang w:val="zh-CN"/>
        </w:rPr>
        <w:t>公开”检查抽查率达</w:t>
      </w:r>
      <w:r>
        <w:rPr>
          <w:rFonts w:ascii="仿宋" w:eastAsia="仿宋" w:hAnsi="仿宋" w:hint="eastAsia"/>
          <w:sz w:val="32"/>
          <w:szCs w:val="32"/>
          <w:lang w:val="zh-CN"/>
        </w:rPr>
        <w:t>3%</w:t>
      </w:r>
      <w:r>
        <w:rPr>
          <w:rFonts w:ascii="仿宋" w:eastAsia="仿宋" w:hAnsi="仿宋" w:hint="eastAsia"/>
          <w:sz w:val="32"/>
          <w:szCs w:val="32"/>
          <w:lang w:val="zh-CN"/>
        </w:rPr>
        <w:t>。企业负责人和安全管理人员培训完成率达</w:t>
      </w:r>
      <w:r>
        <w:rPr>
          <w:rFonts w:ascii="仿宋" w:eastAsia="仿宋" w:hAnsi="仿宋" w:hint="eastAsia"/>
          <w:sz w:val="32"/>
          <w:szCs w:val="32"/>
          <w:lang w:val="zh-CN"/>
        </w:rPr>
        <w:t>100%</w:t>
      </w:r>
      <w:r>
        <w:rPr>
          <w:rFonts w:ascii="仿宋" w:eastAsia="仿宋" w:hAnsi="仿宋" w:hint="eastAsia"/>
          <w:sz w:val="32"/>
          <w:szCs w:val="32"/>
          <w:lang w:val="zh-CN"/>
        </w:rPr>
        <w:t>，开展安全执法检查覆盖率</w:t>
      </w:r>
      <w:r>
        <w:rPr>
          <w:rFonts w:ascii="仿宋" w:eastAsia="仿宋" w:hAnsi="仿宋" w:hint="eastAsia"/>
          <w:sz w:val="32"/>
          <w:szCs w:val="32"/>
          <w:lang w:val="zh-CN"/>
        </w:rPr>
        <w:t>100%</w:t>
      </w:r>
      <w:r>
        <w:rPr>
          <w:rFonts w:ascii="仿宋" w:eastAsia="仿宋" w:hAnsi="仿宋" w:hint="eastAsia"/>
          <w:sz w:val="32"/>
          <w:szCs w:val="32"/>
          <w:lang w:val="zh-CN"/>
        </w:rPr>
        <w:t>。</w:t>
      </w:r>
    </w:p>
    <w:p w:rsidR="000F0EA8" w:rsidRDefault="00885E0F">
      <w:pPr>
        <w:adjustRightInd w:val="0"/>
        <w:snapToGrid w:val="0"/>
        <w:spacing w:line="560" w:lineRule="exact"/>
        <w:ind w:firstLine="720"/>
        <w:rPr>
          <w:rFonts w:ascii="仿宋" w:eastAsia="仿宋" w:hAnsi="仿宋"/>
          <w:sz w:val="32"/>
          <w:szCs w:val="32"/>
          <w:lang w:val="zh-CN"/>
        </w:rPr>
      </w:pPr>
      <w:r>
        <w:rPr>
          <w:rFonts w:ascii="仿宋" w:eastAsia="仿宋" w:hAnsi="仿宋" w:hint="eastAsia"/>
          <w:sz w:val="32"/>
          <w:szCs w:val="32"/>
          <w:lang w:val="zh-CN"/>
        </w:rPr>
        <w:t>二是食药械</w:t>
      </w:r>
      <w:r>
        <w:rPr>
          <w:rFonts w:ascii="仿宋" w:eastAsia="仿宋" w:hAnsi="仿宋" w:hint="eastAsia"/>
          <w:sz w:val="32"/>
          <w:szCs w:val="32"/>
          <w:lang w:val="zh-CN"/>
        </w:rPr>
        <w:t>化监管工作。开展食药械</w:t>
      </w:r>
      <w:proofErr w:type="gramStart"/>
      <w:r>
        <w:rPr>
          <w:rFonts w:ascii="仿宋" w:eastAsia="仿宋" w:hAnsi="仿宋" w:hint="eastAsia"/>
          <w:sz w:val="32"/>
          <w:szCs w:val="32"/>
          <w:lang w:val="zh-CN"/>
        </w:rPr>
        <w:t>化法律</w:t>
      </w:r>
      <w:proofErr w:type="gramEnd"/>
      <w:r>
        <w:rPr>
          <w:rFonts w:ascii="仿宋" w:eastAsia="仿宋" w:hAnsi="仿宋" w:hint="eastAsia"/>
          <w:sz w:val="32"/>
          <w:szCs w:val="32"/>
          <w:lang w:val="zh-CN"/>
        </w:rPr>
        <w:t>法规宣传各</w:t>
      </w:r>
      <w:r>
        <w:rPr>
          <w:rFonts w:ascii="仿宋" w:eastAsia="仿宋" w:hAnsi="仿宋" w:hint="eastAsia"/>
          <w:sz w:val="32"/>
          <w:szCs w:val="32"/>
          <w:lang w:val="zh-CN"/>
        </w:rPr>
        <w:t>4</w:t>
      </w:r>
      <w:r>
        <w:rPr>
          <w:rFonts w:ascii="仿宋" w:eastAsia="仿宋" w:hAnsi="仿宋" w:hint="eastAsia"/>
          <w:sz w:val="32"/>
          <w:szCs w:val="32"/>
          <w:lang w:val="zh-CN"/>
        </w:rPr>
        <w:t>次，完成食药械</w:t>
      </w:r>
      <w:proofErr w:type="gramStart"/>
      <w:r>
        <w:rPr>
          <w:rFonts w:ascii="仿宋" w:eastAsia="仿宋" w:hAnsi="仿宋" w:hint="eastAsia"/>
          <w:sz w:val="32"/>
          <w:szCs w:val="32"/>
          <w:lang w:val="zh-CN"/>
        </w:rPr>
        <w:t>化质量管控培训</w:t>
      </w:r>
      <w:proofErr w:type="gramEnd"/>
      <w:r>
        <w:rPr>
          <w:rFonts w:ascii="仿宋" w:eastAsia="仿宋" w:hAnsi="仿宋" w:hint="eastAsia"/>
          <w:sz w:val="32"/>
          <w:szCs w:val="32"/>
          <w:lang w:val="zh-CN"/>
        </w:rPr>
        <w:t>40</w:t>
      </w:r>
      <w:r>
        <w:rPr>
          <w:rFonts w:ascii="仿宋" w:eastAsia="仿宋" w:hAnsi="仿宋" w:hint="eastAsia"/>
          <w:sz w:val="32"/>
          <w:szCs w:val="32"/>
          <w:lang w:val="zh-CN"/>
        </w:rPr>
        <w:t>学时，进行抽检</w:t>
      </w:r>
      <w:r>
        <w:rPr>
          <w:rFonts w:ascii="仿宋" w:eastAsia="仿宋" w:hAnsi="仿宋" w:hint="eastAsia"/>
          <w:sz w:val="32"/>
          <w:szCs w:val="32"/>
          <w:lang w:val="zh-CN"/>
        </w:rPr>
        <w:t>100</w:t>
      </w:r>
      <w:r>
        <w:rPr>
          <w:rFonts w:ascii="仿宋" w:eastAsia="仿宋" w:hAnsi="仿宋" w:hint="eastAsia"/>
          <w:sz w:val="32"/>
          <w:szCs w:val="32"/>
          <w:lang w:val="zh-CN"/>
        </w:rPr>
        <w:t>批次，完成各</w:t>
      </w:r>
      <w:r>
        <w:rPr>
          <w:rFonts w:ascii="仿宋" w:eastAsia="仿宋" w:hAnsi="仿宋" w:hint="eastAsia"/>
          <w:sz w:val="32"/>
          <w:szCs w:val="32"/>
          <w:lang w:val="zh-CN"/>
        </w:rPr>
        <w:lastRenderedPageBreak/>
        <w:t>类产品专项整治</w:t>
      </w:r>
      <w:r>
        <w:rPr>
          <w:rFonts w:ascii="仿宋" w:eastAsia="仿宋" w:hAnsi="仿宋" w:hint="eastAsia"/>
          <w:sz w:val="32"/>
          <w:szCs w:val="32"/>
          <w:lang w:val="zh-CN"/>
        </w:rPr>
        <w:t>16</w:t>
      </w:r>
      <w:r>
        <w:rPr>
          <w:rFonts w:ascii="仿宋" w:eastAsia="仿宋" w:hAnsi="仿宋" w:hint="eastAsia"/>
          <w:sz w:val="32"/>
          <w:szCs w:val="32"/>
          <w:lang w:val="zh-CN"/>
        </w:rPr>
        <w:t>次。食品、食用农产品质量监管合格率达</w:t>
      </w:r>
      <w:r>
        <w:rPr>
          <w:rFonts w:ascii="仿宋" w:eastAsia="仿宋" w:hAnsi="仿宋" w:hint="eastAsia"/>
          <w:sz w:val="32"/>
          <w:szCs w:val="32"/>
          <w:lang w:val="zh-CN"/>
        </w:rPr>
        <w:t>100%</w:t>
      </w:r>
      <w:r>
        <w:rPr>
          <w:rFonts w:ascii="仿宋" w:eastAsia="仿宋" w:hAnsi="仿宋" w:hint="eastAsia"/>
          <w:sz w:val="32"/>
          <w:szCs w:val="32"/>
          <w:lang w:val="zh-CN"/>
        </w:rPr>
        <w:t>，抽检不合格食品核查处置率达</w:t>
      </w:r>
      <w:r>
        <w:rPr>
          <w:rFonts w:ascii="仿宋" w:eastAsia="仿宋" w:hAnsi="仿宋" w:hint="eastAsia"/>
          <w:sz w:val="32"/>
          <w:szCs w:val="32"/>
          <w:lang w:val="zh-CN"/>
        </w:rPr>
        <w:t>100%</w:t>
      </w:r>
      <w:r>
        <w:rPr>
          <w:rFonts w:ascii="仿宋" w:eastAsia="仿宋" w:hAnsi="仿宋" w:hint="eastAsia"/>
          <w:sz w:val="32"/>
          <w:szCs w:val="32"/>
          <w:lang w:val="zh-CN"/>
        </w:rPr>
        <w:t>，指导农贸市场，食品生产企业，超市，食品经营户疫情防控覆盖率达</w:t>
      </w:r>
      <w:r>
        <w:rPr>
          <w:rFonts w:ascii="仿宋" w:eastAsia="仿宋" w:hAnsi="仿宋" w:hint="eastAsia"/>
          <w:sz w:val="32"/>
          <w:szCs w:val="32"/>
          <w:lang w:val="zh-CN"/>
        </w:rPr>
        <w:t>100%</w:t>
      </w:r>
      <w:r>
        <w:rPr>
          <w:rFonts w:ascii="仿宋" w:eastAsia="仿宋" w:hAnsi="仿宋" w:hint="eastAsia"/>
          <w:sz w:val="32"/>
          <w:szCs w:val="32"/>
          <w:lang w:val="zh-CN"/>
        </w:rPr>
        <w:t>。</w:t>
      </w:r>
    </w:p>
    <w:p w:rsidR="000F0EA8" w:rsidRDefault="00885E0F">
      <w:pPr>
        <w:adjustRightInd w:val="0"/>
        <w:snapToGrid w:val="0"/>
        <w:spacing w:line="560" w:lineRule="exact"/>
        <w:ind w:firstLine="720"/>
        <w:rPr>
          <w:rFonts w:ascii="仿宋" w:eastAsia="仿宋" w:hAnsi="仿宋"/>
          <w:sz w:val="32"/>
          <w:szCs w:val="32"/>
          <w:lang w:val="zh-CN"/>
        </w:rPr>
      </w:pPr>
      <w:r>
        <w:rPr>
          <w:rFonts w:ascii="仿宋" w:eastAsia="仿宋" w:hAnsi="仿宋" w:hint="eastAsia"/>
          <w:sz w:val="32"/>
          <w:szCs w:val="32"/>
          <w:lang w:val="zh-CN"/>
        </w:rPr>
        <w:t>三是质监专项工作。按时完成特种设备安全培训，开展专项检查</w:t>
      </w:r>
      <w:r>
        <w:rPr>
          <w:rFonts w:ascii="仿宋" w:eastAsia="仿宋" w:hAnsi="仿宋" w:hint="eastAsia"/>
          <w:sz w:val="32"/>
          <w:szCs w:val="32"/>
          <w:lang w:val="zh-CN"/>
        </w:rPr>
        <w:t>9</w:t>
      </w:r>
      <w:r>
        <w:rPr>
          <w:rFonts w:ascii="仿宋" w:eastAsia="仿宋" w:hAnsi="仿宋" w:hint="eastAsia"/>
          <w:sz w:val="32"/>
          <w:szCs w:val="32"/>
          <w:lang w:val="zh-CN"/>
        </w:rPr>
        <w:t>次，特种设备安全巡查</w:t>
      </w:r>
      <w:r>
        <w:rPr>
          <w:rFonts w:ascii="仿宋" w:eastAsia="仿宋" w:hAnsi="仿宋" w:hint="eastAsia"/>
          <w:sz w:val="32"/>
          <w:szCs w:val="32"/>
          <w:lang w:val="zh-CN"/>
        </w:rPr>
        <w:t>38</w:t>
      </w:r>
      <w:r>
        <w:rPr>
          <w:rFonts w:ascii="仿宋" w:eastAsia="仿宋" w:hAnsi="仿宋" w:hint="eastAsia"/>
          <w:sz w:val="32"/>
          <w:szCs w:val="32"/>
          <w:lang w:val="zh-CN"/>
        </w:rPr>
        <w:t>家，开展“</w:t>
      </w:r>
      <w:r>
        <w:rPr>
          <w:rFonts w:ascii="仿宋" w:eastAsia="仿宋" w:hAnsi="仿宋" w:hint="eastAsia"/>
          <w:sz w:val="32"/>
          <w:szCs w:val="32"/>
          <w:lang w:val="zh-CN"/>
        </w:rPr>
        <w:t>3C</w:t>
      </w:r>
      <w:r>
        <w:rPr>
          <w:rFonts w:ascii="仿宋" w:eastAsia="仿宋" w:hAnsi="仿宋" w:hint="eastAsia"/>
          <w:sz w:val="32"/>
          <w:szCs w:val="32"/>
          <w:lang w:val="zh-CN"/>
        </w:rPr>
        <w:t>”认证专项检查</w:t>
      </w:r>
      <w:r>
        <w:rPr>
          <w:rFonts w:ascii="仿宋" w:eastAsia="仿宋" w:hAnsi="仿宋" w:hint="eastAsia"/>
          <w:sz w:val="32"/>
          <w:szCs w:val="32"/>
          <w:lang w:val="zh-CN"/>
        </w:rPr>
        <w:t>1</w:t>
      </w:r>
      <w:r>
        <w:rPr>
          <w:rFonts w:ascii="仿宋" w:eastAsia="仿宋" w:hAnsi="仿宋" w:hint="eastAsia"/>
          <w:sz w:val="32"/>
          <w:szCs w:val="32"/>
          <w:lang w:val="zh-CN"/>
        </w:rPr>
        <w:t>次，检查认证企业</w:t>
      </w:r>
      <w:r>
        <w:rPr>
          <w:rFonts w:ascii="仿宋" w:eastAsia="仿宋" w:hAnsi="仿宋" w:hint="eastAsia"/>
          <w:sz w:val="32"/>
          <w:szCs w:val="32"/>
          <w:lang w:val="zh-CN"/>
        </w:rPr>
        <w:t>6</w:t>
      </w:r>
      <w:r>
        <w:rPr>
          <w:rFonts w:ascii="仿宋" w:eastAsia="仿宋" w:hAnsi="仿宋" w:hint="eastAsia"/>
          <w:sz w:val="32"/>
          <w:szCs w:val="32"/>
          <w:lang w:val="zh-CN"/>
        </w:rPr>
        <w:t>家，“</w:t>
      </w:r>
      <w:r>
        <w:rPr>
          <w:rFonts w:ascii="仿宋" w:eastAsia="仿宋" w:hAnsi="仿宋" w:hint="eastAsia"/>
          <w:sz w:val="32"/>
          <w:szCs w:val="32"/>
          <w:lang w:val="zh-CN"/>
        </w:rPr>
        <w:t>5.20</w:t>
      </w:r>
      <w:r>
        <w:rPr>
          <w:rFonts w:ascii="仿宋" w:eastAsia="仿宋" w:hAnsi="仿宋" w:hint="eastAsia"/>
          <w:sz w:val="32"/>
          <w:szCs w:val="32"/>
          <w:lang w:val="zh-CN"/>
        </w:rPr>
        <w:t>”世界计量日宣传</w:t>
      </w:r>
      <w:r>
        <w:rPr>
          <w:rFonts w:ascii="仿宋" w:eastAsia="仿宋" w:hAnsi="仿宋" w:hint="eastAsia"/>
          <w:sz w:val="32"/>
          <w:szCs w:val="32"/>
          <w:lang w:val="zh-CN"/>
        </w:rPr>
        <w:t>1</w:t>
      </w:r>
      <w:r>
        <w:rPr>
          <w:rFonts w:ascii="仿宋" w:eastAsia="仿宋" w:hAnsi="仿宋" w:hint="eastAsia"/>
          <w:sz w:val="32"/>
          <w:szCs w:val="32"/>
          <w:lang w:val="zh-CN"/>
        </w:rPr>
        <w:t>次，品牌培育</w:t>
      </w:r>
      <w:r>
        <w:rPr>
          <w:rFonts w:ascii="仿宋" w:eastAsia="仿宋" w:hAnsi="仿宋" w:hint="eastAsia"/>
          <w:sz w:val="32"/>
          <w:szCs w:val="32"/>
          <w:lang w:val="zh-CN"/>
        </w:rPr>
        <w:t>2</w:t>
      </w:r>
      <w:r>
        <w:rPr>
          <w:rFonts w:ascii="仿宋" w:eastAsia="仿宋" w:hAnsi="仿宋" w:hint="eastAsia"/>
          <w:sz w:val="32"/>
          <w:szCs w:val="32"/>
          <w:lang w:val="zh-CN"/>
        </w:rPr>
        <w:t>家，培育“市长质量奖”</w:t>
      </w:r>
      <w:r>
        <w:rPr>
          <w:rFonts w:ascii="仿宋" w:eastAsia="仿宋" w:hAnsi="仿宋" w:hint="eastAsia"/>
          <w:sz w:val="32"/>
          <w:szCs w:val="32"/>
          <w:lang w:val="zh-CN"/>
        </w:rPr>
        <w:t>1</w:t>
      </w:r>
      <w:r>
        <w:rPr>
          <w:rFonts w:ascii="仿宋" w:eastAsia="仿宋" w:hAnsi="仿宋" w:hint="eastAsia"/>
          <w:sz w:val="32"/>
          <w:szCs w:val="32"/>
          <w:lang w:val="zh-CN"/>
        </w:rPr>
        <w:t>家。质量监管巡查率达</w:t>
      </w:r>
      <w:r>
        <w:rPr>
          <w:rFonts w:ascii="仿宋" w:eastAsia="仿宋" w:hAnsi="仿宋" w:hint="eastAsia"/>
          <w:sz w:val="32"/>
          <w:szCs w:val="32"/>
          <w:lang w:val="zh-CN"/>
        </w:rPr>
        <w:t>100%</w:t>
      </w:r>
      <w:r>
        <w:rPr>
          <w:rFonts w:ascii="仿宋" w:eastAsia="仿宋" w:hAnsi="仿宋" w:hint="eastAsia"/>
          <w:sz w:val="32"/>
          <w:szCs w:val="32"/>
          <w:lang w:val="zh-CN"/>
        </w:rPr>
        <w:t>，计量认</w:t>
      </w:r>
      <w:r>
        <w:rPr>
          <w:rFonts w:ascii="仿宋" w:eastAsia="仿宋" w:hAnsi="仿宋" w:hint="eastAsia"/>
          <w:sz w:val="32"/>
          <w:szCs w:val="32"/>
          <w:lang w:val="zh-CN"/>
        </w:rPr>
        <w:t>证认可检查率达</w:t>
      </w:r>
      <w:r>
        <w:rPr>
          <w:rFonts w:ascii="仿宋" w:eastAsia="仿宋" w:hAnsi="仿宋" w:hint="eastAsia"/>
          <w:sz w:val="32"/>
          <w:szCs w:val="32"/>
          <w:lang w:val="zh-CN"/>
        </w:rPr>
        <w:t>100%</w:t>
      </w:r>
      <w:r>
        <w:rPr>
          <w:rFonts w:ascii="仿宋" w:eastAsia="仿宋" w:hAnsi="仿宋" w:hint="eastAsia"/>
          <w:sz w:val="32"/>
          <w:szCs w:val="32"/>
          <w:lang w:val="zh-CN"/>
        </w:rPr>
        <w:t>，品牌培育完成率达</w:t>
      </w:r>
      <w:r>
        <w:rPr>
          <w:rFonts w:ascii="仿宋" w:eastAsia="仿宋" w:hAnsi="仿宋" w:hint="eastAsia"/>
          <w:sz w:val="32"/>
          <w:szCs w:val="32"/>
          <w:lang w:val="zh-CN"/>
        </w:rPr>
        <w:t>100%</w:t>
      </w:r>
      <w:r>
        <w:rPr>
          <w:rFonts w:ascii="仿宋" w:eastAsia="仿宋" w:hAnsi="仿宋" w:hint="eastAsia"/>
          <w:sz w:val="32"/>
          <w:szCs w:val="32"/>
          <w:lang w:val="zh-CN"/>
        </w:rPr>
        <w:t>，培育“市长质量奖”完成率达</w:t>
      </w:r>
      <w:r>
        <w:rPr>
          <w:rFonts w:ascii="仿宋" w:eastAsia="仿宋" w:hAnsi="仿宋" w:hint="eastAsia"/>
          <w:sz w:val="32"/>
          <w:szCs w:val="32"/>
          <w:lang w:val="zh-CN"/>
        </w:rPr>
        <w:t>100%</w:t>
      </w:r>
      <w:r>
        <w:rPr>
          <w:rFonts w:ascii="仿宋" w:eastAsia="仿宋" w:hAnsi="仿宋" w:hint="eastAsia"/>
          <w:sz w:val="32"/>
          <w:szCs w:val="32"/>
          <w:lang w:val="zh-CN"/>
        </w:rPr>
        <w:t>。</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（二）项目效益情况</w:t>
      </w:r>
    </w:p>
    <w:p w:rsidR="000F0EA8" w:rsidRDefault="00885E0F">
      <w:pPr>
        <w:pStyle w:val="a4"/>
        <w:spacing w:after="0" w:line="560" w:lineRule="exact"/>
        <w:ind w:leftChars="0" w:left="0" w:firstLineChars="200" w:firstLine="640"/>
        <w:jc w:val="left"/>
        <w:rPr>
          <w:rFonts w:ascii="仿宋" w:eastAsia="仿宋" w:hAnsi="仿宋"/>
          <w:sz w:val="32"/>
          <w:szCs w:val="32"/>
          <w:lang w:val="zh-CN"/>
        </w:rPr>
      </w:pPr>
      <w:r>
        <w:rPr>
          <w:rFonts w:ascii="仿宋" w:eastAsia="仿宋" w:hAnsi="仿宋" w:hint="eastAsia"/>
          <w:sz w:val="32"/>
          <w:szCs w:val="32"/>
          <w:lang w:val="zh-CN"/>
        </w:rPr>
        <w:t>1.</w:t>
      </w:r>
      <w:r>
        <w:rPr>
          <w:rFonts w:ascii="仿宋" w:eastAsia="仿宋" w:hAnsi="仿宋" w:hint="eastAsia"/>
          <w:sz w:val="32"/>
          <w:szCs w:val="32"/>
          <w:lang w:val="zh-CN"/>
        </w:rPr>
        <w:t>社会效益：</w:t>
      </w:r>
      <w:r>
        <w:rPr>
          <w:rFonts w:ascii="仿宋" w:eastAsia="仿宋" w:hAnsi="仿宋" w:hint="eastAsia"/>
          <w:sz w:val="32"/>
          <w:szCs w:val="32"/>
          <w:lang w:val="zh-CN"/>
        </w:rPr>
        <w:t>2021</w:t>
      </w:r>
      <w:r>
        <w:rPr>
          <w:rFonts w:ascii="仿宋" w:eastAsia="仿宋" w:hAnsi="仿宋" w:hint="eastAsia"/>
          <w:sz w:val="32"/>
          <w:szCs w:val="32"/>
          <w:lang w:val="zh-CN"/>
        </w:rPr>
        <w:t>年，通过市场综合监管专项项目的实施，营造了更加公平诚信的社会环境，更好地发挥了党支部在非公有制企业的引领作用，保证了人民生命财产健康安全。常态化疫情防控工作的开展，强化了冷链食品安全，增强了公众的自我保护意识。通过质量安全监督检查，提高了特种设备使用的安全水平，及时检查、排查隐患，保证区域内无重大事故发生。</w:t>
      </w:r>
    </w:p>
    <w:p w:rsidR="000F0EA8" w:rsidRDefault="00885E0F">
      <w:pPr>
        <w:pStyle w:val="a4"/>
        <w:spacing w:after="0" w:line="560" w:lineRule="exact"/>
        <w:ind w:leftChars="0" w:left="0" w:firstLineChars="200" w:firstLine="640"/>
        <w:jc w:val="left"/>
        <w:rPr>
          <w:rFonts w:ascii="仿宋" w:eastAsia="仿宋" w:hAnsi="仿宋"/>
          <w:sz w:val="32"/>
          <w:szCs w:val="32"/>
          <w:lang w:val="zh-CN"/>
        </w:rPr>
      </w:pPr>
      <w:r>
        <w:rPr>
          <w:rFonts w:ascii="仿宋" w:eastAsia="仿宋" w:hAnsi="仿宋" w:hint="eastAsia"/>
          <w:sz w:val="32"/>
          <w:szCs w:val="32"/>
          <w:lang w:val="zh-CN"/>
        </w:rPr>
        <w:t>2.</w:t>
      </w:r>
      <w:r>
        <w:rPr>
          <w:rFonts w:ascii="仿宋" w:eastAsia="仿宋" w:hAnsi="仿宋" w:hint="eastAsia"/>
          <w:sz w:val="32"/>
          <w:szCs w:val="32"/>
          <w:lang w:val="zh-CN"/>
        </w:rPr>
        <w:t>可持续影响：通过监督检查、风向监测等持续保障人民生命财产健康安全</w:t>
      </w:r>
      <w:r>
        <w:rPr>
          <w:rFonts w:ascii="仿宋" w:eastAsia="仿宋" w:hAnsi="仿宋" w:hint="eastAsia"/>
          <w:sz w:val="32"/>
          <w:szCs w:val="32"/>
          <w:lang w:val="zh-CN"/>
        </w:rPr>
        <w:t xml:space="preserve"> </w:t>
      </w:r>
      <w:r>
        <w:rPr>
          <w:rFonts w:ascii="仿宋" w:eastAsia="仿宋" w:hAnsi="仿宋" w:hint="eastAsia"/>
          <w:sz w:val="32"/>
          <w:szCs w:val="32"/>
          <w:lang w:val="zh-CN"/>
        </w:rPr>
        <w:t>。</w:t>
      </w:r>
    </w:p>
    <w:p w:rsidR="000F0EA8" w:rsidRDefault="00885E0F">
      <w:pPr>
        <w:adjustRightInd w:val="0"/>
        <w:snapToGrid w:val="0"/>
        <w:spacing w:line="560" w:lineRule="exact"/>
        <w:ind w:firstLine="720"/>
        <w:rPr>
          <w:rFonts w:ascii="仿宋" w:eastAsia="仿宋" w:hAnsi="仿宋"/>
          <w:sz w:val="32"/>
          <w:szCs w:val="32"/>
          <w:lang w:val="zh-CN"/>
        </w:rPr>
      </w:pPr>
      <w:r>
        <w:rPr>
          <w:rFonts w:ascii="仿宋" w:eastAsia="仿宋" w:hAnsi="仿宋" w:hint="eastAsia"/>
          <w:sz w:val="32"/>
          <w:szCs w:val="32"/>
          <w:lang w:val="zh-CN"/>
        </w:rPr>
        <w:t>3.</w:t>
      </w:r>
      <w:r>
        <w:rPr>
          <w:rFonts w:ascii="仿宋" w:eastAsia="仿宋" w:hAnsi="仿宋" w:hint="eastAsia"/>
          <w:sz w:val="32"/>
          <w:szCs w:val="32"/>
          <w:lang w:val="zh-CN"/>
        </w:rPr>
        <w:t>满意度：进一步优化了营商环境，坚守了安全底线，全力确保食品药品、特种设备、工业产品质量“三大”安全持续稳定，进一步强化了主体责任落实，切实保障民生实事，保障了消费者合法权益，人民群众满意度大幅攀升。</w:t>
      </w:r>
    </w:p>
    <w:p w:rsidR="000F0EA8" w:rsidRDefault="00885E0F">
      <w:pPr>
        <w:adjustRightInd w:val="0"/>
        <w:snapToGrid w:val="0"/>
        <w:spacing w:line="560" w:lineRule="exact"/>
        <w:ind w:firstLine="720"/>
        <w:rPr>
          <w:rFonts w:ascii="黑体" w:eastAsia="黑体" w:hAnsi="黑体"/>
          <w:sz w:val="32"/>
          <w:szCs w:val="32"/>
        </w:rPr>
      </w:pPr>
      <w:r>
        <w:rPr>
          <w:rFonts w:ascii="黑体" w:eastAsia="黑体" w:hAnsi="黑体" w:hint="eastAsia"/>
          <w:sz w:val="32"/>
          <w:szCs w:val="32"/>
        </w:rPr>
        <w:t>五、评价结论及建议</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（一）评价结论</w:t>
      </w:r>
    </w:p>
    <w:p w:rsidR="000F0EA8" w:rsidRDefault="00885E0F">
      <w:pPr>
        <w:spacing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年市场综合监管专项项目支出绩效总体评价为优，自评</w:t>
      </w:r>
      <w:r>
        <w:rPr>
          <w:rFonts w:ascii="仿宋" w:eastAsia="仿宋" w:hAnsi="仿宋" w:hint="eastAsia"/>
          <w:sz w:val="32"/>
          <w:szCs w:val="32"/>
        </w:rPr>
        <w:lastRenderedPageBreak/>
        <w:t>得分为</w:t>
      </w:r>
      <w:r>
        <w:rPr>
          <w:rFonts w:ascii="仿宋" w:eastAsia="仿宋" w:hAnsi="仿宋" w:hint="eastAsia"/>
          <w:sz w:val="32"/>
          <w:szCs w:val="32"/>
        </w:rPr>
        <w:t>96</w:t>
      </w:r>
      <w:r>
        <w:rPr>
          <w:rFonts w:ascii="仿宋" w:eastAsia="仿宋" w:hAnsi="仿宋" w:hint="eastAsia"/>
          <w:sz w:val="32"/>
          <w:szCs w:val="32"/>
        </w:rPr>
        <w:t>分</w:t>
      </w:r>
      <w:r>
        <w:rPr>
          <w:rFonts w:ascii="仿宋" w:eastAsia="仿宋" w:hAnsi="仿宋"/>
          <w:sz w:val="32"/>
          <w:szCs w:val="32"/>
        </w:rPr>
        <w:t>。</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（二）存在的问题</w:t>
      </w:r>
    </w:p>
    <w:p w:rsidR="000F0EA8" w:rsidRDefault="00885E0F">
      <w:pPr>
        <w:pStyle w:val="21"/>
        <w:spacing w:after="0" w:line="560" w:lineRule="exact"/>
        <w:ind w:leftChars="0" w:left="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对药品、医疗器械、特种设备等行业的监管是行政管理更是专业化的技术管理，分局作为基层单位，工作任务繁重、人员结构复杂、业务能力参差不齐，直接面对被监管企业时，若达不到专业水准，就难以履行该领域的专业工作。</w:t>
      </w:r>
    </w:p>
    <w:p w:rsidR="000F0EA8" w:rsidRDefault="00885E0F">
      <w:pPr>
        <w:spacing w:line="560" w:lineRule="exact"/>
        <w:ind w:firstLineChars="200" w:firstLine="640"/>
        <w:rPr>
          <w:rFonts w:ascii="仿宋" w:eastAsia="仿宋" w:hAnsi="仿宋"/>
          <w:sz w:val="32"/>
          <w:szCs w:val="32"/>
          <w:lang w:val="zh-CN"/>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预算编制不够科学、准确。作为基层单位财务人员，未接受过系统化培训，存在预算编</w:t>
      </w:r>
      <w:r>
        <w:rPr>
          <w:rFonts w:ascii="仿宋" w:eastAsia="仿宋" w:hAnsi="仿宋" w:hint="eastAsia"/>
          <w:sz w:val="32"/>
          <w:szCs w:val="32"/>
          <w:lang w:val="zh-CN"/>
        </w:rPr>
        <w:t>制、执行、绩效评价等方面能力不足的问题。</w:t>
      </w:r>
    </w:p>
    <w:p w:rsidR="000F0EA8" w:rsidRDefault="00885E0F">
      <w:pPr>
        <w:adjustRightInd w:val="0"/>
        <w:snapToGrid w:val="0"/>
        <w:spacing w:line="560" w:lineRule="exact"/>
        <w:ind w:firstLine="720"/>
        <w:rPr>
          <w:rFonts w:ascii="楷体" w:eastAsia="楷体" w:hAnsi="楷体"/>
          <w:b/>
          <w:sz w:val="32"/>
          <w:szCs w:val="32"/>
          <w:lang w:val="zh-CN"/>
        </w:rPr>
      </w:pPr>
      <w:r>
        <w:rPr>
          <w:rFonts w:ascii="楷体" w:eastAsia="楷体" w:hAnsi="楷体" w:hint="eastAsia"/>
          <w:b/>
          <w:sz w:val="32"/>
          <w:szCs w:val="32"/>
          <w:lang w:val="zh-CN"/>
        </w:rPr>
        <w:t>（三）相关建议</w:t>
      </w:r>
    </w:p>
    <w:p w:rsidR="000F0EA8" w:rsidRDefault="00885E0F">
      <w:pPr>
        <w:widowControl/>
        <w:spacing w:line="56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加强各专业领域业务能力提升，积极组织干部职工参与业务培训，打造专业化、法制化执法监管队伍，加强市场监管综合执法工作，进一步提升市场监管的效能，促进市场秩序的进一步</w:t>
      </w:r>
      <w:r>
        <w:rPr>
          <w:rFonts w:ascii="仿宋" w:eastAsia="仿宋" w:hAnsi="仿宋" w:cs="宋体" w:hint="eastAsia"/>
          <w:color w:val="000000"/>
          <w:kern w:val="0"/>
          <w:sz w:val="32"/>
          <w:szCs w:val="32"/>
        </w:rPr>
        <w:t>规范。</w:t>
      </w:r>
    </w:p>
    <w:p w:rsidR="000F0EA8" w:rsidRDefault="00885E0F">
      <w:pPr>
        <w:pStyle w:val="a0"/>
        <w:spacing w:before="93"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Pr>
          <w:rFonts w:ascii="仿宋" w:eastAsia="仿宋" w:hAnsi="仿宋" w:cs="宋体" w:hint="eastAsia"/>
          <w:color w:val="000000"/>
          <w:sz w:val="32"/>
          <w:szCs w:val="32"/>
        </w:rPr>
        <w:t>由于绩效评价工作要求高、工作量大，项目涉及业务、财务、效益等多方面专业知识，建议对相关人员通过业务培训不断提升绩效人员业务能力。</w:t>
      </w:r>
    </w:p>
    <w:p w:rsidR="000F0EA8" w:rsidRDefault="000F0EA8">
      <w:pPr>
        <w:spacing w:line="560" w:lineRule="exact"/>
        <w:rPr>
          <w:rFonts w:ascii="仿宋" w:eastAsia="仿宋" w:hAnsi="仿宋"/>
          <w:sz w:val="32"/>
          <w:szCs w:val="32"/>
        </w:rPr>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885E0F">
      <w:pPr>
        <w:pStyle w:val="a0"/>
        <w:spacing w:before="93"/>
        <w:jc w:val="center"/>
        <w:rPr>
          <w:rFonts w:ascii="新宋体" w:eastAsia="新宋体" w:hAnsi="新宋体" w:cs="新宋体"/>
          <w:b/>
          <w:sz w:val="36"/>
          <w:szCs w:val="36"/>
        </w:rPr>
      </w:pPr>
      <w:r>
        <w:rPr>
          <w:rFonts w:ascii="新宋体" w:eastAsia="新宋体" w:hAnsi="新宋体" w:cs="新宋体" w:hint="eastAsia"/>
          <w:b/>
          <w:sz w:val="36"/>
          <w:szCs w:val="36"/>
        </w:rPr>
        <w:t>广元市市场监督管理局广元经开区分局</w:t>
      </w:r>
    </w:p>
    <w:p w:rsidR="000F0EA8" w:rsidRDefault="00885E0F">
      <w:pPr>
        <w:pStyle w:val="a0"/>
        <w:spacing w:before="93"/>
        <w:jc w:val="center"/>
        <w:rPr>
          <w:rFonts w:ascii="新宋体" w:eastAsia="新宋体" w:hAnsi="新宋体" w:cs="新宋体"/>
          <w:b/>
          <w:sz w:val="36"/>
          <w:szCs w:val="36"/>
        </w:rPr>
      </w:pPr>
      <w:r>
        <w:rPr>
          <w:rFonts w:ascii="新宋体" w:eastAsia="新宋体" w:hAnsi="新宋体" w:cs="新宋体" w:hint="eastAsia"/>
          <w:b/>
          <w:sz w:val="36"/>
          <w:szCs w:val="36"/>
        </w:rPr>
        <w:t>2021</w:t>
      </w:r>
      <w:r>
        <w:rPr>
          <w:rFonts w:ascii="新宋体" w:eastAsia="新宋体" w:hAnsi="新宋体" w:cs="新宋体" w:hint="eastAsia"/>
          <w:b/>
          <w:sz w:val="36"/>
          <w:szCs w:val="36"/>
        </w:rPr>
        <w:t>年市场秩序执法办案专项项目支出绩效自评报告</w:t>
      </w:r>
    </w:p>
    <w:p w:rsidR="000F0EA8" w:rsidRDefault="000F0EA8">
      <w:pPr>
        <w:pStyle w:val="a0"/>
        <w:spacing w:before="93"/>
      </w:pP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一、项目概况</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（一）项目基本情况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项目主管部门（单位）在该项目管理中的职能：负责组织全区市场监管综合执法工作。规范市场交易执法行为。组织查处各类违反市场监管法律法规的案件。负责监督管理全区市场经济秩序。依法监督管理市场交易，网络商品交易及有关服务的行为。组织查处价格收费违法违规、不正当竞争、违法直销、传销等行为。指导广告业发展，监督管理广告活动。依法查处无照生产经营和相关无证生产经营行为。</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项目立项、资金申报的依据：依法履行职能职责。</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资金管理办法制定情况，资金支持具体项目的条件、范围与支持方式概况：制定了专项资金管理使用制度和</w:t>
      </w:r>
      <w:r>
        <w:rPr>
          <w:rFonts w:ascii="仿宋" w:eastAsia="仿宋" w:hAnsi="仿宋" w:hint="eastAsia"/>
          <w:sz w:val="32"/>
          <w:szCs w:val="32"/>
        </w:rPr>
        <w:t>内控制度，该项目待市财政局资金指标下达后，按照预算指标进行使用，专款专用。</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资金分配的原则及考虑因素：根据明确的资金用途，相关规定实施，资金的申报、分配、拨付严格按规定程序办理。</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（二）项目绩效目标</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项目主要内容：反垄断，价格监督，反不正当竞争、规范直销打击传销；网络交易监管、广告监管、消费者权益保护；综合</w:t>
      </w:r>
      <w:r>
        <w:rPr>
          <w:rFonts w:ascii="仿宋" w:eastAsia="仿宋" w:hAnsi="仿宋" w:hint="eastAsia"/>
          <w:sz w:val="32"/>
          <w:szCs w:val="32"/>
        </w:rPr>
        <w:lastRenderedPageBreak/>
        <w:t>执法等市场秩序执法专项。</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项目应实现的具体绩效目标：市场秩序执法办案专项开展“</w:t>
      </w:r>
      <w:r>
        <w:rPr>
          <w:rFonts w:ascii="仿宋" w:eastAsia="仿宋" w:hAnsi="仿宋" w:hint="eastAsia"/>
          <w:sz w:val="32"/>
          <w:szCs w:val="32"/>
        </w:rPr>
        <w:t>3.15</w:t>
      </w:r>
      <w:r>
        <w:rPr>
          <w:rFonts w:ascii="仿宋" w:eastAsia="仿宋" w:hAnsi="仿宋" w:hint="eastAsia"/>
          <w:sz w:val="32"/>
          <w:szCs w:val="32"/>
        </w:rPr>
        <w:t>”国际消费者权益日活动</w:t>
      </w:r>
      <w:r>
        <w:rPr>
          <w:rFonts w:ascii="仿宋" w:eastAsia="仿宋" w:hAnsi="仿宋" w:hint="eastAsia"/>
          <w:sz w:val="32"/>
          <w:szCs w:val="32"/>
        </w:rPr>
        <w:t>1</w:t>
      </w:r>
      <w:r>
        <w:rPr>
          <w:rFonts w:ascii="仿宋" w:eastAsia="仿宋" w:hAnsi="仿宋" w:hint="eastAsia"/>
          <w:sz w:val="32"/>
          <w:szCs w:val="32"/>
        </w:rPr>
        <w:t>次，宣传≥</w:t>
      </w:r>
      <w:r>
        <w:rPr>
          <w:rFonts w:ascii="仿宋" w:eastAsia="仿宋" w:hAnsi="仿宋" w:hint="eastAsia"/>
          <w:sz w:val="32"/>
          <w:szCs w:val="32"/>
        </w:rPr>
        <w:t>3</w:t>
      </w:r>
      <w:r>
        <w:rPr>
          <w:rFonts w:ascii="仿宋" w:eastAsia="仿宋" w:hAnsi="仿宋" w:hint="eastAsia"/>
          <w:sz w:val="32"/>
          <w:szCs w:val="32"/>
        </w:rPr>
        <w:t>次，各类案件查办≥</w:t>
      </w:r>
      <w:r>
        <w:rPr>
          <w:rFonts w:ascii="仿宋" w:eastAsia="仿宋" w:hAnsi="仿宋" w:hint="eastAsia"/>
          <w:sz w:val="32"/>
          <w:szCs w:val="32"/>
        </w:rPr>
        <w:t>25</w:t>
      </w:r>
      <w:r>
        <w:rPr>
          <w:rFonts w:ascii="仿宋" w:eastAsia="仿宋" w:hAnsi="仿宋" w:hint="eastAsia"/>
          <w:sz w:val="32"/>
          <w:szCs w:val="32"/>
        </w:rPr>
        <w:t>件，产品质量抽检及风险监测≥</w:t>
      </w:r>
      <w:r>
        <w:rPr>
          <w:rFonts w:ascii="仿宋" w:eastAsia="仿宋" w:hAnsi="仿宋" w:hint="eastAsia"/>
          <w:sz w:val="32"/>
          <w:szCs w:val="32"/>
        </w:rPr>
        <w:t>10</w:t>
      </w:r>
      <w:r>
        <w:rPr>
          <w:rFonts w:ascii="仿宋" w:eastAsia="仿宋" w:hAnsi="仿宋" w:hint="eastAsia"/>
          <w:sz w:val="32"/>
          <w:szCs w:val="32"/>
        </w:rPr>
        <w:t>批次，“春雷行动</w:t>
      </w:r>
      <w:r>
        <w:rPr>
          <w:rFonts w:ascii="仿宋" w:eastAsia="仿宋" w:hAnsi="仿宋" w:hint="eastAsia"/>
          <w:sz w:val="32"/>
          <w:szCs w:val="32"/>
        </w:rPr>
        <w:t>2021</w:t>
      </w:r>
      <w:r>
        <w:rPr>
          <w:rFonts w:ascii="仿宋" w:eastAsia="仿宋" w:hAnsi="仿宋" w:hint="eastAsia"/>
          <w:sz w:val="32"/>
          <w:szCs w:val="32"/>
        </w:rPr>
        <w:t>”等市场秩序专项整治≥</w:t>
      </w:r>
      <w:r>
        <w:rPr>
          <w:rFonts w:ascii="仿宋" w:eastAsia="仿宋" w:hAnsi="仿宋" w:hint="eastAsia"/>
          <w:sz w:val="32"/>
          <w:szCs w:val="32"/>
        </w:rPr>
        <w:t>15</w:t>
      </w:r>
      <w:r>
        <w:rPr>
          <w:rFonts w:ascii="仿宋" w:eastAsia="仿宋" w:hAnsi="仿宋" w:hint="eastAsia"/>
          <w:sz w:val="32"/>
          <w:szCs w:val="32"/>
        </w:rPr>
        <w:t>次。</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申报内容与实际相符，申报目标合理可行。</w:t>
      </w:r>
    </w:p>
    <w:p w:rsidR="000F0EA8" w:rsidRDefault="00885E0F">
      <w:pPr>
        <w:pStyle w:val="a0"/>
        <w:spacing w:before="93" w:line="560" w:lineRule="exact"/>
        <w:ind w:firstLineChars="200" w:firstLine="640"/>
        <w:rPr>
          <w:rFonts w:ascii="楷体" w:eastAsia="楷体" w:hAnsi="楷体"/>
          <w:b/>
          <w:sz w:val="32"/>
          <w:szCs w:val="32"/>
        </w:rPr>
      </w:pPr>
      <w:r>
        <w:rPr>
          <w:rFonts w:ascii="仿宋" w:eastAsia="仿宋" w:hAnsi="仿宋" w:hint="eastAsia"/>
          <w:sz w:val="32"/>
          <w:szCs w:val="32"/>
        </w:rPr>
        <w:t>（</w:t>
      </w:r>
      <w:r>
        <w:rPr>
          <w:rFonts w:ascii="楷体" w:eastAsia="楷体" w:hAnsi="楷体" w:hint="eastAsia"/>
          <w:b/>
          <w:sz w:val="32"/>
          <w:szCs w:val="32"/>
        </w:rPr>
        <w:t>三）项目自评步骤及方法</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项目绩效自评采用的组织实施步骤及方法是：组织力量、制定自评采用的方式方法；收集资料，加以查证核实；审查分析；编写自评报告。</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二、项目资金申报及使用情况</w:t>
      </w:r>
    </w:p>
    <w:p w:rsidR="000F0EA8" w:rsidRDefault="00885E0F">
      <w:pPr>
        <w:pStyle w:val="a0"/>
        <w:spacing w:before="93" w:line="560" w:lineRule="exact"/>
        <w:ind w:firstLineChars="200" w:firstLine="640"/>
        <w:rPr>
          <w:rFonts w:ascii="楷体" w:eastAsia="楷体" w:hAnsi="楷体"/>
          <w:b/>
          <w:sz w:val="32"/>
          <w:szCs w:val="32"/>
        </w:rPr>
      </w:pPr>
      <w:r>
        <w:rPr>
          <w:rFonts w:ascii="仿宋" w:eastAsia="仿宋" w:hAnsi="仿宋" w:hint="eastAsia"/>
          <w:sz w:val="32"/>
          <w:szCs w:val="32"/>
        </w:rPr>
        <w:t>（</w:t>
      </w:r>
      <w:r>
        <w:rPr>
          <w:rFonts w:ascii="楷体" w:eastAsia="楷体" w:hAnsi="楷体" w:hint="eastAsia"/>
          <w:b/>
          <w:sz w:val="32"/>
          <w:szCs w:val="32"/>
        </w:rPr>
        <w:t>一）项目资金申报及批复情况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项目资金申报是年初相关股室根据工作需要提交立项审核表，拟定项目资金预算申请数</w:t>
      </w:r>
      <w:r>
        <w:rPr>
          <w:rFonts w:ascii="仿宋" w:eastAsia="仿宋" w:hAnsi="仿宋" w:hint="eastAsia"/>
          <w:sz w:val="32"/>
          <w:szCs w:val="32"/>
        </w:rPr>
        <w:t>7.2</w:t>
      </w:r>
      <w:r>
        <w:rPr>
          <w:rFonts w:ascii="仿宋" w:eastAsia="仿宋" w:hAnsi="仿宋" w:hint="eastAsia"/>
          <w:sz w:val="32"/>
          <w:szCs w:val="32"/>
        </w:rPr>
        <w:t>万元，经财务股初审，报经分管领导审核，局长审批，再报市局审批，然后报市财政局，市财政局最终批复为</w:t>
      </w:r>
      <w:r>
        <w:rPr>
          <w:rFonts w:ascii="仿宋" w:eastAsia="仿宋" w:hAnsi="仿宋" w:hint="eastAsia"/>
          <w:sz w:val="32"/>
          <w:szCs w:val="32"/>
        </w:rPr>
        <w:t>7.2</w:t>
      </w:r>
      <w:r>
        <w:rPr>
          <w:rFonts w:ascii="仿宋" w:eastAsia="仿宋" w:hAnsi="仿宋" w:hint="eastAsia"/>
          <w:sz w:val="32"/>
          <w:szCs w:val="32"/>
        </w:rPr>
        <w:t>万元。</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（二）资金计划、到位及使用</w:t>
      </w:r>
      <w:r>
        <w:rPr>
          <w:rFonts w:ascii="楷体" w:eastAsia="楷体" w:hAnsi="楷体" w:hint="eastAsia"/>
          <w:b/>
          <w:sz w:val="32"/>
          <w:szCs w:val="32"/>
        </w:rPr>
        <w:t>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资金计划：“春雷行动</w:t>
      </w:r>
      <w:r>
        <w:rPr>
          <w:rFonts w:ascii="仿宋" w:eastAsia="仿宋" w:hAnsi="仿宋" w:hint="eastAsia"/>
          <w:sz w:val="32"/>
          <w:szCs w:val="32"/>
        </w:rPr>
        <w:t>2021</w:t>
      </w:r>
      <w:r>
        <w:rPr>
          <w:rFonts w:ascii="仿宋" w:eastAsia="仿宋" w:hAnsi="仿宋" w:hint="eastAsia"/>
          <w:sz w:val="32"/>
          <w:szCs w:val="32"/>
        </w:rPr>
        <w:t>”等各类市场秩序执法专项工作资金计划</w:t>
      </w:r>
      <w:r>
        <w:rPr>
          <w:rFonts w:ascii="仿宋" w:eastAsia="仿宋" w:hAnsi="仿宋" w:hint="eastAsia"/>
          <w:sz w:val="32"/>
          <w:szCs w:val="32"/>
        </w:rPr>
        <w:t>7.2</w:t>
      </w:r>
      <w:r>
        <w:rPr>
          <w:rFonts w:ascii="仿宋" w:eastAsia="仿宋" w:hAnsi="仿宋" w:hint="eastAsia"/>
          <w:sz w:val="32"/>
          <w:szCs w:val="32"/>
        </w:rPr>
        <w:t>万元，经费属于本级财政拨款收入。</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资金到位：该项目资金计划及截止评价时点实际到位资金</w:t>
      </w:r>
      <w:r>
        <w:rPr>
          <w:rFonts w:ascii="仿宋" w:eastAsia="仿宋" w:hAnsi="仿宋" w:hint="eastAsia"/>
          <w:sz w:val="32"/>
          <w:szCs w:val="32"/>
        </w:rPr>
        <w:t>7.2</w:t>
      </w:r>
      <w:r>
        <w:rPr>
          <w:rFonts w:ascii="仿宋" w:eastAsia="仿宋" w:hAnsi="仿宋" w:hint="eastAsia"/>
          <w:sz w:val="32"/>
          <w:szCs w:val="32"/>
        </w:rPr>
        <w:t>万元，资金到位率</w:t>
      </w:r>
      <w:r>
        <w:rPr>
          <w:rFonts w:ascii="仿宋" w:eastAsia="仿宋" w:hAnsi="仿宋" w:hint="eastAsia"/>
          <w:sz w:val="32"/>
          <w:szCs w:val="32"/>
        </w:rPr>
        <w:t>100%</w:t>
      </w:r>
      <w:r>
        <w:rPr>
          <w:rFonts w:ascii="仿宋" w:eastAsia="仿宋" w:hAnsi="仿宋" w:hint="eastAsia"/>
          <w:sz w:val="32"/>
          <w:szCs w:val="32"/>
        </w:rPr>
        <w:t>。</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资金使用：截止评价时点项目资金实际支出</w:t>
      </w:r>
      <w:r>
        <w:rPr>
          <w:rFonts w:ascii="仿宋" w:eastAsia="仿宋" w:hAnsi="仿宋" w:hint="eastAsia"/>
          <w:sz w:val="32"/>
          <w:szCs w:val="32"/>
        </w:rPr>
        <w:t>4.3</w:t>
      </w:r>
      <w:r>
        <w:rPr>
          <w:rFonts w:ascii="仿宋" w:eastAsia="仿宋" w:hAnsi="仿宋" w:hint="eastAsia"/>
          <w:sz w:val="32"/>
          <w:szCs w:val="32"/>
        </w:rPr>
        <w:t>万元，资金使用执行进度为</w:t>
      </w:r>
      <w:r>
        <w:rPr>
          <w:rFonts w:ascii="仿宋" w:eastAsia="仿宋" w:hAnsi="仿宋" w:hint="eastAsia"/>
          <w:sz w:val="32"/>
          <w:szCs w:val="32"/>
        </w:rPr>
        <w:t>59.72%</w:t>
      </w:r>
      <w:r>
        <w:rPr>
          <w:rFonts w:ascii="仿宋" w:eastAsia="仿宋" w:hAnsi="仿宋" w:hint="eastAsia"/>
          <w:sz w:val="32"/>
          <w:szCs w:val="32"/>
        </w:rPr>
        <w:t>。资金开支主要用于办公费、差旅费、培</w:t>
      </w:r>
      <w:r>
        <w:rPr>
          <w:rFonts w:ascii="仿宋" w:eastAsia="仿宋" w:hAnsi="仿宋" w:hint="eastAsia"/>
          <w:sz w:val="32"/>
          <w:szCs w:val="32"/>
        </w:rPr>
        <w:lastRenderedPageBreak/>
        <w:t>训费、印刷费、产品质量抽检等方面。专项资金在使用上，严格按照专项经费补助使用范围，专款专用，支付依据合</w:t>
      </w:r>
      <w:proofErr w:type="gramStart"/>
      <w:r>
        <w:rPr>
          <w:rFonts w:ascii="仿宋" w:eastAsia="仿宋" w:hAnsi="仿宋" w:hint="eastAsia"/>
          <w:sz w:val="32"/>
          <w:szCs w:val="32"/>
        </w:rPr>
        <w:t>规</w:t>
      </w:r>
      <w:proofErr w:type="gramEnd"/>
      <w:r>
        <w:rPr>
          <w:rFonts w:ascii="仿宋" w:eastAsia="仿宋" w:hAnsi="仿宋" w:hint="eastAsia"/>
          <w:sz w:val="32"/>
          <w:szCs w:val="32"/>
        </w:rPr>
        <w:t>合法，资金支付与预算相符。</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（三）项目财务管理情况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根据财务管理制度和内部控制管理制度，专设财务股对专项资金进行管理、核算。在对专项资金的会计核算和账务处理中，严格按照支出功能分类科目和部门预算经济分类科目进行会计核算和账务处理，资金拨付严格按照财务程序，强化报销环节管理，按照先请示、后审批、再核查的程序进行专项资金的支付，建立重大事项集体议事决策机制，保证其专项资金的专款专用、使用安全，财务处理及时、会计核算规范，有效发挥了专项资金的有效性和效益最大化。</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三、项目实施及管理情况</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（一）项目组织架构及实施流程</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年市场秩序执法办案专项项目由相关股室牵头</w:t>
      </w:r>
      <w:r>
        <w:rPr>
          <w:rFonts w:ascii="仿宋" w:eastAsia="仿宋" w:hAnsi="仿宋" w:hint="eastAsia"/>
          <w:sz w:val="32"/>
          <w:szCs w:val="32"/>
        </w:rPr>
        <w:t>负责规划、组织、指导市场秩序执法工作。通过制定专项工作计划方案、确定工作目标、明确组织实施措施和策略，更有效地指导工作的正常有序开展。</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（二）项目管理情况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市场秩序执法办案专项项目的管理程序、项目公示等严格按照相关法律法规及项目管理制度执行，项目无调整，无变更。</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（三）项目监管情况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市市场监督管理局负责项目任务完成及资金使用情况的监督</w:t>
      </w:r>
      <w:r>
        <w:rPr>
          <w:rFonts w:ascii="仿宋" w:eastAsia="仿宋" w:hAnsi="仿宋" w:hint="eastAsia"/>
          <w:sz w:val="32"/>
          <w:szCs w:val="32"/>
        </w:rPr>
        <w:lastRenderedPageBreak/>
        <w:t>与考核。</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四、项目绩效情况</w:t>
      </w:r>
      <w:r>
        <w:rPr>
          <w:rFonts w:ascii="黑体" w:eastAsia="黑体" w:hAnsi="黑体" w:hint="eastAsia"/>
          <w:sz w:val="32"/>
          <w:szCs w:val="32"/>
        </w:rPr>
        <w:tab/>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（一）项目完成情况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年，市场秩序执法办案专项当年预算安排经费</w:t>
      </w:r>
      <w:r>
        <w:rPr>
          <w:rFonts w:ascii="仿宋" w:eastAsia="仿宋" w:hAnsi="仿宋" w:hint="eastAsia"/>
          <w:sz w:val="32"/>
          <w:szCs w:val="32"/>
        </w:rPr>
        <w:t>7.2</w:t>
      </w:r>
      <w:r>
        <w:rPr>
          <w:rFonts w:ascii="仿宋" w:eastAsia="仿宋" w:hAnsi="仿宋" w:hint="eastAsia"/>
          <w:sz w:val="32"/>
          <w:szCs w:val="32"/>
        </w:rPr>
        <w:t>万元，截止评价时点使用</w:t>
      </w:r>
      <w:r>
        <w:rPr>
          <w:rFonts w:ascii="仿宋" w:eastAsia="仿宋" w:hAnsi="仿宋" w:hint="eastAsia"/>
          <w:sz w:val="32"/>
          <w:szCs w:val="32"/>
        </w:rPr>
        <w:t>4.3</w:t>
      </w:r>
      <w:r>
        <w:rPr>
          <w:rFonts w:ascii="仿宋" w:eastAsia="仿宋" w:hAnsi="仿宋" w:hint="eastAsia"/>
          <w:sz w:val="32"/>
          <w:szCs w:val="32"/>
        </w:rPr>
        <w:t>万元，项目资金结转</w:t>
      </w:r>
      <w:r>
        <w:rPr>
          <w:rFonts w:ascii="仿宋" w:eastAsia="仿宋" w:hAnsi="仿宋" w:hint="eastAsia"/>
          <w:sz w:val="32"/>
          <w:szCs w:val="32"/>
        </w:rPr>
        <w:t>2.9</w:t>
      </w:r>
      <w:r>
        <w:rPr>
          <w:rFonts w:ascii="仿宋" w:eastAsia="仿宋" w:hAnsi="仿宋" w:hint="eastAsia"/>
          <w:sz w:val="32"/>
          <w:szCs w:val="32"/>
        </w:rPr>
        <w:t>万元。</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开展了</w:t>
      </w:r>
      <w:r>
        <w:rPr>
          <w:rFonts w:ascii="仿宋" w:eastAsia="仿宋" w:hAnsi="仿宋" w:hint="eastAsia"/>
          <w:sz w:val="32"/>
          <w:szCs w:val="32"/>
        </w:rPr>
        <w:t>3.15</w:t>
      </w:r>
      <w:r>
        <w:rPr>
          <w:rFonts w:ascii="仿宋" w:eastAsia="仿宋" w:hAnsi="仿宋" w:hint="eastAsia"/>
          <w:sz w:val="32"/>
          <w:szCs w:val="32"/>
        </w:rPr>
        <w:t>国际消费者权益日活动</w:t>
      </w:r>
      <w:r>
        <w:rPr>
          <w:rFonts w:ascii="仿宋" w:eastAsia="仿宋" w:hAnsi="仿宋" w:hint="eastAsia"/>
          <w:sz w:val="32"/>
          <w:szCs w:val="32"/>
        </w:rPr>
        <w:t>1</w:t>
      </w:r>
      <w:r>
        <w:rPr>
          <w:rFonts w:ascii="仿宋" w:eastAsia="仿宋" w:hAnsi="仿宋" w:hint="eastAsia"/>
          <w:sz w:val="32"/>
          <w:szCs w:val="32"/>
        </w:rPr>
        <w:t>次，宣传</w:t>
      </w:r>
      <w:r>
        <w:rPr>
          <w:rFonts w:ascii="仿宋" w:eastAsia="仿宋" w:hAnsi="仿宋" w:hint="eastAsia"/>
          <w:sz w:val="32"/>
          <w:szCs w:val="32"/>
        </w:rPr>
        <w:t>3</w:t>
      </w:r>
      <w:r>
        <w:rPr>
          <w:rFonts w:ascii="仿宋" w:eastAsia="仿宋" w:hAnsi="仿宋" w:hint="eastAsia"/>
          <w:sz w:val="32"/>
          <w:szCs w:val="32"/>
        </w:rPr>
        <w:t>次，各类案件查办</w:t>
      </w:r>
      <w:r>
        <w:rPr>
          <w:rFonts w:ascii="仿宋" w:eastAsia="仿宋" w:hAnsi="仿宋" w:hint="eastAsia"/>
          <w:sz w:val="32"/>
          <w:szCs w:val="32"/>
        </w:rPr>
        <w:t>79</w:t>
      </w:r>
      <w:r>
        <w:rPr>
          <w:rFonts w:ascii="仿宋" w:eastAsia="仿宋" w:hAnsi="仿宋" w:hint="eastAsia"/>
          <w:sz w:val="32"/>
          <w:szCs w:val="32"/>
        </w:rPr>
        <w:t>件，产品质量抽检及风险监测</w:t>
      </w:r>
      <w:r>
        <w:rPr>
          <w:rFonts w:ascii="仿宋" w:eastAsia="仿宋" w:hAnsi="仿宋" w:hint="eastAsia"/>
          <w:sz w:val="32"/>
          <w:szCs w:val="32"/>
        </w:rPr>
        <w:t xml:space="preserve"> 10</w:t>
      </w:r>
      <w:r>
        <w:rPr>
          <w:rFonts w:ascii="仿宋" w:eastAsia="仿宋" w:hAnsi="仿宋" w:hint="eastAsia"/>
          <w:sz w:val="32"/>
          <w:szCs w:val="32"/>
        </w:rPr>
        <w:t>批次，“春雷行动</w:t>
      </w:r>
      <w:r>
        <w:rPr>
          <w:rFonts w:ascii="仿宋" w:eastAsia="仿宋" w:hAnsi="仿宋" w:hint="eastAsia"/>
          <w:sz w:val="32"/>
          <w:szCs w:val="32"/>
        </w:rPr>
        <w:t>2021</w:t>
      </w:r>
      <w:r>
        <w:rPr>
          <w:rFonts w:ascii="仿宋" w:eastAsia="仿宋" w:hAnsi="仿宋" w:hint="eastAsia"/>
          <w:sz w:val="32"/>
          <w:szCs w:val="32"/>
        </w:rPr>
        <w:t>”等市场秩序专项整治</w:t>
      </w:r>
      <w:r>
        <w:rPr>
          <w:rFonts w:ascii="仿宋" w:eastAsia="仿宋" w:hAnsi="仿宋" w:hint="eastAsia"/>
          <w:sz w:val="32"/>
          <w:szCs w:val="32"/>
        </w:rPr>
        <w:t>16</w:t>
      </w:r>
      <w:r>
        <w:rPr>
          <w:rFonts w:ascii="仿宋" w:eastAsia="仿宋" w:hAnsi="仿宋" w:hint="eastAsia"/>
          <w:sz w:val="32"/>
          <w:szCs w:val="32"/>
        </w:rPr>
        <w:t>次；重大案件查办率达</w:t>
      </w:r>
      <w:r>
        <w:rPr>
          <w:rFonts w:ascii="仿宋" w:eastAsia="仿宋" w:hAnsi="仿宋" w:hint="eastAsia"/>
          <w:sz w:val="32"/>
          <w:szCs w:val="32"/>
        </w:rPr>
        <w:t>100%</w:t>
      </w:r>
      <w:r>
        <w:rPr>
          <w:rFonts w:ascii="仿宋" w:eastAsia="仿宋" w:hAnsi="仿宋" w:hint="eastAsia"/>
          <w:sz w:val="32"/>
          <w:szCs w:val="32"/>
        </w:rPr>
        <w:t>，投诉举报立案处置率达</w:t>
      </w:r>
      <w:r>
        <w:rPr>
          <w:rFonts w:ascii="仿宋" w:eastAsia="仿宋" w:hAnsi="仿宋" w:hint="eastAsia"/>
          <w:sz w:val="32"/>
          <w:szCs w:val="32"/>
        </w:rPr>
        <w:t>100%</w:t>
      </w:r>
      <w:r>
        <w:rPr>
          <w:rFonts w:ascii="仿宋" w:eastAsia="仿宋" w:hAnsi="仿宋" w:hint="eastAsia"/>
          <w:sz w:val="32"/>
          <w:szCs w:val="32"/>
        </w:rPr>
        <w:t>，抽检不合格产品查处率达</w:t>
      </w:r>
      <w:r>
        <w:rPr>
          <w:rFonts w:ascii="仿宋" w:eastAsia="仿宋" w:hAnsi="仿宋" w:hint="eastAsia"/>
          <w:sz w:val="32"/>
          <w:szCs w:val="32"/>
        </w:rPr>
        <w:t>100%</w:t>
      </w:r>
      <w:r>
        <w:rPr>
          <w:rFonts w:ascii="仿宋" w:eastAsia="仿宋" w:hAnsi="仿宋" w:hint="eastAsia"/>
          <w:sz w:val="32"/>
          <w:szCs w:val="32"/>
        </w:rPr>
        <w:t>。</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（二）项目效益情况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社会效益：</w:t>
      </w:r>
      <w:r>
        <w:rPr>
          <w:rFonts w:ascii="仿宋" w:eastAsia="仿宋" w:hAnsi="仿宋" w:hint="eastAsia"/>
          <w:sz w:val="32"/>
          <w:szCs w:val="32"/>
        </w:rPr>
        <w:t>2021</w:t>
      </w:r>
      <w:r>
        <w:rPr>
          <w:rFonts w:ascii="仿宋" w:eastAsia="仿宋" w:hAnsi="仿宋" w:hint="eastAsia"/>
          <w:sz w:val="32"/>
          <w:szCs w:val="32"/>
        </w:rPr>
        <w:t>年，通过市场秩序执法办案专项项目的实施，保护了消费者合法权益，整治了市场乱象，假冒伪劣产品制售行为不断减少，优化了营商环境。</w:t>
      </w:r>
      <w:r>
        <w:rPr>
          <w:rFonts w:ascii="仿宋" w:eastAsia="仿宋" w:hAnsi="仿宋" w:hint="eastAsia"/>
          <w:sz w:val="32"/>
          <w:szCs w:val="32"/>
        </w:rPr>
        <w:t xml:space="preserve"> </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满意度：积极处理了“</w:t>
      </w:r>
      <w:r>
        <w:rPr>
          <w:rFonts w:ascii="仿宋" w:eastAsia="仿宋" w:hAnsi="仿宋" w:hint="eastAsia"/>
          <w:sz w:val="32"/>
          <w:szCs w:val="32"/>
        </w:rPr>
        <w:t>12315</w:t>
      </w:r>
      <w:r>
        <w:rPr>
          <w:rFonts w:ascii="仿宋" w:eastAsia="仿宋" w:hAnsi="仿宋" w:hint="eastAsia"/>
          <w:sz w:val="32"/>
          <w:szCs w:val="32"/>
        </w:rPr>
        <w:t>”消费者投诉，保障了消费者合法权益，公众对消费投诉处理的满意度不断提</w:t>
      </w:r>
      <w:r>
        <w:rPr>
          <w:rFonts w:ascii="仿宋" w:eastAsia="仿宋" w:hAnsi="仿宋" w:hint="eastAsia"/>
          <w:sz w:val="32"/>
          <w:szCs w:val="32"/>
        </w:rPr>
        <w:t>升。</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五、评价结论及建议</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（一）评价结论</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年市场秩序执法专项项目支出绩效总体评价为优，自评得分为</w:t>
      </w:r>
      <w:r>
        <w:rPr>
          <w:rFonts w:ascii="仿宋" w:eastAsia="仿宋" w:hAnsi="仿宋" w:hint="eastAsia"/>
          <w:sz w:val="32"/>
          <w:szCs w:val="32"/>
        </w:rPr>
        <w:t>95</w:t>
      </w:r>
      <w:r>
        <w:rPr>
          <w:rFonts w:ascii="仿宋" w:eastAsia="仿宋" w:hAnsi="仿宋" w:hint="eastAsia"/>
          <w:sz w:val="32"/>
          <w:szCs w:val="32"/>
        </w:rPr>
        <w:t>分。</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（二）存在的问题</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绩效管理观念不深入，单位对绩效管理工作重视程度不够，预算管理，资金管理，绩效评价专业性不足，缺乏主动性，导致工作脱节。</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lastRenderedPageBreak/>
        <w:t>（三）相关建议</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由于绩效评价工作要求高、工作量大，项目涉及业务、财务、效益等多方面专业知识，建议对相关人员通过业务培训不断提升绩效人员业务能力。</w:t>
      </w: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rPr>
          <w:rFonts w:ascii="仿宋" w:eastAsia="仿宋" w:hAnsi="仿宋"/>
          <w:sz w:val="32"/>
          <w:szCs w:val="32"/>
        </w:rPr>
      </w:pPr>
    </w:p>
    <w:p w:rsidR="000F0EA8" w:rsidRDefault="00885E0F">
      <w:pPr>
        <w:pStyle w:val="a0"/>
        <w:spacing w:before="93"/>
        <w:ind w:firstLineChars="200" w:firstLine="723"/>
        <w:jc w:val="center"/>
        <w:rPr>
          <w:rFonts w:ascii="新宋体" w:eastAsia="新宋体" w:hAnsi="新宋体" w:cs="新宋体"/>
          <w:b/>
          <w:sz w:val="36"/>
          <w:szCs w:val="36"/>
        </w:rPr>
      </w:pPr>
      <w:r>
        <w:rPr>
          <w:rFonts w:ascii="新宋体" w:eastAsia="新宋体" w:hAnsi="新宋体" w:cs="新宋体" w:hint="eastAsia"/>
          <w:b/>
          <w:sz w:val="36"/>
          <w:szCs w:val="36"/>
        </w:rPr>
        <w:lastRenderedPageBreak/>
        <w:t>广元市市场监督管理局广元经开区分局</w:t>
      </w:r>
    </w:p>
    <w:p w:rsidR="000F0EA8" w:rsidRDefault="00885E0F">
      <w:pPr>
        <w:pStyle w:val="a0"/>
        <w:spacing w:before="93"/>
        <w:jc w:val="center"/>
        <w:rPr>
          <w:rFonts w:ascii="新宋体" w:eastAsia="新宋体" w:hAnsi="新宋体" w:cs="新宋体"/>
          <w:b/>
          <w:sz w:val="36"/>
          <w:szCs w:val="36"/>
        </w:rPr>
      </w:pPr>
      <w:r>
        <w:rPr>
          <w:rFonts w:ascii="新宋体" w:eastAsia="新宋体" w:hAnsi="新宋体" w:cs="新宋体" w:hint="eastAsia"/>
          <w:b/>
          <w:sz w:val="36"/>
          <w:szCs w:val="36"/>
        </w:rPr>
        <w:t>2021</w:t>
      </w:r>
      <w:r>
        <w:rPr>
          <w:rFonts w:ascii="新宋体" w:eastAsia="新宋体" w:hAnsi="新宋体" w:cs="新宋体" w:hint="eastAsia"/>
          <w:b/>
          <w:sz w:val="36"/>
          <w:szCs w:val="36"/>
        </w:rPr>
        <w:t>年信息化建设运行及维护项目支出绩效自评报告</w:t>
      </w:r>
    </w:p>
    <w:p w:rsidR="000F0EA8" w:rsidRDefault="000F0EA8">
      <w:pPr>
        <w:pStyle w:val="a0"/>
        <w:spacing w:before="93"/>
        <w:jc w:val="center"/>
        <w:rPr>
          <w:rFonts w:asciiTheme="minorEastAsia" w:eastAsiaTheme="minorEastAsia" w:hAnsiTheme="minorEastAsia"/>
          <w:b/>
          <w:sz w:val="36"/>
          <w:szCs w:val="36"/>
        </w:rPr>
      </w:pP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一、项目概况</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（一）项目基本情况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项目主管部门（单位）在该项目管理中的职能：进一步完善信息化建设工作，推进分局机关及基层所网络化办公。</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项目立项、资金申报的依据：依法履行职能职责。</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资金管理办法制定情况，资金支持具体项目的条件、范围与支持方式概况：制定了专项资金管理使用制度和内控制度，该项目待市财政局资金指标下达后，按照预算指标进行使用，专款专用。</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资金分配的原则及考虑因素：根据明确的资金用途，相关规定实施，资金的申报、分配、拨付严格按规定程序办理。</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（二）项目绩效目标</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项目主要内容：进一步完善信息化建设工作，推进分局机关及基层所网络化办公。</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项目应实现的具体绩效目标：提供移动</w:t>
      </w:r>
      <w:r>
        <w:rPr>
          <w:rFonts w:ascii="仿宋" w:eastAsia="仿宋" w:hAnsi="仿宋" w:hint="eastAsia"/>
          <w:sz w:val="32"/>
          <w:szCs w:val="32"/>
        </w:rPr>
        <w:t>OA</w:t>
      </w:r>
      <w:r>
        <w:rPr>
          <w:rFonts w:ascii="仿宋" w:eastAsia="仿宋" w:hAnsi="仿宋" w:hint="eastAsia"/>
          <w:sz w:val="32"/>
          <w:szCs w:val="32"/>
        </w:rPr>
        <w:t>办公业务系统网络接入服务，</w:t>
      </w:r>
      <w:proofErr w:type="gramStart"/>
      <w:r>
        <w:rPr>
          <w:rFonts w:ascii="仿宋" w:eastAsia="仿宋" w:hAnsi="仿宋" w:hint="eastAsia"/>
          <w:sz w:val="32"/>
          <w:szCs w:val="32"/>
        </w:rPr>
        <w:t>开通云</w:t>
      </w:r>
      <w:proofErr w:type="gramEnd"/>
      <w:r>
        <w:rPr>
          <w:rFonts w:ascii="仿宋" w:eastAsia="仿宋" w:hAnsi="仿宋" w:hint="eastAsia"/>
          <w:sz w:val="32"/>
          <w:szCs w:val="32"/>
        </w:rPr>
        <w:t>MAS</w:t>
      </w:r>
      <w:r>
        <w:rPr>
          <w:rFonts w:ascii="仿宋" w:eastAsia="仿宋" w:hAnsi="仿宋" w:hint="eastAsia"/>
          <w:sz w:val="32"/>
          <w:szCs w:val="32"/>
        </w:rPr>
        <w:t>短信平台，信息网络覆盖率≥</w:t>
      </w:r>
      <w:r>
        <w:rPr>
          <w:rFonts w:ascii="仿宋" w:eastAsia="仿宋" w:hAnsi="仿宋" w:hint="eastAsia"/>
          <w:sz w:val="32"/>
          <w:szCs w:val="32"/>
        </w:rPr>
        <w:t>95%</w:t>
      </w:r>
      <w:r>
        <w:rPr>
          <w:rFonts w:ascii="仿宋" w:eastAsia="仿宋" w:hAnsi="仿宋" w:hint="eastAsia"/>
          <w:sz w:val="32"/>
          <w:szCs w:val="32"/>
        </w:rPr>
        <w:t>。</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申报内容与实际相符，申报目标合理可行。</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（三）项目自评步骤及方法</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项目绩效自评采用的组织实施步骤及方法是：组织力量、制</w:t>
      </w:r>
      <w:r>
        <w:rPr>
          <w:rFonts w:ascii="仿宋" w:eastAsia="仿宋" w:hAnsi="仿宋" w:hint="eastAsia"/>
          <w:sz w:val="32"/>
          <w:szCs w:val="32"/>
        </w:rPr>
        <w:lastRenderedPageBreak/>
        <w:t>定自评采用的方式方法；收集资料，加以查证核实；审查分析；编写自评报告</w:t>
      </w:r>
      <w:r>
        <w:rPr>
          <w:rFonts w:ascii="仿宋" w:eastAsia="仿宋" w:hAnsi="仿宋" w:hint="eastAsia"/>
          <w:sz w:val="32"/>
          <w:szCs w:val="32"/>
        </w:rPr>
        <w:t>。</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二、项目资金申报及使用情况</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（一）项目资金申报及批复情况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项目资金申报是年初相关股室根据工作需要提交立项审核表，拟定项目资金预算申请数</w:t>
      </w:r>
      <w:r>
        <w:rPr>
          <w:rFonts w:ascii="仿宋" w:eastAsia="仿宋" w:hAnsi="仿宋" w:hint="eastAsia"/>
          <w:sz w:val="32"/>
          <w:szCs w:val="32"/>
        </w:rPr>
        <w:t>2.7</w:t>
      </w:r>
      <w:r>
        <w:rPr>
          <w:rFonts w:ascii="仿宋" w:eastAsia="仿宋" w:hAnsi="仿宋" w:hint="eastAsia"/>
          <w:sz w:val="32"/>
          <w:szCs w:val="32"/>
        </w:rPr>
        <w:t>万元，经财务股初审，报经分管领导审核，局长审批，再报市局审批，然后报市财政局，市财政局最终批复为</w:t>
      </w:r>
      <w:r>
        <w:rPr>
          <w:rFonts w:ascii="仿宋" w:eastAsia="仿宋" w:hAnsi="仿宋" w:hint="eastAsia"/>
          <w:sz w:val="32"/>
          <w:szCs w:val="32"/>
        </w:rPr>
        <w:t>2.7</w:t>
      </w:r>
      <w:r>
        <w:rPr>
          <w:rFonts w:ascii="仿宋" w:eastAsia="仿宋" w:hAnsi="仿宋" w:hint="eastAsia"/>
          <w:sz w:val="32"/>
          <w:szCs w:val="32"/>
        </w:rPr>
        <w:t>万元。</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（二）资金计划、到位及使用情况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资金计划：推进分局机关及基层所网络化办公资金计划</w:t>
      </w:r>
      <w:r>
        <w:rPr>
          <w:rFonts w:ascii="仿宋" w:eastAsia="仿宋" w:hAnsi="仿宋" w:hint="eastAsia"/>
          <w:sz w:val="32"/>
          <w:szCs w:val="32"/>
        </w:rPr>
        <w:t>2.7</w:t>
      </w:r>
      <w:r>
        <w:rPr>
          <w:rFonts w:ascii="仿宋" w:eastAsia="仿宋" w:hAnsi="仿宋" w:hint="eastAsia"/>
          <w:sz w:val="32"/>
          <w:szCs w:val="32"/>
        </w:rPr>
        <w:t>万元，经费属于本级财政拨款收入。</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资金到位：该项目资金计划及截止评价时点实际到位资金</w:t>
      </w:r>
      <w:r>
        <w:rPr>
          <w:rFonts w:ascii="仿宋" w:eastAsia="仿宋" w:hAnsi="仿宋" w:hint="eastAsia"/>
          <w:sz w:val="32"/>
          <w:szCs w:val="32"/>
        </w:rPr>
        <w:t>2.7</w:t>
      </w:r>
      <w:r>
        <w:rPr>
          <w:rFonts w:ascii="仿宋" w:eastAsia="仿宋" w:hAnsi="仿宋" w:hint="eastAsia"/>
          <w:sz w:val="32"/>
          <w:szCs w:val="32"/>
        </w:rPr>
        <w:t>万元，资金到位率</w:t>
      </w:r>
      <w:r>
        <w:rPr>
          <w:rFonts w:ascii="仿宋" w:eastAsia="仿宋" w:hAnsi="仿宋" w:hint="eastAsia"/>
          <w:sz w:val="32"/>
          <w:szCs w:val="32"/>
        </w:rPr>
        <w:t>100%</w:t>
      </w:r>
      <w:r>
        <w:rPr>
          <w:rFonts w:ascii="仿宋" w:eastAsia="仿宋" w:hAnsi="仿宋" w:hint="eastAsia"/>
          <w:sz w:val="32"/>
          <w:szCs w:val="32"/>
        </w:rPr>
        <w:t>。</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资金使用：该项目资金截止评价时点实际支付</w:t>
      </w:r>
      <w:r>
        <w:rPr>
          <w:rFonts w:ascii="仿宋" w:eastAsia="仿宋" w:hAnsi="仿宋" w:hint="eastAsia"/>
          <w:sz w:val="32"/>
          <w:szCs w:val="32"/>
        </w:rPr>
        <w:t>2.7</w:t>
      </w:r>
      <w:r>
        <w:rPr>
          <w:rFonts w:ascii="仿宋" w:eastAsia="仿宋" w:hAnsi="仿宋" w:hint="eastAsia"/>
          <w:sz w:val="32"/>
          <w:szCs w:val="32"/>
        </w:rPr>
        <w:t>万元，资金使用率为</w:t>
      </w:r>
      <w:r>
        <w:rPr>
          <w:rFonts w:ascii="仿宋" w:eastAsia="仿宋" w:hAnsi="仿宋" w:hint="eastAsia"/>
          <w:sz w:val="32"/>
          <w:szCs w:val="32"/>
        </w:rPr>
        <w:t>100%</w:t>
      </w:r>
      <w:r>
        <w:rPr>
          <w:rFonts w:ascii="仿宋" w:eastAsia="仿宋" w:hAnsi="仿宋" w:hint="eastAsia"/>
          <w:sz w:val="32"/>
          <w:szCs w:val="32"/>
        </w:rPr>
        <w:t>。资金开支主要用于网络信息系统运行与维护费用。专项资金在使用上，严格按照专项资金使用范围，专款专用，支付依据合</w:t>
      </w:r>
      <w:proofErr w:type="gramStart"/>
      <w:r>
        <w:rPr>
          <w:rFonts w:ascii="仿宋" w:eastAsia="仿宋" w:hAnsi="仿宋" w:hint="eastAsia"/>
          <w:sz w:val="32"/>
          <w:szCs w:val="32"/>
        </w:rPr>
        <w:t>规</w:t>
      </w:r>
      <w:proofErr w:type="gramEnd"/>
      <w:r>
        <w:rPr>
          <w:rFonts w:ascii="仿宋" w:eastAsia="仿宋" w:hAnsi="仿宋" w:hint="eastAsia"/>
          <w:sz w:val="32"/>
          <w:szCs w:val="32"/>
        </w:rPr>
        <w:t>合法，资金支付与预算相符。</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（三）项目财务管理情况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根据财务管理制度和内部控制管理制度，专设财务股对专项资金进行管理、核算。在对专项资金的会计核算和账务处理中，严格按照支出功能分类科目和部门预算经济分类科目进行会计核算和账务处理，资金拨付严格按照财务程序，强化报销环节管理，按照先请示、后审批、再核查的程序进行专项资金的支付</w:t>
      </w:r>
      <w:r>
        <w:rPr>
          <w:rFonts w:ascii="仿宋" w:eastAsia="仿宋" w:hAnsi="仿宋" w:hint="eastAsia"/>
          <w:sz w:val="32"/>
          <w:szCs w:val="32"/>
        </w:rPr>
        <w:t>，建立</w:t>
      </w:r>
      <w:r>
        <w:rPr>
          <w:rFonts w:ascii="仿宋" w:eastAsia="仿宋" w:hAnsi="仿宋" w:hint="eastAsia"/>
          <w:sz w:val="32"/>
          <w:szCs w:val="32"/>
        </w:rPr>
        <w:lastRenderedPageBreak/>
        <w:t>重大事项集体议事决策机制，保证其专项资金的专款专用、使用安全，财务处理及时、会计核算规范，有效发挥了专项资金的有效性和效益最大化。</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三、项目实施及管理情况</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（一）项目组织架构及实施流程</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年信息化建设运行及维护专项项目由相关股室牵头</w:t>
      </w:r>
      <w:r>
        <w:rPr>
          <w:rFonts w:ascii="仿宋" w:eastAsia="仿宋" w:hAnsi="仿宋" w:hint="eastAsia"/>
          <w:sz w:val="32"/>
          <w:szCs w:val="32"/>
        </w:rPr>
        <w:t>，</w:t>
      </w:r>
      <w:r>
        <w:rPr>
          <w:rFonts w:ascii="仿宋" w:eastAsia="仿宋" w:hAnsi="仿宋" w:hint="eastAsia"/>
          <w:sz w:val="32"/>
          <w:szCs w:val="32"/>
        </w:rPr>
        <w:t>负责规划、组织、指导信息化建设运行及维护工作。通过制定专项工作计划方案、确定工作目标、明确组织实施措施和策略，更有效地指导工作的正常有序开展。</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（二）项目管理情况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信息化建设运行及维护专项项目的管理程序、项目公示等严格按照相关法律法规及项目管理制度执行，项目无调整，</w:t>
      </w:r>
      <w:r>
        <w:rPr>
          <w:rFonts w:ascii="仿宋" w:eastAsia="仿宋" w:hAnsi="仿宋" w:hint="eastAsia"/>
          <w:sz w:val="32"/>
          <w:szCs w:val="32"/>
        </w:rPr>
        <w:t>无变更。</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（三）项目监管情况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市市场监督管理局负责项目任务完成及资金使用情况的监督与考核。</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四、项目绩效情况</w:t>
      </w:r>
      <w:r>
        <w:rPr>
          <w:rFonts w:ascii="黑体" w:eastAsia="黑体" w:hAnsi="黑体" w:hint="eastAsia"/>
          <w:sz w:val="32"/>
          <w:szCs w:val="32"/>
        </w:rPr>
        <w:tab/>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（一）项目完成情况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年，信息化建设运行及维护项目当年预算安排经费</w:t>
      </w:r>
      <w:r>
        <w:rPr>
          <w:rFonts w:ascii="仿宋" w:eastAsia="仿宋" w:hAnsi="仿宋" w:hint="eastAsia"/>
          <w:sz w:val="32"/>
          <w:szCs w:val="32"/>
        </w:rPr>
        <w:t>2.7</w:t>
      </w:r>
      <w:r>
        <w:rPr>
          <w:rFonts w:ascii="仿宋" w:eastAsia="仿宋" w:hAnsi="仿宋" w:hint="eastAsia"/>
          <w:sz w:val="32"/>
          <w:szCs w:val="32"/>
        </w:rPr>
        <w:t>万元，截止评价时点使用</w:t>
      </w:r>
      <w:r>
        <w:rPr>
          <w:rFonts w:ascii="仿宋" w:eastAsia="仿宋" w:hAnsi="仿宋" w:hint="eastAsia"/>
          <w:sz w:val="32"/>
          <w:szCs w:val="32"/>
        </w:rPr>
        <w:t>2.7</w:t>
      </w:r>
      <w:r>
        <w:rPr>
          <w:rFonts w:ascii="仿宋" w:eastAsia="仿宋" w:hAnsi="仿宋" w:hint="eastAsia"/>
          <w:sz w:val="32"/>
          <w:szCs w:val="32"/>
        </w:rPr>
        <w:t>万元，资金使用率</w:t>
      </w:r>
      <w:r>
        <w:rPr>
          <w:rFonts w:ascii="仿宋" w:eastAsia="仿宋" w:hAnsi="仿宋" w:hint="eastAsia"/>
          <w:sz w:val="32"/>
          <w:szCs w:val="32"/>
        </w:rPr>
        <w:t>100%</w:t>
      </w:r>
      <w:r>
        <w:rPr>
          <w:rFonts w:ascii="仿宋" w:eastAsia="仿宋" w:hAnsi="仿宋" w:hint="eastAsia"/>
          <w:sz w:val="32"/>
          <w:szCs w:val="32"/>
        </w:rPr>
        <w:t>。</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完成了移动</w:t>
      </w:r>
      <w:r>
        <w:rPr>
          <w:rFonts w:ascii="仿宋" w:eastAsia="仿宋" w:hAnsi="仿宋" w:hint="eastAsia"/>
          <w:sz w:val="32"/>
          <w:szCs w:val="32"/>
        </w:rPr>
        <w:t>OA</w:t>
      </w:r>
      <w:r>
        <w:rPr>
          <w:rFonts w:ascii="仿宋" w:eastAsia="仿宋" w:hAnsi="仿宋" w:hint="eastAsia"/>
          <w:sz w:val="32"/>
          <w:szCs w:val="32"/>
        </w:rPr>
        <w:t>办公业务系统网络接入服务，开通了云</w:t>
      </w:r>
      <w:r>
        <w:rPr>
          <w:rFonts w:ascii="仿宋" w:eastAsia="仿宋" w:hAnsi="仿宋" w:hint="eastAsia"/>
          <w:sz w:val="32"/>
          <w:szCs w:val="32"/>
        </w:rPr>
        <w:t>MAS</w:t>
      </w:r>
      <w:r>
        <w:rPr>
          <w:rFonts w:ascii="仿宋" w:eastAsia="仿宋" w:hAnsi="仿宋" w:hint="eastAsia"/>
          <w:sz w:val="32"/>
          <w:szCs w:val="32"/>
        </w:rPr>
        <w:t>短信平台，向辖区内企业进行短信提醒，业务监管更加便捷高效。基层机关信息网络覆盖率达</w:t>
      </w:r>
      <w:r>
        <w:rPr>
          <w:rFonts w:ascii="仿宋" w:eastAsia="仿宋" w:hAnsi="仿宋" w:hint="eastAsia"/>
          <w:sz w:val="32"/>
          <w:szCs w:val="32"/>
        </w:rPr>
        <w:t>100%</w:t>
      </w:r>
      <w:r>
        <w:rPr>
          <w:rFonts w:ascii="仿宋" w:eastAsia="仿宋" w:hAnsi="仿宋" w:hint="eastAsia"/>
          <w:sz w:val="32"/>
          <w:szCs w:val="32"/>
        </w:rPr>
        <w:t>。</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（二）项目效益情况</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hint="eastAsia"/>
          <w:sz w:val="32"/>
          <w:szCs w:val="32"/>
        </w:rPr>
        <w:t>社会效益：</w:t>
      </w:r>
      <w:r>
        <w:rPr>
          <w:rFonts w:ascii="仿宋" w:eastAsia="仿宋" w:hAnsi="仿宋" w:hint="eastAsia"/>
          <w:sz w:val="32"/>
          <w:szCs w:val="32"/>
        </w:rPr>
        <w:t>2021</w:t>
      </w:r>
      <w:r>
        <w:rPr>
          <w:rFonts w:ascii="仿宋" w:eastAsia="仿宋" w:hAnsi="仿宋" w:hint="eastAsia"/>
          <w:sz w:val="32"/>
          <w:szCs w:val="32"/>
        </w:rPr>
        <w:t>年，通过信息化建设运行及维护项目的实施，实现了分局机关网络化办公，通过短信平台的构建，使基层监管工作更加便捷。</w:t>
      </w:r>
      <w:r>
        <w:rPr>
          <w:rFonts w:ascii="仿宋" w:eastAsia="仿宋" w:hAnsi="仿宋" w:hint="eastAsia"/>
          <w:sz w:val="32"/>
          <w:szCs w:val="32"/>
        </w:rPr>
        <w:t xml:space="preserve"> </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满意度：基层网络化建设，使得职工工作开展更加便捷，职工满意度大幅度提升。</w:t>
      </w:r>
    </w:p>
    <w:p w:rsidR="000F0EA8" w:rsidRDefault="00885E0F">
      <w:pPr>
        <w:pStyle w:val="a0"/>
        <w:spacing w:before="93" w:line="560" w:lineRule="exact"/>
        <w:ind w:firstLineChars="200" w:firstLine="640"/>
        <w:rPr>
          <w:rFonts w:ascii="黑体" w:eastAsia="黑体" w:hAnsi="黑体"/>
          <w:sz w:val="32"/>
          <w:szCs w:val="32"/>
        </w:rPr>
      </w:pPr>
      <w:r>
        <w:rPr>
          <w:rFonts w:ascii="黑体" w:eastAsia="黑体" w:hAnsi="黑体" w:hint="eastAsia"/>
          <w:sz w:val="32"/>
          <w:szCs w:val="32"/>
        </w:rPr>
        <w:t>五、评价结论及建议</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（一）评价结论</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年信息化建设运行</w:t>
      </w:r>
      <w:r>
        <w:rPr>
          <w:rFonts w:ascii="仿宋" w:eastAsia="仿宋" w:hAnsi="仿宋" w:hint="eastAsia"/>
          <w:sz w:val="32"/>
          <w:szCs w:val="32"/>
        </w:rPr>
        <w:t>及</w:t>
      </w:r>
      <w:bookmarkStart w:id="103" w:name="_GoBack"/>
      <w:bookmarkEnd w:id="103"/>
      <w:r>
        <w:rPr>
          <w:rFonts w:ascii="仿宋" w:eastAsia="仿宋" w:hAnsi="仿宋" w:hint="eastAsia"/>
          <w:sz w:val="32"/>
          <w:szCs w:val="32"/>
        </w:rPr>
        <w:t>维护专项项目支出绩效总体评价为优，自评得分为</w:t>
      </w:r>
      <w:r>
        <w:rPr>
          <w:rFonts w:ascii="仿宋" w:eastAsia="仿宋" w:hAnsi="仿宋" w:hint="eastAsia"/>
          <w:sz w:val="32"/>
          <w:szCs w:val="32"/>
        </w:rPr>
        <w:t>95</w:t>
      </w:r>
      <w:r>
        <w:rPr>
          <w:rFonts w:ascii="仿宋" w:eastAsia="仿宋" w:hAnsi="仿宋" w:hint="eastAsia"/>
          <w:sz w:val="32"/>
          <w:szCs w:val="32"/>
        </w:rPr>
        <w:t>分。</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（二）存在的问题</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绩效管理观念不深入，单位对绩效管理工作重视程度不够，预算管理，资金管理，绩效评价专业性不足，缺乏主动性，导致工作脱节。</w:t>
      </w:r>
    </w:p>
    <w:p w:rsidR="000F0EA8" w:rsidRDefault="00885E0F" w:rsidP="000F0EA8">
      <w:pPr>
        <w:pStyle w:val="a0"/>
        <w:spacing w:before="93" w:line="560" w:lineRule="exact"/>
        <w:ind w:firstLineChars="200" w:firstLine="640"/>
        <w:rPr>
          <w:rFonts w:ascii="楷体" w:eastAsia="楷体" w:hAnsi="楷体"/>
          <w:b/>
          <w:sz w:val="32"/>
          <w:szCs w:val="32"/>
        </w:rPr>
      </w:pPr>
      <w:r>
        <w:rPr>
          <w:rFonts w:ascii="楷体" w:eastAsia="楷体" w:hAnsi="楷体" w:hint="eastAsia"/>
          <w:b/>
          <w:sz w:val="32"/>
          <w:szCs w:val="32"/>
        </w:rPr>
        <w:t>（三）相关建议</w:t>
      </w:r>
    </w:p>
    <w:p w:rsidR="000F0EA8" w:rsidRDefault="00885E0F">
      <w:pPr>
        <w:pStyle w:val="a0"/>
        <w:spacing w:before="93" w:line="560" w:lineRule="exact"/>
        <w:ind w:firstLineChars="200" w:firstLine="640"/>
        <w:rPr>
          <w:rFonts w:ascii="仿宋" w:eastAsia="仿宋" w:hAnsi="仿宋"/>
          <w:sz w:val="32"/>
          <w:szCs w:val="32"/>
        </w:rPr>
      </w:pPr>
      <w:r>
        <w:rPr>
          <w:rFonts w:ascii="仿宋" w:eastAsia="仿宋" w:hAnsi="仿宋" w:hint="eastAsia"/>
          <w:sz w:val="32"/>
          <w:szCs w:val="32"/>
        </w:rPr>
        <w:t>由于绩效评价工作要求高、工作量大，项目涉及业务、财务、效益等多方面专业知识，建议对相关人员通过业务培训不断提升绩效人员业务能力。</w:t>
      </w: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ind w:firstLineChars="200" w:firstLine="640"/>
        <w:rPr>
          <w:rFonts w:ascii="仿宋" w:eastAsia="仿宋" w:hAnsi="仿宋"/>
          <w:sz w:val="32"/>
          <w:szCs w:val="32"/>
        </w:rPr>
      </w:pPr>
    </w:p>
    <w:p w:rsidR="000F0EA8" w:rsidRDefault="000F0EA8">
      <w:pPr>
        <w:pStyle w:val="a0"/>
        <w:spacing w:before="93"/>
      </w:pPr>
    </w:p>
    <w:p w:rsidR="000F0EA8" w:rsidRDefault="000F0EA8">
      <w:pPr>
        <w:pStyle w:val="a0"/>
        <w:spacing w:before="93"/>
      </w:pPr>
    </w:p>
    <w:tbl>
      <w:tblPr>
        <w:tblpPr w:leftFromText="180" w:rightFromText="180" w:vertAnchor="text" w:horzAnchor="page" w:tblpX="963" w:tblpY="660"/>
        <w:tblOverlap w:val="never"/>
        <w:tblW w:w="10443" w:type="dxa"/>
        <w:tblLayout w:type="fixed"/>
        <w:tblLook w:val="04A0"/>
      </w:tblPr>
      <w:tblGrid>
        <w:gridCol w:w="1384"/>
        <w:gridCol w:w="709"/>
        <w:gridCol w:w="850"/>
        <w:gridCol w:w="602"/>
        <w:gridCol w:w="1666"/>
        <w:gridCol w:w="2586"/>
        <w:gridCol w:w="108"/>
        <w:gridCol w:w="2302"/>
        <w:gridCol w:w="236"/>
      </w:tblGrid>
      <w:tr w:rsidR="000F0EA8">
        <w:trPr>
          <w:trHeight w:val="675"/>
        </w:trPr>
        <w:tc>
          <w:tcPr>
            <w:tcW w:w="10207" w:type="dxa"/>
            <w:gridSpan w:val="8"/>
            <w:tcBorders>
              <w:top w:val="nil"/>
              <w:left w:val="nil"/>
              <w:bottom w:val="nil"/>
              <w:right w:val="nil"/>
            </w:tcBorders>
            <w:shd w:val="clear" w:color="auto" w:fill="auto"/>
            <w:vAlign w:val="center"/>
          </w:tcPr>
          <w:p w:rsidR="000F0EA8" w:rsidRDefault="00885E0F">
            <w:pPr>
              <w:widowControl/>
              <w:jc w:val="center"/>
              <w:textAlignment w:val="center"/>
              <w:rPr>
                <w:rFonts w:ascii="仿宋_GB2312" w:eastAsia="仿宋_GB2312" w:hAnsi="宋体" w:cs="宋体"/>
                <w:b/>
                <w:sz w:val="32"/>
                <w:szCs w:val="32"/>
              </w:rPr>
            </w:pPr>
            <w:bookmarkStart w:id="104" w:name="_Toc115253629"/>
            <w:bookmarkStart w:id="105" w:name="_Toc114132084"/>
            <w:bookmarkStart w:id="106" w:name="_Toc115248317"/>
            <w:bookmarkStart w:id="107" w:name="_Toc24949"/>
            <w:bookmarkStart w:id="108" w:name="_Toc21668"/>
            <w:bookmarkStart w:id="109" w:name="_Toc15396618"/>
            <w:r>
              <w:rPr>
                <w:rFonts w:ascii="仿宋_GB2312" w:eastAsia="仿宋_GB2312" w:hAnsi="宋体" w:cs="宋体" w:hint="eastAsia"/>
                <w:b/>
                <w:sz w:val="32"/>
                <w:szCs w:val="32"/>
              </w:rPr>
              <w:lastRenderedPageBreak/>
              <w:t>广元市市场监督管理局广元经开区分局</w:t>
            </w:r>
            <w:bookmarkEnd w:id="104"/>
            <w:bookmarkEnd w:id="105"/>
            <w:bookmarkEnd w:id="106"/>
            <w:bookmarkEnd w:id="107"/>
            <w:bookmarkEnd w:id="108"/>
          </w:p>
          <w:p w:rsidR="000F0EA8" w:rsidRDefault="00885E0F">
            <w:pPr>
              <w:widowControl/>
              <w:jc w:val="center"/>
              <w:textAlignment w:val="center"/>
              <w:rPr>
                <w:rFonts w:ascii="仿宋_GB2312" w:eastAsia="仿宋_GB2312" w:hAnsi="宋体" w:cs="宋体"/>
                <w:b/>
                <w:sz w:val="32"/>
                <w:szCs w:val="32"/>
              </w:rPr>
            </w:pPr>
            <w:r>
              <w:rPr>
                <w:rFonts w:ascii="仿宋_GB2312" w:eastAsia="仿宋_GB2312" w:hAnsi="宋体" w:cs="宋体" w:hint="eastAsia"/>
                <w:b/>
                <w:sz w:val="32"/>
                <w:szCs w:val="32"/>
              </w:rPr>
              <w:t>2021</w:t>
            </w:r>
            <w:r>
              <w:rPr>
                <w:rFonts w:ascii="仿宋_GB2312" w:eastAsia="仿宋_GB2312" w:hAnsi="宋体" w:cs="宋体" w:hint="eastAsia"/>
                <w:b/>
                <w:sz w:val="32"/>
                <w:szCs w:val="32"/>
              </w:rPr>
              <w:t>年市场综合监管专项预算项目绩效目标自评表</w:t>
            </w:r>
          </w:p>
        </w:tc>
        <w:tc>
          <w:tcPr>
            <w:tcW w:w="236" w:type="dxa"/>
            <w:tcBorders>
              <w:top w:val="nil"/>
              <w:left w:val="nil"/>
              <w:bottom w:val="nil"/>
              <w:right w:val="nil"/>
            </w:tcBorders>
            <w:shd w:val="clear" w:color="auto" w:fill="auto"/>
            <w:vAlign w:val="center"/>
          </w:tcPr>
          <w:p w:rsidR="000F0EA8" w:rsidRDefault="000F0EA8">
            <w:pPr>
              <w:widowControl/>
              <w:jc w:val="center"/>
              <w:textAlignment w:val="center"/>
              <w:rPr>
                <w:rFonts w:ascii="仿宋_GB2312" w:eastAsia="仿宋_GB2312" w:hAnsi="宋体" w:cs="宋体"/>
                <w:b/>
                <w:kern w:val="0"/>
                <w:sz w:val="32"/>
                <w:szCs w:val="32"/>
              </w:rPr>
            </w:pPr>
          </w:p>
        </w:tc>
      </w:tr>
      <w:tr w:rsidR="000F0EA8">
        <w:trPr>
          <w:gridAfter w:val="1"/>
          <w:wAfter w:w="236" w:type="dxa"/>
          <w:trHeight w:val="604"/>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主管部门及代码</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广元市市场监督管理局</w:t>
            </w:r>
            <w:r>
              <w:rPr>
                <w:rFonts w:ascii="仿宋_GB2312" w:eastAsia="仿宋_GB2312" w:hAnsi="宋体" w:cs="宋体" w:hint="eastAsia"/>
                <w:sz w:val="24"/>
              </w:rPr>
              <w:t>359001</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实施单位</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广元市市场监督管理局广元经开区分局</w:t>
            </w:r>
          </w:p>
        </w:tc>
      </w:tr>
      <w:tr w:rsidR="000F0EA8">
        <w:trPr>
          <w:gridAfter w:val="1"/>
          <w:wAfter w:w="236" w:type="dxa"/>
          <w:trHeight w:val="558"/>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项目预算</w:t>
            </w:r>
          </w:p>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执行情况</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（万元）</w:t>
            </w:r>
          </w:p>
        </w:tc>
        <w:tc>
          <w:tcPr>
            <w:tcW w:w="2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预算数：</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21.6</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执行数：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15</w:t>
            </w:r>
          </w:p>
        </w:tc>
      </w:tr>
      <w:tr w:rsidR="000F0EA8">
        <w:trPr>
          <w:gridAfter w:val="1"/>
          <w:wAfter w:w="236" w:type="dxa"/>
          <w:trHeight w:val="580"/>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2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其中：</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财政拨款</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21.6</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其中：</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财政拨款</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15</w:t>
            </w:r>
          </w:p>
        </w:tc>
      </w:tr>
      <w:tr w:rsidR="000F0EA8">
        <w:trPr>
          <w:gridAfter w:val="1"/>
          <w:wAfter w:w="236" w:type="dxa"/>
          <w:trHeight w:val="596"/>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2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其他资金</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center"/>
              <w:rPr>
                <w:rFonts w:ascii="仿宋_GB2312" w:eastAsia="仿宋_GB2312" w:hAnsi="宋体" w:cs="宋体"/>
                <w:sz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其他资金</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center"/>
              <w:rPr>
                <w:rFonts w:ascii="仿宋_GB2312" w:eastAsia="仿宋_GB2312" w:hAnsi="宋体" w:cs="宋体"/>
                <w:sz w:val="24"/>
              </w:rPr>
            </w:pPr>
          </w:p>
        </w:tc>
      </w:tr>
      <w:tr w:rsidR="000F0EA8">
        <w:trPr>
          <w:gridAfter w:val="1"/>
          <w:wAfter w:w="236" w:type="dxa"/>
          <w:trHeight w:val="54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年度总体目标</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完成情况</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预期目标</w:t>
            </w:r>
          </w:p>
        </w:tc>
        <w:tc>
          <w:tcPr>
            <w:tcW w:w="4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目标实际完成情况</w:t>
            </w:r>
          </w:p>
        </w:tc>
      </w:tr>
      <w:tr w:rsidR="000F0EA8">
        <w:trPr>
          <w:gridAfter w:val="1"/>
          <w:wAfter w:w="236" w:type="dxa"/>
          <w:trHeight w:val="6231"/>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Pr>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hint="eastAsia"/>
                <w:sz w:val="24"/>
              </w:rPr>
              <w:t>、加强市场主体信用监督管，营造公平诚信的市场和社会环境。注册登记商事制度改革，优化营商环境，提高监管效能，增强经济发展内生动力。非公党建工作，促进非公有制企业的健康发展。开展安全形势教育和执法检查，遏制和减少事故发生。</w:t>
            </w:r>
            <w:r>
              <w:rPr>
                <w:rFonts w:ascii="仿宋_GB2312" w:eastAsia="仿宋_GB2312" w:hAnsi="宋体" w:cs="宋体" w:hint="eastAsia"/>
                <w:sz w:val="24"/>
              </w:rPr>
              <w:t xml:space="preserve">                                                                                                                                   </w:t>
            </w:r>
            <w:r>
              <w:rPr>
                <w:rFonts w:ascii="仿宋_GB2312" w:eastAsia="仿宋_GB2312" w:hAnsi="宋体" w:cs="宋体" w:hint="eastAsia"/>
                <w:sz w:val="24"/>
              </w:rPr>
              <w:t>2</w:t>
            </w:r>
            <w:r>
              <w:rPr>
                <w:rFonts w:ascii="仿宋_GB2312" w:eastAsia="仿宋_GB2312" w:hAnsi="宋体" w:cs="宋体" w:hint="eastAsia"/>
                <w:sz w:val="24"/>
              </w:rPr>
              <w:t>、负责辖区内食品（含特殊食品）、药械化、特种设备安全生产经营安全监管。加强冷链食品监管，监督指导企业常态化防疫工作。</w:t>
            </w:r>
          </w:p>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3</w:t>
            </w:r>
            <w:r>
              <w:rPr>
                <w:rFonts w:ascii="仿宋_GB2312" w:eastAsia="仿宋_GB2312" w:hAnsi="宋体" w:cs="宋体" w:hint="eastAsia"/>
                <w:sz w:val="24"/>
              </w:rPr>
              <w:t>、综合协调指导食品工作、药械化工作、培育知名品牌，计量，认证工作。</w:t>
            </w:r>
          </w:p>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4</w:t>
            </w:r>
            <w:r>
              <w:rPr>
                <w:rFonts w:ascii="仿宋_GB2312" w:eastAsia="仿宋_GB2312" w:hAnsi="宋体" w:cs="宋体" w:hint="eastAsia"/>
                <w:sz w:val="24"/>
              </w:rPr>
              <w:t>、开展食品安全宣传周、药品安全宣传月、</w:t>
            </w:r>
            <w:r>
              <w:rPr>
                <w:rFonts w:ascii="仿宋_GB2312" w:eastAsia="仿宋_GB2312" w:hAnsi="宋体" w:cs="宋体" w:hint="eastAsia"/>
                <w:sz w:val="24"/>
              </w:rPr>
              <w:t>5.25</w:t>
            </w:r>
            <w:proofErr w:type="gramStart"/>
            <w:r>
              <w:rPr>
                <w:rFonts w:ascii="仿宋_GB2312" w:eastAsia="仿宋_GB2312" w:hAnsi="宋体" w:cs="宋体" w:hint="eastAsia"/>
                <w:sz w:val="24"/>
              </w:rPr>
              <w:t>国际爱</w:t>
            </w:r>
            <w:proofErr w:type="gramEnd"/>
            <w:r>
              <w:rPr>
                <w:rFonts w:ascii="仿宋_GB2312" w:eastAsia="仿宋_GB2312" w:hAnsi="宋体" w:cs="宋体" w:hint="eastAsia"/>
                <w:sz w:val="24"/>
              </w:rPr>
              <w:t>肤日、质量安全宣传月等宣传活动。</w:t>
            </w:r>
          </w:p>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5</w:t>
            </w:r>
            <w:r>
              <w:rPr>
                <w:rFonts w:ascii="仿宋_GB2312" w:eastAsia="仿宋_GB2312" w:hAnsi="宋体" w:cs="宋体" w:hint="eastAsia"/>
                <w:sz w:val="24"/>
              </w:rPr>
              <w:t>、关于食品、药械</w:t>
            </w:r>
            <w:proofErr w:type="gramStart"/>
            <w:r>
              <w:rPr>
                <w:rFonts w:ascii="仿宋_GB2312" w:eastAsia="仿宋_GB2312" w:hAnsi="宋体" w:cs="宋体" w:hint="eastAsia"/>
                <w:sz w:val="24"/>
              </w:rPr>
              <w:t>化各个</w:t>
            </w:r>
            <w:proofErr w:type="gramEnd"/>
            <w:r>
              <w:rPr>
                <w:rFonts w:ascii="仿宋_GB2312" w:eastAsia="仿宋_GB2312" w:hAnsi="宋体" w:cs="宋体" w:hint="eastAsia"/>
                <w:sz w:val="24"/>
              </w:rPr>
              <w:t>专项整治工作，标准化管理工作。</w:t>
            </w:r>
          </w:p>
        </w:tc>
        <w:tc>
          <w:tcPr>
            <w:tcW w:w="4996" w:type="dxa"/>
            <w:gridSpan w:val="3"/>
            <w:tcBorders>
              <w:top w:val="single" w:sz="4" w:space="0" w:color="000000"/>
              <w:left w:val="single" w:sz="4" w:space="0" w:color="000000"/>
              <w:bottom w:val="single" w:sz="4" w:space="0" w:color="000000"/>
              <w:right w:val="single" w:sz="4" w:space="0" w:color="000000"/>
            </w:tcBorders>
            <w:shd w:val="clear" w:color="auto" w:fill="auto"/>
          </w:tcPr>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hint="eastAsia"/>
                <w:sz w:val="24"/>
              </w:rPr>
              <w:t>、市场主体监管，营造了更加公平诚信的社会环境，</w:t>
            </w:r>
            <w:proofErr w:type="gramStart"/>
            <w:r>
              <w:rPr>
                <w:rFonts w:ascii="仿宋_GB2312" w:eastAsia="仿宋_GB2312" w:hAnsi="宋体" w:cs="宋体" w:hint="eastAsia"/>
                <w:sz w:val="24"/>
              </w:rPr>
              <w:t>新建非</w:t>
            </w:r>
            <w:proofErr w:type="gramEnd"/>
            <w:r>
              <w:rPr>
                <w:rFonts w:ascii="仿宋_GB2312" w:eastAsia="仿宋_GB2312" w:hAnsi="宋体" w:cs="宋体" w:hint="eastAsia"/>
                <w:sz w:val="24"/>
              </w:rPr>
              <w:t>公党支部</w:t>
            </w:r>
            <w:r>
              <w:rPr>
                <w:rFonts w:ascii="仿宋_GB2312" w:eastAsia="仿宋_GB2312" w:hAnsi="宋体" w:cs="宋体" w:hint="eastAsia"/>
                <w:sz w:val="24"/>
              </w:rPr>
              <w:t>10</w:t>
            </w:r>
            <w:r>
              <w:rPr>
                <w:rFonts w:ascii="仿宋_GB2312" w:eastAsia="仿宋_GB2312" w:hAnsi="宋体" w:cs="宋体" w:hint="eastAsia"/>
                <w:sz w:val="24"/>
              </w:rPr>
              <w:t>个，更好地发挥了党支部在非公有制企业的引领作用。</w:t>
            </w:r>
            <w:r>
              <w:rPr>
                <w:rFonts w:ascii="仿宋_GB2312" w:eastAsia="仿宋_GB2312" w:hAnsi="宋体" w:cs="宋体" w:hint="eastAsia"/>
                <w:sz w:val="24"/>
              </w:rPr>
              <w:t xml:space="preserve">                                </w:t>
            </w:r>
            <w:r>
              <w:rPr>
                <w:rFonts w:ascii="仿宋_GB2312" w:eastAsia="仿宋_GB2312" w:hAnsi="宋体" w:cs="宋体" w:hint="eastAsia"/>
                <w:sz w:val="24"/>
              </w:rPr>
              <w:t xml:space="preserve">                                               2</w:t>
            </w:r>
            <w:r>
              <w:rPr>
                <w:rFonts w:ascii="仿宋_GB2312" w:eastAsia="仿宋_GB2312" w:hAnsi="宋体" w:cs="宋体" w:hint="eastAsia"/>
                <w:sz w:val="24"/>
              </w:rPr>
              <w:t>、通过食药械化监管，保证了人民生命财产健康安全，常态化疫情防控工作的开展，强化了冷链食品安全，增强了公众的自我保护意识。</w:t>
            </w:r>
            <w:r>
              <w:rPr>
                <w:rFonts w:ascii="仿宋_GB2312" w:eastAsia="仿宋_GB2312" w:hAnsi="宋体" w:cs="宋体" w:hint="eastAsia"/>
                <w:sz w:val="24"/>
              </w:rPr>
              <w:t xml:space="preserve">                                                                   3</w:t>
            </w:r>
            <w:r>
              <w:rPr>
                <w:rFonts w:ascii="仿宋_GB2312" w:eastAsia="仿宋_GB2312" w:hAnsi="宋体" w:cs="宋体" w:hint="eastAsia"/>
                <w:sz w:val="24"/>
              </w:rPr>
              <w:t>、通过质量安全监督检查，提高了特种设备使用的安全水平，检查隐患，保证区域内无重大事故发生。</w:t>
            </w:r>
            <w:r>
              <w:rPr>
                <w:rFonts w:ascii="仿宋_GB2312" w:eastAsia="仿宋_GB2312" w:hAnsi="宋体" w:cs="宋体" w:hint="eastAsia"/>
                <w:sz w:val="24"/>
              </w:rPr>
              <w:t xml:space="preserve">                                   </w:t>
            </w:r>
            <w:r>
              <w:rPr>
                <w:rFonts w:ascii="仿宋_GB2312" w:eastAsia="仿宋_GB2312" w:hAnsi="宋体" w:cs="宋体" w:hint="eastAsia"/>
                <w:sz w:val="24"/>
              </w:rPr>
              <w:t xml:space="preserve">                                                4</w:t>
            </w:r>
            <w:r>
              <w:rPr>
                <w:rFonts w:ascii="仿宋_GB2312" w:eastAsia="仿宋_GB2312" w:hAnsi="宋体" w:cs="宋体" w:hint="eastAsia"/>
                <w:sz w:val="24"/>
              </w:rPr>
              <w:t>、通过各类宣培训，提高了人们的科普知识水平。</w:t>
            </w:r>
          </w:p>
        </w:tc>
      </w:tr>
      <w:tr w:rsidR="000F0EA8">
        <w:trPr>
          <w:gridAfter w:val="1"/>
          <w:wAfter w:w="236" w:type="dxa"/>
          <w:trHeight w:val="983"/>
        </w:trPr>
        <w:tc>
          <w:tcPr>
            <w:tcW w:w="1384"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年度绩效指标完成情况</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二级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三级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预期指标值</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实际完成指标值</w:t>
            </w:r>
          </w:p>
        </w:tc>
      </w:tr>
      <w:tr w:rsidR="000F0EA8">
        <w:trPr>
          <w:gridAfter w:val="1"/>
          <w:wAfter w:w="236" w:type="dxa"/>
          <w:trHeight w:val="1138"/>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完成</w:t>
            </w:r>
          </w:p>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指标</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数量指标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市场主体监管</w:t>
            </w:r>
            <w:r>
              <w:rPr>
                <w:rFonts w:ascii="仿宋_GB2312" w:eastAsia="仿宋_GB2312" w:hAnsi="仿宋_GB2312" w:cs="仿宋_GB2312" w:hint="eastAsia"/>
                <w:sz w:val="24"/>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市场主体年报公示、信用监管≥</w:t>
            </w:r>
            <w:r>
              <w:rPr>
                <w:rFonts w:ascii="仿宋_GB2312" w:eastAsia="仿宋_GB2312" w:hAnsi="仿宋_GB2312" w:cs="仿宋_GB2312" w:hint="eastAsia"/>
                <w:sz w:val="24"/>
              </w:rPr>
              <w:t>4000</w:t>
            </w:r>
            <w:r>
              <w:rPr>
                <w:rFonts w:ascii="仿宋_GB2312" w:eastAsia="仿宋_GB2312" w:hAnsi="仿宋_GB2312" w:cs="仿宋_GB2312" w:hint="eastAsia"/>
                <w:sz w:val="24"/>
              </w:rPr>
              <w:t>户。新登记注册各类市场主体≥</w:t>
            </w:r>
            <w:r>
              <w:rPr>
                <w:rFonts w:ascii="仿宋_GB2312" w:eastAsia="仿宋_GB2312" w:hAnsi="仿宋_GB2312" w:cs="仿宋_GB2312" w:hint="eastAsia"/>
                <w:sz w:val="24"/>
              </w:rPr>
              <w:t>250</w:t>
            </w:r>
            <w:r>
              <w:rPr>
                <w:rFonts w:ascii="仿宋_GB2312" w:eastAsia="仿宋_GB2312" w:hAnsi="仿宋_GB2312" w:cs="仿宋_GB2312" w:hint="eastAsia"/>
                <w:sz w:val="24"/>
              </w:rPr>
              <w:t>户。</w:t>
            </w:r>
            <w:proofErr w:type="gramStart"/>
            <w:r>
              <w:rPr>
                <w:rFonts w:ascii="仿宋_GB2312" w:eastAsia="仿宋_GB2312" w:hAnsi="仿宋_GB2312" w:cs="仿宋_GB2312" w:hint="eastAsia"/>
                <w:sz w:val="24"/>
              </w:rPr>
              <w:t>新建非</w:t>
            </w:r>
            <w:proofErr w:type="gramEnd"/>
            <w:r>
              <w:rPr>
                <w:rFonts w:ascii="仿宋_GB2312" w:eastAsia="仿宋_GB2312" w:hAnsi="仿宋_GB2312" w:cs="仿宋_GB2312" w:hint="eastAsia"/>
                <w:sz w:val="24"/>
              </w:rPr>
              <w:t>公党支部≥</w:t>
            </w:r>
            <w:r>
              <w:rPr>
                <w:rFonts w:ascii="仿宋_GB2312" w:eastAsia="仿宋_GB2312" w:hAnsi="仿宋_GB2312" w:cs="仿宋_GB2312" w:hint="eastAsia"/>
                <w:sz w:val="24"/>
              </w:rPr>
              <w:t>2</w:t>
            </w:r>
            <w:r>
              <w:rPr>
                <w:rFonts w:ascii="仿宋_GB2312" w:eastAsia="仿宋_GB2312" w:hAnsi="仿宋_GB2312" w:cs="仿宋_GB2312" w:hint="eastAsia"/>
                <w:sz w:val="24"/>
              </w:rPr>
              <w:t>个。对辖区市场主体</w:t>
            </w:r>
            <w:r>
              <w:rPr>
                <w:rFonts w:ascii="仿宋_GB2312" w:eastAsia="仿宋_GB2312" w:hAnsi="仿宋_GB2312" w:cs="仿宋_GB2312" w:hint="eastAsia"/>
                <w:sz w:val="24"/>
              </w:rPr>
              <w:lastRenderedPageBreak/>
              <w:t>（企业）实施“双随机</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公开”检查抽查，开展行政人员培训学时≥</w:t>
            </w:r>
            <w:r>
              <w:rPr>
                <w:rFonts w:ascii="仿宋_GB2312" w:eastAsia="仿宋_GB2312" w:hAnsi="仿宋_GB2312" w:cs="仿宋_GB2312" w:hint="eastAsia"/>
                <w:sz w:val="24"/>
              </w:rPr>
              <w:t>60</w:t>
            </w:r>
            <w:r>
              <w:rPr>
                <w:rFonts w:ascii="仿宋_GB2312" w:eastAsia="仿宋_GB2312" w:hAnsi="仿宋_GB2312" w:cs="仿宋_GB2312" w:hint="eastAsia"/>
                <w:sz w:val="24"/>
              </w:rPr>
              <w:t>学时。企业负责人和安全管理人员培训≥</w:t>
            </w:r>
            <w:r>
              <w:rPr>
                <w:rFonts w:ascii="仿宋_GB2312" w:eastAsia="仿宋_GB2312" w:hAnsi="仿宋_GB2312" w:cs="仿宋_GB2312" w:hint="eastAsia"/>
                <w:sz w:val="24"/>
              </w:rPr>
              <w:t>1</w:t>
            </w:r>
            <w:r>
              <w:rPr>
                <w:rFonts w:ascii="仿宋_GB2312" w:eastAsia="仿宋_GB2312" w:hAnsi="仿宋_GB2312" w:cs="仿宋_GB2312" w:hint="eastAsia"/>
                <w:sz w:val="24"/>
              </w:rPr>
              <w:t>次，开展安全执法检查</w:t>
            </w:r>
            <w:r>
              <w:rPr>
                <w:rFonts w:ascii="仿宋_GB2312" w:eastAsia="仿宋_GB2312" w:hAnsi="仿宋_GB2312" w:cs="仿宋_GB2312" w:hint="eastAsia"/>
                <w:sz w:val="24"/>
              </w:rPr>
              <w:t>40</w:t>
            </w:r>
            <w:r>
              <w:rPr>
                <w:rFonts w:ascii="仿宋_GB2312" w:eastAsia="仿宋_GB2312" w:hAnsi="仿宋_GB2312" w:cs="仿宋_GB2312" w:hint="eastAsia"/>
                <w:sz w:val="24"/>
              </w:rPr>
              <w:t>家次。</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lastRenderedPageBreak/>
              <w:t>新登记注册各类市场主体</w:t>
            </w:r>
            <w:r>
              <w:rPr>
                <w:rFonts w:ascii="仿宋_GB2312" w:eastAsia="仿宋_GB2312" w:hAnsi="仿宋_GB2312" w:cs="仿宋_GB2312" w:hint="eastAsia"/>
                <w:sz w:val="24"/>
              </w:rPr>
              <w:t>720</w:t>
            </w:r>
            <w:r>
              <w:rPr>
                <w:rFonts w:ascii="仿宋_GB2312" w:eastAsia="仿宋_GB2312" w:hAnsi="仿宋_GB2312" w:cs="仿宋_GB2312" w:hint="eastAsia"/>
                <w:sz w:val="24"/>
              </w:rPr>
              <w:t>户，完成市场主体年报公示、信用监管</w:t>
            </w:r>
            <w:r>
              <w:rPr>
                <w:rFonts w:ascii="仿宋_GB2312" w:eastAsia="仿宋_GB2312" w:hAnsi="仿宋_GB2312" w:cs="仿宋_GB2312" w:hint="eastAsia"/>
                <w:sz w:val="24"/>
              </w:rPr>
              <w:t>3652</w:t>
            </w:r>
            <w:r>
              <w:rPr>
                <w:rFonts w:ascii="仿宋_GB2312" w:eastAsia="仿宋_GB2312" w:hAnsi="仿宋_GB2312" w:cs="仿宋_GB2312" w:hint="eastAsia"/>
                <w:sz w:val="24"/>
              </w:rPr>
              <w:t>户，</w:t>
            </w:r>
            <w:proofErr w:type="gramStart"/>
            <w:r>
              <w:rPr>
                <w:rFonts w:ascii="仿宋_GB2312" w:eastAsia="仿宋_GB2312" w:hAnsi="仿宋_GB2312" w:cs="仿宋_GB2312" w:hint="eastAsia"/>
                <w:sz w:val="24"/>
              </w:rPr>
              <w:t>新建非</w:t>
            </w:r>
            <w:proofErr w:type="gramEnd"/>
            <w:r>
              <w:rPr>
                <w:rFonts w:ascii="仿宋_GB2312" w:eastAsia="仿宋_GB2312" w:hAnsi="仿宋_GB2312" w:cs="仿宋_GB2312" w:hint="eastAsia"/>
                <w:sz w:val="24"/>
              </w:rPr>
              <w:t>公党支部</w:t>
            </w:r>
            <w:r>
              <w:rPr>
                <w:rFonts w:ascii="仿宋_GB2312" w:eastAsia="仿宋_GB2312" w:hAnsi="仿宋_GB2312" w:cs="仿宋_GB2312" w:hint="eastAsia"/>
                <w:sz w:val="24"/>
              </w:rPr>
              <w:t>10</w:t>
            </w:r>
            <w:r>
              <w:rPr>
                <w:rFonts w:ascii="仿宋_GB2312" w:eastAsia="仿宋_GB2312" w:hAnsi="仿宋_GB2312" w:cs="仿宋_GB2312" w:hint="eastAsia"/>
                <w:sz w:val="24"/>
              </w:rPr>
              <w:lastRenderedPageBreak/>
              <w:t>个，开展培训</w:t>
            </w:r>
            <w:r>
              <w:rPr>
                <w:rFonts w:ascii="仿宋_GB2312" w:eastAsia="仿宋_GB2312" w:hAnsi="仿宋_GB2312" w:cs="仿宋_GB2312" w:hint="eastAsia"/>
                <w:sz w:val="24"/>
              </w:rPr>
              <w:t>1</w:t>
            </w:r>
            <w:r>
              <w:rPr>
                <w:rFonts w:ascii="仿宋_GB2312" w:eastAsia="仿宋_GB2312" w:hAnsi="仿宋_GB2312" w:cs="仿宋_GB2312" w:hint="eastAsia"/>
                <w:sz w:val="24"/>
              </w:rPr>
              <w:t>次，开展安全执法检查</w:t>
            </w:r>
            <w:r>
              <w:rPr>
                <w:rFonts w:ascii="仿宋_GB2312" w:eastAsia="仿宋_GB2312" w:hAnsi="仿宋_GB2312" w:cs="仿宋_GB2312" w:hint="eastAsia"/>
                <w:sz w:val="24"/>
              </w:rPr>
              <w:t>40</w:t>
            </w:r>
            <w:r>
              <w:rPr>
                <w:rFonts w:ascii="仿宋_GB2312" w:eastAsia="仿宋_GB2312" w:hAnsi="仿宋_GB2312" w:cs="仿宋_GB2312" w:hint="eastAsia"/>
                <w:sz w:val="24"/>
              </w:rPr>
              <w:t>家次。</w:t>
            </w:r>
          </w:p>
        </w:tc>
      </w:tr>
      <w:tr w:rsidR="000F0EA8">
        <w:trPr>
          <w:gridAfter w:val="1"/>
          <w:wAfter w:w="236" w:type="dxa"/>
          <w:trHeight w:val="11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textAlignment w:val="bottom"/>
              <w:rPr>
                <w:rFonts w:ascii="仿宋_GB2312" w:eastAsia="仿宋_GB2312" w:hAnsi="仿宋_GB2312" w:cs="仿宋_GB2312"/>
                <w:kern w:val="0"/>
                <w:sz w:val="24"/>
              </w:rPr>
            </w:pPr>
          </w:p>
        </w:tc>
        <w:tc>
          <w:tcPr>
            <w:tcW w:w="850"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食药械化</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食药械</w:t>
            </w:r>
            <w:proofErr w:type="gramStart"/>
            <w:r>
              <w:rPr>
                <w:rFonts w:ascii="仿宋_GB2312" w:eastAsia="仿宋_GB2312" w:hAnsi="仿宋_GB2312" w:cs="仿宋_GB2312" w:hint="eastAsia"/>
                <w:sz w:val="24"/>
              </w:rPr>
              <w:t>化法律</w:t>
            </w:r>
            <w:proofErr w:type="gramEnd"/>
            <w:r>
              <w:rPr>
                <w:rFonts w:ascii="仿宋_GB2312" w:eastAsia="仿宋_GB2312" w:hAnsi="仿宋_GB2312" w:cs="仿宋_GB2312" w:hint="eastAsia"/>
                <w:sz w:val="24"/>
              </w:rPr>
              <w:t>法规宣传各≥</w:t>
            </w:r>
            <w:r>
              <w:rPr>
                <w:rFonts w:ascii="仿宋_GB2312" w:eastAsia="仿宋_GB2312" w:hAnsi="仿宋_GB2312" w:cs="仿宋_GB2312" w:hint="eastAsia"/>
                <w:sz w:val="24"/>
              </w:rPr>
              <w:t>1</w:t>
            </w:r>
            <w:r>
              <w:rPr>
                <w:rFonts w:ascii="仿宋_GB2312" w:eastAsia="仿宋_GB2312" w:hAnsi="仿宋_GB2312" w:cs="仿宋_GB2312" w:hint="eastAsia"/>
                <w:sz w:val="24"/>
              </w:rPr>
              <w:t>次，食药械</w:t>
            </w:r>
            <w:proofErr w:type="gramStart"/>
            <w:r>
              <w:rPr>
                <w:rFonts w:ascii="仿宋_GB2312" w:eastAsia="仿宋_GB2312" w:hAnsi="仿宋_GB2312" w:cs="仿宋_GB2312" w:hint="eastAsia"/>
                <w:sz w:val="24"/>
              </w:rPr>
              <w:t>化质量管控培训</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40</w:t>
            </w:r>
            <w:r>
              <w:rPr>
                <w:rFonts w:ascii="仿宋_GB2312" w:eastAsia="仿宋_GB2312" w:hAnsi="仿宋_GB2312" w:cs="仿宋_GB2312" w:hint="eastAsia"/>
                <w:sz w:val="24"/>
              </w:rPr>
              <w:t>学时，食品、食用农产品监督抽检监测≥</w:t>
            </w:r>
            <w:r>
              <w:rPr>
                <w:rFonts w:ascii="仿宋_GB2312" w:eastAsia="仿宋_GB2312" w:hAnsi="仿宋_GB2312" w:cs="仿宋_GB2312" w:hint="eastAsia"/>
                <w:sz w:val="24"/>
              </w:rPr>
              <w:t>30</w:t>
            </w:r>
            <w:r>
              <w:rPr>
                <w:rFonts w:ascii="仿宋_GB2312" w:eastAsia="仿宋_GB2312" w:hAnsi="仿宋_GB2312" w:cs="仿宋_GB2312" w:hint="eastAsia"/>
                <w:sz w:val="24"/>
              </w:rPr>
              <w:t>批次，各类产品专项整治≥</w:t>
            </w:r>
            <w:r>
              <w:rPr>
                <w:rFonts w:ascii="仿宋_GB2312" w:eastAsia="仿宋_GB2312" w:hAnsi="仿宋_GB2312" w:cs="仿宋_GB2312" w:hint="eastAsia"/>
                <w:sz w:val="24"/>
              </w:rPr>
              <w:t>16</w:t>
            </w:r>
            <w:r>
              <w:rPr>
                <w:rFonts w:ascii="仿宋_GB2312" w:eastAsia="仿宋_GB2312" w:hAnsi="仿宋_GB2312" w:cs="仿宋_GB2312" w:hint="eastAsia"/>
                <w:sz w:val="24"/>
              </w:rPr>
              <w:t>次。</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开展食药械</w:t>
            </w:r>
            <w:proofErr w:type="gramStart"/>
            <w:r>
              <w:rPr>
                <w:rFonts w:ascii="仿宋_GB2312" w:eastAsia="仿宋_GB2312" w:hAnsi="仿宋_GB2312" w:cs="仿宋_GB2312" w:hint="eastAsia"/>
                <w:sz w:val="24"/>
              </w:rPr>
              <w:t>化法律</w:t>
            </w:r>
            <w:proofErr w:type="gramEnd"/>
            <w:r>
              <w:rPr>
                <w:rFonts w:ascii="仿宋_GB2312" w:eastAsia="仿宋_GB2312" w:hAnsi="仿宋_GB2312" w:cs="仿宋_GB2312" w:hint="eastAsia"/>
                <w:sz w:val="24"/>
              </w:rPr>
              <w:t>法规宣传各</w:t>
            </w:r>
            <w:r>
              <w:rPr>
                <w:rFonts w:ascii="仿宋_GB2312" w:eastAsia="仿宋_GB2312" w:hAnsi="仿宋_GB2312" w:cs="仿宋_GB2312" w:hint="eastAsia"/>
                <w:sz w:val="24"/>
              </w:rPr>
              <w:t>4</w:t>
            </w:r>
            <w:r>
              <w:rPr>
                <w:rFonts w:ascii="仿宋_GB2312" w:eastAsia="仿宋_GB2312" w:hAnsi="仿宋_GB2312" w:cs="仿宋_GB2312" w:hint="eastAsia"/>
                <w:sz w:val="24"/>
              </w:rPr>
              <w:t>次，完成食药械</w:t>
            </w:r>
            <w:proofErr w:type="gramStart"/>
            <w:r>
              <w:rPr>
                <w:rFonts w:ascii="仿宋_GB2312" w:eastAsia="仿宋_GB2312" w:hAnsi="仿宋_GB2312" w:cs="仿宋_GB2312" w:hint="eastAsia"/>
                <w:sz w:val="24"/>
              </w:rPr>
              <w:t>化质量管控培训</w:t>
            </w:r>
            <w:proofErr w:type="gramEnd"/>
            <w:r>
              <w:rPr>
                <w:rFonts w:ascii="仿宋_GB2312" w:eastAsia="仿宋_GB2312" w:hAnsi="仿宋_GB2312" w:cs="仿宋_GB2312" w:hint="eastAsia"/>
                <w:sz w:val="24"/>
              </w:rPr>
              <w:t>40</w:t>
            </w:r>
            <w:r>
              <w:rPr>
                <w:rFonts w:ascii="仿宋_GB2312" w:eastAsia="仿宋_GB2312" w:hAnsi="仿宋_GB2312" w:cs="仿宋_GB2312" w:hint="eastAsia"/>
                <w:sz w:val="24"/>
              </w:rPr>
              <w:t>学时，进行抽检</w:t>
            </w:r>
            <w:r>
              <w:rPr>
                <w:rFonts w:ascii="仿宋_GB2312" w:eastAsia="仿宋_GB2312" w:hAnsi="仿宋_GB2312" w:cs="仿宋_GB2312" w:hint="eastAsia"/>
                <w:sz w:val="24"/>
              </w:rPr>
              <w:t>100</w:t>
            </w:r>
            <w:r>
              <w:rPr>
                <w:rFonts w:ascii="仿宋_GB2312" w:eastAsia="仿宋_GB2312" w:hAnsi="仿宋_GB2312" w:cs="仿宋_GB2312" w:hint="eastAsia"/>
                <w:sz w:val="24"/>
              </w:rPr>
              <w:t>批次，完成各类产品专项整治</w:t>
            </w:r>
            <w:r>
              <w:rPr>
                <w:rFonts w:ascii="仿宋_GB2312" w:eastAsia="仿宋_GB2312" w:hAnsi="仿宋_GB2312" w:cs="仿宋_GB2312" w:hint="eastAsia"/>
                <w:sz w:val="24"/>
              </w:rPr>
              <w:t>16</w:t>
            </w:r>
            <w:r>
              <w:rPr>
                <w:rFonts w:ascii="仿宋_GB2312" w:eastAsia="仿宋_GB2312" w:hAnsi="仿宋_GB2312" w:cs="仿宋_GB2312" w:hint="eastAsia"/>
                <w:sz w:val="24"/>
              </w:rPr>
              <w:t>次。</w:t>
            </w:r>
          </w:p>
        </w:tc>
      </w:tr>
      <w:tr w:rsidR="000F0EA8">
        <w:trPr>
          <w:gridAfter w:val="1"/>
          <w:wAfter w:w="236" w:type="dxa"/>
          <w:trHeight w:val="1237"/>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bottom"/>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bottom"/>
              <w:rPr>
                <w:rFonts w:ascii="仿宋_GB2312" w:eastAsia="仿宋_GB2312" w:hAnsi="仿宋_GB2312" w:cs="仿宋_GB2312"/>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质监专项</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特种设备安全培训≥</w:t>
            </w:r>
            <w:r>
              <w:rPr>
                <w:rFonts w:ascii="仿宋_GB2312" w:eastAsia="仿宋_GB2312" w:hAnsi="仿宋_GB2312" w:cs="仿宋_GB2312" w:hint="eastAsia"/>
                <w:sz w:val="24"/>
              </w:rPr>
              <w:t>1</w:t>
            </w:r>
            <w:r>
              <w:rPr>
                <w:rFonts w:ascii="仿宋_GB2312" w:eastAsia="仿宋_GB2312" w:hAnsi="仿宋_GB2312" w:cs="仿宋_GB2312" w:hint="eastAsia"/>
                <w:sz w:val="24"/>
              </w:rPr>
              <w:t>次，专项检查≥</w:t>
            </w:r>
            <w:r>
              <w:rPr>
                <w:rFonts w:ascii="仿宋_GB2312" w:eastAsia="仿宋_GB2312" w:hAnsi="仿宋_GB2312" w:cs="仿宋_GB2312" w:hint="eastAsia"/>
                <w:sz w:val="24"/>
              </w:rPr>
              <w:t>8</w:t>
            </w:r>
            <w:r>
              <w:rPr>
                <w:rFonts w:ascii="仿宋_GB2312" w:eastAsia="仿宋_GB2312" w:hAnsi="仿宋_GB2312" w:cs="仿宋_GB2312" w:hint="eastAsia"/>
                <w:sz w:val="24"/>
              </w:rPr>
              <w:t>次，巡查≥</w:t>
            </w:r>
            <w:r>
              <w:rPr>
                <w:rFonts w:ascii="仿宋_GB2312" w:eastAsia="仿宋_GB2312" w:hAnsi="仿宋_GB2312" w:cs="仿宋_GB2312" w:hint="eastAsia"/>
                <w:sz w:val="24"/>
              </w:rPr>
              <w:t>30</w:t>
            </w:r>
            <w:r>
              <w:rPr>
                <w:rFonts w:ascii="仿宋_GB2312" w:eastAsia="仿宋_GB2312" w:hAnsi="仿宋_GB2312" w:cs="仿宋_GB2312" w:hint="eastAsia"/>
                <w:sz w:val="24"/>
              </w:rPr>
              <w:t>户。世界计量日宣传≥</w:t>
            </w:r>
            <w:r>
              <w:rPr>
                <w:rFonts w:ascii="仿宋_GB2312" w:eastAsia="仿宋_GB2312" w:hAnsi="仿宋_GB2312" w:cs="仿宋_GB2312" w:hint="eastAsia"/>
                <w:sz w:val="24"/>
              </w:rPr>
              <w:t>1</w:t>
            </w:r>
            <w:r>
              <w:rPr>
                <w:rFonts w:ascii="仿宋_GB2312" w:eastAsia="仿宋_GB2312" w:hAnsi="仿宋_GB2312" w:cs="仿宋_GB2312" w:hint="eastAsia"/>
                <w:sz w:val="24"/>
              </w:rPr>
              <w:t>次，</w:t>
            </w:r>
            <w:r>
              <w:rPr>
                <w:rFonts w:ascii="仿宋_GB2312" w:eastAsia="仿宋_GB2312" w:hAnsi="仿宋_GB2312" w:cs="仿宋_GB2312" w:hint="eastAsia"/>
                <w:sz w:val="24"/>
              </w:rPr>
              <w:t>3C</w:t>
            </w:r>
            <w:r>
              <w:rPr>
                <w:rFonts w:ascii="仿宋_GB2312" w:eastAsia="仿宋_GB2312" w:hAnsi="仿宋_GB2312" w:cs="仿宋_GB2312" w:hint="eastAsia"/>
                <w:sz w:val="24"/>
              </w:rPr>
              <w:t>认证≥</w:t>
            </w:r>
            <w:r>
              <w:rPr>
                <w:rFonts w:ascii="仿宋_GB2312" w:eastAsia="仿宋_GB2312" w:hAnsi="仿宋_GB2312" w:cs="仿宋_GB2312" w:hint="eastAsia"/>
                <w:sz w:val="24"/>
              </w:rPr>
              <w:t>5</w:t>
            </w:r>
            <w:r>
              <w:rPr>
                <w:rFonts w:ascii="仿宋_GB2312" w:eastAsia="仿宋_GB2312" w:hAnsi="仿宋_GB2312" w:cs="仿宋_GB2312" w:hint="eastAsia"/>
                <w:sz w:val="24"/>
              </w:rPr>
              <w:t>户。标准上档升级≥</w:t>
            </w:r>
            <w:r>
              <w:rPr>
                <w:rFonts w:ascii="仿宋_GB2312" w:eastAsia="仿宋_GB2312" w:hAnsi="仿宋_GB2312" w:cs="仿宋_GB2312" w:hint="eastAsia"/>
                <w:sz w:val="24"/>
              </w:rPr>
              <w:t>1</w:t>
            </w:r>
            <w:r>
              <w:rPr>
                <w:rFonts w:ascii="仿宋_GB2312" w:eastAsia="仿宋_GB2312" w:hAnsi="仿宋_GB2312" w:cs="仿宋_GB2312" w:hint="eastAsia"/>
                <w:sz w:val="24"/>
              </w:rPr>
              <w:t>户。品牌培育≥</w:t>
            </w:r>
            <w:r>
              <w:rPr>
                <w:rFonts w:ascii="仿宋_GB2312" w:eastAsia="仿宋_GB2312" w:hAnsi="仿宋_GB2312" w:cs="仿宋_GB2312" w:hint="eastAsia"/>
                <w:sz w:val="24"/>
              </w:rPr>
              <w:t>2</w:t>
            </w:r>
            <w:r>
              <w:rPr>
                <w:rFonts w:ascii="仿宋_GB2312" w:eastAsia="仿宋_GB2312" w:hAnsi="仿宋_GB2312" w:cs="仿宋_GB2312" w:hint="eastAsia"/>
                <w:sz w:val="24"/>
              </w:rPr>
              <w:t>件。培育“广元市市长质量奖”≥</w:t>
            </w:r>
            <w:r>
              <w:rPr>
                <w:rFonts w:ascii="仿宋_GB2312" w:eastAsia="仿宋_GB2312" w:hAnsi="仿宋_GB2312" w:cs="仿宋_GB2312" w:hint="eastAsia"/>
                <w:sz w:val="24"/>
              </w:rPr>
              <w:t>1</w:t>
            </w:r>
            <w:r>
              <w:rPr>
                <w:rFonts w:ascii="仿宋_GB2312" w:eastAsia="仿宋_GB2312" w:hAnsi="仿宋_GB2312" w:cs="仿宋_GB2312" w:hint="eastAsia"/>
                <w:sz w:val="24"/>
              </w:rPr>
              <w:t>家。</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特种设备安全培训完成</w:t>
            </w:r>
            <w:r>
              <w:rPr>
                <w:rFonts w:ascii="仿宋_GB2312" w:eastAsia="仿宋_GB2312" w:hAnsi="仿宋_GB2312" w:cs="仿宋_GB2312" w:hint="eastAsia"/>
                <w:sz w:val="24"/>
              </w:rPr>
              <w:t>100%</w:t>
            </w:r>
            <w:r>
              <w:rPr>
                <w:rFonts w:ascii="仿宋_GB2312" w:eastAsia="仿宋_GB2312" w:hAnsi="仿宋_GB2312" w:cs="仿宋_GB2312" w:hint="eastAsia"/>
                <w:sz w:val="24"/>
              </w:rPr>
              <w:t>，专项检查</w:t>
            </w:r>
            <w:r>
              <w:rPr>
                <w:rFonts w:ascii="仿宋_GB2312" w:eastAsia="仿宋_GB2312" w:hAnsi="仿宋_GB2312" w:cs="仿宋_GB2312" w:hint="eastAsia"/>
                <w:sz w:val="24"/>
              </w:rPr>
              <w:t>9</w:t>
            </w:r>
            <w:r>
              <w:rPr>
                <w:rFonts w:ascii="仿宋_GB2312" w:eastAsia="仿宋_GB2312" w:hAnsi="仿宋_GB2312" w:cs="仿宋_GB2312" w:hint="eastAsia"/>
                <w:sz w:val="24"/>
              </w:rPr>
              <w:t>次，特种设备安全巡查</w:t>
            </w:r>
            <w:r>
              <w:rPr>
                <w:rFonts w:ascii="仿宋_GB2312" w:eastAsia="仿宋_GB2312" w:hAnsi="仿宋_GB2312" w:cs="仿宋_GB2312" w:hint="eastAsia"/>
                <w:sz w:val="24"/>
              </w:rPr>
              <w:t>38</w:t>
            </w:r>
            <w:r>
              <w:rPr>
                <w:rFonts w:ascii="仿宋_GB2312" w:eastAsia="仿宋_GB2312" w:hAnsi="仿宋_GB2312" w:cs="仿宋_GB2312" w:hint="eastAsia"/>
                <w:sz w:val="24"/>
              </w:rPr>
              <w:t>家。开展“</w:t>
            </w:r>
            <w:r>
              <w:rPr>
                <w:rFonts w:ascii="仿宋_GB2312" w:eastAsia="仿宋_GB2312" w:hAnsi="仿宋_GB2312" w:cs="仿宋_GB2312" w:hint="eastAsia"/>
                <w:sz w:val="24"/>
              </w:rPr>
              <w:t>3C</w:t>
            </w:r>
            <w:r>
              <w:rPr>
                <w:rFonts w:ascii="仿宋_GB2312" w:eastAsia="仿宋_GB2312" w:hAnsi="仿宋_GB2312" w:cs="仿宋_GB2312" w:hint="eastAsia"/>
                <w:sz w:val="24"/>
              </w:rPr>
              <w:t>”认证专项检查</w:t>
            </w:r>
            <w:r>
              <w:rPr>
                <w:rFonts w:ascii="仿宋_GB2312" w:eastAsia="仿宋_GB2312" w:hAnsi="仿宋_GB2312" w:cs="仿宋_GB2312" w:hint="eastAsia"/>
                <w:sz w:val="24"/>
              </w:rPr>
              <w:t>1</w:t>
            </w:r>
            <w:r>
              <w:rPr>
                <w:rFonts w:ascii="仿宋_GB2312" w:eastAsia="仿宋_GB2312" w:hAnsi="仿宋_GB2312" w:cs="仿宋_GB2312" w:hint="eastAsia"/>
                <w:sz w:val="24"/>
              </w:rPr>
              <w:t>次，检查认证企业</w:t>
            </w:r>
            <w:r>
              <w:rPr>
                <w:rFonts w:ascii="仿宋_GB2312" w:eastAsia="仿宋_GB2312" w:hAnsi="仿宋_GB2312" w:cs="仿宋_GB2312" w:hint="eastAsia"/>
                <w:sz w:val="24"/>
              </w:rPr>
              <w:t>6</w:t>
            </w:r>
            <w:r>
              <w:rPr>
                <w:rFonts w:ascii="仿宋_GB2312" w:eastAsia="仿宋_GB2312" w:hAnsi="仿宋_GB2312" w:cs="仿宋_GB2312" w:hint="eastAsia"/>
                <w:sz w:val="24"/>
              </w:rPr>
              <w:t>家，“</w:t>
            </w:r>
            <w:r>
              <w:rPr>
                <w:rFonts w:ascii="仿宋_GB2312" w:eastAsia="仿宋_GB2312" w:hAnsi="仿宋_GB2312" w:cs="仿宋_GB2312" w:hint="eastAsia"/>
                <w:sz w:val="24"/>
              </w:rPr>
              <w:t>5.20</w:t>
            </w:r>
            <w:r>
              <w:rPr>
                <w:rFonts w:ascii="仿宋_GB2312" w:eastAsia="仿宋_GB2312" w:hAnsi="仿宋_GB2312" w:cs="仿宋_GB2312" w:hint="eastAsia"/>
                <w:sz w:val="24"/>
              </w:rPr>
              <w:t>”世界计量日宣传</w:t>
            </w:r>
            <w:r>
              <w:rPr>
                <w:rFonts w:ascii="仿宋_GB2312" w:eastAsia="仿宋_GB2312" w:hAnsi="仿宋_GB2312" w:cs="仿宋_GB2312" w:hint="eastAsia"/>
                <w:sz w:val="24"/>
              </w:rPr>
              <w:t>1</w:t>
            </w:r>
            <w:r>
              <w:rPr>
                <w:rFonts w:ascii="仿宋_GB2312" w:eastAsia="仿宋_GB2312" w:hAnsi="仿宋_GB2312" w:cs="仿宋_GB2312" w:hint="eastAsia"/>
                <w:sz w:val="24"/>
              </w:rPr>
              <w:t>次，品牌培育</w:t>
            </w:r>
            <w:r>
              <w:rPr>
                <w:rFonts w:ascii="仿宋_GB2312" w:eastAsia="仿宋_GB2312" w:hAnsi="仿宋_GB2312" w:cs="仿宋_GB2312" w:hint="eastAsia"/>
                <w:sz w:val="24"/>
              </w:rPr>
              <w:t>2</w:t>
            </w:r>
            <w:r>
              <w:rPr>
                <w:rFonts w:ascii="仿宋_GB2312" w:eastAsia="仿宋_GB2312" w:hAnsi="仿宋_GB2312" w:cs="仿宋_GB2312" w:hint="eastAsia"/>
                <w:sz w:val="24"/>
              </w:rPr>
              <w:t>家，培育“市长质量奖”</w:t>
            </w:r>
            <w:r>
              <w:rPr>
                <w:rFonts w:ascii="仿宋_GB2312" w:eastAsia="仿宋_GB2312" w:hAnsi="仿宋_GB2312" w:cs="仿宋_GB2312" w:hint="eastAsia"/>
                <w:sz w:val="24"/>
              </w:rPr>
              <w:t>1</w:t>
            </w:r>
            <w:r>
              <w:rPr>
                <w:rFonts w:ascii="仿宋_GB2312" w:eastAsia="仿宋_GB2312" w:hAnsi="仿宋_GB2312" w:cs="仿宋_GB2312" w:hint="eastAsia"/>
                <w:sz w:val="24"/>
              </w:rPr>
              <w:t>家。</w:t>
            </w:r>
          </w:p>
        </w:tc>
      </w:tr>
      <w:tr w:rsidR="000F0EA8">
        <w:trPr>
          <w:gridAfter w:val="1"/>
          <w:wAfter w:w="236" w:type="dxa"/>
          <w:trHeight w:val="4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质量指标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市场主体监管</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年报公示率≥</w:t>
            </w:r>
            <w:r>
              <w:rPr>
                <w:rFonts w:ascii="仿宋_GB2312" w:eastAsia="仿宋_GB2312" w:hAnsi="仿宋_GB2312" w:cs="仿宋_GB2312" w:hint="eastAsia"/>
                <w:sz w:val="24"/>
              </w:rPr>
              <w:t>95%</w:t>
            </w:r>
            <w:r>
              <w:rPr>
                <w:rFonts w:ascii="仿宋_GB2312" w:eastAsia="仿宋_GB2312" w:hAnsi="仿宋_GB2312" w:cs="仿宋_GB2312" w:hint="eastAsia"/>
                <w:sz w:val="24"/>
              </w:rPr>
              <w:t>，对符合失信条件的惩戒</w:t>
            </w:r>
            <w:r>
              <w:rPr>
                <w:rFonts w:ascii="仿宋_GB2312" w:eastAsia="仿宋_GB2312" w:hAnsi="仿宋_GB2312" w:cs="仿宋_GB2312" w:hint="eastAsia"/>
                <w:sz w:val="24"/>
              </w:rPr>
              <w:t>100%</w:t>
            </w:r>
            <w:r>
              <w:rPr>
                <w:rFonts w:ascii="仿宋_GB2312" w:eastAsia="仿宋_GB2312" w:hAnsi="仿宋_GB2312" w:cs="仿宋_GB2312" w:hint="eastAsia"/>
                <w:sz w:val="24"/>
              </w:rPr>
              <w:t>。新登记注册各类市场主体</w:t>
            </w:r>
            <w:r>
              <w:rPr>
                <w:rFonts w:ascii="仿宋_GB2312" w:eastAsia="仿宋_GB2312" w:hAnsi="仿宋_GB2312" w:cs="仿宋_GB2312" w:hint="eastAsia"/>
                <w:sz w:val="24"/>
              </w:rPr>
              <w:t>100%</w:t>
            </w: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新建非</w:t>
            </w:r>
            <w:proofErr w:type="gramEnd"/>
            <w:r>
              <w:rPr>
                <w:rFonts w:ascii="仿宋_GB2312" w:eastAsia="仿宋_GB2312" w:hAnsi="仿宋_GB2312" w:cs="仿宋_GB2312" w:hint="eastAsia"/>
                <w:sz w:val="24"/>
              </w:rPr>
              <w:t>公党支部</w:t>
            </w:r>
            <w:r>
              <w:rPr>
                <w:rFonts w:ascii="仿宋_GB2312" w:eastAsia="仿宋_GB2312" w:hAnsi="仿宋_GB2312" w:cs="仿宋_GB2312" w:hint="eastAsia"/>
                <w:sz w:val="24"/>
              </w:rPr>
              <w:t>100%</w:t>
            </w:r>
            <w:r>
              <w:rPr>
                <w:rFonts w:ascii="仿宋_GB2312" w:eastAsia="仿宋_GB2312" w:hAnsi="仿宋_GB2312" w:cs="仿宋_GB2312" w:hint="eastAsia"/>
                <w:sz w:val="24"/>
              </w:rPr>
              <w:t>。“双随机</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公开”检查抽查率≥</w:t>
            </w:r>
            <w:r>
              <w:rPr>
                <w:rFonts w:ascii="仿宋_GB2312" w:eastAsia="仿宋_GB2312" w:hAnsi="仿宋_GB2312" w:cs="仿宋_GB2312" w:hint="eastAsia"/>
                <w:sz w:val="24"/>
              </w:rPr>
              <w:t>3%</w:t>
            </w:r>
            <w:r>
              <w:rPr>
                <w:rFonts w:ascii="仿宋_GB2312" w:eastAsia="仿宋_GB2312" w:hAnsi="仿宋_GB2312" w:cs="仿宋_GB2312" w:hint="eastAsia"/>
                <w:sz w:val="24"/>
              </w:rPr>
              <w:t>。企业负责人和安全管理人员培训</w:t>
            </w:r>
            <w:r>
              <w:rPr>
                <w:rFonts w:ascii="仿宋_GB2312" w:eastAsia="仿宋_GB2312" w:hAnsi="仿宋_GB2312" w:cs="仿宋_GB2312" w:hint="eastAsia"/>
                <w:sz w:val="24"/>
              </w:rPr>
              <w:t>100%</w:t>
            </w:r>
            <w:r>
              <w:rPr>
                <w:rFonts w:ascii="仿宋_GB2312" w:eastAsia="仿宋_GB2312" w:hAnsi="仿宋_GB2312" w:cs="仿宋_GB2312" w:hint="eastAsia"/>
                <w:sz w:val="24"/>
              </w:rPr>
              <w:t>，开展安全执法检查覆盖率</w:t>
            </w:r>
            <w:r>
              <w:rPr>
                <w:rFonts w:ascii="仿宋_GB2312" w:eastAsia="仿宋_GB2312" w:hAnsi="仿宋_GB2312" w:cs="仿宋_GB2312" w:hint="eastAsia"/>
                <w:sz w:val="24"/>
              </w:rPr>
              <w:t>100%</w:t>
            </w:r>
            <w:r>
              <w:rPr>
                <w:rFonts w:ascii="仿宋_GB2312" w:eastAsia="仿宋_GB2312" w:hAnsi="仿宋_GB2312" w:cs="仿宋_GB2312" w:hint="eastAsia"/>
                <w:sz w:val="24"/>
              </w:rPr>
              <w:t>。</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年报公示率</w:t>
            </w:r>
            <w:r>
              <w:rPr>
                <w:rFonts w:ascii="仿宋_GB2312" w:eastAsia="仿宋_GB2312" w:hAnsi="仿宋_GB2312" w:cs="仿宋_GB2312" w:hint="eastAsia"/>
                <w:sz w:val="24"/>
              </w:rPr>
              <w:t>75%</w:t>
            </w:r>
            <w:r>
              <w:rPr>
                <w:rFonts w:ascii="仿宋_GB2312" w:eastAsia="仿宋_GB2312" w:hAnsi="仿宋_GB2312" w:cs="仿宋_GB2312" w:hint="eastAsia"/>
                <w:sz w:val="24"/>
              </w:rPr>
              <w:t>，对符合失信条件的惩戒率</w:t>
            </w:r>
            <w:r>
              <w:rPr>
                <w:rFonts w:ascii="仿宋_GB2312" w:eastAsia="仿宋_GB2312" w:hAnsi="仿宋_GB2312" w:cs="仿宋_GB2312" w:hint="eastAsia"/>
                <w:sz w:val="24"/>
              </w:rPr>
              <w:t>100%</w:t>
            </w:r>
            <w:r>
              <w:rPr>
                <w:rFonts w:ascii="仿宋_GB2312" w:eastAsia="仿宋_GB2312" w:hAnsi="仿宋_GB2312" w:cs="仿宋_GB2312" w:hint="eastAsia"/>
                <w:sz w:val="24"/>
              </w:rPr>
              <w:t>，新登记注册各类市场主体</w:t>
            </w:r>
            <w:r>
              <w:rPr>
                <w:rFonts w:ascii="仿宋_GB2312" w:eastAsia="仿宋_GB2312" w:hAnsi="仿宋_GB2312" w:cs="仿宋_GB2312" w:hint="eastAsia"/>
                <w:sz w:val="24"/>
              </w:rPr>
              <w:t>100%</w:t>
            </w: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新建非</w:t>
            </w:r>
            <w:proofErr w:type="gramEnd"/>
            <w:r>
              <w:rPr>
                <w:rFonts w:ascii="仿宋_GB2312" w:eastAsia="仿宋_GB2312" w:hAnsi="仿宋_GB2312" w:cs="仿宋_GB2312" w:hint="eastAsia"/>
                <w:sz w:val="24"/>
              </w:rPr>
              <w:t>公党支部</w:t>
            </w:r>
            <w:r>
              <w:rPr>
                <w:rFonts w:ascii="仿宋_GB2312" w:eastAsia="仿宋_GB2312" w:hAnsi="仿宋_GB2312" w:cs="仿宋_GB2312" w:hint="eastAsia"/>
                <w:sz w:val="24"/>
              </w:rPr>
              <w:t>100%</w:t>
            </w:r>
            <w:r>
              <w:rPr>
                <w:rFonts w:ascii="仿宋_GB2312" w:eastAsia="仿宋_GB2312" w:hAnsi="仿宋_GB2312" w:cs="仿宋_GB2312" w:hint="eastAsia"/>
                <w:sz w:val="24"/>
              </w:rPr>
              <w:t>。“双随机</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公开”检查抽查率</w:t>
            </w:r>
            <w:r>
              <w:rPr>
                <w:rFonts w:ascii="仿宋_GB2312" w:eastAsia="仿宋_GB2312" w:hAnsi="仿宋_GB2312" w:cs="仿宋_GB2312" w:hint="eastAsia"/>
                <w:sz w:val="24"/>
              </w:rPr>
              <w:t>3%</w:t>
            </w:r>
            <w:r>
              <w:rPr>
                <w:rFonts w:ascii="仿宋_GB2312" w:eastAsia="仿宋_GB2312" w:hAnsi="仿宋_GB2312" w:cs="仿宋_GB2312" w:hint="eastAsia"/>
                <w:sz w:val="24"/>
              </w:rPr>
              <w:t>。企业负责人和安全管理人员培训</w:t>
            </w:r>
            <w:r>
              <w:rPr>
                <w:rFonts w:ascii="仿宋_GB2312" w:eastAsia="仿宋_GB2312" w:hAnsi="仿宋_GB2312" w:cs="仿宋_GB2312" w:hint="eastAsia"/>
                <w:sz w:val="24"/>
              </w:rPr>
              <w:t>100%</w:t>
            </w:r>
            <w:r>
              <w:rPr>
                <w:rFonts w:ascii="仿宋_GB2312" w:eastAsia="仿宋_GB2312" w:hAnsi="仿宋_GB2312" w:cs="仿宋_GB2312" w:hint="eastAsia"/>
                <w:sz w:val="24"/>
              </w:rPr>
              <w:t>，开展安全执法检查覆盖率</w:t>
            </w:r>
            <w:r>
              <w:rPr>
                <w:rFonts w:ascii="仿宋_GB2312" w:eastAsia="仿宋_GB2312" w:hAnsi="仿宋_GB2312" w:cs="仿宋_GB2312" w:hint="eastAsia"/>
                <w:sz w:val="24"/>
              </w:rPr>
              <w:t>100%</w:t>
            </w:r>
            <w:r>
              <w:rPr>
                <w:rFonts w:ascii="仿宋_GB2312" w:eastAsia="仿宋_GB2312" w:hAnsi="仿宋_GB2312" w:cs="仿宋_GB2312" w:hint="eastAsia"/>
                <w:sz w:val="24"/>
              </w:rPr>
              <w:t>。（受新冠肺炎疫情影响，年报公示率未达标）</w:t>
            </w:r>
          </w:p>
        </w:tc>
      </w:tr>
      <w:tr w:rsidR="000F0EA8">
        <w:trPr>
          <w:gridAfter w:val="1"/>
          <w:wAfter w:w="236" w:type="dxa"/>
          <w:trHeight w:val="4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食药械化</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食品、食用农产品质量监管合格率≥</w:t>
            </w:r>
            <w:r>
              <w:rPr>
                <w:rFonts w:ascii="仿宋_GB2312" w:eastAsia="仿宋_GB2312" w:hAnsi="仿宋_GB2312" w:cs="仿宋_GB2312" w:hint="eastAsia"/>
                <w:sz w:val="24"/>
              </w:rPr>
              <w:t>98%</w:t>
            </w:r>
            <w:r>
              <w:rPr>
                <w:rFonts w:ascii="仿宋_GB2312" w:eastAsia="仿宋_GB2312" w:hAnsi="仿宋_GB2312" w:cs="仿宋_GB2312" w:hint="eastAsia"/>
                <w:sz w:val="24"/>
              </w:rPr>
              <w:t>，抽检不合格食品核查处置率</w:t>
            </w:r>
            <w:r>
              <w:rPr>
                <w:rFonts w:ascii="仿宋_GB2312" w:eastAsia="仿宋_GB2312" w:hAnsi="仿宋_GB2312" w:cs="仿宋_GB2312" w:hint="eastAsia"/>
                <w:sz w:val="24"/>
              </w:rPr>
              <w:t>100%</w:t>
            </w:r>
            <w:r>
              <w:rPr>
                <w:rFonts w:ascii="仿宋_GB2312" w:eastAsia="仿宋_GB2312" w:hAnsi="仿宋_GB2312" w:cs="仿宋_GB2312" w:hint="eastAsia"/>
                <w:sz w:val="24"/>
              </w:rPr>
              <w:t>。指导农贸市场，食品生产企业，超市，食品经营户疫情防控覆</w:t>
            </w:r>
            <w:r>
              <w:rPr>
                <w:rFonts w:ascii="仿宋_GB2312" w:eastAsia="仿宋_GB2312" w:hAnsi="仿宋_GB2312" w:cs="仿宋_GB2312" w:hint="eastAsia"/>
                <w:sz w:val="24"/>
              </w:rPr>
              <w:lastRenderedPageBreak/>
              <w:t>盖率</w:t>
            </w:r>
            <w:r>
              <w:rPr>
                <w:rFonts w:ascii="仿宋_GB2312" w:eastAsia="仿宋_GB2312" w:hAnsi="仿宋_GB2312" w:cs="仿宋_GB2312" w:hint="eastAsia"/>
                <w:sz w:val="24"/>
              </w:rPr>
              <w:t>100%</w:t>
            </w:r>
            <w:r>
              <w:rPr>
                <w:rFonts w:ascii="仿宋_GB2312" w:eastAsia="仿宋_GB2312" w:hAnsi="仿宋_GB2312" w:cs="仿宋_GB2312" w:hint="eastAsia"/>
                <w:sz w:val="24"/>
              </w:rPr>
              <w:t>。</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lastRenderedPageBreak/>
              <w:t>食品、食用农产品质量监管合格率</w:t>
            </w:r>
            <w:r>
              <w:rPr>
                <w:rFonts w:ascii="仿宋_GB2312" w:eastAsia="仿宋_GB2312" w:hAnsi="仿宋_GB2312" w:cs="仿宋_GB2312" w:hint="eastAsia"/>
                <w:sz w:val="24"/>
              </w:rPr>
              <w:t>100%</w:t>
            </w:r>
            <w:r>
              <w:rPr>
                <w:rFonts w:ascii="仿宋_GB2312" w:eastAsia="仿宋_GB2312" w:hAnsi="仿宋_GB2312" w:cs="仿宋_GB2312" w:hint="eastAsia"/>
                <w:sz w:val="24"/>
              </w:rPr>
              <w:t>，抽检不合格食品核查处置率</w:t>
            </w:r>
            <w:r>
              <w:rPr>
                <w:rFonts w:ascii="仿宋_GB2312" w:eastAsia="仿宋_GB2312" w:hAnsi="仿宋_GB2312" w:cs="仿宋_GB2312" w:hint="eastAsia"/>
                <w:sz w:val="24"/>
              </w:rPr>
              <w:t>100%</w:t>
            </w:r>
            <w:r>
              <w:rPr>
                <w:rFonts w:ascii="仿宋_GB2312" w:eastAsia="仿宋_GB2312" w:hAnsi="仿宋_GB2312" w:cs="仿宋_GB2312" w:hint="eastAsia"/>
                <w:sz w:val="24"/>
              </w:rPr>
              <w:t>，指导农贸市场，食品生产企业，超市，食品</w:t>
            </w:r>
            <w:r>
              <w:rPr>
                <w:rFonts w:ascii="仿宋_GB2312" w:eastAsia="仿宋_GB2312" w:hAnsi="仿宋_GB2312" w:cs="仿宋_GB2312" w:hint="eastAsia"/>
                <w:sz w:val="24"/>
              </w:rPr>
              <w:lastRenderedPageBreak/>
              <w:t>经营户疫情防控覆盖率</w:t>
            </w:r>
            <w:r>
              <w:rPr>
                <w:rFonts w:ascii="仿宋_GB2312" w:eastAsia="仿宋_GB2312" w:hAnsi="仿宋_GB2312" w:cs="仿宋_GB2312" w:hint="eastAsia"/>
                <w:sz w:val="24"/>
              </w:rPr>
              <w:t>100%</w:t>
            </w:r>
          </w:p>
        </w:tc>
      </w:tr>
      <w:tr w:rsidR="000F0EA8">
        <w:trPr>
          <w:gridAfter w:val="1"/>
          <w:wAfter w:w="236" w:type="dxa"/>
          <w:trHeight w:val="4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质监专项</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产品质量监管巡查率</w:t>
            </w:r>
            <w:r>
              <w:rPr>
                <w:rFonts w:ascii="仿宋_GB2312" w:eastAsia="仿宋_GB2312" w:hAnsi="仿宋_GB2312" w:cs="仿宋_GB2312" w:hint="eastAsia"/>
                <w:sz w:val="24"/>
              </w:rPr>
              <w:t>100%</w:t>
            </w:r>
            <w:r>
              <w:rPr>
                <w:rFonts w:ascii="仿宋_GB2312" w:eastAsia="仿宋_GB2312" w:hAnsi="仿宋_GB2312" w:cs="仿宋_GB2312" w:hint="eastAsia"/>
                <w:sz w:val="24"/>
              </w:rPr>
              <w:t>。计量认证认可检查完成率</w:t>
            </w:r>
            <w:r>
              <w:rPr>
                <w:rFonts w:ascii="仿宋_GB2312" w:eastAsia="仿宋_GB2312" w:hAnsi="仿宋_GB2312" w:cs="仿宋_GB2312" w:hint="eastAsia"/>
                <w:sz w:val="24"/>
              </w:rPr>
              <w:t>100%</w:t>
            </w:r>
            <w:r>
              <w:rPr>
                <w:rFonts w:ascii="仿宋_GB2312" w:eastAsia="仿宋_GB2312" w:hAnsi="仿宋_GB2312" w:cs="仿宋_GB2312" w:hint="eastAsia"/>
                <w:sz w:val="24"/>
              </w:rPr>
              <w:t>。标准上档升级完成率</w:t>
            </w:r>
            <w:r>
              <w:rPr>
                <w:rFonts w:ascii="仿宋_GB2312" w:eastAsia="仿宋_GB2312" w:hAnsi="仿宋_GB2312" w:cs="仿宋_GB2312" w:hint="eastAsia"/>
                <w:sz w:val="24"/>
              </w:rPr>
              <w:t>100%</w:t>
            </w:r>
            <w:r>
              <w:rPr>
                <w:rFonts w:ascii="仿宋_GB2312" w:eastAsia="仿宋_GB2312" w:hAnsi="仿宋_GB2312" w:cs="仿宋_GB2312" w:hint="eastAsia"/>
                <w:sz w:val="24"/>
              </w:rPr>
              <w:t>。品牌培育完成率</w:t>
            </w:r>
            <w:r>
              <w:rPr>
                <w:rFonts w:ascii="仿宋_GB2312" w:eastAsia="仿宋_GB2312" w:hAnsi="仿宋_GB2312" w:cs="仿宋_GB2312" w:hint="eastAsia"/>
                <w:sz w:val="24"/>
              </w:rPr>
              <w:t>100%</w:t>
            </w:r>
            <w:r>
              <w:rPr>
                <w:rFonts w:ascii="仿宋_GB2312" w:eastAsia="仿宋_GB2312" w:hAnsi="仿宋_GB2312" w:cs="仿宋_GB2312" w:hint="eastAsia"/>
                <w:sz w:val="24"/>
              </w:rPr>
              <w:t>。培育“广元市市长质量奖”完成率</w:t>
            </w:r>
            <w:r>
              <w:rPr>
                <w:rFonts w:ascii="仿宋_GB2312" w:eastAsia="仿宋_GB2312" w:hAnsi="仿宋_GB2312" w:cs="仿宋_GB2312" w:hint="eastAsia"/>
                <w:sz w:val="24"/>
              </w:rPr>
              <w:t>100%</w:t>
            </w:r>
            <w:r>
              <w:rPr>
                <w:rFonts w:ascii="仿宋_GB2312" w:eastAsia="仿宋_GB2312" w:hAnsi="仿宋_GB2312" w:cs="仿宋_GB2312" w:hint="eastAsia"/>
                <w:sz w:val="24"/>
              </w:rPr>
              <w:t>。</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质量监管巡查率</w:t>
            </w:r>
            <w:r>
              <w:rPr>
                <w:rFonts w:ascii="仿宋_GB2312" w:eastAsia="仿宋_GB2312" w:hAnsi="仿宋_GB2312" w:cs="仿宋_GB2312" w:hint="eastAsia"/>
                <w:sz w:val="24"/>
              </w:rPr>
              <w:t>100%</w:t>
            </w:r>
            <w:r>
              <w:rPr>
                <w:rFonts w:ascii="仿宋_GB2312" w:eastAsia="仿宋_GB2312" w:hAnsi="仿宋_GB2312" w:cs="仿宋_GB2312" w:hint="eastAsia"/>
                <w:sz w:val="24"/>
              </w:rPr>
              <w:t>，计量认证认可检查率</w:t>
            </w:r>
            <w:r>
              <w:rPr>
                <w:rFonts w:ascii="仿宋_GB2312" w:eastAsia="仿宋_GB2312" w:hAnsi="仿宋_GB2312" w:cs="仿宋_GB2312" w:hint="eastAsia"/>
                <w:sz w:val="24"/>
              </w:rPr>
              <w:t>100%</w:t>
            </w:r>
            <w:r>
              <w:rPr>
                <w:rFonts w:ascii="仿宋_GB2312" w:eastAsia="仿宋_GB2312" w:hAnsi="仿宋_GB2312" w:cs="仿宋_GB2312" w:hint="eastAsia"/>
                <w:sz w:val="24"/>
              </w:rPr>
              <w:t>。品牌培育完成率</w:t>
            </w:r>
            <w:r>
              <w:rPr>
                <w:rFonts w:ascii="仿宋_GB2312" w:eastAsia="仿宋_GB2312" w:hAnsi="仿宋_GB2312" w:cs="仿宋_GB2312" w:hint="eastAsia"/>
                <w:sz w:val="24"/>
              </w:rPr>
              <w:t>100%</w:t>
            </w:r>
            <w:r>
              <w:rPr>
                <w:rFonts w:ascii="仿宋_GB2312" w:eastAsia="仿宋_GB2312" w:hAnsi="仿宋_GB2312" w:cs="仿宋_GB2312" w:hint="eastAsia"/>
                <w:sz w:val="24"/>
              </w:rPr>
              <w:t>。培育“市长质量奖”完成率</w:t>
            </w:r>
            <w:r>
              <w:rPr>
                <w:rFonts w:ascii="仿宋_GB2312" w:eastAsia="仿宋_GB2312" w:hAnsi="仿宋_GB2312" w:cs="仿宋_GB2312" w:hint="eastAsia"/>
                <w:sz w:val="24"/>
              </w:rPr>
              <w:t>100%</w:t>
            </w:r>
            <w:r>
              <w:rPr>
                <w:rFonts w:ascii="仿宋_GB2312" w:eastAsia="仿宋_GB2312" w:hAnsi="仿宋_GB2312" w:cs="仿宋_GB2312" w:hint="eastAsia"/>
                <w:sz w:val="24"/>
              </w:rPr>
              <w:t>。（标准上档升级，因疫情原因未完成）</w:t>
            </w:r>
          </w:p>
        </w:tc>
      </w:tr>
      <w:tr w:rsidR="000F0EA8">
        <w:trPr>
          <w:gridAfter w:val="1"/>
          <w:wAfter w:w="236" w:type="dxa"/>
          <w:trHeight w:val="4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时效指标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任务完成时间</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2021</w:t>
            </w:r>
            <w:r>
              <w:rPr>
                <w:rFonts w:ascii="仿宋_GB2312" w:eastAsia="仿宋_GB2312" w:hAnsi="仿宋_GB2312" w:cs="仿宋_GB2312" w:hint="eastAsia"/>
                <w:sz w:val="24"/>
              </w:rPr>
              <w:t>年</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日前</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按时间节点完成</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成本指标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培训成本</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200</w:t>
            </w:r>
            <w:r>
              <w:rPr>
                <w:rFonts w:ascii="仿宋_GB2312" w:eastAsia="仿宋_GB2312" w:hAnsi="仿宋_GB2312" w:cs="仿宋_GB2312" w:hint="eastAsia"/>
                <w:sz w:val="24"/>
              </w:rPr>
              <w:t>元</w:t>
            </w:r>
            <w:r>
              <w:rPr>
                <w:rFonts w:ascii="仿宋_GB2312" w:eastAsia="仿宋_GB2312" w:hAnsi="仿宋_GB2312" w:cs="仿宋_GB2312" w:hint="eastAsia"/>
                <w:sz w:val="24"/>
              </w:rPr>
              <w:t>/</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天</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sz w:val="24"/>
              </w:rPr>
            </w:pPr>
            <w:r>
              <w:rPr>
                <w:rFonts w:ascii="仿宋_GB2312" w:eastAsia="仿宋_GB2312" w:hint="eastAsia"/>
                <w:sz w:val="24"/>
              </w:rPr>
              <w:t>按标准执行</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非公企业党建</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新建≤</w:t>
            </w:r>
            <w:r>
              <w:rPr>
                <w:rFonts w:ascii="仿宋_GB2312" w:eastAsia="仿宋_GB2312" w:hAnsi="仿宋_GB2312" w:cs="仿宋_GB2312" w:hint="eastAsia"/>
                <w:sz w:val="24"/>
              </w:rPr>
              <w:t>10000</w:t>
            </w:r>
            <w:r>
              <w:rPr>
                <w:rFonts w:ascii="仿宋_GB2312" w:eastAsia="仿宋_GB2312" w:hAnsi="仿宋_GB2312" w:cs="仿宋_GB2312" w:hint="eastAsia"/>
                <w:sz w:val="24"/>
              </w:rPr>
              <w:t>元</w:t>
            </w:r>
            <w:r>
              <w:rPr>
                <w:rFonts w:ascii="仿宋_GB2312" w:eastAsia="仿宋_GB2312" w:hAnsi="仿宋_GB2312" w:cs="仿宋_GB2312" w:hint="eastAsia"/>
                <w:sz w:val="24"/>
              </w:rPr>
              <w:t>/</w:t>
            </w:r>
            <w:r>
              <w:rPr>
                <w:rFonts w:ascii="仿宋_GB2312" w:eastAsia="仿宋_GB2312" w:hAnsi="仿宋_GB2312" w:cs="仿宋_GB2312" w:hint="eastAsia"/>
                <w:sz w:val="24"/>
              </w:rPr>
              <w:t>户</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sz w:val="24"/>
              </w:rPr>
            </w:pPr>
            <w:r>
              <w:rPr>
                <w:rFonts w:ascii="仿宋_GB2312" w:eastAsia="仿宋_GB2312" w:hint="eastAsia"/>
                <w:sz w:val="24"/>
              </w:rPr>
              <w:t>按标准执行</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差旅补助成本</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180</w:t>
            </w:r>
            <w:r>
              <w:rPr>
                <w:rFonts w:ascii="仿宋_GB2312" w:eastAsia="仿宋_GB2312" w:hAnsi="仿宋_GB2312" w:cs="仿宋_GB2312" w:hint="eastAsia"/>
                <w:sz w:val="24"/>
              </w:rPr>
              <w:t>元</w:t>
            </w:r>
            <w:r>
              <w:rPr>
                <w:rFonts w:ascii="仿宋_GB2312" w:eastAsia="仿宋_GB2312" w:hAnsi="仿宋_GB2312" w:cs="仿宋_GB2312" w:hint="eastAsia"/>
                <w:sz w:val="24"/>
              </w:rPr>
              <w:t>/</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天</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sz w:val="24"/>
              </w:rPr>
            </w:pPr>
            <w:r>
              <w:rPr>
                <w:rFonts w:ascii="仿宋_GB2312" w:eastAsia="仿宋_GB2312" w:hint="eastAsia"/>
                <w:sz w:val="24"/>
              </w:rPr>
              <w:t>按标准执行</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食品抽检平均成本</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1250</w:t>
            </w:r>
            <w:r>
              <w:rPr>
                <w:rFonts w:ascii="仿宋_GB2312" w:eastAsia="仿宋_GB2312" w:hAnsi="仿宋_GB2312" w:cs="仿宋_GB2312" w:hint="eastAsia"/>
                <w:sz w:val="24"/>
              </w:rPr>
              <w:t>元</w:t>
            </w:r>
            <w:r>
              <w:rPr>
                <w:rFonts w:ascii="仿宋_GB2312" w:eastAsia="仿宋_GB2312" w:hAnsi="仿宋_GB2312" w:cs="仿宋_GB2312" w:hint="eastAsia"/>
                <w:sz w:val="24"/>
              </w:rPr>
              <w:t>/</w:t>
            </w:r>
            <w:r>
              <w:rPr>
                <w:rFonts w:ascii="仿宋_GB2312" w:eastAsia="仿宋_GB2312" w:hAnsi="仿宋_GB2312" w:cs="仿宋_GB2312" w:hint="eastAsia"/>
                <w:sz w:val="24"/>
              </w:rPr>
              <w:t>批次</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sz w:val="24"/>
              </w:rPr>
            </w:pPr>
            <w:r>
              <w:rPr>
                <w:rFonts w:ascii="仿宋_GB2312" w:eastAsia="仿宋_GB2312" w:hint="eastAsia"/>
                <w:sz w:val="24"/>
              </w:rPr>
              <w:t>按标准执行</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宣传成本</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万元</w:t>
            </w:r>
            <w:r>
              <w:rPr>
                <w:rFonts w:ascii="仿宋_GB2312" w:eastAsia="仿宋_GB2312" w:hAnsi="仿宋_GB2312" w:cs="仿宋_GB2312" w:hint="eastAsia"/>
                <w:sz w:val="24"/>
              </w:rPr>
              <w:t>/</w:t>
            </w:r>
            <w:r>
              <w:rPr>
                <w:rFonts w:ascii="仿宋_GB2312" w:eastAsia="仿宋_GB2312" w:hAnsi="仿宋_GB2312" w:cs="仿宋_GB2312" w:hint="eastAsia"/>
                <w:sz w:val="24"/>
              </w:rPr>
              <w:t>次</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sz w:val="24"/>
              </w:rPr>
            </w:pPr>
            <w:r>
              <w:rPr>
                <w:rFonts w:ascii="仿宋_GB2312" w:eastAsia="仿宋_GB2312" w:hint="eastAsia"/>
                <w:sz w:val="24"/>
              </w:rPr>
              <w:t>按标准执行</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效益</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vMerge w:val="restart"/>
            <w:tcBorders>
              <w:top w:val="single" w:sz="4" w:space="0" w:color="000000"/>
              <w:left w:val="single" w:sz="4" w:space="0" w:color="000000"/>
              <w:right w:val="single" w:sz="4" w:space="0" w:color="000000"/>
            </w:tcBorders>
            <w:shd w:val="clear" w:color="auto" w:fill="auto"/>
            <w:vAlign w:val="bottom"/>
          </w:tcPr>
          <w:p w:rsidR="000F0EA8" w:rsidRDefault="00885E0F">
            <w:pPr>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社会效益</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系统性、区域性重大安全事故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0</w:t>
            </w:r>
            <w:r>
              <w:rPr>
                <w:rFonts w:ascii="仿宋_GB2312" w:eastAsia="仿宋_GB2312" w:hAnsi="仿宋_GB2312" w:cs="仿宋_GB2312" w:hint="eastAsia"/>
                <w:sz w:val="24"/>
              </w:rPr>
              <w:t>次</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0</w:t>
            </w:r>
            <w:r>
              <w:rPr>
                <w:rFonts w:ascii="仿宋_GB2312" w:eastAsia="仿宋_GB2312" w:hAnsi="仿宋_GB2312" w:cs="仿宋_GB2312" w:hint="eastAsia"/>
                <w:sz w:val="24"/>
              </w:rPr>
              <w:t>次</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安全监管水平、公众安全科普知识</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逐步提高</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逐步提高</w:t>
            </w:r>
          </w:p>
        </w:tc>
      </w:tr>
      <w:tr w:rsidR="000F0EA8">
        <w:trPr>
          <w:gridAfter w:val="1"/>
          <w:wAfter w:w="236" w:type="dxa"/>
          <w:trHeight w:val="48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可持续影响</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通过监督检查、风向监测等保障人民生命财产健康安全</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持续影响</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持续影响</w:t>
            </w:r>
          </w:p>
        </w:tc>
      </w:tr>
      <w:tr w:rsidR="000F0EA8">
        <w:trPr>
          <w:gridAfter w:val="1"/>
          <w:wAfter w:w="236" w:type="dxa"/>
          <w:trHeight w:val="530"/>
        </w:trPr>
        <w:tc>
          <w:tcPr>
            <w:tcW w:w="1384" w:type="dxa"/>
            <w:vMerge/>
            <w:tcBorders>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度指标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满意度</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服务对象满意度</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90%</w:t>
            </w:r>
          </w:p>
        </w:tc>
        <w:tc>
          <w:tcPr>
            <w:tcW w:w="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90%</w:t>
            </w:r>
          </w:p>
        </w:tc>
      </w:tr>
    </w:tbl>
    <w:p w:rsidR="000F0EA8" w:rsidRDefault="000F0EA8">
      <w:pPr>
        <w:spacing w:line="600" w:lineRule="exact"/>
        <w:jc w:val="center"/>
        <w:outlineLvl w:val="0"/>
        <w:rPr>
          <w:rFonts w:ascii="仿宋_GB2312" w:eastAsia="仿宋_GB2312" w:hAnsi="黑体"/>
          <w:sz w:val="44"/>
          <w:szCs w:val="44"/>
        </w:rPr>
      </w:pPr>
    </w:p>
    <w:p w:rsidR="000F0EA8" w:rsidRDefault="000F0EA8">
      <w:pPr>
        <w:spacing w:line="600" w:lineRule="exact"/>
        <w:jc w:val="center"/>
        <w:outlineLvl w:val="0"/>
        <w:rPr>
          <w:rFonts w:ascii="仿宋_GB2312" w:eastAsia="仿宋_GB2312" w:hAnsi="黑体"/>
          <w:sz w:val="44"/>
          <w:szCs w:val="44"/>
        </w:rPr>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tbl>
      <w:tblPr>
        <w:tblpPr w:leftFromText="180" w:rightFromText="180" w:vertAnchor="text" w:horzAnchor="page" w:tblpX="963" w:tblpY="660"/>
        <w:tblOverlap w:val="never"/>
        <w:tblW w:w="10409" w:type="dxa"/>
        <w:tblLayout w:type="fixed"/>
        <w:tblLook w:val="04A0"/>
      </w:tblPr>
      <w:tblGrid>
        <w:gridCol w:w="1384"/>
        <w:gridCol w:w="851"/>
        <w:gridCol w:w="850"/>
        <w:gridCol w:w="992"/>
        <w:gridCol w:w="1276"/>
        <w:gridCol w:w="2268"/>
        <w:gridCol w:w="142"/>
        <w:gridCol w:w="2410"/>
        <w:gridCol w:w="236"/>
      </w:tblGrid>
      <w:tr w:rsidR="000F0EA8">
        <w:trPr>
          <w:trHeight w:val="675"/>
        </w:trPr>
        <w:tc>
          <w:tcPr>
            <w:tcW w:w="10173" w:type="dxa"/>
            <w:gridSpan w:val="8"/>
            <w:tcBorders>
              <w:top w:val="nil"/>
              <w:left w:val="nil"/>
              <w:bottom w:val="nil"/>
              <w:right w:val="nil"/>
            </w:tcBorders>
            <w:shd w:val="clear" w:color="auto" w:fill="auto"/>
            <w:vAlign w:val="center"/>
          </w:tcPr>
          <w:p w:rsidR="000F0EA8" w:rsidRDefault="00885E0F">
            <w:pPr>
              <w:widowControl/>
              <w:jc w:val="center"/>
              <w:textAlignment w:val="center"/>
              <w:rPr>
                <w:rFonts w:ascii="仿宋_GB2312" w:eastAsia="仿宋_GB2312" w:hAnsi="宋体" w:cs="宋体"/>
                <w:b/>
                <w:sz w:val="32"/>
                <w:szCs w:val="32"/>
              </w:rPr>
            </w:pPr>
            <w:bookmarkStart w:id="110" w:name="_Toc114132085"/>
            <w:bookmarkStart w:id="111" w:name="_Toc115248318"/>
            <w:bookmarkStart w:id="112" w:name="_Toc115253630"/>
            <w:bookmarkStart w:id="113" w:name="_Toc17482"/>
            <w:bookmarkStart w:id="114" w:name="_Toc17386"/>
            <w:r>
              <w:rPr>
                <w:rFonts w:ascii="仿宋_GB2312" w:eastAsia="仿宋_GB2312" w:hAnsi="宋体" w:cs="宋体" w:hint="eastAsia"/>
                <w:b/>
                <w:sz w:val="32"/>
                <w:szCs w:val="32"/>
              </w:rPr>
              <w:lastRenderedPageBreak/>
              <w:t>广元市市场监督管理局广元经开区分局</w:t>
            </w:r>
            <w:bookmarkEnd w:id="110"/>
            <w:bookmarkEnd w:id="111"/>
            <w:bookmarkEnd w:id="112"/>
            <w:bookmarkEnd w:id="113"/>
            <w:bookmarkEnd w:id="114"/>
          </w:p>
          <w:p w:rsidR="000F0EA8" w:rsidRDefault="00885E0F">
            <w:pPr>
              <w:widowControl/>
              <w:jc w:val="center"/>
              <w:textAlignment w:val="center"/>
              <w:rPr>
                <w:rFonts w:ascii="仿宋_GB2312" w:eastAsia="仿宋_GB2312" w:hAnsi="宋体" w:cs="宋体"/>
                <w:b/>
                <w:sz w:val="32"/>
                <w:szCs w:val="32"/>
              </w:rPr>
            </w:pPr>
            <w:r>
              <w:rPr>
                <w:rFonts w:ascii="仿宋_GB2312" w:eastAsia="仿宋_GB2312" w:hAnsi="宋体" w:cs="宋体" w:hint="eastAsia"/>
                <w:b/>
                <w:sz w:val="32"/>
                <w:szCs w:val="32"/>
              </w:rPr>
              <w:t>2021</w:t>
            </w:r>
            <w:r>
              <w:rPr>
                <w:rFonts w:ascii="仿宋_GB2312" w:eastAsia="仿宋_GB2312" w:hAnsi="宋体" w:cs="宋体" w:hint="eastAsia"/>
                <w:b/>
                <w:sz w:val="32"/>
                <w:szCs w:val="32"/>
              </w:rPr>
              <w:t>年市场秩序执法办案专项预算项目绩效目标自评表</w:t>
            </w:r>
          </w:p>
        </w:tc>
        <w:tc>
          <w:tcPr>
            <w:tcW w:w="236" w:type="dxa"/>
            <w:tcBorders>
              <w:top w:val="nil"/>
              <w:left w:val="nil"/>
              <w:bottom w:val="nil"/>
              <w:right w:val="nil"/>
            </w:tcBorders>
            <w:shd w:val="clear" w:color="auto" w:fill="auto"/>
            <w:vAlign w:val="center"/>
          </w:tcPr>
          <w:p w:rsidR="000F0EA8" w:rsidRDefault="000F0EA8">
            <w:pPr>
              <w:widowControl/>
              <w:jc w:val="center"/>
              <w:textAlignment w:val="center"/>
              <w:rPr>
                <w:rFonts w:ascii="仿宋_GB2312" w:eastAsia="仿宋_GB2312" w:hAnsi="宋体" w:cs="宋体"/>
                <w:b/>
                <w:kern w:val="0"/>
                <w:sz w:val="32"/>
                <w:szCs w:val="32"/>
              </w:rPr>
            </w:pPr>
          </w:p>
        </w:tc>
      </w:tr>
      <w:tr w:rsidR="000F0EA8">
        <w:trPr>
          <w:gridAfter w:val="1"/>
          <w:wAfter w:w="236" w:type="dxa"/>
          <w:trHeight w:val="600"/>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主管部门及代码</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textAlignment w:val="center"/>
              <w:rPr>
                <w:rFonts w:ascii="仿宋_GB2312" w:eastAsia="仿宋_GB2312" w:hAnsi="宋体" w:cs="宋体"/>
                <w:sz w:val="24"/>
              </w:rPr>
            </w:pPr>
            <w:r>
              <w:rPr>
                <w:rFonts w:ascii="仿宋_GB2312" w:eastAsia="仿宋_GB2312" w:hAnsi="宋体" w:cs="宋体" w:hint="eastAsia"/>
                <w:sz w:val="24"/>
              </w:rPr>
              <w:t>广元市市场监督管理局</w:t>
            </w:r>
            <w:r>
              <w:rPr>
                <w:rFonts w:ascii="仿宋_GB2312" w:eastAsia="仿宋_GB2312" w:hAnsi="宋体" w:cs="宋体" w:hint="eastAsia"/>
                <w:sz w:val="24"/>
              </w:rPr>
              <w:t>359001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实施单位</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广元市市场监督管理局广元经开区分局</w:t>
            </w:r>
          </w:p>
        </w:tc>
      </w:tr>
      <w:tr w:rsidR="000F0EA8">
        <w:trPr>
          <w:gridAfter w:val="1"/>
          <w:wAfter w:w="236" w:type="dxa"/>
          <w:trHeight w:val="524"/>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项目预算</w:t>
            </w:r>
          </w:p>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执行情况</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（万元）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预算数：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7.2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执行数：</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4.27</w:t>
            </w:r>
          </w:p>
        </w:tc>
      </w:tr>
      <w:tr w:rsidR="000F0EA8">
        <w:trPr>
          <w:gridAfter w:val="1"/>
          <w:wAfter w:w="236" w:type="dxa"/>
          <w:trHeight w:val="555"/>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其中：</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财政拨款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7.2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其中：</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财政拨款</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4.27</w:t>
            </w:r>
          </w:p>
        </w:tc>
      </w:tr>
      <w:tr w:rsidR="000F0EA8">
        <w:trPr>
          <w:gridAfter w:val="1"/>
          <w:wAfter w:w="236" w:type="dxa"/>
          <w:trHeight w:val="611"/>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其他资金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center"/>
              <w:rPr>
                <w:rFonts w:ascii="仿宋_GB2312" w:eastAsia="仿宋_GB2312" w:hAnsi="宋体" w:cs="宋体"/>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其他资金</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center"/>
              <w:rPr>
                <w:rFonts w:ascii="仿宋_GB2312" w:eastAsia="仿宋_GB2312" w:hAnsi="宋体" w:cs="宋体"/>
                <w:sz w:val="24"/>
              </w:rPr>
            </w:pPr>
          </w:p>
        </w:tc>
      </w:tr>
      <w:tr w:rsidR="000F0EA8">
        <w:trPr>
          <w:gridAfter w:val="1"/>
          <w:wAfter w:w="236" w:type="dxa"/>
          <w:trHeight w:val="563"/>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年度总体目标</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完成情况</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预期目标</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目标实际完成情况</w:t>
            </w:r>
          </w:p>
        </w:tc>
      </w:tr>
      <w:tr w:rsidR="000F0EA8">
        <w:trPr>
          <w:gridAfter w:val="1"/>
          <w:wAfter w:w="236" w:type="dxa"/>
          <w:trHeight w:val="1705"/>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 xml:space="preserve"> </w:t>
            </w:r>
            <w:r>
              <w:rPr>
                <w:rFonts w:ascii="仿宋_GB2312" w:eastAsia="仿宋_GB2312" w:hAnsi="宋体" w:cs="宋体" w:hint="eastAsia"/>
                <w:sz w:val="24"/>
              </w:rPr>
              <w:t>加强价格监督、网络交易监管、广告监管，保护消费者合法权益，开展各类市场秩序专项工作，整治市场乱象，优化营商环境，提升基层监管队伍执法能力和监管水平。</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Pr>
          <w:p w:rsidR="000F0EA8" w:rsidRDefault="00885E0F">
            <w:pPr>
              <w:widowControl/>
              <w:spacing w:line="320" w:lineRule="exact"/>
              <w:jc w:val="left"/>
              <w:textAlignment w:val="top"/>
              <w:rPr>
                <w:rFonts w:ascii="仿宋_GB2312" w:eastAsia="仿宋_GB2312" w:hAnsi="宋体" w:cs="宋体"/>
                <w:sz w:val="24"/>
              </w:rPr>
            </w:pPr>
            <w:r>
              <w:rPr>
                <w:rFonts w:ascii="仿宋_GB2312" w:eastAsia="仿宋_GB2312" w:hAnsi="宋体" w:cs="宋体" w:hint="eastAsia"/>
                <w:sz w:val="24"/>
              </w:rPr>
              <w:t>2021</w:t>
            </w:r>
            <w:r>
              <w:rPr>
                <w:rFonts w:ascii="仿宋_GB2312" w:eastAsia="仿宋_GB2312" w:hAnsi="宋体" w:cs="宋体" w:hint="eastAsia"/>
                <w:sz w:val="24"/>
              </w:rPr>
              <w:t>年，通过市场秩序监管，保护了消费者合法权益，整治了市场乱象，优化了营商环境，假冒伪劣产品制售行为不断减少，公众对消费投诉处理的总体满意度不断提升。</w:t>
            </w:r>
          </w:p>
        </w:tc>
      </w:tr>
      <w:tr w:rsidR="000F0EA8">
        <w:trPr>
          <w:gridAfter w:val="1"/>
          <w:wAfter w:w="236" w:type="dxa"/>
          <w:trHeight w:val="693"/>
        </w:trPr>
        <w:tc>
          <w:tcPr>
            <w:tcW w:w="1384"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年度绩效指标完成情况</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二级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三级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实际完成指标值</w:t>
            </w:r>
          </w:p>
        </w:tc>
      </w:tr>
      <w:tr w:rsidR="000F0EA8">
        <w:trPr>
          <w:gridAfter w:val="1"/>
          <w:wAfter w:w="236" w:type="dxa"/>
          <w:trHeight w:val="76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完成</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数量指标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12315</w:t>
            </w:r>
            <w:r>
              <w:rPr>
                <w:rFonts w:ascii="仿宋_GB2312" w:eastAsia="仿宋_GB2312" w:hAnsi="仿宋_GB2312" w:cs="仿宋_GB2312" w:hint="eastAsia"/>
                <w:sz w:val="24"/>
              </w:rPr>
              <w:t>消费维权，法律法规宣传</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开展</w:t>
            </w:r>
            <w:r>
              <w:rPr>
                <w:rFonts w:ascii="仿宋_GB2312" w:eastAsia="仿宋_GB2312" w:hAnsi="仿宋_GB2312" w:cs="仿宋_GB2312" w:hint="eastAsia"/>
                <w:sz w:val="24"/>
              </w:rPr>
              <w:t>3.15</w:t>
            </w:r>
            <w:r>
              <w:rPr>
                <w:rFonts w:ascii="仿宋_GB2312" w:eastAsia="仿宋_GB2312" w:hAnsi="仿宋_GB2312" w:cs="仿宋_GB2312" w:hint="eastAsia"/>
                <w:sz w:val="24"/>
              </w:rPr>
              <w:t>国际消费者权益日活动</w:t>
            </w:r>
            <w:r>
              <w:rPr>
                <w:rFonts w:ascii="仿宋_GB2312" w:eastAsia="仿宋_GB2312" w:hAnsi="仿宋_GB2312" w:cs="仿宋_GB2312" w:hint="eastAsia"/>
                <w:sz w:val="24"/>
              </w:rPr>
              <w:t>1</w:t>
            </w:r>
            <w:r>
              <w:rPr>
                <w:rFonts w:ascii="仿宋_GB2312" w:eastAsia="仿宋_GB2312" w:hAnsi="仿宋_GB2312" w:cs="仿宋_GB2312" w:hint="eastAsia"/>
                <w:sz w:val="24"/>
              </w:rPr>
              <w:t>次，宣传≥</w:t>
            </w:r>
            <w:r>
              <w:rPr>
                <w:rFonts w:ascii="仿宋_GB2312" w:eastAsia="仿宋_GB2312" w:hAnsi="仿宋_GB2312" w:cs="仿宋_GB2312" w:hint="eastAsia"/>
                <w:sz w:val="24"/>
              </w:rPr>
              <w:t>3</w:t>
            </w:r>
            <w:r>
              <w:rPr>
                <w:rFonts w:ascii="仿宋_GB2312" w:eastAsia="仿宋_GB2312" w:hAnsi="仿宋_GB2312" w:cs="仿宋_GB2312" w:hint="eastAsia"/>
                <w:sz w:val="24"/>
              </w:rPr>
              <w:t>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开展</w:t>
            </w:r>
            <w:r>
              <w:rPr>
                <w:rFonts w:ascii="仿宋_GB2312" w:eastAsia="仿宋_GB2312" w:hAnsi="仿宋_GB2312" w:cs="仿宋_GB2312" w:hint="eastAsia"/>
                <w:sz w:val="24"/>
              </w:rPr>
              <w:t>3.15</w:t>
            </w:r>
            <w:r>
              <w:rPr>
                <w:rFonts w:ascii="仿宋_GB2312" w:eastAsia="仿宋_GB2312" w:hAnsi="仿宋_GB2312" w:cs="仿宋_GB2312" w:hint="eastAsia"/>
                <w:sz w:val="24"/>
              </w:rPr>
              <w:t>国际消费者权益日活动</w:t>
            </w:r>
            <w:r>
              <w:rPr>
                <w:rFonts w:ascii="仿宋_GB2312" w:eastAsia="仿宋_GB2312" w:hAnsi="仿宋_GB2312" w:cs="仿宋_GB2312" w:hint="eastAsia"/>
                <w:sz w:val="24"/>
              </w:rPr>
              <w:t>1</w:t>
            </w:r>
            <w:r>
              <w:rPr>
                <w:rFonts w:ascii="仿宋_GB2312" w:eastAsia="仿宋_GB2312" w:hAnsi="仿宋_GB2312" w:cs="仿宋_GB2312" w:hint="eastAsia"/>
                <w:sz w:val="24"/>
              </w:rPr>
              <w:t>次，宣传</w:t>
            </w:r>
            <w:r>
              <w:rPr>
                <w:rFonts w:ascii="仿宋_GB2312" w:eastAsia="仿宋_GB2312" w:hAnsi="仿宋_GB2312" w:cs="仿宋_GB2312" w:hint="eastAsia"/>
                <w:sz w:val="24"/>
              </w:rPr>
              <w:t>3</w:t>
            </w:r>
            <w:r>
              <w:rPr>
                <w:rFonts w:ascii="仿宋_GB2312" w:eastAsia="仿宋_GB2312" w:hAnsi="仿宋_GB2312" w:cs="仿宋_GB2312" w:hint="eastAsia"/>
                <w:sz w:val="24"/>
              </w:rPr>
              <w:t>次</w:t>
            </w:r>
          </w:p>
        </w:tc>
      </w:tr>
      <w:tr w:rsidR="000F0EA8">
        <w:trPr>
          <w:gridAfter w:val="1"/>
          <w:wAfter w:w="236" w:type="dxa"/>
          <w:trHeight w:val="76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各类案件查办</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25</w:t>
            </w:r>
            <w:r>
              <w:rPr>
                <w:rFonts w:ascii="仿宋_GB2312" w:eastAsia="仿宋_GB2312" w:hAnsi="仿宋_GB2312" w:cs="仿宋_GB2312" w:hint="eastAsia"/>
                <w:sz w:val="24"/>
              </w:rPr>
              <w:t>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79</w:t>
            </w:r>
            <w:r>
              <w:rPr>
                <w:rFonts w:ascii="仿宋_GB2312" w:eastAsia="仿宋_GB2312" w:hAnsi="仿宋_GB2312" w:cs="仿宋_GB2312" w:hint="eastAsia"/>
                <w:sz w:val="24"/>
              </w:rPr>
              <w:t>件</w:t>
            </w:r>
          </w:p>
        </w:tc>
      </w:tr>
      <w:tr w:rsidR="000F0EA8">
        <w:trPr>
          <w:gridAfter w:val="1"/>
          <w:wAfter w:w="236" w:type="dxa"/>
          <w:trHeight w:val="76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产品质量抽检及风险监测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10</w:t>
            </w:r>
            <w:r>
              <w:rPr>
                <w:rFonts w:ascii="仿宋_GB2312" w:eastAsia="仿宋_GB2312" w:hAnsi="仿宋_GB2312" w:cs="仿宋_GB2312" w:hint="eastAsia"/>
                <w:sz w:val="24"/>
              </w:rPr>
              <w:t>批次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批次</w:t>
            </w:r>
          </w:p>
        </w:tc>
      </w:tr>
      <w:tr w:rsidR="000F0EA8">
        <w:trPr>
          <w:gridAfter w:val="1"/>
          <w:wAfter w:w="236" w:type="dxa"/>
          <w:trHeight w:val="1051"/>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“春雷行动</w:t>
            </w:r>
            <w:r>
              <w:rPr>
                <w:rFonts w:ascii="仿宋_GB2312" w:eastAsia="仿宋_GB2312" w:hAnsi="仿宋_GB2312" w:cs="仿宋_GB2312" w:hint="eastAsia"/>
                <w:sz w:val="24"/>
              </w:rPr>
              <w:t>2021</w:t>
            </w:r>
            <w:r>
              <w:rPr>
                <w:rFonts w:ascii="仿宋_GB2312" w:eastAsia="仿宋_GB2312" w:hAnsi="仿宋_GB2312" w:cs="仿宋_GB2312" w:hint="eastAsia"/>
                <w:sz w:val="24"/>
              </w:rPr>
              <w:t>”等市场秩序专项整治</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15</w:t>
            </w:r>
            <w:r>
              <w:rPr>
                <w:rFonts w:ascii="仿宋_GB2312" w:eastAsia="仿宋_GB2312" w:hAnsi="仿宋_GB2312" w:cs="仿宋_GB2312" w:hint="eastAsia"/>
                <w:sz w:val="24"/>
              </w:rPr>
              <w:t>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16</w:t>
            </w:r>
            <w:r>
              <w:rPr>
                <w:rFonts w:ascii="仿宋_GB2312" w:eastAsia="仿宋_GB2312" w:hAnsi="仿宋_GB2312" w:cs="仿宋_GB2312" w:hint="eastAsia"/>
                <w:sz w:val="24"/>
              </w:rPr>
              <w:t>次</w:t>
            </w:r>
          </w:p>
        </w:tc>
      </w:tr>
      <w:tr w:rsidR="000F0EA8">
        <w:trPr>
          <w:gridAfter w:val="1"/>
          <w:wAfter w:w="236" w:type="dxa"/>
          <w:trHeight w:val="657"/>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质量指标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重大案件查办率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rPr>
            </w:pPr>
            <w:r>
              <w:rPr>
                <w:rFonts w:ascii="仿宋_GB2312" w:eastAsia="仿宋_GB2312" w:hAnsi="仿宋_GB2312" w:cs="仿宋_GB2312" w:hint="eastAsia"/>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rPr>
            </w:pPr>
            <w:r>
              <w:rPr>
                <w:rFonts w:ascii="仿宋_GB2312" w:eastAsia="仿宋_GB2312" w:hAnsi="仿宋_GB2312" w:cs="仿宋_GB2312" w:hint="eastAsia"/>
                <w:sz w:val="24"/>
              </w:rPr>
              <w:t>100%</w:t>
            </w:r>
          </w:p>
        </w:tc>
      </w:tr>
      <w:tr w:rsidR="000F0EA8">
        <w:trPr>
          <w:gridAfter w:val="1"/>
          <w:wAfter w:w="236" w:type="dxa"/>
          <w:trHeight w:val="553"/>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投诉举报立案处置率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rPr>
            </w:pPr>
            <w:r>
              <w:rPr>
                <w:rFonts w:ascii="仿宋_GB2312" w:eastAsia="仿宋_GB2312" w:hAnsi="仿宋_GB2312" w:cs="仿宋_GB2312" w:hint="eastAsia"/>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rPr>
            </w:pPr>
            <w:r>
              <w:rPr>
                <w:rFonts w:ascii="仿宋_GB2312" w:eastAsia="仿宋_GB2312" w:hAnsi="仿宋_GB2312" w:cs="仿宋_GB2312" w:hint="eastAsia"/>
                <w:sz w:val="24"/>
              </w:rPr>
              <w:t>100%</w:t>
            </w:r>
          </w:p>
        </w:tc>
      </w:tr>
      <w:tr w:rsidR="000F0EA8">
        <w:trPr>
          <w:gridAfter w:val="1"/>
          <w:wAfter w:w="236" w:type="dxa"/>
          <w:trHeight w:val="619"/>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抽检不合格查处率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0F0EA8">
        <w:trPr>
          <w:gridAfter w:val="1"/>
          <w:wAfter w:w="236" w:type="dxa"/>
          <w:trHeight w:val="4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时效指标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任务完成时间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2021</w:t>
            </w:r>
            <w:r>
              <w:rPr>
                <w:rFonts w:ascii="仿宋_GB2312" w:eastAsia="仿宋_GB2312" w:hAnsi="仿宋_GB2312" w:cs="仿宋_GB2312" w:hint="eastAsia"/>
                <w:sz w:val="24"/>
              </w:rPr>
              <w:t>年</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按时间节点完成</w:t>
            </w:r>
          </w:p>
        </w:tc>
      </w:tr>
      <w:tr w:rsidR="000F0EA8">
        <w:trPr>
          <w:gridAfter w:val="1"/>
          <w:wAfter w:w="236" w:type="dxa"/>
          <w:trHeight w:val="699"/>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成本指标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抽检平均成本</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3000</w:t>
            </w:r>
            <w:r>
              <w:rPr>
                <w:rFonts w:ascii="仿宋_GB2312" w:eastAsia="仿宋_GB2312" w:hAnsi="仿宋_GB2312" w:cs="仿宋_GB2312" w:hint="eastAsia"/>
                <w:sz w:val="24"/>
              </w:rPr>
              <w:t>元</w:t>
            </w:r>
            <w:r>
              <w:rPr>
                <w:rFonts w:ascii="仿宋_GB2312" w:eastAsia="仿宋_GB2312" w:hAnsi="仿宋_GB2312" w:cs="仿宋_GB2312" w:hint="eastAsia"/>
                <w:sz w:val="24"/>
              </w:rPr>
              <w:t>/</w:t>
            </w:r>
            <w:r>
              <w:rPr>
                <w:rFonts w:ascii="仿宋_GB2312" w:eastAsia="仿宋_GB2312" w:hAnsi="仿宋_GB2312" w:cs="仿宋_GB2312" w:hint="eastAsia"/>
                <w:sz w:val="24"/>
              </w:rPr>
              <w:t>批次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按标准执行</w:t>
            </w:r>
          </w:p>
        </w:tc>
      </w:tr>
      <w:tr w:rsidR="000F0EA8">
        <w:trPr>
          <w:gridAfter w:val="1"/>
          <w:wAfter w:w="236" w:type="dxa"/>
          <w:trHeight w:val="709"/>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差旅补助成本</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180</w:t>
            </w:r>
            <w:r>
              <w:rPr>
                <w:rFonts w:ascii="仿宋_GB2312" w:eastAsia="仿宋_GB2312" w:hAnsi="仿宋_GB2312" w:cs="仿宋_GB2312" w:hint="eastAsia"/>
                <w:sz w:val="24"/>
              </w:rPr>
              <w:t>元</w:t>
            </w:r>
            <w:r>
              <w:rPr>
                <w:rFonts w:ascii="仿宋_GB2312" w:eastAsia="仿宋_GB2312" w:hAnsi="仿宋_GB2312" w:cs="仿宋_GB2312" w:hint="eastAsia"/>
                <w:sz w:val="24"/>
              </w:rPr>
              <w:t>/</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天</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按标准执行</w:t>
            </w:r>
          </w:p>
        </w:tc>
      </w:tr>
      <w:tr w:rsidR="000F0EA8">
        <w:trPr>
          <w:gridAfter w:val="1"/>
          <w:wAfter w:w="236" w:type="dxa"/>
          <w:trHeight w:val="691"/>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宣传成本</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万元</w:t>
            </w:r>
            <w:r>
              <w:rPr>
                <w:rFonts w:ascii="仿宋_GB2312" w:eastAsia="仿宋_GB2312" w:hAnsi="仿宋_GB2312" w:cs="仿宋_GB2312" w:hint="eastAsia"/>
                <w:sz w:val="24"/>
              </w:rPr>
              <w:t>/</w:t>
            </w:r>
            <w:r>
              <w:rPr>
                <w:rFonts w:ascii="仿宋_GB2312" w:eastAsia="仿宋_GB2312" w:hAnsi="仿宋_GB2312" w:cs="仿宋_GB2312" w:hint="eastAsia"/>
                <w:sz w:val="24"/>
              </w:rPr>
              <w:t>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按标准执行</w:t>
            </w:r>
          </w:p>
        </w:tc>
      </w:tr>
      <w:tr w:rsidR="000F0EA8">
        <w:trPr>
          <w:gridAfter w:val="1"/>
          <w:wAfter w:w="236" w:type="dxa"/>
          <w:trHeight w:val="1126"/>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效益</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社会效益</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基层监管队伍监管水平、公平竞争的市场秩序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逐步提高</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逐步提高</w:t>
            </w:r>
          </w:p>
        </w:tc>
      </w:tr>
      <w:tr w:rsidR="000F0EA8">
        <w:trPr>
          <w:gridAfter w:val="1"/>
          <w:wAfter w:w="236" w:type="dxa"/>
          <w:trHeight w:val="830"/>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vMerge/>
            <w:tcBorders>
              <w:left w:val="single" w:sz="4" w:space="0" w:color="000000"/>
              <w:bottom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假冒伪劣产品制售行为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不断降低</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不断降低</w:t>
            </w:r>
          </w:p>
        </w:tc>
      </w:tr>
      <w:tr w:rsidR="000F0EA8">
        <w:trPr>
          <w:gridAfter w:val="1"/>
          <w:wAfter w:w="236" w:type="dxa"/>
          <w:trHeight w:val="530"/>
        </w:trPr>
        <w:tc>
          <w:tcPr>
            <w:tcW w:w="1384" w:type="dxa"/>
            <w:vMerge/>
            <w:tcBorders>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度指标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满意度</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公众对消费投诉处理的总体满意度</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90%</w:t>
            </w:r>
          </w:p>
        </w:tc>
      </w:tr>
    </w:tbl>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pPr>
    </w:p>
    <w:p w:rsidR="000F0EA8" w:rsidRDefault="000F0EA8">
      <w:pPr>
        <w:pStyle w:val="a0"/>
        <w:spacing w:before="93"/>
        <w:rPr>
          <w:rFonts w:hAnsi="宋体" w:cs="宋体"/>
          <w:sz w:val="32"/>
          <w:szCs w:val="32"/>
        </w:rPr>
      </w:pPr>
    </w:p>
    <w:p w:rsidR="000F0EA8" w:rsidRDefault="000F0EA8">
      <w:pPr>
        <w:pStyle w:val="a0"/>
        <w:spacing w:before="93"/>
        <w:rPr>
          <w:rFonts w:hAnsi="宋体" w:cs="宋体"/>
          <w:sz w:val="32"/>
          <w:szCs w:val="32"/>
        </w:rPr>
      </w:pPr>
    </w:p>
    <w:p w:rsidR="000F0EA8" w:rsidRDefault="000F0EA8">
      <w:pPr>
        <w:pStyle w:val="a0"/>
        <w:spacing w:before="93"/>
        <w:rPr>
          <w:rFonts w:hAnsi="宋体" w:cs="宋体"/>
          <w:sz w:val="32"/>
          <w:szCs w:val="32"/>
        </w:rPr>
      </w:pPr>
    </w:p>
    <w:p w:rsidR="000F0EA8" w:rsidRDefault="000F0EA8">
      <w:pPr>
        <w:pStyle w:val="a0"/>
        <w:spacing w:before="93"/>
        <w:rPr>
          <w:rFonts w:hAnsi="宋体" w:cs="宋体"/>
          <w:sz w:val="32"/>
          <w:szCs w:val="32"/>
        </w:rPr>
      </w:pPr>
    </w:p>
    <w:p w:rsidR="000F0EA8" w:rsidRDefault="000F0EA8">
      <w:pPr>
        <w:pStyle w:val="a0"/>
        <w:spacing w:before="93"/>
        <w:rPr>
          <w:rFonts w:hAnsi="宋体" w:cs="宋体"/>
          <w:sz w:val="32"/>
          <w:szCs w:val="32"/>
        </w:rPr>
      </w:pPr>
    </w:p>
    <w:p w:rsidR="000F0EA8" w:rsidRDefault="000F0EA8">
      <w:pPr>
        <w:pStyle w:val="a0"/>
        <w:spacing w:before="93"/>
        <w:rPr>
          <w:b/>
        </w:rPr>
      </w:pPr>
    </w:p>
    <w:tbl>
      <w:tblPr>
        <w:tblpPr w:leftFromText="180" w:rightFromText="180" w:vertAnchor="text" w:horzAnchor="page" w:tblpX="963" w:tblpY="660"/>
        <w:tblOverlap w:val="never"/>
        <w:tblW w:w="10409" w:type="dxa"/>
        <w:tblLayout w:type="fixed"/>
        <w:tblLook w:val="04A0"/>
      </w:tblPr>
      <w:tblGrid>
        <w:gridCol w:w="1384"/>
        <w:gridCol w:w="851"/>
        <w:gridCol w:w="850"/>
        <w:gridCol w:w="992"/>
        <w:gridCol w:w="1276"/>
        <w:gridCol w:w="2268"/>
        <w:gridCol w:w="142"/>
        <w:gridCol w:w="2410"/>
        <w:gridCol w:w="236"/>
      </w:tblGrid>
      <w:tr w:rsidR="000F0EA8">
        <w:trPr>
          <w:trHeight w:val="675"/>
        </w:trPr>
        <w:tc>
          <w:tcPr>
            <w:tcW w:w="10173" w:type="dxa"/>
            <w:gridSpan w:val="8"/>
            <w:tcBorders>
              <w:top w:val="nil"/>
              <w:left w:val="nil"/>
              <w:bottom w:val="nil"/>
              <w:right w:val="nil"/>
            </w:tcBorders>
            <w:shd w:val="clear" w:color="auto" w:fill="auto"/>
            <w:vAlign w:val="center"/>
          </w:tcPr>
          <w:p w:rsidR="000F0EA8" w:rsidRDefault="00885E0F">
            <w:pPr>
              <w:widowControl/>
              <w:jc w:val="center"/>
              <w:textAlignment w:val="center"/>
              <w:rPr>
                <w:rFonts w:ascii="仿宋_GB2312" w:eastAsia="仿宋_GB2312" w:hAnsi="宋体" w:cs="宋体"/>
                <w:b/>
                <w:sz w:val="32"/>
                <w:szCs w:val="32"/>
              </w:rPr>
            </w:pPr>
            <w:bookmarkStart w:id="115" w:name="_Toc115248319"/>
            <w:bookmarkStart w:id="116" w:name="_Toc115253631"/>
            <w:bookmarkStart w:id="117" w:name="_Toc114132086"/>
            <w:bookmarkStart w:id="118" w:name="_Toc14330"/>
            <w:bookmarkStart w:id="119" w:name="_Toc1854"/>
            <w:r>
              <w:rPr>
                <w:rFonts w:ascii="仿宋_GB2312" w:eastAsia="仿宋_GB2312" w:hAnsi="宋体" w:cs="宋体" w:hint="eastAsia"/>
                <w:b/>
                <w:sz w:val="32"/>
                <w:szCs w:val="32"/>
              </w:rPr>
              <w:t>广元市市场监督管理局广元经开区分局</w:t>
            </w:r>
            <w:bookmarkEnd w:id="115"/>
            <w:bookmarkEnd w:id="116"/>
            <w:bookmarkEnd w:id="117"/>
            <w:bookmarkEnd w:id="118"/>
            <w:bookmarkEnd w:id="119"/>
          </w:p>
          <w:p w:rsidR="000F0EA8" w:rsidRDefault="00885E0F">
            <w:pPr>
              <w:widowControl/>
              <w:jc w:val="center"/>
              <w:textAlignment w:val="center"/>
              <w:rPr>
                <w:rFonts w:ascii="仿宋_GB2312" w:eastAsia="仿宋_GB2312" w:hAnsi="宋体" w:cs="宋体"/>
                <w:b/>
                <w:sz w:val="32"/>
                <w:szCs w:val="32"/>
              </w:rPr>
            </w:pPr>
            <w:r>
              <w:rPr>
                <w:rFonts w:ascii="仿宋_GB2312" w:eastAsia="仿宋_GB2312" w:hAnsi="宋体" w:cs="宋体" w:hint="eastAsia"/>
                <w:b/>
                <w:sz w:val="32"/>
                <w:szCs w:val="32"/>
              </w:rPr>
              <w:t>2021</w:t>
            </w:r>
            <w:r>
              <w:rPr>
                <w:rFonts w:ascii="仿宋_GB2312" w:eastAsia="仿宋_GB2312" w:hAnsi="宋体" w:cs="宋体" w:hint="eastAsia"/>
                <w:b/>
                <w:sz w:val="32"/>
                <w:szCs w:val="32"/>
              </w:rPr>
              <w:t>年信息化建设运行及维护预算项目绩效目标自评表</w:t>
            </w:r>
          </w:p>
        </w:tc>
        <w:tc>
          <w:tcPr>
            <w:tcW w:w="236" w:type="dxa"/>
            <w:tcBorders>
              <w:top w:val="nil"/>
              <w:left w:val="nil"/>
              <w:bottom w:val="nil"/>
              <w:right w:val="nil"/>
            </w:tcBorders>
            <w:shd w:val="clear" w:color="auto" w:fill="auto"/>
            <w:vAlign w:val="center"/>
          </w:tcPr>
          <w:p w:rsidR="000F0EA8" w:rsidRDefault="000F0EA8">
            <w:pPr>
              <w:widowControl/>
              <w:jc w:val="center"/>
              <w:textAlignment w:val="center"/>
              <w:rPr>
                <w:rFonts w:ascii="仿宋_GB2312" w:eastAsia="仿宋_GB2312" w:hAnsi="宋体" w:cs="宋体"/>
                <w:b/>
                <w:kern w:val="0"/>
                <w:sz w:val="32"/>
                <w:szCs w:val="32"/>
              </w:rPr>
            </w:pPr>
          </w:p>
        </w:tc>
      </w:tr>
      <w:tr w:rsidR="000F0EA8">
        <w:trPr>
          <w:gridAfter w:val="1"/>
          <w:wAfter w:w="236" w:type="dxa"/>
          <w:trHeight w:val="600"/>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主管部门及代码</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textAlignment w:val="center"/>
              <w:rPr>
                <w:rFonts w:ascii="仿宋_GB2312" w:eastAsia="仿宋_GB2312" w:hAnsi="宋体" w:cs="宋体"/>
                <w:sz w:val="24"/>
              </w:rPr>
            </w:pPr>
            <w:r>
              <w:rPr>
                <w:rFonts w:ascii="仿宋_GB2312" w:eastAsia="仿宋_GB2312" w:hAnsi="宋体" w:cs="宋体" w:hint="eastAsia"/>
                <w:sz w:val="24"/>
              </w:rPr>
              <w:t>广元市市场监督管理局</w:t>
            </w:r>
            <w:r>
              <w:rPr>
                <w:rFonts w:ascii="仿宋_GB2312" w:eastAsia="仿宋_GB2312" w:hAnsi="宋体" w:cs="宋体" w:hint="eastAsia"/>
                <w:sz w:val="24"/>
              </w:rPr>
              <w:t>359001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实施单位</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广元市市场监督管理局广元经开区分局</w:t>
            </w:r>
          </w:p>
        </w:tc>
      </w:tr>
      <w:tr w:rsidR="000F0EA8">
        <w:trPr>
          <w:gridAfter w:val="1"/>
          <w:wAfter w:w="236" w:type="dxa"/>
          <w:trHeight w:val="524"/>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项目预算</w:t>
            </w:r>
          </w:p>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执行情况</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（万元）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预算数：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执行数：</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2.7</w:t>
            </w:r>
          </w:p>
        </w:tc>
      </w:tr>
      <w:tr w:rsidR="000F0EA8">
        <w:trPr>
          <w:gridAfter w:val="1"/>
          <w:wAfter w:w="236" w:type="dxa"/>
          <w:trHeight w:val="555"/>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其中：</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财政拨款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其中：</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财政拨款</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sz w:val="24"/>
              </w:rPr>
              <w:t>2.7</w:t>
            </w:r>
          </w:p>
        </w:tc>
      </w:tr>
      <w:tr w:rsidR="000F0EA8">
        <w:trPr>
          <w:gridAfter w:val="1"/>
          <w:wAfter w:w="236" w:type="dxa"/>
          <w:trHeight w:val="611"/>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其他资金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center"/>
              <w:rPr>
                <w:rFonts w:ascii="仿宋_GB2312" w:eastAsia="仿宋_GB2312" w:hAnsi="宋体" w:cs="宋体"/>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其他资金</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center"/>
              <w:rPr>
                <w:rFonts w:ascii="仿宋_GB2312" w:eastAsia="仿宋_GB2312" w:hAnsi="宋体" w:cs="宋体"/>
                <w:sz w:val="24"/>
              </w:rPr>
            </w:pPr>
          </w:p>
        </w:tc>
      </w:tr>
      <w:tr w:rsidR="000F0EA8">
        <w:trPr>
          <w:gridAfter w:val="1"/>
          <w:wAfter w:w="236" w:type="dxa"/>
          <w:trHeight w:val="563"/>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kern w:val="0"/>
                <w:sz w:val="24"/>
              </w:rPr>
            </w:pPr>
            <w:r>
              <w:rPr>
                <w:rFonts w:ascii="仿宋_GB2312" w:eastAsia="仿宋_GB2312" w:hAnsi="宋体" w:cs="宋体" w:hint="eastAsia"/>
                <w:kern w:val="0"/>
                <w:sz w:val="24"/>
              </w:rPr>
              <w:t>年度总体目标</w:t>
            </w:r>
          </w:p>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完成情况</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预期目标</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宋体" w:cs="宋体"/>
                <w:sz w:val="24"/>
              </w:rPr>
            </w:pPr>
            <w:r>
              <w:rPr>
                <w:rFonts w:ascii="仿宋_GB2312" w:eastAsia="仿宋_GB2312" w:hAnsi="宋体" w:cs="宋体" w:hint="eastAsia"/>
                <w:kern w:val="0"/>
                <w:sz w:val="24"/>
              </w:rPr>
              <w:t>目标实际完成情况</w:t>
            </w:r>
          </w:p>
        </w:tc>
      </w:tr>
      <w:tr w:rsidR="000F0EA8">
        <w:trPr>
          <w:gridAfter w:val="1"/>
          <w:wAfter w:w="236" w:type="dxa"/>
          <w:trHeight w:val="1705"/>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宋体" w:cs="宋体"/>
                <w:sz w:val="24"/>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top"/>
              <w:rPr>
                <w:rFonts w:ascii="仿宋_GB2312" w:eastAsia="仿宋_GB2312" w:hAnsi="宋体" w:cs="宋体"/>
                <w:sz w:val="24"/>
              </w:rPr>
            </w:pPr>
            <w:r>
              <w:rPr>
                <w:rFonts w:ascii="仿宋_GB2312" w:eastAsia="仿宋_GB2312" w:hAnsi="宋体" w:cs="宋体" w:hint="eastAsia"/>
                <w:sz w:val="24"/>
              </w:rPr>
              <w:t>进一步完善信息化建设工作，推进分局机关及基层所网络化办公。</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top"/>
              <w:rPr>
                <w:rFonts w:ascii="仿宋_GB2312" w:eastAsia="仿宋_GB2312" w:hAnsi="宋体" w:cs="宋体"/>
                <w:sz w:val="24"/>
              </w:rPr>
            </w:pPr>
            <w:r>
              <w:rPr>
                <w:rFonts w:ascii="仿宋_GB2312" w:eastAsia="仿宋_GB2312" w:hAnsi="宋体" w:cs="宋体" w:hint="eastAsia"/>
                <w:sz w:val="24"/>
              </w:rPr>
              <w:t>实现了分局机关网络化办公，通过短信平台的构建，使基层监管工作更加便捷。</w:t>
            </w:r>
          </w:p>
        </w:tc>
      </w:tr>
      <w:tr w:rsidR="000F0EA8">
        <w:trPr>
          <w:gridAfter w:val="1"/>
          <w:wAfter w:w="236" w:type="dxa"/>
          <w:trHeight w:val="693"/>
        </w:trPr>
        <w:tc>
          <w:tcPr>
            <w:tcW w:w="1384"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年度绩效指标完成情况</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二级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三级</w:t>
            </w:r>
          </w:p>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实际完成指标值</w:t>
            </w:r>
          </w:p>
        </w:tc>
      </w:tr>
      <w:tr w:rsidR="000F0EA8">
        <w:trPr>
          <w:gridAfter w:val="1"/>
          <w:wAfter w:w="236" w:type="dxa"/>
          <w:trHeight w:val="76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完成</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数量指标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移动</w:t>
            </w:r>
            <w:r>
              <w:rPr>
                <w:rFonts w:ascii="仿宋_GB2312" w:eastAsia="仿宋_GB2312" w:hAnsi="仿宋_GB2312" w:cs="仿宋_GB2312" w:hint="eastAsia"/>
                <w:sz w:val="24"/>
              </w:rPr>
              <w:t>OA</w:t>
            </w:r>
            <w:r>
              <w:rPr>
                <w:rFonts w:ascii="仿宋_GB2312" w:eastAsia="仿宋_GB2312" w:hAnsi="仿宋_GB2312" w:cs="仿宋_GB2312" w:hint="eastAsia"/>
                <w:sz w:val="24"/>
              </w:rPr>
              <w:t>协同办公业务服务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提供移动</w:t>
            </w:r>
            <w:r>
              <w:rPr>
                <w:rFonts w:ascii="仿宋_GB2312" w:eastAsia="仿宋_GB2312" w:hAnsi="仿宋_GB2312" w:cs="仿宋_GB2312" w:hint="eastAsia"/>
                <w:sz w:val="24"/>
              </w:rPr>
              <w:t>OA</w:t>
            </w:r>
            <w:r>
              <w:rPr>
                <w:rFonts w:ascii="仿宋_GB2312" w:eastAsia="仿宋_GB2312" w:hAnsi="仿宋_GB2312" w:cs="仿宋_GB2312" w:hint="eastAsia"/>
                <w:sz w:val="24"/>
              </w:rPr>
              <w:t>办公业务系统网络接入服务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完成</w:t>
            </w:r>
          </w:p>
        </w:tc>
      </w:tr>
      <w:tr w:rsidR="000F0EA8">
        <w:trPr>
          <w:gridAfter w:val="1"/>
          <w:wAfter w:w="236" w:type="dxa"/>
          <w:trHeight w:val="76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850" w:type="dxa"/>
            <w:vMerge/>
            <w:tcBorders>
              <w:left w:val="single" w:sz="4" w:space="0" w:color="000000"/>
              <w:right w:val="single" w:sz="4" w:space="0" w:color="000000"/>
            </w:tcBorders>
            <w:shd w:val="clear" w:color="auto" w:fill="auto"/>
            <w:vAlign w:val="bottom"/>
          </w:tcPr>
          <w:p w:rsidR="000F0EA8" w:rsidRDefault="000F0EA8">
            <w:pPr>
              <w:widowControl/>
              <w:spacing w:line="320" w:lineRule="exact"/>
              <w:jc w:val="center"/>
              <w:textAlignment w:val="bottom"/>
              <w:rPr>
                <w:rFonts w:ascii="仿宋_GB2312" w:eastAsia="仿宋_GB2312" w:hAnsi="仿宋_GB2312" w:cs="仿宋_GB2312"/>
                <w:kern w:val="0"/>
                <w:sz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云</w:t>
            </w:r>
            <w:r>
              <w:rPr>
                <w:rFonts w:ascii="仿宋_GB2312" w:eastAsia="仿宋_GB2312" w:hAnsi="仿宋_GB2312" w:cs="仿宋_GB2312" w:hint="eastAsia"/>
                <w:sz w:val="24"/>
              </w:rPr>
              <w:t>MAS</w:t>
            </w:r>
            <w:r>
              <w:rPr>
                <w:rFonts w:ascii="仿宋_GB2312" w:eastAsia="仿宋_GB2312" w:hAnsi="仿宋_GB2312" w:cs="仿宋_GB2312" w:hint="eastAsia"/>
                <w:sz w:val="24"/>
              </w:rPr>
              <w:t>短信平台业务服务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proofErr w:type="gramStart"/>
            <w:r>
              <w:rPr>
                <w:rFonts w:ascii="仿宋_GB2312" w:eastAsia="仿宋_GB2312" w:hAnsi="仿宋_GB2312" w:cs="仿宋_GB2312" w:hint="eastAsia"/>
                <w:sz w:val="24"/>
              </w:rPr>
              <w:t>开通云</w:t>
            </w:r>
            <w:proofErr w:type="gramEnd"/>
            <w:r>
              <w:rPr>
                <w:rFonts w:ascii="仿宋_GB2312" w:eastAsia="仿宋_GB2312" w:hAnsi="仿宋_GB2312" w:cs="仿宋_GB2312" w:hint="eastAsia"/>
                <w:sz w:val="24"/>
              </w:rPr>
              <w:t>MAS</w:t>
            </w:r>
            <w:r>
              <w:rPr>
                <w:rFonts w:ascii="仿宋_GB2312" w:eastAsia="仿宋_GB2312" w:hAnsi="仿宋_GB2312" w:cs="仿宋_GB2312" w:hint="eastAsia"/>
                <w:sz w:val="24"/>
              </w:rPr>
              <w:t>短信平台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w:t>
            </w:r>
          </w:p>
        </w:tc>
      </w:tr>
      <w:tr w:rsidR="000F0EA8">
        <w:trPr>
          <w:gridAfter w:val="1"/>
          <w:wAfter w:w="236" w:type="dxa"/>
          <w:trHeight w:val="657"/>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质量指标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信息网络覆盖率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rPr>
            </w:pPr>
            <w:r>
              <w:rPr>
                <w:rFonts w:ascii="仿宋_GB2312" w:eastAsia="仿宋_GB2312" w:hAnsi="仿宋_GB2312" w:cs="仿宋_GB2312" w:hint="eastAsia"/>
                <w:sz w:val="24"/>
              </w:rPr>
              <w:t>≥</w:t>
            </w:r>
            <w:r>
              <w:rPr>
                <w:rFonts w:ascii="仿宋_GB2312" w:eastAsia="仿宋_GB2312" w:hAnsi="仿宋_GB2312" w:cs="仿宋_GB2312" w:hint="eastAsia"/>
                <w:sz w:val="24"/>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jc w:val="center"/>
              <w:rPr>
                <w:rFonts w:ascii="仿宋_GB2312" w:eastAsia="仿宋_GB2312"/>
              </w:rPr>
            </w:pPr>
            <w:r>
              <w:rPr>
                <w:rFonts w:ascii="仿宋_GB2312" w:eastAsia="仿宋_GB2312" w:hAnsi="仿宋_GB2312" w:cs="仿宋_GB2312" w:hint="eastAsia"/>
                <w:sz w:val="24"/>
              </w:rPr>
              <w:t>100%</w:t>
            </w:r>
          </w:p>
        </w:tc>
      </w:tr>
      <w:tr w:rsidR="000F0EA8">
        <w:trPr>
          <w:gridAfter w:val="1"/>
          <w:wAfter w:w="236" w:type="dxa"/>
          <w:trHeight w:val="415"/>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时效指标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任务完成时间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2021</w:t>
            </w:r>
            <w:r>
              <w:rPr>
                <w:rFonts w:ascii="仿宋_GB2312" w:eastAsia="仿宋_GB2312" w:hAnsi="仿宋_GB2312" w:cs="仿宋_GB2312" w:hint="eastAsia"/>
                <w:sz w:val="24"/>
              </w:rPr>
              <w:t>年</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按时间节点完成</w:t>
            </w:r>
          </w:p>
        </w:tc>
      </w:tr>
      <w:tr w:rsidR="000F0EA8">
        <w:trPr>
          <w:gridAfter w:val="1"/>
          <w:wAfter w:w="236" w:type="dxa"/>
          <w:trHeight w:val="699"/>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0F0EA8">
            <w:pPr>
              <w:spacing w:line="320" w:lineRule="exact"/>
              <w:jc w:val="center"/>
              <w:rPr>
                <w:rFonts w:ascii="仿宋_GB2312" w:eastAsia="仿宋_GB2312" w:hAnsi="仿宋_GB2312" w:cs="仿宋_GB2312"/>
                <w:sz w:val="24"/>
              </w:rPr>
            </w:pPr>
          </w:p>
        </w:tc>
        <w:tc>
          <w:tcPr>
            <w:tcW w:w="850" w:type="dxa"/>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成本指标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信息网络建设费</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2.7</w:t>
            </w:r>
            <w:r>
              <w:rPr>
                <w:rFonts w:ascii="仿宋_GB2312" w:eastAsia="仿宋_GB2312" w:hAnsi="仿宋_GB2312" w:cs="仿宋_GB2312" w:hint="eastAsia"/>
                <w:sz w:val="24"/>
              </w:rPr>
              <w:t>万元</w:t>
            </w:r>
            <w:r>
              <w:rPr>
                <w:rFonts w:ascii="仿宋_GB2312" w:eastAsia="仿宋_GB2312" w:hAnsi="仿宋_GB2312" w:cs="仿宋_GB2312" w:hint="eastAsia"/>
                <w:sz w:val="24"/>
              </w:rPr>
              <w:t>/</w:t>
            </w:r>
            <w:r>
              <w:rPr>
                <w:rFonts w:ascii="仿宋_GB2312" w:eastAsia="仿宋_GB2312" w:hAnsi="仿宋_GB2312" w:cs="仿宋_GB2312" w:hint="eastAsia"/>
                <w:sz w:val="24"/>
              </w:rPr>
              <w:t>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按标准执行</w:t>
            </w:r>
          </w:p>
        </w:tc>
      </w:tr>
      <w:tr w:rsidR="000F0EA8">
        <w:trPr>
          <w:gridAfter w:val="1"/>
          <w:wAfter w:w="236" w:type="dxa"/>
          <w:trHeight w:val="1126"/>
        </w:trPr>
        <w:tc>
          <w:tcPr>
            <w:tcW w:w="1384" w:type="dxa"/>
            <w:vMerge/>
            <w:tcBorders>
              <w:left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效益</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850" w:type="dxa"/>
            <w:tcBorders>
              <w:top w:val="single" w:sz="4" w:space="0" w:color="000000"/>
              <w:left w:val="single" w:sz="4" w:space="0" w:color="000000"/>
              <w:right w:val="single" w:sz="4" w:space="0" w:color="000000"/>
            </w:tcBorders>
            <w:shd w:val="clear" w:color="auto" w:fill="auto"/>
            <w:vAlign w:val="center"/>
          </w:tcPr>
          <w:p w:rsidR="000F0EA8" w:rsidRDefault="00885E0F">
            <w:pPr>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社会效益</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安全监管水平，公众安全科普知识</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逐步提高</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逐步提高</w:t>
            </w:r>
          </w:p>
        </w:tc>
      </w:tr>
      <w:tr w:rsidR="000F0EA8">
        <w:trPr>
          <w:gridAfter w:val="1"/>
          <w:wAfter w:w="236" w:type="dxa"/>
          <w:trHeight w:val="530"/>
        </w:trPr>
        <w:tc>
          <w:tcPr>
            <w:tcW w:w="1384" w:type="dxa"/>
            <w:vMerge/>
            <w:tcBorders>
              <w:left w:val="single" w:sz="4" w:space="0" w:color="000000"/>
              <w:bottom w:val="single" w:sz="4" w:space="0" w:color="000000"/>
              <w:right w:val="single" w:sz="4" w:space="0" w:color="000000"/>
            </w:tcBorders>
            <w:shd w:val="clear" w:color="auto" w:fill="auto"/>
            <w:vAlign w:val="center"/>
          </w:tcPr>
          <w:p w:rsidR="000F0EA8" w:rsidRDefault="000F0EA8">
            <w:pPr>
              <w:spacing w:line="320" w:lineRule="exact"/>
              <w:jc w:val="center"/>
              <w:rPr>
                <w:rFonts w:ascii="仿宋_GB2312" w:eastAsia="仿宋_GB2312" w:hAnsi="仿宋_GB2312" w:cs="仿宋_GB2312"/>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度指标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0EA8" w:rsidRDefault="00885E0F">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满意度</w:t>
            </w:r>
          </w:p>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sz w:val="24"/>
              </w:rPr>
              <w:t>职工满意度</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EA8" w:rsidRDefault="00885E0F">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bl>
    <w:p w:rsidR="000F0EA8" w:rsidRDefault="00885E0F">
      <w:pPr>
        <w:pStyle w:val="1"/>
        <w:jc w:val="center"/>
        <w:rPr>
          <w:rFonts w:ascii="黑体" w:eastAsia="黑体" w:hAnsi="仿宋"/>
          <w:b w:val="0"/>
        </w:rPr>
      </w:pPr>
      <w:bookmarkStart w:id="120" w:name="_Toc23334"/>
      <w:bookmarkStart w:id="121" w:name="_Toc115248320"/>
      <w:r>
        <w:rPr>
          <w:rFonts w:ascii="黑体" w:eastAsia="黑体" w:hint="eastAsia"/>
          <w:b w:val="0"/>
        </w:rPr>
        <w:lastRenderedPageBreak/>
        <w:t>第五部分</w:t>
      </w:r>
      <w:r>
        <w:rPr>
          <w:rFonts w:ascii="黑体" w:eastAsia="黑体" w:hint="eastAsia"/>
          <w:b w:val="0"/>
        </w:rPr>
        <w:t xml:space="preserve"> </w:t>
      </w:r>
      <w:r>
        <w:rPr>
          <w:rFonts w:ascii="黑体" w:eastAsia="黑体" w:hint="eastAsia"/>
          <w:b w:val="0"/>
        </w:rPr>
        <w:t>附表</w:t>
      </w:r>
      <w:bookmarkStart w:id="122" w:name="_Toc15396619"/>
      <w:bookmarkEnd w:id="99"/>
      <w:bookmarkEnd w:id="109"/>
      <w:bookmarkEnd w:id="120"/>
      <w:bookmarkEnd w:id="121"/>
    </w:p>
    <w:p w:rsidR="000F0EA8" w:rsidRDefault="00885E0F">
      <w:pPr>
        <w:pStyle w:val="2"/>
        <w:rPr>
          <w:rFonts w:ascii="仿宋_GB2312" w:eastAsia="仿宋_GB2312" w:hAnsi="仿宋"/>
        </w:rPr>
      </w:pPr>
      <w:bookmarkStart w:id="123" w:name="_Toc30208"/>
      <w:bookmarkStart w:id="124" w:name="_Toc115248321"/>
      <w:r>
        <w:rPr>
          <w:rFonts w:ascii="仿宋_GB2312" w:eastAsia="仿宋_GB2312" w:hAnsi="仿宋" w:hint="eastAsia"/>
          <w:b w:val="0"/>
        </w:rPr>
        <w:t>一、收</w:t>
      </w:r>
      <w:r>
        <w:rPr>
          <w:rStyle w:val="2Char"/>
          <w:rFonts w:ascii="仿宋_GB2312" w:eastAsia="仿宋_GB2312" w:hAnsi="仿宋" w:hint="eastAsia"/>
        </w:rPr>
        <w:t>入支出决算总表</w:t>
      </w:r>
      <w:bookmarkEnd w:id="122"/>
      <w:bookmarkEnd w:id="123"/>
      <w:bookmarkEnd w:id="124"/>
    </w:p>
    <w:p w:rsidR="000F0EA8" w:rsidRDefault="00885E0F">
      <w:pPr>
        <w:pStyle w:val="2"/>
        <w:rPr>
          <w:rFonts w:ascii="仿宋_GB2312" w:eastAsia="仿宋_GB2312" w:hAnsi="仿宋"/>
        </w:rPr>
      </w:pPr>
      <w:bookmarkStart w:id="125" w:name="_Toc115248322"/>
      <w:bookmarkStart w:id="126" w:name="_Toc15396620"/>
      <w:bookmarkStart w:id="127" w:name="_Toc14851"/>
      <w:r>
        <w:rPr>
          <w:rFonts w:ascii="仿宋_GB2312" w:eastAsia="仿宋_GB2312" w:hAnsi="仿宋" w:hint="eastAsia"/>
          <w:b w:val="0"/>
        </w:rPr>
        <w:t>二、收</w:t>
      </w:r>
      <w:r>
        <w:rPr>
          <w:rStyle w:val="2Char"/>
          <w:rFonts w:ascii="仿宋_GB2312" w:eastAsia="仿宋_GB2312" w:hAnsi="仿宋" w:hint="eastAsia"/>
        </w:rPr>
        <w:t>入决算表</w:t>
      </w:r>
      <w:bookmarkEnd w:id="125"/>
      <w:bookmarkEnd w:id="126"/>
      <w:bookmarkEnd w:id="127"/>
    </w:p>
    <w:p w:rsidR="000F0EA8" w:rsidRDefault="00885E0F">
      <w:pPr>
        <w:pStyle w:val="2"/>
        <w:rPr>
          <w:rFonts w:ascii="仿宋_GB2312" w:eastAsia="仿宋_GB2312" w:hAnsi="仿宋"/>
        </w:rPr>
      </w:pPr>
      <w:bookmarkStart w:id="128" w:name="_Toc15396621"/>
      <w:bookmarkStart w:id="129" w:name="_Toc115248323"/>
      <w:bookmarkStart w:id="130" w:name="_Toc3380"/>
      <w:r>
        <w:rPr>
          <w:rStyle w:val="2Char"/>
          <w:rFonts w:ascii="仿宋_GB2312" w:eastAsia="仿宋_GB2312" w:hAnsi="仿宋" w:hint="eastAsia"/>
        </w:rPr>
        <w:t>三、</w:t>
      </w:r>
      <w:r>
        <w:rPr>
          <w:rFonts w:ascii="仿宋_GB2312" w:eastAsia="仿宋_GB2312" w:hAnsi="仿宋" w:hint="eastAsia"/>
          <w:b w:val="0"/>
        </w:rPr>
        <w:t>支</w:t>
      </w:r>
      <w:r>
        <w:rPr>
          <w:rStyle w:val="2Char"/>
          <w:rFonts w:ascii="仿宋_GB2312" w:eastAsia="仿宋_GB2312" w:hAnsi="仿宋" w:hint="eastAsia"/>
        </w:rPr>
        <w:t>出决算表</w:t>
      </w:r>
      <w:bookmarkEnd w:id="128"/>
      <w:bookmarkEnd w:id="129"/>
      <w:bookmarkEnd w:id="130"/>
    </w:p>
    <w:p w:rsidR="000F0EA8" w:rsidRDefault="00885E0F">
      <w:pPr>
        <w:pStyle w:val="2"/>
        <w:rPr>
          <w:rFonts w:ascii="仿宋_GB2312" w:eastAsia="仿宋_GB2312" w:hAnsi="仿宋"/>
          <w:b w:val="0"/>
        </w:rPr>
      </w:pPr>
      <w:bookmarkStart w:id="131" w:name="_Toc15396622"/>
      <w:bookmarkStart w:id="132" w:name="_Toc115248324"/>
      <w:bookmarkStart w:id="133" w:name="_Toc24359"/>
      <w:r>
        <w:rPr>
          <w:rStyle w:val="2Char"/>
          <w:rFonts w:ascii="仿宋_GB2312" w:eastAsia="仿宋_GB2312" w:hAnsi="仿宋" w:hint="eastAsia"/>
        </w:rPr>
        <w:t>四、</w:t>
      </w:r>
      <w:r>
        <w:rPr>
          <w:rFonts w:ascii="仿宋_GB2312" w:eastAsia="仿宋_GB2312" w:hAnsi="仿宋" w:hint="eastAsia"/>
          <w:b w:val="0"/>
        </w:rPr>
        <w:t>财</w:t>
      </w:r>
      <w:r>
        <w:rPr>
          <w:rStyle w:val="2Char"/>
          <w:rFonts w:ascii="仿宋_GB2312" w:eastAsia="仿宋_GB2312" w:hAnsi="仿宋" w:hint="eastAsia"/>
        </w:rPr>
        <w:t>政拨款收入支出决算总表</w:t>
      </w:r>
      <w:bookmarkEnd w:id="131"/>
      <w:bookmarkEnd w:id="132"/>
      <w:bookmarkEnd w:id="133"/>
    </w:p>
    <w:p w:rsidR="000F0EA8" w:rsidRDefault="00885E0F">
      <w:pPr>
        <w:pStyle w:val="2"/>
        <w:rPr>
          <w:rStyle w:val="2Char"/>
          <w:rFonts w:ascii="仿宋_GB2312" w:eastAsia="仿宋_GB2312" w:hAnsi="仿宋"/>
        </w:rPr>
      </w:pPr>
      <w:bookmarkStart w:id="134" w:name="_Toc115248325"/>
      <w:bookmarkStart w:id="135" w:name="_Toc15396623"/>
      <w:bookmarkStart w:id="136" w:name="_Toc19243"/>
      <w:r>
        <w:rPr>
          <w:rStyle w:val="2Char"/>
          <w:rFonts w:ascii="仿宋_GB2312" w:eastAsia="仿宋_GB2312" w:hAnsi="仿宋" w:hint="eastAsia"/>
        </w:rPr>
        <w:t>五、</w:t>
      </w:r>
      <w:r>
        <w:rPr>
          <w:rFonts w:ascii="仿宋_GB2312" w:eastAsia="仿宋_GB2312" w:hAnsi="仿宋" w:hint="eastAsia"/>
          <w:b w:val="0"/>
        </w:rPr>
        <w:t>财</w:t>
      </w:r>
      <w:r>
        <w:rPr>
          <w:rStyle w:val="2Char"/>
          <w:rFonts w:ascii="仿宋_GB2312" w:eastAsia="仿宋_GB2312" w:hAnsi="仿宋" w:hint="eastAsia"/>
        </w:rPr>
        <w:t>政拨款支出决算明细表</w:t>
      </w:r>
      <w:bookmarkStart w:id="137" w:name="_Toc15396624"/>
      <w:bookmarkEnd w:id="134"/>
      <w:bookmarkEnd w:id="135"/>
      <w:bookmarkEnd w:id="136"/>
    </w:p>
    <w:p w:rsidR="000F0EA8" w:rsidRDefault="00885E0F">
      <w:pPr>
        <w:pStyle w:val="2"/>
        <w:rPr>
          <w:rFonts w:ascii="仿宋_GB2312" w:eastAsia="仿宋_GB2312" w:hAnsi="仿宋"/>
        </w:rPr>
      </w:pPr>
      <w:bookmarkStart w:id="138" w:name="_Toc115248326"/>
      <w:bookmarkStart w:id="139" w:name="_Toc21561"/>
      <w:r>
        <w:rPr>
          <w:rStyle w:val="2Char"/>
          <w:rFonts w:ascii="仿宋_GB2312" w:eastAsia="仿宋_GB2312" w:hAnsi="仿宋" w:hint="eastAsia"/>
        </w:rPr>
        <w:t>六、</w:t>
      </w:r>
      <w:r>
        <w:rPr>
          <w:rFonts w:ascii="仿宋_GB2312" w:eastAsia="仿宋_GB2312" w:hAnsi="仿宋" w:hint="eastAsia"/>
          <w:b w:val="0"/>
        </w:rPr>
        <w:t>一</w:t>
      </w:r>
      <w:r>
        <w:rPr>
          <w:rStyle w:val="2Char"/>
          <w:rFonts w:ascii="仿宋_GB2312" w:eastAsia="仿宋_GB2312" w:hAnsi="仿宋" w:hint="eastAsia"/>
        </w:rPr>
        <w:t>般公共预算财政拨款支出决算表</w:t>
      </w:r>
      <w:bookmarkEnd w:id="137"/>
      <w:bookmarkEnd w:id="138"/>
      <w:bookmarkEnd w:id="139"/>
    </w:p>
    <w:p w:rsidR="000F0EA8" w:rsidRDefault="00885E0F">
      <w:pPr>
        <w:pStyle w:val="2"/>
        <w:rPr>
          <w:rFonts w:ascii="仿宋_GB2312" w:eastAsia="仿宋_GB2312" w:hAnsi="仿宋"/>
        </w:rPr>
      </w:pPr>
      <w:bookmarkStart w:id="140" w:name="_Toc15396625"/>
      <w:bookmarkStart w:id="141" w:name="_Toc115248327"/>
      <w:bookmarkStart w:id="142" w:name="_Toc14770"/>
      <w:r>
        <w:rPr>
          <w:rStyle w:val="2Char"/>
          <w:rFonts w:ascii="仿宋_GB2312" w:eastAsia="仿宋_GB2312" w:hAnsi="仿宋" w:hint="eastAsia"/>
        </w:rPr>
        <w:t>七、</w:t>
      </w:r>
      <w:r>
        <w:rPr>
          <w:rFonts w:ascii="仿宋_GB2312" w:eastAsia="仿宋_GB2312" w:hAnsi="仿宋" w:hint="eastAsia"/>
          <w:b w:val="0"/>
        </w:rPr>
        <w:t>一</w:t>
      </w:r>
      <w:r>
        <w:rPr>
          <w:rStyle w:val="2Char"/>
          <w:rFonts w:ascii="仿宋_GB2312" w:eastAsia="仿宋_GB2312" w:hAnsi="仿宋" w:hint="eastAsia"/>
        </w:rPr>
        <w:t>般公共预算财政拨款支出决算明细表</w:t>
      </w:r>
      <w:bookmarkEnd w:id="140"/>
      <w:bookmarkEnd w:id="141"/>
      <w:bookmarkEnd w:id="142"/>
    </w:p>
    <w:p w:rsidR="000F0EA8" w:rsidRDefault="00885E0F">
      <w:pPr>
        <w:pStyle w:val="2"/>
        <w:rPr>
          <w:rFonts w:ascii="仿宋_GB2312" w:eastAsia="仿宋_GB2312" w:hAnsi="仿宋"/>
        </w:rPr>
      </w:pPr>
      <w:bookmarkStart w:id="143" w:name="_Toc115248328"/>
      <w:bookmarkStart w:id="144" w:name="_Toc15396626"/>
      <w:bookmarkStart w:id="145" w:name="_Toc3978"/>
      <w:r>
        <w:rPr>
          <w:rStyle w:val="2Char"/>
          <w:rFonts w:ascii="仿宋_GB2312" w:eastAsia="仿宋_GB2312" w:hAnsi="仿宋" w:hint="eastAsia"/>
        </w:rPr>
        <w:t>八、</w:t>
      </w:r>
      <w:r>
        <w:rPr>
          <w:rFonts w:ascii="仿宋_GB2312" w:eastAsia="仿宋_GB2312" w:hAnsi="仿宋" w:hint="eastAsia"/>
          <w:b w:val="0"/>
        </w:rPr>
        <w:t>一</w:t>
      </w:r>
      <w:r>
        <w:rPr>
          <w:rStyle w:val="2Char"/>
          <w:rFonts w:ascii="仿宋_GB2312" w:eastAsia="仿宋_GB2312" w:hAnsi="仿宋" w:hint="eastAsia"/>
        </w:rPr>
        <w:t>般公共预算财政拨款基本支出决算表</w:t>
      </w:r>
      <w:bookmarkEnd w:id="143"/>
      <w:bookmarkEnd w:id="144"/>
      <w:bookmarkEnd w:id="145"/>
    </w:p>
    <w:p w:rsidR="000F0EA8" w:rsidRDefault="00885E0F">
      <w:pPr>
        <w:pStyle w:val="2"/>
        <w:rPr>
          <w:rFonts w:ascii="仿宋_GB2312" w:eastAsia="仿宋_GB2312" w:hAnsi="仿宋"/>
        </w:rPr>
      </w:pPr>
      <w:bookmarkStart w:id="146" w:name="_Toc115248329"/>
      <w:bookmarkStart w:id="147" w:name="_Toc15396627"/>
      <w:bookmarkStart w:id="148" w:name="_Toc8873"/>
      <w:r>
        <w:rPr>
          <w:rStyle w:val="2Char"/>
          <w:rFonts w:ascii="仿宋_GB2312" w:eastAsia="仿宋_GB2312" w:hAnsi="仿宋" w:hint="eastAsia"/>
        </w:rPr>
        <w:t>九、</w:t>
      </w:r>
      <w:r>
        <w:rPr>
          <w:rFonts w:ascii="仿宋_GB2312" w:eastAsia="仿宋_GB2312" w:hAnsi="仿宋" w:hint="eastAsia"/>
          <w:b w:val="0"/>
        </w:rPr>
        <w:t>一</w:t>
      </w:r>
      <w:r>
        <w:rPr>
          <w:rStyle w:val="2Char"/>
          <w:rFonts w:ascii="仿宋_GB2312" w:eastAsia="仿宋_GB2312" w:hAnsi="仿宋" w:hint="eastAsia"/>
        </w:rPr>
        <w:t>般公共预算财政拨款项目支出决算表</w:t>
      </w:r>
      <w:bookmarkEnd w:id="146"/>
      <w:bookmarkEnd w:id="147"/>
      <w:bookmarkEnd w:id="148"/>
    </w:p>
    <w:p w:rsidR="000F0EA8" w:rsidRDefault="00885E0F">
      <w:pPr>
        <w:pStyle w:val="2"/>
        <w:rPr>
          <w:rFonts w:ascii="仿宋_GB2312" w:eastAsia="仿宋_GB2312" w:hAnsi="仿宋"/>
        </w:rPr>
      </w:pPr>
      <w:bookmarkStart w:id="149" w:name="_Toc115248330"/>
      <w:bookmarkStart w:id="150" w:name="_Toc15396628"/>
      <w:bookmarkStart w:id="151" w:name="_Toc29959"/>
      <w:r>
        <w:rPr>
          <w:rStyle w:val="2Char"/>
          <w:rFonts w:ascii="仿宋_GB2312" w:eastAsia="仿宋_GB2312" w:hAnsi="仿宋" w:hint="eastAsia"/>
        </w:rPr>
        <w:t>十、</w:t>
      </w:r>
      <w:r>
        <w:rPr>
          <w:rFonts w:ascii="仿宋_GB2312" w:eastAsia="仿宋_GB2312" w:hAnsi="仿宋" w:hint="eastAsia"/>
          <w:b w:val="0"/>
        </w:rPr>
        <w:t>一</w:t>
      </w:r>
      <w:r>
        <w:rPr>
          <w:rStyle w:val="2Char"/>
          <w:rFonts w:ascii="仿宋_GB2312" w:eastAsia="仿宋_GB2312" w:hAnsi="仿宋" w:hint="eastAsia"/>
        </w:rPr>
        <w:t>般公共预算财政拨款“三公”经费支出决算表</w:t>
      </w:r>
      <w:bookmarkEnd w:id="149"/>
      <w:bookmarkEnd w:id="150"/>
      <w:bookmarkEnd w:id="151"/>
    </w:p>
    <w:p w:rsidR="000F0EA8" w:rsidRDefault="00885E0F">
      <w:pPr>
        <w:pStyle w:val="2"/>
        <w:rPr>
          <w:rFonts w:ascii="仿宋_GB2312" w:eastAsia="仿宋_GB2312" w:hAnsi="仿宋"/>
        </w:rPr>
      </w:pPr>
      <w:bookmarkStart w:id="152" w:name="_Toc115248331"/>
      <w:bookmarkStart w:id="153" w:name="_Toc15396629"/>
      <w:bookmarkStart w:id="154" w:name="_Toc15786"/>
      <w:r>
        <w:rPr>
          <w:rStyle w:val="2Char"/>
          <w:rFonts w:ascii="仿宋_GB2312" w:eastAsia="仿宋_GB2312" w:hAnsi="仿宋" w:hint="eastAsia"/>
        </w:rPr>
        <w:t>十一、</w:t>
      </w:r>
      <w:r>
        <w:rPr>
          <w:rFonts w:ascii="仿宋_GB2312" w:eastAsia="仿宋_GB2312" w:hAnsi="仿宋" w:hint="eastAsia"/>
          <w:b w:val="0"/>
        </w:rPr>
        <w:t>政</w:t>
      </w:r>
      <w:r>
        <w:rPr>
          <w:rStyle w:val="2Char"/>
          <w:rFonts w:ascii="仿宋_GB2312" w:eastAsia="仿宋_GB2312" w:hAnsi="仿宋" w:hint="eastAsia"/>
        </w:rPr>
        <w:t>府性基金预算财政拨款收入支出决算表</w:t>
      </w:r>
      <w:bookmarkEnd w:id="152"/>
      <w:bookmarkEnd w:id="153"/>
      <w:bookmarkEnd w:id="154"/>
    </w:p>
    <w:p w:rsidR="000F0EA8" w:rsidRDefault="00885E0F">
      <w:pPr>
        <w:pStyle w:val="2"/>
        <w:rPr>
          <w:rFonts w:ascii="仿宋_GB2312" w:eastAsia="仿宋_GB2312" w:hAnsi="仿宋"/>
        </w:rPr>
      </w:pPr>
      <w:bookmarkStart w:id="155" w:name="_Toc15396630"/>
      <w:bookmarkStart w:id="156" w:name="_Toc115248332"/>
      <w:bookmarkStart w:id="157" w:name="_Toc15293"/>
      <w:r>
        <w:rPr>
          <w:rStyle w:val="2Char"/>
          <w:rFonts w:ascii="仿宋_GB2312" w:eastAsia="仿宋_GB2312" w:hAnsi="仿宋" w:hint="eastAsia"/>
        </w:rPr>
        <w:t>十二、</w:t>
      </w:r>
      <w:r>
        <w:rPr>
          <w:rFonts w:ascii="仿宋_GB2312" w:eastAsia="仿宋_GB2312" w:hAnsi="仿宋" w:hint="eastAsia"/>
          <w:b w:val="0"/>
        </w:rPr>
        <w:t>政</w:t>
      </w:r>
      <w:r>
        <w:rPr>
          <w:rStyle w:val="2Char"/>
          <w:rFonts w:ascii="仿宋_GB2312" w:eastAsia="仿宋_GB2312" w:hAnsi="仿宋" w:hint="eastAsia"/>
        </w:rPr>
        <w:t>府性基金预算财政拨款“三公”经费支出决算表</w:t>
      </w:r>
      <w:bookmarkEnd w:id="155"/>
      <w:bookmarkEnd w:id="156"/>
      <w:bookmarkEnd w:id="157"/>
    </w:p>
    <w:p w:rsidR="000F0EA8" w:rsidRDefault="00885E0F">
      <w:pPr>
        <w:pStyle w:val="2"/>
        <w:rPr>
          <w:rStyle w:val="2Char"/>
          <w:rFonts w:ascii="仿宋_GB2312" w:eastAsia="仿宋_GB2312" w:hAnsi="仿宋"/>
        </w:rPr>
      </w:pPr>
      <w:bookmarkStart w:id="158" w:name="_Toc115248333"/>
      <w:bookmarkStart w:id="159" w:name="_Toc15396631"/>
      <w:bookmarkStart w:id="160" w:name="_Toc13311"/>
      <w:r>
        <w:rPr>
          <w:rStyle w:val="2Char"/>
          <w:rFonts w:ascii="仿宋_GB2312" w:eastAsia="仿宋_GB2312" w:hAnsi="仿宋" w:hint="eastAsia"/>
        </w:rPr>
        <w:t>十三、</w:t>
      </w:r>
      <w:r>
        <w:rPr>
          <w:rFonts w:ascii="仿宋_GB2312" w:eastAsia="仿宋_GB2312" w:hAnsi="仿宋" w:hint="eastAsia"/>
          <w:b w:val="0"/>
        </w:rPr>
        <w:t>国</w:t>
      </w:r>
      <w:r>
        <w:rPr>
          <w:rStyle w:val="2Char"/>
          <w:rFonts w:ascii="仿宋_GB2312" w:eastAsia="仿宋_GB2312" w:hAnsi="仿宋" w:hint="eastAsia"/>
        </w:rPr>
        <w:t>有资本经营预算财政拨款收入支出决算表</w:t>
      </w:r>
      <w:bookmarkEnd w:id="158"/>
      <w:bookmarkEnd w:id="159"/>
      <w:bookmarkEnd w:id="160"/>
    </w:p>
    <w:p w:rsidR="000F0EA8" w:rsidRDefault="00885E0F">
      <w:pPr>
        <w:pStyle w:val="2"/>
        <w:rPr>
          <w:rFonts w:ascii="仿宋_GB2312" w:eastAsia="仿宋_GB2312" w:hAnsi="仿宋"/>
          <w:bCs w:val="0"/>
        </w:rPr>
      </w:pPr>
      <w:bookmarkStart w:id="161" w:name="_Toc115248334"/>
      <w:bookmarkStart w:id="162" w:name="_Toc17526"/>
      <w:r>
        <w:rPr>
          <w:rStyle w:val="2Char"/>
          <w:rFonts w:ascii="仿宋_GB2312" w:eastAsia="仿宋_GB2312" w:hAnsi="仿宋" w:hint="eastAsia"/>
          <w:bCs/>
        </w:rPr>
        <w:t>十四、国有资本经营预算财政拨款支出决算表</w:t>
      </w:r>
      <w:bookmarkEnd w:id="161"/>
      <w:bookmarkEnd w:id="162"/>
    </w:p>
    <w:sectPr w:rsidR="000F0EA8" w:rsidSect="000F0EA8">
      <w:footerReference w:type="default" r:id="rId16"/>
      <w:pgSz w:w="11906" w:h="16838"/>
      <w:pgMar w:top="1418" w:right="1418" w:bottom="1134" w:left="1418"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EA8" w:rsidRDefault="000F0EA8" w:rsidP="000F0EA8">
      <w:r>
        <w:separator/>
      </w:r>
    </w:p>
  </w:endnote>
  <w:endnote w:type="continuationSeparator" w:id="1">
    <w:p w:rsidR="000F0EA8" w:rsidRDefault="000F0EA8" w:rsidP="000F0E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A8" w:rsidRDefault="000F0EA8">
    <w:pPr>
      <w:pStyle w:val="a6"/>
    </w:pPr>
    <w:r>
      <w:pict>
        <v:shapetype id="_x0000_t202" coordsize="21600,21600" o:spt="202" path="m,l,21600r21600,l21600,xe">
          <v:stroke joinstyle="miter"/>
          <v:path gradientshapeok="t" o:connecttype="rect"/>
        </v:shapetype>
        <v:shape id="文本框 5" o:spid="_x0000_s2050" type="#_x0000_t202" style="position:absolute;margin-left:0;margin-top:0;width:2in;height:2in;z-index:25166643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filled="f" stroked="f">
          <v:textbox style="mso-fit-shape-to-text:t" inset="0,0,0,0">
            <w:txbxContent>
              <w:p w:rsidR="000F0EA8" w:rsidRDefault="000F0EA8">
                <w:pPr>
                  <w:pStyle w:val="a6"/>
                </w:pPr>
                <w:r>
                  <w:fldChar w:fldCharType="begin"/>
                </w:r>
                <w:r w:rsidR="00885E0F">
                  <w:instrText xml:space="preserve"> PAGE  \* MERGEFORMAT </w:instrText>
                </w:r>
                <w:r>
                  <w:fldChar w:fldCharType="separate"/>
                </w:r>
                <w:r w:rsidR="001046B5">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A8" w:rsidRDefault="000F0EA8">
    <w:pPr>
      <w:pStyle w:val="a6"/>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54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0F0EA8" w:rsidRDefault="000F0EA8">
                <w:pPr>
                  <w:pStyle w:val="a6"/>
                </w:pPr>
                <w:r>
                  <w:fldChar w:fldCharType="begin"/>
                </w:r>
                <w:r w:rsidR="00885E0F">
                  <w:instrText xml:space="preserve"> PAGE  \* MERGEFORMAT </w:instrText>
                </w:r>
                <w:r>
                  <w:fldChar w:fldCharType="separate"/>
                </w:r>
                <w:r w:rsidR="00885E0F">
                  <w:rPr>
                    <w:noProof/>
                  </w:rPr>
                  <w:t>41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EA8" w:rsidRDefault="000F0EA8" w:rsidP="000F0EA8">
      <w:r>
        <w:separator/>
      </w:r>
    </w:p>
  </w:footnote>
  <w:footnote w:type="continuationSeparator" w:id="1">
    <w:p w:rsidR="000F0EA8" w:rsidRDefault="000F0EA8" w:rsidP="000F0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A8" w:rsidRDefault="000F0EA8">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Q1NWNkMjQ5YWI4ODcyYTNkM2NhNDgxNDI0MzA3ZjcifQ=="/>
  </w:docVars>
  <w:rsids>
    <w:rsidRoot w:val="00F1361C"/>
    <w:rsid w:val="9E3A10E2"/>
    <w:rsid w:val="F2E1F9D4"/>
    <w:rsid w:val="F7880819"/>
    <w:rsid w:val="00014FCE"/>
    <w:rsid w:val="000222C6"/>
    <w:rsid w:val="0002549F"/>
    <w:rsid w:val="00032C19"/>
    <w:rsid w:val="0004426D"/>
    <w:rsid w:val="000468DB"/>
    <w:rsid w:val="000514B1"/>
    <w:rsid w:val="0006487A"/>
    <w:rsid w:val="00065F8F"/>
    <w:rsid w:val="0006648F"/>
    <w:rsid w:val="00070A43"/>
    <w:rsid w:val="000768F2"/>
    <w:rsid w:val="0009184B"/>
    <w:rsid w:val="00094236"/>
    <w:rsid w:val="0009593C"/>
    <w:rsid w:val="00097322"/>
    <w:rsid w:val="0009749D"/>
    <w:rsid w:val="000A6A92"/>
    <w:rsid w:val="000B047F"/>
    <w:rsid w:val="000B2AA3"/>
    <w:rsid w:val="000B4536"/>
    <w:rsid w:val="000B5923"/>
    <w:rsid w:val="000B5A48"/>
    <w:rsid w:val="000B6FF3"/>
    <w:rsid w:val="000C3467"/>
    <w:rsid w:val="000C3CA6"/>
    <w:rsid w:val="000D1267"/>
    <w:rsid w:val="000D1D50"/>
    <w:rsid w:val="000D5782"/>
    <w:rsid w:val="000D5D93"/>
    <w:rsid w:val="000D7A5F"/>
    <w:rsid w:val="000E6613"/>
    <w:rsid w:val="000E7119"/>
    <w:rsid w:val="000F0EA8"/>
    <w:rsid w:val="000F6BA7"/>
    <w:rsid w:val="001005EF"/>
    <w:rsid w:val="001046B5"/>
    <w:rsid w:val="00114E9B"/>
    <w:rsid w:val="00121ECC"/>
    <w:rsid w:val="001355C1"/>
    <w:rsid w:val="00142216"/>
    <w:rsid w:val="00144D6A"/>
    <w:rsid w:val="0014729F"/>
    <w:rsid w:val="00157BAB"/>
    <w:rsid w:val="00164B8A"/>
    <w:rsid w:val="001654D1"/>
    <w:rsid w:val="00174518"/>
    <w:rsid w:val="0018106D"/>
    <w:rsid w:val="001877A7"/>
    <w:rsid w:val="00191536"/>
    <w:rsid w:val="0019275D"/>
    <w:rsid w:val="00196687"/>
    <w:rsid w:val="001C0962"/>
    <w:rsid w:val="001D7531"/>
    <w:rsid w:val="001E3394"/>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3DC1"/>
    <w:rsid w:val="00280496"/>
    <w:rsid w:val="0029096E"/>
    <w:rsid w:val="00294DC9"/>
    <w:rsid w:val="00295495"/>
    <w:rsid w:val="002A31DE"/>
    <w:rsid w:val="002B2613"/>
    <w:rsid w:val="002D23A1"/>
    <w:rsid w:val="002D6D05"/>
    <w:rsid w:val="002D73D1"/>
    <w:rsid w:val="002F1818"/>
    <w:rsid w:val="002F4CD8"/>
    <w:rsid w:val="002F567B"/>
    <w:rsid w:val="00305471"/>
    <w:rsid w:val="00311236"/>
    <w:rsid w:val="003216A9"/>
    <w:rsid w:val="00326E68"/>
    <w:rsid w:val="00335A74"/>
    <w:rsid w:val="0036561B"/>
    <w:rsid w:val="0037013F"/>
    <w:rsid w:val="00380C92"/>
    <w:rsid w:val="003860D9"/>
    <w:rsid w:val="003A4220"/>
    <w:rsid w:val="003A484F"/>
    <w:rsid w:val="003A4883"/>
    <w:rsid w:val="003B0BE0"/>
    <w:rsid w:val="003B0C1B"/>
    <w:rsid w:val="003B688C"/>
    <w:rsid w:val="003C0291"/>
    <w:rsid w:val="003C1FFB"/>
    <w:rsid w:val="003C39AE"/>
    <w:rsid w:val="003C7B60"/>
    <w:rsid w:val="003D0C0F"/>
    <w:rsid w:val="003D1FB2"/>
    <w:rsid w:val="003D66DA"/>
    <w:rsid w:val="003E06DA"/>
    <w:rsid w:val="003E1310"/>
    <w:rsid w:val="003E6919"/>
    <w:rsid w:val="003E6F55"/>
    <w:rsid w:val="00406254"/>
    <w:rsid w:val="004128F8"/>
    <w:rsid w:val="00421261"/>
    <w:rsid w:val="004223DE"/>
    <w:rsid w:val="00434489"/>
    <w:rsid w:val="00435B0C"/>
    <w:rsid w:val="00437085"/>
    <w:rsid w:val="00443880"/>
    <w:rsid w:val="004464F4"/>
    <w:rsid w:val="00446B36"/>
    <w:rsid w:val="0045122C"/>
    <w:rsid w:val="00451604"/>
    <w:rsid w:val="00464262"/>
    <w:rsid w:val="0046746A"/>
    <w:rsid w:val="00471401"/>
    <w:rsid w:val="00473F31"/>
    <w:rsid w:val="0048263A"/>
    <w:rsid w:val="00487E5D"/>
    <w:rsid w:val="004A711F"/>
    <w:rsid w:val="004B199D"/>
    <w:rsid w:val="004B4690"/>
    <w:rsid w:val="004B563C"/>
    <w:rsid w:val="004C683D"/>
    <w:rsid w:val="004C7D4D"/>
    <w:rsid w:val="004D7C77"/>
    <w:rsid w:val="004E0A2D"/>
    <w:rsid w:val="004E206B"/>
    <w:rsid w:val="004E31B8"/>
    <w:rsid w:val="004E671A"/>
    <w:rsid w:val="004E6DF7"/>
    <w:rsid w:val="004F0FBD"/>
    <w:rsid w:val="00501AE6"/>
    <w:rsid w:val="00503050"/>
    <w:rsid w:val="00505A47"/>
    <w:rsid w:val="00512FDA"/>
    <w:rsid w:val="0051799A"/>
    <w:rsid w:val="00520DA0"/>
    <w:rsid w:val="005377AE"/>
    <w:rsid w:val="005425FD"/>
    <w:rsid w:val="00546025"/>
    <w:rsid w:val="00554818"/>
    <w:rsid w:val="005664BB"/>
    <w:rsid w:val="00566FFA"/>
    <w:rsid w:val="00567789"/>
    <w:rsid w:val="0057481D"/>
    <w:rsid w:val="0058486E"/>
    <w:rsid w:val="00585B33"/>
    <w:rsid w:val="0059014D"/>
    <w:rsid w:val="005953D9"/>
    <w:rsid w:val="005A486C"/>
    <w:rsid w:val="005B3F79"/>
    <w:rsid w:val="005B5C64"/>
    <w:rsid w:val="005C5337"/>
    <w:rsid w:val="005C6BD0"/>
    <w:rsid w:val="005D0076"/>
    <w:rsid w:val="005D1C8B"/>
    <w:rsid w:val="005D468D"/>
    <w:rsid w:val="005D5CED"/>
    <w:rsid w:val="005E0289"/>
    <w:rsid w:val="005E33A6"/>
    <w:rsid w:val="005E3470"/>
    <w:rsid w:val="005E7716"/>
    <w:rsid w:val="005F1A4C"/>
    <w:rsid w:val="005F4E72"/>
    <w:rsid w:val="00605688"/>
    <w:rsid w:val="006070AF"/>
    <w:rsid w:val="00607E6C"/>
    <w:rsid w:val="006101B1"/>
    <w:rsid w:val="006140C5"/>
    <w:rsid w:val="00614E44"/>
    <w:rsid w:val="006160D4"/>
    <w:rsid w:val="0062270A"/>
    <w:rsid w:val="00622830"/>
    <w:rsid w:val="00622C84"/>
    <w:rsid w:val="00623DA0"/>
    <w:rsid w:val="0062594B"/>
    <w:rsid w:val="00630AEF"/>
    <w:rsid w:val="006325F8"/>
    <w:rsid w:val="00633463"/>
    <w:rsid w:val="00634C9A"/>
    <w:rsid w:val="00635E08"/>
    <w:rsid w:val="006408EE"/>
    <w:rsid w:val="006440E4"/>
    <w:rsid w:val="0066343B"/>
    <w:rsid w:val="00664777"/>
    <w:rsid w:val="0067243E"/>
    <w:rsid w:val="006748A4"/>
    <w:rsid w:val="00681A31"/>
    <w:rsid w:val="00683E73"/>
    <w:rsid w:val="00692A80"/>
    <w:rsid w:val="006A3141"/>
    <w:rsid w:val="006A5E34"/>
    <w:rsid w:val="006B2422"/>
    <w:rsid w:val="006B2B9A"/>
    <w:rsid w:val="006C1937"/>
    <w:rsid w:val="006C580C"/>
    <w:rsid w:val="006D0B68"/>
    <w:rsid w:val="006F020C"/>
    <w:rsid w:val="007127B7"/>
    <w:rsid w:val="0071798E"/>
    <w:rsid w:val="00737401"/>
    <w:rsid w:val="007416B6"/>
    <w:rsid w:val="00746F48"/>
    <w:rsid w:val="0075404D"/>
    <w:rsid w:val="0075581E"/>
    <w:rsid w:val="0076182A"/>
    <w:rsid w:val="00767B7E"/>
    <w:rsid w:val="00771F7B"/>
    <w:rsid w:val="007770C3"/>
    <w:rsid w:val="00784D24"/>
    <w:rsid w:val="00785FBA"/>
    <w:rsid w:val="00786E4A"/>
    <w:rsid w:val="007875EB"/>
    <w:rsid w:val="0079426B"/>
    <w:rsid w:val="007A40C7"/>
    <w:rsid w:val="007B6A8E"/>
    <w:rsid w:val="007D1682"/>
    <w:rsid w:val="007D312A"/>
    <w:rsid w:val="007D3F19"/>
    <w:rsid w:val="007D4FF3"/>
    <w:rsid w:val="007E23B0"/>
    <w:rsid w:val="007E23E5"/>
    <w:rsid w:val="007E4F67"/>
    <w:rsid w:val="007F1991"/>
    <w:rsid w:val="007F2C2F"/>
    <w:rsid w:val="007F55FC"/>
    <w:rsid w:val="007F5665"/>
    <w:rsid w:val="00800112"/>
    <w:rsid w:val="00805604"/>
    <w:rsid w:val="00806A6D"/>
    <w:rsid w:val="00813348"/>
    <w:rsid w:val="008253BB"/>
    <w:rsid w:val="00836C51"/>
    <w:rsid w:val="0083706E"/>
    <w:rsid w:val="008408F6"/>
    <w:rsid w:val="008423A5"/>
    <w:rsid w:val="00850625"/>
    <w:rsid w:val="0085156B"/>
    <w:rsid w:val="00853718"/>
    <w:rsid w:val="00855074"/>
    <w:rsid w:val="00855221"/>
    <w:rsid w:val="00860645"/>
    <w:rsid w:val="00871F71"/>
    <w:rsid w:val="00872FD8"/>
    <w:rsid w:val="00884CE5"/>
    <w:rsid w:val="00885AF4"/>
    <w:rsid w:val="00885E0F"/>
    <w:rsid w:val="00890A62"/>
    <w:rsid w:val="008934BD"/>
    <w:rsid w:val="008939CD"/>
    <w:rsid w:val="008B2FE5"/>
    <w:rsid w:val="008B768C"/>
    <w:rsid w:val="008C0348"/>
    <w:rsid w:val="008C4DB1"/>
    <w:rsid w:val="008C4EAF"/>
    <w:rsid w:val="008C5176"/>
    <w:rsid w:val="008C7D19"/>
    <w:rsid w:val="008C7FD0"/>
    <w:rsid w:val="008D2D1D"/>
    <w:rsid w:val="008E1DE7"/>
    <w:rsid w:val="008E707C"/>
    <w:rsid w:val="00900B08"/>
    <w:rsid w:val="00902155"/>
    <w:rsid w:val="00902FA3"/>
    <w:rsid w:val="00913A1B"/>
    <w:rsid w:val="00913AAB"/>
    <w:rsid w:val="00916FF4"/>
    <w:rsid w:val="00923564"/>
    <w:rsid w:val="0092392E"/>
    <w:rsid w:val="009253EB"/>
    <w:rsid w:val="009315F9"/>
    <w:rsid w:val="00933499"/>
    <w:rsid w:val="0093552E"/>
    <w:rsid w:val="00935C98"/>
    <w:rsid w:val="00946945"/>
    <w:rsid w:val="00951248"/>
    <w:rsid w:val="0095132E"/>
    <w:rsid w:val="0095152F"/>
    <w:rsid w:val="00954C49"/>
    <w:rsid w:val="00955E37"/>
    <w:rsid w:val="0096301A"/>
    <w:rsid w:val="00967A88"/>
    <w:rsid w:val="0097099F"/>
    <w:rsid w:val="00971997"/>
    <w:rsid w:val="00971FFC"/>
    <w:rsid w:val="0097345B"/>
    <w:rsid w:val="0098660A"/>
    <w:rsid w:val="00986E53"/>
    <w:rsid w:val="009931C3"/>
    <w:rsid w:val="0099637E"/>
    <w:rsid w:val="009A16A6"/>
    <w:rsid w:val="009B2C43"/>
    <w:rsid w:val="009B4EAE"/>
    <w:rsid w:val="009B7573"/>
    <w:rsid w:val="009C22F4"/>
    <w:rsid w:val="009C2A4B"/>
    <w:rsid w:val="009C2E98"/>
    <w:rsid w:val="009D3447"/>
    <w:rsid w:val="009D4711"/>
    <w:rsid w:val="009E21D3"/>
    <w:rsid w:val="009E7BC7"/>
    <w:rsid w:val="009F1185"/>
    <w:rsid w:val="009F18CD"/>
    <w:rsid w:val="009F1D47"/>
    <w:rsid w:val="009F2A13"/>
    <w:rsid w:val="009F7527"/>
    <w:rsid w:val="00A03664"/>
    <w:rsid w:val="00A04EB0"/>
    <w:rsid w:val="00A13CC1"/>
    <w:rsid w:val="00A16847"/>
    <w:rsid w:val="00A237D8"/>
    <w:rsid w:val="00A268C4"/>
    <w:rsid w:val="00A275B0"/>
    <w:rsid w:val="00A307CD"/>
    <w:rsid w:val="00A331C8"/>
    <w:rsid w:val="00A341F1"/>
    <w:rsid w:val="00A3673E"/>
    <w:rsid w:val="00A40A00"/>
    <w:rsid w:val="00A4142F"/>
    <w:rsid w:val="00A422EB"/>
    <w:rsid w:val="00A45BB7"/>
    <w:rsid w:val="00A54383"/>
    <w:rsid w:val="00A56DF2"/>
    <w:rsid w:val="00A56E6E"/>
    <w:rsid w:val="00A67AB5"/>
    <w:rsid w:val="00A733B2"/>
    <w:rsid w:val="00A741C2"/>
    <w:rsid w:val="00A91760"/>
    <w:rsid w:val="00A93B00"/>
    <w:rsid w:val="00A93C21"/>
    <w:rsid w:val="00AA5E43"/>
    <w:rsid w:val="00AB257C"/>
    <w:rsid w:val="00AB64C9"/>
    <w:rsid w:val="00AC1DE4"/>
    <w:rsid w:val="00AC30EB"/>
    <w:rsid w:val="00AC3C6A"/>
    <w:rsid w:val="00AD5620"/>
    <w:rsid w:val="00AD656B"/>
    <w:rsid w:val="00AD7C1B"/>
    <w:rsid w:val="00AE16BA"/>
    <w:rsid w:val="00AE1EBE"/>
    <w:rsid w:val="00AF6146"/>
    <w:rsid w:val="00B03C9D"/>
    <w:rsid w:val="00B060AE"/>
    <w:rsid w:val="00B10517"/>
    <w:rsid w:val="00B14E76"/>
    <w:rsid w:val="00B161B8"/>
    <w:rsid w:val="00B2048C"/>
    <w:rsid w:val="00B310B9"/>
    <w:rsid w:val="00B32990"/>
    <w:rsid w:val="00B35F3F"/>
    <w:rsid w:val="00B36CBB"/>
    <w:rsid w:val="00B425E0"/>
    <w:rsid w:val="00B440AA"/>
    <w:rsid w:val="00B44B70"/>
    <w:rsid w:val="00B53C56"/>
    <w:rsid w:val="00B57DAF"/>
    <w:rsid w:val="00B77EA6"/>
    <w:rsid w:val="00B81598"/>
    <w:rsid w:val="00B82200"/>
    <w:rsid w:val="00B841F1"/>
    <w:rsid w:val="00B85966"/>
    <w:rsid w:val="00B878CD"/>
    <w:rsid w:val="00B94050"/>
    <w:rsid w:val="00B94228"/>
    <w:rsid w:val="00B944D6"/>
    <w:rsid w:val="00B95DF8"/>
    <w:rsid w:val="00B96C40"/>
    <w:rsid w:val="00BA1E16"/>
    <w:rsid w:val="00BB1835"/>
    <w:rsid w:val="00BB4DF0"/>
    <w:rsid w:val="00BB57C3"/>
    <w:rsid w:val="00BB7981"/>
    <w:rsid w:val="00BC289F"/>
    <w:rsid w:val="00BC2D50"/>
    <w:rsid w:val="00BC5361"/>
    <w:rsid w:val="00BC5460"/>
    <w:rsid w:val="00BC55C1"/>
    <w:rsid w:val="00BC6B50"/>
    <w:rsid w:val="00BD0E25"/>
    <w:rsid w:val="00BF5BD6"/>
    <w:rsid w:val="00C03E31"/>
    <w:rsid w:val="00C10A73"/>
    <w:rsid w:val="00C335B3"/>
    <w:rsid w:val="00C33E72"/>
    <w:rsid w:val="00C354B2"/>
    <w:rsid w:val="00C35554"/>
    <w:rsid w:val="00C42709"/>
    <w:rsid w:val="00C533CC"/>
    <w:rsid w:val="00C5751C"/>
    <w:rsid w:val="00C61BFC"/>
    <w:rsid w:val="00C62B85"/>
    <w:rsid w:val="00C65438"/>
    <w:rsid w:val="00C76352"/>
    <w:rsid w:val="00C87FD8"/>
    <w:rsid w:val="00C91381"/>
    <w:rsid w:val="00C91CBB"/>
    <w:rsid w:val="00C96D9F"/>
    <w:rsid w:val="00CA38B5"/>
    <w:rsid w:val="00CB4E70"/>
    <w:rsid w:val="00CC09B6"/>
    <w:rsid w:val="00CC666F"/>
    <w:rsid w:val="00CD0EDC"/>
    <w:rsid w:val="00CD1E3F"/>
    <w:rsid w:val="00CE44F6"/>
    <w:rsid w:val="00CE49DA"/>
    <w:rsid w:val="00CE4BDF"/>
    <w:rsid w:val="00CE7B61"/>
    <w:rsid w:val="00D00095"/>
    <w:rsid w:val="00D114F0"/>
    <w:rsid w:val="00D13956"/>
    <w:rsid w:val="00D20620"/>
    <w:rsid w:val="00D254F7"/>
    <w:rsid w:val="00D26091"/>
    <w:rsid w:val="00D2685C"/>
    <w:rsid w:val="00D30DF7"/>
    <w:rsid w:val="00D343F7"/>
    <w:rsid w:val="00D34E7C"/>
    <w:rsid w:val="00D35489"/>
    <w:rsid w:val="00D362B8"/>
    <w:rsid w:val="00D36AFE"/>
    <w:rsid w:val="00D51276"/>
    <w:rsid w:val="00D7035F"/>
    <w:rsid w:val="00DA634F"/>
    <w:rsid w:val="00DA65AC"/>
    <w:rsid w:val="00DB1913"/>
    <w:rsid w:val="00DB645F"/>
    <w:rsid w:val="00DC410D"/>
    <w:rsid w:val="00DC5A81"/>
    <w:rsid w:val="00DC68CA"/>
    <w:rsid w:val="00DC7CBA"/>
    <w:rsid w:val="00DD28B2"/>
    <w:rsid w:val="00DD73B7"/>
    <w:rsid w:val="00DE13F8"/>
    <w:rsid w:val="00DF28BC"/>
    <w:rsid w:val="00DF34B9"/>
    <w:rsid w:val="00E01053"/>
    <w:rsid w:val="00E07ACF"/>
    <w:rsid w:val="00E16527"/>
    <w:rsid w:val="00E16B07"/>
    <w:rsid w:val="00E20FE6"/>
    <w:rsid w:val="00E331A1"/>
    <w:rsid w:val="00E33202"/>
    <w:rsid w:val="00E336A9"/>
    <w:rsid w:val="00E37108"/>
    <w:rsid w:val="00E472B1"/>
    <w:rsid w:val="00E50624"/>
    <w:rsid w:val="00E554ED"/>
    <w:rsid w:val="00E568DF"/>
    <w:rsid w:val="00E64269"/>
    <w:rsid w:val="00E731AB"/>
    <w:rsid w:val="00E752BB"/>
    <w:rsid w:val="00E76B6A"/>
    <w:rsid w:val="00E82267"/>
    <w:rsid w:val="00E853CE"/>
    <w:rsid w:val="00E8606F"/>
    <w:rsid w:val="00E867B6"/>
    <w:rsid w:val="00E87994"/>
    <w:rsid w:val="00EA010F"/>
    <w:rsid w:val="00EA418C"/>
    <w:rsid w:val="00EB72F6"/>
    <w:rsid w:val="00EC41C9"/>
    <w:rsid w:val="00ED1B63"/>
    <w:rsid w:val="00ED3C1F"/>
    <w:rsid w:val="00ED4085"/>
    <w:rsid w:val="00ED420E"/>
    <w:rsid w:val="00ED6540"/>
    <w:rsid w:val="00ED6FBE"/>
    <w:rsid w:val="00EE2F57"/>
    <w:rsid w:val="00EE6F8C"/>
    <w:rsid w:val="00EF4C34"/>
    <w:rsid w:val="00EF77C6"/>
    <w:rsid w:val="00F05438"/>
    <w:rsid w:val="00F135E9"/>
    <w:rsid w:val="00F1361C"/>
    <w:rsid w:val="00F156F0"/>
    <w:rsid w:val="00F160C7"/>
    <w:rsid w:val="00F2408F"/>
    <w:rsid w:val="00F240E9"/>
    <w:rsid w:val="00F322CA"/>
    <w:rsid w:val="00F32B55"/>
    <w:rsid w:val="00F36D8F"/>
    <w:rsid w:val="00F417B1"/>
    <w:rsid w:val="00F41D7F"/>
    <w:rsid w:val="00F45853"/>
    <w:rsid w:val="00F501B6"/>
    <w:rsid w:val="00F53FBC"/>
    <w:rsid w:val="00F602DF"/>
    <w:rsid w:val="00F754A1"/>
    <w:rsid w:val="00F81FD9"/>
    <w:rsid w:val="00F841AA"/>
    <w:rsid w:val="00F84A94"/>
    <w:rsid w:val="00F87E96"/>
    <w:rsid w:val="00F966C3"/>
    <w:rsid w:val="00FA23E8"/>
    <w:rsid w:val="00FA5344"/>
    <w:rsid w:val="00FB06CF"/>
    <w:rsid w:val="00FC7336"/>
    <w:rsid w:val="00FD3CC1"/>
    <w:rsid w:val="00FE6634"/>
    <w:rsid w:val="00FF191C"/>
    <w:rsid w:val="00FF1E02"/>
    <w:rsid w:val="00FF30B4"/>
    <w:rsid w:val="00FF3907"/>
    <w:rsid w:val="0A2032A3"/>
    <w:rsid w:val="0B8A37D8"/>
    <w:rsid w:val="0DB832F6"/>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4454C49"/>
    <w:rsid w:val="39562097"/>
    <w:rsid w:val="39AE70AB"/>
    <w:rsid w:val="3C0C0783"/>
    <w:rsid w:val="3F795B0E"/>
    <w:rsid w:val="3F7D2FE6"/>
    <w:rsid w:val="3F9F3A96"/>
    <w:rsid w:val="40350D30"/>
    <w:rsid w:val="47A516D4"/>
    <w:rsid w:val="493C27E9"/>
    <w:rsid w:val="496F39ED"/>
    <w:rsid w:val="49FF41D3"/>
    <w:rsid w:val="4A185DC8"/>
    <w:rsid w:val="4BE068DB"/>
    <w:rsid w:val="4BF6002B"/>
    <w:rsid w:val="4EBE6929"/>
    <w:rsid w:val="4ECE2238"/>
    <w:rsid w:val="51DB4B86"/>
    <w:rsid w:val="55333C3E"/>
    <w:rsid w:val="562E4A5C"/>
    <w:rsid w:val="64CA39A1"/>
    <w:rsid w:val="6C4A05C8"/>
    <w:rsid w:val="72734D90"/>
    <w:rsid w:val="79E7B28D"/>
    <w:rsid w:val="7AFF3B93"/>
    <w:rsid w:val="7C775BAB"/>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F0EA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0F0EA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F0E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F0EA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0F0EA8"/>
    <w:pPr>
      <w:spacing w:beforeLines="30"/>
    </w:pPr>
    <w:rPr>
      <w:rFonts w:ascii="仿宋_GB2312" w:eastAsia="仿宋_GB2312"/>
      <w:kern w:val="0"/>
      <w:sz w:val="30"/>
    </w:rPr>
  </w:style>
  <w:style w:type="paragraph" w:styleId="a4">
    <w:name w:val="Body Text Indent"/>
    <w:basedOn w:val="a"/>
    <w:link w:val="Char0"/>
    <w:uiPriority w:val="99"/>
    <w:unhideWhenUsed/>
    <w:qFormat/>
    <w:rsid w:val="000F0EA8"/>
    <w:pPr>
      <w:spacing w:after="120"/>
      <w:ind w:leftChars="200" w:left="420"/>
    </w:pPr>
  </w:style>
  <w:style w:type="paragraph" w:styleId="30">
    <w:name w:val="toc 3"/>
    <w:basedOn w:val="a"/>
    <w:next w:val="a"/>
    <w:uiPriority w:val="39"/>
    <w:unhideWhenUsed/>
    <w:qFormat/>
    <w:rsid w:val="000F0EA8"/>
    <w:pPr>
      <w:tabs>
        <w:tab w:val="right" w:leader="dot" w:pos="8296"/>
      </w:tabs>
      <w:ind w:leftChars="400" w:left="840"/>
    </w:pPr>
  </w:style>
  <w:style w:type="paragraph" w:styleId="a5">
    <w:name w:val="Balloon Text"/>
    <w:basedOn w:val="a"/>
    <w:link w:val="Char1"/>
    <w:uiPriority w:val="99"/>
    <w:semiHidden/>
    <w:unhideWhenUsed/>
    <w:qFormat/>
    <w:rsid w:val="000F0EA8"/>
    <w:rPr>
      <w:sz w:val="18"/>
      <w:szCs w:val="18"/>
    </w:rPr>
  </w:style>
  <w:style w:type="paragraph" w:styleId="a6">
    <w:name w:val="footer"/>
    <w:basedOn w:val="a"/>
    <w:link w:val="Char2"/>
    <w:uiPriority w:val="99"/>
    <w:qFormat/>
    <w:rsid w:val="000F0EA8"/>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semiHidden/>
    <w:qFormat/>
    <w:rsid w:val="000F0EA8"/>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F0EA8"/>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F0EA8"/>
    <w:pPr>
      <w:tabs>
        <w:tab w:val="right" w:leader="dot" w:pos="8296"/>
      </w:tabs>
      <w:ind w:leftChars="200" w:left="420"/>
    </w:pPr>
  </w:style>
  <w:style w:type="paragraph" w:styleId="a8">
    <w:name w:val="Normal (Web)"/>
    <w:basedOn w:val="a"/>
    <w:uiPriority w:val="99"/>
    <w:qFormat/>
    <w:rsid w:val="000F0EA8"/>
    <w:pPr>
      <w:widowControl/>
      <w:spacing w:before="100" w:beforeAutospacing="1" w:after="100" w:afterAutospacing="1"/>
      <w:jc w:val="left"/>
    </w:pPr>
    <w:rPr>
      <w:rFonts w:ascii="宋体" w:hAnsi="宋体" w:cs="宋体"/>
      <w:kern w:val="0"/>
      <w:sz w:val="24"/>
    </w:rPr>
  </w:style>
  <w:style w:type="paragraph" w:styleId="21">
    <w:name w:val="Body Text First Indent 2"/>
    <w:basedOn w:val="a4"/>
    <w:link w:val="2Char0"/>
    <w:uiPriority w:val="99"/>
    <w:unhideWhenUsed/>
    <w:qFormat/>
    <w:rsid w:val="000F0EA8"/>
    <w:pPr>
      <w:ind w:firstLineChars="200" w:firstLine="420"/>
    </w:pPr>
  </w:style>
  <w:style w:type="character" w:styleId="a9">
    <w:name w:val="Strong"/>
    <w:basedOn w:val="a1"/>
    <w:uiPriority w:val="99"/>
    <w:qFormat/>
    <w:rsid w:val="000F0EA8"/>
    <w:rPr>
      <w:b/>
    </w:rPr>
  </w:style>
  <w:style w:type="character" w:styleId="aa">
    <w:name w:val="Hyperlink"/>
    <w:basedOn w:val="a1"/>
    <w:uiPriority w:val="99"/>
    <w:unhideWhenUsed/>
    <w:qFormat/>
    <w:rsid w:val="000F0EA8"/>
    <w:rPr>
      <w:color w:val="0000FF" w:themeColor="hyperlink"/>
      <w:u w:val="single"/>
    </w:rPr>
  </w:style>
  <w:style w:type="character" w:customStyle="1" w:styleId="HeaderChar">
    <w:name w:val="Header Char"/>
    <w:basedOn w:val="a1"/>
    <w:uiPriority w:val="99"/>
    <w:semiHidden/>
    <w:qFormat/>
    <w:rsid w:val="000F0EA8"/>
    <w:rPr>
      <w:rFonts w:ascii="Times New Roman" w:hAnsi="Times New Roman"/>
      <w:sz w:val="18"/>
      <w:szCs w:val="18"/>
    </w:rPr>
  </w:style>
  <w:style w:type="character" w:customStyle="1" w:styleId="Char3">
    <w:name w:val="页眉 Char"/>
    <w:link w:val="a7"/>
    <w:uiPriority w:val="99"/>
    <w:semiHidden/>
    <w:qFormat/>
    <w:locked/>
    <w:rsid w:val="000F0EA8"/>
    <w:rPr>
      <w:sz w:val="18"/>
    </w:rPr>
  </w:style>
  <w:style w:type="character" w:customStyle="1" w:styleId="FooterChar">
    <w:name w:val="Footer Char"/>
    <w:basedOn w:val="a1"/>
    <w:uiPriority w:val="99"/>
    <w:semiHidden/>
    <w:qFormat/>
    <w:rsid w:val="000F0EA8"/>
    <w:rPr>
      <w:rFonts w:ascii="Times New Roman" w:hAnsi="Times New Roman"/>
      <w:sz w:val="18"/>
      <w:szCs w:val="18"/>
    </w:rPr>
  </w:style>
  <w:style w:type="character" w:customStyle="1" w:styleId="Char2">
    <w:name w:val="页脚 Char"/>
    <w:link w:val="a6"/>
    <w:uiPriority w:val="99"/>
    <w:qFormat/>
    <w:locked/>
    <w:rsid w:val="000F0EA8"/>
    <w:rPr>
      <w:sz w:val="18"/>
    </w:rPr>
  </w:style>
  <w:style w:type="character" w:customStyle="1" w:styleId="BodyTextChar">
    <w:name w:val="Body Text Char"/>
    <w:basedOn w:val="a1"/>
    <w:uiPriority w:val="99"/>
    <w:semiHidden/>
    <w:qFormat/>
    <w:rsid w:val="000F0EA8"/>
    <w:rPr>
      <w:rFonts w:ascii="Times New Roman" w:hAnsi="Times New Roman"/>
      <w:szCs w:val="24"/>
    </w:rPr>
  </w:style>
  <w:style w:type="character" w:customStyle="1" w:styleId="Char">
    <w:name w:val="正文文本 Char"/>
    <w:link w:val="a0"/>
    <w:uiPriority w:val="99"/>
    <w:qFormat/>
    <w:locked/>
    <w:rsid w:val="000F0EA8"/>
    <w:rPr>
      <w:rFonts w:ascii="仿宋_GB2312" w:eastAsia="仿宋_GB2312" w:hAnsi="Times New Roman"/>
      <w:sz w:val="24"/>
    </w:rPr>
  </w:style>
  <w:style w:type="paragraph" w:customStyle="1" w:styleId="Default">
    <w:name w:val="Default"/>
    <w:uiPriority w:val="99"/>
    <w:qFormat/>
    <w:rsid w:val="000F0EA8"/>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99"/>
    <w:qFormat/>
    <w:rsid w:val="000F0EA8"/>
    <w:pPr>
      <w:ind w:firstLineChars="200" w:firstLine="420"/>
    </w:pPr>
  </w:style>
  <w:style w:type="character" w:customStyle="1" w:styleId="1Char">
    <w:name w:val="标题 1 Char"/>
    <w:basedOn w:val="a1"/>
    <w:link w:val="1"/>
    <w:uiPriority w:val="9"/>
    <w:qFormat/>
    <w:rsid w:val="000F0EA8"/>
    <w:rPr>
      <w:rFonts w:ascii="Times New Roman" w:hAnsi="Times New Roman"/>
      <w:b/>
      <w:bCs/>
      <w:kern w:val="44"/>
      <w:sz w:val="44"/>
      <w:szCs w:val="44"/>
    </w:rPr>
  </w:style>
  <w:style w:type="character" w:customStyle="1" w:styleId="2Char">
    <w:name w:val="标题 2 Char"/>
    <w:basedOn w:val="a1"/>
    <w:link w:val="2"/>
    <w:uiPriority w:val="9"/>
    <w:qFormat/>
    <w:rsid w:val="000F0EA8"/>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F0E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1"/>
    <w:link w:val="a5"/>
    <w:uiPriority w:val="99"/>
    <w:semiHidden/>
    <w:qFormat/>
    <w:rsid w:val="000F0EA8"/>
    <w:rPr>
      <w:rFonts w:ascii="Times New Roman" w:hAnsi="Times New Roman"/>
      <w:kern w:val="2"/>
      <w:sz w:val="18"/>
      <w:szCs w:val="18"/>
    </w:rPr>
  </w:style>
  <w:style w:type="character" w:customStyle="1" w:styleId="3Char">
    <w:name w:val="标题 3 Char"/>
    <w:basedOn w:val="a1"/>
    <w:link w:val="3"/>
    <w:uiPriority w:val="9"/>
    <w:qFormat/>
    <w:rsid w:val="000F0EA8"/>
    <w:rPr>
      <w:rFonts w:ascii="Times New Roman" w:hAnsi="Times New Roman"/>
      <w:b/>
      <w:bCs/>
      <w:kern w:val="2"/>
      <w:sz w:val="32"/>
      <w:szCs w:val="32"/>
    </w:rPr>
  </w:style>
  <w:style w:type="paragraph" w:customStyle="1" w:styleId="TOC2">
    <w:name w:val="TOC 标题2"/>
    <w:basedOn w:val="1"/>
    <w:next w:val="a"/>
    <w:uiPriority w:val="39"/>
    <w:unhideWhenUsed/>
    <w:qFormat/>
    <w:rsid w:val="000F0E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3">
    <w:name w:val="TOC 标题3"/>
    <w:basedOn w:val="1"/>
    <w:next w:val="a"/>
    <w:uiPriority w:val="39"/>
    <w:unhideWhenUsed/>
    <w:qFormat/>
    <w:rsid w:val="000F0E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正文文本缩进 Char"/>
    <w:basedOn w:val="a1"/>
    <w:link w:val="a4"/>
    <w:uiPriority w:val="99"/>
    <w:qFormat/>
    <w:rsid w:val="000F0EA8"/>
    <w:rPr>
      <w:rFonts w:ascii="Times New Roman" w:eastAsia="宋体" w:hAnsi="Times New Roman" w:cs="Times New Roman"/>
      <w:kern w:val="2"/>
      <w:sz w:val="21"/>
      <w:szCs w:val="24"/>
    </w:rPr>
  </w:style>
  <w:style w:type="character" w:customStyle="1" w:styleId="2Char0">
    <w:name w:val="正文首行缩进 2 Char"/>
    <w:basedOn w:val="Char0"/>
    <w:link w:val="21"/>
    <w:uiPriority w:val="99"/>
    <w:qFormat/>
    <w:rsid w:val="000F0EA8"/>
    <w:rPr>
      <w:rFonts w:ascii="Times New Roman" w:eastAsia="宋体" w:hAnsi="Times New Roman" w:cs="Times New Roman"/>
      <w:kern w:val="2"/>
      <w:sz w:val="21"/>
      <w:szCs w:val="24"/>
    </w:rPr>
  </w:style>
  <w:style w:type="paragraph" w:customStyle="1" w:styleId="TOC4">
    <w:name w:val="TOC 标题4"/>
    <w:basedOn w:val="1"/>
    <w:next w:val="a"/>
    <w:uiPriority w:val="39"/>
    <w:unhideWhenUsed/>
    <w:qFormat/>
    <w:rsid w:val="000F0E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收、支决算总计变动情况（万元）</a:t>
            </a:r>
          </a:p>
        </c:rich>
      </c:tx>
      <c:layout>
        <c:manualLayout>
          <c:xMode val="edge"/>
          <c:yMode val="edge"/>
          <c:x val="0.16263743449594606"/>
          <c:y val="3.6252166592383506E-2"/>
        </c:manualLayout>
      </c:layout>
      <c:spPr>
        <a:noFill/>
        <a:ln w="26915">
          <a:noFill/>
        </a:ln>
      </c:spPr>
    </c:title>
    <c:plotArea>
      <c:layout>
        <c:manualLayout>
          <c:layoutTarget val="inner"/>
          <c:xMode val="edge"/>
          <c:yMode val="edge"/>
          <c:x val="9.8901098901100035E-2"/>
          <c:y val="0.17857142857142905"/>
          <c:w val="0.87912087912088621"/>
          <c:h val="0.668831168831169"/>
        </c:manualLayout>
      </c:layout>
      <c:barChart>
        <c:barDir val="col"/>
        <c:grouping val="clustered"/>
        <c:ser>
          <c:idx val="0"/>
          <c:order val="0"/>
          <c:tx>
            <c:strRef>
              <c:f>Sheet1!$A$2</c:f>
              <c:strCache>
                <c:ptCount val="1"/>
              </c:strCache>
            </c:strRef>
          </c:tx>
          <c:spPr>
            <a:solidFill>
              <a:srgbClr val="9999FF"/>
            </a:solidFill>
            <a:ln w="13458">
              <a:solidFill>
                <a:srgbClr val="000000"/>
              </a:solidFill>
              <a:prstDash val="solid"/>
            </a:ln>
          </c:spPr>
          <c:dLbls>
            <c:spPr>
              <a:noFill/>
              <a:ln w="26915">
                <a:noFill/>
              </a:ln>
              <a:effectLst/>
            </c:spPr>
            <c:txPr>
              <a:bodyPr rot="0" spcFirstLastPara="0" vertOverflow="ellipsis" vert="horz" wrap="square" lIns="38100" tIns="19050" rIns="38100" bIns="19050"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Val val="1"/>
            <c:extLst>
              <c:ext xmlns:c15="http://schemas.microsoft.com/office/drawing/2012/chart" uri="{CE6537A1-D6FC-4f65-9D91-7224C49458BB}">
                <c15:layout/>
                <c15:showLeaderLines val="0"/>
                <c15:leaderLines/>
              </c:ext>
            </c:extLst>
          </c:dLbls>
          <c:cat>
            <c:strRef>
              <c:f>Sheet1!$B$1:$C$1</c:f>
              <c:strCache>
                <c:ptCount val="2"/>
                <c:pt idx="0">
                  <c:v>2020年</c:v>
                </c:pt>
                <c:pt idx="1">
                  <c:v>2021年</c:v>
                </c:pt>
              </c:strCache>
            </c:strRef>
          </c:cat>
          <c:val>
            <c:numRef>
              <c:f>Sheet1!$B$2:$C$2</c:f>
              <c:numCache>
                <c:formatCode>General</c:formatCode>
                <c:ptCount val="2"/>
                <c:pt idx="0">
                  <c:v>384.59</c:v>
                </c:pt>
                <c:pt idx="1">
                  <c:v>390.94</c:v>
                </c:pt>
              </c:numCache>
            </c:numRef>
          </c:val>
        </c:ser>
        <c:dLbls>
          <c:showVal val="1"/>
        </c:dLbls>
        <c:axId val="141657984"/>
        <c:axId val="141659520"/>
      </c:barChart>
      <c:catAx>
        <c:axId val="141657984"/>
        <c:scaling>
          <c:orientation val="minMax"/>
        </c:scaling>
        <c:axPos val="b"/>
        <c:numFmt formatCode="General" sourceLinked="1"/>
        <c:majorTickMark val="in"/>
        <c:tickLblPos val="low"/>
        <c:spPr>
          <a:ln w="3364" cap="flat" cmpd="sng" algn="ctr">
            <a:solidFill>
              <a:srgbClr val="000000"/>
            </a:solidFill>
            <a:prstDash val="solid"/>
            <a:round/>
          </a:ln>
        </c:spPr>
        <c:txPr>
          <a:bodyPr rot="0" spcFirstLastPara="0" vertOverflow="ellipsis" vert="horz" wrap="square"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1659520"/>
        <c:crosses val="autoZero"/>
        <c:auto val="1"/>
        <c:lblAlgn val="ctr"/>
        <c:lblOffset val="100"/>
        <c:tickLblSkip val="1"/>
      </c:catAx>
      <c:valAx>
        <c:axId val="141659520"/>
        <c:scaling>
          <c:orientation val="minMax"/>
        </c:scaling>
        <c:axPos val="l"/>
        <c:majorGridlines>
          <c:spPr>
            <a:ln w="3364" cap="flat" cmpd="sng" algn="ctr">
              <a:solidFill>
                <a:srgbClr val="000000"/>
              </a:solidFill>
              <a:prstDash val="solid"/>
              <a:round/>
            </a:ln>
          </c:spPr>
        </c:majorGridlines>
        <c:numFmt formatCode="General" sourceLinked="1"/>
        <c:majorTickMark val="in"/>
        <c:tickLblPos val="nextTo"/>
        <c:spPr>
          <a:ln w="3364" cap="flat" cmpd="sng" algn="ctr">
            <a:solidFill>
              <a:srgbClr val="000000"/>
            </a:solidFill>
            <a:prstDash val="solid"/>
            <a:round/>
          </a:ln>
        </c:spPr>
        <c:txPr>
          <a:bodyPr rot="0" spcFirstLastPara="0" vertOverflow="ellipsis" vert="horz" wrap="square"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1657984"/>
        <c:crosses val="autoZero"/>
        <c:crossBetween val="between"/>
      </c:valAx>
      <c:spPr>
        <a:noFill/>
        <a:ln w="12700">
          <a:solidFill>
            <a:srgbClr val="808080"/>
          </a:solidFill>
          <a:prstDash val="solid"/>
        </a:ln>
        <a:effectLst/>
      </c:spPr>
    </c:plotArea>
    <c:plotVisOnly val="1"/>
    <c:dispBlanksAs val="gap"/>
  </c:chart>
  <c:spPr>
    <a:noFill/>
    <a:ln w="13458" cap="flat" cmpd="sng" algn="ctr">
      <a:solidFill>
        <a:srgbClr val="000000"/>
      </a:solidFill>
      <a:prstDash val="solid"/>
      <a:round/>
    </a:ln>
  </c:spPr>
  <c:txPr>
    <a:bodyPr/>
    <a:lstStyle/>
    <a:p>
      <a:pPr>
        <a:defRPr lang="zh-CN" sz="156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a:t>收入决算结构图</a:t>
            </a:r>
          </a:p>
        </c:rich>
      </c:tx>
      <c:layout>
        <c:manualLayout>
          <c:xMode val="edge"/>
          <c:yMode val="edge"/>
          <c:x val="0.32301831650058704"/>
          <c:y val="4.8063200020789509E-2"/>
        </c:manualLayout>
      </c:layout>
      <c:spPr>
        <a:noFill/>
        <a:ln w="26732">
          <a:noFill/>
        </a:ln>
      </c:spPr>
    </c:title>
    <c:plotArea>
      <c:layout>
        <c:manualLayout>
          <c:layoutTarget val="inner"/>
          <c:xMode val="edge"/>
          <c:yMode val="edge"/>
          <c:x val="0.12179487179487201"/>
          <c:y val="0.20577617328519901"/>
          <c:w val="0.42094017094017205"/>
          <c:h val="0.71119133574007409"/>
        </c:manualLayout>
      </c:layout>
      <c:pieChart>
        <c:varyColors val="1"/>
        <c:ser>
          <c:idx val="0"/>
          <c:order val="0"/>
          <c:tx>
            <c:strRef>
              <c:f>Sheet1!$A$2</c:f>
              <c:strCache>
                <c:ptCount val="1"/>
              </c:strCache>
            </c:strRef>
          </c:tx>
          <c:spPr>
            <a:solidFill>
              <a:srgbClr val="9999FF"/>
            </a:solidFill>
            <a:ln w="13366">
              <a:solidFill>
                <a:srgbClr val="000000"/>
              </a:solidFill>
              <a:prstDash val="solid"/>
            </a:ln>
          </c:spPr>
          <c:dPt>
            <c:idx val="0"/>
          </c:dPt>
          <c:dLbls>
            <c:dLbl>
              <c:idx val="0"/>
              <c:layout>
                <c:manualLayout>
                  <c:x val="1.6852294419384298E-2"/>
                  <c:y val="-0.31154240465504507"/>
                </c:manualLayout>
              </c:layout>
              <c:dLblPos val="bestFit"/>
              <c:showPercent val="1"/>
              <c:extLst>
                <c:ext xmlns:c15="http://schemas.microsoft.com/office/drawing/2012/chart" uri="{CE6537A1-D6FC-4f65-9D91-7224C49458BB}">
                  <c15:layout/>
                </c:ext>
              </c:extLst>
            </c:dLbl>
            <c:numFmt formatCode="0%" sourceLinked="0"/>
            <c:spPr>
              <a:noFill/>
              <a:ln w="26732">
                <a:noFill/>
              </a:ln>
              <a:effectLst/>
            </c:spPr>
            <c:txPr>
              <a:bodyPr rot="0" spcFirstLastPara="0" vertOverflow="ellipsis" vert="horz" wrap="square" lIns="38100" tIns="19050" rIns="38100" bIns="19050" anchor="ctr" anchorCtr="1"/>
              <a:lstStyle/>
              <a:p>
                <a:pPr>
                  <a:defRPr lang="zh-CN" sz="1600" b="1"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Sheet1!$B$1:$B$1</c:f>
              <c:strCache>
                <c:ptCount val="1"/>
                <c:pt idx="0">
                  <c:v>一般公共预算财政拨款收入</c:v>
                </c:pt>
              </c:strCache>
            </c:strRef>
          </c:cat>
          <c:val>
            <c:numRef>
              <c:f>Sheet1!$B$2:$B$2</c:f>
              <c:numCache>
                <c:formatCode>General</c:formatCode>
                <c:ptCount val="1"/>
                <c:pt idx="0">
                  <c:v>100</c:v>
                </c:pt>
              </c:numCache>
            </c:numRef>
          </c:val>
        </c:ser>
        <c:ser>
          <c:idx val="1"/>
          <c:order val="1"/>
          <c:tx>
            <c:strRef>
              <c:f>Sheet1!$A$3</c:f>
              <c:strCache>
                <c:ptCount val="1"/>
              </c:strCache>
            </c:strRef>
          </c:tx>
          <c:spPr>
            <a:solidFill>
              <a:srgbClr val="993366"/>
            </a:solidFill>
            <a:ln w="13366">
              <a:solidFill>
                <a:srgbClr val="000000"/>
              </a:solidFill>
              <a:prstDash val="solid"/>
            </a:ln>
          </c:spPr>
          <c:dPt>
            <c:idx val="0"/>
            <c:spPr>
              <a:solidFill>
                <a:srgbClr val="9999FF"/>
              </a:solidFill>
              <a:ln w="13366">
                <a:solidFill>
                  <a:srgbClr val="000000"/>
                </a:solidFill>
                <a:prstDash val="solid"/>
              </a:ln>
            </c:spPr>
          </c:dPt>
          <c:dLbls>
            <c:numFmt formatCode="0%" sourceLinked="0"/>
            <c:spPr>
              <a:noFill/>
              <a:ln w="26732">
                <a:noFill/>
              </a:ln>
              <a:effectLst/>
            </c:spPr>
            <c:txPr>
              <a:bodyPr rot="0" spcFirstLastPara="0" vertOverflow="ellipsis" vert="horz" wrap="square" lIns="38100" tIns="19050" rIns="38100" bIns="19050" anchor="ctr" anchorCtr="1"/>
              <a:lstStyle/>
              <a:p>
                <a:pPr>
                  <a:defRPr lang="zh-CN" sz="12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Sheet1!$B$1:$B$1</c:f>
              <c:strCache>
                <c:ptCount val="1"/>
                <c:pt idx="0">
                  <c:v>一般公共预算财政拨款收入</c:v>
                </c:pt>
              </c:strCache>
            </c:strRef>
          </c:cat>
          <c:val>
            <c:numRef>
              <c:f>Sheet1!$B$3:$B$3</c:f>
              <c:numCache>
                <c:formatCode>General</c:formatCode>
                <c:ptCount val="1"/>
                <c:pt idx="0">
                  <c:v>0</c:v>
                </c:pt>
              </c:numCache>
            </c:numRef>
          </c:val>
        </c:ser>
        <c:ser>
          <c:idx val="2"/>
          <c:order val="2"/>
          <c:tx>
            <c:strRef>
              <c:f>Sheet1!$A$4</c:f>
              <c:strCache>
                <c:ptCount val="1"/>
              </c:strCache>
            </c:strRef>
          </c:tx>
          <c:spPr>
            <a:solidFill>
              <a:srgbClr val="FFFFCC"/>
            </a:solidFill>
            <a:ln w="13366">
              <a:solidFill>
                <a:srgbClr val="000000"/>
              </a:solidFill>
              <a:prstDash val="solid"/>
            </a:ln>
          </c:spPr>
          <c:dPt>
            <c:idx val="0"/>
            <c:spPr>
              <a:solidFill>
                <a:srgbClr val="9999FF"/>
              </a:solidFill>
              <a:ln w="13366">
                <a:solidFill>
                  <a:srgbClr val="000000"/>
                </a:solidFill>
                <a:prstDash val="solid"/>
              </a:ln>
            </c:spPr>
          </c:dPt>
          <c:dLbls>
            <c:numFmt formatCode="0%" sourceLinked="0"/>
            <c:spPr>
              <a:noFill/>
              <a:ln w="26732">
                <a:noFill/>
              </a:ln>
              <a:effectLst/>
            </c:spPr>
            <c:txPr>
              <a:bodyPr rot="0" spcFirstLastPara="0" vertOverflow="ellipsis" vert="horz" wrap="square" lIns="38100" tIns="19050" rIns="38100" bIns="19050" anchor="ctr" anchorCtr="1"/>
              <a:lstStyle/>
              <a:p>
                <a:pPr>
                  <a:defRPr lang="zh-CN" sz="12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Sheet1!$B$1:$B$1</c:f>
              <c:strCache>
                <c:ptCount val="1"/>
                <c:pt idx="0">
                  <c:v>一般公共预算财政拨款收入</c:v>
                </c:pt>
              </c:strCache>
            </c:strRef>
          </c:cat>
          <c:val>
            <c:numRef>
              <c:f>Sheet1!$B$4:$B$4</c:f>
              <c:numCache>
                <c:formatCode>General</c:formatCode>
                <c:ptCount val="1"/>
                <c:pt idx="0">
                  <c:v>0</c:v>
                </c:pt>
              </c:numCache>
            </c:numRef>
          </c:val>
        </c:ser>
        <c:dLbls>
          <c:showPercent val="1"/>
        </c:dLbls>
        <c:firstSliceAng val="0"/>
      </c:pieChart>
      <c:spPr>
        <a:solidFill>
          <a:srgbClr val="C0C0C0"/>
        </a:solidFill>
        <a:ln w="26732">
          <a:noFill/>
        </a:ln>
      </c:spPr>
    </c:plotArea>
    <c:legend>
      <c:legendPos val="r"/>
      <c:layout>
        <c:manualLayout>
          <c:xMode val="edge"/>
          <c:yMode val="edge"/>
          <c:x val="0.60897435897435903"/>
          <c:y val="0.49097472924188212"/>
          <c:w val="0.32478632478632502"/>
          <c:h val="0.14440433212996606"/>
        </c:manualLayout>
      </c:layout>
      <c:spPr>
        <a:noFill/>
        <a:ln w="3341">
          <a:solidFill>
            <a:srgbClr val="000000"/>
          </a:solidFill>
          <a:prstDash val="solid"/>
        </a:ln>
      </c:spPr>
      <c:txPr>
        <a:bodyPr rot="0" spcFirstLastPara="0" vertOverflow="ellipsis" vert="horz" wrap="square" anchor="ctr" anchorCtr="1"/>
        <a:lstStyle/>
        <a:p>
          <a:pPr>
            <a:defRPr lang="zh-CN" sz="116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chart>
  <c:spPr>
    <a:noFill/>
    <a:ln w="13366" cap="flat" cmpd="sng" algn="ctr">
      <a:solidFill>
        <a:srgbClr val="000000"/>
      </a:solidFill>
      <a:prstDash val="solid"/>
      <a:round/>
    </a:ln>
  </c:spPr>
  <c:txPr>
    <a:bodyPr/>
    <a:lstStyle/>
    <a:p>
      <a:pPr>
        <a:defRPr lang="zh-CN" sz="126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58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支出决算结构图</a:t>
            </a:r>
          </a:p>
        </c:rich>
      </c:tx>
      <c:layout>
        <c:manualLayout>
          <c:xMode val="edge"/>
          <c:yMode val="edge"/>
          <c:x val="0.34199134199134201"/>
          <c:y val="1.9543973941368205E-2"/>
        </c:manualLayout>
      </c:layout>
      <c:spPr>
        <a:noFill/>
        <a:ln w="26772">
          <a:noFill/>
        </a:ln>
      </c:spPr>
    </c:title>
    <c:plotArea>
      <c:layout>
        <c:manualLayout>
          <c:layoutTarget val="inner"/>
          <c:xMode val="edge"/>
          <c:yMode val="edge"/>
          <c:x val="0.145021645021645"/>
          <c:y val="0.231270358306189"/>
          <c:w val="0.45670995670995701"/>
          <c:h val="0.68729641693811516"/>
        </c:manualLayout>
      </c:layout>
      <c:pieChart>
        <c:varyColors val="1"/>
        <c:ser>
          <c:idx val="0"/>
          <c:order val="0"/>
          <c:tx>
            <c:strRef>
              <c:f>Sheet1!$A$2</c:f>
              <c:strCache>
                <c:ptCount val="1"/>
                <c:pt idx="0">
                  <c:v> </c:v>
                </c:pt>
              </c:strCache>
            </c:strRef>
          </c:tx>
          <c:spPr>
            <a:solidFill>
              <a:srgbClr val="9999FF"/>
            </a:solidFill>
            <a:ln w="13386">
              <a:solidFill>
                <a:srgbClr val="000000"/>
              </a:solidFill>
              <a:prstDash val="solid"/>
            </a:ln>
          </c:spPr>
          <c:dPt>
            <c:idx val="0"/>
          </c:dPt>
          <c:dPt>
            <c:idx val="1"/>
            <c:spPr>
              <a:solidFill>
                <a:srgbClr val="993366"/>
              </a:solidFill>
              <a:ln w="13386">
                <a:solidFill>
                  <a:srgbClr val="000000"/>
                </a:solidFill>
                <a:prstDash val="solid"/>
              </a:ln>
            </c:spPr>
          </c:dPt>
          <c:dLbls>
            <c:dLbl>
              <c:idx val="0"/>
              <c:layout>
                <c:manualLayout>
                  <c:x val="-0.17380052886950298"/>
                  <c:y val="-0.22394038073366304"/>
                </c:manualLayout>
              </c:layout>
              <c:tx>
                <c:rich>
                  <a:bodyPr rot="0" spcFirstLastPara="0" vertOverflow="ellipsis" vert="horz" wrap="square" lIns="38100" tIns="19050" rIns="38100" bIns="19050" anchor="ctr" anchorCtr="1"/>
                  <a:lstStyle/>
                  <a:p>
                    <a:pPr>
                      <a:defRPr lang="zh-CN" sz="158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b="1"/>
                      <a:t>87.08%</a:t>
                    </a:r>
                  </a:p>
                </c:rich>
              </c:tx>
              <c:numFmt formatCode="0%" sourceLinked="0"/>
              <c:spPr>
                <a:noFill/>
                <a:ln w="26772">
                  <a:noFill/>
                </a:ln>
                <a:effectLst/>
              </c:spPr>
              <c:dLblPos val="bestFit"/>
              <c:showPercent val="1"/>
              <c:extLst>
                <c:ext xmlns:c15="http://schemas.microsoft.com/office/drawing/2012/chart" uri="{CE6537A1-D6FC-4f65-9D91-7224C49458BB}">
                  <c15:layout/>
                </c:ext>
              </c:extLst>
            </c:dLbl>
            <c:dLbl>
              <c:idx val="1"/>
              <c:layout>
                <c:manualLayout>
                  <c:x val="0.12239386164117801"/>
                  <c:y val="0.18230605667962402"/>
                </c:manualLayout>
              </c:layout>
              <c:tx>
                <c:rich>
                  <a:bodyPr rot="0" spcFirstLastPara="0" vertOverflow="ellipsis" vert="horz" wrap="square" lIns="38100" tIns="19050" rIns="38100" bIns="19050" anchor="ctr" anchorCtr="1"/>
                  <a:lstStyle/>
                  <a:p>
                    <a:pPr>
                      <a:defRPr lang="zh-CN" sz="158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b="1"/>
                      <a:t>12.92%</a:t>
                    </a:r>
                  </a:p>
                </c:rich>
              </c:tx>
              <c:numFmt formatCode="0%" sourceLinked="0"/>
              <c:spPr>
                <a:noFill/>
                <a:ln w="26772">
                  <a:noFill/>
                </a:ln>
                <a:effectLst/>
              </c:spPr>
              <c:dLblPos val="bestFit"/>
              <c:showPercent val="1"/>
              <c:extLst>
                <c:ext xmlns:c15="http://schemas.microsoft.com/office/drawing/2012/chart" uri="{CE6537A1-D6FC-4f65-9D91-7224C49458BB}">
                  <c15:layout/>
                </c:ext>
              </c:extLst>
            </c:dLbl>
            <c:numFmt formatCode="0%" sourceLinked="0"/>
            <c:spPr>
              <a:noFill/>
              <a:ln w="26772">
                <a:noFill/>
              </a:ln>
              <a:effectLst/>
            </c:spPr>
            <c:txPr>
              <a:bodyPr rot="0" spcFirstLastPara="0" vertOverflow="ellipsis" vert="horz" wrap="square" lIns="38100" tIns="19050" rIns="38100" bIns="19050" anchor="ctr" anchorCtr="1"/>
              <a:lstStyle/>
              <a:p>
                <a:pPr>
                  <a:defRPr lang="zh-CN" sz="15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Sheet1!$B$2:$C$2</c:f>
              <c:numCache>
                <c:formatCode>General</c:formatCode>
                <c:ptCount val="2"/>
                <c:pt idx="0">
                  <c:v>307.58999999999997</c:v>
                </c:pt>
                <c:pt idx="1">
                  <c:v>45.63</c:v>
                </c:pt>
              </c:numCache>
            </c:numRef>
          </c:val>
        </c:ser>
        <c:ser>
          <c:idx val="1"/>
          <c:order val="1"/>
          <c:tx>
            <c:strRef>
              <c:f>Sheet1!$A$3</c:f>
              <c:strCache>
                <c:ptCount val="1"/>
                <c:pt idx="0">
                  <c:v> </c:v>
                </c:pt>
              </c:strCache>
            </c:strRef>
          </c:tx>
          <c:spPr>
            <a:solidFill>
              <a:srgbClr val="993366"/>
            </a:solidFill>
            <a:ln w="13386">
              <a:solidFill>
                <a:srgbClr val="000000"/>
              </a:solidFill>
              <a:prstDash val="solid"/>
            </a:ln>
          </c:spPr>
          <c:dPt>
            <c:idx val="0"/>
            <c:spPr>
              <a:solidFill>
                <a:srgbClr val="9999FF"/>
              </a:solidFill>
              <a:ln w="13386">
                <a:solidFill>
                  <a:srgbClr val="000000"/>
                </a:solidFill>
                <a:prstDash val="solid"/>
              </a:ln>
            </c:spPr>
          </c:dPt>
          <c:dPt>
            <c:idx val="1"/>
          </c:dPt>
          <c:dLbls>
            <c:numFmt formatCode="0%" sourceLinked="0"/>
            <c:spPr>
              <a:noFill/>
              <a:ln w="26772">
                <a:noFill/>
              </a:ln>
              <a:effectLst/>
            </c:spPr>
            <c:txPr>
              <a:bodyPr rot="0" spcFirstLastPara="0" vertOverflow="ellipsis" vert="horz" wrap="square" lIns="38100" tIns="19050" rIns="38100" bIns="19050" anchor="ctr" anchorCtr="1"/>
              <a:lstStyle/>
              <a:p>
                <a:pPr>
                  <a:defRPr lang="zh-CN" sz="15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Sheet1!$B$3:$C$3</c:f>
              <c:numCache>
                <c:formatCode>General</c:formatCode>
                <c:ptCount val="2"/>
              </c:numCache>
            </c:numRef>
          </c:val>
        </c:ser>
        <c:ser>
          <c:idx val="2"/>
          <c:order val="2"/>
          <c:tx>
            <c:strRef>
              <c:f>Sheet1!$A$4</c:f>
              <c:strCache>
                <c:ptCount val="1"/>
                <c:pt idx="0">
                  <c:v> </c:v>
                </c:pt>
              </c:strCache>
            </c:strRef>
          </c:tx>
          <c:spPr>
            <a:solidFill>
              <a:srgbClr val="FFFFCC"/>
            </a:solidFill>
            <a:ln w="13386">
              <a:solidFill>
                <a:srgbClr val="000000"/>
              </a:solidFill>
              <a:prstDash val="solid"/>
            </a:ln>
          </c:spPr>
          <c:dPt>
            <c:idx val="0"/>
            <c:spPr>
              <a:solidFill>
                <a:srgbClr val="9999FF"/>
              </a:solidFill>
              <a:ln w="13386">
                <a:solidFill>
                  <a:srgbClr val="000000"/>
                </a:solidFill>
                <a:prstDash val="solid"/>
              </a:ln>
            </c:spPr>
          </c:dPt>
          <c:dPt>
            <c:idx val="1"/>
            <c:spPr>
              <a:solidFill>
                <a:srgbClr val="993366"/>
              </a:solidFill>
              <a:ln w="13386">
                <a:solidFill>
                  <a:srgbClr val="000000"/>
                </a:solidFill>
                <a:prstDash val="solid"/>
              </a:ln>
            </c:spPr>
          </c:dPt>
          <c:dLbls>
            <c:numFmt formatCode="0%" sourceLinked="0"/>
            <c:spPr>
              <a:noFill/>
              <a:ln w="26772">
                <a:noFill/>
              </a:ln>
              <a:effectLst/>
            </c:spPr>
            <c:txPr>
              <a:bodyPr rot="0" spcFirstLastPara="0" vertOverflow="ellipsis" vert="horz" wrap="square" lIns="38100" tIns="19050" rIns="38100" bIns="19050" anchor="ctr" anchorCtr="1"/>
              <a:lstStyle/>
              <a:p>
                <a:pPr>
                  <a:defRPr lang="zh-CN" sz="15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Sheet1!$B$4:$C$4</c:f>
              <c:numCache>
                <c:formatCode>General</c:formatCode>
                <c:ptCount val="2"/>
              </c:numCache>
            </c:numRef>
          </c:val>
        </c:ser>
        <c:dLbls>
          <c:showPercent val="1"/>
        </c:dLbls>
        <c:firstSliceAng val="0"/>
      </c:pieChart>
      <c:spPr>
        <a:solidFill>
          <a:srgbClr val="C0C0C0"/>
        </a:solidFill>
        <a:ln w="13386">
          <a:solidFill>
            <a:srgbClr val="808080"/>
          </a:solidFill>
          <a:prstDash val="solid"/>
        </a:ln>
      </c:spPr>
    </c:plotArea>
    <c:legend>
      <c:legendPos val="r"/>
      <c:layout>
        <c:manualLayout>
          <c:xMode val="edge"/>
          <c:yMode val="edge"/>
          <c:x val="0.74891774891774487"/>
          <c:y val="0.47882736156352007"/>
          <c:w val="0.24242424242424304"/>
          <c:h val="0.19218241042345299"/>
        </c:manualLayout>
      </c:layout>
      <c:spPr>
        <a:noFill/>
        <a:ln w="3346">
          <a:solidFill>
            <a:srgbClr val="000000"/>
          </a:solidFill>
          <a:prstDash val="solid"/>
        </a:ln>
      </c:spPr>
      <c:txPr>
        <a:bodyPr rot="0" spcFirstLastPara="0" vertOverflow="ellipsis" vert="horz" wrap="square" anchor="ctr" anchorCtr="1"/>
        <a:lstStyle/>
        <a:p>
          <a:pPr>
            <a:defRPr lang="zh-CN" sz="145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chart>
  <c:spPr>
    <a:noFill/>
    <a:ln w="13386" cap="flat" cmpd="sng" algn="ctr">
      <a:solidFill>
        <a:srgbClr val="000000"/>
      </a:solidFill>
      <a:prstDash val="solid"/>
      <a:round/>
    </a:ln>
  </c:spPr>
  <c:txPr>
    <a:bodyPr/>
    <a:lstStyle/>
    <a:p>
      <a:pPr>
        <a:defRPr lang="zh-CN" sz="158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t>财政拨款收、支决算总计变动情况</a:t>
            </a:r>
            <a:r>
              <a:rPr lang="zh-CN" altLang="en-US" sz="1200"/>
              <a:t>（万元</a:t>
            </a:r>
            <a:r>
              <a:rPr lang="zh-CN" altLang="en-US"/>
              <a:t>）</a:t>
            </a:r>
          </a:p>
        </c:rich>
      </c:tx>
      <c:layout>
        <c:manualLayout>
          <c:xMode val="edge"/>
          <c:yMode val="edge"/>
          <c:x val="0.14240821834806802"/>
          <c:y val="7.8616352201257896E-3"/>
        </c:manualLayout>
      </c:layout>
      <c:spPr>
        <a:noFill/>
        <a:ln w="26915">
          <a:noFill/>
        </a:ln>
      </c:spPr>
    </c:title>
    <c:plotArea>
      <c:layout>
        <c:manualLayout>
          <c:layoutTarget val="inner"/>
          <c:xMode val="edge"/>
          <c:yMode val="edge"/>
          <c:x val="9.8901098901100021E-2"/>
          <c:y val="0.17857142857142905"/>
          <c:w val="0.87912087912088621"/>
          <c:h val="0.668831168831169"/>
        </c:manualLayout>
      </c:layout>
      <c:barChart>
        <c:barDir val="col"/>
        <c:grouping val="clustered"/>
        <c:ser>
          <c:idx val="0"/>
          <c:order val="0"/>
          <c:tx>
            <c:strRef>
              <c:f>Sheet1!$A$2</c:f>
              <c:strCache>
                <c:ptCount val="1"/>
              </c:strCache>
            </c:strRef>
          </c:tx>
          <c:spPr>
            <a:solidFill>
              <a:srgbClr val="9999FF"/>
            </a:solidFill>
            <a:ln w="13458">
              <a:solidFill>
                <a:srgbClr val="000000"/>
              </a:solidFill>
              <a:prstDash val="solid"/>
            </a:ln>
          </c:spPr>
          <c:dLbls>
            <c:dLbl>
              <c:idx val="0"/>
              <c:layout>
                <c:manualLayout>
                  <c:x val="-1.5574650912996806E-2"/>
                  <c:y val="4.9004192872117408E-2"/>
                </c:manualLayout>
              </c:layout>
              <c:dLblPos val="outEnd"/>
              <c:showVal val="1"/>
              <c:extLst>
                <c:ext xmlns:c15="http://schemas.microsoft.com/office/drawing/2012/chart" uri="{CE6537A1-D6FC-4f65-9D91-7224C49458BB}">
                  <c15:layout/>
                </c:ext>
              </c:extLst>
            </c:dLbl>
            <c:dLbl>
              <c:idx val="1"/>
              <c:layout>
                <c:manualLayout>
                  <c:x val="-2.3272466881489409E-3"/>
                  <c:y val="4.9004192872117408E-2"/>
                </c:manualLayout>
              </c:layout>
              <c:dLblPos val="outEnd"/>
              <c:showVal val="1"/>
              <c:extLst>
                <c:ext xmlns:c15="http://schemas.microsoft.com/office/drawing/2012/chart" uri="{CE6537A1-D6FC-4f65-9D91-7224C49458BB}">
                  <c15:layout/>
                </c:ext>
              </c:extLst>
            </c:dLbl>
            <c:spPr>
              <a:noFill/>
              <a:ln w="26915">
                <a:noFill/>
              </a:ln>
              <a:effectLst/>
            </c:spPr>
            <c:txPr>
              <a:bodyPr rot="0" spcFirstLastPara="0" vertOverflow="ellipsis" vert="horz" wrap="square" lIns="38100" tIns="19050" rIns="38100" bIns="19050"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Val val="1"/>
            <c:extLst>
              <c:ext xmlns:c15="http://schemas.microsoft.com/office/drawing/2012/chart" uri="{CE6537A1-D6FC-4f65-9D91-7224C49458BB}">
                <c15:layout/>
                <c15:showLeaderLines val="0"/>
                <c15:leaderLines/>
              </c:ext>
            </c:extLst>
          </c:dLbls>
          <c:cat>
            <c:strRef>
              <c:f>Sheet1!$B$1:$C$1</c:f>
              <c:strCache>
                <c:ptCount val="2"/>
                <c:pt idx="0">
                  <c:v>2020年</c:v>
                </c:pt>
                <c:pt idx="1">
                  <c:v>2021年</c:v>
                </c:pt>
              </c:strCache>
            </c:strRef>
          </c:cat>
          <c:val>
            <c:numRef>
              <c:f>Sheet1!$B$2:$C$2</c:f>
              <c:numCache>
                <c:formatCode>General</c:formatCode>
                <c:ptCount val="2"/>
                <c:pt idx="0">
                  <c:v>384.59</c:v>
                </c:pt>
                <c:pt idx="1">
                  <c:v>390.94</c:v>
                </c:pt>
              </c:numCache>
            </c:numRef>
          </c:val>
        </c:ser>
        <c:dLbls>
          <c:showVal val="1"/>
        </c:dLbls>
        <c:axId val="141903360"/>
        <c:axId val="141904896"/>
      </c:barChart>
      <c:catAx>
        <c:axId val="141903360"/>
        <c:scaling>
          <c:orientation val="minMax"/>
        </c:scaling>
        <c:axPos val="b"/>
        <c:numFmt formatCode="General" sourceLinked="1"/>
        <c:majorTickMark val="in"/>
        <c:tickLblPos val="low"/>
        <c:spPr>
          <a:ln w="3364" cap="flat" cmpd="sng" algn="ctr">
            <a:solidFill>
              <a:srgbClr val="000000"/>
            </a:solidFill>
            <a:prstDash val="solid"/>
            <a:round/>
          </a:ln>
        </c:spPr>
        <c:txPr>
          <a:bodyPr rot="0" spcFirstLastPara="0" vertOverflow="ellipsis" vert="horz" wrap="square"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1904896"/>
        <c:crosses val="autoZero"/>
        <c:auto val="1"/>
        <c:lblAlgn val="ctr"/>
        <c:lblOffset val="100"/>
        <c:tickLblSkip val="1"/>
      </c:catAx>
      <c:valAx>
        <c:axId val="141904896"/>
        <c:scaling>
          <c:orientation val="minMax"/>
        </c:scaling>
        <c:axPos val="l"/>
        <c:majorGridlines>
          <c:spPr>
            <a:ln w="3364" cap="flat" cmpd="sng" algn="ctr">
              <a:solidFill>
                <a:srgbClr val="000000"/>
              </a:solidFill>
              <a:prstDash val="solid"/>
              <a:round/>
            </a:ln>
          </c:spPr>
        </c:majorGridlines>
        <c:numFmt formatCode="General" sourceLinked="1"/>
        <c:majorTickMark val="in"/>
        <c:tickLblPos val="nextTo"/>
        <c:spPr>
          <a:ln w="3364" cap="flat" cmpd="sng" algn="ctr">
            <a:solidFill>
              <a:srgbClr val="000000"/>
            </a:solidFill>
            <a:prstDash val="solid"/>
            <a:round/>
          </a:ln>
        </c:spPr>
        <c:txPr>
          <a:bodyPr rot="0" spcFirstLastPara="0" vertOverflow="ellipsis" vert="horz" wrap="square" anchor="ctr" anchorCtr="1"/>
          <a:lstStyle/>
          <a:p>
            <a:pPr>
              <a:defRPr lang="zh-CN" sz="156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1903360"/>
        <c:crosses val="autoZero"/>
        <c:crossBetween val="between"/>
      </c:valAx>
      <c:spPr>
        <a:noFill/>
        <a:ln w="12700">
          <a:solidFill>
            <a:srgbClr val="808080"/>
          </a:solidFill>
          <a:prstDash val="solid"/>
        </a:ln>
        <a:effectLst/>
      </c:spPr>
    </c:plotArea>
    <c:plotVisOnly val="1"/>
    <c:dispBlanksAs val="gap"/>
  </c:chart>
  <c:spPr>
    <a:noFill/>
    <a:ln w="13458" cap="flat" cmpd="sng" algn="ctr">
      <a:solidFill>
        <a:srgbClr val="000000"/>
      </a:solidFill>
      <a:prstDash val="solid"/>
      <a:round/>
    </a:ln>
  </c:spPr>
  <c:txPr>
    <a:bodyPr/>
    <a:lstStyle/>
    <a:p>
      <a:pPr>
        <a:defRPr lang="zh-CN" sz="156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一般公共预算财政拨款支出决算变动情况（万元）</a:t>
            </a:r>
          </a:p>
        </c:rich>
      </c:tx>
      <c:layout>
        <c:manualLayout>
          <c:xMode val="edge"/>
          <c:yMode val="edge"/>
          <c:x val="6.7982011802664791E-2"/>
          <c:y val="3.1641161039685013E-2"/>
        </c:manualLayout>
      </c:layout>
      <c:spPr>
        <a:noFill/>
        <a:ln w="25400">
          <a:noFill/>
        </a:ln>
      </c:spPr>
    </c:title>
    <c:plotArea>
      <c:layout>
        <c:manualLayout>
          <c:layoutTarget val="inner"/>
          <c:xMode val="edge"/>
          <c:yMode val="edge"/>
          <c:x val="9.7613882863340606E-2"/>
          <c:y val="0.24404761904761901"/>
          <c:w val="0.88069414316702799"/>
          <c:h val="0.61607142857143316"/>
        </c:manualLayout>
      </c:layout>
      <c:barChart>
        <c:barDir val="col"/>
        <c:grouping val="clustered"/>
        <c:ser>
          <c:idx val="0"/>
          <c:order val="0"/>
          <c:tx>
            <c:strRef>
              <c:f>Sheet1!$A$2</c:f>
              <c:strCache>
                <c:ptCount val="1"/>
              </c:strCache>
            </c:strRef>
          </c:tx>
          <c:spPr>
            <a:solidFill>
              <a:srgbClr val="9999FF"/>
            </a:solidFill>
            <a:ln w="12700">
              <a:solidFill>
                <a:srgbClr val="000000"/>
              </a:solidFill>
              <a:prstDash val="solid"/>
            </a:ln>
          </c:spPr>
          <c:dLbls>
            <c:spPr>
              <a:noFill/>
              <a:ln w="25400">
                <a:noFill/>
              </a:ln>
              <a:effectLst/>
            </c:spPr>
            <c:txPr>
              <a:bodyPr rot="0" spcFirstLastPara="0" vertOverflow="ellipsis" vert="horz" wrap="square" lIns="38100" tIns="19050" rIns="38100" bIns="19050"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Val val="1"/>
            <c:extLst>
              <c:ext xmlns:c15="http://schemas.microsoft.com/office/drawing/2012/chart" uri="{CE6537A1-D6FC-4f65-9D91-7224C49458BB}">
                <c15:layout/>
                <c15:showLeaderLines val="0"/>
                <c15:leaderLines/>
              </c:ext>
            </c:extLst>
          </c:dLbls>
          <c:cat>
            <c:strRef>
              <c:f>Sheet1!$B$1:$C$1</c:f>
              <c:strCache>
                <c:ptCount val="2"/>
                <c:pt idx="0">
                  <c:v>2020年</c:v>
                </c:pt>
                <c:pt idx="1">
                  <c:v>2021年</c:v>
                </c:pt>
              </c:strCache>
            </c:strRef>
          </c:cat>
          <c:val>
            <c:numRef>
              <c:f>Sheet1!$B$2:$C$2</c:f>
              <c:numCache>
                <c:formatCode>General</c:formatCode>
                <c:ptCount val="2"/>
                <c:pt idx="0">
                  <c:v>363.41999999999894</c:v>
                </c:pt>
                <c:pt idx="1">
                  <c:v>353.21999999999997</c:v>
                </c:pt>
              </c:numCache>
            </c:numRef>
          </c:val>
        </c:ser>
        <c:dLbls>
          <c:showVal val="1"/>
        </c:dLbls>
        <c:axId val="142178944"/>
        <c:axId val="142201216"/>
      </c:barChart>
      <c:catAx>
        <c:axId val="142178944"/>
        <c:scaling>
          <c:orientation val="minMax"/>
        </c:scaling>
        <c:axPos val="b"/>
        <c:numFmt formatCode="General" sourceLinked="1"/>
        <c:majorTickMark val="in"/>
        <c:tickLblPos val="low"/>
        <c:spPr>
          <a:ln w="3175"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2201216"/>
        <c:crosses val="autoZero"/>
        <c:auto val="1"/>
        <c:lblAlgn val="ctr"/>
        <c:lblOffset val="100"/>
        <c:tickLblSkip val="1"/>
      </c:catAx>
      <c:valAx>
        <c:axId val="142201216"/>
        <c:scaling>
          <c:orientation val="minMax"/>
          <c:max val="410"/>
          <c:min val="340"/>
        </c:scaling>
        <c:axPos val="l"/>
        <c:majorGridlines>
          <c:spPr>
            <a:ln w="3175" cap="flat" cmpd="sng" algn="ctr">
              <a:solidFill>
                <a:srgbClr val="000000"/>
              </a:solidFill>
              <a:prstDash val="solid"/>
              <a:round/>
            </a:ln>
          </c:spPr>
        </c:majorGridlines>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5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2178944"/>
        <c:crosses val="autoZero"/>
        <c:crossBetween val="between"/>
        <c:majorUnit val="10"/>
      </c:valAx>
      <c:spPr>
        <a:noFill/>
        <a:ln w="12700">
          <a:solidFill>
            <a:srgbClr val="000000"/>
          </a:solidFill>
          <a:prstDash val="solid"/>
        </a:ln>
        <a:effectLst/>
      </c:spPr>
    </c:plotArea>
    <c:plotVisOnly val="1"/>
    <c:dispBlanksAs val="gap"/>
  </c:chart>
  <c:spPr>
    <a:noFill/>
    <a:ln w="12700" cap="flat" cmpd="sng" algn="ctr">
      <a:solidFill>
        <a:srgbClr val="000000"/>
      </a:solidFill>
      <a:prstDash val="solid"/>
      <a:round/>
    </a:ln>
  </c:spPr>
  <c:txPr>
    <a:bodyPr/>
    <a:lstStyle/>
    <a:p>
      <a:pPr>
        <a:defRPr lang="zh-CN" sz="15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54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一般公共预算财政拨款支出决算结构图</a:t>
            </a:r>
          </a:p>
        </c:rich>
      </c:tx>
      <c:layout>
        <c:manualLayout>
          <c:xMode val="edge"/>
          <c:yMode val="edge"/>
          <c:x val="0.121338906710735"/>
          <c:y val="6.8704972249985924E-2"/>
        </c:manualLayout>
      </c:layout>
      <c:spPr>
        <a:noFill/>
        <a:ln w="25296">
          <a:noFill/>
        </a:ln>
      </c:spPr>
    </c:title>
    <c:plotArea>
      <c:layout>
        <c:manualLayout>
          <c:layoutTarget val="inner"/>
          <c:xMode val="edge"/>
          <c:yMode val="edge"/>
          <c:x val="0.12133891213389099"/>
          <c:y val="0.27156549520767009"/>
          <c:w val="0.38702928870293107"/>
          <c:h val="0.59105431309904199"/>
        </c:manualLayout>
      </c:layout>
      <c:pieChart>
        <c:varyColors val="1"/>
        <c:ser>
          <c:idx val="0"/>
          <c:order val="0"/>
          <c:tx>
            <c:strRef>
              <c:f>Sheet1!$A$2</c:f>
              <c:strCache>
                <c:ptCount val="1"/>
                <c:pt idx="0">
                  <c:v> </c:v>
                </c:pt>
              </c:strCache>
            </c:strRef>
          </c:tx>
          <c:spPr>
            <a:solidFill>
              <a:srgbClr val="9999FF"/>
            </a:solidFill>
            <a:ln w="12648">
              <a:solidFill>
                <a:srgbClr val="000000"/>
              </a:solidFill>
              <a:prstDash val="solid"/>
            </a:ln>
          </c:spPr>
          <c:dPt>
            <c:idx val="0"/>
          </c:dPt>
          <c:dPt>
            <c:idx val="1"/>
            <c:spPr>
              <a:solidFill>
                <a:srgbClr val="993366"/>
              </a:solidFill>
              <a:ln w="12648">
                <a:solidFill>
                  <a:srgbClr val="000000"/>
                </a:solidFill>
                <a:prstDash val="solid"/>
              </a:ln>
            </c:spPr>
          </c:dPt>
          <c:dPt>
            <c:idx val="2"/>
            <c:spPr>
              <a:solidFill>
                <a:srgbClr val="FFFFCC"/>
              </a:solidFill>
              <a:ln w="12648">
                <a:solidFill>
                  <a:srgbClr val="000000"/>
                </a:solidFill>
                <a:prstDash val="solid"/>
              </a:ln>
            </c:spPr>
          </c:dPt>
          <c:dPt>
            <c:idx val="3"/>
            <c:spPr>
              <a:solidFill>
                <a:srgbClr val="CCFFFF"/>
              </a:solidFill>
              <a:ln w="12648">
                <a:solidFill>
                  <a:srgbClr val="000000"/>
                </a:solidFill>
                <a:prstDash val="solid"/>
              </a:ln>
            </c:spPr>
          </c:dPt>
          <c:dLbls>
            <c:dLbl>
              <c:idx val="0"/>
              <c:layout>
                <c:manualLayout>
                  <c:x val="-0.15262443284521804"/>
                  <c:y val="-0.18596166536525002"/>
                </c:manualLayout>
              </c:layout>
              <c:tx>
                <c:rich>
                  <a:bodyPr rot="0" spcFirstLastPara="0" vertOverflow="ellipsis" vert="horz" wrap="square" lIns="38100" tIns="19050" rIns="38100" bIns="19050" anchor="ctr" anchorCtr="1"/>
                  <a:lstStyle/>
                  <a:p>
                    <a:pPr>
                      <a:defRPr lang="zh-CN" sz="154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80.84%</a:t>
                    </a:r>
                  </a:p>
                </c:rich>
              </c:tx>
              <c:numFmt formatCode="0%" sourceLinked="0"/>
              <c:spPr>
                <a:noFill/>
                <a:ln w="25296">
                  <a:noFill/>
                </a:ln>
                <a:effectLst/>
              </c:spPr>
              <c:dLblPos val="bestFit"/>
              <c:showPercent val="1"/>
              <c:extLst>
                <c:ext xmlns:c15="http://schemas.microsoft.com/office/drawing/2012/chart" uri="{CE6537A1-D6FC-4f65-9D91-7224C49458BB}">
                  <c15:layout/>
                </c:ext>
              </c:extLst>
            </c:dLbl>
            <c:dLbl>
              <c:idx val="1"/>
              <c:layout>
                <c:manualLayout>
                  <c:x val="0.10780035211647901"/>
                  <c:y val="0.13144519473765504"/>
                </c:manualLayout>
              </c:layout>
              <c:tx>
                <c:rich>
                  <a:bodyPr rot="0" spcFirstLastPara="0" vertOverflow="ellipsis" vert="horz" wrap="square" lIns="38100" tIns="19050" rIns="38100" bIns="19050" anchor="ctr" anchorCtr="1"/>
                  <a:lstStyle/>
                  <a:p>
                    <a:pPr>
                      <a:defRPr lang="zh-CN" sz="154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9.15%</a:t>
                    </a:r>
                  </a:p>
                </c:rich>
              </c:tx>
              <c:numFmt formatCode="0%" sourceLinked="0"/>
              <c:spPr>
                <a:noFill/>
                <a:ln w="25296">
                  <a:noFill/>
                </a:ln>
                <a:effectLst/>
              </c:spPr>
              <c:dLblPos val="bestFit"/>
              <c:showPercent val="1"/>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54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3.26%</a:t>
                    </a:r>
                  </a:p>
                </c:rich>
              </c:tx>
              <c:numFmt formatCode="0%" sourceLinked="0"/>
              <c:spPr>
                <a:noFill/>
                <a:ln w="25296">
                  <a:noFill/>
                </a:ln>
                <a:effectLst/>
              </c:spPr>
              <c:dLblPos val="bestFit"/>
              <c:showPercent val="1"/>
              <c:extLst>
                <c:ext xmlns:c15="http://schemas.microsoft.com/office/drawing/2012/chart" uri="{CE6537A1-D6FC-4f65-9D91-7224C49458BB}"/>
              </c:extLst>
            </c:dLbl>
            <c:dLbl>
              <c:idx val="3"/>
              <c:layout>
                <c:manualLayout>
                  <c:x val="6.7273473531857919E-2"/>
                  <c:y val="2.6274997359076506E-2"/>
                </c:manualLayout>
              </c:layout>
              <c:tx>
                <c:rich>
                  <a:bodyPr rot="0" spcFirstLastPara="0" vertOverflow="ellipsis" vert="horz" wrap="square" lIns="38100" tIns="19050" rIns="38100" bIns="19050" anchor="ctr" anchorCtr="1"/>
                  <a:lstStyle/>
                  <a:p>
                    <a:pPr>
                      <a:defRPr lang="zh-CN" sz="154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6.75%</a:t>
                    </a:r>
                  </a:p>
                </c:rich>
              </c:tx>
              <c:numFmt formatCode="0%" sourceLinked="0"/>
              <c:spPr>
                <a:noFill/>
                <a:ln w="25296">
                  <a:noFill/>
                </a:ln>
                <a:effectLst/>
              </c:spPr>
              <c:dLblPos val="bestFit"/>
              <c:showPercent val="1"/>
              <c:extLst>
                <c:ext xmlns:c15="http://schemas.microsoft.com/office/drawing/2012/chart" uri="{CE6537A1-D6FC-4f65-9D91-7224C49458BB}">
                  <c15:layout/>
                </c:ext>
              </c:extLst>
            </c:dLbl>
            <c:numFmt formatCode="0%" sourceLinked="0"/>
            <c:spPr>
              <a:noFill/>
              <a:ln w="25296">
                <a:noFill/>
              </a:ln>
              <a:effectLst/>
            </c:spPr>
            <c:txPr>
              <a:bodyPr rot="0" spcFirstLastPara="0" vertOverflow="ellipsis" vert="horz" wrap="square" lIns="38100" tIns="19050" rIns="38100" bIns="19050" anchor="ctr" anchorCtr="1"/>
              <a:lstStyle/>
              <a:p>
                <a:pPr>
                  <a:defRPr lang="zh-CN" sz="16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Sheet1!$B$1:$E$1</c:f>
              <c:strCache>
                <c:ptCount val="4"/>
                <c:pt idx="0">
                  <c:v>一般公共服务（类）</c:v>
                </c:pt>
                <c:pt idx="1">
                  <c:v>社会保障和就业（类）</c:v>
                </c:pt>
                <c:pt idx="2">
                  <c:v>卫生健康支出</c:v>
                </c:pt>
                <c:pt idx="3">
                  <c:v>住房保障支出</c:v>
                </c:pt>
              </c:strCache>
            </c:strRef>
          </c:cat>
          <c:val>
            <c:numRef>
              <c:f>Sheet1!$B$2:$E$2</c:f>
              <c:numCache>
                <c:formatCode>General</c:formatCode>
                <c:ptCount val="4"/>
                <c:pt idx="0">
                  <c:v>285.54000000000002</c:v>
                </c:pt>
                <c:pt idx="1">
                  <c:v>32.309999999999995</c:v>
                </c:pt>
                <c:pt idx="2">
                  <c:v>11.52</c:v>
                </c:pt>
                <c:pt idx="3">
                  <c:v>23.85</c:v>
                </c:pt>
              </c:numCache>
            </c:numRef>
          </c:val>
        </c:ser>
        <c:ser>
          <c:idx val="1"/>
          <c:order val="1"/>
          <c:tx>
            <c:strRef>
              <c:f>Sheet1!$A$3</c:f>
              <c:strCache>
                <c:ptCount val="1"/>
                <c:pt idx="0">
                  <c:v> </c:v>
                </c:pt>
              </c:strCache>
            </c:strRef>
          </c:tx>
          <c:spPr>
            <a:solidFill>
              <a:srgbClr val="993366"/>
            </a:solidFill>
            <a:ln w="12648">
              <a:solidFill>
                <a:srgbClr val="000000"/>
              </a:solidFill>
              <a:prstDash val="solid"/>
            </a:ln>
          </c:spPr>
          <c:dPt>
            <c:idx val="0"/>
            <c:spPr>
              <a:solidFill>
                <a:srgbClr val="9999FF"/>
              </a:solidFill>
              <a:ln w="12648">
                <a:solidFill>
                  <a:srgbClr val="000000"/>
                </a:solidFill>
                <a:prstDash val="solid"/>
              </a:ln>
            </c:spPr>
          </c:dPt>
          <c:dPt>
            <c:idx val="1"/>
          </c:dPt>
          <c:dPt>
            <c:idx val="2"/>
            <c:spPr>
              <a:solidFill>
                <a:srgbClr val="FFFFCC"/>
              </a:solidFill>
              <a:ln w="12648">
                <a:solidFill>
                  <a:srgbClr val="000000"/>
                </a:solidFill>
                <a:prstDash val="solid"/>
              </a:ln>
            </c:spPr>
          </c:dPt>
          <c:dPt>
            <c:idx val="3"/>
            <c:spPr>
              <a:solidFill>
                <a:srgbClr val="CCFFFF"/>
              </a:solidFill>
              <a:ln w="12648">
                <a:solidFill>
                  <a:srgbClr val="000000"/>
                </a:solidFill>
                <a:prstDash val="solid"/>
              </a:ln>
            </c:spPr>
          </c:dPt>
          <c:dLbls>
            <c:numFmt formatCode="0%" sourceLinked="0"/>
            <c:spPr>
              <a:noFill/>
              <a:ln w="25296">
                <a:noFill/>
              </a:ln>
              <a:effectLst/>
            </c:spPr>
            <c:txPr>
              <a:bodyPr rot="0" spcFirstLastPara="0" vertOverflow="ellipsis" vert="horz" wrap="square" lIns="38100" tIns="19050" rIns="38100" bIns="19050" anchor="ctr" anchorCtr="1"/>
              <a:lstStyle/>
              <a:p>
                <a:pPr>
                  <a:defRPr lang="zh-CN" sz="16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Sheet1!$B$1:$E$1</c:f>
              <c:strCache>
                <c:ptCount val="4"/>
                <c:pt idx="0">
                  <c:v>一般公共服务（类）</c:v>
                </c:pt>
                <c:pt idx="1">
                  <c:v>社会保障和就业（类）</c:v>
                </c:pt>
                <c:pt idx="2">
                  <c:v>卫生健康支出</c:v>
                </c:pt>
                <c:pt idx="3">
                  <c:v>住房保障支出</c:v>
                </c:pt>
              </c:strCache>
            </c:strRef>
          </c:cat>
          <c:val>
            <c:numRef>
              <c:f>Sheet1!$B$3:$E$3</c:f>
              <c:numCache>
                <c:formatCode>General</c:formatCode>
                <c:ptCount val="4"/>
              </c:numCache>
            </c:numRef>
          </c:val>
        </c:ser>
        <c:ser>
          <c:idx val="2"/>
          <c:order val="2"/>
          <c:tx>
            <c:strRef>
              <c:f>Sheet1!$A$4</c:f>
              <c:strCache>
                <c:ptCount val="1"/>
                <c:pt idx="0">
                  <c:v> </c:v>
                </c:pt>
              </c:strCache>
            </c:strRef>
          </c:tx>
          <c:spPr>
            <a:solidFill>
              <a:srgbClr val="FFFFCC"/>
            </a:solidFill>
            <a:ln w="12648">
              <a:solidFill>
                <a:srgbClr val="000000"/>
              </a:solidFill>
              <a:prstDash val="solid"/>
            </a:ln>
          </c:spPr>
          <c:dPt>
            <c:idx val="0"/>
            <c:spPr>
              <a:solidFill>
                <a:srgbClr val="9999FF"/>
              </a:solidFill>
              <a:ln w="12648">
                <a:solidFill>
                  <a:srgbClr val="000000"/>
                </a:solidFill>
                <a:prstDash val="solid"/>
              </a:ln>
            </c:spPr>
          </c:dPt>
          <c:dPt>
            <c:idx val="1"/>
            <c:spPr>
              <a:solidFill>
                <a:srgbClr val="993366"/>
              </a:solidFill>
              <a:ln w="12648">
                <a:solidFill>
                  <a:srgbClr val="000000"/>
                </a:solidFill>
                <a:prstDash val="solid"/>
              </a:ln>
            </c:spPr>
          </c:dPt>
          <c:dPt>
            <c:idx val="2"/>
          </c:dPt>
          <c:dPt>
            <c:idx val="3"/>
            <c:spPr>
              <a:solidFill>
                <a:srgbClr val="CCFFFF"/>
              </a:solidFill>
              <a:ln w="12648">
                <a:solidFill>
                  <a:srgbClr val="000000"/>
                </a:solidFill>
                <a:prstDash val="solid"/>
              </a:ln>
            </c:spPr>
          </c:dPt>
          <c:dLbls>
            <c:numFmt formatCode="0%" sourceLinked="0"/>
            <c:spPr>
              <a:noFill/>
              <a:ln w="25296">
                <a:noFill/>
              </a:ln>
              <a:effectLst/>
            </c:spPr>
            <c:txPr>
              <a:bodyPr rot="0" spcFirstLastPara="0" vertOverflow="ellipsis" vert="horz" wrap="square" lIns="38100" tIns="19050" rIns="38100" bIns="19050" anchor="ctr" anchorCtr="1"/>
              <a:lstStyle/>
              <a:p>
                <a:pPr>
                  <a:defRPr lang="zh-CN" sz="16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Sheet1!$B$1:$E$1</c:f>
              <c:strCache>
                <c:ptCount val="4"/>
                <c:pt idx="0">
                  <c:v>一般公共服务（类）</c:v>
                </c:pt>
                <c:pt idx="1">
                  <c:v>社会保障和就业（类）</c:v>
                </c:pt>
                <c:pt idx="2">
                  <c:v>卫生健康支出</c:v>
                </c:pt>
                <c:pt idx="3">
                  <c:v>住房保障支出</c:v>
                </c:pt>
              </c:strCache>
            </c:strRef>
          </c:cat>
          <c:val>
            <c:numRef>
              <c:f>Sheet1!$B$4:$E$4</c:f>
              <c:numCache>
                <c:formatCode>General</c:formatCode>
                <c:ptCount val="4"/>
              </c:numCache>
            </c:numRef>
          </c:val>
        </c:ser>
        <c:dLbls>
          <c:showPercent val="1"/>
        </c:dLbls>
        <c:firstSliceAng val="0"/>
      </c:pieChart>
      <c:spPr>
        <a:solidFill>
          <a:srgbClr val="C0C0C0"/>
        </a:solidFill>
        <a:ln w="12648">
          <a:solidFill>
            <a:srgbClr val="808080"/>
          </a:solidFill>
          <a:prstDash val="solid"/>
        </a:ln>
      </c:spPr>
    </c:plotArea>
    <c:legend>
      <c:legendPos val="r"/>
      <c:layout>
        <c:manualLayout>
          <c:xMode val="edge"/>
          <c:yMode val="edge"/>
          <c:x val="0.61506276150627592"/>
          <c:y val="0.23961661341852999"/>
          <c:w val="0.33263598326359906"/>
          <c:h val="0.70607028753993806"/>
        </c:manualLayout>
      </c:layout>
      <c:spPr>
        <a:noFill/>
        <a:ln w="3162">
          <a:solidFill>
            <a:srgbClr val="000000"/>
          </a:solidFill>
          <a:prstDash val="solid"/>
        </a:ln>
      </c:spPr>
      <c:txPr>
        <a:bodyPr rot="0" spcFirstLastPara="0" vertOverflow="ellipsis" vert="horz" wrap="square" anchor="ctr" anchorCtr="1"/>
        <a:lstStyle/>
        <a:p>
          <a:pPr>
            <a:defRPr lang="zh-CN" sz="142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chart>
  <c:spPr>
    <a:noFill/>
    <a:ln w="12648" cap="flat" cmpd="sng" algn="ctr">
      <a:solidFill>
        <a:srgbClr val="000000"/>
      </a:solidFill>
      <a:prstDash val="solid"/>
      <a:round/>
    </a:ln>
  </c:spPr>
  <c:txPr>
    <a:bodyPr/>
    <a:lstStyle/>
    <a:p>
      <a:pPr>
        <a:defRPr lang="zh-CN" sz="154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“三公”经费财政拨款支出决算结构</a:t>
            </a:r>
          </a:p>
        </c:rich>
      </c:tx>
      <c:layout>
        <c:manualLayout>
          <c:xMode val="edge"/>
          <c:yMode val="edge"/>
          <c:x val="0.17029215703640804"/>
          <c:y val="6.4123918936362503E-2"/>
        </c:manualLayout>
      </c:layout>
      <c:spPr>
        <a:noFill/>
        <a:ln w="25400">
          <a:noFill/>
        </a:ln>
      </c:spPr>
    </c:title>
    <c:plotArea>
      <c:layout>
        <c:manualLayout>
          <c:layoutTarget val="inner"/>
          <c:xMode val="edge"/>
          <c:yMode val="edge"/>
          <c:x val="0.116182572614108"/>
          <c:y val="0.23469387755102103"/>
          <c:w val="0.41701244813278004"/>
          <c:h val="0.68367346938775497"/>
        </c:manualLayout>
      </c:layout>
      <c:pieChart>
        <c:varyColors val="1"/>
        <c:ser>
          <c:idx val="0"/>
          <c:order val="0"/>
          <c:tx>
            <c:strRef>
              <c:f>Sheet1!$A$2</c:f>
              <c:strCache>
                <c:ptCount val="1"/>
                <c:pt idx="0">
                  <c:v> </c:v>
                </c:pt>
              </c:strCache>
            </c:strRef>
          </c:tx>
          <c:spPr>
            <a:solidFill>
              <a:srgbClr val="9999FF"/>
            </a:solidFill>
            <a:ln w="12700">
              <a:solidFill>
                <a:srgbClr val="000000"/>
              </a:solidFill>
              <a:prstDash val="solid"/>
            </a:ln>
          </c:spPr>
          <c:dPt>
            <c:idx val="0"/>
          </c:dPt>
          <c:dPt>
            <c:idx val="1"/>
            <c:spPr>
              <a:solidFill>
                <a:srgbClr val="993366"/>
              </a:solidFill>
              <a:ln w="12700">
                <a:solidFill>
                  <a:srgbClr val="000000"/>
                </a:solidFill>
                <a:prstDash val="solid"/>
              </a:ln>
            </c:spPr>
          </c:dPt>
          <c:dLbls>
            <c:dLbl>
              <c:idx val="0"/>
              <c:layout>
                <c:manualLayout>
                  <c:x val="-9.1945261472414025E-2"/>
                  <c:y val="-0.27850509869082202"/>
                </c:manualLayout>
              </c:layout>
              <c:tx>
                <c:rich>
                  <a:bodyPr rot="0" spcFirstLastPara="0" vertOverflow="ellipsis" vert="horz" wrap="square" lIns="38100" tIns="19050" rIns="38100" bIns="19050" anchor="ctr" anchorCtr="1"/>
                  <a:lstStyle/>
                  <a:p>
                    <a:pPr>
                      <a:defRPr lang="zh-CN" sz="16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1600" b="1"/>
                      <a:t>92.53%</a:t>
                    </a:r>
                  </a:p>
                </c:rich>
              </c:tx>
              <c:numFmt formatCode="0%" sourceLinked="0"/>
              <c:spPr>
                <a:noFill/>
                <a:ln w="25400">
                  <a:noFill/>
                </a:ln>
                <a:effectLst/>
              </c:spPr>
              <c:dLblPos val="bestFit"/>
              <c:showPercent val="1"/>
              <c:extLst>
                <c:ext xmlns:c15="http://schemas.microsoft.com/office/drawing/2012/chart" uri="{CE6537A1-D6FC-4f65-9D91-7224C49458BB}">
                  <c15:layout/>
                </c:ext>
              </c:extLst>
            </c:dLbl>
            <c:dLbl>
              <c:idx val="1"/>
              <c:layout>
                <c:manualLayout>
                  <c:x val="3.1892164719415611E-2"/>
                  <c:y val="0.14550286132266302"/>
                </c:manualLayout>
              </c:layout>
              <c:tx>
                <c:rich>
                  <a:bodyPr rot="0" spcFirstLastPara="0" vertOverflow="ellipsis" vert="horz" wrap="square" lIns="38100" tIns="19050" rIns="38100" bIns="19050" anchor="ctr" anchorCtr="1"/>
                  <a:lstStyle/>
                  <a:p>
                    <a:pPr>
                      <a:defRPr lang="zh-CN" sz="16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1600" b="1"/>
                      <a:t>7.47%</a:t>
                    </a:r>
                  </a:p>
                </c:rich>
              </c:tx>
              <c:numFmt formatCode="0%" sourceLinked="0"/>
              <c:spPr>
                <a:noFill/>
                <a:ln w="25400">
                  <a:noFill/>
                </a:ln>
                <a:effectLst/>
              </c:spPr>
              <c:dLblPos val="bestFit"/>
              <c:showPercent val="1"/>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Sheet1!$B$1:$C$1</c:f>
              <c:strCache>
                <c:ptCount val="2"/>
                <c:pt idx="0">
                  <c:v>公务用车购置及运行维护费</c:v>
                </c:pt>
                <c:pt idx="1">
                  <c:v>公务接待费</c:v>
                </c:pt>
              </c:strCache>
            </c:strRef>
          </c:cat>
          <c:val>
            <c:numRef>
              <c:f>Sheet1!$B$2:$C$2</c:f>
              <c:numCache>
                <c:formatCode>General</c:formatCode>
                <c:ptCount val="2"/>
                <c:pt idx="0">
                  <c:v>8.06</c:v>
                </c:pt>
                <c:pt idx="1">
                  <c:v>0.65000000000000213</c:v>
                </c:pt>
              </c:numCache>
            </c:numRef>
          </c:val>
        </c:ser>
        <c:ser>
          <c:idx val="1"/>
          <c:order val="1"/>
          <c:tx>
            <c:strRef>
              <c:f>Sheet1!$A$3</c:f>
              <c:strCache>
                <c:ptCount val="1"/>
                <c:pt idx="0">
                  <c:v> </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1"/>
          </c:dPt>
          <c:dLbls>
            <c:numFmt formatCode="0%" sourceLinked="0"/>
            <c:spPr>
              <a:noFill/>
              <a:ln w="25400">
                <a:noFill/>
              </a:ln>
              <a:effectLst/>
            </c:spPr>
            <c:txPr>
              <a:bodyPr rot="0" spcFirstLastPara="0" vertOverflow="ellipsis" vert="horz" wrap="square" lIns="38100" tIns="19050" rIns="38100" bIns="19050"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Sheet1!$B$1:$C$1</c:f>
              <c:strCache>
                <c:ptCount val="2"/>
                <c:pt idx="0">
                  <c:v>公务用车购置及运行维护费</c:v>
                </c:pt>
                <c:pt idx="1">
                  <c:v>公务接待费</c:v>
                </c:pt>
              </c:strCache>
            </c:strRef>
          </c:cat>
          <c:val>
            <c:numRef>
              <c:f>Sheet1!$B$3:$C$3</c:f>
              <c:numCache>
                <c:formatCode>General</c:formatCode>
                <c:ptCount val="2"/>
              </c:numCache>
            </c:numRef>
          </c:val>
        </c:ser>
        <c:ser>
          <c:idx val="2"/>
          <c:order val="2"/>
          <c:tx>
            <c:strRef>
              <c:f>Sheet1!$A$4</c:f>
              <c:strCache>
                <c:ptCount val="1"/>
                <c:pt idx="0">
                  <c:v> </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Sheet1!$B$1:$C$1</c:f>
              <c:strCache>
                <c:ptCount val="2"/>
                <c:pt idx="0">
                  <c:v>公务用车购置及运行维护费</c:v>
                </c:pt>
                <c:pt idx="1">
                  <c:v>公务接待费</c:v>
                </c:pt>
              </c:strCache>
            </c:strRef>
          </c:cat>
          <c:val>
            <c:numRef>
              <c:f>Sheet1!$B$4:$C$4</c:f>
              <c:numCache>
                <c:formatCode>General</c:formatCode>
                <c:ptCount val="2"/>
              </c:numCache>
            </c:numRef>
          </c:val>
        </c:ser>
        <c:dLbls>
          <c:showPercent val="1"/>
        </c:dLbls>
        <c:firstSliceAng val="0"/>
      </c:pieChart>
      <c:spPr>
        <a:solidFill>
          <a:srgbClr val="C0C0C0"/>
        </a:solidFill>
        <a:ln w="12700">
          <a:solidFill>
            <a:srgbClr val="808080"/>
          </a:solidFill>
          <a:prstDash val="solid"/>
        </a:ln>
      </c:spPr>
    </c:plotArea>
    <c:legend>
      <c:legendPos val="r"/>
      <c:layout>
        <c:manualLayout>
          <c:xMode val="edge"/>
          <c:yMode val="edge"/>
          <c:x val="0.61613394216133899"/>
          <c:y val="0.36886527039699907"/>
          <c:w val="0.34018264840182599"/>
          <c:h val="0.39293529227883706"/>
        </c:manualLayout>
      </c:layout>
      <c:spPr>
        <a:noFill/>
        <a:ln w="3175">
          <a:solidFill>
            <a:srgbClr val="000000"/>
          </a:solidFill>
          <a:prstDash val="solid"/>
        </a:ln>
      </c:spPr>
      <c:txPr>
        <a:bodyPr rot="0" spcFirstLastPara="0" vertOverflow="ellipsis" vert="horz" wrap="square" anchor="ctr" anchorCtr="1"/>
        <a:lstStyle/>
        <a:p>
          <a:pPr>
            <a:defRPr lang="zh-CN" sz="133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chart>
  <c:spPr>
    <a:noFill/>
    <a:ln w="12700" cap="flat" cmpd="sng" algn="ctr">
      <a:solidFill>
        <a:srgbClr val="000000"/>
      </a:solidFill>
      <a:prstDash val="solid"/>
      <a:round/>
    </a:ln>
  </c:spPr>
  <c:txPr>
    <a:bodyPr/>
    <a:lstStyle/>
    <a:p>
      <a:pPr>
        <a:defRPr lang="zh-CN" sz="145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44</Pages>
  <Words>18589</Words>
  <Characters>4243</Characters>
  <Application>Microsoft Office Word</Application>
  <DocSecurity>0</DocSecurity>
  <Lines>35</Lines>
  <Paragraphs>45</Paragraphs>
  <ScaleCrop>false</ScaleCrop>
  <Company>四川省财政厅</Company>
  <LinksUpToDate>false</LinksUpToDate>
  <CharactersWithSpaces>22787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11</cp:revision>
  <cp:lastPrinted>2022-09-28T03:35:00Z</cp:lastPrinted>
  <dcterms:created xsi:type="dcterms:W3CDTF">2022-09-28T02:33:00Z</dcterms:created>
  <dcterms:modified xsi:type="dcterms:W3CDTF">2022-09-29T07:38:00Z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3B506FB109654B7ABE66536585FEC100</vt:lpwstr>
  </property>
</Properties>
</file>