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bidi w:val="0"/>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bidi w:val="0"/>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bidi w:val="0"/>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bidi w:val="0"/>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广元市儿童福利院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uppressAutoHyphens/>
        <w:bidi w:val="0"/>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2022年单位预算编制说明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000000"/>
          <w:spacing w:val="0"/>
          <w:sz w:val="32"/>
          <w:szCs w:val="32"/>
          <w:shd w:val="clear" w:fill="FFFFFF"/>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32"/>
          <w:szCs w:val="32"/>
        </w:rPr>
      </w:pPr>
      <w:r>
        <w:rPr>
          <w:rFonts w:hint="eastAsia" w:ascii="仿宋" w:hAnsi="仿宋" w:eastAsia="仿宋" w:cs="仿宋"/>
          <w:i w:val="0"/>
          <w:iCs w:val="0"/>
          <w:caps w:val="0"/>
          <w:color w:val="000000"/>
          <w:spacing w:val="0"/>
          <w:sz w:val="32"/>
          <w:szCs w:val="32"/>
          <w:shd w:val="clear" w:fill="FFFFFF"/>
        </w:rPr>
        <w:t>目    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rPr>
          <w:rFonts w:hint="eastAsia" w:ascii="微软雅黑" w:hAnsi="微软雅黑" w:eastAsia="微软雅黑" w:cs="微软雅黑"/>
          <w:i w:val="0"/>
          <w:iCs w:val="0"/>
          <w:caps w:val="0"/>
          <w:color w:val="000000"/>
          <w:spacing w:val="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rPr>
      </w:pPr>
      <w:r>
        <w:rPr>
          <w:rFonts w:hint="eastAsia" w:ascii="仿宋" w:hAnsi="仿宋" w:eastAsia="仿宋" w:cs="仿宋"/>
          <w:sz w:val="32"/>
          <w:szCs w:val="32"/>
        </w:rPr>
        <w:t>一、基本职能及主要工作……………………………………1</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rPr>
      </w:pPr>
      <w:r>
        <w:rPr>
          <w:rFonts w:hint="eastAsia" w:ascii="仿宋" w:hAnsi="仿宋" w:eastAsia="仿宋" w:cs="仿宋"/>
          <w:sz w:val="32"/>
          <w:szCs w:val="32"/>
        </w:rPr>
        <w:t>（一）广元市儿童福利院职能简介…………………………1</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eastAsia="zh-CN"/>
        </w:rPr>
      </w:pPr>
      <w:r>
        <w:rPr>
          <w:rFonts w:hint="eastAsia" w:ascii="仿宋" w:hAnsi="仿宋" w:eastAsia="仿宋" w:cs="仿宋"/>
          <w:sz w:val="32"/>
          <w:szCs w:val="32"/>
        </w:rPr>
        <w:t>（二）广元市儿童福利院2022年重点工作………………</w:t>
      </w:r>
      <w:r>
        <w:rPr>
          <w:rFonts w:hint="eastAsia" w:ascii="仿宋" w:hAnsi="仿宋" w:eastAsia="仿宋" w:cs="仿宋"/>
          <w:sz w:val="32"/>
          <w:szCs w:val="32"/>
          <w:lang w:val="en-US" w:eastAsia="zh-CN"/>
        </w:rPr>
        <w:t>1</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二、</w:t>
      </w:r>
      <w:r>
        <w:rPr>
          <w:rFonts w:hint="eastAsia" w:ascii="仿宋" w:hAnsi="仿宋" w:eastAsia="仿宋" w:cs="仿宋"/>
          <w:sz w:val="32"/>
          <w:szCs w:val="32"/>
          <w:lang w:eastAsia="zh-CN"/>
        </w:rPr>
        <w:t>单位</w:t>
      </w:r>
      <w:r>
        <w:rPr>
          <w:rFonts w:hint="eastAsia" w:ascii="仿宋" w:hAnsi="仿宋" w:eastAsia="仿宋" w:cs="仿宋"/>
          <w:sz w:val="32"/>
          <w:szCs w:val="32"/>
        </w:rPr>
        <w:t>预算单位构成………………………………………</w:t>
      </w:r>
      <w:r>
        <w:rPr>
          <w:rFonts w:hint="eastAsia" w:ascii="仿宋" w:hAnsi="仿宋" w:eastAsia="仿宋" w:cs="仿宋"/>
          <w:sz w:val="32"/>
          <w:szCs w:val="32"/>
          <w:lang w:val="en-US" w:eastAsia="zh-CN"/>
        </w:rPr>
        <w:t>2</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三、收支预算情况说明………………………………………</w:t>
      </w:r>
      <w:r>
        <w:rPr>
          <w:rFonts w:hint="eastAsia" w:ascii="仿宋" w:hAnsi="仿宋" w:eastAsia="仿宋" w:cs="仿宋"/>
          <w:sz w:val="32"/>
          <w:szCs w:val="32"/>
          <w:lang w:val="en-US" w:eastAsia="zh-CN"/>
        </w:rPr>
        <w:t>2</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（一）收入预算情况…………………………………………</w:t>
      </w:r>
      <w:r>
        <w:rPr>
          <w:rFonts w:hint="eastAsia" w:ascii="仿宋" w:hAnsi="仿宋" w:eastAsia="仿宋" w:cs="仿宋"/>
          <w:sz w:val="32"/>
          <w:szCs w:val="32"/>
          <w:lang w:val="en-US" w:eastAsia="zh-CN"/>
        </w:rPr>
        <w:t>3</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（二）支出预算情况…………………………………………</w:t>
      </w:r>
      <w:r>
        <w:rPr>
          <w:rFonts w:hint="eastAsia" w:ascii="仿宋" w:hAnsi="仿宋" w:eastAsia="仿宋" w:cs="仿宋"/>
          <w:sz w:val="32"/>
          <w:szCs w:val="32"/>
          <w:lang w:val="en-US" w:eastAsia="zh-CN"/>
        </w:rPr>
        <w:t>3</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四、财政拨款收支预算情况说明……………………………</w:t>
      </w:r>
      <w:r>
        <w:rPr>
          <w:rFonts w:hint="eastAsia" w:ascii="仿宋" w:hAnsi="仿宋" w:eastAsia="仿宋" w:cs="仿宋"/>
          <w:sz w:val="32"/>
          <w:szCs w:val="32"/>
          <w:lang w:val="en-US" w:eastAsia="zh-CN"/>
        </w:rPr>
        <w:t>3</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五、一般公共预算当年拨款情况说明………………………</w:t>
      </w:r>
      <w:r>
        <w:rPr>
          <w:rFonts w:hint="eastAsia" w:ascii="仿宋" w:hAnsi="仿宋" w:eastAsia="仿宋" w:cs="仿宋"/>
          <w:sz w:val="32"/>
          <w:szCs w:val="32"/>
          <w:lang w:val="en-US" w:eastAsia="zh-CN"/>
        </w:rPr>
        <w:t>4</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（一）一般公共预算当年拨款规模变化情况………………</w:t>
      </w:r>
      <w:r>
        <w:rPr>
          <w:rFonts w:hint="eastAsia" w:ascii="仿宋" w:hAnsi="仿宋" w:eastAsia="仿宋" w:cs="仿宋"/>
          <w:sz w:val="32"/>
          <w:szCs w:val="32"/>
          <w:lang w:val="en-US" w:eastAsia="zh-CN"/>
        </w:rPr>
        <w:t>4</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（二）一般公共预算当年拨款结构情况……………………</w:t>
      </w:r>
      <w:r>
        <w:rPr>
          <w:rFonts w:hint="eastAsia" w:ascii="仿宋" w:hAnsi="仿宋" w:eastAsia="仿宋" w:cs="仿宋"/>
          <w:sz w:val="32"/>
          <w:szCs w:val="32"/>
          <w:lang w:val="en-US" w:eastAsia="zh-CN"/>
        </w:rPr>
        <w:t>4</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（三）一般公共预算当年拨款具体使用情况………………</w:t>
      </w:r>
      <w:r>
        <w:rPr>
          <w:rFonts w:hint="eastAsia" w:ascii="仿宋" w:hAnsi="仿宋" w:eastAsia="仿宋" w:cs="仿宋"/>
          <w:sz w:val="32"/>
          <w:szCs w:val="32"/>
          <w:lang w:val="en-US" w:eastAsia="zh-CN"/>
        </w:rPr>
        <w:t>4</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六、一般公共预算基本支出情况说明………………………</w:t>
      </w:r>
      <w:r>
        <w:rPr>
          <w:rFonts w:hint="eastAsia" w:ascii="仿宋" w:hAnsi="仿宋" w:eastAsia="仿宋" w:cs="仿宋"/>
          <w:sz w:val="32"/>
          <w:szCs w:val="32"/>
          <w:lang w:val="en-US" w:eastAsia="zh-CN"/>
        </w:rPr>
        <w:t>5</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七、“三公”经费财政拨款预算安排情况说明……………</w:t>
      </w:r>
      <w:r>
        <w:rPr>
          <w:rFonts w:hint="eastAsia" w:ascii="仿宋" w:hAnsi="仿宋" w:eastAsia="仿宋" w:cs="仿宋"/>
          <w:sz w:val="32"/>
          <w:szCs w:val="32"/>
          <w:lang w:val="en-US" w:eastAsia="zh-CN"/>
        </w:rPr>
        <w:t>5</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（一）公务接待费……………………………………………</w:t>
      </w:r>
      <w:r>
        <w:rPr>
          <w:rFonts w:hint="eastAsia" w:ascii="仿宋" w:hAnsi="仿宋" w:eastAsia="仿宋" w:cs="仿宋"/>
          <w:sz w:val="32"/>
          <w:szCs w:val="32"/>
          <w:lang w:val="en-US" w:eastAsia="zh-CN"/>
        </w:rPr>
        <w:t>5</w:t>
      </w:r>
      <w:r>
        <w:rPr>
          <w:rFonts w:hint="eastAsia" w:ascii="仿宋" w:hAnsi="仿宋" w:eastAsia="仿宋" w:cs="仿宋"/>
          <w:sz w:val="32"/>
          <w:szCs w:val="32"/>
        </w:rPr>
        <w:t>（二）公务用车购置及运行维护费…………………………</w:t>
      </w:r>
      <w:r>
        <w:rPr>
          <w:rFonts w:hint="eastAsia" w:ascii="仿宋" w:hAnsi="仿宋" w:eastAsia="仿宋" w:cs="仿宋"/>
          <w:sz w:val="32"/>
          <w:szCs w:val="32"/>
          <w:lang w:val="en-US" w:eastAsia="zh-CN"/>
        </w:rPr>
        <w:t>5</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（三）因公出国（境）费……………………………………</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八、政府性基金预算支出情况说明…………………………</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九、国有资本经营预算支出情况说明………………………</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十、其他重要事项的情况说明………………………………</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（一）机关运行经费…………………………………………</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（二）政府采购情况…………………………………………</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（三）国有资产占有使用情况………………………………</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（四）绩效目标设置情况……………………………………</w:t>
      </w:r>
      <w:r>
        <w:rPr>
          <w:rFonts w:hint="eastAsia" w:ascii="仿宋" w:hAnsi="仿宋" w:eastAsia="仿宋" w:cs="仿宋"/>
          <w:sz w:val="32"/>
          <w:szCs w:val="32"/>
          <w:lang w:val="en-US" w:eastAsia="zh-CN"/>
        </w:rPr>
        <w:t>6</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eastAsia" w:ascii="仿宋" w:hAnsi="仿宋" w:eastAsia="仿宋" w:cs="仿宋"/>
          <w:sz w:val="32"/>
          <w:szCs w:val="32"/>
          <w:lang w:val="en-US" w:eastAsia="zh-CN"/>
        </w:rPr>
      </w:pPr>
      <w:r>
        <w:rPr>
          <w:rFonts w:hint="eastAsia" w:ascii="仿宋" w:hAnsi="仿宋" w:eastAsia="仿宋" w:cs="仿宋"/>
          <w:sz w:val="32"/>
          <w:szCs w:val="32"/>
        </w:rPr>
        <w:t>十一、名词解释………………………………………………</w:t>
      </w:r>
      <w:r>
        <w:rPr>
          <w:rFonts w:hint="eastAsia" w:ascii="仿宋" w:hAnsi="仿宋" w:eastAsia="仿宋" w:cs="仿宋"/>
          <w:sz w:val="32"/>
          <w:szCs w:val="32"/>
          <w:lang w:val="en-US" w:eastAsia="zh-CN"/>
        </w:rPr>
        <w:t>6</w:t>
      </w: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rPr>
      </w:pPr>
    </w:p>
    <w:p>
      <w:pPr>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（一）广元市儿童福利院职能简介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负责本地区弃婴和孤儿收养，并为其提供养护、医疗、康复、教育等服务；协助机关开展儿童福利服务指导工作等。</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（二）广元市儿童福利院2022年重点工作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1.推进儿童福利机构优化提质高质量发展工作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一是优化布局，做好县区孤残儿童和事实无人抚养儿童接收供养工作。按照上级主管部门工作要求，主动对接县区将机构供养孤儿接收进住市儿童福利院。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二是进一步规范孤残儿童寄养、送养和收养工作，充分发挥机构资源优势，积极探索改造家庭式居所养育模式，为孤弃儿童健康成长提供良好环境，全面提升全市孤残儿童服务管理水平。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三是提升机构“养育、医疗、康复、教育、社会一体化”服务能力，整合院内资源，探索从“特殊服务”向“普惠服务”转型。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2.加强项目工作建设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完善公建民营项目和合办幼儿园项目管理。推进广元东晨医院公建民营项目的后续工作，完善补充合同内容，加强管理，督促项目监管工作进入正轨；与领英幼儿园签订项目补充协议，努力打造好合办幼儿园、养治教康、托育试点和康复基地等亮点项目，为我市高质量经济发展贡献力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继续实施购买服务项目。全年购买服务1个——孤儿及事实无人抚养儿童关爱项目</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总投资25万元。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3.重大节假日活动安排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拟安排儿童大型庆祝活动共4场。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4.乡村振兴帮扶工作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是协助社区以加强党组织标准化建设为重点，夯实基层组织基础。二是以维护稳定为重点，深入推进“六无”社区、和谐社区建设。三是充分利用现有资源，有机结合促发展。四是协助社区开展城乡综合治理，创新社会治理，共享美好幸福生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5.加强机构规范化、标准化建设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按照国家有关规定建立消防、食品、防汛、防震、防疫及建筑物等系列安全措施，不断完善内部规章制度，促进全院和谐稳定，确保全院工作有序推进。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6.新冠疫情防控持续常态化管理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严格执行疫情检测和报告制度，把工作做实做细做到位，继续坚持做到“零差错”，坚决保障好服务对象及全院职工的生命安全。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单位</w:t>
      </w:r>
      <w:r>
        <w:rPr>
          <w:rFonts w:hint="eastAsia" w:ascii="黑体" w:hAnsi="黑体" w:eastAsia="黑体" w:cs="黑体"/>
          <w:sz w:val="32"/>
          <w:szCs w:val="32"/>
        </w:rPr>
        <w:t>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广元市儿童福利院为民政局直属事业单位，单位内部设有：办公室、财务股、项目办、儿保股、社工股、医务股、康复股、后勤股。单位实配领导一正二副。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按照综合预算的原则，市儿童福利院所有收入和支出均纳入</w:t>
      </w:r>
      <w:r>
        <w:rPr>
          <w:rFonts w:hint="eastAsia" w:ascii="方正仿宋_GB2312" w:hAnsi="方正仿宋_GB2312" w:eastAsia="方正仿宋_GB2312" w:cs="方正仿宋_GB2312"/>
          <w:sz w:val="32"/>
          <w:szCs w:val="32"/>
          <w:lang w:eastAsia="zh-CN"/>
        </w:rPr>
        <w:t>单位</w:t>
      </w:r>
      <w:r>
        <w:rPr>
          <w:rFonts w:hint="eastAsia" w:ascii="方正仿宋_GB2312" w:hAnsi="方正仿宋_GB2312" w:eastAsia="方正仿宋_GB2312" w:cs="方正仿宋_GB2312"/>
          <w:sz w:val="32"/>
          <w:szCs w:val="32"/>
        </w:rPr>
        <w:t>预算管理。收入包括：一般公共预算拨款收入、上年结转、其他收入；支出包括：一般公共服务支出、教育支出、社会保障和就业支出、卫生健康支出、住房保障支出。市儿童福利院2022年收支总预算595.27万元,比2021年收支预算总数减少37.86万元，扣除上年结转资金、一次性安排等因素后，同口径减少139.59万元，主要原因是年初在编人员29人，年末23人，以及因2021年项目绩效较缓慢扣减5％的预算安排。</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市儿童福利院2022年收入预算595.27万元，其中：上年结转51.73万元，占8.7%；一般公共预算拨款收入493.54万元，占82.91%；其他收入50万元，占8.4%。</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市儿童福利院2022年支出预算595.27万元，其中：基本支出352.75万元，占59.3%；项目支出242.52万元，占40.7%。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市儿童福利院2022年财政拨款收支总预算</w:t>
      </w:r>
      <w:r>
        <w:rPr>
          <w:rFonts w:hint="eastAsia" w:ascii="方正仿宋_GB2312" w:hAnsi="方正仿宋_GB2312" w:eastAsia="方正仿宋_GB2312" w:cs="方正仿宋_GB2312"/>
          <w:sz w:val="32"/>
          <w:szCs w:val="32"/>
          <w:lang w:val="en-US" w:eastAsia="zh-CN"/>
        </w:rPr>
        <w:t>545.27</w:t>
      </w:r>
      <w:r>
        <w:rPr>
          <w:rFonts w:hint="eastAsia" w:ascii="方正仿宋_GB2312" w:hAnsi="方正仿宋_GB2312" w:eastAsia="方正仿宋_GB2312" w:cs="方正仿宋_GB2312"/>
          <w:sz w:val="32"/>
          <w:szCs w:val="32"/>
        </w:rPr>
        <w:t>万元,比2021年财政拨款收支总预算减少</w:t>
      </w:r>
      <w:r>
        <w:rPr>
          <w:rFonts w:hint="eastAsia" w:ascii="方正仿宋_GB2312" w:hAnsi="方正仿宋_GB2312" w:eastAsia="方正仿宋_GB2312" w:cs="方正仿宋_GB2312"/>
          <w:sz w:val="32"/>
          <w:szCs w:val="32"/>
          <w:lang w:val="en-US" w:eastAsia="zh-CN"/>
        </w:rPr>
        <w:t>87</w:t>
      </w:r>
      <w:r>
        <w:rPr>
          <w:rFonts w:hint="eastAsia" w:ascii="方正仿宋_GB2312" w:hAnsi="方正仿宋_GB2312" w:eastAsia="方正仿宋_GB2312" w:cs="方正仿宋_GB2312"/>
          <w:sz w:val="32"/>
          <w:szCs w:val="32"/>
        </w:rPr>
        <w:t>.86万元，扣除上年结转资金、一次性安排等因素后，同口径减少</w:t>
      </w:r>
      <w:bookmarkStart w:id="0" w:name="_GoBack"/>
      <w:r>
        <w:rPr>
          <w:rFonts w:hint="eastAsia" w:ascii="方正仿宋_GB2312" w:hAnsi="方正仿宋_GB2312" w:eastAsia="方正仿宋_GB2312" w:cs="方正仿宋_GB2312"/>
          <w:color w:val="auto"/>
          <w:sz w:val="32"/>
          <w:szCs w:val="32"/>
        </w:rPr>
        <w:t>139.59</w:t>
      </w:r>
      <w:bookmarkEnd w:id="0"/>
      <w:r>
        <w:rPr>
          <w:rFonts w:hint="eastAsia" w:ascii="方正仿宋_GB2312" w:hAnsi="方正仿宋_GB2312" w:eastAsia="方正仿宋_GB2312" w:cs="方正仿宋_GB2312"/>
          <w:sz w:val="32"/>
          <w:szCs w:val="32"/>
        </w:rPr>
        <w:t>万元，主要原因是年初在编人员29人，年末23人，以及因2021年项目绩效较缓慢扣减5％的预算安排。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收入包括：本年一般公共预算拨款收入493.54万元、上年结转一般公共预算拨款收入26.73万元、政府性基金预算拨款收入25万元；支出包括：社会保障和就业支出</w:t>
      </w:r>
      <w:r>
        <w:rPr>
          <w:rFonts w:hint="eastAsia" w:ascii="方正仿宋_GB2312" w:hAnsi="方正仿宋_GB2312" w:eastAsia="方正仿宋_GB2312" w:cs="方正仿宋_GB2312"/>
          <w:sz w:val="32"/>
          <w:szCs w:val="32"/>
          <w:lang w:val="en-US" w:eastAsia="zh-CN"/>
        </w:rPr>
        <w:t>47</w:t>
      </w:r>
      <w:r>
        <w:rPr>
          <w:rFonts w:hint="eastAsia" w:ascii="方正仿宋_GB2312" w:hAnsi="方正仿宋_GB2312" w:eastAsia="方正仿宋_GB2312" w:cs="方正仿宋_GB2312"/>
          <w:sz w:val="32"/>
          <w:szCs w:val="32"/>
        </w:rPr>
        <w:t>9.03万元、卫生健康支出12.33万元、住房保障支出28.92万元、其他支出25万元。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市儿童福利院2022年一般公共预算当年拨款493.54万元，比2021年预算数减少139.59万元，主要原因是年初在编人员29人，年末23人，以及因2021年项目绩效较缓慢扣减5%的预算安排。</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社会保障和就业支出452.29万元，占91.6%；卫生健康支出12.33万元，占2.5%；住房保障支出28.92万元，占5.9%。</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1.社会保障和就业（类）行政事业单位养老支出（款）机关事业单位基本养老保险缴费支出（项）2022年预算数为24.65万元，主要用于：实施养老保险制度由单位缴纳的基本养老保险支出。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2.卫生健康（类）行政事业单位医疗（款）事业单位医疗（项）2022年预算数为12.33万元，主要用于：部门下属事业单位按规定由单位缴纳的基本医疗保险支出。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3.住房保障（类）住房改革支出（款）住房公积金（项）2022年预算数为28.92万元，主要用于：部门按规定为职工缴纳的住房公积金支出。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4.社会保障和就业（类）社会福利（款） 儿童福利（项）2022年预算数为</w:t>
      </w:r>
      <w:r>
        <w:rPr>
          <w:rFonts w:hint="eastAsia" w:ascii="方正仿宋_GB2312" w:hAnsi="方正仿宋_GB2312" w:eastAsia="方正仿宋_GB2312" w:cs="方正仿宋_GB2312"/>
          <w:sz w:val="32"/>
          <w:szCs w:val="32"/>
          <w:lang w:val="en-US" w:eastAsia="zh-CN"/>
        </w:rPr>
        <w:t>425.95</w:t>
      </w:r>
      <w:r>
        <w:rPr>
          <w:rFonts w:hint="eastAsia" w:ascii="方正仿宋_GB2312" w:hAnsi="方正仿宋_GB2312" w:eastAsia="方正仿宋_GB2312" w:cs="方正仿宋_GB2312"/>
          <w:sz w:val="32"/>
          <w:szCs w:val="32"/>
        </w:rPr>
        <w:t>万元，主要用于：全额补助事业单位保障而儿童、特困人员、单位运转支出以及人员类支出。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5.社会保障和就业（类）其他社会保障和就业支出（款）其他社会保障和就业支出（项）1.69万元，主要用于：实施社会保险制度由单位缴纳的工伤、失业保险支出。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市儿童福利院2022年一般公共预算基本支出352.75万元，其中：人员经费314.53万元，主要包括：基本工资、津贴补贴、奖金、社会保险缴费、住房公积金等支出。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公用经费38.22万元，主要包括：办公费、物业管理费、差旅费、维修（护）费、培训费、公务接待费、劳务费、工会经费、福利费、公务用车运行维护费、其他交通费用等支出。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市儿童福利院2022年“三公”经费财政拨款预算数3.6万元，其中：公务接待费0.6万元，公务用车购置及运行维护费3万元，无因公出国（境）经费。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（一）公务接待费与2021年预算降低0.4万元。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2022年公务接待费计划用于执行接待考察调研、检查指导等公务活动开支的交通费、住宿费、用餐费等。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（二）公务用车购置及运行维护费。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单位现有公务用车0辆。因机构改革，2020年市社会福利院与儿童福利院分开独立核算，资产还未划分，3辆车仍在社会福利院名下。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2022年安排公务用车运行维护费3万元，用于社会福利院名下3辆公务用车燃油、过路（桥）、维修、保险等方面支出，主要保障院内儿童上学、就医、出行以及院内特困人员、代养老人就医、出行需求。</w:t>
      </w:r>
    </w:p>
    <w:p>
      <w:pPr>
        <w:pStyle w:val="2"/>
        <w:numPr>
          <w:ilvl w:val="0"/>
          <w:numId w:val="0"/>
        </w:numPr>
        <w:ind w:firstLine="643" w:firstLineChars="200"/>
        <w:rPr>
          <w:rFonts w:hint="eastAsia" w:ascii="方正楷体_GB2312" w:hAnsi="方正楷体_GB2312" w:eastAsia="方正楷体_GB2312" w:cs="方正楷体_GB2312"/>
          <w:b/>
          <w:bCs/>
          <w:kern w:val="2"/>
          <w:sz w:val="32"/>
          <w:szCs w:val="32"/>
          <w:lang w:val="en-US" w:eastAsia="zh-CN" w:bidi="ar-SA"/>
        </w:rPr>
      </w:pPr>
      <w:r>
        <w:rPr>
          <w:rFonts w:hint="eastAsia" w:ascii="方正楷体_GB2312" w:hAnsi="方正楷体_GB2312" w:eastAsia="方正楷体_GB2312" w:cs="方正楷体_GB2312"/>
          <w:b/>
          <w:bCs/>
          <w:kern w:val="2"/>
          <w:sz w:val="32"/>
          <w:szCs w:val="32"/>
          <w:lang w:val="en-US" w:eastAsia="zh-CN" w:bidi="ar-SA"/>
        </w:rPr>
        <w:t>（三）因公出国（境）经费与2021年预算相比持平。</w:t>
      </w:r>
    </w:p>
    <w:p>
      <w:pPr>
        <w:pStyle w:val="2"/>
        <w:numPr>
          <w:ilvl w:val="0"/>
          <w:numId w:val="0"/>
        </w:numPr>
        <w:ind w:firstLine="640" w:firstLineChars="200"/>
        <w:rPr>
          <w:rFonts w:hint="eastAsia" w:eastAsia="仿宋"/>
          <w:lang w:eastAsia="zh-CN"/>
        </w:rPr>
      </w:pPr>
      <w:r>
        <w:rPr>
          <w:rFonts w:hint="eastAsia" w:ascii="仿宋" w:hAnsi="仿宋" w:eastAsia="仿宋" w:cs="仿宋"/>
          <w:i w:val="0"/>
          <w:iCs w:val="0"/>
          <w:caps w:val="0"/>
          <w:color w:val="000000"/>
          <w:spacing w:val="0"/>
          <w:sz w:val="32"/>
          <w:szCs w:val="32"/>
          <w:shd w:val="clear" w:fill="FFFFFF"/>
        </w:rPr>
        <w:t>本年无因公出国（境）预算</w:t>
      </w:r>
      <w:r>
        <w:rPr>
          <w:rFonts w:hint="eastAsia" w:ascii="仿宋" w:hAnsi="仿宋" w:eastAsia="仿宋" w:cs="仿宋"/>
          <w:i w:val="0"/>
          <w:iCs w:val="0"/>
          <w:caps w:val="0"/>
          <w:color w:val="000000"/>
          <w:spacing w:val="0"/>
          <w:sz w:val="32"/>
          <w:szCs w:val="32"/>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市儿童福利院2022年政府性基金预算拨款安排支出25万元。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市儿童福利院2022年没有使用国有资本经营预算拨款安排的支出。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2022年，市儿童福利院无机关运行经费财政拨款预算。</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2022年，市儿童福利院无政府采购预算安排。</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截至2021年底，市儿童福利院无车辆，</w:t>
      </w:r>
      <w:r>
        <w:rPr>
          <w:rFonts w:hint="eastAsia" w:ascii="方正仿宋_GB2312" w:hAnsi="方正仿宋_GB2312" w:eastAsia="方正仿宋_GB2312" w:cs="方正仿宋_GB2312"/>
          <w:sz w:val="32"/>
          <w:szCs w:val="32"/>
          <w:lang w:val="en-US" w:eastAsia="zh-CN"/>
        </w:rPr>
        <w:t>单位价值50万元以上大型设备0台（套）</w:t>
      </w:r>
      <w:r>
        <w:rPr>
          <w:rFonts w:hint="eastAsia" w:ascii="方正仿宋_GB2312" w:hAnsi="方正仿宋_GB2312" w:eastAsia="方正仿宋_GB2312" w:cs="方正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绩效目标是预算编制的前提和基础，2022年市儿童福利院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（一）一般公共预算拨款收入：指</w:t>
      </w:r>
      <w:r>
        <w:rPr>
          <w:rFonts w:hint="eastAsia" w:ascii="方正仿宋_GB2312" w:hAnsi="方正仿宋_GB2312" w:eastAsia="方正仿宋_GB2312" w:cs="方正仿宋_GB2312"/>
          <w:sz w:val="32"/>
          <w:szCs w:val="32"/>
          <w:lang w:eastAsia="zh-CN"/>
        </w:rPr>
        <w:t>市</w:t>
      </w:r>
      <w:r>
        <w:rPr>
          <w:rFonts w:hint="eastAsia" w:ascii="方正仿宋_GB2312" w:hAnsi="方正仿宋_GB2312" w:eastAsia="方正仿宋_GB2312" w:cs="方正仿宋_GB2312"/>
          <w:sz w:val="32"/>
          <w:szCs w:val="32"/>
        </w:rPr>
        <w:t>级财政当年拨付的资金。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（二）上年结转：指以前年度尚未完成，结转到本年仍按原规定用途继续使用的资金。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（三）社会保障和就业（类）行政事业单位养老支出（款）机关事业单位基本养老保险缴费支出（项）：指部门实施养老保险制度由单位缴纳的养老保险的支出。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rPr>
      </w:pPr>
      <w:r>
        <w:rPr>
          <w:rFonts w:hint="eastAsia" w:ascii="方正仿宋_GB2312" w:hAnsi="方正仿宋_GB2312" w:eastAsia="方正仿宋_GB2312" w:cs="方正仿宋_GB2312"/>
          <w:sz w:val="32"/>
          <w:szCs w:val="32"/>
        </w:rPr>
        <w:t>（四）</w:t>
      </w:r>
      <w:r>
        <w:rPr>
          <w:rFonts w:hint="eastAsia" w:ascii="方正仿宋_GB2312" w:hAnsi="方正仿宋_GB2312" w:eastAsia="方正仿宋_GB2312" w:cs="方正仿宋_GB2312"/>
          <w:sz w:val="32"/>
          <w:szCs w:val="32"/>
          <w:lang w:val="en-US" w:eastAsia="zh-CN"/>
        </w:rPr>
        <w:t>社会保障和就业支出（类） 社会福利（款） 儿童福利（项）：指对儿童提供福利服务方面的支出。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（五）</w:t>
      </w:r>
      <w:r>
        <w:rPr>
          <w:rFonts w:hint="eastAsia" w:ascii="方正仿宋_GB2312" w:hAnsi="方正仿宋_GB2312" w:eastAsia="方正仿宋_GB2312" w:cs="方正仿宋_GB2312"/>
          <w:sz w:val="32"/>
          <w:szCs w:val="32"/>
          <w:lang w:val="en-US" w:eastAsia="zh-CN"/>
        </w:rPr>
        <w:t>社会保障和就业支出（类）其他社会保障和就业支出（款）其他社会保障和就业支出（项）：指对其他用于社会保障和就业方面的支出。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（六）</w:t>
      </w:r>
      <w:r>
        <w:rPr>
          <w:rFonts w:hint="eastAsia" w:ascii="方正仿宋_GB2312" w:hAnsi="方正仿宋_GB2312" w:eastAsia="方正仿宋_GB2312" w:cs="方正仿宋_GB2312"/>
          <w:sz w:val="32"/>
          <w:szCs w:val="32"/>
        </w:rPr>
        <w:t>卫生健康（类）行政事业单位医疗（款）事业单位医疗（项）：指事业单位用于单位应缴纳基本医疗保险支出。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七</w:t>
      </w:r>
      <w:r>
        <w:rPr>
          <w:rFonts w:hint="eastAsia" w:ascii="方正仿宋_GB2312" w:hAnsi="方正仿宋_GB2312" w:eastAsia="方正仿宋_GB2312" w:cs="方正仿宋_GB2312"/>
          <w:sz w:val="32"/>
          <w:szCs w:val="32"/>
        </w:rPr>
        <w:t>）住房保障（类）住房改革支出（款）住房公积金（项）：指按照《住房公积金管理条例》的规定，由单位及其在职职工缴存的长期住房储金。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（八）基本支出：指为保证机构正常运转，完成日常工作任务而发生的人员支出和公用支出。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九</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十</w:t>
      </w:r>
      <w:r>
        <w:rPr>
          <w:rFonts w:hint="eastAsia" w:ascii="方正仿宋_GB2312" w:hAnsi="方正仿宋_GB2312" w:eastAsia="方正仿宋_GB2312" w:cs="方正仿宋_GB2312"/>
          <w:sz w:val="32"/>
          <w:szCs w:val="32"/>
        </w:rPr>
        <w:t>）“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十一</w:t>
      </w:r>
      <w:r>
        <w:rPr>
          <w:rFonts w:hint="eastAsia" w:ascii="方正仿宋_GB2312" w:hAnsi="方正仿宋_GB2312" w:eastAsia="方正仿宋_GB2312" w:cs="方正仿宋_GB2312"/>
          <w:sz w:val="32"/>
          <w:szCs w:val="32"/>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附件1：广元市儿童福利院</w:t>
      </w:r>
      <w:r>
        <w:rPr>
          <w:rFonts w:hint="eastAsia" w:ascii="方正仿宋_GB2312" w:hAnsi="方正仿宋_GB2312" w:eastAsia="方正仿宋_GB2312" w:cs="方正仿宋_GB2312"/>
          <w:sz w:val="32"/>
          <w:szCs w:val="32"/>
          <w:lang w:val="en-US" w:eastAsia="zh-CN"/>
        </w:rPr>
        <w:t>2022年</w:t>
      </w:r>
      <w:r>
        <w:rPr>
          <w:rFonts w:hint="eastAsia" w:ascii="方正仿宋_GB2312" w:hAnsi="方正仿宋_GB2312" w:eastAsia="方正仿宋_GB2312" w:cs="方正仿宋_GB2312"/>
          <w:sz w:val="32"/>
          <w:szCs w:val="32"/>
        </w:rPr>
        <w:t>单位预算公开报表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附件2：广元市儿童福利院2022年单位预算绩效目标表</w:t>
      </w:r>
    </w:p>
    <w:p>
      <w:pP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pPr>
        <w:rPr>
          <w:rFonts w:hint="eastAsia" w:ascii="方正仿宋_GB2312" w:hAnsi="方正仿宋_GB2312" w:eastAsia="方正仿宋_GB2312" w:cs="方正仿宋_GB2312"/>
          <w:sz w:val="32"/>
          <w:szCs w:val="32"/>
        </w:rPr>
      </w:pPr>
    </w:p>
    <w:p>
      <w:pPr>
        <w:ind w:firstLine="5120" w:firstLineChars="16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广元市儿童福利院</w:t>
      </w:r>
    </w:p>
    <w:p>
      <w:pPr>
        <w:ind w:firstLine="5120" w:firstLineChars="16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2022年3月</w:t>
      </w: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日</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2C7C55-C9C4-480C-88D9-DBA1A79D331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272A27F1-35C8-4E04-9F12-2373DB29622E}"/>
  </w:font>
  <w:font w:name="仿宋">
    <w:panose1 w:val="02010609060101010101"/>
    <w:charset w:val="86"/>
    <w:family w:val="auto"/>
    <w:pitch w:val="default"/>
    <w:sig w:usb0="800002BF" w:usb1="38CF7CFA" w:usb2="00000016" w:usb3="00000000" w:csb0="00040001" w:csb1="00000000"/>
    <w:embedRegular r:id="rId3" w:fontKey="{B535E471-35C9-4CDC-B95D-D899494BA46C}"/>
  </w:font>
  <w:font w:name="微软雅黑">
    <w:panose1 w:val="020B0503020204020204"/>
    <w:charset w:val="86"/>
    <w:family w:val="auto"/>
    <w:pitch w:val="default"/>
    <w:sig w:usb0="80000287" w:usb1="280F3C52" w:usb2="00000016" w:usb3="00000000" w:csb0="0004001F" w:csb1="00000000"/>
    <w:embedRegular r:id="rId4" w:fontKey="{844A3189-EA10-41D8-88F6-163AF40CB191}"/>
  </w:font>
  <w:font w:name="方正楷体_GB2312">
    <w:panose1 w:val="02000000000000000000"/>
    <w:charset w:val="86"/>
    <w:family w:val="auto"/>
    <w:pitch w:val="default"/>
    <w:sig w:usb0="A00002BF" w:usb1="184F6CFA" w:usb2="00000012" w:usb3="00000000" w:csb0="00040001" w:csb1="00000000"/>
    <w:embedRegular r:id="rId5" w:fontKey="{F42CC1CE-7FDB-46DF-B261-2E228F19E5CC}"/>
  </w:font>
  <w:font w:name="方正仿宋_GB2312">
    <w:panose1 w:val="02000000000000000000"/>
    <w:charset w:val="86"/>
    <w:family w:val="auto"/>
    <w:pitch w:val="default"/>
    <w:sig w:usb0="A00002BF" w:usb1="184F6CFA" w:usb2="00000012" w:usb3="00000000" w:csb0="00040001" w:csb1="00000000"/>
    <w:embedRegular r:id="rId6" w:fontKey="{914CFC2F-0A64-4121-A28A-E004289B59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M2E1OWFmZDFiNDZkMzI4NmJjMTI1NDQ5NTE2ZTMifQ=="/>
  </w:docVars>
  <w:rsids>
    <w:rsidRoot w:val="5D236B33"/>
    <w:rsid w:val="05FA3DE4"/>
    <w:rsid w:val="16AD2196"/>
    <w:rsid w:val="2C23634A"/>
    <w:rsid w:val="2D7E4B3B"/>
    <w:rsid w:val="4F746032"/>
    <w:rsid w:val="512869B4"/>
    <w:rsid w:val="55AD2E8D"/>
    <w:rsid w:val="5D236B33"/>
    <w:rsid w:val="648A00DC"/>
    <w:rsid w:val="69796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pPr>
      <w:jc w:val="both"/>
      <w:textAlignment w:val="baseline"/>
    </w:pPr>
    <w:rPr>
      <w:rFonts w:ascii="Times New Roman" w:hAnsi="Times New Roman" w:eastAsia="宋体"/>
      <w:kern w:val="2"/>
      <w:sz w:val="21"/>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4321</Words>
  <Characters>4618</Characters>
  <Lines>0</Lines>
  <Paragraphs>0</Paragraphs>
  <TotalTime>3</TotalTime>
  <ScaleCrop>false</ScaleCrop>
  <LinksUpToDate>false</LinksUpToDate>
  <CharactersWithSpaces>4625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2022-03-03T00:45:00Z</dcterms:created>
  <dc:creator>先生你好</dc:creator>
  <cp:lastModifiedBy>先生你好</cp:lastModifiedBy>
  <dcterms:modified xsi:type="dcterms:W3CDTF">2023-07-21T03:43:52Z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EF1D8004EB534979B3AEC84C748BC062</vt:lpwstr>
  </property>
</Properties>
</file>