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广元市档案馆</w:t>
      </w:r>
      <w:bookmarkStart w:id="53" w:name="_GoBack"/>
      <w:bookmarkEnd w:id="5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2022年部门预算编制说明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黑体" w:hAnsi="黑体" w:eastAsia="黑体" w:cs="黑体"/>
          <w:i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638814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sz w:val="32"/>
              <w:szCs w:val="32"/>
            </w:rPr>
          </w:pPr>
          <w:bookmarkStart w:id="0" w:name="_Toc1906068041_WPSOffice_Type2"/>
          <w:r>
            <w:rPr>
              <w:rFonts w:ascii="宋体" w:hAnsi="宋体" w:eastAsia="宋体"/>
              <w:sz w:val="32"/>
              <w:szCs w:val="32"/>
            </w:rPr>
            <w:t>目录</w:t>
          </w:r>
        </w:p>
        <w:p>
          <w:pPr>
            <w:pStyle w:val="6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_Toc722534001_WPSOffice_Level1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51cbcacd-dd17-4f9f-b1ed-eb08764e3b16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黑体" w:hAnsi="黑体" w:eastAsia="黑体" w:cs="黑体"/>
                  <w:b w:val="0"/>
                  <w:bCs w:val="0"/>
                  <w:sz w:val="32"/>
                  <w:szCs w:val="32"/>
                </w:rPr>
                <w:t>一、基本职能及主要工作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1" w:name="_Toc722534001_WPSOffice_Level1Page"/>
          <w:r>
            <w:rPr>
              <w:b w:val="0"/>
              <w:bCs w:val="0"/>
              <w:sz w:val="32"/>
              <w:szCs w:val="32"/>
            </w:rPr>
            <w:t>3</w:t>
          </w:r>
          <w:bookmarkEnd w:id="1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7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_Toc1019538488_WPSOffice_Level2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5a7c4e89-5f1a-412d-bc07-4cd4189bb93f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</w:rPr>
                <w:t>（一）职能简介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2" w:name="_Toc1019538488_WPSOffice_Level2Page"/>
          <w:r>
            <w:rPr>
              <w:b w:val="0"/>
              <w:bCs w:val="0"/>
              <w:sz w:val="32"/>
              <w:szCs w:val="32"/>
            </w:rPr>
            <w:t>3</w:t>
          </w:r>
          <w:bookmarkEnd w:id="2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7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_Toc171126326_WPSOffice_Level2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f87b5190-19f4-42e5-8a1d-452af8f6e675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</w:rPr>
                <w:t>（二）2022年重点工作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3" w:name="_Toc171126326_WPSOffice_Level2Page"/>
          <w:r>
            <w:rPr>
              <w:b w:val="0"/>
              <w:bCs w:val="0"/>
              <w:sz w:val="32"/>
              <w:szCs w:val="32"/>
            </w:rPr>
            <w:t>3</w:t>
          </w:r>
          <w:bookmarkEnd w:id="3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_Toc1019538488_WPSOffice_Level1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b5f2e76d-a6e8-4553-ac98-3e2d2de591c6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黑体" w:hAnsi="黑体" w:eastAsia="黑体" w:cs="黑体"/>
                  <w:b w:val="0"/>
                  <w:bCs w:val="0"/>
                  <w:sz w:val="32"/>
                  <w:szCs w:val="32"/>
                </w:rPr>
                <w:t>二、部门预算单位构成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4" w:name="_Toc1019538488_WPSOffice_Level1Page"/>
          <w:r>
            <w:rPr>
              <w:b w:val="0"/>
              <w:bCs w:val="0"/>
              <w:sz w:val="32"/>
              <w:szCs w:val="32"/>
            </w:rPr>
            <w:t>4</w:t>
          </w:r>
          <w:bookmarkEnd w:id="4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_Toc171126326_WPSOffice_Level1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bc99f49c-bd4d-43c5-9095-8d7c24d08f77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黑体" w:hAnsi="黑体" w:eastAsia="黑体" w:cs="黑体"/>
                  <w:b w:val="0"/>
                  <w:bCs w:val="0"/>
                  <w:sz w:val="32"/>
                  <w:szCs w:val="32"/>
                </w:rPr>
                <w:t>三、收支预算情况说明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5" w:name="_Toc171126326_WPSOffice_Level1Page"/>
          <w:r>
            <w:rPr>
              <w:b w:val="0"/>
              <w:bCs w:val="0"/>
              <w:sz w:val="32"/>
              <w:szCs w:val="32"/>
            </w:rPr>
            <w:t>4</w:t>
          </w:r>
          <w:bookmarkEnd w:id="5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7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_Toc1404382297_WPSOffice_Level2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cc90998a-7891-401a-9e43-f5b76371df7b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</w:rPr>
                <w:t>（一）收入预算情况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6" w:name="_Toc1404382297_WPSOffice_Level2Page"/>
          <w:r>
            <w:rPr>
              <w:b w:val="0"/>
              <w:bCs w:val="0"/>
              <w:sz w:val="32"/>
              <w:szCs w:val="32"/>
            </w:rPr>
            <w:t>4</w:t>
          </w:r>
          <w:bookmarkEnd w:id="6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7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_Toc725305565_WPSOffice_Level2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a5040551-20fe-4fad-957a-04e1aaf37ecb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</w:rPr>
                <w:t>（二）支出预算情况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7" w:name="_Toc725305565_WPSOffice_Level2Page"/>
          <w:r>
            <w:rPr>
              <w:b w:val="0"/>
              <w:bCs w:val="0"/>
              <w:sz w:val="32"/>
              <w:szCs w:val="32"/>
            </w:rPr>
            <w:t>4</w:t>
          </w:r>
          <w:bookmarkEnd w:id="7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_Toc1404382297_WPSOffice_Level1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0eee4b27-33e3-4e53-b2ed-7b56d3d3ce1a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黑体" w:hAnsi="黑体" w:eastAsia="黑体" w:cs="黑体"/>
                  <w:b w:val="0"/>
                  <w:bCs w:val="0"/>
                  <w:sz w:val="32"/>
                  <w:szCs w:val="32"/>
                </w:rPr>
                <w:t>四、财政拨款收支预算情况说明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8" w:name="_Toc1404382297_WPSOffice_Level1Page"/>
          <w:r>
            <w:rPr>
              <w:b w:val="0"/>
              <w:bCs w:val="0"/>
              <w:sz w:val="32"/>
              <w:szCs w:val="32"/>
            </w:rPr>
            <w:t>5</w:t>
          </w:r>
          <w:bookmarkEnd w:id="8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_Toc725305565_WPSOffice_Level1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b420ed09-a978-4749-824b-c6281980ebfc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黑体" w:hAnsi="黑体" w:eastAsia="黑体" w:cs="黑体"/>
                  <w:b w:val="0"/>
                  <w:bCs w:val="0"/>
                  <w:sz w:val="32"/>
                  <w:szCs w:val="32"/>
                </w:rPr>
                <w:t>五、一般公共预算当年拨款情况说明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9" w:name="_Toc725305565_WPSOffice_Level1Page"/>
          <w:r>
            <w:rPr>
              <w:b w:val="0"/>
              <w:bCs w:val="0"/>
              <w:sz w:val="32"/>
              <w:szCs w:val="32"/>
            </w:rPr>
            <w:t>5</w:t>
          </w:r>
          <w:bookmarkEnd w:id="9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7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_Toc52891514_WPSOffice_Level2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ff39cd18-4d79-44b2-a806-8bae8b51d585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</w:rPr>
                <w:t>（一）一般公共预算当年拨款规模变化情况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10" w:name="_Toc52891514_WPSOffice_Level2Page"/>
          <w:r>
            <w:rPr>
              <w:b w:val="0"/>
              <w:bCs w:val="0"/>
              <w:sz w:val="32"/>
              <w:szCs w:val="32"/>
            </w:rPr>
            <w:t>5</w:t>
          </w:r>
          <w:bookmarkEnd w:id="10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7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_Toc2110273702_WPSOffice_Level2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3f06d16b-bf1c-4f76-ac3f-67fcc72a31b5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</w:rPr>
                <w:t>（二）一般公共预算当年拨款结构情况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11" w:name="_Toc2110273702_WPSOffice_Level2Page"/>
          <w:r>
            <w:rPr>
              <w:b w:val="0"/>
              <w:bCs w:val="0"/>
              <w:sz w:val="32"/>
              <w:szCs w:val="32"/>
            </w:rPr>
            <w:t>5</w:t>
          </w:r>
          <w:bookmarkEnd w:id="11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7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_Toc1725115317_WPSOffice_Level2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8e7f118d-0235-4970-b1b6-15826f282391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</w:rPr>
                <w:t>（三）一般公共预算当年拨款具体使用情况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12" w:name="_Toc1725115317_WPSOffice_Level2Page"/>
          <w:r>
            <w:rPr>
              <w:b w:val="0"/>
              <w:bCs w:val="0"/>
              <w:sz w:val="32"/>
              <w:szCs w:val="32"/>
            </w:rPr>
            <w:t>5</w:t>
          </w:r>
          <w:bookmarkEnd w:id="12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_Toc52891514_WPSOffice_Level1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8ab2f9b2-f696-499c-a226-b6ef9b2348a7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黑体" w:hAnsi="黑体" w:eastAsia="黑体" w:cs="黑体"/>
                  <w:b w:val="0"/>
                  <w:bCs w:val="0"/>
                  <w:sz w:val="32"/>
                  <w:szCs w:val="32"/>
                </w:rPr>
                <w:t>六、一般公共预算基本支出情况说明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13" w:name="_Toc52891514_WPSOffice_Level1Page"/>
          <w:r>
            <w:rPr>
              <w:b w:val="0"/>
              <w:bCs w:val="0"/>
              <w:sz w:val="32"/>
              <w:szCs w:val="32"/>
            </w:rPr>
            <w:t>6</w:t>
          </w:r>
          <w:bookmarkEnd w:id="13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_Toc2110273702_WPSOffice_Level1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568d08d2-d912-48d5-8fa3-f68d174b5322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黑体" w:hAnsi="黑体" w:eastAsia="黑体" w:cs="黑体"/>
                  <w:b w:val="0"/>
                  <w:bCs w:val="0"/>
                  <w:sz w:val="32"/>
                  <w:szCs w:val="32"/>
                </w:rPr>
                <w:t>七、“三公”经费财政拨款预算安排情况说明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14" w:name="_Toc2110273702_WPSOffice_Level1Page"/>
          <w:r>
            <w:rPr>
              <w:b w:val="0"/>
              <w:bCs w:val="0"/>
              <w:sz w:val="32"/>
              <w:szCs w:val="32"/>
            </w:rPr>
            <w:t>7</w:t>
          </w:r>
          <w:bookmarkEnd w:id="14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7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_Toc1491690596_WPSOffice_Level2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4c993ce7-7ff4-49fb-9db7-ccb1f103cdf3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</w:rPr>
                <w:t>（一）公务接待费</w:t>
              </w:r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  <w:lang w:eastAsia="zh-CN"/>
                </w:rPr>
                <w:t>与</w:t>
              </w:r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</w:rPr>
                <w:t>2021年预算</w:t>
              </w:r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  <w:lang w:eastAsia="zh-CN"/>
                </w:rPr>
                <w:t>相比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15" w:name="_Toc1491690596_WPSOffice_Level2Page"/>
          <w:r>
            <w:rPr>
              <w:b w:val="0"/>
              <w:bCs w:val="0"/>
              <w:sz w:val="32"/>
              <w:szCs w:val="32"/>
            </w:rPr>
            <w:t>7</w:t>
          </w:r>
          <w:bookmarkEnd w:id="15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7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_Toc497896570_WPSOffice_Level2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b81bad97-556e-43ec-8b7c-2f0f19face2d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</w:rPr>
                <w:t>（二）公务用车购置及运行维护费</w:t>
              </w:r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  <w:lang w:eastAsia="zh-CN"/>
                </w:rPr>
                <w:t>与</w:t>
              </w:r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</w:rPr>
                <w:t>2021年预算</w:t>
              </w:r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  <w:lang w:eastAsia="zh-CN"/>
                </w:rPr>
                <w:t>相比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16" w:name="_Toc497896570_WPSOffice_Level2Page"/>
          <w:r>
            <w:rPr>
              <w:b w:val="0"/>
              <w:bCs w:val="0"/>
              <w:sz w:val="32"/>
              <w:szCs w:val="32"/>
            </w:rPr>
            <w:t>7</w:t>
          </w:r>
          <w:bookmarkEnd w:id="16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7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_Toc1807178716_WPSOffice_Level2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29e8d39f-9f3b-421f-85ec-979ec2d6c600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</w:rPr>
                <w:t>（三）因公出国（境）经费与2021年预算相比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17" w:name="_Toc1807178716_WPSOffice_Level2Page"/>
          <w:r>
            <w:rPr>
              <w:b w:val="0"/>
              <w:bCs w:val="0"/>
              <w:sz w:val="32"/>
              <w:szCs w:val="32"/>
            </w:rPr>
            <w:t>7</w:t>
          </w:r>
          <w:bookmarkEnd w:id="17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_Toc1725115317_WPSOffice_Level1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a8597b93-5b75-4910-8aab-589c25599bbb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黑体" w:hAnsi="黑体" w:eastAsia="黑体" w:cs="黑体"/>
                  <w:b w:val="0"/>
                  <w:bCs w:val="0"/>
                  <w:sz w:val="32"/>
                  <w:szCs w:val="32"/>
                </w:rPr>
                <w:t>八、政府性基金预算支出情况说明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18" w:name="_Toc1725115317_WPSOffice_Level1Page"/>
          <w:r>
            <w:rPr>
              <w:b w:val="0"/>
              <w:bCs w:val="0"/>
              <w:sz w:val="32"/>
              <w:szCs w:val="32"/>
            </w:rPr>
            <w:t>8</w:t>
          </w:r>
          <w:bookmarkEnd w:id="18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_Toc1491690596_WPSOffice_Level1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d3691557-0085-46c0-839a-8f89c8cf1c33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黑体" w:hAnsi="黑体" w:eastAsia="黑体" w:cs="黑体"/>
                  <w:b w:val="0"/>
                  <w:bCs w:val="0"/>
                  <w:sz w:val="32"/>
                  <w:szCs w:val="32"/>
                </w:rPr>
                <w:t>九、国有资本经营预算支出情况说明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19" w:name="_Toc1491690596_WPSOffice_Level1Page"/>
          <w:r>
            <w:rPr>
              <w:b w:val="0"/>
              <w:bCs w:val="0"/>
              <w:sz w:val="32"/>
              <w:szCs w:val="32"/>
            </w:rPr>
            <w:t>8</w:t>
          </w:r>
          <w:bookmarkEnd w:id="19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_Toc497896570_WPSOffice_Level1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aa6b32f1-e47e-4229-b5d4-9b6ce5b88027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黑体" w:hAnsi="黑体" w:eastAsia="黑体" w:cs="黑体"/>
                  <w:b w:val="0"/>
                  <w:bCs w:val="0"/>
                  <w:sz w:val="32"/>
                  <w:szCs w:val="32"/>
                </w:rPr>
                <w:t>十、其他重要事项的情况说明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20" w:name="_Toc497896570_WPSOffice_Level1Page"/>
          <w:r>
            <w:rPr>
              <w:b w:val="0"/>
              <w:bCs w:val="0"/>
              <w:sz w:val="32"/>
              <w:szCs w:val="32"/>
            </w:rPr>
            <w:t>8</w:t>
          </w:r>
          <w:bookmarkEnd w:id="20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7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_Toc1974042333_WPSOffice_Level2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9f6c26df-9812-47dd-bea2-17c8e2991996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</w:rPr>
                <w:t>（一）机关运行经费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21" w:name="_Toc1974042333_WPSOffice_Level2Page"/>
          <w:r>
            <w:rPr>
              <w:b w:val="0"/>
              <w:bCs w:val="0"/>
              <w:sz w:val="32"/>
              <w:szCs w:val="32"/>
            </w:rPr>
            <w:t>8</w:t>
          </w:r>
          <w:bookmarkEnd w:id="21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7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_Toc1341449037_WPSOffice_Level2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859365046"/>
              <w:placeholder>
                <w:docPart w:val="{0cc40f97-2a66-427d-9069-66fbb6271af3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</w:rPr>
                <w:t>（二）政府采购情况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22" w:name="_Toc1341449037_WPSOffice_Level2Page"/>
          <w:r>
            <w:rPr>
              <w:b w:val="0"/>
              <w:bCs w:val="0"/>
              <w:sz w:val="32"/>
              <w:szCs w:val="32"/>
            </w:rPr>
            <w:t>8</w:t>
          </w:r>
          <w:bookmarkEnd w:id="22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7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_Toc511964521_WPSOffice_Level2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14638814"/>
              <w:placeholder>
                <w:docPart w:val="{3d676be1-f873-46e7-ab2f-93aa62754e86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</w:rPr>
                <w:t>（三）国有资产占有使用情况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23" w:name="_Toc511964521_WPSOffice_Level2Page"/>
          <w:r>
            <w:rPr>
              <w:b w:val="0"/>
              <w:bCs w:val="0"/>
              <w:sz w:val="32"/>
              <w:szCs w:val="32"/>
            </w:rPr>
            <w:t>8</w:t>
          </w:r>
          <w:bookmarkEnd w:id="23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7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_Toc1906068041_WPSOffice_Level2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14638814"/>
              <w:placeholder>
                <w:docPart w:val="{00a6ba1f-dfe2-4a3e-bc1a-d431d40a7f09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楷体_GB2312" w:hAnsi="楷体_GB2312" w:eastAsia="楷体_GB2312" w:cs="楷体_GB2312"/>
                  <w:b w:val="0"/>
                  <w:bCs w:val="0"/>
                  <w:sz w:val="32"/>
                  <w:szCs w:val="32"/>
                </w:rPr>
                <w:t>（四）绩效目标设置情况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24" w:name="_Toc1906068041_WPSOffice_Level2Page"/>
          <w:r>
            <w:rPr>
              <w:b w:val="0"/>
              <w:bCs w:val="0"/>
              <w:sz w:val="32"/>
              <w:szCs w:val="32"/>
            </w:rPr>
            <w:t>8</w:t>
          </w:r>
          <w:bookmarkEnd w:id="24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754"/>
            </w:tabs>
            <w:rPr>
              <w:b w:val="0"/>
              <w:bCs w:val="0"/>
              <w:sz w:val="32"/>
              <w:szCs w:val="32"/>
            </w:rPr>
          </w:pPr>
          <w:r>
            <w:rPr>
              <w:b w:val="0"/>
              <w:bCs w:val="0"/>
              <w:sz w:val="32"/>
              <w:szCs w:val="32"/>
            </w:rPr>
            <w:fldChar w:fldCharType="begin"/>
          </w:r>
          <w:r>
            <w:rPr>
              <w:b w:val="0"/>
              <w:bCs w:val="0"/>
              <w:sz w:val="32"/>
              <w:szCs w:val="32"/>
            </w:rPr>
            <w:instrText xml:space="preserve"> HYPERLINK \l _Toc1906068041_WPSOffice_Level1 </w:instrText>
          </w:r>
          <w:r>
            <w:rPr>
              <w:b w:val="0"/>
              <w:bCs w:val="0"/>
              <w:sz w:val="32"/>
              <w:szCs w:val="32"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id w:val="14638814"/>
              <w:placeholder>
                <w:docPart w:val="{c3b21546-8911-4e6e-aca4-5c909f96ad4b}"/>
              </w:placeholder>
            </w:sdtPr>
            <w:sdtEnd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黑体" w:hAnsi="黑体" w:eastAsia="黑体" w:cs="黑体"/>
                  <w:b w:val="0"/>
                  <w:bCs w:val="0"/>
                  <w:sz w:val="32"/>
                  <w:szCs w:val="32"/>
                </w:rPr>
                <w:t>十一、名词解释</w:t>
              </w:r>
            </w:sdtContent>
          </w:sdt>
          <w:r>
            <w:rPr>
              <w:b w:val="0"/>
              <w:bCs w:val="0"/>
              <w:sz w:val="32"/>
              <w:szCs w:val="32"/>
            </w:rPr>
            <w:tab/>
          </w:r>
          <w:bookmarkStart w:id="25" w:name="_Toc1906068041_WPSOffice_Level1Page"/>
          <w:r>
            <w:rPr>
              <w:b w:val="0"/>
              <w:bCs w:val="0"/>
              <w:sz w:val="32"/>
              <w:szCs w:val="32"/>
            </w:rPr>
            <w:t>9</w:t>
          </w:r>
          <w:bookmarkEnd w:id="25"/>
          <w:r>
            <w:rPr>
              <w:b w:val="0"/>
              <w:bCs w:val="0"/>
              <w:sz w:val="32"/>
              <w:szCs w:val="32"/>
            </w:rPr>
            <w:fldChar w:fldCharType="end"/>
          </w:r>
        </w:p>
        <w:bookmarkEnd w:id="0"/>
        <w:p>
          <w:pPr>
            <w:pStyle w:val="6"/>
            <w:tabs>
              <w:tab w:val="right" w:leader="dot" w:pos="8754"/>
            </w:tabs>
            <w:rPr>
              <w:rFonts w:hint="eastAsia" w:ascii="仿宋_GB2312" w:hAnsi="仿宋_GB2312" w:eastAsia="仿宋_GB2312" w:cs="仿宋_GB2312"/>
              <w:sz w:val="32"/>
              <w:szCs w:val="32"/>
            </w:rPr>
            <w:sectPr>
              <w:footerReference r:id="rId3" w:type="default"/>
              <w:pgSz w:w="11906" w:h="16838"/>
              <w:pgMar w:top="1610" w:right="1576" w:bottom="1440" w:left="1576" w:header="851" w:footer="992" w:gutter="0"/>
              <w:pgNumType w:fmt="decimal"/>
              <w:cols w:space="425" w:num="1"/>
              <w:docGrid w:type="lines" w:linePitch="312" w:charSpace="0"/>
            </w:sectPr>
          </w:pPr>
        </w:p>
      </w:sdtContent>
    </w:sdt>
    <w:p>
      <w:pPr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</w:rPr>
      </w:pPr>
      <w:bookmarkStart w:id="26" w:name="_Toc722534001_WPSOffice_Level1"/>
      <w:r>
        <w:rPr>
          <w:rFonts w:hint="eastAsia" w:ascii="黑体" w:hAnsi="黑体" w:eastAsia="黑体" w:cs="黑体"/>
          <w:sz w:val="32"/>
          <w:szCs w:val="32"/>
        </w:rPr>
        <w:t>一、基本职能及主要工作</w:t>
      </w:r>
      <w:bookmarkEnd w:id="26"/>
    </w:p>
    <w:p>
      <w:pPr>
        <w:ind w:firstLine="640" w:firstLineChars="200"/>
        <w:outlineLvl w:val="1"/>
        <w:rPr>
          <w:rFonts w:hint="eastAsia" w:ascii="楷体_GB2312" w:hAnsi="楷体_GB2312" w:eastAsia="楷体_GB2312" w:cs="楷体_GB2312"/>
          <w:sz w:val="32"/>
          <w:szCs w:val="32"/>
        </w:rPr>
      </w:pPr>
      <w:bookmarkStart w:id="27" w:name="_Toc1019538488_WPSOffice_Level2"/>
      <w:r>
        <w:rPr>
          <w:rFonts w:hint="eastAsia" w:ascii="楷体_GB2312" w:hAnsi="楷体_GB2312" w:eastAsia="楷体_GB2312" w:cs="楷体_GB2312"/>
          <w:sz w:val="32"/>
          <w:szCs w:val="32"/>
        </w:rPr>
        <w:t>（一）职能简介</w:t>
      </w:r>
      <w:bookmarkEnd w:id="27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贯彻落实党的路线方针政策和有关档案管理的法律、法规、规章制度，做好档案“收、管、用”，维护档案完整与安全，保守党和国家秘密。依法接收市级各机关、团体、事业单位、国有企业及其下属单位的档案；接收市级重大活动等形成的档案；征集对国家和社会具有长久保存价值的重要档案、资料，开展主动建档存史工作。组织实施馆藏档案整理、鉴定、保管、保护、解密、划控、开放和销毁工作。负责馆藏档案信息化，推动数字档案馆和市级档案、资料目录中心建设，依法接收电子档案，建立电子文件备份中心，确保数字档案资源安全。开展档案利用工作，依法向社会提供档案、资料和已公开的现行文件，开展民生档案等跨馆查档服务。负责馆藏档案资源开发工作，开展档案资政服务，编研档案史料，开发档案文化产品，举办档案展览，建设管理爱国主义教育基地，开展档案社会宣传教育。组织开展档案学术研究、馆际合作和业务交流。对县（区）档案馆业务进行指导。完成市委、市政府交办的其他任务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outlineLvl w:val="1"/>
        <w:rPr>
          <w:rFonts w:hint="eastAsia" w:ascii="楷体_GB2312" w:hAnsi="楷体_GB2312" w:eastAsia="楷体_GB2312" w:cs="楷体_GB2312"/>
          <w:sz w:val="32"/>
          <w:szCs w:val="32"/>
        </w:rPr>
      </w:pPr>
      <w:bookmarkStart w:id="28" w:name="_Toc171126326_WPSOffice_Level2"/>
      <w:r>
        <w:rPr>
          <w:rFonts w:hint="eastAsia" w:ascii="楷体_GB2312" w:hAnsi="楷体_GB2312" w:eastAsia="楷体_GB2312" w:cs="楷体_GB2312"/>
          <w:sz w:val="32"/>
          <w:szCs w:val="32"/>
        </w:rPr>
        <w:t>（二）2022年重点工作</w:t>
      </w:r>
      <w:bookmarkEnd w:id="28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加强档案资源体系建设，加大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档案</w:t>
      </w:r>
      <w:r>
        <w:rPr>
          <w:rFonts w:hint="eastAsia" w:ascii="仿宋_GB2312" w:hAnsi="仿宋_GB2312" w:eastAsia="仿宋_GB2312" w:cs="仿宋_GB2312"/>
          <w:sz w:val="32"/>
          <w:szCs w:val="32"/>
        </w:rPr>
        <w:t>接收征集力度，丰富馆藏资源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进一步加强档案规范化管理，保证实体和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电子</w:t>
      </w:r>
      <w:r>
        <w:rPr>
          <w:rFonts w:hint="eastAsia" w:ascii="仿宋_GB2312" w:hAnsi="仿宋_GB2312" w:eastAsia="仿宋_GB2312" w:cs="仿宋_GB2312"/>
          <w:sz w:val="32"/>
          <w:szCs w:val="32"/>
        </w:rPr>
        <w:t>档案安全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围绕我市红色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档案</w:t>
      </w:r>
      <w:r>
        <w:rPr>
          <w:rFonts w:hint="eastAsia" w:ascii="仿宋_GB2312" w:hAnsi="仿宋_GB2312" w:eastAsia="仿宋_GB2312" w:cs="仿宋_GB2312"/>
          <w:sz w:val="32"/>
          <w:szCs w:val="32"/>
        </w:rPr>
        <w:t>资源加大档案资源开发力度，创新档案宣传方式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。四是</w:t>
      </w:r>
      <w:r>
        <w:rPr>
          <w:rFonts w:hint="eastAsia" w:ascii="仿宋_GB2312" w:hAnsi="仿宋_GB2312" w:eastAsia="仿宋_GB2312" w:cs="仿宋_GB2312"/>
          <w:sz w:val="32"/>
          <w:szCs w:val="32"/>
        </w:rPr>
        <w:t>不断改进档案服务利用方式，主动服务全市中心工作。</w:t>
      </w:r>
    </w:p>
    <w:p>
      <w:pPr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</w:rPr>
      </w:pPr>
      <w:bookmarkStart w:id="29" w:name="_Toc1019538488_WPSOffice_Level1"/>
      <w:r>
        <w:rPr>
          <w:rFonts w:hint="eastAsia" w:ascii="黑体" w:hAnsi="黑体" w:eastAsia="黑体" w:cs="黑体"/>
          <w:sz w:val="32"/>
          <w:szCs w:val="32"/>
        </w:rPr>
        <w:t>二、部门预算单位构成</w:t>
      </w:r>
      <w:bookmarkEnd w:id="29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广元市档案馆为一级预算部门，代管市现行文件服务中心（事业单位），未独立核算。</w:t>
      </w:r>
    </w:p>
    <w:p>
      <w:pPr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</w:rPr>
      </w:pPr>
      <w:bookmarkStart w:id="30" w:name="_Toc171126326_WPSOffice_Level1"/>
      <w:r>
        <w:rPr>
          <w:rFonts w:hint="eastAsia" w:ascii="黑体" w:hAnsi="黑体" w:eastAsia="黑体" w:cs="黑体"/>
          <w:sz w:val="32"/>
          <w:szCs w:val="32"/>
        </w:rPr>
        <w:t>三、收支预算情况说明</w:t>
      </w:r>
      <w:bookmarkEnd w:id="30"/>
    </w:p>
    <w:p>
      <w:pPr>
        <w:ind w:firstLine="640" w:firstLineChars="200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综合预算的原则，我馆所有收入和支出均纳入部门预算管理。收入包括：一般公共预算拨款收入、上年结转；支出包括：一般公共服务支出、社会保障和就业支出、卫生健康支出、住房保障支出。我馆2022年收支总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3万元,比2021年收支预算总数增加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2.86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万元，扣除上年结转资金、一次性安排等因素后，同口径增加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1.23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万元，主要原因是乡村振兴帮扶队工作经费较上年增加。</w:t>
      </w:r>
    </w:p>
    <w:p>
      <w:pPr>
        <w:ind w:firstLine="640" w:firstLineChars="200"/>
        <w:outlineLvl w:val="1"/>
        <w:rPr>
          <w:rFonts w:hint="eastAsia" w:ascii="楷体_GB2312" w:hAnsi="楷体_GB2312" w:eastAsia="楷体_GB2312" w:cs="楷体_GB2312"/>
          <w:sz w:val="32"/>
          <w:szCs w:val="32"/>
        </w:rPr>
      </w:pPr>
      <w:bookmarkStart w:id="31" w:name="_Toc1404382297_WPSOffice_Level2"/>
      <w:r>
        <w:rPr>
          <w:rFonts w:hint="eastAsia" w:ascii="楷体_GB2312" w:hAnsi="楷体_GB2312" w:eastAsia="楷体_GB2312" w:cs="楷体_GB2312"/>
          <w:sz w:val="32"/>
          <w:szCs w:val="32"/>
        </w:rPr>
        <w:t>（一）收入预算情况</w:t>
      </w:r>
      <w:bookmarkEnd w:id="31"/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我馆2022年收入预算591.2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万元，其中：上年结转6.1万元，占1.03%；一般公共预算拨款收入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572.2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96.78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12.93万元，占2.19%。</w:t>
      </w:r>
    </w:p>
    <w:p>
      <w:pPr>
        <w:ind w:firstLine="640" w:firstLineChars="200"/>
        <w:outlineLvl w:val="1"/>
        <w:rPr>
          <w:rFonts w:hint="eastAsia" w:ascii="楷体_GB2312" w:hAnsi="楷体_GB2312" w:eastAsia="楷体_GB2312" w:cs="楷体_GB2312"/>
          <w:sz w:val="32"/>
          <w:szCs w:val="32"/>
        </w:rPr>
      </w:pPr>
      <w:bookmarkStart w:id="32" w:name="_Toc725305565_WPSOffice_Level2"/>
      <w:r>
        <w:rPr>
          <w:rFonts w:hint="eastAsia" w:ascii="楷体_GB2312" w:hAnsi="楷体_GB2312" w:eastAsia="楷体_GB2312" w:cs="楷体_GB2312"/>
          <w:sz w:val="32"/>
          <w:szCs w:val="32"/>
        </w:rPr>
        <w:t>（二）支出预算情况</w:t>
      </w:r>
      <w:bookmarkEnd w:id="32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我馆2022年支出预算591.2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472.48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79.91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118.76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20.09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</w:rPr>
      </w:pPr>
      <w:bookmarkStart w:id="33" w:name="_Toc1404382297_WPSOffice_Level1"/>
      <w:r>
        <w:rPr>
          <w:rFonts w:hint="eastAsia" w:ascii="黑体" w:hAnsi="黑体" w:eastAsia="黑体" w:cs="黑体"/>
          <w:sz w:val="32"/>
          <w:szCs w:val="32"/>
        </w:rPr>
        <w:t>四、财政拨款收支预算情况说明</w:t>
      </w:r>
      <w:bookmarkEnd w:id="33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我馆2022年财政拨款收支总预算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578.31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万元,比2021年财政拨款收支总预算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万元，扣除上年结转资金、一次性安排等因素后，同口径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是退休人员大于新进人员，减少了基本支出。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收入包括：本年一般公共预算拨款收入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572.21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万元、上年结转一般公共预算拨款收入6.1万元；支出包括：一般公共服务支出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490.45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万元、社会保障和就业支出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万元、卫生健康支出16.75万元、住房保障支出36.31万元。</w:t>
      </w:r>
    </w:p>
    <w:p>
      <w:pPr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</w:rPr>
      </w:pPr>
      <w:bookmarkStart w:id="34" w:name="_Toc725305565_WPSOffice_Level1"/>
      <w:r>
        <w:rPr>
          <w:rFonts w:hint="eastAsia" w:ascii="黑体" w:hAnsi="黑体" w:eastAsia="黑体" w:cs="黑体"/>
          <w:sz w:val="32"/>
          <w:szCs w:val="32"/>
        </w:rPr>
        <w:t>五、一般公共预算当年拨款情况说明</w:t>
      </w:r>
      <w:bookmarkEnd w:id="34"/>
    </w:p>
    <w:p>
      <w:pPr>
        <w:ind w:firstLine="640" w:firstLineChars="200"/>
        <w:outlineLvl w:val="1"/>
        <w:rPr>
          <w:rFonts w:hint="eastAsia" w:ascii="楷体_GB2312" w:hAnsi="楷体_GB2312" w:eastAsia="楷体_GB2312" w:cs="楷体_GB2312"/>
          <w:sz w:val="32"/>
          <w:szCs w:val="32"/>
        </w:rPr>
      </w:pPr>
      <w:bookmarkStart w:id="35" w:name="_Toc52891514_WPSOffice_Level2"/>
      <w:r>
        <w:rPr>
          <w:rFonts w:hint="eastAsia" w:ascii="楷体_GB2312" w:hAnsi="楷体_GB2312" w:eastAsia="楷体_GB2312" w:cs="楷体_GB2312"/>
          <w:sz w:val="32"/>
          <w:szCs w:val="32"/>
        </w:rPr>
        <w:t>（一）一般公共预算当年拨款规模变化情况</w:t>
      </w:r>
      <w:bookmarkEnd w:id="35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我馆2022年一般公共预算当年拨款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572.21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万元，比2021年预算数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万元，主要原因是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退休人员大于新进人员，减少了基本支出。</w:t>
      </w:r>
    </w:p>
    <w:p>
      <w:pPr>
        <w:ind w:firstLine="640" w:firstLineChars="200"/>
        <w:outlineLvl w:val="1"/>
        <w:rPr>
          <w:rFonts w:hint="eastAsia" w:ascii="楷体_GB2312" w:hAnsi="楷体_GB2312" w:eastAsia="楷体_GB2312" w:cs="楷体_GB2312"/>
          <w:sz w:val="32"/>
          <w:szCs w:val="32"/>
        </w:rPr>
      </w:pPr>
      <w:bookmarkStart w:id="36" w:name="_Toc2110273702_WPSOffice_Level2"/>
      <w:r>
        <w:rPr>
          <w:rFonts w:hint="eastAsia" w:ascii="楷体_GB2312" w:hAnsi="楷体_GB2312" w:eastAsia="楷体_GB2312" w:cs="楷体_GB2312"/>
          <w:sz w:val="32"/>
          <w:szCs w:val="32"/>
        </w:rPr>
        <w:t>（二）一般公共预算当年拨款结构情况</w:t>
      </w:r>
      <w:bookmarkEnd w:id="36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一般公共服务支出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484.35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84.65</w:t>
      </w:r>
      <w:r>
        <w:rPr>
          <w:rFonts w:hint="eastAsia" w:ascii="仿宋_GB2312" w:hAnsi="仿宋_GB2312" w:eastAsia="仿宋_GB2312" w:cs="仿宋_GB2312"/>
          <w:sz w:val="32"/>
          <w:szCs w:val="32"/>
        </w:rPr>
        <w:t>%；社会保障和就业支出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6.08</w:t>
      </w:r>
      <w:r>
        <w:rPr>
          <w:rFonts w:hint="eastAsia" w:ascii="仿宋_GB2312" w:hAnsi="仿宋_GB2312" w:eastAsia="仿宋_GB2312" w:cs="仿宋_GB2312"/>
          <w:sz w:val="32"/>
          <w:szCs w:val="32"/>
        </w:rPr>
        <w:t>%；卫生健康支出16.75万元，占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2.92</w:t>
      </w:r>
      <w:r>
        <w:rPr>
          <w:rFonts w:hint="eastAsia" w:ascii="仿宋_GB2312" w:hAnsi="仿宋_GB2312" w:eastAsia="仿宋_GB2312" w:cs="仿宋_GB2312"/>
          <w:sz w:val="32"/>
          <w:szCs w:val="32"/>
        </w:rPr>
        <w:t>%；住房保障支出36.31万元，占6.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ind w:firstLine="640" w:firstLineChars="200"/>
        <w:outlineLvl w:val="1"/>
        <w:rPr>
          <w:rFonts w:hint="eastAsia" w:ascii="楷体_GB2312" w:hAnsi="楷体_GB2312" w:eastAsia="楷体_GB2312" w:cs="楷体_GB2312"/>
          <w:sz w:val="32"/>
          <w:szCs w:val="32"/>
        </w:rPr>
      </w:pPr>
      <w:bookmarkStart w:id="37" w:name="_Toc1725115317_WPSOffice_Level2"/>
      <w:r>
        <w:rPr>
          <w:rFonts w:hint="eastAsia" w:ascii="楷体_GB2312" w:hAnsi="楷体_GB2312" w:eastAsia="楷体_GB2312" w:cs="楷体_GB2312"/>
          <w:sz w:val="32"/>
          <w:szCs w:val="32"/>
        </w:rPr>
        <w:t>（三）一般公共预算当年拨款具体使用情况</w:t>
      </w:r>
      <w:bookmarkEnd w:id="37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一般公共服务支出（类）档案事务（款）行政运行（项）2022年预算数为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388.26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万元，与上年持平。主要用于保障市档案馆机关正常运转的基本支出，包括基本工资、津贴补贴等人员经费，以及办公费、差旅费、培训费、“三公”经费、其他交通费用等公用经费。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.一般公共服务支出（类）档案事务（款）档案馆（项）2022年预算数为96.09万元，比2021年增加了0.94万元。主要用于档案整理。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.社会保障和就业支出（类）行政事业单位养老支出（款）机关事业单位基本养老保险缴费支出（项）2022年预算数为33.49万元，比2021年增加0.06万元，变动的主要原因是职工年度考核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称职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及以上</w:t>
      </w:r>
      <w:r>
        <w:rPr>
          <w:rFonts w:hint="eastAsia" w:ascii="仿宋_GB2312" w:hAnsi="仿宋_GB2312" w:eastAsia="仿宋_GB2312" w:cs="仿宋_GB2312"/>
          <w:sz w:val="32"/>
          <w:szCs w:val="32"/>
        </w:rPr>
        <w:t>增资部分养老保险支出。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.社会保障和就业支出（类）行政事业单位养老支出（款）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其他社会保险和就业支出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（项）2022年预算数为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1.31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万元，比2021年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</w:rPr>
        <w:t>0.0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万元，变动的主要原因是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事业人员调任变化。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.卫生健康支出（类）行政事业单位医疗（款）事业单位医疗（项）2022年预算数为16.7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万元，比2021年增加0.02万元，变动的主要原因是职工年度考核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称职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及以上</w:t>
      </w:r>
      <w:r>
        <w:rPr>
          <w:rFonts w:hint="eastAsia" w:ascii="仿宋_GB2312" w:hAnsi="仿宋_GB2312" w:eastAsia="仿宋_GB2312" w:cs="仿宋_GB2312"/>
          <w:sz w:val="32"/>
          <w:szCs w:val="32"/>
        </w:rPr>
        <w:t>增资部分医疗保险支出。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.住房保障支出（类）住房改革支出（款）住房公积金（项）2022年预算数为36.31万元，比2021年增加0.1万元。变动的主要原因是职工年度考核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称职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及以上</w:t>
      </w:r>
      <w:r>
        <w:rPr>
          <w:rFonts w:hint="eastAsia" w:ascii="仿宋_GB2312" w:hAnsi="仿宋_GB2312" w:eastAsia="仿宋_GB2312" w:cs="仿宋_GB2312"/>
          <w:sz w:val="32"/>
          <w:szCs w:val="32"/>
        </w:rPr>
        <w:t>增资部分住房公积金支出。</w:t>
      </w:r>
    </w:p>
    <w:p>
      <w:pPr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</w:rPr>
      </w:pPr>
      <w:bookmarkStart w:id="38" w:name="_Toc52891514_WPSOffice_Level1"/>
      <w:r>
        <w:rPr>
          <w:rFonts w:hint="eastAsia" w:ascii="黑体" w:hAnsi="黑体" w:eastAsia="黑体" w:cs="黑体"/>
          <w:sz w:val="32"/>
          <w:szCs w:val="32"/>
        </w:rPr>
        <w:t>六、一般公共预算基本支出情况说明</w:t>
      </w:r>
      <w:bookmarkEnd w:id="38"/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我馆2022年一般公共预算基本支出472.48万元，其中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人员经费394.26万元，主要包括：基本工资、津贴补贴、绩效、奖金、社会保险缴费、住房公积金等支出。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公用经费78.22万元，主要包括：办公费、印刷费、物业管理费、差旅费、会议费、培训费、公务接待费、工会经费、福利费、公务用车运行维护费、党建经费、退休人员活动经费等支出。</w:t>
      </w:r>
    </w:p>
    <w:p>
      <w:pPr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</w:rPr>
      </w:pPr>
      <w:bookmarkStart w:id="39" w:name="_Toc2110273702_WPSOffice_Level1"/>
      <w:r>
        <w:rPr>
          <w:rFonts w:hint="eastAsia" w:ascii="黑体" w:hAnsi="黑体" w:eastAsia="黑体" w:cs="黑体"/>
          <w:sz w:val="32"/>
          <w:szCs w:val="32"/>
        </w:rPr>
        <w:t>七、“三公”经费财政拨款预算安排情况说明</w:t>
      </w:r>
      <w:bookmarkEnd w:id="39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我馆2022年“三公”经费财政拨款预算数7万元，与2021年持平。其中：公务接待费3万元，公务用车购置及运行维护费4万元，因公出国（境）经费0万元。</w:t>
      </w:r>
    </w:p>
    <w:p>
      <w:pPr>
        <w:numPr>
          <w:ilvl w:val="0"/>
          <w:numId w:val="1"/>
        </w:numPr>
        <w:ind w:firstLine="640" w:firstLineChars="200"/>
        <w:outlineLvl w:val="1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bookmarkStart w:id="40" w:name="_Toc1491690596_WPSOffice_Level2"/>
      <w:r>
        <w:rPr>
          <w:rFonts w:hint="eastAsia" w:ascii="楷体_GB2312" w:hAnsi="楷体_GB2312" w:eastAsia="楷体_GB2312" w:cs="楷体_GB2312"/>
          <w:sz w:val="32"/>
          <w:szCs w:val="32"/>
        </w:rPr>
        <w:t>公务接待费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比</w:t>
      </w:r>
      <w:r>
        <w:rPr>
          <w:rFonts w:hint="eastAsia" w:ascii="楷体_GB2312" w:hAnsi="楷体_GB2312" w:eastAsia="楷体_GB2312" w:cs="楷体_GB2312"/>
          <w:sz w:val="32"/>
          <w:szCs w:val="32"/>
        </w:rPr>
        <w:t>2021年预算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上升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50%</w:t>
      </w:r>
      <w:bookmarkEnd w:id="40"/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2022年公务接待费计划用于执行接待考察调研、检查指导等公务活动开支的交通费、住宿费、用餐费等。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上升的主要原因是根据工作要求增加预算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1万元。</w:t>
      </w:r>
    </w:p>
    <w:p>
      <w:pPr>
        <w:numPr>
          <w:ilvl w:val="0"/>
          <w:numId w:val="2"/>
        </w:numPr>
        <w:ind w:firstLine="640" w:firstLineChars="200"/>
        <w:outlineLvl w:val="1"/>
        <w:rPr>
          <w:rFonts w:hint="eastAsia" w:ascii="楷体_GB2312" w:hAnsi="楷体_GB2312" w:eastAsia="楷体_GB2312" w:cs="楷体_GB2312"/>
          <w:sz w:val="32"/>
          <w:szCs w:val="32"/>
        </w:rPr>
      </w:pPr>
      <w:bookmarkStart w:id="41" w:name="_Toc497896570_WPSOffice_Level2"/>
      <w:r>
        <w:rPr>
          <w:rFonts w:hint="eastAsia" w:ascii="楷体_GB2312" w:hAnsi="楷体_GB2312" w:eastAsia="楷体_GB2312" w:cs="楷体_GB2312"/>
          <w:sz w:val="32"/>
          <w:szCs w:val="32"/>
        </w:rPr>
        <w:t>公务用车购置及运行维护费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比</w:t>
      </w:r>
      <w:r>
        <w:rPr>
          <w:rFonts w:hint="eastAsia" w:ascii="楷体_GB2312" w:hAnsi="楷体_GB2312" w:eastAsia="楷体_GB2312" w:cs="楷体_GB2312"/>
          <w:sz w:val="32"/>
          <w:szCs w:val="32"/>
        </w:rPr>
        <w:t>2021年预算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下降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20%</w:t>
      </w:r>
      <w:bookmarkEnd w:id="41"/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我馆现有公务用车1辆，其中：轿车1辆，旅行车（含商务车）0辆，越野车0辆。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2022年安排公务用车运行维护费4万元，用于1辆公务用车燃油、过路（桥）、维修、保险等方面支出，主要保障参加重大会议、外出调研、集体活动、寄送机要文件等公务活动出行。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下降的主要原因是疫情影响，减少人员外出。</w:t>
      </w:r>
    </w:p>
    <w:p>
      <w:pPr>
        <w:numPr>
          <w:ilvl w:val="0"/>
          <w:numId w:val="2"/>
        </w:numPr>
        <w:ind w:firstLine="640" w:firstLineChars="200"/>
        <w:outlineLvl w:val="1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bookmarkStart w:id="42" w:name="_Toc1807178716_WPSOffice_Level2"/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因公出国（境）经费与2021年预算相比持平。</w:t>
      </w:r>
      <w:bookmarkEnd w:id="42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2022年部门预算未编列因公出国（境）经费，未安排出国（出境）任务和计划。</w:t>
      </w:r>
    </w:p>
    <w:p>
      <w:pPr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</w:rPr>
      </w:pPr>
      <w:bookmarkStart w:id="43" w:name="_Toc1725115317_WPSOffice_Level1"/>
      <w:r>
        <w:rPr>
          <w:rFonts w:hint="eastAsia" w:ascii="黑体" w:hAnsi="黑体" w:eastAsia="黑体" w:cs="黑体"/>
          <w:sz w:val="32"/>
          <w:szCs w:val="32"/>
        </w:rPr>
        <w:t>八、政府性基金预算支出情况说明</w:t>
      </w:r>
      <w:bookmarkEnd w:id="43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我馆2022年没有使用政府性基金预算拨款安排的支出。</w:t>
      </w:r>
    </w:p>
    <w:p>
      <w:pPr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</w:rPr>
      </w:pPr>
      <w:bookmarkStart w:id="44" w:name="_Toc1491690596_WPSOffice_Level1"/>
      <w:r>
        <w:rPr>
          <w:rFonts w:hint="eastAsia" w:ascii="黑体" w:hAnsi="黑体" w:eastAsia="黑体" w:cs="黑体"/>
          <w:sz w:val="32"/>
          <w:szCs w:val="32"/>
        </w:rPr>
        <w:t>九、国有资本经营预算支出情况说明</w:t>
      </w:r>
      <w:bookmarkEnd w:id="44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我馆2022年没有使用国有资本经营预算拨款安排的支出。</w:t>
      </w:r>
    </w:p>
    <w:p>
      <w:pPr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</w:rPr>
      </w:pPr>
      <w:bookmarkStart w:id="45" w:name="_Toc497896570_WPSOffice_Level1"/>
      <w:r>
        <w:rPr>
          <w:rFonts w:hint="eastAsia" w:ascii="黑体" w:hAnsi="黑体" w:eastAsia="黑体" w:cs="黑体"/>
          <w:sz w:val="32"/>
          <w:szCs w:val="32"/>
        </w:rPr>
        <w:t>十、其他重要事项的情况说明</w:t>
      </w:r>
      <w:bookmarkEnd w:id="45"/>
    </w:p>
    <w:p>
      <w:pPr>
        <w:ind w:firstLine="640" w:firstLineChars="200"/>
        <w:outlineLvl w:val="1"/>
        <w:rPr>
          <w:rFonts w:hint="eastAsia" w:ascii="楷体_GB2312" w:hAnsi="楷体_GB2312" w:eastAsia="楷体_GB2312" w:cs="楷体_GB2312"/>
          <w:sz w:val="32"/>
          <w:szCs w:val="32"/>
        </w:rPr>
      </w:pPr>
      <w:bookmarkStart w:id="46" w:name="_Toc1974042333_WPSOffice_Level2"/>
      <w:r>
        <w:rPr>
          <w:rFonts w:hint="eastAsia" w:ascii="楷体_GB2312" w:hAnsi="楷体_GB2312" w:eastAsia="楷体_GB2312" w:cs="楷体_GB2312"/>
          <w:sz w:val="32"/>
          <w:szCs w:val="32"/>
        </w:rPr>
        <w:t>（一）机关运行经费</w:t>
      </w:r>
      <w:bookmarkEnd w:id="46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我馆</w:t>
      </w:r>
      <w:r>
        <w:rPr>
          <w:rFonts w:hint="eastAsia" w:ascii="仿宋_GB2312" w:hAnsi="仿宋_GB2312" w:eastAsia="仿宋_GB2312" w:cs="仿宋_GB2312"/>
          <w:sz w:val="32"/>
          <w:szCs w:val="32"/>
        </w:rPr>
        <w:t>机关运行经费财政拨款预算为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472.48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万元，比2021年预算减少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万元，下降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3.61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，主要原因是退休人员大于新进人员，减少了基本支出。</w:t>
      </w:r>
    </w:p>
    <w:p>
      <w:pPr>
        <w:ind w:firstLine="640" w:firstLineChars="200"/>
        <w:outlineLvl w:val="1"/>
        <w:rPr>
          <w:rFonts w:hint="eastAsia" w:ascii="楷体_GB2312" w:hAnsi="楷体_GB2312" w:eastAsia="楷体_GB2312" w:cs="楷体_GB2312"/>
          <w:sz w:val="32"/>
          <w:szCs w:val="32"/>
        </w:rPr>
      </w:pPr>
      <w:bookmarkStart w:id="47" w:name="_Toc1341449037_WPSOffice_Level2"/>
      <w:r>
        <w:rPr>
          <w:rFonts w:hint="eastAsia" w:ascii="楷体_GB2312" w:hAnsi="楷体_GB2312" w:eastAsia="楷体_GB2312" w:cs="楷体_GB2312"/>
          <w:sz w:val="32"/>
          <w:szCs w:val="32"/>
        </w:rPr>
        <w:t>（二）政府采购情况</w:t>
      </w:r>
      <w:bookmarkEnd w:id="47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2022年，我馆安排政府采购预算1万元，主要用于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碎纸机采购。</w:t>
      </w:r>
    </w:p>
    <w:p>
      <w:pPr>
        <w:ind w:firstLine="640" w:firstLineChars="200"/>
        <w:outlineLvl w:val="1"/>
        <w:rPr>
          <w:rFonts w:hint="eastAsia" w:ascii="楷体_GB2312" w:hAnsi="楷体_GB2312" w:eastAsia="楷体_GB2312" w:cs="楷体_GB2312"/>
          <w:sz w:val="32"/>
          <w:szCs w:val="32"/>
        </w:rPr>
      </w:pPr>
      <w:bookmarkStart w:id="48" w:name="_Toc511964521_WPSOffice_Level2"/>
      <w:r>
        <w:rPr>
          <w:rFonts w:hint="eastAsia" w:ascii="楷体_GB2312" w:hAnsi="楷体_GB2312" w:eastAsia="楷体_GB2312" w:cs="楷体_GB2312"/>
          <w:sz w:val="32"/>
          <w:szCs w:val="32"/>
        </w:rPr>
        <w:t>（三）国有资产占有使用情况</w:t>
      </w:r>
      <w:bookmarkEnd w:id="48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截至2021年底，我馆共有车辆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辆。单位价值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万元以上大型设备1台（套）。</w:t>
      </w:r>
    </w:p>
    <w:p>
      <w:pPr>
        <w:ind w:firstLine="640" w:firstLineChars="200"/>
        <w:outlineLvl w:val="1"/>
        <w:rPr>
          <w:rFonts w:hint="eastAsia" w:ascii="楷体_GB2312" w:hAnsi="楷体_GB2312" w:eastAsia="楷体_GB2312" w:cs="楷体_GB2312"/>
          <w:sz w:val="32"/>
          <w:szCs w:val="32"/>
        </w:rPr>
      </w:pPr>
      <w:bookmarkStart w:id="49" w:name="_Toc1906068041_WPSOffice_Level2"/>
      <w:r>
        <w:rPr>
          <w:rFonts w:hint="eastAsia" w:ascii="楷体_GB2312" w:hAnsi="楷体_GB2312" w:eastAsia="楷体_GB2312" w:cs="楷体_GB2312"/>
          <w:sz w:val="32"/>
          <w:szCs w:val="32"/>
        </w:rPr>
        <w:t>（四）绩效目标设置情况</w:t>
      </w:r>
      <w:bookmarkEnd w:id="49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目标是预算编制的前提和基础，2022年我馆部门预算项目均按要求编制了绩效目标,从项目完成、项目效益、满意度等方面设置了绩效指标，综合反映项目预期完成的数量、成本、时效、质量，预期达到的社会效益、经济效益、生态效益、可持续影响以及服务对象满意度等情况。</w:t>
      </w:r>
    </w:p>
    <w:p>
      <w:pPr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50" w:name="_Toc1906068041_WPSOffice_Level1"/>
      <w:r>
        <w:rPr>
          <w:rFonts w:hint="eastAsia" w:ascii="黑体" w:hAnsi="黑体" w:eastAsia="黑体" w:cs="黑体"/>
          <w:sz w:val="32"/>
          <w:szCs w:val="32"/>
        </w:rPr>
        <w:t>十一、名词解释</w:t>
      </w:r>
      <w:bookmarkEnd w:id="50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（一）一般公共预算拨款收入：指市级财政当年拨付的资金。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（二）上年结转：指以前年度尚未完成，结转到本年仍按原规定用途继续使用的资金。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一般公共服务支出（类）档案事务（款）行政运行（项）：指部门用于保障机构正常运行、开展日常工作的人员支出和基本支出。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一般公共服务支出（类）档案事务（款）一般行政管理事务（项）：指部门未单独设置项级科目的其他项目支出。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（五）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一般公共服务支出（类）档案事务（款）档案馆（项）：指部门用于档案保管、保护、整理、开发，档案馆设备购置、维护，档案馆大楼日常运行及安全保障等方面的支出。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）社会保障和就业（类）行政事业单位养老支出（款）机关事业单位基本养老保险缴费支出（项）：指部门实施养老保险制度由单位缴纳的养老保险的支出。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）卫生健康（类）行政事业单位医疗（款）事业单位医疗（项）：指事业单位用于单位应缴纳基本医疗保险支出。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）基本支出：指为保证机构正常运转，完成日常工作任务而发生的人员支出和公用支出。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）项目支出：指在基本支出之外为完成特定事业发展目标所发生的支出。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）“三公”经费：纳入财政局预算管理的“三公”经费，是指部门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单位公务用车车辆购置支出（含车辆购置税）及租用费、燃料费、维修费、过路过桥费、保险费等支出；公务接待费反映单位按规定开支的各类公务接待（含外宾接待）支出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十一</w:t>
      </w:r>
      <w:r>
        <w:rPr>
          <w:rFonts w:hint="eastAsia" w:ascii="仿宋_GB2312" w:hAnsi="仿宋_GB2312" w:eastAsia="仿宋_GB2312" w:cs="仿宋_GB2312"/>
          <w:sz w:val="32"/>
          <w:szCs w:val="32"/>
        </w:rPr>
        <w:t>）机关运行经费：基本工资、津贴补贴、绩效、奖金、社会保险缴费、住房公积金等支出。主要包括：办公费、印刷费、物业管理费、差旅费、会议费、培训费、公务接待费、工会经费、福利费、公务用车运行维护费、党建经费、退休人员活动经费等支出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bookmarkStart w:id="51" w:name="_Toc1898427546_WPSOffice_Level1"/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.2022年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部门预算公开表</w:t>
      </w:r>
      <w:bookmarkEnd w:id="51"/>
    </w:p>
    <w:p>
      <w:pPr>
        <w:ind w:firstLine="1600" w:firstLineChars="5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bookmarkStart w:id="52" w:name="_Toc1020058710_WPSOffice_Level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部门预算绩效目标表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bookmarkEnd w:id="52"/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610" w:right="1576" w:bottom="1440" w:left="157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FB" w:usb2="0000002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文泉驿正黑">
    <w:panose1 w:val="02000603000000000000"/>
    <w:charset w:val="86"/>
    <w:family w:val="auto"/>
    <w:pitch w:val="default"/>
    <w:sig w:usb0="900002BF" w:usb1="2BDF7DFB" w:usb2="00000036" w:usb3="00000000" w:csb0="603E000D" w:csb1="D2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2633FF"/>
    <w:multiLevelType w:val="singleLevel"/>
    <w:tmpl w:val="932633F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FEF9966"/>
    <w:multiLevelType w:val="singleLevel"/>
    <w:tmpl w:val="FFEF996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531A2"/>
    <w:rsid w:val="00E32101"/>
    <w:rsid w:val="557E0B20"/>
    <w:rsid w:val="62C531A2"/>
    <w:rsid w:val="667E73F7"/>
    <w:rsid w:val="686C6DE2"/>
    <w:rsid w:val="6DDA1FB5"/>
    <w:rsid w:val="73F969C6"/>
    <w:rsid w:val="7F7FFEC0"/>
    <w:rsid w:val="DACE61CD"/>
    <w:rsid w:val="FFAB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WPSOffice手动目录 1"/>
    <w:uiPriority w:val="0"/>
    <w:pPr>
      <w:ind w:leftChars="0"/>
    </w:pPr>
    <w:rPr>
      <w:sz w:val="20"/>
      <w:szCs w:val="20"/>
    </w:rPr>
  </w:style>
  <w:style w:type="paragraph" w:customStyle="1" w:styleId="7">
    <w:name w:val="WPSOffice手动目录 2"/>
    <w:uiPriority w:val="0"/>
    <w:pPr>
      <w:ind w:leftChars="200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51cbcacd-dd17-4f9f-b1ed-eb08764e3b1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1cbcacd-dd17-4f9f-b1ed-eb08764e3b16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a7c4e89-5f1a-412d-bc07-4cd4189bb93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a7c4e89-5f1a-412d-bc07-4cd4189bb93f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f87b5190-19f4-42e5-8a1d-452af8f6e67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87b5190-19f4-42e5-8a1d-452af8f6e675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b5f2e76d-a6e8-4553-ac98-3e2d2de591c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5f2e76d-a6e8-4553-ac98-3e2d2de591c6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bc99f49c-bd4d-43c5-9095-8d7c24d08f7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c99f49c-bd4d-43c5-9095-8d7c24d08f77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cc90998a-7891-401a-9e43-f5b76371df7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c90998a-7891-401a-9e43-f5b76371df7b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5040551-20fe-4fad-957a-04e1aaf37ec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5040551-20fe-4fad-957a-04e1aaf37ecb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0eee4b27-33e3-4e53-b2ed-7b56d3d3ce1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eee4b27-33e3-4e53-b2ed-7b56d3d3ce1a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b420ed09-a978-4749-824b-c6281980ebf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420ed09-a978-4749-824b-c6281980ebfc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ff39cd18-4d79-44b2-a806-8bae8b51d58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f39cd18-4d79-44b2-a806-8bae8b51d585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3f06d16b-bf1c-4f76-ac3f-67fcc72a31b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f06d16b-bf1c-4f76-ac3f-67fcc72a31b5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8e7f118d-0235-4970-b1b6-15826f28239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e7f118d-0235-4970-b1b6-15826f282391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8ab2f9b2-f696-499c-a226-b6ef9b2348a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ab2f9b2-f696-499c-a226-b6ef9b2348a7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68d08d2-d912-48d5-8fa3-f68d174b532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68d08d2-d912-48d5-8fa3-f68d174b5322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4c993ce7-7ff4-49fb-9db7-ccb1f103cdf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c993ce7-7ff4-49fb-9db7-ccb1f103cdf3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b81bad97-556e-43ec-8b7c-2f0f19face2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81bad97-556e-43ec-8b7c-2f0f19face2d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9e8d39f-9f3b-421f-85ec-979ec2d6c60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9e8d39f-9f3b-421f-85ec-979ec2d6c600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8597b93-5b75-4910-8aab-589c25599bb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597b93-5b75-4910-8aab-589c25599bbb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3691557-0085-46c0-839a-8f89c8cf1c3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3691557-0085-46c0-839a-8f89c8cf1c33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a6b32f1-e47e-4229-b5d4-9b6ce5b8802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a6b32f1-e47e-4229-b5d4-9b6ce5b88027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f6c26df-9812-47dd-bea2-17c8e299199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f6c26df-9812-47dd-bea2-17c8e2991996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0cc40f97-2a66-427d-9069-66fbb6271af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c40f97-2a66-427d-9069-66fbb6271af3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3d676be1-f873-46e7-ab2f-93aa62754e8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d676be1-f873-46e7-ab2f-93aa62754e86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00a6ba1f-dfe2-4a3e-bc1a-d431d40a7f0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0a6ba1f-dfe2-4a3e-bc1a-d431d40a7f09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c3b21546-8911-4e6e-aca4-5c909f96ad4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3b21546-8911-4e6e-aca4-5c909f96ad4b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2022-02-23T19:48:00Z</dcterms:created>
  <dc:creator>kaka</dc:creator>
  <cp:lastModifiedBy>user</cp:lastModifiedBy>
  <cp:lastPrinted>2022-03-01T11:11:00Z</cp:lastPrinted>
  <dcterms:modified xsi:type="dcterms:W3CDTF">2023-06-30T14:54:33Z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C1C6C50EB725497094031D920C1765CE</vt:lpwstr>
  </property>
</Properties>
</file>