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bookmarkStart w:id="0" w:name="_Toc7066"/>
      <w:bookmarkStart w:id="1" w:name="_Toc19109"/>
      <w:bookmarkStart w:id="2" w:name="_Toc20790"/>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pStyle w:val="3"/>
        <w:bidi w:val="0"/>
        <w:jc w:val="center"/>
        <w:rPr>
          <w:rFonts w:hint="eastAsia" w:asciiTheme="majorEastAsia" w:hAnsiTheme="majorEastAsia" w:eastAsiaTheme="majorEastAsia" w:cstheme="majorEastAsia"/>
          <w:b/>
          <w:bCs/>
          <w:sz w:val="52"/>
          <w:szCs w:val="52"/>
          <w:lang w:val="en-US" w:eastAsia="zh-CN"/>
        </w:rPr>
      </w:pPr>
      <w:r>
        <w:rPr>
          <w:rFonts w:hint="eastAsia" w:asciiTheme="majorEastAsia" w:hAnsiTheme="majorEastAsia" w:eastAsiaTheme="majorEastAsia" w:cstheme="majorEastAsia"/>
          <w:b/>
          <w:bCs/>
          <w:sz w:val="52"/>
          <w:szCs w:val="52"/>
          <w:lang w:val="en-US" w:eastAsia="zh-CN"/>
        </w:rPr>
        <w:t>广元市民政局</w:t>
      </w:r>
    </w:p>
    <w:p>
      <w:pPr>
        <w:pStyle w:val="3"/>
        <w:bidi w:val="0"/>
        <w:jc w:val="center"/>
        <w:rPr>
          <w:rFonts w:hint="eastAsia" w:asciiTheme="majorEastAsia" w:hAnsiTheme="majorEastAsia" w:eastAsiaTheme="majorEastAsia" w:cstheme="majorEastAsia"/>
          <w:b/>
          <w:bCs/>
          <w:kern w:val="2"/>
          <w:sz w:val="52"/>
          <w:szCs w:val="52"/>
          <w:lang w:val="en-US" w:eastAsia="zh-CN" w:bidi="ar-SA"/>
        </w:rPr>
      </w:pPr>
      <w:r>
        <w:rPr>
          <w:rFonts w:hint="eastAsia" w:asciiTheme="majorEastAsia" w:hAnsiTheme="majorEastAsia" w:eastAsiaTheme="majorEastAsia" w:cstheme="majorEastAsia"/>
          <w:b/>
          <w:bCs/>
          <w:sz w:val="52"/>
          <w:szCs w:val="52"/>
          <w:lang w:val="en-US" w:eastAsia="zh-CN"/>
        </w:rPr>
        <w:t>2022年部门预算编制说明</w:t>
      </w: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sdt>
      <w:sdtPr>
        <w:rPr>
          <w:rFonts w:ascii="宋体" w:hAnsi="宋体" w:eastAsia="宋体" w:cstheme="minorBidi"/>
          <w:kern w:val="2"/>
          <w:sz w:val="21"/>
          <w:szCs w:val="22"/>
          <w:lang w:val="en-US" w:eastAsia="zh-CN" w:bidi="ar-SA"/>
        </w:rPr>
        <w:id w:val="147453236"/>
        <w15:color w:val="DBDBDB"/>
        <w:docPartObj>
          <w:docPartGallery w:val="Table of Contents"/>
          <w:docPartUnique/>
        </w:docPartObj>
      </w:sdtPr>
      <w:sdtEndPr>
        <w:rPr>
          <w:rFonts w:ascii="宋体" w:hAnsi="宋体" w:eastAsia="宋体" w:cstheme="minorBidi"/>
          <w:b/>
          <w:kern w:val="2"/>
          <w:sz w:val="21"/>
          <w:szCs w:val="22"/>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52"/>
              <w:szCs w:val="52"/>
            </w:rPr>
            <w:t>目录</w:t>
          </w:r>
        </w:p>
        <w:p>
          <w:pPr>
            <w:pStyle w:val="23"/>
            <w:tabs>
              <w:tab w:val="right" w:leader="dot" w:pos="8845"/>
            </w:tabs>
            <w:rPr>
              <w:b/>
            </w:rPr>
          </w:pPr>
          <w:r>
            <w:fldChar w:fldCharType="begin"/>
          </w:r>
          <w:r>
            <w:instrText xml:space="preserve">TOC \o "1-2" \h \u </w:instrText>
          </w:r>
          <w:r>
            <w:fldChar w:fldCharType="separate"/>
          </w:r>
          <w:r>
            <w:rPr>
              <w:b/>
            </w:rPr>
            <w:fldChar w:fldCharType="begin"/>
          </w:r>
          <w:r>
            <w:rPr>
              <w:b/>
            </w:rPr>
            <w:instrText xml:space="preserve"> HYPERLINK \l _Toc18296 </w:instrText>
          </w:r>
          <w:r>
            <w:rPr>
              <w:b/>
            </w:rPr>
            <w:fldChar w:fldCharType="separate"/>
          </w:r>
          <w:r>
            <w:rPr>
              <w:rFonts w:hint="eastAsia" w:ascii="黑体" w:hAnsi="黑体" w:eastAsia="黑体" w:cs="黑体"/>
              <w:b/>
              <w:szCs w:val="32"/>
            </w:rPr>
            <w:t>一、基本职能及主要工作</w:t>
          </w:r>
          <w:r>
            <w:rPr>
              <w:b/>
            </w:rPr>
            <w:tab/>
          </w:r>
          <w:r>
            <w:rPr>
              <w:rFonts w:hint="eastAsia"/>
              <w:b/>
              <w:lang w:val="en-US" w:eastAsia="zh-CN"/>
            </w:rPr>
            <w:t>3</w:t>
          </w:r>
          <w:r>
            <w:rPr>
              <w:b/>
            </w:rPr>
            <w:fldChar w:fldCharType="end"/>
          </w:r>
        </w:p>
        <w:p>
          <w:pPr>
            <w:pStyle w:val="24"/>
            <w:tabs>
              <w:tab w:val="right" w:leader="dot" w:pos="8845"/>
            </w:tabs>
          </w:pPr>
          <w:r>
            <w:fldChar w:fldCharType="begin"/>
          </w:r>
          <w:r>
            <w:instrText xml:space="preserve"> HYPERLINK \l _Toc8587 </w:instrText>
          </w:r>
          <w:r>
            <w:fldChar w:fldCharType="separate"/>
          </w:r>
          <w:r>
            <w:rPr>
              <w:rFonts w:hint="eastAsia" w:ascii="楷体_GB2312" w:hAnsi="楷体_GB2312" w:eastAsia="楷体_GB2312" w:cs="楷体_GB2312"/>
              <w:bCs/>
              <w:szCs w:val="32"/>
            </w:rPr>
            <w:t>（一）广元市民政局职能简介</w:t>
          </w:r>
          <w:r>
            <w:tab/>
          </w:r>
          <w:r>
            <w:rPr>
              <w:rFonts w:hint="eastAsia"/>
              <w:lang w:val="en-US" w:eastAsia="zh-CN"/>
            </w:rPr>
            <w:t>3</w:t>
          </w:r>
          <w:r>
            <w:fldChar w:fldCharType="end"/>
          </w:r>
        </w:p>
        <w:p>
          <w:pPr>
            <w:pStyle w:val="24"/>
            <w:tabs>
              <w:tab w:val="right" w:leader="dot" w:pos="8845"/>
            </w:tabs>
          </w:pPr>
          <w:r>
            <w:fldChar w:fldCharType="begin"/>
          </w:r>
          <w:r>
            <w:instrText xml:space="preserve"> HYPERLINK \l _Toc22689 </w:instrText>
          </w:r>
          <w:r>
            <w:fldChar w:fldCharType="separate"/>
          </w:r>
          <w:r>
            <w:rPr>
              <w:rFonts w:hint="eastAsia" w:ascii="楷体_GB2312" w:hAnsi="楷体_GB2312" w:eastAsia="楷体_GB2312" w:cs="楷体_GB2312"/>
              <w:bCs/>
              <w:szCs w:val="32"/>
              <w:lang w:eastAsia="zh-CN"/>
            </w:rPr>
            <w:t>（</w:t>
          </w:r>
          <w:r>
            <w:rPr>
              <w:rFonts w:hint="eastAsia" w:ascii="楷体_GB2312" w:hAnsi="楷体_GB2312" w:eastAsia="楷体_GB2312" w:cs="楷体_GB2312"/>
              <w:bCs/>
              <w:szCs w:val="32"/>
            </w:rPr>
            <w:t>二</w:t>
          </w:r>
          <w:r>
            <w:rPr>
              <w:rFonts w:hint="eastAsia" w:ascii="楷体_GB2312" w:hAnsi="楷体_GB2312" w:eastAsia="楷体_GB2312" w:cs="楷体_GB2312"/>
              <w:bCs/>
              <w:szCs w:val="32"/>
              <w:lang w:eastAsia="zh-CN"/>
            </w:rPr>
            <w:t>）</w:t>
          </w:r>
          <w:r>
            <w:rPr>
              <w:rFonts w:hint="eastAsia" w:ascii="楷体_GB2312" w:hAnsi="楷体_GB2312" w:eastAsia="楷体_GB2312" w:cs="楷体_GB2312"/>
              <w:bCs/>
              <w:szCs w:val="32"/>
            </w:rPr>
            <w:t>广元市民政局202</w:t>
          </w:r>
          <w:r>
            <w:rPr>
              <w:rFonts w:hint="eastAsia" w:ascii="楷体_GB2312" w:hAnsi="楷体_GB2312" w:eastAsia="楷体_GB2312" w:cs="楷体_GB2312"/>
              <w:bCs/>
              <w:szCs w:val="32"/>
              <w:lang w:val="en-US" w:eastAsia="zh-CN"/>
            </w:rPr>
            <w:t>2</w:t>
          </w:r>
          <w:r>
            <w:rPr>
              <w:rFonts w:hint="eastAsia" w:ascii="楷体_GB2312" w:hAnsi="楷体_GB2312" w:eastAsia="楷体_GB2312" w:cs="楷体_GB2312"/>
              <w:bCs/>
              <w:szCs w:val="32"/>
            </w:rPr>
            <w:t>年重点工作</w:t>
          </w:r>
          <w:r>
            <w:tab/>
          </w:r>
          <w:r>
            <w:rPr>
              <w:rFonts w:hint="eastAsia"/>
              <w:lang w:val="en-US" w:eastAsia="zh-CN"/>
            </w:rPr>
            <w:t>5</w:t>
          </w:r>
          <w:r>
            <w:fldChar w:fldCharType="end"/>
          </w:r>
        </w:p>
        <w:p>
          <w:pPr>
            <w:pStyle w:val="23"/>
            <w:tabs>
              <w:tab w:val="right" w:leader="dot" w:pos="8845"/>
            </w:tabs>
            <w:rPr>
              <w:b/>
            </w:rPr>
          </w:pPr>
          <w:r>
            <w:rPr>
              <w:b/>
            </w:rPr>
            <w:fldChar w:fldCharType="begin"/>
          </w:r>
          <w:r>
            <w:rPr>
              <w:b/>
            </w:rPr>
            <w:instrText xml:space="preserve"> HYPERLINK \l _Toc4119 </w:instrText>
          </w:r>
          <w:r>
            <w:rPr>
              <w:b/>
            </w:rPr>
            <w:fldChar w:fldCharType="separate"/>
          </w:r>
          <w:r>
            <w:rPr>
              <w:rFonts w:hint="eastAsia" w:ascii="黑体" w:hAnsi="黑体" w:eastAsia="黑体" w:cs="黑体"/>
              <w:b/>
              <w:bCs/>
              <w:szCs w:val="32"/>
              <w:lang w:eastAsia="zh-CN"/>
            </w:rPr>
            <w:t>二、</w:t>
          </w:r>
          <w:r>
            <w:rPr>
              <w:rFonts w:hint="eastAsia" w:ascii="黑体" w:hAnsi="黑体" w:eastAsia="黑体" w:cs="黑体"/>
              <w:b/>
              <w:bCs/>
              <w:szCs w:val="32"/>
            </w:rPr>
            <w:t>部门预算单位构成</w:t>
          </w:r>
          <w:r>
            <w:rPr>
              <w:b/>
            </w:rPr>
            <w:tab/>
          </w:r>
          <w:r>
            <w:rPr>
              <w:b/>
            </w:rPr>
            <w:fldChar w:fldCharType="begin"/>
          </w:r>
          <w:r>
            <w:rPr>
              <w:b/>
            </w:rPr>
            <w:instrText xml:space="preserve"> PAGEREF _Toc4119 \h </w:instrText>
          </w:r>
          <w:r>
            <w:rPr>
              <w:b/>
            </w:rPr>
            <w:fldChar w:fldCharType="separate"/>
          </w:r>
          <w:r>
            <w:rPr>
              <w:b/>
            </w:rPr>
            <w:t>1</w:t>
          </w:r>
          <w:r>
            <w:rPr>
              <w:rFonts w:hint="eastAsia"/>
              <w:b/>
              <w:lang w:val="en-US" w:eastAsia="zh-CN"/>
            </w:rPr>
            <w:t>2</w:t>
          </w:r>
          <w:r>
            <w:rPr>
              <w:b/>
            </w:rPr>
            <w:fldChar w:fldCharType="end"/>
          </w:r>
          <w:r>
            <w:rPr>
              <w:b/>
            </w:rPr>
            <w:fldChar w:fldCharType="end"/>
          </w:r>
        </w:p>
        <w:p>
          <w:pPr>
            <w:pStyle w:val="23"/>
            <w:tabs>
              <w:tab w:val="right" w:leader="dot" w:pos="8845"/>
            </w:tabs>
            <w:rPr>
              <w:b/>
            </w:rPr>
          </w:pPr>
          <w:r>
            <w:rPr>
              <w:b/>
            </w:rPr>
            <w:fldChar w:fldCharType="begin"/>
          </w:r>
          <w:r>
            <w:rPr>
              <w:b/>
            </w:rPr>
            <w:instrText xml:space="preserve"> HYPERLINK \l _Toc3494 </w:instrText>
          </w:r>
          <w:r>
            <w:rPr>
              <w:b/>
            </w:rPr>
            <w:fldChar w:fldCharType="separate"/>
          </w:r>
          <w:r>
            <w:rPr>
              <w:rFonts w:hint="eastAsia" w:ascii="黑体" w:hAnsi="黑体" w:eastAsia="黑体" w:cs="黑体"/>
              <w:b/>
              <w:bCs/>
              <w:szCs w:val="32"/>
              <w:lang w:eastAsia="zh-CN"/>
            </w:rPr>
            <w:t>三、</w:t>
          </w:r>
          <w:r>
            <w:rPr>
              <w:rFonts w:hint="eastAsia" w:ascii="黑体" w:hAnsi="黑体" w:eastAsia="黑体" w:cs="黑体"/>
              <w:b/>
              <w:bCs/>
              <w:szCs w:val="32"/>
            </w:rPr>
            <w:t>广元市民政局202</w:t>
          </w:r>
          <w:r>
            <w:rPr>
              <w:rFonts w:hint="eastAsia" w:ascii="黑体" w:hAnsi="黑体" w:eastAsia="黑体" w:cs="黑体"/>
              <w:b/>
              <w:bCs/>
              <w:szCs w:val="32"/>
              <w:lang w:val="en-US" w:eastAsia="zh-CN"/>
            </w:rPr>
            <w:t>2</w:t>
          </w:r>
          <w:r>
            <w:rPr>
              <w:rFonts w:hint="eastAsia" w:ascii="黑体" w:hAnsi="黑体" w:eastAsia="黑体" w:cs="黑体"/>
              <w:b/>
              <w:bCs/>
              <w:szCs w:val="32"/>
            </w:rPr>
            <w:t>年财政拨款部门情况的总体说明</w:t>
          </w:r>
          <w:r>
            <w:rPr>
              <w:b/>
            </w:rPr>
            <w:tab/>
          </w:r>
          <w:r>
            <w:rPr>
              <w:b/>
            </w:rPr>
            <w:fldChar w:fldCharType="begin"/>
          </w:r>
          <w:r>
            <w:rPr>
              <w:b/>
            </w:rPr>
            <w:instrText xml:space="preserve"> PAGEREF _Toc3494 \h </w:instrText>
          </w:r>
          <w:r>
            <w:rPr>
              <w:b/>
            </w:rPr>
            <w:fldChar w:fldCharType="separate"/>
          </w:r>
          <w:r>
            <w:rPr>
              <w:b/>
            </w:rPr>
            <w:t>1</w:t>
          </w:r>
          <w:r>
            <w:rPr>
              <w:rFonts w:hint="eastAsia"/>
              <w:b/>
              <w:lang w:val="en-US" w:eastAsia="zh-CN"/>
            </w:rPr>
            <w:t>3</w:t>
          </w:r>
          <w:r>
            <w:rPr>
              <w:b/>
            </w:rPr>
            <w:fldChar w:fldCharType="end"/>
          </w:r>
          <w:r>
            <w:rPr>
              <w:b/>
            </w:rPr>
            <w:fldChar w:fldCharType="end"/>
          </w:r>
        </w:p>
        <w:p>
          <w:pPr>
            <w:pStyle w:val="23"/>
            <w:tabs>
              <w:tab w:val="right" w:leader="dot" w:pos="8845"/>
            </w:tabs>
            <w:rPr>
              <w:b/>
            </w:rPr>
          </w:pPr>
          <w:r>
            <w:rPr>
              <w:b/>
            </w:rPr>
            <w:fldChar w:fldCharType="begin"/>
          </w:r>
          <w:r>
            <w:rPr>
              <w:b/>
            </w:rPr>
            <w:instrText xml:space="preserve"> HYPERLINK \l _Toc8214 </w:instrText>
          </w:r>
          <w:r>
            <w:rPr>
              <w:b/>
            </w:rPr>
            <w:fldChar w:fldCharType="separate"/>
          </w:r>
          <w:r>
            <w:rPr>
              <w:rFonts w:hint="eastAsia" w:ascii="黑体" w:hAnsi="黑体" w:eastAsia="黑体" w:cs="黑体"/>
              <w:b/>
              <w:i w:val="0"/>
              <w:caps w:val="0"/>
              <w:spacing w:val="0"/>
              <w:kern w:val="0"/>
              <w:szCs w:val="32"/>
              <w:shd w:val="clear" w:color="auto" w:fill="FFFFFF"/>
              <w:lang w:val="en-US" w:eastAsia="zh-CN" w:bidi="ar"/>
            </w:rPr>
            <w:t>四、财政拨款收支预算情况说明</w:t>
          </w:r>
          <w:r>
            <w:rPr>
              <w:b/>
            </w:rPr>
            <w:tab/>
          </w:r>
          <w:r>
            <w:rPr>
              <w:b/>
            </w:rPr>
            <w:fldChar w:fldCharType="begin"/>
          </w:r>
          <w:r>
            <w:rPr>
              <w:b/>
            </w:rPr>
            <w:instrText xml:space="preserve"> PAGEREF _Toc8214 \h </w:instrText>
          </w:r>
          <w:r>
            <w:rPr>
              <w:b/>
            </w:rPr>
            <w:fldChar w:fldCharType="separate"/>
          </w:r>
          <w:r>
            <w:rPr>
              <w:b/>
            </w:rPr>
            <w:t>1</w:t>
          </w:r>
          <w:r>
            <w:rPr>
              <w:rFonts w:hint="eastAsia"/>
              <w:b/>
              <w:lang w:val="en-US" w:eastAsia="zh-CN"/>
            </w:rPr>
            <w:t>3</w:t>
          </w:r>
          <w:r>
            <w:rPr>
              <w:b/>
            </w:rPr>
            <w:fldChar w:fldCharType="end"/>
          </w:r>
          <w:r>
            <w:rPr>
              <w:b/>
            </w:rPr>
            <w:fldChar w:fldCharType="end"/>
          </w:r>
        </w:p>
        <w:p>
          <w:pPr>
            <w:pStyle w:val="23"/>
            <w:tabs>
              <w:tab w:val="right" w:leader="dot" w:pos="8845"/>
            </w:tabs>
            <w:rPr>
              <w:b/>
            </w:rPr>
          </w:pPr>
          <w:r>
            <w:rPr>
              <w:b/>
            </w:rPr>
            <w:fldChar w:fldCharType="begin"/>
          </w:r>
          <w:r>
            <w:rPr>
              <w:b/>
            </w:rPr>
            <w:instrText xml:space="preserve"> HYPERLINK \l _Toc8864 </w:instrText>
          </w:r>
          <w:r>
            <w:rPr>
              <w:b/>
            </w:rPr>
            <w:fldChar w:fldCharType="separate"/>
          </w:r>
          <w:r>
            <w:rPr>
              <w:rFonts w:hint="eastAsia" w:ascii="黑体" w:hAnsi="黑体" w:eastAsia="黑体" w:cs="黑体"/>
              <w:b/>
              <w:i w:val="0"/>
              <w:caps w:val="0"/>
              <w:spacing w:val="0"/>
              <w:kern w:val="0"/>
              <w:szCs w:val="32"/>
              <w:shd w:val="clear" w:color="auto" w:fill="FFFFFF"/>
              <w:lang w:val="en-US" w:eastAsia="zh-CN" w:bidi="ar"/>
            </w:rPr>
            <w:t>五、一般公共预算当年拨款情况说明</w:t>
          </w:r>
          <w:r>
            <w:rPr>
              <w:b/>
            </w:rPr>
            <w:tab/>
          </w:r>
          <w:r>
            <w:rPr>
              <w:b/>
            </w:rPr>
            <w:fldChar w:fldCharType="begin"/>
          </w:r>
          <w:r>
            <w:rPr>
              <w:b/>
            </w:rPr>
            <w:instrText xml:space="preserve"> PAGEREF _Toc8864 \h </w:instrText>
          </w:r>
          <w:r>
            <w:rPr>
              <w:b/>
            </w:rPr>
            <w:fldChar w:fldCharType="separate"/>
          </w:r>
          <w:r>
            <w:rPr>
              <w:b/>
            </w:rPr>
            <w:t>1</w:t>
          </w:r>
          <w:r>
            <w:rPr>
              <w:rFonts w:hint="eastAsia"/>
              <w:b/>
              <w:lang w:val="en-US" w:eastAsia="zh-CN"/>
            </w:rPr>
            <w:t>4</w:t>
          </w:r>
          <w:r>
            <w:rPr>
              <w:b/>
            </w:rPr>
            <w:fldChar w:fldCharType="end"/>
          </w:r>
          <w:r>
            <w:rPr>
              <w:b/>
            </w:rPr>
            <w:fldChar w:fldCharType="end"/>
          </w:r>
        </w:p>
        <w:p>
          <w:pPr>
            <w:pStyle w:val="24"/>
            <w:tabs>
              <w:tab w:val="right" w:leader="dot" w:pos="8845"/>
            </w:tabs>
          </w:pPr>
          <w:r>
            <w:fldChar w:fldCharType="begin"/>
          </w:r>
          <w:r>
            <w:instrText xml:space="preserve"> HYPERLINK \l _Toc7142 </w:instrText>
          </w:r>
          <w:r>
            <w:fldChar w:fldCharType="separate"/>
          </w:r>
          <w:r>
            <w:rPr>
              <w:rFonts w:hint="eastAsia" w:ascii="楷体_GB2312" w:hAnsi="楷体_GB2312" w:eastAsia="楷体_GB2312" w:cs="楷体_GB2312"/>
              <w:i w:val="0"/>
              <w:caps w:val="0"/>
              <w:spacing w:val="0"/>
              <w:kern w:val="0"/>
              <w:szCs w:val="32"/>
              <w:shd w:val="clear" w:color="auto" w:fill="FFFFFF"/>
              <w:lang w:val="en-US" w:eastAsia="zh-CN" w:bidi="ar"/>
            </w:rPr>
            <w:t>（一）一般公共预算当年拨款规模变化情况</w:t>
          </w:r>
          <w:r>
            <w:tab/>
          </w:r>
          <w:r>
            <w:fldChar w:fldCharType="begin"/>
          </w:r>
          <w:r>
            <w:instrText xml:space="preserve"> PAGEREF _Toc7142 \h </w:instrText>
          </w:r>
          <w:r>
            <w:fldChar w:fldCharType="separate"/>
          </w:r>
          <w:r>
            <w:t>1</w:t>
          </w:r>
          <w:r>
            <w:rPr>
              <w:rFonts w:hint="eastAsia"/>
              <w:lang w:val="en-US" w:eastAsia="zh-CN"/>
            </w:rPr>
            <w:t>4</w:t>
          </w:r>
          <w:r>
            <w:fldChar w:fldCharType="end"/>
          </w:r>
          <w:r>
            <w:fldChar w:fldCharType="end"/>
          </w:r>
        </w:p>
        <w:p>
          <w:pPr>
            <w:pStyle w:val="24"/>
            <w:tabs>
              <w:tab w:val="right" w:leader="dot" w:pos="8845"/>
            </w:tabs>
          </w:pPr>
          <w:r>
            <w:fldChar w:fldCharType="begin"/>
          </w:r>
          <w:r>
            <w:instrText xml:space="preserve"> HYPERLINK \l _Toc25106 </w:instrText>
          </w:r>
          <w:r>
            <w:fldChar w:fldCharType="separate"/>
          </w:r>
          <w:r>
            <w:rPr>
              <w:rFonts w:hint="eastAsia" w:ascii="楷体_GB2312" w:hAnsi="楷体_GB2312" w:eastAsia="楷体_GB2312" w:cs="楷体_GB2312"/>
              <w:bCs/>
              <w:i w:val="0"/>
              <w:caps w:val="0"/>
              <w:spacing w:val="0"/>
              <w:kern w:val="0"/>
              <w:szCs w:val="32"/>
              <w:shd w:val="clear" w:color="auto" w:fill="FFFFFF"/>
              <w:lang w:val="en-US" w:eastAsia="zh-CN" w:bidi="ar"/>
            </w:rPr>
            <w:t>（二）一般公共预算当年拨款结构情况</w:t>
          </w:r>
          <w:r>
            <w:tab/>
          </w:r>
          <w:r>
            <w:fldChar w:fldCharType="begin"/>
          </w:r>
          <w:r>
            <w:instrText xml:space="preserve"> PAGEREF _Toc25106 \h </w:instrText>
          </w:r>
          <w:r>
            <w:fldChar w:fldCharType="separate"/>
          </w:r>
          <w:r>
            <w:t>1</w:t>
          </w:r>
          <w:r>
            <w:rPr>
              <w:rFonts w:hint="eastAsia"/>
              <w:lang w:val="en-US" w:eastAsia="zh-CN"/>
            </w:rPr>
            <w:t>4</w:t>
          </w:r>
          <w:r>
            <w:fldChar w:fldCharType="end"/>
          </w:r>
          <w:r>
            <w:fldChar w:fldCharType="end"/>
          </w:r>
        </w:p>
        <w:p>
          <w:pPr>
            <w:pStyle w:val="24"/>
            <w:tabs>
              <w:tab w:val="right" w:leader="dot" w:pos="8845"/>
            </w:tabs>
          </w:pPr>
          <w:r>
            <w:fldChar w:fldCharType="begin"/>
          </w:r>
          <w:r>
            <w:instrText xml:space="preserve"> HYPERLINK \l _Toc7040 </w:instrText>
          </w:r>
          <w:r>
            <w:fldChar w:fldCharType="separate"/>
          </w:r>
          <w:r>
            <w:rPr>
              <w:rFonts w:hint="eastAsia" w:ascii="楷体_GB2312" w:hAnsi="楷体_GB2312" w:eastAsia="楷体_GB2312" w:cs="楷体_GB2312"/>
              <w:i w:val="0"/>
              <w:caps w:val="0"/>
              <w:spacing w:val="0"/>
              <w:kern w:val="0"/>
              <w:szCs w:val="32"/>
              <w:shd w:val="clear" w:fill="FFFFFF"/>
              <w:lang w:val="en-US" w:eastAsia="zh-CN" w:bidi="ar"/>
            </w:rPr>
            <w:t xml:space="preserve">（三） </w:t>
          </w:r>
          <w:r>
            <w:rPr>
              <w:rFonts w:hint="eastAsia" w:ascii="楷体_GB2312" w:hAnsi="楷体_GB2312" w:eastAsia="楷体_GB2312" w:cs="楷体_GB2312"/>
              <w:i w:val="0"/>
              <w:caps w:val="0"/>
              <w:spacing w:val="0"/>
              <w:kern w:val="0"/>
              <w:szCs w:val="32"/>
              <w:shd w:val="clear" w:color="auto" w:fill="FFFFFF"/>
              <w:lang w:val="en-US" w:eastAsia="zh-CN" w:bidi="ar"/>
            </w:rPr>
            <w:t>一般公共预算当年拨款具体使用情况</w:t>
          </w:r>
          <w:r>
            <w:tab/>
          </w:r>
          <w:r>
            <w:fldChar w:fldCharType="begin"/>
          </w:r>
          <w:r>
            <w:instrText xml:space="preserve"> PAGEREF _Toc7040 \h </w:instrText>
          </w:r>
          <w:r>
            <w:fldChar w:fldCharType="separate"/>
          </w:r>
          <w:r>
            <w:t>1</w:t>
          </w:r>
          <w:r>
            <w:rPr>
              <w:rFonts w:hint="eastAsia"/>
              <w:lang w:val="en-US" w:eastAsia="zh-CN"/>
            </w:rPr>
            <w:t>4</w:t>
          </w:r>
          <w:r>
            <w:fldChar w:fldCharType="end"/>
          </w:r>
          <w:r>
            <w:fldChar w:fldCharType="end"/>
          </w:r>
        </w:p>
        <w:p>
          <w:pPr>
            <w:pStyle w:val="23"/>
            <w:tabs>
              <w:tab w:val="right" w:leader="dot" w:pos="8845"/>
            </w:tabs>
            <w:rPr>
              <w:b/>
            </w:rPr>
          </w:pPr>
          <w:r>
            <w:rPr>
              <w:b/>
            </w:rPr>
            <w:fldChar w:fldCharType="begin"/>
          </w:r>
          <w:r>
            <w:rPr>
              <w:b/>
            </w:rPr>
            <w:instrText xml:space="preserve"> HYPERLINK \l _Toc9621 </w:instrText>
          </w:r>
          <w:r>
            <w:rPr>
              <w:b/>
            </w:rPr>
            <w:fldChar w:fldCharType="separate"/>
          </w:r>
          <w:r>
            <w:rPr>
              <w:rFonts w:hint="eastAsia" w:ascii="黑体" w:hAnsi="黑体" w:eastAsia="黑体" w:cs="黑体"/>
              <w:b/>
              <w:bCs w:val="0"/>
              <w:i w:val="0"/>
              <w:caps w:val="0"/>
              <w:spacing w:val="0"/>
              <w:kern w:val="0"/>
              <w:szCs w:val="32"/>
              <w:shd w:val="clear" w:color="auto" w:fill="FFFFFF"/>
              <w:lang w:val="en-US" w:eastAsia="zh-CN" w:bidi="ar"/>
            </w:rPr>
            <w:t>六、一般公共预算基本支出情况说明</w:t>
          </w:r>
          <w:r>
            <w:rPr>
              <w:b/>
            </w:rPr>
            <w:tab/>
          </w:r>
          <w:r>
            <w:rPr>
              <w:b/>
            </w:rPr>
            <w:fldChar w:fldCharType="begin"/>
          </w:r>
          <w:r>
            <w:rPr>
              <w:b/>
            </w:rPr>
            <w:instrText xml:space="preserve"> PAGEREF _Toc9621 \h </w:instrText>
          </w:r>
          <w:r>
            <w:rPr>
              <w:b/>
            </w:rPr>
            <w:fldChar w:fldCharType="separate"/>
          </w:r>
          <w:r>
            <w:rPr>
              <w:b/>
            </w:rPr>
            <w:t>15</w:t>
          </w:r>
          <w:r>
            <w:rPr>
              <w:b/>
            </w:rPr>
            <w:fldChar w:fldCharType="end"/>
          </w:r>
          <w:r>
            <w:rPr>
              <w:b/>
            </w:rPr>
            <w:fldChar w:fldCharType="end"/>
          </w:r>
        </w:p>
        <w:p>
          <w:pPr>
            <w:pStyle w:val="23"/>
            <w:tabs>
              <w:tab w:val="right" w:leader="dot" w:pos="8845"/>
            </w:tabs>
            <w:rPr>
              <w:b/>
            </w:rPr>
          </w:pPr>
          <w:r>
            <w:rPr>
              <w:b/>
            </w:rPr>
            <w:fldChar w:fldCharType="begin"/>
          </w:r>
          <w:r>
            <w:rPr>
              <w:b/>
            </w:rPr>
            <w:instrText xml:space="preserve"> HYPERLINK \l _Toc5548 </w:instrText>
          </w:r>
          <w:r>
            <w:rPr>
              <w:b/>
            </w:rPr>
            <w:fldChar w:fldCharType="separate"/>
          </w:r>
          <w:r>
            <w:rPr>
              <w:rFonts w:hint="eastAsia" w:ascii="黑体" w:hAnsi="黑体" w:eastAsia="黑体" w:cs="黑体"/>
              <w:b/>
              <w:bCs w:val="0"/>
              <w:i w:val="0"/>
              <w:caps w:val="0"/>
              <w:spacing w:val="0"/>
              <w:kern w:val="0"/>
              <w:szCs w:val="32"/>
              <w:shd w:val="clear" w:color="auto" w:fill="FFFFFF"/>
              <w:lang w:val="en-US" w:eastAsia="zh-CN" w:bidi="ar"/>
            </w:rPr>
            <w:t>七、“三公”经费财政拨款预算安排情况说明</w:t>
          </w:r>
          <w:r>
            <w:rPr>
              <w:b/>
            </w:rPr>
            <w:tab/>
          </w:r>
          <w:r>
            <w:rPr>
              <w:b/>
            </w:rPr>
            <w:fldChar w:fldCharType="begin"/>
          </w:r>
          <w:r>
            <w:rPr>
              <w:b/>
            </w:rPr>
            <w:instrText xml:space="preserve"> PAGEREF _Toc5548 \h </w:instrText>
          </w:r>
          <w:r>
            <w:rPr>
              <w:b/>
            </w:rPr>
            <w:fldChar w:fldCharType="separate"/>
          </w:r>
          <w:r>
            <w:rPr>
              <w:b/>
            </w:rPr>
            <w:t>15</w:t>
          </w:r>
          <w:r>
            <w:rPr>
              <w:b/>
            </w:rPr>
            <w:fldChar w:fldCharType="end"/>
          </w:r>
          <w:r>
            <w:rPr>
              <w:b/>
            </w:rPr>
            <w:fldChar w:fldCharType="end"/>
          </w:r>
        </w:p>
        <w:p>
          <w:pPr>
            <w:pStyle w:val="23"/>
            <w:tabs>
              <w:tab w:val="right" w:leader="dot" w:pos="8845"/>
            </w:tabs>
            <w:rPr>
              <w:b/>
            </w:rPr>
          </w:pPr>
          <w:r>
            <w:rPr>
              <w:b/>
            </w:rPr>
            <w:fldChar w:fldCharType="begin"/>
          </w:r>
          <w:r>
            <w:rPr>
              <w:b/>
            </w:rPr>
            <w:instrText xml:space="preserve"> HYPERLINK \l _Toc17938 </w:instrText>
          </w:r>
          <w:r>
            <w:rPr>
              <w:b/>
            </w:rPr>
            <w:fldChar w:fldCharType="separate"/>
          </w:r>
          <w:r>
            <w:rPr>
              <w:rFonts w:hint="eastAsia" w:ascii="黑体" w:hAnsi="黑体" w:eastAsia="黑体" w:cs="黑体"/>
              <w:b/>
              <w:bCs w:val="0"/>
              <w:i w:val="0"/>
              <w:caps w:val="0"/>
              <w:spacing w:val="0"/>
              <w:kern w:val="0"/>
              <w:szCs w:val="32"/>
              <w:shd w:val="clear" w:color="auto" w:fill="FFFFFF"/>
              <w:lang w:val="en-US" w:eastAsia="zh-CN" w:bidi="ar"/>
            </w:rPr>
            <w:t>八、政府性基金预算支出情况说明</w:t>
          </w:r>
          <w:r>
            <w:rPr>
              <w:b/>
            </w:rPr>
            <w:tab/>
          </w:r>
          <w:r>
            <w:rPr>
              <w:b/>
            </w:rPr>
            <w:fldChar w:fldCharType="begin"/>
          </w:r>
          <w:r>
            <w:rPr>
              <w:b/>
            </w:rPr>
            <w:instrText xml:space="preserve"> PAGEREF _Toc17938 \h </w:instrText>
          </w:r>
          <w:r>
            <w:rPr>
              <w:b/>
            </w:rPr>
            <w:fldChar w:fldCharType="separate"/>
          </w:r>
          <w:r>
            <w:rPr>
              <w:b/>
            </w:rPr>
            <w:t>16</w:t>
          </w:r>
          <w:r>
            <w:rPr>
              <w:b/>
            </w:rPr>
            <w:fldChar w:fldCharType="end"/>
          </w:r>
          <w:r>
            <w:rPr>
              <w:b/>
            </w:rPr>
            <w:fldChar w:fldCharType="end"/>
          </w:r>
        </w:p>
        <w:p>
          <w:pPr>
            <w:pStyle w:val="23"/>
            <w:tabs>
              <w:tab w:val="right" w:leader="dot" w:pos="8845"/>
            </w:tabs>
            <w:rPr>
              <w:b/>
            </w:rPr>
          </w:pPr>
          <w:r>
            <w:rPr>
              <w:b/>
            </w:rPr>
            <w:fldChar w:fldCharType="begin"/>
          </w:r>
          <w:r>
            <w:rPr>
              <w:b/>
            </w:rPr>
            <w:instrText xml:space="preserve"> HYPERLINK \l _Toc28624 </w:instrText>
          </w:r>
          <w:r>
            <w:rPr>
              <w:b/>
            </w:rPr>
            <w:fldChar w:fldCharType="separate"/>
          </w:r>
          <w:r>
            <w:rPr>
              <w:rFonts w:hint="eastAsia" w:ascii="黑体" w:hAnsi="黑体" w:eastAsia="黑体" w:cs="黑体"/>
              <w:b/>
              <w:i w:val="0"/>
              <w:caps w:val="0"/>
              <w:spacing w:val="0"/>
              <w:kern w:val="0"/>
              <w:szCs w:val="32"/>
              <w:shd w:val="clear" w:color="auto" w:fill="FFFFFF"/>
              <w:lang w:val="en-US" w:eastAsia="zh-CN" w:bidi="ar"/>
            </w:rPr>
            <w:t>九、国有资本经营预算支出情况说明</w:t>
          </w:r>
          <w:r>
            <w:rPr>
              <w:b/>
            </w:rPr>
            <w:tab/>
          </w:r>
          <w:r>
            <w:rPr>
              <w:b/>
            </w:rPr>
            <w:fldChar w:fldCharType="begin"/>
          </w:r>
          <w:r>
            <w:rPr>
              <w:b/>
            </w:rPr>
            <w:instrText xml:space="preserve"> PAGEREF _Toc28624 \h </w:instrText>
          </w:r>
          <w:r>
            <w:rPr>
              <w:b/>
            </w:rPr>
            <w:fldChar w:fldCharType="separate"/>
          </w:r>
          <w:r>
            <w:rPr>
              <w:b/>
            </w:rPr>
            <w:t>16</w:t>
          </w:r>
          <w:r>
            <w:rPr>
              <w:b/>
            </w:rPr>
            <w:fldChar w:fldCharType="end"/>
          </w:r>
          <w:r>
            <w:rPr>
              <w:b/>
            </w:rPr>
            <w:fldChar w:fldCharType="end"/>
          </w:r>
        </w:p>
        <w:p>
          <w:pPr>
            <w:pStyle w:val="23"/>
            <w:tabs>
              <w:tab w:val="right" w:leader="dot" w:pos="8845"/>
            </w:tabs>
            <w:rPr>
              <w:b/>
            </w:rPr>
          </w:pPr>
          <w:r>
            <w:rPr>
              <w:b/>
            </w:rPr>
            <w:fldChar w:fldCharType="begin"/>
          </w:r>
          <w:r>
            <w:rPr>
              <w:b/>
            </w:rPr>
            <w:instrText xml:space="preserve"> HYPERLINK \l _Toc19187 </w:instrText>
          </w:r>
          <w:r>
            <w:rPr>
              <w:b/>
            </w:rPr>
            <w:fldChar w:fldCharType="separate"/>
          </w:r>
          <w:r>
            <w:rPr>
              <w:rFonts w:hint="eastAsia" w:ascii="黑体" w:hAnsi="黑体" w:eastAsia="黑体" w:cs="黑体"/>
              <w:b/>
              <w:i w:val="0"/>
              <w:caps w:val="0"/>
              <w:spacing w:val="0"/>
              <w:kern w:val="0"/>
              <w:szCs w:val="32"/>
              <w:shd w:val="clear" w:color="auto" w:fill="FFFFFF"/>
              <w:lang w:val="en-US" w:eastAsia="zh-CN" w:bidi="ar"/>
            </w:rPr>
            <w:t>十、其他重要事项的情况说明</w:t>
          </w:r>
          <w:r>
            <w:rPr>
              <w:b/>
            </w:rPr>
            <w:tab/>
          </w:r>
          <w:r>
            <w:rPr>
              <w:b/>
            </w:rPr>
            <w:fldChar w:fldCharType="begin"/>
          </w:r>
          <w:r>
            <w:rPr>
              <w:b/>
            </w:rPr>
            <w:instrText xml:space="preserve"> PAGEREF _Toc19187 \h </w:instrText>
          </w:r>
          <w:r>
            <w:rPr>
              <w:b/>
            </w:rPr>
            <w:fldChar w:fldCharType="separate"/>
          </w:r>
          <w:r>
            <w:rPr>
              <w:b/>
            </w:rPr>
            <w:t>17</w:t>
          </w:r>
          <w:r>
            <w:rPr>
              <w:b/>
            </w:rPr>
            <w:fldChar w:fldCharType="end"/>
          </w:r>
          <w:r>
            <w:rPr>
              <w:b/>
            </w:rPr>
            <w:fldChar w:fldCharType="end"/>
          </w:r>
        </w:p>
        <w:p>
          <w:pPr>
            <w:pStyle w:val="24"/>
            <w:tabs>
              <w:tab w:val="right" w:leader="dot" w:pos="8845"/>
            </w:tabs>
          </w:pPr>
          <w:r>
            <w:fldChar w:fldCharType="begin"/>
          </w:r>
          <w:r>
            <w:instrText xml:space="preserve"> HYPERLINK \l _Toc21727 </w:instrText>
          </w:r>
          <w:r>
            <w:fldChar w:fldCharType="separate"/>
          </w:r>
          <w:r>
            <w:rPr>
              <w:rFonts w:hint="eastAsia" w:ascii="楷体_GB2312" w:hAnsi="楷体_GB2312" w:eastAsia="楷体_GB2312" w:cs="楷体_GB2312"/>
              <w:i w:val="0"/>
              <w:caps w:val="0"/>
              <w:spacing w:val="0"/>
              <w:kern w:val="0"/>
              <w:szCs w:val="32"/>
              <w:shd w:val="clear" w:color="auto" w:fill="FFFFFF"/>
              <w:lang w:val="en-US" w:eastAsia="zh-CN" w:bidi="ar"/>
            </w:rPr>
            <w:t>（一）机关运行经费</w:t>
          </w:r>
          <w:r>
            <w:tab/>
          </w:r>
          <w:r>
            <w:fldChar w:fldCharType="begin"/>
          </w:r>
          <w:r>
            <w:instrText xml:space="preserve"> PAGEREF _Toc21727 \h </w:instrText>
          </w:r>
          <w:r>
            <w:fldChar w:fldCharType="separate"/>
          </w:r>
          <w:r>
            <w:t>17</w:t>
          </w:r>
          <w:r>
            <w:fldChar w:fldCharType="end"/>
          </w:r>
          <w:r>
            <w:fldChar w:fldCharType="end"/>
          </w:r>
        </w:p>
        <w:p>
          <w:pPr>
            <w:pStyle w:val="24"/>
            <w:tabs>
              <w:tab w:val="right" w:leader="dot" w:pos="8845"/>
            </w:tabs>
          </w:pPr>
          <w:r>
            <w:fldChar w:fldCharType="begin"/>
          </w:r>
          <w:r>
            <w:instrText xml:space="preserve"> HYPERLINK \l _Toc14285 </w:instrText>
          </w:r>
          <w:r>
            <w:fldChar w:fldCharType="separate"/>
          </w:r>
          <w:r>
            <w:rPr>
              <w:rFonts w:hint="eastAsia" w:ascii="楷体_GB2312" w:hAnsi="楷体_GB2312" w:eastAsia="楷体_GB2312" w:cs="楷体_GB2312"/>
              <w:bCs/>
              <w:kern w:val="0"/>
              <w:szCs w:val="32"/>
              <w:lang w:eastAsia="zh-CN"/>
            </w:rPr>
            <w:t>（二）</w:t>
          </w:r>
          <w:r>
            <w:rPr>
              <w:rFonts w:hint="eastAsia" w:ascii="楷体_GB2312" w:hAnsi="楷体_GB2312" w:eastAsia="楷体_GB2312" w:cs="楷体_GB2312"/>
              <w:i w:val="0"/>
              <w:caps w:val="0"/>
              <w:spacing w:val="0"/>
              <w:kern w:val="0"/>
              <w:szCs w:val="32"/>
              <w:shd w:val="clear" w:color="auto" w:fill="FFFFFF"/>
              <w:lang w:val="en-US" w:eastAsia="zh-CN" w:bidi="ar"/>
            </w:rPr>
            <w:t>政府采购情况</w:t>
          </w:r>
          <w:r>
            <w:tab/>
          </w:r>
          <w:r>
            <w:fldChar w:fldCharType="begin"/>
          </w:r>
          <w:r>
            <w:instrText xml:space="preserve"> PAGEREF _Toc14285 \h </w:instrText>
          </w:r>
          <w:r>
            <w:fldChar w:fldCharType="separate"/>
          </w:r>
          <w:r>
            <w:t>17</w:t>
          </w:r>
          <w:r>
            <w:fldChar w:fldCharType="end"/>
          </w:r>
          <w:r>
            <w:fldChar w:fldCharType="end"/>
          </w:r>
        </w:p>
        <w:p>
          <w:pPr>
            <w:pStyle w:val="24"/>
            <w:tabs>
              <w:tab w:val="right" w:leader="dot" w:pos="8845"/>
            </w:tabs>
          </w:pPr>
          <w:r>
            <w:fldChar w:fldCharType="begin"/>
          </w:r>
          <w:r>
            <w:instrText xml:space="preserve"> HYPERLINK \l _Toc5190 </w:instrText>
          </w:r>
          <w:r>
            <w:fldChar w:fldCharType="separate"/>
          </w:r>
          <w:r>
            <w:rPr>
              <w:rFonts w:hint="eastAsia" w:ascii="楷体_GB2312" w:hAnsi="楷体_GB2312" w:eastAsia="楷体_GB2312" w:cs="楷体_GB2312"/>
              <w:bCs/>
              <w:kern w:val="0"/>
              <w:szCs w:val="32"/>
              <w:lang w:val="en-US" w:eastAsia="zh-CN"/>
            </w:rPr>
            <w:t>（三）国有资产占有使用情况</w:t>
          </w:r>
          <w:r>
            <w:tab/>
          </w:r>
          <w:r>
            <w:fldChar w:fldCharType="begin"/>
          </w:r>
          <w:r>
            <w:instrText xml:space="preserve"> PAGEREF _Toc5190 \h </w:instrText>
          </w:r>
          <w:r>
            <w:fldChar w:fldCharType="separate"/>
          </w:r>
          <w:r>
            <w:t>17</w:t>
          </w:r>
          <w:r>
            <w:fldChar w:fldCharType="end"/>
          </w:r>
          <w:r>
            <w:fldChar w:fldCharType="end"/>
          </w:r>
        </w:p>
        <w:p>
          <w:pPr>
            <w:pStyle w:val="24"/>
            <w:tabs>
              <w:tab w:val="right" w:leader="dot" w:pos="8845"/>
            </w:tabs>
          </w:pPr>
          <w:r>
            <w:fldChar w:fldCharType="begin"/>
          </w:r>
          <w:r>
            <w:instrText xml:space="preserve"> HYPERLINK \l _Toc6575 </w:instrText>
          </w:r>
          <w:r>
            <w:fldChar w:fldCharType="separate"/>
          </w:r>
          <w:r>
            <w:rPr>
              <w:rFonts w:hint="eastAsia" w:ascii="楷体_GB2312" w:hAnsi="楷体_GB2312" w:eastAsia="楷体_GB2312" w:cs="楷体_GB2312"/>
              <w:bCs/>
              <w:kern w:val="0"/>
              <w:szCs w:val="32"/>
              <w:lang w:val="en-US" w:eastAsia="zh-CN"/>
            </w:rPr>
            <w:t>（四）绩效目标设置情况</w:t>
          </w:r>
          <w:r>
            <w:tab/>
          </w:r>
          <w:r>
            <w:fldChar w:fldCharType="begin"/>
          </w:r>
          <w:r>
            <w:instrText xml:space="preserve"> PAGEREF _Toc6575 \h </w:instrText>
          </w:r>
          <w:r>
            <w:fldChar w:fldCharType="separate"/>
          </w:r>
          <w:r>
            <w:t>17</w:t>
          </w:r>
          <w:r>
            <w:fldChar w:fldCharType="end"/>
          </w:r>
          <w:r>
            <w:fldChar w:fldCharType="end"/>
          </w:r>
        </w:p>
        <w:p>
          <w:pPr>
            <w:pStyle w:val="23"/>
            <w:tabs>
              <w:tab w:val="right" w:leader="dot" w:pos="8845"/>
            </w:tabs>
            <w:rPr>
              <w:rFonts w:hint="eastAsia" w:eastAsia="宋体"/>
              <w:b/>
              <w:lang w:val="en-US" w:eastAsia="zh-CN"/>
            </w:rPr>
          </w:pPr>
          <w:r>
            <w:rPr>
              <w:b/>
            </w:rPr>
            <w:fldChar w:fldCharType="begin"/>
          </w:r>
          <w:r>
            <w:rPr>
              <w:b/>
            </w:rPr>
            <w:instrText xml:space="preserve"> HYPERLINK \l _Toc26695 </w:instrText>
          </w:r>
          <w:r>
            <w:rPr>
              <w:b/>
            </w:rPr>
            <w:fldChar w:fldCharType="separate"/>
          </w:r>
          <w:r>
            <w:rPr>
              <w:rFonts w:hint="eastAsia" w:ascii="黑体" w:hAnsi="黑体" w:eastAsia="黑体" w:cs="黑体"/>
              <w:b/>
              <w:bCs w:val="0"/>
              <w:kern w:val="0"/>
              <w:szCs w:val="32"/>
              <w:lang w:val="en-US" w:eastAsia="zh-CN"/>
            </w:rPr>
            <w:t>十一、名词解释</w:t>
          </w:r>
          <w:r>
            <w:rPr>
              <w:b/>
            </w:rPr>
            <w:tab/>
          </w:r>
          <w:r>
            <w:rPr>
              <w:rFonts w:hint="eastAsia"/>
              <w:b/>
              <w:lang w:val="en-US" w:eastAsia="zh-CN"/>
            </w:rPr>
            <w:t>2</w:t>
          </w:r>
          <w:r>
            <w:rPr>
              <w:b/>
            </w:rPr>
            <w:fldChar w:fldCharType="end"/>
          </w:r>
          <w:r>
            <w:rPr>
              <w:rFonts w:hint="eastAsia"/>
              <w:b/>
              <w:lang w:val="en-US" w:eastAsia="zh-CN"/>
            </w:rPr>
            <w:t>0</w:t>
          </w:r>
        </w:p>
        <w:p>
          <w:pPr>
            <w:pStyle w:val="23"/>
            <w:tabs>
              <w:tab w:val="right" w:leader="dot" w:pos="8845"/>
            </w:tabs>
            <w:rPr>
              <w:b/>
            </w:rPr>
          </w:pPr>
          <w:r>
            <w:rPr>
              <w:b/>
            </w:rPr>
            <w:fldChar w:fldCharType="begin"/>
          </w:r>
          <w:r>
            <w:rPr>
              <w:b/>
            </w:rPr>
            <w:instrText xml:space="preserve"> HYPERLINK \l _Toc8947 </w:instrText>
          </w:r>
          <w:r>
            <w:rPr>
              <w:b/>
            </w:rPr>
            <w:fldChar w:fldCharType="separate"/>
          </w:r>
          <w:r>
            <w:rPr>
              <w:rFonts w:hint="eastAsia" w:ascii="仿宋_GB2312" w:hAnsi="仿宋_GB2312" w:eastAsia="仿宋_GB2312" w:cs="仿宋_GB2312"/>
              <w:b/>
              <w:i w:val="0"/>
              <w:caps w:val="0"/>
              <w:spacing w:val="0"/>
              <w:kern w:val="0"/>
              <w:szCs w:val="32"/>
              <w:shd w:val="clear" w:color="auto" w:fill="FFFFFF"/>
              <w:lang w:val="en-US" w:eastAsia="zh-CN" w:bidi="ar"/>
            </w:rPr>
            <w:t>附件：1.部门预算公开表</w:t>
          </w:r>
          <w:r>
            <w:rPr>
              <w:b/>
            </w:rPr>
            <w:tab/>
          </w:r>
          <w:r>
            <w:rPr>
              <w:b/>
            </w:rPr>
            <w:fldChar w:fldCharType="begin"/>
          </w:r>
          <w:r>
            <w:rPr>
              <w:b/>
            </w:rPr>
            <w:instrText xml:space="preserve"> PAGEREF _Toc8947 \h </w:instrText>
          </w:r>
          <w:r>
            <w:rPr>
              <w:b/>
            </w:rPr>
            <w:fldChar w:fldCharType="separate"/>
          </w:r>
          <w:r>
            <w:rPr>
              <w:b/>
            </w:rPr>
            <w:t>2</w:t>
          </w:r>
          <w:r>
            <w:rPr>
              <w:rFonts w:hint="eastAsia"/>
              <w:b/>
              <w:lang w:val="en-US" w:eastAsia="zh-CN"/>
            </w:rPr>
            <w:t>1</w:t>
          </w:r>
          <w:r>
            <w:rPr>
              <w:b/>
            </w:rPr>
            <w:fldChar w:fldCharType="end"/>
          </w:r>
          <w:r>
            <w:rPr>
              <w:b/>
            </w:rPr>
            <w:fldChar w:fldCharType="end"/>
          </w:r>
        </w:p>
        <w:p>
          <w:pPr>
            <w:rPr>
              <w:b/>
            </w:rPr>
          </w:pPr>
          <w:r>
            <w:rPr>
              <w:b/>
            </w:rPr>
            <w:fldChar w:fldCharType="end"/>
          </w:r>
        </w:p>
      </w:sdtContent>
    </w:sdt>
    <w:p>
      <w:pPr>
        <w:rPr>
          <w:b/>
        </w:rPr>
      </w:pPr>
    </w:p>
    <w:p>
      <w:pPr>
        <w:rPr>
          <w:b/>
        </w:rPr>
      </w:pPr>
      <w:bookmarkStart w:id="82" w:name="_GoBack"/>
      <w:bookmarkEnd w:id="82"/>
    </w:p>
    <w:p>
      <w:pPr>
        <w:rPr>
          <w:b/>
        </w:rPr>
      </w:pPr>
    </w:p>
    <w:p>
      <w:pPr>
        <w:rPr>
          <w:b/>
        </w:rPr>
      </w:pPr>
    </w:p>
    <w:p>
      <w:pPr>
        <w:rPr>
          <w:b/>
        </w:rPr>
      </w:pPr>
    </w:p>
    <w:p>
      <w:pPr>
        <w:rPr>
          <w:b/>
        </w:rPr>
      </w:pPr>
    </w:p>
    <w:p>
      <w:pPr>
        <w:rPr>
          <w:b/>
        </w:rPr>
      </w:pPr>
    </w:p>
    <w:p>
      <w:pPr>
        <w:rPr>
          <w:b/>
        </w:rPr>
      </w:pPr>
    </w:p>
    <w:p>
      <w:pPr>
        <w:outlineLvl w:val="0"/>
        <w:rPr>
          <w:rFonts w:hint="eastAsia" w:ascii="黑体" w:hAnsi="黑体" w:eastAsia="黑体" w:cs="黑体"/>
          <w:sz w:val="32"/>
          <w:szCs w:val="32"/>
        </w:rPr>
      </w:pPr>
      <w:bookmarkStart w:id="3" w:name="_Toc18296"/>
      <w:r>
        <w:rPr>
          <w:rFonts w:hint="eastAsia" w:ascii="黑体" w:hAnsi="黑体" w:eastAsia="黑体" w:cs="黑体"/>
          <w:sz w:val="32"/>
          <w:szCs w:val="32"/>
        </w:rPr>
        <w:t>一、基本职能及主要工作</w:t>
      </w:r>
      <w:bookmarkEnd w:id="3"/>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outlineLvl w:val="1"/>
        <w:rPr>
          <w:rFonts w:hint="eastAsia" w:ascii="楷体_GB2312" w:hAnsi="楷体_GB2312" w:eastAsia="楷体_GB2312" w:cs="楷体_GB2312"/>
          <w:b w:val="0"/>
          <w:bCs/>
          <w:sz w:val="32"/>
          <w:szCs w:val="32"/>
        </w:rPr>
      </w:pPr>
      <w:bookmarkStart w:id="4" w:name="_Toc8587"/>
      <w:r>
        <w:rPr>
          <w:rFonts w:hint="eastAsia" w:ascii="楷体_GB2312" w:hAnsi="楷体_GB2312" w:eastAsia="楷体_GB2312" w:cs="楷体_GB2312"/>
          <w:b w:val="0"/>
          <w:bCs/>
          <w:sz w:val="32"/>
          <w:szCs w:val="32"/>
        </w:rPr>
        <w:t>（一）广元市民政局职能简介</w:t>
      </w:r>
      <w:bookmarkEnd w:id="4"/>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outlineLvl w:val="1"/>
        <w:rPr>
          <w:rFonts w:hint="eastAsia" w:ascii="仿宋_GB2312" w:hAnsi="仿宋_GB2312" w:eastAsia="仿宋_GB2312" w:cs="仿宋_GB2312"/>
          <w:sz w:val="32"/>
          <w:szCs w:val="32"/>
        </w:rPr>
      </w:pPr>
      <w:bookmarkStart w:id="5" w:name="_Toc10760"/>
      <w:r>
        <w:rPr>
          <w:rFonts w:hint="eastAsia" w:ascii="仿宋_GB2312" w:hAnsi="仿宋_GB2312" w:eastAsia="仿宋_GB2312" w:cs="仿宋_GB2312"/>
          <w:sz w:val="32"/>
          <w:szCs w:val="32"/>
        </w:rPr>
        <w:t>广元市民政局（简称市民政局）是广元市人民政府的工作部门，为正县级。市民政局贯彻落实党中央关于民政工作的方针政策和省委、市委的决策部署，在履行职责过程中坚持和加强党对民政工作的集中统一领导。主要职责是：</w:t>
      </w:r>
      <w:bookmarkEnd w:id="0"/>
      <w:bookmarkEnd w:id="1"/>
      <w:bookmarkEnd w:id="2"/>
      <w:bookmarkEnd w:id="5"/>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1.起草民政工作地方性法规、规章草案，拟订全市民政事业发展规划、政策、标准并组织实施。</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2.拟订社会团体、社会服务机构等社会组织登记和监督管理办法并组织实施，依法对社会组织进行登记管理和执法监督。</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3.牵头拟订全市社会救助规划、政策、标准，统筹推进社会救助体系建设，负责城乡居民最低生活保障、特困人员救助供养、临时救助、生活无着流浪乞讨人员救助工作。</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4.拟订城乡基层群众自治建设和社区治理政策，指导城乡社区治理体系、服务体系和治理能力建设，提出加强和改进城乡基层政权建设的建议，推动基层民主政治建设。</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拟订行政区划管理政策和行政区域界线、地名管理办法，负责全市乡镇以上行政区划设立、命名、撤销、变更和政府驻地迁移审核报批工作，组织并指导全市行政区域界线的勘定、管理工作，调处行政区域边界争议，负责地名管理工作。</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6.拟订婚姻管理政策并组织实施，指导县（区）婚姻登记工作，推进婚俗改革。</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7.拟订殡葬管理政策、服务规范并组织实施，负责殡葬管理工作，推进殡葬改革。</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8.拟订社会福利事业发展规划、政策、标准，拟订社会福利机构管理办法并指导实施，执行残疾人权益保护政策并监督实施。负责康复辅助器具行业管理，统筹推进残疾人福利制度建设和康复辅助器具产业发展。    </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统筹推进、督促指导、监督管理养老服务工作，拟订养老服务体系建设规划、政策、标准并组织实施，承担老年人福利和特殊困难老年人救助工作，协调推进农村留守老年人关爱服务工作，承担城乡老年社会组织管理工作。</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10.拟订儿童福利、孤弃儿童保障、儿童收养、儿童救助保护政策和标准并组织实施，健全农村留守儿童关爱服务体系和困境儿童保障制度，指导全市儿童收养登记管理工作。</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11.组织拟订促进慈善事业发展政策，指导社会捐助工作。负责福利彩票管理工作。</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12.拟订社会工作、志愿服务政策和标准，承担本行政区域内志愿服务行政管理工作，会同有关部门推进社会工作人才队伍建设和志愿者队伍建设。</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13.依法依规负责康复辅助器具行业和社会福利、养老服务、殡葬服务、救助管理机构安全生产监督管理工作。负责职责范围内的职业健康、生态环境保护、审批服务便民化等工作。</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14.负责指导、管理、监督无业务主管单位的全市性社会团体、社会服务机构的党建工作。</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15.完成市委、市政府交办的其他任务。</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outlineLvl w:val="1"/>
        <w:rPr>
          <w:rFonts w:hint="eastAsia" w:ascii="楷体_GB2312" w:hAnsi="楷体_GB2312" w:eastAsia="楷体_GB2312" w:cs="楷体_GB2312"/>
          <w:b w:val="0"/>
          <w:bCs/>
          <w:sz w:val="32"/>
          <w:szCs w:val="32"/>
        </w:rPr>
      </w:pPr>
      <w:bookmarkStart w:id="6" w:name="_Toc31927"/>
      <w:bookmarkStart w:id="7" w:name="_Toc7255"/>
      <w:bookmarkStart w:id="8" w:name="_Toc22689"/>
      <w:bookmarkStart w:id="9" w:name="_Toc20200"/>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二</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广元市民政局202</w:t>
      </w:r>
      <w:r>
        <w:rPr>
          <w:rFonts w:hint="eastAsia" w:ascii="楷体_GB2312" w:hAnsi="楷体_GB2312" w:eastAsia="楷体_GB2312" w:cs="楷体_GB2312"/>
          <w:b w:val="0"/>
          <w:bCs/>
          <w:sz w:val="32"/>
          <w:szCs w:val="32"/>
          <w:lang w:val="en-US" w:eastAsia="zh-CN"/>
        </w:rPr>
        <w:t>2</w:t>
      </w:r>
      <w:r>
        <w:rPr>
          <w:rFonts w:hint="eastAsia" w:ascii="楷体_GB2312" w:hAnsi="楷体_GB2312" w:eastAsia="楷体_GB2312" w:cs="楷体_GB2312"/>
          <w:b w:val="0"/>
          <w:bCs/>
          <w:sz w:val="32"/>
          <w:szCs w:val="32"/>
        </w:rPr>
        <w:t>年重点工作</w:t>
      </w:r>
      <w:bookmarkEnd w:id="6"/>
      <w:bookmarkEnd w:id="7"/>
      <w:bookmarkEnd w:id="8"/>
      <w:bookmarkEnd w:id="9"/>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67" w:firstLineChars="200"/>
        <w:jc w:val="both"/>
        <w:textAlignment w:val="auto"/>
        <w:outlineLvl w:val="9"/>
        <w:rPr>
          <w:rFonts w:hint="eastAsia" w:ascii="仿宋_GB2312" w:hAnsi="仿宋_GB2312" w:eastAsia="仿宋_GB2312" w:cs="仿宋_GB2312"/>
          <w:b/>
          <w:bCs/>
          <w:color w:val="auto"/>
          <w:spacing w:val="6"/>
          <w:sz w:val="32"/>
          <w:szCs w:val="32"/>
          <w:u w:val="none"/>
          <w:lang w:val="en-US" w:eastAsia="zh-CN" w:bidi="ar-SA"/>
        </w:rPr>
      </w:pPr>
      <w:r>
        <w:rPr>
          <w:rFonts w:hint="eastAsia" w:ascii="仿宋_GB2312" w:hAnsi="仿宋_GB2312" w:eastAsia="仿宋_GB2312" w:cs="仿宋_GB2312"/>
          <w:b/>
          <w:bCs/>
          <w:color w:val="auto"/>
          <w:spacing w:val="6"/>
          <w:sz w:val="32"/>
          <w:szCs w:val="32"/>
          <w:u w:val="none"/>
          <w:lang w:val="en-US" w:eastAsia="zh-CN" w:bidi="ar-SA"/>
        </w:rPr>
        <w:t>1.构建分层分类社会救助体系</w:t>
      </w:r>
    </w:p>
    <w:p>
      <w:pPr>
        <w:keepNext w:val="0"/>
        <w:keepLines w:val="0"/>
        <w:pageBreakBefore w:val="0"/>
        <w:widowControl w:val="0"/>
        <w:suppressLineNumbers w:val="0"/>
        <w:kinsoku/>
        <w:wordWrap/>
        <w:overflowPunct/>
        <w:topLinePunct w:val="0"/>
        <w:autoSpaceDN/>
        <w:bidi w:val="0"/>
        <w:adjustRightInd/>
        <w:snapToGrid/>
        <w:spacing w:line="576" w:lineRule="exact"/>
        <w:ind w:left="0" w:leftChars="0" w:firstLine="664" w:firstLineChars="200"/>
        <w:jc w:val="both"/>
        <w:rPr>
          <w:rFonts w:hint="eastAsia" w:ascii="仿宋_GB2312" w:hAnsi="仿宋_GB2312" w:eastAsia="仿宋_GB2312" w:cs="仿宋_GB2312"/>
          <w:sz w:val="32"/>
          <w:szCs w:val="32"/>
          <w:u w:val="none"/>
        </w:rPr>
      </w:pPr>
      <w:r>
        <w:rPr>
          <w:rFonts w:hint="eastAsia" w:ascii="仿宋_GB2312" w:hAnsi="仿宋_GB2312" w:eastAsia="仿宋_GB2312" w:cs="仿宋_GB2312"/>
          <w:b w:val="0"/>
          <w:bCs w:val="0"/>
          <w:color w:val="auto"/>
          <w:spacing w:val="6"/>
          <w:sz w:val="32"/>
          <w:szCs w:val="32"/>
          <w:u w:val="none"/>
          <w:lang w:val="en-US" w:eastAsia="zh-CN" w:bidi="ar-SA"/>
        </w:rPr>
        <w:t>一是加快构建分层分类社会救助体系。出台改革完善社会救助制度的实施方案。合理制定与经济社会发展水平相适应的救助保障标准，</w:t>
      </w:r>
      <w:r>
        <w:rPr>
          <w:rFonts w:hint="eastAsia" w:ascii="仿宋_GB2312" w:hAnsi="仿宋_GB2312" w:eastAsia="仿宋_GB2312" w:cs="仿宋_GB2312"/>
          <w:color w:val="auto"/>
          <w:spacing w:val="6"/>
          <w:sz w:val="32"/>
          <w:szCs w:val="32"/>
          <w:highlight w:val="none"/>
          <w:u w:val="none"/>
          <w:shd w:val="clear" w:color="auto" w:fill="auto"/>
          <w:lang w:val="en-US" w:eastAsia="zh-CN"/>
        </w:rPr>
        <w:t>加强基本生活救助、专项救助、特殊困难群体关爱帮扶服务等政策衔接力度。</w:t>
      </w:r>
      <w:r>
        <w:rPr>
          <w:rFonts w:hint="eastAsia" w:ascii="仿宋_GB2312" w:hAnsi="仿宋_GB2312" w:eastAsia="仿宋_GB2312" w:cs="仿宋_GB2312"/>
          <w:i w:val="0"/>
          <w:caps w:val="0"/>
          <w:color w:val="000000"/>
          <w:spacing w:val="0"/>
          <w:kern w:val="0"/>
          <w:sz w:val="32"/>
          <w:szCs w:val="32"/>
          <w:u w:val="none"/>
          <w:shd w:val="clear" w:color="auto" w:fill="FFFFFF"/>
          <w:lang w:val="en-US" w:eastAsia="zh-CN" w:bidi="ar"/>
        </w:rPr>
        <w:t>规范低保边缘家庭认定流程。有序发展服务类社会救助。</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64" w:firstLineChars="200"/>
        <w:jc w:val="both"/>
        <w:textAlignment w:val="auto"/>
        <w:outlineLvl w:val="9"/>
        <w:rPr>
          <w:rFonts w:hint="eastAsia" w:ascii="仿宋_GB2312" w:hAnsi="仿宋_GB2312" w:eastAsia="仿宋_GB2312" w:cs="仿宋_GB2312"/>
          <w:color w:val="auto"/>
          <w:spacing w:val="6"/>
          <w:sz w:val="32"/>
          <w:szCs w:val="32"/>
          <w:highlight w:val="none"/>
          <w:u w:val="none"/>
          <w:shd w:val="clear" w:color="auto" w:fill="auto"/>
          <w:lang w:val="en-US" w:eastAsia="zh-CN"/>
        </w:rPr>
      </w:pPr>
      <w:r>
        <w:rPr>
          <w:rFonts w:hint="eastAsia" w:ascii="仿宋_GB2312" w:hAnsi="仿宋_GB2312" w:eastAsia="仿宋_GB2312" w:cs="仿宋_GB2312"/>
          <w:b w:val="0"/>
          <w:bCs w:val="0"/>
          <w:color w:val="auto"/>
          <w:spacing w:val="6"/>
          <w:sz w:val="32"/>
          <w:szCs w:val="32"/>
          <w:u w:val="none"/>
          <w:lang w:val="en-US" w:eastAsia="zh-CN" w:bidi="ar-SA"/>
        </w:rPr>
        <w:t>二是巩固拓展社会救助兜底保障成果。落实</w:t>
      </w:r>
      <w:r>
        <w:rPr>
          <w:rFonts w:hint="eastAsia" w:ascii="仿宋_GB2312" w:hAnsi="仿宋_GB2312" w:eastAsia="仿宋_GB2312" w:cs="仿宋_GB2312"/>
          <w:color w:val="auto"/>
          <w:spacing w:val="6"/>
          <w:sz w:val="32"/>
          <w:szCs w:val="32"/>
          <w:highlight w:val="none"/>
          <w:u w:val="none"/>
          <w:shd w:val="clear" w:color="auto" w:fill="auto"/>
          <w:lang w:eastAsia="zh-CN"/>
        </w:rPr>
        <w:t>“四个</w:t>
      </w:r>
      <w:r>
        <w:rPr>
          <w:rFonts w:hint="eastAsia" w:ascii="仿宋_GB2312" w:hAnsi="仿宋_GB2312" w:eastAsia="仿宋_GB2312" w:cs="仿宋_GB2312"/>
          <w:sz w:val="32"/>
          <w:szCs w:val="32"/>
          <w:u w:val="none"/>
        </w:rPr>
        <w:t>不摘”要求，</w:t>
      </w:r>
      <w:r>
        <w:rPr>
          <w:rFonts w:hint="eastAsia" w:ascii="仿宋_GB2312" w:hAnsi="仿宋_GB2312" w:eastAsia="仿宋_GB2312" w:cs="仿宋_GB2312"/>
          <w:sz w:val="32"/>
          <w:szCs w:val="32"/>
          <w:u w:val="none"/>
          <w:lang w:eastAsia="zh-CN"/>
        </w:rPr>
        <w:t>保</w:t>
      </w:r>
      <w:r>
        <w:rPr>
          <w:rFonts w:hint="eastAsia" w:ascii="仿宋_GB2312" w:hAnsi="仿宋_GB2312" w:eastAsia="仿宋_GB2312" w:cs="仿宋_GB2312"/>
          <w:kern w:val="2"/>
          <w:sz w:val="32"/>
          <w:szCs w:val="32"/>
          <w:u w:val="none"/>
          <w:lang w:val="en-US" w:eastAsia="zh-CN" w:bidi="ar-SA"/>
        </w:rPr>
        <w:t>持“过渡期”内社会救助兜底政策总体稳定，</w:t>
      </w:r>
      <w:r>
        <w:rPr>
          <w:rFonts w:hint="eastAsia" w:ascii="仿宋_GB2312" w:hAnsi="仿宋_GB2312" w:eastAsia="仿宋_GB2312" w:cs="仿宋_GB2312"/>
          <w:sz w:val="32"/>
          <w:szCs w:val="32"/>
          <w:u w:val="none"/>
          <w:lang w:val="en-US" w:eastAsia="zh-CN"/>
        </w:rPr>
        <w:t>加强与相关部门“过渡期”政策有效衔接。做好生活困难退捕渔民兜底保障工作。开展易返贫致贫人口数据比对、动态监测、走访排查和帮扶救助，</w:t>
      </w:r>
      <w:r>
        <w:rPr>
          <w:rFonts w:hint="eastAsia" w:ascii="仿宋_GB2312" w:hAnsi="仿宋_GB2312" w:eastAsia="仿宋_GB2312" w:cs="仿宋_GB2312"/>
          <w:kern w:val="2"/>
          <w:sz w:val="32"/>
          <w:szCs w:val="32"/>
          <w:u w:val="none"/>
          <w:lang w:val="en-US" w:eastAsia="zh-CN" w:bidi="ar-SA"/>
        </w:rPr>
        <w:t>落实好低保渐退、</w:t>
      </w:r>
      <w:r>
        <w:rPr>
          <w:rFonts w:hint="eastAsia" w:ascii="仿宋_GB2312" w:hAnsi="仿宋_GB2312" w:eastAsia="仿宋_GB2312" w:cs="仿宋_GB2312"/>
          <w:sz w:val="32"/>
          <w:szCs w:val="32"/>
          <w:u w:val="none"/>
          <w:lang w:val="en-US" w:eastAsia="zh-CN"/>
        </w:rPr>
        <w:t>就业成本扣减等</w:t>
      </w:r>
      <w:r>
        <w:rPr>
          <w:rFonts w:hint="eastAsia" w:ascii="仿宋_GB2312" w:hAnsi="仿宋_GB2312" w:eastAsia="仿宋_GB2312" w:cs="仿宋_GB2312"/>
          <w:kern w:val="2"/>
          <w:sz w:val="32"/>
          <w:szCs w:val="32"/>
          <w:u w:val="none"/>
          <w:lang w:val="en-US" w:eastAsia="zh-CN" w:bidi="ar-SA"/>
        </w:rPr>
        <w:t>政策，兜住兜牢困难群众基本生活保障底线。</w:t>
      </w:r>
    </w:p>
    <w:p>
      <w:pPr>
        <w:keepNext w:val="0"/>
        <w:keepLines w:val="0"/>
        <w:pageBreakBefore w:val="0"/>
        <w:widowControl w:val="0"/>
        <w:kinsoku/>
        <w:wordWrap/>
        <w:overflowPunct/>
        <w:topLinePunct w:val="0"/>
        <w:autoSpaceDE w:val="0"/>
        <w:autoSpaceDN/>
        <w:bidi w:val="0"/>
        <w:adjustRightInd/>
        <w:snapToGrid/>
        <w:spacing w:line="576" w:lineRule="exact"/>
        <w:ind w:left="0" w:leftChars="0" w:right="0" w:rightChars="0" w:firstLine="664" w:firstLineChars="200"/>
        <w:jc w:val="left"/>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val="0"/>
          <w:bCs w:val="0"/>
          <w:color w:val="auto"/>
          <w:spacing w:val="6"/>
          <w:sz w:val="32"/>
          <w:szCs w:val="32"/>
          <w:u w:val="none"/>
          <w:lang w:val="en-US" w:eastAsia="zh-CN" w:bidi="ar-SA"/>
        </w:rPr>
        <w:t>三是强化低收入人口常态化救助帮扶。</w:t>
      </w:r>
      <w:r>
        <w:rPr>
          <w:rFonts w:hint="eastAsia" w:ascii="仿宋_GB2312" w:hAnsi="仿宋_GB2312" w:eastAsia="仿宋_GB2312" w:cs="仿宋_GB2312"/>
          <w:sz w:val="32"/>
          <w:szCs w:val="32"/>
          <w:u w:val="none"/>
          <w:lang w:val="en-US" w:eastAsia="zh-CN"/>
        </w:rPr>
        <w:t>持续完善低收入人口基本信息库和低收入人口动态监测平台，进一步提高对低收入人口的监测预警能力，完善低收入人口常态化救助帮扶机制，加强与相关救助职能部门共享监测预警信息，共同做好低收入人口救助帮扶。</w:t>
      </w:r>
    </w:p>
    <w:p>
      <w:pPr>
        <w:keepNext w:val="0"/>
        <w:keepLines w:val="0"/>
        <w:pageBreakBefore w:val="0"/>
        <w:widowControl w:val="0"/>
        <w:tabs>
          <w:tab w:val="left" w:pos="5250"/>
        </w:tabs>
        <w:kinsoku/>
        <w:wordWrap/>
        <w:overflowPunct/>
        <w:topLinePunct w:val="0"/>
        <w:autoSpaceDE w:val="0"/>
        <w:autoSpaceDN/>
        <w:bidi w:val="0"/>
        <w:adjustRightInd/>
        <w:snapToGrid/>
        <w:spacing w:line="576" w:lineRule="exact"/>
        <w:ind w:left="0" w:leftChars="0" w:right="0" w:rightChars="0" w:firstLine="664" w:firstLineChars="200"/>
        <w:jc w:val="both"/>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val="0"/>
          <w:bCs w:val="0"/>
          <w:color w:val="auto"/>
          <w:spacing w:val="6"/>
          <w:sz w:val="32"/>
          <w:szCs w:val="32"/>
          <w:u w:val="none"/>
          <w:lang w:val="en-US" w:eastAsia="zh-CN" w:bidi="ar-SA"/>
        </w:rPr>
        <w:t>四是着力提升基层救助服务能力水平。</w:t>
      </w:r>
      <w:r>
        <w:rPr>
          <w:rFonts w:hint="eastAsia" w:ascii="仿宋_GB2312" w:hAnsi="仿宋_GB2312" w:eastAsia="仿宋_GB2312" w:cs="仿宋_GB2312"/>
          <w:sz w:val="32"/>
          <w:szCs w:val="32"/>
          <w:u w:val="none"/>
          <w:lang w:val="zh-CN" w:eastAsia="zh-CN"/>
        </w:rPr>
        <w:t>完善流浪乞讨人员救助管理标准体系。</w:t>
      </w:r>
      <w:r>
        <w:rPr>
          <w:rFonts w:hint="eastAsia" w:ascii="仿宋_GB2312" w:hAnsi="仿宋_GB2312" w:eastAsia="仿宋_GB2312" w:cs="仿宋_GB2312"/>
          <w:sz w:val="32"/>
          <w:szCs w:val="32"/>
          <w:u w:val="none"/>
          <w:lang w:val="en-US" w:eastAsia="zh-CN"/>
        </w:rPr>
        <w:t>持续做好寻亲服务、街面巡查、站内照料、</w:t>
      </w:r>
      <w:r>
        <w:rPr>
          <w:rFonts w:hint="eastAsia" w:ascii="仿宋_GB2312" w:hAnsi="仿宋_GB2312" w:eastAsia="仿宋_GB2312" w:cs="仿宋_GB2312"/>
          <w:sz w:val="32"/>
          <w:szCs w:val="32"/>
          <w:u w:val="none"/>
          <w:lang w:val="zh-CN" w:eastAsia="zh-CN"/>
        </w:rPr>
        <w:t>落户安置、源头治理等工作</w:t>
      </w:r>
      <w:r>
        <w:rPr>
          <w:rFonts w:hint="eastAsia" w:ascii="仿宋_GB2312" w:hAnsi="仿宋_GB2312" w:eastAsia="仿宋_GB2312" w:cs="仿宋_GB2312"/>
          <w:sz w:val="32"/>
          <w:szCs w:val="32"/>
          <w:u w:val="none"/>
          <w:lang w:val="en-US" w:eastAsia="zh-CN"/>
        </w:rPr>
        <w:t>。全面应用“天府救助通”，提升社会救助信息化综合能力。</w:t>
      </w:r>
    </w:p>
    <w:p>
      <w:pPr>
        <w:pStyle w:val="15"/>
        <w:keepNext w:val="0"/>
        <w:keepLines w:val="0"/>
        <w:pageBreakBefore w:val="0"/>
        <w:widowControl w:val="0"/>
        <w:kinsoku/>
        <w:wordWrap/>
        <w:overflowPunct/>
        <w:topLinePunct w:val="0"/>
        <w:autoSpaceDN/>
        <w:bidi w:val="0"/>
        <w:adjustRightInd/>
        <w:snapToGrid/>
        <w:spacing w:line="576" w:lineRule="exact"/>
        <w:ind w:left="0" w:leftChars="0" w:firstLine="667" w:firstLineChars="200"/>
        <w:rPr>
          <w:rFonts w:hint="eastAsia" w:ascii="仿宋_GB2312" w:hAnsi="仿宋_GB2312" w:eastAsia="仿宋_GB2312" w:cs="仿宋_GB2312"/>
          <w:b/>
          <w:bCs/>
          <w:color w:val="auto"/>
          <w:spacing w:val="6"/>
          <w:kern w:val="2"/>
          <w:sz w:val="32"/>
          <w:szCs w:val="32"/>
          <w:u w:val="none"/>
          <w:lang w:val="en-US" w:eastAsia="zh-CN" w:bidi="ar-SA"/>
        </w:rPr>
      </w:pPr>
      <w:r>
        <w:rPr>
          <w:rFonts w:hint="eastAsia" w:ascii="仿宋_GB2312" w:hAnsi="仿宋_GB2312" w:eastAsia="仿宋_GB2312" w:cs="仿宋_GB2312"/>
          <w:b/>
          <w:bCs/>
          <w:color w:val="auto"/>
          <w:spacing w:val="6"/>
          <w:kern w:val="2"/>
          <w:sz w:val="32"/>
          <w:szCs w:val="32"/>
          <w:u w:val="none"/>
          <w:lang w:val="en-US" w:eastAsia="zh-CN" w:bidi="ar-SA"/>
        </w:rPr>
        <w:t>2.推进养老服务高质量发展</w:t>
      </w:r>
    </w:p>
    <w:p>
      <w:pPr>
        <w:pStyle w:val="15"/>
        <w:keepNext w:val="0"/>
        <w:keepLines w:val="0"/>
        <w:pageBreakBefore w:val="0"/>
        <w:widowControl w:val="0"/>
        <w:kinsoku/>
        <w:wordWrap/>
        <w:overflowPunct/>
        <w:topLinePunct w:val="0"/>
        <w:autoSpaceDN/>
        <w:bidi w:val="0"/>
        <w:adjustRightInd/>
        <w:snapToGrid/>
        <w:spacing w:line="576" w:lineRule="exact"/>
        <w:ind w:left="0" w:leftChars="0"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一是</w:t>
      </w:r>
      <w:r>
        <w:rPr>
          <w:rFonts w:hint="eastAsia" w:ascii="仿宋_GB2312" w:hAnsi="仿宋_GB2312" w:eastAsia="仿宋_GB2312" w:cs="仿宋_GB2312"/>
          <w:sz w:val="32"/>
          <w:szCs w:val="32"/>
          <w:u w:val="none"/>
        </w:rPr>
        <w:t>健全基本养老服务制度。科学编制全市“一老一小”整体解决方案，制定基本养老服务清单和政府购买养老服务指导性目录，开展老年人能力综合评估，完善农村留守老年人关爱服务制度，做好农村困难老年人集中供养工作</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落实好“1+N”养老服务综合监管，完善养老服务领域安全生产制度，健全养老服务领域预警、防控、处置、应对的全流程风险防控机制。</w:t>
      </w:r>
    </w:p>
    <w:p>
      <w:pPr>
        <w:keepNext w:val="0"/>
        <w:keepLines w:val="0"/>
        <w:pageBreakBefore w:val="0"/>
        <w:widowControl w:val="0"/>
        <w:kinsoku/>
        <w:wordWrap/>
        <w:overflowPunct/>
        <w:topLinePunct w:val="0"/>
        <w:autoSpaceDN/>
        <w:bidi w:val="0"/>
        <w:adjustRightInd/>
        <w:snapToGrid/>
        <w:spacing w:line="576" w:lineRule="exact"/>
        <w:ind w:left="0" w:leftChars="0"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二是</w:t>
      </w:r>
      <w:r>
        <w:rPr>
          <w:rFonts w:hint="eastAsia" w:ascii="仿宋_GB2312" w:hAnsi="仿宋_GB2312" w:eastAsia="仿宋_GB2312" w:cs="仿宋_GB2312"/>
          <w:sz w:val="32"/>
          <w:szCs w:val="32"/>
          <w:u w:val="none"/>
        </w:rPr>
        <w:t>提高养老服务供给质量。制定住宅小区配建社区居家养老服务设施</w:t>
      </w:r>
      <w:r>
        <w:rPr>
          <w:rFonts w:hint="eastAsia" w:ascii="仿宋_GB2312" w:hAnsi="仿宋_GB2312" w:eastAsia="仿宋_GB2312" w:cs="仿宋_GB2312"/>
          <w:sz w:val="32"/>
          <w:szCs w:val="32"/>
          <w:u w:val="none"/>
          <w:lang w:eastAsia="zh-CN"/>
        </w:rPr>
        <w:t>相关政策</w:t>
      </w:r>
      <w:r>
        <w:rPr>
          <w:rFonts w:hint="eastAsia" w:ascii="仿宋_GB2312" w:hAnsi="仿宋_GB2312" w:eastAsia="仿宋_GB2312" w:cs="仿宋_GB2312"/>
          <w:sz w:val="32"/>
          <w:szCs w:val="32"/>
          <w:u w:val="none"/>
        </w:rPr>
        <w:t>，开展居家和社区基本养老服务能力提升行动，进行居家适老化改造和社区养老服务综合体建设，积极构建城市居家社区“15分钟养老服务圈”。推进县级特困失能人员养护院、乡镇区域养老服务中心和村级互助点建设，加快形成农村三级养老服务网络。持续推进养老院服务质量提升行动，推动老年志愿服务协会发展，试点推广时间银行模式。持续实施养老服务人才职业技能培训，开展职业技能等级认定、提升养老护理员职业技能、缓解养老护理人才短缺矛盾、规范和发展老年人生活照料和护理服务。</w:t>
      </w:r>
    </w:p>
    <w:p>
      <w:pPr>
        <w:keepNext w:val="0"/>
        <w:keepLines w:val="0"/>
        <w:pageBreakBefore w:val="0"/>
        <w:widowControl w:val="0"/>
        <w:kinsoku/>
        <w:wordWrap/>
        <w:overflowPunct/>
        <w:topLinePunct w:val="0"/>
        <w:autoSpaceDN/>
        <w:bidi w:val="0"/>
        <w:adjustRightInd/>
        <w:snapToGrid/>
        <w:spacing w:line="576" w:lineRule="exact"/>
        <w:ind w:left="0" w:leftChars="0"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三是</w:t>
      </w:r>
      <w:r>
        <w:rPr>
          <w:rFonts w:hint="eastAsia" w:ascii="仿宋_GB2312" w:hAnsi="仿宋_GB2312" w:eastAsia="仿宋_GB2312" w:cs="仿宋_GB2312"/>
          <w:sz w:val="32"/>
          <w:szCs w:val="32"/>
          <w:u w:val="none"/>
        </w:rPr>
        <w:t>促进养老产业多维度发展。落实养老机构综合责任保险和老年人意外伤害险</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成立广元市养老协会发展智慧养老产业，建设“智慧养老院”和“智慧养老社区”。持续开展养老服务领域非法集资、欺诈销售和服务消费侵权行为专项行动。加强“康养+”多业态融合发展，依托医疗资源和自然环境，建设一批医养康养示范基地。</w:t>
      </w:r>
    </w:p>
    <w:p>
      <w:pPr>
        <w:pStyle w:val="15"/>
        <w:keepNext w:val="0"/>
        <w:keepLines w:val="0"/>
        <w:pageBreakBefore w:val="0"/>
        <w:widowControl w:val="0"/>
        <w:kinsoku/>
        <w:wordWrap/>
        <w:overflowPunct/>
        <w:topLinePunct w:val="0"/>
        <w:autoSpaceDN/>
        <w:bidi w:val="0"/>
        <w:adjustRightInd/>
        <w:snapToGrid/>
        <w:spacing w:line="576" w:lineRule="exact"/>
        <w:ind w:left="0" w:leftChars="0"/>
        <w:rPr>
          <w:rFonts w:hint="eastAsia" w:ascii="仿宋_GB2312" w:hAnsi="仿宋_GB2312" w:eastAsia="仿宋_GB2312" w:cs="仿宋_GB2312"/>
          <w:b/>
          <w:bCs/>
          <w:color w:val="auto"/>
          <w:spacing w:val="6"/>
          <w:kern w:val="2"/>
          <w:sz w:val="32"/>
          <w:szCs w:val="32"/>
          <w:u w:val="none"/>
          <w:lang w:val="en-US" w:eastAsia="zh-CN" w:bidi="ar-SA"/>
        </w:rPr>
      </w:pPr>
      <w:r>
        <w:rPr>
          <w:rFonts w:hint="eastAsia" w:ascii="仿宋_GB2312" w:hAnsi="仿宋_GB2312" w:eastAsia="仿宋_GB2312" w:cs="仿宋_GB2312"/>
          <w:b/>
          <w:bCs/>
          <w:color w:val="auto"/>
          <w:spacing w:val="6"/>
          <w:kern w:val="2"/>
          <w:sz w:val="32"/>
          <w:szCs w:val="32"/>
          <w:u w:val="none"/>
          <w:lang w:val="en-US" w:eastAsia="zh-CN" w:bidi="ar-SA"/>
        </w:rPr>
        <w:t>3.加强儿童福利保障和未成年人保护工作</w:t>
      </w:r>
    </w:p>
    <w:p>
      <w:pPr>
        <w:pStyle w:val="15"/>
        <w:keepNext w:val="0"/>
        <w:keepLines w:val="0"/>
        <w:pageBreakBefore w:val="0"/>
        <w:widowControl w:val="0"/>
        <w:kinsoku/>
        <w:wordWrap/>
        <w:overflowPunct/>
        <w:topLinePunct w:val="0"/>
        <w:autoSpaceDN/>
        <w:bidi w:val="0"/>
        <w:adjustRightInd/>
        <w:snapToGrid/>
        <w:spacing w:line="576" w:lineRule="exact"/>
        <w:ind w:left="0" w:leftChars="0"/>
        <w:rPr>
          <w:rFonts w:hint="eastAsia" w:ascii="仿宋_GB2312" w:hAnsi="仿宋_GB2312" w:eastAsia="仿宋_GB2312" w:cs="仿宋_GB2312"/>
          <w:color w:val="000000"/>
          <w:spacing w:val="6"/>
          <w:kern w:val="2"/>
          <w:sz w:val="32"/>
          <w:szCs w:val="32"/>
          <w:u w:val="none"/>
          <w:lang w:val="en-US" w:eastAsia="zh-CN" w:bidi="ar-SA"/>
        </w:rPr>
      </w:pPr>
      <w:r>
        <w:rPr>
          <w:rFonts w:hint="eastAsia" w:ascii="仿宋_GB2312" w:hAnsi="仿宋_GB2312" w:eastAsia="仿宋_GB2312" w:cs="仿宋_GB2312"/>
          <w:b w:val="0"/>
          <w:bCs w:val="0"/>
          <w:sz w:val="32"/>
          <w:szCs w:val="32"/>
          <w:u w:val="none"/>
          <w:lang w:val="en-US" w:eastAsia="zh-CN"/>
        </w:rPr>
        <w:t>一是</w:t>
      </w:r>
      <w:r>
        <w:rPr>
          <w:rFonts w:hint="eastAsia" w:ascii="仿宋_GB2312" w:hAnsi="仿宋_GB2312" w:eastAsia="仿宋_GB2312" w:cs="仿宋_GB2312"/>
          <w:b w:val="0"/>
          <w:bCs w:val="0"/>
          <w:color w:val="auto"/>
          <w:spacing w:val="6"/>
          <w:sz w:val="32"/>
          <w:szCs w:val="32"/>
          <w:u w:val="none"/>
          <w:lang w:val="en-US" w:eastAsia="zh-CN" w:bidi="ar-SA"/>
        </w:rPr>
        <w:t>强化儿童福利服务体系建设</w:t>
      </w:r>
      <w:r>
        <w:rPr>
          <w:rFonts w:hint="eastAsia" w:ascii="仿宋_GB2312" w:hAnsi="仿宋_GB2312" w:eastAsia="仿宋_GB2312" w:cs="仿宋_GB2312"/>
          <w:b w:val="0"/>
          <w:bCs w:val="0"/>
          <w:color w:val="000000"/>
          <w:spacing w:val="6"/>
          <w:sz w:val="32"/>
          <w:szCs w:val="32"/>
          <w:u w:val="none"/>
          <w:lang w:val="en-US" w:eastAsia="zh-CN" w:bidi="ar-SA"/>
        </w:rPr>
        <w:t>。</w:t>
      </w:r>
      <w:r>
        <w:rPr>
          <w:rFonts w:hint="eastAsia" w:ascii="仿宋_GB2312" w:hAnsi="仿宋_GB2312" w:eastAsia="仿宋_GB2312" w:cs="仿宋_GB2312"/>
          <w:color w:val="000000"/>
          <w:spacing w:val="6"/>
          <w:kern w:val="2"/>
          <w:sz w:val="32"/>
          <w:szCs w:val="32"/>
          <w:u w:val="none"/>
          <w:lang w:val="en-US" w:eastAsia="zh-CN" w:bidi="ar-SA"/>
        </w:rPr>
        <w:t>落实孤儿基本生活最低养育标准自然增长机制。持续实施“孤儿医疗康复明天计划”和“福彩圆梦·孤儿助学工程”项目。推动市儿童福利院优化提质为区域性儿童福利机构。规范落实《四川省收养评估实施细则（试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64" w:firstLineChars="200"/>
        <w:textAlignment w:val="auto"/>
        <w:rPr>
          <w:rFonts w:hint="eastAsia" w:ascii="仿宋_GB2312" w:hAnsi="仿宋_GB2312" w:eastAsia="仿宋_GB2312" w:cs="仿宋_GB2312"/>
          <w:color w:val="000000"/>
          <w:spacing w:val="6"/>
          <w:kern w:val="2"/>
          <w:sz w:val="32"/>
          <w:szCs w:val="32"/>
          <w:u w:val="none"/>
          <w:lang w:val="en-US" w:eastAsia="zh-CN" w:bidi="ar-SA"/>
        </w:rPr>
      </w:pPr>
      <w:r>
        <w:rPr>
          <w:rFonts w:hint="eastAsia" w:ascii="仿宋_GB2312" w:hAnsi="仿宋_GB2312" w:eastAsia="仿宋_GB2312" w:cs="仿宋_GB2312"/>
          <w:b w:val="0"/>
          <w:bCs w:val="0"/>
          <w:color w:val="auto"/>
          <w:spacing w:val="6"/>
          <w:sz w:val="32"/>
          <w:szCs w:val="32"/>
          <w:u w:val="none"/>
          <w:lang w:val="en-US" w:eastAsia="zh-CN" w:bidi="ar-SA"/>
        </w:rPr>
        <w:t>二是完善未成年人保护工作新格局。</w:t>
      </w:r>
      <w:r>
        <w:rPr>
          <w:rFonts w:hint="eastAsia" w:ascii="仿宋_GB2312" w:hAnsi="仿宋_GB2312" w:eastAsia="仿宋_GB2312" w:cs="仿宋_GB2312"/>
          <w:color w:val="000000"/>
          <w:spacing w:val="6"/>
          <w:kern w:val="2"/>
          <w:sz w:val="32"/>
          <w:szCs w:val="32"/>
          <w:u w:val="none"/>
          <w:lang w:val="en-US" w:eastAsia="zh-CN" w:bidi="ar-SA"/>
        </w:rPr>
        <w:t>进一步理顺市未成年人保护工作领导小组工作机制。加强未成年人保护阵地建设。指导剑阁县加快儿童福利机构创新转型。组织开展全市儿童督导员示范班。开展“未成年人保护宣传月”系列活动。</w:t>
      </w:r>
    </w:p>
    <w:p>
      <w:pPr>
        <w:pStyle w:val="6"/>
        <w:keepNext w:val="0"/>
        <w:keepLines w:val="0"/>
        <w:pageBreakBefore w:val="0"/>
        <w:widowControl w:val="0"/>
        <w:kinsoku/>
        <w:wordWrap/>
        <w:overflowPunct/>
        <w:topLinePunct w:val="0"/>
        <w:autoSpaceDN/>
        <w:bidi w:val="0"/>
        <w:adjustRightInd/>
        <w:snapToGrid/>
        <w:spacing w:line="576" w:lineRule="exact"/>
        <w:ind w:left="0" w:leftChars="0" w:firstLine="768"/>
        <w:rPr>
          <w:rFonts w:hint="eastAsia" w:ascii="仿宋_GB2312" w:hAnsi="仿宋_GB2312" w:eastAsia="仿宋_GB2312" w:cs="仿宋_GB2312"/>
          <w:b/>
          <w:bCs/>
          <w:i w:val="0"/>
          <w:iCs w:val="0"/>
          <w:color w:val="auto"/>
          <w:spacing w:val="6"/>
          <w:kern w:val="2"/>
          <w:sz w:val="32"/>
          <w:szCs w:val="32"/>
          <w:u w:val="none"/>
          <w:lang w:val="en-US" w:eastAsia="zh-CN" w:bidi="ar-SA"/>
        </w:rPr>
      </w:pPr>
      <w:r>
        <w:rPr>
          <w:rFonts w:hint="eastAsia" w:ascii="仿宋_GB2312" w:hAnsi="仿宋_GB2312" w:eastAsia="仿宋_GB2312" w:cs="仿宋_GB2312"/>
          <w:b/>
          <w:bCs/>
          <w:i w:val="0"/>
          <w:iCs w:val="0"/>
          <w:color w:val="auto"/>
          <w:spacing w:val="6"/>
          <w:kern w:val="2"/>
          <w:sz w:val="32"/>
          <w:szCs w:val="32"/>
          <w:u w:val="none"/>
          <w:lang w:val="en-US" w:eastAsia="zh-CN" w:bidi="ar-SA"/>
        </w:rPr>
        <w:t>4.推进基层政权建设和城乡社区治理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64" w:firstLineChars="20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b w:val="0"/>
          <w:bCs w:val="0"/>
          <w:color w:val="auto"/>
          <w:spacing w:val="6"/>
          <w:sz w:val="32"/>
          <w:szCs w:val="32"/>
          <w:u w:val="none"/>
          <w:lang w:val="en-US" w:eastAsia="zh-CN" w:bidi="ar-SA"/>
        </w:rPr>
        <w:t>一是</w:t>
      </w:r>
      <w:r>
        <w:rPr>
          <w:rFonts w:hint="eastAsia" w:ascii="仿宋_GB2312" w:hAnsi="仿宋_GB2312" w:eastAsia="仿宋_GB2312" w:cs="仿宋_GB2312"/>
          <w:b w:val="0"/>
          <w:bCs w:val="0"/>
          <w:sz w:val="32"/>
          <w:szCs w:val="32"/>
          <w:u w:val="none"/>
          <w:lang w:eastAsia="zh-CN"/>
        </w:rPr>
        <w:t>加强基层政权建设及群众自治。</w:t>
      </w:r>
      <w:r>
        <w:rPr>
          <w:rFonts w:hint="eastAsia" w:ascii="仿宋_GB2312" w:hAnsi="仿宋_GB2312" w:eastAsia="仿宋_GB2312" w:cs="仿宋_GB2312"/>
          <w:sz w:val="32"/>
          <w:szCs w:val="32"/>
          <w:u w:val="none"/>
        </w:rPr>
        <w:t>坚持党组织领导基层群众性自治组织的制度，</w:t>
      </w:r>
      <w:r>
        <w:rPr>
          <w:rFonts w:hint="eastAsia" w:ascii="仿宋_GB2312" w:hAnsi="仿宋_GB2312" w:eastAsia="仿宋_GB2312" w:cs="仿宋_GB2312"/>
          <w:sz w:val="32"/>
          <w:szCs w:val="32"/>
          <w:u w:val="none"/>
          <w:lang w:eastAsia="zh-CN"/>
        </w:rPr>
        <w:t>强化</w:t>
      </w:r>
      <w:r>
        <w:rPr>
          <w:rFonts w:hint="eastAsia" w:ascii="仿宋_GB2312" w:hAnsi="仿宋_GB2312" w:eastAsia="仿宋_GB2312" w:cs="仿宋_GB2312"/>
          <w:sz w:val="32"/>
          <w:szCs w:val="32"/>
          <w:u w:val="none"/>
        </w:rPr>
        <w:t>基层政权建设</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加强村（居）民委员会下属委员会建设，指导各地做好村（社区）“两委”班子规范化运行工作及“四议两公开”工作，进一步加强村（居）民委员会规范化建设，健全完善村（居）民议事协商、村（居）务公开等</w:t>
      </w:r>
      <w:r>
        <w:rPr>
          <w:rFonts w:hint="eastAsia" w:ascii="仿宋_GB2312" w:hAnsi="仿宋_GB2312" w:eastAsia="仿宋_GB2312" w:cs="仿宋_GB2312"/>
          <w:sz w:val="32"/>
          <w:szCs w:val="32"/>
          <w:u w:val="none"/>
          <w:lang w:eastAsia="zh-CN"/>
        </w:rPr>
        <w:t>自治制度，</w:t>
      </w:r>
      <w:r>
        <w:rPr>
          <w:rFonts w:hint="eastAsia" w:ascii="仿宋_GB2312" w:hAnsi="仿宋_GB2312" w:eastAsia="仿宋_GB2312" w:cs="仿宋_GB2312"/>
          <w:sz w:val="32"/>
          <w:szCs w:val="32"/>
          <w:u w:val="none"/>
        </w:rPr>
        <w:t>开展村（居）委会主任培训，提升村（社区）服务能力</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优化村（社区）服务格局</w:t>
      </w:r>
      <w:r>
        <w:rPr>
          <w:rFonts w:hint="eastAsia" w:ascii="仿宋_GB2312" w:hAnsi="仿宋_GB2312" w:eastAsia="仿宋_GB2312" w:cs="仿宋_GB2312"/>
          <w:sz w:val="32"/>
          <w:szCs w:val="32"/>
          <w:u w:val="none"/>
          <w:lang w:eastAsia="zh-CN"/>
        </w:rPr>
        <w:t>，做好全市村（社区）信息系统维护管理工作</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推进全国村级议事协商创新实验试点建设。</w:t>
      </w:r>
      <w:r>
        <w:rPr>
          <w:rFonts w:hint="eastAsia" w:ascii="仿宋_GB2312" w:hAnsi="仿宋_GB2312" w:eastAsia="仿宋_GB2312" w:cs="仿宋_GB2312"/>
          <w:sz w:val="32"/>
          <w:szCs w:val="32"/>
          <w:u w:val="none"/>
        </w:rPr>
        <w:t>结合两项改革“后半篇”文章，开展基层群众自治试点</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64" w:firstLineChars="20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b w:val="0"/>
          <w:bCs w:val="0"/>
          <w:color w:val="auto"/>
          <w:spacing w:val="6"/>
          <w:sz w:val="32"/>
          <w:szCs w:val="32"/>
          <w:u w:val="none"/>
          <w:lang w:val="en-US" w:eastAsia="zh-CN" w:bidi="ar-SA"/>
        </w:rPr>
        <w:t>二是加强城乡社区治理和服务创新。</w:t>
      </w:r>
      <w:r>
        <w:rPr>
          <w:rFonts w:hint="eastAsia" w:ascii="仿宋_GB2312" w:hAnsi="仿宋_GB2312" w:eastAsia="仿宋_GB2312" w:cs="仿宋_GB2312"/>
          <w:sz w:val="32"/>
          <w:szCs w:val="32"/>
          <w:u w:val="none"/>
          <w:lang w:eastAsia="zh-CN"/>
        </w:rPr>
        <w:t>制定</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广元市</w:t>
      </w:r>
      <w:r>
        <w:rPr>
          <w:rFonts w:hint="eastAsia" w:ascii="仿宋_GB2312" w:hAnsi="仿宋_GB2312" w:eastAsia="仿宋_GB2312" w:cs="仿宋_GB2312"/>
          <w:sz w:val="32"/>
          <w:szCs w:val="32"/>
          <w:u w:val="none"/>
        </w:rPr>
        <w:t>“十四五”城乡社区发展治理规划》</w:t>
      </w:r>
      <w:r>
        <w:rPr>
          <w:rFonts w:hint="eastAsia" w:ascii="仿宋_GB2312" w:hAnsi="仿宋_GB2312" w:eastAsia="仿宋_GB2312" w:cs="仿宋_GB2312"/>
          <w:sz w:val="32"/>
          <w:szCs w:val="32"/>
          <w:u w:val="none"/>
          <w:lang w:eastAsia="zh-CN"/>
        </w:rPr>
        <w:t>并组织</w:t>
      </w:r>
      <w:r>
        <w:rPr>
          <w:rFonts w:hint="eastAsia" w:ascii="仿宋_GB2312" w:hAnsi="仿宋_GB2312" w:eastAsia="仿宋_GB2312" w:cs="仿宋_GB2312"/>
          <w:sz w:val="32"/>
          <w:szCs w:val="32"/>
          <w:u w:val="none"/>
        </w:rPr>
        <w:t>实施。</w:t>
      </w:r>
      <w:r>
        <w:rPr>
          <w:rFonts w:hint="eastAsia" w:ascii="仿宋_GB2312" w:hAnsi="仿宋_GB2312" w:eastAsia="仿宋_GB2312" w:cs="仿宋_GB2312"/>
          <w:sz w:val="32"/>
          <w:szCs w:val="32"/>
          <w:u w:val="none"/>
          <w:lang w:eastAsia="zh-CN"/>
        </w:rPr>
        <w:t>指导旺苍县、昭化区、青川县、朝天区开展省级城乡社区治理试点，</w:t>
      </w:r>
      <w:r>
        <w:rPr>
          <w:rFonts w:hint="eastAsia" w:ascii="仿宋_GB2312" w:hAnsi="仿宋_GB2312" w:eastAsia="仿宋_GB2312" w:cs="仿宋_GB2312"/>
          <w:sz w:val="32"/>
          <w:szCs w:val="32"/>
          <w:u w:val="none"/>
        </w:rPr>
        <w:t>争创建一批基层治理示范街道、示范社区</w:t>
      </w:r>
      <w:r>
        <w:rPr>
          <w:rFonts w:hint="eastAsia" w:ascii="仿宋_GB2312" w:hAnsi="仿宋_GB2312" w:eastAsia="仿宋_GB2312" w:cs="仿宋_GB2312"/>
          <w:sz w:val="32"/>
          <w:szCs w:val="32"/>
          <w:u w:val="none"/>
          <w:lang w:eastAsia="zh-CN"/>
        </w:rPr>
        <w:t>，继续开展市级城市基层治理示范街道、示范社区建设</w:t>
      </w:r>
      <w:r>
        <w:rPr>
          <w:rFonts w:hint="eastAsia" w:ascii="仿宋_GB2312" w:hAnsi="仿宋_GB2312" w:eastAsia="仿宋_GB2312" w:cs="仿宋_GB2312"/>
          <w:sz w:val="32"/>
          <w:szCs w:val="32"/>
          <w:u w:val="none"/>
        </w:rPr>
        <w:t>。持续实施城乡社区综合服务设施“补短板”工程。推动实施“互联网＋社区”行动计划。</w:t>
      </w:r>
      <w:r>
        <w:rPr>
          <w:rFonts w:hint="eastAsia" w:ascii="仿宋_GB2312" w:hAnsi="仿宋_GB2312" w:eastAsia="仿宋_GB2312" w:cs="仿宋_GB2312"/>
          <w:sz w:val="32"/>
          <w:szCs w:val="32"/>
          <w:u w:val="none"/>
          <w:lang w:eastAsia="zh-CN"/>
        </w:rPr>
        <w:t>探索“五社联动”机制，助力新冠肺炎疫情风险人员社区排查。</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67" w:firstLineChars="200"/>
        <w:jc w:val="both"/>
        <w:textAlignment w:val="auto"/>
        <w:outlineLvl w:val="9"/>
        <w:rPr>
          <w:rFonts w:hint="eastAsia" w:ascii="仿宋_GB2312" w:hAnsi="仿宋_GB2312" w:eastAsia="仿宋_GB2312" w:cs="仿宋_GB2312"/>
          <w:b/>
          <w:bCs/>
          <w:color w:val="auto"/>
          <w:spacing w:val="6"/>
          <w:sz w:val="32"/>
          <w:szCs w:val="32"/>
          <w:u w:val="none"/>
          <w:lang w:val="en-US" w:eastAsia="zh-CN" w:bidi="ar-SA"/>
        </w:rPr>
      </w:pPr>
      <w:r>
        <w:rPr>
          <w:rFonts w:hint="eastAsia" w:ascii="仿宋_GB2312" w:hAnsi="仿宋_GB2312" w:eastAsia="仿宋_GB2312" w:cs="仿宋_GB2312"/>
          <w:b/>
          <w:bCs/>
          <w:color w:val="auto"/>
          <w:spacing w:val="6"/>
          <w:sz w:val="32"/>
          <w:szCs w:val="32"/>
          <w:u w:val="none"/>
          <w:lang w:val="en-US" w:eastAsia="zh-CN" w:bidi="ar-SA"/>
        </w:rPr>
        <w:t>5.引导社会组织健康有序发展</w:t>
      </w:r>
    </w:p>
    <w:p>
      <w:pPr>
        <w:pStyle w:val="6"/>
        <w:keepNext w:val="0"/>
        <w:keepLines w:val="0"/>
        <w:pageBreakBefore w:val="0"/>
        <w:widowControl w:val="0"/>
        <w:kinsoku/>
        <w:wordWrap/>
        <w:overflowPunct/>
        <w:topLinePunct w:val="0"/>
        <w:autoSpaceDN/>
        <w:bidi w:val="0"/>
        <w:adjustRightInd/>
        <w:snapToGrid/>
        <w:spacing w:line="576" w:lineRule="exact"/>
        <w:ind w:firstLine="664" w:firstLineChars="200"/>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b w:val="0"/>
          <w:bCs w:val="0"/>
          <w:color w:val="auto"/>
          <w:spacing w:val="6"/>
          <w:sz w:val="32"/>
          <w:szCs w:val="32"/>
          <w:u w:val="none"/>
          <w:lang w:val="en-US" w:eastAsia="zh-CN" w:bidi="ar-SA"/>
        </w:rPr>
        <w:t>一是加强社会组织党的建设。</w:t>
      </w:r>
      <w:r>
        <w:rPr>
          <w:rFonts w:hint="eastAsia" w:ascii="仿宋_GB2312" w:hAnsi="仿宋_GB2312" w:eastAsia="仿宋_GB2312" w:cs="仿宋_GB2312"/>
          <w:sz w:val="32"/>
          <w:szCs w:val="32"/>
          <w:u w:val="none"/>
          <w:lang w:eastAsia="zh-CN"/>
        </w:rPr>
        <w:t>坚持党的领导与社会组织依法自治相统一，全面推进社会组织“党建入章”。严格落实社会组织党建“四同时三同步”制度。持续开展社会组织党组织标准化规范化示范建设并发挥引领作用。推动社会组织党建带群建。</w:t>
      </w:r>
    </w:p>
    <w:p>
      <w:pPr>
        <w:keepNext w:val="0"/>
        <w:keepLines w:val="0"/>
        <w:pageBreakBefore w:val="0"/>
        <w:widowControl w:val="0"/>
        <w:kinsoku/>
        <w:wordWrap/>
        <w:overflowPunct/>
        <w:topLinePunct w:val="0"/>
        <w:autoSpaceDE/>
        <w:autoSpaceDN/>
        <w:bidi w:val="0"/>
        <w:adjustRightInd/>
        <w:snapToGrid/>
        <w:spacing w:line="576" w:lineRule="exact"/>
        <w:ind w:firstLine="664"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val="0"/>
          <w:bCs w:val="0"/>
          <w:color w:val="auto"/>
          <w:spacing w:val="6"/>
          <w:sz w:val="32"/>
          <w:szCs w:val="32"/>
          <w:u w:val="none"/>
          <w:lang w:val="en-US" w:eastAsia="zh-CN" w:bidi="ar-SA"/>
        </w:rPr>
        <w:t>二是加强社会组织登记管理。</w:t>
      </w:r>
      <w:r>
        <w:rPr>
          <w:rFonts w:hint="eastAsia" w:ascii="仿宋_GB2312" w:hAnsi="仿宋_GB2312" w:eastAsia="仿宋_GB2312" w:cs="仿宋_GB2312"/>
          <w:sz w:val="32"/>
          <w:szCs w:val="32"/>
          <w:u w:val="none"/>
          <w:lang w:eastAsia="zh-CN"/>
        </w:rPr>
        <w:t>推动健全登记管理机关、业务主管单位、行业管理部门联合审查机制。对全市社会组织信息数据进行校对、补缺补漏，持续打击整治非法社会组织，常态化整治“僵尸”社会组织，着力防范化解社会组织领域重大风险。探索建立市、县社会组织监督执法力量的动态联动和整合机制。有序开展年检年报、抽查审计、信用管理等工作。加快构建规范、公开、透明社会组织综合监管体系。加大执法监督力度，健全典型案例通报制度。</w:t>
      </w:r>
    </w:p>
    <w:p>
      <w:pPr>
        <w:keepNext w:val="0"/>
        <w:keepLines w:val="0"/>
        <w:pageBreakBefore w:val="0"/>
        <w:widowControl w:val="0"/>
        <w:kinsoku/>
        <w:wordWrap/>
        <w:overflowPunct/>
        <w:topLinePunct w:val="0"/>
        <w:autoSpaceDN/>
        <w:bidi w:val="0"/>
        <w:adjustRightInd/>
        <w:snapToGrid/>
        <w:spacing w:line="576" w:lineRule="exact"/>
        <w:ind w:left="0" w:leftChars="0" w:firstLine="640" w:firstLineChars="200"/>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lang w:val="en-US" w:eastAsia="zh-CN"/>
        </w:rPr>
        <w:t>三是持续</w:t>
      </w:r>
      <w:r>
        <w:rPr>
          <w:rFonts w:hint="eastAsia" w:ascii="仿宋_GB2312" w:hAnsi="仿宋_GB2312" w:eastAsia="仿宋_GB2312" w:cs="仿宋_GB2312"/>
          <w:sz w:val="32"/>
          <w:szCs w:val="32"/>
          <w:u w:val="none"/>
          <w:lang w:eastAsia="zh-CN"/>
        </w:rPr>
        <w:t>加大社会组织扶持力度。</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研究完善社会组织分类管理政策和相关扶持措施。</w:t>
      </w:r>
      <w:r>
        <w:rPr>
          <w:rFonts w:hint="eastAsia" w:ascii="仿宋_GB2312" w:hAnsi="仿宋_GB2312" w:eastAsia="仿宋_GB2312" w:cs="仿宋_GB2312"/>
          <w:sz w:val="32"/>
          <w:szCs w:val="32"/>
          <w:u w:val="none"/>
          <w:lang w:eastAsia="zh-CN"/>
        </w:rPr>
        <w:t>全面组织实施社会组织培养发展计划，加快完善“市—县（区）—街道—村（社区）</w:t>
      </w:r>
      <w:r>
        <w:rPr>
          <w:rFonts w:hint="eastAsia" w:ascii="仿宋_GB2312" w:hAnsi="仿宋_GB2312" w:eastAsia="仿宋_GB2312" w:cs="仿宋_GB2312"/>
          <w:sz w:val="32"/>
          <w:szCs w:val="32"/>
          <w:u w:val="none"/>
          <w:lang w:val="en-US" w:eastAsia="zh-CN"/>
        </w:rPr>
        <w:t>”四级社会组织孵化培育体系建设。组织开展社区社会组织“双千”孵化培育工程。</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2022年，</w:t>
      </w:r>
      <w:r>
        <w:rPr>
          <w:rFonts w:hint="eastAsia" w:ascii="仿宋_GB2312" w:hAnsi="仿宋_GB2312" w:eastAsia="仿宋_GB2312" w:cs="仿宋_GB2312"/>
          <w:sz w:val="32"/>
          <w:szCs w:val="32"/>
          <w:u w:val="none"/>
          <w:lang w:val="en-US" w:eastAsia="zh-CN"/>
        </w:rPr>
        <w:t>加快推进县乡两级社会组织孵化园建设，培育枢纽性专业性社会组织8家，加快推进实施品</w:t>
      </w:r>
      <w:r>
        <w:rPr>
          <w:rFonts w:hint="eastAsia" w:ascii="仿宋_GB2312" w:hAnsi="仿宋_GB2312" w:eastAsia="仿宋_GB2312" w:cs="仿宋_GB2312"/>
          <w:sz w:val="32"/>
          <w:szCs w:val="32"/>
          <w:u w:val="none"/>
          <w:lang w:eastAsia="zh-CN"/>
        </w:rPr>
        <w:t>牌社会组织示范创建活动。开展社会组织等级评估工作。</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lang w:val="en-US" w:eastAsia="zh-CN"/>
        </w:rPr>
        <w:t>四是引导发挥社会组织积极发挥作用。</w:t>
      </w:r>
      <w:r>
        <w:rPr>
          <w:rFonts w:hint="eastAsia" w:ascii="仿宋_GB2312" w:hAnsi="仿宋_GB2312" w:eastAsia="仿宋_GB2312" w:cs="仿宋_GB2312"/>
          <w:sz w:val="32"/>
          <w:szCs w:val="32"/>
          <w:u w:val="none"/>
          <w:lang w:eastAsia="zh-CN"/>
        </w:rPr>
        <w:t>指导社会组织健全完善以章程为核心的法人治理结构。推进行业协会商会建设，持续规范行业协会商会收费行为。推动社会组织巩固拓展脱贫攻坚成果与乡村振兴有效衔接，引导社会组织参与社会服务、乡村振兴和社会治理。深入开展“邻里守望”关爱行动，鼓励引导社会组织广泛参与经济建设、疫情防控、</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应急管理、</w:t>
      </w:r>
      <w:r>
        <w:rPr>
          <w:rFonts w:hint="eastAsia" w:ascii="仿宋_GB2312" w:hAnsi="仿宋_GB2312" w:eastAsia="仿宋_GB2312" w:cs="仿宋_GB2312"/>
          <w:sz w:val="32"/>
          <w:szCs w:val="32"/>
          <w:u w:val="none"/>
          <w:lang w:eastAsia="zh-CN"/>
        </w:rPr>
        <w:t>基层社会治理等工作。</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67" w:firstLineChars="200"/>
        <w:jc w:val="both"/>
        <w:textAlignment w:val="auto"/>
        <w:outlineLvl w:val="9"/>
        <w:rPr>
          <w:rFonts w:hint="eastAsia" w:ascii="仿宋_GB2312" w:hAnsi="仿宋_GB2312" w:eastAsia="仿宋_GB2312" w:cs="仿宋_GB2312"/>
          <w:b/>
          <w:bCs/>
          <w:color w:val="auto"/>
          <w:spacing w:val="6"/>
          <w:sz w:val="32"/>
          <w:szCs w:val="32"/>
          <w:u w:val="none"/>
          <w:lang w:val="en-US" w:eastAsia="zh-CN" w:bidi="ar-SA"/>
        </w:rPr>
      </w:pPr>
      <w:r>
        <w:rPr>
          <w:rFonts w:hint="eastAsia" w:ascii="仿宋_GB2312" w:hAnsi="仿宋_GB2312" w:eastAsia="仿宋_GB2312" w:cs="仿宋_GB2312"/>
          <w:b/>
          <w:bCs/>
          <w:color w:val="auto"/>
          <w:spacing w:val="6"/>
          <w:sz w:val="32"/>
          <w:szCs w:val="32"/>
          <w:u w:val="none"/>
          <w:lang w:val="en-US" w:eastAsia="zh-CN" w:bidi="ar-SA"/>
        </w:rPr>
        <w:t>稳妥推进区划地名管理工作</w:t>
      </w:r>
    </w:p>
    <w:p>
      <w:pPr>
        <w:pStyle w:val="15"/>
        <w:keepNext w:val="0"/>
        <w:keepLines w:val="0"/>
        <w:pageBreakBefore w:val="0"/>
        <w:kinsoku/>
        <w:wordWrap/>
        <w:overflowPunct/>
        <w:topLinePunct w:val="0"/>
        <w:autoSpaceDN/>
        <w:bidi w:val="0"/>
        <w:adjustRightInd/>
        <w:snapToGrid/>
        <w:spacing w:line="576" w:lineRule="exact"/>
        <w:rPr>
          <w:rFonts w:hint="eastAsia" w:ascii="仿宋_GB2312" w:hAnsi="仿宋_GB2312" w:eastAsia="仿宋_GB2312" w:cs="仿宋_GB2312"/>
          <w:b w:val="0"/>
          <w:bCs w:val="0"/>
          <w:color w:val="auto"/>
          <w:spacing w:val="6"/>
          <w:sz w:val="32"/>
          <w:szCs w:val="32"/>
          <w:u w:val="none"/>
          <w:lang w:val="en-US" w:eastAsia="zh-CN" w:bidi="ar-SA"/>
        </w:rPr>
      </w:pPr>
      <w:r>
        <w:rPr>
          <w:rFonts w:hint="eastAsia" w:ascii="楷体_GB2312" w:hAnsi="楷体_GB2312" w:eastAsia="楷体_GB2312" w:cs="楷体_GB2312"/>
          <w:b w:val="0"/>
          <w:bCs w:val="0"/>
          <w:sz w:val="32"/>
          <w:szCs w:val="32"/>
          <w:u w:val="none"/>
          <w:lang w:val="en-US" w:eastAsia="zh-CN"/>
        </w:rPr>
        <w:t>一是</w:t>
      </w:r>
      <w:r>
        <w:rPr>
          <w:rFonts w:hint="eastAsia" w:ascii="楷体_GB2312" w:hAnsi="楷体_GB2312" w:eastAsia="楷体_GB2312" w:cs="楷体_GB2312"/>
          <w:b w:val="0"/>
          <w:bCs w:val="0"/>
          <w:color w:val="auto"/>
          <w:spacing w:val="6"/>
          <w:sz w:val="32"/>
          <w:szCs w:val="32"/>
          <w:u w:val="none"/>
          <w:lang w:val="en-US" w:eastAsia="zh-CN" w:bidi="ar-SA"/>
        </w:rPr>
        <w:t>做深做实两项改革“后半篇”文章。</w:t>
      </w:r>
      <w:r>
        <w:rPr>
          <w:rFonts w:hint="eastAsia" w:ascii="仿宋_GB2312" w:hAnsi="仿宋_GB2312" w:eastAsia="仿宋_GB2312" w:cs="仿宋_GB2312"/>
          <w:b w:val="0"/>
          <w:bCs w:val="0"/>
          <w:color w:val="auto"/>
          <w:spacing w:val="6"/>
          <w:sz w:val="32"/>
          <w:szCs w:val="32"/>
          <w:u w:val="none"/>
          <w:lang w:val="en-US" w:eastAsia="zh-CN" w:bidi="ar-SA"/>
        </w:rPr>
        <w:t>围绕优化资源配置、提升发展质量、增强服务能力、提高治理效能“四大任务”，以乡镇片区为单元，以国土空间规划为基础，对专项工作方案进行区域化、集约化统筹，研究制定产业、公共服务等专项规划，引导各专项规划在片区内实现“多规合一”。推动产业布局和资源要素向乡村优势区域集聚，增强中心镇人口、资源等要素集聚承载和辐射带动能力。统筹中心镇与其他建制镇基础设施和公共服务设施建设，发挥中心镇对片区产业发展和公共服务的辐射带动作用，构建片区差异化设施配套模式。立足广元实际，扩大高寒地区集中供暖，提升建制乡镇场镇建设、管理和服务水平，推动优质公共服务向片区中心镇优先下沉延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u w:val="none"/>
          <w:lang w:eastAsia="zh-CN"/>
        </w:rPr>
      </w:pPr>
      <w:r>
        <w:rPr>
          <w:rFonts w:hint="eastAsia" w:ascii="楷体_GB2312" w:hAnsi="楷体_GB2312" w:eastAsia="楷体_GB2312" w:cs="楷体_GB2312"/>
          <w:b w:val="0"/>
          <w:bCs w:val="0"/>
          <w:sz w:val="32"/>
          <w:szCs w:val="32"/>
          <w:u w:val="none"/>
          <w:lang w:eastAsia="zh-CN"/>
        </w:rPr>
        <w:t>二是</w:t>
      </w:r>
      <w:r>
        <w:rPr>
          <w:rFonts w:hint="eastAsia" w:ascii="楷体_GB2312" w:hAnsi="楷体_GB2312" w:eastAsia="楷体_GB2312" w:cs="楷体_GB2312"/>
          <w:b w:val="0"/>
          <w:bCs w:val="0"/>
          <w:sz w:val="32"/>
          <w:szCs w:val="32"/>
          <w:u w:val="none"/>
        </w:rPr>
        <w:t>扎实做好</w:t>
      </w:r>
      <w:r>
        <w:rPr>
          <w:rFonts w:hint="eastAsia" w:ascii="楷体_GB2312" w:hAnsi="楷体_GB2312" w:eastAsia="楷体_GB2312" w:cs="楷体_GB2312"/>
          <w:b w:val="0"/>
          <w:bCs w:val="0"/>
          <w:sz w:val="32"/>
          <w:szCs w:val="32"/>
          <w:u w:val="none"/>
          <w:lang w:eastAsia="zh-CN"/>
        </w:rPr>
        <w:t>行政区划</w:t>
      </w:r>
      <w:r>
        <w:rPr>
          <w:rFonts w:hint="eastAsia" w:ascii="楷体_GB2312" w:hAnsi="楷体_GB2312" w:eastAsia="楷体_GB2312" w:cs="楷体_GB2312"/>
          <w:b w:val="0"/>
          <w:bCs w:val="0"/>
          <w:sz w:val="32"/>
          <w:szCs w:val="32"/>
          <w:u w:val="none"/>
        </w:rPr>
        <w:t>和界限管理</w:t>
      </w:r>
      <w:r>
        <w:rPr>
          <w:rFonts w:hint="eastAsia" w:ascii="楷体_GB2312" w:hAnsi="楷体_GB2312" w:eastAsia="楷体_GB2312" w:cs="楷体_GB2312"/>
          <w:b w:val="0"/>
          <w:bCs w:val="0"/>
          <w:sz w:val="32"/>
          <w:szCs w:val="32"/>
          <w:u w:val="none"/>
          <w:lang w:eastAsia="zh-CN"/>
        </w:rPr>
        <w:t>。</w:t>
      </w:r>
      <w:r>
        <w:rPr>
          <w:rFonts w:hint="eastAsia" w:ascii="仿宋_GB2312" w:hAnsi="仿宋_GB2312" w:eastAsia="仿宋_GB2312" w:cs="仿宋_GB2312"/>
          <w:sz w:val="32"/>
          <w:szCs w:val="32"/>
          <w:u w:val="none"/>
        </w:rPr>
        <w:t>积极融入成渝经济圈建设，指导剑阁县完善撤县设市条件，稳妥推进撤县设市。编制新的《广元市行政区划图》和《广元市城区图》。牵头做好剑阁县与绵阳市梓潼县行政区域界线第四轮联合检查工作。积极开展平安边界建设活动，及时化解边界纠纷隐患和妥善处理边界纠纷。</w:t>
      </w:r>
      <w:r>
        <w:rPr>
          <w:rFonts w:hint="eastAsia" w:ascii="仿宋_GB2312" w:hAnsi="仿宋_GB2312" w:eastAsia="仿宋_GB2312" w:cs="仿宋_GB2312"/>
          <w:sz w:val="32"/>
          <w:szCs w:val="32"/>
          <w:u w:val="none"/>
          <w:lang w:eastAsia="zh-CN"/>
        </w:rPr>
        <w:t>做好勘界档案的规范化管理。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eastAsia="zh-CN"/>
        </w:rPr>
        <w:t>三是加强地名管理服务水平提升。</w:t>
      </w:r>
      <w:r>
        <w:rPr>
          <w:rFonts w:hint="eastAsia" w:ascii="仿宋_GB2312" w:hAnsi="仿宋_GB2312" w:eastAsia="仿宋_GB2312" w:cs="仿宋_GB2312"/>
          <w:sz w:val="32"/>
          <w:szCs w:val="32"/>
          <w:u w:val="none"/>
        </w:rPr>
        <w:t>开展城区和三江新区地名命名工作。</w:t>
      </w:r>
      <w:r>
        <w:rPr>
          <w:rFonts w:hint="eastAsia" w:ascii="仿宋_GB2312" w:hAnsi="仿宋_GB2312" w:eastAsia="仿宋_GB2312" w:cs="仿宋_GB2312"/>
          <w:sz w:val="32"/>
          <w:szCs w:val="32"/>
          <w:u w:val="none"/>
          <w:lang w:eastAsia="zh-CN"/>
        </w:rPr>
        <w:t>联合</w:t>
      </w:r>
      <w:r>
        <w:rPr>
          <w:rFonts w:hint="eastAsia" w:ascii="仿宋_GB2312" w:hAnsi="仿宋_GB2312" w:eastAsia="仿宋_GB2312" w:cs="仿宋_GB2312"/>
          <w:b w:val="0"/>
          <w:bCs w:val="0"/>
          <w:sz w:val="32"/>
          <w:szCs w:val="32"/>
          <w:u w:val="none"/>
          <w:lang w:val="en-US" w:eastAsia="zh-CN"/>
        </w:rPr>
        <w:t>自然资源、公安、住建、城管等部门对市城区不规范地名进行排查和清理整治，建立由政府分管领导为组长的行政区划地名联席会议机制，从源头上遏制新的不规范地名产生。</w:t>
      </w:r>
      <w:r>
        <w:rPr>
          <w:rFonts w:hint="eastAsia" w:ascii="仿宋_GB2312" w:hAnsi="仿宋_GB2312" w:eastAsia="仿宋_GB2312" w:cs="仿宋_GB2312"/>
          <w:sz w:val="32"/>
          <w:szCs w:val="32"/>
          <w:u w:val="none"/>
        </w:rPr>
        <w:t>加强地名文化宣传、保护和传承</w:t>
      </w:r>
      <w:r>
        <w:rPr>
          <w:rFonts w:hint="eastAsia" w:ascii="仿宋_GB2312" w:hAnsi="仿宋_GB2312" w:eastAsia="仿宋_GB2312" w:cs="仿宋_GB2312"/>
          <w:sz w:val="32"/>
          <w:szCs w:val="32"/>
          <w:u w:val="none"/>
          <w:lang w:eastAsia="zh-CN"/>
        </w:rPr>
        <w:t>，利用第二次地名普查成果资料，启动编辑《广元地名志》工作</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开展中国</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none"/>
          <w:lang w:eastAsia="zh-CN"/>
        </w:rPr>
        <w:t>国家地名信息库数据质量建设行动，提升我市地名数据质量。</w:t>
      </w:r>
    </w:p>
    <w:p>
      <w:pPr>
        <w:pStyle w:val="15"/>
        <w:numPr>
          <w:ilvl w:val="0"/>
          <w:numId w:val="0"/>
        </w:numPr>
        <w:rPr>
          <w:rFonts w:hint="eastAsia"/>
          <w:u w:val="none"/>
          <w:lang w:val="en-US" w:eastAsia="zh-CN"/>
        </w:rPr>
      </w:pPr>
    </w:p>
    <w:p>
      <w:pPr>
        <w:pStyle w:val="15"/>
        <w:keepNext w:val="0"/>
        <w:keepLines w:val="0"/>
        <w:pageBreakBefore w:val="0"/>
        <w:widowControl w:val="0"/>
        <w:kinsoku/>
        <w:wordWrap/>
        <w:overflowPunct/>
        <w:topLinePunct w:val="0"/>
        <w:autoSpaceDN/>
        <w:bidi w:val="0"/>
        <w:adjustRightInd/>
        <w:snapToGrid/>
        <w:spacing w:line="576" w:lineRule="exact"/>
        <w:ind w:left="0" w:leftChars="0" w:firstLine="667" w:firstLineChars="200"/>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color w:val="auto"/>
          <w:spacing w:val="6"/>
          <w:sz w:val="32"/>
          <w:szCs w:val="32"/>
          <w:u w:val="none"/>
          <w:lang w:val="en-US" w:eastAsia="zh-CN" w:bidi="ar-SA"/>
        </w:rPr>
        <w:t>7.健全完善残疾人福利体系</w:t>
      </w:r>
    </w:p>
    <w:p>
      <w:pPr>
        <w:keepNext w:val="0"/>
        <w:keepLines w:val="0"/>
        <w:pageBreakBefore w:val="0"/>
        <w:widowControl w:val="0"/>
        <w:kinsoku/>
        <w:wordWrap/>
        <w:overflowPunct/>
        <w:topLinePunct w:val="0"/>
        <w:autoSpaceDN/>
        <w:bidi w:val="0"/>
        <w:adjustRightInd/>
        <w:snapToGrid/>
        <w:spacing w:line="576" w:lineRule="exact"/>
        <w:ind w:left="0" w:leftChars="0" w:firstLine="664" w:firstLineChars="200"/>
        <w:rPr>
          <w:rFonts w:hint="eastAsia" w:ascii="仿宋_GB2312" w:hAnsi="仿宋_GB2312" w:eastAsia="仿宋_GB2312" w:cs="仿宋_GB2312"/>
          <w:color w:val="000000"/>
          <w:spacing w:val="6"/>
          <w:kern w:val="2"/>
          <w:sz w:val="32"/>
          <w:szCs w:val="32"/>
          <w:u w:val="none"/>
          <w:lang w:val="en-US" w:eastAsia="zh-CN" w:bidi="ar-SA"/>
        </w:rPr>
      </w:pPr>
      <w:r>
        <w:rPr>
          <w:rFonts w:hint="eastAsia" w:ascii="仿宋_GB2312" w:hAnsi="仿宋_GB2312" w:eastAsia="仿宋_GB2312" w:cs="仿宋_GB2312"/>
          <w:b w:val="0"/>
          <w:bCs w:val="0"/>
          <w:color w:val="auto"/>
          <w:spacing w:val="6"/>
          <w:sz w:val="32"/>
          <w:szCs w:val="32"/>
          <w:u w:val="none"/>
          <w:lang w:val="en-US" w:eastAsia="zh-CN" w:bidi="ar-SA"/>
        </w:rPr>
        <w:t>全面提高残疾人福利水平。</w:t>
      </w:r>
      <w:r>
        <w:rPr>
          <w:rFonts w:hint="eastAsia" w:ascii="仿宋_GB2312" w:hAnsi="仿宋_GB2312" w:eastAsia="仿宋_GB2312" w:cs="仿宋_GB2312"/>
          <w:color w:val="000000"/>
          <w:spacing w:val="6"/>
          <w:kern w:val="2"/>
          <w:sz w:val="32"/>
          <w:szCs w:val="32"/>
          <w:u w:val="none"/>
          <w:lang w:val="en-US" w:eastAsia="zh-CN" w:bidi="ar-SA"/>
        </w:rPr>
        <w:t>持续落实残疾人两项补贴和“跨省通办”政策，实施三级、四级智力精神残疾人护理补贴政策，配合完成两补信息系统与一卡通平台对接，实现补贴对象动态化、精准化管理，组织申报残疾人社区康复站建设工作。</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67" w:firstLineChars="200"/>
        <w:textAlignment w:val="auto"/>
        <w:rPr>
          <w:rFonts w:hint="eastAsia" w:ascii="仿宋_GB2312" w:hAnsi="仿宋_GB2312" w:eastAsia="仿宋_GB2312" w:cs="仿宋_GB2312"/>
          <w:b/>
          <w:bCs/>
          <w:color w:val="auto"/>
          <w:spacing w:val="6"/>
          <w:sz w:val="32"/>
          <w:szCs w:val="32"/>
          <w:u w:val="none"/>
          <w:lang w:val="en-US" w:eastAsia="zh-CN" w:bidi="ar-SA"/>
        </w:rPr>
      </w:pPr>
      <w:r>
        <w:rPr>
          <w:rFonts w:hint="eastAsia" w:ascii="仿宋_GB2312" w:hAnsi="仿宋_GB2312" w:eastAsia="仿宋_GB2312" w:cs="仿宋_GB2312"/>
          <w:b/>
          <w:bCs/>
          <w:color w:val="auto"/>
          <w:spacing w:val="6"/>
          <w:sz w:val="32"/>
          <w:szCs w:val="32"/>
          <w:u w:val="none"/>
          <w:lang w:val="en-US" w:eastAsia="zh-CN" w:bidi="ar-SA"/>
        </w:rPr>
        <w:t>8.加强社会事务管理</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一是</w:t>
      </w:r>
      <w:r>
        <w:rPr>
          <w:rFonts w:hint="eastAsia" w:ascii="仿宋_GB2312" w:hAnsi="仿宋_GB2312" w:eastAsia="仿宋_GB2312" w:cs="仿宋_GB2312"/>
          <w:sz w:val="32"/>
          <w:szCs w:val="32"/>
          <w:u w:val="none"/>
        </w:rPr>
        <w:t>持续推进殡葬服务改革创新。认真贯彻落实《</w:t>
      </w:r>
      <w:r>
        <w:rPr>
          <w:rFonts w:hint="eastAsia" w:ascii="仿宋_GB2312" w:hAnsi="仿宋_GB2312" w:eastAsia="仿宋_GB2312" w:cs="仿宋_GB2312"/>
          <w:sz w:val="32"/>
          <w:szCs w:val="32"/>
          <w:u w:val="none"/>
          <w:lang w:eastAsia="zh-CN"/>
        </w:rPr>
        <w:t>四川省“十四五”殡葬事业发展规划</w:t>
      </w:r>
      <w:r>
        <w:rPr>
          <w:rFonts w:hint="eastAsia" w:ascii="仿宋_GB2312" w:hAnsi="仿宋_GB2312" w:eastAsia="仿宋_GB2312" w:cs="仿宋_GB2312"/>
          <w:sz w:val="32"/>
          <w:szCs w:val="32"/>
          <w:u w:val="none"/>
        </w:rPr>
        <w:t>》，坚持殡葬服务的公益属性，破除殡葬领域利益驱动机制，履行政府兜底保障职责</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减轻人民群众丧葬负担。</w:t>
      </w:r>
      <w:r>
        <w:rPr>
          <w:rFonts w:hint="eastAsia" w:ascii="仿宋_GB2312" w:hAnsi="仿宋_GB2312" w:eastAsia="仿宋_GB2312" w:cs="仿宋_GB2312"/>
          <w:sz w:val="32"/>
          <w:szCs w:val="32"/>
          <w:u w:val="none"/>
          <w:lang w:eastAsia="zh-CN"/>
        </w:rPr>
        <w:t>完成</w:t>
      </w:r>
      <w:r>
        <w:rPr>
          <w:rFonts w:hint="eastAsia" w:ascii="仿宋_GB2312" w:hAnsi="仿宋_GB2312" w:eastAsia="仿宋_GB2312" w:cs="仿宋_GB2312"/>
          <w:sz w:val="32"/>
          <w:szCs w:val="32"/>
          <w:u w:val="none"/>
        </w:rPr>
        <w:t>全市火</w:t>
      </w:r>
      <w:r>
        <w:rPr>
          <w:rFonts w:hint="eastAsia" w:ascii="仿宋_GB2312" w:hAnsi="仿宋_GB2312" w:eastAsia="仿宋_GB2312" w:cs="仿宋_GB2312"/>
          <w:sz w:val="32"/>
          <w:szCs w:val="32"/>
          <w:u w:val="none"/>
          <w:lang w:eastAsia="zh-CN"/>
        </w:rPr>
        <w:t>葬</w:t>
      </w:r>
      <w:r>
        <w:rPr>
          <w:rFonts w:hint="eastAsia" w:ascii="仿宋_GB2312" w:hAnsi="仿宋_GB2312" w:eastAsia="仿宋_GB2312" w:cs="仿宋_GB2312"/>
          <w:sz w:val="32"/>
          <w:szCs w:val="32"/>
          <w:u w:val="none"/>
        </w:rPr>
        <w:t>区</w:t>
      </w:r>
      <w:r>
        <w:rPr>
          <w:rFonts w:hint="eastAsia" w:ascii="仿宋_GB2312" w:hAnsi="仿宋_GB2312" w:eastAsia="仿宋_GB2312" w:cs="仿宋_GB2312"/>
          <w:sz w:val="32"/>
          <w:szCs w:val="32"/>
          <w:u w:val="none"/>
          <w:lang w:eastAsia="zh-CN"/>
        </w:rPr>
        <w:t>调整</w:t>
      </w:r>
      <w:r>
        <w:rPr>
          <w:rFonts w:hint="eastAsia" w:ascii="仿宋_GB2312" w:hAnsi="仿宋_GB2312" w:eastAsia="仿宋_GB2312" w:cs="仿宋_GB2312"/>
          <w:sz w:val="32"/>
          <w:szCs w:val="32"/>
          <w:u w:val="none"/>
        </w:rPr>
        <w:t>，统筹推进全市农村公益性公墓建设，</w:t>
      </w:r>
      <w:r>
        <w:rPr>
          <w:rFonts w:hint="eastAsia" w:ascii="仿宋_GB2312" w:hAnsi="仿宋_GB2312" w:eastAsia="仿宋_GB2312" w:cs="仿宋_GB2312"/>
          <w:sz w:val="32"/>
          <w:szCs w:val="32"/>
          <w:u w:val="none"/>
          <w:lang w:eastAsia="zh-CN"/>
        </w:rPr>
        <w:t>加快</w:t>
      </w:r>
      <w:r>
        <w:rPr>
          <w:rFonts w:hint="eastAsia" w:ascii="仿宋_GB2312" w:hAnsi="仿宋_GB2312" w:eastAsia="仿宋_GB2312" w:cs="仿宋_GB2312"/>
          <w:sz w:val="32"/>
          <w:szCs w:val="32"/>
          <w:u w:val="none"/>
        </w:rPr>
        <w:t>推进雪峰公墓提档升级改造。加快推进剑阁县</w:t>
      </w:r>
      <w:r>
        <w:rPr>
          <w:rFonts w:hint="eastAsia" w:ascii="仿宋_GB2312" w:hAnsi="仿宋_GB2312" w:eastAsia="仿宋_GB2312" w:cs="仿宋_GB2312"/>
          <w:sz w:val="32"/>
          <w:szCs w:val="32"/>
          <w:u w:val="none"/>
          <w:lang w:eastAsia="zh-CN"/>
        </w:rPr>
        <w:t>殡仪馆迁建项目</w:t>
      </w:r>
      <w:r>
        <w:rPr>
          <w:rFonts w:hint="eastAsia" w:ascii="仿宋_GB2312" w:hAnsi="仿宋_GB2312" w:eastAsia="仿宋_GB2312" w:cs="仿宋_GB2312"/>
          <w:sz w:val="32"/>
          <w:szCs w:val="32"/>
          <w:u w:val="none"/>
        </w:rPr>
        <w:t>。推进</w:t>
      </w:r>
      <w:r>
        <w:rPr>
          <w:rFonts w:hint="eastAsia" w:ascii="仿宋_GB2312" w:hAnsi="仿宋_GB2312" w:eastAsia="仿宋_GB2312" w:cs="仿宋_GB2312"/>
          <w:sz w:val="32"/>
          <w:szCs w:val="32"/>
          <w:u w:val="none"/>
          <w:lang w:eastAsia="zh-CN"/>
        </w:rPr>
        <w:t>广元</w:t>
      </w:r>
      <w:r>
        <w:rPr>
          <w:rFonts w:hint="eastAsia" w:ascii="仿宋_GB2312" w:hAnsi="仿宋_GB2312" w:eastAsia="仿宋_GB2312" w:cs="仿宋_GB2312"/>
          <w:sz w:val="32"/>
          <w:szCs w:val="32"/>
          <w:u w:val="none"/>
        </w:rPr>
        <w:t>公墓项目，</w:t>
      </w:r>
      <w:r>
        <w:rPr>
          <w:rFonts w:hint="eastAsia" w:ascii="仿宋_GB2312" w:hAnsi="仿宋_GB2312" w:eastAsia="仿宋_GB2312" w:cs="仿宋_GB2312"/>
          <w:sz w:val="32"/>
          <w:szCs w:val="32"/>
          <w:u w:val="none"/>
          <w:lang w:eastAsia="zh-CN"/>
        </w:rPr>
        <w:t>争取“地方债”支持</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制定《全市公墓年检制度》，开展公墓年检工作。</w:t>
      </w:r>
      <w:r>
        <w:rPr>
          <w:rFonts w:hint="eastAsia" w:ascii="仿宋_GB2312" w:hAnsi="仿宋_GB2312" w:eastAsia="仿宋_GB2312" w:cs="仿宋_GB2312"/>
          <w:sz w:val="32"/>
          <w:szCs w:val="32"/>
          <w:u w:val="none"/>
        </w:rPr>
        <w:t>积极开展殡葬服务进社区试点工作。深入开展殡葬领域移风易俗，大力推行火化和节地生态安葬，积极倡导文明办丧、节俭治丧和绿色祭祀新风尚。</w:t>
      </w:r>
    </w:p>
    <w:p>
      <w:pPr>
        <w:pStyle w:val="15"/>
        <w:keepNext w:val="0"/>
        <w:keepLines w:val="0"/>
        <w:pageBreakBefore w:val="0"/>
        <w:widowControl w:val="0"/>
        <w:kinsoku/>
        <w:wordWrap/>
        <w:overflowPunct/>
        <w:topLinePunct w:val="0"/>
        <w:autoSpaceDN/>
        <w:bidi w:val="0"/>
        <w:adjustRightInd/>
        <w:snapToGrid/>
        <w:spacing w:line="576" w:lineRule="exact"/>
        <w:ind w:left="0" w:leftChars="0"/>
        <w:rPr>
          <w:rFonts w:hint="eastAsia" w:ascii="仿宋_GB2312" w:hAnsi="仿宋_GB2312" w:eastAsia="仿宋_GB2312" w:cs="仿宋_GB2312"/>
          <w:b/>
          <w:bCs/>
          <w:color w:val="auto"/>
          <w:spacing w:val="6"/>
          <w:sz w:val="32"/>
          <w:szCs w:val="32"/>
          <w:u w:val="none"/>
          <w:lang w:val="en-US" w:eastAsia="zh-CN" w:bidi="ar-SA"/>
        </w:rPr>
      </w:pPr>
      <w:r>
        <w:rPr>
          <w:rFonts w:hint="eastAsia" w:ascii="仿宋_GB2312" w:hAnsi="仿宋_GB2312" w:eastAsia="仿宋_GB2312" w:cs="仿宋_GB2312"/>
          <w:b w:val="0"/>
          <w:bCs w:val="0"/>
          <w:sz w:val="32"/>
          <w:szCs w:val="32"/>
          <w:u w:val="none"/>
          <w:lang w:val="en-US" w:eastAsia="zh-CN"/>
        </w:rPr>
        <w:t>二是</w:t>
      </w:r>
      <w:r>
        <w:rPr>
          <w:rFonts w:hint="eastAsia" w:ascii="仿宋_GB2312" w:hAnsi="仿宋_GB2312" w:eastAsia="仿宋_GB2312" w:cs="仿宋_GB2312"/>
          <w:b w:val="0"/>
          <w:bCs w:val="0"/>
          <w:color w:val="auto"/>
          <w:spacing w:val="6"/>
          <w:sz w:val="32"/>
          <w:szCs w:val="32"/>
          <w:u w:val="none"/>
          <w:lang w:val="en-US" w:eastAsia="zh-CN" w:bidi="ar-SA"/>
        </w:rPr>
        <w:t>推进婚姻管理高质量发展。</w:t>
      </w:r>
      <w:r>
        <w:rPr>
          <w:rFonts w:hint="eastAsia" w:ascii="仿宋_GB2312" w:hAnsi="仿宋_GB2312" w:eastAsia="仿宋_GB2312" w:cs="仿宋_GB2312"/>
          <w:sz w:val="32"/>
          <w:szCs w:val="32"/>
          <w:u w:val="none"/>
        </w:rPr>
        <w:t>认真学习贯彻《中华人民共和国民法典》，依法做好婚姻登记工作。</w:t>
      </w:r>
      <w:r>
        <w:rPr>
          <w:rFonts w:hint="eastAsia" w:ascii="仿宋_GB2312" w:hAnsi="仿宋_GB2312" w:eastAsia="仿宋_GB2312" w:cs="仿宋_GB2312"/>
          <w:color w:val="auto"/>
          <w:kern w:val="2"/>
          <w:sz w:val="32"/>
          <w:szCs w:val="32"/>
          <w:u w:val="none"/>
          <w:lang w:val="en-US" w:eastAsia="zh-CN" w:bidi="ar-SA"/>
        </w:rPr>
        <w:t>大力推动婚俗改革试点工作。利用5.20、七夕等重要节点，组织开展“抵制高价彩礼，倡导文明新风”宣传活动。推动公园式婚姻登记机关建设，不断优化各项功能及设施布局。积极推动婚姻家庭辅导，结婚颁证服务，持续推进婚姻登记“跨省通办”、“全市通办”试点。不断改进和完善婚姻登记系统、预约系统各项功能，做好婚姻登记电子证照的生成共享。完成</w:t>
      </w:r>
      <w:r>
        <w:rPr>
          <w:rFonts w:hint="eastAsia" w:ascii="仿宋_GB2312" w:hAnsi="仿宋_GB2312" w:eastAsia="仿宋_GB2312" w:cs="仿宋_GB2312"/>
          <w:sz w:val="32"/>
          <w:szCs w:val="32"/>
          <w:u w:val="none"/>
          <w:lang w:eastAsia="zh-CN"/>
        </w:rPr>
        <w:t>婚姻登记数据补充完善工作。</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67" w:firstLineChars="200"/>
        <w:jc w:val="both"/>
        <w:textAlignment w:val="auto"/>
        <w:outlineLvl w:val="9"/>
        <w:rPr>
          <w:rFonts w:hint="eastAsia" w:ascii="仿宋_GB2312" w:hAnsi="仿宋_GB2312" w:eastAsia="仿宋_GB2312" w:cs="仿宋_GB2312"/>
          <w:b/>
          <w:bCs/>
          <w:color w:val="auto"/>
          <w:spacing w:val="6"/>
          <w:sz w:val="32"/>
          <w:szCs w:val="32"/>
          <w:u w:val="none"/>
          <w:lang w:val="en-US" w:eastAsia="zh-CN" w:bidi="ar-SA"/>
        </w:rPr>
      </w:pPr>
      <w:r>
        <w:rPr>
          <w:rFonts w:hint="eastAsia" w:ascii="仿宋_GB2312" w:hAnsi="仿宋_GB2312" w:eastAsia="仿宋_GB2312" w:cs="仿宋_GB2312"/>
          <w:b/>
          <w:bCs/>
          <w:color w:val="auto"/>
          <w:spacing w:val="6"/>
          <w:sz w:val="32"/>
          <w:szCs w:val="32"/>
          <w:u w:val="none"/>
          <w:lang w:val="en-US" w:eastAsia="zh-CN" w:bidi="ar-SA"/>
        </w:rPr>
        <w:t>9.促进慈善社工事业发展</w:t>
      </w:r>
    </w:p>
    <w:p>
      <w:pPr>
        <w:pStyle w:val="15"/>
        <w:keepNext w:val="0"/>
        <w:keepLines w:val="0"/>
        <w:pageBreakBefore w:val="0"/>
        <w:widowControl w:val="0"/>
        <w:kinsoku/>
        <w:wordWrap/>
        <w:overflowPunct/>
        <w:topLinePunct w:val="0"/>
        <w:autoSpaceDN/>
        <w:bidi w:val="0"/>
        <w:adjustRightInd/>
        <w:snapToGrid/>
        <w:spacing w:line="576" w:lineRule="exact"/>
        <w:ind w:left="0" w:leftChars="0"/>
        <w:rPr>
          <w:rFonts w:hint="eastAsia" w:ascii="仿宋_GB2312" w:hAnsi="仿宋_GB2312" w:eastAsia="仿宋_GB2312" w:cs="仿宋_GB2312"/>
          <w:color w:val="auto"/>
          <w:kern w:val="2"/>
          <w:sz w:val="32"/>
          <w:szCs w:val="32"/>
          <w:u w:val="none"/>
          <w:lang w:val="en-US" w:eastAsia="zh-CN" w:bidi="ar-SA"/>
        </w:rPr>
      </w:pPr>
      <w:r>
        <w:rPr>
          <w:rFonts w:hint="eastAsia" w:ascii="仿宋_GB2312" w:hAnsi="仿宋_GB2312" w:eastAsia="仿宋_GB2312" w:cs="仿宋_GB2312"/>
          <w:b w:val="0"/>
          <w:bCs w:val="0"/>
          <w:color w:val="auto"/>
          <w:spacing w:val="6"/>
          <w:sz w:val="32"/>
          <w:szCs w:val="32"/>
          <w:u w:val="none"/>
          <w:lang w:val="en-US" w:eastAsia="zh-CN" w:bidi="ar-SA"/>
        </w:rPr>
        <w:t>一是推动慈善事业发展。</w:t>
      </w:r>
      <w:r>
        <w:rPr>
          <w:rFonts w:hint="eastAsia" w:ascii="仿宋_GB2312" w:hAnsi="仿宋_GB2312" w:eastAsia="仿宋_GB2312" w:cs="仿宋_GB2312"/>
          <w:color w:val="auto"/>
          <w:kern w:val="2"/>
          <w:sz w:val="32"/>
          <w:szCs w:val="32"/>
          <w:u w:val="none"/>
          <w:lang w:val="en-US" w:eastAsia="zh-CN" w:bidi="ar-SA"/>
        </w:rPr>
        <w:t>开展“中华慈善日”“天府慈善月”慈善宣传，举办广元“第二届慈善大讲堂”。常态化开展“慈善一日捐”活动。设立社区慈善捐赠站（点），方便群众开展“身边慈善”“随手慈善”经常性捐赠。发展互联网公益慈善，积极推行网上便民募集平台。加强慈善组织监督管理。强化慈善项目的信息公开和募捐活动的监管力度，加强慈善公信力建设。贯彻落实四川省关于慈善事业高质量发展的意见，立足本地实际适时制定出台相关配套文件。</w:t>
      </w:r>
    </w:p>
    <w:p>
      <w:pPr>
        <w:keepNext w:val="0"/>
        <w:keepLines w:val="0"/>
        <w:pageBreakBefore w:val="0"/>
        <w:widowControl w:val="0"/>
        <w:kinsoku/>
        <w:wordWrap/>
        <w:overflowPunct/>
        <w:topLinePunct w:val="0"/>
        <w:autoSpaceDN/>
        <w:bidi w:val="0"/>
        <w:adjustRightInd/>
        <w:snapToGrid/>
        <w:spacing w:line="576" w:lineRule="exact"/>
        <w:ind w:left="0" w:leftChars="0" w:firstLine="664" w:firstLineChars="200"/>
        <w:rPr>
          <w:rFonts w:hint="eastAsia" w:ascii="仿宋_GB2312" w:hAnsi="仿宋_GB2312" w:eastAsia="仿宋_GB2312" w:cs="仿宋_GB2312"/>
          <w:color w:val="auto"/>
          <w:kern w:val="2"/>
          <w:sz w:val="32"/>
          <w:szCs w:val="32"/>
          <w:u w:val="none"/>
          <w:lang w:val="en-US" w:eastAsia="zh-CN" w:bidi="ar-SA"/>
        </w:rPr>
      </w:pPr>
      <w:r>
        <w:rPr>
          <w:rFonts w:hint="eastAsia" w:ascii="仿宋_GB2312" w:hAnsi="仿宋_GB2312" w:eastAsia="仿宋_GB2312" w:cs="仿宋_GB2312"/>
          <w:b w:val="0"/>
          <w:bCs w:val="0"/>
          <w:color w:val="auto"/>
          <w:spacing w:val="6"/>
          <w:sz w:val="32"/>
          <w:szCs w:val="32"/>
          <w:u w:val="none"/>
          <w:lang w:val="en-US" w:eastAsia="zh-CN" w:bidi="ar-SA"/>
        </w:rPr>
        <w:t>二是推动社会工作服务、志愿服务体系建设。</w:t>
      </w:r>
      <w:r>
        <w:rPr>
          <w:rFonts w:hint="eastAsia" w:ascii="仿宋_GB2312" w:hAnsi="仿宋_GB2312" w:eastAsia="仿宋_GB2312" w:cs="仿宋_GB2312"/>
          <w:color w:val="auto"/>
          <w:kern w:val="2"/>
          <w:sz w:val="32"/>
          <w:szCs w:val="32"/>
          <w:u w:val="none"/>
          <w:lang w:val="en-US" w:eastAsia="zh-CN" w:bidi="ar-SA"/>
        </w:rPr>
        <w:t>实施社会工作服务试点示范项目，继续壮大社会工作专业人才队伍建设。构建“五社联动”机制，助推社区、社会组织、社工社区志愿者、社会慈善资源联动发展。持续推进全国志愿服务信息系统推广使用，促进志愿服务常态化发展。</w:t>
      </w:r>
    </w:p>
    <w:p>
      <w:pPr>
        <w:keepNext w:val="0"/>
        <w:keepLines w:val="0"/>
        <w:pageBreakBefore w:val="0"/>
        <w:widowControl w:val="0"/>
        <w:kinsoku/>
        <w:wordWrap/>
        <w:overflowPunct/>
        <w:topLinePunct w:val="0"/>
        <w:autoSpaceDN/>
        <w:bidi w:val="0"/>
        <w:adjustRightInd/>
        <w:snapToGrid/>
        <w:spacing w:line="576" w:lineRule="exact"/>
        <w:ind w:left="0" w:leftChars="0" w:firstLine="640" w:firstLineChars="200"/>
        <w:outlineLvl w:val="0"/>
        <w:rPr>
          <w:rFonts w:hint="eastAsia" w:ascii="黑体" w:hAnsi="黑体" w:eastAsia="黑体" w:cs="黑体"/>
          <w:b w:val="0"/>
          <w:bCs/>
          <w:sz w:val="32"/>
          <w:szCs w:val="32"/>
        </w:rPr>
      </w:pPr>
      <w:bookmarkStart w:id="10" w:name="_Toc2914"/>
      <w:bookmarkStart w:id="11" w:name="_Toc1118"/>
      <w:bookmarkStart w:id="12" w:name="_Toc4119"/>
      <w:bookmarkStart w:id="13" w:name="_Toc13378"/>
      <w:r>
        <w:rPr>
          <w:rFonts w:hint="eastAsia" w:ascii="黑体" w:hAnsi="黑体" w:eastAsia="黑体" w:cs="黑体"/>
          <w:b w:val="0"/>
          <w:bCs/>
          <w:sz w:val="32"/>
          <w:szCs w:val="32"/>
          <w:lang w:eastAsia="zh-CN"/>
        </w:rPr>
        <w:t>二、</w:t>
      </w:r>
      <w:r>
        <w:rPr>
          <w:rFonts w:hint="eastAsia" w:ascii="黑体" w:hAnsi="黑体" w:eastAsia="黑体" w:cs="黑体"/>
          <w:b w:val="0"/>
          <w:bCs/>
          <w:sz w:val="32"/>
          <w:szCs w:val="32"/>
        </w:rPr>
        <w:t>部门预算单位构成</w:t>
      </w:r>
      <w:bookmarkEnd w:id="10"/>
      <w:bookmarkEnd w:id="11"/>
      <w:bookmarkEnd w:id="12"/>
      <w:bookmarkEnd w:id="13"/>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从预算单位构成看，广元市民政局部门预算包括：局本级预算是一级预算单位（属行政单位预算）。</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纳入广元市民政局2021年部门预算编制范围的二级预算单位包括（属事业单位预算）：</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广元市民政局（本级）</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广元市社会救助综合服务中心</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24"/>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广元市社会福利院</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24"/>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广元市儿童福利院</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24"/>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广元市救助站</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24"/>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广元市殡葬管理所</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24"/>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广元市老年大学（老年活动中心）</w:t>
      </w:r>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outlineLvl w:val="0"/>
        <w:rPr>
          <w:rFonts w:hint="eastAsia" w:ascii="黑体" w:hAnsi="黑体" w:eastAsia="黑体" w:cs="黑体"/>
          <w:b w:val="0"/>
          <w:bCs/>
          <w:color w:val="000000" w:themeColor="text1"/>
          <w:sz w:val="32"/>
          <w:szCs w:val="32"/>
          <w14:textFill>
            <w14:solidFill>
              <w14:schemeClr w14:val="tx1"/>
            </w14:solidFill>
          </w14:textFill>
        </w:rPr>
      </w:pPr>
      <w:bookmarkStart w:id="14" w:name="_Toc12111"/>
      <w:bookmarkStart w:id="15" w:name="_Toc3494"/>
      <w:bookmarkStart w:id="16" w:name="_Toc27859"/>
      <w:bookmarkStart w:id="17" w:name="_Toc8804"/>
      <w:r>
        <w:rPr>
          <w:rFonts w:hint="eastAsia" w:ascii="黑体" w:hAnsi="黑体" w:eastAsia="黑体" w:cs="黑体"/>
          <w:b w:val="0"/>
          <w:bCs/>
          <w:color w:val="000000" w:themeColor="text1"/>
          <w:sz w:val="32"/>
          <w:szCs w:val="32"/>
          <w:lang w:eastAsia="zh-CN"/>
          <w14:textFill>
            <w14:solidFill>
              <w14:schemeClr w14:val="tx1"/>
            </w14:solidFill>
          </w14:textFill>
        </w:rPr>
        <w:t>三、</w:t>
      </w:r>
      <w:r>
        <w:rPr>
          <w:rFonts w:hint="eastAsia" w:ascii="黑体" w:hAnsi="黑体" w:eastAsia="黑体" w:cs="黑体"/>
          <w:b w:val="0"/>
          <w:bCs/>
          <w:color w:val="000000" w:themeColor="text1"/>
          <w:sz w:val="32"/>
          <w:szCs w:val="32"/>
          <w14:textFill>
            <w14:solidFill>
              <w14:schemeClr w14:val="tx1"/>
            </w14:solidFill>
          </w14:textFill>
        </w:rPr>
        <w:t>广元市民政局202</w:t>
      </w:r>
      <w:r>
        <w:rPr>
          <w:rFonts w:hint="eastAsia" w:ascii="黑体" w:hAnsi="黑体" w:eastAsia="黑体" w:cs="黑体"/>
          <w:b w:val="0"/>
          <w:bCs/>
          <w:color w:val="000000" w:themeColor="text1"/>
          <w:sz w:val="32"/>
          <w:szCs w:val="32"/>
          <w:lang w:val="en-US" w:eastAsia="zh-CN"/>
          <w14:textFill>
            <w14:solidFill>
              <w14:schemeClr w14:val="tx1"/>
            </w14:solidFill>
          </w14:textFill>
        </w:rPr>
        <w:t>2</w:t>
      </w:r>
      <w:r>
        <w:rPr>
          <w:rFonts w:hint="eastAsia" w:ascii="黑体" w:hAnsi="黑体" w:eastAsia="黑体" w:cs="黑体"/>
          <w:b w:val="0"/>
          <w:bCs/>
          <w:color w:val="000000" w:themeColor="text1"/>
          <w:sz w:val="32"/>
          <w:szCs w:val="32"/>
          <w14:textFill>
            <w14:solidFill>
              <w14:schemeClr w14:val="tx1"/>
            </w14:solidFill>
          </w14:textFill>
        </w:rPr>
        <w:t>年财政拨款部门情况的总体说明</w:t>
      </w:r>
      <w:bookmarkEnd w:id="14"/>
      <w:bookmarkEnd w:id="15"/>
      <w:bookmarkEnd w:id="16"/>
      <w:bookmarkEnd w:id="17"/>
    </w:p>
    <w:p>
      <w:pPr>
        <w:keepNext w:val="0"/>
        <w:keepLines w:val="0"/>
        <w:pageBreakBefore w:val="0"/>
        <w:widowControl w:val="0"/>
        <w:kinsoku/>
        <w:wordWrap/>
        <w:overflowPunct/>
        <w:topLinePunct w:val="0"/>
        <w:autoSpaceDN/>
        <w:bidi w:val="0"/>
        <w:adjustRightInd/>
        <w:snapToGrid/>
        <w:spacing w:beforeAutospacing="0" w:afterAutospacing="0" w:line="576" w:lineRule="exact"/>
        <w:ind w:left="0" w:leftChars="0"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按照综合预算的原则，</w:t>
      </w:r>
      <w:r>
        <w:rPr>
          <w:rFonts w:hint="eastAsia" w:ascii="仿宋_GB2312" w:hAnsi="仿宋_GB2312" w:eastAsia="仿宋_GB2312" w:cs="仿宋_GB2312"/>
          <w:color w:val="000000" w:themeColor="text1"/>
          <w:sz w:val="32"/>
          <w:szCs w:val="32"/>
          <w14:textFill>
            <w14:solidFill>
              <w14:schemeClr w14:val="tx1"/>
            </w14:solidFill>
          </w14:textFill>
        </w:rPr>
        <w:t>广元市民政局</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所有收入和支出均纳入部门预算管理。收入包括：一般公共预算拨款收入、上年结转；支出包括：社会保障和就业支出、卫生健康支出、住房保障支出、其他支出。</w:t>
      </w:r>
      <w:r>
        <w:rPr>
          <w:rFonts w:hint="eastAsia" w:ascii="仿宋_GB2312" w:hAnsi="仿宋_GB2312" w:eastAsia="仿宋_GB2312" w:cs="仿宋_GB2312"/>
          <w:color w:val="000000" w:themeColor="text1"/>
          <w:sz w:val="32"/>
          <w:szCs w:val="32"/>
          <w14:textFill>
            <w14:solidFill>
              <w14:schemeClr w14:val="tx1"/>
            </w14:solidFill>
          </w14:textFill>
        </w:rPr>
        <w:t>广元市民政局</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2022年收支总预算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3895.85</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（其中当年预算</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2959.11万元、</w:t>
      </w:r>
      <w:r>
        <w:rPr>
          <w:rFonts w:hint="eastAsia" w:ascii="仿宋_GB2312" w:hAnsi="仿宋_GB2312" w:eastAsia="仿宋_GB2312" w:cs="仿宋_GB2312"/>
          <w:color w:val="000000" w:themeColor="text1"/>
          <w:sz w:val="32"/>
          <w:szCs w:val="32"/>
          <w14:textFill>
            <w14:solidFill>
              <w14:schemeClr w14:val="tx1"/>
            </w14:solidFill>
          </w14:textFill>
        </w:rPr>
        <w:t>上年财政拨款结余结转</w:t>
      </w:r>
      <w:r>
        <w:rPr>
          <w:rFonts w:hint="eastAsia" w:ascii="仿宋_GB2312" w:hAnsi="仿宋_GB2312" w:eastAsia="仿宋_GB2312" w:cs="仿宋_GB2312"/>
          <w:color w:val="000000" w:themeColor="text1"/>
          <w:sz w:val="32"/>
          <w:szCs w:val="32"/>
          <w:lang w:val="en"/>
          <w14:textFill>
            <w14:solidFill>
              <w14:schemeClr w14:val="tx1"/>
            </w14:solidFill>
          </w14:textFill>
        </w:rPr>
        <w:t>812.2</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其他收入124.54万元），比2021年收支预算总数4361.24万元（</w:t>
      </w:r>
      <w:r>
        <w:rPr>
          <w:rFonts w:hint="eastAsia" w:ascii="仿宋_GB2312" w:hAnsi="仿宋_GB2312" w:eastAsia="仿宋_GB2312" w:cs="仿宋_GB2312"/>
          <w:color w:val="000000" w:themeColor="text1"/>
          <w:sz w:val="32"/>
          <w:szCs w:val="32"/>
          <w14:textFill>
            <w14:solidFill>
              <w14:schemeClr w14:val="tx1"/>
            </w14:solidFill>
          </w14:textFill>
        </w:rPr>
        <w:t>含上年财政拨款结余结转1148.33万元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，减少465.39万元，扣除上年结转资金、一次性安排等因素后，同口径减少253.8万元，</w:t>
      </w:r>
      <w:r>
        <w:rPr>
          <w:rFonts w:hint="eastAsia" w:ascii="仿宋_GB2312" w:hAnsi="仿宋_GB2312" w:eastAsia="仿宋_GB2312" w:cs="仿宋_GB2312"/>
          <w:color w:val="000000" w:themeColor="text1"/>
          <w:sz w:val="32"/>
          <w:szCs w:val="32"/>
          <w14:textFill>
            <w14:solidFill>
              <w14:schemeClr w14:val="tx1"/>
            </w14:solidFill>
          </w14:textFill>
        </w:rPr>
        <w:t>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人员减少、疫情导致养老项目及社会组织有所影响。</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N/>
        <w:bidi w:val="0"/>
        <w:adjustRightInd/>
        <w:snapToGrid/>
        <w:spacing w:before="0" w:beforeAutospacing="0" w:after="0" w:afterAutospacing="0" w:line="576" w:lineRule="exact"/>
        <w:ind w:left="0" w:leftChars="0" w:right="0" w:rightChars="0" w:firstLine="643" w:firstLineChars="200"/>
        <w:jc w:val="both"/>
        <w:rPr>
          <w:rFonts w:hint="eastAsia" w:ascii="楷体_GB2312" w:hAnsi="楷体_GB2312" w:eastAsia="楷体_GB2312" w:cs="楷体_GB2312"/>
          <w:b/>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b/>
          <w:i w:val="0"/>
          <w:caps w:val="0"/>
          <w:color w:val="333333"/>
          <w:spacing w:val="0"/>
          <w:kern w:val="0"/>
          <w:sz w:val="32"/>
          <w:szCs w:val="32"/>
          <w:shd w:val="clear" w:color="auto" w:fill="FFFFFF"/>
          <w:lang w:val="en-US" w:eastAsia="zh-CN" w:bidi="ar"/>
        </w:rPr>
        <w:t>（一）收入预算情况</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N/>
        <w:bidi w:val="0"/>
        <w:adjustRightInd/>
        <w:snapToGrid/>
        <w:spacing w:before="0" w:beforeAutospacing="0" w:after="0" w:afterAutospacing="0" w:line="576" w:lineRule="exact"/>
        <w:ind w:left="0" w:leftChars="0" w:right="0" w:rightChars="0" w:firstLine="640" w:firstLineChars="200"/>
        <w:jc w:val="both"/>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广元市民政局2022年收入预算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3895.85</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万元，其中：上年结转</w:t>
      </w:r>
      <w:r>
        <w:rPr>
          <w:rFonts w:hint="eastAsia" w:ascii="仿宋_GB2312" w:hAnsi="仿宋_GB2312" w:eastAsia="仿宋_GB2312" w:cs="仿宋_GB2312"/>
          <w:color w:val="000000" w:themeColor="text1"/>
          <w:sz w:val="32"/>
          <w:szCs w:val="32"/>
          <w:lang w:val="en"/>
          <w14:textFill>
            <w14:solidFill>
              <w14:schemeClr w14:val="tx1"/>
            </w14:solidFill>
          </w14:textFill>
        </w:rPr>
        <w:t>812.2</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万元，占21.54%；一般公共预算拨款收入2959.11万元，占76%、其他收入124.54万元，占2.46%。</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N/>
        <w:bidi w:val="0"/>
        <w:adjustRightInd/>
        <w:snapToGrid/>
        <w:spacing w:before="0" w:beforeAutospacing="0" w:after="0" w:afterAutospacing="0" w:line="576" w:lineRule="exact"/>
        <w:ind w:left="0" w:leftChars="0" w:right="0" w:rightChars="0" w:firstLine="643" w:firstLineChars="200"/>
        <w:jc w:val="both"/>
        <w:rPr>
          <w:rFonts w:hint="eastAsia" w:ascii="楷体_GB2312" w:hAnsi="楷体_GB2312" w:eastAsia="楷体_GB2312" w:cs="楷体_GB2312"/>
          <w:b/>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b/>
          <w:i w:val="0"/>
          <w:caps w:val="0"/>
          <w:color w:val="333333"/>
          <w:spacing w:val="0"/>
          <w:kern w:val="0"/>
          <w:sz w:val="32"/>
          <w:szCs w:val="32"/>
          <w:shd w:val="clear" w:color="auto" w:fill="FFFFFF"/>
          <w:lang w:val="en-US" w:eastAsia="zh-CN" w:bidi="ar"/>
        </w:rPr>
        <w:t>（二）支出预算情况</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N/>
        <w:bidi w:val="0"/>
        <w:adjustRightInd/>
        <w:snapToGrid/>
        <w:spacing w:before="0" w:beforeAutospacing="0" w:after="0" w:afterAutospacing="0" w:line="576" w:lineRule="exact"/>
        <w:ind w:left="0" w:leftChars="0" w:right="0" w:rightChars="0" w:firstLine="640" w:firstLineChars="200"/>
        <w:jc w:val="both"/>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广元市民政局2022年支出预算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3895.85</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万元（当年预算2959.11万元、上年结转812.2万元、其他收入124.54万元），其中：基本支出2432.89万元（人员支出2123.22万元、公用支出309.67万元），占62.45%；项目支出1462.96万元，占37.55%。</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N/>
        <w:bidi w:val="0"/>
        <w:adjustRightInd/>
        <w:snapToGrid/>
        <w:spacing w:before="0" w:beforeAutospacing="0" w:after="0" w:afterAutospacing="0" w:line="576" w:lineRule="exact"/>
        <w:ind w:left="0" w:leftChars="0" w:right="0" w:rightChars="0" w:firstLine="640" w:firstLineChars="200"/>
        <w:jc w:val="both"/>
        <w:outlineLvl w:val="0"/>
        <w:rPr>
          <w:rFonts w:hint="eastAsia" w:ascii="黑体" w:hAnsi="黑体" w:eastAsia="黑体" w:cs="黑体"/>
          <w:i w:val="0"/>
          <w:caps w:val="0"/>
          <w:color w:val="333333"/>
          <w:spacing w:val="0"/>
          <w:kern w:val="0"/>
          <w:sz w:val="32"/>
          <w:szCs w:val="32"/>
          <w:shd w:val="clear" w:color="auto" w:fill="FFFFFF"/>
          <w:lang w:val="en-US" w:eastAsia="zh-CN" w:bidi="ar"/>
        </w:rPr>
      </w:pPr>
      <w:bookmarkStart w:id="18" w:name="_Toc25069"/>
      <w:bookmarkStart w:id="19" w:name="_Toc15731"/>
      <w:bookmarkStart w:id="20" w:name="_Toc8214"/>
      <w:bookmarkStart w:id="21" w:name="_Toc15794"/>
      <w:r>
        <w:rPr>
          <w:rFonts w:hint="eastAsia" w:ascii="黑体" w:hAnsi="黑体" w:eastAsia="黑体" w:cs="黑体"/>
          <w:i w:val="0"/>
          <w:caps w:val="0"/>
          <w:color w:val="333333"/>
          <w:spacing w:val="0"/>
          <w:kern w:val="0"/>
          <w:sz w:val="32"/>
          <w:szCs w:val="32"/>
          <w:shd w:val="clear" w:color="auto" w:fill="FFFFFF"/>
          <w:lang w:val="en-US" w:eastAsia="zh-CN" w:bidi="ar"/>
        </w:rPr>
        <w:t>四、财政拨款收支预算情况说明</w:t>
      </w:r>
      <w:bookmarkEnd w:id="18"/>
      <w:bookmarkEnd w:id="19"/>
      <w:bookmarkEnd w:id="20"/>
      <w:bookmarkEnd w:id="21"/>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广元市民政局2022年财政拨款收支总预算</w:t>
      </w:r>
      <w:r>
        <w:rPr>
          <w:rFonts w:hint="eastAsia"/>
          <w:lang w:val="en-US" w:eastAsia="zh-CN"/>
        </w:rPr>
        <w:t>3771.31</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万元,比2021年财政拨款收支总预算4361.24万元，减少</w:t>
      </w:r>
      <w:r>
        <w:rPr>
          <w:rFonts w:hint="eastAsia"/>
          <w:lang w:val="en-US" w:eastAsia="zh-CN"/>
        </w:rPr>
        <w:t>589.93</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万元，扣除上年结转资金、一次性安排等因素后，同口径减少378.34万元，</w:t>
      </w:r>
      <w:r>
        <w:rPr>
          <w:rFonts w:hint="eastAsia" w:ascii="仿宋_GB2312" w:hAnsi="仿宋_GB2312" w:eastAsia="仿宋_GB2312" w:cs="仿宋_GB2312"/>
          <w:color w:val="000000" w:themeColor="text1"/>
          <w:sz w:val="32"/>
          <w:szCs w:val="32"/>
          <w14:textFill>
            <w14:solidFill>
              <w14:schemeClr w14:val="tx1"/>
            </w14:solidFill>
          </w14:textFill>
        </w:rPr>
        <w:t>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人员减少、疫情原因养老项目及社会组织等项目有所影响。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N/>
        <w:bidi w:val="0"/>
        <w:adjustRightInd/>
        <w:snapToGrid/>
        <w:spacing w:before="0" w:beforeAutospacing="0" w:after="0" w:afterAutospacing="0" w:line="576" w:lineRule="exact"/>
        <w:ind w:left="0" w:leftChars="0" w:right="0" w:rightChars="0" w:firstLine="640" w:firstLineChars="200"/>
        <w:jc w:val="both"/>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收入包括：本年一般公共预算拨款收入2959.11万元、上年结转一般公共预算拨款收入812.2万元；支出包括：社会保障和就业支出3598.87万元、卫生健康支出23.58万元、住房保障支出53.86万元、国库代管其他支出95万元。</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b/>
          <w:i w:val="0"/>
          <w:caps w:val="0"/>
          <w:color w:val="333333"/>
          <w:spacing w:val="0"/>
          <w:kern w:val="0"/>
          <w:sz w:val="32"/>
          <w:szCs w:val="32"/>
          <w:shd w:val="clear" w:color="auto" w:fill="FFFFFF"/>
          <w:lang w:val="en-US" w:eastAsia="zh-CN" w:bidi="ar"/>
        </w:rPr>
      </w:pPr>
      <w:bookmarkStart w:id="22" w:name="_Toc8864"/>
      <w:bookmarkStart w:id="23" w:name="_Toc1105"/>
      <w:bookmarkStart w:id="24" w:name="_Toc13"/>
      <w:bookmarkStart w:id="25" w:name="_Toc25748"/>
      <w:r>
        <w:rPr>
          <w:rFonts w:hint="eastAsia" w:ascii="黑体" w:hAnsi="黑体" w:eastAsia="黑体" w:cs="黑体"/>
          <w:i w:val="0"/>
          <w:caps w:val="0"/>
          <w:color w:val="333333"/>
          <w:spacing w:val="0"/>
          <w:kern w:val="0"/>
          <w:sz w:val="32"/>
          <w:szCs w:val="32"/>
          <w:shd w:val="clear" w:color="auto" w:fill="FFFFFF"/>
          <w:lang w:val="en-US" w:eastAsia="zh-CN" w:bidi="ar"/>
        </w:rPr>
        <w:t>五、一般公共预算当年拨款情况说明</w:t>
      </w:r>
      <w:bookmarkEnd w:id="22"/>
      <w:bookmarkEnd w:id="23"/>
      <w:bookmarkEnd w:id="24"/>
      <w:bookmarkEnd w:id="25"/>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b/>
          <w:i w:val="0"/>
          <w:caps w:val="0"/>
          <w:color w:val="333333"/>
          <w:spacing w:val="0"/>
          <w:kern w:val="0"/>
          <w:sz w:val="32"/>
          <w:szCs w:val="32"/>
          <w:shd w:val="clear" w:color="auto" w:fill="FFFFFF"/>
          <w:lang w:val="en-US" w:eastAsia="zh-CN" w:bidi="ar"/>
        </w:rPr>
      </w:pPr>
      <w:bookmarkStart w:id="26" w:name="_Toc7142"/>
      <w:bookmarkStart w:id="27" w:name="_Toc28800"/>
      <w:bookmarkStart w:id="28" w:name="_Toc28191"/>
      <w:bookmarkStart w:id="29" w:name="_Toc15035"/>
      <w:r>
        <w:rPr>
          <w:rFonts w:hint="eastAsia" w:ascii="楷体_GB2312" w:hAnsi="楷体_GB2312" w:eastAsia="楷体_GB2312" w:cs="楷体_GB2312"/>
          <w:i w:val="0"/>
          <w:caps w:val="0"/>
          <w:color w:val="333333"/>
          <w:spacing w:val="0"/>
          <w:kern w:val="0"/>
          <w:sz w:val="32"/>
          <w:szCs w:val="32"/>
          <w:shd w:val="clear" w:color="auto" w:fill="FFFFFF"/>
          <w:lang w:val="en-US" w:eastAsia="zh-CN" w:bidi="ar"/>
        </w:rPr>
        <w:t>（一）</w:t>
      </w:r>
      <w:r>
        <w:rPr>
          <w:rFonts w:hint="eastAsia" w:ascii="楷体_GB2312" w:hAnsi="楷体_GB2312" w:eastAsia="楷体_GB2312" w:cs="楷体_GB2312"/>
          <w:b/>
          <w:i w:val="0"/>
          <w:caps w:val="0"/>
          <w:color w:val="333333"/>
          <w:spacing w:val="0"/>
          <w:kern w:val="0"/>
          <w:sz w:val="32"/>
          <w:szCs w:val="32"/>
          <w:shd w:val="clear" w:color="auto" w:fill="FFFFFF"/>
          <w:lang w:val="en-US" w:eastAsia="zh-CN" w:bidi="ar"/>
        </w:rPr>
        <w:t>一般公共预算当年拨款规模变化情况</w:t>
      </w:r>
      <w:bookmarkEnd w:id="26"/>
      <w:bookmarkEnd w:id="27"/>
      <w:bookmarkEnd w:id="28"/>
      <w:bookmarkEnd w:id="29"/>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广元市民政局2022年一般公共预算当年拨款2959.11万元，比2021年预算数3212.91万元减少253.8万元，</w:t>
      </w:r>
      <w:r>
        <w:rPr>
          <w:rFonts w:hint="eastAsia" w:ascii="仿宋_GB2312" w:hAnsi="仿宋_GB2312" w:eastAsia="仿宋_GB2312" w:cs="仿宋_GB2312"/>
          <w:color w:val="000000" w:themeColor="text1"/>
          <w:sz w:val="32"/>
          <w:szCs w:val="32"/>
          <w14:textFill>
            <w14:solidFill>
              <w14:schemeClr w14:val="tx1"/>
            </w14:solidFill>
          </w14:textFill>
        </w:rPr>
        <w:t>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人员减少、疾情原因养老项目及社会组织有所影响。</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3" w:firstLineChars="200"/>
        <w:jc w:val="both"/>
        <w:textAlignment w:val="auto"/>
        <w:outlineLvl w:val="1"/>
        <w:rPr>
          <w:rFonts w:hint="eastAsia" w:ascii="楷体_GB2312" w:hAnsi="楷体_GB2312" w:eastAsia="楷体_GB2312" w:cs="楷体_GB2312"/>
          <w:b/>
          <w:bCs/>
          <w:i w:val="0"/>
          <w:caps w:val="0"/>
          <w:color w:val="333333"/>
          <w:spacing w:val="0"/>
          <w:kern w:val="0"/>
          <w:sz w:val="32"/>
          <w:szCs w:val="32"/>
          <w:shd w:val="clear" w:color="auto" w:fill="FFFFFF"/>
          <w:lang w:val="en-US" w:eastAsia="zh-CN" w:bidi="ar"/>
        </w:rPr>
      </w:pPr>
      <w:bookmarkStart w:id="30" w:name="_Toc13648"/>
      <w:bookmarkStart w:id="31" w:name="_Toc30799"/>
      <w:bookmarkStart w:id="32" w:name="_Toc25106"/>
      <w:bookmarkStart w:id="33" w:name="_Toc32436"/>
      <w:r>
        <w:rPr>
          <w:rFonts w:hint="eastAsia" w:ascii="楷体_GB2312" w:hAnsi="楷体_GB2312" w:eastAsia="楷体_GB2312" w:cs="楷体_GB2312"/>
          <w:b/>
          <w:bCs/>
          <w:i w:val="0"/>
          <w:caps w:val="0"/>
          <w:color w:val="333333"/>
          <w:spacing w:val="0"/>
          <w:kern w:val="0"/>
          <w:sz w:val="32"/>
          <w:szCs w:val="32"/>
          <w:shd w:val="clear" w:color="auto" w:fill="FFFFFF"/>
          <w:lang w:val="en-US" w:eastAsia="zh-CN" w:bidi="ar"/>
        </w:rPr>
        <w:t>（二）一般公共预算当年拨款结构情况</w:t>
      </w:r>
      <w:bookmarkEnd w:id="30"/>
      <w:bookmarkEnd w:id="31"/>
      <w:bookmarkEnd w:id="32"/>
      <w:bookmarkEnd w:id="33"/>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 xml:space="preserve">社会保障和就业支出2881.68万元，占97.89%、卫生健康支出23.58万元，占0.64%、住房保障支出53.86万元,占1.47%。  </w:t>
      </w:r>
    </w:p>
    <w:p>
      <w:pPr>
        <w:keepNext w:val="0"/>
        <w:keepLines w:val="0"/>
        <w:pageBreakBefore w:val="0"/>
        <w:widowControl w:val="0"/>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3" w:firstLineChars="200"/>
        <w:jc w:val="both"/>
        <w:textAlignment w:val="auto"/>
        <w:outlineLvl w:val="1"/>
        <w:rPr>
          <w:rFonts w:hint="eastAsia"/>
          <w:lang w:val="en-US" w:eastAsia="zh-CN"/>
        </w:rPr>
      </w:pPr>
      <w:bookmarkStart w:id="34" w:name="_Toc10139"/>
      <w:bookmarkStart w:id="35" w:name="_Toc24107"/>
      <w:bookmarkStart w:id="36" w:name="_Toc24619"/>
      <w:bookmarkStart w:id="37" w:name="_Toc7040"/>
      <w:r>
        <w:rPr>
          <w:rFonts w:hint="eastAsia" w:ascii="楷体_GB2312" w:hAnsi="楷体_GB2312" w:eastAsia="楷体_GB2312" w:cs="楷体_GB2312"/>
          <w:b/>
          <w:i w:val="0"/>
          <w:caps w:val="0"/>
          <w:color w:val="333333"/>
          <w:spacing w:val="0"/>
          <w:kern w:val="0"/>
          <w:sz w:val="32"/>
          <w:szCs w:val="32"/>
          <w:shd w:val="clear" w:color="auto" w:fill="FFFFFF"/>
          <w:lang w:val="en-US" w:eastAsia="zh-CN" w:bidi="ar"/>
        </w:rPr>
        <w:t>一般公共预算当年拨款具体使用情况</w:t>
      </w:r>
      <w:bookmarkEnd w:id="34"/>
      <w:bookmarkEnd w:id="35"/>
      <w:bookmarkEnd w:id="36"/>
      <w:bookmarkEnd w:id="37"/>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val="0"/>
        <w:autoSpaceDN w:val="0"/>
        <w:bidi w:val="0"/>
        <w:adjustRightInd/>
        <w:snapToGrid/>
        <w:spacing w:before="0" w:beforeAutospacing="0" w:after="0" w:afterAutospacing="0" w:line="576" w:lineRule="exact"/>
        <w:ind w:right="0" w:rightChars="0" w:firstLine="480" w:firstLineChars="150"/>
        <w:jc w:val="both"/>
        <w:textAlignment w:val="auto"/>
        <w:outlineLvl w:val="1"/>
        <w:rPr>
          <w:rFonts w:hint="eastAsia"/>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pacing w:val="-11"/>
          <w:sz w:val="32"/>
          <w:szCs w:val="32"/>
          <w:lang w:val="en-US" w:eastAsia="zh-CN"/>
        </w:rPr>
        <w:t>社会保障和就业（类）民政管理事务（款）行政运行：共计735.78万元。其中人员经费603.5万元，主要是基本工资、津补贴、奖金、绩效工资、其他社会保险、</w:t>
      </w:r>
      <w:r>
        <w:rPr>
          <w:rFonts w:hint="eastAsia" w:ascii="仿宋_GB2312" w:hAnsi="仿宋_GB2312" w:eastAsia="仿宋_GB2312" w:cs="仿宋_GB2312"/>
          <w:sz w:val="32"/>
          <w:szCs w:val="32"/>
          <w:lang w:val="en-US" w:eastAsia="zh-CN"/>
        </w:rPr>
        <w:t>基本养老保险、基本医疗保险、住房公积金；公用经费126.82万元，主要用于办公费、差旅费、培训费、工会费、福利费、会议费、接待费、公车运行费、其他交通费、租赁费、水、电、邮电、物管费等。</w:t>
      </w:r>
    </w:p>
    <w:p>
      <w:pPr>
        <w:pStyle w:val="15"/>
        <w:keepNext w:val="0"/>
        <w:keepLines w:val="0"/>
        <w:pageBreakBefore w:val="0"/>
        <w:widowControl w:val="0"/>
        <w:numPr>
          <w:ilvl w:val="0"/>
          <w:numId w:val="3"/>
        </w:numPr>
        <w:kinsoku/>
        <w:wordWrap/>
        <w:overflowPunct/>
        <w:topLinePunct w:val="0"/>
        <w:autoSpaceDE w:val="0"/>
        <w:autoSpaceDN w:val="0"/>
        <w:bidi w:val="0"/>
        <w:adjustRightInd/>
        <w:snapToGrid/>
        <w:spacing w:line="552" w:lineRule="exact"/>
        <w:ind w:firstLine="480" w:firstLineChars="150"/>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社会保障和就业（类）民政管理事务（款）社会组织管理（项）17万元，主要用于社会组织行政执法、抽查审计、等级评估等工作；</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社会保障和就业（类）民政管理事务（款）行政区划和地名管理（项）8万元，主要用于区划地名社事工作；</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社会保障和就业（类）民政管理事务（款）基层政权建设和社区治理（项）14万元，主要用于基层政权及城乡社区治理工作；</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社会保障和就业（类）民政管理事务（款）其他民政管理事务支出（项）70万元，包括争取项目资金工作经费50万元、主要用于向上争取项目资金，驻纪检组工作经费20万元，主要用于驻纪检组工作经费。</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方正仿宋_GB2312" w:hAnsi="方正仿宋_GB2312" w:eastAsia="方正仿宋_GB2312" w:cs="方正仿宋_GB2312"/>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社会保障和就业208（类）行政事业单位养老支出05（款）机关事业单位基本养老保险缴费支出05（项）2022年预算数为47.15万元，主要用于：实施养老保险制度由单位缴纳的基本养老保险支出。</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_GB2312"/>
          <w:color w:val="333333"/>
          <w:kern w:val="0"/>
          <w:sz w:val="32"/>
          <w:szCs w:val="32"/>
          <w:shd w:val="clear" w:color="auto" w:fill="FFFFFF"/>
          <w:lang w:val="en-US" w:eastAsia="zh-CN"/>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社会保障和就业（类）社会福利（款）儿童福利（项）430.95万元，主要用于做好县</w:t>
      </w:r>
      <w:r>
        <w:rPr>
          <w:rFonts w:hint="eastAsia" w:ascii="方正仿宋_GB2312" w:hAnsi="方正仿宋_GB2312" w:eastAsia="方正仿宋_GB2312" w:cs="方正仿宋_GB2312"/>
          <w:sz w:val="32"/>
          <w:szCs w:val="32"/>
        </w:rPr>
        <w:t>区孤残儿童和事实无人抚养儿童接收供养工作。按照上级主管部门工作要求，主动对接县区将机构供养孤儿接收进住市儿童福利院</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进一步规范孤残儿童寄养、送养和收养工作，充分发挥机构资源优势，积极探索改造家庭式居所养育模式，为孤弃儿童健康成长提供良好环境，全面提升全市孤残儿童服务管理水平</w:t>
      </w:r>
      <w:r>
        <w:rPr>
          <w:rFonts w:hint="eastAsia" w:ascii="方正仿宋_GB2312" w:hAnsi="方正仿宋_GB2312" w:eastAsia="方正仿宋_GB2312" w:cs="方正仿宋_GB2312"/>
          <w:sz w:val="32"/>
          <w:szCs w:val="32"/>
          <w:lang w:eastAsia="zh-CN"/>
        </w:rPr>
        <w:t>，</w:t>
      </w:r>
      <w:r>
        <w:rPr>
          <w:rFonts w:hint="eastAsia" w:ascii="仿宋" w:hAnsi="仿宋" w:eastAsia="仿宋" w:cs="仿宋_GB2312"/>
          <w:color w:val="333333"/>
          <w:kern w:val="0"/>
          <w:sz w:val="32"/>
          <w:szCs w:val="32"/>
          <w:shd w:val="clear" w:color="auto" w:fill="FFFFFF"/>
          <w:lang w:val="en-US" w:eastAsia="zh-CN"/>
        </w:rPr>
        <w:t>儿童福利及督导员培训等工作；</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_GB2312"/>
          <w:color w:val="333333"/>
          <w:kern w:val="0"/>
          <w:sz w:val="32"/>
          <w:szCs w:val="32"/>
          <w:shd w:val="clear" w:color="auto" w:fill="FFFFFF"/>
          <w:lang w:val="en-US" w:eastAsia="zh-CN"/>
        </w:rPr>
      </w:pPr>
      <w:r>
        <w:rPr>
          <w:rFonts w:hint="eastAsia" w:ascii="仿宋" w:hAnsi="仿宋" w:eastAsia="仿宋" w:cs="仿宋_GB2312"/>
          <w:color w:val="333333"/>
          <w:kern w:val="0"/>
          <w:sz w:val="32"/>
          <w:szCs w:val="32"/>
          <w:shd w:val="clear" w:color="auto" w:fill="FFFFFF"/>
          <w:lang w:val="en-US" w:eastAsia="zh-CN"/>
        </w:rPr>
        <w:t>社会保障和就业（类）社会福利（款）社会福利事业单位（项）5.06万元，主要用于慈善项目对接和资金争取等工作；</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_GB2312"/>
          <w:color w:val="333333"/>
          <w:kern w:val="0"/>
          <w:sz w:val="32"/>
          <w:szCs w:val="32"/>
          <w:shd w:val="clear" w:color="auto" w:fill="FFFFFF"/>
          <w:lang w:val="en-US" w:eastAsia="zh-CN"/>
        </w:rPr>
      </w:pPr>
      <w:r>
        <w:rPr>
          <w:rFonts w:hint="eastAsia" w:ascii="仿宋" w:hAnsi="仿宋" w:eastAsia="仿宋" w:cs="仿宋_GB2312"/>
          <w:color w:val="333333"/>
          <w:kern w:val="0"/>
          <w:sz w:val="32"/>
          <w:szCs w:val="32"/>
          <w:shd w:val="clear" w:color="auto" w:fill="FFFFFF"/>
          <w:lang w:val="en-US" w:eastAsia="zh-CN"/>
        </w:rPr>
        <w:t>社会保障和就业（类）社会福利（款）养老福服务（项）169.72万元，主要</w:t>
      </w:r>
      <w:r>
        <w:rPr>
          <w:rFonts w:hint="eastAsia" w:ascii="仿宋" w:hAnsi="仿宋" w:eastAsia="仿宋" w:cs="仿宋_GB2312"/>
          <w:color w:val="333333"/>
          <w:kern w:val="0"/>
          <w:sz w:val="32"/>
          <w:szCs w:val="32"/>
          <w:shd w:val="clear" w:color="auto" w:fill="FFFFFF"/>
        </w:rPr>
        <w:t>做好特困人员供养和社会老人代养工作。二是进一步规范社会代养老人入院出院工作，充分发挥机构资源优势，积极探索创新养老模式，为社会代养老人提供良好生活环境，全面提升代养服务管理水平。三是整合院内资源，提升机构“医疗、康复、社会一体化”服务能力</w:t>
      </w:r>
      <w:r>
        <w:rPr>
          <w:rFonts w:hint="eastAsia" w:ascii="仿宋" w:hAnsi="仿宋" w:eastAsia="仿宋" w:cs="仿宋_GB2312"/>
          <w:color w:val="333333"/>
          <w:kern w:val="0"/>
          <w:sz w:val="32"/>
          <w:szCs w:val="32"/>
          <w:shd w:val="clear" w:color="auto" w:fill="FFFFFF"/>
          <w:lang w:eastAsia="zh-CN"/>
        </w:rPr>
        <w:t>，</w:t>
      </w:r>
      <w:r>
        <w:rPr>
          <w:rFonts w:hint="eastAsia" w:ascii="仿宋" w:hAnsi="仿宋" w:eastAsia="仿宋" w:cs="仿宋_GB2312"/>
          <w:color w:val="333333"/>
          <w:kern w:val="0"/>
          <w:sz w:val="32"/>
          <w:szCs w:val="32"/>
          <w:shd w:val="clear" w:color="auto" w:fill="FFFFFF"/>
          <w:lang w:val="en-US" w:eastAsia="zh-CN"/>
        </w:rPr>
        <w:t>社会福利养老工作经费；</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_GB2312"/>
          <w:color w:val="333333"/>
          <w:kern w:val="0"/>
          <w:sz w:val="32"/>
          <w:szCs w:val="32"/>
          <w:shd w:val="clear" w:color="auto" w:fill="FFFFFF"/>
          <w:lang w:val="en-US" w:eastAsia="zh-CN"/>
        </w:rPr>
      </w:pPr>
      <w:r>
        <w:rPr>
          <w:rFonts w:hint="eastAsia" w:ascii="仿宋" w:hAnsi="仿宋" w:eastAsia="仿宋" w:cs="仿宋_GB2312"/>
          <w:color w:val="333333"/>
          <w:kern w:val="0"/>
          <w:sz w:val="32"/>
          <w:szCs w:val="32"/>
          <w:shd w:val="clear" w:color="auto" w:fill="FFFFFF"/>
          <w:lang w:val="en-US" w:eastAsia="zh-Hans"/>
        </w:rPr>
        <w:t>社会保障和就业支出（类）</w:t>
      </w:r>
      <w:r>
        <w:rPr>
          <w:rFonts w:hint="eastAsia" w:ascii="仿宋" w:hAnsi="仿宋" w:eastAsia="仿宋" w:cs="仿宋_GB2312"/>
          <w:color w:val="333333"/>
          <w:kern w:val="0"/>
          <w:sz w:val="32"/>
          <w:szCs w:val="32"/>
          <w:shd w:val="clear" w:color="auto" w:fill="FFFFFF"/>
          <w:lang w:val="en-US" w:eastAsia="zh-CN"/>
        </w:rPr>
        <w:t>社会福利（</w:t>
      </w:r>
      <w:r>
        <w:rPr>
          <w:rFonts w:hint="eastAsia" w:ascii="仿宋" w:hAnsi="仿宋" w:eastAsia="仿宋" w:cs="仿宋_GB2312"/>
          <w:color w:val="333333"/>
          <w:kern w:val="0"/>
          <w:sz w:val="32"/>
          <w:szCs w:val="32"/>
          <w:shd w:val="clear" w:color="auto" w:fill="FFFFFF"/>
          <w:lang w:val="en-US" w:eastAsia="zh-Hans"/>
        </w:rPr>
        <w:t>款）</w:t>
      </w:r>
      <w:r>
        <w:rPr>
          <w:rFonts w:hint="eastAsia" w:ascii="仿宋" w:hAnsi="仿宋" w:eastAsia="仿宋" w:cs="仿宋_GB2312"/>
          <w:color w:val="333333"/>
          <w:kern w:val="0"/>
          <w:sz w:val="32"/>
          <w:szCs w:val="32"/>
          <w:shd w:val="clear" w:color="auto" w:fill="FFFFFF"/>
          <w:lang w:val="en-US" w:eastAsia="zh-CN"/>
        </w:rPr>
        <w:t>殡葬</w:t>
      </w:r>
      <w:r>
        <w:rPr>
          <w:rFonts w:hint="eastAsia" w:ascii="仿宋" w:hAnsi="仿宋" w:eastAsia="仿宋" w:cs="仿宋_GB2312"/>
          <w:color w:val="333333"/>
          <w:kern w:val="0"/>
          <w:sz w:val="32"/>
          <w:szCs w:val="32"/>
          <w:shd w:val="clear" w:color="auto" w:fill="FFFFFF"/>
          <w:lang w:val="en-US" w:eastAsia="zh-Hans"/>
        </w:rPr>
        <w:t>（项）</w:t>
      </w:r>
      <w:r>
        <w:rPr>
          <w:rFonts w:hint="eastAsia" w:ascii="仿宋" w:hAnsi="仿宋" w:eastAsia="仿宋" w:cs="仿宋_GB2312"/>
          <w:color w:val="333333"/>
          <w:kern w:val="0"/>
          <w:sz w:val="32"/>
          <w:szCs w:val="32"/>
          <w:shd w:val="clear" w:color="auto" w:fill="FFFFFF"/>
          <w:lang w:val="en-US" w:eastAsia="zh-CN"/>
        </w:rPr>
        <w:t>177.46万元，主要用于保障殡葬救助、殡葬执法宣传和火化证及安葬证印制等殡葬工作经费、无名和疑难尸体火化及处理殡仪馆遗留问题支出。</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_GB2312"/>
          <w:color w:val="333333"/>
          <w:kern w:val="0"/>
          <w:sz w:val="32"/>
          <w:szCs w:val="32"/>
          <w:shd w:val="clear" w:color="auto" w:fill="FFFFFF"/>
          <w:lang w:val="en-US" w:eastAsia="zh-CN"/>
        </w:rPr>
      </w:pPr>
      <w:r>
        <w:rPr>
          <w:rFonts w:hint="eastAsia" w:ascii="仿宋" w:hAnsi="仿宋" w:eastAsia="仿宋" w:cs="仿宋_GB2312"/>
          <w:color w:val="333333"/>
          <w:kern w:val="0"/>
          <w:sz w:val="32"/>
          <w:szCs w:val="32"/>
          <w:shd w:val="clear" w:color="auto" w:fill="FFFFFF"/>
          <w:lang w:val="en-US" w:eastAsia="zh-CN"/>
        </w:rPr>
        <w:t>社会保障和就业（类）社会福利（款）社会福利事业单位（项）382.38万元，主要用于</w:t>
      </w:r>
      <w:r>
        <w:rPr>
          <w:rFonts w:hint="eastAsia" w:ascii="仿宋" w:hAnsi="仿宋" w:eastAsia="仿宋" w:cs="仿宋_GB2312"/>
          <w:color w:val="333333"/>
          <w:kern w:val="0"/>
          <w:sz w:val="32"/>
          <w:szCs w:val="32"/>
          <w:shd w:val="clear" w:color="auto" w:fill="FFFFFF"/>
        </w:rPr>
        <w:t>特困人员、代养老人</w:t>
      </w:r>
      <w:r>
        <w:rPr>
          <w:rFonts w:hint="eastAsia" w:ascii="仿宋" w:hAnsi="仿宋" w:eastAsia="仿宋" w:cs="仿宋_GB2312"/>
          <w:color w:val="333333"/>
          <w:kern w:val="0"/>
          <w:sz w:val="32"/>
          <w:szCs w:val="32"/>
          <w:shd w:val="clear" w:color="auto" w:fill="FFFFFF"/>
          <w:lang w:eastAsia="zh-CN"/>
        </w:rPr>
        <w:t>、适老化改造、</w:t>
      </w:r>
      <w:r>
        <w:rPr>
          <w:rFonts w:hint="eastAsia" w:ascii="仿宋" w:hAnsi="仿宋" w:eastAsia="仿宋" w:cs="仿宋_GB2312"/>
          <w:color w:val="333333"/>
          <w:kern w:val="0"/>
          <w:sz w:val="32"/>
          <w:szCs w:val="32"/>
          <w:shd w:val="clear" w:color="auto" w:fill="FFFFFF"/>
        </w:rPr>
        <w:t>对北方十省（市、区）跨省救助业务，为农村留守儿童和困境未成年人提供关爱、保护，为家庭暴力受害者提供临时庇护等</w:t>
      </w:r>
      <w:r>
        <w:rPr>
          <w:rFonts w:hint="eastAsia" w:ascii="仿宋" w:hAnsi="仿宋" w:eastAsia="仿宋" w:cs="仿宋_GB2312"/>
          <w:color w:val="333333"/>
          <w:kern w:val="0"/>
          <w:sz w:val="32"/>
          <w:szCs w:val="32"/>
          <w:shd w:val="clear" w:color="auto" w:fill="FFFFFF"/>
          <w:lang w:eastAsia="zh-CN"/>
        </w:rPr>
        <w:t>工作。</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_GB2312"/>
          <w:color w:val="333333"/>
          <w:kern w:val="0"/>
          <w:sz w:val="32"/>
          <w:szCs w:val="32"/>
          <w:shd w:val="clear" w:color="auto" w:fill="FFFFFF"/>
          <w:lang w:val="en-US" w:eastAsia="zh-CN"/>
        </w:rPr>
      </w:pPr>
      <w:r>
        <w:rPr>
          <w:rFonts w:hint="eastAsia" w:ascii="仿宋" w:hAnsi="仿宋" w:eastAsia="仿宋" w:cs="仿宋_GB2312"/>
          <w:color w:val="333333"/>
          <w:kern w:val="0"/>
          <w:sz w:val="32"/>
          <w:szCs w:val="32"/>
          <w:shd w:val="clear" w:color="auto" w:fill="FFFFFF"/>
          <w:lang w:val="en-US" w:eastAsia="zh-CN"/>
        </w:rPr>
        <w:t>社会保障和就业（类）社会福利（款）老年福利（项）10万元，主要用于社会福利养老工作经费；</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_GB2312"/>
          <w:color w:val="333333"/>
          <w:kern w:val="0"/>
          <w:sz w:val="32"/>
          <w:szCs w:val="32"/>
          <w:shd w:val="clear" w:color="auto" w:fill="FFFFFF"/>
          <w:lang w:val="en-US" w:eastAsia="zh-CN"/>
        </w:rPr>
      </w:pPr>
      <w:r>
        <w:rPr>
          <w:rFonts w:hint="eastAsia" w:ascii="仿宋" w:hAnsi="仿宋" w:eastAsia="仿宋" w:cs="仿宋_GB2312"/>
          <w:color w:val="333333"/>
          <w:kern w:val="0"/>
          <w:sz w:val="32"/>
          <w:szCs w:val="32"/>
          <w:shd w:val="clear" w:color="auto" w:fill="FFFFFF"/>
          <w:lang w:val="en-US" w:eastAsia="zh-CN"/>
        </w:rPr>
        <w:t>社会保障和就业（类）社会福利（款）其他社会福利支出（项）6.16万元，主要用于其他社会福利等工作；</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_GB2312"/>
          <w:color w:val="333333"/>
          <w:kern w:val="0"/>
          <w:sz w:val="32"/>
          <w:szCs w:val="32"/>
          <w:shd w:val="clear" w:color="auto" w:fill="FFFFFF"/>
          <w:lang w:val="en-US" w:eastAsia="zh-CN"/>
        </w:rPr>
      </w:pPr>
      <w:r>
        <w:rPr>
          <w:rFonts w:hint="eastAsia" w:ascii="仿宋" w:hAnsi="仿宋" w:eastAsia="仿宋" w:cs="仿宋_GB2312"/>
          <w:color w:val="333333"/>
          <w:kern w:val="0"/>
          <w:sz w:val="32"/>
          <w:szCs w:val="32"/>
          <w:shd w:val="clear" w:color="auto" w:fill="FFFFFF"/>
        </w:rPr>
        <w:t>社会保障和就业支出（类）临时救助（款）流浪乞讨人员救助支出（项）</w:t>
      </w:r>
      <w:r>
        <w:rPr>
          <w:rFonts w:hint="eastAsia" w:ascii="仿宋" w:hAnsi="仿宋" w:eastAsia="仿宋" w:cs="仿宋_GB2312"/>
          <w:color w:val="333333"/>
          <w:kern w:val="0"/>
          <w:sz w:val="32"/>
          <w:szCs w:val="32"/>
          <w:shd w:val="clear" w:color="auto" w:fill="FFFFFF"/>
          <w:lang w:val="en-US" w:eastAsia="zh-CN"/>
        </w:rPr>
        <w:t>810.99万元，</w:t>
      </w:r>
      <w:r>
        <w:rPr>
          <w:rFonts w:hint="eastAsia" w:ascii="仿宋" w:hAnsi="仿宋" w:eastAsia="仿宋" w:cs="仿宋_GB2312"/>
          <w:color w:val="333333"/>
          <w:kern w:val="0"/>
          <w:sz w:val="32"/>
          <w:szCs w:val="32"/>
          <w:shd w:val="clear" w:color="auto" w:fill="FFFFFF"/>
        </w:rPr>
        <w:t>负责为全市生活无着的流浪乞讨人员提供救助服务，承担我省对北方十省（市、区）跨省救助业务，为农村留守儿童和困境未成年人提供关爱、保护，为家庭暴力受害者提供临时庇护等</w:t>
      </w:r>
      <w:r>
        <w:rPr>
          <w:rFonts w:hint="eastAsia" w:ascii="仿宋" w:hAnsi="仿宋" w:eastAsia="仿宋" w:cs="仿宋_GB2312"/>
          <w:color w:val="333333"/>
          <w:kern w:val="0"/>
          <w:sz w:val="32"/>
          <w:szCs w:val="32"/>
          <w:shd w:val="clear" w:color="auto" w:fill="FFFFFF"/>
          <w:lang w:eastAsia="zh-CN"/>
        </w:rPr>
        <w:t>。</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社会保障和就业支出（类）</w:t>
      </w:r>
      <w:r>
        <w:rPr>
          <w:rFonts w:hint="eastAsia" w:ascii="仿宋" w:hAnsi="仿宋" w:eastAsia="仿宋" w:cs="仿宋_GB2312"/>
          <w:color w:val="333333"/>
          <w:kern w:val="0"/>
          <w:sz w:val="32"/>
          <w:szCs w:val="32"/>
          <w:shd w:val="clear" w:color="auto" w:fill="FFFFFF"/>
          <w:lang w:eastAsia="zh-CN"/>
        </w:rPr>
        <w:t>其他社会保障和就业支出（款）其他社会保障和就业支出（项）</w:t>
      </w:r>
      <w:r>
        <w:rPr>
          <w:rFonts w:hint="eastAsia" w:ascii="仿宋" w:hAnsi="仿宋" w:eastAsia="仿宋" w:cs="仿宋_GB2312"/>
          <w:color w:val="333333"/>
          <w:kern w:val="0"/>
          <w:sz w:val="32"/>
          <w:szCs w:val="32"/>
          <w:shd w:val="clear" w:color="auto" w:fill="FFFFFF"/>
          <w:lang w:val="en-US" w:eastAsia="zh-CN"/>
        </w:rPr>
        <w:t>394.34万元，主要用于流浪乞讨人员救助、未成年人社会保护等支出。</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hint="eastAsia"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社会保障和就业（类）行政事业单位养老支出（款）事业单位离退休（项）</w:t>
      </w:r>
      <w:r>
        <w:rPr>
          <w:rFonts w:hint="eastAsia" w:ascii="仿宋" w:hAnsi="仿宋" w:eastAsia="仿宋" w:cs="仿宋_GB2312"/>
          <w:color w:val="333333"/>
          <w:kern w:val="0"/>
          <w:sz w:val="32"/>
          <w:szCs w:val="32"/>
          <w:shd w:val="clear" w:color="auto" w:fill="FFFFFF"/>
          <w:lang w:val="en-US" w:eastAsia="zh-CN"/>
        </w:rPr>
        <w:t>23.58</w:t>
      </w:r>
      <w:r>
        <w:rPr>
          <w:rFonts w:hint="eastAsia" w:ascii="仿宋" w:hAnsi="仿宋" w:eastAsia="仿宋" w:cs="仿宋_GB2312"/>
          <w:color w:val="333333"/>
          <w:kern w:val="0"/>
          <w:sz w:val="32"/>
          <w:szCs w:val="32"/>
          <w:shd w:val="clear" w:color="auto" w:fill="FFFFFF"/>
        </w:rPr>
        <w:t>万元，主要用于：事业单位离退休人员活动经费支出。</w:t>
      </w:r>
    </w:p>
    <w:p>
      <w:pPr>
        <w:pStyle w:val="15"/>
        <w:keepNext w:val="0"/>
        <w:keepLines w:val="0"/>
        <w:pageBreakBefore w:val="0"/>
        <w:widowControl w:val="0"/>
        <w:numPr>
          <w:ilvl w:val="0"/>
          <w:numId w:val="3"/>
        </w:numPr>
        <w:kinsoku/>
        <w:wordWrap/>
        <w:overflowPunct/>
        <w:topLinePunct w:val="0"/>
        <w:autoSpaceDE/>
        <w:autoSpaceDN/>
        <w:bidi w:val="0"/>
        <w:adjustRightInd/>
        <w:snapToGrid/>
        <w:spacing w:line="552" w:lineRule="exact"/>
        <w:ind w:firstLine="640" w:firstLineChars="200"/>
        <w:textAlignment w:val="auto"/>
        <w:rPr>
          <w:rFonts w:ascii="仿宋" w:hAnsi="仿宋" w:eastAsia="仿宋" w:cs="仿宋_GB2312"/>
          <w:color w:val="333333"/>
          <w:kern w:val="0"/>
          <w:sz w:val="32"/>
          <w:szCs w:val="32"/>
          <w:shd w:val="clear" w:color="auto" w:fill="FFFFFF"/>
        </w:rPr>
      </w:pPr>
      <w:r>
        <w:rPr>
          <w:rFonts w:hint="eastAsia" w:ascii="仿宋" w:hAnsi="仿宋" w:eastAsia="仿宋" w:cs="仿宋_GB2312"/>
          <w:color w:val="333333"/>
          <w:kern w:val="0"/>
          <w:sz w:val="32"/>
          <w:szCs w:val="32"/>
          <w:shd w:val="clear" w:color="auto" w:fill="FFFFFF"/>
        </w:rPr>
        <w:t>社会保障和就业（类）行政事业单位养老支出（款）机关事业单位基本养老保险缴费支出（项）53.</w:t>
      </w:r>
      <w:r>
        <w:rPr>
          <w:rFonts w:hint="eastAsia" w:ascii="仿宋" w:hAnsi="仿宋" w:eastAsia="仿宋" w:cs="仿宋_GB2312"/>
          <w:color w:val="333333"/>
          <w:kern w:val="0"/>
          <w:sz w:val="32"/>
          <w:szCs w:val="32"/>
          <w:shd w:val="clear" w:color="auto" w:fill="FFFFFF"/>
          <w:lang w:val="en-US" w:eastAsia="zh-CN"/>
        </w:rPr>
        <w:t>86</w:t>
      </w:r>
      <w:r>
        <w:rPr>
          <w:rFonts w:hint="eastAsia" w:ascii="仿宋" w:hAnsi="仿宋" w:eastAsia="仿宋" w:cs="仿宋_GB2312"/>
          <w:color w:val="333333"/>
          <w:kern w:val="0"/>
          <w:sz w:val="32"/>
          <w:szCs w:val="32"/>
          <w:shd w:val="clear" w:color="auto" w:fill="FFFFFF"/>
        </w:rPr>
        <w:t>万元，主要用于：实施养老保险制度由单位缴纳的基本养老保险支出。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b w:val="0"/>
          <w:bCs w:val="0"/>
          <w:i w:val="0"/>
          <w:caps w:val="0"/>
          <w:color w:val="333333"/>
          <w:spacing w:val="0"/>
          <w:kern w:val="0"/>
          <w:sz w:val="32"/>
          <w:szCs w:val="32"/>
          <w:shd w:val="clear" w:color="auto" w:fill="FFFFFF"/>
          <w:lang w:val="en-US" w:eastAsia="zh-CN" w:bidi="ar"/>
        </w:rPr>
      </w:pPr>
      <w:bookmarkStart w:id="38" w:name="_Toc19087"/>
      <w:bookmarkStart w:id="39" w:name="_Toc9621"/>
      <w:bookmarkStart w:id="40" w:name="_Toc17656"/>
      <w:bookmarkStart w:id="41" w:name="_Toc29885"/>
      <w:r>
        <w:rPr>
          <w:rFonts w:hint="eastAsia" w:ascii="黑体" w:hAnsi="黑体" w:eastAsia="黑体" w:cs="黑体"/>
          <w:b w:val="0"/>
          <w:bCs w:val="0"/>
          <w:i w:val="0"/>
          <w:caps w:val="0"/>
          <w:color w:val="333333"/>
          <w:spacing w:val="0"/>
          <w:kern w:val="0"/>
          <w:sz w:val="32"/>
          <w:szCs w:val="32"/>
          <w:shd w:val="clear" w:color="auto" w:fill="FFFFFF"/>
          <w:lang w:val="en-US" w:eastAsia="zh-CN" w:bidi="ar"/>
        </w:rPr>
        <w:t>六、一般公共预算基本支出情况说明</w:t>
      </w:r>
      <w:bookmarkEnd w:id="38"/>
      <w:bookmarkEnd w:id="39"/>
      <w:bookmarkEnd w:id="40"/>
      <w:bookmarkEnd w:id="41"/>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广元市民政局2022年一般公共预算基本支出2432.89万元，其中：人员经费2123.22万元，主要包括：基本工资、津贴补贴、奖金、社会保险缴费、离休费、住房公积金等支出。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公用经费309.67万元，主要包括：办公费、印刷费、水费、电费、邮电费、物业管理费、差旅费、维修（护）费、会议费、培训费、公务接待费、劳务费、工会经费、福利费、公务用车运行维护费、其他交通费用等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b w:val="0"/>
          <w:bCs w:val="0"/>
          <w:i w:val="0"/>
          <w:caps w:val="0"/>
          <w:color w:val="333333"/>
          <w:spacing w:val="0"/>
          <w:kern w:val="0"/>
          <w:sz w:val="32"/>
          <w:szCs w:val="32"/>
          <w:shd w:val="clear" w:color="auto" w:fill="FFFFFF"/>
          <w:lang w:val="en-US" w:eastAsia="zh-CN" w:bidi="ar"/>
        </w:rPr>
      </w:pPr>
      <w:bookmarkStart w:id="42" w:name="_Toc11474"/>
      <w:bookmarkStart w:id="43" w:name="_Toc17846"/>
      <w:bookmarkStart w:id="44" w:name="_Toc11457"/>
      <w:bookmarkStart w:id="45" w:name="_Toc5548"/>
      <w:r>
        <w:rPr>
          <w:rFonts w:hint="eastAsia" w:ascii="黑体" w:hAnsi="黑体" w:eastAsia="黑体" w:cs="黑体"/>
          <w:b w:val="0"/>
          <w:bCs w:val="0"/>
          <w:i w:val="0"/>
          <w:caps w:val="0"/>
          <w:color w:val="333333"/>
          <w:spacing w:val="0"/>
          <w:kern w:val="0"/>
          <w:sz w:val="32"/>
          <w:szCs w:val="32"/>
          <w:shd w:val="clear" w:color="auto" w:fill="FFFFFF"/>
          <w:lang w:val="en-US" w:eastAsia="zh-CN" w:bidi="ar"/>
        </w:rPr>
        <w:t>七、“三公”经费财政拨款预算安排情况说明</w:t>
      </w:r>
      <w:bookmarkEnd w:id="42"/>
      <w:bookmarkEnd w:id="43"/>
      <w:bookmarkEnd w:id="44"/>
      <w:bookmarkEnd w:id="45"/>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广元市民政局2022年“三公”经费财政拨款预算数26.15万元，其中：公务接待费10.08万元，公务用车购置及运行维护费16.07万元，因公出国（境）经费0万元，无出国费用。</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3" w:firstLineChars="200"/>
        <w:jc w:val="both"/>
        <w:textAlignment w:val="auto"/>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楷体_GB2312" w:hAnsi="楷体_GB2312" w:eastAsia="楷体_GB2312" w:cs="楷体_GB2312"/>
          <w:b/>
          <w:i w:val="0"/>
          <w:caps w:val="0"/>
          <w:color w:val="000000" w:themeColor="text1"/>
          <w:spacing w:val="0"/>
          <w:kern w:val="0"/>
          <w:sz w:val="32"/>
          <w:szCs w:val="32"/>
          <w:shd w:val="clear" w:color="auto" w:fill="FFFFFF"/>
          <w:lang w:val="en-US" w:eastAsia="zh-CN" w:bidi="ar"/>
          <w14:textFill>
            <w14:solidFill>
              <w14:schemeClr w14:val="tx1"/>
            </w14:solidFill>
          </w14:textFill>
        </w:rPr>
        <w:t>（一）公务接待费：</w:t>
      </w:r>
      <w:r>
        <w:rPr>
          <w:rFonts w:hint="eastAsia" w:ascii="仿宋_GB2312" w:hAnsi="Calibri"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2022年预算安排10.08万元,</w:t>
      </w:r>
      <w:r>
        <w:rPr>
          <w:rFonts w:hint="eastAsia" w:ascii="楷体_GB2312" w:hAnsi="楷体_GB2312" w:eastAsia="楷体_GB2312" w:cs="楷体_GB2312"/>
          <w:b/>
          <w:i w:val="0"/>
          <w:caps w:val="0"/>
          <w:color w:val="000000" w:themeColor="text1"/>
          <w:spacing w:val="0"/>
          <w:kern w:val="0"/>
          <w:sz w:val="32"/>
          <w:szCs w:val="32"/>
          <w:shd w:val="clear" w:color="auto" w:fill="FFFFFF"/>
          <w:lang w:val="en-US" w:eastAsia="zh-CN" w:bidi="ar"/>
          <w14:textFill>
            <w14:solidFill>
              <w14:schemeClr w14:val="tx1"/>
            </w14:solidFill>
          </w14:textFill>
        </w:rPr>
        <w:t>与</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2021年预算11.88万元减少1万元。2022年公务接待费计划用于</w:t>
      </w:r>
      <w:r>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执行接待考察调研、检查指导等公务活动开支的交通费、住宿费、用餐费等。</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3" w:firstLineChars="200"/>
        <w:jc w:val="both"/>
        <w:textAlignment w:val="auto"/>
        <w:rPr>
          <w:rFonts w:hint="eastAsia" w:ascii="楷体_GB2312" w:hAnsi="楷体_GB2312" w:eastAsia="楷体_GB2312" w:cs="楷体_GB2312"/>
          <w:b/>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楷体_GB2312" w:hAnsi="楷体_GB2312" w:eastAsia="楷体_GB2312" w:cs="楷体_GB2312"/>
          <w:b/>
          <w:i w:val="0"/>
          <w:caps w:val="0"/>
          <w:color w:val="000000" w:themeColor="text1"/>
          <w:spacing w:val="0"/>
          <w:kern w:val="0"/>
          <w:sz w:val="32"/>
          <w:szCs w:val="32"/>
          <w:shd w:val="clear" w:color="auto" w:fill="FFFFFF"/>
          <w:lang w:val="en-US" w:eastAsia="zh-CN" w:bidi="ar"/>
          <w14:textFill>
            <w14:solidFill>
              <w14:schemeClr w14:val="tx1"/>
            </w14:solidFill>
          </w14:textFill>
        </w:rPr>
        <w:t>（二）公务用车购置及运行维护费：</w:t>
      </w:r>
      <w:r>
        <w:rPr>
          <w:rFonts w:hint="eastAsia" w:ascii="仿宋_GB2312" w:hAnsi="Calibri"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2022年预算安排16.07万元,</w:t>
      </w:r>
      <w:r>
        <w:rPr>
          <w:rFonts w:hint="eastAsia" w:ascii="楷体_GB2312" w:hAnsi="楷体_GB2312" w:eastAsia="楷体_GB2312" w:cs="楷体_GB2312"/>
          <w:b/>
          <w:i w:val="0"/>
          <w:caps w:val="0"/>
          <w:color w:val="000000" w:themeColor="text1"/>
          <w:spacing w:val="0"/>
          <w:kern w:val="0"/>
          <w:sz w:val="32"/>
          <w:szCs w:val="32"/>
          <w:shd w:val="clear" w:color="auto" w:fill="FFFFFF"/>
          <w:lang w:val="en-US" w:eastAsia="zh-CN" w:bidi="ar"/>
          <w14:textFill>
            <w14:solidFill>
              <w14:schemeClr w14:val="tx1"/>
            </w14:solidFill>
          </w14:textFill>
        </w:rPr>
        <w:t>与2021年预算2021年减少4.05万元。</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截至2021年底，广元市民政局共有车辆 9 辆，其中，公务用车6辆、定向保障用车2辆、特种专业技术用车1辆。单位无价值50万元以上。</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2022年安排公务用车运行维护费16.07万元，用于10辆公务用车燃油、过路（桥）、维修、保险等方面支出，主要保障。</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rightChars="0" w:firstLine="640" w:firstLineChars="200"/>
        <w:jc w:val="both"/>
        <w:textAlignment w:val="auto"/>
        <w:rPr>
          <w:rFonts w:hint="eastAsia" w:ascii="仿宋_GB2312" w:hAnsi="仿宋_GB2312"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color="auto" w:fill="FFFFFF"/>
          <w:lang w:val="en-US" w:eastAsia="zh-CN" w:bidi="ar"/>
          <w14:textFill>
            <w14:solidFill>
              <w14:schemeClr w14:val="tx1"/>
            </w14:solidFill>
          </w14:textFill>
        </w:rPr>
        <w:t>（三）</w:t>
      </w:r>
      <w:r>
        <w:rPr>
          <w:rFonts w:hint="eastAsia" w:ascii="仿宋_GB2312" w:hAnsi="仿宋_GB2312" w:eastAsia="仿宋_GB2312" w:cs="仿宋_GB2312"/>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因公出国（境）经费与2021年预算相比持平。本年无因公出国（境）预算。</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pPr>
      <w:bookmarkStart w:id="46" w:name="_Toc12601"/>
      <w:bookmarkStart w:id="47" w:name="_Toc17938"/>
      <w:bookmarkStart w:id="48" w:name="_Toc8033"/>
      <w:bookmarkStart w:id="49" w:name="_Toc21751"/>
      <w:r>
        <w:rPr>
          <w:rFonts w:hint="eastAsia" w:ascii="黑体" w:hAnsi="黑体" w:eastAsia="黑体" w:cs="黑体"/>
          <w:b w:val="0"/>
          <w:bCs w:val="0"/>
          <w:i w:val="0"/>
          <w:caps w:val="0"/>
          <w:color w:val="000000" w:themeColor="text1"/>
          <w:spacing w:val="0"/>
          <w:kern w:val="0"/>
          <w:sz w:val="32"/>
          <w:szCs w:val="32"/>
          <w:shd w:val="clear" w:color="auto" w:fill="FFFFFF"/>
          <w:lang w:val="en-US" w:eastAsia="zh-CN" w:bidi="ar"/>
          <w14:textFill>
            <w14:solidFill>
              <w14:schemeClr w14:val="tx1"/>
            </w14:solidFill>
          </w14:textFill>
        </w:rPr>
        <w:t>八、政府性基金预算支出情况说明</w:t>
      </w:r>
      <w:bookmarkEnd w:id="46"/>
      <w:bookmarkEnd w:id="47"/>
      <w:bookmarkEnd w:id="48"/>
      <w:bookmarkEnd w:id="49"/>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广元市民政局2022年使用政府性基金预算拨款95万元，其中市救助站70万元、市儿童福利院25万元。</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i w:val="0"/>
          <w:caps w:val="0"/>
          <w:color w:val="333333"/>
          <w:spacing w:val="0"/>
          <w:kern w:val="0"/>
          <w:sz w:val="32"/>
          <w:szCs w:val="32"/>
          <w:shd w:val="clear" w:color="auto" w:fill="FFFFFF"/>
          <w:lang w:val="en-US" w:eastAsia="zh-CN" w:bidi="ar"/>
        </w:rPr>
      </w:pPr>
      <w:bookmarkStart w:id="50" w:name="_Toc24896"/>
      <w:bookmarkStart w:id="51" w:name="_Toc19348"/>
      <w:bookmarkStart w:id="52" w:name="_Toc29685"/>
      <w:bookmarkStart w:id="53" w:name="_Toc28624"/>
      <w:r>
        <w:rPr>
          <w:rFonts w:hint="eastAsia" w:ascii="黑体" w:hAnsi="黑体" w:eastAsia="黑体" w:cs="黑体"/>
          <w:i w:val="0"/>
          <w:caps w:val="0"/>
          <w:color w:val="333333"/>
          <w:spacing w:val="0"/>
          <w:kern w:val="0"/>
          <w:sz w:val="32"/>
          <w:szCs w:val="32"/>
          <w:shd w:val="clear" w:color="auto" w:fill="FFFFFF"/>
          <w:lang w:val="en-US" w:eastAsia="zh-CN" w:bidi="ar"/>
        </w:rPr>
        <w:t>九、国有资本经营预算支出情况说明</w:t>
      </w:r>
      <w:bookmarkEnd w:id="50"/>
      <w:bookmarkEnd w:id="51"/>
      <w:bookmarkEnd w:id="52"/>
      <w:bookmarkEnd w:id="53"/>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广元市民政局2022年没有使用国有资本经营预算拨款安排的支出。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i w:val="0"/>
          <w:caps w:val="0"/>
          <w:color w:val="333333"/>
          <w:spacing w:val="0"/>
          <w:kern w:val="0"/>
          <w:sz w:val="32"/>
          <w:szCs w:val="32"/>
          <w:shd w:val="clear" w:color="auto" w:fill="FFFFFF"/>
          <w:lang w:val="en-US" w:eastAsia="zh-CN" w:bidi="ar"/>
        </w:rPr>
      </w:pPr>
      <w:bookmarkStart w:id="54" w:name="_Toc29900"/>
      <w:bookmarkStart w:id="55" w:name="_Toc19187"/>
      <w:bookmarkStart w:id="56" w:name="_Toc3220"/>
      <w:bookmarkStart w:id="57" w:name="_Toc1894"/>
      <w:r>
        <w:rPr>
          <w:rFonts w:hint="eastAsia" w:ascii="黑体" w:hAnsi="黑体" w:eastAsia="黑体" w:cs="黑体"/>
          <w:i w:val="0"/>
          <w:caps w:val="0"/>
          <w:color w:val="333333"/>
          <w:spacing w:val="0"/>
          <w:kern w:val="0"/>
          <w:sz w:val="32"/>
          <w:szCs w:val="32"/>
          <w:shd w:val="clear" w:color="auto" w:fill="FFFFFF"/>
          <w:lang w:val="en-US" w:eastAsia="zh-CN" w:bidi="ar"/>
        </w:rPr>
        <w:t>十、其他重要事项的情况说明</w:t>
      </w:r>
      <w:bookmarkEnd w:id="54"/>
      <w:bookmarkEnd w:id="55"/>
      <w:bookmarkEnd w:id="56"/>
      <w:bookmarkEnd w:id="57"/>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3" w:firstLineChars="200"/>
        <w:jc w:val="both"/>
        <w:textAlignment w:val="auto"/>
        <w:outlineLvl w:val="1"/>
        <w:rPr>
          <w:rFonts w:hint="eastAsia" w:ascii="楷体_GB2312" w:hAnsi="楷体_GB2312" w:eastAsia="楷体_GB2312" w:cs="楷体_GB2312"/>
          <w:b/>
          <w:i w:val="0"/>
          <w:caps w:val="0"/>
          <w:color w:val="333333"/>
          <w:spacing w:val="0"/>
          <w:kern w:val="0"/>
          <w:sz w:val="32"/>
          <w:szCs w:val="32"/>
          <w:shd w:val="clear" w:color="auto" w:fill="FFFFFF"/>
          <w:lang w:val="en-US" w:eastAsia="zh-CN" w:bidi="ar"/>
        </w:rPr>
      </w:pPr>
      <w:bookmarkStart w:id="58" w:name="_Toc14295"/>
      <w:bookmarkStart w:id="59" w:name="_Toc15677"/>
      <w:bookmarkStart w:id="60" w:name="_Toc21727"/>
      <w:bookmarkStart w:id="61" w:name="_Toc864"/>
      <w:r>
        <w:rPr>
          <w:rFonts w:hint="eastAsia" w:ascii="楷体_GB2312" w:hAnsi="楷体_GB2312" w:eastAsia="楷体_GB2312" w:cs="楷体_GB2312"/>
          <w:b/>
          <w:i w:val="0"/>
          <w:caps w:val="0"/>
          <w:color w:val="333333"/>
          <w:spacing w:val="0"/>
          <w:kern w:val="0"/>
          <w:sz w:val="32"/>
          <w:szCs w:val="32"/>
          <w:shd w:val="clear" w:color="auto" w:fill="FFFFFF"/>
          <w:lang w:val="en-US" w:eastAsia="zh-CN" w:bidi="ar"/>
        </w:rPr>
        <w:t>（一）机关运行经费</w:t>
      </w:r>
      <w:bookmarkEnd w:id="58"/>
      <w:bookmarkEnd w:id="59"/>
      <w:bookmarkEnd w:id="60"/>
      <w:bookmarkEnd w:id="61"/>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2022年，广元市民政局机关运行经费财政拨款预算为869.84万元，比2021年预算873.91减少4.07万元，下降0.5%。主要原因</w:t>
      </w:r>
      <w:r>
        <w:rPr>
          <w:rFonts w:hint="eastAsia" w:ascii="仿宋_GB2312" w:hAnsi="仿宋_GB2312" w:eastAsia="仿宋_GB2312" w:cs="仿宋_GB2312"/>
          <w:kern w:val="0"/>
          <w:sz w:val="32"/>
          <w:szCs w:val="32"/>
        </w:rPr>
        <w:t>继续本着厉行节约原则，严格控制</w:t>
      </w:r>
      <w:r>
        <w:rPr>
          <w:rFonts w:hint="eastAsia" w:ascii="仿宋_GB2312" w:hAnsi="仿宋_GB2312" w:eastAsia="仿宋_GB2312" w:cs="仿宋_GB2312"/>
          <w:kern w:val="0"/>
          <w:sz w:val="32"/>
          <w:szCs w:val="32"/>
          <w:lang w:eastAsia="zh-CN"/>
        </w:rPr>
        <w:t>各项费用。</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3" w:firstLineChars="200"/>
        <w:jc w:val="both"/>
        <w:textAlignment w:val="auto"/>
        <w:outlineLvl w:val="1"/>
        <w:rPr>
          <w:rFonts w:hint="eastAsia" w:ascii="楷体_GB2312" w:hAnsi="楷体_GB2312" w:eastAsia="楷体_GB2312" w:cs="楷体_GB2312"/>
          <w:b/>
          <w:i w:val="0"/>
          <w:caps w:val="0"/>
          <w:color w:val="333333"/>
          <w:spacing w:val="0"/>
          <w:kern w:val="0"/>
          <w:sz w:val="32"/>
          <w:szCs w:val="32"/>
          <w:shd w:val="clear" w:color="auto" w:fill="FFFFFF"/>
          <w:lang w:val="en-US" w:eastAsia="zh-CN" w:bidi="ar"/>
        </w:rPr>
      </w:pPr>
      <w:bookmarkStart w:id="62" w:name="_Toc14285"/>
      <w:bookmarkStart w:id="63" w:name="_Toc27081"/>
      <w:bookmarkStart w:id="64" w:name="_Toc11559"/>
      <w:bookmarkStart w:id="65" w:name="_Toc15838"/>
      <w:r>
        <w:rPr>
          <w:rFonts w:hint="eastAsia" w:ascii="楷体_GB2312" w:hAnsi="楷体_GB2312" w:eastAsia="楷体_GB2312" w:cs="楷体_GB2312"/>
          <w:b/>
          <w:bCs/>
          <w:kern w:val="0"/>
          <w:sz w:val="32"/>
          <w:szCs w:val="32"/>
          <w:lang w:eastAsia="zh-CN"/>
        </w:rPr>
        <w:t>（二）</w:t>
      </w:r>
      <w:r>
        <w:rPr>
          <w:rFonts w:hint="eastAsia" w:ascii="楷体_GB2312" w:hAnsi="楷体_GB2312" w:eastAsia="楷体_GB2312" w:cs="楷体_GB2312"/>
          <w:b/>
          <w:i w:val="0"/>
          <w:caps w:val="0"/>
          <w:color w:val="333333"/>
          <w:spacing w:val="0"/>
          <w:kern w:val="0"/>
          <w:sz w:val="32"/>
          <w:szCs w:val="32"/>
          <w:shd w:val="clear" w:color="auto" w:fill="FFFFFF"/>
          <w:lang w:val="en-US" w:eastAsia="zh-CN" w:bidi="ar"/>
        </w:rPr>
        <w:t>政府采购情况</w:t>
      </w:r>
      <w:bookmarkEnd w:id="62"/>
      <w:bookmarkEnd w:id="63"/>
      <w:bookmarkEnd w:id="64"/>
      <w:bookmarkEnd w:id="65"/>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2022年，广元市民政局安排政府采购预算67.4万元，主要用于办公设备设施采购。</w:t>
      </w:r>
      <w:r>
        <w:rPr>
          <w:rFonts w:hint="eastAsia" w:ascii="仿宋_GB2312" w:hAnsi="仿宋_GB2312" w:eastAsia="仿宋_GB2312" w:cs="仿宋_GB2312"/>
          <w:kern w:val="0"/>
          <w:sz w:val="32"/>
          <w:szCs w:val="32"/>
        </w:rPr>
        <w:t>其中：民政局机关</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万元、市救助管理站</w:t>
      </w:r>
      <w:r>
        <w:rPr>
          <w:rFonts w:hint="eastAsia" w:ascii="仿宋_GB2312" w:hAnsi="仿宋_GB2312" w:eastAsia="仿宋_GB2312" w:cs="仿宋_GB2312"/>
          <w:kern w:val="0"/>
          <w:sz w:val="32"/>
          <w:szCs w:val="32"/>
          <w:lang w:val="en-US" w:eastAsia="zh-CN"/>
        </w:rPr>
        <w:t>41.4</w:t>
      </w:r>
      <w:r>
        <w:rPr>
          <w:rFonts w:hint="eastAsia" w:ascii="仿宋_GB2312" w:hAnsi="仿宋_GB2312" w:eastAsia="仿宋_GB2312" w:cs="仿宋_GB2312"/>
          <w:kern w:val="0"/>
          <w:sz w:val="32"/>
          <w:szCs w:val="32"/>
        </w:rPr>
        <w:t>万元、市社会救助综合服务中心</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、老年大学</w:t>
      </w:r>
      <w:r>
        <w:rPr>
          <w:rFonts w:hint="eastAsia" w:ascii="仿宋_GB2312" w:hAnsi="仿宋_GB2312" w:eastAsia="仿宋_GB2312" w:cs="仿宋_GB2312"/>
          <w:kern w:val="0"/>
          <w:sz w:val="32"/>
          <w:szCs w:val="32"/>
          <w:lang w:val="en-US" w:eastAsia="zh-CN"/>
        </w:rPr>
        <w:t>15万元</w:t>
      </w:r>
      <w:r>
        <w:rPr>
          <w:rFonts w:hint="eastAsia" w:ascii="仿宋_GB2312" w:hAnsi="仿宋_GB2312" w:eastAsia="仿宋_GB2312" w:cs="仿宋_GB2312"/>
          <w:kern w:val="0"/>
          <w:sz w:val="32"/>
          <w:szCs w:val="32"/>
        </w:rPr>
        <w:t>。</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3" w:firstLineChars="200"/>
        <w:jc w:val="both"/>
        <w:textAlignment w:val="auto"/>
        <w:outlineLvl w:val="1"/>
        <w:rPr>
          <w:rFonts w:hint="eastAsia" w:ascii="楷体_GB2312" w:hAnsi="楷体_GB2312" w:eastAsia="楷体_GB2312" w:cs="楷体_GB2312"/>
          <w:b/>
          <w:bCs/>
          <w:kern w:val="0"/>
          <w:sz w:val="32"/>
          <w:szCs w:val="32"/>
          <w:lang w:val="en-US" w:eastAsia="zh-CN"/>
        </w:rPr>
      </w:pPr>
      <w:bookmarkStart w:id="66" w:name="_Toc9347"/>
      <w:bookmarkStart w:id="67" w:name="_Toc3301"/>
      <w:bookmarkStart w:id="68" w:name="_Toc25919"/>
      <w:bookmarkStart w:id="69" w:name="_Toc5190"/>
      <w:r>
        <w:rPr>
          <w:rFonts w:hint="eastAsia" w:ascii="楷体_GB2312" w:hAnsi="楷体_GB2312" w:eastAsia="楷体_GB2312" w:cs="楷体_GB2312"/>
          <w:b/>
          <w:bCs/>
          <w:kern w:val="0"/>
          <w:sz w:val="32"/>
          <w:szCs w:val="32"/>
          <w:lang w:val="en-US" w:eastAsia="zh-CN"/>
        </w:rPr>
        <w:t>（三）国有资产占有使用情况</w:t>
      </w:r>
      <w:bookmarkEnd w:id="66"/>
      <w:bookmarkEnd w:id="67"/>
      <w:bookmarkEnd w:id="68"/>
      <w:bookmarkEnd w:id="69"/>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截至2021年底，广元市民政局共有车辆10辆，</w:t>
      </w:r>
      <w:r>
        <w:rPr>
          <w:rFonts w:hint="eastAsia" w:ascii="仿宋_GB2312" w:hAnsi="仿宋_GB2312" w:eastAsia="仿宋_GB2312" w:cs="仿宋_GB2312"/>
          <w:kern w:val="0"/>
          <w:sz w:val="32"/>
          <w:szCs w:val="32"/>
        </w:rPr>
        <w:t>其中：一般公务用车10辆</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 w:val="32"/>
          <w:szCs w:val="32"/>
          <w:lang w:val="en-US" w:eastAsia="zh-CN"/>
        </w:rPr>
        <w:t>单位价值50万元以上大型0台（套）</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3" w:firstLineChars="200"/>
        <w:jc w:val="both"/>
        <w:textAlignment w:val="auto"/>
        <w:outlineLvl w:val="1"/>
        <w:rPr>
          <w:rFonts w:hint="eastAsia" w:ascii="楷体_GB2312" w:hAnsi="楷体_GB2312" w:eastAsia="楷体_GB2312" w:cs="楷体_GB2312"/>
          <w:b/>
          <w:bCs/>
          <w:kern w:val="0"/>
          <w:sz w:val="32"/>
          <w:szCs w:val="32"/>
          <w:lang w:val="en-US" w:eastAsia="zh-CN"/>
        </w:rPr>
      </w:pPr>
      <w:bookmarkStart w:id="70" w:name="_Toc20669"/>
      <w:bookmarkStart w:id="71" w:name="_Toc31102"/>
      <w:bookmarkStart w:id="72" w:name="_Toc6575"/>
      <w:bookmarkStart w:id="73" w:name="_Toc14073"/>
      <w:r>
        <w:rPr>
          <w:rFonts w:hint="eastAsia" w:ascii="楷体_GB2312" w:hAnsi="楷体_GB2312" w:eastAsia="楷体_GB2312" w:cs="楷体_GB2312"/>
          <w:b/>
          <w:bCs/>
          <w:kern w:val="0"/>
          <w:sz w:val="32"/>
          <w:szCs w:val="32"/>
          <w:lang w:val="en-US" w:eastAsia="zh-CN"/>
        </w:rPr>
        <w:t>（四）绩效目标设置情况</w:t>
      </w:r>
      <w:bookmarkEnd w:id="70"/>
      <w:bookmarkEnd w:id="71"/>
      <w:bookmarkEnd w:id="72"/>
      <w:bookmarkEnd w:id="73"/>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绩效目标是预算编制的前提和基础，2022年广元市民政局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bookmarkStart w:id="74" w:name="_Toc23211"/>
      <w:bookmarkStart w:id="75" w:name="_Toc19210"/>
      <w:bookmarkStart w:id="76" w:name="_Toc11545"/>
      <w:bookmarkStart w:id="77" w:name="_Toc26695"/>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十一、名词解释</w:t>
      </w:r>
      <w:bookmarkEnd w:id="74"/>
      <w:bookmarkEnd w:id="75"/>
      <w:bookmarkEnd w:id="76"/>
      <w:bookmarkEnd w:id="77"/>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（一）一般公共预算拨款收入：市级财政当年拨付的资金。</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（二）上年结转：指以前年度尚未完成，结转到本年仍按原规定用途继续使用的资金。</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（三）</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社会保障和就业（类）行政事业单位养老支出（款）事业社会保障和就业（类）行政事业单位养老支出（款）行政单位离退休（项）：指行政及参公管理事业单位离退休人员的支出。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（四）社会保障和就业（类）行政事业单位养老支出（款）机关事业单位基本养老保险缴费支出（项）：指部门实施养老保险制度由单位缴纳的养老保险的支出。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（五）社会保障和就业（类）行政事业单位养老支出（款）机关事业单位职业年金缴费支出（项）：指部门实施养老保险制度由单位缴纳的职业年金的支出。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（六）卫生健康（类）行政事业单位医疗（款）行政单位医疗（项）：指机关及参公管理事业单位用于单位应缴纳基本医疗保险支出。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　　（七）卫生健康（类）行政事业单位医疗（款）事业单位医疗（项）：指事业单位用于单位应缴纳基本医疗保险支出。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单位离退休（项）：指事业单位离退休人员的支出。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（八）住房保障（类）住房改革支出（款）住房公积金（项）：指按照《住房公积金管理条例》的规定，由单位及其在职职工缴存的长期住房储金。</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（九）基本支出：指为保证机构正常运转，完成日常工作任务而发生的人员支出和公用支出。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（十）项目支出：指在基本支出之外为完成特定行政任务和事业发展目标所发生的支出。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十一）“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十二）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bookmarkStart w:id="78" w:name="_Toc1278"/>
      <w:bookmarkStart w:id="79" w:name="_Toc20553"/>
      <w:bookmarkStart w:id="80" w:name="_Toc8947"/>
      <w:bookmarkStart w:id="81" w:name="_Toc12364"/>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附件：1.部门预算公开表</w:t>
      </w:r>
      <w:bookmarkEnd w:id="78"/>
      <w:bookmarkEnd w:id="79"/>
      <w:bookmarkEnd w:id="80"/>
      <w:bookmarkEnd w:id="81"/>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1600" w:firstLineChars="5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2.部门预算绩效目标表</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1600" w:firstLineChars="5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 xml:space="preserve">3.部门整体支出绩效表     </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1920" w:firstLineChars="6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广元市民政局</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1920" w:firstLineChars="6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2023年3月2日</w:t>
      </w:r>
    </w:p>
    <w:sectPr>
      <w:footerReference r:id="rId3" w:type="default"/>
      <w:pgSz w:w="11906" w:h="16838"/>
      <w:pgMar w:top="2098" w:right="1474" w:bottom="1984" w:left="158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pGhU/IAQAAmQMAAA4AAAAAAAAAAQAgAAAAHgEAAGRycy9lMm9Eb2Mu&#10;eG1sUEsFBgAAAAAGAAYAWQEAAFgFAAAAAA==&#10;">
              <v:fill on="f" focussize="0,0"/>
              <v:stroke on="f"/>
              <v:imagedata o:title=""/>
              <o:lock v:ext="edit" aspectratio="f"/>
              <v:textbox inset="0mm,0mm,0mm,0mm" style="mso-fit-shape-to-text:t;">
                <w:txbxContent>
                  <w:p>
                    <w:pPr>
                      <w:pStyle w:val="8"/>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9F1CD5"/>
    <w:multiLevelType w:val="singleLevel"/>
    <w:tmpl w:val="BB9F1CD5"/>
    <w:lvl w:ilvl="0" w:tentative="0">
      <w:start w:val="6"/>
      <w:numFmt w:val="decimal"/>
      <w:lvlText w:val="%1."/>
      <w:lvlJc w:val="left"/>
      <w:pPr>
        <w:tabs>
          <w:tab w:val="left" w:pos="312"/>
        </w:tabs>
      </w:pPr>
    </w:lvl>
  </w:abstractNum>
  <w:abstractNum w:abstractNumId="1">
    <w:nsid w:val="D7FFB321"/>
    <w:multiLevelType w:val="singleLevel"/>
    <w:tmpl w:val="D7FFB321"/>
    <w:lvl w:ilvl="0" w:tentative="0">
      <w:start w:val="2"/>
      <w:numFmt w:val="decimal"/>
      <w:lvlText w:val="%1."/>
      <w:lvlJc w:val="left"/>
      <w:pPr>
        <w:tabs>
          <w:tab w:val="left" w:pos="312"/>
        </w:tabs>
      </w:pPr>
    </w:lvl>
  </w:abstractNum>
  <w:abstractNum w:abstractNumId="2">
    <w:nsid w:val="EECB6A47"/>
    <w:multiLevelType w:val="singleLevel"/>
    <w:tmpl w:val="EECB6A47"/>
    <w:lvl w:ilvl="0" w:tentative="0">
      <w:start w:val="3"/>
      <w:numFmt w:val="chineseCounting"/>
      <w:suff w:val="nothing"/>
      <w:lvlText w:val="（%1）"/>
      <w:lvlJc w:val="left"/>
      <w:rPr>
        <w:rFonts w:hint="eastAsia" w:ascii="黑体" w:hAnsi="黑体" w:eastAsia="黑体" w:cs="黑体"/>
        <w:sz w:val="30"/>
        <w:szCs w:val="3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NGJiNDkyMTVmY2E2NTA5ZDUxMTNhNGFkNmQzYjcifQ=="/>
  </w:docVars>
  <w:rsids>
    <w:rsidRoot w:val="00776256"/>
    <w:rsid w:val="00007698"/>
    <w:rsid w:val="00041DD9"/>
    <w:rsid w:val="00044E2E"/>
    <w:rsid w:val="00052DE1"/>
    <w:rsid w:val="00056E29"/>
    <w:rsid w:val="00067BD7"/>
    <w:rsid w:val="00081928"/>
    <w:rsid w:val="000A1CCC"/>
    <w:rsid w:val="000B064C"/>
    <w:rsid w:val="000B0A7D"/>
    <w:rsid w:val="000C21AB"/>
    <w:rsid w:val="000D0863"/>
    <w:rsid w:val="000E16C1"/>
    <w:rsid w:val="0010274C"/>
    <w:rsid w:val="00117CB9"/>
    <w:rsid w:val="00124F61"/>
    <w:rsid w:val="00127BA2"/>
    <w:rsid w:val="0016061C"/>
    <w:rsid w:val="0016621B"/>
    <w:rsid w:val="001A3E6D"/>
    <w:rsid w:val="001C25CF"/>
    <w:rsid w:val="001C5DAA"/>
    <w:rsid w:val="001D7295"/>
    <w:rsid w:val="001E55FC"/>
    <w:rsid w:val="00230EC1"/>
    <w:rsid w:val="00232BE9"/>
    <w:rsid w:val="002449BB"/>
    <w:rsid w:val="00250EC8"/>
    <w:rsid w:val="00272E38"/>
    <w:rsid w:val="00284499"/>
    <w:rsid w:val="002B59C1"/>
    <w:rsid w:val="002C18A3"/>
    <w:rsid w:val="002E536E"/>
    <w:rsid w:val="002F3747"/>
    <w:rsid w:val="002F4C2C"/>
    <w:rsid w:val="00306017"/>
    <w:rsid w:val="00345BDB"/>
    <w:rsid w:val="003476EB"/>
    <w:rsid w:val="00353BE6"/>
    <w:rsid w:val="00356B6D"/>
    <w:rsid w:val="003630E5"/>
    <w:rsid w:val="003913C2"/>
    <w:rsid w:val="003D69EF"/>
    <w:rsid w:val="003F051C"/>
    <w:rsid w:val="003F2B00"/>
    <w:rsid w:val="004174DE"/>
    <w:rsid w:val="0042003B"/>
    <w:rsid w:val="00435166"/>
    <w:rsid w:val="00435691"/>
    <w:rsid w:val="0044653B"/>
    <w:rsid w:val="00462978"/>
    <w:rsid w:val="00467FA1"/>
    <w:rsid w:val="00481F87"/>
    <w:rsid w:val="004B5293"/>
    <w:rsid w:val="004C2B8A"/>
    <w:rsid w:val="004E11C7"/>
    <w:rsid w:val="005052EA"/>
    <w:rsid w:val="00533874"/>
    <w:rsid w:val="00534D19"/>
    <w:rsid w:val="00536C1F"/>
    <w:rsid w:val="0055583B"/>
    <w:rsid w:val="00564E8C"/>
    <w:rsid w:val="005823F8"/>
    <w:rsid w:val="005A1F04"/>
    <w:rsid w:val="005A5C21"/>
    <w:rsid w:val="005D5648"/>
    <w:rsid w:val="005F06C2"/>
    <w:rsid w:val="005F4A05"/>
    <w:rsid w:val="00601AB5"/>
    <w:rsid w:val="006318D4"/>
    <w:rsid w:val="00644F5C"/>
    <w:rsid w:val="006620E4"/>
    <w:rsid w:val="00677200"/>
    <w:rsid w:val="00683E47"/>
    <w:rsid w:val="006D75A9"/>
    <w:rsid w:val="006E1813"/>
    <w:rsid w:val="006E495C"/>
    <w:rsid w:val="006F0689"/>
    <w:rsid w:val="00701AA7"/>
    <w:rsid w:val="0070745F"/>
    <w:rsid w:val="00755BB9"/>
    <w:rsid w:val="00755F7A"/>
    <w:rsid w:val="007737E5"/>
    <w:rsid w:val="00776256"/>
    <w:rsid w:val="00781EBC"/>
    <w:rsid w:val="007851DD"/>
    <w:rsid w:val="00787C7F"/>
    <w:rsid w:val="00793E2E"/>
    <w:rsid w:val="007E1A08"/>
    <w:rsid w:val="007E3A75"/>
    <w:rsid w:val="007E6E71"/>
    <w:rsid w:val="007F0653"/>
    <w:rsid w:val="007F1B52"/>
    <w:rsid w:val="0080077F"/>
    <w:rsid w:val="0081100F"/>
    <w:rsid w:val="00811464"/>
    <w:rsid w:val="00813876"/>
    <w:rsid w:val="00827BAA"/>
    <w:rsid w:val="008456BF"/>
    <w:rsid w:val="00850D54"/>
    <w:rsid w:val="008717DD"/>
    <w:rsid w:val="00876460"/>
    <w:rsid w:val="00893A24"/>
    <w:rsid w:val="008B3B39"/>
    <w:rsid w:val="008B64E4"/>
    <w:rsid w:val="008E7E34"/>
    <w:rsid w:val="008F03B0"/>
    <w:rsid w:val="008F67C5"/>
    <w:rsid w:val="008F6E0C"/>
    <w:rsid w:val="00900D65"/>
    <w:rsid w:val="009223A7"/>
    <w:rsid w:val="00953588"/>
    <w:rsid w:val="00956CA1"/>
    <w:rsid w:val="00956FD1"/>
    <w:rsid w:val="009577CB"/>
    <w:rsid w:val="00957EEE"/>
    <w:rsid w:val="009638B1"/>
    <w:rsid w:val="00966785"/>
    <w:rsid w:val="00971D91"/>
    <w:rsid w:val="00973F56"/>
    <w:rsid w:val="009762D6"/>
    <w:rsid w:val="009B0569"/>
    <w:rsid w:val="009B7CD2"/>
    <w:rsid w:val="009E6BD3"/>
    <w:rsid w:val="009F1E3C"/>
    <w:rsid w:val="00A07ACE"/>
    <w:rsid w:val="00A15749"/>
    <w:rsid w:val="00A16303"/>
    <w:rsid w:val="00A620A5"/>
    <w:rsid w:val="00A71949"/>
    <w:rsid w:val="00A833D0"/>
    <w:rsid w:val="00AB40CF"/>
    <w:rsid w:val="00AC3410"/>
    <w:rsid w:val="00AD2E02"/>
    <w:rsid w:val="00AF39D8"/>
    <w:rsid w:val="00B052B3"/>
    <w:rsid w:val="00B102E1"/>
    <w:rsid w:val="00B10F05"/>
    <w:rsid w:val="00B1557E"/>
    <w:rsid w:val="00B2130D"/>
    <w:rsid w:val="00B679AC"/>
    <w:rsid w:val="00B7137A"/>
    <w:rsid w:val="00B902F7"/>
    <w:rsid w:val="00BA58F5"/>
    <w:rsid w:val="00BB314A"/>
    <w:rsid w:val="00BC0A31"/>
    <w:rsid w:val="00C35C7B"/>
    <w:rsid w:val="00C55B8B"/>
    <w:rsid w:val="00C6414C"/>
    <w:rsid w:val="00C74779"/>
    <w:rsid w:val="00CA31F1"/>
    <w:rsid w:val="00CC49D5"/>
    <w:rsid w:val="00CC7721"/>
    <w:rsid w:val="00D113B2"/>
    <w:rsid w:val="00D2784C"/>
    <w:rsid w:val="00D32496"/>
    <w:rsid w:val="00D56834"/>
    <w:rsid w:val="00D641FE"/>
    <w:rsid w:val="00D66C6E"/>
    <w:rsid w:val="00D91C7F"/>
    <w:rsid w:val="00D9440B"/>
    <w:rsid w:val="00D95D5D"/>
    <w:rsid w:val="00D97DA0"/>
    <w:rsid w:val="00DD074F"/>
    <w:rsid w:val="00DF5FC2"/>
    <w:rsid w:val="00E250E6"/>
    <w:rsid w:val="00E54DB6"/>
    <w:rsid w:val="00E55D85"/>
    <w:rsid w:val="00E81F45"/>
    <w:rsid w:val="00EC574D"/>
    <w:rsid w:val="00EC68BA"/>
    <w:rsid w:val="00EF42C2"/>
    <w:rsid w:val="00F07A1A"/>
    <w:rsid w:val="00F168A7"/>
    <w:rsid w:val="00F2481A"/>
    <w:rsid w:val="00F26ED6"/>
    <w:rsid w:val="00FB6510"/>
    <w:rsid w:val="00FC154A"/>
    <w:rsid w:val="00FC1BFC"/>
    <w:rsid w:val="00FC34EF"/>
    <w:rsid w:val="00FC5D06"/>
    <w:rsid w:val="00FD0203"/>
    <w:rsid w:val="00FE2D5E"/>
    <w:rsid w:val="00FF712C"/>
    <w:rsid w:val="0504186C"/>
    <w:rsid w:val="054961C1"/>
    <w:rsid w:val="081F72D8"/>
    <w:rsid w:val="098C1B8F"/>
    <w:rsid w:val="0F2FB7ED"/>
    <w:rsid w:val="110B0106"/>
    <w:rsid w:val="11716DBD"/>
    <w:rsid w:val="13D6099D"/>
    <w:rsid w:val="169F1A2D"/>
    <w:rsid w:val="169F8BB2"/>
    <w:rsid w:val="16FF0CB7"/>
    <w:rsid w:val="175F8800"/>
    <w:rsid w:val="17FC077E"/>
    <w:rsid w:val="1C3A2031"/>
    <w:rsid w:val="1DF3BB7F"/>
    <w:rsid w:val="1FBFD35D"/>
    <w:rsid w:val="1FBFE302"/>
    <w:rsid w:val="22A20BBA"/>
    <w:rsid w:val="23DCDFB9"/>
    <w:rsid w:val="25A008ED"/>
    <w:rsid w:val="261F0120"/>
    <w:rsid w:val="26840E46"/>
    <w:rsid w:val="27CF550E"/>
    <w:rsid w:val="2B9D7AEA"/>
    <w:rsid w:val="2BF9E58D"/>
    <w:rsid w:val="2BFD7DD9"/>
    <w:rsid w:val="2E6F3D6A"/>
    <w:rsid w:val="2EC367B6"/>
    <w:rsid w:val="2F978B48"/>
    <w:rsid w:val="2FF7C018"/>
    <w:rsid w:val="30F548FF"/>
    <w:rsid w:val="32437B04"/>
    <w:rsid w:val="33C1225D"/>
    <w:rsid w:val="37FFB5E8"/>
    <w:rsid w:val="38AC5C56"/>
    <w:rsid w:val="3BDF87D6"/>
    <w:rsid w:val="3BEFF0D2"/>
    <w:rsid w:val="3D7D3C4A"/>
    <w:rsid w:val="3D8EB7BB"/>
    <w:rsid w:val="3F76243D"/>
    <w:rsid w:val="3FEE813E"/>
    <w:rsid w:val="3FFE566B"/>
    <w:rsid w:val="40056789"/>
    <w:rsid w:val="43586395"/>
    <w:rsid w:val="45EF6568"/>
    <w:rsid w:val="46592184"/>
    <w:rsid w:val="49BE6388"/>
    <w:rsid w:val="49F952D3"/>
    <w:rsid w:val="4A282D23"/>
    <w:rsid w:val="4AC82773"/>
    <w:rsid w:val="4DF6E7DB"/>
    <w:rsid w:val="4DFBB73D"/>
    <w:rsid w:val="4F5F8CDF"/>
    <w:rsid w:val="539FC8A0"/>
    <w:rsid w:val="56EFD449"/>
    <w:rsid w:val="59D16821"/>
    <w:rsid w:val="59FDCBE0"/>
    <w:rsid w:val="5BBE6A73"/>
    <w:rsid w:val="5C2B3A80"/>
    <w:rsid w:val="5CFF8EC0"/>
    <w:rsid w:val="5D485111"/>
    <w:rsid w:val="5EEF62BE"/>
    <w:rsid w:val="5F415E3F"/>
    <w:rsid w:val="5FAFD86A"/>
    <w:rsid w:val="5FBB4C71"/>
    <w:rsid w:val="5FEB8979"/>
    <w:rsid w:val="629F03E6"/>
    <w:rsid w:val="62A16E75"/>
    <w:rsid w:val="63FFFA63"/>
    <w:rsid w:val="65EBB07E"/>
    <w:rsid w:val="67BE5916"/>
    <w:rsid w:val="6BF754BB"/>
    <w:rsid w:val="6C2C7B96"/>
    <w:rsid w:val="6DF06523"/>
    <w:rsid w:val="6E1B349E"/>
    <w:rsid w:val="6F707F3B"/>
    <w:rsid w:val="6FF767FD"/>
    <w:rsid w:val="714C3A12"/>
    <w:rsid w:val="73FA3348"/>
    <w:rsid w:val="76E43538"/>
    <w:rsid w:val="775C6BEF"/>
    <w:rsid w:val="79F71381"/>
    <w:rsid w:val="7AFD865A"/>
    <w:rsid w:val="7AFDE55B"/>
    <w:rsid w:val="7BB921BC"/>
    <w:rsid w:val="7BE5E268"/>
    <w:rsid w:val="7BF3BE37"/>
    <w:rsid w:val="7DCBC4D6"/>
    <w:rsid w:val="7DFD64C6"/>
    <w:rsid w:val="7DFF2839"/>
    <w:rsid w:val="7E7ACE07"/>
    <w:rsid w:val="7EDFEEC6"/>
    <w:rsid w:val="7F7756B1"/>
    <w:rsid w:val="7F8E6E7C"/>
    <w:rsid w:val="7FAF388F"/>
    <w:rsid w:val="7FD26FCC"/>
    <w:rsid w:val="7FE7DCA3"/>
    <w:rsid w:val="7FFF0705"/>
    <w:rsid w:val="8DFF835A"/>
    <w:rsid w:val="9D95A524"/>
    <w:rsid w:val="A5FC946E"/>
    <w:rsid w:val="A93DD206"/>
    <w:rsid w:val="AFDE123A"/>
    <w:rsid w:val="AFF69A92"/>
    <w:rsid w:val="B2ABB349"/>
    <w:rsid w:val="BF6EF359"/>
    <w:rsid w:val="BFEFFCA9"/>
    <w:rsid w:val="C235ABA6"/>
    <w:rsid w:val="C5FEF862"/>
    <w:rsid w:val="C7FEE51C"/>
    <w:rsid w:val="CDB7C6D4"/>
    <w:rsid w:val="CE5F0F46"/>
    <w:rsid w:val="CF7BFFFA"/>
    <w:rsid w:val="CFFF8B17"/>
    <w:rsid w:val="D5D7AF43"/>
    <w:rsid w:val="D87F9D54"/>
    <w:rsid w:val="DB493D74"/>
    <w:rsid w:val="DCB58078"/>
    <w:rsid w:val="DCF3F78F"/>
    <w:rsid w:val="DD8FCE07"/>
    <w:rsid w:val="DEDD7055"/>
    <w:rsid w:val="DF2DA5E3"/>
    <w:rsid w:val="DF730274"/>
    <w:rsid w:val="DF9BCDDB"/>
    <w:rsid w:val="E35EF38E"/>
    <w:rsid w:val="E3B5CF7F"/>
    <w:rsid w:val="E56F22BE"/>
    <w:rsid w:val="EDFB6025"/>
    <w:rsid w:val="EF3F7D7C"/>
    <w:rsid w:val="EF3FAA06"/>
    <w:rsid w:val="EFDB1D78"/>
    <w:rsid w:val="EFF7F102"/>
    <w:rsid w:val="EFFDA98C"/>
    <w:rsid w:val="F4FF6F39"/>
    <w:rsid w:val="F7560BD4"/>
    <w:rsid w:val="F79E11B7"/>
    <w:rsid w:val="F7D85DAB"/>
    <w:rsid w:val="F7D9BE1B"/>
    <w:rsid w:val="F7DE9505"/>
    <w:rsid w:val="F7E56855"/>
    <w:rsid w:val="F7EE6F22"/>
    <w:rsid w:val="F8B7176C"/>
    <w:rsid w:val="FB1FAA86"/>
    <w:rsid w:val="FB3DB6CB"/>
    <w:rsid w:val="FB739FCD"/>
    <w:rsid w:val="FBB781E6"/>
    <w:rsid w:val="FBCD239F"/>
    <w:rsid w:val="FBFF6202"/>
    <w:rsid w:val="FBFFD2A2"/>
    <w:rsid w:val="FC0FC587"/>
    <w:rsid w:val="FCFFD91E"/>
    <w:rsid w:val="FDB9BEB8"/>
    <w:rsid w:val="FDDFDA3B"/>
    <w:rsid w:val="FE6B7527"/>
    <w:rsid w:val="FE6F822B"/>
    <w:rsid w:val="FEAF3A4D"/>
    <w:rsid w:val="FF79B6DA"/>
    <w:rsid w:val="FF7EB7F0"/>
    <w:rsid w:val="FF7FE28F"/>
    <w:rsid w:val="FFB6ED97"/>
    <w:rsid w:val="FFBD2EEB"/>
    <w:rsid w:val="FFBFC71A"/>
    <w:rsid w:val="FFD34443"/>
    <w:rsid w:val="FFD3F8C4"/>
    <w:rsid w:val="FFD93F24"/>
    <w:rsid w:val="FFE7A954"/>
    <w:rsid w:val="FFF77860"/>
    <w:rsid w:val="FFFC124A"/>
    <w:rsid w:val="FFFF72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4">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beforeLines="30"/>
    </w:pPr>
    <w:rPr>
      <w:rFonts w:ascii="仿宋_GB2312" w:eastAsia="仿宋_GB2312"/>
      <w:kern w:val="0"/>
      <w:sz w:val="3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pPr>
      <w:jc w:val="both"/>
      <w:textAlignment w:val="baseline"/>
    </w:pPr>
    <w:rPr>
      <w:rFonts w:ascii="Times New Roman" w:hAnsi="Times New Roman" w:eastAsia="宋体"/>
      <w:kern w:val="2"/>
      <w:sz w:val="21"/>
      <w:szCs w:val="24"/>
      <w:lang w:val="en-US" w:eastAsia="zh-CN" w:bidi="ar-SA"/>
    </w:rPr>
  </w:style>
  <w:style w:type="paragraph" w:styleId="7">
    <w:name w:val="Body Text Indent"/>
    <w:basedOn w:val="1"/>
    <w:qFormat/>
    <w:uiPriority w:val="99"/>
    <w:pPr>
      <w:spacing w:after="120"/>
      <w:ind w:left="420" w:leftChars="200"/>
    </w:pPr>
  </w:style>
  <w:style w:type="paragraph" w:styleId="8">
    <w:name w:val="footer"/>
    <w:basedOn w:val="1"/>
    <w:link w:val="17"/>
    <w:semiHidden/>
    <w:unhideWhenUsed/>
    <w:qFormat/>
    <w:uiPriority w:val="99"/>
    <w:pPr>
      <w:tabs>
        <w:tab w:val="center" w:pos="4153"/>
        <w:tab w:val="right" w:pos="8306"/>
      </w:tabs>
      <w:snapToGrid w:val="0"/>
      <w:jc w:val="left"/>
    </w:pPr>
    <w:rPr>
      <w:sz w:val="18"/>
      <w:szCs w:val="18"/>
    </w:rPr>
  </w:style>
  <w:style w:type="paragraph" w:styleId="9">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Normal (Web)"/>
    <w:basedOn w:val="1"/>
    <w:qFormat/>
    <w:uiPriority w:val="0"/>
    <w:rPr>
      <w:sz w:val="24"/>
    </w:rPr>
  </w:style>
  <w:style w:type="paragraph" w:styleId="12">
    <w:name w:val="Body Text First Indent 2"/>
    <w:basedOn w:val="7"/>
    <w:qFormat/>
    <w:uiPriority w:val="99"/>
    <w:pPr>
      <w:ind w:firstLine="420" w:firstLineChars="200"/>
    </w:pPr>
    <w:rPr>
      <w:kern w:val="0"/>
      <w:sz w:val="20"/>
      <w:szCs w:val="22"/>
    </w:rPr>
  </w:style>
  <w:style w:type="paragraph" w:customStyle="1" w:styleId="15">
    <w:name w:val="常用样式（方正仿宋简）"/>
    <w:basedOn w:val="1"/>
    <w:qFormat/>
    <w:uiPriority w:val="0"/>
    <w:pPr>
      <w:spacing w:line="560" w:lineRule="exact"/>
      <w:ind w:firstLine="640" w:firstLineChars="200"/>
    </w:pPr>
    <w:rPr>
      <w:rFonts w:ascii="Calibri" w:hAnsi="Calibri" w:eastAsia="方正仿宋简体" w:cs="Times New Roman"/>
      <w:sz w:val="32"/>
      <w:szCs w:val="24"/>
    </w:rPr>
  </w:style>
  <w:style w:type="character" w:customStyle="1" w:styleId="16">
    <w:name w:val="页眉 Char"/>
    <w:basedOn w:val="14"/>
    <w:link w:val="9"/>
    <w:semiHidden/>
    <w:qFormat/>
    <w:uiPriority w:val="99"/>
    <w:rPr>
      <w:sz w:val="18"/>
      <w:szCs w:val="18"/>
    </w:rPr>
  </w:style>
  <w:style w:type="character" w:customStyle="1" w:styleId="17">
    <w:name w:val="页脚 Char"/>
    <w:basedOn w:val="14"/>
    <w:link w:val="8"/>
    <w:semiHidden/>
    <w:qFormat/>
    <w:uiPriority w:val="99"/>
    <w:rPr>
      <w:sz w:val="18"/>
      <w:szCs w:val="18"/>
    </w:rPr>
  </w:style>
  <w:style w:type="character" w:customStyle="1" w:styleId="18">
    <w:name w:val="标题 1 Char"/>
    <w:basedOn w:val="14"/>
    <w:link w:val="3"/>
    <w:qFormat/>
    <w:uiPriority w:val="9"/>
    <w:rPr>
      <w:b/>
      <w:bCs/>
      <w:kern w:val="44"/>
      <w:sz w:val="44"/>
      <w:szCs w:val="44"/>
    </w:rPr>
  </w:style>
  <w:style w:type="paragraph" w:customStyle="1" w:styleId="19">
    <w:name w:val="Char"/>
    <w:basedOn w:val="1"/>
    <w:qFormat/>
    <w:uiPriority w:val="0"/>
    <w:pPr>
      <w:spacing w:line="240" w:lineRule="atLeast"/>
      <w:ind w:left="420" w:firstLine="420"/>
    </w:pPr>
    <w:rPr>
      <w:rFonts w:ascii="Times New Roman" w:hAnsi="Times New Roman" w:eastAsia="宋体" w:cs="Times New Roman"/>
      <w:kern w:val="0"/>
      <w:szCs w:val="21"/>
    </w:rPr>
  </w:style>
  <w:style w:type="paragraph" w:customStyle="1" w:styleId="20">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1">
    <w:name w:val="标题 3 Char"/>
    <w:basedOn w:val="14"/>
    <w:link w:val="4"/>
    <w:qFormat/>
    <w:uiPriority w:val="9"/>
    <w:rPr>
      <w:b/>
      <w:bCs/>
      <w:sz w:val="32"/>
      <w:szCs w:val="32"/>
    </w:rPr>
  </w:style>
  <w:style w:type="paragraph" w:styleId="22">
    <w:name w:val="List Paragraph"/>
    <w:basedOn w:val="1"/>
    <w:qFormat/>
    <w:uiPriority w:val="34"/>
    <w:pPr>
      <w:ind w:firstLine="420" w:firstLineChars="200"/>
    </w:p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24</Pages>
  <Words>10569</Words>
  <Characters>11233</Characters>
  <Lines>45</Lines>
  <Paragraphs>12</Paragraphs>
  <TotalTime>15</TotalTime>
  <ScaleCrop>false</ScaleCrop>
  <LinksUpToDate>false</LinksUpToDate>
  <CharactersWithSpaces>11317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2020-06-27T07:51:00Z</dcterms:created>
  <dc:creator>预算科:侯雯</dc:creator>
  <cp:lastModifiedBy>宁静思远</cp:lastModifiedBy>
  <cp:lastPrinted>2020-06-30T08:32:00Z</cp:lastPrinted>
  <dcterms:modified xsi:type="dcterms:W3CDTF">2023-07-26T08:21:26Z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SaveFontToCloudKey">
    <vt:lpwstr>302084907_btnclosed</vt:lpwstr>
  </property>
  <property fmtid="{D5CDD505-2E9C-101B-9397-08002B2CF9AE}" pid="4" name="ICV">
    <vt:lpwstr>5F814711F74B45D9961B6BA88BA24807</vt:lpwstr>
  </property>
</Properties>
</file>