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广元市财政局</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2022年单位预算编制说明</w:t>
      </w:r>
    </w:p>
    <w:p>
      <w:pPr>
        <w:keepNext w:val="0"/>
        <w:keepLines w:val="0"/>
        <w:pageBreakBefore w:val="0"/>
        <w:widowControl w:val="0"/>
        <w:kinsoku/>
        <w:wordWrap/>
        <w:overflowPunct/>
        <w:topLinePunct w:val="0"/>
        <w:autoSpaceDE/>
        <w:autoSpaceDN/>
        <w:bidi w:val="0"/>
        <w:adjustRightInd/>
        <w:snapToGrid/>
        <w:spacing w:before="0" w:line="576" w:lineRule="exact"/>
        <w:jc w:val="center"/>
        <w:textAlignment w:val="auto"/>
        <w:rPr>
          <w:rFonts w:hint="eastAsia" w:ascii="黑体" w:hAnsi="黑体" w:eastAsia="黑体" w:cs="黑体"/>
          <w:b w:val="0"/>
          <w:bCs w:val="0"/>
          <w:i w:val="0"/>
          <w:caps w:val="0"/>
          <w:color w:val="333333"/>
          <w:spacing w:val="0"/>
          <w:kern w:val="0"/>
          <w:sz w:val="36"/>
          <w:szCs w:val="36"/>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before="0" w:line="576" w:lineRule="exact"/>
        <w:jc w:val="center"/>
        <w:textAlignment w:val="auto"/>
        <w:rPr>
          <w:rFonts w:hint="eastAsia" w:ascii="黑体" w:hAnsi="黑体" w:eastAsia="黑体" w:cs="黑体"/>
          <w:b w:val="0"/>
          <w:bCs w:val="0"/>
          <w:i w:val="0"/>
          <w:caps w:val="0"/>
          <w:color w:val="333333"/>
          <w:spacing w:val="0"/>
          <w:kern w:val="0"/>
          <w:sz w:val="36"/>
          <w:szCs w:val="36"/>
          <w:shd w:val="clear" w:color="auto" w:fill="FFFFFF"/>
          <w:lang w:val="en-US" w:eastAsia="zh-CN" w:bidi="ar"/>
        </w:rPr>
      </w:pPr>
      <w:r>
        <w:rPr>
          <w:rFonts w:hint="eastAsia" w:ascii="黑体" w:hAnsi="黑体" w:eastAsia="黑体" w:cs="黑体"/>
          <w:b w:val="0"/>
          <w:bCs w:val="0"/>
          <w:i w:val="0"/>
          <w:caps w:val="0"/>
          <w:color w:val="333333"/>
          <w:spacing w:val="0"/>
          <w:kern w:val="0"/>
          <w:sz w:val="36"/>
          <w:szCs w:val="36"/>
          <w:shd w:val="clear" w:color="auto" w:fill="FFFFFF"/>
          <w:lang w:val="en-US" w:eastAsia="zh-CN" w:bidi="ar"/>
        </w:rPr>
        <w:t>目   录</w:t>
      </w:r>
    </w:p>
    <w:p>
      <w:pPr>
        <w:keepNext w:val="0"/>
        <w:keepLines w:val="0"/>
        <w:pageBreakBefore w:val="0"/>
        <w:widowControl w:val="0"/>
        <w:kinsoku/>
        <w:wordWrap/>
        <w:overflowPunct/>
        <w:topLinePunct w:val="0"/>
        <w:autoSpaceDE/>
        <w:autoSpaceDN/>
        <w:bidi w:val="0"/>
        <w:adjustRightInd/>
        <w:snapToGrid/>
        <w:spacing w:before="0" w:after="0" w:line="44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一、基本职能及主要工作</w:t>
      </w:r>
      <w:r>
        <w:rPr>
          <w:rFonts w:hint="eastAsia" w:ascii="宋体" w:hAnsi="宋体" w:cs="宋体"/>
          <w:i w:val="0"/>
          <w:caps w:val="0"/>
          <w:color w:val="333333"/>
          <w:spacing w:val="0"/>
          <w:kern w:val="0"/>
          <w:sz w:val="28"/>
          <w:szCs w:val="28"/>
          <w:shd w:val="clear" w:color="auto" w:fill="FFFFFF"/>
          <w:lang w:val="en-US" w:eastAsia="zh-CN" w:bidi="ar"/>
        </w:rPr>
        <w:t>.....................................................................(1)</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（一）职能简介</w:t>
      </w:r>
      <w:r>
        <w:rPr>
          <w:rFonts w:hint="eastAsia" w:ascii="宋体" w:hAnsi="宋体" w:cs="宋体"/>
          <w:i w:val="0"/>
          <w:caps w:val="0"/>
          <w:color w:val="333333"/>
          <w:spacing w:val="0"/>
          <w:kern w:val="0"/>
          <w:sz w:val="28"/>
          <w:szCs w:val="28"/>
          <w:shd w:val="clear" w:color="auto" w:fill="FFFFFF"/>
          <w:lang w:val="en-US" w:eastAsia="zh-CN" w:bidi="ar"/>
        </w:rPr>
        <w:t>.....................................................................................(1)</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（二）2022年重点工作</w:t>
      </w:r>
      <w:r>
        <w:rPr>
          <w:rFonts w:hint="eastAsia" w:ascii="宋体" w:hAnsi="宋体" w:cs="宋体"/>
          <w:i w:val="0"/>
          <w:caps w:val="0"/>
          <w:color w:val="333333"/>
          <w:spacing w:val="0"/>
          <w:kern w:val="0"/>
          <w:sz w:val="28"/>
          <w:szCs w:val="28"/>
          <w:shd w:val="clear" w:color="auto" w:fill="FFFFFF"/>
          <w:lang w:val="en-US" w:eastAsia="zh-CN" w:bidi="ar"/>
        </w:rPr>
        <w:t>........................................................................(3)</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二、部门预算单位构成</w:t>
      </w:r>
      <w:r>
        <w:rPr>
          <w:rFonts w:hint="eastAsia" w:ascii="宋体" w:hAnsi="宋体" w:cs="宋体"/>
          <w:i w:val="0"/>
          <w:caps w:val="0"/>
          <w:color w:val="333333"/>
          <w:spacing w:val="0"/>
          <w:kern w:val="0"/>
          <w:sz w:val="28"/>
          <w:szCs w:val="28"/>
          <w:shd w:val="clear" w:color="auto" w:fill="FFFFFF"/>
          <w:lang w:val="en-US" w:eastAsia="zh-CN" w:bidi="ar"/>
        </w:rPr>
        <w:t>.........................................................................(5)</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三、收支预算情况说明</w:t>
      </w:r>
      <w:r>
        <w:rPr>
          <w:rFonts w:hint="eastAsia" w:ascii="宋体" w:hAnsi="宋体" w:cs="宋体"/>
          <w:i w:val="0"/>
          <w:caps w:val="0"/>
          <w:color w:val="333333"/>
          <w:spacing w:val="0"/>
          <w:kern w:val="0"/>
          <w:sz w:val="28"/>
          <w:szCs w:val="28"/>
          <w:shd w:val="clear" w:color="auto" w:fill="FFFFFF"/>
          <w:lang w:val="en-US" w:eastAsia="zh-CN" w:bidi="ar"/>
        </w:rPr>
        <w:t>.........................................................................(5)</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（一）收入预算情况</w:t>
      </w:r>
      <w:r>
        <w:rPr>
          <w:rFonts w:hint="eastAsia" w:ascii="宋体" w:hAnsi="宋体" w:cs="宋体"/>
          <w:i w:val="0"/>
          <w:caps w:val="0"/>
          <w:color w:val="333333"/>
          <w:spacing w:val="0"/>
          <w:kern w:val="0"/>
          <w:sz w:val="28"/>
          <w:szCs w:val="28"/>
          <w:shd w:val="clear" w:color="auto" w:fill="FFFFFF"/>
          <w:lang w:val="en-US" w:eastAsia="zh-CN" w:bidi="ar"/>
        </w:rPr>
        <w:t>................................................................ .............(6)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（二）支出预算情况</w:t>
      </w:r>
      <w:r>
        <w:rPr>
          <w:rFonts w:hint="eastAsia" w:ascii="宋体" w:hAnsi="宋体" w:cs="宋体"/>
          <w:i w:val="0"/>
          <w:caps w:val="0"/>
          <w:color w:val="333333"/>
          <w:spacing w:val="0"/>
          <w:kern w:val="0"/>
          <w:sz w:val="28"/>
          <w:szCs w:val="28"/>
          <w:shd w:val="clear" w:color="auto" w:fill="FFFFFF"/>
          <w:lang w:val="en-US" w:eastAsia="zh-CN" w:bidi="ar"/>
        </w:rPr>
        <w:t>............................................................. ................(6)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四、财政拨款收支预算情况说明</w:t>
      </w:r>
      <w:r>
        <w:rPr>
          <w:rFonts w:hint="eastAsia" w:ascii="宋体" w:hAnsi="宋体" w:cs="宋体"/>
          <w:i w:val="0"/>
          <w:caps w:val="0"/>
          <w:color w:val="333333"/>
          <w:spacing w:val="0"/>
          <w:kern w:val="0"/>
          <w:sz w:val="28"/>
          <w:szCs w:val="28"/>
          <w:shd w:val="clear" w:color="auto" w:fill="FFFFFF"/>
          <w:lang w:val="en-US" w:eastAsia="zh-CN" w:bidi="ar"/>
        </w:rPr>
        <w:t>..........................................................(6)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五、一般公共预算当年拨款情况说明</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（一）一般公共预算当年拨款规模变化情况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（二）一般公共预算当年拨款结构情况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（三）一般公共预算当年拨款具体使用情况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六、一般公共预算基本支出情况说明</w:t>
      </w:r>
      <w:r>
        <w:rPr>
          <w:rFonts w:hint="eastAsia" w:ascii="宋体" w:hAnsi="宋体" w:cs="宋体"/>
          <w:i w:val="0"/>
          <w:caps w:val="0"/>
          <w:color w:val="333333"/>
          <w:spacing w:val="0"/>
          <w:kern w:val="0"/>
          <w:sz w:val="28"/>
          <w:szCs w:val="28"/>
          <w:shd w:val="clear" w:color="auto" w:fill="FFFFFF"/>
          <w:lang w:val="en-US" w:eastAsia="zh-CN" w:bidi="ar"/>
        </w:rPr>
        <w:t>..................................................(8)</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七、“三公”经费财政拨款预算安排情况说明</w:t>
      </w:r>
      <w:r>
        <w:rPr>
          <w:rFonts w:hint="eastAsia" w:ascii="宋体" w:hAnsi="宋体" w:cs="宋体"/>
          <w:i w:val="0"/>
          <w:caps w:val="0"/>
          <w:color w:val="333333"/>
          <w:spacing w:val="0"/>
          <w:kern w:val="0"/>
          <w:sz w:val="28"/>
          <w:szCs w:val="28"/>
          <w:shd w:val="clear" w:color="auto" w:fill="FFFFFF"/>
          <w:lang w:val="en-US" w:eastAsia="zh-CN" w:bidi="ar"/>
        </w:rPr>
        <w:t>..................................(8)</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（一）公务接待费与2021年预算相比</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left"/>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（二）公务用车购置及运行维护费与2021年预算相比</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（三）因公出国（境）经费与2021年预算相比</w:t>
      </w:r>
      <w:r>
        <w:rPr>
          <w:rFonts w:hint="eastAsia" w:ascii="宋体" w:hAnsi="宋体" w:cs="宋体"/>
          <w:i w:val="0"/>
          <w:caps w:val="0"/>
          <w:color w:val="333333"/>
          <w:spacing w:val="0"/>
          <w:kern w:val="0"/>
          <w:sz w:val="28"/>
          <w:szCs w:val="28"/>
          <w:shd w:val="clear" w:color="auto" w:fill="FFFFFF"/>
          <w:lang w:val="en-US" w:eastAsia="zh-CN" w:bidi="ar"/>
        </w:rPr>
        <w:t>.......... .....................(9)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八、政府性基金预算支出情况说明</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九、国有资本经营预算支出情况说明</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十、其他重要事项的情况说明</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kern w:val="0"/>
          <w:sz w:val="28"/>
          <w:szCs w:val="28"/>
          <w:shd w:val="clear" w:color="auto" w:fill="FFFFFF"/>
          <w:lang w:val="en-US" w:eastAsia="zh-CN" w:bidi="ar"/>
        </w:rPr>
        <w:t>十一、名词解释</w:t>
      </w:r>
      <w:r>
        <w:rPr>
          <w:rFonts w:hint="eastAsia" w:ascii="宋体" w:hAnsi="宋体" w:cs="宋体"/>
          <w:i w:val="0"/>
          <w:caps w:val="0"/>
          <w:color w:val="333333"/>
          <w:spacing w:val="0"/>
          <w:kern w:val="0"/>
          <w:sz w:val="28"/>
          <w:szCs w:val="28"/>
          <w:shd w:val="clear" w:color="auto" w:fill="FFFFFF"/>
          <w:lang w:val="en-US" w:eastAsia="zh-CN" w:bidi="ar"/>
        </w:rPr>
        <w:t>.......................................................</w:t>
      </w:r>
      <w:bookmarkStart w:id="0" w:name="_GoBack"/>
      <w:bookmarkEnd w:id="0"/>
      <w:r>
        <w:rPr>
          <w:rFonts w:hint="eastAsia" w:ascii="宋体" w:hAnsi="宋体" w:cs="宋体"/>
          <w:i w:val="0"/>
          <w:caps w:val="0"/>
          <w:color w:val="333333"/>
          <w:spacing w:val="0"/>
          <w:kern w:val="0"/>
          <w:sz w:val="28"/>
          <w:szCs w:val="28"/>
          <w:shd w:val="clear" w:color="auto" w:fill="FFFFFF"/>
          <w:lang w:val="en-US" w:eastAsia="zh-CN" w:bidi="ar"/>
        </w:rPr>
        <w:t>..............................(10)</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sectPr>
          <w:pgSz w:w="11906" w:h="16838"/>
          <w:pgMar w:top="2098" w:right="1474" w:bottom="1984" w:left="1587" w:header="851" w:footer="1559"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（一）广元市财政局职能简介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订全市财税发展战略、规划、政策和改革方案并组织实施。分析预测宏观经济形势，参与制定宏观经济政策，提出运用财税政策实施宏观调控和综合平衡社会财力的建议。拟定市与县（区）、开发区的分配政策，完善鼓励公益事业发展的财税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2.贯彻执行财政、税收、财务、会计管理的法律法规和规章。参与起草财政、税收、财务、会计管理方面的地方性法律和规章，并指导、监督执行。按照管理权限管理全市税政事项。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管理各项财政收支。编制年度市级预决算草案并组织执行。组织制定经费开支标准、定额，审核批复部门（单位）年度预决算。受市政府委托，向市人大及其常委会报告全市和市级财政预算、执行和决算情况。负责政府投资基金市级财政出资的资产管理。负责市级预决算公开。负责全面实施预算绩效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按分工负责政府非税收入管理。负责政府性基金管理，按规定管理行政事业性收费等其他非税收入。管理财政票据。制定彩票管理政策和有关办法，监管彩票市场，按规定管理彩票资金。履行住房公积金的行政监督职能。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5.组织制定全市国库管理制度、国库集中收付制度，指导和监督国库业务，开展国库现金管理工作。贯彻执行政府财务报告编制办法并组织实施。负责制定政府采购制度并监督管理。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6.贯彻执行地方政府债务管理制度和政策，制定具体管理办法，编制地方政府债余额限额计划，统一管理政府外债，防范财政风险。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牵头编制全市国有资产管理情况报告。根据市政府授权，集中统一履行市级国有金融资本出资人职责。制定市级国有金融资本管理制度。拟订全市行政事业单位国有资产管理制度规定并组织实施。制定需要全市统一规定的开支标准和支出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审核并汇总编制全市国有资本经营预决算草案。制订国有资本经营预算制度和办法，收取市本级企业国有资本收益。组织实施企业财务制度，负责财政预算内行政事业单位和社会团体的非贸易外汇和财政预算内的国际收支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9.负责审核并汇总编制全市社会保险基金预决算草案，会同有关部门拟订有关资金（基金）的财务管理制度，承担社会保险基金财政监管工作。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10.负责办理和监督市级财政的经济发展支出、市级政府性投资项目的财政拨款，负责投资评审管理工作，参与拟订市级基建投资有关政策，制定基建财务管理制度。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11.管理外国政府和国际金融机构贷（赠）款项目的有关业务，参与财经领域的国际交流合作。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12.负责管理全市会计工作，监督和规范会计行为，组织实施国家统一的会计制度。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13.负责职责范围内的安全生产和职业健康、生态环境保护、审批服务便民化等工作。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14.完成市委、市政府交办的其他任务。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（二）广元市财政局2022年重点工作</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让财政收入更有体量。</w:t>
      </w:r>
      <w:r>
        <w:rPr>
          <w:rFonts w:hint="eastAsia" w:ascii="仿宋_GB2312" w:hAnsi="仿宋_GB2312" w:eastAsia="仿宋_GB2312" w:cs="仿宋_GB2312"/>
          <w:sz w:val="32"/>
          <w:szCs w:val="32"/>
        </w:rPr>
        <w:t>一是支持实体经济发展。市财政出资1000万元设立市属融资担保行业可持续发展三项激励机制，即资本金补充机制、融资担保降费机制、代偿风险分担机制，进一步促进政府性融资担保机构做大做强主业，坚守准公共定位，更好服务我市实体经济高质量发展。二是支持</w:t>
      </w:r>
      <w:r>
        <w:rPr>
          <w:rFonts w:hint="eastAsia" w:ascii="仿宋_GB2312" w:hAnsi="仿宋_GB2312" w:eastAsia="仿宋_GB2312" w:cs="仿宋_GB2312"/>
          <w:sz w:val="32"/>
          <w:szCs w:val="32"/>
          <w:lang w:val="en-US" w:eastAsia="zh-CN"/>
        </w:rPr>
        <w:t>项目投资</w:t>
      </w:r>
      <w:r>
        <w:rPr>
          <w:rFonts w:hint="eastAsia" w:ascii="仿宋_GB2312" w:hAnsi="仿宋_GB2312" w:eastAsia="仿宋_GB2312" w:cs="仿宋_GB2312"/>
          <w:sz w:val="32"/>
          <w:szCs w:val="32"/>
        </w:rPr>
        <w:t>。从2022年起将项目投资、招商引资前期工作经费纳入财政预算，支持重大项目</w:t>
      </w:r>
      <w:r>
        <w:rPr>
          <w:rFonts w:hint="eastAsia" w:ascii="仿宋_GB2312" w:hAnsi="仿宋_GB2312" w:eastAsia="仿宋_GB2312" w:cs="仿宋_GB2312"/>
          <w:sz w:val="32"/>
          <w:szCs w:val="32"/>
          <w:lang w:val="en-US" w:eastAsia="zh-CN"/>
        </w:rPr>
        <w:t>谋划</w:t>
      </w:r>
      <w:r>
        <w:rPr>
          <w:rFonts w:hint="eastAsia" w:ascii="仿宋_GB2312" w:hAnsi="仿宋_GB2312" w:eastAsia="仿宋_GB2312" w:cs="仿宋_GB2312"/>
          <w:sz w:val="32"/>
          <w:szCs w:val="32"/>
        </w:rPr>
        <w:t>包装和申报工作。发挥好政府专项债的投资引领作用，支持招引企业和国有企业申报并实施政府专项债项目，通过项目投资和项目收益做大企业规模，增加企业收入，推动企业转型升级发展。三是支持“四大经济”。“十四五”期间出资4亿元以上，争取省级和社会资本投入，设立总规模10亿元的经济高质量发展产业基金，优先支持数字产业、绿色铝产业、肉牛羊发展产业、物流枢纽城市以及国有企业高质量发展项目。四是强化收入征管。科学制定2022年财政收入目标，压紧压实税务和非税执收部门收入征管责任，深度挖潜全市各级税源，确保2022年全市财政收入增速高于全市GDP增</w:t>
      </w:r>
      <w:r>
        <w:rPr>
          <w:rFonts w:hint="eastAsia" w:ascii="仿宋_GB2312" w:hAnsi="仿宋_GB2312" w:eastAsia="仿宋_GB2312" w:cs="仿宋_GB2312"/>
          <w:sz w:val="32"/>
          <w:szCs w:val="32"/>
          <w:lang w:val="en-US" w:eastAsia="zh-CN"/>
        </w:rPr>
        <w:t>速</w:t>
      </w:r>
      <w:r>
        <w:rPr>
          <w:rFonts w:hint="eastAsia" w:ascii="仿宋_GB2312" w:hAnsi="仿宋_GB2312" w:eastAsia="仿宋_GB2312" w:cs="仿宋_GB2312"/>
          <w:sz w:val="32"/>
          <w:szCs w:val="32"/>
        </w:rPr>
        <w:t>，力争达到10%。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让财政支出更有温度。</w:t>
      </w:r>
      <w:r>
        <w:rPr>
          <w:rFonts w:hint="eastAsia" w:ascii="仿宋_GB2312" w:hAnsi="仿宋_GB2312" w:eastAsia="仿宋_GB2312" w:cs="仿宋_GB2312"/>
          <w:sz w:val="32"/>
          <w:szCs w:val="32"/>
        </w:rPr>
        <w:t>一是扎实做好“六保”“六稳”工作。针对当前突出矛盾和风险隐患，持续优化支出结构，着力“六保”工作，落实“六稳”任务，稳住经济基本盘，不断增强经济发展的韧性和潜力。二是推进乡村振兴有效衔接。坚持把乡村振兴作为财政支出的优先保障领域，确保力度不减弱、总量有增加。运用财税手段和相关政策，建立适应乡村振兴战略的财政投入和保障制度，调整优化财政支出结构，提高财政涉农资金配置、管理效率。三是保障民生投入。落实好就业优先政策，推进基本养老保险全国统筹，健全常住地提供基本公共服务制度，力争全市民生支出占比稳定在65%以上。四是保障重点工作。进一步推动各类资金资产资源统筹，加强项目全生命周期管理，加快财政支出标准体系建设，加强重大政策财政可承受能力评估，增强市委重大战略任务财力保障。积极融入川陕革命老区建设，牵头做好《四川省“十四五”川陕革命老区发展规划》纳入项目资金争取，全力保障项目前期经费。</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让财政改革更有活力。</w:t>
      </w:r>
      <w:r>
        <w:rPr>
          <w:rFonts w:hint="eastAsia" w:ascii="仿宋_GB2312" w:hAnsi="仿宋_GB2312" w:eastAsia="仿宋_GB2312" w:cs="仿宋_GB2312"/>
          <w:sz w:val="32"/>
          <w:szCs w:val="32"/>
        </w:rPr>
        <w:t>一是深化财税体制改革。落实好减税降费政策，严格执行收费基金目录清单制度并及时动态调整，进一步规范涉企行政事业性收费，持续优化营商环境。二是深化市区同城一体化改革。研究制定本市总体改革方案和分领域改革方案，进一步明晰市区财政事权划分边界和各区支出责任，理顺市区财政关系。三是强化预算绩效管理。坚持“花钱必问效、无效必问责”，建立完善绩效指标标准化体系，加快实现绩效指标和标准体系科学合理、细化量化、可比可测、动态调整、共建共享。四是切实加强财金互动。强化财政资金撬动引导效应，持续推动财政支持方式转变，进一步加强对中小微企业、三农、绿色发展、双碳政策的支持，引导资金投向供需共同受益的先进制造、民生建设、基础设施等领域。</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让财政风险更加可控。</w:t>
      </w:r>
      <w:r>
        <w:rPr>
          <w:rFonts w:hint="eastAsia" w:ascii="仿宋_GB2312" w:hAnsi="仿宋_GB2312" w:eastAsia="仿宋_GB2312" w:cs="仿宋_GB2312"/>
          <w:sz w:val="32"/>
          <w:szCs w:val="32"/>
        </w:rPr>
        <w:t>一是加强债务管理。做好专项债券项目全生命周期管理，更好发挥专项债资金带动社会资金的作用。加强对债券资金的审核和监管，坚决制止资金挤占挪用、违规拨付、长期闲置。同时，拟将政府性债务偿还本息21.18亿元全额纳入各级财政预算，将隐性债务偿还资金按照不低于当年财力的5%纳入预算安排，力争完成2022年35.43亿元的隐性化债任务。二是稳定国库运行。坚持厉行勤俭节约过紧日子，把握资金投入方向，进一步压实一般性支出和“三公”经费支出。加强库款管理，提高国库资金利用率，切实做好支出保障工作，确保“三保”支出应保尽保。三是防控金融风险。全面清理政府和国有企业之间的债务往来，对属于政府支出责任的财政欠款，制定分年度化解工作方案，财政每年按可用财力的10%左右安排用于偿还政府欠款和化解隐性债务。支持广元农担、广财基金、广创担保做大做强，健全完善政策性融资担保体系，持续优化国有金融布局，增强金融服务实体经济、抵御金融风险的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w:t>
      </w:r>
      <w:r>
        <w:rPr>
          <w:rFonts w:hint="eastAsia" w:ascii="仿宋_GB2312" w:hAnsi="仿宋_GB2312" w:eastAsia="仿宋_GB2312" w:cs="仿宋_GB2312"/>
          <w:sz w:val="32"/>
          <w:szCs w:val="32"/>
          <w:lang w:val="en-US" w:eastAsia="zh-CN"/>
        </w:rPr>
        <w:t>为全额财政拨款</w:t>
      </w:r>
      <w:r>
        <w:rPr>
          <w:rFonts w:hint="eastAsia" w:ascii="仿宋_GB2312" w:hAnsi="仿宋_GB2312" w:eastAsia="仿宋_GB2312" w:cs="仿宋_GB2312"/>
          <w:sz w:val="32"/>
          <w:szCs w:val="32"/>
        </w:rPr>
        <w:t xml:space="preserve">行政单位。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财政局所有收入和支出均纳入部门预算管理。收入包括：一般公共预算拨款收入、上年结转、其他收入（代管资金）；支出包括：一般公共服务支出、社会保障和就业支出、卫生健康支出、住房保障支出。广元市财政局2022年收支总预算2269.41万元,比2021年收支预算总数减少66.87万元，扣除上年结转资金、一次性安排等因素后，同口径增加43.63万元，主要原因是2022年人员增</w:t>
      </w:r>
      <w:r>
        <w:rPr>
          <w:rFonts w:hint="eastAsia" w:ascii="仿宋_GB2312" w:hAnsi="仿宋_GB2312" w:eastAsia="仿宋_GB2312" w:cs="仿宋_GB2312"/>
          <w:sz w:val="32"/>
          <w:szCs w:val="32"/>
          <w:lang w:val="en-US" w:eastAsia="zh-CN"/>
        </w:rPr>
        <w:t>加</w:t>
      </w:r>
      <w:r>
        <w:rPr>
          <w:rFonts w:hint="eastAsia" w:ascii="仿宋_GB2312" w:hAnsi="仿宋_GB2312" w:eastAsia="仿宋_GB2312" w:cs="仿宋_GB2312"/>
          <w:sz w:val="32"/>
          <w:szCs w:val="32"/>
        </w:rPr>
        <w:t>引起的工资福利、商品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等基本支出预算增加。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广元市财政局2022年收入预算2269.41万元，其中：上年结转190.67万元，占8.41%；一般公共预算拨款收入1878.74万元，占82.77%，其他收入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代管资金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200万元，占8.82%。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广元市财政局2022年支出预算2269.41万元，其中：基本支出1374.44万元，占60.57%；项目支出894.97万元，占39.43%。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广元市财政局2022年财政拨款收支总预算2069.41万元,比2021年财政拨款收支总预算减少266.87万元，扣除上年结转资金、一次性安排等因素后，同口径增加43.63万元，主要原因是2022年人员增</w:t>
      </w:r>
      <w:r>
        <w:rPr>
          <w:rFonts w:hint="eastAsia" w:ascii="仿宋_GB2312" w:hAnsi="仿宋_GB2312" w:eastAsia="仿宋_GB2312" w:cs="仿宋_GB2312"/>
          <w:sz w:val="32"/>
          <w:szCs w:val="32"/>
          <w:lang w:val="en-US" w:eastAsia="zh-CN"/>
        </w:rPr>
        <w:t>加</w:t>
      </w:r>
      <w:r>
        <w:rPr>
          <w:rFonts w:hint="eastAsia" w:ascii="仿宋_GB2312" w:hAnsi="仿宋_GB2312" w:eastAsia="仿宋_GB2312" w:cs="仿宋_GB2312"/>
          <w:sz w:val="32"/>
          <w:szCs w:val="32"/>
        </w:rPr>
        <w:t>引起的工资福利、商品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等基本支出预算增加。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1878.74万元、上年结转一般公共预算拨款收入190.67万元；支出包括：一般公共服务支出1810.56万元、社会保障和就业支出100.8万元、卫生健康支出50.4万元、住房保障支出107.65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广元市财政局2022年一般公共预算当年拨款1878.74万元，比2021年预算数增加93.63元，主要原因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一是2022年人员增</w:t>
      </w:r>
      <w:r>
        <w:rPr>
          <w:rFonts w:hint="eastAsia" w:ascii="仿宋_GB2312" w:hAnsi="仿宋_GB2312" w:eastAsia="仿宋_GB2312" w:cs="仿宋_GB2312"/>
          <w:sz w:val="32"/>
          <w:szCs w:val="32"/>
          <w:lang w:val="en-US" w:eastAsia="zh-CN"/>
        </w:rPr>
        <w:t>加</w:t>
      </w:r>
      <w:r>
        <w:rPr>
          <w:rFonts w:hint="eastAsia" w:ascii="仿宋_GB2312" w:hAnsi="仿宋_GB2312" w:eastAsia="仿宋_GB2312" w:cs="仿宋_GB2312"/>
          <w:sz w:val="32"/>
          <w:szCs w:val="32"/>
        </w:rPr>
        <w:t>引起的工资福利、商品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 xml:space="preserve">等基本支出预算增加；二是因开展争取项目资金工作增加项目支出预算。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一般公共服务支出1619.89万元，占86.23%；社会保障和就业支出100.8万元，占5.37%；卫生健康支出50.4万元，占2.69%；住房保障支出107.65万元，占5.71%。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1.一般公共服务（类）财政事务（款）行政运行（项）2022年预算数为1115.59万元，主要用于：工资奖金津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贴、其他工资福利支出、办公经费、会议费、培训费、委托业务费、公务接待费、公务用车运行维护费、维修（护）费、差旅费、其他商品和服务支出、其他对个人和家庭补助。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2.一般公共服务（类）财政事务（款）一般行政管理事务（项）2022年预算数为384.3万元，主要用于：财政专项工作经费、乡村振兴工作经费、网络安全及信息化建设、派驻纪检监察组专项经费等11个项目支出。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3.一般公共服务（类）财政事务（款）机关服务（项）2022年预算数为120万元，主要用于：财政购买服务项目支出。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4.社会保障和就业（类）行政事业单位养老支出（款）机关事业单位基本养老保险缴费支出（项）2022年预算数为100.8万元，主要用于：机关</w:t>
      </w:r>
      <w:r>
        <w:rPr>
          <w:rFonts w:hint="eastAsia" w:ascii="仿宋_GB2312" w:hAnsi="仿宋_GB2312" w:eastAsia="仿宋_GB2312" w:cs="仿宋_GB2312"/>
          <w:sz w:val="32"/>
          <w:szCs w:val="32"/>
          <w:lang w:val="en-US" w:eastAsia="zh-CN"/>
        </w:rPr>
        <w:t>实施养老保险制度由单位缴纳的基本养老保险</w:t>
      </w:r>
      <w:r>
        <w:rPr>
          <w:rFonts w:hint="eastAsia" w:ascii="仿宋_GB2312" w:hAnsi="仿宋_GB2312" w:eastAsia="仿宋_GB2312" w:cs="仿宋_GB2312"/>
          <w:sz w:val="32"/>
          <w:szCs w:val="32"/>
        </w:rPr>
        <w:t>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5.卫生健康（类）行政事业单位医疗（款）行政单位医疗（项）2022年预算数为50.4万元，主要用于：机关按规定由单位缴纳的基本医疗保险支出。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6.住房保障（类）住房改革支出（款）住房公积金（项）2022年预算数为107.65万元，主要用于：按规定为职工缴纳的住房公积金支出。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广元市财政局2022年一般公共预算基本支出1374.44万元，其中：人员经费1123.8万元，主要包括：基本工资、津贴补贴、奖金、其他工资福利支出、社会保险缴费、住房公积金、对个人和家庭的补助等支出。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250.64万元，主要包括：办公费、印刷费、水费、电费、邮电费、物业管理费、差旅费、维修（护）费、会议费、培训费、公务接待费、劳务费、工会经费、福利费、公务用车运行维护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广元市财政局2022年“三公”经费财政拨款预算数19万元，其中：公务接待费4万元，公务用车购置及运行维护费15万元，因公出国（境）经费0万元。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（一）公务接待费与2021年预算持平。</w:t>
      </w:r>
      <w:r>
        <w:rPr>
          <w:rFonts w:hint="eastAsia" w:ascii="仿宋_GB2312" w:hAnsi="仿宋_GB2312" w:eastAsia="仿宋_GB2312" w:cs="仿宋_GB2312"/>
          <w:sz w:val="32"/>
          <w:szCs w:val="32"/>
        </w:rPr>
        <w:t>2022年预算安排4万元，与2021年预算一致。2022年公务接待费计划用于执行接待考察调研、检查指导等公务活动开支的交通费、用餐费等。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（二）公务用车购置及运行维护费与2021年预算增加1万元，变动的主要原因是市财政局因车辆老化，增加运行维护经费。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2022年公务用车购置费0万元，较2021年预算持平，原因是2022年无公务用车购置计划。单位现有公务用车1辆，其中：轿车0辆，中巴车（含商务车）0辆，越野车1辆。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2022年安排公务用车运行维护费15万元,用于1辆公务用车燃油、过路（桥）、维修、保险等方面支出，主要保障财政专项检查、调研及其他工作开展。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（三）因公出国（境）费用与2021年预算持平。</w:t>
      </w:r>
      <w:r>
        <w:rPr>
          <w:rFonts w:hint="eastAsia" w:ascii="仿宋_GB2312" w:hAnsi="仿宋_GB2312" w:eastAsia="仿宋_GB2312" w:cs="仿宋_GB2312"/>
          <w:sz w:val="32"/>
          <w:szCs w:val="32"/>
        </w:rPr>
        <w:t>2022年部门预算未编列因公出国（境）经费，未安排出国（境）任务和计划。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（一）机关运行经费。</w:t>
      </w:r>
      <w:r>
        <w:rPr>
          <w:rFonts w:hint="eastAsia" w:ascii="仿宋_GB2312" w:hAnsi="仿宋_GB2312" w:eastAsia="仿宋_GB2312" w:cs="仿宋_GB2312"/>
          <w:sz w:val="32"/>
          <w:szCs w:val="32"/>
        </w:rPr>
        <w:t>2022年，广元市财政局机关运行经费财政拨款预算为250.64万元，比2021年预算增加5.05万元，增长2.06%。主要原因是因人员增加引起的运行经费增加。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（二）政府采购情况。</w:t>
      </w:r>
      <w:r>
        <w:rPr>
          <w:rFonts w:hint="eastAsia" w:ascii="仿宋_GB2312" w:hAnsi="仿宋_GB2312" w:eastAsia="仿宋_GB2312" w:cs="仿宋_GB2312"/>
          <w:sz w:val="32"/>
          <w:szCs w:val="32"/>
        </w:rPr>
        <w:t>2022年，广元市财政局安排政府采购预算210万元，其中：市财政局财政管理设备采购经费20万元，网络安全及信息化建设70万元，财政购买服务120万元。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（三）国有资产占有使用情况。</w:t>
      </w:r>
      <w:r>
        <w:rPr>
          <w:rFonts w:hint="eastAsia" w:ascii="仿宋_GB2312" w:hAnsi="仿宋_GB2312" w:eastAsia="仿宋_GB2312" w:cs="仿宋_GB2312"/>
          <w:sz w:val="32"/>
          <w:szCs w:val="32"/>
        </w:rPr>
        <w:t>截至2021年底，广元市财政局共有车辆1辆，其中，一般公务用车1辆。单位价值50万元以上大型设备0台（套）。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（四）绩效目标设置情况。</w:t>
      </w:r>
      <w:r>
        <w:rPr>
          <w:rFonts w:hint="eastAsia" w:ascii="仿宋_GB2312" w:hAnsi="仿宋_GB2312" w:eastAsia="仿宋_GB2312" w:cs="仿宋_GB2312"/>
          <w:sz w:val="32"/>
          <w:szCs w:val="32"/>
        </w:rPr>
        <w:t>绩效目标是预算编制的前提和基础，2022年广元市财政局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（一）一般公共预算拨款收入：指市级财政当年拨付的资金。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（二）上年结转：指以前年度尚未完成，结转到本年仍按原规定用途继续使用的资金。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（三）一般公共服务支出（类）财政事务（款）行政运行（项）：反映行政单位的基本支出。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（四）一般公共服务支出（类）财政事务（款）一般行政管理事务（项）：反映行政单位未单独设置项级科目的其他项目支出。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（五）一般公共服务支出（类）财政事务（款）事业运行（项）：反映事业单位的基本支出。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（六）一般公共服务支出（类）财政事务（款）其他财政事务支出（项）：反映除上述项目以外其他财政事务方面的支出。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（八）卫生健康支出（类）行政事业单位医疗（款）行政单位医疗（项）：反映财政部门安排的行政单位基本医疗保险缴费经费。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（九）卫生健康支出（类）行政事业单位医疗（款）事业单位医疗（项）：反映财政部门安排的事业单位基本医疗保险缴费经费。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部门预算绩效目标表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59"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26501"/>
    <w:rsid w:val="12A26501"/>
    <w:rsid w:val="22323513"/>
    <w:rsid w:val="24E32F5B"/>
    <w:rsid w:val="27370071"/>
    <w:rsid w:val="2C7A55F9"/>
    <w:rsid w:val="41B90541"/>
    <w:rsid w:val="43621343"/>
    <w:rsid w:val="45466F6C"/>
    <w:rsid w:val="491C1842"/>
    <w:rsid w:val="4E942E21"/>
    <w:rsid w:val="540C7481"/>
    <w:rsid w:val="582320EF"/>
    <w:rsid w:val="625D6BD3"/>
    <w:rsid w:val="6DB93944"/>
    <w:rsid w:val="78007998"/>
    <w:rsid w:val="9A9D308A"/>
    <w:rsid w:val="B1BAC065"/>
    <w:rsid w:val="CFE7068E"/>
    <w:rsid w:val="EF5A0A19"/>
    <w:rsid w:val="EFEBA6EF"/>
    <w:rsid w:val="FFC6A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2022-03-01T11:40:00Z</dcterms:created>
  <dc:creator>lenovo</dc:creator>
  <cp:lastModifiedBy> </cp:lastModifiedBy>
  <dcterms:modified xsi:type="dcterms:W3CDTF">2023-06-27T16:09:17Z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C34F13DA1C0D41178F2458AA42C63C0A</vt:lpwstr>
  </property>
</Properties>
</file>