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atLeast"/>
        <w:jc w:val="center"/>
        <w:outlineLvl w:val="2"/>
        <w:rPr>
          <w:rFonts w:ascii="方正小标宋_GBK" w:eastAsia="方正小标宋_GBK"/>
          <w:color w:val="000000"/>
          <w:sz w:val="45"/>
          <w:szCs w:val="45"/>
          <w:shd w:val="clear" w:color="auto" w:fill="FEFEFE"/>
        </w:rPr>
      </w:pPr>
      <w:bookmarkStart w:id="0" w:name="_Toc139423628"/>
      <w:r>
        <w:rPr>
          <w:rFonts w:hint="eastAsia" w:ascii="方正小标宋_GBK" w:eastAsia="方正小标宋_GBK"/>
          <w:color w:val="000000"/>
          <w:sz w:val="45"/>
          <w:szCs w:val="45"/>
          <w:shd w:val="clear" w:color="auto" w:fill="FEFEFE"/>
        </w:rPr>
        <w:t>广元市国土空间规划编制研究中心</w:t>
      </w:r>
      <w:bookmarkEnd w:id="0"/>
    </w:p>
    <w:p>
      <w:pPr>
        <w:widowControl/>
        <w:shd w:val="clear" w:color="auto" w:fill="FFFFFF"/>
        <w:spacing w:line="600" w:lineRule="atLeast"/>
        <w:jc w:val="center"/>
        <w:outlineLvl w:val="2"/>
        <w:rPr>
          <w:rFonts w:ascii="方正小标宋_GBK" w:eastAsia="方正小标宋_GBK"/>
          <w:color w:val="000000"/>
          <w:sz w:val="45"/>
          <w:szCs w:val="45"/>
          <w:shd w:val="clear" w:color="auto" w:fill="FEFEFE"/>
        </w:rPr>
      </w:pPr>
      <w:bookmarkStart w:id="1" w:name="_Toc139423629"/>
      <w:r>
        <w:rPr>
          <w:rFonts w:hint="eastAsia" w:ascii="方正小标宋_GBK" w:eastAsia="方正小标宋_GBK"/>
          <w:color w:val="000000"/>
          <w:sz w:val="45"/>
          <w:szCs w:val="45"/>
          <w:shd w:val="clear" w:color="auto" w:fill="FEFEFE"/>
        </w:rPr>
        <w:t>2022年部门预算（部门）公开编制说明</w:t>
      </w:r>
      <w:bookmarkEnd w:id="1"/>
    </w:p>
    <w:p>
      <w:pPr>
        <w:widowControl/>
        <w:shd w:val="clear" w:color="auto" w:fill="FFFFFF"/>
        <w:spacing w:line="600" w:lineRule="atLeast"/>
        <w:jc w:val="center"/>
        <w:outlineLvl w:val="2"/>
        <w:rPr>
          <w:rFonts w:ascii="方正小标宋_GBK" w:eastAsia="方正小标宋_GBK"/>
          <w:color w:val="000000"/>
          <w:sz w:val="45"/>
          <w:szCs w:val="45"/>
          <w:shd w:val="clear" w:color="auto" w:fill="FEFEFE"/>
        </w:rPr>
      </w:pPr>
    </w:p>
    <w:p>
      <w:pPr>
        <w:widowControl/>
        <w:shd w:val="clear" w:color="auto" w:fill="FFFFFF"/>
        <w:spacing w:line="600" w:lineRule="atLeast"/>
        <w:jc w:val="center"/>
        <w:outlineLvl w:val="2"/>
        <w:rPr>
          <w:rFonts w:ascii="方正小标宋_GBK" w:hAnsi="宋体" w:eastAsia="方正小标宋_GBK" w:cs="宋体"/>
          <w:b/>
          <w:color w:val="323232"/>
          <w:kern w:val="0"/>
          <w:sz w:val="45"/>
          <w:szCs w:val="45"/>
        </w:rPr>
      </w:pPr>
      <w:bookmarkStart w:id="2" w:name="_Toc139423630"/>
      <w:bookmarkStart w:id="3" w:name="_Toc139413555"/>
      <w:r>
        <w:rPr>
          <w:rFonts w:hint="eastAsia" w:ascii="方正小标宋_GBK" w:hAnsi="宋体" w:eastAsia="方正小标宋_GBK" w:cs="宋体"/>
          <w:b/>
          <w:color w:val="323232"/>
          <w:kern w:val="0"/>
          <w:sz w:val="45"/>
          <w:szCs w:val="45"/>
        </w:rPr>
        <w:t>目  录</w:t>
      </w:r>
      <w:bookmarkEnd w:id="2"/>
      <w:bookmarkEnd w:id="3"/>
    </w:p>
    <w:p>
      <w:pPr>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（公开时间：2022年3月3日）</w:t>
      </w:r>
    </w:p>
    <w:p>
      <w:pPr>
        <w:jc w:val="center"/>
        <w:rPr>
          <w:rFonts w:cs="宋体" w:asciiTheme="minorEastAsia" w:hAnsiTheme="minorEastAsia"/>
          <w:color w:val="000000"/>
          <w:kern w:val="0"/>
          <w:sz w:val="28"/>
          <w:szCs w:val="28"/>
        </w:rPr>
      </w:pPr>
      <w:r>
        <w:rPr>
          <w:rFonts w:hint="eastAsia" w:asciiTheme="minorEastAsia" w:hAnsiTheme="minorEastAsia"/>
          <w:b/>
          <w:color w:val="000000"/>
          <w:sz w:val="28"/>
          <w:szCs w:val="28"/>
          <w:shd w:val="clear" w:color="auto" w:fill="FEFEFE"/>
        </w:rPr>
        <w:fldChar w:fldCharType="begin"/>
      </w:r>
      <w:r>
        <w:rPr>
          <w:rFonts w:hint="eastAsia" w:asciiTheme="minorEastAsia" w:hAnsiTheme="minorEastAsia"/>
          <w:b/>
          <w:color w:val="000000"/>
          <w:sz w:val="28"/>
          <w:szCs w:val="28"/>
          <w:shd w:val="clear" w:color="auto" w:fill="FEFEFE"/>
        </w:rPr>
        <w:instrText xml:space="preserve"> TOC \o "1-3" \h \z \u </w:instrText>
      </w:r>
      <w:r>
        <w:rPr>
          <w:rFonts w:hint="eastAsia" w:asciiTheme="minorEastAsia" w:hAnsiTheme="minorEastAsia"/>
          <w:b/>
          <w:color w:val="000000"/>
          <w:sz w:val="28"/>
          <w:szCs w:val="28"/>
          <w:shd w:val="clear" w:color="auto" w:fill="FEFEFE"/>
        </w:rPr>
        <w:fldChar w:fldCharType="separate"/>
      </w:r>
    </w:p>
    <w:p>
      <w:pPr>
        <w:pStyle w:val="6"/>
        <w:tabs>
          <w:tab w:val="right" w:leader="dot" w:pos="8296"/>
        </w:tabs>
        <w:rPr>
          <w:rFonts w:asciiTheme="minorEastAsia" w:hAnsiTheme="minorEastAsia"/>
          <w:sz w:val="28"/>
          <w:szCs w:val="28"/>
        </w:rPr>
      </w:pPr>
      <w:r>
        <w:fldChar w:fldCharType="begin"/>
      </w:r>
      <w:r>
        <w:instrText xml:space="preserve"> HYPERLINK \l "_Toc139423631" </w:instrText>
      </w:r>
      <w:r>
        <w:fldChar w:fldCharType="separate"/>
      </w:r>
      <w:r>
        <w:rPr>
          <w:rStyle w:val="12"/>
          <w:rFonts w:hint="eastAsia" w:asciiTheme="minorEastAsia" w:hAnsiTheme="minorEastAsia"/>
          <w:b/>
          <w:sz w:val="28"/>
          <w:szCs w:val="28"/>
        </w:rPr>
        <w:t>一、基本职能及主要工作</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_Toc139423631 \h </w:instrText>
      </w:r>
      <w:r>
        <w:rPr>
          <w:rFonts w:hint="eastAsia" w:asciiTheme="minorEastAsia" w:hAnsiTheme="minorEastAsia"/>
          <w:sz w:val="28"/>
          <w:szCs w:val="28"/>
        </w:rPr>
        <w:fldChar w:fldCharType="separate"/>
      </w:r>
      <w:r>
        <w:rPr>
          <w:rFonts w:asciiTheme="minorEastAsia" w:hAnsiTheme="minorEastAsia"/>
          <w:sz w:val="28"/>
          <w:szCs w:val="28"/>
        </w:rPr>
        <w:t>3</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7"/>
        <w:tabs>
          <w:tab w:val="right" w:leader="dot" w:pos="8296"/>
        </w:tabs>
        <w:rPr>
          <w:rFonts w:asciiTheme="minorEastAsia" w:hAnsiTheme="minorEastAsia"/>
          <w:sz w:val="28"/>
          <w:szCs w:val="28"/>
        </w:rPr>
      </w:pPr>
      <w:r>
        <w:fldChar w:fldCharType="begin"/>
      </w:r>
      <w:r>
        <w:instrText xml:space="preserve"> HYPERLINK \l "_Toc139423632" </w:instrText>
      </w:r>
      <w:r>
        <w:fldChar w:fldCharType="separate"/>
      </w:r>
      <w:r>
        <w:rPr>
          <w:rStyle w:val="12"/>
          <w:rFonts w:hint="eastAsia" w:asciiTheme="minorEastAsia" w:hAnsiTheme="minorEastAsia"/>
          <w:b/>
          <w:sz w:val="28"/>
          <w:szCs w:val="28"/>
        </w:rPr>
        <w:t>（一）单位职能简介</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_Toc139423632 \h </w:instrText>
      </w:r>
      <w:r>
        <w:rPr>
          <w:rFonts w:hint="eastAsia" w:asciiTheme="minorEastAsia" w:hAnsiTheme="minorEastAsia"/>
          <w:sz w:val="28"/>
          <w:szCs w:val="28"/>
        </w:rPr>
        <w:fldChar w:fldCharType="separate"/>
      </w:r>
      <w:r>
        <w:rPr>
          <w:rFonts w:asciiTheme="minorEastAsia" w:hAnsiTheme="minorEastAsia"/>
          <w:sz w:val="28"/>
          <w:szCs w:val="28"/>
        </w:rPr>
        <w:t>3</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7"/>
        <w:tabs>
          <w:tab w:val="right" w:leader="dot" w:pos="8296"/>
        </w:tabs>
        <w:rPr>
          <w:rFonts w:asciiTheme="minorEastAsia" w:hAnsiTheme="minorEastAsia"/>
          <w:sz w:val="28"/>
          <w:szCs w:val="28"/>
        </w:rPr>
      </w:pPr>
      <w:r>
        <w:fldChar w:fldCharType="begin"/>
      </w:r>
      <w:r>
        <w:instrText xml:space="preserve"> HYPERLINK \l "_Toc139423633" </w:instrText>
      </w:r>
      <w:r>
        <w:fldChar w:fldCharType="separate"/>
      </w:r>
      <w:r>
        <w:rPr>
          <w:rStyle w:val="12"/>
          <w:rFonts w:hint="eastAsia" w:asciiTheme="minorEastAsia" w:hAnsiTheme="minorEastAsia"/>
          <w:b/>
          <w:sz w:val="28"/>
          <w:szCs w:val="28"/>
        </w:rPr>
        <w:t>（二）市国土规划编研中心2022年重点工作</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_Toc139423633 \h </w:instrText>
      </w:r>
      <w:r>
        <w:rPr>
          <w:rFonts w:hint="eastAsia" w:asciiTheme="minorEastAsia" w:hAnsiTheme="minorEastAsia"/>
          <w:sz w:val="28"/>
          <w:szCs w:val="28"/>
        </w:rPr>
        <w:fldChar w:fldCharType="separate"/>
      </w:r>
      <w:r>
        <w:rPr>
          <w:rFonts w:asciiTheme="minorEastAsia" w:hAnsiTheme="minorEastAsia"/>
          <w:sz w:val="28"/>
          <w:szCs w:val="28"/>
        </w:rPr>
        <w:t>3</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6"/>
        <w:tabs>
          <w:tab w:val="right" w:leader="dot" w:pos="8296"/>
        </w:tabs>
        <w:rPr>
          <w:rFonts w:asciiTheme="minorEastAsia" w:hAnsiTheme="minorEastAsia"/>
          <w:sz w:val="28"/>
          <w:szCs w:val="28"/>
        </w:rPr>
      </w:pPr>
      <w:r>
        <w:fldChar w:fldCharType="begin"/>
      </w:r>
      <w:r>
        <w:instrText xml:space="preserve"> HYPERLINK \l "_Toc139423634" </w:instrText>
      </w:r>
      <w:r>
        <w:fldChar w:fldCharType="separate"/>
      </w:r>
      <w:r>
        <w:rPr>
          <w:rStyle w:val="12"/>
          <w:rFonts w:hint="eastAsia" w:asciiTheme="minorEastAsia" w:hAnsiTheme="minorEastAsia"/>
          <w:b/>
          <w:sz w:val="28"/>
          <w:szCs w:val="28"/>
        </w:rPr>
        <w:t>二、部门预算单位构成</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_Toc139423634 \h </w:instrText>
      </w:r>
      <w:r>
        <w:rPr>
          <w:rFonts w:hint="eastAsia" w:asciiTheme="minorEastAsia" w:hAnsiTheme="minorEastAsia"/>
          <w:sz w:val="28"/>
          <w:szCs w:val="28"/>
        </w:rPr>
        <w:fldChar w:fldCharType="separate"/>
      </w:r>
      <w:r>
        <w:rPr>
          <w:rFonts w:asciiTheme="minorEastAsia" w:hAnsiTheme="minorEastAsia"/>
          <w:sz w:val="28"/>
          <w:szCs w:val="28"/>
        </w:rPr>
        <w:t>5</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6"/>
        <w:tabs>
          <w:tab w:val="right" w:leader="dot" w:pos="8296"/>
        </w:tabs>
        <w:rPr>
          <w:rFonts w:asciiTheme="minorEastAsia" w:hAnsiTheme="minorEastAsia"/>
          <w:sz w:val="28"/>
          <w:szCs w:val="28"/>
        </w:rPr>
      </w:pPr>
      <w:r>
        <w:fldChar w:fldCharType="begin"/>
      </w:r>
      <w:r>
        <w:instrText xml:space="preserve"> HYPERLINK \l "_Toc139423635" </w:instrText>
      </w:r>
      <w:r>
        <w:fldChar w:fldCharType="separate"/>
      </w:r>
      <w:r>
        <w:rPr>
          <w:rStyle w:val="12"/>
          <w:rFonts w:hint="eastAsia" w:asciiTheme="minorEastAsia" w:hAnsiTheme="minorEastAsia"/>
          <w:b/>
          <w:sz w:val="28"/>
          <w:szCs w:val="28"/>
        </w:rPr>
        <w:t>三、收支预算情况说明</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_Toc139423635 \h </w:instrText>
      </w:r>
      <w:r>
        <w:rPr>
          <w:rFonts w:hint="eastAsia" w:asciiTheme="minorEastAsia" w:hAnsiTheme="minorEastAsia"/>
          <w:sz w:val="28"/>
          <w:szCs w:val="28"/>
        </w:rPr>
        <w:fldChar w:fldCharType="separate"/>
      </w:r>
      <w:r>
        <w:rPr>
          <w:rFonts w:asciiTheme="minorEastAsia" w:hAnsiTheme="minorEastAsia"/>
          <w:sz w:val="28"/>
          <w:szCs w:val="28"/>
        </w:rPr>
        <w:t>5</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7"/>
        <w:tabs>
          <w:tab w:val="right" w:leader="dot" w:pos="8296"/>
        </w:tabs>
        <w:rPr>
          <w:rFonts w:asciiTheme="minorEastAsia" w:hAnsiTheme="minorEastAsia"/>
          <w:sz w:val="28"/>
          <w:szCs w:val="28"/>
        </w:rPr>
      </w:pPr>
      <w:r>
        <w:fldChar w:fldCharType="begin"/>
      </w:r>
      <w:r>
        <w:instrText xml:space="preserve"> HYPERLINK \l "_Toc139423636" </w:instrText>
      </w:r>
      <w:r>
        <w:fldChar w:fldCharType="separate"/>
      </w:r>
      <w:r>
        <w:rPr>
          <w:rStyle w:val="12"/>
          <w:rFonts w:hint="eastAsia" w:asciiTheme="minorEastAsia" w:hAnsiTheme="minorEastAsia"/>
          <w:b/>
          <w:sz w:val="28"/>
          <w:szCs w:val="28"/>
        </w:rPr>
        <w:t>（一）收入预算情况</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_Toc139423636 \h </w:instrText>
      </w:r>
      <w:r>
        <w:rPr>
          <w:rFonts w:hint="eastAsia" w:asciiTheme="minorEastAsia" w:hAnsiTheme="minorEastAsia"/>
          <w:sz w:val="28"/>
          <w:szCs w:val="28"/>
        </w:rPr>
        <w:fldChar w:fldCharType="separate"/>
      </w:r>
      <w:r>
        <w:rPr>
          <w:rFonts w:asciiTheme="minorEastAsia" w:hAnsiTheme="minorEastAsia"/>
          <w:sz w:val="28"/>
          <w:szCs w:val="28"/>
        </w:rPr>
        <w:t>5</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7"/>
        <w:tabs>
          <w:tab w:val="right" w:leader="dot" w:pos="8296"/>
        </w:tabs>
        <w:rPr>
          <w:rFonts w:asciiTheme="minorEastAsia" w:hAnsiTheme="minorEastAsia"/>
          <w:sz w:val="28"/>
          <w:szCs w:val="28"/>
        </w:rPr>
      </w:pPr>
      <w:r>
        <w:fldChar w:fldCharType="begin"/>
      </w:r>
      <w:r>
        <w:instrText xml:space="preserve"> HYPERLINK \l "_Toc139423637" </w:instrText>
      </w:r>
      <w:r>
        <w:fldChar w:fldCharType="separate"/>
      </w:r>
      <w:r>
        <w:rPr>
          <w:rStyle w:val="12"/>
          <w:rFonts w:hint="eastAsia" w:asciiTheme="minorEastAsia" w:hAnsiTheme="minorEastAsia"/>
          <w:b/>
          <w:sz w:val="28"/>
          <w:szCs w:val="28"/>
        </w:rPr>
        <w:t>（二）支出预算情况</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_Toc139423637 \h </w:instrText>
      </w:r>
      <w:r>
        <w:rPr>
          <w:rFonts w:hint="eastAsia" w:asciiTheme="minorEastAsia" w:hAnsiTheme="minorEastAsia"/>
          <w:sz w:val="28"/>
          <w:szCs w:val="28"/>
        </w:rPr>
        <w:fldChar w:fldCharType="separate"/>
      </w:r>
      <w:r>
        <w:rPr>
          <w:rFonts w:asciiTheme="minorEastAsia" w:hAnsiTheme="minorEastAsia"/>
          <w:sz w:val="28"/>
          <w:szCs w:val="28"/>
        </w:rPr>
        <w:t>5</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6"/>
        <w:tabs>
          <w:tab w:val="right" w:leader="dot" w:pos="8296"/>
        </w:tabs>
        <w:rPr>
          <w:rFonts w:asciiTheme="minorEastAsia" w:hAnsiTheme="minorEastAsia"/>
          <w:sz w:val="28"/>
          <w:szCs w:val="28"/>
        </w:rPr>
      </w:pPr>
      <w:r>
        <w:fldChar w:fldCharType="begin"/>
      </w:r>
      <w:r>
        <w:instrText xml:space="preserve"> HYPERLINK \l "_Toc139423638" </w:instrText>
      </w:r>
      <w:r>
        <w:fldChar w:fldCharType="separate"/>
      </w:r>
      <w:r>
        <w:rPr>
          <w:rStyle w:val="12"/>
          <w:rFonts w:hint="eastAsia" w:asciiTheme="minorEastAsia" w:hAnsiTheme="minorEastAsia"/>
          <w:b/>
          <w:sz w:val="28"/>
          <w:szCs w:val="28"/>
        </w:rPr>
        <w:t>四、财政拨款收支预算情况说明</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_Toc139423638 \h </w:instrText>
      </w:r>
      <w:r>
        <w:rPr>
          <w:rFonts w:hint="eastAsia" w:asciiTheme="minorEastAsia" w:hAnsiTheme="minorEastAsia"/>
          <w:sz w:val="28"/>
          <w:szCs w:val="28"/>
        </w:rPr>
        <w:fldChar w:fldCharType="separate"/>
      </w:r>
      <w:r>
        <w:rPr>
          <w:rFonts w:asciiTheme="minorEastAsia" w:hAnsiTheme="minorEastAsia"/>
          <w:sz w:val="28"/>
          <w:szCs w:val="28"/>
        </w:rPr>
        <w:t>6</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6"/>
        <w:tabs>
          <w:tab w:val="right" w:leader="dot" w:pos="8296"/>
        </w:tabs>
        <w:rPr>
          <w:rFonts w:asciiTheme="minorEastAsia" w:hAnsiTheme="minorEastAsia"/>
          <w:sz w:val="28"/>
          <w:szCs w:val="28"/>
        </w:rPr>
      </w:pPr>
      <w:r>
        <w:fldChar w:fldCharType="begin"/>
      </w:r>
      <w:r>
        <w:instrText xml:space="preserve"> HYPERLINK \l "_Toc139423639" </w:instrText>
      </w:r>
      <w:r>
        <w:fldChar w:fldCharType="separate"/>
      </w:r>
      <w:r>
        <w:rPr>
          <w:rStyle w:val="12"/>
          <w:rFonts w:hint="eastAsia" w:asciiTheme="minorEastAsia" w:hAnsiTheme="minorEastAsia"/>
          <w:b/>
          <w:sz w:val="28"/>
          <w:szCs w:val="28"/>
        </w:rPr>
        <w:t>五、一般公共预算当年拨款情况说明</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_Toc139423639 \h </w:instrText>
      </w:r>
      <w:r>
        <w:rPr>
          <w:rFonts w:hint="eastAsia" w:asciiTheme="minorEastAsia" w:hAnsiTheme="minorEastAsia"/>
          <w:sz w:val="28"/>
          <w:szCs w:val="28"/>
        </w:rPr>
        <w:fldChar w:fldCharType="separate"/>
      </w:r>
      <w:r>
        <w:rPr>
          <w:rFonts w:asciiTheme="minorEastAsia" w:hAnsiTheme="minorEastAsia"/>
          <w:sz w:val="28"/>
          <w:szCs w:val="28"/>
        </w:rPr>
        <w:t>6</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7"/>
        <w:tabs>
          <w:tab w:val="right" w:leader="dot" w:pos="8296"/>
        </w:tabs>
        <w:rPr>
          <w:rFonts w:asciiTheme="minorEastAsia" w:hAnsiTheme="minorEastAsia"/>
          <w:sz w:val="28"/>
          <w:szCs w:val="28"/>
        </w:rPr>
      </w:pPr>
      <w:r>
        <w:fldChar w:fldCharType="begin"/>
      </w:r>
      <w:r>
        <w:instrText xml:space="preserve"> HYPERLINK \l "_Toc139423640" </w:instrText>
      </w:r>
      <w:r>
        <w:fldChar w:fldCharType="separate"/>
      </w:r>
      <w:r>
        <w:rPr>
          <w:rStyle w:val="12"/>
          <w:rFonts w:hint="eastAsia" w:asciiTheme="minorEastAsia" w:hAnsiTheme="minorEastAsia"/>
          <w:b/>
          <w:sz w:val="28"/>
          <w:szCs w:val="28"/>
        </w:rPr>
        <w:t>（一）一般公共预算当年拨款规模变化情况</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_Toc139423640 \h </w:instrText>
      </w:r>
      <w:r>
        <w:rPr>
          <w:rFonts w:hint="eastAsia" w:asciiTheme="minorEastAsia" w:hAnsiTheme="minorEastAsia"/>
          <w:sz w:val="28"/>
          <w:szCs w:val="28"/>
        </w:rPr>
        <w:fldChar w:fldCharType="separate"/>
      </w:r>
      <w:r>
        <w:rPr>
          <w:rFonts w:asciiTheme="minorEastAsia" w:hAnsiTheme="minorEastAsia"/>
          <w:sz w:val="28"/>
          <w:szCs w:val="28"/>
        </w:rPr>
        <w:t>6</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7"/>
        <w:tabs>
          <w:tab w:val="right" w:leader="dot" w:pos="8296"/>
        </w:tabs>
        <w:rPr>
          <w:rFonts w:asciiTheme="minorEastAsia" w:hAnsiTheme="minorEastAsia"/>
          <w:sz w:val="28"/>
          <w:szCs w:val="28"/>
        </w:rPr>
      </w:pPr>
      <w:r>
        <w:fldChar w:fldCharType="begin"/>
      </w:r>
      <w:r>
        <w:instrText xml:space="preserve"> HYPERLINK \l "_Toc139423641" </w:instrText>
      </w:r>
      <w:r>
        <w:fldChar w:fldCharType="separate"/>
      </w:r>
      <w:r>
        <w:rPr>
          <w:rStyle w:val="12"/>
          <w:rFonts w:hint="eastAsia" w:asciiTheme="minorEastAsia" w:hAnsiTheme="minorEastAsia"/>
          <w:b/>
          <w:sz w:val="28"/>
          <w:szCs w:val="28"/>
        </w:rPr>
        <w:t>（二）一般公共预算当年拨款结构情况</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_Toc139423641 \h </w:instrText>
      </w:r>
      <w:r>
        <w:rPr>
          <w:rFonts w:hint="eastAsia" w:asciiTheme="minorEastAsia" w:hAnsiTheme="minorEastAsia"/>
          <w:sz w:val="28"/>
          <w:szCs w:val="28"/>
        </w:rPr>
        <w:fldChar w:fldCharType="separate"/>
      </w:r>
      <w:r>
        <w:rPr>
          <w:rFonts w:asciiTheme="minorEastAsia" w:hAnsiTheme="minorEastAsia"/>
          <w:sz w:val="28"/>
          <w:szCs w:val="28"/>
        </w:rPr>
        <w:t>6</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7"/>
        <w:tabs>
          <w:tab w:val="right" w:leader="dot" w:pos="8296"/>
        </w:tabs>
        <w:rPr>
          <w:rFonts w:asciiTheme="minorEastAsia" w:hAnsiTheme="minorEastAsia"/>
          <w:sz w:val="28"/>
          <w:szCs w:val="28"/>
        </w:rPr>
      </w:pPr>
      <w:r>
        <w:fldChar w:fldCharType="begin"/>
      </w:r>
      <w:r>
        <w:instrText xml:space="preserve"> HYPERLINK \l "_Toc139423642" </w:instrText>
      </w:r>
      <w:r>
        <w:fldChar w:fldCharType="separate"/>
      </w:r>
      <w:r>
        <w:rPr>
          <w:rStyle w:val="12"/>
          <w:rFonts w:hint="eastAsia" w:asciiTheme="minorEastAsia" w:hAnsiTheme="minorEastAsia"/>
          <w:b/>
          <w:sz w:val="28"/>
          <w:szCs w:val="28"/>
        </w:rPr>
        <w:t>（三）一般公共预算当年拨款具体使用情况</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_Toc139423642 \h </w:instrText>
      </w:r>
      <w:r>
        <w:rPr>
          <w:rFonts w:hint="eastAsia" w:asciiTheme="minorEastAsia" w:hAnsiTheme="minorEastAsia"/>
          <w:sz w:val="28"/>
          <w:szCs w:val="28"/>
        </w:rPr>
        <w:fldChar w:fldCharType="separate"/>
      </w:r>
      <w:r>
        <w:rPr>
          <w:rFonts w:asciiTheme="minorEastAsia" w:hAnsiTheme="minorEastAsia"/>
          <w:sz w:val="28"/>
          <w:szCs w:val="28"/>
        </w:rPr>
        <w:t>6</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6"/>
        <w:tabs>
          <w:tab w:val="right" w:leader="dot" w:pos="8296"/>
        </w:tabs>
        <w:rPr>
          <w:rFonts w:asciiTheme="minorEastAsia" w:hAnsiTheme="minorEastAsia"/>
          <w:sz w:val="28"/>
          <w:szCs w:val="28"/>
        </w:rPr>
      </w:pPr>
      <w:r>
        <w:fldChar w:fldCharType="begin"/>
      </w:r>
      <w:r>
        <w:instrText xml:space="preserve"> HYPERLINK \l "_Toc139423643" </w:instrText>
      </w:r>
      <w:r>
        <w:fldChar w:fldCharType="separate"/>
      </w:r>
      <w:r>
        <w:rPr>
          <w:rStyle w:val="12"/>
          <w:rFonts w:hint="eastAsia" w:asciiTheme="minorEastAsia" w:hAnsiTheme="minorEastAsia"/>
          <w:b/>
          <w:sz w:val="28"/>
          <w:szCs w:val="28"/>
        </w:rPr>
        <w:t>六、一般公共预算基本支出情况说明</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_Toc139423643 \h </w:instrText>
      </w:r>
      <w:r>
        <w:rPr>
          <w:rFonts w:hint="eastAsia" w:asciiTheme="minorEastAsia" w:hAnsiTheme="minorEastAsia"/>
          <w:sz w:val="28"/>
          <w:szCs w:val="28"/>
        </w:rPr>
        <w:fldChar w:fldCharType="separate"/>
      </w:r>
      <w:r>
        <w:rPr>
          <w:rFonts w:asciiTheme="minorEastAsia" w:hAnsiTheme="minorEastAsia"/>
          <w:sz w:val="28"/>
          <w:szCs w:val="28"/>
        </w:rPr>
        <w:t>7</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6"/>
        <w:tabs>
          <w:tab w:val="right" w:leader="dot" w:pos="8296"/>
        </w:tabs>
        <w:rPr>
          <w:rFonts w:asciiTheme="minorEastAsia" w:hAnsiTheme="minorEastAsia"/>
          <w:sz w:val="28"/>
          <w:szCs w:val="28"/>
        </w:rPr>
      </w:pPr>
      <w:r>
        <w:fldChar w:fldCharType="begin"/>
      </w:r>
      <w:r>
        <w:instrText xml:space="preserve"> HYPERLINK \l "_Toc139423644" </w:instrText>
      </w:r>
      <w:r>
        <w:fldChar w:fldCharType="separate"/>
      </w:r>
      <w:r>
        <w:rPr>
          <w:rStyle w:val="12"/>
          <w:rFonts w:hint="eastAsia" w:asciiTheme="minorEastAsia" w:hAnsiTheme="minorEastAsia"/>
          <w:b/>
          <w:sz w:val="28"/>
          <w:szCs w:val="28"/>
        </w:rPr>
        <w:t>七、“三公”经费财政拨款预算安排情况说明</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_Toc139423644 \h </w:instrText>
      </w:r>
      <w:r>
        <w:rPr>
          <w:rFonts w:hint="eastAsia" w:asciiTheme="minorEastAsia" w:hAnsiTheme="minorEastAsia"/>
          <w:sz w:val="28"/>
          <w:szCs w:val="28"/>
        </w:rPr>
        <w:fldChar w:fldCharType="separate"/>
      </w:r>
      <w:r>
        <w:rPr>
          <w:rFonts w:asciiTheme="minorEastAsia" w:hAnsiTheme="minorEastAsia"/>
          <w:sz w:val="28"/>
          <w:szCs w:val="28"/>
        </w:rPr>
        <w:t>7</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7"/>
        <w:tabs>
          <w:tab w:val="right" w:leader="dot" w:pos="8296"/>
        </w:tabs>
        <w:rPr>
          <w:rFonts w:asciiTheme="minorEastAsia" w:hAnsiTheme="minorEastAsia"/>
          <w:sz w:val="28"/>
          <w:szCs w:val="28"/>
        </w:rPr>
      </w:pPr>
      <w:r>
        <w:fldChar w:fldCharType="begin"/>
      </w:r>
      <w:r>
        <w:instrText xml:space="preserve"> HYPERLINK \l "_Toc139423645" </w:instrText>
      </w:r>
      <w:r>
        <w:fldChar w:fldCharType="separate"/>
      </w:r>
      <w:r>
        <w:rPr>
          <w:rStyle w:val="12"/>
          <w:rFonts w:hint="eastAsia" w:asciiTheme="minorEastAsia" w:hAnsiTheme="minorEastAsia"/>
          <w:b/>
          <w:sz w:val="28"/>
          <w:szCs w:val="28"/>
        </w:rPr>
        <w:t>（一）公务接待费与2021年预算相比</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_Toc139423645 \h </w:instrText>
      </w:r>
      <w:r>
        <w:rPr>
          <w:rFonts w:hint="eastAsia" w:asciiTheme="minorEastAsia" w:hAnsiTheme="minorEastAsia"/>
          <w:sz w:val="28"/>
          <w:szCs w:val="28"/>
        </w:rPr>
        <w:fldChar w:fldCharType="separate"/>
      </w:r>
      <w:r>
        <w:rPr>
          <w:rFonts w:asciiTheme="minorEastAsia" w:hAnsiTheme="minorEastAsia"/>
          <w:sz w:val="28"/>
          <w:szCs w:val="28"/>
        </w:rPr>
        <w:t>8</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7"/>
        <w:tabs>
          <w:tab w:val="right" w:leader="dot" w:pos="8296"/>
        </w:tabs>
        <w:rPr>
          <w:rFonts w:asciiTheme="minorEastAsia" w:hAnsiTheme="minorEastAsia"/>
          <w:sz w:val="28"/>
          <w:szCs w:val="28"/>
        </w:rPr>
      </w:pPr>
      <w:r>
        <w:fldChar w:fldCharType="begin"/>
      </w:r>
      <w:r>
        <w:instrText xml:space="preserve"> HYPERLINK \l "_Toc139423646" </w:instrText>
      </w:r>
      <w:r>
        <w:fldChar w:fldCharType="separate"/>
      </w:r>
      <w:r>
        <w:rPr>
          <w:rStyle w:val="12"/>
          <w:rFonts w:hint="eastAsia" w:asciiTheme="minorEastAsia" w:hAnsiTheme="minorEastAsia"/>
          <w:b/>
          <w:sz w:val="28"/>
          <w:szCs w:val="28"/>
        </w:rPr>
        <w:t>（二）公务用车购置及运行维护费与2021年预算相比</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_Toc139423646 \h </w:instrText>
      </w:r>
      <w:r>
        <w:rPr>
          <w:rFonts w:hint="eastAsia" w:asciiTheme="minorEastAsia" w:hAnsiTheme="minorEastAsia"/>
          <w:sz w:val="28"/>
          <w:szCs w:val="28"/>
        </w:rPr>
        <w:fldChar w:fldCharType="separate"/>
      </w:r>
      <w:r>
        <w:rPr>
          <w:rFonts w:asciiTheme="minorEastAsia" w:hAnsiTheme="minorEastAsia"/>
          <w:sz w:val="28"/>
          <w:szCs w:val="28"/>
        </w:rPr>
        <w:t>8</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7"/>
        <w:tabs>
          <w:tab w:val="right" w:leader="dot" w:pos="8296"/>
        </w:tabs>
        <w:rPr>
          <w:rFonts w:asciiTheme="minorEastAsia" w:hAnsiTheme="minorEastAsia"/>
          <w:sz w:val="28"/>
          <w:szCs w:val="28"/>
        </w:rPr>
      </w:pPr>
      <w:r>
        <w:fldChar w:fldCharType="begin"/>
      </w:r>
      <w:r>
        <w:instrText xml:space="preserve"> HYPERLINK \l "_Toc139423647" </w:instrText>
      </w:r>
      <w:r>
        <w:fldChar w:fldCharType="separate"/>
      </w:r>
      <w:r>
        <w:rPr>
          <w:rStyle w:val="12"/>
          <w:rFonts w:hint="eastAsia" w:asciiTheme="minorEastAsia" w:hAnsiTheme="minorEastAsia"/>
          <w:b/>
          <w:bCs/>
          <w:sz w:val="28"/>
          <w:szCs w:val="28"/>
        </w:rPr>
        <w:t>（三）因公出国（境）经费与2021年预算相比</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_Toc139423647 \h </w:instrText>
      </w:r>
      <w:r>
        <w:rPr>
          <w:rFonts w:hint="eastAsia" w:asciiTheme="minorEastAsia" w:hAnsiTheme="minorEastAsia"/>
          <w:sz w:val="28"/>
          <w:szCs w:val="28"/>
        </w:rPr>
        <w:fldChar w:fldCharType="separate"/>
      </w:r>
      <w:r>
        <w:rPr>
          <w:rFonts w:asciiTheme="minorEastAsia" w:hAnsiTheme="minorEastAsia"/>
          <w:sz w:val="28"/>
          <w:szCs w:val="28"/>
        </w:rPr>
        <w:t>8</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6"/>
        <w:tabs>
          <w:tab w:val="right" w:leader="dot" w:pos="8296"/>
        </w:tabs>
        <w:rPr>
          <w:rFonts w:asciiTheme="minorEastAsia" w:hAnsiTheme="minorEastAsia"/>
          <w:sz w:val="28"/>
          <w:szCs w:val="28"/>
        </w:rPr>
      </w:pPr>
      <w:r>
        <w:fldChar w:fldCharType="begin"/>
      </w:r>
      <w:r>
        <w:instrText xml:space="preserve"> HYPERLINK \l "_Toc139423649" </w:instrText>
      </w:r>
      <w:r>
        <w:fldChar w:fldCharType="separate"/>
      </w:r>
      <w:r>
        <w:rPr>
          <w:rStyle w:val="12"/>
          <w:rFonts w:hint="eastAsia" w:asciiTheme="minorEastAsia" w:hAnsiTheme="minorEastAsia"/>
          <w:b/>
          <w:sz w:val="28"/>
          <w:szCs w:val="28"/>
        </w:rPr>
        <w:t>八、政府性基金预算支出情况说明</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_Toc139423649 \h </w:instrText>
      </w:r>
      <w:r>
        <w:rPr>
          <w:rFonts w:hint="eastAsia" w:asciiTheme="minorEastAsia" w:hAnsiTheme="minorEastAsia"/>
          <w:sz w:val="28"/>
          <w:szCs w:val="28"/>
        </w:rPr>
        <w:fldChar w:fldCharType="separate"/>
      </w:r>
      <w:r>
        <w:rPr>
          <w:rFonts w:asciiTheme="minorEastAsia" w:hAnsiTheme="minorEastAsia"/>
          <w:sz w:val="28"/>
          <w:szCs w:val="28"/>
        </w:rPr>
        <w:t>8</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6"/>
        <w:tabs>
          <w:tab w:val="right" w:leader="dot" w:pos="8296"/>
        </w:tabs>
        <w:rPr>
          <w:rFonts w:asciiTheme="minorEastAsia" w:hAnsiTheme="minorEastAsia"/>
          <w:sz w:val="28"/>
          <w:szCs w:val="28"/>
        </w:rPr>
      </w:pPr>
      <w:r>
        <w:fldChar w:fldCharType="begin"/>
      </w:r>
      <w:r>
        <w:instrText xml:space="preserve"> HYPERLINK \l "_Toc139423650" </w:instrText>
      </w:r>
      <w:r>
        <w:fldChar w:fldCharType="separate"/>
      </w:r>
      <w:r>
        <w:rPr>
          <w:rStyle w:val="12"/>
          <w:rFonts w:hint="eastAsia" w:asciiTheme="minorEastAsia" w:hAnsiTheme="minorEastAsia"/>
          <w:b/>
          <w:sz w:val="28"/>
          <w:szCs w:val="28"/>
        </w:rPr>
        <w:t>九、国有资本经营预算支出情况说明</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_Toc139423650 \h </w:instrText>
      </w:r>
      <w:r>
        <w:rPr>
          <w:rFonts w:hint="eastAsia" w:asciiTheme="minorEastAsia" w:hAnsiTheme="minorEastAsia"/>
          <w:sz w:val="28"/>
          <w:szCs w:val="28"/>
        </w:rPr>
        <w:fldChar w:fldCharType="separate"/>
      </w:r>
      <w:r>
        <w:rPr>
          <w:rFonts w:asciiTheme="minorEastAsia" w:hAnsiTheme="minorEastAsia"/>
          <w:sz w:val="28"/>
          <w:szCs w:val="28"/>
        </w:rPr>
        <w:t>8</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6"/>
        <w:tabs>
          <w:tab w:val="right" w:leader="dot" w:pos="8296"/>
        </w:tabs>
        <w:rPr>
          <w:rFonts w:asciiTheme="minorEastAsia" w:hAnsiTheme="minorEastAsia"/>
          <w:sz w:val="28"/>
          <w:szCs w:val="28"/>
        </w:rPr>
      </w:pPr>
      <w:r>
        <w:fldChar w:fldCharType="begin"/>
      </w:r>
      <w:r>
        <w:instrText xml:space="preserve"> HYPERLINK \l "_Toc139423651" </w:instrText>
      </w:r>
      <w:r>
        <w:fldChar w:fldCharType="separate"/>
      </w:r>
      <w:r>
        <w:rPr>
          <w:rStyle w:val="12"/>
          <w:rFonts w:hint="eastAsia" w:asciiTheme="minorEastAsia" w:hAnsiTheme="minorEastAsia"/>
          <w:b/>
          <w:sz w:val="28"/>
          <w:szCs w:val="28"/>
        </w:rPr>
        <w:t>十、其他重要事项的情况说明</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_Toc139423651 \h </w:instrText>
      </w:r>
      <w:r>
        <w:rPr>
          <w:rFonts w:hint="eastAsia" w:asciiTheme="minorEastAsia" w:hAnsiTheme="minorEastAsia"/>
          <w:sz w:val="28"/>
          <w:szCs w:val="28"/>
        </w:rPr>
        <w:fldChar w:fldCharType="separate"/>
      </w:r>
      <w:r>
        <w:rPr>
          <w:rFonts w:asciiTheme="minorEastAsia" w:hAnsiTheme="minorEastAsia"/>
          <w:sz w:val="28"/>
          <w:szCs w:val="28"/>
        </w:rPr>
        <w:t>8</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7"/>
        <w:tabs>
          <w:tab w:val="right" w:leader="dot" w:pos="8296"/>
        </w:tabs>
        <w:rPr>
          <w:rFonts w:asciiTheme="minorEastAsia" w:hAnsiTheme="minorEastAsia"/>
          <w:sz w:val="28"/>
          <w:szCs w:val="28"/>
        </w:rPr>
      </w:pPr>
      <w:r>
        <w:fldChar w:fldCharType="begin"/>
      </w:r>
      <w:r>
        <w:instrText xml:space="preserve"> HYPERLINK \l "_Toc139423652" </w:instrText>
      </w:r>
      <w:r>
        <w:fldChar w:fldCharType="separate"/>
      </w:r>
      <w:r>
        <w:rPr>
          <w:rStyle w:val="12"/>
          <w:rFonts w:hint="eastAsia" w:asciiTheme="minorEastAsia" w:hAnsiTheme="minorEastAsia"/>
          <w:b/>
          <w:sz w:val="28"/>
          <w:szCs w:val="28"/>
        </w:rPr>
        <w:t>（一）机关运行经费</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_Toc139423652 \h </w:instrText>
      </w:r>
      <w:r>
        <w:rPr>
          <w:rFonts w:hint="eastAsia" w:asciiTheme="minorEastAsia" w:hAnsiTheme="minorEastAsia"/>
          <w:sz w:val="28"/>
          <w:szCs w:val="28"/>
        </w:rPr>
        <w:fldChar w:fldCharType="separate"/>
      </w:r>
      <w:r>
        <w:rPr>
          <w:rFonts w:asciiTheme="minorEastAsia" w:hAnsiTheme="minorEastAsia"/>
          <w:sz w:val="28"/>
          <w:szCs w:val="28"/>
        </w:rPr>
        <w:t>8</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7"/>
        <w:tabs>
          <w:tab w:val="right" w:leader="dot" w:pos="8296"/>
        </w:tabs>
        <w:rPr>
          <w:rFonts w:asciiTheme="minorEastAsia" w:hAnsiTheme="minorEastAsia"/>
          <w:sz w:val="28"/>
          <w:szCs w:val="28"/>
        </w:rPr>
      </w:pPr>
      <w:r>
        <w:fldChar w:fldCharType="begin"/>
      </w:r>
      <w:r>
        <w:instrText xml:space="preserve"> HYPERLINK \l "_Toc139423653" </w:instrText>
      </w:r>
      <w:r>
        <w:fldChar w:fldCharType="separate"/>
      </w:r>
      <w:r>
        <w:rPr>
          <w:rStyle w:val="12"/>
          <w:rFonts w:hint="eastAsia" w:asciiTheme="minorEastAsia" w:hAnsiTheme="minorEastAsia"/>
          <w:b/>
          <w:sz w:val="28"/>
          <w:szCs w:val="28"/>
        </w:rPr>
        <w:t>（二）政府采购情况</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_Toc139423653 \h </w:instrText>
      </w:r>
      <w:r>
        <w:rPr>
          <w:rFonts w:hint="eastAsia" w:asciiTheme="minorEastAsia" w:hAnsiTheme="minorEastAsia"/>
          <w:sz w:val="28"/>
          <w:szCs w:val="28"/>
        </w:rPr>
        <w:fldChar w:fldCharType="separate"/>
      </w:r>
      <w:r>
        <w:rPr>
          <w:rFonts w:asciiTheme="minorEastAsia" w:hAnsiTheme="minorEastAsia"/>
          <w:sz w:val="28"/>
          <w:szCs w:val="28"/>
        </w:rPr>
        <w:t>8</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7"/>
        <w:tabs>
          <w:tab w:val="right" w:leader="dot" w:pos="8296"/>
        </w:tabs>
        <w:rPr>
          <w:rFonts w:asciiTheme="minorEastAsia" w:hAnsiTheme="minorEastAsia"/>
          <w:sz w:val="28"/>
          <w:szCs w:val="28"/>
        </w:rPr>
      </w:pPr>
      <w:r>
        <w:fldChar w:fldCharType="begin"/>
      </w:r>
      <w:r>
        <w:instrText xml:space="preserve"> HYPERLINK \l "_Toc139423654" </w:instrText>
      </w:r>
      <w:r>
        <w:fldChar w:fldCharType="separate"/>
      </w:r>
      <w:r>
        <w:rPr>
          <w:rStyle w:val="12"/>
          <w:rFonts w:hint="eastAsia" w:asciiTheme="minorEastAsia" w:hAnsiTheme="minorEastAsia"/>
          <w:b/>
          <w:sz w:val="28"/>
          <w:szCs w:val="28"/>
        </w:rPr>
        <w:t>（三）国有资产占有使用情况</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_Toc139423654 \h </w:instrText>
      </w:r>
      <w:r>
        <w:rPr>
          <w:rFonts w:hint="eastAsia" w:asciiTheme="minorEastAsia" w:hAnsiTheme="minorEastAsia"/>
          <w:sz w:val="28"/>
          <w:szCs w:val="28"/>
        </w:rPr>
        <w:fldChar w:fldCharType="separate"/>
      </w:r>
      <w:r>
        <w:rPr>
          <w:rFonts w:asciiTheme="minorEastAsia" w:hAnsiTheme="minorEastAsia"/>
          <w:sz w:val="28"/>
          <w:szCs w:val="28"/>
        </w:rPr>
        <w:t>9</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7"/>
        <w:tabs>
          <w:tab w:val="right" w:leader="dot" w:pos="8296"/>
        </w:tabs>
        <w:rPr>
          <w:rFonts w:asciiTheme="minorEastAsia" w:hAnsiTheme="minorEastAsia"/>
          <w:sz w:val="28"/>
          <w:szCs w:val="28"/>
        </w:rPr>
      </w:pPr>
      <w:r>
        <w:fldChar w:fldCharType="begin"/>
      </w:r>
      <w:r>
        <w:instrText xml:space="preserve"> HYPERLINK \l "_Toc139423655" </w:instrText>
      </w:r>
      <w:r>
        <w:fldChar w:fldCharType="separate"/>
      </w:r>
      <w:r>
        <w:rPr>
          <w:rStyle w:val="12"/>
          <w:rFonts w:hint="eastAsia" w:asciiTheme="minorEastAsia" w:hAnsiTheme="minorEastAsia"/>
          <w:b/>
          <w:sz w:val="28"/>
          <w:szCs w:val="28"/>
        </w:rPr>
        <w:t>（四）绩效目标设置情况</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_Toc139423655 \h </w:instrText>
      </w:r>
      <w:r>
        <w:rPr>
          <w:rFonts w:hint="eastAsia" w:asciiTheme="minorEastAsia" w:hAnsiTheme="minorEastAsia"/>
          <w:sz w:val="28"/>
          <w:szCs w:val="28"/>
        </w:rPr>
        <w:fldChar w:fldCharType="separate"/>
      </w:r>
      <w:r>
        <w:rPr>
          <w:rFonts w:asciiTheme="minorEastAsia" w:hAnsiTheme="minorEastAsia"/>
          <w:sz w:val="28"/>
          <w:szCs w:val="28"/>
        </w:rPr>
        <w:t>9</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pStyle w:val="6"/>
        <w:tabs>
          <w:tab w:val="right" w:leader="dot" w:pos="8296"/>
        </w:tabs>
        <w:rPr>
          <w:rFonts w:asciiTheme="minorEastAsia" w:hAnsiTheme="minorEastAsia"/>
          <w:sz w:val="28"/>
          <w:szCs w:val="28"/>
        </w:rPr>
      </w:pPr>
      <w:r>
        <w:fldChar w:fldCharType="begin"/>
      </w:r>
      <w:r>
        <w:instrText xml:space="preserve"> HYPERLINK \l "_Toc139423656" </w:instrText>
      </w:r>
      <w:r>
        <w:fldChar w:fldCharType="separate"/>
      </w:r>
      <w:r>
        <w:rPr>
          <w:rStyle w:val="12"/>
          <w:rFonts w:hint="eastAsia" w:asciiTheme="minorEastAsia" w:hAnsiTheme="minorEastAsia"/>
          <w:b/>
          <w:sz w:val="28"/>
          <w:szCs w:val="28"/>
        </w:rPr>
        <w:t>十一、名词解释</w:t>
      </w:r>
      <w:r>
        <w:rPr>
          <w:rFonts w:hint="eastAsia" w:asciiTheme="minorEastAsia" w:hAnsiTheme="minorEastAsia"/>
          <w:sz w:val="28"/>
          <w:szCs w:val="28"/>
        </w:rPr>
        <w:tab/>
      </w:r>
      <w:r>
        <w:rPr>
          <w:rFonts w:hint="eastAsia" w:asciiTheme="minorEastAsia" w:hAnsiTheme="minorEastAsia"/>
          <w:sz w:val="28"/>
          <w:szCs w:val="28"/>
        </w:rPr>
        <w:fldChar w:fldCharType="begin"/>
      </w:r>
      <w:r>
        <w:rPr>
          <w:rFonts w:hint="eastAsia" w:asciiTheme="minorEastAsia" w:hAnsiTheme="minorEastAsia"/>
          <w:sz w:val="28"/>
          <w:szCs w:val="28"/>
        </w:rPr>
        <w:instrText xml:space="preserve"> PAGEREF _Toc139423656 \h </w:instrText>
      </w:r>
      <w:r>
        <w:rPr>
          <w:rFonts w:hint="eastAsia" w:asciiTheme="minorEastAsia" w:hAnsiTheme="minorEastAsia"/>
          <w:sz w:val="28"/>
          <w:szCs w:val="28"/>
        </w:rPr>
        <w:fldChar w:fldCharType="separate"/>
      </w:r>
      <w:r>
        <w:rPr>
          <w:rFonts w:asciiTheme="minorEastAsia" w:hAnsiTheme="minorEastAsia"/>
          <w:sz w:val="28"/>
          <w:szCs w:val="28"/>
        </w:rPr>
        <w:t>9</w:t>
      </w:r>
      <w:r>
        <w:rPr>
          <w:rFonts w:hint="eastAsia" w:asciiTheme="minorEastAsia" w:hAnsiTheme="minorEastAsia"/>
          <w:sz w:val="28"/>
          <w:szCs w:val="28"/>
        </w:rPr>
        <w:fldChar w:fldCharType="end"/>
      </w:r>
      <w:r>
        <w:rPr>
          <w:rFonts w:hint="eastAsia" w:asciiTheme="minorEastAsia" w:hAnsiTheme="minorEastAsia"/>
          <w:sz w:val="28"/>
          <w:szCs w:val="28"/>
        </w:rPr>
        <w:fldChar w:fldCharType="end"/>
      </w:r>
    </w:p>
    <w:p>
      <w:pPr>
        <w:widowControl/>
        <w:shd w:val="clear" w:color="auto" w:fill="FFFFFF"/>
        <w:spacing w:line="600" w:lineRule="atLeast"/>
        <w:jc w:val="center"/>
        <w:outlineLvl w:val="2"/>
        <w:rPr>
          <w:rFonts w:asciiTheme="minorEastAsia" w:hAnsiTheme="minorEastAsia"/>
          <w:b/>
          <w:color w:val="000000"/>
          <w:sz w:val="28"/>
          <w:szCs w:val="28"/>
          <w:shd w:val="clear" w:color="auto" w:fill="FEFEFE"/>
        </w:rPr>
      </w:pPr>
      <w:r>
        <w:rPr>
          <w:rFonts w:hint="eastAsia" w:asciiTheme="minorEastAsia" w:hAnsiTheme="minorEastAsia"/>
          <w:b/>
          <w:color w:val="000000"/>
          <w:sz w:val="28"/>
          <w:szCs w:val="28"/>
          <w:shd w:val="clear" w:color="auto" w:fill="FEFEFE"/>
        </w:rPr>
        <w:fldChar w:fldCharType="end"/>
      </w:r>
    </w:p>
    <w:p>
      <w:pPr>
        <w:pStyle w:val="8"/>
        <w:shd w:val="clear" w:color="auto" w:fill="FFFFFF"/>
        <w:spacing w:before="0" w:beforeAutospacing="0" w:after="0" w:afterAutospacing="0" w:line="380" w:lineRule="atLeast"/>
        <w:ind w:firstLine="480"/>
        <w:outlineLvl w:val="0"/>
        <w:rPr>
          <w:rStyle w:val="11"/>
          <w:rFonts w:asciiTheme="minorEastAsia" w:hAnsiTheme="minorEastAsia" w:eastAsiaTheme="minorEastAsia"/>
          <w:bCs w:val="0"/>
          <w:color w:val="000000"/>
          <w:sz w:val="28"/>
          <w:szCs w:val="28"/>
        </w:rPr>
      </w:pPr>
    </w:p>
    <w:p>
      <w:pPr>
        <w:widowControl/>
        <w:jc w:val="left"/>
        <w:rPr>
          <w:rStyle w:val="11"/>
          <w:rFonts w:cs="宋体" w:asciiTheme="minorEastAsia" w:hAnsiTheme="minorEastAsia"/>
          <w:bCs w:val="0"/>
          <w:color w:val="000000"/>
          <w:kern w:val="0"/>
          <w:sz w:val="28"/>
          <w:szCs w:val="28"/>
        </w:rPr>
      </w:pPr>
      <w:bookmarkStart w:id="4" w:name="_Toc139423631"/>
      <w:r>
        <w:rPr>
          <w:rStyle w:val="11"/>
          <w:rFonts w:asciiTheme="minorEastAsia" w:hAnsiTheme="minorEastAsia"/>
          <w:bCs w:val="0"/>
          <w:color w:val="000000"/>
          <w:sz w:val="28"/>
          <w:szCs w:val="28"/>
        </w:rPr>
        <w:br w:type="page"/>
      </w:r>
    </w:p>
    <w:p>
      <w:pPr>
        <w:pStyle w:val="8"/>
        <w:shd w:val="clear" w:color="auto" w:fill="FFFFFF"/>
        <w:spacing w:before="0" w:beforeAutospacing="0" w:after="0" w:afterAutospacing="0" w:line="380" w:lineRule="atLeast"/>
        <w:ind w:firstLine="480"/>
        <w:outlineLvl w:val="0"/>
        <w:rPr>
          <w:rFonts w:asciiTheme="minorEastAsia" w:hAnsiTheme="minorEastAsia" w:eastAsiaTheme="minorEastAsia"/>
          <w:color w:val="000000"/>
          <w:sz w:val="28"/>
          <w:szCs w:val="28"/>
        </w:rPr>
      </w:pPr>
      <w:r>
        <w:rPr>
          <w:rStyle w:val="11"/>
          <w:rFonts w:hint="eastAsia" w:asciiTheme="minorEastAsia" w:hAnsiTheme="minorEastAsia" w:eastAsiaTheme="minorEastAsia"/>
          <w:bCs w:val="0"/>
          <w:color w:val="000000"/>
          <w:sz w:val="28"/>
          <w:szCs w:val="28"/>
        </w:rPr>
        <w:t>一、基本职能及主要工作</w:t>
      </w:r>
      <w:bookmarkEnd w:id="4"/>
    </w:p>
    <w:p>
      <w:pPr>
        <w:pStyle w:val="8"/>
        <w:shd w:val="clear" w:color="auto" w:fill="FFFFFF"/>
        <w:spacing w:before="0" w:beforeAutospacing="0" w:after="0" w:afterAutospacing="0" w:line="380" w:lineRule="atLeast"/>
        <w:ind w:firstLine="480"/>
        <w:outlineLvl w:val="1"/>
        <w:rPr>
          <w:rFonts w:asciiTheme="minorEastAsia" w:hAnsiTheme="minorEastAsia" w:eastAsiaTheme="minorEastAsia"/>
          <w:color w:val="000000"/>
          <w:sz w:val="28"/>
          <w:szCs w:val="28"/>
        </w:rPr>
      </w:pPr>
      <w:bookmarkStart w:id="5" w:name="_Toc139423632"/>
      <w:r>
        <w:rPr>
          <w:rStyle w:val="11"/>
          <w:rFonts w:hint="eastAsia" w:asciiTheme="minorEastAsia" w:hAnsiTheme="minorEastAsia" w:eastAsiaTheme="minorEastAsia"/>
          <w:bCs w:val="0"/>
          <w:color w:val="000000"/>
          <w:sz w:val="28"/>
          <w:szCs w:val="28"/>
        </w:rPr>
        <w:t>（一）单位职能简介</w:t>
      </w:r>
      <w:bookmarkEnd w:id="5"/>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贯彻执行国家、省、市有关国土空间规划编制管理的方针、政策和法律、法规；承担市国土空间发展战略规划、公共政策、项目和计划的研究；拟订市国土空间规划管理相关技术标准和技术规定。受市人民政府或市自然资源局委托，组织编制、维护市级国土空间总体规划、中心城区详细规划、专项规划及城市设计、相关概念性规划。负责各县（区）国土空间规划、镇（乡）国土空间规划、村规划编制的技术指导工作。协调跨县（区）重大村镇项目规划编制工作。负责历史文化名城保护规划编制相关事务工作，指导名镇、名村和历史文化街区、传统村落规划编制工作。负责组织多部门、多行业技术联审，承办市国土空间规划专业委员会工作，承担市国土空间规划委员会办公室相关事务工作。承担中心城区项目的规划选址、论证、规划设计前期研究和规划设计方案审查。负责市国土空间规划信息数据平台实施维护和国土空间总体规划、详细规划等数据更新工作。完成市委、市政府和市自然资源局交办的其他任务。</w:t>
      </w:r>
    </w:p>
    <w:p>
      <w:pPr>
        <w:pStyle w:val="8"/>
        <w:shd w:val="clear" w:color="auto" w:fill="FFFFFF"/>
        <w:spacing w:before="0" w:beforeAutospacing="0" w:after="0" w:afterAutospacing="0" w:line="380" w:lineRule="atLeast"/>
        <w:ind w:firstLine="480"/>
        <w:outlineLvl w:val="1"/>
        <w:rPr>
          <w:rFonts w:asciiTheme="minorEastAsia" w:hAnsiTheme="minorEastAsia" w:eastAsiaTheme="minorEastAsia"/>
          <w:color w:val="000000"/>
          <w:sz w:val="28"/>
          <w:szCs w:val="28"/>
        </w:rPr>
      </w:pPr>
      <w:bookmarkStart w:id="6" w:name="_Toc139423633"/>
      <w:r>
        <w:rPr>
          <w:rStyle w:val="11"/>
          <w:rFonts w:hint="eastAsia" w:asciiTheme="minorEastAsia" w:hAnsiTheme="minorEastAsia" w:eastAsiaTheme="minorEastAsia"/>
          <w:bCs w:val="0"/>
          <w:color w:val="000000"/>
          <w:sz w:val="28"/>
          <w:szCs w:val="28"/>
        </w:rPr>
        <w:t>（二）市国土规划编研中心2022年重点工作</w:t>
      </w:r>
      <w:bookmarkEnd w:id="6"/>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Style w:val="11"/>
          <w:rFonts w:hint="eastAsia" w:asciiTheme="minorEastAsia" w:hAnsiTheme="minorEastAsia" w:eastAsiaTheme="minorEastAsia"/>
          <w:b w:val="0"/>
          <w:bCs w:val="0"/>
          <w:color w:val="000000"/>
          <w:sz w:val="28"/>
          <w:szCs w:val="28"/>
        </w:rPr>
        <w:t>1</w:t>
      </w:r>
      <w:r>
        <w:rPr>
          <w:rFonts w:hint="eastAsia" w:asciiTheme="minorEastAsia" w:hAnsiTheme="minorEastAsia" w:eastAsiaTheme="minorEastAsia"/>
          <w:color w:val="000000"/>
          <w:sz w:val="28"/>
          <w:szCs w:val="28"/>
        </w:rPr>
        <w:t>、</w:t>
      </w:r>
      <w:r>
        <w:rPr>
          <w:rStyle w:val="11"/>
          <w:rFonts w:hint="eastAsia" w:asciiTheme="minorEastAsia" w:hAnsiTheme="minorEastAsia" w:eastAsiaTheme="minorEastAsia"/>
          <w:b w:val="0"/>
          <w:bCs w:val="0"/>
          <w:color w:val="000000"/>
          <w:sz w:val="28"/>
          <w:szCs w:val="28"/>
        </w:rPr>
        <w:t>加强规划编制研究。</w:t>
      </w:r>
      <w:r>
        <w:rPr>
          <w:rFonts w:hint="eastAsia" w:asciiTheme="minorEastAsia" w:hAnsiTheme="minorEastAsia" w:eastAsiaTheme="minorEastAsia"/>
          <w:color w:val="000000"/>
          <w:sz w:val="28"/>
          <w:szCs w:val="28"/>
        </w:rPr>
        <w:t>一是配合市自然资源局加快市县级国土空间总体规划和乡村规划编制工作，完成《广元历史文化名城保护规划（2017-2035）》修编，启动广元市城区城市控规、下西城市更新等规划编制。二是聚焦市委市政府工作重点，结合城市规划建设实际，深入开展城市重点建设区域和涉及民生工程研究。</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Style w:val="11"/>
          <w:rFonts w:hint="eastAsia" w:asciiTheme="minorEastAsia" w:hAnsiTheme="minorEastAsia" w:eastAsiaTheme="minorEastAsia"/>
          <w:b w:val="0"/>
          <w:bCs w:val="0"/>
          <w:color w:val="000000"/>
          <w:sz w:val="28"/>
          <w:szCs w:val="28"/>
        </w:rPr>
        <w:t>2</w:t>
      </w:r>
      <w:r>
        <w:rPr>
          <w:rFonts w:hint="eastAsia" w:asciiTheme="minorEastAsia" w:hAnsiTheme="minorEastAsia" w:eastAsiaTheme="minorEastAsia"/>
          <w:color w:val="000000"/>
          <w:sz w:val="28"/>
          <w:szCs w:val="28"/>
        </w:rPr>
        <w:t>、</w:t>
      </w:r>
      <w:r>
        <w:rPr>
          <w:rStyle w:val="11"/>
          <w:rFonts w:hint="eastAsia" w:asciiTheme="minorEastAsia" w:hAnsiTheme="minorEastAsia" w:eastAsiaTheme="minorEastAsia"/>
          <w:b w:val="0"/>
          <w:bCs w:val="0"/>
          <w:color w:val="000000"/>
          <w:sz w:val="28"/>
          <w:szCs w:val="28"/>
        </w:rPr>
        <w:t>做好规划要素保障。</w:t>
      </w:r>
      <w:r>
        <w:rPr>
          <w:rFonts w:hint="eastAsia" w:asciiTheme="minorEastAsia" w:hAnsiTheme="minorEastAsia" w:eastAsiaTheme="minorEastAsia"/>
          <w:color w:val="000000"/>
          <w:sz w:val="28"/>
          <w:szCs w:val="28"/>
        </w:rPr>
        <w:t>一是深化审批改革，结合“一张图”建设，构建项目全生命周期规划管控体系，提升精细化管理水平，全面提升管理质效。二是聚力枢纽经济、生态经济、民营经济、数字经济，聚焦人口集聚、教育提质、健康守护、环境优化工程，创新工作方式方法，全力以赴为广元铁路国际港、“女儿节”永久承办地、家居产业城等项目搞好规划要素服务保障工作。</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Style w:val="11"/>
          <w:rFonts w:hint="eastAsia" w:asciiTheme="minorEastAsia" w:hAnsiTheme="minorEastAsia" w:eastAsiaTheme="minorEastAsia"/>
          <w:b w:val="0"/>
          <w:bCs w:val="0"/>
          <w:color w:val="000000"/>
          <w:sz w:val="28"/>
          <w:szCs w:val="28"/>
        </w:rPr>
        <w:t>3</w:t>
      </w:r>
      <w:r>
        <w:rPr>
          <w:rFonts w:hint="eastAsia" w:asciiTheme="minorEastAsia" w:hAnsiTheme="minorEastAsia" w:eastAsiaTheme="minorEastAsia"/>
          <w:color w:val="000000"/>
          <w:sz w:val="28"/>
          <w:szCs w:val="28"/>
        </w:rPr>
        <w:t>、</w:t>
      </w:r>
      <w:r>
        <w:rPr>
          <w:rStyle w:val="11"/>
          <w:rFonts w:hint="eastAsia" w:asciiTheme="minorEastAsia" w:hAnsiTheme="minorEastAsia" w:eastAsiaTheme="minorEastAsia"/>
          <w:b w:val="0"/>
          <w:bCs w:val="0"/>
          <w:color w:val="000000"/>
          <w:sz w:val="28"/>
          <w:szCs w:val="28"/>
        </w:rPr>
        <w:t>深化纪律作风整顿。</w:t>
      </w:r>
      <w:r>
        <w:rPr>
          <w:rFonts w:hint="eastAsia" w:asciiTheme="minorEastAsia" w:hAnsiTheme="minorEastAsia" w:eastAsiaTheme="minorEastAsia"/>
          <w:color w:val="000000"/>
          <w:sz w:val="28"/>
          <w:szCs w:val="28"/>
        </w:rPr>
        <w:t>一是进一步加强纪律作风建设，持续坚决纠治12个方面突出问题，消除“中梗阻”，坚决遏制“四个问题”再次出现，以铁的纪律确保市委市政府、市自然资源局党委决策部署落地见效。二是结合机改后职能职责，完善内部管理制度及工作规程，严格依法办事、依法行政，努力营造风清气正的干事创业环境，推动国土空间规划工作迈上新台阶。</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Style w:val="11"/>
          <w:rFonts w:hint="eastAsia" w:asciiTheme="minorEastAsia" w:hAnsiTheme="minorEastAsia" w:eastAsiaTheme="minorEastAsia"/>
          <w:b w:val="0"/>
          <w:bCs w:val="0"/>
          <w:color w:val="000000"/>
          <w:sz w:val="28"/>
          <w:szCs w:val="28"/>
        </w:rPr>
        <w:t>4</w:t>
      </w:r>
      <w:r>
        <w:rPr>
          <w:rFonts w:hint="eastAsia" w:asciiTheme="minorEastAsia" w:hAnsiTheme="minorEastAsia" w:eastAsiaTheme="minorEastAsia"/>
          <w:color w:val="000000"/>
          <w:sz w:val="28"/>
          <w:szCs w:val="28"/>
        </w:rPr>
        <w:t>、</w:t>
      </w:r>
      <w:r>
        <w:rPr>
          <w:rStyle w:val="11"/>
          <w:rFonts w:hint="eastAsia" w:asciiTheme="minorEastAsia" w:hAnsiTheme="minorEastAsia" w:eastAsiaTheme="minorEastAsia"/>
          <w:b w:val="0"/>
          <w:bCs w:val="0"/>
          <w:color w:val="000000"/>
          <w:sz w:val="28"/>
          <w:szCs w:val="28"/>
        </w:rPr>
        <w:t>加强党史学习教育。</w:t>
      </w:r>
      <w:r>
        <w:rPr>
          <w:rFonts w:hint="eastAsia" w:asciiTheme="minorEastAsia" w:hAnsiTheme="minorEastAsia" w:eastAsiaTheme="minorEastAsia"/>
          <w:color w:val="000000"/>
          <w:sz w:val="28"/>
          <w:szCs w:val="28"/>
        </w:rPr>
        <w:t>一是继续组织干部职工加强党史学习，重点学习习近平总书记系列重要讲话精神和指定学习材料，开展党性教育。二是“下深水”开展民生问题研究，解决群众急难愁盼问题。加快棚户区旧城改造项目、商改住、规划核实等历史遗留问题处置，促进项目顺利推进，保障民生及维护社会稳定。</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Style w:val="11"/>
          <w:rFonts w:hint="eastAsia" w:asciiTheme="minorEastAsia" w:hAnsiTheme="minorEastAsia" w:eastAsiaTheme="minorEastAsia"/>
          <w:b w:val="0"/>
          <w:bCs w:val="0"/>
          <w:color w:val="000000"/>
          <w:sz w:val="28"/>
          <w:szCs w:val="28"/>
        </w:rPr>
        <w:t>5</w:t>
      </w:r>
      <w:r>
        <w:rPr>
          <w:rFonts w:hint="eastAsia" w:asciiTheme="minorEastAsia" w:hAnsiTheme="minorEastAsia" w:eastAsiaTheme="minorEastAsia"/>
          <w:color w:val="000000"/>
          <w:sz w:val="28"/>
          <w:szCs w:val="28"/>
        </w:rPr>
        <w:t>、</w:t>
      </w:r>
      <w:r>
        <w:rPr>
          <w:rStyle w:val="11"/>
          <w:rFonts w:hint="eastAsia" w:asciiTheme="minorEastAsia" w:hAnsiTheme="minorEastAsia" w:eastAsiaTheme="minorEastAsia"/>
          <w:b w:val="0"/>
          <w:bCs w:val="0"/>
          <w:color w:val="000000"/>
          <w:sz w:val="28"/>
          <w:szCs w:val="28"/>
        </w:rPr>
        <w:t>加强人才队伍建设。</w:t>
      </w:r>
      <w:r>
        <w:rPr>
          <w:rFonts w:hint="eastAsia" w:asciiTheme="minorEastAsia" w:hAnsiTheme="minorEastAsia" w:eastAsiaTheme="minorEastAsia"/>
          <w:color w:val="000000"/>
          <w:sz w:val="28"/>
          <w:szCs w:val="28"/>
        </w:rPr>
        <w:t>进一步加强城乡规划专业技术人才引进，强化干部职工政治能力、业务能力建设，鼓励干部职工进入高等院校深造，参加注册城乡规划师等考试，开展外出学习交流，努力打造一支信念强、政治强、责任强、专业强、能力强、作风强的规划铁军队伍，为加快建设川陕甘结合部现代化中心城市贡献规划力量。</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Style w:val="11"/>
          <w:rFonts w:hint="eastAsia" w:asciiTheme="minorEastAsia" w:hAnsiTheme="minorEastAsia" w:eastAsiaTheme="minorEastAsia"/>
          <w:b w:val="0"/>
          <w:bCs w:val="0"/>
          <w:color w:val="000000"/>
          <w:sz w:val="28"/>
          <w:szCs w:val="28"/>
        </w:rPr>
        <w:t>6</w:t>
      </w:r>
      <w:r>
        <w:rPr>
          <w:rFonts w:hint="eastAsia" w:asciiTheme="minorEastAsia" w:hAnsiTheme="minorEastAsia" w:eastAsiaTheme="minorEastAsia"/>
          <w:color w:val="000000"/>
          <w:sz w:val="28"/>
          <w:szCs w:val="28"/>
        </w:rPr>
        <w:t>、</w:t>
      </w:r>
      <w:r>
        <w:rPr>
          <w:rStyle w:val="11"/>
          <w:rFonts w:hint="eastAsia" w:asciiTheme="minorEastAsia" w:hAnsiTheme="minorEastAsia" w:eastAsiaTheme="minorEastAsia"/>
          <w:b w:val="0"/>
          <w:bCs w:val="0"/>
          <w:color w:val="000000"/>
          <w:sz w:val="28"/>
          <w:szCs w:val="28"/>
        </w:rPr>
        <w:t>加强乡村振兴帮扶。</w:t>
      </w:r>
      <w:r>
        <w:rPr>
          <w:rFonts w:hint="eastAsia" w:asciiTheme="minorEastAsia" w:hAnsiTheme="minorEastAsia" w:eastAsiaTheme="minorEastAsia"/>
          <w:color w:val="000000"/>
          <w:sz w:val="28"/>
          <w:szCs w:val="28"/>
        </w:rPr>
        <w:t>深入贯彻落实中央、省委和市委关于巩固拓展脱贫攻坚成果全面推进乡村振兴的决策部署，制定2022年帮扶措施，全面做好石庙村帮扶各项工作，进一步改善农村人居环境，全面提升村民生产生活质量，努力建设高标准小康村、美丽村。</w:t>
      </w:r>
    </w:p>
    <w:p>
      <w:pPr>
        <w:pStyle w:val="8"/>
        <w:shd w:val="clear" w:color="auto" w:fill="FFFFFF"/>
        <w:spacing w:before="0" w:beforeAutospacing="0" w:after="0" w:afterAutospacing="0" w:line="380" w:lineRule="atLeast"/>
        <w:ind w:firstLine="480"/>
        <w:outlineLvl w:val="0"/>
        <w:rPr>
          <w:rFonts w:asciiTheme="minorEastAsia" w:hAnsiTheme="minorEastAsia" w:eastAsiaTheme="minorEastAsia"/>
          <w:color w:val="000000"/>
          <w:sz w:val="28"/>
          <w:szCs w:val="28"/>
        </w:rPr>
      </w:pPr>
      <w:bookmarkStart w:id="7" w:name="_Toc139423634"/>
      <w:r>
        <w:rPr>
          <w:rStyle w:val="11"/>
          <w:rFonts w:hint="eastAsia" w:asciiTheme="minorEastAsia" w:hAnsiTheme="minorEastAsia" w:eastAsiaTheme="minorEastAsia"/>
          <w:bCs w:val="0"/>
          <w:color w:val="000000"/>
          <w:sz w:val="28"/>
          <w:szCs w:val="28"/>
        </w:rPr>
        <w:t>二、部门预算单位构成</w:t>
      </w:r>
      <w:bookmarkEnd w:id="7"/>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从预算单位构成看，广元市国土空间规划编制研究中心（简称市国土空间规划中心）部门预算包括：本级预算1个、下属二级预算单位广元经济技术开发区国土空间规划编制研究中心单位1个。</w:t>
      </w:r>
    </w:p>
    <w:p>
      <w:pPr>
        <w:pStyle w:val="8"/>
        <w:shd w:val="clear" w:color="auto" w:fill="FFFFFF"/>
        <w:spacing w:before="0" w:beforeAutospacing="0" w:after="0" w:afterAutospacing="0" w:line="380" w:lineRule="atLeast"/>
        <w:ind w:firstLine="480"/>
        <w:outlineLvl w:val="0"/>
        <w:rPr>
          <w:rFonts w:asciiTheme="minorEastAsia" w:hAnsiTheme="minorEastAsia" w:eastAsiaTheme="minorEastAsia"/>
          <w:color w:val="000000"/>
          <w:sz w:val="28"/>
          <w:szCs w:val="28"/>
        </w:rPr>
      </w:pPr>
      <w:bookmarkStart w:id="8" w:name="_Toc139423635"/>
      <w:r>
        <w:rPr>
          <w:rStyle w:val="11"/>
          <w:rFonts w:hint="eastAsia" w:asciiTheme="minorEastAsia" w:hAnsiTheme="minorEastAsia" w:eastAsiaTheme="minorEastAsia"/>
          <w:bCs w:val="0"/>
          <w:color w:val="000000"/>
          <w:sz w:val="28"/>
          <w:szCs w:val="28"/>
        </w:rPr>
        <w:t>三、收支预算情况说明</w:t>
      </w:r>
      <w:bookmarkEnd w:id="8"/>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按照综合预算的原则，单位所有收入和支出均纳入部门预算管理。收入包括：一般公共预算拨款收入、上年结转、其他收入；支出包括：社会保障和就业支出、卫生健康支出、住房保障支出、城乡社区支出。市国土空间规划中心部门2022年收支总预算1072.18万元,比2021</w:t>
      </w:r>
      <w:bookmarkStart w:id="31" w:name="_GoBack"/>
      <w:bookmarkEnd w:id="31"/>
      <w:r>
        <w:rPr>
          <w:rFonts w:hint="eastAsia" w:asciiTheme="minorEastAsia" w:hAnsiTheme="minorEastAsia" w:eastAsiaTheme="minorEastAsia"/>
          <w:color w:val="000000"/>
          <w:sz w:val="28"/>
          <w:szCs w:val="28"/>
        </w:rPr>
        <w:t>年收支预算总数增加434.13万元，扣除上年结转资金、一次性安排等因素后，同口径增加87.71万元，主要原因是2022年预算在编人员较2021年新增8人。</w:t>
      </w:r>
    </w:p>
    <w:p>
      <w:pPr>
        <w:pStyle w:val="8"/>
        <w:shd w:val="clear" w:color="auto" w:fill="FFFFFF"/>
        <w:spacing w:before="0" w:beforeAutospacing="0" w:after="0" w:afterAutospacing="0" w:line="380" w:lineRule="atLeast"/>
        <w:ind w:firstLine="480"/>
        <w:outlineLvl w:val="1"/>
        <w:rPr>
          <w:rFonts w:asciiTheme="minorEastAsia" w:hAnsiTheme="minorEastAsia" w:eastAsiaTheme="minorEastAsia"/>
          <w:color w:val="000000"/>
          <w:sz w:val="28"/>
          <w:szCs w:val="28"/>
        </w:rPr>
      </w:pPr>
      <w:bookmarkStart w:id="9" w:name="_Toc139423636"/>
      <w:r>
        <w:rPr>
          <w:rStyle w:val="11"/>
          <w:rFonts w:hint="eastAsia" w:asciiTheme="minorEastAsia" w:hAnsiTheme="minorEastAsia" w:eastAsiaTheme="minorEastAsia"/>
          <w:bCs w:val="0"/>
          <w:color w:val="000000"/>
          <w:sz w:val="28"/>
          <w:szCs w:val="28"/>
        </w:rPr>
        <w:t>（一）收入预算情况</w:t>
      </w:r>
      <w:bookmarkEnd w:id="9"/>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市国土空间规划中心部门2022年收入预算1072.17万元（因四舍五入附表为1072.18万元），其中：上年结转151.97万元，占14.17%；一般公共预算拨款收入718.29万元，占67%。其他收入201.91万元，占18.83 %。</w:t>
      </w:r>
    </w:p>
    <w:p>
      <w:pPr>
        <w:pStyle w:val="8"/>
        <w:shd w:val="clear" w:color="auto" w:fill="FFFFFF"/>
        <w:spacing w:before="0" w:beforeAutospacing="0" w:after="0" w:afterAutospacing="0" w:line="380" w:lineRule="atLeast"/>
        <w:ind w:firstLine="480"/>
        <w:outlineLvl w:val="1"/>
        <w:rPr>
          <w:rFonts w:asciiTheme="minorEastAsia" w:hAnsiTheme="minorEastAsia" w:eastAsiaTheme="minorEastAsia"/>
          <w:color w:val="000000"/>
          <w:sz w:val="28"/>
          <w:szCs w:val="28"/>
        </w:rPr>
      </w:pPr>
      <w:bookmarkStart w:id="10" w:name="_Toc139423637"/>
      <w:r>
        <w:rPr>
          <w:rStyle w:val="11"/>
          <w:rFonts w:hint="eastAsia" w:asciiTheme="minorEastAsia" w:hAnsiTheme="minorEastAsia" w:eastAsiaTheme="minorEastAsia"/>
          <w:bCs w:val="0"/>
          <w:color w:val="000000"/>
          <w:sz w:val="28"/>
          <w:szCs w:val="28"/>
        </w:rPr>
        <w:t>（二）支出预算情况</w:t>
      </w:r>
      <w:bookmarkEnd w:id="10"/>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市国土空间规划中心部门2022年支出预算1072.17万元（因四舍五入附表为1072.18万元），其中：基本支出666.16万元，占62.13%；项目支出406.01万元，占37.87%。</w:t>
      </w:r>
    </w:p>
    <w:p>
      <w:pPr>
        <w:pStyle w:val="8"/>
        <w:shd w:val="clear" w:color="auto" w:fill="FFFFFF"/>
        <w:spacing w:before="0" w:beforeAutospacing="0" w:after="0" w:afterAutospacing="0" w:line="380" w:lineRule="atLeast"/>
        <w:ind w:firstLine="480"/>
        <w:outlineLvl w:val="0"/>
        <w:rPr>
          <w:rFonts w:asciiTheme="minorEastAsia" w:hAnsiTheme="minorEastAsia" w:eastAsiaTheme="minorEastAsia"/>
          <w:color w:val="000000"/>
          <w:sz w:val="28"/>
          <w:szCs w:val="28"/>
        </w:rPr>
      </w:pPr>
      <w:bookmarkStart w:id="11" w:name="_Toc139423638"/>
      <w:r>
        <w:rPr>
          <w:rStyle w:val="11"/>
          <w:rFonts w:hint="eastAsia" w:asciiTheme="minorEastAsia" w:hAnsiTheme="minorEastAsia" w:eastAsiaTheme="minorEastAsia"/>
          <w:bCs w:val="0"/>
          <w:color w:val="000000"/>
          <w:sz w:val="28"/>
          <w:szCs w:val="28"/>
        </w:rPr>
        <w:t>四、财政拨款收支预算情况说明</w:t>
      </w:r>
      <w:bookmarkEnd w:id="11"/>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市国土空间规划中心部门2022年财政拨款收支总预算870.26万元,比2021年财政拨款收支总预算增加232.21万元，扣除上年结转资金、一次性安排等因素后，同口径增加87.71万元，主要原因是2022年预算在编人员较2021年新增8人。</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收入包括：本年一般公共预算拨款收入718.29万元、上年结转一般公共预算拨款收入151.97万元；支出包括：社会保障和就业支出53.4万元、卫生健康支出27.20万元、城乡社区支出774.77万元、住房保障支出14.89万元。</w:t>
      </w:r>
    </w:p>
    <w:p>
      <w:pPr>
        <w:pStyle w:val="8"/>
        <w:shd w:val="clear" w:color="auto" w:fill="FFFFFF"/>
        <w:spacing w:before="0" w:beforeAutospacing="0" w:after="0" w:afterAutospacing="0" w:line="380" w:lineRule="atLeast"/>
        <w:ind w:firstLine="480"/>
        <w:outlineLvl w:val="0"/>
        <w:rPr>
          <w:rFonts w:asciiTheme="minorEastAsia" w:hAnsiTheme="minorEastAsia" w:eastAsiaTheme="minorEastAsia"/>
          <w:color w:val="000000"/>
          <w:sz w:val="28"/>
          <w:szCs w:val="28"/>
        </w:rPr>
      </w:pPr>
      <w:bookmarkStart w:id="12" w:name="_Toc139423639"/>
      <w:r>
        <w:rPr>
          <w:rStyle w:val="11"/>
          <w:rFonts w:hint="eastAsia" w:asciiTheme="minorEastAsia" w:hAnsiTheme="minorEastAsia" w:eastAsiaTheme="minorEastAsia"/>
          <w:bCs w:val="0"/>
          <w:color w:val="000000"/>
          <w:sz w:val="28"/>
          <w:szCs w:val="28"/>
        </w:rPr>
        <w:t>五、一般公共预算当年拨款情况说明</w:t>
      </w:r>
      <w:bookmarkEnd w:id="12"/>
    </w:p>
    <w:p>
      <w:pPr>
        <w:pStyle w:val="8"/>
        <w:shd w:val="clear" w:color="auto" w:fill="FFFFFF"/>
        <w:spacing w:before="0" w:beforeAutospacing="0" w:after="0" w:afterAutospacing="0" w:line="380" w:lineRule="atLeast"/>
        <w:ind w:firstLine="480"/>
        <w:outlineLvl w:val="1"/>
        <w:rPr>
          <w:rFonts w:asciiTheme="minorEastAsia" w:hAnsiTheme="minorEastAsia" w:eastAsiaTheme="minorEastAsia"/>
          <w:color w:val="000000"/>
          <w:sz w:val="28"/>
          <w:szCs w:val="28"/>
        </w:rPr>
      </w:pPr>
      <w:bookmarkStart w:id="13" w:name="_Toc139423640"/>
      <w:r>
        <w:rPr>
          <w:rStyle w:val="11"/>
          <w:rFonts w:hint="eastAsia" w:asciiTheme="minorEastAsia" w:hAnsiTheme="minorEastAsia" w:eastAsiaTheme="minorEastAsia"/>
          <w:bCs w:val="0"/>
          <w:color w:val="000000"/>
          <w:sz w:val="28"/>
          <w:szCs w:val="28"/>
        </w:rPr>
        <w:t>（一）一般公共预算当年拨款规模变化情况</w:t>
      </w:r>
      <w:bookmarkEnd w:id="13"/>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市国土空间规划中心部门2022年一般公共预算当年拨款718.29万元，比2021年预算数增加87.76万元，主要原因是2022年预算在编人员较2021年新增8人。</w:t>
      </w:r>
    </w:p>
    <w:p>
      <w:pPr>
        <w:pStyle w:val="8"/>
        <w:shd w:val="clear" w:color="auto" w:fill="FFFFFF"/>
        <w:spacing w:before="0" w:beforeAutospacing="0" w:after="0" w:afterAutospacing="0" w:line="380" w:lineRule="atLeast"/>
        <w:ind w:firstLine="480"/>
        <w:outlineLvl w:val="1"/>
        <w:rPr>
          <w:rFonts w:asciiTheme="minorEastAsia" w:hAnsiTheme="minorEastAsia" w:eastAsiaTheme="minorEastAsia"/>
          <w:color w:val="000000"/>
          <w:sz w:val="28"/>
          <w:szCs w:val="28"/>
        </w:rPr>
      </w:pPr>
      <w:bookmarkStart w:id="14" w:name="_Toc139423641"/>
      <w:r>
        <w:rPr>
          <w:rStyle w:val="11"/>
          <w:rFonts w:hint="eastAsia" w:asciiTheme="minorEastAsia" w:hAnsiTheme="minorEastAsia" w:eastAsiaTheme="minorEastAsia"/>
          <w:bCs w:val="0"/>
          <w:color w:val="000000"/>
          <w:sz w:val="28"/>
          <w:szCs w:val="28"/>
        </w:rPr>
        <w:t>（二）一般公共预算当年拨款结构情况</w:t>
      </w:r>
      <w:bookmarkEnd w:id="14"/>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社会保障和就业支出53.4万元、卫生健康支出27.20万元、城乡社区支出622.8万元、住房保障支出14.89万元。</w:t>
      </w:r>
    </w:p>
    <w:p>
      <w:pPr>
        <w:pStyle w:val="8"/>
        <w:shd w:val="clear" w:color="auto" w:fill="FFFFFF"/>
        <w:spacing w:before="0" w:beforeAutospacing="0" w:after="0" w:afterAutospacing="0" w:line="380" w:lineRule="atLeast"/>
        <w:ind w:firstLine="480"/>
        <w:outlineLvl w:val="1"/>
        <w:rPr>
          <w:rFonts w:asciiTheme="minorEastAsia" w:hAnsiTheme="minorEastAsia" w:eastAsiaTheme="minorEastAsia"/>
          <w:color w:val="000000"/>
          <w:sz w:val="28"/>
          <w:szCs w:val="28"/>
        </w:rPr>
      </w:pPr>
      <w:bookmarkStart w:id="15" w:name="_Toc139423642"/>
      <w:r>
        <w:rPr>
          <w:rStyle w:val="11"/>
          <w:rFonts w:hint="eastAsia" w:asciiTheme="minorEastAsia" w:hAnsiTheme="minorEastAsia" w:eastAsiaTheme="minorEastAsia"/>
          <w:bCs w:val="0"/>
          <w:color w:val="000000"/>
          <w:sz w:val="28"/>
          <w:szCs w:val="28"/>
        </w:rPr>
        <w:t>（三）一般公共预算当年拨款具体使用情况</w:t>
      </w:r>
      <w:bookmarkEnd w:id="15"/>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1、城乡社区支出（类）城乡社区规划与管理（款）城乡社区规划与管理（项）预算数为622.8万元，主要用于事业单位工资奖金津补贴、其他工资福利支出、办公经费、会议费、培训费、委托业务费、公务接待费、其他交通费、维修（护）费、工会经费、福利费、其他商品和服务支出、设备购置、其他对个人和家庭补助。  </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2、社会保障和就业支出（类）行政事业单位养老保险 （款）机关事业单位基本养老保险缴费支出（项）预算数为53.4万元,主要用于事业单位事业单位机关养老保险缴费。</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3、卫生健康支出（类）行政事业单位医疗（款）事业单位医疗（项）预算数为27.2万元主要用于事业单位经常性补助的社会保障缴费。</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4、住房保障支出（类）住房改革支出（款）住房公积 金（项）预算数为14.89万元,主要用主要用于事业单位住房公积金。</w:t>
      </w:r>
    </w:p>
    <w:p>
      <w:pPr>
        <w:pStyle w:val="8"/>
        <w:shd w:val="clear" w:color="auto" w:fill="FFFFFF"/>
        <w:spacing w:before="0" w:beforeAutospacing="0" w:after="0" w:afterAutospacing="0" w:line="380" w:lineRule="atLeast"/>
        <w:ind w:firstLine="480"/>
        <w:outlineLvl w:val="0"/>
        <w:rPr>
          <w:rFonts w:asciiTheme="minorEastAsia" w:hAnsiTheme="minorEastAsia" w:eastAsiaTheme="minorEastAsia"/>
          <w:color w:val="000000"/>
          <w:sz w:val="28"/>
          <w:szCs w:val="28"/>
        </w:rPr>
      </w:pPr>
      <w:bookmarkStart w:id="16" w:name="_Toc139423643"/>
      <w:r>
        <w:rPr>
          <w:rStyle w:val="11"/>
          <w:rFonts w:hint="eastAsia" w:asciiTheme="minorEastAsia" w:hAnsiTheme="minorEastAsia" w:eastAsiaTheme="minorEastAsia"/>
          <w:bCs w:val="0"/>
          <w:color w:val="000000"/>
          <w:sz w:val="28"/>
          <w:szCs w:val="28"/>
        </w:rPr>
        <w:t>六、一般公共预算基本支出情况说明</w:t>
      </w:r>
      <w:bookmarkEnd w:id="16"/>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市国土空间规划中心部门2022年一般公共预算基本支出666.16万元，其中：人员经费574.99万元，主要包括：基本工资、津贴补贴、奖金、社会保险缴费、离休费、住房公积金等支出。</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公用经费91.17万元，主要包括：办公费、印刷费、水费、电费、邮电费、物业管理费、差旅费、维修（护）费、会议费、培训费、公务接待费、劳务费、工会经费、福利费、公务用车运行维护费、其他交通费用等支出。</w:t>
      </w:r>
    </w:p>
    <w:p>
      <w:pPr>
        <w:pStyle w:val="8"/>
        <w:shd w:val="clear" w:color="auto" w:fill="FFFFFF"/>
        <w:spacing w:before="0" w:beforeAutospacing="0" w:after="0" w:afterAutospacing="0" w:line="380" w:lineRule="atLeast"/>
        <w:ind w:firstLine="480"/>
        <w:outlineLvl w:val="0"/>
        <w:rPr>
          <w:rFonts w:asciiTheme="minorEastAsia" w:hAnsiTheme="minorEastAsia" w:eastAsiaTheme="minorEastAsia"/>
          <w:color w:val="000000"/>
          <w:sz w:val="28"/>
          <w:szCs w:val="28"/>
        </w:rPr>
      </w:pPr>
      <w:bookmarkStart w:id="17" w:name="_Toc139423644"/>
      <w:r>
        <w:rPr>
          <w:rStyle w:val="11"/>
          <w:rFonts w:hint="eastAsia" w:asciiTheme="minorEastAsia" w:hAnsiTheme="minorEastAsia" w:eastAsiaTheme="minorEastAsia"/>
          <w:bCs w:val="0"/>
          <w:color w:val="000000"/>
          <w:sz w:val="28"/>
          <w:szCs w:val="28"/>
        </w:rPr>
        <w:t>七、“三公”经费财政拨款预算安排情况说明</w:t>
      </w:r>
      <w:bookmarkEnd w:id="17"/>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themeColor="text1"/>
          <w:sz w:val="28"/>
          <w:szCs w:val="28"/>
        </w:rPr>
      </w:pPr>
      <w:r>
        <w:rPr>
          <w:rFonts w:hint="eastAsia" w:asciiTheme="minorEastAsia" w:hAnsiTheme="minorEastAsia" w:eastAsiaTheme="minorEastAsia"/>
          <w:color w:val="000000" w:themeColor="text1"/>
          <w:sz w:val="28"/>
          <w:szCs w:val="28"/>
        </w:rPr>
        <w:t>市国土空间规划中心部门2022年“三公”经费财政拨款预算数2.2万元，其中：公务接待费2.2万元，公务用车购置及运行维护费0万元，因公出国（境）经费0万元。</w:t>
      </w:r>
    </w:p>
    <w:p>
      <w:pPr>
        <w:pStyle w:val="8"/>
        <w:shd w:val="clear" w:color="auto" w:fill="FFFFFF"/>
        <w:spacing w:before="0" w:beforeAutospacing="0" w:after="0" w:afterAutospacing="0" w:line="380" w:lineRule="atLeast"/>
        <w:ind w:firstLine="480"/>
        <w:outlineLvl w:val="1"/>
        <w:rPr>
          <w:rFonts w:asciiTheme="minorEastAsia" w:hAnsiTheme="minorEastAsia" w:eastAsiaTheme="minorEastAsia"/>
          <w:color w:val="000000"/>
          <w:sz w:val="28"/>
          <w:szCs w:val="28"/>
        </w:rPr>
      </w:pPr>
      <w:bookmarkStart w:id="18" w:name="_Toc139423645"/>
      <w:r>
        <w:rPr>
          <w:rStyle w:val="11"/>
          <w:rFonts w:hint="eastAsia" w:asciiTheme="minorEastAsia" w:hAnsiTheme="minorEastAsia" w:eastAsiaTheme="minorEastAsia"/>
          <w:bCs w:val="0"/>
          <w:color w:val="000000"/>
          <w:sz w:val="28"/>
          <w:szCs w:val="28"/>
        </w:rPr>
        <w:t>（一）公务接待费与2021年预算相比，无变化。</w:t>
      </w:r>
      <w:bookmarkEnd w:id="18"/>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2022年公务接待费2.2万元计划用于执行接待考察调研、检查指导等公务活动开支的交通费、住宿费、用餐费等。</w:t>
      </w:r>
    </w:p>
    <w:p>
      <w:pPr>
        <w:pStyle w:val="8"/>
        <w:shd w:val="clear" w:color="auto" w:fill="FFFFFF"/>
        <w:spacing w:before="0" w:beforeAutospacing="0" w:after="0" w:afterAutospacing="0" w:line="380" w:lineRule="atLeast"/>
        <w:ind w:firstLine="480"/>
        <w:outlineLvl w:val="1"/>
        <w:rPr>
          <w:rFonts w:asciiTheme="minorEastAsia" w:hAnsiTheme="minorEastAsia" w:eastAsiaTheme="minorEastAsia"/>
          <w:color w:val="000000"/>
          <w:sz w:val="28"/>
          <w:szCs w:val="28"/>
        </w:rPr>
      </w:pPr>
      <w:bookmarkStart w:id="19" w:name="_Toc139423646"/>
      <w:r>
        <w:rPr>
          <w:rStyle w:val="11"/>
          <w:rFonts w:hint="eastAsia" w:asciiTheme="minorEastAsia" w:hAnsiTheme="minorEastAsia" w:eastAsiaTheme="minorEastAsia"/>
          <w:bCs w:val="0"/>
          <w:color w:val="000000"/>
          <w:sz w:val="28"/>
          <w:szCs w:val="28"/>
        </w:rPr>
        <w:t>（二）公务用车购置及运行维护费与2021年预算相比，无变化。</w:t>
      </w:r>
      <w:bookmarkEnd w:id="19"/>
    </w:p>
    <w:p>
      <w:pPr>
        <w:pStyle w:val="8"/>
        <w:shd w:val="clear" w:color="auto" w:fill="FFFFFF"/>
        <w:spacing w:before="0" w:beforeAutospacing="0" w:after="0" w:afterAutospacing="0" w:line="480" w:lineRule="atLeast"/>
        <w:ind w:firstLine="480"/>
        <w:rPr>
          <w:rFonts w:asciiTheme="minorEastAsia" w:hAnsiTheme="minorEastAsia" w:eastAsiaTheme="minorEastAsia"/>
          <w:color w:val="000000" w:themeColor="text1"/>
          <w:sz w:val="28"/>
          <w:szCs w:val="28"/>
        </w:rPr>
      </w:pPr>
      <w:r>
        <w:rPr>
          <w:rFonts w:hint="eastAsia" w:asciiTheme="minorEastAsia" w:hAnsiTheme="minorEastAsia" w:eastAsiaTheme="minorEastAsia"/>
          <w:color w:val="000000" w:themeColor="text1"/>
          <w:sz w:val="28"/>
          <w:szCs w:val="28"/>
        </w:rPr>
        <w:t>单位现有公务用车0辆，其中：轿车0辆，旅行车（含商务车）0辆，越野车0辆。2022年未安排公务用车运行维护费，主要原因是单位无公务车辆。2022年未安排公务用车运行维护费。</w:t>
      </w:r>
    </w:p>
    <w:p>
      <w:pPr>
        <w:pStyle w:val="8"/>
        <w:shd w:val="clear" w:color="auto" w:fill="FFFFFF"/>
        <w:spacing w:before="0" w:beforeAutospacing="0" w:after="0" w:afterAutospacing="0" w:line="480" w:lineRule="atLeast"/>
        <w:ind w:firstLine="480"/>
        <w:outlineLvl w:val="1"/>
        <w:rPr>
          <w:rFonts w:asciiTheme="minorEastAsia" w:hAnsiTheme="minorEastAsia" w:eastAsiaTheme="minorEastAsia"/>
          <w:b/>
          <w:bCs/>
          <w:color w:val="000000"/>
          <w:sz w:val="28"/>
          <w:szCs w:val="28"/>
        </w:rPr>
      </w:pPr>
      <w:bookmarkStart w:id="20" w:name="_Toc139423647"/>
      <w:bookmarkStart w:id="21" w:name="_Toc139413572"/>
      <w:r>
        <w:rPr>
          <w:rFonts w:hint="eastAsia" w:asciiTheme="minorEastAsia" w:hAnsiTheme="minorEastAsia" w:eastAsiaTheme="minorEastAsia"/>
          <w:b/>
          <w:bCs/>
          <w:color w:val="000000"/>
          <w:sz w:val="28"/>
          <w:szCs w:val="28"/>
        </w:rPr>
        <w:t>（三）因公出国（境）经费与2021年预算相比，无增减变化。</w:t>
      </w:r>
      <w:bookmarkEnd w:id="20"/>
    </w:p>
    <w:p>
      <w:pPr>
        <w:pStyle w:val="8"/>
        <w:shd w:val="clear" w:color="auto" w:fill="FFFFFF"/>
        <w:spacing w:before="0" w:beforeAutospacing="0" w:after="0" w:afterAutospacing="0" w:line="480" w:lineRule="atLeast"/>
        <w:ind w:firstLine="480"/>
        <w:outlineLvl w:val="1"/>
        <w:rPr>
          <w:rFonts w:asciiTheme="minorEastAsia" w:hAnsiTheme="minorEastAsia" w:eastAsiaTheme="minorEastAsia"/>
          <w:color w:val="000000"/>
          <w:sz w:val="28"/>
          <w:szCs w:val="28"/>
        </w:rPr>
      </w:pPr>
      <w:bookmarkStart w:id="22" w:name="_Toc139423648"/>
      <w:r>
        <w:rPr>
          <w:rFonts w:hint="eastAsia" w:asciiTheme="minorEastAsia" w:hAnsiTheme="minorEastAsia" w:eastAsiaTheme="minorEastAsia"/>
          <w:bCs/>
          <w:color w:val="000000"/>
          <w:sz w:val="28"/>
          <w:szCs w:val="28"/>
        </w:rPr>
        <w:t>2022年安排0万元，本单位本年无因公出国（境）事项。</w:t>
      </w:r>
      <w:bookmarkEnd w:id="21"/>
      <w:bookmarkEnd w:id="22"/>
    </w:p>
    <w:p>
      <w:pPr>
        <w:pStyle w:val="8"/>
        <w:shd w:val="clear" w:color="auto" w:fill="FFFFFF"/>
        <w:spacing w:before="0" w:beforeAutospacing="0" w:after="0" w:afterAutospacing="0" w:line="380" w:lineRule="atLeast"/>
        <w:ind w:firstLine="480"/>
        <w:outlineLvl w:val="0"/>
        <w:rPr>
          <w:rFonts w:asciiTheme="minorEastAsia" w:hAnsiTheme="minorEastAsia" w:eastAsiaTheme="minorEastAsia"/>
          <w:color w:val="000000" w:themeColor="text1"/>
          <w:sz w:val="28"/>
          <w:szCs w:val="28"/>
        </w:rPr>
      </w:pPr>
      <w:bookmarkStart w:id="23" w:name="_Toc139423649"/>
      <w:r>
        <w:rPr>
          <w:rStyle w:val="11"/>
          <w:rFonts w:hint="eastAsia" w:asciiTheme="minorEastAsia" w:hAnsiTheme="minorEastAsia" w:eastAsiaTheme="minorEastAsia"/>
          <w:bCs w:val="0"/>
          <w:color w:val="000000" w:themeColor="text1"/>
          <w:sz w:val="28"/>
          <w:szCs w:val="28"/>
        </w:rPr>
        <w:t>八、政府性基金预算支出情况说明</w:t>
      </w:r>
      <w:bookmarkEnd w:id="23"/>
    </w:p>
    <w:p>
      <w:pPr>
        <w:pStyle w:val="8"/>
        <w:shd w:val="clear" w:color="auto" w:fill="FFFFFF"/>
        <w:spacing w:before="0" w:beforeAutospacing="0" w:after="0" w:afterAutospacing="0" w:line="480" w:lineRule="atLeast"/>
        <w:ind w:firstLine="480"/>
        <w:rPr>
          <w:color w:val="000000" w:themeColor="text1"/>
          <w:sz w:val="28"/>
          <w:szCs w:val="28"/>
        </w:rPr>
      </w:pPr>
      <w:bookmarkStart w:id="24" w:name="_Toc139423650"/>
      <w:r>
        <w:rPr>
          <w:rFonts w:hint="eastAsia"/>
          <w:color w:val="000000" w:themeColor="text1"/>
          <w:sz w:val="28"/>
          <w:szCs w:val="28"/>
        </w:rPr>
        <w:t>政府性基金预算144.4万元</w:t>
      </w:r>
      <w:r>
        <w:rPr>
          <w:rFonts w:hint="eastAsia"/>
          <w:color w:val="000000" w:themeColor="text1"/>
          <w:sz w:val="28"/>
          <w:szCs w:val="28"/>
          <w:lang w:eastAsia="zh-CN"/>
        </w:rPr>
        <w:t>为</w:t>
      </w:r>
      <w:r>
        <w:rPr>
          <w:rFonts w:hint="eastAsia"/>
          <w:color w:val="000000" w:themeColor="text1"/>
          <w:sz w:val="28"/>
          <w:szCs w:val="28"/>
          <w:lang w:val="en-US" w:eastAsia="zh-CN"/>
        </w:rPr>
        <w:t>2021年结转使用资金</w:t>
      </w:r>
      <w:r>
        <w:rPr>
          <w:rFonts w:hint="eastAsia"/>
          <w:color w:val="000000" w:themeColor="text1"/>
          <w:sz w:val="28"/>
          <w:szCs w:val="28"/>
        </w:rPr>
        <w:t>。与2021年相比增加144.4万元。主要是2022年用于“老城片区改造及广元历史文化名城保护修</w:t>
      </w:r>
      <w:r>
        <w:rPr>
          <w:rFonts w:hint="eastAsia"/>
          <w:color w:val="000000" w:themeColor="text1"/>
          <w:sz w:val="28"/>
          <w:szCs w:val="28"/>
          <w:lang w:eastAsia="zh-CN"/>
        </w:rPr>
        <w:t>编</w:t>
      </w:r>
      <w:r>
        <w:rPr>
          <w:rFonts w:hint="eastAsia"/>
          <w:color w:val="000000" w:themeColor="text1"/>
          <w:sz w:val="28"/>
          <w:szCs w:val="28"/>
        </w:rPr>
        <w:t>”基建计划进度款。</w:t>
      </w:r>
    </w:p>
    <w:p>
      <w:pPr>
        <w:pStyle w:val="8"/>
        <w:shd w:val="clear" w:color="auto" w:fill="FFFFFF"/>
        <w:spacing w:before="0" w:beforeAutospacing="0" w:after="0" w:afterAutospacing="0" w:line="380" w:lineRule="atLeast"/>
        <w:ind w:firstLine="480"/>
        <w:outlineLvl w:val="0"/>
        <w:rPr>
          <w:rFonts w:asciiTheme="minorEastAsia" w:hAnsiTheme="minorEastAsia" w:eastAsiaTheme="minorEastAsia"/>
          <w:color w:val="000000"/>
          <w:sz w:val="28"/>
          <w:szCs w:val="28"/>
        </w:rPr>
      </w:pPr>
      <w:r>
        <w:rPr>
          <w:rStyle w:val="11"/>
          <w:rFonts w:hint="eastAsia" w:asciiTheme="minorEastAsia" w:hAnsiTheme="minorEastAsia" w:eastAsiaTheme="minorEastAsia"/>
          <w:bCs w:val="0"/>
          <w:color w:val="000000"/>
          <w:sz w:val="28"/>
          <w:szCs w:val="28"/>
        </w:rPr>
        <w:t>九、国有资本经营预算支出情况说明</w:t>
      </w:r>
      <w:bookmarkEnd w:id="24"/>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2022年没有使用国有资本经营预算拨款安排的支出。</w:t>
      </w:r>
    </w:p>
    <w:p>
      <w:pPr>
        <w:pStyle w:val="8"/>
        <w:shd w:val="clear" w:color="auto" w:fill="FFFFFF"/>
        <w:spacing w:before="0" w:beforeAutospacing="0" w:after="0" w:afterAutospacing="0" w:line="380" w:lineRule="atLeast"/>
        <w:ind w:firstLine="480"/>
        <w:outlineLvl w:val="0"/>
        <w:rPr>
          <w:rFonts w:asciiTheme="minorEastAsia" w:hAnsiTheme="minorEastAsia" w:eastAsiaTheme="minorEastAsia"/>
          <w:color w:val="000000"/>
          <w:sz w:val="28"/>
          <w:szCs w:val="28"/>
        </w:rPr>
      </w:pPr>
      <w:bookmarkStart w:id="25" w:name="_Toc139423651"/>
      <w:r>
        <w:rPr>
          <w:rStyle w:val="11"/>
          <w:rFonts w:hint="eastAsia" w:asciiTheme="minorEastAsia" w:hAnsiTheme="minorEastAsia" w:eastAsiaTheme="minorEastAsia"/>
          <w:bCs w:val="0"/>
          <w:color w:val="000000"/>
          <w:sz w:val="28"/>
          <w:szCs w:val="28"/>
        </w:rPr>
        <w:t>十、其他重要事项的情况说明</w:t>
      </w:r>
      <w:bookmarkEnd w:id="25"/>
    </w:p>
    <w:p>
      <w:pPr>
        <w:pStyle w:val="8"/>
        <w:shd w:val="clear" w:color="auto" w:fill="FFFFFF"/>
        <w:spacing w:before="0" w:beforeAutospacing="0" w:after="0" w:afterAutospacing="0" w:line="380" w:lineRule="atLeast"/>
        <w:ind w:firstLine="480"/>
        <w:outlineLvl w:val="1"/>
        <w:rPr>
          <w:rFonts w:asciiTheme="minorEastAsia" w:hAnsiTheme="minorEastAsia" w:eastAsiaTheme="minorEastAsia"/>
          <w:color w:val="000000"/>
          <w:sz w:val="28"/>
          <w:szCs w:val="28"/>
        </w:rPr>
      </w:pPr>
      <w:bookmarkStart w:id="26" w:name="_Toc139423652"/>
      <w:r>
        <w:rPr>
          <w:rStyle w:val="11"/>
          <w:rFonts w:hint="eastAsia" w:asciiTheme="minorEastAsia" w:hAnsiTheme="minorEastAsia" w:eastAsiaTheme="minorEastAsia"/>
          <w:bCs w:val="0"/>
          <w:color w:val="000000"/>
          <w:sz w:val="28"/>
          <w:szCs w:val="28"/>
        </w:rPr>
        <w:t>（一）机关运行经费</w:t>
      </w:r>
      <w:bookmarkEnd w:id="26"/>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市国土空间规划中心为行政事业单位，无机关运行经费支出。</w:t>
      </w:r>
    </w:p>
    <w:p>
      <w:pPr>
        <w:pStyle w:val="8"/>
        <w:shd w:val="clear" w:color="auto" w:fill="FFFFFF"/>
        <w:spacing w:before="0" w:beforeAutospacing="0" w:after="0" w:afterAutospacing="0" w:line="380" w:lineRule="atLeast"/>
        <w:ind w:firstLine="480"/>
        <w:outlineLvl w:val="1"/>
        <w:rPr>
          <w:rFonts w:asciiTheme="minorEastAsia" w:hAnsiTheme="minorEastAsia" w:eastAsiaTheme="minorEastAsia"/>
          <w:color w:val="000000"/>
          <w:sz w:val="28"/>
          <w:szCs w:val="28"/>
        </w:rPr>
      </w:pPr>
      <w:bookmarkStart w:id="27" w:name="_Toc139423653"/>
      <w:r>
        <w:rPr>
          <w:rStyle w:val="11"/>
          <w:rFonts w:hint="eastAsia" w:asciiTheme="minorEastAsia" w:hAnsiTheme="minorEastAsia" w:eastAsiaTheme="minorEastAsia"/>
          <w:bCs w:val="0"/>
          <w:color w:val="000000"/>
          <w:sz w:val="28"/>
          <w:szCs w:val="28"/>
        </w:rPr>
        <w:t>（二）政府采购情况</w:t>
      </w:r>
      <w:bookmarkEnd w:id="27"/>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themeColor="text1"/>
          <w:sz w:val="28"/>
          <w:szCs w:val="28"/>
        </w:rPr>
      </w:pPr>
      <w:r>
        <w:rPr>
          <w:rFonts w:hint="eastAsia" w:asciiTheme="minorEastAsia" w:hAnsiTheme="minorEastAsia" w:eastAsiaTheme="minorEastAsia"/>
          <w:color w:val="000000" w:themeColor="text1"/>
          <w:sz w:val="28"/>
          <w:szCs w:val="28"/>
        </w:rPr>
        <w:t>2022年部门</w:t>
      </w:r>
      <w:r>
        <w:rPr>
          <w:rFonts w:hint="eastAsia" w:asciiTheme="minorEastAsia" w:hAnsiTheme="minorEastAsia" w:eastAsiaTheme="minorEastAsia"/>
          <w:color w:val="000000" w:themeColor="text1"/>
          <w:sz w:val="28"/>
          <w:szCs w:val="28"/>
          <w:lang w:eastAsia="zh-CN"/>
        </w:rPr>
        <w:t>政府</w:t>
      </w:r>
      <w:r>
        <w:rPr>
          <w:rFonts w:hint="eastAsia" w:asciiTheme="minorEastAsia" w:hAnsiTheme="minorEastAsia" w:eastAsiaTheme="minorEastAsia"/>
          <w:color w:val="000000" w:themeColor="text1"/>
          <w:sz w:val="28"/>
          <w:szCs w:val="28"/>
        </w:rPr>
        <w:t>采购预算6万元，其中：市国土空间规划中心4万元，经开区国土空间规划中心2万元。主要用于购置</w:t>
      </w:r>
      <w:r>
        <w:rPr>
          <w:rFonts w:hint="eastAsia" w:asciiTheme="minorEastAsia" w:hAnsiTheme="minorEastAsia" w:eastAsiaTheme="minorEastAsia"/>
          <w:color w:val="000000" w:themeColor="text1"/>
          <w:sz w:val="28"/>
          <w:szCs w:val="28"/>
          <w:lang w:eastAsia="zh-CN"/>
        </w:rPr>
        <w:t>空调机、打印设备、扫描仪、一体机等</w:t>
      </w:r>
      <w:r>
        <w:rPr>
          <w:rFonts w:hint="eastAsia" w:asciiTheme="minorEastAsia" w:hAnsiTheme="minorEastAsia" w:eastAsiaTheme="minorEastAsia"/>
          <w:color w:val="000000" w:themeColor="text1"/>
          <w:sz w:val="28"/>
          <w:szCs w:val="28"/>
        </w:rPr>
        <w:t>。</w:t>
      </w:r>
    </w:p>
    <w:p>
      <w:pPr>
        <w:pStyle w:val="8"/>
        <w:shd w:val="clear" w:color="auto" w:fill="FFFFFF"/>
        <w:spacing w:before="0" w:beforeAutospacing="0" w:after="0" w:afterAutospacing="0" w:line="380" w:lineRule="atLeast"/>
        <w:ind w:firstLine="480"/>
        <w:outlineLvl w:val="1"/>
        <w:rPr>
          <w:rFonts w:asciiTheme="minorEastAsia" w:hAnsiTheme="minorEastAsia" w:eastAsiaTheme="minorEastAsia"/>
          <w:color w:val="000000"/>
          <w:sz w:val="28"/>
          <w:szCs w:val="28"/>
        </w:rPr>
      </w:pPr>
      <w:bookmarkStart w:id="28" w:name="_Toc139423654"/>
      <w:r>
        <w:rPr>
          <w:rStyle w:val="11"/>
          <w:rFonts w:hint="eastAsia" w:asciiTheme="minorEastAsia" w:hAnsiTheme="minorEastAsia" w:eastAsiaTheme="minorEastAsia"/>
          <w:bCs w:val="0"/>
          <w:color w:val="000000"/>
          <w:sz w:val="28"/>
          <w:szCs w:val="28"/>
        </w:rPr>
        <w:t>（三）国有资产占有使用情况</w:t>
      </w:r>
      <w:bookmarkEnd w:id="28"/>
    </w:p>
    <w:p>
      <w:pPr>
        <w:pStyle w:val="8"/>
        <w:shd w:val="clear" w:color="auto" w:fill="FFFFFF"/>
        <w:spacing w:before="0" w:beforeAutospacing="0" w:after="0" w:afterAutospacing="0" w:line="480" w:lineRule="atLeast"/>
        <w:ind w:firstLine="480"/>
        <w:rPr>
          <w:rFonts w:hint="eastAsia"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截至2021年底，市国土空间规划中心共有车辆0辆，其中，领导干部用车0辆、定向保障用车0辆、执法执勤用车0辆。单位价值50万元以上大型设备0台（套）。</w:t>
      </w:r>
    </w:p>
    <w:p>
      <w:pPr>
        <w:pStyle w:val="8"/>
        <w:shd w:val="clear" w:color="auto" w:fill="FFFFFF"/>
        <w:spacing w:before="0" w:beforeAutospacing="0" w:after="0" w:afterAutospacing="0" w:line="380" w:lineRule="atLeast"/>
        <w:ind w:firstLine="480"/>
        <w:outlineLvl w:val="1"/>
        <w:rPr>
          <w:rFonts w:asciiTheme="minorEastAsia" w:hAnsiTheme="minorEastAsia" w:eastAsiaTheme="minorEastAsia"/>
          <w:color w:val="000000"/>
          <w:sz w:val="28"/>
          <w:szCs w:val="28"/>
        </w:rPr>
      </w:pPr>
      <w:bookmarkStart w:id="29" w:name="_Toc139423655"/>
      <w:r>
        <w:rPr>
          <w:rStyle w:val="11"/>
          <w:rFonts w:hint="eastAsia" w:asciiTheme="minorEastAsia" w:hAnsiTheme="minorEastAsia" w:eastAsiaTheme="minorEastAsia"/>
          <w:bCs w:val="0"/>
          <w:color w:val="000000"/>
          <w:sz w:val="28"/>
          <w:szCs w:val="28"/>
        </w:rPr>
        <w:t>（四）绩效目标设置情况</w:t>
      </w:r>
      <w:bookmarkEnd w:id="29"/>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绩效目标是预算编制的前提和基础，2022年市国土空间规划中心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pStyle w:val="8"/>
        <w:shd w:val="clear" w:color="auto" w:fill="FFFFFF"/>
        <w:spacing w:before="0" w:beforeAutospacing="0" w:after="0" w:afterAutospacing="0" w:line="380" w:lineRule="atLeast"/>
        <w:ind w:firstLine="480"/>
        <w:outlineLvl w:val="0"/>
        <w:rPr>
          <w:rFonts w:asciiTheme="minorEastAsia" w:hAnsiTheme="minorEastAsia" w:eastAsiaTheme="minorEastAsia"/>
          <w:color w:val="000000"/>
          <w:sz w:val="28"/>
          <w:szCs w:val="28"/>
        </w:rPr>
      </w:pPr>
      <w:bookmarkStart w:id="30" w:name="_Toc139423656"/>
      <w:r>
        <w:rPr>
          <w:rStyle w:val="11"/>
          <w:rFonts w:hint="eastAsia" w:asciiTheme="minorEastAsia" w:hAnsiTheme="minorEastAsia" w:eastAsiaTheme="minorEastAsia"/>
          <w:bCs w:val="0"/>
          <w:color w:val="000000"/>
          <w:sz w:val="28"/>
          <w:szCs w:val="28"/>
        </w:rPr>
        <w:t>十一、名词解释</w:t>
      </w:r>
      <w:bookmarkEnd w:id="30"/>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（一）一般公共预算拨款收入：指市级财政当年拨付的资金。</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（二）上年结转：指以前年度尚未完成，结转到本年仍按原规定用途继续使用的资金。</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（三）城乡社区支出（类）城乡社区规划与管理（款）城乡社区规划与管理（项）：指机关单位用于保障机构正常运行、开展日常工作的基本支出。</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（四）城乡社区支出（类）城乡社区规划与管理（款）城乡社区规划与管理（项）：指机关单位开展规划编制管理工作的项目支出。</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（五）社会保障和就业（类）行政事业单位养老支出（款）事业单位离退休（项）：指事业单位离退休人员的支出。</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（六）社会保障和就业（类）行政事业单位养老支出（款）行政单位离退休（项）：指行政及参公管理事业单位离退休人员的支出。</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（七）社会保障和就业（类）行政事业单位养老支出（款）机关事业单位基本养老保险缴费支出（项）：指部门实施养老保险制度由单位缴纳的养老保险的支出。</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（八）社会保障和就业（类）行政事业单位养老支出（款）机关事业单位职业年金缴费支出（项）：指部门实施养老保险制度由单位缴纳的职业年金的支出。</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（九）卫生健康（类）行政事业单位医疗（款）行政单位医疗（项）：指机关及参公管理事业单位用于单位应缴纳基本医疗保险支出。</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（十）卫生健康（类）行政事业单位医疗（款）事业单位医疗（项）：指事业单位用于单位应缴纳基本医疗保险支出。</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（十一）卫生健康（类）行政事业单位医疗（款）公务员医疗补助（项）：指机关及参公管理事业单位用于集中缴纳公务员医疗补助支出。</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（十二）住房保障（类）住房改革支出（款）住房公积金（项）：指按照《住房公积金管理条例》的规定，由单位及其在职职工缴存的长期住房储金。</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（十三）基本支出：指为保证机构正常运转，完成日常工作任务而发生的人员支出和公用支出。</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（十四）项目支出：指在基本支出之外为完成特定行政任务和事业发展目标所发生的支出。</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十五）“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8"/>
        <w:shd w:val="clear" w:color="auto" w:fill="FFFFFF"/>
        <w:spacing w:before="0" w:beforeAutospacing="0" w:after="0" w:afterAutospacing="0" w:line="380" w:lineRule="atLeast"/>
        <w:ind w:firstLine="48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十六）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pStyle w:val="8"/>
        <w:shd w:val="clear" w:color="auto" w:fill="FFFFFF"/>
        <w:spacing w:before="0" w:beforeAutospacing="0" w:after="0" w:afterAutospacing="0" w:line="380" w:lineRule="atLeast"/>
        <w:ind w:firstLine="380"/>
        <w:jc w:val="both"/>
        <w:rPr>
          <w:rFonts w:asciiTheme="minorEastAsia" w:hAnsiTheme="minorEastAsia" w:eastAsiaTheme="minorEastAsia"/>
          <w:sz w:val="28"/>
          <w:szCs w:val="28"/>
        </w:rPr>
      </w:pPr>
    </w:p>
    <w:p>
      <w:pPr>
        <w:pStyle w:val="8"/>
        <w:shd w:val="clear" w:color="auto" w:fill="FFFFFF"/>
        <w:spacing w:before="0" w:beforeAutospacing="0" w:after="0" w:afterAutospacing="0" w:line="380" w:lineRule="atLeast"/>
        <w:ind w:firstLine="480"/>
        <w:rPr>
          <w:rFonts w:asciiTheme="minorEastAsia" w:hAnsiTheme="minorEastAsia" w:eastAsia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UxNGQ4MGZlMWEyMjYxNzUzYjFjN2MyNGNhOWY0ODcifQ=="/>
  </w:docVars>
  <w:rsids>
    <w:rsidRoot w:val="006C092C"/>
    <w:rsid w:val="004346ED"/>
    <w:rsid w:val="00487457"/>
    <w:rsid w:val="004E09EA"/>
    <w:rsid w:val="00602AAF"/>
    <w:rsid w:val="00614552"/>
    <w:rsid w:val="00621710"/>
    <w:rsid w:val="006C092C"/>
    <w:rsid w:val="0077246D"/>
    <w:rsid w:val="00824B7C"/>
    <w:rsid w:val="0096566D"/>
    <w:rsid w:val="009B588E"/>
    <w:rsid w:val="00A03874"/>
    <w:rsid w:val="00A47868"/>
    <w:rsid w:val="00A507DC"/>
    <w:rsid w:val="00A51C06"/>
    <w:rsid w:val="00B17373"/>
    <w:rsid w:val="00B70B8C"/>
    <w:rsid w:val="00BE7317"/>
    <w:rsid w:val="00CD40ED"/>
    <w:rsid w:val="00D002D3"/>
    <w:rsid w:val="00D57AEE"/>
    <w:rsid w:val="00E27B2E"/>
    <w:rsid w:val="00E52EC1"/>
    <w:rsid w:val="1D022FD1"/>
    <w:rsid w:val="6FDFF0DF"/>
    <w:rsid w:val="7BB92F05"/>
    <w:rsid w:val="7EFDEEC9"/>
    <w:rsid w:val="EFB70B4F"/>
    <w:rsid w:val="FC784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5"/>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unhideWhenUsed/>
    <w:qFormat/>
    <w:uiPriority w:val="39"/>
    <w:pPr>
      <w:ind w:left="840" w:leftChars="400"/>
    </w:pPr>
  </w:style>
  <w:style w:type="paragraph" w:styleId="4">
    <w:name w:val="footer"/>
    <w:basedOn w:val="1"/>
    <w:link w:val="14"/>
    <w:semiHidden/>
    <w:unhideWhenUsed/>
    <w:qFormat/>
    <w:uiPriority w:val="99"/>
    <w:pPr>
      <w:tabs>
        <w:tab w:val="center" w:pos="4153"/>
        <w:tab w:val="right" w:pos="8306"/>
      </w:tabs>
      <w:snapToGrid w:val="0"/>
      <w:jc w:val="left"/>
    </w:pPr>
    <w:rPr>
      <w:sz w:val="18"/>
      <w:szCs w:val="18"/>
    </w:rPr>
  </w:style>
  <w:style w:type="paragraph" w:styleId="5">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paragraph" w:styleId="7">
    <w:name w:val="toc 2"/>
    <w:basedOn w:val="1"/>
    <w:next w:val="1"/>
    <w:unhideWhenUsed/>
    <w:qFormat/>
    <w:uiPriority w:val="39"/>
    <w:pPr>
      <w:ind w:left="420" w:leftChars="200"/>
    </w:p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qFormat/>
    <w:uiPriority w:val="22"/>
    <w:rPr>
      <w:b/>
      <w:bCs/>
    </w:rPr>
  </w:style>
  <w:style w:type="character" w:styleId="12">
    <w:name w:val="Hyperlink"/>
    <w:basedOn w:val="10"/>
    <w:unhideWhenUsed/>
    <w:qFormat/>
    <w:uiPriority w:val="99"/>
    <w:rPr>
      <w:color w:val="0000FF" w:themeColor="hyperlink"/>
      <w:u w:val="single"/>
    </w:rPr>
  </w:style>
  <w:style w:type="character" w:customStyle="1" w:styleId="13">
    <w:name w:val="页眉 Char"/>
    <w:basedOn w:val="10"/>
    <w:link w:val="5"/>
    <w:semiHidden/>
    <w:qFormat/>
    <w:uiPriority w:val="99"/>
    <w:rPr>
      <w:sz w:val="18"/>
      <w:szCs w:val="18"/>
    </w:rPr>
  </w:style>
  <w:style w:type="character" w:customStyle="1" w:styleId="14">
    <w:name w:val="页脚 Char"/>
    <w:basedOn w:val="10"/>
    <w:link w:val="4"/>
    <w:semiHidden/>
    <w:qFormat/>
    <w:uiPriority w:val="99"/>
    <w:rPr>
      <w:sz w:val="18"/>
      <w:szCs w:val="18"/>
    </w:rPr>
  </w:style>
  <w:style w:type="character" w:customStyle="1" w:styleId="15">
    <w:name w:val="标题 3 Char"/>
    <w:basedOn w:val="10"/>
    <w:link w:val="2"/>
    <w:qFormat/>
    <w:uiPriority w:val="9"/>
    <w:rPr>
      <w:rFonts w:ascii="宋体" w:hAnsi="宋体" w:eastAsia="宋体" w:cs="宋体"/>
      <w:b/>
      <w:bCs/>
      <w:kern w:val="0"/>
      <w:sz w:val="27"/>
      <w:szCs w:val="2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1039</Words>
  <Characters>5926</Characters>
  <Lines>49</Lines>
  <Paragraphs>13</Paragraphs>
  <TotalTime>11</TotalTime>
  <ScaleCrop>false</ScaleCrop>
  <LinksUpToDate>false</LinksUpToDate>
  <CharactersWithSpaces>6952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2023-07-05T18:24:00Z</dcterms:created>
  <dc:creator>杨淑钧</dc:creator>
  <cp:lastModifiedBy>Administrator</cp:lastModifiedBy>
  <dcterms:modified xsi:type="dcterms:W3CDTF">2023-07-24T12:26:39Z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71F9669CD48545E4BA31B4BEA38E4252_12</vt:lpwstr>
  </property>
</Properties>
</file>