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ascii="黑体" w:hAnsi="黑体" w:eastAsia="黑体" w:cs="黑体"/>
          <w:b/>
          <w:bCs/>
          <w:color w:val="000000"/>
          <w:sz w:val="52"/>
          <w:szCs w:val="52"/>
        </w:rPr>
      </w:pPr>
      <w:bookmarkStart w:id="0" w:name="_Toc15396475"/>
      <w:bookmarkStart w:id="1" w:name="_Toc15377193"/>
      <w:bookmarkStart w:id="2" w:name="_Toc15377425"/>
      <w:bookmarkStart w:id="3" w:name="_Toc15396597"/>
      <w:bookmarkStart w:id="4" w:name="_Toc15378441"/>
      <w:r>
        <w:rPr>
          <w:rFonts w:hint="eastAsia" w:ascii="黑体" w:hAnsi="黑体" w:eastAsia="黑体" w:cs="黑体"/>
          <w:b/>
          <w:bCs/>
          <w:color w:val="000000"/>
          <w:sz w:val="52"/>
          <w:szCs w:val="52"/>
        </w:rPr>
        <w:t>202</w:t>
      </w:r>
      <w:r>
        <w:rPr>
          <w:rFonts w:hint="eastAsia" w:ascii="黑体" w:hAnsi="黑体" w:eastAsia="黑体" w:cs="黑体"/>
          <w:b/>
          <w:bCs/>
          <w:color w:val="000000"/>
          <w:sz w:val="52"/>
          <w:szCs w:val="52"/>
          <w:lang w:val="en-US" w:eastAsia="zh-CN"/>
        </w:rPr>
        <w:t>1</w:t>
      </w:r>
      <w:r>
        <w:rPr>
          <w:rFonts w:hint="eastAsia" w:ascii="黑体" w:hAnsi="黑体" w:eastAsia="黑体" w:cs="黑体"/>
          <w:b/>
          <w:bCs/>
          <w:color w:val="000000"/>
          <w:sz w:val="52"/>
          <w:szCs w:val="52"/>
        </w:rPr>
        <w:t>年度</w:t>
      </w:r>
      <w:bookmarkEnd w:id="0"/>
      <w:bookmarkEnd w:id="1"/>
      <w:bookmarkEnd w:id="2"/>
      <w:bookmarkEnd w:id="3"/>
      <w:bookmarkEnd w:id="4"/>
    </w:p>
    <w:p>
      <w:pPr>
        <w:adjustRightInd w:val="0"/>
        <w:snapToGrid w:val="0"/>
        <w:spacing w:line="360" w:lineRule="auto"/>
        <w:jc w:val="center"/>
        <w:outlineLvl w:val="0"/>
        <w:rPr>
          <w:rFonts w:hint="eastAsia" w:ascii="黑体" w:hAnsi="黑体" w:eastAsia="黑体" w:cs="黑体"/>
          <w:b/>
          <w:bCs/>
          <w:color w:val="000000"/>
          <w:sz w:val="52"/>
          <w:szCs w:val="52"/>
        </w:rPr>
      </w:pPr>
      <w:bookmarkStart w:id="5" w:name="_Toc15396598"/>
      <w:bookmarkStart w:id="6" w:name="_Toc15378442"/>
      <w:bookmarkStart w:id="7" w:name="_Toc15396476"/>
      <w:bookmarkStart w:id="8" w:name="_Toc15377194"/>
      <w:bookmarkStart w:id="9" w:name="_Toc15377426"/>
      <w:r>
        <w:rPr>
          <w:rFonts w:hint="eastAsia" w:ascii="黑体" w:hAnsi="黑体" w:eastAsia="黑体" w:cs="黑体"/>
          <w:b/>
          <w:bCs/>
          <w:color w:val="000000"/>
          <w:sz w:val="52"/>
          <w:szCs w:val="52"/>
        </w:rPr>
        <w:t>广元市</w:t>
      </w:r>
      <w:bookmarkStart w:id="10" w:name="_Toc15306268"/>
      <w:r>
        <w:rPr>
          <w:rFonts w:hint="eastAsia" w:ascii="黑体" w:hAnsi="黑体" w:eastAsia="黑体" w:cs="黑体"/>
          <w:b/>
          <w:bCs/>
          <w:color w:val="000000"/>
          <w:sz w:val="52"/>
          <w:szCs w:val="52"/>
        </w:rPr>
        <w:t>人民政府驻成都办事处</w:t>
      </w:r>
    </w:p>
    <w:p>
      <w:pPr>
        <w:adjustRightInd w:val="0"/>
        <w:snapToGrid w:val="0"/>
        <w:spacing w:line="360" w:lineRule="auto"/>
        <w:jc w:val="center"/>
        <w:outlineLvl w:val="0"/>
        <w:rPr>
          <w:rFonts w:hint="eastAsia" w:ascii="黑体" w:hAnsi="黑体" w:eastAsia="黑体" w:cs="黑体"/>
          <w:b/>
          <w:bCs/>
          <w:color w:val="000000"/>
          <w:sz w:val="52"/>
          <w:szCs w:val="52"/>
        </w:rPr>
      </w:pPr>
      <w:r>
        <w:rPr>
          <w:rFonts w:hint="eastAsia" w:ascii="黑体" w:hAnsi="黑体" w:eastAsia="黑体" w:cs="黑体"/>
          <w:b/>
          <w:bCs/>
          <w:color w:val="000000"/>
          <w:sz w:val="52"/>
          <w:szCs w:val="52"/>
          <w:lang w:val="en-US" w:eastAsia="zh-CN"/>
        </w:rPr>
        <w:t>单位</w:t>
      </w:r>
      <w:r>
        <w:rPr>
          <w:rFonts w:hint="eastAsia" w:ascii="黑体" w:hAnsi="黑体" w:eastAsia="黑体" w:cs="黑体"/>
          <w:b/>
          <w:bCs/>
          <w:color w:val="000000"/>
          <w:sz w:val="52"/>
          <w:szCs w:val="52"/>
        </w:rPr>
        <w:t>决算</w:t>
      </w:r>
      <w:bookmarkEnd w:id="5"/>
      <w:bookmarkEnd w:id="6"/>
      <w:bookmarkEnd w:id="7"/>
      <w:bookmarkEnd w:id="8"/>
      <w:bookmarkEnd w:id="9"/>
      <w:bookmarkEnd w:id="10"/>
    </w:p>
    <w:p>
      <w:pPr>
        <w:widowControl/>
        <w:jc w:val="center"/>
        <w:rPr>
          <w:rFonts w:hint="eastAsia"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pStyle w:val="7"/>
      </w:pPr>
    </w:p>
    <w:p>
      <w:pPr>
        <w:tabs>
          <w:tab w:val="right" w:leader="dot" w:pos="8296"/>
        </w:tabs>
        <w:adjustRightInd w:val="0"/>
        <w:snapToGrid w:val="0"/>
        <w:spacing w:line="576"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公开时间：2022年9月30日</w:t>
      </w:r>
    </w:p>
    <w:p>
      <w:pPr>
        <w:pStyle w:val="7"/>
        <w:rPr>
          <w:rFonts w:hint="default"/>
          <w:lang w:val="en-US" w:eastAsia="zh-CN"/>
        </w:rPr>
      </w:pPr>
    </w:p>
    <w:p>
      <w:pPr>
        <w:tabs>
          <w:tab w:val="right" w:leader="dot" w:pos="8296"/>
        </w:tabs>
        <w:adjustRightInd w:val="0"/>
        <w:snapToGrid w:val="0"/>
        <w:spacing w:line="576" w:lineRule="exact"/>
        <w:jc w:val="left"/>
        <w:rPr>
          <w:rFonts w:hint="eastAsia" w:ascii="仿宋" w:hAnsi="仿宋" w:eastAsia="仿宋" w:cs="仿宋"/>
          <w:b/>
          <w:bCs/>
          <w:sz w:val="32"/>
          <w:szCs w:val="32"/>
        </w:rPr>
      </w:pPr>
      <w:r>
        <w:rPr>
          <w:rFonts w:hint="eastAsia" w:ascii="仿宋" w:hAnsi="仿宋" w:eastAsia="仿宋" w:cs="仿宋"/>
          <w:b/>
          <w:bCs/>
          <w:sz w:val="32"/>
          <w:szCs w:val="32"/>
        </w:rPr>
        <w:t xml:space="preserve">第一部分 </w:t>
      </w:r>
      <w:r>
        <w:rPr>
          <w:rFonts w:hint="eastAsia" w:ascii="仿宋" w:hAnsi="仿宋" w:eastAsia="仿宋" w:cs="仿宋"/>
          <w:b/>
          <w:bCs/>
          <w:sz w:val="32"/>
          <w:szCs w:val="32"/>
          <w:lang w:val="en-US" w:eastAsia="zh-CN"/>
        </w:rPr>
        <w:t>单位</w:t>
      </w:r>
      <w:r>
        <w:rPr>
          <w:rFonts w:hint="eastAsia" w:ascii="仿宋" w:hAnsi="仿宋" w:eastAsia="仿宋" w:cs="仿宋"/>
          <w:b/>
          <w:bCs/>
          <w:sz w:val="32"/>
          <w:szCs w:val="32"/>
        </w:rPr>
        <w:t>概况</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 4</w:t>
      </w:r>
    </w:p>
    <w:p>
      <w:pPr>
        <w:tabs>
          <w:tab w:val="right" w:leader="dot" w:pos="8296"/>
        </w:tabs>
        <w:adjustRightInd w:val="0"/>
        <w:snapToGrid w:val="0"/>
        <w:spacing w:line="576" w:lineRule="exact"/>
        <w:jc w:val="left"/>
        <w:rPr>
          <w:rFonts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val="en-US" w:eastAsia="zh-CN"/>
        </w:rPr>
        <w:t>职能简介</w:t>
      </w:r>
      <w:r>
        <w:rPr>
          <w:rFonts w:hint="eastAsia" w:ascii="仿宋" w:hAnsi="仿宋" w:eastAsia="仿宋" w:cs="仿宋"/>
          <w:sz w:val="32"/>
          <w:szCs w:val="32"/>
        </w:rPr>
        <w:t xml:space="preserve">  ………………………………………………4</w:t>
      </w:r>
    </w:p>
    <w:p>
      <w:pPr>
        <w:tabs>
          <w:tab w:val="right" w:leader="dot" w:pos="8296"/>
        </w:tabs>
        <w:adjustRightInd w:val="0"/>
        <w:snapToGrid w:val="0"/>
        <w:spacing w:line="576" w:lineRule="exact"/>
        <w:jc w:val="left"/>
        <w:rPr>
          <w:rFonts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val="en-US" w:eastAsia="zh-CN"/>
        </w:rPr>
        <w:t>2021年重点工作完成情况</w:t>
      </w:r>
      <w:r>
        <w:rPr>
          <w:rFonts w:hint="eastAsia" w:ascii="仿宋" w:hAnsi="仿宋" w:eastAsia="仿宋" w:cs="仿宋"/>
          <w:sz w:val="32"/>
          <w:szCs w:val="32"/>
        </w:rPr>
        <w:t xml:space="preserve">  ……………………………1</w:t>
      </w:r>
      <w:r>
        <w:rPr>
          <w:rFonts w:ascii="仿宋" w:hAnsi="仿宋" w:eastAsia="仿宋" w:cs="仿宋"/>
          <w:sz w:val="32"/>
          <w:szCs w:val="32"/>
        </w:rPr>
        <w:t>1</w:t>
      </w:r>
    </w:p>
    <w:p>
      <w:pPr>
        <w:tabs>
          <w:tab w:val="right" w:leader="dot" w:pos="8296"/>
        </w:tabs>
        <w:adjustRightInd w:val="0"/>
        <w:snapToGrid w:val="0"/>
        <w:spacing w:line="576" w:lineRule="exact"/>
        <w:jc w:val="left"/>
        <w:rPr>
          <w:rFonts w:hint="eastAsia" w:ascii="仿宋" w:hAnsi="仿宋" w:eastAsia="仿宋" w:cs="仿宋"/>
          <w:b/>
          <w:bCs/>
          <w:sz w:val="32"/>
          <w:szCs w:val="32"/>
        </w:rPr>
      </w:pPr>
      <w:r>
        <w:rPr>
          <w:rFonts w:hint="eastAsia" w:ascii="仿宋" w:hAnsi="仿宋" w:eastAsia="仿宋" w:cs="仿宋"/>
          <w:b/>
          <w:bCs/>
          <w:sz w:val="32"/>
          <w:szCs w:val="32"/>
        </w:rPr>
        <w:t>第二部分  202</w:t>
      </w: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年度</w:t>
      </w:r>
      <w:r>
        <w:rPr>
          <w:rFonts w:hint="eastAsia" w:ascii="仿宋" w:hAnsi="仿宋" w:eastAsia="仿宋" w:cs="仿宋"/>
          <w:b/>
          <w:bCs/>
          <w:sz w:val="32"/>
          <w:szCs w:val="32"/>
          <w:lang w:val="en-US" w:eastAsia="zh-CN"/>
        </w:rPr>
        <w:t>单位</w:t>
      </w:r>
      <w:r>
        <w:rPr>
          <w:rFonts w:hint="eastAsia" w:ascii="仿宋" w:hAnsi="仿宋" w:eastAsia="仿宋" w:cs="仿宋"/>
          <w:b/>
          <w:bCs/>
          <w:sz w:val="32"/>
          <w:szCs w:val="32"/>
        </w:rPr>
        <w:t>决算情况说明</w:t>
      </w:r>
      <w:r>
        <w:rPr>
          <w:rFonts w:hint="eastAsia" w:ascii="仿宋" w:hAnsi="仿宋" w:eastAsia="仿宋" w:cs="仿宋"/>
          <w:sz w:val="32"/>
          <w:szCs w:val="32"/>
        </w:rPr>
        <w:t>………………… 1</w:t>
      </w:r>
      <w:r>
        <w:rPr>
          <w:rFonts w:ascii="仿宋" w:hAnsi="仿宋" w:eastAsia="仿宋" w:cs="仿宋"/>
          <w:sz w:val="32"/>
          <w:szCs w:val="32"/>
        </w:rPr>
        <w:t>2</w:t>
      </w:r>
    </w:p>
    <w:p>
      <w:pPr>
        <w:tabs>
          <w:tab w:val="right" w:leader="dot" w:pos="8296"/>
        </w:tabs>
        <w:adjustRightInd w:val="0"/>
        <w:snapToGrid w:val="0"/>
        <w:spacing w:line="576" w:lineRule="exact"/>
        <w:jc w:val="left"/>
        <w:rPr>
          <w:rFonts w:hint="eastAsia" w:ascii="仿宋" w:hAnsi="仿宋" w:eastAsia="仿宋" w:cs="仿宋"/>
          <w:sz w:val="32"/>
          <w:szCs w:val="32"/>
          <w:lang w:eastAsia="zh-CN"/>
        </w:rPr>
      </w:pPr>
      <w:r>
        <w:rPr>
          <w:rFonts w:hint="eastAsia" w:ascii="仿宋" w:hAnsi="仿宋" w:eastAsia="仿宋" w:cs="仿宋"/>
          <w:sz w:val="32"/>
          <w:szCs w:val="32"/>
        </w:rPr>
        <w:t>一、收入支出决算总体情况说明 ………………………… 1</w:t>
      </w:r>
      <w:r>
        <w:rPr>
          <w:rFonts w:hint="eastAsia" w:ascii="仿宋" w:hAnsi="仿宋" w:eastAsia="仿宋" w:cs="仿宋"/>
          <w:sz w:val="32"/>
          <w:szCs w:val="32"/>
          <w:lang w:val="en-US" w:eastAsia="zh-CN"/>
        </w:rPr>
        <w:t>2</w:t>
      </w:r>
      <w:r>
        <w:rPr>
          <w:rFonts w:hint="eastAsia" w:ascii="仿宋" w:hAnsi="仿宋" w:eastAsia="仿宋" w:cs="仿宋"/>
          <w:sz w:val="32"/>
          <w:szCs w:val="32"/>
        </w:rPr>
        <w:t>二、收入决算情况说明  …………………………………  1</w:t>
      </w:r>
      <w:r>
        <w:rPr>
          <w:rFonts w:hint="eastAsia" w:ascii="仿宋" w:hAnsi="仿宋" w:eastAsia="仿宋" w:cs="仿宋"/>
          <w:sz w:val="32"/>
          <w:szCs w:val="32"/>
          <w:lang w:val="en-US" w:eastAsia="zh-CN"/>
        </w:rPr>
        <w:t>2</w:t>
      </w:r>
      <w:r>
        <w:rPr>
          <w:rFonts w:hint="eastAsia" w:ascii="仿宋" w:hAnsi="仿宋" w:eastAsia="仿宋" w:cs="仿宋"/>
          <w:sz w:val="32"/>
          <w:szCs w:val="32"/>
        </w:rPr>
        <w:t>三、支出决算情况说明  …………………………………  1</w:t>
      </w:r>
      <w:r>
        <w:rPr>
          <w:rFonts w:hint="eastAsia" w:ascii="仿宋" w:hAnsi="仿宋" w:eastAsia="仿宋" w:cs="仿宋"/>
          <w:sz w:val="32"/>
          <w:szCs w:val="32"/>
          <w:lang w:val="en-US" w:eastAsia="zh-CN"/>
        </w:rPr>
        <w:t>3</w:t>
      </w:r>
    </w:p>
    <w:p>
      <w:pPr>
        <w:tabs>
          <w:tab w:val="right" w:leader="dot" w:pos="8296"/>
        </w:tabs>
        <w:adjustRightInd w:val="0"/>
        <w:snapToGrid w:val="0"/>
        <w:spacing w:line="576" w:lineRule="exact"/>
        <w:jc w:val="left"/>
        <w:rPr>
          <w:rFonts w:hint="default" w:ascii="仿宋" w:hAnsi="仿宋" w:eastAsia="仿宋" w:cs="仿宋"/>
          <w:sz w:val="32"/>
          <w:szCs w:val="32"/>
          <w:lang w:val="en-US" w:eastAsia="zh-CN"/>
        </w:rPr>
      </w:pPr>
      <w:r>
        <w:rPr>
          <w:rFonts w:hint="eastAsia" w:ascii="仿宋" w:hAnsi="仿宋" w:eastAsia="仿宋" w:cs="仿宋"/>
          <w:sz w:val="32"/>
          <w:szCs w:val="32"/>
        </w:rPr>
        <w:t>四、财政拨款收入支出决算总体情况说明   …………   1</w:t>
      </w:r>
      <w:r>
        <w:rPr>
          <w:rFonts w:hint="eastAsia" w:ascii="仿宋" w:hAnsi="仿宋" w:eastAsia="仿宋" w:cs="仿宋"/>
          <w:sz w:val="32"/>
          <w:szCs w:val="32"/>
          <w:lang w:val="en-US" w:eastAsia="zh-CN"/>
        </w:rPr>
        <w:t>4</w:t>
      </w:r>
      <w:r>
        <w:rPr>
          <w:rFonts w:hint="eastAsia" w:ascii="仿宋" w:hAnsi="仿宋" w:eastAsia="仿宋" w:cs="仿宋"/>
          <w:sz w:val="32"/>
          <w:szCs w:val="32"/>
        </w:rPr>
        <w:t>五、一般公共预算财政拨款支出决算情况说明 ………… 1</w:t>
      </w: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六、一般公共预算财政拨款基本支出决算情况说明 …… </w:t>
      </w:r>
      <w:r>
        <w:rPr>
          <w:rFonts w:hint="eastAsia" w:ascii="仿宋" w:hAnsi="仿宋" w:eastAsia="仿宋" w:cs="仿宋"/>
          <w:sz w:val="32"/>
          <w:szCs w:val="32"/>
          <w:lang w:val="en-US" w:eastAsia="zh-CN"/>
        </w:rPr>
        <w:t>18</w:t>
      </w:r>
    </w:p>
    <w:p>
      <w:pPr>
        <w:tabs>
          <w:tab w:val="right" w:leader="dot" w:pos="8296"/>
        </w:tabs>
        <w:adjustRightInd w:val="0"/>
        <w:snapToGrid w:val="0"/>
        <w:spacing w:line="576" w:lineRule="exact"/>
        <w:jc w:val="left"/>
        <w:rPr>
          <w:rFonts w:hint="default" w:ascii="仿宋" w:hAnsi="仿宋" w:eastAsia="仿宋" w:cs="仿宋"/>
          <w:sz w:val="32"/>
          <w:szCs w:val="32"/>
          <w:lang w:val="en-US" w:eastAsia="zh-CN"/>
        </w:rPr>
      </w:pPr>
      <w:r>
        <w:rPr>
          <w:rFonts w:hint="eastAsia" w:ascii="仿宋" w:hAnsi="仿宋" w:eastAsia="仿宋" w:cs="仿宋"/>
          <w:sz w:val="32"/>
          <w:szCs w:val="32"/>
        </w:rPr>
        <w:t xml:space="preserve">七、“三公”经费财政拨款支出决算情况说明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18</w:t>
      </w:r>
      <w:r>
        <w:rPr>
          <w:rFonts w:hint="eastAsia" w:ascii="仿宋" w:hAnsi="仿宋" w:eastAsia="仿宋" w:cs="仿宋"/>
          <w:sz w:val="32"/>
          <w:szCs w:val="32"/>
        </w:rPr>
        <w:t xml:space="preserve">八、政府性基金预算支出决算情况说明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20</w:t>
      </w:r>
    </w:p>
    <w:p>
      <w:pPr>
        <w:tabs>
          <w:tab w:val="right" w:leader="dot" w:pos="8296"/>
        </w:tabs>
        <w:adjustRightInd w:val="0"/>
        <w:snapToGrid w:val="0"/>
        <w:spacing w:line="576" w:lineRule="exact"/>
        <w:jc w:val="left"/>
        <w:rPr>
          <w:rFonts w:hint="default" w:ascii="仿宋" w:hAnsi="仿宋" w:eastAsia="仿宋" w:cs="仿宋"/>
          <w:sz w:val="32"/>
          <w:szCs w:val="32"/>
          <w:lang w:val="en-US" w:eastAsia="zh-CN"/>
        </w:rPr>
      </w:pPr>
      <w:r>
        <w:rPr>
          <w:rFonts w:hint="eastAsia" w:ascii="仿宋" w:hAnsi="仿宋" w:eastAsia="仿宋" w:cs="仿宋"/>
          <w:sz w:val="32"/>
          <w:szCs w:val="32"/>
        </w:rPr>
        <w:t>九</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国有资本经营预算支出决算情况说明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20</w:t>
      </w:r>
    </w:p>
    <w:p>
      <w:pPr>
        <w:tabs>
          <w:tab w:val="right" w:leader="dot" w:pos="8296"/>
        </w:tabs>
        <w:adjustRightInd w:val="0"/>
        <w:snapToGrid w:val="0"/>
        <w:spacing w:line="576" w:lineRule="exact"/>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十、预算绩效管理情况    </w:t>
      </w:r>
      <w:r>
        <w:rPr>
          <w:rFonts w:hint="eastAsia" w:ascii="仿宋" w:hAnsi="仿宋" w:eastAsia="仿宋" w:cs="仿宋"/>
          <w:sz w:val="32"/>
          <w:szCs w:val="32"/>
        </w:rPr>
        <w:t>…………………………………</w:t>
      </w:r>
      <w:r>
        <w:rPr>
          <w:rFonts w:hint="eastAsia" w:ascii="仿宋" w:hAnsi="仿宋" w:eastAsia="仿宋" w:cs="仿宋"/>
          <w:sz w:val="32"/>
          <w:szCs w:val="32"/>
          <w:lang w:val="en-US" w:eastAsia="zh-CN"/>
        </w:rPr>
        <w:t>20</w:t>
      </w:r>
    </w:p>
    <w:p>
      <w:pPr>
        <w:adjustRightInd w:val="0"/>
        <w:snapToGrid w:val="0"/>
        <w:spacing w:line="576" w:lineRule="exact"/>
        <w:jc w:val="left"/>
        <w:rPr>
          <w:rFonts w:hint="default" w:ascii="仿宋" w:hAnsi="仿宋" w:eastAsia="仿宋" w:cs="仿宋"/>
          <w:sz w:val="32"/>
          <w:szCs w:val="32"/>
          <w:lang w:val="en-US" w:eastAsia="zh-CN"/>
        </w:rPr>
      </w:pPr>
      <w:r>
        <w:rPr>
          <w:rFonts w:hint="eastAsia" w:ascii="仿宋" w:hAnsi="仿宋" w:eastAsia="仿宋" w:cs="仿宋"/>
          <w:color w:val="000000"/>
          <w:sz w:val="32"/>
          <w:szCs w:val="32"/>
        </w:rPr>
        <w:t>十</w:t>
      </w: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rPr>
        <w:t>、</w:t>
      </w:r>
      <w:r>
        <w:rPr>
          <w:rFonts w:hint="eastAsia" w:ascii="仿宋" w:hAnsi="仿宋" w:eastAsia="仿宋" w:cs="仿宋"/>
          <w:sz w:val="32"/>
          <w:szCs w:val="32"/>
        </w:rPr>
        <w:t>其他重要事项的情况说明</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20</w:t>
      </w:r>
    </w:p>
    <w:p>
      <w:pPr>
        <w:tabs>
          <w:tab w:val="right" w:leader="dot" w:pos="8296"/>
        </w:tabs>
        <w:adjustRightInd w:val="0"/>
        <w:snapToGrid w:val="0"/>
        <w:spacing w:line="576" w:lineRule="exact"/>
        <w:jc w:val="left"/>
        <w:rPr>
          <w:rFonts w:hint="default" w:ascii="仿宋" w:hAnsi="仿宋" w:eastAsia="仿宋" w:cs="仿宋"/>
          <w:sz w:val="32"/>
          <w:szCs w:val="32"/>
          <w:lang w:val="en-US" w:eastAsia="zh-CN"/>
        </w:rPr>
      </w:pPr>
      <w:r>
        <w:rPr>
          <w:rFonts w:hint="eastAsia" w:ascii="仿宋" w:hAnsi="仿宋" w:eastAsia="仿宋" w:cs="仿宋"/>
          <w:b/>
          <w:bCs/>
          <w:sz w:val="32"/>
          <w:szCs w:val="32"/>
        </w:rPr>
        <w:t>第三部分 名词解释……</w:t>
      </w:r>
      <w:r>
        <w:rPr>
          <w:rFonts w:hint="eastAsia" w:ascii="仿宋" w:hAnsi="仿宋" w:eastAsia="仿宋" w:cs="仿宋"/>
          <w:sz w:val="32"/>
          <w:szCs w:val="32"/>
        </w:rPr>
        <w:t>……………………………………</w:t>
      </w:r>
      <w:r>
        <w:rPr>
          <w:rFonts w:hint="eastAsia" w:ascii="仿宋" w:hAnsi="仿宋" w:eastAsia="仿宋" w:cs="仿宋"/>
          <w:sz w:val="32"/>
          <w:szCs w:val="32"/>
          <w:lang w:val="en-US" w:eastAsia="zh-CN"/>
        </w:rPr>
        <w:t>22</w:t>
      </w:r>
      <w:r>
        <w:rPr>
          <w:rFonts w:hint="eastAsia" w:ascii="仿宋" w:hAnsi="仿宋" w:eastAsia="仿宋" w:cs="仿宋"/>
          <w:b/>
          <w:bCs/>
          <w:sz w:val="32"/>
          <w:szCs w:val="32"/>
        </w:rPr>
        <w:t xml:space="preserve">第四部分 附件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24</w:t>
      </w:r>
      <w:r>
        <w:rPr>
          <w:rFonts w:hint="eastAsia" w:ascii="仿宋" w:hAnsi="仿宋" w:eastAsia="仿宋" w:cs="仿宋"/>
          <w:sz w:val="32"/>
          <w:szCs w:val="32"/>
        </w:rPr>
        <w:t>附件</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24</w:t>
      </w:r>
    </w:p>
    <w:p>
      <w:pPr>
        <w:tabs>
          <w:tab w:val="right" w:leader="dot" w:pos="8296"/>
        </w:tabs>
        <w:adjustRightInd w:val="0"/>
        <w:snapToGrid w:val="0"/>
        <w:spacing w:line="576" w:lineRule="exact"/>
        <w:jc w:val="left"/>
        <w:rPr>
          <w:rFonts w:hint="default" w:ascii="仿宋" w:hAnsi="仿宋" w:eastAsia="仿宋" w:cs="仿宋"/>
          <w:sz w:val="32"/>
          <w:szCs w:val="32"/>
          <w:lang w:val="en-US" w:eastAsia="zh-CN"/>
        </w:rPr>
      </w:pPr>
      <w:r>
        <w:rPr>
          <w:rFonts w:hint="eastAsia" w:ascii="仿宋" w:hAnsi="仿宋" w:eastAsia="仿宋" w:cs="仿宋"/>
          <w:b/>
          <w:bCs/>
          <w:sz w:val="32"/>
          <w:szCs w:val="32"/>
        </w:rPr>
        <w:t xml:space="preserve">第五部分 附表 </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39</w:t>
      </w:r>
      <w:r>
        <w:rPr>
          <w:rFonts w:hint="eastAsia" w:ascii="仿宋" w:hAnsi="仿宋" w:eastAsia="仿宋" w:cs="仿宋"/>
          <w:sz w:val="32"/>
          <w:szCs w:val="32"/>
        </w:rPr>
        <w:t>一、收入支出决算总表</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39</w:t>
      </w:r>
      <w:r>
        <w:rPr>
          <w:rFonts w:hint="eastAsia" w:ascii="仿宋" w:hAnsi="仿宋" w:eastAsia="仿宋" w:cs="仿宋"/>
          <w:sz w:val="32"/>
          <w:szCs w:val="32"/>
        </w:rPr>
        <w:t>二、收入决算表</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39</w:t>
      </w:r>
    </w:p>
    <w:p>
      <w:pPr>
        <w:tabs>
          <w:tab w:val="right" w:leader="dot" w:pos="8296"/>
        </w:tabs>
        <w:adjustRightInd w:val="0"/>
        <w:snapToGrid w:val="0"/>
        <w:spacing w:line="576" w:lineRule="exact"/>
        <w:jc w:val="left"/>
        <w:rPr>
          <w:rFonts w:hint="default" w:ascii="仿宋" w:hAnsi="仿宋" w:eastAsia="仿宋" w:cs="仿宋"/>
          <w:sz w:val="32"/>
          <w:szCs w:val="32"/>
          <w:lang w:val="en-US"/>
        </w:rPr>
      </w:pPr>
      <w:r>
        <w:rPr>
          <w:rFonts w:hint="eastAsia" w:ascii="仿宋" w:hAnsi="仿宋" w:eastAsia="仿宋" w:cs="仿宋"/>
          <w:sz w:val="32"/>
          <w:szCs w:val="32"/>
        </w:rPr>
        <w:t>三、支出决算表</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39</w:t>
      </w:r>
    </w:p>
    <w:p>
      <w:pPr>
        <w:tabs>
          <w:tab w:val="right" w:leader="dot" w:pos="8296"/>
        </w:tabs>
        <w:adjustRightInd w:val="0"/>
        <w:snapToGrid w:val="0"/>
        <w:spacing w:line="576" w:lineRule="exact"/>
        <w:jc w:val="left"/>
        <w:rPr>
          <w:rFonts w:hint="default" w:ascii="仿宋" w:hAnsi="仿宋" w:eastAsia="仿宋" w:cs="仿宋"/>
          <w:sz w:val="32"/>
          <w:szCs w:val="32"/>
          <w:lang w:val="en-US" w:eastAsia="zh-CN"/>
        </w:rPr>
      </w:pPr>
      <w:r>
        <w:rPr>
          <w:rFonts w:hint="eastAsia" w:ascii="仿宋" w:hAnsi="仿宋" w:eastAsia="仿宋" w:cs="仿宋"/>
          <w:sz w:val="32"/>
          <w:szCs w:val="32"/>
        </w:rPr>
        <w:t>四、财政拨款收入支出决算总表</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39</w:t>
      </w:r>
      <w:r>
        <w:rPr>
          <w:rFonts w:hint="eastAsia" w:ascii="仿宋" w:hAnsi="仿宋" w:eastAsia="仿宋" w:cs="仿宋"/>
          <w:sz w:val="32"/>
          <w:szCs w:val="32"/>
        </w:rPr>
        <w:t>五、财政拨款支出决算明细表</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39</w:t>
      </w:r>
    </w:p>
    <w:p>
      <w:pPr>
        <w:tabs>
          <w:tab w:val="right" w:leader="dot" w:pos="8296"/>
        </w:tabs>
        <w:adjustRightInd w:val="0"/>
        <w:snapToGrid w:val="0"/>
        <w:spacing w:line="576" w:lineRule="exact"/>
        <w:jc w:val="left"/>
        <w:rPr>
          <w:rFonts w:hint="default" w:ascii="仿宋" w:hAnsi="仿宋" w:eastAsia="仿宋" w:cs="仿宋"/>
          <w:sz w:val="32"/>
          <w:szCs w:val="32"/>
          <w:lang w:val="en-US"/>
        </w:rPr>
      </w:pPr>
      <w:r>
        <w:rPr>
          <w:rFonts w:hint="eastAsia" w:ascii="仿宋" w:hAnsi="仿宋" w:eastAsia="仿宋" w:cs="仿宋"/>
          <w:sz w:val="32"/>
          <w:szCs w:val="32"/>
        </w:rPr>
        <w:t>六、一般公共预算财政拨款支出决算表……………………</w:t>
      </w:r>
      <w:r>
        <w:rPr>
          <w:rFonts w:hint="eastAsia" w:ascii="仿宋" w:hAnsi="仿宋" w:eastAsia="仿宋" w:cs="仿宋"/>
          <w:sz w:val="32"/>
          <w:szCs w:val="32"/>
          <w:lang w:val="en-US" w:eastAsia="zh-CN"/>
        </w:rPr>
        <w:t>39</w:t>
      </w:r>
      <w:r>
        <w:rPr>
          <w:rFonts w:hint="eastAsia" w:ascii="仿宋" w:hAnsi="仿宋" w:eastAsia="仿宋" w:cs="仿宋"/>
          <w:sz w:val="32"/>
          <w:szCs w:val="32"/>
        </w:rPr>
        <w:t>七、一般公共预算财政拨款支出决算明细表………………</w:t>
      </w:r>
      <w:r>
        <w:rPr>
          <w:rFonts w:hint="eastAsia" w:ascii="仿宋" w:hAnsi="仿宋" w:eastAsia="仿宋" w:cs="仿宋"/>
          <w:sz w:val="32"/>
          <w:szCs w:val="32"/>
          <w:lang w:val="en-US" w:eastAsia="zh-CN"/>
        </w:rPr>
        <w:t>39</w:t>
      </w:r>
      <w:r>
        <w:rPr>
          <w:rFonts w:hint="eastAsia" w:ascii="仿宋" w:hAnsi="仿宋" w:eastAsia="仿宋" w:cs="仿宋"/>
          <w:sz w:val="32"/>
          <w:szCs w:val="32"/>
        </w:rPr>
        <w:t>八、一般公共预算财政拨款基本支出决算表………………</w:t>
      </w:r>
      <w:r>
        <w:rPr>
          <w:rFonts w:hint="eastAsia" w:ascii="仿宋" w:hAnsi="仿宋" w:eastAsia="仿宋" w:cs="仿宋"/>
          <w:sz w:val="32"/>
          <w:szCs w:val="32"/>
          <w:lang w:val="en-US" w:eastAsia="zh-CN"/>
        </w:rPr>
        <w:t>39</w:t>
      </w:r>
      <w:r>
        <w:rPr>
          <w:rFonts w:hint="eastAsia" w:ascii="仿宋" w:hAnsi="仿宋" w:eastAsia="仿宋" w:cs="仿宋"/>
          <w:sz w:val="32"/>
          <w:szCs w:val="32"/>
        </w:rPr>
        <w:t>九、一般公共预算财政拨款项目支出决算表………………</w:t>
      </w:r>
      <w:r>
        <w:rPr>
          <w:rFonts w:hint="eastAsia" w:ascii="仿宋" w:hAnsi="仿宋" w:eastAsia="仿宋" w:cs="仿宋"/>
          <w:sz w:val="32"/>
          <w:szCs w:val="32"/>
          <w:lang w:val="en-US" w:eastAsia="zh-CN"/>
        </w:rPr>
        <w:t>39</w:t>
      </w:r>
    </w:p>
    <w:p>
      <w:pPr>
        <w:tabs>
          <w:tab w:val="right" w:leader="dot" w:pos="8296"/>
        </w:tabs>
        <w:adjustRightInd w:val="0"/>
        <w:snapToGrid w:val="0"/>
        <w:spacing w:line="576" w:lineRule="exact"/>
        <w:jc w:val="left"/>
        <w:rPr>
          <w:rFonts w:hint="default" w:ascii="仿宋" w:hAnsi="仿宋" w:eastAsia="仿宋" w:cs="仿宋"/>
          <w:sz w:val="32"/>
          <w:szCs w:val="32"/>
          <w:lang w:val="en-US"/>
        </w:rPr>
      </w:pPr>
      <w:r>
        <w:rPr>
          <w:rFonts w:hint="eastAsia" w:ascii="仿宋" w:hAnsi="仿宋" w:eastAsia="仿宋" w:cs="仿宋"/>
          <w:sz w:val="32"/>
          <w:szCs w:val="32"/>
        </w:rPr>
        <w:t>十、一般公共预算财政拨款“三公”经费支出决算表……</w:t>
      </w:r>
      <w:r>
        <w:rPr>
          <w:rFonts w:hint="eastAsia" w:ascii="仿宋" w:hAnsi="仿宋" w:eastAsia="仿宋" w:cs="仿宋"/>
          <w:sz w:val="32"/>
          <w:szCs w:val="32"/>
          <w:lang w:val="en-US" w:eastAsia="zh-CN"/>
        </w:rPr>
        <w:t>39</w:t>
      </w:r>
    </w:p>
    <w:p>
      <w:pPr>
        <w:tabs>
          <w:tab w:val="right" w:leader="dot" w:pos="8296"/>
        </w:tabs>
        <w:adjustRightInd w:val="0"/>
        <w:snapToGrid w:val="0"/>
        <w:spacing w:line="576" w:lineRule="exact"/>
        <w:jc w:val="left"/>
        <w:rPr>
          <w:rFonts w:hint="default" w:ascii="仿宋" w:hAnsi="仿宋" w:eastAsia="仿宋" w:cs="仿宋"/>
          <w:sz w:val="32"/>
          <w:szCs w:val="32"/>
          <w:lang w:val="en-US"/>
        </w:rPr>
      </w:pPr>
      <w:r>
        <w:rPr>
          <w:rFonts w:hint="eastAsia" w:ascii="仿宋" w:hAnsi="仿宋" w:eastAsia="仿宋" w:cs="仿宋"/>
          <w:sz w:val="32"/>
          <w:szCs w:val="32"/>
        </w:rPr>
        <w:t>十一、政府性基金预算财政拨款收入支出决算表</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39</w:t>
      </w:r>
    </w:p>
    <w:p>
      <w:pPr>
        <w:tabs>
          <w:tab w:val="right" w:leader="dot" w:pos="8296"/>
        </w:tabs>
        <w:adjustRightInd w:val="0"/>
        <w:snapToGrid w:val="0"/>
        <w:spacing w:line="576" w:lineRule="exact"/>
        <w:jc w:val="left"/>
        <w:rPr>
          <w:rFonts w:hint="default" w:ascii="仿宋" w:hAnsi="仿宋" w:eastAsia="仿宋" w:cs="仿宋"/>
          <w:sz w:val="32"/>
          <w:szCs w:val="32"/>
          <w:lang w:val="en-US" w:eastAsia="zh-CN"/>
        </w:rPr>
      </w:pPr>
      <w:r>
        <w:rPr>
          <w:rFonts w:hint="eastAsia" w:ascii="仿宋" w:hAnsi="仿宋" w:eastAsia="仿宋" w:cs="仿宋"/>
          <w:sz w:val="32"/>
          <w:szCs w:val="32"/>
        </w:rPr>
        <w:t>十二、政府性基金预算财政拨款“三公”经费支出决算表</w:t>
      </w:r>
      <w:r>
        <w:rPr>
          <w:rFonts w:hint="eastAsia" w:ascii="仿宋" w:hAnsi="仿宋" w:eastAsia="仿宋" w:cs="仿宋"/>
          <w:sz w:val="32"/>
          <w:szCs w:val="32"/>
          <w:lang w:val="en-US" w:eastAsia="zh-CN"/>
        </w:rPr>
        <w:t>39</w:t>
      </w:r>
    </w:p>
    <w:p>
      <w:pPr>
        <w:tabs>
          <w:tab w:val="right" w:leader="dot" w:pos="8296"/>
        </w:tabs>
        <w:adjustRightInd w:val="0"/>
        <w:snapToGrid w:val="0"/>
        <w:spacing w:line="576" w:lineRule="exact"/>
        <w:jc w:val="center"/>
        <w:rPr>
          <w:rFonts w:hint="default" w:ascii="宋体" w:hAnsi="宋体"/>
          <w:b/>
          <w:sz w:val="32"/>
          <w:szCs w:val="32"/>
          <w:lang w:val="en-US"/>
        </w:rPr>
      </w:pPr>
      <w:r>
        <w:rPr>
          <w:rFonts w:hint="eastAsia" w:ascii="仿宋" w:hAnsi="仿宋" w:eastAsia="仿宋" w:cs="仿宋"/>
          <w:sz w:val="32"/>
          <w:szCs w:val="32"/>
        </w:rPr>
        <w:t>十三、国有资本经营预算财政拨款收入支出决算表</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39</w:t>
      </w:r>
      <w:r>
        <w:rPr>
          <w:rFonts w:hint="eastAsia" w:ascii="仿宋" w:hAnsi="仿宋" w:eastAsia="仿宋" w:cs="仿宋"/>
          <w:sz w:val="32"/>
          <w:szCs w:val="32"/>
        </w:rPr>
        <w:t>十四、国有资本经营预算财政拨款支出决算表</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bookmarkStart w:id="11" w:name="_Toc15377196"/>
      <w:bookmarkStart w:id="12" w:name="_Toc15396599"/>
      <w:r>
        <w:rPr>
          <w:rFonts w:hint="eastAsia" w:ascii="仿宋" w:hAnsi="仿宋" w:eastAsia="仿宋" w:cs="仿宋"/>
          <w:sz w:val="32"/>
          <w:szCs w:val="32"/>
          <w:lang w:val="en-US" w:eastAsia="zh-CN"/>
        </w:rPr>
        <w:t>39</w:t>
      </w:r>
    </w:p>
    <w:p>
      <w:pPr>
        <w:tabs>
          <w:tab w:val="right" w:leader="dot" w:pos="8296"/>
        </w:tabs>
        <w:adjustRightInd w:val="0"/>
        <w:snapToGrid w:val="0"/>
        <w:spacing w:line="576" w:lineRule="exact"/>
        <w:jc w:val="center"/>
        <w:rPr>
          <w:rStyle w:val="14"/>
          <w:rFonts w:hint="eastAsia" w:ascii="黑体" w:hAnsi="黑体" w:eastAsia="黑体"/>
          <w:b/>
          <w:bCs/>
        </w:rPr>
      </w:pPr>
    </w:p>
    <w:p>
      <w:pPr>
        <w:tabs>
          <w:tab w:val="right" w:leader="dot" w:pos="8296"/>
        </w:tabs>
        <w:adjustRightInd w:val="0"/>
        <w:snapToGrid w:val="0"/>
        <w:spacing w:line="576" w:lineRule="exact"/>
        <w:jc w:val="center"/>
        <w:rPr>
          <w:rStyle w:val="14"/>
          <w:rFonts w:hint="eastAsia" w:ascii="黑体" w:hAnsi="黑体" w:eastAsia="黑体"/>
          <w:b/>
          <w:bCs/>
        </w:rPr>
      </w:pPr>
    </w:p>
    <w:p>
      <w:pPr>
        <w:tabs>
          <w:tab w:val="right" w:leader="dot" w:pos="8296"/>
        </w:tabs>
        <w:adjustRightInd w:val="0"/>
        <w:snapToGrid w:val="0"/>
        <w:spacing w:line="576" w:lineRule="exact"/>
        <w:jc w:val="center"/>
        <w:rPr>
          <w:rStyle w:val="14"/>
          <w:rFonts w:hint="eastAsia" w:ascii="黑体" w:hAnsi="黑体" w:eastAsia="黑体"/>
          <w:b/>
          <w:bCs/>
        </w:rPr>
      </w:pPr>
    </w:p>
    <w:p>
      <w:pPr>
        <w:tabs>
          <w:tab w:val="right" w:leader="dot" w:pos="8296"/>
        </w:tabs>
        <w:adjustRightInd w:val="0"/>
        <w:snapToGrid w:val="0"/>
        <w:spacing w:line="576" w:lineRule="exact"/>
        <w:jc w:val="center"/>
        <w:rPr>
          <w:rStyle w:val="14"/>
          <w:rFonts w:hint="eastAsia" w:ascii="黑体" w:hAnsi="黑体" w:eastAsia="黑体"/>
          <w:b/>
          <w:bCs/>
        </w:rPr>
      </w:pPr>
    </w:p>
    <w:p>
      <w:pPr>
        <w:tabs>
          <w:tab w:val="right" w:leader="dot" w:pos="8296"/>
        </w:tabs>
        <w:adjustRightInd w:val="0"/>
        <w:snapToGrid w:val="0"/>
        <w:spacing w:line="576" w:lineRule="exact"/>
        <w:jc w:val="center"/>
        <w:rPr>
          <w:rStyle w:val="14"/>
          <w:rFonts w:hint="eastAsia" w:ascii="黑体" w:hAnsi="黑体" w:eastAsia="黑体"/>
          <w:b/>
          <w:bCs/>
        </w:rPr>
      </w:pPr>
    </w:p>
    <w:p>
      <w:pPr>
        <w:tabs>
          <w:tab w:val="right" w:leader="dot" w:pos="8296"/>
        </w:tabs>
        <w:adjustRightInd w:val="0"/>
        <w:snapToGrid w:val="0"/>
        <w:spacing w:line="576" w:lineRule="exact"/>
        <w:jc w:val="center"/>
        <w:rPr>
          <w:rStyle w:val="14"/>
          <w:rFonts w:hint="eastAsia" w:ascii="黑体" w:hAnsi="黑体" w:eastAsia="黑体"/>
          <w:b/>
          <w:bCs/>
        </w:rPr>
      </w:pPr>
    </w:p>
    <w:p>
      <w:pPr>
        <w:tabs>
          <w:tab w:val="right" w:leader="dot" w:pos="8296"/>
        </w:tabs>
        <w:adjustRightInd w:val="0"/>
        <w:snapToGrid w:val="0"/>
        <w:spacing w:line="576" w:lineRule="exact"/>
        <w:jc w:val="center"/>
        <w:rPr>
          <w:rStyle w:val="14"/>
          <w:rFonts w:hint="eastAsia" w:ascii="黑体" w:hAnsi="黑体" w:eastAsia="黑体"/>
          <w:b/>
          <w:bCs/>
        </w:rPr>
      </w:pPr>
    </w:p>
    <w:p>
      <w:pPr>
        <w:pStyle w:val="2"/>
        <w:rPr>
          <w:rStyle w:val="14"/>
          <w:rFonts w:hint="eastAsia" w:ascii="黑体" w:hAnsi="黑体" w:eastAsia="黑体"/>
          <w:b/>
          <w:bCs/>
        </w:rPr>
      </w:pPr>
    </w:p>
    <w:p>
      <w:pPr>
        <w:tabs>
          <w:tab w:val="right" w:leader="dot" w:pos="8296"/>
        </w:tabs>
        <w:adjustRightInd w:val="0"/>
        <w:snapToGrid w:val="0"/>
        <w:spacing w:line="576" w:lineRule="exact"/>
        <w:jc w:val="both"/>
        <w:rPr>
          <w:rStyle w:val="14"/>
          <w:rFonts w:hint="eastAsia" w:ascii="黑体" w:hAnsi="黑体" w:eastAsia="黑体"/>
          <w:b/>
          <w:bCs/>
        </w:rPr>
      </w:pPr>
    </w:p>
    <w:p>
      <w:pPr>
        <w:pStyle w:val="2"/>
        <w:rPr>
          <w:rStyle w:val="14"/>
          <w:rFonts w:hint="eastAsia" w:ascii="黑体" w:hAnsi="黑体" w:eastAsia="黑体"/>
          <w:b/>
          <w:bCs/>
        </w:rPr>
      </w:pPr>
    </w:p>
    <w:p>
      <w:pPr>
        <w:pStyle w:val="2"/>
        <w:rPr>
          <w:rStyle w:val="14"/>
          <w:rFonts w:hint="eastAsia" w:ascii="黑体" w:hAnsi="黑体" w:eastAsia="黑体"/>
          <w:b/>
          <w:bCs/>
        </w:rPr>
      </w:pPr>
    </w:p>
    <w:p>
      <w:pPr>
        <w:tabs>
          <w:tab w:val="right" w:leader="dot" w:pos="8296"/>
        </w:tabs>
        <w:adjustRightInd w:val="0"/>
        <w:snapToGrid w:val="0"/>
        <w:spacing w:line="576" w:lineRule="exact"/>
        <w:jc w:val="center"/>
        <w:rPr>
          <w:rStyle w:val="14"/>
          <w:rFonts w:hint="eastAsia" w:ascii="黑体" w:hAnsi="黑体" w:eastAsia="黑体"/>
          <w:b/>
          <w:bCs/>
        </w:rPr>
      </w:pPr>
    </w:p>
    <w:p>
      <w:pPr>
        <w:tabs>
          <w:tab w:val="right" w:leader="dot" w:pos="8296"/>
        </w:tabs>
        <w:adjustRightInd w:val="0"/>
        <w:snapToGrid w:val="0"/>
        <w:spacing w:line="576" w:lineRule="exact"/>
        <w:jc w:val="center"/>
        <w:rPr>
          <w:rStyle w:val="14"/>
          <w:rFonts w:ascii="黑体" w:hAnsi="黑体" w:eastAsia="黑体"/>
          <w:b w:val="0"/>
        </w:rPr>
      </w:pPr>
      <w:r>
        <w:rPr>
          <w:rStyle w:val="14"/>
          <w:rFonts w:hint="eastAsia" w:ascii="黑体" w:hAnsi="黑体" w:eastAsia="黑体"/>
          <w:b/>
          <w:bCs/>
        </w:rPr>
        <w:t>第一部分 部门</w:t>
      </w:r>
      <w:r>
        <w:rPr>
          <w:rStyle w:val="14"/>
          <w:rFonts w:hint="eastAsia" w:ascii="黑体" w:hAnsi="黑体" w:eastAsia="黑体"/>
        </w:rPr>
        <w:t>概况</w:t>
      </w:r>
      <w:bookmarkEnd w:id="11"/>
      <w:bookmarkEnd w:id="12"/>
    </w:p>
    <w:p>
      <w:pPr>
        <w:widowControl/>
        <w:jc w:val="left"/>
        <w:rPr>
          <w:rFonts w:ascii="黑体" w:eastAsia="黑体"/>
          <w:color w:val="000000"/>
          <w:sz w:val="32"/>
          <w:szCs w:val="32"/>
        </w:rPr>
      </w:pPr>
    </w:p>
    <w:p>
      <w:pPr>
        <w:pStyle w:val="4"/>
        <w:rPr>
          <w:rStyle w:val="15"/>
          <w:rFonts w:hint="eastAsia" w:ascii="微软雅黑" w:hAnsi="微软雅黑" w:eastAsia="微软雅黑"/>
          <w:b w:val="0"/>
          <w:bCs/>
          <w:lang w:val="en-US" w:eastAsia="zh-CN"/>
        </w:rPr>
      </w:pPr>
      <w:bookmarkStart w:id="13" w:name="_Toc15396600"/>
      <w:bookmarkStart w:id="14" w:name="_Toc15377197"/>
      <w:r>
        <w:rPr>
          <w:rFonts w:hint="eastAsia" w:ascii="微软雅黑" w:hAnsi="微软雅黑" w:eastAsia="微软雅黑"/>
          <w:b w:val="0"/>
          <w:color w:val="000000"/>
        </w:rPr>
        <w:t>一、</w:t>
      </w:r>
      <w:bookmarkEnd w:id="13"/>
      <w:bookmarkEnd w:id="14"/>
      <w:r>
        <w:rPr>
          <w:rFonts w:hint="eastAsia" w:ascii="微软雅黑" w:hAnsi="微软雅黑" w:eastAsia="微软雅黑"/>
          <w:b w:val="0"/>
          <w:color w:val="000000"/>
          <w:lang w:val="en-US" w:eastAsia="zh-CN"/>
        </w:rPr>
        <w:t>职能简介</w:t>
      </w:r>
    </w:p>
    <w:p>
      <w:pPr>
        <w:snapToGrid w:val="0"/>
        <w:spacing w:line="560" w:lineRule="exact"/>
        <w:ind w:firstLine="640" w:firstLineChars="200"/>
        <w:rPr>
          <w:rFonts w:hint="eastAsia" w:ascii="宋体" w:hAnsi="宋体" w:cs="宋体"/>
          <w:bCs/>
          <w:sz w:val="32"/>
          <w:szCs w:val="32"/>
        </w:rPr>
      </w:pPr>
      <w:bookmarkStart w:id="15" w:name="_Toc15378446"/>
      <w:bookmarkStart w:id="16" w:name="_Toc15377199"/>
      <w:r>
        <w:rPr>
          <w:rFonts w:hint="eastAsia" w:ascii="宋体" w:hAnsi="宋体" w:cs="宋体"/>
          <w:bCs/>
          <w:sz w:val="32"/>
          <w:szCs w:val="32"/>
          <w:lang w:val="en-US" w:eastAsia="zh-CN"/>
        </w:rPr>
        <w:t>广元</w:t>
      </w:r>
      <w:r>
        <w:rPr>
          <w:rFonts w:hint="eastAsia" w:ascii="宋体" w:hAnsi="宋体" w:cs="宋体"/>
          <w:bCs/>
          <w:sz w:val="32"/>
          <w:szCs w:val="32"/>
        </w:rPr>
        <w:t>市人民政府驻成都办事处的主要职能是服务区域间经济合作，做好招商引资工作；参与社会管理及公共服务，扎实做好信访维稳工作；做好流动党员管理工作，夯实驻外机构队伍建设；增强政务联络和信息沟通，不断提高政务服务能力；负责市四大班子领导在蓉的政务服务工作，包括接待工作、联络工作等；做好企业代管工作，开源节流，挖潜创效，确保国有资产保值增值；市委、市政府交办的其他工作。</w:t>
      </w:r>
    </w:p>
    <w:p>
      <w:pPr>
        <w:pStyle w:val="4"/>
        <w:rPr>
          <w:rFonts w:hint="eastAsia" w:ascii="微软雅黑" w:hAnsi="微软雅黑" w:eastAsia="微软雅黑"/>
          <w:b w:val="0"/>
          <w:color w:val="000000"/>
          <w:lang w:val="en-US" w:eastAsia="zh-CN"/>
        </w:rPr>
      </w:pPr>
      <w:r>
        <w:rPr>
          <w:rFonts w:hint="eastAsia" w:ascii="微软雅黑" w:hAnsi="微软雅黑" w:eastAsia="微软雅黑"/>
          <w:b w:val="0"/>
          <w:color w:val="000000"/>
          <w:lang w:val="en-US" w:eastAsia="zh-CN"/>
        </w:rPr>
        <w:t>二、2021年重点工作完成情况</w:t>
      </w:r>
      <w:bookmarkEnd w:id="15"/>
      <w:bookmarkEnd w:id="16"/>
    </w:p>
    <w:p>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firstLine="640" w:firstLineChars="200"/>
        <w:textAlignment w:val="auto"/>
        <w:rPr>
          <w:rFonts w:hint="eastAsia" w:ascii="宋体" w:hAnsi="宋体" w:cs="宋体"/>
          <w:sz w:val="32"/>
          <w:szCs w:val="32"/>
          <w:lang w:val="en-US" w:eastAsia="zh-CN"/>
        </w:rPr>
      </w:pPr>
      <w:r>
        <w:rPr>
          <w:rFonts w:hint="eastAsia" w:ascii="宋体" w:hAnsi="宋体" w:cs="宋体"/>
          <w:sz w:val="32"/>
          <w:szCs w:val="32"/>
          <w:lang w:val="en-US" w:eastAsia="zh-CN"/>
        </w:rPr>
        <w:t>2021年，广元驻蓉办在市委、市政府的坚强领导下，在省机关事务管理局的正确指导下，深入贯彻落实党的十九届六中全会,省委十一届九次、十次全会和市第八次党代会精神，举旗护核凝神聚力、坚守主业精耕细作、服务大局奋勇争先，有效发挥“桥梁”、“纽带”作用，各项工作取得了显著成绩，圆满完成了全年各项工作目标及任务。</w:t>
      </w:r>
    </w:p>
    <w:p>
      <w:pPr>
        <w:keepNext w:val="0"/>
        <w:keepLines w:val="0"/>
        <w:pageBreakBefore w:val="0"/>
        <w:widowControl w:val="0"/>
        <w:numPr>
          <w:ilvl w:val="0"/>
          <w:numId w:val="1"/>
        </w:numPr>
        <w:kinsoku/>
        <w:wordWrap/>
        <w:overflowPunct/>
        <w:topLinePunct w:val="0"/>
        <w:autoSpaceDE/>
        <w:autoSpaceDN/>
        <w:bidi w:val="0"/>
        <w:adjustRightInd/>
        <w:snapToGrid w:val="0"/>
        <w:spacing w:line="640" w:lineRule="exact"/>
        <w:ind w:left="0" w:leftChars="0" w:firstLine="640" w:firstLineChars="200"/>
        <w:textAlignment w:val="auto"/>
        <w:rPr>
          <w:rFonts w:hint="eastAsia" w:ascii="宋体" w:hAnsi="宋体" w:cs="宋体"/>
          <w:b w:val="0"/>
          <w:bCs w:val="0"/>
          <w:sz w:val="32"/>
          <w:szCs w:val="32"/>
          <w:lang w:val="en-US" w:eastAsia="zh-CN"/>
        </w:rPr>
      </w:pPr>
      <w:r>
        <w:rPr>
          <w:rFonts w:hint="eastAsia" w:ascii="宋体" w:hAnsi="宋体" w:cs="宋体"/>
          <w:b w:val="0"/>
          <w:bCs w:val="0"/>
          <w:sz w:val="32"/>
          <w:szCs w:val="32"/>
          <w:lang w:val="en-US" w:eastAsia="zh-CN"/>
        </w:rPr>
        <w:t>紧握自身建设“拳头”，内部管理治理效能不断优化</w:t>
      </w:r>
    </w:p>
    <w:p>
      <w:pPr>
        <w:pStyle w:val="6"/>
        <w:ind w:firstLine="640" w:firstLineChars="200"/>
        <w:rPr>
          <w:rFonts w:hint="default"/>
          <w:lang w:val="en-US" w:eastAsia="zh-CN"/>
        </w:rPr>
      </w:pPr>
      <w:r>
        <w:rPr>
          <w:rFonts w:hint="eastAsia" w:ascii="宋体" w:hAnsi="宋体" w:cs="宋体"/>
          <w:sz w:val="32"/>
          <w:szCs w:val="32"/>
          <w:lang w:val="en-US" w:eastAsia="zh-CN"/>
        </w:rPr>
        <w:t>坚持以建设学习型机关为抓手，建立科学有效的目标管理制度，着力建设模范部门和新时代干部队伍。一是强化思想教育。制定“四结合”学习方式，重视干部教育培训，打造高质量干部队伍，开展公文写作提升培训3批次。二是注重宣传引导。做强宣传主阵地，唱响广元好声音，《聚焦“三个重点” 推动驻外机构全面从严治党工作纵深发展》在《廉政瞭望》第13期刊发；《让党史学习教育“接地气”“冒热气”》在《四川党的建设》第9期刊发；《广荷物业：多措并举防控疫情 保障企业安心经营》在四川新闻网刊发，《物业公司多措并举确保疫情防控期间企业安心经营》在人民网刊发；《市政府驻成都办事处当好企业“娘家人” 将实事办在实处》等5篇简报在市委党史学习教育简报刊发；《广元驻蓉办、广元驻蓉流动党委举办庆祝中国共产党成立100周年文艺演出》等3篇新闻在广元新闻网刊发；“打卡爱教基地 讲述红色故事”短视频被评为党史学习教育优秀作品，并在广元手机台展播;“阅读经典 书香四逸”、“那朵云”短视频被“学习强国”APP四川学习平台采用。三是规范运行机制。加强机关工作管理，修改完善《规章制度汇编》；树立正确选人用人导向，通过组织人事部门选调急需紧缺专业选调生1名，提拔正科级领导干部1名，晋升职级3名，调入干部8名；坚持每月5日召开主任办公会；每季度督查各科室目标任务完成情况，有效推进各项任务顺利完成；健全档案管理制度，规范档案管理；开展公务员平时考核相关工作，真正起到了鼓励先进、鞭策落后的作用。四是落实市领导签批。根据董里市长批示精神，明确由我办牵头负责我市入驻四川区域协同发展总部基地建设运营工作。我办结合实际，深入细致的做了大量走访调研、实地考察、借鉴学习、研究讨论等前期工作，目前已推进到入驻四川区域协同发展总部基地设计装修等事宜。</w:t>
      </w:r>
    </w:p>
    <w:p>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left="0" w:leftChars="0" w:firstLine="640" w:firstLineChars="200"/>
        <w:textAlignment w:val="auto"/>
        <w:rPr>
          <w:rFonts w:hint="eastAsia" w:ascii="宋体" w:hAnsi="宋体" w:cs="宋体"/>
          <w:b w:val="0"/>
          <w:bCs w:val="0"/>
          <w:sz w:val="32"/>
          <w:szCs w:val="32"/>
          <w:lang w:val="en-US" w:eastAsia="zh-CN"/>
        </w:rPr>
      </w:pPr>
      <w:r>
        <w:rPr>
          <w:rFonts w:hint="eastAsia" w:ascii="宋体" w:hAnsi="宋体" w:cs="宋体"/>
          <w:b w:val="0"/>
          <w:bCs w:val="0"/>
          <w:sz w:val="32"/>
          <w:szCs w:val="32"/>
          <w:lang w:val="en-US" w:eastAsia="zh-CN"/>
        </w:rPr>
        <w:t>2、高扬党建统领“龙头”，引领发展优势作用不断扩大</w:t>
      </w:r>
    </w:p>
    <w:p>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left="0" w:leftChars="0" w:firstLine="640" w:firstLineChars="200"/>
        <w:textAlignment w:val="auto"/>
        <w:rPr>
          <w:rFonts w:hint="eastAsia" w:ascii="宋体" w:hAnsi="宋体" w:cs="宋体"/>
          <w:sz w:val="32"/>
          <w:szCs w:val="32"/>
          <w:lang w:val="en-US" w:eastAsia="zh-CN"/>
        </w:rPr>
      </w:pPr>
      <w:r>
        <w:rPr>
          <w:rFonts w:hint="eastAsia" w:ascii="宋体" w:hAnsi="宋体" w:cs="宋体"/>
          <w:sz w:val="32"/>
          <w:szCs w:val="32"/>
          <w:lang w:val="en-US" w:eastAsia="zh-CN"/>
        </w:rPr>
        <w:t>始终以党的建设为核心，不断夯实思想根基，强化责任落实。一是围绕主题强主线。制定党史学习教育实施方案，明确目标任务；为驻蓉办党支部、代管企业党员及驻蓉流动党委购买党史学习教育必读书籍；完成党史学习教育信息9条，2条被市直机关工委采用；组织策划“两弹一星”专题培训、“讲红史 忆初心”演讲比赛、“致敬百年 筑梦前行”庆祝中国共产党成立100周年文艺演出和图片展等系列活动，切实营造党史学习教育浓厚氛围。二是狠抓学习固根本。组织支部党员学习党的十九届六中全会、省委十一届九次、十次全会和市第八次党代会等会议精神，并围绕学习内容撰写心得体会62篇；开展“用好‘学习强国’，争当学习达人”活动，每季度通报干部职工积分及排名情况。三是全力以赴抓落实。全年发展入党积极分子2名、预备党员1名；1名退休老党员获国家颁发的“在党50年”荣誉勋章；驻蓉办党支部被省机关事务管理局评为2020年度“先进党组织”；邀请驻蓉流动党委各总支代表参加教育活动4次，参加苍溪、成都广元商会、机关离退休党委等主题党日活动4次；完成驻蓉流动党委书记、委员换届工作。四是持续用力抓作风。制定党风廉政责任书、梳理《重点权力运行廉政风险清单》并对风险点建立的风险防范措施；扎实开展警示教育月活动，组织观看教育警示片；参观四川省廉政教育基地新津纯阳观，撰写学习体会18篇。</w:t>
      </w:r>
    </w:p>
    <w:p>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left="0" w:leftChars="0" w:firstLine="640" w:firstLineChars="200"/>
        <w:textAlignment w:val="auto"/>
        <w:rPr>
          <w:rFonts w:hint="eastAsia" w:ascii="宋体" w:hAnsi="宋体" w:cs="宋体"/>
          <w:b w:val="0"/>
          <w:bCs w:val="0"/>
          <w:sz w:val="32"/>
          <w:szCs w:val="32"/>
          <w:lang w:val="en-US" w:eastAsia="zh-CN"/>
        </w:rPr>
      </w:pPr>
      <w:r>
        <w:rPr>
          <w:rFonts w:hint="eastAsia" w:ascii="宋体" w:hAnsi="宋体" w:cs="宋体"/>
          <w:b w:val="0"/>
          <w:bCs w:val="0"/>
          <w:sz w:val="32"/>
          <w:szCs w:val="32"/>
          <w:lang w:val="en-US" w:eastAsia="zh-CN"/>
        </w:rPr>
        <w:t>3、鼓足招商引资“劲头”，招引项目实现重大突破</w:t>
      </w:r>
    </w:p>
    <w:p>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left="0" w:leftChars="0" w:firstLine="640" w:firstLineChars="200"/>
        <w:textAlignment w:val="auto"/>
        <w:rPr>
          <w:rFonts w:hint="eastAsia" w:ascii="宋体" w:hAnsi="宋体" w:cs="宋体"/>
          <w:sz w:val="32"/>
          <w:szCs w:val="32"/>
          <w:lang w:val="en-US" w:eastAsia="zh-CN"/>
        </w:rPr>
      </w:pPr>
      <w:r>
        <w:rPr>
          <w:rFonts w:hint="eastAsia" w:ascii="宋体" w:hAnsi="宋体" w:cs="宋体"/>
          <w:sz w:val="32"/>
          <w:szCs w:val="32"/>
          <w:lang w:val="en-US" w:eastAsia="zh-CN"/>
        </w:rPr>
        <w:t>以“热情招商、紧追洽谈、审慎签约、全力落实”为导向，确保招商力度不减、项目推进不停、招引成效不降。一是做好沟通协作，实现互通共享。积极与省市县（区）、相关部门及成都、新疆、陕西、绵阳的广元商会互动联系，及时了解和掌握园区建设、项目进展、项目规划及投资动态，关注广元主导产业及产业链需求，主动协调县区项目的洽谈和落地工作，做到信息互通、资源共享。二是做“实”制度执行，提升工作效能。切实落实首问责任制、责任追究制等制度，建立“一个项目、一名人员、一抓到底”的工作机制，从源头上杜绝了庸、懒、散问题。三是做“强”招引成效，集聚发展优势。全年在谈项目100余个，签约动工项目12个（亿元项目8个)，投资总金额47.05亿元，到位资金10亿元。其中，工业项目8个，投资金额为20.35亿元；家居建材产业项目2个；新材料项目1个；机械电子项目1个；食品饮料项目3个；现代农业项目1个。上报市招商引资项目管理系统项目库有效信息110余条；实地拜访商协会50余家100余次、拜访企业200余家；有效对接跟踪项目100余个；参加商协会活动20余次；引荐、陪同40余家企业赴广元考察并洽谈项目。</w:t>
      </w:r>
    </w:p>
    <w:p>
      <w:pPr>
        <w:keepNext w:val="0"/>
        <w:keepLines w:val="0"/>
        <w:pageBreakBefore w:val="0"/>
        <w:widowControl w:val="0"/>
        <w:numPr>
          <w:ilvl w:val="0"/>
          <w:numId w:val="2"/>
        </w:numPr>
        <w:kinsoku/>
        <w:wordWrap/>
        <w:overflowPunct/>
        <w:topLinePunct w:val="0"/>
        <w:autoSpaceDE/>
        <w:autoSpaceDN/>
        <w:bidi w:val="0"/>
        <w:adjustRightInd/>
        <w:snapToGrid w:val="0"/>
        <w:spacing w:line="640" w:lineRule="exact"/>
        <w:ind w:left="0" w:leftChars="0" w:firstLine="640" w:firstLineChars="200"/>
        <w:textAlignment w:val="auto"/>
        <w:rPr>
          <w:rFonts w:hint="eastAsia" w:ascii="宋体" w:hAnsi="宋体" w:cs="宋体"/>
          <w:b w:val="0"/>
          <w:bCs w:val="0"/>
          <w:sz w:val="32"/>
          <w:szCs w:val="32"/>
          <w:lang w:val="en-US" w:eastAsia="zh-CN"/>
        </w:rPr>
      </w:pPr>
      <w:r>
        <w:rPr>
          <w:rFonts w:hint="eastAsia" w:ascii="宋体" w:hAnsi="宋体" w:cs="宋体"/>
          <w:b w:val="0"/>
          <w:bCs w:val="0"/>
          <w:sz w:val="32"/>
          <w:szCs w:val="32"/>
          <w:lang w:val="en-US" w:eastAsia="zh-CN"/>
        </w:rPr>
        <w:t>掀起精益求精 “势头”，政务服务质量水平明显提升</w:t>
      </w:r>
    </w:p>
    <w:p>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left="0" w:leftChars="0" w:firstLine="640" w:firstLineChars="200"/>
        <w:textAlignment w:val="auto"/>
        <w:rPr>
          <w:rFonts w:hint="eastAsia" w:ascii="宋体" w:hAnsi="宋体" w:cs="宋体"/>
          <w:sz w:val="32"/>
          <w:szCs w:val="32"/>
          <w:lang w:val="en-US" w:eastAsia="zh-CN"/>
        </w:rPr>
      </w:pPr>
      <w:r>
        <w:rPr>
          <w:rFonts w:hint="eastAsia" w:ascii="宋体" w:hAnsi="宋体" w:cs="宋体"/>
          <w:sz w:val="32"/>
          <w:szCs w:val="32"/>
          <w:lang w:val="zh-CN" w:eastAsia="zh-CN"/>
        </w:rPr>
        <w:t>严格按照中央“八项规定”、省委省政府“十项规定”和市委“六个带头”及其实施细则的要求，本着高效、精简、节约的原则，不断修订和完善政务服务的程序、规范和标准，编印了《政务服务工作指导手册》。严格执行周末领导带班，工作人员、驾驶员轮流值班制度，全力以赴做好市四大班子领导以及市级各部门在成都开展工作的协调服务工作。全年完成</w:t>
      </w:r>
      <w:r>
        <w:rPr>
          <w:rFonts w:hint="eastAsia" w:ascii="宋体" w:hAnsi="宋体" w:cs="宋体"/>
          <w:sz w:val="32"/>
          <w:szCs w:val="32"/>
          <w:lang w:val="en-US" w:eastAsia="zh-CN"/>
        </w:rPr>
        <w:t>广元在蓉的</w:t>
      </w:r>
      <w:r>
        <w:rPr>
          <w:rFonts w:hint="eastAsia" w:ascii="宋体" w:hAnsi="宋体" w:cs="宋体"/>
          <w:sz w:val="32"/>
          <w:szCs w:val="32"/>
          <w:lang w:val="zh-CN" w:eastAsia="zh-CN"/>
        </w:rPr>
        <w:t>各项政务服务保障工作</w:t>
      </w:r>
      <w:r>
        <w:rPr>
          <w:rFonts w:hint="eastAsia" w:ascii="宋体" w:hAnsi="宋体" w:cs="宋体"/>
          <w:sz w:val="32"/>
          <w:szCs w:val="32"/>
          <w:lang w:val="en-US" w:eastAsia="zh-CN"/>
        </w:rPr>
        <w:t>，保证了政务活动安全、顺利、准时，圆满完成各项保障任务</w:t>
      </w:r>
      <w:r>
        <w:rPr>
          <w:rFonts w:hint="eastAsia" w:ascii="宋体" w:hAnsi="宋体" w:cs="宋体"/>
          <w:sz w:val="32"/>
          <w:szCs w:val="32"/>
          <w:lang w:val="zh-CN" w:eastAsia="zh-CN"/>
        </w:rPr>
        <w:t>。</w:t>
      </w:r>
    </w:p>
    <w:p>
      <w:pPr>
        <w:keepNext w:val="0"/>
        <w:keepLines w:val="0"/>
        <w:pageBreakBefore w:val="0"/>
        <w:widowControl w:val="0"/>
        <w:numPr>
          <w:ilvl w:val="0"/>
          <w:numId w:val="2"/>
        </w:numPr>
        <w:kinsoku/>
        <w:wordWrap/>
        <w:overflowPunct/>
        <w:topLinePunct w:val="0"/>
        <w:autoSpaceDE/>
        <w:autoSpaceDN/>
        <w:bidi w:val="0"/>
        <w:adjustRightInd/>
        <w:snapToGrid w:val="0"/>
        <w:spacing w:line="640" w:lineRule="exact"/>
        <w:ind w:left="0" w:leftChars="0" w:firstLine="640" w:firstLineChars="200"/>
        <w:textAlignment w:val="auto"/>
        <w:rPr>
          <w:rFonts w:hint="eastAsia" w:ascii="宋体" w:hAnsi="宋体" w:cs="宋体"/>
          <w:b w:val="0"/>
          <w:bCs w:val="0"/>
          <w:sz w:val="32"/>
          <w:szCs w:val="32"/>
          <w:lang w:val="en-US" w:eastAsia="zh-CN"/>
        </w:rPr>
      </w:pPr>
      <w:r>
        <w:rPr>
          <w:rFonts w:hint="eastAsia" w:ascii="宋体" w:hAnsi="宋体" w:cs="宋体"/>
          <w:b w:val="0"/>
          <w:bCs w:val="0"/>
          <w:sz w:val="32"/>
          <w:szCs w:val="32"/>
          <w:lang w:val="en-US" w:eastAsia="zh-CN"/>
        </w:rPr>
        <w:t>抓实防范化解“源头”，社会稳定大局防线不断筑牢</w:t>
      </w:r>
    </w:p>
    <w:p>
      <w:pPr>
        <w:pStyle w:val="6"/>
        <w:ind w:firstLine="640" w:firstLineChars="200"/>
        <w:rPr>
          <w:rFonts w:hint="default"/>
          <w:lang w:val="en-US" w:eastAsia="zh-CN"/>
        </w:rPr>
      </w:pPr>
      <w:r>
        <w:rPr>
          <w:rFonts w:hint="eastAsia" w:ascii="宋体" w:hAnsi="宋体" w:cs="宋体"/>
          <w:sz w:val="32"/>
          <w:szCs w:val="32"/>
          <w:lang w:val="en-US" w:eastAsia="zh-CN"/>
        </w:rPr>
        <w:t>坚持以人为本，主动对接，在接到上访信息后第一时间赶赴现场，避免事态的扩大和蔓延。全年完成全国、全省“两会”，省委第十一届九次、十次全会，第十八届西博会等重大会议的信访维稳工作。协助省信访局接回进京上访遣返回川的广元籍人员2人，协助市群工局劝返广元籍到省上访人员30余批50余人次，全年无一例信</w:t>
      </w:r>
      <w:r>
        <w:rPr>
          <w:rFonts w:hint="eastAsia" w:ascii="宋体" w:hAnsi="宋体" w:cs="宋体"/>
          <w:b w:val="0"/>
          <w:bCs w:val="0"/>
          <w:sz w:val="32"/>
          <w:szCs w:val="32"/>
          <w:lang w:val="en-US" w:eastAsia="zh-CN"/>
        </w:rPr>
        <w:t>访恶性扩大事件发生。</w:t>
      </w:r>
    </w:p>
    <w:p>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left="0" w:leftChars="0" w:firstLine="640" w:firstLineChars="200"/>
        <w:textAlignment w:val="auto"/>
        <w:rPr>
          <w:rFonts w:hint="eastAsia" w:ascii="宋体" w:hAnsi="宋体" w:cs="宋体"/>
          <w:b w:val="0"/>
          <w:bCs w:val="0"/>
          <w:sz w:val="32"/>
          <w:szCs w:val="32"/>
          <w:lang w:val="en-US" w:eastAsia="zh-CN"/>
        </w:rPr>
      </w:pPr>
      <w:r>
        <w:rPr>
          <w:rFonts w:hint="eastAsia" w:ascii="宋体" w:hAnsi="宋体" w:cs="宋体"/>
          <w:b w:val="0"/>
          <w:bCs w:val="0"/>
          <w:sz w:val="32"/>
          <w:szCs w:val="32"/>
          <w:lang w:val="en-US" w:eastAsia="zh-CN"/>
        </w:rPr>
        <w:t>6、瞄准群众“盼头”，群众生活幸福指数明显提升</w:t>
      </w:r>
    </w:p>
    <w:p>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left="0" w:leftChars="0" w:firstLine="640" w:firstLineChars="200"/>
        <w:textAlignment w:val="auto"/>
        <w:rPr>
          <w:rFonts w:hint="eastAsia" w:ascii="宋体" w:hAnsi="宋体" w:cs="宋体"/>
          <w:sz w:val="32"/>
          <w:szCs w:val="32"/>
          <w:lang w:val="en-US" w:eastAsia="zh-CN"/>
        </w:rPr>
      </w:pPr>
      <w:r>
        <w:rPr>
          <w:rFonts w:hint="eastAsia" w:ascii="宋体" w:hAnsi="宋体" w:cs="宋体"/>
          <w:sz w:val="32"/>
          <w:szCs w:val="32"/>
          <w:lang w:val="en-US" w:eastAsia="zh-CN"/>
        </w:rPr>
        <w:t>坚持以人民为中心的发展理念，做深做实驻村帮扶和巩固拓展脱贫攻坚成果同乡村振兴有效衔接工作，不断提升人民群众获得感、幸福感、安全感。一是做优做强主导产业，发展产业有特色。购买冷链设备，盘活集体冷库2栋，加强300余亩黄金梨园管护，市政府、驻成都办事处共为广元昭化区红江村销售黄金梨5.4吨约4万余元。巩固提升以羊肚菌、黄精、佛手为代表的特色产业，建设超1000亩羊肚菌菌种基地和30余亩羊肚菌种植示范园，积极协调建设中药材加工厂，集聚发展新动能。二是切实巩固现有成果，防止返贫不松懈。制定红江村巩固提升计划，深入开展“四到村”“四提升”帮扶行动，实行脱贫户走访日常化，进行动态监测帮扶，脱贫不脱政策，脱贫不脱责任。落实好金融帮扶政策、教育帮扶政策、兜底保障政策等，为高龄农户高尚翠送去鸡苗、协调胡开秀残疾证的办理，协调脱贫户杨金甫家车祸赔偿70多万元等，让脱贫群众生活品质有更好改善和提高，推进接续发展全面振兴。三是坚持结对共建，领航发展有力量。继续深化党建到村结对共建机制，向昭化区红岩镇红江村派驻第一书记兼队长1名、驻村队员1名，持续加强党员教育管理，今年以来，红江村发展入党积极分子5名、预备党员2名、正式党员1名。</w:t>
      </w:r>
    </w:p>
    <w:p>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left="0" w:leftChars="0" w:firstLine="640" w:firstLineChars="200"/>
        <w:jc w:val="both"/>
        <w:textAlignment w:val="auto"/>
        <w:rPr>
          <w:rFonts w:hint="eastAsia" w:ascii="宋体" w:hAnsi="宋体" w:cs="宋体"/>
          <w:sz w:val="32"/>
          <w:szCs w:val="32"/>
          <w:lang w:val="en-US" w:eastAsia="zh-CN"/>
        </w:rPr>
      </w:pPr>
      <w:r>
        <w:rPr>
          <w:rFonts w:hint="eastAsia" w:ascii="宋体" w:hAnsi="宋体" w:cs="宋体"/>
          <w:sz w:val="32"/>
          <w:szCs w:val="32"/>
          <w:lang w:val="en-US" w:eastAsia="zh-CN"/>
        </w:rPr>
        <w:t>7、争当稳健发展“排头”，国企责任担当形象不断彰显</w:t>
      </w:r>
    </w:p>
    <w:p>
      <w:pPr>
        <w:keepNext w:val="0"/>
        <w:keepLines w:val="0"/>
        <w:pageBreakBefore w:val="0"/>
        <w:widowControl w:val="0"/>
        <w:numPr>
          <w:ilvl w:val="0"/>
          <w:numId w:val="0"/>
        </w:numPr>
        <w:kinsoku/>
        <w:wordWrap/>
        <w:overflowPunct/>
        <w:topLinePunct w:val="0"/>
        <w:autoSpaceDE/>
        <w:autoSpaceDN/>
        <w:bidi w:val="0"/>
        <w:adjustRightInd/>
        <w:snapToGrid w:val="0"/>
        <w:spacing w:line="640" w:lineRule="exact"/>
        <w:ind w:left="0" w:leftChars="0" w:firstLine="640" w:firstLineChars="200"/>
        <w:jc w:val="both"/>
        <w:textAlignment w:val="auto"/>
        <w:rPr>
          <w:rFonts w:hint="eastAsia" w:ascii="宋体" w:hAnsi="宋体" w:cs="宋体"/>
          <w:sz w:val="32"/>
          <w:szCs w:val="32"/>
          <w:lang w:val="en-US" w:eastAsia="zh-CN"/>
        </w:rPr>
      </w:pPr>
      <w:r>
        <w:rPr>
          <w:rFonts w:hint="eastAsia" w:ascii="宋体" w:hAnsi="宋体" w:cs="宋体"/>
          <w:sz w:val="32"/>
          <w:szCs w:val="32"/>
          <w:lang w:val="en-US" w:eastAsia="zh-CN"/>
        </w:rPr>
        <w:t>在经济和疫情大环境并不乐观的情况下，倡导开源节流、挖潜创效，代管企业经营效益固稳止滑。2021年全年，共完成营业收入1197万元，其中，成都广元宾馆597万元，广荷物业600万元，上缴财政600万，确保了国有资产增值保值。一是创新形式拓展客源。成都广元宾馆通过创新宣传推广形式，选拔优秀员工、做实员工培训提升服务质量等措施拓展新客源。广荷物业在经济大环境和疫情对实体经济冲击异常严峻的形势下，采取对部分商铺降租5%、免费延期经营40天等措施，有效防止了经营业主流失，超额完成年度目标任务。二是优化管理节能降耗。成都广元宾馆制定相关制度，严格管理食材、水、电、气、空调系统，树立节约意识，降低经营成本。广荷物业加强设施设备的监管维护，为租户营造良好经营环境。三是严格落实安全生产。成都广元宾馆召开安全生产工作会议4次，维修保养消防特种设备13次，开展消防演练2次，全年无一例安全事件发生。广荷物业组织实地消防演习、增添消防标识、安装消防报警及喷淋系统等，全年市场无重大安全事故发生，顺利通过相关职能部门检查合计70余次。四是升级改造保障经营。成都广元宾馆对主要收入客房进行维修调整、对健身房进行改造，广荷物业计划升级改造第十四交易区A区，经营环境不断优化，企业效益逐步向好。五是做实做细疫情防控。代管企业严格落实疫情防控要求，常态化做实做细疫情防控工作，对进入宾馆及第十四交易区人员严格落实“戴口罩、扫码测温、核验通信大数据行程卡”等疫情防控措施。成都广元宾馆全年共计发放口罩5039只，日常消毒3263次，测量体温4298余人次，广荷物业管理有限公司全年完成对商家顾客体温测量约45000人次、坚持每日对市场及办公区域消杀处理3次以上。</w:t>
      </w:r>
    </w:p>
    <w:p>
      <w:pPr>
        <w:pStyle w:val="2"/>
        <w:adjustRightInd w:val="0"/>
        <w:snapToGrid w:val="0"/>
        <w:spacing w:before="93" w:line="600" w:lineRule="exact"/>
        <w:ind w:firstLine="672" w:firstLineChars="210"/>
        <w:outlineLvl w:val="2"/>
        <w:rPr>
          <w:rFonts w:hint="eastAsia" w:ascii="宋体" w:hAnsi="宋体" w:eastAsia="宋体"/>
          <w:bCs/>
          <w:color w:val="000000"/>
          <w:sz w:val="32"/>
          <w:szCs w:val="32"/>
        </w:rPr>
      </w:pPr>
    </w:p>
    <w:p>
      <w:pPr>
        <w:pStyle w:val="2"/>
        <w:adjustRightInd w:val="0"/>
        <w:snapToGrid w:val="0"/>
        <w:spacing w:before="93" w:line="600" w:lineRule="exact"/>
        <w:ind w:firstLine="672" w:firstLineChars="210"/>
        <w:outlineLvl w:val="2"/>
        <w:rPr>
          <w:rFonts w:hint="eastAsia" w:ascii="宋体" w:hAnsi="宋体" w:eastAsia="宋体"/>
          <w:bCs/>
          <w:color w:val="000000"/>
          <w:sz w:val="32"/>
          <w:szCs w:val="32"/>
        </w:rPr>
      </w:pPr>
    </w:p>
    <w:p>
      <w:pPr>
        <w:pStyle w:val="10"/>
        <w:ind w:left="1060" w:hanging="640"/>
        <w:rPr>
          <w:rFonts w:hint="eastAsia" w:ascii="宋体" w:hAnsi="宋体"/>
          <w:bCs/>
          <w:color w:val="000000"/>
          <w:sz w:val="32"/>
          <w:szCs w:val="32"/>
        </w:rPr>
      </w:pPr>
      <w:bookmarkStart w:id="17" w:name="_Toc15396602"/>
      <w:bookmarkStart w:id="18" w:name="_Toc15377204"/>
    </w:p>
    <w:p>
      <w:pPr>
        <w:rPr>
          <w:rFonts w:hint="eastAsia" w:ascii="宋体" w:hAnsi="宋体"/>
          <w:bCs/>
          <w:color w:val="000000"/>
          <w:sz w:val="32"/>
          <w:szCs w:val="32"/>
        </w:rPr>
      </w:pPr>
    </w:p>
    <w:p>
      <w:pPr>
        <w:pStyle w:val="2"/>
        <w:rPr>
          <w:rFonts w:hint="eastAsia" w:ascii="宋体" w:hAnsi="宋体"/>
          <w:bCs/>
          <w:color w:val="000000"/>
          <w:sz w:val="32"/>
          <w:szCs w:val="32"/>
        </w:rPr>
      </w:pPr>
    </w:p>
    <w:p>
      <w:pPr>
        <w:pStyle w:val="2"/>
        <w:rPr>
          <w:rFonts w:hint="eastAsia" w:ascii="宋体" w:hAnsi="宋体"/>
          <w:bCs/>
          <w:color w:val="000000"/>
          <w:sz w:val="32"/>
          <w:szCs w:val="32"/>
        </w:rPr>
      </w:pPr>
    </w:p>
    <w:p>
      <w:pPr>
        <w:pStyle w:val="3"/>
        <w:jc w:val="center"/>
        <w:rPr>
          <w:rStyle w:val="14"/>
          <w:rFonts w:ascii="黑体" w:hAnsi="黑体" w:eastAsia="黑体"/>
          <w:b w:val="0"/>
          <w:bCs w:val="0"/>
        </w:rPr>
      </w:pPr>
      <w:r>
        <w:rPr>
          <w:rStyle w:val="14"/>
          <w:rFonts w:hint="eastAsia" w:ascii="黑体" w:hAnsi="黑体" w:eastAsia="黑体"/>
          <w:b/>
          <w:bCs w:val="0"/>
        </w:rPr>
        <w:t>第二部分</w:t>
      </w:r>
      <w:r>
        <w:rPr>
          <w:rStyle w:val="14"/>
          <w:rFonts w:ascii="黑体" w:hAnsi="黑体" w:eastAsia="黑体"/>
          <w:b w:val="0"/>
          <w:bCs/>
        </w:rPr>
        <w:t xml:space="preserve"> </w:t>
      </w:r>
      <w:r>
        <w:rPr>
          <w:rStyle w:val="14"/>
          <w:rFonts w:ascii="黑体" w:hAnsi="黑体" w:eastAsia="黑体"/>
          <w:b/>
          <w:bCs w:val="0"/>
        </w:rPr>
        <w:t>202</w:t>
      </w:r>
      <w:r>
        <w:rPr>
          <w:rStyle w:val="14"/>
          <w:rFonts w:hint="eastAsia" w:ascii="黑体" w:hAnsi="黑体" w:eastAsia="黑体"/>
          <w:b/>
          <w:bCs w:val="0"/>
          <w:lang w:val="en-US" w:eastAsia="zh-CN"/>
        </w:rPr>
        <w:t>1</w:t>
      </w:r>
      <w:r>
        <w:rPr>
          <w:rStyle w:val="14"/>
          <w:rFonts w:hint="eastAsia" w:ascii="黑体" w:hAnsi="黑体" w:eastAsia="黑体"/>
          <w:b/>
          <w:bCs w:val="0"/>
        </w:rPr>
        <w:t>年度</w:t>
      </w:r>
      <w:r>
        <w:rPr>
          <w:rStyle w:val="14"/>
          <w:rFonts w:hint="eastAsia" w:ascii="黑体" w:hAnsi="黑体" w:eastAsia="黑体"/>
          <w:b/>
          <w:bCs w:val="0"/>
          <w:lang w:val="en-US" w:eastAsia="zh-CN"/>
        </w:rPr>
        <w:t>单位</w:t>
      </w:r>
      <w:r>
        <w:rPr>
          <w:rStyle w:val="14"/>
          <w:rFonts w:hint="eastAsia" w:ascii="黑体" w:hAnsi="黑体" w:eastAsia="黑体"/>
          <w:b/>
          <w:bCs w:val="0"/>
        </w:rPr>
        <w:t>决算情况说明</w:t>
      </w:r>
      <w:bookmarkEnd w:id="17"/>
      <w:bookmarkEnd w:id="18"/>
    </w:p>
    <w:p>
      <w:pPr>
        <w:rPr>
          <w:rFonts w:ascii="宋体" w:hAnsi="宋体"/>
          <w:bCs/>
          <w:sz w:val="32"/>
          <w:szCs w:val="32"/>
        </w:rPr>
      </w:pPr>
    </w:p>
    <w:p>
      <w:pPr>
        <w:pStyle w:val="16"/>
        <w:numPr>
          <w:ilvl w:val="0"/>
          <w:numId w:val="3"/>
        </w:numPr>
        <w:spacing w:line="600" w:lineRule="exact"/>
        <w:ind w:firstLineChars="0"/>
        <w:outlineLvl w:val="1"/>
        <w:rPr>
          <w:rStyle w:val="15"/>
          <w:rFonts w:ascii="黑体" w:hAnsi="黑体" w:eastAsia="黑体"/>
          <w:b w:val="0"/>
        </w:rPr>
      </w:pPr>
      <w:bookmarkStart w:id="19" w:name="_Toc15396603"/>
      <w:bookmarkStart w:id="20" w:name="_Toc15377205"/>
      <w:r>
        <w:rPr>
          <w:rFonts w:hint="eastAsia" w:ascii="黑体" w:hAnsi="黑体" w:eastAsia="黑体"/>
          <w:bCs/>
          <w:color w:val="000000"/>
          <w:sz w:val="32"/>
          <w:szCs w:val="32"/>
        </w:rPr>
        <w:t>收</w:t>
      </w:r>
      <w:r>
        <w:rPr>
          <w:rStyle w:val="15"/>
          <w:rFonts w:hint="eastAsia" w:ascii="黑体" w:hAnsi="黑体" w:eastAsia="黑体"/>
          <w:b w:val="0"/>
        </w:rPr>
        <w:t>入支出决算总体情况说明</w:t>
      </w:r>
      <w:bookmarkEnd w:id="19"/>
      <w:bookmarkEnd w:id="20"/>
    </w:p>
    <w:p>
      <w:pPr>
        <w:pStyle w:val="16"/>
        <w:spacing w:line="600" w:lineRule="exact"/>
        <w:ind w:firstLine="640"/>
        <w:outlineLvl w:val="1"/>
        <w:rPr>
          <w:rFonts w:hint="eastAsia" w:ascii="宋体" w:hAnsi="宋体"/>
          <w:bCs/>
          <w:color w:val="000000"/>
          <w:sz w:val="32"/>
          <w:szCs w:val="32"/>
        </w:rPr>
      </w:pPr>
      <w:r>
        <w:rPr>
          <w:rFonts w:ascii="宋体" w:hAnsi="宋体"/>
          <w:bCs/>
          <w:color w:val="000000"/>
          <w:sz w:val="32"/>
          <w:szCs w:val="32"/>
        </w:rPr>
        <w:t>202</w:t>
      </w:r>
      <w:r>
        <w:rPr>
          <w:rFonts w:hint="eastAsia" w:ascii="宋体" w:hAnsi="宋体"/>
          <w:bCs/>
          <w:color w:val="000000"/>
          <w:sz w:val="32"/>
          <w:szCs w:val="32"/>
          <w:lang w:val="en-US" w:eastAsia="zh-CN"/>
        </w:rPr>
        <w:t>1</w:t>
      </w:r>
      <w:r>
        <w:rPr>
          <w:rFonts w:hint="eastAsia" w:ascii="宋体" w:hAnsi="宋体"/>
          <w:bCs/>
          <w:color w:val="000000"/>
          <w:sz w:val="32"/>
          <w:szCs w:val="32"/>
        </w:rPr>
        <w:t>年度收</w:t>
      </w:r>
      <w:r>
        <w:rPr>
          <w:rFonts w:hint="eastAsia" w:ascii="宋体" w:hAnsi="宋体"/>
          <w:bCs/>
          <w:color w:val="000000"/>
          <w:sz w:val="32"/>
          <w:szCs w:val="32"/>
          <w:lang w:eastAsia="zh-CN"/>
        </w:rPr>
        <w:t>、</w:t>
      </w:r>
      <w:r>
        <w:rPr>
          <w:rFonts w:hint="eastAsia" w:ascii="宋体" w:hAnsi="宋体"/>
          <w:bCs/>
          <w:color w:val="000000"/>
          <w:sz w:val="32"/>
          <w:szCs w:val="32"/>
        </w:rPr>
        <w:t>支总计</w:t>
      </w:r>
      <w:r>
        <w:rPr>
          <w:rFonts w:hint="eastAsia" w:ascii="宋体" w:hAnsi="宋体"/>
          <w:bCs/>
          <w:color w:val="000000"/>
          <w:sz w:val="32"/>
          <w:szCs w:val="32"/>
          <w:lang w:val="en-US" w:eastAsia="zh-CN"/>
        </w:rPr>
        <w:t>707.67</w:t>
      </w:r>
      <w:r>
        <w:rPr>
          <w:rFonts w:hint="eastAsia" w:ascii="宋体" w:hAnsi="宋体"/>
          <w:bCs/>
          <w:color w:val="000000"/>
          <w:sz w:val="32"/>
          <w:szCs w:val="32"/>
        </w:rPr>
        <w:t>万元。与</w:t>
      </w:r>
      <w:r>
        <w:rPr>
          <w:rFonts w:hint="eastAsia" w:ascii="宋体" w:hAnsi="宋体"/>
          <w:bCs/>
          <w:color w:val="000000"/>
          <w:sz w:val="32"/>
          <w:szCs w:val="32"/>
          <w:lang w:val="en-US" w:eastAsia="zh-CN"/>
        </w:rPr>
        <w:t>2020</w:t>
      </w:r>
      <w:r>
        <w:rPr>
          <w:rFonts w:hint="eastAsia" w:ascii="宋体" w:hAnsi="宋体"/>
          <w:bCs/>
          <w:color w:val="000000"/>
          <w:sz w:val="32"/>
          <w:szCs w:val="32"/>
        </w:rPr>
        <w:t>年相比，收</w:t>
      </w:r>
      <w:r>
        <w:rPr>
          <w:rFonts w:hint="eastAsia" w:ascii="宋体" w:hAnsi="宋体"/>
          <w:bCs/>
          <w:color w:val="000000"/>
          <w:sz w:val="32"/>
          <w:szCs w:val="32"/>
          <w:lang w:eastAsia="zh-CN"/>
        </w:rPr>
        <w:t>、</w:t>
      </w:r>
      <w:r>
        <w:rPr>
          <w:rFonts w:hint="eastAsia" w:ascii="宋体" w:hAnsi="宋体"/>
          <w:bCs/>
          <w:color w:val="000000"/>
          <w:sz w:val="32"/>
          <w:szCs w:val="32"/>
        </w:rPr>
        <w:t>支总计</w:t>
      </w:r>
      <w:r>
        <w:rPr>
          <w:rFonts w:hint="eastAsia" w:ascii="宋体" w:hAnsi="宋体"/>
          <w:bCs/>
          <w:color w:val="000000"/>
          <w:sz w:val="32"/>
          <w:szCs w:val="32"/>
          <w:lang w:eastAsia="zh-CN"/>
        </w:rPr>
        <w:t>增加</w:t>
      </w:r>
      <w:r>
        <w:rPr>
          <w:rFonts w:hint="eastAsia" w:ascii="宋体" w:hAnsi="宋体"/>
          <w:bCs/>
          <w:color w:val="000000"/>
          <w:sz w:val="32"/>
          <w:szCs w:val="32"/>
          <w:lang w:val="en-US" w:eastAsia="zh-CN"/>
        </w:rPr>
        <w:t>58.08</w:t>
      </w:r>
      <w:r>
        <w:rPr>
          <w:rFonts w:hint="eastAsia" w:ascii="宋体" w:hAnsi="宋体"/>
          <w:bCs/>
          <w:color w:val="000000"/>
          <w:sz w:val="32"/>
          <w:szCs w:val="32"/>
        </w:rPr>
        <w:t>万元，</w:t>
      </w:r>
      <w:r>
        <w:rPr>
          <w:rFonts w:hint="eastAsia" w:ascii="宋体" w:hAnsi="宋体"/>
          <w:bCs/>
          <w:color w:val="000000"/>
          <w:sz w:val="32"/>
          <w:szCs w:val="32"/>
          <w:lang w:eastAsia="zh-CN"/>
        </w:rPr>
        <w:t>上升</w:t>
      </w:r>
      <w:r>
        <w:rPr>
          <w:rFonts w:hint="eastAsia" w:ascii="宋体" w:hAnsi="宋体"/>
          <w:bCs/>
          <w:color w:val="000000"/>
          <w:sz w:val="32"/>
          <w:szCs w:val="32"/>
          <w:lang w:val="en-US" w:eastAsia="zh-CN"/>
        </w:rPr>
        <w:t>8.94</w:t>
      </w:r>
      <w:r>
        <w:rPr>
          <w:rFonts w:ascii="宋体" w:hAnsi="宋体"/>
          <w:bCs/>
          <w:color w:val="000000"/>
          <w:sz w:val="32"/>
          <w:szCs w:val="32"/>
        </w:rPr>
        <w:t>%</w:t>
      </w:r>
      <w:r>
        <w:rPr>
          <w:rFonts w:hint="eastAsia" w:ascii="宋体" w:hAnsi="宋体"/>
          <w:bCs/>
          <w:color w:val="000000"/>
          <w:sz w:val="32"/>
          <w:szCs w:val="32"/>
        </w:rPr>
        <w:t>。主要变动原因</w:t>
      </w:r>
      <w:r>
        <w:rPr>
          <w:rFonts w:hint="eastAsia" w:ascii="宋体" w:hAnsi="宋体"/>
          <w:bCs/>
          <w:color w:val="000000"/>
          <w:sz w:val="32"/>
          <w:szCs w:val="32"/>
          <w:lang w:eastAsia="zh-CN"/>
        </w:rPr>
        <w:t>：</w:t>
      </w:r>
      <w:r>
        <w:rPr>
          <w:rFonts w:hint="eastAsia" w:ascii="宋体" w:hAnsi="宋体"/>
          <w:bCs/>
          <w:color w:val="000000"/>
          <w:sz w:val="32"/>
          <w:szCs w:val="32"/>
        </w:rPr>
        <w:t>人员</w:t>
      </w:r>
      <w:r>
        <w:rPr>
          <w:rFonts w:hint="eastAsia" w:ascii="宋体" w:hAnsi="宋体"/>
          <w:bCs/>
          <w:color w:val="000000"/>
          <w:sz w:val="32"/>
          <w:szCs w:val="32"/>
          <w:lang w:eastAsia="zh-CN"/>
        </w:rPr>
        <w:t>增加，</w:t>
      </w:r>
      <w:r>
        <w:rPr>
          <w:rFonts w:hint="eastAsia" w:ascii="宋体" w:hAnsi="宋体"/>
          <w:bCs/>
          <w:color w:val="000000"/>
          <w:sz w:val="32"/>
          <w:szCs w:val="32"/>
          <w:lang w:val="en-US" w:eastAsia="zh-CN"/>
        </w:rPr>
        <w:t>人员和公用经费相应增加</w:t>
      </w:r>
      <w:r>
        <w:rPr>
          <w:rFonts w:hint="eastAsia" w:ascii="宋体" w:hAnsi="宋体"/>
          <w:bCs/>
          <w:color w:val="000000"/>
          <w:sz w:val="32"/>
          <w:szCs w:val="32"/>
        </w:rPr>
        <w:t>。</w:t>
      </w:r>
      <w:bookmarkStart w:id="21" w:name="_Toc15396604"/>
      <w:bookmarkStart w:id="22" w:name="_Toc15377206"/>
    </w:p>
    <w:p>
      <w:pPr>
        <w:pStyle w:val="16"/>
        <w:spacing w:line="600" w:lineRule="exact"/>
        <w:ind w:firstLine="640"/>
        <w:outlineLvl w:val="1"/>
        <w:rPr>
          <w:rFonts w:hint="eastAsia" w:ascii="宋体" w:hAnsi="宋体"/>
          <w:bCs/>
          <w:color w:val="000000"/>
          <w:sz w:val="32"/>
          <w:szCs w:val="32"/>
        </w:rPr>
      </w:pPr>
    </w:p>
    <w:p>
      <w:pPr>
        <w:pStyle w:val="16"/>
        <w:spacing w:line="600" w:lineRule="exact"/>
        <w:ind w:firstLine="640"/>
        <w:outlineLvl w:val="1"/>
        <w:rPr>
          <w:rFonts w:hint="eastAsia" w:ascii="宋体" w:hAnsi="宋体"/>
          <w:bCs/>
          <w:color w:val="000000"/>
          <w:sz w:val="32"/>
          <w:szCs w:val="32"/>
        </w:rPr>
      </w:pPr>
    </w:p>
    <w:p>
      <w:pPr>
        <w:pStyle w:val="16"/>
        <w:keepNext w:val="0"/>
        <w:keepLines w:val="0"/>
        <w:pageBreakBefore w:val="0"/>
        <w:widowControl w:val="0"/>
        <w:kinsoku/>
        <w:wordWrap/>
        <w:overflowPunct/>
        <w:topLinePunct w:val="0"/>
        <w:autoSpaceDE/>
        <w:autoSpaceDN/>
        <w:bidi w:val="0"/>
        <w:adjustRightInd/>
        <w:snapToGrid/>
        <w:spacing w:line="5000" w:lineRule="exact"/>
        <w:ind w:firstLine="640"/>
        <w:textAlignment w:val="auto"/>
        <w:outlineLvl w:val="1"/>
      </w:pPr>
      <w:r>
        <w:drawing>
          <wp:inline distT="0" distB="0" distL="114300" distR="114300">
            <wp:extent cx="4572000" cy="2600960"/>
            <wp:effectExtent l="4445" t="4445" r="14605" b="23495"/>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
        <w:ind w:firstLine="1285" w:firstLineChars="400"/>
        <w:rPr>
          <w:rFonts w:hint="eastAsia" w:eastAsia="仿宋_GB2312"/>
          <w:lang w:eastAsia="zh-CN"/>
        </w:rPr>
      </w:pPr>
      <w:r>
        <w:rPr>
          <w:rFonts w:hint="eastAsia" w:ascii="仿宋_GB2312" w:hAnsi="仿宋_GB2312" w:eastAsia="仿宋_GB2312" w:cs="仿宋_GB2312"/>
          <w:b/>
          <w:bCs/>
          <w:color w:val="000000"/>
          <w:sz w:val="32"/>
          <w:szCs w:val="32"/>
          <w:lang w:val="en-US" w:eastAsia="zh-CN"/>
        </w:rPr>
        <w:t>（图1：收</w:t>
      </w:r>
      <w:r>
        <w:rPr>
          <w:rFonts w:hint="eastAsia" w:hAnsi="仿宋_GB2312" w:cs="仿宋_GB2312"/>
          <w:b/>
          <w:bCs/>
          <w:color w:val="000000"/>
          <w:sz w:val="32"/>
          <w:szCs w:val="32"/>
          <w:lang w:val="en-US" w:eastAsia="zh-CN"/>
        </w:rPr>
        <w:t>入</w:t>
      </w:r>
      <w:r>
        <w:rPr>
          <w:rFonts w:hint="eastAsia" w:ascii="仿宋_GB2312" w:hAnsi="仿宋_GB2312" w:eastAsia="仿宋_GB2312" w:cs="仿宋_GB2312"/>
          <w:b/>
          <w:bCs/>
          <w:color w:val="000000"/>
          <w:sz w:val="32"/>
          <w:szCs w:val="32"/>
          <w:lang w:val="en-US" w:eastAsia="zh-CN"/>
        </w:rPr>
        <w:t>支</w:t>
      </w:r>
      <w:r>
        <w:rPr>
          <w:rFonts w:hint="eastAsia" w:hAnsi="仿宋_GB2312" w:cs="仿宋_GB2312"/>
          <w:b/>
          <w:bCs/>
          <w:color w:val="000000"/>
          <w:sz w:val="32"/>
          <w:szCs w:val="32"/>
          <w:lang w:val="en-US" w:eastAsia="zh-CN"/>
        </w:rPr>
        <w:t>出</w:t>
      </w:r>
      <w:r>
        <w:rPr>
          <w:rFonts w:hint="eastAsia" w:ascii="仿宋_GB2312" w:hAnsi="仿宋_GB2312" w:eastAsia="仿宋_GB2312" w:cs="仿宋_GB2312"/>
          <w:b/>
          <w:bCs/>
          <w:color w:val="000000"/>
          <w:sz w:val="32"/>
          <w:szCs w:val="32"/>
          <w:lang w:val="en-US" w:eastAsia="zh-CN"/>
        </w:rPr>
        <w:t>决算总计变动情况）</w:t>
      </w:r>
    </w:p>
    <w:p>
      <w:pPr>
        <w:pStyle w:val="16"/>
        <w:numPr>
          <w:ilvl w:val="0"/>
          <w:numId w:val="3"/>
        </w:numPr>
        <w:spacing w:line="600" w:lineRule="exact"/>
        <w:ind w:firstLineChars="0"/>
        <w:outlineLvl w:val="1"/>
        <w:rPr>
          <w:rStyle w:val="15"/>
          <w:rFonts w:ascii="黑体" w:hAnsi="黑体" w:eastAsia="黑体"/>
          <w:b w:val="0"/>
        </w:rPr>
      </w:pPr>
      <w:r>
        <w:rPr>
          <w:rFonts w:hint="eastAsia" w:ascii="黑体" w:hAnsi="黑体" w:eastAsia="黑体"/>
          <w:bCs/>
          <w:color w:val="000000"/>
          <w:sz w:val="32"/>
          <w:szCs w:val="32"/>
        </w:rPr>
        <w:t>收</w:t>
      </w:r>
      <w:r>
        <w:rPr>
          <w:rStyle w:val="15"/>
          <w:rFonts w:hint="eastAsia" w:ascii="黑体" w:hAnsi="黑体" w:eastAsia="黑体"/>
          <w:b w:val="0"/>
        </w:rPr>
        <w:t>入决算情况说明</w:t>
      </w:r>
      <w:bookmarkEnd w:id="21"/>
      <w:bookmarkEnd w:id="22"/>
    </w:p>
    <w:p>
      <w:pPr>
        <w:pStyle w:val="16"/>
        <w:spacing w:line="600" w:lineRule="exact"/>
        <w:ind w:firstLine="640"/>
        <w:outlineLvl w:val="1"/>
        <w:rPr>
          <w:rFonts w:hint="eastAsia" w:ascii="宋体" w:hAnsi="宋体"/>
          <w:bCs/>
          <w:color w:val="000000"/>
          <w:sz w:val="32"/>
          <w:szCs w:val="32"/>
        </w:rPr>
      </w:pPr>
      <w:r>
        <w:rPr>
          <w:rFonts w:hint="eastAsia" w:ascii="宋体" w:hAnsi="宋体"/>
          <w:bCs/>
          <w:color w:val="000000"/>
          <w:sz w:val="32"/>
          <w:szCs w:val="32"/>
        </w:rPr>
        <w:t>202</w:t>
      </w:r>
      <w:r>
        <w:rPr>
          <w:rFonts w:hint="eastAsia" w:ascii="宋体" w:hAnsi="宋体"/>
          <w:bCs/>
          <w:color w:val="000000"/>
          <w:sz w:val="32"/>
          <w:szCs w:val="32"/>
          <w:lang w:val="en-US" w:eastAsia="zh-CN"/>
        </w:rPr>
        <w:t>1</w:t>
      </w:r>
      <w:r>
        <w:rPr>
          <w:rFonts w:hint="eastAsia" w:ascii="宋体" w:hAnsi="宋体"/>
          <w:bCs/>
          <w:color w:val="000000"/>
          <w:sz w:val="32"/>
          <w:szCs w:val="32"/>
        </w:rPr>
        <w:t>年本年收入合计</w:t>
      </w:r>
      <w:r>
        <w:rPr>
          <w:rFonts w:hint="eastAsia" w:ascii="宋体" w:hAnsi="宋体"/>
          <w:bCs/>
          <w:color w:val="000000"/>
          <w:sz w:val="32"/>
          <w:szCs w:val="32"/>
          <w:lang w:val="en-US" w:eastAsia="zh-CN"/>
        </w:rPr>
        <w:t>707.67</w:t>
      </w:r>
      <w:r>
        <w:rPr>
          <w:rFonts w:hint="eastAsia" w:ascii="宋体" w:hAnsi="宋体"/>
          <w:bCs/>
          <w:color w:val="000000"/>
          <w:sz w:val="32"/>
          <w:szCs w:val="32"/>
        </w:rPr>
        <w:t>万元，其中：一般公共预算财政拨款收入</w:t>
      </w:r>
      <w:r>
        <w:rPr>
          <w:rFonts w:hint="eastAsia" w:ascii="宋体" w:hAnsi="宋体"/>
          <w:bCs/>
          <w:color w:val="000000"/>
          <w:sz w:val="32"/>
          <w:szCs w:val="32"/>
          <w:lang w:val="en-US" w:eastAsia="zh-CN"/>
        </w:rPr>
        <w:t>707.63</w:t>
      </w:r>
      <w:r>
        <w:rPr>
          <w:rFonts w:hint="eastAsia" w:ascii="宋体" w:hAnsi="宋体"/>
          <w:bCs/>
          <w:color w:val="000000"/>
          <w:sz w:val="32"/>
          <w:szCs w:val="32"/>
        </w:rPr>
        <w:t>万元，占</w:t>
      </w:r>
      <w:r>
        <w:rPr>
          <w:rFonts w:hint="eastAsia" w:ascii="宋体" w:hAnsi="宋体"/>
          <w:bCs/>
          <w:color w:val="000000"/>
          <w:sz w:val="32"/>
          <w:szCs w:val="32"/>
          <w:lang w:val="en-US" w:eastAsia="zh-CN"/>
        </w:rPr>
        <w:t>99.99</w:t>
      </w:r>
      <w:r>
        <w:rPr>
          <w:rFonts w:hint="eastAsia" w:ascii="宋体" w:hAnsi="宋体"/>
          <w:bCs/>
          <w:color w:val="000000"/>
          <w:sz w:val="32"/>
          <w:szCs w:val="32"/>
        </w:rPr>
        <w:t>%；其他收入</w:t>
      </w:r>
      <w:r>
        <w:rPr>
          <w:rFonts w:hint="eastAsia" w:ascii="宋体" w:hAnsi="宋体"/>
          <w:bCs/>
          <w:color w:val="000000"/>
          <w:sz w:val="32"/>
          <w:szCs w:val="32"/>
          <w:lang w:val="en-US" w:eastAsia="zh-CN"/>
        </w:rPr>
        <w:t>0.04</w:t>
      </w:r>
      <w:r>
        <w:rPr>
          <w:rFonts w:hint="eastAsia" w:ascii="宋体" w:hAnsi="宋体"/>
          <w:bCs/>
          <w:color w:val="000000"/>
          <w:sz w:val="32"/>
          <w:szCs w:val="32"/>
        </w:rPr>
        <w:t>万元，占</w:t>
      </w:r>
      <w:r>
        <w:rPr>
          <w:rFonts w:hint="eastAsia" w:ascii="宋体" w:hAnsi="宋体"/>
          <w:bCs/>
          <w:color w:val="000000"/>
          <w:sz w:val="32"/>
          <w:szCs w:val="32"/>
          <w:lang w:val="en-US" w:eastAsia="zh-CN"/>
        </w:rPr>
        <w:t>0.01</w:t>
      </w:r>
      <w:r>
        <w:rPr>
          <w:rFonts w:hint="eastAsia" w:ascii="宋体" w:hAnsi="宋体"/>
          <w:bCs/>
          <w:color w:val="000000"/>
          <w:sz w:val="32"/>
          <w:szCs w:val="32"/>
        </w:rPr>
        <w:t>%。</w:t>
      </w:r>
    </w:p>
    <w:p>
      <w:pPr>
        <w:pStyle w:val="16"/>
        <w:spacing w:line="600" w:lineRule="exact"/>
        <w:ind w:firstLine="640"/>
        <w:outlineLvl w:val="1"/>
        <w:rPr>
          <w:rFonts w:hint="eastAsia" w:ascii="宋体" w:hAnsi="宋体"/>
          <w:bCs/>
          <w:color w:val="000000"/>
          <w:sz w:val="32"/>
          <w:szCs w:val="32"/>
        </w:rPr>
      </w:pPr>
    </w:p>
    <w:p>
      <w:pPr>
        <w:pStyle w:val="16"/>
        <w:keepNext w:val="0"/>
        <w:keepLines w:val="0"/>
        <w:pageBreakBefore w:val="0"/>
        <w:widowControl w:val="0"/>
        <w:kinsoku/>
        <w:wordWrap/>
        <w:overflowPunct/>
        <w:topLinePunct w:val="0"/>
        <w:autoSpaceDE/>
        <w:autoSpaceDN/>
        <w:bidi w:val="0"/>
        <w:adjustRightInd/>
        <w:snapToGrid/>
        <w:spacing w:line="5000" w:lineRule="exact"/>
        <w:ind w:firstLine="640"/>
        <w:textAlignment w:val="auto"/>
        <w:outlineLvl w:val="1"/>
        <w:rPr>
          <w:rFonts w:hint="eastAsia" w:ascii="宋体" w:hAnsi="宋体"/>
          <w:bCs/>
          <w:color w:val="000000"/>
          <w:sz w:val="32"/>
          <w:szCs w:val="32"/>
        </w:rPr>
      </w:pPr>
      <w:r>
        <w:drawing>
          <wp:inline distT="0" distB="0" distL="114300" distR="114300">
            <wp:extent cx="4572000" cy="2400300"/>
            <wp:effectExtent l="4445" t="4445" r="14605" b="14605"/>
            <wp:docPr id="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kinsoku/>
        <w:wordWrap/>
        <w:overflowPunct/>
        <w:topLinePunct w:val="0"/>
        <w:autoSpaceDE/>
        <w:autoSpaceDN/>
        <w:bidi w:val="0"/>
        <w:adjustRightInd/>
        <w:snapToGrid/>
        <w:spacing w:line="240" w:lineRule="atLeast"/>
        <w:ind w:left="640" w:leftChars="305" w:firstLine="1285" w:firstLineChars="400"/>
        <w:jc w:val="both"/>
        <w:textAlignment w:val="auto"/>
        <w:outlineLvl w:val="1"/>
      </w:pPr>
      <w:r>
        <w:rPr>
          <w:rFonts w:hint="eastAsia" w:ascii="仿宋_GB2312" w:hAnsi="仿宋_GB2312" w:eastAsia="仿宋_GB2312" w:cs="仿宋_GB2312"/>
          <w:b/>
          <w:bCs/>
          <w:color w:val="000000"/>
          <w:sz w:val="32"/>
          <w:szCs w:val="32"/>
        </w:rPr>
        <w:t>（图2：收入决算结构图）</w:t>
      </w:r>
    </w:p>
    <w:p>
      <w:pPr>
        <w:pStyle w:val="16"/>
        <w:keepNext w:val="0"/>
        <w:keepLines w:val="0"/>
        <w:pageBreakBefore w:val="0"/>
        <w:widowControl w:val="0"/>
        <w:kinsoku/>
        <w:wordWrap/>
        <w:overflowPunct/>
        <w:topLinePunct w:val="0"/>
        <w:autoSpaceDE/>
        <w:autoSpaceDN/>
        <w:bidi w:val="0"/>
        <w:adjustRightInd/>
        <w:snapToGrid/>
        <w:spacing w:line="500" w:lineRule="exact"/>
        <w:ind w:firstLine="640"/>
        <w:textAlignment w:val="auto"/>
        <w:outlineLvl w:val="1"/>
        <w:rPr>
          <w:rFonts w:hint="eastAsia" w:ascii="宋体" w:hAnsi="宋体"/>
          <w:bCs/>
          <w:color w:val="000000"/>
          <w:sz w:val="32"/>
          <w:szCs w:val="32"/>
        </w:rPr>
      </w:pPr>
    </w:p>
    <w:p>
      <w:pPr>
        <w:pStyle w:val="16"/>
        <w:numPr>
          <w:ilvl w:val="0"/>
          <w:numId w:val="3"/>
        </w:numPr>
        <w:spacing w:line="600" w:lineRule="exact"/>
        <w:ind w:firstLineChars="0"/>
        <w:outlineLvl w:val="1"/>
        <w:rPr>
          <w:rStyle w:val="15"/>
          <w:rFonts w:ascii="黑体" w:hAnsi="黑体" w:eastAsia="黑体"/>
          <w:b w:val="0"/>
        </w:rPr>
      </w:pPr>
      <w:bookmarkStart w:id="23" w:name="_Toc15396605"/>
      <w:bookmarkStart w:id="24" w:name="_Toc15377207"/>
      <w:r>
        <w:rPr>
          <w:rFonts w:hint="eastAsia" w:ascii="黑体" w:hAnsi="黑体" w:eastAsia="黑体"/>
          <w:bCs/>
          <w:color w:val="000000"/>
          <w:sz w:val="32"/>
          <w:szCs w:val="32"/>
        </w:rPr>
        <w:t>支</w:t>
      </w:r>
      <w:r>
        <w:rPr>
          <w:rStyle w:val="15"/>
          <w:rFonts w:hint="eastAsia" w:ascii="黑体" w:hAnsi="黑体" w:eastAsia="黑体"/>
          <w:b w:val="0"/>
        </w:rPr>
        <w:t>出决算情况说明</w:t>
      </w:r>
      <w:bookmarkEnd w:id="23"/>
      <w:bookmarkEnd w:id="24"/>
    </w:p>
    <w:p>
      <w:pPr>
        <w:pStyle w:val="16"/>
        <w:spacing w:line="600" w:lineRule="exact"/>
        <w:ind w:firstLine="640"/>
        <w:outlineLvl w:val="1"/>
        <w:rPr>
          <w:rFonts w:hint="eastAsia" w:ascii="宋体" w:hAnsi="宋体" w:eastAsia="宋体"/>
          <w:bCs/>
          <w:color w:val="000000"/>
          <w:sz w:val="32"/>
          <w:szCs w:val="32"/>
          <w:lang w:eastAsia="zh-CN"/>
        </w:rPr>
      </w:pPr>
      <w:r>
        <w:rPr>
          <w:rFonts w:hint="eastAsia" w:ascii="宋体" w:hAnsi="宋体"/>
          <w:bCs/>
          <w:color w:val="000000"/>
          <w:sz w:val="32"/>
          <w:szCs w:val="32"/>
        </w:rPr>
        <w:t>202</w:t>
      </w:r>
      <w:r>
        <w:rPr>
          <w:rFonts w:hint="eastAsia" w:ascii="宋体" w:hAnsi="宋体"/>
          <w:bCs/>
          <w:color w:val="000000"/>
          <w:sz w:val="32"/>
          <w:szCs w:val="32"/>
          <w:lang w:val="en-US" w:eastAsia="zh-CN"/>
        </w:rPr>
        <w:t>1</w:t>
      </w:r>
      <w:r>
        <w:rPr>
          <w:rFonts w:hint="eastAsia" w:ascii="宋体" w:hAnsi="宋体"/>
          <w:bCs/>
          <w:color w:val="000000"/>
          <w:sz w:val="32"/>
          <w:szCs w:val="32"/>
        </w:rPr>
        <w:t>年本年支出合计</w:t>
      </w:r>
      <w:r>
        <w:rPr>
          <w:rFonts w:hint="eastAsia" w:ascii="宋体" w:hAnsi="宋体"/>
          <w:bCs/>
          <w:color w:val="000000"/>
          <w:sz w:val="32"/>
          <w:szCs w:val="32"/>
          <w:lang w:val="en-US" w:eastAsia="zh-CN"/>
        </w:rPr>
        <w:t>707.67</w:t>
      </w:r>
      <w:r>
        <w:rPr>
          <w:rFonts w:hint="eastAsia" w:ascii="宋体" w:hAnsi="宋体"/>
          <w:bCs/>
          <w:color w:val="000000"/>
          <w:sz w:val="32"/>
          <w:szCs w:val="32"/>
        </w:rPr>
        <w:t>万元，其中：基本支出</w:t>
      </w:r>
      <w:r>
        <w:rPr>
          <w:rFonts w:hint="eastAsia" w:ascii="宋体" w:hAnsi="宋体"/>
          <w:bCs/>
          <w:color w:val="000000"/>
          <w:sz w:val="32"/>
          <w:szCs w:val="32"/>
          <w:lang w:val="en-US" w:eastAsia="zh-CN"/>
        </w:rPr>
        <w:t>433.21</w:t>
      </w:r>
      <w:r>
        <w:rPr>
          <w:rFonts w:hint="eastAsia" w:ascii="宋体" w:hAnsi="宋体"/>
          <w:bCs/>
          <w:color w:val="000000"/>
          <w:sz w:val="32"/>
          <w:szCs w:val="32"/>
        </w:rPr>
        <w:t>万元，占</w:t>
      </w:r>
      <w:r>
        <w:rPr>
          <w:rFonts w:hint="eastAsia" w:ascii="宋体" w:hAnsi="宋体"/>
          <w:bCs/>
          <w:color w:val="000000"/>
          <w:sz w:val="32"/>
          <w:szCs w:val="32"/>
          <w:lang w:val="en-US" w:eastAsia="zh-CN"/>
        </w:rPr>
        <w:t>61.22</w:t>
      </w:r>
      <w:r>
        <w:rPr>
          <w:rFonts w:hint="eastAsia" w:ascii="宋体" w:hAnsi="宋体"/>
          <w:bCs/>
          <w:color w:val="000000"/>
          <w:sz w:val="32"/>
          <w:szCs w:val="32"/>
        </w:rPr>
        <w:t>%；项目支出</w:t>
      </w:r>
      <w:r>
        <w:rPr>
          <w:rFonts w:hint="eastAsia" w:ascii="宋体" w:hAnsi="宋体"/>
          <w:bCs/>
          <w:color w:val="000000"/>
          <w:sz w:val="32"/>
          <w:szCs w:val="32"/>
          <w:lang w:val="en-US" w:eastAsia="zh-CN"/>
        </w:rPr>
        <w:t>274.46</w:t>
      </w:r>
      <w:r>
        <w:rPr>
          <w:rFonts w:hint="eastAsia" w:ascii="宋体" w:hAnsi="宋体"/>
          <w:bCs/>
          <w:color w:val="000000"/>
          <w:sz w:val="32"/>
          <w:szCs w:val="32"/>
        </w:rPr>
        <w:t>万元，占</w:t>
      </w:r>
      <w:r>
        <w:rPr>
          <w:rFonts w:hint="eastAsia" w:ascii="宋体" w:hAnsi="宋体"/>
          <w:bCs/>
          <w:color w:val="000000"/>
          <w:sz w:val="32"/>
          <w:szCs w:val="32"/>
          <w:lang w:val="en-US" w:eastAsia="zh-CN"/>
        </w:rPr>
        <w:t>38.78</w:t>
      </w:r>
      <w:r>
        <w:rPr>
          <w:rFonts w:hint="eastAsia" w:ascii="宋体" w:hAnsi="宋体"/>
          <w:bCs/>
          <w:color w:val="000000"/>
          <w:sz w:val="32"/>
          <w:szCs w:val="32"/>
        </w:rPr>
        <w:t>%</w:t>
      </w:r>
      <w:r>
        <w:rPr>
          <w:rFonts w:hint="eastAsia" w:ascii="宋体" w:hAnsi="宋体"/>
          <w:bCs/>
          <w:color w:val="000000"/>
          <w:sz w:val="32"/>
          <w:szCs w:val="32"/>
          <w:lang w:eastAsia="zh-CN"/>
        </w:rPr>
        <w:t>。</w:t>
      </w:r>
    </w:p>
    <w:p>
      <w:pPr>
        <w:pStyle w:val="16"/>
        <w:spacing w:line="600" w:lineRule="exact"/>
        <w:ind w:firstLine="640"/>
        <w:outlineLvl w:val="1"/>
        <w:rPr>
          <w:rFonts w:hint="eastAsia" w:ascii="宋体" w:hAnsi="宋体"/>
          <w:bCs/>
          <w:color w:val="000000"/>
          <w:sz w:val="32"/>
          <w:szCs w:val="32"/>
        </w:rPr>
      </w:pPr>
    </w:p>
    <w:p>
      <w:pPr>
        <w:pStyle w:val="16"/>
        <w:keepNext w:val="0"/>
        <w:keepLines w:val="0"/>
        <w:pageBreakBefore w:val="0"/>
        <w:widowControl w:val="0"/>
        <w:kinsoku/>
        <w:wordWrap/>
        <w:overflowPunct/>
        <w:topLinePunct w:val="0"/>
        <w:autoSpaceDE/>
        <w:autoSpaceDN/>
        <w:bidi w:val="0"/>
        <w:adjustRightInd/>
        <w:snapToGrid/>
        <w:spacing w:line="5000" w:lineRule="exact"/>
        <w:ind w:firstLine="640"/>
        <w:textAlignment w:val="auto"/>
        <w:outlineLvl w:val="1"/>
      </w:pPr>
      <w:r>
        <w:drawing>
          <wp:inline distT="0" distB="0" distL="114300" distR="114300">
            <wp:extent cx="4572000" cy="2524760"/>
            <wp:effectExtent l="4445" t="4445" r="14605" b="2349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kinsoku/>
        <w:wordWrap/>
        <w:overflowPunct/>
        <w:topLinePunct w:val="0"/>
        <w:autoSpaceDE/>
        <w:autoSpaceDN/>
        <w:bidi w:val="0"/>
        <w:adjustRightInd/>
        <w:snapToGrid/>
        <w:spacing w:line="400" w:lineRule="exact"/>
        <w:ind w:firstLine="642" w:firstLineChars="200"/>
        <w:jc w:val="center"/>
        <w:textAlignment w:val="auto"/>
        <w:rPr>
          <w:rFonts w:hint="eastAsia" w:eastAsia="仿宋_GB2312"/>
          <w:lang w:eastAsia="zh-CN"/>
        </w:rPr>
      </w:pPr>
      <w:r>
        <w:rPr>
          <w:rFonts w:hint="eastAsia" w:ascii="仿宋_GB2312" w:hAnsi="仿宋_GB2312" w:eastAsia="仿宋_GB2312" w:cs="仿宋_GB2312"/>
          <w:b/>
          <w:bCs/>
          <w:color w:val="000000"/>
          <w:sz w:val="32"/>
          <w:szCs w:val="32"/>
        </w:rPr>
        <w:t>（图3：支出决算结构图）</w:t>
      </w:r>
    </w:p>
    <w:p>
      <w:pPr>
        <w:pStyle w:val="16"/>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rPr>
      </w:pPr>
    </w:p>
    <w:p>
      <w:pPr>
        <w:pStyle w:val="16"/>
        <w:keepNext w:val="0"/>
        <w:keepLines w:val="0"/>
        <w:pageBreakBefore w:val="0"/>
        <w:widowControl w:val="0"/>
        <w:kinsoku/>
        <w:wordWrap/>
        <w:overflowPunct/>
        <w:topLinePunct w:val="0"/>
        <w:autoSpaceDE/>
        <w:autoSpaceDN/>
        <w:bidi w:val="0"/>
        <w:adjustRightInd/>
        <w:snapToGrid/>
        <w:spacing w:line="20" w:lineRule="exact"/>
        <w:ind w:firstLine="640"/>
        <w:textAlignment w:val="auto"/>
        <w:outlineLvl w:val="1"/>
        <w:rPr>
          <w:rFonts w:hint="eastAsia" w:ascii="宋体" w:hAnsi="宋体"/>
          <w:bCs/>
          <w:color w:val="000000"/>
          <w:sz w:val="32"/>
          <w:szCs w:val="32"/>
        </w:rPr>
      </w:pPr>
    </w:p>
    <w:p>
      <w:pPr>
        <w:spacing w:line="600" w:lineRule="exact"/>
        <w:ind w:firstLine="640" w:firstLineChars="200"/>
        <w:outlineLvl w:val="1"/>
        <w:rPr>
          <w:rFonts w:hint="eastAsia" w:ascii="黑体" w:hAnsi="黑体" w:eastAsia="黑体"/>
          <w:bCs/>
          <w:color w:val="000000"/>
          <w:sz w:val="32"/>
          <w:szCs w:val="32"/>
        </w:rPr>
      </w:pPr>
      <w:bookmarkStart w:id="25" w:name="_Toc15377208"/>
      <w:bookmarkStart w:id="26" w:name="_Toc15396606"/>
    </w:p>
    <w:p>
      <w:pPr>
        <w:spacing w:line="600" w:lineRule="exact"/>
        <w:ind w:firstLine="640" w:firstLineChars="200"/>
        <w:outlineLvl w:val="1"/>
        <w:rPr>
          <w:rStyle w:val="15"/>
          <w:rFonts w:ascii="黑体" w:hAnsi="黑体" w:eastAsia="黑体"/>
          <w:b w:val="0"/>
          <w:color w:val="auto"/>
        </w:rPr>
      </w:pPr>
      <w:r>
        <w:rPr>
          <w:rFonts w:hint="eastAsia" w:ascii="黑体" w:hAnsi="黑体" w:eastAsia="黑体"/>
          <w:bCs/>
          <w:color w:val="auto"/>
          <w:sz w:val="32"/>
          <w:szCs w:val="32"/>
        </w:rPr>
        <w:t>四、财</w:t>
      </w:r>
      <w:r>
        <w:rPr>
          <w:rStyle w:val="15"/>
          <w:rFonts w:hint="eastAsia" w:ascii="黑体" w:hAnsi="黑体" w:eastAsia="黑体"/>
          <w:b w:val="0"/>
          <w:color w:val="auto"/>
        </w:rPr>
        <w:t>政拨款收入支出决算总体情况说明</w:t>
      </w:r>
      <w:bookmarkEnd w:id="25"/>
      <w:bookmarkEnd w:id="26"/>
    </w:p>
    <w:p>
      <w:pPr>
        <w:spacing w:line="600" w:lineRule="exact"/>
        <w:ind w:firstLine="640" w:firstLineChars="200"/>
        <w:rPr>
          <w:rFonts w:hint="eastAsia" w:ascii="宋体" w:hAnsi="宋体"/>
          <w:bCs/>
          <w:color w:val="auto"/>
          <w:sz w:val="32"/>
          <w:szCs w:val="32"/>
        </w:rPr>
      </w:pPr>
      <w:r>
        <w:rPr>
          <w:rFonts w:ascii="宋体" w:hAnsi="宋体"/>
          <w:bCs/>
          <w:color w:val="auto"/>
          <w:sz w:val="32"/>
          <w:szCs w:val="32"/>
        </w:rPr>
        <w:t>202</w:t>
      </w:r>
      <w:r>
        <w:rPr>
          <w:rFonts w:hint="eastAsia" w:ascii="宋体" w:hAnsi="宋体"/>
          <w:bCs/>
          <w:color w:val="auto"/>
          <w:sz w:val="32"/>
          <w:szCs w:val="32"/>
          <w:lang w:val="en-US" w:eastAsia="zh-CN"/>
        </w:rPr>
        <w:t>1</w:t>
      </w:r>
      <w:r>
        <w:rPr>
          <w:rFonts w:hint="eastAsia" w:ascii="宋体" w:hAnsi="宋体"/>
          <w:bCs/>
          <w:color w:val="auto"/>
          <w:sz w:val="32"/>
          <w:szCs w:val="32"/>
        </w:rPr>
        <w:t>年财政拨款收</w:t>
      </w:r>
      <w:r>
        <w:rPr>
          <w:rFonts w:hint="eastAsia" w:ascii="宋体" w:hAnsi="宋体"/>
          <w:bCs/>
          <w:color w:val="auto"/>
          <w:sz w:val="32"/>
          <w:szCs w:val="32"/>
          <w:lang w:eastAsia="zh-CN"/>
        </w:rPr>
        <w:t>、</w:t>
      </w:r>
      <w:r>
        <w:rPr>
          <w:rFonts w:hint="eastAsia" w:ascii="宋体" w:hAnsi="宋体"/>
          <w:bCs/>
          <w:color w:val="auto"/>
          <w:sz w:val="32"/>
          <w:szCs w:val="32"/>
        </w:rPr>
        <w:t>支总计</w:t>
      </w:r>
      <w:r>
        <w:rPr>
          <w:rFonts w:hint="eastAsia" w:ascii="宋体" w:hAnsi="宋体"/>
          <w:bCs/>
          <w:color w:val="auto"/>
          <w:sz w:val="32"/>
          <w:szCs w:val="32"/>
          <w:lang w:val="en-US" w:eastAsia="zh-CN"/>
        </w:rPr>
        <w:t>707.63</w:t>
      </w:r>
      <w:r>
        <w:rPr>
          <w:rFonts w:hint="eastAsia" w:ascii="宋体" w:hAnsi="宋体"/>
          <w:bCs/>
          <w:color w:val="auto"/>
          <w:sz w:val="32"/>
          <w:szCs w:val="32"/>
        </w:rPr>
        <w:t>万元。与</w:t>
      </w:r>
      <w:r>
        <w:rPr>
          <w:rFonts w:ascii="宋体" w:hAnsi="宋体"/>
          <w:bCs/>
          <w:color w:val="auto"/>
          <w:sz w:val="32"/>
          <w:szCs w:val="32"/>
        </w:rPr>
        <w:t>20</w:t>
      </w:r>
      <w:r>
        <w:rPr>
          <w:rFonts w:hint="eastAsia" w:ascii="宋体" w:hAnsi="宋体"/>
          <w:bCs/>
          <w:color w:val="auto"/>
          <w:sz w:val="32"/>
          <w:szCs w:val="32"/>
          <w:lang w:val="en-US" w:eastAsia="zh-CN"/>
        </w:rPr>
        <w:t>20</w:t>
      </w:r>
      <w:r>
        <w:rPr>
          <w:rFonts w:hint="eastAsia" w:ascii="宋体" w:hAnsi="宋体"/>
          <w:bCs/>
          <w:color w:val="auto"/>
          <w:sz w:val="32"/>
          <w:szCs w:val="32"/>
        </w:rPr>
        <w:t>年相比，财政拨款收</w:t>
      </w:r>
      <w:r>
        <w:rPr>
          <w:rFonts w:hint="eastAsia" w:ascii="宋体" w:hAnsi="宋体"/>
          <w:bCs/>
          <w:color w:val="auto"/>
          <w:sz w:val="32"/>
          <w:szCs w:val="32"/>
          <w:lang w:eastAsia="zh-CN"/>
        </w:rPr>
        <w:t>、</w:t>
      </w:r>
      <w:r>
        <w:rPr>
          <w:rFonts w:hint="eastAsia" w:ascii="宋体" w:hAnsi="宋体"/>
          <w:bCs/>
          <w:color w:val="auto"/>
          <w:sz w:val="32"/>
          <w:szCs w:val="32"/>
        </w:rPr>
        <w:t>支</w:t>
      </w:r>
      <w:r>
        <w:rPr>
          <w:rFonts w:hint="eastAsia" w:ascii="宋体" w:hAnsi="宋体"/>
          <w:bCs/>
          <w:color w:val="auto"/>
          <w:sz w:val="32"/>
          <w:szCs w:val="32"/>
          <w:lang w:val="en-US" w:eastAsia="zh-CN"/>
        </w:rPr>
        <w:t>总计</w:t>
      </w:r>
      <w:r>
        <w:rPr>
          <w:rFonts w:hint="eastAsia" w:ascii="宋体" w:hAnsi="宋体"/>
          <w:bCs/>
          <w:color w:val="auto"/>
          <w:sz w:val="32"/>
          <w:szCs w:val="32"/>
          <w:lang w:eastAsia="zh-CN"/>
        </w:rPr>
        <w:t>增加</w:t>
      </w:r>
      <w:r>
        <w:rPr>
          <w:rFonts w:hint="eastAsia" w:ascii="宋体" w:hAnsi="宋体"/>
          <w:bCs/>
          <w:color w:val="auto"/>
          <w:sz w:val="32"/>
          <w:szCs w:val="32"/>
          <w:lang w:val="en-US" w:eastAsia="zh-CN"/>
        </w:rPr>
        <w:t>59.09</w:t>
      </w:r>
      <w:r>
        <w:rPr>
          <w:rFonts w:hint="eastAsia" w:ascii="宋体" w:hAnsi="宋体"/>
          <w:bCs/>
          <w:color w:val="auto"/>
          <w:sz w:val="32"/>
          <w:szCs w:val="32"/>
        </w:rPr>
        <w:t>万元，</w:t>
      </w:r>
      <w:r>
        <w:rPr>
          <w:rFonts w:hint="eastAsia" w:ascii="宋体" w:hAnsi="宋体"/>
          <w:bCs/>
          <w:color w:val="auto"/>
          <w:sz w:val="32"/>
          <w:szCs w:val="32"/>
          <w:lang w:eastAsia="zh-CN"/>
        </w:rPr>
        <w:t>上升</w:t>
      </w:r>
      <w:r>
        <w:rPr>
          <w:rFonts w:hint="eastAsia" w:ascii="宋体" w:hAnsi="宋体"/>
          <w:bCs/>
          <w:color w:val="auto"/>
          <w:sz w:val="32"/>
          <w:szCs w:val="32"/>
          <w:lang w:val="en-US" w:eastAsia="zh-CN"/>
        </w:rPr>
        <w:t>9.11</w:t>
      </w:r>
      <w:r>
        <w:rPr>
          <w:rFonts w:ascii="宋体" w:hAnsi="宋体"/>
          <w:bCs/>
          <w:color w:val="auto"/>
          <w:sz w:val="32"/>
          <w:szCs w:val="32"/>
        </w:rPr>
        <w:t>%</w:t>
      </w:r>
      <w:r>
        <w:rPr>
          <w:rFonts w:hint="eastAsia" w:ascii="宋体" w:hAnsi="宋体"/>
          <w:bCs/>
          <w:color w:val="auto"/>
          <w:sz w:val="32"/>
          <w:szCs w:val="32"/>
        </w:rPr>
        <w:t>。主要变动原因</w:t>
      </w:r>
      <w:r>
        <w:rPr>
          <w:rFonts w:hint="eastAsia" w:ascii="宋体" w:hAnsi="宋体"/>
          <w:bCs/>
          <w:color w:val="auto"/>
          <w:sz w:val="32"/>
          <w:szCs w:val="32"/>
          <w:lang w:eastAsia="zh-CN"/>
        </w:rPr>
        <w:t>：</w:t>
      </w:r>
      <w:r>
        <w:rPr>
          <w:rFonts w:hint="eastAsia" w:ascii="宋体" w:hAnsi="宋体"/>
          <w:bCs/>
          <w:color w:val="auto"/>
          <w:sz w:val="32"/>
          <w:szCs w:val="32"/>
        </w:rPr>
        <w:t>人员</w:t>
      </w:r>
      <w:r>
        <w:rPr>
          <w:rFonts w:hint="eastAsia" w:ascii="宋体" w:hAnsi="宋体"/>
          <w:bCs/>
          <w:color w:val="auto"/>
          <w:sz w:val="32"/>
          <w:szCs w:val="32"/>
          <w:lang w:eastAsia="zh-CN"/>
        </w:rPr>
        <w:t>增加</w:t>
      </w:r>
      <w:r>
        <w:rPr>
          <w:rFonts w:hint="eastAsia" w:ascii="宋体" w:hAnsi="宋体"/>
          <w:bCs/>
          <w:color w:val="auto"/>
          <w:sz w:val="32"/>
          <w:szCs w:val="32"/>
        </w:rPr>
        <w:t>。</w:t>
      </w:r>
    </w:p>
    <w:p>
      <w:pPr>
        <w:pStyle w:val="2"/>
        <w:rPr>
          <w:rFonts w:hint="eastAsia" w:ascii="宋体" w:hAnsi="宋体"/>
          <w:bCs/>
          <w:color w:val="auto"/>
          <w:sz w:val="32"/>
          <w:szCs w:val="32"/>
        </w:rPr>
      </w:pPr>
    </w:p>
    <w:p>
      <w:pPr>
        <w:pStyle w:val="2"/>
        <w:rPr>
          <w:rFonts w:hint="eastAsia" w:ascii="宋体" w:hAnsi="宋体"/>
          <w:bCs/>
          <w:color w:val="auto"/>
          <w:sz w:val="32"/>
          <w:szCs w:val="32"/>
        </w:rPr>
      </w:pPr>
    </w:p>
    <w:p>
      <w:pPr>
        <w:pStyle w:val="2"/>
        <w:rPr>
          <w:rFonts w:hint="eastAsia" w:ascii="宋体" w:hAnsi="宋体"/>
          <w:bCs/>
          <w:color w:val="auto"/>
          <w:sz w:val="32"/>
          <w:szCs w:val="32"/>
        </w:rPr>
      </w:pPr>
    </w:p>
    <w:p>
      <w:pPr>
        <w:pStyle w:val="2"/>
        <w:rPr>
          <w:rFonts w:hint="eastAsia" w:ascii="宋体" w:hAnsi="宋体"/>
          <w:bCs/>
          <w:color w:val="auto"/>
          <w:sz w:val="32"/>
          <w:szCs w:val="32"/>
        </w:rPr>
      </w:pPr>
    </w:p>
    <w:p>
      <w:pPr>
        <w:pStyle w:val="2"/>
        <w:rPr>
          <w:rFonts w:hint="eastAsia" w:ascii="宋体" w:hAnsi="宋体"/>
          <w:bCs/>
          <w:color w:val="auto"/>
          <w:sz w:val="32"/>
          <w:szCs w:val="32"/>
        </w:rPr>
      </w:pPr>
    </w:p>
    <w:p>
      <w:pPr>
        <w:pStyle w:val="2"/>
        <w:rPr>
          <w:rFonts w:hint="eastAsia" w:ascii="宋体" w:hAnsi="宋体"/>
          <w:bCs/>
          <w:color w:val="auto"/>
          <w:sz w:val="32"/>
          <w:szCs w:val="32"/>
        </w:rPr>
      </w:pPr>
    </w:p>
    <w:p>
      <w:pPr>
        <w:pStyle w:val="2"/>
        <w:rPr>
          <w:rFonts w:hint="eastAsia" w:ascii="宋体" w:hAnsi="宋体" w:eastAsia="仿宋_GB2312"/>
          <w:bCs/>
          <w:color w:val="auto"/>
          <w:sz w:val="32"/>
          <w:szCs w:val="32"/>
          <w:lang w:eastAsia="zh-CN"/>
        </w:rPr>
      </w:pPr>
      <w:r>
        <w:drawing>
          <wp:inline distT="0" distB="0" distL="114300" distR="114300">
            <wp:extent cx="4572000" cy="2743200"/>
            <wp:effectExtent l="4445" t="4445" r="14605" b="14605"/>
            <wp:docPr id="1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keepNext w:val="0"/>
        <w:keepLines w:val="0"/>
        <w:pageBreakBefore w:val="0"/>
        <w:widowControl w:val="0"/>
        <w:kinsoku/>
        <w:wordWrap/>
        <w:overflowPunct/>
        <w:topLinePunct w:val="0"/>
        <w:autoSpaceDE/>
        <w:autoSpaceDN/>
        <w:bidi w:val="0"/>
        <w:adjustRightInd/>
        <w:snapToGrid/>
        <w:spacing w:line="240" w:lineRule="exact"/>
        <w:ind w:firstLine="642" w:firstLineChars="200"/>
        <w:jc w:val="center"/>
        <w:textAlignment w:val="auto"/>
        <w:rPr>
          <w:rFonts w:hint="eastAsia" w:ascii="仿宋_GB2312" w:hAnsi="仿宋_GB2312" w:eastAsia="仿宋_GB2312" w:cs="仿宋_GB2312"/>
          <w:b/>
          <w:bCs/>
          <w:color w:val="auto"/>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642" w:firstLineChars="200"/>
        <w:jc w:val="center"/>
        <w:textAlignment w:val="auto"/>
        <w:rPr>
          <w:rFonts w:hint="eastAsia" w:ascii="仿宋_GB2312" w:hAnsi="仿宋_GB2312" w:eastAsia="仿宋_GB2312" w:cs="仿宋_GB2312"/>
          <w:b/>
          <w:bCs/>
          <w:color w:val="auto"/>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exact"/>
        <w:ind w:firstLine="642" w:firstLineChars="200"/>
        <w:jc w:val="center"/>
        <w:textAlignment w:val="auto"/>
        <w:rPr>
          <w:rFonts w:hint="eastAsia" w:ascii="仿宋_GB2312" w:hAnsi="仿宋" w:eastAsia="仿宋_GB2312"/>
          <w:color w:val="auto"/>
          <w:szCs w:val="32"/>
          <w:lang w:eastAsia="zh-CN"/>
        </w:rPr>
      </w:pPr>
      <w:r>
        <w:rPr>
          <w:rFonts w:hint="eastAsia" w:ascii="仿宋_GB2312" w:hAnsi="仿宋_GB2312" w:eastAsia="仿宋_GB2312" w:cs="仿宋_GB2312"/>
          <w:b/>
          <w:bCs/>
          <w:color w:val="auto"/>
          <w:sz w:val="32"/>
          <w:szCs w:val="32"/>
        </w:rPr>
        <w:t>（图4：财政拨款收</w:t>
      </w:r>
      <w:r>
        <w:rPr>
          <w:rFonts w:hint="eastAsia" w:hAnsi="仿宋_GB2312" w:cs="仿宋_GB2312"/>
          <w:b/>
          <w:bCs/>
          <w:color w:val="auto"/>
          <w:sz w:val="32"/>
          <w:szCs w:val="32"/>
          <w:lang w:val="en-US" w:eastAsia="zh-CN"/>
        </w:rPr>
        <w:t>入</w:t>
      </w:r>
      <w:r>
        <w:rPr>
          <w:rFonts w:hint="eastAsia" w:ascii="仿宋_GB2312" w:hAnsi="仿宋_GB2312" w:eastAsia="仿宋_GB2312" w:cs="仿宋_GB2312"/>
          <w:b/>
          <w:bCs/>
          <w:color w:val="auto"/>
          <w:sz w:val="32"/>
          <w:szCs w:val="32"/>
        </w:rPr>
        <w:t>支</w:t>
      </w:r>
      <w:r>
        <w:rPr>
          <w:rFonts w:hint="eastAsia" w:hAnsi="仿宋_GB2312" w:cs="仿宋_GB2312"/>
          <w:b/>
          <w:bCs/>
          <w:color w:val="auto"/>
          <w:sz w:val="32"/>
          <w:szCs w:val="32"/>
          <w:lang w:val="en-US" w:eastAsia="zh-CN"/>
        </w:rPr>
        <w:t>出</w:t>
      </w:r>
      <w:r>
        <w:rPr>
          <w:rFonts w:hint="eastAsia" w:ascii="仿宋_GB2312" w:hAnsi="仿宋_GB2312" w:eastAsia="仿宋_GB2312" w:cs="仿宋_GB2312"/>
          <w:b/>
          <w:bCs/>
          <w:color w:val="auto"/>
          <w:sz w:val="32"/>
          <w:szCs w:val="32"/>
        </w:rPr>
        <w:t>决算总计变动情况）</w:t>
      </w:r>
    </w:p>
    <w:p>
      <w:pPr>
        <w:pStyle w:val="2"/>
        <w:rPr>
          <w:rFonts w:hint="eastAsia"/>
        </w:rPr>
      </w:pPr>
    </w:p>
    <w:p>
      <w:pPr>
        <w:spacing w:line="600" w:lineRule="exact"/>
        <w:ind w:firstLine="640" w:firstLineChars="200"/>
        <w:outlineLvl w:val="1"/>
        <w:rPr>
          <w:rFonts w:hint="eastAsia" w:ascii="黑体" w:hAnsi="黑体" w:eastAsia="黑体"/>
          <w:bCs/>
          <w:color w:val="000000"/>
          <w:sz w:val="32"/>
          <w:szCs w:val="32"/>
        </w:rPr>
      </w:pPr>
      <w:bookmarkStart w:id="27" w:name="_Toc15377209"/>
      <w:bookmarkStart w:id="28" w:name="_Toc15396607"/>
    </w:p>
    <w:p>
      <w:pPr>
        <w:spacing w:line="600" w:lineRule="exact"/>
        <w:ind w:firstLine="640" w:firstLineChars="200"/>
        <w:outlineLvl w:val="1"/>
        <w:rPr>
          <w:rStyle w:val="15"/>
          <w:rFonts w:ascii="黑体" w:hAnsi="黑体" w:eastAsia="黑体"/>
          <w:b w:val="0"/>
        </w:rPr>
      </w:pPr>
      <w:r>
        <w:rPr>
          <w:rFonts w:hint="eastAsia" w:ascii="黑体" w:hAnsi="黑体" w:eastAsia="黑体"/>
          <w:bCs/>
          <w:color w:val="000000"/>
          <w:sz w:val="32"/>
          <w:szCs w:val="32"/>
        </w:rPr>
        <w:t>五、一</w:t>
      </w:r>
      <w:r>
        <w:rPr>
          <w:rStyle w:val="15"/>
          <w:rFonts w:hint="eastAsia" w:ascii="黑体" w:hAnsi="黑体" w:eastAsia="黑体"/>
          <w:b w:val="0"/>
        </w:rPr>
        <w:t>般公共预算财政拨款支出决算情况说明</w:t>
      </w:r>
      <w:bookmarkEnd w:id="27"/>
      <w:bookmarkEnd w:id="28"/>
    </w:p>
    <w:p>
      <w:pPr>
        <w:spacing w:line="600" w:lineRule="exact"/>
        <w:ind w:firstLine="640" w:firstLineChars="200"/>
        <w:outlineLvl w:val="2"/>
        <w:rPr>
          <w:rFonts w:ascii="宋体" w:hAnsi="宋体"/>
          <w:bCs/>
          <w:color w:val="000000"/>
          <w:sz w:val="32"/>
          <w:szCs w:val="32"/>
        </w:rPr>
      </w:pPr>
      <w:bookmarkStart w:id="29" w:name="_Toc15377210"/>
      <w:r>
        <w:rPr>
          <w:rFonts w:hint="eastAsia" w:ascii="宋体" w:hAnsi="宋体"/>
          <w:bCs/>
          <w:color w:val="000000"/>
          <w:sz w:val="32"/>
          <w:szCs w:val="32"/>
        </w:rPr>
        <w:t>（一）一般公共预算财政拨款支出决算总体情况</w:t>
      </w:r>
      <w:bookmarkEnd w:id="29"/>
    </w:p>
    <w:p>
      <w:pPr>
        <w:spacing w:line="600" w:lineRule="exact"/>
        <w:ind w:firstLine="640" w:firstLineChars="200"/>
        <w:rPr>
          <w:rFonts w:hint="eastAsia" w:ascii="宋体" w:hAnsi="宋体"/>
          <w:bCs/>
          <w:color w:val="auto"/>
          <w:sz w:val="32"/>
          <w:szCs w:val="32"/>
        </w:rPr>
      </w:pPr>
      <w:r>
        <w:rPr>
          <w:rFonts w:ascii="宋体" w:hAnsi="宋体"/>
          <w:bCs/>
          <w:color w:val="000000"/>
          <w:sz w:val="32"/>
          <w:szCs w:val="32"/>
        </w:rPr>
        <w:t>202</w:t>
      </w:r>
      <w:r>
        <w:rPr>
          <w:rFonts w:hint="eastAsia" w:ascii="宋体" w:hAnsi="宋体"/>
          <w:bCs/>
          <w:color w:val="000000"/>
          <w:sz w:val="32"/>
          <w:szCs w:val="32"/>
          <w:lang w:val="en-US" w:eastAsia="zh-CN"/>
        </w:rPr>
        <w:t>1</w:t>
      </w:r>
      <w:r>
        <w:rPr>
          <w:rFonts w:hint="eastAsia" w:ascii="宋体" w:hAnsi="宋体"/>
          <w:bCs/>
          <w:color w:val="000000"/>
          <w:sz w:val="32"/>
          <w:szCs w:val="32"/>
        </w:rPr>
        <w:t>年一般公共预算财政拨款支出</w:t>
      </w:r>
      <w:r>
        <w:rPr>
          <w:rFonts w:hint="eastAsia" w:ascii="宋体" w:hAnsi="宋体"/>
          <w:bCs/>
          <w:color w:val="000000"/>
          <w:sz w:val="32"/>
          <w:szCs w:val="32"/>
          <w:lang w:val="en-US" w:eastAsia="zh-CN"/>
        </w:rPr>
        <w:t>707.63</w:t>
      </w:r>
      <w:r>
        <w:rPr>
          <w:rFonts w:hint="eastAsia" w:ascii="宋体" w:hAnsi="宋体"/>
          <w:bCs/>
          <w:color w:val="000000"/>
          <w:sz w:val="32"/>
          <w:szCs w:val="32"/>
        </w:rPr>
        <w:t>万元，占本年支出合计的99.</w:t>
      </w:r>
      <w:r>
        <w:rPr>
          <w:rFonts w:hint="eastAsia" w:ascii="宋体" w:hAnsi="宋体"/>
          <w:bCs/>
          <w:color w:val="000000"/>
          <w:sz w:val="32"/>
          <w:szCs w:val="32"/>
          <w:lang w:val="en-US" w:eastAsia="zh-CN"/>
        </w:rPr>
        <w:t>99</w:t>
      </w:r>
      <w:r>
        <w:rPr>
          <w:rFonts w:ascii="宋体" w:hAnsi="宋体"/>
          <w:bCs/>
          <w:color w:val="000000"/>
          <w:sz w:val="32"/>
          <w:szCs w:val="32"/>
        </w:rPr>
        <w:t>%</w:t>
      </w:r>
      <w:r>
        <w:rPr>
          <w:rFonts w:hint="eastAsia" w:ascii="宋体" w:hAnsi="宋体"/>
          <w:bCs/>
          <w:color w:val="000000"/>
          <w:sz w:val="32"/>
          <w:szCs w:val="32"/>
        </w:rPr>
        <w:t>。与</w:t>
      </w:r>
      <w:r>
        <w:rPr>
          <w:rFonts w:ascii="宋体" w:hAnsi="宋体"/>
          <w:bCs/>
          <w:color w:val="000000"/>
          <w:sz w:val="32"/>
          <w:szCs w:val="32"/>
        </w:rPr>
        <w:t>20</w:t>
      </w:r>
      <w:r>
        <w:rPr>
          <w:rFonts w:hint="eastAsia" w:ascii="宋体" w:hAnsi="宋体"/>
          <w:bCs/>
          <w:color w:val="000000"/>
          <w:sz w:val="32"/>
          <w:szCs w:val="32"/>
          <w:lang w:val="en-US" w:eastAsia="zh-CN"/>
        </w:rPr>
        <w:t>20</w:t>
      </w:r>
      <w:r>
        <w:rPr>
          <w:rFonts w:hint="eastAsia" w:ascii="宋体" w:hAnsi="宋体"/>
          <w:bCs/>
          <w:color w:val="000000"/>
          <w:sz w:val="32"/>
          <w:szCs w:val="32"/>
        </w:rPr>
        <w:t>年相比，一般公共预算财政拨款</w:t>
      </w:r>
      <w:r>
        <w:rPr>
          <w:rFonts w:hint="eastAsia" w:ascii="宋体" w:hAnsi="宋体"/>
          <w:bCs/>
          <w:color w:val="000000"/>
          <w:sz w:val="32"/>
          <w:szCs w:val="32"/>
          <w:lang w:eastAsia="zh-CN"/>
        </w:rPr>
        <w:t>增加</w:t>
      </w:r>
      <w:r>
        <w:rPr>
          <w:rFonts w:hint="eastAsia" w:ascii="宋体" w:hAnsi="宋体"/>
          <w:bCs/>
          <w:color w:val="000000"/>
          <w:sz w:val="32"/>
          <w:szCs w:val="32"/>
          <w:lang w:val="en-US" w:eastAsia="zh-CN"/>
        </w:rPr>
        <w:t>59.09</w:t>
      </w:r>
      <w:r>
        <w:rPr>
          <w:rFonts w:hint="eastAsia" w:ascii="宋体" w:hAnsi="宋体"/>
          <w:bCs/>
          <w:color w:val="000000"/>
          <w:sz w:val="32"/>
          <w:szCs w:val="32"/>
        </w:rPr>
        <w:t>万元，</w:t>
      </w:r>
      <w:r>
        <w:rPr>
          <w:rFonts w:hint="eastAsia" w:ascii="宋体" w:hAnsi="宋体"/>
          <w:bCs/>
          <w:color w:val="auto"/>
          <w:sz w:val="32"/>
          <w:szCs w:val="32"/>
          <w:lang w:eastAsia="zh-CN"/>
        </w:rPr>
        <w:t>上升</w:t>
      </w:r>
      <w:r>
        <w:rPr>
          <w:rFonts w:hint="eastAsia" w:ascii="宋体" w:hAnsi="宋体"/>
          <w:bCs/>
          <w:color w:val="auto"/>
          <w:sz w:val="32"/>
          <w:szCs w:val="32"/>
          <w:lang w:val="en-US" w:eastAsia="zh-CN"/>
        </w:rPr>
        <w:t>9.11</w:t>
      </w:r>
      <w:r>
        <w:rPr>
          <w:rFonts w:ascii="宋体" w:hAnsi="宋体"/>
          <w:bCs/>
          <w:color w:val="auto"/>
          <w:sz w:val="32"/>
          <w:szCs w:val="32"/>
        </w:rPr>
        <w:t>%</w:t>
      </w:r>
      <w:r>
        <w:rPr>
          <w:rFonts w:hint="eastAsia" w:ascii="宋体" w:hAnsi="宋体"/>
          <w:bCs/>
          <w:color w:val="000000"/>
          <w:sz w:val="32"/>
          <w:szCs w:val="32"/>
        </w:rPr>
        <w:t>。</w:t>
      </w:r>
      <w:r>
        <w:rPr>
          <w:rFonts w:hint="eastAsia" w:ascii="宋体" w:hAnsi="宋体"/>
          <w:bCs/>
          <w:color w:val="auto"/>
          <w:sz w:val="32"/>
          <w:szCs w:val="32"/>
        </w:rPr>
        <w:t>主要变动原因</w:t>
      </w:r>
      <w:r>
        <w:rPr>
          <w:rFonts w:hint="eastAsia" w:ascii="宋体" w:hAnsi="宋体"/>
          <w:bCs/>
          <w:color w:val="auto"/>
          <w:sz w:val="32"/>
          <w:szCs w:val="32"/>
          <w:lang w:eastAsia="zh-CN"/>
        </w:rPr>
        <w:t>：</w:t>
      </w:r>
      <w:r>
        <w:rPr>
          <w:rFonts w:hint="eastAsia" w:ascii="宋体" w:hAnsi="宋体"/>
          <w:bCs/>
          <w:color w:val="auto"/>
          <w:sz w:val="32"/>
          <w:szCs w:val="32"/>
        </w:rPr>
        <w:t>人员</w:t>
      </w:r>
      <w:r>
        <w:rPr>
          <w:rFonts w:hint="eastAsia" w:ascii="宋体" w:hAnsi="宋体"/>
          <w:bCs/>
          <w:color w:val="auto"/>
          <w:sz w:val="32"/>
          <w:szCs w:val="32"/>
          <w:lang w:eastAsia="zh-CN"/>
        </w:rPr>
        <w:t>增加，</w:t>
      </w:r>
      <w:r>
        <w:rPr>
          <w:rFonts w:hint="eastAsia" w:ascii="宋体" w:hAnsi="宋体"/>
          <w:bCs/>
          <w:color w:val="auto"/>
          <w:sz w:val="32"/>
          <w:szCs w:val="32"/>
          <w:lang w:val="en-US" w:eastAsia="zh-CN"/>
        </w:rPr>
        <w:t>经费相应增加</w:t>
      </w:r>
      <w:r>
        <w:rPr>
          <w:rFonts w:hint="eastAsia" w:ascii="宋体" w:hAnsi="宋体"/>
          <w:bCs/>
          <w:color w:val="auto"/>
          <w:sz w:val="32"/>
          <w:szCs w:val="32"/>
        </w:rPr>
        <w:t>。</w:t>
      </w:r>
    </w:p>
    <w:p>
      <w:pPr>
        <w:spacing w:line="600" w:lineRule="exact"/>
        <w:ind w:firstLine="640" w:firstLineChars="200"/>
        <w:rPr>
          <w:rFonts w:hint="eastAsia" w:ascii="宋体" w:hAnsi="宋体"/>
          <w:bCs/>
          <w:color w:val="000000"/>
          <w:sz w:val="32"/>
          <w:szCs w:val="32"/>
        </w:rPr>
      </w:pPr>
    </w:p>
    <w:p>
      <w:pPr>
        <w:pStyle w:val="2"/>
        <w:keepNext w:val="0"/>
        <w:keepLines w:val="0"/>
        <w:pageBreakBefore w:val="0"/>
        <w:widowControl w:val="0"/>
        <w:kinsoku/>
        <w:wordWrap/>
        <w:overflowPunct/>
        <w:topLinePunct w:val="0"/>
        <w:autoSpaceDE/>
        <w:autoSpaceDN/>
        <w:bidi w:val="0"/>
        <w:adjustRightInd/>
        <w:snapToGrid/>
        <w:spacing w:line="5200" w:lineRule="exact"/>
        <w:textAlignment w:val="auto"/>
        <w:rPr>
          <w:rFonts w:hint="eastAsia" w:ascii="宋体" w:hAnsi="宋体"/>
          <w:bCs/>
          <w:color w:val="000000"/>
          <w:sz w:val="32"/>
          <w:szCs w:val="32"/>
        </w:rPr>
      </w:pPr>
      <w:r>
        <w:drawing>
          <wp:inline distT="0" distB="0" distL="114300" distR="114300">
            <wp:extent cx="4572000" cy="2743200"/>
            <wp:effectExtent l="4445" t="4445" r="14605" b="14605"/>
            <wp:docPr id="1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Cs/>
          <w:color w:val="000000"/>
          <w:sz w:val="32"/>
          <w:szCs w:val="32"/>
        </w:rPr>
      </w:pPr>
      <w:r>
        <w:rPr>
          <w:rFonts w:hint="eastAsia" w:ascii="仿宋_GB2312" w:hAnsi="仿宋_GB2312" w:eastAsia="仿宋_GB2312" w:cs="仿宋_GB2312"/>
          <w:b/>
          <w:bCs/>
          <w:color w:val="000000"/>
          <w:kern w:val="0"/>
          <w:sz w:val="32"/>
          <w:szCs w:val="32"/>
          <w:lang w:val="en-US" w:eastAsia="zh-CN" w:bidi="ar-SA"/>
        </w:rPr>
        <w:t>（图5：一般公共预算财政拨款支出决算变动情况）</w:t>
      </w:r>
    </w:p>
    <w:p>
      <w:pPr>
        <w:spacing w:line="600" w:lineRule="exact"/>
        <w:ind w:firstLine="640" w:firstLineChars="200"/>
        <w:outlineLvl w:val="2"/>
        <w:rPr>
          <w:rFonts w:hint="eastAsia" w:ascii="宋体" w:hAnsi="宋体"/>
          <w:bCs/>
          <w:color w:val="000000"/>
          <w:sz w:val="32"/>
          <w:szCs w:val="32"/>
        </w:rPr>
      </w:pPr>
      <w:bookmarkStart w:id="30" w:name="_Toc15377211"/>
    </w:p>
    <w:p>
      <w:pPr>
        <w:spacing w:line="600" w:lineRule="exact"/>
        <w:ind w:firstLine="640" w:firstLineChars="200"/>
        <w:outlineLvl w:val="2"/>
        <w:rPr>
          <w:rFonts w:ascii="宋体" w:hAnsi="宋体"/>
          <w:bCs/>
          <w:color w:val="000000"/>
          <w:sz w:val="32"/>
          <w:szCs w:val="32"/>
        </w:rPr>
      </w:pPr>
      <w:r>
        <w:rPr>
          <w:rFonts w:hint="eastAsia" w:ascii="宋体" w:hAnsi="宋体"/>
          <w:bCs/>
          <w:color w:val="000000"/>
          <w:sz w:val="32"/>
          <w:szCs w:val="32"/>
        </w:rPr>
        <w:t>（二）一般公共预算财政拨款支出决算结构情况</w:t>
      </w:r>
      <w:bookmarkEnd w:id="30"/>
    </w:p>
    <w:p>
      <w:pPr>
        <w:spacing w:line="600" w:lineRule="exact"/>
        <w:ind w:firstLine="640" w:firstLineChars="200"/>
        <w:rPr>
          <w:rFonts w:hint="eastAsia" w:ascii="宋体" w:hAnsi="宋体"/>
          <w:bCs/>
          <w:color w:val="000000"/>
          <w:sz w:val="32"/>
          <w:szCs w:val="32"/>
        </w:rPr>
      </w:pPr>
      <w:r>
        <w:rPr>
          <w:rFonts w:ascii="宋体" w:hAnsi="宋体"/>
          <w:bCs/>
          <w:color w:val="000000"/>
          <w:sz w:val="32"/>
          <w:szCs w:val="32"/>
        </w:rPr>
        <w:t>202</w:t>
      </w:r>
      <w:r>
        <w:rPr>
          <w:rFonts w:hint="eastAsia" w:ascii="宋体" w:hAnsi="宋体"/>
          <w:bCs/>
          <w:color w:val="000000"/>
          <w:sz w:val="32"/>
          <w:szCs w:val="32"/>
          <w:lang w:val="en-US" w:eastAsia="zh-CN"/>
        </w:rPr>
        <w:t>1</w:t>
      </w:r>
      <w:r>
        <w:rPr>
          <w:rFonts w:hint="eastAsia" w:ascii="宋体" w:hAnsi="宋体"/>
          <w:bCs/>
          <w:color w:val="000000"/>
          <w:sz w:val="32"/>
          <w:szCs w:val="32"/>
        </w:rPr>
        <w:t>年一般公共预算财政拨款支出</w:t>
      </w:r>
      <w:r>
        <w:rPr>
          <w:rFonts w:hint="eastAsia" w:ascii="宋体" w:hAnsi="宋体"/>
          <w:bCs/>
          <w:color w:val="000000"/>
          <w:sz w:val="32"/>
          <w:szCs w:val="32"/>
          <w:lang w:val="en-US" w:eastAsia="zh-CN"/>
        </w:rPr>
        <w:t>707.63</w:t>
      </w:r>
      <w:r>
        <w:rPr>
          <w:rFonts w:hint="eastAsia" w:ascii="宋体" w:hAnsi="宋体"/>
          <w:bCs/>
          <w:color w:val="000000"/>
          <w:sz w:val="32"/>
          <w:szCs w:val="32"/>
        </w:rPr>
        <w:t>万元，主要用于以下方面</w:t>
      </w:r>
      <w:r>
        <w:rPr>
          <w:rFonts w:ascii="宋体" w:hAnsi="宋体"/>
          <w:bCs/>
          <w:color w:val="000000"/>
          <w:sz w:val="32"/>
          <w:szCs w:val="32"/>
        </w:rPr>
        <w:t>:</w:t>
      </w:r>
      <w:r>
        <w:rPr>
          <w:rFonts w:hint="eastAsia" w:ascii="宋体" w:hAnsi="宋体"/>
          <w:bCs/>
          <w:color w:val="000000"/>
          <w:sz w:val="32"/>
          <w:szCs w:val="32"/>
        </w:rPr>
        <w:t>一般公共服务（类）支出</w:t>
      </w:r>
      <w:r>
        <w:rPr>
          <w:rFonts w:hint="eastAsia" w:ascii="宋体" w:hAnsi="宋体"/>
          <w:bCs/>
          <w:color w:val="000000"/>
          <w:sz w:val="32"/>
          <w:szCs w:val="32"/>
          <w:lang w:val="en-US" w:eastAsia="zh-CN"/>
        </w:rPr>
        <w:t>610.60</w:t>
      </w:r>
      <w:r>
        <w:rPr>
          <w:rFonts w:hint="eastAsia" w:ascii="宋体" w:hAnsi="宋体"/>
          <w:bCs/>
          <w:color w:val="000000"/>
          <w:sz w:val="32"/>
          <w:szCs w:val="32"/>
        </w:rPr>
        <w:t>万元，占</w:t>
      </w:r>
      <w:r>
        <w:rPr>
          <w:rFonts w:hint="eastAsia" w:ascii="宋体" w:hAnsi="宋体"/>
          <w:bCs/>
          <w:color w:val="000000"/>
          <w:sz w:val="32"/>
          <w:szCs w:val="32"/>
          <w:lang w:val="en-US" w:eastAsia="zh-CN"/>
        </w:rPr>
        <w:t>86.29</w:t>
      </w:r>
      <w:r>
        <w:rPr>
          <w:rFonts w:ascii="宋体" w:hAnsi="宋体"/>
          <w:bCs/>
          <w:color w:val="000000"/>
          <w:sz w:val="32"/>
          <w:szCs w:val="32"/>
        </w:rPr>
        <w:t>%</w:t>
      </w:r>
      <w:r>
        <w:rPr>
          <w:rFonts w:hint="eastAsia" w:ascii="宋体" w:hAnsi="宋体"/>
          <w:bCs/>
          <w:color w:val="000000"/>
          <w:sz w:val="32"/>
          <w:szCs w:val="32"/>
        </w:rPr>
        <w:t>；社会保障和就业（类）支出</w:t>
      </w:r>
      <w:r>
        <w:rPr>
          <w:rFonts w:hint="eastAsia" w:ascii="宋体" w:hAnsi="宋体"/>
          <w:bCs/>
          <w:color w:val="000000"/>
          <w:sz w:val="32"/>
          <w:szCs w:val="32"/>
          <w:lang w:val="en-US" w:eastAsia="zh-CN"/>
        </w:rPr>
        <w:t>48.73</w:t>
      </w:r>
      <w:r>
        <w:rPr>
          <w:rFonts w:hint="eastAsia" w:ascii="宋体" w:hAnsi="宋体"/>
          <w:bCs/>
          <w:color w:val="000000"/>
          <w:sz w:val="32"/>
          <w:szCs w:val="32"/>
        </w:rPr>
        <w:t>万元，占</w:t>
      </w:r>
      <w:r>
        <w:rPr>
          <w:rFonts w:hint="eastAsia" w:ascii="宋体" w:hAnsi="宋体"/>
          <w:bCs/>
          <w:color w:val="000000"/>
          <w:sz w:val="32"/>
          <w:szCs w:val="32"/>
          <w:lang w:val="en-US" w:eastAsia="zh-CN"/>
        </w:rPr>
        <w:t>6.89</w:t>
      </w:r>
      <w:r>
        <w:rPr>
          <w:rFonts w:ascii="宋体" w:hAnsi="宋体"/>
          <w:bCs/>
          <w:color w:val="000000"/>
          <w:sz w:val="32"/>
          <w:szCs w:val="32"/>
        </w:rPr>
        <w:t>%</w:t>
      </w:r>
      <w:r>
        <w:rPr>
          <w:rFonts w:hint="eastAsia" w:ascii="宋体" w:hAnsi="宋体"/>
          <w:bCs/>
          <w:color w:val="000000"/>
          <w:sz w:val="32"/>
          <w:szCs w:val="32"/>
        </w:rPr>
        <w:t>；卫生健康支出</w:t>
      </w:r>
      <w:r>
        <w:rPr>
          <w:rFonts w:hint="eastAsia" w:ascii="宋体" w:hAnsi="宋体"/>
          <w:bCs/>
          <w:color w:val="000000"/>
          <w:sz w:val="32"/>
          <w:szCs w:val="32"/>
          <w:lang w:val="en-US" w:eastAsia="zh-CN"/>
        </w:rPr>
        <w:t>18.04</w:t>
      </w:r>
      <w:r>
        <w:rPr>
          <w:rFonts w:hint="eastAsia" w:ascii="宋体" w:hAnsi="宋体"/>
          <w:bCs/>
          <w:color w:val="000000"/>
          <w:sz w:val="32"/>
          <w:szCs w:val="32"/>
        </w:rPr>
        <w:t>万元，占</w:t>
      </w:r>
      <w:r>
        <w:rPr>
          <w:rFonts w:hint="eastAsia" w:ascii="宋体" w:hAnsi="宋体"/>
          <w:bCs/>
          <w:color w:val="000000"/>
          <w:sz w:val="32"/>
          <w:szCs w:val="32"/>
          <w:lang w:val="en-US" w:eastAsia="zh-CN"/>
        </w:rPr>
        <w:t>2.55</w:t>
      </w:r>
      <w:r>
        <w:rPr>
          <w:rFonts w:ascii="宋体" w:hAnsi="宋体"/>
          <w:bCs/>
          <w:color w:val="000000"/>
          <w:sz w:val="32"/>
          <w:szCs w:val="32"/>
        </w:rPr>
        <w:t>%</w:t>
      </w:r>
      <w:r>
        <w:rPr>
          <w:rFonts w:hint="eastAsia" w:ascii="宋体" w:hAnsi="宋体"/>
          <w:bCs/>
          <w:color w:val="000000"/>
          <w:sz w:val="32"/>
          <w:szCs w:val="32"/>
        </w:rPr>
        <w:t>；住房保障支出</w:t>
      </w:r>
      <w:r>
        <w:rPr>
          <w:rFonts w:hint="eastAsia" w:ascii="宋体" w:hAnsi="宋体"/>
          <w:bCs/>
          <w:color w:val="000000"/>
          <w:sz w:val="32"/>
          <w:szCs w:val="32"/>
          <w:lang w:val="en-US" w:eastAsia="zh-CN"/>
        </w:rPr>
        <w:t>30.26</w:t>
      </w:r>
      <w:r>
        <w:rPr>
          <w:rFonts w:hint="eastAsia" w:ascii="宋体" w:hAnsi="宋体"/>
          <w:bCs/>
          <w:color w:val="000000"/>
          <w:sz w:val="32"/>
          <w:szCs w:val="32"/>
        </w:rPr>
        <w:t>万元，占</w:t>
      </w:r>
      <w:r>
        <w:rPr>
          <w:rFonts w:hint="eastAsia" w:ascii="宋体" w:hAnsi="宋体"/>
          <w:bCs/>
          <w:color w:val="000000"/>
          <w:sz w:val="32"/>
          <w:szCs w:val="32"/>
          <w:lang w:val="en-US" w:eastAsia="zh-CN"/>
        </w:rPr>
        <w:t>4.27</w:t>
      </w:r>
      <w:r>
        <w:rPr>
          <w:rFonts w:ascii="宋体" w:hAnsi="宋体"/>
          <w:bCs/>
          <w:color w:val="000000"/>
          <w:sz w:val="32"/>
          <w:szCs w:val="32"/>
        </w:rPr>
        <w:t>%</w:t>
      </w:r>
      <w:r>
        <w:rPr>
          <w:rFonts w:hint="eastAsia" w:ascii="宋体" w:hAnsi="宋体"/>
          <w:bCs/>
          <w:color w:val="000000"/>
          <w:sz w:val="32"/>
          <w:szCs w:val="32"/>
        </w:rPr>
        <w:t>。</w:t>
      </w:r>
    </w:p>
    <w:p>
      <w:pPr>
        <w:pStyle w:val="2"/>
        <w:keepNext w:val="0"/>
        <w:keepLines w:val="0"/>
        <w:pageBreakBefore w:val="0"/>
        <w:widowControl w:val="0"/>
        <w:kinsoku/>
        <w:wordWrap/>
        <w:overflowPunct/>
        <w:topLinePunct w:val="0"/>
        <w:autoSpaceDE/>
        <w:autoSpaceDN/>
        <w:bidi w:val="0"/>
        <w:adjustRightInd/>
        <w:snapToGrid/>
        <w:spacing w:line="5600" w:lineRule="exact"/>
        <w:textAlignment w:val="auto"/>
        <w:rPr>
          <w:rFonts w:hint="eastAsia"/>
        </w:rPr>
      </w:pPr>
      <w:r>
        <w:drawing>
          <wp:inline distT="0" distB="0" distL="114300" distR="114300">
            <wp:extent cx="4572000" cy="2743200"/>
            <wp:effectExtent l="4445" t="4445" r="14605" b="14605"/>
            <wp:docPr id="1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ageBreakBefore w:val="0"/>
        <w:kinsoku/>
        <w:wordWrap/>
        <w:overflowPunct/>
        <w:topLinePunct w:val="0"/>
        <w:bidi w:val="0"/>
        <w:spacing w:line="576" w:lineRule="exact"/>
        <w:ind w:firstLine="642" w:firstLineChars="200"/>
        <w:rPr>
          <w:rFonts w:hint="eastAsia" w:eastAsia="仿宋_GB2312"/>
          <w:lang w:eastAsia="zh-CN"/>
        </w:rPr>
      </w:pPr>
      <w:r>
        <w:rPr>
          <w:rFonts w:hint="eastAsia" w:ascii="仿宋_GB2312" w:hAnsi="仿宋_GB2312" w:eastAsia="仿宋_GB2312" w:cs="仿宋_GB2312"/>
          <w:b/>
          <w:bCs/>
          <w:color w:val="000000"/>
          <w:kern w:val="0"/>
          <w:sz w:val="32"/>
          <w:szCs w:val="32"/>
          <w:lang w:val="en-US" w:eastAsia="zh-CN" w:bidi="ar-SA"/>
        </w:rPr>
        <w:t>（图6：一般公共预算财政拨款支出决算结构）</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pPr>
    </w:p>
    <w:p>
      <w:pPr>
        <w:spacing w:line="600" w:lineRule="exact"/>
        <w:ind w:firstLine="640" w:firstLineChars="200"/>
        <w:outlineLvl w:val="2"/>
        <w:rPr>
          <w:rFonts w:ascii="宋体" w:hAnsi="宋体"/>
          <w:bCs/>
          <w:color w:val="000000"/>
          <w:sz w:val="32"/>
          <w:szCs w:val="32"/>
        </w:rPr>
      </w:pPr>
      <w:bookmarkStart w:id="31" w:name="_Toc15377212"/>
      <w:r>
        <w:rPr>
          <w:rFonts w:hint="eastAsia" w:ascii="宋体" w:hAnsi="宋体"/>
          <w:bCs/>
          <w:color w:val="000000"/>
          <w:sz w:val="32"/>
          <w:szCs w:val="32"/>
        </w:rPr>
        <w:t>（三）一般公共预算财政拨款支出决算具体情况</w:t>
      </w:r>
      <w:bookmarkEnd w:id="31"/>
    </w:p>
    <w:p>
      <w:pPr>
        <w:spacing w:line="600" w:lineRule="exact"/>
        <w:ind w:firstLine="640" w:firstLineChars="200"/>
        <w:outlineLvl w:val="2"/>
        <w:rPr>
          <w:rFonts w:ascii="宋体" w:hAnsi="宋体"/>
          <w:bCs/>
          <w:color w:val="FF0000"/>
          <w:sz w:val="32"/>
          <w:szCs w:val="32"/>
        </w:rPr>
      </w:pPr>
      <w:bookmarkStart w:id="32" w:name="_Toc15377213"/>
      <w:bookmarkStart w:id="33" w:name="_Toc15378460"/>
      <w:bookmarkStart w:id="34" w:name="_Toc15377444"/>
      <w:r>
        <w:rPr>
          <w:rFonts w:ascii="宋体" w:hAnsi="宋体"/>
          <w:bCs/>
          <w:color w:val="000000"/>
          <w:sz w:val="32"/>
          <w:szCs w:val="32"/>
        </w:rPr>
        <w:t>202</w:t>
      </w:r>
      <w:r>
        <w:rPr>
          <w:rFonts w:hint="eastAsia" w:ascii="宋体" w:hAnsi="宋体"/>
          <w:bCs/>
          <w:color w:val="000000"/>
          <w:sz w:val="32"/>
          <w:szCs w:val="32"/>
          <w:lang w:val="en-US" w:eastAsia="zh-CN"/>
        </w:rPr>
        <w:t>1</w:t>
      </w:r>
      <w:r>
        <w:rPr>
          <w:rFonts w:hint="eastAsia" w:ascii="宋体" w:hAnsi="宋体"/>
          <w:bCs/>
          <w:color w:val="000000"/>
          <w:sz w:val="32"/>
          <w:szCs w:val="32"/>
        </w:rPr>
        <w:t>年一般公共预算支出决算数为</w:t>
      </w:r>
      <w:r>
        <w:rPr>
          <w:rFonts w:hint="eastAsia" w:ascii="宋体" w:hAnsi="宋体"/>
          <w:bCs/>
          <w:color w:val="000000"/>
          <w:sz w:val="32"/>
          <w:szCs w:val="32"/>
          <w:lang w:val="en-US" w:eastAsia="zh-CN"/>
        </w:rPr>
        <w:t>707.63</w:t>
      </w:r>
      <w:r>
        <w:rPr>
          <w:rFonts w:hint="eastAsia" w:ascii="宋体" w:hAnsi="宋体"/>
          <w:bCs/>
          <w:color w:val="000000"/>
          <w:sz w:val="32"/>
          <w:szCs w:val="32"/>
          <w:lang w:eastAsia="zh-CN"/>
        </w:rPr>
        <w:t>万元</w:t>
      </w:r>
      <w:r>
        <w:rPr>
          <w:rFonts w:hint="eastAsia" w:ascii="宋体" w:hAnsi="宋体"/>
          <w:bCs/>
          <w:color w:val="000000"/>
          <w:sz w:val="32"/>
          <w:szCs w:val="32"/>
        </w:rPr>
        <w:t>，</w:t>
      </w:r>
      <w:r>
        <w:rPr>
          <w:rStyle w:val="13"/>
          <w:rFonts w:hint="eastAsia" w:ascii="宋体" w:hAnsi="宋体"/>
          <w:b w:val="0"/>
          <w:bCs/>
          <w:color w:val="000000"/>
          <w:sz w:val="32"/>
          <w:szCs w:val="32"/>
        </w:rPr>
        <w:t>完成预算100</w:t>
      </w:r>
      <w:r>
        <w:rPr>
          <w:rStyle w:val="13"/>
          <w:rFonts w:ascii="宋体" w:hAnsi="宋体"/>
          <w:b w:val="0"/>
          <w:bCs/>
          <w:color w:val="000000"/>
          <w:sz w:val="32"/>
          <w:szCs w:val="32"/>
        </w:rPr>
        <w:t>%</w:t>
      </w:r>
      <w:r>
        <w:rPr>
          <w:rStyle w:val="13"/>
          <w:rFonts w:hint="eastAsia" w:ascii="宋体" w:hAnsi="宋体"/>
          <w:b w:val="0"/>
          <w:bCs/>
          <w:color w:val="000000"/>
          <w:sz w:val="32"/>
          <w:szCs w:val="32"/>
        </w:rPr>
        <w:t>。其中：</w:t>
      </w:r>
      <w:bookmarkEnd w:id="32"/>
      <w:bookmarkEnd w:id="33"/>
      <w:bookmarkEnd w:id="34"/>
    </w:p>
    <w:p>
      <w:pPr>
        <w:spacing w:line="600" w:lineRule="exact"/>
        <w:ind w:firstLine="640" w:firstLineChars="200"/>
        <w:rPr>
          <w:rFonts w:ascii="宋体" w:hAnsi="宋体"/>
          <w:bCs/>
          <w:color w:val="000000"/>
          <w:sz w:val="32"/>
          <w:szCs w:val="32"/>
        </w:rPr>
      </w:pPr>
      <w:r>
        <w:rPr>
          <w:rStyle w:val="13"/>
          <w:rFonts w:hint="eastAsia" w:ascii="宋体" w:hAnsi="宋体"/>
          <w:b w:val="0"/>
          <w:bCs/>
          <w:color w:val="000000"/>
          <w:sz w:val="32"/>
          <w:szCs w:val="32"/>
          <w:lang w:val="en-US" w:eastAsia="zh-CN"/>
        </w:rPr>
        <w:t>1.</w:t>
      </w:r>
      <w:r>
        <w:rPr>
          <w:rStyle w:val="13"/>
          <w:rFonts w:hint="eastAsia" w:ascii="宋体" w:hAnsi="宋体"/>
          <w:b w:val="0"/>
          <w:bCs/>
          <w:color w:val="000000"/>
          <w:sz w:val="32"/>
          <w:szCs w:val="32"/>
        </w:rPr>
        <w:t>一般公共服务（类）政府办公厅（室）及相关机构事务（款）</w:t>
      </w:r>
      <w:r>
        <w:rPr>
          <w:rStyle w:val="13"/>
          <w:rFonts w:hint="eastAsia" w:ascii="宋体" w:hAnsi="宋体"/>
          <w:b w:val="0"/>
          <w:bCs/>
          <w:color w:val="000000"/>
          <w:sz w:val="32"/>
          <w:szCs w:val="32"/>
          <w:lang w:eastAsia="zh-CN"/>
        </w:rPr>
        <w:t>行政</w:t>
      </w:r>
      <w:r>
        <w:rPr>
          <w:rStyle w:val="13"/>
          <w:rFonts w:hint="eastAsia" w:ascii="宋体" w:hAnsi="宋体"/>
          <w:b w:val="0"/>
          <w:bCs/>
          <w:color w:val="000000"/>
          <w:sz w:val="32"/>
          <w:szCs w:val="32"/>
        </w:rPr>
        <w:t>运行（项）</w:t>
      </w:r>
      <w:r>
        <w:rPr>
          <w:rStyle w:val="13"/>
          <w:rFonts w:ascii="宋体" w:hAnsi="宋体"/>
          <w:b w:val="0"/>
          <w:bCs/>
          <w:color w:val="000000"/>
          <w:sz w:val="32"/>
          <w:szCs w:val="32"/>
        </w:rPr>
        <w:t xml:space="preserve">: </w:t>
      </w:r>
      <w:r>
        <w:rPr>
          <w:rStyle w:val="13"/>
          <w:rFonts w:hint="eastAsia" w:ascii="宋体" w:hAnsi="宋体"/>
          <w:b w:val="0"/>
          <w:bCs/>
          <w:color w:val="000000"/>
          <w:sz w:val="32"/>
          <w:szCs w:val="32"/>
        </w:rPr>
        <w:t>支出决算为</w:t>
      </w:r>
      <w:r>
        <w:rPr>
          <w:rStyle w:val="13"/>
          <w:rFonts w:hint="eastAsia" w:ascii="宋体" w:hAnsi="宋体"/>
          <w:b w:val="0"/>
          <w:bCs/>
          <w:color w:val="000000"/>
          <w:sz w:val="32"/>
          <w:szCs w:val="32"/>
          <w:lang w:val="en-US" w:eastAsia="zh-CN"/>
        </w:rPr>
        <w:t>336.14</w:t>
      </w:r>
      <w:r>
        <w:rPr>
          <w:rStyle w:val="13"/>
          <w:rFonts w:hint="eastAsia" w:ascii="宋体" w:hAnsi="宋体"/>
          <w:b w:val="0"/>
          <w:bCs/>
          <w:color w:val="000000"/>
          <w:sz w:val="32"/>
          <w:szCs w:val="32"/>
        </w:rPr>
        <w:t>万元，完成预算100</w:t>
      </w:r>
      <w:r>
        <w:rPr>
          <w:rStyle w:val="13"/>
          <w:rFonts w:ascii="宋体" w:hAnsi="宋体"/>
          <w:b w:val="0"/>
          <w:bCs/>
          <w:color w:val="000000"/>
          <w:sz w:val="32"/>
          <w:szCs w:val="32"/>
        </w:rPr>
        <w:t>%</w:t>
      </w:r>
      <w:r>
        <w:rPr>
          <w:rStyle w:val="13"/>
          <w:rFonts w:hint="eastAsia" w:ascii="宋体" w:hAnsi="宋体"/>
          <w:b w:val="0"/>
          <w:bCs/>
          <w:color w:val="000000"/>
          <w:sz w:val="32"/>
          <w:szCs w:val="32"/>
        </w:rPr>
        <w:t>。</w:t>
      </w:r>
    </w:p>
    <w:p>
      <w:pPr>
        <w:spacing w:line="600" w:lineRule="exact"/>
        <w:ind w:firstLine="640" w:firstLineChars="200"/>
        <w:rPr>
          <w:rFonts w:ascii="宋体" w:hAnsi="宋体"/>
          <w:bCs/>
          <w:color w:val="000000"/>
          <w:sz w:val="32"/>
          <w:szCs w:val="32"/>
        </w:rPr>
      </w:pPr>
      <w:r>
        <w:rPr>
          <w:rStyle w:val="13"/>
          <w:rFonts w:ascii="宋体" w:hAnsi="宋体"/>
          <w:b w:val="0"/>
          <w:bCs/>
          <w:color w:val="000000"/>
          <w:sz w:val="32"/>
          <w:szCs w:val="32"/>
        </w:rPr>
        <w:t>2</w:t>
      </w:r>
      <w:r>
        <w:rPr>
          <w:rStyle w:val="13"/>
          <w:rFonts w:hint="eastAsia" w:ascii="宋体" w:hAnsi="宋体"/>
          <w:b w:val="0"/>
          <w:bCs/>
          <w:color w:val="000000"/>
          <w:sz w:val="32"/>
          <w:szCs w:val="32"/>
          <w:lang w:val="en-US" w:eastAsia="zh-CN"/>
        </w:rPr>
        <w:t>.</w:t>
      </w:r>
      <w:r>
        <w:rPr>
          <w:rStyle w:val="13"/>
          <w:rFonts w:hint="eastAsia" w:ascii="宋体" w:hAnsi="宋体"/>
          <w:b w:val="0"/>
          <w:bCs/>
          <w:color w:val="000000"/>
          <w:sz w:val="32"/>
          <w:szCs w:val="32"/>
        </w:rPr>
        <w:t>一般公共服务（类）政府办公厅（室）及相关机构事务（款）其他政府办公厅（室）及相关机构事务支出（项）：支出决算为</w:t>
      </w:r>
      <w:r>
        <w:rPr>
          <w:rStyle w:val="13"/>
          <w:rFonts w:hint="eastAsia" w:ascii="宋体" w:hAnsi="宋体"/>
          <w:b w:val="0"/>
          <w:bCs/>
          <w:color w:val="000000"/>
          <w:sz w:val="32"/>
          <w:szCs w:val="32"/>
          <w:lang w:val="en-US" w:eastAsia="zh-CN"/>
        </w:rPr>
        <w:t>274.46</w:t>
      </w:r>
      <w:r>
        <w:rPr>
          <w:rStyle w:val="13"/>
          <w:rFonts w:hint="eastAsia" w:ascii="宋体" w:hAnsi="宋体"/>
          <w:b w:val="0"/>
          <w:bCs/>
          <w:color w:val="000000"/>
          <w:sz w:val="32"/>
          <w:szCs w:val="32"/>
        </w:rPr>
        <w:t>万元，完成预算100</w:t>
      </w:r>
      <w:r>
        <w:rPr>
          <w:rStyle w:val="13"/>
          <w:rFonts w:ascii="宋体" w:hAnsi="宋体"/>
          <w:b w:val="0"/>
          <w:bCs/>
          <w:color w:val="000000"/>
          <w:sz w:val="32"/>
          <w:szCs w:val="32"/>
        </w:rPr>
        <w:t>%</w:t>
      </w:r>
      <w:r>
        <w:rPr>
          <w:rStyle w:val="13"/>
          <w:rFonts w:hint="eastAsia" w:ascii="宋体" w:hAnsi="宋体"/>
          <w:b w:val="0"/>
          <w:bCs/>
          <w:color w:val="000000"/>
          <w:sz w:val="32"/>
          <w:szCs w:val="32"/>
        </w:rPr>
        <w:t>。</w:t>
      </w:r>
    </w:p>
    <w:p>
      <w:pPr>
        <w:spacing w:line="600" w:lineRule="exact"/>
        <w:ind w:firstLine="640" w:firstLineChars="200"/>
        <w:rPr>
          <w:rStyle w:val="13"/>
          <w:rFonts w:hint="eastAsia" w:ascii="宋体" w:hAnsi="宋体"/>
          <w:b w:val="0"/>
          <w:bCs/>
          <w:color w:val="000000"/>
          <w:sz w:val="32"/>
          <w:szCs w:val="32"/>
        </w:rPr>
      </w:pPr>
      <w:r>
        <w:rPr>
          <w:rStyle w:val="13"/>
          <w:rFonts w:ascii="宋体" w:hAnsi="宋体"/>
          <w:b w:val="0"/>
          <w:bCs/>
          <w:color w:val="000000"/>
          <w:sz w:val="32"/>
          <w:szCs w:val="32"/>
        </w:rPr>
        <w:t>3</w:t>
      </w:r>
      <w:r>
        <w:rPr>
          <w:rStyle w:val="13"/>
          <w:rFonts w:hint="eastAsia" w:ascii="宋体" w:hAnsi="宋体"/>
          <w:b w:val="0"/>
          <w:bCs/>
          <w:color w:val="000000"/>
          <w:sz w:val="32"/>
          <w:szCs w:val="32"/>
          <w:lang w:val="en-US" w:eastAsia="zh-CN"/>
        </w:rPr>
        <w:t>.</w:t>
      </w:r>
      <w:r>
        <w:rPr>
          <w:rStyle w:val="13"/>
          <w:rFonts w:hint="eastAsia" w:ascii="宋体" w:hAnsi="宋体"/>
          <w:b w:val="0"/>
          <w:bCs/>
          <w:color w:val="000000"/>
          <w:sz w:val="32"/>
          <w:szCs w:val="32"/>
        </w:rPr>
        <w:t>社会保障和就业（类）行政事业单位养老支出（款）机关事业单位基本养老保险缴费支出（项）</w:t>
      </w:r>
      <w:r>
        <w:rPr>
          <w:rStyle w:val="13"/>
          <w:rFonts w:ascii="宋体" w:hAnsi="宋体"/>
          <w:b w:val="0"/>
          <w:bCs/>
          <w:color w:val="000000"/>
          <w:sz w:val="32"/>
          <w:szCs w:val="32"/>
        </w:rPr>
        <w:t xml:space="preserve">: </w:t>
      </w:r>
      <w:r>
        <w:rPr>
          <w:rStyle w:val="13"/>
          <w:rFonts w:hint="eastAsia" w:ascii="宋体" w:hAnsi="宋体"/>
          <w:b w:val="0"/>
          <w:bCs/>
          <w:color w:val="000000"/>
          <w:sz w:val="32"/>
          <w:szCs w:val="32"/>
        </w:rPr>
        <w:t>支出决算为</w:t>
      </w:r>
      <w:r>
        <w:rPr>
          <w:rStyle w:val="13"/>
          <w:rFonts w:hint="eastAsia" w:ascii="宋体" w:hAnsi="宋体"/>
          <w:b w:val="0"/>
          <w:bCs/>
          <w:color w:val="000000"/>
          <w:sz w:val="32"/>
          <w:szCs w:val="32"/>
          <w:lang w:val="en-US" w:eastAsia="zh-CN"/>
        </w:rPr>
        <w:t>25.18</w:t>
      </w:r>
      <w:r>
        <w:rPr>
          <w:rStyle w:val="13"/>
          <w:rFonts w:hint="eastAsia" w:ascii="宋体" w:hAnsi="宋体"/>
          <w:b w:val="0"/>
          <w:bCs/>
          <w:color w:val="000000"/>
          <w:sz w:val="32"/>
          <w:szCs w:val="32"/>
        </w:rPr>
        <w:t>万元，完成预算100</w:t>
      </w:r>
      <w:r>
        <w:rPr>
          <w:rStyle w:val="13"/>
          <w:rFonts w:ascii="宋体" w:hAnsi="宋体"/>
          <w:b w:val="0"/>
          <w:bCs/>
          <w:color w:val="000000"/>
          <w:sz w:val="32"/>
          <w:szCs w:val="32"/>
        </w:rPr>
        <w:t>%</w:t>
      </w:r>
      <w:r>
        <w:rPr>
          <w:rStyle w:val="13"/>
          <w:rFonts w:hint="eastAsia" w:ascii="宋体" w:hAnsi="宋体"/>
          <w:b w:val="0"/>
          <w:bCs/>
          <w:color w:val="000000"/>
          <w:sz w:val="32"/>
          <w:szCs w:val="32"/>
        </w:rPr>
        <w:t>。</w:t>
      </w:r>
    </w:p>
    <w:p>
      <w:pPr>
        <w:pStyle w:val="10"/>
        <w:ind w:leftChars="0" w:firstLine="640" w:firstLineChars="200"/>
        <w:rPr>
          <w:rFonts w:hint="eastAsia" w:ascii="宋体" w:hAnsi="宋体"/>
          <w:bCs/>
          <w:sz w:val="32"/>
          <w:szCs w:val="32"/>
        </w:rPr>
      </w:pPr>
      <w:r>
        <w:rPr>
          <w:rStyle w:val="13"/>
          <w:rFonts w:hint="eastAsia" w:ascii="宋体" w:hAnsi="宋体"/>
          <w:b w:val="0"/>
          <w:bCs/>
          <w:color w:val="000000"/>
          <w:sz w:val="32"/>
          <w:szCs w:val="32"/>
        </w:rPr>
        <w:t>4</w:t>
      </w:r>
      <w:r>
        <w:rPr>
          <w:rStyle w:val="13"/>
          <w:rFonts w:hint="eastAsia" w:ascii="宋体" w:hAnsi="宋体"/>
          <w:b w:val="0"/>
          <w:bCs/>
          <w:color w:val="000000"/>
          <w:sz w:val="32"/>
          <w:szCs w:val="32"/>
          <w:lang w:val="en-US" w:eastAsia="zh-CN"/>
        </w:rPr>
        <w:t>.</w:t>
      </w:r>
      <w:r>
        <w:rPr>
          <w:rStyle w:val="13"/>
          <w:rFonts w:hint="eastAsia" w:ascii="宋体" w:hAnsi="宋体"/>
          <w:b w:val="0"/>
          <w:bCs/>
          <w:color w:val="000000"/>
          <w:sz w:val="32"/>
          <w:szCs w:val="32"/>
        </w:rPr>
        <w:t>社会保障和就业（类）行政事业单位养老支出（款）机关事业单位职业年金缴费支出（项）</w:t>
      </w:r>
      <w:r>
        <w:rPr>
          <w:rStyle w:val="13"/>
          <w:rFonts w:ascii="宋体" w:hAnsi="宋体"/>
          <w:b w:val="0"/>
          <w:bCs/>
          <w:color w:val="000000"/>
          <w:sz w:val="32"/>
          <w:szCs w:val="32"/>
        </w:rPr>
        <w:t xml:space="preserve">: </w:t>
      </w:r>
      <w:r>
        <w:rPr>
          <w:rStyle w:val="13"/>
          <w:rFonts w:hint="eastAsia" w:ascii="宋体" w:hAnsi="宋体"/>
          <w:b w:val="0"/>
          <w:bCs/>
          <w:color w:val="000000"/>
          <w:sz w:val="32"/>
          <w:szCs w:val="32"/>
        </w:rPr>
        <w:t>支出决算为</w:t>
      </w:r>
      <w:r>
        <w:rPr>
          <w:rStyle w:val="13"/>
          <w:rFonts w:hint="eastAsia" w:ascii="宋体" w:hAnsi="宋体"/>
          <w:b w:val="0"/>
          <w:bCs/>
          <w:color w:val="000000"/>
          <w:sz w:val="32"/>
          <w:szCs w:val="32"/>
          <w:lang w:val="en-US" w:eastAsia="zh-CN"/>
        </w:rPr>
        <w:t>3.91</w:t>
      </w:r>
      <w:r>
        <w:rPr>
          <w:rStyle w:val="13"/>
          <w:rFonts w:hint="eastAsia" w:ascii="宋体" w:hAnsi="宋体"/>
          <w:b w:val="0"/>
          <w:bCs/>
          <w:color w:val="000000"/>
          <w:sz w:val="32"/>
          <w:szCs w:val="32"/>
        </w:rPr>
        <w:t>万元，完成预算100</w:t>
      </w:r>
      <w:r>
        <w:rPr>
          <w:rStyle w:val="13"/>
          <w:rFonts w:ascii="宋体" w:hAnsi="宋体"/>
          <w:b w:val="0"/>
          <w:bCs/>
          <w:color w:val="000000"/>
          <w:sz w:val="32"/>
          <w:szCs w:val="32"/>
        </w:rPr>
        <w:t>%</w:t>
      </w:r>
      <w:r>
        <w:rPr>
          <w:rStyle w:val="13"/>
          <w:rFonts w:hint="eastAsia" w:ascii="宋体" w:hAnsi="宋体"/>
          <w:b w:val="0"/>
          <w:bCs/>
          <w:color w:val="000000"/>
          <w:sz w:val="32"/>
          <w:szCs w:val="32"/>
        </w:rPr>
        <w:t>。</w:t>
      </w:r>
    </w:p>
    <w:p>
      <w:pPr>
        <w:pStyle w:val="10"/>
        <w:ind w:leftChars="0" w:firstLine="640" w:firstLineChars="200"/>
        <w:rPr>
          <w:rFonts w:hint="eastAsia" w:ascii="宋体" w:hAnsi="宋体"/>
          <w:bCs/>
          <w:sz w:val="32"/>
          <w:szCs w:val="32"/>
        </w:rPr>
      </w:pPr>
      <w:r>
        <w:rPr>
          <w:rStyle w:val="13"/>
          <w:rFonts w:hint="eastAsia" w:ascii="宋体" w:hAnsi="宋体"/>
          <w:b w:val="0"/>
          <w:bCs/>
          <w:color w:val="000000"/>
          <w:sz w:val="32"/>
          <w:szCs w:val="32"/>
        </w:rPr>
        <w:t>5</w:t>
      </w:r>
      <w:r>
        <w:rPr>
          <w:rStyle w:val="13"/>
          <w:rFonts w:hint="eastAsia" w:ascii="宋体" w:hAnsi="宋体"/>
          <w:b w:val="0"/>
          <w:bCs/>
          <w:color w:val="000000"/>
          <w:sz w:val="32"/>
          <w:szCs w:val="32"/>
          <w:lang w:val="en-US" w:eastAsia="zh-CN"/>
        </w:rPr>
        <w:t>.</w:t>
      </w:r>
      <w:r>
        <w:rPr>
          <w:rStyle w:val="13"/>
          <w:rFonts w:hint="eastAsia" w:ascii="宋体" w:hAnsi="宋体"/>
          <w:b w:val="0"/>
          <w:bCs/>
          <w:color w:val="000000"/>
          <w:sz w:val="32"/>
          <w:szCs w:val="32"/>
        </w:rPr>
        <w:t>社会保障和就业（类）</w:t>
      </w:r>
      <w:r>
        <w:rPr>
          <w:rStyle w:val="13"/>
          <w:rFonts w:hint="eastAsia" w:ascii="宋体" w:hAnsi="宋体"/>
          <w:b w:val="0"/>
          <w:bCs/>
          <w:color w:val="000000"/>
          <w:sz w:val="32"/>
          <w:szCs w:val="32"/>
          <w:lang w:eastAsia="zh-CN"/>
        </w:rPr>
        <w:t>其他社会保障和就业</w:t>
      </w:r>
      <w:r>
        <w:rPr>
          <w:rStyle w:val="13"/>
          <w:rFonts w:hint="eastAsia" w:ascii="宋体" w:hAnsi="宋体"/>
          <w:b w:val="0"/>
          <w:bCs/>
          <w:color w:val="000000"/>
          <w:sz w:val="32"/>
          <w:szCs w:val="32"/>
        </w:rPr>
        <w:t>支出（款）</w:t>
      </w:r>
      <w:r>
        <w:rPr>
          <w:rStyle w:val="13"/>
          <w:rFonts w:hint="eastAsia" w:ascii="宋体" w:hAnsi="宋体"/>
          <w:b w:val="0"/>
          <w:bCs/>
          <w:color w:val="000000"/>
          <w:sz w:val="32"/>
          <w:szCs w:val="32"/>
          <w:lang w:eastAsia="zh-CN"/>
        </w:rPr>
        <w:t>其他社会保障和就业</w:t>
      </w:r>
      <w:r>
        <w:rPr>
          <w:rStyle w:val="13"/>
          <w:rFonts w:hint="eastAsia" w:ascii="宋体" w:hAnsi="宋体"/>
          <w:b w:val="0"/>
          <w:bCs/>
          <w:color w:val="000000"/>
          <w:sz w:val="32"/>
          <w:szCs w:val="32"/>
        </w:rPr>
        <w:t>支出（项）</w:t>
      </w:r>
      <w:r>
        <w:rPr>
          <w:rStyle w:val="13"/>
          <w:rFonts w:ascii="宋体" w:hAnsi="宋体"/>
          <w:b w:val="0"/>
          <w:bCs/>
          <w:color w:val="000000"/>
          <w:sz w:val="32"/>
          <w:szCs w:val="32"/>
        </w:rPr>
        <w:t>:</w:t>
      </w:r>
      <w:r>
        <w:rPr>
          <w:rStyle w:val="13"/>
          <w:rFonts w:hint="eastAsia" w:ascii="宋体" w:hAnsi="宋体"/>
          <w:b w:val="0"/>
          <w:bCs/>
          <w:color w:val="000000"/>
          <w:sz w:val="32"/>
          <w:szCs w:val="32"/>
        </w:rPr>
        <w:t>支出决算为</w:t>
      </w:r>
      <w:r>
        <w:rPr>
          <w:rStyle w:val="13"/>
          <w:rFonts w:hint="eastAsia" w:ascii="宋体" w:hAnsi="宋体"/>
          <w:b w:val="0"/>
          <w:bCs/>
          <w:color w:val="000000"/>
          <w:sz w:val="32"/>
          <w:szCs w:val="32"/>
          <w:lang w:val="en-US" w:eastAsia="zh-CN"/>
        </w:rPr>
        <w:t>19.63</w:t>
      </w:r>
      <w:r>
        <w:rPr>
          <w:rStyle w:val="13"/>
          <w:rFonts w:hint="eastAsia" w:ascii="宋体" w:hAnsi="宋体"/>
          <w:b w:val="0"/>
          <w:bCs/>
          <w:color w:val="000000"/>
          <w:sz w:val="32"/>
          <w:szCs w:val="32"/>
        </w:rPr>
        <w:t>万元，完成预算100</w:t>
      </w:r>
      <w:r>
        <w:rPr>
          <w:rStyle w:val="13"/>
          <w:rFonts w:ascii="宋体" w:hAnsi="宋体"/>
          <w:b w:val="0"/>
          <w:bCs/>
          <w:color w:val="000000"/>
          <w:sz w:val="32"/>
          <w:szCs w:val="32"/>
        </w:rPr>
        <w:t>%</w:t>
      </w:r>
      <w:r>
        <w:rPr>
          <w:rStyle w:val="13"/>
          <w:rFonts w:hint="eastAsia" w:ascii="宋体" w:hAnsi="宋体"/>
          <w:b w:val="0"/>
          <w:bCs/>
          <w:color w:val="000000"/>
          <w:sz w:val="32"/>
          <w:szCs w:val="32"/>
        </w:rPr>
        <w:t>。</w:t>
      </w:r>
    </w:p>
    <w:p>
      <w:pPr>
        <w:spacing w:line="600" w:lineRule="exact"/>
        <w:ind w:firstLine="640" w:firstLineChars="200"/>
        <w:rPr>
          <w:rFonts w:ascii="宋体" w:hAnsi="宋体"/>
          <w:bCs/>
          <w:color w:val="000000"/>
          <w:sz w:val="32"/>
          <w:szCs w:val="32"/>
        </w:rPr>
      </w:pPr>
      <w:r>
        <w:rPr>
          <w:rStyle w:val="13"/>
          <w:rFonts w:ascii="宋体" w:hAnsi="宋体"/>
          <w:b w:val="0"/>
          <w:bCs/>
          <w:color w:val="000000"/>
          <w:sz w:val="32"/>
          <w:szCs w:val="32"/>
        </w:rPr>
        <w:t>6</w:t>
      </w:r>
      <w:r>
        <w:rPr>
          <w:rStyle w:val="13"/>
          <w:rFonts w:hint="eastAsia" w:ascii="宋体" w:hAnsi="宋体"/>
          <w:b w:val="0"/>
          <w:bCs/>
          <w:color w:val="000000"/>
          <w:sz w:val="32"/>
          <w:szCs w:val="32"/>
          <w:lang w:val="en-US" w:eastAsia="zh-CN"/>
        </w:rPr>
        <w:t>.</w:t>
      </w:r>
      <w:r>
        <w:rPr>
          <w:rFonts w:hint="eastAsia" w:ascii="宋体" w:hAnsi="宋体"/>
          <w:bCs/>
          <w:color w:val="000000"/>
          <w:sz w:val="32"/>
          <w:szCs w:val="32"/>
        </w:rPr>
        <w:t>卫生健康</w:t>
      </w:r>
      <w:r>
        <w:rPr>
          <w:rStyle w:val="13"/>
          <w:rFonts w:hint="eastAsia" w:ascii="宋体" w:hAnsi="宋体"/>
          <w:b w:val="0"/>
          <w:bCs/>
          <w:color w:val="000000"/>
          <w:sz w:val="32"/>
          <w:szCs w:val="32"/>
        </w:rPr>
        <w:t>（类）行政事业单位医疗（款）事业单位医疗（项）</w:t>
      </w:r>
      <w:r>
        <w:rPr>
          <w:rStyle w:val="13"/>
          <w:rFonts w:ascii="宋体" w:hAnsi="宋体"/>
          <w:b w:val="0"/>
          <w:bCs/>
          <w:color w:val="000000"/>
          <w:sz w:val="32"/>
          <w:szCs w:val="32"/>
        </w:rPr>
        <w:t>:</w:t>
      </w:r>
      <w:r>
        <w:rPr>
          <w:rStyle w:val="13"/>
          <w:rFonts w:hint="eastAsia" w:ascii="宋体" w:hAnsi="宋体"/>
          <w:b w:val="0"/>
          <w:bCs/>
          <w:color w:val="000000"/>
          <w:sz w:val="32"/>
          <w:szCs w:val="32"/>
        </w:rPr>
        <w:t>支出决算为</w:t>
      </w:r>
      <w:r>
        <w:rPr>
          <w:rStyle w:val="13"/>
          <w:rFonts w:hint="eastAsia" w:ascii="宋体" w:hAnsi="宋体"/>
          <w:b w:val="0"/>
          <w:bCs/>
          <w:color w:val="000000"/>
          <w:sz w:val="32"/>
          <w:szCs w:val="32"/>
          <w:lang w:val="en-US" w:eastAsia="zh-CN"/>
        </w:rPr>
        <w:t>18.04</w:t>
      </w:r>
      <w:r>
        <w:rPr>
          <w:rStyle w:val="13"/>
          <w:rFonts w:hint="eastAsia" w:ascii="宋体" w:hAnsi="宋体"/>
          <w:b w:val="0"/>
          <w:bCs/>
          <w:color w:val="000000"/>
          <w:sz w:val="32"/>
          <w:szCs w:val="32"/>
        </w:rPr>
        <w:t>万元，完成预算100</w:t>
      </w:r>
      <w:r>
        <w:rPr>
          <w:rStyle w:val="13"/>
          <w:rFonts w:ascii="宋体" w:hAnsi="宋体"/>
          <w:b w:val="0"/>
          <w:bCs/>
          <w:color w:val="000000"/>
          <w:sz w:val="32"/>
          <w:szCs w:val="32"/>
        </w:rPr>
        <w:t>%</w:t>
      </w:r>
      <w:r>
        <w:rPr>
          <w:rStyle w:val="13"/>
          <w:rFonts w:hint="eastAsia" w:ascii="宋体" w:hAnsi="宋体"/>
          <w:b w:val="0"/>
          <w:bCs/>
          <w:color w:val="000000"/>
          <w:sz w:val="32"/>
          <w:szCs w:val="32"/>
        </w:rPr>
        <w:t>。</w:t>
      </w:r>
    </w:p>
    <w:p>
      <w:pPr>
        <w:spacing w:line="600" w:lineRule="exact"/>
        <w:ind w:firstLine="640" w:firstLineChars="200"/>
        <w:rPr>
          <w:rFonts w:ascii="宋体" w:hAnsi="宋体"/>
          <w:bCs/>
          <w:color w:val="000000"/>
          <w:sz w:val="32"/>
          <w:szCs w:val="32"/>
        </w:rPr>
      </w:pPr>
      <w:r>
        <w:rPr>
          <w:rFonts w:hint="eastAsia" w:ascii="宋体" w:hAnsi="宋体"/>
          <w:bCs/>
          <w:color w:val="000000"/>
          <w:sz w:val="32"/>
          <w:szCs w:val="32"/>
        </w:rPr>
        <w:t>7</w:t>
      </w:r>
      <w:r>
        <w:rPr>
          <w:rFonts w:hint="eastAsia" w:ascii="宋体" w:hAnsi="宋体"/>
          <w:bCs/>
          <w:color w:val="000000"/>
          <w:sz w:val="32"/>
          <w:szCs w:val="32"/>
          <w:lang w:val="en-US" w:eastAsia="zh-CN"/>
        </w:rPr>
        <w:t>.</w:t>
      </w:r>
      <w:r>
        <w:rPr>
          <w:rFonts w:hint="eastAsia" w:ascii="宋体" w:hAnsi="宋体"/>
          <w:bCs/>
          <w:color w:val="000000"/>
          <w:sz w:val="32"/>
          <w:szCs w:val="32"/>
        </w:rPr>
        <w:t>住房保障（类）住房改革支出（款）住房公积金（项）：支出决算</w:t>
      </w:r>
      <w:r>
        <w:rPr>
          <w:rFonts w:hint="eastAsia" w:ascii="宋体" w:hAnsi="宋体"/>
          <w:bCs/>
          <w:color w:val="000000"/>
          <w:sz w:val="32"/>
          <w:szCs w:val="32"/>
          <w:lang w:val="en-US" w:eastAsia="zh-CN"/>
        </w:rPr>
        <w:t>30.26</w:t>
      </w:r>
      <w:r>
        <w:rPr>
          <w:rFonts w:hint="eastAsia" w:ascii="宋体" w:hAnsi="宋体"/>
          <w:bCs/>
          <w:color w:val="000000"/>
          <w:sz w:val="32"/>
          <w:szCs w:val="32"/>
        </w:rPr>
        <w:t>万元，完成预算100%。</w:t>
      </w:r>
    </w:p>
    <w:p>
      <w:pPr>
        <w:tabs>
          <w:tab w:val="right" w:pos="8306"/>
        </w:tabs>
        <w:spacing w:line="600" w:lineRule="exact"/>
        <w:ind w:firstLine="640"/>
        <w:outlineLvl w:val="1"/>
        <w:rPr>
          <w:rStyle w:val="15"/>
          <w:rFonts w:ascii="黑体" w:hAnsi="黑体" w:eastAsia="黑体"/>
          <w:b w:val="0"/>
        </w:rPr>
      </w:pPr>
      <w:bookmarkStart w:id="35" w:name="_Toc15396608"/>
      <w:bookmarkStart w:id="36" w:name="_Toc15377214"/>
      <w:r>
        <w:rPr>
          <w:rFonts w:hint="eastAsia" w:ascii="黑体" w:hAnsi="黑体" w:eastAsia="黑体"/>
          <w:bCs/>
          <w:color w:val="000000"/>
          <w:sz w:val="32"/>
          <w:szCs w:val="32"/>
        </w:rPr>
        <w:t>六、一</w:t>
      </w:r>
      <w:r>
        <w:rPr>
          <w:rStyle w:val="15"/>
          <w:rFonts w:hint="eastAsia" w:ascii="黑体" w:hAnsi="黑体" w:eastAsia="黑体"/>
          <w:b w:val="0"/>
        </w:rPr>
        <w:t>般公共预算财政拨款基本支出决算情况说明</w:t>
      </w:r>
      <w:bookmarkEnd w:id="35"/>
      <w:bookmarkEnd w:id="36"/>
      <w:r>
        <w:rPr>
          <w:rStyle w:val="15"/>
          <w:rFonts w:ascii="黑体" w:hAnsi="黑体" w:eastAsia="黑体"/>
          <w:b w:val="0"/>
        </w:rPr>
        <w:tab/>
      </w:r>
    </w:p>
    <w:p>
      <w:pPr>
        <w:spacing w:line="600" w:lineRule="exact"/>
        <w:ind w:firstLine="645"/>
        <w:rPr>
          <w:rFonts w:ascii="宋体" w:hAnsi="宋体"/>
          <w:bCs/>
          <w:color w:val="000000"/>
          <w:sz w:val="32"/>
          <w:szCs w:val="32"/>
        </w:rPr>
      </w:pPr>
      <w:r>
        <w:rPr>
          <w:rFonts w:ascii="宋体" w:hAnsi="宋体"/>
          <w:bCs/>
          <w:color w:val="000000"/>
          <w:sz w:val="32"/>
          <w:szCs w:val="32"/>
        </w:rPr>
        <w:t>202</w:t>
      </w:r>
      <w:r>
        <w:rPr>
          <w:rFonts w:hint="eastAsia" w:ascii="宋体" w:hAnsi="宋体"/>
          <w:bCs/>
          <w:color w:val="000000"/>
          <w:sz w:val="32"/>
          <w:szCs w:val="32"/>
          <w:lang w:val="en-US" w:eastAsia="zh-CN"/>
        </w:rPr>
        <w:t>1</w:t>
      </w:r>
      <w:r>
        <w:rPr>
          <w:rFonts w:hint="eastAsia" w:ascii="宋体" w:hAnsi="宋体"/>
          <w:bCs/>
          <w:color w:val="000000"/>
          <w:sz w:val="32"/>
          <w:szCs w:val="32"/>
        </w:rPr>
        <w:t>年一般公共预算财政拨款基本支出</w:t>
      </w:r>
      <w:r>
        <w:rPr>
          <w:rFonts w:hint="eastAsia" w:ascii="宋体" w:hAnsi="宋体"/>
          <w:bCs/>
          <w:color w:val="000000"/>
          <w:sz w:val="32"/>
          <w:szCs w:val="32"/>
          <w:lang w:val="en-US" w:eastAsia="zh-CN"/>
        </w:rPr>
        <w:t>433.17</w:t>
      </w:r>
      <w:r>
        <w:rPr>
          <w:rFonts w:hint="eastAsia" w:ascii="宋体" w:hAnsi="宋体"/>
          <w:bCs/>
          <w:color w:val="000000"/>
          <w:sz w:val="32"/>
          <w:szCs w:val="32"/>
        </w:rPr>
        <w:t>万元，其中：</w:t>
      </w:r>
    </w:p>
    <w:p>
      <w:pPr>
        <w:spacing w:line="600" w:lineRule="exact"/>
        <w:ind w:firstLine="645"/>
        <w:rPr>
          <w:rFonts w:hint="eastAsia" w:ascii="宋体" w:hAnsi="宋体"/>
          <w:bCs/>
          <w:color w:val="000000"/>
          <w:sz w:val="32"/>
          <w:szCs w:val="32"/>
        </w:rPr>
      </w:pPr>
      <w:r>
        <w:rPr>
          <w:rFonts w:hint="eastAsia" w:ascii="宋体" w:hAnsi="宋体"/>
          <w:bCs/>
          <w:color w:val="000000"/>
          <w:sz w:val="32"/>
          <w:szCs w:val="32"/>
        </w:rPr>
        <w:t>人员经费</w:t>
      </w:r>
      <w:r>
        <w:rPr>
          <w:rFonts w:hint="eastAsia" w:ascii="宋体" w:hAnsi="宋体"/>
          <w:bCs/>
          <w:color w:val="000000"/>
          <w:sz w:val="32"/>
          <w:szCs w:val="32"/>
          <w:lang w:val="en-US" w:eastAsia="zh-CN"/>
        </w:rPr>
        <w:t>376.29</w:t>
      </w:r>
      <w:r>
        <w:rPr>
          <w:rFonts w:hint="eastAsia" w:ascii="宋体" w:hAnsi="宋体"/>
          <w:bCs/>
          <w:color w:val="000000"/>
          <w:sz w:val="32"/>
          <w:szCs w:val="32"/>
        </w:rPr>
        <w:t>万元，主要包括：基本工资、津贴补贴、奖金、机关事业单位基本养老保险缴费、</w:t>
      </w:r>
      <w:r>
        <w:rPr>
          <w:rFonts w:hint="eastAsia" w:ascii="宋体" w:hAnsi="宋体"/>
          <w:bCs/>
          <w:color w:val="000000"/>
          <w:sz w:val="32"/>
          <w:szCs w:val="32"/>
          <w:lang w:val="en-US" w:eastAsia="zh-CN"/>
        </w:rPr>
        <w:t>职工基本医疗保险缴费、</w:t>
      </w:r>
      <w:r>
        <w:rPr>
          <w:rFonts w:hint="eastAsia" w:ascii="宋体" w:hAnsi="宋体"/>
          <w:bCs/>
          <w:color w:val="000000"/>
          <w:sz w:val="32"/>
          <w:szCs w:val="32"/>
        </w:rPr>
        <w:t>职业年金缴费、其他社会保障缴费、其他工资福利支出、生活补助、奖励金、住房公积金等。</w:t>
      </w:r>
    </w:p>
    <w:p>
      <w:pPr>
        <w:spacing w:line="600" w:lineRule="exact"/>
        <w:ind w:firstLine="645"/>
        <w:rPr>
          <w:rFonts w:hint="eastAsia" w:ascii="宋体" w:hAnsi="宋体"/>
          <w:bCs/>
          <w:color w:val="FF0000"/>
          <w:sz w:val="32"/>
          <w:szCs w:val="32"/>
        </w:rPr>
      </w:pPr>
      <w:r>
        <w:rPr>
          <w:rFonts w:hint="eastAsia" w:ascii="宋体" w:hAnsi="宋体"/>
          <w:bCs/>
          <w:color w:val="000000"/>
          <w:sz w:val="32"/>
          <w:szCs w:val="32"/>
        </w:rPr>
        <w:t>公用经费</w:t>
      </w:r>
      <w:r>
        <w:rPr>
          <w:rFonts w:hint="eastAsia" w:ascii="宋体" w:hAnsi="宋体"/>
          <w:bCs/>
          <w:color w:val="000000"/>
          <w:sz w:val="32"/>
          <w:szCs w:val="32"/>
          <w:lang w:val="en-US" w:eastAsia="zh-CN"/>
        </w:rPr>
        <w:t>56.88</w:t>
      </w:r>
      <w:r>
        <w:rPr>
          <w:rFonts w:hint="eastAsia" w:ascii="宋体" w:hAnsi="宋体"/>
          <w:bCs/>
          <w:color w:val="000000"/>
          <w:sz w:val="32"/>
          <w:szCs w:val="32"/>
        </w:rPr>
        <w:t>万元，主要包括：办公费、手续费、邮</w:t>
      </w:r>
      <w:r>
        <w:rPr>
          <w:rFonts w:hint="eastAsia" w:ascii="宋体" w:hAnsi="宋体"/>
          <w:bCs/>
          <w:color w:val="000000"/>
          <w:sz w:val="32"/>
          <w:szCs w:val="32"/>
          <w:lang w:eastAsia="zh-CN"/>
        </w:rPr>
        <w:t>电费、</w:t>
      </w:r>
      <w:bookmarkStart w:id="67" w:name="_GoBack"/>
      <w:bookmarkEnd w:id="67"/>
      <w:r>
        <w:rPr>
          <w:rFonts w:hint="eastAsia" w:ascii="宋体" w:hAnsi="宋体"/>
          <w:bCs/>
          <w:color w:val="000000"/>
          <w:sz w:val="32"/>
          <w:szCs w:val="32"/>
        </w:rPr>
        <w:t>差旅费、维修（护）费、培训费、工会经费、福利费、公务用车运行维护费、其他交通费</w:t>
      </w:r>
      <w:r>
        <w:rPr>
          <w:rFonts w:hint="eastAsia" w:ascii="宋体" w:hAnsi="宋体"/>
          <w:bCs/>
          <w:color w:val="000000"/>
          <w:sz w:val="32"/>
          <w:szCs w:val="32"/>
          <w:lang w:val="en-US" w:eastAsia="zh-CN"/>
        </w:rPr>
        <w:t>用</w:t>
      </w:r>
      <w:r>
        <w:rPr>
          <w:rFonts w:hint="eastAsia" w:ascii="宋体" w:hAnsi="宋体"/>
          <w:bCs/>
          <w:color w:val="000000"/>
          <w:sz w:val="32"/>
          <w:szCs w:val="32"/>
        </w:rPr>
        <w:t>、其他商品和服务支出等。</w:t>
      </w:r>
    </w:p>
    <w:p>
      <w:pPr>
        <w:spacing w:line="600" w:lineRule="exact"/>
        <w:ind w:firstLine="640"/>
        <w:outlineLvl w:val="1"/>
        <w:rPr>
          <w:rStyle w:val="15"/>
          <w:rFonts w:ascii="黑体" w:hAnsi="黑体" w:eastAsia="黑体"/>
          <w:b w:val="0"/>
        </w:rPr>
      </w:pPr>
      <w:bookmarkStart w:id="37" w:name="_Toc15396609"/>
      <w:bookmarkStart w:id="38" w:name="_Toc15377215"/>
      <w:r>
        <w:rPr>
          <w:rFonts w:hint="eastAsia" w:ascii="黑体" w:hAnsi="黑体" w:eastAsia="黑体"/>
          <w:bCs/>
          <w:color w:val="000000"/>
          <w:sz w:val="32"/>
          <w:szCs w:val="32"/>
        </w:rPr>
        <w:t>七、</w:t>
      </w:r>
      <w:r>
        <w:rPr>
          <w:rStyle w:val="15"/>
          <w:rFonts w:hint="eastAsia" w:ascii="黑体" w:hAnsi="黑体" w:eastAsia="黑体"/>
          <w:b w:val="0"/>
        </w:rPr>
        <w:t>“三公”经费财政拨款支出决算情况说明</w:t>
      </w:r>
      <w:bookmarkEnd w:id="37"/>
      <w:bookmarkEnd w:id="38"/>
    </w:p>
    <w:p>
      <w:pPr>
        <w:spacing w:line="600" w:lineRule="exact"/>
        <w:ind w:firstLine="640"/>
        <w:outlineLvl w:val="2"/>
        <w:rPr>
          <w:rFonts w:ascii="宋体" w:hAnsi="宋体"/>
          <w:bCs/>
          <w:color w:val="000000"/>
          <w:sz w:val="32"/>
          <w:szCs w:val="32"/>
        </w:rPr>
      </w:pPr>
      <w:bookmarkStart w:id="39" w:name="_Toc15377216"/>
      <w:r>
        <w:rPr>
          <w:rFonts w:hint="eastAsia" w:ascii="宋体" w:hAnsi="宋体"/>
          <w:bCs/>
          <w:color w:val="000000"/>
          <w:sz w:val="32"/>
          <w:szCs w:val="32"/>
        </w:rPr>
        <w:t>（一）“三公”经费财政拨款支出决算总体情况说明</w:t>
      </w:r>
      <w:bookmarkEnd w:id="39"/>
    </w:p>
    <w:p>
      <w:pPr>
        <w:pStyle w:val="16"/>
        <w:spacing w:line="600" w:lineRule="exact"/>
        <w:ind w:firstLine="640"/>
        <w:outlineLvl w:val="1"/>
        <w:rPr>
          <w:rFonts w:hint="eastAsia" w:ascii="宋体" w:hAnsi="宋体"/>
          <w:bCs/>
          <w:color w:val="000000"/>
          <w:sz w:val="32"/>
          <w:szCs w:val="32"/>
          <w:lang w:val="en-US" w:eastAsia="zh-CN"/>
        </w:rPr>
      </w:pPr>
      <w:r>
        <w:rPr>
          <w:rFonts w:ascii="宋体" w:hAnsi="宋体"/>
          <w:bCs/>
          <w:color w:val="000000"/>
          <w:sz w:val="32"/>
          <w:szCs w:val="32"/>
        </w:rPr>
        <w:t>202</w:t>
      </w:r>
      <w:r>
        <w:rPr>
          <w:rFonts w:hint="eastAsia" w:ascii="宋体" w:hAnsi="宋体"/>
          <w:bCs/>
          <w:color w:val="000000"/>
          <w:sz w:val="32"/>
          <w:szCs w:val="32"/>
          <w:lang w:val="en-US" w:eastAsia="zh-CN"/>
        </w:rPr>
        <w:t>1</w:t>
      </w:r>
      <w:r>
        <w:rPr>
          <w:rFonts w:hint="eastAsia" w:ascii="宋体" w:hAnsi="宋体"/>
          <w:bCs/>
          <w:color w:val="000000"/>
          <w:sz w:val="32"/>
          <w:szCs w:val="32"/>
        </w:rPr>
        <w:t>年“三公”经费财政拨款支出决算为</w:t>
      </w:r>
      <w:r>
        <w:rPr>
          <w:rFonts w:hint="eastAsia" w:ascii="宋体" w:hAnsi="宋体"/>
          <w:bCs/>
          <w:color w:val="000000"/>
          <w:sz w:val="32"/>
          <w:szCs w:val="32"/>
          <w:lang w:val="en-US" w:eastAsia="zh-CN"/>
        </w:rPr>
        <w:t>6.75</w:t>
      </w:r>
      <w:r>
        <w:rPr>
          <w:rFonts w:hint="eastAsia" w:ascii="宋体" w:hAnsi="宋体"/>
          <w:bCs/>
          <w:color w:val="000000"/>
          <w:sz w:val="32"/>
          <w:szCs w:val="32"/>
        </w:rPr>
        <w:t>万元，完成预算</w:t>
      </w:r>
      <w:r>
        <w:rPr>
          <w:rFonts w:hint="eastAsia" w:ascii="宋体" w:hAnsi="宋体"/>
          <w:bCs/>
          <w:color w:val="000000"/>
          <w:sz w:val="32"/>
          <w:szCs w:val="32"/>
          <w:lang w:val="en-US" w:eastAsia="zh-CN"/>
        </w:rPr>
        <w:t>96.43</w:t>
      </w:r>
      <w:r>
        <w:rPr>
          <w:rFonts w:ascii="宋体" w:hAnsi="宋体"/>
          <w:bCs/>
          <w:color w:val="000000"/>
          <w:sz w:val="32"/>
          <w:szCs w:val="32"/>
        </w:rPr>
        <w:t>%</w:t>
      </w:r>
      <w:bookmarkStart w:id="40" w:name="_Toc15377217"/>
      <w:r>
        <w:rPr>
          <w:rFonts w:hint="eastAsia" w:ascii="宋体" w:hAnsi="宋体"/>
          <w:bCs/>
          <w:color w:val="000000"/>
          <w:sz w:val="32"/>
          <w:szCs w:val="32"/>
          <w:lang w:val="en-US" w:eastAsia="zh-CN"/>
        </w:rPr>
        <w:t>。</w:t>
      </w:r>
      <w:r>
        <w:rPr>
          <w:rFonts w:hint="eastAsia" w:ascii="宋体" w:hAnsi="宋体"/>
          <w:bCs/>
          <w:color w:val="000000"/>
          <w:sz w:val="32"/>
          <w:szCs w:val="32"/>
        </w:rPr>
        <w:t>决算数小于预算数主要原因是厉行节约，减少“三公”经费支出。</w:t>
      </w:r>
    </w:p>
    <w:p>
      <w:pPr>
        <w:pStyle w:val="16"/>
        <w:spacing w:line="600" w:lineRule="exact"/>
        <w:ind w:firstLine="640"/>
        <w:outlineLvl w:val="1"/>
        <w:rPr>
          <w:rFonts w:hint="eastAsia" w:ascii="宋体" w:hAnsi="宋体"/>
          <w:bCs/>
          <w:color w:val="000000"/>
          <w:sz w:val="32"/>
          <w:szCs w:val="32"/>
        </w:rPr>
      </w:pPr>
      <w:r>
        <w:rPr>
          <w:rFonts w:hint="eastAsia" w:ascii="宋体" w:hAnsi="宋体"/>
          <w:bCs/>
          <w:color w:val="000000"/>
          <w:sz w:val="32"/>
          <w:szCs w:val="32"/>
          <w:lang w:val="en-US" w:eastAsia="zh-CN"/>
        </w:rPr>
        <w:t>(二)</w:t>
      </w:r>
      <w:r>
        <w:rPr>
          <w:rFonts w:hint="eastAsia" w:ascii="宋体" w:hAnsi="宋体"/>
          <w:bCs/>
          <w:color w:val="000000"/>
          <w:sz w:val="32"/>
          <w:szCs w:val="32"/>
        </w:rPr>
        <w:t>“三公”经费财政拨款支出决算具体情况说明</w:t>
      </w:r>
      <w:bookmarkEnd w:id="40"/>
    </w:p>
    <w:p>
      <w:pPr>
        <w:pStyle w:val="16"/>
        <w:spacing w:line="600" w:lineRule="exact"/>
        <w:ind w:firstLine="640"/>
        <w:outlineLvl w:val="1"/>
        <w:rPr>
          <w:rFonts w:hint="eastAsia" w:ascii="宋体" w:hAnsi="宋体"/>
          <w:bCs/>
          <w:color w:val="000000"/>
          <w:sz w:val="32"/>
          <w:szCs w:val="32"/>
        </w:rPr>
      </w:pPr>
      <w:r>
        <w:rPr>
          <w:rFonts w:hint="eastAsia" w:ascii="宋体" w:hAnsi="宋体"/>
          <w:bCs/>
          <w:color w:val="000000"/>
          <w:sz w:val="32"/>
          <w:szCs w:val="32"/>
        </w:rPr>
        <w:t>202</w:t>
      </w:r>
      <w:r>
        <w:rPr>
          <w:rFonts w:hint="eastAsia" w:ascii="宋体" w:hAnsi="宋体"/>
          <w:bCs/>
          <w:color w:val="000000"/>
          <w:sz w:val="32"/>
          <w:szCs w:val="32"/>
          <w:lang w:val="en-US" w:eastAsia="zh-CN"/>
        </w:rPr>
        <w:t>1</w:t>
      </w:r>
      <w:r>
        <w:rPr>
          <w:rFonts w:hint="eastAsia" w:ascii="宋体" w:hAnsi="宋体"/>
          <w:bCs/>
          <w:color w:val="000000"/>
          <w:sz w:val="32"/>
          <w:szCs w:val="32"/>
        </w:rPr>
        <w:t>年“三公”经费财政拨款支出决算中，因公出国（境）费支出决算</w:t>
      </w:r>
      <w:r>
        <w:rPr>
          <w:rFonts w:hint="eastAsia" w:ascii="宋体" w:hAnsi="宋体"/>
          <w:bCs/>
          <w:color w:val="000000"/>
          <w:sz w:val="32"/>
          <w:szCs w:val="32"/>
          <w:lang w:val="en-US" w:eastAsia="zh-CN"/>
        </w:rPr>
        <w:t>0</w:t>
      </w:r>
      <w:r>
        <w:rPr>
          <w:rFonts w:hint="eastAsia" w:ascii="宋体" w:hAnsi="宋体"/>
          <w:bCs/>
          <w:color w:val="000000"/>
          <w:sz w:val="32"/>
          <w:szCs w:val="32"/>
        </w:rPr>
        <w:t>万元，占</w:t>
      </w:r>
      <w:r>
        <w:rPr>
          <w:rFonts w:hint="eastAsia" w:ascii="宋体" w:hAnsi="宋体"/>
          <w:bCs/>
          <w:color w:val="000000"/>
          <w:sz w:val="32"/>
          <w:szCs w:val="32"/>
          <w:lang w:val="en-US" w:eastAsia="zh-CN"/>
        </w:rPr>
        <w:t>0</w:t>
      </w:r>
      <w:r>
        <w:rPr>
          <w:rFonts w:hint="eastAsia" w:ascii="宋体" w:hAnsi="宋体"/>
          <w:bCs/>
          <w:color w:val="000000"/>
          <w:sz w:val="32"/>
          <w:szCs w:val="32"/>
        </w:rPr>
        <w:t>%；公务用车购置及运行维护费支出决算</w:t>
      </w:r>
      <w:r>
        <w:rPr>
          <w:rFonts w:hint="eastAsia" w:ascii="宋体" w:hAnsi="宋体"/>
          <w:bCs/>
          <w:color w:val="000000"/>
          <w:sz w:val="32"/>
          <w:szCs w:val="32"/>
          <w:lang w:val="en-US" w:eastAsia="zh-CN"/>
        </w:rPr>
        <w:t>6.75</w:t>
      </w:r>
      <w:r>
        <w:rPr>
          <w:rFonts w:hint="eastAsia" w:ascii="宋体" w:hAnsi="宋体"/>
          <w:bCs/>
          <w:color w:val="000000"/>
          <w:sz w:val="32"/>
          <w:szCs w:val="32"/>
        </w:rPr>
        <w:t>万元，占</w:t>
      </w:r>
      <w:r>
        <w:rPr>
          <w:rFonts w:hint="eastAsia" w:ascii="宋体" w:hAnsi="宋体"/>
          <w:bCs/>
          <w:color w:val="000000"/>
          <w:sz w:val="32"/>
          <w:szCs w:val="32"/>
          <w:lang w:val="en-US" w:eastAsia="zh-CN"/>
        </w:rPr>
        <w:t>100</w:t>
      </w:r>
      <w:r>
        <w:rPr>
          <w:rFonts w:hint="eastAsia" w:ascii="宋体" w:hAnsi="宋体"/>
          <w:bCs/>
          <w:color w:val="000000"/>
          <w:sz w:val="32"/>
          <w:szCs w:val="32"/>
        </w:rPr>
        <w:t>%；公务接待费支出决算</w:t>
      </w:r>
      <w:r>
        <w:rPr>
          <w:rFonts w:hint="eastAsia" w:ascii="宋体" w:hAnsi="宋体"/>
          <w:bCs/>
          <w:color w:val="000000"/>
          <w:sz w:val="32"/>
          <w:szCs w:val="32"/>
          <w:lang w:val="en-US" w:eastAsia="zh-CN"/>
        </w:rPr>
        <w:t>0</w:t>
      </w:r>
      <w:r>
        <w:rPr>
          <w:rFonts w:hint="eastAsia" w:ascii="宋体" w:hAnsi="宋体"/>
          <w:bCs/>
          <w:color w:val="000000"/>
          <w:sz w:val="32"/>
          <w:szCs w:val="32"/>
        </w:rPr>
        <w:t>万元，占</w:t>
      </w:r>
      <w:r>
        <w:rPr>
          <w:rFonts w:hint="eastAsia" w:ascii="宋体" w:hAnsi="宋体"/>
          <w:bCs/>
          <w:color w:val="000000"/>
          <w:sz w:val="32"/>
          <w:szCs w:val="32"/>
          <w:lang w:val="en-US" w:eastAsia="zh-CN"/>
        </w:rPr>
        <w:t>0</w:t>
      </w:r>
      <w:r>
        <w:rPr>
          <w:rFonts w:hint="eastAsia" w:ascii="宋体" w:hAnsi="宋体"/>
          <w:bCs/>
          <w:color w:val="000000"/>
          <w:sz w:val="32"/>
          <w:szCs w:val="32"/>
        </w:rPr>
        <w:t>%。具体情况如下：</w:t>
      </w:r>
    </w:p>
    <w:p>
      <w:pPr>
        <w:pStyle w:val="16"/>
        <w:keepNext w:val="0"/>
        <w:keepLines w:val="0"/>
        <w:pageBreakBefore w:val="0"/>
        <w:widowControl w:val="0"/>
        <w:kinsoku/>
        <w:wordWrap/>
        <w:overflowPunct/>
        <w:topLinePunct w:val="0"/>
        <w:autoSpaceDE/>
        <w:autoSpaceDN/>
        <w:bidi w:val="0"/>
        <w:adjustRightInd/>
        <w:snapToGrid/>
        <w:spacing w:line="5600" w:lineRule="exact"/>
        <w:ind w:firstLine="640"/>
        <w:textAlignment w:val="auto"/>
        <w:outlineLvl w:val="1"/>
        <w:rPr>
          <w:rFonts w:hint="eastAsia" w:ascii="宋体" w:hAnsi="宋体"/>
          <w:bCs/>
          <w:color w:val="000000"/>
          <w:sz w:val="32"/>
          <w:szCs w:val="32"/>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16"/>
        <w:spacing w:line="600" w:lineRule="exact"/>
        <w:ind w:firstLine="1280" w:firstLineChars="400"/>
        <w:outlineLvl w:val="1"/>
        <w:rPr>
          <w:rFonts w:hint="eastAsia" w:ascii="宋体" w:hAnsi="宋体"/>
          <w:bCs/>
          <w:color w:val="000000"/>
          <w:sz w:val="32"/>
          <w:szCs w:val="32"/>
          <w:lang w:val="en-US" w:eastAsia="zh-CN"/>
        </w:rPr>
      </w:pPr>
      <w:r>
        <w:rPr>
          <w:rFonts w:hint="eastAsia" w:ascii="宋体" w:hAnsi="宋体"/>
          <w:bCs/>
          <w:color w:val="000000"/>
          <w:sz w:val="32"/>
          <w:szCs w:val="32"/>
          <w:lang w:eastAsia="zh-CN"/>
        </w:rPr>
        <w:t>（</w:t>
      </w:r>
      <w:r>
        <w:rPr>
          <w:rFonts w:hint="eastAsia" w:ascii="宋体" w:hAnsi="宋体"/>
          <w:bCs/>
          <w:color w:val="000000"/>
          <w:sz w:val="32"/>
          <w:szCs w:val="32"/>
          <w:lang w:val="en-US" w:eastAsia="zh-CN"/>
        </w:rPr>
        <w:t>图7：三公”经费财政拨款支出结构）</w:t>
      </w:r>
    </w:p>
    <w:p>
      <w:pPr>
        <w:pStyle w:val="16"/>
        <w:spacing w:line="600" w:lineRule="exact"/>
        <w:ind w:firstLine="640"/>
        <w:outlineLvl w:val="1"/>
        <w:rPr>
          <w:rFonts w:hint="eastAsia" w:ascii="宋体" w:hAnsi="宋体"/>
          <w:bCs/>
          <w:color w:val="000000"/>
          <w:sz w:val="32"/>
          <w:szCs w:val="32"/>
          <w:lang w:eastAsia="zh-CN"/>
        </w:rPr>
      </w:pPr>
      <w:r>
        <w:rPr>
          <w:rFonts w:hint="eastAsia" w:ascii="宋体" w:hAnsi="宋体"/>
          <w:bCs/>
          <w:color w:val="000000"/>
          <w:sz w:val="32"/>
          <w:szCs w:val="32"/>
          <w:lang w:val="en-US" w:eastAsia="zh-CN"/>
        </w:rPr>
        <w:t>1.2021年因公出国（境）经费支出0万元，</w:t>
      </w:r>
      <w:r>
        <w:rPr>
          <w:rFonts w:hint="eastAsia" w:ascii="宋体" w:hAnsi="宋体"/>
          <w:bCs/>
          <w:color w:val="000000"/>
          <w:sz w:val="32"/>
          <w:szCs w:val="32"/>
          <w:lang w:eastAsia="zh-CN"/>
        </w:rPr>
        <w:t>年初未安排预算。</w:t>
      </w:r>
      <w:r>
        <w:rPr>
          <w:rFonts w:hint="eastAsia" w:ascii="宋体" w:hAnsi="宋体"/>
          <w:bCs/>
          <w:color w:val="000000"/>
          <w:sz w:val="32"/>
          <w:szCs w:val="32"/>
        </w:rPr>
        <w:t>因公出国（境）支出决算</w:t>
      </w:r>
      <w:r>
        <w:rPr>
          <w:rFonts w:hint="eastAsia" w:ascii="宋体" w:hAnsi="宋体"/>
          <w:bCs/>
          <w:color w:val="000000"/>
          <w:sz w:val="32"/>
          <w:szCs w:val="32"/>
          <w:lang w:val="en-US" w:eastAsia="zh-CN"/>
        </w:rPr>
        <w:t>较2020年无变化</w:t>
      </w:r>
      <w:r>
        <w:rPr>
          <w:rFonts w:hint="eastAsia" w:ascii="宋体" w:hAnsi="宋体"/>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40" w:lineRule="exact"/>
        <w:ind w:left="0" w:leftChars="0" w:firstLine="640" w:firstLineChars="200"/>
        <w:textAlignment w:val="auto"/>
        <w:rPr>
          <w:rFonts w:hint="default" w:ascii="宋体" w:hAnsi="宋体" w:cs="宋体"/>
          <w:sz w:val="32"/>
          <w:szCs w:val="32"/>
          <w:lang w:val="en-US" w:eastAsia="zh-CN"/>
        </w:rPr>
      </w:pPr>
      <w:r>
        <w:rPr>
          <w:rFonts w:hint="eastAsia" w:ascii="宋体" w:hAnsi="宋体"/>
          <w:bCs/>
          <w:color w:val="000000"/>
          <w:sz w:val="32"/>
          <w:szCs w:val="32"/>
        </w:rPr>
        <w:t>2.公务用车购置及运行维护费支出</w:t>
      </w:r>
      <w:r>
        <w:rPr>
          <w:rFonts w:hint="eastAsia" w:ascii="宋体" w:hAnsi="宋体"/>
          <w:bCs/>
          <w:color w:val="000000"/>
          <w:sz w:val="32"/>
          <w:szCs w:val="32"/>
          <w:lang w:val="en-US" w:eastAsia="zh-CN"/>
        </w:rPr>
        <w:t>6.75</w:t>
      </w:r>
      <w:r>
        <w:rPr>
          <w:rFonts w:hint="eastAsia" w:ascii="宋体" w:hAnsi="宋体"/>
          <w:bCs/>
          <w:color w:val="000000"/>
          <w:sz w:val="32"/>
          <w:szCs w:val="32"/>
        </w:rPr>
        <w:t>万元</w:t>
      </w:r>
      <w:r>
        <w:rPr>
          <w:rFonts w:ascii="宋体" w:hAnsi="宋体"/>
          <w:bCs/>
          <w:color w:val="000000"/>
          <w:sz w:val="32"/>
          <w:szCs w:val="32"/>
        </w:rPr>
        <w:t>,</w:t>
      </w:r>
      <w:r>
        <w:rPr>
          <w:rStyle w:val="13"/>
          <w:rFonts w:hint="eastAsia" w:ascii="宋体" w:hAnsi="宋体"/>
          <w:b w:val="0"/>
          <w:bCs/>
          <w:color w:val="000000"/>
          <w:sz w:val="32"/>
          <w:szCs w:val="32"/>
        </w:rPr>
        <w:t>完成预算</w:t>
      </w:r>
      <w:r>
        <w:rPr>
          <w:rStyle w:val="13"/>
          <w:rFonts w:hint="eastAsia" w:ascii="宋体" w:hAnsi="宋体"/>
          <w:b w:val="0"/>
          <w:bCs/>
          <w:color w:val="000000"/>
          <w:sz w:val="32"/>
          <w:szCs w:val="32"/>
          <w:lang w:val="en-US" w:eastAsia="zh-CN"/>
        </w:rPr>
        <w:t>96.43</w:t>
      </w:r>
      <w:r>
        <w:rPr>
          <w:rStyle w:val="13"/>
          <w:rFonts w:ascii="宋体" w:hAnsi="宋体"/>
          <w:b w:val="0"/>
          <w:bCs/>
          <w:color w:val="000000"/>
          <w:sz w:val="32"/>
          <w:szCs w:val="32"/>
        </w:rPr>
        <w:t>%</w:t>
      </w:r>
      <w:r>
        <w:rPr>
          <w:rStyle w:val="13"/>
          <w:rFonts w:hint="eastAsia" w:ascii="宋体" w:hAnsi="宋体"/>
          <w:b w:val="0"/>
          <w:bCs/>
          <w:color w:val="000000"/>
          <w:sz w:val="32"/>
          <w:szCs w:val="32"/>
        </w:rPr>
        <w:t>。</w:t>
      </w:r>
      <w:r>
        <w:rPr>
          <w:rFonts w:hint="eastAsia" w:ascii="宋体" w:hAnsi="宋体"/>
          <w:bCs/>
          <w:color w:val="000000"/>
          <w:sz w:val="32"/>
          <w:szCs w:val="32"/>
        </w:rPr>
        <w:t>公务用车购置及运行维护费支出决算比</w:t>
      </w:r>
      <w:r>
        <w:rPr>
          <w:rFonts w:hint="eastAsia" w:ascii="宋体" w:hAnsi="宋体"/>
          <w:bCs/>
          <w:color w:val="000000"/>
          <w:sz w:val="32"/>
          <w:szCs w:val="32"/>
          <w:lang w:val="en-US" w:eastAsia="zh-CN"/>
        </w:rPr>
        <w:t>2020</w:t>
      </w:r>
      <w:r>
        <w:rPr>
          <w:rFonts w:hint="eastAsia" w:ascii="宋体" w:hAnsi="宋体"/>
          <w:bCs/>
          <w:color w:val="000000"/>
          <w:sz w:val="32"/>
          <w:szCs w:val="32"/>
        </w:rPr>
        <w:t>年</w:t>
      </w:r>
      <w:r>
        <w:rPr>
          <w:rFonts w:hint="eastAsia" w:ascii="宋体" w:hAnsi="宋体"/>
          <w:bCs/>
          <w:color w:val="000000"/>
          <w:sz w:val="32"/>
          <w:szCs w:val="32"/>
          <w:lang w:val="en-US" w:eastAsia="zh-CN"/>
        </w:rPr>
        <w:t>增加3.32</w:t>
      </w:r>
      <w:r>
        <w:rPr>
          <w:rFonts w:hint="eastAsia" w:ascii="宋体" w:hAnsi="宋体"/>
          <w:bCs/>
          <w:color w:val="000000"/>
          <w:sz w:val="32"/>
          <w:szCs w:val="32"/>
        </w:rPr>
        <w:t>万元，</w:t>
      </w:r>
      <w:r>
        <w:rPr>
          <w:rFonts w:hint="eastAsia" w:ascii="宋体" w:hAnsi="宋体"/>
          <w:bCs/>
          <w:color w:val="000000"/>
          <w:sz w:val="32"/>
          <w:szCs w:val="32"/>
          <w:lang w:val="en-US" w:eastAsia="zh-CN"/>
        </w:rPr>
        <w:t>增加96.79</w:t>
      </w:r>
      <w:r>
        <w:rPr>
          <w:rFonts w:ascii="宋体" w:hAnsi="宋体"/>
          <w:bCs/>
          <w:color w:val="000000"/>
          <w:sz w:val="32"/>
          <w:szCs w:val="32"/>
        </w:rPr>
        <w:t>%</w:t>
      </w:r>
      <w:r>
        <w:rPr>
          <w:rFonts w:hint="eastAsia" w:ascii="宋体" w:hAnsi="宋体"/>
          <w:bCs/>
          <w:color w:val="000000"/>
          <w:sz w:val="32"/>
          <w:szCs w:val="32"/>
        </w:rPr>
        <w:t>。</w:t>
      </w:r>
      <w:r>
        <w:rPr>
          <w:rFonts w:hint="eastAsia" w:ascii="宋体" w:hAnsi="宋体" w:cs="宋体"/>
          <w:sz w:val="32"/>
          <w:szCs w:val="32"/>
          <w:lang w:val="en-US" w:eastAsia="zh-CN"/>
        </w:rPr>
        <w:t>主要原因是2021年政务服务批次增加，二是我单位公务用车为2016年公务用车改革后调拨车辆，购置年代较久，维修费增加。</w:t>
      </w:r>
    </w:p>
    <w:p>
      <w:pPr>
        <w:spacing w:line="600" w:lineRule="exact"/>
        <w:ind w:firstLine="640" w:firstLineChars="200"/>
        <w:rPr>
          <w:rFonts w:hint="eastAsia" w:ascii="宋体" w:hAnsi="宋体"/>
          <w:bCs/>
          <w:color w:val="000000"/>
          <w:sz w:val="32"/>
          <w:szCs w:val="32"/>
        </w:rPr>
      </w:pPr>
      <w:r>
        <w:rPr>
          <w:rFonts w:hint="eastAsia" w:ascii="宋体" w:hAnsi="宋体"/>
          <w:bCs/>
          <w:color w:val="000000"/>
          <w:sz w:val="32"/>
          <w:szCs w:val="32"/>
        </w:rPr>
        <w:t>其中：公务用车购置支出0万元。截至202</w:t>
      </w:r>
      <w:r>
        <w:rPr>
          <w:rFonts w:hint="eastAsia" w:ascii="宋体" w:hAnsi="宋体"/>
          <w:bCs/>
          <w:color w:val="000000"/>
          <w:sz w:val="32"/>
          <w:szCs w:val="32"/>
          <w:lang w:val="en-US" w:eastAsia="zh-CN"/>
        </w:rPr>
        <w:t>1</w:t>
      </w:r>
      <w:r>
        <w:rPr>
          <w:rFonts w:hint="eastAsia" w:ascii="宋体" w:hAnsi="宋体"/>
          <w:bCs/>
          <w:color w:val="000000"/>
          <w:sz w:val="32"/>
          <w:szCs w:val="32"/>
        </w:rPr>
        <w:t>年12月底，单位共有公务用车</w:t>
      </w:r>
      <w:r>
        <w:rPr>
          <w:rFonts w:hint="eastAsia" w:ascii="宋体" w:hAnsi="宋体"/>
          <w:bCs/>
          <w:color w:val="000000"/>
          <w:sz w:val="32"/>
          <w:szCs w:val="32"/>
          <w:lang w:val="en-US" w:eastAsia="zh-CN"/>
        </w:rPr>
        <w:t>2</w:t>
      </w:r>
      <w:r>
        <w:rPr>
          <w:rFonts w:hint="eastAsia" w:ascii="宋体" w:hAnsi="宋体"/>
          <w:bCs/>
          <w:color w:val="000000"/>
          <w:sz w:val="32"/>
          <w:szCs w:val="32"/>
        </w:rPr>
        <w:t>辆，其中：轿车</w:t>
      </w:r>
      <w:r>
        <w:rPr>
          <w:rFonts w:hint="eastAsia" w:ascii="宋体" w:hAnsi="宋体"/>
          <w:bCs/>
          <w:color w:val="000000"/>
          <w:sz w:val="32"/>
          <w:szCs w:val="32"/>
          <w:lang w:val="en-US" w:eastAsia="zh-CN"/>
        </w:rPr>
        <w:t>0</w:t>
      </w:r>
      <w:r>
        <w:rPr>
          <w:rFonts w:hint="eastAsia" w:ascii="宋体" w:hAnsi="宋体"/>
          <w:bCs/>
          <w:color w:val="000000"/>
          <w:sz w:val="32"/>
          <w:szCs w:val="32"/>
        </w:rPr>
        <w:t>辆、越野车</w:t>
      </w:r>
      <w:r>
        <w:rPr>
          <w:rFonts w:hint="eastAsia" w:ascii="宋体" w:hAnsi="宋体"/>
          <w:bCs/>
          <w:color w:val="000000"/>
          <w:sz w:val="32"/>
          <w:szCs w:val="32"/>
          <w:lang w:val="en-US" w:eastAsia="zh-CN"/>
        </w:rPr>
        <w:t>1</w:t>
      </w:r>
      <w:r>
        <w:rPr>
          <w:rFonts w:hint="eastAsia" w:ascii="宋体" w:hAnsi="宋体"/>
          <w:bCs/>
          <w:color w:val="000000"/>
          <w:sz w:val="32"/>
          <w:szCs w:val="32"/>
        </w:rPr>
        <w:t>辆、</w:t>
      </w:r>
      <w:r>
        <w:rPr>
          <w:rFonts w:hint="eastAsia" w:ascii="宋体" w:hAnsi="宋体"/>
          <w:bCs/>
          <w:color w:val="000000"/>
          <w:sz w:val="32"/>
          <w:szCs w:val="32"/>
          <w:lang w:eastAsia="zh-CN"/>
        </w:rPr>
        <w:t>商务车</w:t>
      </w:r>
      <w:r>
        <w:rPr>
          <w:rFonts w:hint="eastAsia" w:ascii="宋体" w:hAnsi="宋体"/>
          <w:bCs/>
          <w:color w:val="000000"/>
          <w:sz w:val="32"/>
          <w:szCs w:val="32"/>
          <w:lang w:val="en-US" w:eastAsia="zh-CN"/>
        </w:rPr>
        <w:t>1辆，</w:t>
      </w:r>
      <w:r>
        <w:rPr>
          <w:rFonts w:hint="eastAsia" w:ascii="宋体" w:hAnsi="宋体"/>
          <w:bCs/>
          <w:color w:val="000000"/>
          <w:sz w:val="32"/>
          <w:szCs w:val="32"/>
        </w:rPr>
        <w:t>载客汽车</w:t>
      </w:r>
      <w:r>
        <w:rPr>
          <w:rFonts w:hint="eastAsia" w:ascii="宋体" w:hAnsi="宋体"/>
          <w:bCs/>
          <w:color w:val="000000"/>
          <w:sz w:val="32"/>
          <w:szCs w:val="32"/>
          <w:lang w:val="en-US" w:eastAsia="zh-CN"/>
        </w:rPr>
        <w:t>0</w:t>
      </w:r>
      <w:r>
        <w:rPr>
          <w:rFonts w:hint="eastAsia" w:ascii="宋体" w:hAnsi="宋体"/>
          <w:bCs/>
          <w:color w:val="000000"/>
          <w:sz w:val="32"/>
          <w:szCs w:val="32"/>
        </w:rPr>
        <w:t>辆。</w:t>
      </w:r>
    </w:p>
    <w:p>
      <w:pPr>
        <w:spacing w:line="600" w:lineRule="exact"/>
        <w:ind w:firstLine="640" w:firstLineChars="200"/>
        <w:rPr>
          <w:rFonts w:hint="eastAsia" w:ascii="宋体" w:hAnsi="宋体"/>
          <w:bCs/>
          <w:color w:val="000000"/>
          <w:sz w:val="32"/>
          <w:szCs w:val="32"/>
        </w:rPr>
      </w:pPr>
      <w:r>
        <w:rPr>
          <w:rFonts w:hint="eastAsia" w:ascii="宋体" w:hAnsi="宋体"/>
          <w:bCs/>
          <w:color w:val="000000"/>
          <w:sz w:val="32"/>
          <w:szCs w:val="32"/>
        </w:rPr>
        <w:t>公务用车运行维护费支出</w:t>
      </w:r>
      <w:r>
        <w:rPr>
          <w:rFonts w:hint="eastAsia" w:ascii="宋体" w:hAnsi="宋体"/>
          <w:bCs/>
          <w:color w:val="000000"/>
          <w:sz w:val="32"/>
          <w:szCs w:val="32"/>
          <w:lang w:val="en-US" w:eastAsia="zh-CN"/>
        </w:rPr>
        <w:t>6.75</w:t>
      </w:r>
      <w:r>
        <w:rPr>
          <w:rFonts w:hint="eastAsia" w:ascii="宋体" w:hAnsi="宋体"/>
          <w:bCs/>
          <w:color w:val="000000"/>
          <w:sz w:val="32"/>
          <w:szCs w:val="32"/>
        </w:rPr>
        <w:t>万元。主要用于保障</w:t>
      </w:r>
      <w:r>
        <w:rPr>
          <w:rFonts w:hint="eastAsia" w:ascii="宋体" w:hAnsi="宋体"/>
          <w:bCs/>
          <w:color w:val="000000"/>
          <w:sz w:val="32"/>
          <w:szCs w:val="32"/>
          <w:lang w:val="en-US" w:eastAsia="zh-CN"/>
        </w:rPr>
        <w:t>广元</w:t>
      </w:r>
      <w:r>
        <w:rPr>
          <w:rFonts w:hint="eastAsia" w:ascii="宋体" w:hAnsi="宋体" w:cs="宋体"/>
          <w:sz w:val="32"/>
          <w:szCs w:val="32"/>
          <w:lang w:val="zh-CN" w:eastAsia="zh-CN"/>
        </w:rPr>
        <w:t>市级各部门在成都开展工作的协调服务</w:t>
      </w:r>
      <w:r>
        <w:rPr>
          <w:rFonts w:hint="eastAsia" w:ascii="宋体" w:hAnsi="宋体"/>
          <w:bCs/>
          <w:color w:val="000000"/>
          <w:sz w:val="32"/>
          <w:szCs w:val="32"/>
        </w:rPr>
        <w:t>所需的公务用车燃料费、维修费、过路过桥费、保险费等支出。</w:t>
      </w:r>
    </w:p>
    <w:p>
      <w:pPr>
        <w:spacing w:line="600" w:lineRule="exact"/>
        <w:ind w:firstLine="640" w:firstLineChars="200"/>
        <w:rPr>
          <w:rFonts w:hint="eastAsia" w:ascii="宋体" w:hAnsi="宋体" w:eastAsia="宋体"/>
          <w:bCs/>
          <w:color w:val="000000"/>
          <w:sz w:val="32"/>
          <w:szCs w:val="32"/>
          <w:lang w:eastAsia="zh-CN"/>
        </w:rPr>
      </w:pPr>
      <w:r>
        <w:rPr>
          <w:rFonts w:hint="eastAsia" w:ascii="宋体" w:hAnsi="宋体"/>
          <w:bCs/>
          <w:color w:val="000000"/>
          <w:sz w:val="32"/>
          <w:szCs w:val="32"/>
        </w:rPr>
        <w:t>3.202</w:t>
      </w:r>
      <w:r>
        <w:rPr>
          <w:rFonts w:hint="eastAsia" w:ascii="宋体" w:hAnsi="宋体"/>
          <w:bCs/>
          <w:color w:val="000000"/>
          <w:sz w:val="32"/>
          <w:szCs w:val="32"/>
          <w:lang w:val="en-US" w:eastAsia="zh-CN"/>
        </w:rPr>
        <w:t>1</w:t>
      </w:r>
      <w:r>
        <w:rPr>
          <w:rFonts w:hint="eastAsia" w:ascii="宋体" w:hAnsi="宋体"/>
          <w:bCs/>
          <w:color w:val="000000"/>
          <w:sz w:val="32"/>
          <w:szCs w:val="32"/>
        </w:rPr>
        <w:t>年公务接待费支出0万元</w:t>
      </w:r>
      <w:r>
        <w:rPr>
          <w:rFonts w:hint="eastAsia" w:ascii="宋体" w:hAnsi="宋体"/>
          <w:bCs/>
          <w:color w:val="000000"/>
          <w:sz w:val="32"/>
          <w:szCs w:val="32"/>
          <w:lang w:eastAsia="zh-CN"/>
        </w:rPr>
        <w:t>，年初未安排预算。</w:t>
      </w:r>
      <w:r>
        <w:rPr>
          <w:rFonts w:hint="eastAsia" w:ascii="宋体" w:hAnsi="宋体"/>
          <w:bCs/>
          <w:color w:val="000000"/>
          <w:sz w:val="32"/>
          <w:szCs w:val="32"/>
        </w:rPr>
        <w:t>公务接待费支出决算</w:t>
      </w:r>
      <w:r>
        <w:rPr>
          <w:rFonts w:hint="eastAsia" w:ascii="宋体" w:hAnsi="宋体"/>
          <w:bCs/>
          <w:color w:val="000000"/>
          <w:sz w:val="32"/>
          <w:szCs w:val="32"/>
          <w:lang w:val="en-US" w:eastAsia="zh-CN"/>
        </w:rPr>
        <w:t>与</w:t>
      </w:r>
      <w:bookmarkStart w:id="41" w:name="_Toc15396610"/>
      <w:bookmarkStart w:id="42" w:name="_Toc15377218"/>
      <w:r>
        <w:rPr>
          <w:rFonts w:hint="eastAsia" w:ascii="宋体" w:hAnsi="宋体"/>
          <w:bCs/>
          <w:color w:val="000000"/>
          <w:sz w:val="32"/>
          <w:szCs w:val="32"/>
          <w:lang w:val="en-US" w:eastAsia="zh-CN"/>
        </w:rPr>
        <w:t>较2020年无变化</w:t>
      </w:r>
      <w:r>
        <w:rPr>
          <w:rFonts w:hint="eastAsia" w:ascii="宋体" w:hAnsi="宋体"/>
          <w:bCs/>
          <w:color w:val="000000"/>
          <w:sz w:val="32"/>
          <w:szCs w:val="32"/>
          <w:lang w:eastAsia="zh-CN"/>
        </w:rPr>
        <w:t>。</w:t>
      </w:r>
      <w:r>
        <w:rPr>
          <w:rFonts w:hint="eastAsia" w:ascii="宋体" w:hAnsi="宋体"/>
          <w:bCs/>
          <w:color w:val="000000"/>
          <w:sz w:val="32"/>
          <w:szCs w:val="32"/>
        </w:rPr>
        <w:t>其中：</w:t>
      </w:r>
    </w:p>
    <w:p>
      <w:pPr>
        <w:spacing w:line="600" w:lineRule="exact"/>
        <w:ind w:firstLine="640" w:firstLineChars="200"/>
        <w:rPr>
          <w:rFonts w:hint="eastAsia" w:ascii="宋体" w:hAnsi="宋体"/>
          <w:bCs/>
          <w:color w:val="000000"/>
          <w:sz w:val="32"/>
          <w:szCs w:val="32"/>
          <w:lang w:val="en-US" w:eastAsia="zh-CN"/>
        </w:rPr>
      </w:pPr>
      <w:r>
        <w:rPr>
          <w:rFonts w:hint="eastAsia" w:ascii="宋体" w:hAnsi="宋体"/>
          <w:bCs/>
          <w:color w:val="000000"/>
          <w:sz w:val="32"/>
          <w:szCs w:val="32"/>
        </w:rPr>
        <w:t>国内公务接待支出</w:t>
      </w:r>
      <w:r>
        <w:rPr>
          <w:rFonts w:hint="eastAsia" w:ascii="宋体" w:hAnsi="宋体"/>
          <w:bCs/>
          <w:color w:val="000000"/>
          <w:sz w:val="32"/>
          <w:szCs w:val="32"/>
          <w:lang w:val="en-US" w:eastAsia="zh-CN"/>
        </w:rPr>
        <w:t>0</w:t>
      </w:r>
      <w:r>
        <w:rPr>
          <w:rFonts w:hint="eastAsia" w:ascii="宋体" w:hAnsi="宋体"/>
          <w:bCs/>
          <w:color w:val="000000"/>
          <w:sz w:val="32"/>
          <w:szCs w:val="32"/>
        </w:rPr>
        <w:t>万元</w:t>
      </w:r>
      <w:r>
        <w:rPr>
          <w:rFonts w:hint="eastAsia" w:ascii="宋体" w:hAnsi="宋体"/>
          <w:bCs/>
          <w:color w:val="000000"/>
          <w:sz w:val="32"/>
          <w:szCs w:val="32"/>
          <w:lang w:eastAsia="zh-CN"/>
        </w:rPr>
        <w:t>。</w:t>
      </w:r>
    </w:p>
    <w:p>
      <w:pPr>
        <w:spacing w:line="600" w:lineRule="exact"/>
        <w:ind w:firstLine="640" w:firstLineChars="200"/>
        <w:rPr>
          <w:rFonts w:hint="eastAsia" w:ascii="宋体" w:hAnsi="宋体"/>
          <w:bCs/>
          <w:color w:val="000000"/>
          <w:sz w:val="32"/>
          <w:szCs w:val="32"/>
        </w:rPr>
      </w:pPr>
      <w:r>
        <w:rPr>
          <w:rFonts w:hint="eastAsia" w:ascii="宋体" w:hAnsi="宋体"/>
          <w:bCs/>
          <w:color w:val="000000"/>
          <w:sz w:val="32"/>
          <w:szCs w:val="32"/>
        </w:rPr>
        <w:t>外事接待支出</w:t>
      </w:r>
      <w:r>
        <w:rPr>
          <w:rFonts w:hint="eastAsia" w:ascii="宋体" w:hAnsi="宋体"/>
          <w:bCs/>
          <w:color w:val="000000"/>
          <w:sz w:val="32"/>
          <w:szCs w:val="32"/>
          <w:lang w:val="en-US" w:eastAsia="zh-CN"/>
        </w:rPr>
        <w:t>0</w:t>
      </w:r>
      <w:r>
        <w:rPr>
          <w:rFonts w:hint="eastAsia" w:ascii="宋体" w:hAnsi="宋体"/>
          <w:bCs/>
          <w:color w:val="000000"/>
          <w:sz w:val="32"/>
          <w:szCs w:val="32"/>
        </w:rPr>
        <w:t>万元</w:t>
      </w:r>
      <w:r>
        <w:rPr>
          <w:rFonts w:hint="eastAsia" w:ascii="宋体" w:hAnsi="宋体"/>
          <w:bCs/>
          <w:color w:val="000000"/>
          <w:sz w:val="32"/>
          <w:szCs w:val="32"/>
          <w:lang w:eastAsia="zh-CN"/>
        </w:rPr>
        <w:t>。</w:t>
      </w:r>
    </w:p>
    <w:p>
      <w:pPr>
        <w:spacing w:line="600" w:lineRule="exact"/>
        <w:ind w:firstLine="640"/>
        <w:outlineLvl w:val="1"/>
        <w:rPr>
          <w:rStyle w:val="15"/>
          <w:rFonts w:ascii="黑体" w:hAnsi="黑体" w:eastAsia="黑体"/>
          <w:b w:val="0"/>
        </w:rPr>
      </w:pPr>
      <w:r>
        <w:rPr>
          <w:rFonts w:hint="eastAsia" w:ascii="黑体" w:hAnsi="黑体" w:eastAsia="黑体"/>
          <w:bCs/>
          <w:color w:val="000000"/>
          <w:sz w:val="32"/>
          <w:szCs w:val="32"/>
        </w:rPr>
        <w:t>八、</w:t>
      </w:r>
      <w:r>
        <w:rPr>
          <w:rStyle w:val="15"/>
          <w:rFonts w:hint="eastAsia" w:ascii="黑体" w:hAnsi="黑体" w:eastAsia="黑体"/>
          <w:b w:val="0"/>
        </w:rPr>
        <w:t>政府性基金预算支出决算情况说明</w:t>
      </w:r>
      <w:bookmarkEnd w:id="41"/>
      <w:bookmarkEnd w:id="42"/>
    </w:p>
    <w:p>
      <w:pPr>
        <w:spacing w:line="600" w:lineRule="exact"/>
        <w:ind w:firstLine="640" w:firstLineChars="200"/>
        <w:rPr>
          <w:rFonts w:ascii="宋体" w:hAnsi="宋体"/>
          <w:bCs/>
          <w:color w:val="000000"/>
          <w:sz w:val="32"/>
          <w:szCs w:val="32"/>
        </w:rPr>
      </w:pPr>
      <w:r>
        <w:rPr>
          <w:rFonts w:ascii="宋体" w:hAnsi="宋体"/>
          <w:bCs/>
          <w:color w:val="000000"/>
          <w:sz w:val="32"/>
          <w:szCs w:val="32"/>
        </w:rPr>
        <w:t>202</w:t>
      </w:r>
      <w:r>
        <w:rPr>
          <w:rFonts w:hint="eastAsia" w:ascii="宋体" w:hAnsi="宋体"/>
          <w:bCs/>
          <w:color w:val="000000"/>
          <w:sz w:val="32"/>
          <w:szCs w:val="32"/>
          <w:lang w:val="en-US" w:eastAsia="zh-CN"/>
        </w:rPr>
        <w:t>1</w:t>
      </w:r>
      <w:r>
        <w:rPr>
          <w:rFonts w:hint="eastAsia" w:ascii="宋体" w:hAnsi="宋体"/>
          <w:bCs/>
          <w:color w:val="000000"/>
          <w:sz w:val="32"/>
          <w:szCs w:val="32"/>
        </w:rPr>
        <w:t>年政府性基金预算拨款支出0万元。</w:t>
      </w:r>
    </w:p>
    <w:p>
      <w:pPr>
        <w:numPr>
          <w:ilvl w:val="0"/>
          <w:numId w:val="4"/>
        </w:numPr>
        <w:spacing w:line="600" w:lineRule="exact"/>
        <w:ind w:firstLine="640"/>
        <w:outlineLvl w:val="1"/>
        <w:rPr>
          <w:rStyle w:val="15"/>
          <w:rFonts w:ascii="黑体" w:hAnsi="黑体" w:eastAsia="黑体"/>
          <w:b w:val="0"/>
        </w:rPr>
      </w:pPr>
      <w:bookmarkStart w:id="43" w:name="_Toc15377219"/>
      <w:bookmarkStart w:id="44" w:name="_Toc15396611"/>
      <w:r>
        <w:rPr>
          <w:rStyle w:val="15"/>
          <w:rFonts w:hint="eastAsia" w:ascii="黑体" w:hAnsi="黑体" w:eastAsia="黑体"/>
          <w:b w:val="0"/>
        </w:rPr>
        <w:t>国有资本经营预算支出决算情况说明</w:t>
      </w:r>
      <w:bookmarkEnd w:id="43"/>
      <w:bookmarkEnd w:id="44"/>
    </w:p>
    <w:p>
      <w:pPr>
        <w:spacing w:line="600" w:lineRule="exact"/>
        <w:ind w:firstLine="640" w:firstLineChars="200"/>
        <w:rPr>
          <w:rFonts w:hint="eastAsia" w:ascii="宋体" w:hAnsi="宋体"/>
          <w:bCs/>
          <w:color w:val="000000"/>
          <w:sz w:val="32"/>
          <w:szCs w:val="32"/>
        </w:rPr>
      </w:pPr>
      <w:r>
        <w:rPr>
          <w:rFonts w:ascii="宋体" w:hAnsi="宋体"/>
          <w:bCs/>
          <w:color w:val="000000"/>
          <w:sz w:val="32"/>
          <w:szCs w:val="32"/>
        </w:rPr>
        <w:t>202</w:t>
      </w:r>
      <w:r>
        <w:rPr>
          <w:rFonts w:hint="eastAsia" w:ascii="宋体" w:hAnsi="宋体"/>
          <w:bCs/>
          <w:color w:val="000000"/>
          <w:sz w:val="32"/>
          <w:szCs w:val="32"/>
          <w:lang w:val="en-US" w:eastAsia="zh-CN"/>
        </w:rPr>
        <w:t>1</w:t>
      </w:r>
      <w:r>
        <w:rPr>
          <w:rFonts w:hint="eastAsia" w:ascii="宋体" w:hAnsi="宋体"/>
          <w:bCs/>
          <w:color w:val="000000"/>
          <w:sz w:val="32"/>
          <w:szCs w:val="32"/>
        </w:rPr>
        <w:t>年国有资本经营预算拨款支出0万元。</w:t>
      </w:r>
    </w:p>
    <w:p>
      <w:pPr>
        <w:keepNext w:val="0"/>
        <w:keepLines w:val="0"/>
        <w:pageBreakBefore w:val="0"/>
        <w:widowControl w:val="0"/>
        <w:kinsoku/>
        <w:wordWrap/>
        <w:overflowPunct/>
        <w:topLinePunct w:val="0"/>
        <w:bidi w:val="0"/>
        <w:snapToGrid/>
        <w:spacing w:line="576" w:lineRule="exact"/>
        <w:ind w:firstLine="640"/>
        <w:textAlignment w:val="auto"/>
        <w:outlineLvl w:val="1"/>
        <w:rPr>
          <w:rStyle w:val="19"/>
          <w:rFonts w:hint="eastAsia" w:ascii="黑体" w:hAnsi="黑体" w:eastAsia="黑体"/>
          <w:b w:val="0"/>
          <w:color w:val="auto"/>
          <w:highlight w:val="none"/>
        </w:rPr>
      </w:pPr>
      <w:r>
        <w:rPr>
          <w:rStyle w:val="19"/>
          <w:rFonts w:hint="eastAsia" w:ascii="黑体" w:hAnsi="黑体" w:eastAsia="黑体"/>
          <w:b w:val="0"/>
          <w:color w:val="auto"/>
          <w:highlight w:val="none"/>
          <w:lang w:eastAsia="zh-CN"/>
        </w:rPr>
        <w:t>十、</w:t>
      </w:r>
      <w:r>
        <w:rPr>
          <w:rStyle w:val="19"/>
          <w:rFonts w:hint="eastAsia" w:ascii="黑体" w:hAnsi="黑体" w:eastAsia="黑体"/>
          <w:b w:val="0"/>
          <w:color w:val="auto"/>
          <w:highlight w:val="none"/>
        </w:rPr>
        <w:t>预算绩效管理情况</w:t>
      </w:r>
    </w:p>
    <w:p>
      <w:pPr>
        <w:spacing w:line="580" w:lineRule="exact"/>
        <w:ind w:firstLine="640" w:firstLineChars="200"/>
        <w:rPr>
          <w:rFonts w:hint="eastAsia" w:ascii="宋体" w:hAnsi="宋体"/>
          <w:bCs/>
          <w:color w:val="000000"/>
          <w:sz w:val="32"/>
          <w:szCs w:val="32"/>
        </w:rPr>
      </w:pPr>
      <w:r>
        <w:rPr>
          <w:rFonts w:hint="eastAsia" w:ascii="宋体" w:hAnsi="宋体"/>
          <w:bCs/>
          <w:color w:val="000000"/>
          <w:sz w:val="32"/>
          <w:szCs w:val="32"/>
        </w:rPr>
        <w:t>根据预算绩效管</w:t>
      </w:r>
      <w:r>
        <w:rPr>
          <w:rFonts w:hint="eastAsia" w:ascii="宋体" w:hAnsi="宋体"/>
          <w:bCs/>
          <w:color w:val="000000"/>
          <w:sz w:val="32"/>
          <w:szCs w:val="32"/>
          <w:lang w:val="en-US" w:eastAsia="zh-CN"/>
        </w:rPr>
        <w:t>理要求，本部门在2021年度预算编制阶段，组织对</w:t>
      </w:r>
      <w:r>
        <w:rPr>
          <w:rFonts w:hint="eastAsia" w:ascii="宋体" w:hAnsi="宋体"/>
          <w:bCs/>
          <w:color w:val="000000"/>
          <w:sz w:val="32"/>
          <w:szCs w:val="32"/>
        </w:rPr>
        <w:t>返还广荷物业有限公司应交税费及企业管理费等专项工作经费</w:t>
      </w:r>
      <w:r>
        <w:rPr>
          <w:rFonts w:hint="eastAsia" w:ascii="宋体" w:hAnsi="宋体"/>
          <w:bCs/>
          <w:color w:val="000000"/>
          <w:sz w:val="32"/>
          <w:szCs w:val="32"/>
          <w:lang w:eastAsia="zh-CN"/>
        </w:rPr>
        <w:t>、</w:t>
      </w:r>
      <w:r>
        <w:rPr>
          <w:rFonts w:hint="eastAsia" w:ascii="宋体" w:hAnsi="宋体"/>
          <w:bCs/>
          <w:color w:val="000000"/>
          <w:sz w:val="32"/>
          <w:szCs w:val="32"/>
        </w:rPr>
        <w:t>返还广荷物业有限公司经营费用</w:t>
      </w:r>
      <w:r>
        <w:rPr>
          <w:rFonts w:hint="eastAsia" w:ascii="宋体" w:hAnsi="宋体"/>
          <w:bCs/>
          <w:color w:val="000000"/>
          <w:sz w:val="32"/>
          <w:szCs w:val="32"/>
          <w:lang w:eastAsia="zh-CN"/>
        </w:rPr>
        <w:t>、</w:t>
      </w:r>
      <w:r>
        <w:rPr>
          <w:rFonts w:hint="eastAsia" w:ascii="宋体" w:hAnsi="宋体"/>
          <w:bCs/>
          <w:color w:val="000000"/>
          <w:sz w:val="32"/>
          <w:szCs w:val="32"/>
        </w:rPr>
        <w:t>广元市驻蓉流动党委专项工作经费</w:t>
      </w:r>
      <w:r>
        <w:rPr>
          <w:rFonts w:hint="eastAsia" w:ascii="宋体" w:hAnsi="宋体"/>
          <w:bCs/>
          <w:color w:val="000000"/>
          <w:sz w:val="32"/>
          <w:szCs w:val="32"/>
          <w:lang w:val="en-US" w:eastAsia="zh-CN"/>
        </w:rPr>
        <w:t>、</w:t>
      </w:r>
      <w:r>
        <w:rPr>
          <w:rFonts w:hint="eastAsia" w:ascii="宋体" w:hAnsi="宋体"/>
          <w:bCs/>
          <w:color w:val="000000"/>
          <w:sz w:val="32"/>
          <w:szCs w:val="32"/>
        </w:rPr>
        <w:t>广元市机关离退休干部驻蓉总支委员会专项工作经费</w:t>
      </w:r>
      <w:r>
        <w:rPr>
          <w:rFonts w:hint="eastAsia" w:ascii="宋体" w:hAnsi="宋体"/>
          <w:bCs/>
          <w:color w:val="000000"/>
          <w:sz w:val="32"/>
          <w:szCs w:val="32"/>
          <w:lang w:val="en-US" w:eastAsia="zh-CN"/>
        </w:rPr>
        <w:t>等4个项目</w:t>
      </w:r>
      <w:r>
        <w:rPr>
          <w:rFonts w:hint="eastAsia" w:ascii="宋体" w:hAnsi="宋体"/>
          <w:bCs/>
          <w:color w:val="000000"/>
          <w:sz w:val="32"/>
          <w:szCs w:val="32"/>
        </w:rPr>
        <w:t>开展了预算事前绩效评估，对</w:t>
      </w:r>
      <w:r>
        <w:rPr>
          <w:rFonts w:hint="eastAsia" w:ascii="宋体" w:hAnsi="宋体"/>
          <w:bCs/>
          <w:color w:val="000000"/>
          <w:sz w:val="32"/>
          <w:szCs w:val="32"/>
          <w:lang w:val="en-US" w:eastAsia="zh-CN"/>
        </w:rPr>
        <w:t>4</w:t>
      </w:r>
      <w:r>
        <w:rPr>
          <w:rFonts w:hint="eastAsia" w:ascii="宋体" w:hAnsi="宋体"/>
          <w:bCs/>
          <w:color w:val="000000"/>
          <w:sz w:val="32"/>
          <w:szCs w:val="32"/>
        </w:rPr>
        <w:t>个项目编制了绩效目标，预算执行过程中，选取</w:t>
      </w:r>
      <w:r>
        <w:rPr>
          <w:rFonts w:hint="eastAsia" w:ascii="宋体" w:hAnsi="宋体"/>
          <w:bCs/>
          <w:color w:val="000000"/>
          <w:sz w:val="32"/>
          <w:szCs w:val="32"/>
          <w:lang w:val="en-US" w:eastAsia="zh-CN"/>
        </w:rPr>
        <w:t>4</w:t>
      </w:r>
      <w:r>
        <w:rPr>
          <w:rFonts w:hint="eastAsia" w:ascii="宋体" w:hAnsi="宋体"/>
          <w:bCs/>
          <w:color w:val="000000"/>
          <w:sz w:val="32"/>
          <w:szCs w:val="32"/>
        </w:rPr>
        <w:t>个项目开展绩效监控，年终执行完毕后，对</w:t>
      </w:r>
      <w:r>
        <w:rPr>
          <w:rFonts w:hint="eastAsia" w:ascii="宋体" w:hAnsi="宋体"/>
          <w:bCs/>
          <w:color w:val="000000"/>
          <w:sz w:val="32"/>
          <w:szCs w:val="32"/>
          <w:lang w:val="en-US" w:eastAsia="zh-CN"/>
        </w:rPr>
        <w:t>4</w:t>
      </w:r>
      <w:r>
        <w:rPr>
          <w:rFonts w:hint="eastAsia" w:ascii="宋体" w:hAnsi="宋体"/>
          <w:bCs/>
          <w:color w:val="000000"/>
          <w:sz w:val="32"/>
          <w:szCs w:val="32"/>
        </w:rPr>
        <w:t>个项目开展了绩效自评</w:t>
      </w:r>
      <w:r>
        <w:rPr>
          <w:rFonts w:hint="eastAsia" w:ascii="宋体" w:hAnsi="宋体"/>
          <w:bCs/>
          <w:color w:val="000000"/>
          <w:sz w:val="32"/>
          <w:szCs w:val="32"/>
          <w:lang w:eastAsia="zh-CN"/>
        </w:rPr>
        <w:t>，</w:t>
      </w:r>
      <w:r>
        <w:rPr>
          <w:rFonts w:hint="eastAsia" w:ascii="宋体" w:hAnsi="宋体"/>
          <w:bCs/>
          <w:color w:val="000000"/>
          <w:sz w:val="32"/>
          <w:szCs w:val="32"/>
          <w:lang w:val="en-US" w:eastAsia="zh-CN"/>
        </w:rPr>
        <w:t>2021年部门预算项目绩效目标自评表见附件（第四部分）</w:t>
      </w:r>
      <w:r>
        <w:rPr>
          <w:rFonts w:hint="eastAsia" w:ascii="宋体" w:hAnsi="宋体"/>
          <w:bCs/>
          <w:color w:val="000000"/>
          <w:sz w:val="32"/>
          <w:szCs w:val="32"/>
        </w:rPr>
        <w:t>。</w:t>
      </w:r>
    </w:p>
    <w:p>
      <w:pPr>
        <w:spacing w:line="600" w:lineRule="exact"/>
        <w:ind w:firstLine="800" w:firstLineChars="250"/>
        <w:outlineLvl w:val="1"/>
        <w:rPr>
          <w:rStyle w:val="15"/>
          <w:rFonts w:ascii="黑体" w:hAnsi="黑体" w:eastAsia="黑体"/>
          <w:b w:val="0"/>
        </w:rPr>
      </w:pPr>
      <w:bookmarkStart w:id="45" w:name="_Toc15396612"/>
      <w:bookmarkStart w:id="46" w:name="_Toc15377221"/>
      <w:r>
        <w:rPr>
          <w:rFonts w:hint="eastAsia" w:ascii="黑体" w:hAnsi="黑体" w:eastAsia="黑体"/>
          <w:bCs/>
          <w:color w:val="000000"/>
          <w:sz w:val="32"/>
          <w:szCs w:val="32"/>
        </w:rPr>
        <w:t>十</w:t>
      </w:r>
      <w:r>
        <w:rPr>
          <w:rFonts w:hint="eastAsia" w:ascii="黑体" w:hAnsi="黑体" w:eastAsia="黑体"/>
          <w:bCs/>
          <w:color w:val="000000"/>
          <w:sz w:val="32"/>
          <w:szCs w:val="32"/>
          <w:lang w:val="en-US" w:eastAsia="zh-CN"/>
        </w:rPr>
        <w:t>一</w:t>
      </w:r>
      <w:r>
        <w:rPr>
          <w:rStyle w:val="15"/>
          <w:rFonts w:hint="eastAsia" w:ascii="黑体" w:hAnsi="黑体" w:eastAsia="黑体"/>
          <w:b w:val="0"/>
        </w:rPr>
        <w:t>、其他重要事项的情况说明</w:t>
      </w:r>
      <w:bookmarkEnd w:id="45"/>
      <w:bookmarkEnd w:id="46"/>
    </w:p>
    <w:p>
      <w:pPr>
        <w:spacing w:line="600" w:lineRule="exact"/>
        <w:ind w:firstLine="640" w:firstLineChars="200"/>
        <w:outlineLvl w:val="2"/>
        <w:rPr>
          <w:rFonts w:ascii="宋体" w:hAnsi="宋体"/>
          <w:bCs/>
          <w:color w:val="000000"/>
          <w:sz w:val="32"/>
          <w:szCs w:val="32"/>
        </w:rPr>
      </w:pPr>
      <w:bookmarkStart w:id="47" w:name="_Toc15377222"/>
      <w:r>
        <w:rPr>
          <w:rFonts w:hint="eastAsia" w:ascii="宋体" w:hAnsi="宋体"/>
          <w:bCs/>
          <w:color w:val="000000"/>
          <w:sz w:val="32"/>
          <w:szCs w:val="32"/>
        </w:rPr>
        <w:t>（一）机关运行经费支出情况</w:t>
      </w:r>
      <w:bookmarkEnd w:id="47"/>
    </w:p>
    <w:p>
      <w:pPr>
        <w:spacing w:line="560" w:lineRule="exact"/>
        <w:ind w:firstLine="640" w:firstLineChars="200"/>
        <w:rPr>
          <w:rFonts w:hint="eastAsia" w:ascii="宋体" w:hAnsi="宋体"/>
          <w:bCs/>
          <w:color w:val="000000"/>
          <w:sz w:val="32"/>
          <w:szCs w:val="32"/>
        </w:rPr>
      </w:pPr>
      <w:r>
        <w:rPr>
          <w:rFonts w:ascii="宋体" w:hAnsi="宋体"/>
          <w:bCs/>
          <w:color w:val="000000"/>
          <w:sz w:val="32"/>
          <w:szCs w:val="32"/>
        </w:rPr>
        <w:t>202</w:t>
      </w:r>
      <w:r>
        <w:rPr>
          <w:rFonts w:hint="eastAsia" w:ascii="宋体" w:hAnsi="宋体"/>
          <w:bCs/>
          <w:color w:val="000000"/>
          <w:sz w:val="32"/>
          <w:szCs w:val="32"/>
          <w:lang w:val="en-US" w:eastAsia="zh-CN"/>
        </w:rPr>
        <w:t>1</w:t>
      </w:r>
      <w:r>
        <w:rPr>
          <w:rFonts w:hint="eastAsia" w:ascii="宋体" w:hAnsi="宋体"/>
          <w:bCs/>
          <w:color w:val="000000"/>
          <w:sz w:val="32"/>
          <w:szCs w:val="32"/>
        </w:rPr>
        <w:t>年，广元市人民政府驻成都办事处机关运行经费支出</w:t>
      </w:r>
      <w:r>
        <w:rPr>
          <w:rFonts w:hint="eastAsia" w:ascii="宋体" w:hAnsi="宋体"/>
          <w:bCs/>
          <w:color w:val="000000"/>
          <w:sz w:val="32"/>
          <w:szCs w:val="32"/>
          <w:lang w:val="en-US" w:eastAsia="zh-CN"/>
        </w:rPr>
        <w:t>56.88</w:t>
      </w:r>
      <w:r>
        <w:rPr>
          <w:rFonts w:hint="eastAsia" w:ascii="宋体" w:hAnsi="宋体"/>
          <w:bCs/>
          <w:color w:val="000000"/>
          <w:sz w:val="32"/>
          <w:szCs w:val="32"/>
        </w:rPr>
        <w:t>万元，比</w:t>
      </w:r>
      <w:r>
        <w:rPr>
          <w:rFonts w:hint="eastAsia" w:ascii="宋体" w:hAnsi="宋体"/>
          <w:bCs/>
          <w:color w:val="000000"/>
          <w:sz w:val="32"/>
          <w:szCs w:val="32"/>
          <w:lang w:val="en-US" w:eastAsia="zh-CN"/>
        </w:rPr>
        <w:t>2020</w:t>
      </w:r>
      <w:r>
        <w:rPr>
          <w:rFonts w:hint="eastAsia" w:ascii="宋体" w:hAnsi="宋体"/>
          <w:bCs/>
          <w:color w:val="000000"/>
          <w:sz w:val="32"/>
          <w:szCs w:val="32"/>
        </w:rPr>
        <w:t>年</w:t>
      </w:r>
      <w:r>
        <w:rPr>
          <w:rFonts w:hint="eastAsia" w:ascii="宋体" w:hAnsi="宋体"/>
          <w:bCs/>
          <w:color w:val="000000"/>
          <w:sz w:val="32"/>
          <w:szCs w:val="32"/>
          <w:lang w:val="en-US" w:eastAsia="zh-CN"/>
        </w:rPr>
        <w:t>增加14.72</w:t>
      </w:r>
      <w:r>
        <w:rPr>
          <w:rFonts w:hint="eastAsia" w:ascii="宋体" w:hAnsi="宋体"/>
          <w:bCs/>
          <w:color w:val="000000"/>
          <w:sz w:val="32"/>
          <w:szCs w:val="32"/>
        </w:rPr>
        <w:t>万元，</w:t>
      </w:r>
      <w:r>
        <w:rPr>
          <w:rFonts w:hint="eastAsia" w:ascii="宋体" w:hAnsi="宋体"/>
          <w:bCs/>
          <w:color w:val="000000"/>
          <w:sz w:val="32"/>
          <w:szCs w:val="32"/>
          <w:lang w:val="en-US" w:eastAsia="zh-CN"/>
        </w:rPr>
        <w:t>增加34.91</w:t>
      </w:r>
      <w:r>
        <w:rPr>
          <w:rFonts w:ascii="宋体" w:hAnsi="宋体"/>
          <w:bCs/>
          <w:color w:val="000000"/>
          <w:sz w:val="32"/>
          <w:szCs w:val="32"/>
        </w:rPr>
        <w:t>%</w:t>
      </w:r>
      <w:r>
        <w:rPr>
          <w:rFonts w:hint="eastAsia" w:ascii="宋体" w:hAnsi="宋体"/>
          <w:bCs/>
          <w:color w:val="000000"/>
          <w:sz w:val="32"/>
          <w:szCs w:val="32"/>
        </w:rPr>
        <w:t>。主要原因</w:t>
      </w:r>
      <w:r>
        <w:rPr>
          <w:rFonts w:hint="eastAsia" w:ascii="宋体" w:hAnsi="宋体"/>
          <w:bCs/>
          <w:color w:val="000000"/>
          <w:sz w:val="32"/>
          <w:szCs w:val="32"/>
          <w:lang w:val="en-US" w:eastAsia="zh-CN"/>
        </w:rPr>
        <w:t>人员增加，机关运行经费相应增加</w:t>
      </w:r>
      <w:r>
        <w:rPr>
          <w:rFonts w:hint="eastAsia" w:ascii="宋体" w:hAnsi="宋体"/>
          <w:bCs/>
          <w:color w:val="000000"/>
          <w:sz w:val="32"/>
          <w:szCs w:val="32"/>
        </w:rPr>
        <w:t>。</w:t>
      </w:r>
    </w:p>
    <w:p>
      <w:pPr>
        <w:autoSpaceDE w:val="0"/>
        <w:autoSpaceDN w:val="0"/>
        <w:adjustRightInd w:val="0"/>
        <w:spacing w:line="600" w:lineRule="exact"/>
        <w:ind w:firstLine="640" w:firstLineChars="200"/>
        <w:jc w:val="left"/>
        <w:outlineLvl w:val="2"/>
        <w:rPr>
          <w:rFonts w:ascii="宋体" w:hAnsi="宋体"/>
          <w:bCs/>
          <w:color w:val="000000"/>
          <w:sz w:val="32"/>
          <w:szCs w:val="32"/>
        </w:rPr>
      </w:pPr>
      <w:bookmarkStart w:id="48" w:name="_Toc15377223"/>
      <w:r>
        <w:rPr>
          <w:rFonts w:hint="eastAsia" w:ascii="宋体" w:hAnsi="宋体"/>
          <w:bCs/>
          <w:color w:val="000000"/>
          <w:sz w:val="32"/>
          <w:szCs w:val="32"/>
        </w:rPr>
        <w:t>（二）政府采购支出情况</w:t>
      </w:r>
      <w:bookmarkEnd w:id="48"/>
    </w:p>
    <w:p>
      <w:pPr>
        <w:spacing w:line="600" w:lineRule="exact"/>
        <w:ind w:firstLine="640" w:firstLineChars="200"/>
        <w:rPr>
          <w:rFonts w:ascii="宋体" w:hAnsi="宋体"/>
          <w:bCs/>
          <w:color w:val="000000"/>
          <w:sz w:val="32"/>
          <w:szCs w:val="32"/>
        </w:rPr>
      </w:pPr>
      <w:r>
        <w:rPr>
          <w:rFonts w:ascii="宋体" w:hAnsi="宋体"/>
          <w:bCs/>
          <w:color w:val="000000"/>
          <w:sz w:val="32"/>
          <w:szCs w:val="32"/>
        </w:rPr>
        <w:t>202</w:t>
      </w:r>
      <w:r>
        <w:rPr>
          <w:rFonts w:hint="eastAsia" w:ascii="宋体" w:hAnsi="宋体"/>
          <w:bCs/>
          <w:color w:val="000000"/>
          <w:sz w:val="32"/>
          <w:szCs w:val="32"/>
          <w:lang w:val="en-US" w:eastAsia="zh-CN"/>
        </w:rPr>
        <w:t>1</w:t>
      </w:r>
      <w:r>
        <w:rPr>
          <w:rFonts w:hint="eastAsia" w:ascii="宋体" w:hAnsi="宋体"/>
          <w:bCs/>
          <w:color w:val="000000"/>
          <w:sz w:val="32"/>
          <w:szCs w:val="32"/>
        </w:rPr>
        <w:t>年广元市人民政府驻成都办事处政府采购支出0万元。</w:t>
      </w:r>
    </w:p>
    <w:p>
      <w:pPr>
        <w:autoSpaceDE w:val="0"/>
        <w:autoSpaceDN w:val="0"/>
        <w:adjustRightInd w:val="0"/>
        <w:spacing w:line="600" w:lineRule="exact"/>
        <w:ind w:firstLine="640" w:firstLineChars="200"/>
        <w:jc w:val="left"/>
        <w:outlineLvl w:val="2"/>
        <w:rPr>
          <w:rFonts w:ascii="宋体" w:hAnsi="宋体"/>
          <w:bCs/>
          <w:color w:val="000000"/>
          <w:sz w:val="32"/>
          <w:szCs w:val="32"/>
        </w:rPr>
      </w:pPr>
      <w:bookmarkStart w:id="49" w:name="_Toc15377224"/>
      <w:r>
        <w:rPr>
          <w:rFonts w:hint="eastAsia" w:ascii="宋体" w:hAnsi="宋体"/>
          <w:bCs/>
          <w:color w:val="000000"/>
          <w:sz w:val="32"/>
          <w:szCs w:val="32"/>
        </w:rPr>
        <w:t>（三）国有资产占有使用情况</w:t>
      </w:r>
      <w:bookmarkEnd w:id="49"/>
    </w:p>
    <w:p>
      <w:pPr>
        <w:autoSpaceDE w:val="0"/>
        <w:autoSpaceDN w:val="0"/>
        <w:adjustRightInd w:val="0"/>
        <w:spacing w:line="600" w:lineRule="exact"/>
        <w:ind w:firstLine="640" w:firstLineChars="200"/>
        <w:jc w:val="left"/>
        <w:rPr>
          <w:rFonts w:hint="eastAsia" w:ascii="宋体" w:hAnsi="宋体"/>
          <w:bCs/>
          <w:color w:val="000000"/>
          <w:sz w:val="32"/>
          <w:szCs w:val="32"/>
        </w:rPr>
      </w:pPr>
      <w:r>
        <w:rPr>
          <w:rFonts w:hint="eastAsia" w:ascii="宋体" w:hAnsi="宋体"/>
          <w:bCs/>
          <w:color w:val="000000"/>
          <w:sz w:val="32"/>
          <w:szCs w:val="32"/>
        </w:rPr>
        <w:t>截至202</w:t>
      </w:r>
      <w:r>
        <w:rPr>
          <w:rFonts w:hint="eastAsia" w:ascii="宋体" w:hAnsi="宋体"/>
          <w:bCs/>
          <w:color w:val="000000"/>
          <w:sz w:val="32"/>
          <w:szCs w:val="32"/>
          <w:lang w:val="en-US" w:eastAsia="zh-CN"/>
        </w:rPr>
        <w:t>1</w:t>
      </w:r>
      <w:r>
        <w:rPr>
          <w:rFonts w:hint="eastAsia" w:ascii="宋体" w:hAnsi="宋体"/>
          <w:bCs/>
          <w:color w:val="000000"/>
          <w:sz w:val="32"/>
          <w:szCs w:val="32"/>
        </w:rPr>
        <w:t>年12月31日，广元市人民政府驻成都办事处共有车辆2辆，其中：主要领导干部用车</w:t>
      </w:r>
      <w:r>
        <w:rPr>
          <w:rFonts w:hint="eastAsia" w:ascii="宋体" w:hAnsi="宋体"/>
          <w:bCs/>
          <w:color w:val="000000"/>
          <w:sz w:val="32"/>
          <w:szCs w:val="32"/>
          <w:lang w:val="en-US" w:eastAsia="zh-CN"/>
        </w:rPr>
        <w:t>0</w:t>
      </w:r>
      <w:r>
        <w:rPr>
          <w:rFonts w:hint="eastAsia" w:ascii="宋体" w:hAnsi="宋体"/>
          <w:bCs/>
          <w:color w:val="000000"/>
          <w:sz w:val="32"/>
          <w:szCs w:val="32"/>
        </w:rPr>
        <w:t>辆、机要通信用车</w:t>
      </w:r>
      <w:r>
        <w:rPr>
          <w:rFonts w:hint="eastAsia" w:ascii="宋体" w:hAnsi="宋体"/>
          <w:bCs/>
          <w:color w:val="000000"/>
          <w:sz w:val="32"/>
          <w:szCs w:val="32"/>
          <w:lang w:val="en-US" w:eastAsia="zh-CN"/>
        </w:rPr>
        <w:t>0</w:t>
      </w:r>
      <w:r>
        <w:rPr>
          <w:rFonts w:hint="eastAsia" w:ascii="宋体" w:hAnsi="宋体"/>
          <w:bCs/>
          <w:color w:val="000000"/>
          <w:sz w:val="32"/>
          <w:szCs w:val="32"/>
        </w:rPr>
        <w:t>辆、应急保障用车</w:t>
      </w:r>
      <w:r>
        <w:rPr>
          <w:rFonts w:hint="eastAsia" w:ascii="宋体" w:hAnsi="宋体"/>
          <w:bCs/>
          <w:color w:val="000000"/>
          <w:sz w:val="32"/>
          <w:szCs w:val="32"/>
          <w:lang w:val="en-US" w:eastAsia="zh-CN"/>
        </w:rPr>
        <w:t>0</w:t>
      </w:r>
      <w:r>
        <w:rPr>
          <w:rFonts w:hint="eastAsia" w:ascii="宋体" w:hAnsi="宋体"/>
          <w:bCs/>
          <w:color w:val="000000"/>
          <w:sz w:val="32"/>
          <w:szCs w:val="32"/>
        </w:rPr>
        <w:t>辆、其他用车</w:t>
      </w:r>
      <w:r>
        <w:rPr>
          <w:rFonts w:hint="eastAsia" w:ascii="宋体" w:hAnsi="宋体"/>
          <w:bCs/>
          <w:color w:val="000000"/>
          <w:sz w:val="32"/>
          <w:szCs w:val="32"/>
          <w:lang w:val="en-US" w:eastAsia="zh-CN"/>
        </w:rPr>
        <w:t>2</w:t>
      </w:r>
      <w:r>
        <w:rPr>
          <w:rFonts w:hint="eastAsia" w:ascii="宋体" w:hAnsi="宋体"/>
          <w:bCs/>
          <w:color w:val="000000"/>
          <w:sz w:val="32"/>
          <w:szCs w:val="32"/>
        </w:rPr>
        <w:t>辆</w:t>
      </w:r>
      <w:r>
        <w:rPr>
          <w:rFonts w:hint="eastAsia" w:ascii="宋体" w:hAnsi="宋体"/>
          <w:bCs/>
          <w:color w:val="000000"/>
          <w:sz w:val="32"/>
          <w:szCs w:val="32"/>
          <w:lang w:eastAsia="zh-CN"/>
        </w:rPr>
        <w:t>，</w:t>
      </w:r>
      <w:r>
        <w:rPr>
          <w:rFonts w:hint="eastAsia" w:ascii="宋体" w:hAnsi="宋体"/>
          <w:bCs/>
          <w:color w:val="000000"/>
          <w:sz w:val="32"/>
          <w:szCs w:val="32"/>
        </w:rPr>
        <w:t>其他用车主要是用于保障</w:t>
      </w:r>
      <w:r>
        <w:rPr>
          <w:rFonts w:hint="eastAsia" w:ascii="宋体" w:hAnsi="宋体"/>
          <w:bCs/>
          <w:color w:val="000000"/>
          <w:sz w:val="32"/>
          <w:szCs w:val="32"/>
          <w:lang w:val="en-US" w:eastAsia="zh-CN"/>
        </w:rPr>
        <w:t>广元市级各部门</w:t>
      </w:r>
      <w:r>
        <w:rPr>
          <w:rFonts w:hint="eastAsia" w:ascii="宋体" w:hAnsi="宋体"/>
          <w:bCs/>
          <w:color w:val="000000"/>
          <w:sz w:val="32"/>
          <w:szCs w:val="32"/>
        </w:rPr>
        <w:t>在蓉公务出行。单价50万元以上通用设备</w:t>
      </w:r>
      <w:r>
        <w:rPr>
          <w:rFonts w:hint="eastAsia" w:ascii="宋体" w:hAnsi="宋体"/>
          <w:bCs/>
          <w:color w:val="000000"/>
          <w:sz w:val="32"/>
          <w:szCs w:val="32"/>
          <w:lang w:val="en-US" w:eastAsia="zh-CN"/>
        </w:rPr>
        <w:t>0</w:t>
      </w:r>
      <w:r>
        <w:rPr>
          <w:rFonts w:hint="eastAsia" w:ascii="宋体" w:hAnsi="宋体"/>
          <w:bCs/>
          <w:color w:val="000000"/>
          <w:sz w:val="32"/>
          <w:szCs w:val="32"/>
        </w:rPr>
        <w:t>台（套），单价100万元以上专用设备</w:t>
      </w:r>
      <w:r>
        <w:rPr>
          <w:rFonts w:hint="eastAsia" w:ascii="宋体" w:hAnsi="宋体"/>
          <w:bCs/>
          <w:color w:val="000000"/>
          <w:sz w:val="32"/>
          <w:szCs w:val="32"/>
          <w:lang w:val="en-US" w:eastAsia="zh-CN"/>
        </w:rPr>
        <w:t>0</w:t>
      </w:r>
      <w:r>
        <w:rPr>
          <w:rFonts w:hint="eastAsia" w:ascii="宋体" w:hAnsi="宋体"/>
          <w:bCs/>
          <w:color w:val="000000"/>
          <w:sz w:val="32"/>
          <w:szCs w:val="32"/>
        </w:rPr>
        <w:t>台（套）。</w:t>
      </w:r>
    </w:p>
    <w:p>
      <w:pPr>
        <w:pStyle w:val="7"/>
        <w:rPr>
          <w:rFonts w:hint="eastAsia" w:ascii="宋体" w:hAnsi="宋体"/>
          <w:bCs/>
          <w:color w:val="000000"/>
          <w:sz w:val="32"/>
          <w:szCs w:val="32"/>
        </w:rPr>
      </w:pPr>
    </w:p>
    <w:p>
      <w:pPr>
        <w:pStyle w:val="7"/>
        <w:rPr>
          <w:rFonts w:hint="eastAsia" w:ascii="宋体" w:hAnsi="宋体"/>
          <w:bCs/>
          <w:color w:val="000000"/>
          <w:sz w:val="32"/>
          <w:szCs w:val="32"/>
        </w:rPr>
      </w:pPr>
    </w:p>
    <w:p>
      <w:pPr>
        <w:pStyle w:val="7"/>
        <w:rPr>
          <w:rFonts w:hint="eastAsia" w:ascii="宋体" w:hAnsi="宋体"/>
          <w:bCs/>
          <w:color w:val="000000"/>
          <w:sz w:val="32"/>
          <w:szCs w:val="32"/>
        </w:rPr>
      </w:pPr>
    </w:p>
    <w:p>
      <w:pPr>
        <w:pStyle w:val="7"/>
        <w:rPr>
          <w:rFonts w:hint="eastAsia" w:ascii="宋体" w:hAnsi="宋体"/>
          <w:bCs/>
          <w:color w:val="000000"/>
          <w:sz w:val="32"/>
          <w:szCs w:val="32"/>
        </w:rPr>
      </w:pPr>
    </w:p>
    <w:p>
      <w:pPr>
        <w:pStyle w:val="7"/>
        <w:rPr>
          <w:rFonts w:hint="eastAsia" w:ascii="宋体" w:hAnsi="宋体"/>
          <w:bCs/>
          <w:color w:val="000000"/>
          <w:sz w:val="32"/>
          <w:szCs w:val="32"/>
        </w:rPr>
      </w:pPr>
    </w:p>
    <w:p>
      <w:pPr>
        <w:pStyle w:val="7"/>
        <w:rPr>
          <w:rFonts w:hint="eastAsia" w:ascii="宋体" w:hAnsi="宋体"/>
          <w:bCs/>
          <w:color w:val="000000"/>
          <w:sz w:val="32"/>
          <w:szCs w:val="32"/>
        </w:rPr>
      </w:pPr>
    </w:p>
    <w:p>
      <w:pPr>
        <w:pStyle w:val="7"/>
        <w:rPr>
          <w:rFonts w:hint="eastAsia" w:ascii="宋体" w:hAnsi="宋体"/>
          <w:bCs/>
          <w:color w:val="000000"/>
          <w:sz w:val="32"/>
          <w:szCs w:val="32"/>
        </w:rPr>
      </w:pPr>
    </w:p>
    <w:p>
      <w:pPr>
        <w:numPr>
          <w:ilvl w:val="0"/>
          <w:numId w:val="5"/>
        </w:numPr>
        <w:spacing w:line="600" w:lineRule="exact"/>
        <w:ind w:firstLine="662" w:firstLineChars="150"/>
        <w:jc w:val="center"/>
        <w:outlineLvl w:val="0"/>
        <w:rPr>
          <w:rStyle w:val="14"/>
          <w:rFonts w:ascii="黑体" w:hAnsi="黑体" w:eastAsia="黑体"/>
          <w:b/>
          <w:bCs/>
        </w:rPr>
      </w:pPr>
      <w:bookmarkStart w:id="50" w:name="_Toc15396613"/>
      <w:bookmarkStart w:id="51" w:name="_Toc15377225"/>
      <w:r>
        <w:rPr>
          <w:rFonts w:hint="eastAsia" w:ascii="黑体" w:hAnsi="黑体" w:eastAsia="黑体"/>
          <w:b/>
          <w:bCs/>
          <w:color w:val="000000"/>
          <w:sz w:val="44"/>
          <w:szCs w:val="44"/>
        </w:rPr>
        <w:t>名</w:t>
      </w:r>
      <w:r>
        <w:rPr>
          <w:rStyle w:val="14"/>
          <w:rFonts w:hint="eastAsia" w:ascii="黑体" w:hAnsi="黑体" w:eastAsia="黑体"/>
          <w:b/>
          <w:bCs/>
        </w:rPr>
        <w:t>词解释</w:t>
      </w:r>
      <w:bookmarkEnd w:id="50"/>
      <w:bookmarkEnd w:id="51"/>
    </w:p>
    <w:p>
      <w:pPr>
        <w:spacing w:line="600" w:lineRule="exact"/>
        <w:jc w:val="left"/>
        <w:rPr>
          <w:rFonts w:ascii="宋体"/>
          <w:b/>
          <w:color w:val="000000"/>
          <w:sz w:val="44"/>
          <w:szCs w:val="44"/>
        </w:rPr>
      </w:pPr>
    </w:p>
    <w:p>
      <w:pPr>
        <w:pStyle w:val="17"/>
        <w:spacing w:line="560" w:lineRule="exact"/>
        <w:ind w:firstLine="640" w:firstLineChars="200"/>
        <w:rPr>
          <w:rFonts w:ascii="宋体" w:hAnsi="宋体" w:eastAsia="宋体"/>
          <w:sz w:val="32"/>
          <w:szCs w:val="32"/>
        </w:rPr>
      </w:pPr>
      <w:r>
        <w:rPr>
          <w:rFonts w:ascii="宋体" w:hAnsi="宋体" w:eastAsia="宋体"/>
          <w:sz w:val="32"/>
          <w:szCs w:val="32"/>
        </w:rPr>
        <w:t>1</w:t>
      </w:r>
      <w:r>
        <w:rPr>
          <w:rFonts w:hint="eastAsia" w:ascii="宋体" w:hAnsi="宋体" w:eastAsia="宋体"/>
          <w:sz w:val="32"/>
          <w:szCs w:val="32"/>
          <w:lang w:eastAsia="zh-CN"/>
        </w:rPr>
        <w:t>.</w:t>
      </w:r>
      <w:r>
        <w:rPr>
          <w:rFonts w:hint="eastAsia" w:ascii="宋体" w:hAnsi="宋体" w:eastAsia="宋体"/>
          <w:sz w:val="32"/>
          <w:szCs w:val="32"/>
        </w:rPr>
        <w:t>财政拨款收入：指单位从同级财政部门取得的财政预算资金。</w:t>
      </w:r>
    </w:p>
    <w:p>
      <w:pPr>
        <w:pStyle w:val="17"/>
        <w:spacing w:line="560" w:lineRule="exact"/>
        <w:ind w:firstLine="640" w:firstLineChars="200"/>
        <w:rPr>
          <w:rFonts w:ascii="宋体" w:hAnsi="宋体" w:eastAsia="宋体"/>
          <w:color w:val="00B0F0"/>
          <w:sz w:val="32"/>
          <w:szCs w:val="32"/>
        </w:rPr>
      </w:pPr>
      <w:r>
        <w:rPr>
          <w:rFonts w:ascii="宋体" w:hAnsi="宋体" w:eastAsia="宋体"/>
          <w:sz w:val="32"/>
          <w:szCs w:val="32"/>
        </w:rPr>
        <w:t>2</w:t>
      </w:r>
      <w:r>
        <w:rPr>
          <w:rFonts w:hint="eastAsia" w:ascii="宋体" w:hAnsi="宋体" w:eastAsia="宋体"/>
          <w:sz w:val="32"/>
          <w:szCs w:val="32"/>
          <w:lang w:eastAsia="zh-CN"/>
        </w:rPr>
        <w:t>.</w:t>
      </w:r>
      <w:r>
        <w:rPr>
          <w:rFonts w:hint="eastAsia" w:ascii="宋体" w:hAnsi="宋体" w:eastAsia="宋体"/>
          <w:sz w:val="32"/>
          <w:szCs w:val="32"/>
        </w:rPr>
        <w:t>其他收入：指单位取得的除上述收入以外的各项收入。主要是利息收入等。</w:t>
      </w:r>
      <w:r>
        <w:rPr>
          <w:rFonts w:ascii="宋体" w:hAnsi="宋体" w:eastAsia="宋体"/>
          <w:sz w:val="32"/>
          <w:szCs w:val="32"/>
        </w:rPr>
        <w:t xml:space="preserve"> </w:t>
      </w:r>
    </w:p>
    <w:p>
      <w:pPr>
        <w:pStyle w:val="17"/>
        <w:spacing w:line="560" w:lineRule="exact"/>
        <w:ind w:firstLine="640" w:firstLineChars="200"/>
        <w:rPr>
          <w:rFonts w:hint="eastAsia" w:ascii="宋体" w:hAnsi="宋体" w:eastAsia="宋体"/>
          <w:sz w:val="32"/>
          <w:szCs w:val="32"/>
        </w:rPr>
      </w:pPr>
      <w:r>
        <w:rPr>
          <w:rFonts w:hint="eastAsia" w:ascii="宋体" w:hAnsi="宋体" w:eastAsia="宋体"/>
          <w:sz w:val="32"/>
          <w:szCs w:val="32"/>
          <w:lang w:val="en-US" w:eastAsia="zh-CN"/>
        </w:rPr>
        <w:t>3</w:t>
      </w:r>
      <w:r>
        <w:rPr>
          <w:rFonts w:hint="eastAsia" w:ascii="宋体" w:hAnsi="宋体" w:eastAsia="宋体"/>
          <w:sz w:val="32"/>
          <w:szCs w:val="32"/>
          <w:lang w:eastAsia="zh-CN"/>
        </w:rPr>
        <w:t>.</w:t>
      </w:r>
      <w:r>
        <w:rPr>
          <w:rFonts w:hint="eastAsia" w:ascii="宋体" w:hAnsi="宋体" w:eastAsia="宋体"/>
          <w:sz w:val="32"/>
          <w:szCs w:val="32"/>
        </w:rPr>
        <w:t>一般公共服务支出（类）政府办公厅（室）及相关机构事务（款）事业运行（项）：反映行政单位（包括实行公务员管理的事业单位）的基本支出。</w:t>
      </w:r>
    </w:p>
    <w:p>
      <w:pPr>
        <w:pStyle w:val="17"/>
        <w:spacing w:line="560" w:lineRule="exact"/>
        <w:ind w:firstLine="640" w:firstLineChars="200"/>
        <w:rPr>
          <w:rFonts w:hint="eastAsia" w:ascii="宋体" w:hAnsi="宋体" w:eastAsia="宋体"/>
          <w:sz w:val="32"/>
          <w:szCs w:val="32"/>
        </w:rPr>
      </w:pPr>
      <w:r>
        <w:rPr>
          <w:rFonts w:hint="eastAsia" w:ascii="宋体" w:hAnsi="宋体" w:eastAsia="宋体"/>
          <w:sz w:val="32"/>
          <w:szCs w:val="32"/>
          <w:lang w:val="en-US" w:eastAsia="zh-CN"/>
        </w:rPr>
        <w:t>4</w:t>
      </w:r>
      <w:r>
        <w:rPr>
          <w:rFonts w:hint="eastAsia" w:ascii="宋体" w:hAnsi="宋体" w:eastAsia="宋体"/>
          <w:sz w:val="32"/>
          <w:szCs w:val="32"/>
          <w:lang w:eastAsia="zh-CN"/>
        </w:rPr>
        <w:t>.</w:t>
      </w:r>
      <w:r>
        <w:rPr>
          <w:rFonts w:hint="eastAsia" w:ascii="宋体" w:hAnsi="宋体" w:eastAsia="宋体"/>
          <w:sz w:val="32"/>
          <w:szCs w:val="32"/>
        </w:rPr>
        <w:t xml:space="preserve">一般公共服务支出（类）政府办公厅（室）及相关机构事务（款）其他政府办公厅（室）及相关机构事务支出（项）：反映行政单位（包括实行公务员管理的事业单位）未单独设置项级科目的其他项目支出。 </w:t>
      </w:r>
    </w:p>
    <w:p>
      <w:pPr>
        <w:pStyle w:val="17"/>
        <w:spacing w:line="560" w:lineRule="exact"/>
        <w:ind w:firstLine="640" w:firstLineChars="200"/>
        <w:rPr>
          <w:rFonts w:hint="eastAsia" w:ascii="宋体" w:hAnsi="宋体" w:eastAsia="宋体"/>
          <w:sz w:val="32"/>
          <w:szCs w:val="32"/>
        </w:rPr>
      </w:pPr>
      <w:r>
        <w:rPr>
          <w:rFonts w:hint="eastAsia" w:ascii="宋体" w:hAnsi="宋体" w:eastAsia="宋体"/>
          <w:sz w:val="32"/>
          <w:szCs w:val="32"/>
          <w:lang w:val="en-US" w:eastAsia="zh-CN"/>
        </w:rPr>
        <w:t>5</w:t>
      </w:r>
      <w:r>
        <w:rPr>
          <w:rFonts w:hint="eastAsia" w:ascii="宋体" w:hAnsi="宋体" w:eastAsia="宋体"/>
          <w:sz w:val="32"/>
          <w:szCs w:val="32"/>
          <w:lang w:eastAsia="zh-CN"/>
        </w:rPr>
        <w:t>.</w:t>
      </w:r>
      <w:r>
        <w:rPr>
          <w:rFonts w:hint="eastAsia" w:ascii="宋体" w:hAnsi="宋体" w:eastAsia="宋体"/>
          <w:sz w:val="32"/>
          <w:szCs w:val="32"/>
        </w:rPr>
        <w:t xml:space="preserve">社会保障和就业支出（类）行政事业单位养老支出（款）机关事业单位基本养老保险缴费支出（项）：反映机关事业单位实施养老保险制度由单位缴纳的基本养老保险费支出。 </w:t>
      </w:r>
    </w:p>
    <w:p>
      <w:pPr>
        <w:pStyle w:val="17"/>
        <w:spacing w:line="560" w:lineRule="exact"/>
        <w:ind w:firstLine="640" w:firstLineChars="200"/>
        <w:rPr>
          <w:rFonts w:hint="eastAsia" w:ascii="宋体" w:hAnsi="宋体" w:eastAsia="宋体"/>
          <w:sz w:val="32"/>
          <w:szCs w:val="32"/>
        </w:rPr>
      </w:pPr>
      <w:r>
        <w:rPr>
          <w:rFonts w:hint="eastAsia" w:ascii="宋体" w:hAnsi="宋体" w:eastAsia="宋体"/>
          <w:sz w:val="32"/>
          <w:szCs w:val="32"/>
          <w:lang w:val="en-US" w:eastAsia="zh-CN"/>
        </w:rPr>
        <w:t>6</w:t>
      </w:r>
      <w:r>
        <w:rPr>
          <w:rFonts w:hint="eastAsia" w:ascii="宋体" w:hAnsi="宋体" w:eastAsia="宋体"/>
          <w:sz w:val="32"/>
          <w:szCs w:val="32"/>
          <w:lang w:eastAsia="zh-CN"/>
        </w:rPr>
        <w:t>.</w:t>
      </w:r>
      <w:r>
        <w:rPr>
          <w:rFonts w:hint="eastAsia" w:ascii="宋体" w:hAnsi="宋体" w:eastAsia="宋体"/>
          <w:sz w:val="32"/>
          <w:szCs w:val="32"/>
        </w:rPr>
        <w:t>卫生健康支出（类）行政事业单位医疗（款）事业单位医疗（项）：反映财政部门安排的行政单位（包括实行公务员管理的事业单位）基本医疗保险缴费经费。</w:t>
      </w:r>
    </w:p>
    <w:p>
      <w:pPr>
        <w:pStyle w:val="17"/>
        <w:spacing w:line="560" w:lineRule="exact"/>
        <w:ind w:firstLine="640" w:firstLineChars="200"/>
        <w:rPr>
          <w:rFonts w:hint="eastAsia" w:ascii="宋体" w:hAnsi="宋体" w:eastAsia="宋体"/>
          <w:sz w:val="32"/>
          <w:szCs w:val="32"/>
        </w:rPr>
      </w:pPr>
      <w:r>
        <w:rPr>
          <w:rFonts w:hint="eastAsia" w:ascii="宋体" w:hAnsi="宋体" w:eastAsia="宋体"/>
          <w:sz w:val="32"/>
          <w:szCs w:val="32"/>
          <w:lang w:val="en-US" w:eastAsia="zh-CN"/>
        </w:rPr>
        <w:t>7</w:t>
      </w:r>
      <w:r>
        <w:rPr>
          <w:rFonts w:hint="eastAsia" w:ascii="宋体" w:hAnsi="宋体" w:eastAsia="宋体"/>
          <w:sz w:val="32"/>
          <w:szCs w:val="32"/>
          <w:lang w:eastAsia="zh-CN"/>
        </w:rPr>
        <w:t>.</w:t>
      </w:r>
      <w:r>
        <w:rPr>
          <w:rFonts w:hint="eastAsia" w:ascii="宋体" w:hAnsi="宋体" w:eastAsia="宋体"/>
          <w:sz w:val="32"/>
          <w:szCs w:val="32"/>
        </w:rPr>
        <w:t>住房保障支出（类）住房改革支出（款）住房公积金（项）：反映行政事业单位按人力资源和社会保障部、财政部规定的基本工资和津贴补贴以及规定比例为职工缴纳的住房公积金。</w:t>
      </w:r>
    </w:p>
    <w:p>
      <w:pPr>
        <w:pStyle w:val="17"/>
        <w:spacing w:line="560" w:lineRule="exact"/>
        <w:ind w:firstLine="640" w:firstLineChars="200"/>
        <w:rPr>
          <w:rFonts w:hint="eastAsia" w:ascii="宋体" w:hAnsi="宋体" w:eastAsia="宋体"/>
          <w:sz w:val="32"/>
          <w:szCs w:val="32"/>
        </w:rPr>
      </w:pPr>
      <w:r>
        <w:rPr>
          <w:rFonts w:hint="eastAsia" w:ascii="宋体" w:hAnsi="宋体" w:eastAsia="宋体"/>
          <w:sz w:val="32"/>
          <w:szCs w:val="32"/>
          <w:lang w:val="en-US" w:eastAsia="zh-CN"/>
        </w:rPr>
        <w:t>8.</w:t>
      </w:r>
      <w:r>
        <w:rPr>
          <w:rFonts w:hint="eastAsia" w:ascii="宋体" w:hAnsi="宋体" w:eastAsia="宋体"/>
          <w:sz w:val="32"/>
          <w:szCs w:val="32"/>
        </w:rPr>
        <w:t>社会保障和就业（类）行政事业单位养老支出（款）机关事业单位职业年金缴费支出（项）：指单位为职工缴纳的职业年金。</w:t>
      </w:r>
    </w:p>
    <w:p>
      <w:pPr>
        <w:pStyle w:val="17"/>
        <w:spacing w:line="560" w:lineRule="exact"/>
        <w:ind w:firstLine="640" w:firstLineChars="200"/>
        <w:rPr>
          <w:rFonts w:ascii="宋体" w:hAnsi="宋体" w:eastAsia="宋体"/>
          <w:sz w:val="32"/>
          <w:szCs w:val="32"/>
        </w:rPr>
      </w:pPr>
      <w:r>
        <w:rPr>
          <w:rFonts w:hint="eastAsia" w:ascii="宋体" w:hAnsi="宋体" w:eastAsia="宋体"/>
          <w:sz w:val="32"/>
          <w:szCs w:val="32"/>
          <w:lang w:val="en-US" w:eastAsia="zh-CN"/>
        </w:rPr>
        <w:t>9</w:t>
      </w:r>
      <w:r>
        <w:rPr>
          <w:rFonts w:hint="eastAsia" w:ascii="宋体" w:hAnsi="宋体" w:eastAsia="宋体"/>
          <w:sz w:val="32"/>
          <w:szCs w:val="32"/>
          <w:lang w:eastAsia="zh-CN"/>
        </w:rPr>
        <w:t>.</w:t>
      </w:r>
      <w:r>
        <w:rPr>
          <w:rFonts w:hint="eastAsia" w:ascii="宋体" w:hAnsi="宋体" w:eastAsia="宋体"/>
          <w:sz w:val="32"/>
          <w:szCs w:val="32"/>
        </w:rPr>
        <w:t>基本支出：指为保障机构正常运转、完成日常工作任务而发生的人员支出和公用支出。</w:t>
      </w:r>
    </w:p>
    <w:p>
      <w:pPr>
        <w:pStyle w:val="17"/>
        <w:spacing w:line="560" w:lineRule="exact"/>
        <w:ind w:firstLine="640" w:firstLineChars="200"/>
        <w:rPr>
          <w:rFonts w:ascii="宋体" w:hAnsi="宋体" w:eastAsia="宋体"/>
          <w:sz w:val="32"/>
          <w:szCs w:val="32"/>
        </w:rPr>
      </w:pPr>
      <w:r>
        <w:rPr>
          <w:rFonts w:hint="eastAsia" w:ascii="宋体" w:hAnsi="宋体" w:eastAsia="宋体"/>
          <w:sz w:val="32"/>
          <w:szCs w:val="32"/>
          <w:lang w:val="en-US" w:eastAsia="zh-CN"/>
        </w:rPr>
        <w:t>10</w:t>
      </w:r>
      <w:r>
        <w:rPr>
          <w:rFonts w:hint="eastAsia" w:ascii="宋体" w:hAnsi="宋体" w:eastAsia="宋体"/>
          <w:sz w:val="32"/>
          <w:szCs w:val="32"/>
          <w:lang w:eastAsia="zh-CN"/>
        </w:rPr>
        <w:t>.</w:t>
      </w:r>
      <w:r>
        <w:rPr>
          <w:rFonts w:hint="eastAsia" w:ascii="宋体" w:hAnsi="宋体" w:eastAsia="宋体"/>
          <w:sz w:val="32"/>
          <w:szCs w:val="32"/>
        </w:rPr>
        <w:t>项目支出：指在基本支出之外为完成特定行政任务和事业发展目标所发生的支出。</w:t>
      </w:r>
      <w:r>
        <w:rPr>
          <w:rFonts w:ascii="宋体" w:hAnsi="宋体" w:eastAsia="宋体"/>
          <w:sz w:val="32"/>
          <w:szCs w:val="32"/>
        </w:rPr>
        <w:t xml:space="preserve"> </w:t>
      </w:r>
    </w:p>
    <w:p>
      <w:pPr>
        <w:pStyle w:val="17"/>
        <w:spacing w:line="560" w:lineRule="exact"/>
        <w:ind w:firstLine="640" w:firstLineChars="200"/>
        <w:rPr>
          <w:rFonts w:ascii="宋体" w:hAnsi="宋体" w:eastAsia="宋体"/>
          <w:sz w:val="32"/>
          <w:szCs w:val="32"/>
        </w:rPr>
      </w:pPr>
      <w:r>
        <w:rPr>
          <w:rFonts w:hint="eastAsia" w:ascii="宋体" w:hAnsi="宋体" w:eastAsia="宋体"/>
          <w:sz w:val="32"/>
          <w:szCs w:val="32"/>
          <w:lang w:val="en-US" w:eastAsia="zh-CN"/>
        </w:rPr>
        <w:t>11</w:t>
      </w:r>
      <w:r>
        <w:rPr>
          <w:rFonts w:hint="eastAsia" w:ascii="宋体" w:hAnsi="宋体" w:eastAsia="宋体"/>
          <w:sz w:val="32"/>
          <w:szCs w:val="32"/>
          <w:lang w:eastAsia="zh-CN"/>
        </w:rPr>
        <w:t>.</w:t>
      </w:r>
      <w:r>
        <w:rPr>
          <w:rFonts w:hint="eastAsia" w:ascii="宋体" w:hAnsi="宋体" w:eastAsia="宋体"/>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7"/>
        <w:spacing w:line="560" w:lineRule="exact"/>
        <w:ind w:firstLine="640" w:firstLineChars="200"/>
        <w:rPr>
          <w:rFonts w:hint="eastAsia" w:ascii="宋体" w:hAnsi="宋体" w:eastAsia="宋体"/>
          <w:sz w:val="32"/>
          <w:szCs w:val="32"/>
        </w:rPr>
      </w:pPr>
      <w:r>
        <w:rPr>
          <w:rFonts w:hint="eastAsia" w:ascii="宋体" w:hAnsi="宋体" w:eastAsia="宋体"/>
          <w:sz w:val="32"/>
          <w:szCs w:val="32"/>
          <w:lang w:val="en-US" w:eastAsia="zh-CN"/>
        </w:rPr>
        <w:t>12</w:t>
      </w:r>
      <w:r>
        <w:rPr>
          <w:rFonts w:hint="eastAsia" w:ascii="宋体" w:hAnsi="宋体" w:eastAsia="宋体"/>
          <w:sz w:val="32"/>
          <w:szCs w:val="32"/>
          <w:lang w:eastAsia="zh-CN"/>
        </w:rPr>
        <w:t>.</w:t>
      </w:r>
      <w:r>
        <w:rPr>
          <w:rFonts w:hint="eastAsia" w:ascii="宋体" w:hAnsi="宋体" w:eastAsia="宋体"/>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7"/>
        <w:spacing w:line="560" w:lineRule="exact"/>
        <w:ind w:firstLine="640" w:firstLineChars="200"/>
        <w:rPr>
          <w:rFonts w:hint="eastAsia" w:ascii="宋体" w:hAnsi="宋体" w:eastAsia="宋体"/>
          <w:sz w:val="32"/>
          <w:szCs w:val="32"/>
        </w:rPr>
      </w:pPr>
    </w:p>
    <w:p>
      <w:pPr>
        <w:pStyle w:val="17"/>
        <w:spacing w:line="560" w:lineRule="exact"/>
        <w:ind w:firstLine="640" w:firstLineChars="200"/>
        <w:rPr>
          <w:rFonts w:ascii="宋体" w:hAnsi="宋体" w:eastAsia="宋体" w:cs="黑体"/>
          <w:sz w:val="32"/>
          <w:szCs w:val="32"/>
        </w:rPr>
      </w:pPr>
    </w:p>
    <w:p>
      <w:pPr>
        <w:pStyle w:val="17"/>
        <w:spacing w:line="560" w:lineRule="exact"/>
        <w:ind w:firstLine="640" w:firstLineChars="200"/>
        <w:rPr>
          <w:rFonts w:ascii="宋体" w:hAnsi="宋体" w:eastAsia="宋体" w:cs="黑体"/>
          <w:sz w:val="32"/>
          <w:szCs w:val="32"/>
        </w:rPr>
      </w:pPr>
    </w:p>
    <w:p>
      <w:pPr>
        <w:pStyle w:val="17"/>
        <w:spacing w:line="560" w:lineRule="exact"/>
        <w:ind w:firstLine="640" w:firstLineChars="200"/>
        <w:rPr>
          <w:rFonts w:ascii="宋体" w:hAnsi="宋体" w:eastAsia="宋体" w:cs="黑体"/>
          <w:sz w:val="32"/>
          <w:szCs w:val="32"/>
        </w:rPr>
      </w:pPr>
    </w:p>
    <w:p>
      <w:pPr>
        <w:numPr>
          <w:ilvl w:val="0"/>
          <w:numId w:val="5"/>
        </w:numPr>
        <w:spacing w:line="600" w:lineRule="exact"/>
        <w:ind w:left="0" w:leftChars="0" w:firstLine="662" w:firstLineChars="150"/>
        <w:jc w:val="center"/>
        <w:outlineLvl w:val="0"/>
        <w:rPr>
          <w:rStyle w:val="14"/>
          <w:rFonts w:hint="eastAsia" w:ascii="黑体" w:hAnsi="黑体" w:eastAsia="黑体"/>
          <w:b/>
          <w:bCs/>
        </w:rPr>
      </w:pPr>
      <w:bookmarkStart w:id="52" w:name="_Toc15396614"/>
      <w:bookmarkStart w:id="53" w:name="_Toc15377226"/>
      <w:r>
        <w:rPr>
          <w:rStyle w:val="14"/>
          <w:rFonts w:hint="eastAsia" w:ascii="黑体" w:hAnsi="黑体" w:eastAsia="黑体"/>
          <w:b/>
          <w:bCs/>
        </w:rPr>
        <w:t>附件</w:t>
      </w:r>
      <w:bookmarkEnd w:id="52"/>
    </w:p>
    <w:p>
      <w:pPr>
        <w:pStyle w:val="2"/>
        <w:numPr>
          <w:ilvl w:val="0"/>
          <w:numId w:val="0"/>
        </w:numPr>
        <w:ind w:leftChars="150"/>
      </w:pPr>
    </w:p>
    <w:p>
      <w:pPr>
        <w:adjustRightInd w:val="0"/>
        <w:snapToGrid w:val="0"/>
        <w:spacing w:line="600" w:lineRule="exact"/>
        <w:rPr>
          <w:rFonts w:hint="eastAsia" w:ascii="黑体" w:hAnsi="黑体" w:eastAsia="黑体" w:cs="黑体"/>
          <w:sz w:val="32"/>
          <w:szCs w:val="32"/>
        </w:rPr>
      </w:pPr>
      <w:r>
        <w:rPr>
          <w:rFonts w:hint="eastAsia" w:ascii="黑体" w:hAnsi="黑体" w:eastAsia="黑体" w:cs="黑体"/>
          <w:sz w:val="32"/>
          <w:szCs w:val="32"/>
        </w:rPr>
        <w:t>附件</w:t>
      </w:r>
    </w:p>
    <w:p>
      <w:pPr>
        <w:pStyle w:val="2"/>
        <w:rPr>
          <w:rFonts w:hint="eastAsia"/>
          <w:lang w:val="en-US" w:eastAsia="zh-CN"/>
        </w:rPr>
      </w:pPr>
    </w:p>
    <w:p>
      <w:pPr>
        <w:spacing w:line="600" w:lineRule="exact"/>
        <w:jc w:val="center"/>
        <w:rPr>
          <w:rFonts w:hint="eastAsia" w:ascii="方正小标宋简体" w:hAnsi="宋体" w:eastAsia="方正小标宋简体"/>
          <w:color w:val="000000"/>
          <w:kern w:val="0"/>
          <w:sz w:val="44"/>
          <w:szCs w:val="44"/>
        </w:rPr>
      </w:pPr>
      <w:r>
        <w:rPr>
          <w:rFonts w:ascii="方正小标宋简体" w:hAnsi="宋体" w:eastAsia="方正小标宋简体"/>
          <w:color w:val="000000"/>
          <w:kern w:val="0"/>
          <w:sz w:val="44"/>
          <w:szCs w:val="44"/>
        </w:rPr>
        <w:t>202</w:t>
      </w:r>
      <w:r>
        <w:rPr>
          <w:rFonts w:hint="eastAsia" w:ascii="方正小标宋简体" w:hAnsi="宋体" w:eastAsia="方正小标宋简体"/>
          <w:color w:val="000000"/>
          <w:kern w:val="0"/>
          <w:sz w:val="44"/>
          <w:szCs w:val="44"/>
          <w:lang w:val="en-US" w:eastAsia="zh-CN"/>
        </w:rPr>
        <w:t>1</w:t>
      </w:r>
      <w:r>
        <w:rPr>
          <w:rFonts w:hint="eastAsia" w:ascii="方正小标宋简体" w:hAnsi="宋体" w:eastAsia="方正小标宋简体"/>
          <w:color w:val="000000"/>
          <w:kern w:val="0"/>
          <w:sz w:val="44"/>
          <w:szCs w:val="44"/>
        </w:rPr>
        <w:t>年返还广荷物业有限公司应交税费</w:t>
      </w:r>
    </w:p>
    <w:p>
      <w:pPr>
        <w:spacing w:line="600" w:lineRule="exact"/>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en-US" w:eastAsia="zh-CN"/>
        </w:rPr>
        <w:t>及企业管理费等专项工作经费项目</w:t>
      </w:r>
      <w:r>
        <w:rPr>
          <w:rFonts w:hint="eastAsia" w:ascii="方正小标宋简体" w:hAnsi="宋体" w:eastAsia="方正小标宋简体"/>
          <w:color w:val="000000"/>
          <w:kern w:val="0"/>
          <w:sz w:val="44"/>
          <w:szCs w:val="44"/>
          <w:lang w:val="zh-CN"/>
        </w:rPr>
        <w:t>绩效</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en-US" w:eastAsia="zh-CN"/>
        </w:rPr>
        <w:t>自</w:t>
      </w:r>
      <w:r>
        <w:rPr>
          <w:rFonts w:hint="eastAsia" w:ascii="方正小标宋简体" w:hAnsi="宋体" w:eastAsia="方正小标宋简体"/>
          <w:color w:val="000000"/>
          <w:kern w:val="0"/>
          <w:sz w:val="44"/>
          <w:szCs w:val="44"/>
          <w:lang w:val="zh-CN"/>
        </w:rPr>
        <w:t>评报告</w:t>
      </w:r>
    </w:p>
    <w:p>
      <w:pPr>
        <w:spacing w:line="600" w:lineRule="exact"/>
        <w:jc w:val="both"/>
        <w:rPr>
          <w:rFonts w:ascii="方正小标宋简体" w:hAnsi="宋体" w:eastAsia="方正小标宋简体"/>
          <w:color w:val="000000"/>
          <w:kern w:val="0"/>
          <w:sz w:val="44"/>
          <w:szCs w:val="44"/>
        </w:rPr>
      </w:pPr>
    </w:p>
    <w:p>
      <w:pPr>
        <w:pStyle w:val="16"/>
        <w:spacing w:line="576" w:lineRule="exact"/>
        <w:ind w:left="640" w:firstLine="0" w:firstLineChars="0"/>
        <w:rPr>
          <w:rFonts w:ascii="黑体" w:eastAsia="黑体"/>
          <w:sz w:val="32"/>
          <w:szCs w:val="32"/>
        </w:rPr>
      </w:pPr>
      <w:r>
        <w:rPr>
          <w:rFonts w:hint="eastAsia" w:ascii="黑体" w:hAnsi="宋体" w:eastAsia="黑体"/>
          <w:sz w:val="32"/>
          <w:szCs w:val="32"/>
        </w:rPr>
        <w:t>一、项目概况</w:t>
      </w:r>
    </w:p>
    <w:p>
      <w:pPr>
        <w:spacing w:line="576" w:lineRule="exact"/>
        <w:ind w:firstLine="642" w:firstLineChars="200"/>
        <w:rPr>
          <w:rFonts w:hint="eastAsia" w:ascii="宋体" w:hAnsi="宋体" w:eastAsia="宋体" w:cs="宋体"/>
          <w:b/>
          <w:bCs/>
          <w:sz w:val="32"/>
          <w:szCs w:val="32"/>
          <w:lang w:eastAsia="zh-CN"/>
        </w:rPr>
      </w:pPr>
      <w:r>
        <w:rPr>
          <w:rFonts w:hint="eastAsia" w:ascii="宋体" w:hAnsi="宋体" w:cs="宋体"/>
          <w:b/>
          <w:bCs/>
          <w:sz w:val="32"/>
          <w:szCs w:val="32"/>
        </w:rPr>
        <w:t>（一）项目基本情况</w:t>
      </w:r>
    </w:p>
    <w:p>
      <w:pPr>
        <w:adjustRightInd w:val="0"/>
        <w:snapToGrid w:val="0"/>
        <w:spacing w:line="600" w:lineRule="exact"/>
        <w:ind w:firstLine="720"/>
        <w:rPr>
          <w:rFonts w:hint="eastAsia" w:ascii="宋体" w:hAnsi="宋体" w:cs="宋体"/>
          <w:sz w:val="32"/>
          <w:szCs w:val="32"/>
          <w:lang w:val="en-US" w:eastAsia="zh-CN"/>
        </w:rPr>
      </w:pPr>
      <w:r>
        <w:rPr>
          <w:rFonts w:hint="eastAsia" w:ascii="宋体" w:hAnsi="宋体" w:cs="宋体"/>
          <w:sz w:val="32"/>
          <w:szCs w:val="32"/>
          <w:lang w:eastAsia="zh-CN"/>
        </w:rPr>
        <w:t>根据职能职责，</w:t>
      </w:r>
      <w:r>
        <w:rPr>
          <w:rFonts w:hint="eastAsia" w:ascii="宋体" w:hAnsi="宋体" w:cs="宋体"/>
          <w:sz w:val="32"/>
          <w:szCs w:val="32"/>
          <w:lang w:val="en-US" w:eastAsia="zh-CN"/>
        </w:rPr>
        <w:t>成都荷花池</w:t>
      </w:r>
      <w:r>
        <w:rPr>
          <w:rFonts w:hint="eastAsia" w:ascii="宋体" w:hAnsi="宋体" w:cs="宋体"/>
          <w:sz w:val="32"/>
          <w:szCs w:val="32"/>
        </w:rPr>
        <w:t>广荷物业</w:t>
      </w:r>
      <w:r>
        <w:rPr>
          <w:rFonts w:hint="eastAsia" w:ascii="宋体" w:hAnsi="宋体" w:cs="宋体"/>
          <w:sz w:val="32"/>
          <w:szCs w:val="32"/>
          <w:lang w:val="en-US" w:eastAsia="zh-CN"/>
        </w:rPr>
        <w:t>管理</w:t>
      </w:r>
      <w:r>
        <w:rPr>
          <w:rFonts w:hint="eastAsia" w:ascii="宋体" w:hAnsi="宋体" w:cs="宋体"/>
          <w:sz w:val="32"/>
          <w:szCs w:val="32"/>
        </w:rPr>
        <w:t>有限公司</w:t>
      </w:r>
      <w:r>
        <w:rPr>
          <w:rFonts w:hint="eastAsia" w:ascii="宋体" w:hAnsi="宋体" w:cs="宋体"/>
          <w:sz w:val="32"/>
          <w:szCs w:val="32"/>
          <w:lang w:eastAsia="zh-CN"/>
        </w:rPr>
        <w:t>（</w:t>
      </w:r>
      <w:r>
        <w:rPr>
          <w:rFonts w:hint="eastAsia" w:ascii="宋体" w:hAnsi="宋体" w:cs="宋体"/>
          <w:sz w:val="32"/>
          <w:szCs w:val="32"/>
          <w:lang w:val="en-US" w:eastAsia="zh-CN"/>
        </w:rPr>
        <w:t>以下简称广荷物业</w:t>
      </w:r>
      <w:r>
        <w:rPr>
          <w:rFonts w:hint="eastAsia" w:ascii="宋体" w:hAnsi="宋体" w:cs="宋体"/>
          <w:sz w:val="32"/>
          <w:szCs w:val="32"/>
        </w:rPr>
        <w:t>有限</w:t>
      </w:r>
      <w:r>
        <w:rPr>
          <w:rFonts w:hint="eastAsia" w:ascii="宋体" w:hAnsi="宋体" w:cs="宋体"/>
          <w:sz w:val="32"/>
          <w:szCs w:val="32"/>
          <w:lang w:eastAsia="zh-CN"/>
        </w:rPr>
        <w:t>公司）</w:t>
      </w:r>
      <w:r>
        <w:rPr>
          <w:rFonts w:hint="eastAsia" w:ascii="宋体" w:hAnsi="宋体" w:cs="宋体"/>
          <w:sz w:val="32"/>
          <w:szCs w:val="32"/>
          <w:lang w:val="en-US" w:eastAsia="zh-CN"/>
        </w:rPr>
        <w:t>由</w:t>
      </w:r>
      <w:r>
        <w:rPr>
          <w:rFonts w:hint="eastAsia" w:ascii="宋体" w:hAnsi="宋体" w:cs="宋体"/>
          <w:sz w:val="32"/>
          <w:szCs w:val="32"/>
          <w:lang w:eastAsia="zh-CN"/>
        </w:rPr>
        <w:t>市人民政府驻成都办事处代管，为</w:t>
      </w:r>
      <w:r>
        <w:rPr>
          <w:rFonts w:hint="eastAsia" w:ascii="宋体" w:hAnsi="宋体" w:cs="宋体"/>
          <w:sz w:val="32"/>
          <w:szCs w:val="32"/>
        </w:rPr>
        <w:t>做好企业代管工作，开源节流，挖潜创效，确保国有资产保值增值</w:t>
      </w:r>
      <w:r>
        <w:rPr>
          <w:rFonts w:hint="eastAsia" w:ascii="宋体" w:hAnsi="宋体" w:cs="宋体"/>
          <w:sz w:val="32"/>
          <w:szCs w:val="32"/>
          <w:lang w:eastAsia="zh-CN"/>
        </w:rPr>
        <w:t>，年初申报</w:t>
      </w:r>
      <w:r>
        <w:rPr>
          <w:rFonts w:hint="eastAsia" w:ascii="宋体" w:hAnsi="宋体" w:cs="宋体"/>
          <w:sz w:val="32"/>
          <w:szCs w:val="32"/>
        </w:rPr>
        <w:t>返还广荷物业有限</w:t>
      </w:r>
      <w:r>
        <w:rPr>
          <w:rFonts w:hint="eastAsia" w:ascii="宋体" w:hAnsi="宋体" w:cs="宋体"/>
          <w:sz w:val="32"/>
          <w:szCs w:val="32"/>
          <w:lang w:eastAsia="zh-CN"/>
        </w:rPr>
        <w:t>公司应交税费</w:t>
      </w:r>
      <w:r>
        <w:rPr>
          <w:rFonts w:hint="eastAsia" w:ascii="宋体" w:hAnsi="宋体" w:cs="宋体"/>
          <w:sz w:val="32"/>
          <w:szCs w:val="32"/>
          <w:lang w:val="en-US" w:eastAsia="zh-CN"/>
        </w:rPr>
        <w:t>及企业管理费等专项工作经费110</w:t>
      </w:r>
      <w:r>
        <w:rPr>
          <w:rFonts w:hint="eastAsia" w:ascii="宋体" w:hAnsi="宋体" w:cs="宋体"/>
          <w:sz w:val="32"/>
          <w:szCs w:val="32"/>
          <w:lang w:eastAsia="zh-CN"/>
        </w:rPr>
        <w:t>万元，</w:t>
      </w:r>
      <w:r>
        <w:rPr>
          <w:rFonts w:hint="eastAsia" w:ascii="宋体" w:hAnsi="宋体" w:cs="宋体"/>
          <w:sz w:val="32"/>
          <w:szCs w:val="32"/>
          <w:lang w:val="en-US" w:eastAsia="zh-CN"/>
        </w:rPr>
        <w:t>主要用于</w:t>
      </w:r>
      <w:r>
        <w:rPr>
          <w:rFonts w:hint="eastAsia" w:ascii="宋体" w:hAnsi="宋体" w:cs="宋体"/>
          <w:sz w:val="32"/>
          <w:szCs w:val="32"/>
        </w:rPr>
        <w:t>广荷物业有限</w:t>
      </w:r>
      <w:r>
        <w:rPr>
          <w:rFonts w:hint="eastAsia" w:ascii="宋体" w:hAnsi="宋体" w:cs="宋体"/>
          <w:sz w:val="32"/>
          <w:szCs w:val="32"/>
          <w:lang w:eastAsia="zh-CN"/>
        </w:rPr>
        <w:t>公司</w:t>
      </w:r>
      <w:r>
        <w:rPr>
          <w:rFonts w:hint="eastAsia" w:ascii="宋体" w:hAnsi="宋体" w:cs="宋体"/>
          <w:sz w:val="32"/>
          <w:szCs w:val="32"/>
          <w:lang w:val="en-US" w:eastAsia="zh-CN"/>
        </w:rPr>
        <w:t>缴纳各种税款。</w:t>
      </w:r>
    </w:p>
    <w:p>
      <w:pPr>
        <w:adjustRightInd w:val="0"/>
        <w:snapToGrid w:val="0"/>
        <w:spacing w:line="600" w:lineRule="exact"/>
        <w:ind w:firstLine="720"/>
        <w:rPr>
          <w:rFonts w:hint="eastAsia" w:ascii="宋体" w:hAnsi="宋体" w:eastAsia="宋体" w:cs="宋体"/>
          <w:sz w:val="32"/>
          <w:szCs w:val="32"/>
          <w:lang w:val="en-US" w:eastAsia="zh-CN"/>
        </w:rPr>
      </w:pPr>
      <w:r>
        <w:rPr>
          <w:rFonts w:hint="eastAsia" w:ascii="宋体" w:hAnsi="宋体" w:cs="宋体"/>
          <w:b/>
          <w:bCs/>
          <w:sz w:val="32"/>
          <w:szCs w:val="32"/>
          <w:lang w:val="en-US" w:eastAsia="zh-CN"/>
        </w:rPr>
        <w:t>（二）项目绩效目标</w:t>
      </w:r>
      <w:r>
        <w:rPr>
          <w:rFonts w:hint="eastAsia" w:ascii="宋体" w:hAnsi="宋体" w:eastAsia="宋体" w:cs="宋体"/>
          <w:sz w:val="32"/>
          <w:szCs w:val="32"/>
          <w:lang w:val="en-US" w:eastAsia="zh-CN"/>
        </w:rPr>
        <w:t xml:space="preserve">    </w:t>
      </w:r>
    </w:p>
    <w:p>
      <w:pPr>
        <w:numPr>
          <w:ilvl w:val="0"/>
          <w:numId w:val="0"/>
        </w:numPr>
        <w:adjustRightInd w:val="0"/>
        <w:snapToGrid w:val="0"/>
        <w:spacing w:line="600" w:lineRule="exact"/>
        <w:ind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eastAsia="zh-CN"/>
        </w:rPr>
        <w:t>该项目申报内容</w:t>
      </w:r>
      <w:r>
        <w:rPr>
          <w:rFonts w:hint="eastAsia" w:ascii="宋体" w:hAnsi="宋体" w:eastAsia="宋体" w:cs="宋体"/>
          <w:sz w:val="32"/>
          <w:szCs w:val="32"/>
          <w:lang w:val="en-US" w:eastAsia="zh-CN"/>
        </w:rPr>
        <w:t>为</w:t>
      </w:r>
      <w:r>
        <w:rPr>
          <w:rFonts w:hint="eastAsia" w:ascii="宋体" w:hAnsi="宋体" w:cs="宋体"/>
          <w:sz w:val="32"/>
          <w:szCs w:val="32"/>
        </w:rPr>
        <w:t>返还广荷物业有限</w:t>
      </w:r>
      <w:r>
        <w:rPr>
          <w:rFonts w:hint="eastAsia" w:ascii="宋体" w:hAnsi="宋体" w:cs="宋体"/>
          <w:sz w:val="32"/>
          <w:szCs w:val="32"/>
          <w:lang w:eastAsia="zh-CN"/>
        </w:rPr>
        <w:t>公司应交税费</w:t>
      </w:r>
      <w:r>
        <w:rPr>
          <w:rFonts w:hint="eastAsia" w:ascii="宋体" w:hAnsi="宋体" w:cs="宋体"/>
          <w:sz w:val="32"/>
          <w:szCs w:val="32"/>
          <w:lang w:val="en-US" w:eastAsia="zh-CN"/>
        </w:rPr>
        <w:t>及企业管理费等专项工作经费110万元，截至2021年底，共计支出</w:t>
      </w:r>
      <w:r>
        <w:rPr>
          <w:rFonts w:hint="eastAsia" w:ascii="宋体" w:hAnsi="宋体" w:cs="宋体"/>
          <w:sz w:val="32"/>
          <w:szCs w:val="32"/>
        </w:rPr>
        <w:t>返还广荷物业有限公司应交税费</w:t>
      </w:r>
      <w:r>
        <w:rPr>
          <w:rFonts w:hint="eastAsia" w:ascii="宋体" w:hAnsi="宋体" w:cs="宋体"/>
          <w:sz w:val="32"/>
          <w:szCs w:val="32"/>
          <w:lang w:val="en-US" w:eastAsia="zh-CN"/>
        </w:rPr>
        <w:t>及企业管理费等专项工作经费110万元</w:t>
      </w:r>
      <w:r>
        <w:rPr>
          <w:rFonts w:hint="eastAsia" w:ascii="宋体" w:hAnsi="宋体" w:cs="宋体"/>
          <w:sz w:val="32"/>
          <w:szCs w:val="32"/>
          <w:lang w:eastAsia="zh-CN"/>
        </w:rPr>
        <w:t>，完成预算</w:t>
      </w:r>
      <w:r>
        <w:rPr>
          <w:rFonts w:hint="eastAsia" w:ascii="宋体" w:hAnsi="宋体" w:cs="宋体"/>
          <w:sz w:val="32"/>
          <w:szCs w:val="32"/>
          <w:lang w:val="en-US" w:eastAsia="zh-CN"/>
        </w:rPr>
        <w:t>100</w:t>
      </w:r>
      <w:r>
        <w:rPr>
          <w:rFonts w:hint="eastAsia" w:ascii="宋体" w:hAnsi="宋体" w:cs="宋体"/>
          <w:sz w:val="32"/>
          <w:szCs w:val="32"/>
          <w:lang w:eastAsia="zh-CN"/>
        </w:rPr>
        <w:t>%。</w:t>
      </w:r>
      <w:r>
        <w:rPr>
          <w:rFonts w:hint="eastAsia" w:ascii="宋体" w:hAnsi="宋体" w:cs="宋体"/>
          <w:sz w:val="32"/>
          <w:szCs w:val="32"/>
          <w:lang w:val="en-US" w:eastAsia="zh-CN"/>
        </w:rPr>
        <w:t>保障了企业正常有序的经营，</w:t>
      </w:r>
      <w:r>
        <w:rPr>
          <w:rFonts w:hint="eastAsia" w:ascii="宋体" w:hAnsi="宋体" w:eastAsia="宋体" w:cs="宋体"/>
          <w:sz w:val="32"/>
          <w:szCs w:val="32"/>
          <w:lang w:val="en-US" w:eastAsia="zh-CN"/>
        </w:rPr>
        <w:t>完成</w:t>
      </w:r>
      <w:r>
        <w:rPr>
          <w:rFonts w:hint="eastAsia" w:ascii="宋体" w:hAnsi="宋体" w:cs="宋体"/>
          <w:sz w:val="32"/>
          <w:szCs w:val="32"/>
          <w:lang w:val="en-US" w:eastAsia="zh-CN"/>
        </w:rPr>
        <w:t>了</w:t>
      </w:r>
      <w:r>
        <w:rPr>
          <w:rFonts w:hint="eastAsia" w:ascii="宋体" w:hAnsi="宋体" w:eastAsia="宋体" w:cs="宋体"/>
          <w:sz w:val="32"/>
          <w:szCs w:val="32"/>
          <w:lang w:val="en-US" w:eastAsia="zh-CN"/>
        </w:rPr>
        <w:t>2021年广荷物业有限公司</w:t>
      </w:r>
      <w:r>
        <w:rPr>
          <w:rFonts w:hint="eastAsia" w:ascii="宋体" w:hAnsi="宋体" w:cs="宋体"/>
          <w:sz w:val="32"/>
          <w:szCs w:val="32"/>
          <w:lang w:val="en-US" w:eastAsia="zh-CN"/>
        </w:rPr>
        <w:t>租</w:t>
      </w:r>
      <w:r>
        <w:rPr>
          <w:rFonts w:hint="eastAsia" w:ascii="宋体" w:hAnsi="宋体" w:eastAsia="宋体" w:cs="宋体"/>
          <w:sz w:val="32"/>
          <w:szCs w:val="32"/>
          <w:lang w:val="en-US" w:eastAsia="zh-CN"/>
        </w:rPr>
        <w:t>金收取工作</w:t>
      </w:r>
      <w:r>
        <w:rPr>
          <w:rFonts w:hint="eastAsia" w:ascii="宋体" w:hAnsi="宋体" w:cs="宋体"/>
          <w:sz w:val="32"/>
          <w:szCs w:val="32"/>
          <w:lang w:val="en-US" w:eastAsia="zh-CN"/>
        </w:rPr>
        <w:t>，</w:t>
      </w:r>
      <w:r>
        <w:rPr>
          <w:rFonts w:hint="eastAsia" w:ascii="宋体" w:hAnsi="宋体" w:eastAsia="宋体" w:cs="宋体"/>
          <w:sz w:val="32"/>
          <w:szCs w:val="32"/>
          <w:lang w:eastAsia="zh-CN"/>
        </w:rPr>
        <w:t>与具体实施内容相符</w:t>
      </w:r>
      <w:r>
        <w:rPr>
          <w:rFonts w:hint="eastAsia" w:ascii="宋体" w:hAnsi="宋体" w:cs="宋体"/>
          <w:sz w:val="32"/>
          <w:szCs w:val="32"/>
          <w:lang w:eastAsia="zh-CN"/>
        </w:rPr>
        <w:t>，</w:t>
      </w:r>
      <w:r>
        <w:rPr>
          <w:rFonts w:hint="eastAsia" w:ascii="宋体" w:hAnsi="宋体" w:cs="宋体"/>
          <w:sz w:val="32"/>
          <w:szCs w:val="32"/>
          <w:lang w:val="en-US" w:eastAsia="zh-CN"/>
        </w:rPr>
        <w:t>申报目标</w:t>
      </w:r>
      <w:r>
        <w:rPr>
          <w:rFonts w:hint="eastAsia" w:ascii="宋体" w:hAnsi="宋体" w:eastAsia="宋体" w:cs="宋体"/>
          <w:sz w:val="32"/>
          <w:szCs w:val="32"/>
          <w:lang w:eastAsia="zh-CN"/>
        </w:rPr>
        <w:t>合理可行。</w:t>
      </w:r>
    </w:p>
    <w:p>
      <w:pPr>
        <w:adjustRightInd w:val="0"/>
        <w:snapToGrid w:val="0"/>
        <w:spacing w:line="600" w:lineRule="exact"/>
        <w:ind w:firstLine="720"/>
        <w:rPr>
          <w:rFonts w:hint="eastAsia" w:ascii="宋体" w:hAnsi="宋体" w:cs="宋体"/>
          <w:b/>
          <w:bCs/>
          <w:sz w:val="32"/>
          <w:szCs w:val="32"/>
          <w:lang w:val="en-US" w:eastAsia="zh-CN"/>
        </w:rPr>
      </w:pPr>
      <w:r>
        <w:rPr>
          <w:rFonts w:hint="eastAsia" w:ascii="宋体" w:hAnsi="宋体" w:cs="宋体"/>
          <w:b/>
          <w:bCs/>
          <w:sz w:val="32"/>
          <w:szCs w:val="32"/>
          <w:lang w:val="en-US" w:eastAsia="zh-CN"/>
        </w:rPr>
        <w:t>(三)项目自评步骤及方法</w:t>
      </w:r>
    </w:p>
    <w:p>
      <w:pPr>
        <w:adjustRightInd w:val="0"/>
        <w:snapToGrid w:val="0"/>
        <w:spacing w:line="600" w:lineRule="exact"/>
        <w:ind w:firstLine="640" w:firstLineChars="200"/>
        <w:rPr>
          <w:rFonts w:hint="eastAsia" w:ascii="宋体" w:hAnsi="宋体" w:eastAsia="宋体" w:cs="宋体"/>
          <w:sz w:val="32"/>
          <w:szCs w:val="32"/>
          <w:lang w:val="zh-CN" w:eastAsia="zh-CN"/>
        </w:rPr>
      </w:pPr>
      <w:r>
        <w:rPr>
          <w:rFonts w:hint="eastAsia" w:ascii="宋体" w:hAnsi="宋体" w:eastAsia="宋体" w:cs="宋体"/>
          <w:sz w:val="32"/>
          <w:szCs w:val="32"/>
          <w:lang w:val="zh-CN" w:eastAsia="zh-CN"/>
        </w:rPr>
        <w:t>根据绩效管理的相关规定，成立了绩效评价工作领导小组</w:t>
      </w:r>
      <w:r>
        <w:rPr>
          <w:rFonts w:hint="eastAsia" w:ascii="宋体" w:hAnsi="宋体" w:cs="宋体"/>
          <w:sz w:val="32"/>
          <w:szCs w:val="32"/>
          <w:lang w:val="zh-CN" w:eastAsia="zh-CN"/>
        </w:rPr>
        <w:t>。</w:t>
      </w:r>
      <w:r>
        <w:rPr>
          <w:rFonts w:hint="eastAsia" w:ascii="宋体" w:hAnsi="宋体" w:eastAsia="宋体" w:cs="宋体"/>
          <w:sz w:val="32"/>
          <w:szCs w:val="32"/>
          <w:lang w:val="zh-CN" w:eastAsia="zh-CN"/>
        </w:rPr>
        <w:t>根据年初确定的绩效目标，对照检查设置指标产出数量、质量、时效、成本，以及社会效益</w:t>
      </w:r>
      <w:r>
        <w:rPr>
          <w:rFonts w:hint="eastAsia" w:ascii="宋体" w:hAnsi="宋体" w:cs="宋体"/>
          <w:sz w:val="32"/>
          <w:szCs w:val="32"/>
          <w:lang w:val="zh-CN" w:eastAsia="zh-CN"/>
        </w:rPr>
        <w:t>、</w:t>
      </w:r>
      <w:r>
        <w:rPr>
          <w:rFonts w:hint="eastAsia" w:ascii="宋体" w:hAnsi="宋体" w:eastAsia="宋体" w:cs="宋体"/>
          <w:sz w:val="32"/>
          <w:szCs w:val="32"/>
          <w:lang w:val="zh-CN" w:eastAsia="zh-CN"/>
        </w:rPr>
        <w:t>可持续影响、满意度等指标开展项目绩效</w:t>
      </w:r>
      <w:r>
        <w:rPr>
          <w:rFonts w:hint="eastAsia" w:ascii="宋体" w:hAnsi="宋体" w:cs="宋体"/>
          <w:sz w:val="32"/>
          <w:szCs w:val="32"/>
          <w:lang w:val="en-US" w:eastAsia="zh-CN"/>
        </w:rPr>
        <w:t>自评</w:t>
      </w:r>
      <w:r>
        <w:rPr>
          <w:rFonts w:hint="eastAsia" w:ascii="宋体" w:hAnsi="宋体" w:eastAsia="宋体" w:cs="宋体"/>
          <w:sz w:val="32"/>
          <w:szCs w:val="32"/>
          <w:lang w:val="zh-CN" w:eastAsia="zh-CN"/>
        </w:rPr>
        <w:t>。</w:t>
      </w:r>
    </w:p>
    <w:p>
      <w:pPr>
        <w:keepNext w:val="0"/>
        <w:keepLines w:val="0"/>
        <w:pageBreakBefore w:val="0"/>
        <w:widowControl w:val="0"/>
        <w:kinsoku/>
        <w:wordWrap/>
        <w:overflowPunct/>
        <w:topLinePunct w:val="0"/>
        <w:bidi w:val="0"/>
        <w:adjustRightInd w:val="0"/>
        <w:snapToGrid w:val="0"/>
        <w:spacing w:beforeAutospacing="0" w:afterAutospacing="0" w:line="576" w:lineRule="exact"/>
        <w:ind w:firstLine="640" w:firstLineChars="200"/>
        <w:jc w:val="both"/>
        <w:textAlignment w:val="auto"/>
        <w:rPr>
          <w:rFonts w:ascii="黑体" w:hAnsi="宋体" w:eastAsia="黑体"/>
          <w:color w:val="auto"/>
          <w:sz w:val="32"/>
          <w:szCs w:val="32"/>
        </w:rPr>
      </w:pPr>
      <w:r>
        <w:rPr>
          <w:rFonts w:hint="eastAsia" w:ascii="黑体" w:hAnsi="宋体" w:eastAsia="黑体"/>
          <w:color w:val="auto"/>
          <w:sz w:val="32"/>
          <w:szCs w:val="32"/>
        </w:rPr>
        <w:t>二、项目资金申报及使用情况</w:t>
      </w:r>
    </w:p>
    <w:p>
      <w:pPr>
        <w:keepNext w:val="0"/>
        <w:keepLines w:val="0"/>
        <w:pageBreakBefore w:val="0"/>
        <w:widowControl w:val="0"/>
        <w:kinsoku/>
        <w:wordWrap/>
        <w:overflowPunct/>
        <w:topLinePunct w:val="0"/>
        <w:bidi w:val="0"/>
        <w:adjustRightInd w:val="0"/>
        <w:snapToGrid w:val="0"/>
        <w:spacing w:beforeAutospacing="0" w:afterAutospacing="0" w:line="576" w:lineRule="exact"/>
        <w:ind w:firstLine="642" w:firstLineChars="200"/>
        <w:jc w:val="both"/>
        <w:textAlignment w:val="auto"/>
        <w:rPr>
          <w:rFonts w:ascii="楷体_GB2312" w:hAnsi="宋体" w:eastAsia="楷体_GB2312"/>
          <w:b/>
          <w:color w:val="auto"/>
          <w:sz w:val="32"/>
          <w:szCs w:val="32"/>
          <w:lang w:val="zh-CN"/>
        </w:rPr>
      </w:pPr>
      <w:r>
        <w:rPr>
          <w:rFonts w:hint="eastAsia" w:ascii="宋体" w:hAnsi="宋体" w:cs="宋体"/>
          <w:b/>
          <w:bCs/>
          <w:sz w:val="32"/>
          <w:szCs w:val="32"/>
          <w:lang w:val="zh-CN" w:eastAsia="zh-CN"/>
        </w:rPr>
        <w:t>（一）项目资金申报及批复情况</w:t>
      </w:r>
    </w:p>
    <w:p>
      <w:pPr>
        <w:keepNext w:val="0"/>
        <w:keepLines w:val="0"/>
        <w:pageBreakBefore w:val="0"/>
        <w:widowControl w:val="0"/>
        <w:kinsoku/>
        <w:wordWrap/>
        <w:overflowPunct/>
        <w:topLinePunct w:val="0"/>
        <w:autoSpaceDE w:val="0"/>
        <w:autoSpaceDN w:val="0"/>
        <w:bidi w:val="0"/>
        <w:adjustRightInd w:val="0"/>
        <w:spacing w:line="576" w:lineRule="exact"/>
        <w:ind w:firstLine="640" w:firstLineChars="200"/>
        <w:jc w:val="left"/>
        <w:textAlignment w:val="auto"/>
        <w:rPr>
          <w:rFonts w:hint="default" w:ascii="宋体" w:hAnsi="宋体" w:cs="宋体"/>
          <w:sz w:val="32"/>
          <w:szCs w:val="32"/>
          <w:lang w:val="en-US" w:eastAsia="zh-CN"/>
        </w:rPr>
      </w:pPr>
      <w:r>
        <w:rPr>
          <w:rFonts w:hint="eastAsia" w:ascii="宋体" w:hAnsi="宋体" w:cs="宋体"/>
          <w:sz w:val="32"/>
          <w:szCs w:val="32"/>
          <w:lang w:val="en-US" w:eastAsia="zh-CN"/>
        </w:rPr>
        <w:t>2021年向市财政申报返还广荷物业有限公司应交税费及企业管理费等专项工作经费110万元，</w:t>
      </w:r>
      <w:r>
        <w:rPr>
          <w:rFonts w:hint="default" w:ascii="宋体" w:hAnsi="宋体" w:cs="宋体"/>
          <w:sz w:val="32"/>
          <w:szCs w:val="32"/>
          <w:lang w:val="en-US" w:eastAsia="zh-CN"/>
        </w:rPr>
        <w:t>预算</w:t>
      </w:r>
      <w:r>
        <w:rPr>
          <w:rFonts w:hint="eastAsia" w:ascii="宋体" w:hAnsi="宋体" w:cs="宋体"/>
          <w:sz w:val="32"/>
          <w:szCs w:val="32"/>
          <w:lang w:val="en-US" w:eastAsia="zh-CN"/>
        </w:rPr>
        <w:t>批复110</w:t>
      </w:r>
      <w:r>
        <w:rPr>
          <w:rFonts w:hint="default" w:ascii="宋体" w:hAnsi="宋体" w:cs="宋体"/>
          <w:sz w:val="32"/>
          <w:szCs w:val="32"/>
          <w:lang w:val="en-US" w:eastAsia="zh-CN"/>
        </w:rPr>
        <w:t>万元，无预算调整。</w:t>
      </w:r>
    </w:p>
    <w:p>
      <w:pPr>
        <w:keepNext w:val="0"/>
        <w:keepLines w:val="0"/>
        <w:pageBreakBefore w:val="0"/>
        <w:widowControl w:val="0"/>
        <w:kinsoku/>
        <w:wordWrap/>
        <w:overflowPunct/>
        <w:topLinePunct w:val="0"/>
        <w:bidi w:val="0"/>
        <w:adjustRightInd w:val="0"/>
        <w:snapToGrid w:val="0"/>
        <w:spacing w:beforeAutospacing="0" w:afterAutospacing="0" w:line="576" w:lineRule="exact"/>
        <w:ind w:firstLine="642" w:firstLineChars="200"/>
        <w:jc w:val="both"/>
        <w:textAlignment w:val="auto"/>
        <w:rPr>
          <w:rFonts w:ascii="楷体_GB2312" w:hAnsi="宋体" w:eastAsia="楷体_GB2312"/>
          <w:b/>
          <w:color w:val="auto"/>
          <w:sz w:val="32"/>
          <w:szCs w:val="32"/>
          <w:lang w:val="zh-CN"/>
        </w:rPr>
      </w:pPr>
      <w:r>
        <w:rPr>
          <w:rFonts w:hint="eastAsia" w:ascii="宋体" w:hAnsi="宋体" w:cs="宋体"/>
          <w:b/>
          <w:bCs/>
          <w:sz w:val="32"/>
          <w:szCs w:val="32"/>
          <w:lang w:val="zh-CN" w:eastAsia="zh-CN"/>
        </w:rPr>
        <w:t>（二）资金计划、到位及使用情况</w:t>
      </w:r>
    </w:p>
    <w:p>
      <w:pPr>
        <w:keepNext w:val="0"/>
        <w:keepLines w:val="0"/>
        <w:pageBreakBefore w:val="0"/>
        <w:widowControl w:val="0"/>
        <w:kinsoku/>
        <w:wordWrap/>
        <w:overflowPunct/>
        <w:topLinePunct w:val="0"/>
        <w:bidi w:val="0"/>
        <w:adjustRightInd w:val="0"/>
        <w:snapToGrid w:val="0"/>
        <w:spacing w:beforeAutospacing="0" w:afterAutospacing="0" w:line="576" w:lineRule="exact"/>
        <w:ind w:firstLine="640" w:firstLineChars="200"/>
        <w:jc w:val="both"/>
        <w:textAlignment w:val="auto"/>
        <w:rPr>
          <w:rFonts w:hint="eastAsia" w:ascii="宋体" w:hAnsi="宋体" w:cs="宋体"/>
          <w:sz w:val="32"/>
          <w:szCs w:val="32"/>
          <w:lang w:val="en-US" w:eastAsia="zh-CN"/>
        </w:rPr>
      </w:pPr>
      <w:r>
        <w:rPr>
          <w:rFonts w:hint="eastAsia" w:ascii="宋体" w:hAnsi="宋体" w:cs="宋体"/>
          <w:sz w:val="32"/>
          <w:szCs w:val="32"/>
          <w:lang w:val="zh-CN" w:eastAsia="zh-CN"/>
        </w:rPr>
        <w:t>1</w:t>
      </w:r>
      <w:r>
        <w:rPr>
          <w:rFonts w:hint="eastAsia" w:ascii="宋体" w:hAnsi="宋体" w:cs="宋体"/>
          <w:sz w:val="32"/>
          <w:szCs w:val="32"/>
          <w:lang w:val="en-US" w:eastAsia="zh-CN"/>
        </w:rPr>
        <w:t>.</w:t>
      </w:r>
      <w:r>
        <w:rPr>
          <w:rFonts w:hint="eastAsia" w:ascii="宋体" w:hAnsi="宋体" w:cs="宋体"/>
          <w:sz w:val="32"/>
          <w:szCs w:val="32"/>
          <w:lang w:val="zh-CN" w:eastAsia="zh-CN"/>
        </w:rPr>
        <w:t>资金计划。</w:t>
      </w:r>
      <w:r>
        <w:rPr>
          <w:rFonts w:hint="eastAsia" w:ascii="宋体" w:hAnsi="宋体" w:cs="宋体"/>
          <w:kern w:val="2"/>
          <w:sz w:val="32"/>
          <w:szCs w:val="32"/>
          <w:lang w:val="en-US" w:eastAsia="zh-CN" w:bidi="ar-SA"/>
        </w:rPr>
        <w:t>按照一般公共预算要求，年初由市政府驻成都办事处申报</w:t>
      </w:r>
      <w:r>
        <w:rPr>
          <w:rFonts w:hint="eastAsia" w:ascii="宋体" w:hAnsi="宋体" w:cs="宋体"/>
          <w:sz w:val="32"/>
          <w:szCs w:val="32"/>
          <w:lang w:val="en-US" w:eastAsia="zh-CN"/>
        </w:rPr>
        <w:t>返还广荷物业有限公司应交税费及企业管理费等专项工作经费110万元。</w:t>
      </w:r>
    </w:p>
    <w:p>
      <w:pPr>
        <w:keepNext w:val="0"/>
        <w:keepLines w:val="0"/>
        <w:pageBreakBefore w:val="0"/>
        <w:widowControl w:val="0"/>
        <w:kinsoku/>
        <w:wordWrap/>
        <w:overflowPunct/>
        <w:topLinePunct w:val="0"/>
        <w:bidi w:val="0"/>
        <w:adjustRightInd w:val="0"/>
        <w:snapToGrid w:val="0"/>
        <w:spacing w:beforeAutospacing="0" w:afterAutospacing="0" w:line="576" w:lineRule="exact"/>
        <w:ind w:firstLine="640" w:firstLineChars="200"/>
        <w:jc w:val="both"/>
        <w:textAlignment w:val="auto"/>
        <w:rPr>
          <w:rFonts w:hint="eastAsia" w:ascii="宋体" w:hAnsi="宋体" w:cs="宋体"/>
          <w:sz w:val="32"/>
          <w:szCs w:val="32"/>
          <w:lang w:val="en-US" w:eastAsia="zh-CN"/>
        </w:rPr>
      </w:pPr>
      <w:r>
        <w:rPr>
          <w:rFonts w:hint="eastAsia" w:ascii="宋体" w:hAnsi="宋体" w:cs="宋体"/>
          <w:sz w:val="32"/>
          <w:szCs w:val="32"/>
          <w:lang w:val="zh-CN" w:eastAsia="zh-CN"/>
        </w:rPr>
        <w:t>2</w:t>
      </w:r>
      <w:r>
        <w:rPr>
          <w:rFonts w:hint="eastAsia" w:ascii="宋体" w:hAnsi="宋体" w:cs="宋体"/>
          <w:sz w:val="32"/>
          <w:szCs w:val="32"/>
          <w:lang w:val="en-US" w:eastAsia="zh-CN"/>
        </w:rPr>
        <w:t>.</w:t>
      </w:r>
      <w:r>
        <w:rPr>
          <w:rFonts w:hint="eastAsia" w:ascii="宋体" w:hAnsi="宋体" w:cs="宋体"/>
          <w:sz w:val="32"/>
          <w:szCs w:val="32"/>
          <w:lang w:val="zh-CN" w:eastAsia="zh-CN"/>
        </w:rPr>
        <w:t>资金到位。</w:t>
      </w:r>
      <w:r>
        <w:rPr>
          <w:rFonts w:hint="eastAsia" w:ascii="宋体" w:hAnsi="宋体" w:cs="宋体"/>
          <w:sz w:val="32"/>
          <w:szCs w:val="32"/>
          <w:lang w:val="en-US" w:eastAsia="zh-CN"/>
        </w:rPr>
        <w:t>2021</w:t>
      </w:r>
      <w:r>
        <w:rPr>
          <w:rFonts w:hint="eastAsia" w:ascii="宋体" w:hAnsi="宋体" w:cs="宋体"/>
          <w:sz w:val="32"/>
          <w:szCs w:val="32"/>
          <w:lang w:val="zh-CN" w:eastAsia="zh-CN"/>
        </w:rPr>
        <w:t>预算</w:t>
      </w:r>
      <w:r>
        <w:rPr>
          <w:rFonts w:hint="eastAsia" w:ascii="宋体" w:hAnsi="宋体" w:cs="宋体"/>
          <w:sz w:val="32"/>
          <w:szCs w:val="32"/>
          <w:lang w:val="en-US" w:eastAsia="zh-CN"/>
        </w:rPr>
        <w:t>批复下达返还广荷物业有限公司应交税费及企业管理费等专项工作经费110万元，</w:t>
      </w:r>
      <w:r>
        <w:rPr>
          <w:rFonts w:hint="default" w:ascii="宋体" w:hAnsi="宋体" w:cs="宋体"/>
          <w:sz w:val="32"/>
          <w:szCs w:val="32"/>
          <w:lang w:val="en-US" w:eastAsia="zh-CN"/>
        </w:rPr>
        <w:t>资金到位率100%。</w:t>
      </w:r>
    </w:p>
    <w:p>
      <w:pPr>
        <w:pStyle w:val="16"/>
        <w:spacing w:line="576" w:lineRule="exact"/>
        <w:ind w:firstLine="640"/>
        <w:rPr>
          <w:rFonts w:hint="eastAsia" w:ascii="宋体" w:hAnsi="宋体" w:cs="宋体"/>
          <w:kern w:val="2"/>
          <w:sz w:val="32"/>
          <w:szCs w:val="32"/>
          <w:lang w:val="en-US" w:eastAsia="zh-CN" w:bidi="ar-SA"/>
        </w:rPr>
      </w:pPr>
      <w:r>
        <w:rPr>
          <w:rFonts w:hint="eastAsia" w:ascii="宋体" w:hAnsi="宋体" w:eastAsia="宋体" w:cs="宋体"/>
          <w:kern w:val="2"/>
          <w:sz w:val="32"/>
          <w:szCs w:val="32"/>
          <w:lang w:val="zh-CN" w:eastAsia="zh-CN" w:bidi="ar-SA"/>
        </w:rPr>
        <w:t>3</w:t>
      </w:r>
      <w:r>
        <w:rPr>
          <w:rFonts w:hint="eastAsia" w:ascii="宋体" w:hAnsi="宋体" w:eastAsia="宋体" w:cs="宋体"/>
          <w:kern w:val="2"/>
          <w:sz w:val="32"/>
          <w:szCs w:val="32"/>
          <w:lang w:val="en-US" w:eastAsia="zh-CN" w:bidi="ar-SA"/>
        </w:rPr>
        <w:t>.</w:t>
      </w:r>
      <w:r>
        <w:rPr>
          <w:rFonts w:hint="eastAsia" w:ascii="宋体" w:hAnsi="宋体" w:eastAsia="宋体" w:cs="宋体"/>
          <w:kern w:val="2"/>
          <w:sz w:val="32"/>
          <w:szCs w:val="32"/>
          <w:lang w:val="zh-CN" w:eastAsia="zh-CN" w:bidi="ar-SA"/>
        </w:rPr>
        <w:t>资金使用。</w:t>
      </w:r>
      <w:r>
        <w:rPr>
          <w:rFonts w:hint="eastAsia" w:ascii="宋体" w:hAnsi="宋体" w:cs="宋体"/>
          <w:kern w:val="2"/>
          <w:sz w:val="32"/>
          <w:szCs w:val="32"/>
          <w:lang w:val="en-US" w:eastAsia="zh-CN" w:bidi="ar-SA"/>
        </w:rPr>
        <w:t>截止2021年12月31日，项目资金实际支付110万元，用于缴纳广荷</w:t>
      </w:r>
      <w:r>
        <w:rPr>
          <w:rFonts w:hint="eastAsia" w:ascii="宋体" w:hAnsi="宋体" w:eastAsia="宋体" w:cs="宋体"/>
          <w:sz w:val="32"/>
          <w:szCs w:val="32"/>
          <w:lang w:val="en-US" w:eastAsia="zh-CN"/>
        </w:rPr>
        <w:t>物业有限公司</w:t>
      </w:r>
      <w:r>
        <w:rPr>
          <w:rFonts w:hint="eastAsia" w:ascii="宋体" w:hAnsi="宋体" w:cs="宋体"/>
          <w:sz w:val="32"/>
          <w:szCs w:val="32"/>
          <w:lang w:val="en-US" w:eastAsia="zh-CN"/>
        </w:rPr>
        <w:t>各种应交税金，完成项目资金预算100%。</w:t>
      </w:r>
      <w:r>
        <w:rPr>
          <w:rFonts w:hint="eastAsia" w:ascii="宋体" w:hAnsi="宋体" w:cs="宋体"/>
          <w:kern w:val="2"/>
          <w:sz w:val="32"/>
          <w:szCs w:val="32"/>
          <w:lang w:val="en-US" w:eastAsia="zh-CN" w:bidi="ar-SA"/>
        </w:rPr>
        <w:t>我办严格按照工作进度申请资金拨付，做到专款专用，支付合规合法，资金支付与预算相符。</w:t>
      </w:r>
    </w:p>
    <w:p>
      <w:pPr>
        <w:pStyle w:val="16"/>
        <w:spacing w:line="576" w:lineRule="exact"/>
        <w:ind w:firstLine="640"/>
        <w:rPr>
          <w:rFonts w:hint="eastAsia" w:ascii="宋体" w:hAnsi="宋体" w:cs="宋体"/>
          <w:b/>
          <w:bCs/>
          <w:sz w:val="32"/>
          <w:szCs w:val="32"/>
          <w:lang w:eastAsia="zh-CN"/>
        </w:rPr>
      </w:pPr>
      <w:r>
        <w:rPr>
          <w:rFonts w:hint="eastAsia" w:ascii="宋体" w:hAnsi="宋体" w:cs="宋体"/>
          <w:b/>
          <w:bCs/>
          <w:sz w:val="32"/>
          <w:szCs w:val="32"/>
          <w:lang w:eastAsia="zh-CN"/>
        </w:rPr>
        <w:t>（</w:t>
      </w:r>
      <w:r>
        <w:rPr>
          <w:rFonts w:hint="eastAsia" w:ascii="宋体" w:hAnsi="宋体" w:cs="宋体"/>
          <w:b/>
          <w:bCs/>
          <w:sz w:val="32"/>
          <w:szCs w:val="32"/>
          <w:lang w:val="en-US" w:eastAsia="zh-CN"/>
        </w:rPr>
        <w:t>三</w:t>
      </w:r>
      <w:r>
        <w:rPr>
          <w:rFonts w:hint="eastAsia" w:ascii="宋体" w:hAnsi="宋体" w:cs="宋体"/>
          <w:b/>
          <w:bCs/>
          <w:sz w:val="32"/>
          <w:szCs w:val="32"/>
          <w:lang w:eastAsia="zh-CN"/>
        </w:rPr>
        <w:t>）项目财务管理情况</w:t>
      </w:r>
    </w:p>
    <w:p>
      <w:pPr>
        <w:numPr>
          <w:ilvl w:val="0"/>
          <w:numId w:val="0"/>
        </w:numPr>
        <w:snapToGrid/>
        <w:spacing w:before="0" w:beforeAutospacing="0" w:after="0" w:afterAutospacing="0" w:line="540" w:lineRule="exact"/>
        <w:ind w:firstLine="640" w:firstLineChars="200"/>
        <w:jc w:val="both"/>
        <w:textAlignment w:val="baseline"/>
        <w:rPr>
          <w:rFonts w:hint="eastAsia" w:ascii="宋体" w:hAnsi="宋体" w:cs="宋体"/>
          <w:sz w:val="32"/>
          <w:szCs w:val="32"/>
          <w:lang w:val="zh-CN" w:eastAsia="zh-CN"/>
        </w:rPr>
      </w:pPr>
      <w:r>
        <w:rPr>
          <w:rFonts w:hint="eastAsia" w:ascii="宋体" w:hAnsi="宋体" w:cs="宋体"/>
          <w:sz w:val="32"/>
          <w:szCs w:val="32"/>
        </w:rPr>
        <w:t>返还广荷物业有限</w:t>
      </w:r>
      <w:r>
        <w:rPr>
          <w:rFonts w:hint="eastAsia" w:ascii="宋体" w:hAnsi="宋体" w:cs="宋体"/>
          <w:sz w:val="32"/>
          <w:szCs w:val="32"/>
          <w:lang w:eastAsia="zh-CN"/>
        </w:rPr>
        <w:t>公司应交税费</w:t>
      </w:r>
      <w:r>
        <w:rPr>
          <w:rFonts w:hint="eastAsia" w:ascii="宋体" w:hAnsi="宋体" w:cs="宋体"/>
          <w:sz w:val="32"/>
          <w:szCs w:val="32"/>
          <w:lang w:val="en-US" w:eastAsia="zh-CN"/>
        </w:rPr>
        <w:t>及企业管理费等专项工作经费</w:t>
      </w:r>
      <w:r>
        <w:rPr>
          <w:rFonts w:hint="eastAsia" w:ascii="宋体" w:hAnsi="宋体" w:cs="宋体"/>
          <w:sz w:val="32"/>
          <w:szCs w:val="32"/>
          <w:lang w:val="zh-CN" w:eastAsia="zh-CN"/>
        </w:rPr>
        <w:t>项目</w:t>
      </w:r>
      <w:r>
        <w:rPr>
          <w:rFonts w:hint="eastAsia" w:ascii="宋体" w:hAnsi="宋体" w:cs="宋体"/>
          <w:sz w:val="32"/>
          <w:szCs w:val="32"/>
          <w:lang w:val="en-US" w:eastAsia="zh-CN"/>
        </w:rPr>
        <w:t>由我办</w:t>
      </w:r>
      <w:r>
        <w:rPr>
          <w:rFonts w:hint="eastAsia" w:ascii="宋体" w:hAnsi="宋体" w:cs="宋体"/>
          <w:sz w:val="32"/>
          <w:szCs w:val="32"/>
          <w:lang w:val="zh-CN" w:eastAsia="zh-CN"/>
        </w:rPr>
        <w:t>财务科负责项目资金管理工作，</w:t>
      </w:r>
      <w:r>
        <w:rPr>
          <w:rFonts w:hint="eastAsia" w:ascii="宋体" w:hAnsi="宋体" w:cs="宋体"/>
          <w:sz w:val="32"/>
          <w:szCs w:val="32"/>
          <w:lang w:eastAsia="zh-CN"/>
        </w:rPr>
        <w:t>严格</w:t>
      </w:r>
      <w:r>
        <w:rPr>
          <w:rFonts w:hint="eastAsia" w:ascii="宋体" w:hAnsi="宋体" w:cs="宋体"/>
          <w:sz w:val="32"/>
          <w:szCs w:val="32"/>
          <w:lang w:val="en-US" w:eastAsia="zh-CN"/>
        </w:rPr>
        <w:t>按照市政府及市财政局相关财经要求，实行收支两条线，全年收入按照年初计划上交市财政，</w:t>
      </w:r>
      <w:r>
        <w:rPr>
          <w:rFonts w:hint="eastAsia" w:ascii="宋体" w:hAnsi="宋体" w:cs="宋体"/>
          <w:sz w:val="32"/>
          <w:szCs w:val="32"/>
        </w:rPr>
        <w:t>返还</w:t>
      </w:r>
      <w:r>
        <w:rPr>
          <w:rFonts w:hint="eastAsia" w:ascii="宋体" w:hAnsi="宋体" w:cs="宋体"/>
          <w:sz w:val="32"/>
          <w:szCs w:val="32"/>
          <w:lang w:eastAsia="zh-CN"/>
        </w:rPr>
        <w:t>的应交税费用于企业缴纳各项税金</w:t>
      </w:r>
      <w:r>
        <w:rPr>
          <w:rFonts w:hint="eastAsia" w:ascii="宋体" w:hAnsi="宋体" w:cs="宋体"/>
          <w:sz w:val="32"/>
          <w:szCs w:val="32"/>
          <w:lang w:val="en-US" w:eastAsia="zh-CN"/>
        </w:rPr>
        <w:t>。同时严格按照工作进度申请资金拨付</w:t>
      </w:r>
      <w:r>
        <w:rPr>
          <w:rFonts w:hint="eastAsia" w:ascii="宋体" w:hAnsi="宋体" w:cs="宋体"/>
          <w:sz w:val="32"/>
          <w:szCs w:val="32"/>
          <w:lang w:val="zh-CN" w:eastAsia="zh-CN"/>
        </w:rPr>
        <w:t>，资金使用范围规范，账务处理及时，会计核算规范，符合财务管理要求。</w:t>
      </w:r>
    </w:p>
    <w:p>
      <w:pPr>
        <w:pStyle w:val="16"/>
        <w:spacing w:line="576" w:lineRule="exact"/>
        <w:rPr>
          <w:rFonts w:hint="default" w:ascii="宋体" w:hAnsi="宋体" w:cs="宋体"/>
          <w:b/>
          <w:bCs/>
          <w:sz w:val="32"/>
          <w:szCs w:val="32"/>
          <w:lang w:val="en-US" w:eastAsia="zh-CN"/>
        </w:rPr>
      </w:pPr>
      <w:r>
        <w:rPr>
          <w:rFonts w:hint="eastAsia" w:ascii="宋体" w:hAnsi="宋体" w:cs="宋体"/>
          <w:b/>
          <w:bCs/>
          <w:sz w:val="32"/>
          <w:szCs w:val="32"/>
          <w:lang w:val="en-US" w:eastAsia="zh-CN"/>
        </w:rPr>
        <w:t>三、项目实施及管理情况</w:t>
      </w:r>
    </w:p>
    <w:p>
      <w:pPr>
        <w:pStyle w:val="16"/>
        <w:spacing w:line="576" w:lineRule="exact"/>
        <w:ind w:firstLine="640"/>
        <w:rPr>
          <w:rFonts w:hint="eastAsia" w:ascii="宋体" w:hAnsi="宋体" w:cs="宋体"/>
          <w:b/>
          <w:bCs/>
          <w:kern w:val="2"/>
          <w:sz w:val="32"/>
          <w:szCs w:val="32"/>
          <w:lang w:val="en-US" w:eastAsia="zh-CN" w:bidi="ar-SA"/>
        </w:rPr>
      </w:pPr>
      <w:r>
        <w:rPr>
          <w:rFonts w:hint="eastAsia" w:ascii="宋体" w:hAnsi="宋体" w:cs="宋体"/>
          <w:b/>
          <w:bCs/>
          <w:kern w:val="2"/>
          <w:sz w:val="32"/>
          <w:szCs w:val="32"/>
          <w:lang w:val="en-US" w:eastAsia="zh-CN" w:bidi="ar-SA"/>
        </w:rPr>
        <w:t>（一）项目组织架构及实施流程</w:t>
      </w:r>
    </w:p>
    <w:p>
      <w:pPr>
        <w:pStyle w:val="5"/>
        <w:rPr>
          <w:rFonts w:hint="default"/>
          <w:lang w:val="en-US" w:eastAsia="zh-CN"/>
        </w:rPr>
      </w:pPr>
      <w:r>
        <w:rPr>
          <w:rFonts w:hint="eastAsia" w:ascii="宋体" w:hAnsi="宋体" w:eastAsia="宋体" w:cs="宋体"/>
          <w:kern w:val="2"/>
          <w:sz w:val="32"/>
          <w:szCs w:val="32"/>
          <w:lang w:val="en-US" w:eastAsia="zh-CN" w:bidi="ar-SA"/>
        </w:rPr>
        <w:t>该项目由我单位代管企业广荷物</w:t>
      </w:r>
      <w:r>
        <w:rPr>
          <w:rFonts w:hint="eastAsia" w:ascii="宋体" w:hAnsi="宋体" w:cs="宋体"/>
          <w:sz w:val="32"/>
          <w:szCs w:val="32"/>
          <w:lang w:val="en-US" w:eastAsia="zh-CN"/>
        </w:rPr>
        <w:t>业</w:t>
      </w:r>
      <w:r>
        <w:rPr>
          <w:rFonts w:hint="eastAsia" w:ascii="宋体" w:hAnsi="宋体" w:cs="宋体"/>
          <w:sz w:val="32"/>
          <w:szCs w:val="32"/>
        </w:rPr>
        <w:t>有限</w:t>
      </w:r>
      <w:r>
        <w:rPr>
          <w:rFonts w:hint="eastAsia" w:ascii="宋体" w:hAnsi="宋体" w:cs="宋体"/>
          <w:sz w:val="32"/>
          <w:szCs w:val="32"/>
          <w:lang w:eastAsia="zh-CN"/>
        </w:rPr>
        <w:t>公司</w:t>
      </w:r>
      <w:r>
        <w:rPr>
          <w:rFonts w:hint="eastAsia" w:ascii="宋体" w:hAnsi="宋体" w:cs="宋体"/>
          <w:sz w:val="32"/>
          <w:szCs w:val="32"/>
          <w:lang w:val="en-US" w:eastAsia="zh-CN"/>
        </w:rPr>
        <w:t>组织实施。</w:t>
      </w:r>
      <w:r>
        <w:rPr>
          <w:rFonts w:hint="eastAsia" w:ascii="宋体" w:hAnsi="宋体" w:eastAsia="宋体" w:cs="宋体"/>
          <w:kern w:val="2"/>
          <w:sz w:val="32"/>
          <w:szCs w:val="32"/>
          <w:lang w:val="en-US" w:eastAsia="zh-CN" w:bidi="ar-SA"/>
        </w:rPr>
        <w:t>广荷物</w:t>
      </w:r>
      <w:r>
        <w:rPr>
          <w:rFonts w:hint="eastAsia" w:ascii="宋体" w:hAnsi="宋体" w:cs="宋体"/>
          <w:sz w:val="32"/>
          <w:szCs w:val="32"/>
          <w:lang w:val="en-US" w:eastAsia="zh-CN"/>
        </w:rPr>
        <w:t>业</w:t>
      </w:r>
      <w:r>
        <w:rPr>
          <w:rFonts w:hint="eastAsia" w:ascii="宋体" w:hAnsi="宋体" w:cs="宋体"/>
          <w:sz w:val="32"/>
          <w:szCs w:val="32"/>
        </w:rPr>
        <w:t>有限</w:t>
      </w:r>
      <w:r>
        <w:rPr>
          <w:rFonts w:hint="eastAsia" w:ascii="宋体" w:hAnsi="宋体" w:cs="宋体"/>
          <w:sz w:val="32"/>
          <w:szCs w:val="32"/>
          <w:lang w:eastAsia="zh-CN"/>
        </w:rPr>
        <w:t>公司严格</w:t>
      </w:r>
      <w:r>
        <w:rPr>
          <w:rFonts w:hint="eastAsia" w:ascii="宋体" w:hAnsi="宋体" w:cs="宋体"/>
          <w:sz w:val="32"/>
          <w:szCs w:val="32"/>
          <w:lang w:val="en-US" w:eastAsia="zh-CN"/>
        </w:rPr>
        <w:t>按照市政府及市财政局相关财经要求，实行收支两条线，收到的铺面租金按照年初计划上交市财政，</w:t>
      </w:r>
      <w:r>
        <w:rPr>
          <w:rFonts w:hint="eastAsia" w:ascii="宋体" w:hAnsi="宋体" w:cs="宋体"/>
          <w:sz w:val="32"/>
          <w:szCs w:val="32"/>
        </w:rPr>
        <w:t>返还</w:t>
      </w:r>
      <w:r>
        <w:rPr>
          <w:rFonts w:hint="eastAsia" w:ascii="宋体" w:hAnsi="宋体" w:cs="宋体"/>
          <w:sz w:val="32"/>
          <w:szCs w:val="32"/>
          <w:lang w:eastAsia="zh-CN"/>
        </w:rPr>
        <w:t>的应交税费用于企业缴纳</w:t>
      </w:r>
      <w:r>
        <w:rPr>
          <w:rFonts w:hint="eastAsia" w:ascii="宋体" w:hAnsi="宋体" w:cs="宋体"/>
          <w:sz w:val="32"/>
          <w:szCs w:val="32"/>
          <w:lang w:val="en-US" w:eastAsia="zh-CN"/>
        </w:rPr>
        <w:t>各种应交税金。</w:t>
      </w:r>
    </w:p>
    <w:p>
      <w:pPr>
        <w:pStyle w:val="16"/>
        <w:spacing w:line="576" w:lineRule="exact"/>
        <w:ind w:firstLine="640"/>
        <w:rPr>
          <w:rFonts w:hint="eastAsia" w:ascii="宋体" w:hAnsi="宋体" w:cs="宋体"/>
          <w:b/>
          <w:bCs/>
          <w:kern w:val="2"/>
          <w:sz w:val="32"/>
          <w:szCs w:val="32"/>
          <w:lang w:val="en-US" w:eastAsia="zh-CN" w:bidi="ar-SA"/>
        </w:rPr>
      </w:pPr>
      <w:r>
        <w:rPr>
          <w:rFonts w:hint="eastAsia" w:ascii="宋体" w:hAnsi="宋体" w:cs="宋体"/>
          <w:b/>
          <w:bCs/>
          <w:kern w:val="2"/>
          <w:sz w:val="32"/>
          <w:szCs w:val="32"/>
          <w:lang w:val="en-US" w:eastAsia="zh-CN" w:bidi="ar-SA"/>
        </w:rPr>
        <w:t>（二）项目管理情况</w:t>
      </w:r>
    </w:p>
    <w:p>
      <w:pPr>
        <w:pStyle w:val="5"/>
        <w:ind w:firstLine="960" w:firstLineChars="300"/>
        <w:rPr>
          <w:rFonts w:hint="eastAsia" w:ascii="宋体" w:hAnsi="宋体" w:cs="宋体"/>
          <w:sz w:val="32"/>
          <w:szCs w:val="32"/>
          <w:lang w:val="en-US" w:eastAsia="zh-CN"/>
        </w:rPr>
      </w:pPr>
      <w:r>
        <w:rPr>
          <w:rFonts w:hint="eastAsia" w:ascii="宋体" w:hAnsi="宋体" w:eastAsia="宋体" w:cs="宋体"/>
          <w:kern w:val="2"/>
          <w:sz w:val="32"/>
          <w:szCs w:val="32"/>
          <w:lang w:val="en-US" w:eastAsia="zh-CN" w:bidi="ar-SA"/>
        </w:rPr>
        <w:t>广荷物</w:t>
      </w:r>
      <w:r>
        <w:rPr>
          <w:rFonts w:hint="eastAsia" w:ascii="宋体" w:hAnsi="宋体" w:cs="宋体"/>
          <w:sz w:val="32"/>
          <w:szCs w:val="32"/>
          <w:lang w:val="en-US" w:eastAsia="zh-CN"/>
        </w:rPr>
        <w:t>业</w:t>
      </w:r>
      <w:r>
        <w:rPr>
          <w:rFonts w:hint="eastAsia" w:ascii="宋体" w:hAnsi="宋体" w:cs="宋体"/>
          <w:sz w:val="32"/>
          <w:szCs w:val="32"/>
        </w:rPr>
        <w:t>有限</w:t>
      </w:r>
      <w:r>
        <w:rPr>
          <w:rFonts w:hint="eastAsia" w:ascii="宋体" w:hAnsi="宋体" w:cs="宋体"/>
          <w:sz w:val="32"/>
          <w:szCs w:val="32"/>
          <w:lang w:eastAsia="zh-CN"/>
        </w:rPr>
        <w:t>公司</w:t>
      </w:r>
      <w:r>
        <w:rPr>
          <w:rFonts w:hint="eastAsia" w:ascii="宋体" w:hAnsi="宋体" w:cs="宋体"/>
          <w:sz w:val="32"/>
          <w:szCs w:val="32"/>
          <w:lang w:val="en-US" w:eastAsia="zh-CN"/>
        </w:rPr>
        <w:t>认真落实相关政策，对成都荷花池十四交易区铺面进行管理，完成租金收入，并及时上交市财政局，保障了2021年非税收入完成。同时，市财政局返还</w:t>
      </w:r>
      <w:r>
        <w:rPr>
          <w:rFonts w:hint="eastAsia" w:ascii="宋体" w:hAnsi="宋体" w:cs="宋体"/>
          <w:sz w:val="32"/>
          <w:szCs w:val="32"/>
          <w:lang w:eastAsia="zh-CN"/>
        </w:rPr>
        <w:t>应交税费</w:t>
      </w:r>
      <w:r>
        <w:rPr>
          <w:rFonts w:hint="eastAsia" w:ascii="宋体" w:hAnsi="宋体" w:cs="宋体"/>
          <w:sz w:val="32"/>
          <w:szCs w:val="32"/>
          <w:lang w:val="en-US" w:eastAsia="zh-CN"/>
        </w:rPr>
        <w:t>及企业管理费等用于企业经营，保障了企业合法有序的经营。</w:t>
      </w:r>
    </w:p>
    <w:p>
      <w:pPr>
        <w:pStyle w:val="16"/>
        <w:spacing w:line="576" w:lineRule="exact"/>
        <w:ind w:firstLine="640"/>
        <w:rPr>
          <w:rFonts w:hint="default" w:ascii="宋体" w:hAnsi="宋体" w:cs="宋体"/>
          <w:b/>
          <w:bCs/>
          <w:kern w:val="2"/>
          <w:sz w:val="32"/>
          <w:szCs w:val="32"/>
          <w:lang w:val="en-US" w:eastAsia="zh-CN" w:bidi="ar-SA"/>
        </w:rPr>
      </w:pPr>
      <w:r>
        <w:rPr>
          <w:rFonts w:hint="eastAsia" w:ascii="宋体" w:hAnsi="宋体" w:cs="宋体"/>
          <w:b/>
          <w:bCs/>
          <w:kern w:val="2"/>
          <w:sz w:val="32"/>
          <w:szCs w:val="32"/>
          <w:lang w:val="en-US" w:eastAsia="zh-CN" w:bidi="ar-SA"/>
        </w:rPr>
        <w:t>（三）项目监管情况</w:t>
      </w:r>
    </w:p>
    <w:p>
      <w:pPr>
        <w:numPr>
          <w:ilvl w:val="0"/>
          <w:numId w:val="0"/>
        </w:numPr>
        <w:snapToGrid/>
        <w:spacing w:before="0" w:beforeAutospacing="0" w:after="0" w:afterAutospacing="0" w:line="540" w:lineRule="exact"/>
        <w:ind w:firstLine="640" w:firstLineChars="200"/>
        <w:jc w:val="both"/>
        <w:textAlignment w:val="baseline"/>
        <w:rPr>
          <w:rFonts w:hint="eastAsia" w:ascii="宋体" w:hAnsi="宋体" w:cs="宋体"/>
          <w:sz w:val="32"/>
          <w:szCs w:val="32"/>
          <w:lang w:val="en-US" w:eastAsia="zh-CN"/>
        </w:rPr>
      </w:pPr>
      <w:r>
        <w:rPr>
          <w:rFonts w:hint="eastAsia" w:ascii="宋体" w:hAnsi="宋体" w:cs="宋体"/>
          <w:sz w:val="32"/>
          <w:szCs w:val="32"/>
          <w:lang w:val="en-US" w:eastAsia="zh-CN"/>
        </w:rPr>
        <w:t>我单位</w:t>
      </w:r>
      <w:r>
        <w:rPr>
          <w:rFonts w:hint="eastAsia" w:ascii="宋体" w:hAnsi="宋体" w:cs="宋体"/>
          <w:sz w:val="32"/>
          <w:szCs w:val="32"/>
          <w:lang w:val="zh-CN" w:eastAsia="zh-CN"/>
        </w:rPr>
        <w:t>建立完善了监管制度，对项目的实施进行了全面的监管。</w:t>
      </w:r>
    </w:p>
    <w:p>
      <w:pPr>
        <w:pStyle w:val="16"/>
        <w:spacing w:line="576" w:lineRule="exact"/>
        <w:ind w:left="640" w:firstLine="0" w:firstLineChars="0"/>
        <w:rPr>
          <w:rFonts w:ascii="黑体" w:hAnsi="宋体" w:eastAsia="黑体"/>
          <w:sz w:val="32"/>
          <w:szCs w:val="32"/>
        </w:rPr>
      </w:pPr>
      <w:r>
        <w:rPr>
          <w:rFonts w:hint="eastAsia" w:ascii="黑体" w:hAnsi="宋体" w:eastAsia="黑体"/>
          <w:sz w:val="32"/>
          <w:szCs w:val="32"/>
          <w:lang w:val="en-US" w:eastAsia="zh-CN"/>
        </w:rPr>
        <w:t>四</w:t>
      </w:r>
      <w:r>
        <w:rPr>
          <w:rFonts w:hint="eastAsia" w:ascii="黑体" w:hAnsi="宋体" w:eastAsia="黑体"/>
          <w:sz w:val="32"/>
          <w:szCs w:val="32"/>
        </w:rPr>
        <w:t>、项目绩效情况</w:t>
      </w:r>
    </w:p>
    <w:p>
      <w:pPr>
        <w:pStyle w:val="16"/>
        <w:spacing w:line="576" w:lineRule="exact"/>
        <w:ind w:firstLine="640"/>
        <w:rPr>
          <w:rFonts w:hint="eastAsia" w:ascii="宋体" w:hAnsi="宋体" w:cs="宋体"/>
          <w:b/>
          <w:bCs/>
          <w:kern w:val="2"/>
          <w:sz w:val="32"/>
          <w:szCs w:val="32"/>
          <w:lang w:val="en-US" w:eastAsia="zh-CN" w:bidi="ar-SA"/>
        </w:rPr>
      </w:pPr>
      <w:r>
        <w:rPr>
          <w:rFonts w:hint="eastAsia" w:ascii="宋体" w:hAnsi="宋体" w:cs="宋体"/>
          <w:b/>
          <w:bCs/>
          <w:kern w:val="2"/>
          <w:sz w:val="32"/>
          <w:szCs w:val="32"/>
          <w:lang w:val="en-US" w:eastAsia="zh-CN" w:bidi="ar-SA"/>
        </w:rPr>
        <w:t>（一）项目完成情况</w:t>
      </w:r>
    </w:p>
    <w:p>
      <w:pPr>
        <w:pStyle w:val="16"/>
        <w:spacing w:line="576" w:lineRule="exact"/>
        <w:ind w:firstLine="640"/>
        <w:rPr>
          <w:rFonts w:hint="eastAsia" w:ascii="宋体" w:hAnsi="宋体" w:cs="宋体"/>
          <w:sz w:val="32"/>
          <w:szCs w:val="32"/>
          <w:lang w:val="en-US" w:eastAsia="zh-CN"/>
        </w:rPr>
      </w:pPr>
      <w:r>
        <w:rPr>
          <w:rFonts w:hint="eastAsia" w:ascii="宋体" w:hAnsi="宋体" w:cs="宋体"/>
          <w:kern w:val="2"/>
          <w:sz w:val="32"/>
          <w:szCs w:val="32"/>
          <w:lang w:val="en-US" w:eastAsia="zh-CN" w:bidi="ar-SA"/>
        </w:rPr>
        <w:t>2021年，广荷物业有限公司按照年初工作计划，完成了600万元租金收取工作，</w:t>
      </w:r>
      <w:r>
        <w:rPr>
          <w:rFonts w:hint="eastAsia" w:ascii="宋体" w:hAnsi="宋体" w:cs="宋体"/>
          <w:sz w:val="32"/>
          <w:szCs w:val="32"/>
          <w:lang w:val="en-US" w:eastAsia="zh-CN"/>
        </w:rPr>
        <w:t>并及时上交市财政局</w:t>
      </w:r>
      <w:r>
        <w:rPr>
          <w:rFonts w:hint="eastAsia" w:ascii="宋体" w:hAnsi="宋体" w:cs="宋体"/>
          <w:kern w:val="2"/>
          <w:sz w:val="32"/>
          <w:szCs w:val="32"/>
          <w:lang w:val="en-US" w:eastAsia="zh-CN" w:bidi="ar-SA"/>
        </w:rPr>
        <w:t>。</w:t>
      </w:r>
      <w:r>
        <w:rPr>
          <w:rFonts w:hint="eastAsia" w:ascii="宋体" w:hAnsi="宋体" w:cs="宋体"/>
          <w:sz w:val="32"/>
          <w:szCs w:val="32"/>
        </w:rPr>
        <w:t>返还</w:t>
      </w:r>
      <w:r>
        <w:rPr>
          <w:rFonts w:hint="eastAsia" w:ascii="宋体" w:hAnsi="宋体" w:cs="宋体"/>
          <w:sz w:val="32"/>
          <w:szCs w:val="32"/>
          <w:lang w:eastAsia="zh-CN"/>
        </w:rPr>
        <w:t>的企业</w:t>
      </w:r>
      <w:r>
        <w:rPr>
          <w:rFonts w:hint="eastAsia" w:ascii="宋体" w:hAnsi="宋体" w:cs="宋体"/>
          <w:sz w:val="32"/>
          <w:szCs w:val="32"/>
          <w:lang w:val="en-US" w:eastAsia="zh-CN"/>
        </w:rPr>
        <w:t>应交税金110万元，用于企业各种应交税费</w:t>
      </w:r>
      <w:r>
        <w:rPr>
          <w:rFonts w:hint="eastAsia" w:ascii="宋体" w:hAnsi="宋体" w:cs="宋体"/>
          <w:kern w:val="2"/>
          <w:sz w:val="32"/>
          <w:szCs w:val="32"/>
          <w:lang w:val="en-US" w:eastAsia="zh-CN" w:bidi="ar-SA"/>
        </w:rPr>
        <w:t>，</w:t>
      </w:r>
      <w:r>
        <w:rPr>
          <w:rFonts w:hint="eastAsia" w:ascii="宋体" w:hAnsi="宋体" w:cs="宋体"/>
          <w:sz w:val="32"/>
          <w:szCs w:val="32"/>
          <w:lang w:val="en-US" w:eastAsia="zh-CN"/>
        </w:rPr>
        <w:t>实行专款专用，并按计划申请拨付资金，严格审批程序，规范使用，预算执行率为100%。</w:t>
      </w:r>
    </w:p>
    <w:p>
      <w:pPr>
        <w:pStyle w:val="16"/>
        <w:spacing w:line="576" w:lineRule="exact"/>
        <w:ind w:firstLine="640"/>
        <w:rPr>
          <w:rFonts w:hint="eastAsia" w:ascii="宋体" w:hAnsi="宋体" w:cs="宋体"/>
          <w:b/>
          <w:bCs/>
          <w:sz w:val="32"/>
          <w:szCs w:val="32"/>
        </w:rPr>
      </w:pPr>
      <w:r>
        <w:rPr>
          <w:rFonts w:hint="eastAsia" w:ascii="宋体" w:hAnsi="宋体" w:cs="宋体"/>
          <w:b/>
          <w:bCs/>
          <w:sz w:val="32"/>
          <w:szCs w:val="32"/>
        </w:rPr>
        <w:t>（二）项目效益情况</w:t>
      </w:r>
    </w:p>
    <w:p>
      <w:pPr>
        <w:pStyle w:val="16"/>
        <w:spacing w:line="576" w:lineRule="exact"/>
        <w:ind w:firstLine="640"/>
        <w:rPr>
          <w:rFonts w:hint="eastAsia" w:ascii="宋体" w:hAnsi="宋体" w:cs="宋体"/>
          <w:sz w:val="32"/>
          <w:szCs w:val="32"/>
          <w:lang w:val="en-US" w:eastAsia="zh-CN"/>
        </w:rPr>
      </w:pPr>
      <w:r>
        <w:rPr>
          <w:rFonts w:hint="eastAsia" w:ascii="宋体" w:hAnsi="宋体" w:cs="宋体"/>
          <w:sz w:val="32"/>
          <w:szCs w:val="32"/>
        </w:rPr>
        <w:t>该项目</w:t>
      </w:r>
      <w:r>
        <w:rPr>
          <w:rFonts w:hint="eastAsia" w:ascii="宋体" w:hAnsi="宋体" w:cs="宋体"/>
          <w:sz w:val="32"/>
          <w:szCs w:val="32"/>
          <w:lang w:val="en-US" w:eastAsia="zh-CN"/>
        </w:rPr>
        <w:t>的</w:t>
      </w:r>
      <w:r>
        <w:rPr>
          <w:rFonts w:hint="eastAsia" w:ascii="宋体" w:hAnsi="宋体" w:cs="宋体"/>
          <w:sz w:val="32"/>
          <w:szCs w:val="32"/>
        </w:rPr>
        <w:t>实施，</w:t>
      </w:r>
      <w:r>
        <w:rPr>
          <w:rFonts w:hint="eastAsia" w:ascii="宋体" w:hAnsi="宋体" w:cs="宋体"/>
          <w:sz w:val="32"/>
          <w:szCs w:val="32"/>
          <w:lang w:val="en-US" w:eastAsia="zh-CN"/>
        </w:rPr>
        <w:t>保障了企业合法有序的经营，企业营运良好，经营业主满意度达到95%以上。完成了2021年租金的收取工作，</w:t>
      </w:r>
      <w:r>
        <w:rPr>
          <w:rFonts w:hint="eastAsia" w:ascii="宋体" w:hAnsi="宋体" w:cs="宋体"/>
          <w:sz w:val="32"/>
          <w:szCs w:val="32"/>
          <w:lang w:eastAsia="zh-CN"/>
        </w:rPr>
        <w:t>增加了市财政的</w:t>
      </w:r>
      <w:r>
        <w:rPr>
          <w:rFonts w:hint="eastAsia" w:ascii="宋体" w:hAnsi="宋体" w:cs="宋体"/>
          <w:sz w:val="32"/>
          <w:szCs w:val="32"/>
          <w:lang w:val="en-US" w:eastAsia="zh-CN"/>
        </w:rPr>
        <w:t>非</w:t>
      </w:r>
      <w:r>
        <w:rPr>
          <w:rFonts w:hint="eastAsia" w:ascii="宋体" w:hAnsi="宋体" w:cs="宋体"/>
          <w:sz w:val="32"/>
          <w:szCs w:val="32"/>
          <w:lang w:eastAsia="zh-CN"/>
        </w:rPr>
        <w:t>税收入。</w:t>
      </w:r>
    </w:p>
    <w:p>
      <w:pPr>
        <w:pStyle w:val="16"/>
        <w:spacing w:line="576" w:lineRule="exact"/>
        <w:ind w:left="640" w:firstLine="0" w:firstLineChars="0"/>
        <w:rPr>
          <w:rFonts w:ascii="黑体" w:hAnsi="宋体" w:eastAsia="黑体"/>
          <w:sz w:val="32"/>
          <w:szCs w:val="32"/>
        </w:rPr>
      </w:pPr>
      <w:r>
        <w:rPr>
          <w:rFonts w:hint="eastAsia" w:ascii="黑体" w:hAnsi="宋体" w:eastAsia="黑体"/>
          <w:sz w:val="32"/>
          <w:szCs w:val="32"/>
          <w:lang w:val="en-US" w:eastAsia="zh-CN"/>
        </w:rPr>
        <w:t>五</w:t>
      </w:r>
      <w:r>
        <w:rPr>
          <w:rFonts w:hint="eastAsia" w:ascii="黑体" w:hAnsi="宋体" w:eastAsia="黑体"/>
          <w:sz w:val="32"/>
          <w:szCs w:val="32"/>
        </w:rPr>
        <w:t>、</w:t>
      </w:r>
      <w:r>
        <w:rPr>
          <w:rFonts w:hint="eastAsia" w:ascii="黑体" w:hAnsi="宋体" w:eastAsia="黑体"/>
          <w:sz w:val="32"/>
          <w:szCs w:val="32"/>
          <w:lang w:val="en-US" w:eastAsia="zh-CN"/>
        </w:rPr>
        <w:t>评价结论</w:t>
      </w:r>
      <w:r>
        <w:rPr>
          <w:rFonts w:hint="eastAsia" w:ascii="黑体" w:hAnsi="宋体" w:eastAsia="黑体"/>
          <w:sz w:val="32"/>
          <w:szCs w:val="32"/>
        </w:rPr>
        <w:t>及建议</w:t>
      </w:r>
    </w:p>
    <w:p>
      <w:pPr>
        <w:pStyle w:val="16"/>
        <w:spacing w:line="576" w:lineRule="exact"/>
        <w:ind w:firstLine="640"/>
        <w:rPr>
          <w:rFonts w:hint="default" w:ascii="宋体" w:hAnsi="宋体" w:cs="宋体"/>
          <w:b/>
          <w:bCs/>
          <w:sz w:val="32"/>
          <w:szCs w:val="32"/>
          <w:lang w:val="en-US" w:eastAsia="zh-CN"/>
        </w:rPr>
      </w:pPr>
      <w:r>
        <w:rPr>
          <w:rFonts w:hint="eastAsia" w:ascii="宋体" w:hAnsi="宋体" w:cs="宋体"/>
          <w:b/>
          <w:bCs/>
          <w:sz w:val="32"/>
          <w:szCs w:val="32"/>
          <w:lang w:eastAsia="zh-CN"/>
        </w:rPr>
        <w:t>（一）</w:t>
      </w:r>
      <w:r>
        <w:rPr>
          <w:rFonts w:hint="eastAsia" w:ascii="宋体" w:hAnsi="宋体" w:cs="宋体"/>
          <w:b/>
          <w:bCs/>
          <w:sz w:val="32"/>
          <w:szCs w:val="32"/>
          <w:lang w:val="en-US" w:eastAsia="zh-CN"/>
        </w:rPr>
        <w:t>评价结论</w:t>
      </w:r>
    </w:p>
    <w:p>
      <w:pPr>
        <w:pStyle w:val="16"/>
        <w:spacing w:line="576" w:lineRule="exact"/>
        <w:ind w:firstLine="640"/>
        <w:rPr>
          <w:rFonts w:hint="default" w:ascii="宋体" w:hAnsi="宋体" w:cs="宋体"/>
          <w:sz w:val="32"/>
          <w:szCs w:val="32"/>
          <w:lang w:val="en-US" w:eastAsia="zh-CN"/>
        </w:rPr>
      </w:pPr>
      <w:r>
        <w:rPr>
          <w:rFonts w:hint="eastAsia" w:ascii="宋体" w:hAnsi="宋体" w:cs="宋体"/>
          <w:sz w:val="32"/>
          <w:szCs w:val="32"/>
          <w:lang w:val="en-US" w:eastAsia="zh-CN"/>
        </w:rPr>
        <w:t>通过</w:t>
      </w:r>
      <w:r>
        <w:rPr>
          <w:rFonts w:hint="eastAsia" w:ascii="宋体" w:hAnsi="宋体" w:cs="宋体"/>
          <w:sz w:val="32"/>
          <w:szCs w:val="32"/>
        </w:rPr>
        <w:t>项目</w:t>
      </w:r>
      <w:r>
        <w:rPr>
          <w:rFonts w:hint="eastAsia" w:ascii="宋体" w:hAnsi="宋体" w:cs="宋体"/>
          <w:sz w:val="32"/>
          <w:szCs w:val="32"/>
          <w:lang w:val="en-US" w:eastAsia="zh-CN"/>
        </w:rPr>
        <w:t>的</w:t>
      </w:r>
      <w:r>
        <w:rPr>
          <w:rFonts w:hint="eastAsia" w:ascii="宋体" w:hAnsi="宋体" w:cs="宋体"/>
          <w:sz w:val="32"/>
          <w:szCs w:val="32"/>
        </w:rPr>
        <w:t>实施，</w:t>
      </w:r>
      <w:r>
        <w:rPr>
          <w:rFonts w:hint="eastAsia" w:ascii="宋体" w:hAnsi="宋体" w:cs="宋体"/>
          <w:sz w:val="32"/>
          <w:szCs w:val="32"/>
          <w:lang w:val="en-US" w:eastAsia="zh-CN"/>
        </w:rPr>
        <w:t>保障了企业合法有序的经营，完成了2021年租金的收取工作，</w:t>
      </w:r>
      <w:r>
        <w:rPr>
          <w:rFonts w:hint="eastAsia" w:ascii="宋体" w:hAnsi="宋体" w:cs="宋体"/>
          <w:sz w:val="32"/>
          <w:szCs w:val="32"/>
          <w:lang w:eastAsia="zh-CN"/>
        </w:rPr>
        <w:t>增加了市财政的</w:t>
      </w:r>
      <w:r>
        <w:rPr>
          <w:rFonts w:hint="eastAsia" w:ascii="宋体" w:hAnsi="宋体" w:cs="宋体"/>
          <w:sz w:val="32"/>
          <w:szCs w:val="32"/>
          <w:lang w:val="en-US" w:eastAsia="zh-CN"/>
        </w:rPr>
        <w:t>非</w:t>
      </w:r>
      <w:r>
        <w:rPr>
          <w:rFonts w:hint="eastAsia" w:ascii="宋体" w:hAnsi="宋体" w:cs="宋体"/>
          <w:sz w:val="32"/>
          <w:szCs w:val="32"/>
          <w:lang w:eastAsia="zh-CN"/>
        </w:rPr>
        <w:t>税收入。</w:t>
      </w:r>
      <w:r>
        <w:rPr>
          <w:rFonts w:hint="eastAsia" w:ascii="宋体" w:hAnsi="宋体" w:cs="宋体"/>
          <w:sz w:val="32"/>
          <w:szCs w:val="32"/>
          <w:lang w:val="en-US" w:eastAsia="zh-CN"/>
        </w:rPr>
        <w:t>全年目标任务完成100%。</w:t>
      </w:r>
    </w:p>
    <w:p>
      <w:pPr>
        <w:pStyle w:val="16"/>
        <w:spacing w:line="576" w:lineRule="exact"/>
        <w:ind w:firstLine="640"/>
        <w:rPr>
          <w:rFonts w:hint="eastAsia" w:ascii="宋体" w:hAnsi="宋体" w:cs="宋体"/>
          <w:b/>
          <w:bCs/>
          <w:sz w:val="32"/>
          <w:szCs w:val="32"/>
        </w:rPr>
      </w:pPr>
      <w:r>
        <w:rPr>
          <w:rFonts w:hint="eastAsia" w:ascii="宋体" w:hAnsi="宋体" w:cs="宋体"/>
          <w:b/>
          <w:bCs/>
          <w:sz w:val="32"/>
          <w:szCs w:val="32"/>
          <w:lang w:eastAsia="zh-CN"/>
        </w:rPr>
        <w:t>（</w:t>
      </w:r>
      <w:r>
        <w:rPr>
          <w:rFonts w:hint="eastAsia" w:ascii="宋体" w:hAnsi="宋体" w:cs="宋体"/>
          <w:b/>
          <w:bCs/>
          <w:sz w:val="32"/>
          <w:szCs w:val="32"/>
          <w:lang w:val="en-US" w:eastAsia="zh-CN"/>
        </w:rPr>
        <w:t>二</w:t>
      </w:r>
      <w:r>
        <w:rPr>
          <w:rFonts w:hint="eastAsia" w:ascii="宋体" w:hAnsi="宋体" w:cs="宋体"/>
          <w:b/>
          <w:bCs/>
          <w:sz w:val="32"/>
          <w:szCs w:val="32"/>
          <w:lang w:eastAsia="zh-CN"/>
        </w:rPr>
        <w:t>）</w:t>
      </w:r>
      <w:r>
        <w:rPr>
          <w:rFonts w:hint="eastAsia" w:ascii="宋体" w:hAnsi="宋体" w:cs="宋体"/>
          <w:b/>
          <w:bCs/>
          <w:sz w:val="32"/>
          <w:szCs w:val="32"/>
        </w:rPr>
        <w:t>存在的问题</w:t>
      </w:r>
    </w:p>
    <w:p>
      <w:pPr>
        <w:numPr>
          <w:ilvl w:val="0"/>
          <w:numId w:val="0"/>
        </w:numPr>
        <w:spacing w:line="600" w:lineRule="exact"/>
        <w:ind w:firstLine="640" w:firstLineChars="200"/>
        <w:rPr>
          <w:rFonts w:hint="eastAsia" w:ascii="宋体" w:hAnsi="宋体" w:eastAsia="宋体" w:cs="宋体"/>
          <w:sz w:val="32"/>
          <w:szCs w:val="32"/>
          <w:lang w:eastAsia="zh-CN"/>
        </w:rPr>
      </w:pPr>
      <w:r>
        <w:rPr>
          <w:rFonts w:hint="eastAsia" w:ascii="宋体" w:hAnsi="宋体"/>
          <w:color w:val="000000"/>
          <w:sz w:val="32"/>
          <w:szCs w:val="32"/>
        </w:rPr>
        <w:t>广荷物业</w:t>
      </w:r>
      <w:r>
        <w:rPr>
          <w:rFonts w:hint="eastAsia" w:ascii="宋体" w:hAnsi="宋体"/>
          <w:color w:val="000000"/>
          <w:sz w:val="32"/>
          <w:szCs w:val="32"/>
          <w:lang w:val="en-US" w:eastAsia="zh-CN"/>
        </w:rPr>
        <w:t>有限</w:t>
      </w:r>
      <w:r>
        <w:rPr>
          <w:rFonts w:hint="eastAsia" w:ascii="宋体" w:hAnsi="宋体"/>
          <w:color w:val="000000"/>
          <w:sz w:val="32"/>
          <w:szCs w:val="32"/>
        </w:rPr>
        <w:t>公司</w:t>
      </w:r>
      <w:r>
        <w:rPr>
          <w:rFonts w:hint="eastAsia" w:ascii="宋体" w:hAnsi="宋体"/>
          <w:color w:val="000000"/>
          <w:sz w:val="32"/>
          <w:szCs w:val="32"/>
          <w:lang w:eastAsia="zh-CN"/>
        </w:rPr>
        <w:t>代管的荷花池第十四交易区市场</w:t>
      </w:r>
      <w:r>
        <w:rPr>
          <w:rFonts w:hint="eastAsia" w:ascii="宋体" w:hAnsi="宋体"/>
          <w:color w:val="000000"/>
          <w:sz w:val="32"/>
          <w:szCs w:val="32"/>
          <w:lang w:val="en-US" w:eastAsia="zh-CN"/>
        </w:rPr>
        <w:t>基础设施陈旧、</w:t>
      </w:r>
      <w:r>
        <w:rPr>
          <w:rFonts w:hint="eastAsia" w:ascii="宋体" w:hAnsi="宋体"/>
          <w:color w:val="000000"/>
          <w:sz w:val="32"/>
          <w:szCs w:val="32"/>
        </w:rPr>
        <w:t>消防系统老化，存在安全隐患，需要更新。</w:t>
      </w:r>
    </w:p>
    <w:p>
      <w:pPr>
        <w:pStyle w:val="16"/>
        <w:spacing w:line="576" w:lineRule="exact"/>
        <w:ind w:firstLine="640"/>
        <w:rPr>
          <w:rFonts w:hint="eastAsia" w:ascii="宋体" w:hAnsi="宋体" w:cs="宋体"/>
          <w:b/>
          <w:bCs/>
          <w:sz w:val="32"/>
          <w:szCs w:val="32"/>
        </w:rPr>
      </w:pPr>
      <w:r>
        <w:rPr>
          <w:rFonts w:hint="eastAsia" w:ascii="宋体" w:hAnsi="宋体" w:cs="宋体"/>
          <w:b/>
          <w:bCs/>
          <w:sz w:val="32"/>
          <w:szCs w:val="32"/>
        </w:rPr>
        <w:t>（</w:t>
      </w:r>
      <w:r>
        <w:rPr>
          <w:rFonts w:hint="eastAsia" w:ascii="宋体" w:hAnsi="宋体" w:cs="宋体"/>
          <w:b/>
          <w:bCs/>
          <w:sz w:val="32"/>
          <w:szCs w:val="32"/>
          <w:lang w:val="en-US" w:eastAsia="zh-CN"/>
        </w:rPr>
        <w:t>三</w:t>
      </w:r>
      <w:r>
        <w:rPr>
          <w:rFonts w:hint="eastAsia" w:ascii="宋体" w:hAnsi="宋体" w:cs="宋体"/>
          <w:b/>
          <w:bCs/>
          <w:sz w:val="32"/>
          <w:szCs w:val="32"/>
        </w:rPr>
        <w:t>）相关建议</w:t>
      </w:r>
    </w:p>
    <w:p>
      <w:pPr>
        <w:numPr>
          <w:ilvl w:val="0"/>
          <w:numId w:val="0"/>
        </w:numPr>
        <w:spacing w:line="600" w:lineRule="exact"/>
        <w:ind w:firstLine="640" w:firstLineChars="200"/>
        <w:rPr>
          <w:rFonts w:hint="eastAsia" w:ascii="方正小标宋简体" w:hAnsi="宋体" w:eastAsia="宋体"/>
          <w:color w:val="000000"/>
          <w:kern w:val="0"/>
          <w:sz w:val="44"/>
          <w:szCs w:val="44"/>
          <w:lang w:eastAsia="zh-CN"/>
        </w:rPr>
      </w:pPr>
      <w:r>
        <w:rPr>
          <w:rFonts w:hint="eastAsia" w:ascii="宋体" w:hAnsi="宋体"/>
          <w:color w:val="000000"/>
          <w:sz w:val="32"/>
          <w:szCs w:val="32"/>
        </w:rPr>
        <w:t>请市财政局将广荷物业</w:t>
      </w:r>
      <w:r>
        <w:rPr>
          <w:rFonts w:hint="eastAsia" w:ascii="宋体" w:hAnsi="宋体"/>
          <w:color w:val="000000"/>
          <w:sz w:val="32"/>
          <w:szCs w:val="32"/>
          <w:lang w:val="en-US" w:eastAsia="zh-CN"/>
        </w:rPr>
        <w:t>有限</w:t>
      </w:r>
      <w:r>
        <w:rPr>
          <w:rFonts w:hint="eastAsia" w:ascii="宋体" w:hAnsi="宋体"/>
          <w:color w:val="000000"/>
          <w:sz w:val="32"/>
          <w:szCs w:val="32"/>
        </w:rPr>
        <w:t>公司更新消防系统等经费纳入财政预算，</w:t>
      </w:r>
      <w:r>
        <w:rPr>
          <w:rFonts w:hint="eastAsia" w:ascii="宋体" w:hAnsi="宋体"/>
          <w:color w:val="000000"/>
          <w:sz w:val="32"/>
          <w:szCs w:val="32"/>
          <w:lang w:eastAsia="zh-CN"/>
        </w:rPr>
        <w:t>消除消防安全隐患。</w:t>
      </w:r>
    </w:p>
    <w:p>
      <w:pPr>
        <w:spacing w:line="600" w:lineRule="exact"/>
        <w:jc w:val="center"/>
        <w:rPr>
          <w:rFonts w:hint="eastAsia" w:ascii="方正小标宋简体" w:hAnsi="宋体" w:eastAsia="方正小标宋简体"/>
          <w:color w:val="000000"/>
          <w:kern w:val="0"/>
          <w:sz w:val="44"/>
          <w:szCs w:val="44"/>
        </w:rPr>
      </w:pPr>
    </w:p>
    <w:p>
      <w:pPr>
        <w:spacing w:line="600" w:lineRule="exact"/>
        <w:jc w:val="center"/>
        <w:rPr>
          <w:rFonts w:hint="eastAsia" w:ascii="方正小标宋简体" w:hAnsi="宋体" w:eastAsia="方正小标宋简体"/>
          <w:color w:val="000000"/>
          <w:kern w:val="0"/>
          <w:sz w:val="44"/>
          <w:szCs w:val="44"/>
        </w:rPr>
      </w:pPr>
    </w:p>
    <w:p>
      <w:pPr>
        <w:pStyle w:val="7"/>
        <w:rPr>
          <w:rFonts w:hint="eastAsia" w:ascii="方正小标宋简体" w:hAnsi="宋体" w:eastAsia="方正小标宋简体"/>
          <w:color w:val="000000"/>
          <w:kern w:val="0"/>
          <w:sz w:val="44"/>
          <w:szCs w:val="44"/>
        </w:rPr>
      </w:pPr>
    </w:p>
    <w:p>
      <w:pPr>
        <w:pStyle w:val="7"/>
        <w:rPr>
          <w:rFonts w:hint="eastAsia" w:ascii="方正小标宋简体" w:hAnsi="宋体" w:eastAsia="方正小标宋简体"/>
          <w:color w:val="000000"/>
          <w:kern w:val="0"/>
          <w:sz w:val="44"/>
          <w:szCs w:val="44"/>
        </w:rPr>
      </w:pPr>
    </w:p>
    <w:p>
      <w:pPr>
        <w:pStyle w:val="7"/>
        <w:rPr>
          <w:rFonts w:hint="eastAsia" w:ascii="方正小标宋简体" w:hAnsi="宋体" w:eastAsia="方正小标宋简体"/>
          <w:color w:val="000000"/>
          <w:kern w:val="0"/>
          <w:sz w:val="44"/>
          <w:szCs w:val="44"/>
        </w:rPr>
      </w:pPr>
    </w:p>
    <w:p>
      <w:pPr>
        <w:pStyle w:val="7"/>
        <w:rPr>
          <w:rFonts w:hint="eastAsia" w:ascii="方正小标宋简体" w:hAnsi="宋体" w:eastAsia="方正小标宋简体"/>
          <w:color w:val="000000"/>
          <w:kern w:val="0"/>
          <w:sz w:val="44"/>
          <w:szCs w:val="44"/>
        </w:rPr>
      </w:pPr>
    </w:p>
    <w:p>
      <w:pPr>
        <w:keepNext w:val="0"/>
        <w:keepLines w:val="0"/>
        <w:widowControl/>
        <w:suppressLineNumbers w:val="0"/>
        <w:jc w:val="left"/>
        <w:textAlignment w:val="center"/>
        <w:rPr>
          <w:rFonts w:hint="default"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附表</w:t>
      </w:r>
    </w:p>
    <w:tbl>
      <w:tblPr>
        <w:tblStyle w:val="11"/>
        <w:tblW w:w="8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990"/>
        <w:gridCol w:w="1271"/>
        <w:gridCol w:w="1489"/>
        <w:gridCol w:w="1905"/>
        <w:gridCol w:w="1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01" w:type="dxa"/>
            <w:gridSpan w:val="6"/>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2021年部门预算项目绩效目标自评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168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主管部门及代码</w:t>
            </w:r>
          </w:p>
        </w:tc>
        <w:tc>
          <w:tcPr>
            <w:tcW w:w="2760"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广元市人民政府办公室302001</w:t>
            </w:r>
          </w:p>
        </w:tc>
        <w:tc>
          <w:tcPr>
            <w:tcW w:w="190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9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广元市人民政府驻成都办事处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686" w:type="dxa"/>
            <w:gridSpan w:val="2"/>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项目预算</w:t>
            </w:r>
          </w:p>
        </w:tc>
        <w:tc>
          <w:tcPr>
            <w:tcW w:w="12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预算数：</w:t>
            </w:r>
          </w:p>
        </w:tc>
        <w:tc>
          <w:tcPr>
            <w:tcW w:w="148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90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执行数：</w:t>
            </w:r>
          </w:p>
        </w:tc>
        <w:tc>
          <w:tcPr>
            <w:tcW w:w="19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686"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执行情况</w:t>
            </w:r>
          </w:p>
        </w:tc>
        <w:tc>
          <w:tcPr>
            <w:tcW w:w="127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w:t>
            </w:r>
          </w:p>
        </w:tc>
        <w:tc>
          <w:tcPr>
            <w:tcW w:w="148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90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w:t>
            </w:r>
          </w:p>
        </w:tc>
        <w:tc>
          <w:tcPr>
            <w:tcW w:w="195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686"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（万元）</w:t>
            </w:r>
          </w:p>
        </w:tc>
        <w:tc>
          <w:tcPr>
            <w:tcW w:w="12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财政拨款</w:t>
            </w:r>
          </w:p>
        </w:tc>
        <w:tc>
          <w:tcPr>
            <w:tcW w:w="148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财政拨款</w:t>
            </w:r>
          </w:p>
        </w:tc>
        <w:tc>
          <w:tcPr>
            <w:tcW w:w="195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686" w:type="dxa"/>
            <w:gridSpan w:val="2"/>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2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148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c>
          <w:tcPr>
            <w:tcW w:w="190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19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9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年度总体目标完成情况</w:t>
            </w:r>
          </w:p>
        </w:tc>
        <w:tc>
          <w:tcPr>
            <w:tcW w:w="3750" w:type="dxa"/>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3855"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696" w:type="dxa"/>
            <w:vMerge w:val="continue"/>
            <w:tcBorders>
              <w:top w:val="nil"/>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50" w:type="dxa"/>
            <w:gridSpan w:val="3"/>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按照国家政策及时缴纳企业应交的各项税金110万元，保障企业合法有序的经营，完成2021年租金取工作。</w:t>
            </w:r>
          </w:p>
        </w:tc>
        <w:tc>
          <w:tcPr>
            <w:tcW w:w="3855" w:type="dxa"/>
            <w:gridSpan w:val="2"/>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按照国家政策及时缴纳企业应交的各项税金110万元，保障企业合法有序的经营，完成2021年租金取工作。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6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年度绩效指标完成情况</w:t>
            </w:r>
          </w:p>
        </w:tc>
        <w:tc>
          <w:tcPr>
            <w:tcW w:w="990" w:type="dxa"/>
            <w:tcBorders>
              <w:top w:val="nil"/>
              <w:left w:val="single" w:color="auto" w:sz="4" w:space="0"/>
              <w:bottom w:val="nil"/>
              <w:right w:val="single" w:color="000000" w:sz="8" w:space="0"/>
            </w:tcBorders>
            <w:shd w:val="clear" w:color="auto" w:fill="auto"/>
            <w:vAlign w:val="center"/>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一级</w:t>
            </w:r>
          </w:p>
        </w:tc>
        <w:tc>
          <w:tcPr>
            <w:tcW w:w="1271"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二级</w:t>
            </w:r>
          </w:p>
        </w:tc>
        <w:tc>
          <w:tcPr>
            <w:tcW w:w="1489"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三级</w:t>
            </w:r>
          </w:p>
        </w:tc>
        <w:tc>
          <w:tcPr>
            <w:tcW w:w="19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预期指标值</w:t>
            </w:r>
          </w:p>
        </w:tc>
        <w:tc>
          <w:tcPr>
            <w:tcW w:w="195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p>
        </w:tc>
        <w:tc>
          <w:tcPr>
            <w:tcW w:w="990"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指标</w:t>
            </w:r>
          </w:p>
        </w:tc>
        <w:tc>
          <w:tcPr>
            <w:tcW w:w="12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指标</w:t>
            </w:r>
          </w:p>
        </w:tc>
        <w:tc>
          <w:tcPr>
            <w:tcW w:w="148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指标</w:t>
            </w: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p>
        </w:tc>
        <w:tc>
          <w:tcPr>
            <w:tcW w:w="1950" w:type="dxa"/>
            <w:vMerge w:val="continue"/>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p>
        </w:tc>
        <w:tc>
          <w:tcPr>
            <w:tcW w:w="990" w:type="dxa"/>
            <w:tcBorders>
              <w:top w:val="nil"/>
              <w:left w:val="single" w:color="auto" w:sz="4" w:space="0"/>
              <w:bottom w:val="nil"/>
              <w:right w:val="single" w:color="000000" w:sz="8" w:space="0"/>
            </w:tcBorders>
            <w:shd w:val="clear" w:color="auto" w:fill="auto"/>
            <w:vAlign w:val="bottom"/>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完成</w:t>
            </w:r>
            <w:r>
              <w:rPr>
                <w:rFonts w:hint="eastAsia" w:ascii="宋体" w:hAnsi="宋体" w:cs="宋体"/>
                <w:i w:val="0"/>
                <w:iCs w:val="0"/>
                <w:color w:val="000000"/>
                <w:kern w:val="0"/>
                <w:sz w:val="24"/>
                <w:szCs w:val="24"/>
                <w:u w:val="none"/>
                <w:lang w:val="en-US" w:eastAsia="zh-CN" w:bidi="ar"/>
              </w:rPr>
              <w:t xml:space="preserve"> </w:t>
            </w:r>
          </w:p>
        </w:tc>
        <w:tc>
          <w:tcPr>
            <w:tcW w:w="1271"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both"/>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数量指标</w:t>
            </w:r>
          </w:p>
        </w:tc>
        <w:tc>
          <w:tcPr>
            <w:tcW w:w="1489"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及时缴纳企业应交税金</w:t>
            </w:r>
          </w:p>
        </w:tc>
        <w:tc>
          <w:tcPr>
            <w:tcW w:w="1905" w:type="dxa"/>
            <w:tcBorders>
              <w:top w:val="single" w:color="000000" w:sz="8" w:space="0"/>
              <w:left w:val="nil"/>
              <w:bottom w:val="single" w:color="000000" w:sz="8" w:space="0"/>
              <w:right w:val="single" w:color="000000" w:sz="8" w:space="0"/>
            </w:tcBorders>
            <w:shd w:val="clear" w:color="auto" w:fill="auto"/>
            <w:vAlign w:val="bottom"/>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保障完成2021年度600万租金收取工作</w:t>
            </w:r>
          </w:p>
        </w:tc>
        <w:tc>
          <w:tcPr>
            <w:tcW w:w="1950"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保障完成了2021年度600万租金收取工作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p>
        </w:tc>
        <w:tc>
          <w:tcPr>
            <w:tcW w:w="990" w:type="dxa"/>
            <w:tcBorders>
              <w:top w:val="nil"/>
              <w:left w:val="single" w:color="auto" w:sz="4" w:space="0"/>
              <w:bottom w:val="nil"/>
              <w:right w:val="single" w:color="000000" w:sz="8" w:space="0"/>
            </w:tcBorders>
            <w:shd w:val="clear" w:color="auto" w:fill="auto"/>
            <w:vAlign w:val="bottom"/>
          </w:tcPr>
          <w:p>
            <w:pPr>
              <w:keepNext w:val="0"/>
              <w:keepLines w:val="0"/>
              <w:widowControl/>
              <w:suppressLineNumbers w:val="0"/>
              <w:jc w:val="both"/>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指标</w:t>
            </w:r>
          </w:p>
        </w:tc>
        <w:tc>
          <w:tcPr>
            <w:tcW w:w="1271"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质量指标</w:t>
            </w:r>
          </w:p>
        </w:tc>
        <w:tc>
          <w:tcPr>
            <w:tcW w:w="1489"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完成2021年租金收取</w:t>
            </w:r>
          </w:p>
        </w:tc>
        <w:tc>
          <w:tcPr>
            <w:tcW w:w="1905" w:type="dxa"/>
            <w:tcBorders>
              <w:top w:val="single" w:color="000000" w:sz="8" w:space="0"/>
              <w:left w:val="nil"/>
              <w:bottom w:val="single" w:color="000000" w:sz="8" w:space="0"/>
              <w:right w:val="single" w:color="000000" w:sz="8" w:space="0"/>
            </w:tcBorders>
            <w:shd w:val="clear" w:color="auto" w:fill="auto"/>
            <w:vAlign w:val="bottom"/>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600万元</w:t>
            </w:r>
          </w:p>
        </w:tc>
        <w:tc>
          <w:tcPr>
            <w:tcW w:w="1950"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600万元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p>
        </w:tc>
        <w:tc>
          <w:tcPr>
            <w:tcW w:w="990" w:type="dxa"/>
            <w:tcBorders>
              <w:top w:val="nil"/>
              <w:left w:val="single" w:color="auto" w:sz="4" w:space="0"/>
              <w:bottom w:val="nil"/>
              <w:right w:val="single" w:color="000000" w:sz="8"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p>
        </w:tc>
        <w:tc>
          <w:tcPr>
            <w:tcW w:w="1271"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时效指标</w:t>
            </w:r>
          </w:p>
        </w:tc>
        <w:tc>
          <w:tcPr>
            <w:tcW w:w="1489"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完成时间</w:t>
            </w:r>
          </w:p>
        </w:tc>
        <w:tc>
          <w:tcPr>
            <w:tcW w:w="1905" w:type="dxa"/>
            <w:tcBorders>
              <w:top w:val="single" w:color="000000" w:sz="8" w:space="0"/>
              <w:left w:val="nil"/>
              <w:bottom w:val="single" w:color="000000" w:sz="8" w:space="0"/>
              <w:right w:val="single" w:color="000000" w:sz="8" w:space="0"/>
            </w:tcBorders>
            <w:shd w:val="clear" w:color="auto" w:fill="auto"/>
            <w:vAlign w:val="bottom"/>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≤12个月</w:t>
            </w:r>
          </w:p>
        </w:tc>
        <w:tc>
          <w:tcPr>
            <w:tcW w:w="1950"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p>
        </w:tc>
        <w:tc>
          <w:tcPr>
            <w:tcW w:w="990" w:type="dxa"/>
            <w:tcBorders>
              <w:top w:val="nil"/>
              <w:left w:val="single" w:color="auto" w:sz="4"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w:t>
            </w:r>
          </w:p>
        </w:tc>
        <w:tc>
          <w:tcPr>
            <w:tcW w:w="1271"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成本指标</w:t>
            </w:r>
          </w:p>
        </w:tc>
        <w:tc>
          <w:tcPr>
            <w:tcW w:w="1489"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各项税金</w:t>
            </w:r>
          </w:p>
        </w:tc>
        <w:tc>
          <w:tcPr>
            <w:tcW w:w="1905" w:type="dxa"/>
            <w:tcBorders>
              <w:top w:val="single" w:color="000000" w:sz="8" w:space="0"/>
              <w:left w:val="nil"/>
              <w:bottom w:val="single" w:color="000000" w:sz="8" w:space="0"/>
              <w:right w:val="single" w:color="000000" w:sz="8" w:space="0"/>
            </w:tcBorders>
            <w:shd w:val="clear" w:color="auto" w:fill="auto"/>
            <w:vAlign w:val="bottom"/>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110万元</w:t>
            </w:r>
          </w:p>
        </w:tc>
        <w:tc>
          <w:tcPr>
            <w:tcW w:w="1950"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p>
        </w:tc>
        <w:tc>
          <w:tcPr>
            <w:tcW w:w="990" w:type="dxa"/>
            <w:tcBorders>
              <w:top w:val="nil"/>
              <w:left w:val="single" w:color="auto" w:sz="4" w:space="0"/>
              <w:bottom w:val="nil"/>
              <w:right w:val="single" w:color="000000" w:sz="8" w:space="0"/>
            </w:tcBorders>
            <w:shd w:val="clear" w:color="auto" w:fill="auto"/>
            <w:vAlign w:val="bottom"/>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效益</w:t>
            </w:r>
          </w:p>
        </w:tc>
        <w:tc>
          <w:tcPr>
            <w:tcW w:w="1271"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社会效益  指标</w:t>
            </w:r>
          </w:p>
        </w:tc>
        <w:tc>
          <w:tcPr>
            <w:tcW w:w="1489"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对企业的作用</w:t>
            </w:r>
          </w:p>
        </w:tc>
        <w:tc>
          <w:tcPr>
            <w:tcW w:w="1905" w:type="dxa"/>
            <w:tcBorders>
              <w:top w:val="single" w:color="000000" w:sz="8" w:space="0"/>
              <w:left w:val="nil"/>
              <w:bottom w:val="single" w:color="000000" w:sz="8" w:space="0"/>
              <w:right w:val="single" w:color="000000" w:sz="8" w:space="0"/>
            </w:tcBorders>
            <w:shd w:val="clear" w:color="auto" w:fill="auto"/>
            <w:vAlign w:val="bottom"/>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保障企业合法有序的经营</w:t>
            </w:r>
          </w:p>
        </w:tc>
        <w:tc>
          <w:tcPr>
            <w:tcW w:w="19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保障了企业合法有序的经营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_GB2312" w:hAnsi="宋体" w:eastAsia="仿宋_GB2312" w:cs="仿宋_GB2312"/>
                <w:i w:val="0"/>
                <w:iCs w:val="0"/>
                <w:color w:val="000000"/>
                <w:sz w:val="28"/>
                <w:szCs w:val="28"/>
                <w:u w:val="none"/>
              </w:rPr>
            </w:pPr>
          </w:p>
        </w:tc>
        <w:tc>
          <w:tcPr>
            <w:tcW w:w="990" w:type="dxa"/>
            <w:tcBorders>
              <w:top w:val="nil"/>
              <w:left w:val="single" w:color="auto" w:sz="4" w:space="0"/>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指标</w:t>
            </w:r>
          </w:p>
        </w:tc>
        <w:tc>
          <w:tcPr>
            <w:tcW w:w="1271"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可持续影响指标</w:t>
            </w:r>
          </w:p>
        </w:tc>
        <w:tc>
          <w:tcPr>
            <w:tcW w:w="1489"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企业正常经营</w:t>
            </w:r>
          </w:p>
        </w:tc>
        <w:tc>
          <w:tcPr>
            <w:tcW w:w="190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企业营运良好</w:t>
            </w:r>
          </w:p>
        </w:tc>
        <w:tc>
          <w:tcPr>
            <w:tcW w:w="19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企业营运良好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_GB2312" w:hAnsi="宋体" w:eastAsia="仿宋_GB2312" w:cs="仿宋_GB2312"/>
                <w:i w:val="0"/>
                <w:iCs w:val="0"/>
                <w:color w:val="000000"/>
                <w:sz w:val="28"/>
                <w:szCs w:val="28"/>
                <w:u w:val="none"/>
              </w:rPr>
            </w:pPr>
          </w:p>
        </w:tc>
        <w:tc>
          <w:tcPr>
            <w:tcW w:w="990" w:type="dxa"/>
            <w:tcBorders>
              <w:top w:val="nil"/>
              <w:left w:val="single" w:color="auto" w:sz="4" w:space="0"/>
              <w:bottom w:val="nil"/>
              <w:right w:val="single" w:color="000000" w:sz="8" w:space="0"/>
            </w:tcBorders>
            <w:shd w:val="clear" w:color="auto" w:fill="auto"/>
            <w:vAlign w:val="bottom"/>
          </w:tcPr>
          <w:p>
            <w:pPr>
              <w:keepNext w:val="0"/>
              <w:keepLines w:val="0"/>
              <w:widowControl/>
              <w:suppressLineNumbers w:val="0"/>
              <w:ind w:firstLine="240" w:firstLineChars="100"/>
              <w:jc w:val="left"/>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满意</w:t>
            </w:r>
          </w:p>
        </w:tc>
        <w:tc>
          <w:tcPr>
            <w:tcW w:w="1271" w:type="dxa"/>
            <w:tcBorders>
              <w:top w:val="nil"/>
              <w:left w:val="nil"/>
              <w:bottom w:val="nil"/>
              <w:right w:val="single" w:color="000000" w:sz="8" w:space="0"/>
            </w:tcBorders>
            <w:shd w:val="clear" w:color="auto" w:fill="auto"/>
            <w:vAlign w:val="bottom"/>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满意度</w:t>
            </w:r>
          </w:p>
        </w:tc>
        <w:tc>
          <w:tcPr>
            <w:tcW w:w="148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主管部门满意</w:t>
            </w:r>
          </w:p>
        </w:tc>
        <w:tc>
          <w:tcPr>
            <w:tcW w:w="19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≥100%</w:t>
            </w:r>
          </w:p>
        </w:tc>
        <w:tc>
          <w:tcPr>
            <w:tcW w:w="1950" w:type="dxa"/>
            <w:vMerge w:val="restart"/>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_GB2312" w:hAnsi="宋体" w:eastAsia="仿宋_GB2312" w:cs="仿宋_GB2312"/>
                <w:i w:val="0"/>
                <w:iCs w:val="0"/>
                <w:color w:val="000000"/>
                <w:sz w:val="28"/>
                <w:szCs w:val="28"/>
                <w:u w:val="none"/>
              </w:rPr>
            </w:pPr>
          </w:p>
        </w:tc>
        <w:tc>
          <w:tcPr>
            <w:tcW w:w="990" w:type="dxa"/>
            <w:tcBorders>
              <w:top w:val="nil"/>
              <w:left w:val="single" w:color="auto" w:sz="4" w:space="0"/>
              <w:bottom w:val="single" w:color="000000" w:sz="8" w:space="0"/>
              <w:right w:val="single" w:color="000000" w:sz="8" w:space="0"/>
            </w:tcBorders>
            <w:shd w:val="clear" w:color="auto" w:fill="auto"/>
            <w:vAlign w:val="bottom"/>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度指标</w:t>
            </w:r>
          </w:p>
        </w:tc>
        <w:tc>
          <w:tcPr>
            <w:tcW w:w="1271"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left"/>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指标</w:t>
            </w:r>
          </w:p>
        </w:tc>
        <w:tc>
          <w:tcPr>
            <w:tcW w:w="1489" w:type="dxa"/>
            <w:vMerge w:val="continue"/>
            <w:tcBorders>
              <w:top w:val="nil"/>
              <w:left w:val="single" w:color="000000" w:sz="8" w:space="0"/>
              <w:bottom w:val="single" w:color="000000" w:sz="8" w:space="0"/>
              <w:right w:val="single" w:color="000000" w:sz="8" w:space="0"/>
            </w:tcBorders>
            <w:shd w:val="clear" w:color="auto" w:fill="auto"/>
            <w:vAlign w:val="center"/>
          </w:tcPr>
          <w:p>
            <w:pPr>
              <w:rPr>
                <w:rFonts w:hint="default" w:ascii="仿宋_GB2312" w:hAnsi="宋体" w:eastAsia="仿宋_GB2312" w:cs="仿宋_GB2312"/>
                <w:i w:val="0"/>
                <w:iCs w:val="0"/>
                <w:color w:val="000000"/>
                <w:sz w:val="28"/>
                <w:szCs w:val="28"/>
                <w:u w:val="none"/>
              </w:rPr>
            </w:pPr>
          </w:p>
        </w:tc>
        <w:tc>
          <w:tcPr>
            <w:tcW w:w="19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仿宋_GB2312" w:hAnsi="宋体" w:eastAsia="仿宋_GB2312" w:cs="仿宋_GB2312"/>
                <w:i w:val="0"/>
                <w:iCs w:val="0"/>
                <w:color w:val="000000"/>
                <w:sz w:val="28"/>
                <w:szCs w:val="28"/>
                <w:u w:val="none"/>
              </w:rPr>
            </w:pPr>
          </w:p>
        </w:tc>
        <w:tc>
          <w:tcPr>
            <w:tcW w:w="1950" w:type="dxa"/>
            <w:vMerge w:val="continue"/>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7"/>
        <w:rPr>
          <w:rFonts w:hint="eastAsia" w:ascii="宋体" w:hAnsi="宋体" w:eastAsia="宋体" w:cs="宋体"/>
          <w:color w:val="000000"/>
          <w:kern w:val="0"/>
          <w:sz w:val="32"/>
          <w:szCs w:val="32"/>
        </w:rPr>
      </w:pPr>
    </w:p>
    <w:p>
      <w:pPr>
        <w:spacing w:line="600" w:lineRule="exact"/>
        <w:jc w:val="center"/>
        <w:rPr>
          <w:rFonts w:ascii="方正小标宋简体" w:hAnsi="宋体" w:eastAsia="方正小标宋简体"/>
          <w:color w:val="000000"/>
          <w:kern w:val="0"/>
          <w:sz w:val="44"/>
          <w:szCs w:val="44"/>
        </w:rPr>
      </w:pPr>
    </w:p>
    <w:p>
      <w:pPr>
        <w:spacing w:line="600" w:lineRule="exact"/>
        <w:jc w:val="center"/>
        <w:rPr>
          <w:rFonts w:hint="eastAsia" w:ascii="方正小标宋简体" w:hAnsi="宋体" w:eastAsia="方正小标宋简体"/>
          <w:color w:val="000000"/>
          <w:kern w:val="0"/>
          <w:sz w:val="44"/>
          <w:szCs w:val="44"/>
          <w:lang w:val="en-US" w:eastAsia="zh-CN"/>
        </w:rPr>
      </w:pPr>
      <w:r>
        <w:rPr>
          <w:rFonts w:ascii="方正小标宋简体" w:hAnsi="宋体" w:eastAsia="方正小标宋简体"/>
          <w:color w:val="000000"/>
          <w:kern w:val="0"/>
          <w:sz w:val="44"/>
          <w:szCs w:val="44"/>
        </w:rPr>
        <w:t>202</w:t>
      </w:r>
      <w:r>
        <w:rPr>
          <w:rFonts w:hint="eastAsia" w:ascii="方正小标宋简体" w:hAnsi="宋体" w:eastAsia="方正小标宋简体"/>
          <w:color w:val="000000"/>
          <w:kern w:val="0"/>
          <w:sz w:val="44"/>
          <w:szCs w:val="44"/>
          <w:lang w:val="en-US" w:eastAsia="zh-CN"/>
        </w:rPr>
        <w:t>1</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en-US" w:eastAsia="zh-CN"/>
        </w:rPr>
        <w:t>返还广荷物业有限公司经营费用</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en-US" w:eastAsia="zh-CN"/>
        </w:rPr>
        <w:t>项目</w:t>
      </w:r>
      <w:r>
        <w:rPr>
          <w:rFonts w:hint="eastAsia" w:ascii="方正小标宋简体" w:hAnsi="宋体" w:eastAsia="方正小标宋简体"/>
          <w:color w:val="000000"/>
          <w:kern w:val="0"/>
          <w:sz w:val="44"/>
          <w:szCs w:val="44"/>
          <w:lang w:val="zh-CN"/>
        </w:rPr>
        <w:t>绩效</w:t>
      </w:r>
      <w:r>
        <w:rPr>
          <w:rFonts w:hint="eastAsia" w:ascii="方正小标宋简体" w:hAnsi="宋体" w:eastAsia="方正小标宋简体"/>
          <w:color w:val="000000"/>
          <w:kern w:val="0"/>
          <w:sz w:val="44"/>
          <w:szCs w:val="44"/>
          <w:lang w:val="en-US" w:eastAsia="zh-CN"/>
        </w:rPr>
        <w:t>自</w:t>
      </w:r>
      <w:r>
        <w:rPr>
          <w:rFonts w:hint="eastAsia" w:ascii="方正小标宋简体" w:hAnsi="宋体" w:eastAsia="方正小标宋简体"/>
          <w:color w:val="000000"/>
          <w:kern w:val="0"/>
          <w:sz w:val="44"/>
          <w:szCs w:val="44"/>
          <w:lang w:val="zh-CN"/>
        </w:rPr>
        <w:t>评报告</w:t>
      </w:r>
    </w:p>
    <w:p>
      <w:pPr>
        <w:pStyle w:val="16"/>
        <w:spacing w:line="576" w:lineRule="exact"/>
        <w:ind w:left="640" w:firstLine="0" w:firstLineChars="0"/>
        <w:rPr>
          <w:rFonts w:hint="eastAsia" w:ascii="黑体" w:hAnsi="宋体" w:eastAsia="黑体"/>
          <w:sz w:val="32"/>
          <w:szCs w:val="32"/>
        </w:rPr>
      </w:pPr>
    </w:p>
    <w:p>
      <w:pPr>
        <w:pStyle w:val="16"/>
        <w:spacing w:line="576" w:lineRule="exact"/>
        <w:ind w:firstLine="960" w:firstLineChars="300"/>
        <w:rPr>
          <w:rFonts w:ascii="黑体" w:eastAsia="黑体"/>
          <w:sz w:val="32"/>
          <w:szCs w:val="32"/>
        </w:rPr>
      </w:pPr>
      <w:r>
        <w:rPr>
          <w:rFonts w:hint="eastAsia" w:ascii="黑体" w:hAnsi="宋体" w:eastAsia="黑体"/>
          <w:sz w:val="32"/>
          <w:szCs w:val="32"/>
        </w:rPr>
        <w:t>一、项目概况</w:t>
      </w:r>
    </w:p>
    <w:p>
      <w:pPr>
        <w:spacing w:line="576" w:lineRule="exact"/>
        <w:ind w:firstLine="642" w:firstLineChars="200"/>
        <w:rPr>
          <w:rFonts w:hint="default" w:ascii="宋体" w:hAnsi="宋体" w:cs="宋体"/>
          <w:b/>
          <w:bCs/>
          <w:sz w:val="32"/>
          <w:szCs w:val="32"/>
          <w:lang w:val="en-US"/>
        </w:rPr>
      </w:pPr>
      <w:r>
        <w:rPr>
          <w:rFonts w:hint="eastAsia" w:ascii="宋体" w:hAnsi="宋体" w:cs="宋体"/>
          <w:b/>
          <w:bCs/>
          <w:sz w:val="32"/>
          <w:szCs w:val="32"/>
        </w:rPr>
        <w:t>（一）项目</w:t>
      </w:r>
      <w:r>
        <w:rPr>
          <w:rFonts w:hint="eastAsia" w:ascii="宋体" w:hAnsi="宋体" w:cs="宋体"/>
          <w:b/>
          <w:bCs/>
          <w:sz w:val="32"/>
          <w:szCs w:val="32"/>
          <w:lang w:val="en-US" w:eastAsia="zh-CN"/>
        </w:rPr>
        <w:t>基本情况</w:t>
      </w:r>
    </w:p>
    <w:p>
      <w:pPr>
        <w:adjustRightInd w:val="0"/>
        <w:snapToGrid w:val="0"/>
        <w:spacing w:line="600" w:lineRule="exact"/>
        <w:ind w:firstLine="720"/>
        <w:rPr>
          <w:rFonts w:hint="eastAsia" w:ascii="宋体" w:hAnsi="宋体" w:cs="宋体"/>
          <w:sz w:val="32"/>
          <w:szCs w:val="32"/>
          <w:lang w:val="en-US" w:eastAsia="zh-CN"/>
        </w:rPr>
      </w:pPr>
      <w:r>
        <w:rPr>
          <w:rFonts w:hint="eastAsia" w:ascii="宋体" w:hAnsi="宋体" w:cs="宋体"/>
          <w:sz w:val="32"/>
          <w:szCs w:val="32"/>
          <w:lang w:eastAsia="zh-CN"/>
        </w:rPr>
        <w:t>根据职能职责，</w:t>
      </w:r>
      <w:r>
        <w:rPr>
          <w:rFonts w:hint="eastAsia" w:ascii="宋体" w:hAnsi="宋体" w:cs="宋体"/>
          <w:sz w:val="32"/>
          <w:szCs w:val="32"/>
          <w:lang w:val="en-US" w:eastAsia="zh-CN"/>
        </w:rPr>
        <w:t>成都荷花池</w:t>
      </w:r>
      <w:r>
        <w:rPr>
          <w:rFonts w:hint="eastAsia" w:ascii="宋体" w:hAnsi="宋体" w:cs="宋体"/>
          <w:sz w:val="32"/>
          <w:szCs w:val="32"/>
        </w:rPr>
        <w:t>广荷物业</w:t>
      </w:r>
      <w:r>
        <w:rPr>
          <w:rFonts w:hint="eastAsia" w:ascii="宋体" w:hAnsi="宋体" w:cs="宋体"/>
          <w:sz w:val="32"/>
          <w:szCs w:val="32"/>
          <w:lang w:val="en-US" w:eastAsia="zh-CN"/>
        </w:rPr>
        <w:t>管理</w:t>
      </w:r>
      <w:r>
        <w:rPr>
          <w:rFonts w:hint="eastAsia" w:ascii="宋体" w:hAnsi="宋体" w:cs="宋体"/>
          <w:sz w:val="32"/>
          <w:szCs w:val="32"/>
        </w:rPr>
        <w:t>有限公司</w:t>
      </w:r>
      <w:r>
        <w:rPr>
          <w:rFonts w:hint="eastAsia" w:ascii="宋体" w:hAnsi="宋体" w:cs="宋体"/>
          <w:sz w:val="32"/>
          <w:szCs w:val="32"/>
          <w:lang w:eastAsia="zh-CN"/>
        </w:rPr>
        <w:t>（</w:t>
      </w:r>
      <w:r>
        <w:rPr>
          <w:rFonts w:hint="eastAsia" w:ascii="宋体" w:hAnsi="宋体" w:cs="宋体"/>
          <w:sz w:val="32"/>
          <w:szCs w:val="32"/>
          <w:lang w:val="en-US" w:eastAsia="zh-CN"/>
        </w:rPr>
        <w:t>以下简称广荷物业</w:t>
      </w:r>
      <w:r>
        <w:rPr>
          <w:rFonts w:hint="eastAsia" w:ascii="宋体" w:hAnsi="宋体" w:cs="宋体"/>
          <w:sz w:val="32"/>
          <w:szCs w:val="32"/>
        </w:rPr>
        <w:t>有限</w:t>
      </w:r>
      <w:r>
        <w:rPr>
          <w:rFonts w:hint="eastAsia" w:ascii="宋体" w:hAnsi="宋体" w:cs="宋体"/>
          <w:sz w:val="32"/>
          <w:szCs w:val="32"/>
          <w:lang w:eastAsia="zh-CN"/>
        </w:rPr>
        <w:t>公司）</w:t>
      </w:r>
      <w:r>
        <w:rPr>
          <w:rFonts w:hint="eastAsia" w:ascii="宋体" w:hAnsi="宋体" w:cs="宋体"/>
          <w:sz w:val="32"/>
          <w:szCs w:val="32"/>
          <w:lang w:val="en-US" w:eastAsia="zh-CN"/>
        </w:rPr>
        <w:t>由</w:t>
      </w:r>
      <w:r>
        <w:rPr>
          <w:rFonts w:hint="eastAsia" w:ascii="宋体" w:hAnsi="宋体" w:cs="宋体"/>
          <w:sz w:val="32"/>
          <w:szCs w:val="32"/>
          <w:lang w:eastAsia="zh-CN"/>
        </w:rPr>
        <w:t>市人民政府驻成都办事处代管，为</w:t>
      </w:r>
      <w:r>
        <w:rPr>
          <w:rFonts w:hint="eastAsia" w:ascii="宋体" w:hAnsi="宋体" w:cs="宋体"/>
          <w:sz w:val="32"/>
          <w:szCs w:val="32"/>
        </w:rPr>
        <w:t>做好企业代管工作，开源节流，挖潜创效，确保国有资产保值增值</w:t>
      </w:r>
      <w:r>
        <w:rPr>
          <w:rFonts w:hint="eastAsia" w:ascii="宋体" w:hAnsi="宋体" w:cs="宋体"/>
          <w:sz w:val="32"/>
          <w:szCs w:val="32"/>
          <w:lang w:eastAsia="zh-CN"/>
        </w:rPr>
        <w:t>，年初申报</w:t>
      </w:r>
      <w:r>
        <w:rPr>
          <w:rFonts w:hint="eastAsia" w:ascii="宋体" w:hAnsi="宋体" w:cs="宋体"/>
          <w:sz w:val="32"/>
          <w:szCs w:val="32"/>
        </w:rPr>
        <w:t>返还广荷物业有限</w:t>
      </w:r>
      <w:r>
        <w:rPr>
          <w:rFonts w:hint="eastAsia" w:ascii="宋体" w:hAnsi="宋体" w:cs="宋体"/>
          <w:sz w:val="32"/>
          <w:szCs w:val="32"/>
          <w:lang w:eastAsia="zh-CN"/>
        </w:rPr>
        <w:t>公司企业</w:t>
      </w:r>
      <w:r>
        <w:rPr>
          <w:rFonts w:hint="eastAsia" w:ascii="宋体" w:hAnsi="宋体" w:cs="宋体"/>
          <w:sz w:val="32"/>
          <w:szCs w:val="32"/>
          <w:lang w:val="en-US" w:eastAsia="zh-CN"/>
        </w:rPr>
        <w:t>经营</w:t>
      </w:r>
      <w:r>
        <w:rPr>
          <w:rFonts w:hint="eastAsia" w:ascii="宋体" w:hAnsi="宋体" w:cs="宋体"/>
          <w:sz w:val="32"/>
          <w:szCs w:val="32"/>
          <w:lang w:eastAsia="zh-CN"/>
        </w:rPr>
        <w:t>费</w:t>
      </w:r>
      <w:r>
        <w:rPr>
          <w:rFonts w:hint="eastAsia" w:ascii="宋体" w:hAnsi="宋体" w:cs="宋体"/>
          <w:sz w:val="32"/>
          <w:szCs w:val="32"/>
          <w:lang w:val="en-US" w:eastAsia="zh-CN"/>
        </w:rPr>
        <w:t>用134.16</w:t>
      </w:r>
      <w:r>
        <w:rPr>
          <w:rFonts w:hint="eastAsia" w:ascii="宋体" w:hAnsi="宋体" w:cs="宋体"/>
          <w:sz w:val="32"/>
          <w:szCs w:val="32"/>
          <w:lang w:eastAsia="zh-CN"/>
        </w:rPr>
        <w:t>万元，</w:t>
      </w:r>
      <w:r>
        <w:rPr>
          <w:rFonts w:hint="eastAsia" w:ascii="宋体" w:hAnsi="宋体" w:cs="宋体"/>
          <w:sz w:val="32"/>
          <w:szCs w:val="32"/>
          <w:lang w:val="en-US" w:eastAsia="zh-CN"/>
        </w:rPr>
        <w:t>用于企业的经营管理。</w:t>
      </w:r>
    </w:p>
    <w:p>
      <w:pPr>
        <w:adjustRightInd w:val="0"/>
        <w:snapToGrid w:val="0"/>
        <w:spacing w:line="600" w:lineRule="exact"/>
        <w:ind w:firstLine="720"/>
        <w:rPr>
          <w:rFonts w:hint="eastAsia" w:ascii="宋体" w:hAnsi="宋体" w:cs="宋体"/>
          <w:b/>
          <w:bCs/>
          <w:sz w:val="32"/>
          <w:szCs w:val="32"/>
          <w:lang w:val="en-US" w:eastAsia="zh-CN"/>
        </w:rPr>
      </w:pPr>
      <w:r>
        <w:rPr>
          <w:rFonts w:hint="eastAsia" w:ascii="宋体" w:hAnsi="宋体" w:cs="宋体"/>
          <w:b/>
          <w:bCs/>
          <w:sz w:val="32"/>
          <w:szCs w:val="32"/>
          <w:lang w:val="en-US" w:eastAsia="zh-CN"/>
        </w:rPr>
        <w:t>（二）项目绩效目标</w:t>
      </w:r>
    </w:p>
    <w:p>
      <w:pPr>
        <w:adjustRightInd w:val="0"/>
        <w:snapToGrid w:val="0"/>
        <w:spacing w:line="600" w:lineRule="exact"/>
        <w:ind w:firstLine="720"/>
        <w:rPr>
          <w:rFonts w:hint="eastAsia" w:ascii="宋体" w:hAnsi="宋体" w:cs="宋体"/>
          <w:sz w:val="32"/>
          <w:szCs w:val="32"/>
          <w:lang w:val="en-US" w:eastAsia="zh-CN"/>
        </w:rPr>
      </w:pPr>
      <w:r>
        <w:rPr>
          <w:rFonts w:hint="eastAsia" w:ascii="宋体" w:hAnsi="宋体" w:cs="宋体"/>
          <w:sz w:val="32"/>
          <w:szCs w:val="32"/>
          <w:lang w:val="en-US" w:eastAsia="zh-CN"/>
        </w:rPr>
        <w:t>通过企业合法有序的经营,完成2021年广荷物业有限公司600万元租金收取工作，并及时上交市财政局，完成2021年非税收入工作。该项目申报内容为</w:t>
      </w:r>
      <w:r>
        <w:rPr>
          <w:rFonts w:hint="eastAsia" w:ascii="宋体" w:hAnsi="宋体" w:cs="宋体"/>
          <w:sz w:val="32"/>
          <w:szCs w:val="32"/>
        </w:rPr>
        <w:t>返还广荷物业有限</w:t>
      </w:r>
      <w:r>
        <w:rPr>
          <w:rFonts w:hint="eastAsia" w:ascii="宋体" w:hAnsi="宋体" w:cs="宋体"/>
          <w:sz w:val="32"/>
          <w:szCs w:val="32"/>
          <w:lang w:eastAsia="zh-CN"/>
        </w:rPr>
        <w:t>公司</w:t>
      </w:r>
      <w:r>
        <w:rPr>
          <w:rFonts w:hint="eastAsia" w:ascii="宋体" w:hAnsi="宋体" w:cs="宋体"/>
          <w:sz w:val="32"/>
          <w:szCs w:val="32"/>
          <w:lang w:val="en-US" w:eastAsia="zh-CN"/>
        </w:rPr>
        <w:t>经营</w:t>
      </w:r>
      <w:r>
        <w:rPr>
          <w:rFonts w:hint="eastAsia" w:ascii="宋体" w:hAnsi="宋体" w:cs="宋体"/>
          <w:sz w:val="32"/>
          <w:szCs w:val="32"/>
          <w:lang w:eastAsia="zh-CN"/>
        </w:rPr>
        <w:t>费</w:t>
      </w:r>
      <w:r>
        <w:rPr>
          <w:rFonts w:hint="eastAsia" w:ascii="宋体" w:hAnsi="宋体" w:cs="宋体"/>
          <w:sz w:val="32"/>
          <w:szCs w:val="32"/>
          <w:lang w:val="en-US" w:eastAsia="zh-CN"/>
        </w:rPr>
        <w:t>用</w:t>
      </w:r>
      <w:r>
        <w:rPr>
          <w:rFonts w:hint="eastAsia" w:ascii="宋体" w:hAnsi="宋体" w:cs="宋体"/>
          <w:sz w:val="32"/>
          <w:szCs w:val="32"/>
          <w:lang w:eastAsia="zh-CN"/>
        </w:rPr>
        <w:t>，</w:t>
      </w:r>
      <w:r>
        <w:rPr>
          <w:rFonts w:hint="eastAsia" w:ascii="宋体" w:hAnsi="宋体" w:cs="宋体"/>
          <w:sz w:val="32"/>
          <w:szCs w:val="32"/>
          <w:lang w:val="en-US" w:eastAsia="zh-CN"/>
        </w:rPr>
        <w:t xml:space="preserve">与具体实施内容相符、合理可行。       </w:t>
      </w:r>
    </w:p>
    <w:p>
      <w:pPr>
        <w:adjustRightInd w:val="0"/>
        <w:snapToGrid w:val="0"/>
        <w:spacing w:line="600" w:lineRule="exact"/>
        <w:ind w:firstLine="720"/>
        <w:rPr>
          <w:rFonts w:hint="eastAsia" w:ascii="宋体" w:hAnsi="宋体" w:cs="宋体"/>
          <w:b/>
          <w:bCs/>
          <w:sz w:val="32"/>
          <w:szCs w:val="32"/>
          <w:lang w:val="en-US" w:eastAsia="zh-CN"/>
        </w:rPr>
      </w:pPr>
      <w:r>
        <w:rPr>
          <w:rFonts w:hint="eastAsia" w:ascii="宋体" w:hAnsi="宋体" w:cs="宋体"/>
          <w:b/>
          <w:bCs/>
          <w:sz w:val="32"/>
          <w:szCs w:val="32"/>
          <w:lang w:val="en-US" w:eastAsia="zh-CN"/>
        </w:rPr>
        <w:t>（三）项目自评步骤及方法</w:t>
      </w:r>
    </w:p>
    <w:p>
      <w:pPr>
        <w:pStyle w:val="2"/>
        <w:numPr>
          <w:ilvl w:val="0"/>
          <w:numId w:val="0"/>
        </w:numPr>
        <w:ind w:firstLine="640" w:firstLineChars="200"/>
        <w:rPr>
          <w:rFonts w:hint="default"/>
          <w:lang w:val="en-US" w:eastAsia="zh-CN"/>
        </w:rPr>
      </w:pPr>
      <w:r>
        <w:rPr>
          <w:rFonts w:hint="eastAsia" w:ascii="宋体" w:hAnsi="宋体" w:eastAsia="宋体" w:cs="宋体"/>
          <w:sz w:val="32"/>
          <w:szCs w:val="32"/>
          <w:lang w:val="zh-CN" w:eastAsia="zh-CN"/>
        </w:rPr>
        <w:t>根据绩效管理的相关规定，成立了绩效评价工作领导小组，根据年初确定的绩效目标，对照检查设置指标产出数量、质量、时效、成本，以及经济效益、社会效益、满意度等指标开展项目绩效</w:t>
      </w:r>
      <w:r>
        <w:rPr>
          <w:rFonts w:hint="eastAsia" w:ascii="宋体" w:hAnsi="宋体" w:eastAsia="宋体" w:cs="宋体"/>
          <w:sz w:val="32"/>
          <w:szCs w:val="32"/>
          <w:lang w:val="en-US" w:eastAsia="zh-CN"/>
        </w:rPr>
        <w:t>自评</w:t>
      </w:r>
      <w:r>
        <w:rPr>
          <w:rFonts w:hint="eastAsia" w:ascii="宋体" w:hAnsi="宋体" w:eastAsia="宋体" w:cs="宋体"/>
          <w:sz w:val="32"/>
          <w:szCs w:val="32"/>
          <w:lang w:val="zh-CN" w:eastAsia="zh-CN"/>
        </w:rPr>
        <w:t>。</w:t>
      </w:r>
    </w:p>
    <w:p>
      <w:pPr>
        <w:numPr>
          <w:ilvl w:val="0"/>
          <w:numId w:val="6"/>
        </w:numPr>
        <w:adjustRightInd w:val="0"/>
        <w:snapToGrid w:val="0"/>
        <w:spacing w:line="600" w:lineRule="exact"/>
        <w:ind w:firstLine="640" w:firstLineChars="200"/>
        <w:rPr>
          <w:rFonts w:hint="eastAsia" w:ascii="黑体" w:hAnsi="宋体" w:eastAsia="黑体"/>
          <w:sz w:val="32"/>
          <w:szCs w:val="32"/>
        </w:rPr>
      </w:pPr>
      <w:r>
        <w:rPr>
          <w:rFonts w:hint="eastAsia" w:ascii="黑体" w:hAnsi="宋体" w:eastAsia="黑体"/>
          <w:sz w:val="32"/>
          <w:szCs w:val="32"/>
        </w:rPr>
        <w:t>项目</w:t>
      </w:r>
      <w:r>
        <w:rPr>
          <w:rFonts w:hint="eastAsia" w:ascii="黑体" w:hAnsi="宋体" w:eastAsia="黑体"/>
          <w:sz w:val="32"/>
          <w:szCs w:val="32"/>
          <w:lang w:val="en-US" w:eastAsia="zh-CN"/>
        </w:rPr>
        <w:t>资金申报及使用</w:t>
      </w:r>
      <w:r>
        <w:rPr>
          <w:rFonts w:hint="eastAsia" w:ascii="黑体" w:hAnsi="宋体" w:eastAsia="黑体"/>
          <w:sz w:val="32"/>
          <w:szCs w:val="32"/>
        </w:rPr>
        <w:t>情况</w:t>
      </w:r>
    </w:p>
    <w:p>
      <w:pPr>
        <w:spacing w:line="576" w:lineRule="exact"/>
        <w:ind w:firstLine="420" w:firstLineChars="200"/>
        <w:rPr>
          <w:rFonts w:hint="eastAsia" w:ascii="宋体" w:hAnsi="宋体" w:eastAsia="宋体" w:cs="宋体"/>
          <w:b/>
          <w:bCs/>
          <w:sz w:val="32"/>
          <w:szCs w:val="32"/>
          <w:lang w:val="en-US" w:eastAsia="zh-CN"/>
        </w:rPr>
      </w:pPr>
      <w:r>
        <w:rPr>
          <w:rFonts w:hint="eastAsia"/>
          <w:lang w:val="en-US" w:eastAsia="zh-CN"/>
        </w:rPr>
        <w:t xml:space="preserve"> </w:t>
      </w:r>
      <w:r>
        <w:rPr>
          <w:rFonts w:hint="eastAsia" w:ascii="宋体" w:hAnsi="宋体" w:cs="宋体"/>
          <w:b/>
          <w:bCs/>
          <w:sz w:val="32"/>
          <w:szCs w:val="32"/>
        </w:rPr>
        <w:t>（一）</w:t>
      </w:r>
      <w:r>
        <w:rPr>
          <w:rFonts w:hint="eastAsia" w:ascii="宋体" w:hAnsi="宋体" w:cs="宋体"/>
          <w:b/>
          <w:bCs/>
          <w:sz w:val="32"/>
          <w:szCs w:val="32"/>
          <w:lang w:val="en-US" w:eastAsia="zh-CN"/>
        </w:rPr>
        <w:t>项目资金申报及批复情况</w:t>
      </w:r>
    </w:p>
    <w:p>
      <w:pPr>
        <w:keepNext w:val="0"/>
        <w:keepLines w:val="0"/>
        <w:pageBreakBefore w:val="0"/>
        <w:widowControl w:val="0"/>
        <w:kinsoku/>
        <w:wordWrap/>
        <w:overflowPunct/>
        <w:topLinePunct w:val="0"/>
        <w:autoSpaceDE w:val="0"/>
        <w:autoSpaceDN w:val="0"/>
        <w:bidi w:val="0"/>
        <w:adjustRightInd w:val="0"/>
        <w:spacing w:line="576" w:lineRule="exact"/>
        <w:ind w:firstLine="640" w:firstLineChars="200"/>
        <w:jc w:val="left"/>
        <w:textAlignment w:val="auto"/>
        <w:rPr>
          <w:rFonts w:hint="default" w:ascii="宋体" w:hAnsi="宋体" w:cs="宋体"/>
          <w:sz w:val="32"/>
          <w:szCs w:val="32"/>
          <w:lang w:val="en-US" w:eastAsia="zh-CN"/>
        </w:rPr>
      </w:pPr>
      <w:r>
        <w:rPr>
          <w:rFonts w:hint="eastAsia" w:ascii="宋体" w:hAnsi="宋体" w:cs="宋体"/>
          <w:sz w:val="32"/>
          <w:szCs w:val="32"/>
          <w:lang w:val="en-US" w:eastAsia="zh-CN"/>
        </w:rPr>
        <w:t>2021年向市财政申报返还广荷物业有限公司经营费用134.16万元，</w:t>
      </w:r>
      <w:r>
        <w:rPr>
          <w:rFonts w:hint="default" w:ascii="宋体" w:hAnsi="宋体" w:cs="宋体"/>
          <w:sz w:val="32"/>
          <w:szCs w:val="32"/>
          <w:lang w:val="en-US" w:eastAsia="zh-CN"/>
        </w:rPr>
        <w:t>预算</w:t>
      </w:r>
      <w:r>
        <w:rPr>
          <w:rFonts w:hint="eastAsia" w:ascii="宋体" w:hAnsi="宋体" w:cs="宋体"/>
          <w:sz w:val="32"/>
          <w:szCs w:val="32"/>
          <w:lang w:val="en-US" w:eastAsia="zh-CN"/>
        </w:rPr>
        <w:t>批复134.16</w:t>
      </w:r>
      <w:r>
        <w:rPr>
          <w:rFonts w:hint="default" w:ascii="宋体" w:hAnsi="宋体" w:cs="宋体"/>
          <w:sz w:val="32"/>
          <w:szCs w:val="32"/>
          <w:lang w:val="en-US" w:eastAsia="zh-CN"/>
        </w:rPr>
        <w:t>万元，无预算调整。</w:t>
      </w:r>
    </w:p>
    <w:p>
      <w:pPr>
        <w:numPr>
          <w:ilvl w:val="0"/>
          <w:numId w:val="0"/>
        </w:numPr>
        <w:adjustRightInd w:val="0"/>
        <w:snapToGrid w:val="0"/>
        <w:spacing w:line="600" w:lineRule="exact"/>
        <w:rPr>
          <w:rFonts w:hint="eastAsia" w:ascii="宋体" w:hAnsi="宋体" w:cs="宋体"/>
          <w:b/>
          <w:bCs/>
          <w:kern w:val="2"/>
          <w:sz w:val="32"/>
          <w:szCs w:val="32"/>
          <w:lang w:val="en-US" w:eastAsia="zh-CN" w:bidi="ar-SA"/>
        </w:rPr>
      </w:pPr>
      <w:r>
        <w:rPr>
          <w:rFonts w:hint="eastAsia" w:ascii="宋体" w:hAnsi="宋体" w:cs="宋体"/>
          <w:b/>
          <w:bCs/>
          <w:kern w:val="2"/>
          <w:sz w:val="32"/>
          <w:szCs w:val="32"/>
          <w:lang w:val="en-US" w:eastAsia="zh-CN" w:bidi="ar-SA"/>
        </w:rPr>
        <w:t>（二）资金计划及到位级使用情况</w:t>
      </w:r>
    </w:p>
    <w:p>
      <w:pPr>
        <w:numPr>
          <w:ilvl w:val="0"/>
          <w:numId w:val="0"/>
        </w:numPr>
        <w:adjustRightInd w:val="0"/>
        <w:snapToGrid w:val="0"/>
        <w:spacing w:line="600" w:lineRule="exact"/>
        <w:ind w:firstLine="640" w:firstLineChars="200"/>
        <w:rPr>
          <w:rFonts w:hint="eastAsia" w:ascii="宋体" w:hAnsi="宋体" w:cs="宋体"/>
          <w:kern w:val="2"/>
          <w:sz w:val="32"/>
          <w:szCs w:val="32"/>
          <w:lang w:val="en-US" w:eastAsia="zh-CN" w:bidi="ar-SA"/>
        </w:rPr>
      </w:pPr>
      <w:r>
        <w:rPr>
          <w:rFonts w:hint="eastAsia" w:ascii="宋体" w:hAnsi="宋体" w:cs="宋体"/>
          <w:kern w:val="2"/>
          <w:sz w:val="32"/>
          <w:szCs w:val="32"/>
          <w:lang w:val="en-US" w:eastAsia="zh-CN" w:bidi="ar-SA"/>
        </w:rPr>
        <w:t>1、资金计划。按照一般公共预算要求，年初根据实际由市政府驻成都办事处申报资金预算134.16万元，</w:t>
      </w:r>
    </w:p>
    <w:p>
      <w:pPr>
        <w:numPr>
          <w:ilvl w:val="0"/>
          <w:numId w:val="0"/>
        </w:numPr>
        <w:adjustRightInd w:val="0"/>
        <w:snapToGrid w:val="0"/>
        <w:spacing w:line="600" w:lineRule="exact"/>
        <w:ind w:firstLine="640" w:firstLineChars="200"/>
        <w:rPr>
          <w:rFonts w:hint="default" w:ascii="宋体" w:hAnsi="宋体" w:cs="宋体"/>
          <w:b/>
          <w:bCs/>
          <w:kern w:val="2"/>
          <w:sz w:val="32"/>
          <w:szCs w:val="32"/>
          <w:lang w:val="en-US" w:eastAsia="zh-CN" w:bidi="ar-SA"/>
        </w:rPr>
      </w:pPr>
      <w:r>
        <w:rPr>
          <w:rFonts w:hint="eastAsia" w:ascii="宋体" w:hAnsi="宋体" w:cs="宋体"/>
          <w:sz w:val="32"/>
          <w:szCs w:val="32"/>
          <w:lang w:val="en-US" w:eastAsia="zh-CN"/>
        </w:rPr>
        <w:t>2、资金到位。截至2021年底，</w:t>
      </w:r>
      <w:r>
        <w:rPr>
          <w:rFonts w:hint="eastAsia" w:ascii="宋体" w:hAnsi="宋体" w:cs="宋体"/>
          <w:kern w:val="2"/>
          <w:sz w:val="32"/>
          <w:szCs w:val="32"/>
          <w:lang w:val="en-US" w:eastAsia="zh-CN" w:bidi="ar-SA"/>
        </w:rPr>
        <w:t>到位资金134.16万元。</w:t>
      </w:r>
      <w:r>
        <w:rPr>
          <w:rFonts w:hint="eastAsia" w:ascii="宋体" w:hAnsi="宋体" w:cs="宋体"/>
          <w:sz w:val="32"/>
          <w:szCs w:val="32"/>
          <w:lang w:val="en-US" w:eastAsia="zh-CN"/>
        </w:rPr>
        <w:t>资金到位率100</w:t>
      </w:r>
      <w:r>
        <w:rPr>
          <w:rFonts w:hint="eastAsia" w:ascii="宋体" w:hAnsi="宋体" w:cs="宋体"/>
          <w:sz w:val="32"/>
          <w:szCs w:val="32"/>
          <w:lang w:eastAsia="zh-CN"/>
        </w:rPr>
        <w:t>%。</w:t>
      </w:r>
      <w:r>
        <w:rPr>
          <w:rFonts w:hint="eastAsia" w:ascii="宋体" w:hAnsi="宋体" w:cs="宋体"/>
          <w:kern w:val="2"/>
          <w:sz w:val="32"/>
          <w:szCs w:val="32"/>
          <w:lang w:val="en-US" w:eastAsia="zh-CN" w:bidi="ar-SA"/>
        </w:rPr>
        <w:t xml:space="preserve"> </w:t>
      </w:r>
    </w:p>
    <w:p>
      <w:pPr>
        <w:pStyle w:val="16"/>
        <w:spacing w:line="576" w:lineRule="exact"/>
        <w:ind w:firstLine="640"/>
        <w:rPr>
          <w:rFonts w:hint="eastAsia" w:ascii="宋体" w:hAnsi="宋体" w:cs="宋体"/>
          <w:sz w:val="32"/>
          <w:szCs w:val="32"/>
          <w:lang w:eastAsia="zh-CN"/>
        </w:rPr>
      </w:pPr>
      <w:r>
        <w:rPr>
          <w:rFonts w:hint="eastAsia" w:ascii="宋体" w:hAnsi="宋体" w:cs="宋体"/>
          <w:kern w:val="2"/>
          <w:sz w:val="32"/>
          <w:szCs w:val="32"/>
          <w:lang w:val="en-US" w:eastAsia="zh-CN" w:bidi="ar-SA"/>
        </w:rPr>
        <w:t>3.资金使用。我办严格按照工作进度申请资金拨付，做到专款专用，支付合规合法。</w:t>
      </w:r>
      <w:r>
        <w:rPr>
          <w:rFonts w:hint="eastAsia" w:ascii="宋体" w:hAnsi="宋体" w:cs="宋体"/>
          <w:sz w:val="32"/>
          <w:szCs w:val="32"/>
        </w:rPr>
        <w:t>返还广荷物业有限</w:t>
      </w:r>
      <w:r>
        <w:rPr>
          <w:rFonts w:hint="eastAsia" w:ascii="宋体" w:hAnsi="宋体" w:cs="宋体"/>
          <w:sz w:val="32"/>
          <w:szCs w:val="32"/>
          <w:lang w:eastAsia="zh-CN"/>
        </w:rPr>
        <w:t>公司</w:t>
      </w:r>
      <w:r>
        <w:rPr>
          <w:rFonts w:hint="eastAsia" w:ascii="宋体" w:hAnsi="宋体" w:cs="宋体"/>
          <w:sz w:val="32"/>
          <w:szCs w:val="32"/>
          <w:lang w:val="en-US" w:eastAsia="zh-CN"/>
        </w:rPr>
        <w:t>经营</w:t>
      </w:r>
      <w:r>
        <w:rPr>
          <w:rFonts w:hint="eastAsia" w:ascii="宋体" w:hAnsi="宋体" w:cs="宋体"/>
          <w:sz w:val="32"/>
          <w:szCs w:val="32"/>
          <w:lang w:eastAsia="zh-CN"/>
        </w:rPr>
        <w:t>费</w:t>
      </w:r>
      <w:r>
        <w:rPr>
          <w:rFonts w:hint="eastAsia" w:ascii="宋体" w:hAnsi="宋体" w:cs="宋体"/>
          <w:sz w:val="32"/>
          <w:szCs w:val="32"/>
          <w:lang w:val="en-US" w:eastAsia="zh-CN"/>
        </w:rPr>
        <w:t>用</w:t>
      </w:r>
      <w:r>
        <w:rPr>
          <w:rFonts w:hint="eastAsia" w:ascii="宋体" w:hAnsi="宋体" w:cs="宋体"/>
          <w:sz w:val="32"/>
          <w:szCs w:val="32"/>
          <w:lang w:eastAsia="zh-CN"/>
        </w:rPr>
        <w:t>项目严格</w:t>
      </w:r>
      <w:r>
        <w:rPr>
          <w:rFonts w:hint="eastAsia" w:ascii="宋体" w:hAnsi="宋体" w:cs="宋体"/>
          <w:sz w:val="32"/>
          <w:szCs w:val="32"/>
          <w:lang w:val="en-US" w:eastAsia="zh-CN"/>
        </w:rPr>
        <w:t>按照市政府及市财政局相关财经要求，实行收支两条线，租金收入按照年初计划上交市财政，</w:t>
      </w:r>
      <w:r>
        <w:rPr>
          <w:rFonts w:hint="eastAsia" w:ascii="宋体" w:hAnsi="宋体" w:cs="宋体"/>
          <w:sz w:val="32"/>
          <w:szCs w:val="32"/>
        </w:rPr>
        <w:t>返还</w:t>
      </w:r>
      <w:r>
        <w:rPr>
          <w:rFonts w:hint="eastAsia" w:ascii="宋体" w:hAnsi="宋体" w:cs="宋体"/>
          <w:sz w:val="32"/>
          <w:szCs w:val="32"/>
          <w:lang w:eastAsia="zh-CN"/>
        </w:rPr>
        <w:t>的企业</w:t>
      </w:r>
      <w:r>
        <w:rPr>
          <w:rFonts w:hint="eastAsia" w:ascii="宋体" w:hAnsi="宋体" w:cs="宋体"/>
          <w:sz w:val="32"/>
          <w:szCs w:val="32"/>
          <w:lang w:val="en-US" w:eastAsia="zh-CN"/>
        </w:rPr>
        <w:t>经营</w:t>
      </w:r>
      <w:r>
        <w:rPr>
          <w:rFonts w:hint="eastAsia" w:ascii="宋体" w:hAnsi="宋体" w:cs="宋体"/>
          <w:sz w:val="32"/>
          <w:szCs w:val="32"/>
          <w:lang w:eastAsia="zh-CN"/>
        </w:rPr>
        <w:t>费用于企业日常经营管理，保障了企业合法有序的经营。</w:t>
      </w:r>
    </w:p>
    <w:p>
      <w:pPr>
        <w:pStyle w:val="16"/>
        <w:spacing w:line="576" w:lineRule="exact"/>
        <w:ind w:firstLine="640"/>
        <w:rPr>
          <w:rFonts w:hint="eastAsia" w:ascii="宋体" w:hAnsi="宋体" w:cs="宋体"/>
          <w:b/>
          <w:bCs/>
          <w:sz w:val="32"/>
          <w:szCs w:val="32"/>
          <w:lang w:eastAsia="zh-CN"/>
        </w:rPr>
      </w:pPr>
      <w:r>
        <w:rPr>
          <w:rFonts w:hint="eastAsia" w:ascii="宋体" w:hAnsi="宋体" w:cs="宋体"/>
          <w:b/>
          <w:bCs/>
          <w:sz w:val="32"/>
          <w:szCs w:val="32"/>
          <w:lang w:eastAsia="zh-CN"/>
        </w:rPr>
        <w:t>（</w:t>
      </w:r>
      <w:r>
        <w:rPr>
          <w:rFonts w:hint="eastAsia" w:ascii="宋体" w:hAnsi="宋体" w:cs="宋体"/>
          <w:b/>
          <w:bCs/>
          <w:sz w:val="32"/>
          <w:szCs w:val="32"/>
          <w:lang w:val="en-US" w:eastAsia="zh-CN"/>
        </w:rPr>
        <w:t>三</w:t>
      </w:r>
      <w:r>
        <w:rPr>
          <w:rFonts w:hint="eastAsia" w:ascii="宋体" w:hAnsi="宋体" w:cs="宋体"/>
          <w:b/>
          <w:bCs/>
          <w:sz w:val="32"/>
          <w:szCs w:val="32"/>
          <w:lang w:eastAsia="zh-CN"/>
        </w:rPr>
        <w:t>）项目财务管理情况</w:t>
      </w:r>
    </w:p>
    <w:p>
      <w:pPr>
        <w:pStyle w:val="16"/>
        <w:spacing w:line="576" w:lineRule="exact"/>
        <w:ind w:firstLine="640"/>
        <w:rPr>
          <w:rFonts w:hint="eastAsia" w:ascii="宋体" w:hAnsi="宋体" w:cs="宋体"/>
          <w:sz w:val="32"/>
          <w:szCs w:val="32"/>
          <w:lang w:val="zh-CN" w:eastAsia="zh-CN"/>
        </w:rPr>
      </w:pPr>
      <w:r>
        <w:rPr>
          <w:rFonts w:hint="eastAsia" w:ascii="宋体" w:hAnsi="宋体" w:cs="宋体"/>
          <w:sz w:val="32"/>
          <w:szCs w:val="32"/>
        </w:rPr>
        <w:t>返还广荷物业有限</w:t>
      </w:r>
      <w:r>
        <w:rPr>
          <w:rFonts w:hint="eastAsia" w:ascii="宋体" w:hAnsi="宋体" w:cs="宋体"/>
          <w:sz w:val="32"/>
          <w:szCs w:val="32"/>
          <w:lang w:eastAsia="zh-CN"/>
        </w:rPr>
        <w:t>公司</w:t>
      </w:r>
      <w:r>
        <w:rPr>
          <w:rFonts w:hint="eastAsia" w:ascii="宋体" w:hAnsi="宋体" w:cs="宋体"/>
          <w:sz w:val="32"/>
          <w:szCs w:val="32"/>
          <w:lang w:val="en-US" w:eastAsia="zh-CN"/>
        </w:rPr>
        <w:t>经营</w:t>
      </w:r>
      <w:r>
        <w:rPr>
          <w:rFonts w:hint="eastAsia" w:ascii="宋体" w:hAnsi="宋体" w:cs="宋体"/>
          <w:sz w:val="32"/>
          <w:szCs w:val="32"/>
          <w:lang w:eastAsia="zh-CN"/>
        </w:rPr>
        <w:t>费</w:t>
      </w:r>
      <w:r>
        <w:rPr>
          <w:rFonts w:hint="eastAsia" w:ascii="宋体" w:hAnsi="宋体" w:cs="宋体"/>
          <w:sz w:val="32"/>
          <w:szCs w:val="32"/>
          <w:lang w:val="en-US" w:eastAsia="zh-CN"/>
        </w:rPr>
        <w:t>用项目由我办</w:t>
      </w:r>
      <w:r>
        <w:rPr>
          <w:rFonts w:hint="eastAsia" w:ascii="宋体" w:hAnsi="宋体" w:cs="宋体"/>
          <w:sz w:val="32"/>
          <w:szCs w:val="32"/>
          <w:lang w:val="zh-CN" w:eastAsia="zh-CN"/>
        </w:rPr>
        <w:t>财务科负责项目资金管理工作，</w:t>
      </w:r>
      <w:r>
        <w:rPr>
          <w:rFonts w:hint="eastAsia" w:ascii="宋体" w:hAnsi="宋体" w:cs="宋体"/>
          <w:sz w:val="32"/>
          <w:szCs w:val="32"/>
          <w:lang w:val="en-US" w:eastAsia="zh-CN"/>
        </w:rPr>
        <w:t>严格按照工作进度申请资金拨付，</w:t>
      </w:r>
      <w:r>
        <w:rPr>
          <w:rFonts w:hint="eastAsia" w:ascii="宋体" w:hAnsi="宋体" w:cs="宋体"/>
          <w:sz w:val="32"/>
          <w:szCs w:val="32"/>
          <w:lang w:val="zh-CN" w:eastAsia="zh-CN"/>
        </w:rPr>
        <w:t>并设立专账核算，资金使用范围较规范，账务处理及时，会计核算规范，符合财务管理要求。</w:t>
      </w:r>
    </w:p>
    <w:p>
      <w:pPr>
        <w:pStyle w:val="16"/>
        <w:spacing w:line="576" w:lineRule="exact"/>
        <w:ind w:firstLine="640"/>
        <w:rPr>
          <w:rFonts w:hint="default" w:ascii="宋体" w:hAnsi="宋体" w:cs="宋体"/>
          <w:b/>
          <w:bCs/>
          <w:sz w:val="32"/>
          <w:szCs w:val="32"/>
          <w:lang w:val="en-US" w:eastAsia="zh-CN"/>
        </w:rPr>
      </w:pPr>
      <w:r>
        <w:rPr>
          <w:rFonts w:hint="eastAsia" w:ascii="宋体" w:hAnsi="宋体" w:cs="宋体"/>
          <w:b/>
          <w:bCs/>
          <w:sz w:val="32"/>
          <w:szCs w:val="32"/>
          <w:lang w:val="en-US" w:eastAsia="zh-CN"/>
        </w:rPr>
        <w:t>三、项目实施及管理情况</w:t>
      </w:r>
    </w:p>
    <w:p>
      <w:pPr>
        <w:pStyle w:val="16"/>
        <w:spacing w:line="576" w:lineRule="exact"/>
        <w:ind w:firstLine="640"/>
        <w:rPr>
          <w:rFonts w:hint="eastAsia" w:ascii="宋体" w:hAnsi="宋体" w:cs="宋体"/>
          <w:sz w:val="32"/>
          <w:szCs w:val="32"/>
          <w:lang w:val="en-US" w:eastAsia="zh-CN"/>
        </w:rPr>
      </w:pPr>
      <w:r>
        <w:rPr>
          <w:rFonts w:hint="eastAsia" w:ascii="宋体" w:hAnsi="宋体" w:cs="宋体"/>
          <w:b/>
          <w:bCs/>
          <w:kern w:val="2"/>
          <w:sz w:val="32"/>
          <w:szCs w:val="32"/>
          <w:lang w:val="en-US" w:eastAsia="zh-CN" w:bidi="ar-SA"/>
        </w:rPr>
        <w:t>（一）项目组织架构及实施流程</w:t>
      </w:r>
    </w:p>
    <w:p>
      <w:pPr>
        <w:pStyle w:val="5"/>
        <w:rPr>
          <w:rFonts w:hint="default" w:ascii="宋体" w:hAnsi="宋体" w:cs="宋体"/>
          <w:sz w:val="32"/>
          <w:szCs w:val="32"/>
          <w:lang w:val="en-US" w:eastAsia="zh-CN"/>
        </w:rPr>
      </w:pPr>
      <w:r>
        <w:rPr>
          <w:rFonts w:hint="eastAsia" w:ascii="宋体" w:hAnsi="宋体" w:eastAsia="宋体" w:cs="宋体"/>
          <w:kern w:val="2"/>
          <w:sz w:val="32"/>
          <w:szCs w:val="32"/>
          <w:lang w:val="en-US" w:eastAsia="zh-CN" w:bidi="ar-SA"/>
        </w:rPr>
        <w:t>该项目由我单位代管企业广荷物</w:t>
      </w:r>
      <w:r>
        <w:rPr>
          <w:rFonts w:hint="eastAsia" w:ascii="宋体" w:hAnsi="宋体" w:cs="宋体"/>
          <w:sz w:val="32"/>
          <w:szCs w:val="32"/>
          <w:lang w:val="en-US" w:eastAsia="zh-CN"/>
        </w:rPr>
        <w:t>业</w:t>
      </w:r>
      <w:r>
        <w:rPr>
          <w:rFonts w:hint="eastAsia" w:ascii="宋体" w:hAnsi="宋体" w:cs="宋体"/>
          <w:sz w:val="32"/>
          <w:szCs w:val="32"/>
        </w:rPr>
        <w:t>有限</w:t>
      </w:r>
      <w:r>
        <w:rPr>
          <w:rFonts w:hint="eastAsia" w:ascii="宋体" w:hAnsi="宋体" w:cs="宋体"/>
          <w:sz w:val="32"/>
          <w:szCs w:val="32"/>
          <w:lang w:eastAsia="zh-CN"/>
        </w:rPr>
        <w:t>公司</w:t>
      </w:r>
      <w:r>
        <w:rPr>
          <w:rFonts w:hint="eastAsia" w:ascii="宋体" w:hAnsi="宋体" w:cs="宋体"/>
          <w:sz w:val="32"/>
          <w:szCs w:val="32"/>
          <w:lang w:val="en-US" w:eastAsia="zh-CN"/>
        </w:rPr>
        <w:t>组织实施。</w:t>
      </w:r>
      <w:r>
        <w:rPr>
          <w:rFonts w:hint="eastAsia" w:ascii="宋体" w:hAnsi="宋体" w:eastAsia="宋体" w:cs="宋体"/>
          <w:kern w:val="2"/>
          <w:sz w:val="32"/>
          <w:szCs w:val="32"/>
          <w:lang w:val="en-US" w:eastAsia="zh-CN" w:bidi="ar-SA"/>
        </w:rPr>
        <w:t>广荷物</w:t>
      </w:r>
      <w:r>
        <w:rPr>
          <w:rFonts w:hint="eastAsia" w:ascii="宋体" w:hAnsi="宋体" w:cs="宋体"/>
          <w:sz w:val="32"/>
          <w:szCs w:val="32"/>
          <w:lang w:val="en-US" w:eastAsia="zh-CN"/>
        </w:rPr>
        <w:t>业</w:t>
      </w:r>
      <w:r>
        <w:rPr>
          <w:rFonts w:hint="eastAsia" w:ascii="宋体" w:hAnsi="宋体" w:cs="宋体"/>
          <w:sz w:val="32"/>
          <w:szCs w:val="32"/>
        </w:rPr>
        <w:t>有限</w:t>
      </w:r>
      <w:r>
        <w:rPr>
          <w:rFonts w:hint="eastAsia" w:ascii="宋体" w:hAnsi="宋体" w:cs="宋体"/>
          <w:sz w:val="32"/>
          <w:szCs w:val="32"/>
          <w:lang w:eastAsia="zh-CN"/>
        </w:rPr>
        <w:t>公司严格</w:t>
      </w:r>
      <w:r>
        <w:rPr>
          <w:rFonts w:hint="eastAsia" w:ascii="宋体" w:hAnsi="宋体" w:cs="宋体"/>
          <w:sz w:val="32"/>
          <w:szCs w:val="32"/>
          <w:lang w:val="en-US" w:eastAsia="zh-CN"/>
        </w:rPr>
        <w:t>按照市政府及市财政局相关财经要求，实行收支两条线，收到的铺面租金按照年初计划上交市财政，</w:t>
      </w:r>
      <w:r>
        <w:rPr>
          <w:rFonts w:hint="eastAsia" w:ascii="宋体" w:hAnsi="宋体" w:cs="宋体"/>
          <w:sz w:val="32"/>
          <w:szCs w:val="32"/>
        </w:rPr>
        <w:t>返还</w:t>
      </w:r>
      <w:r>
        <w:rPr>
          <w:rFonts w:hint="eastAsia" w:ascii="宋体" w:hAnsi="宋体" w:cs="宋体"/>
          <w:sz w:val="32"/>
          <w:szCs w:val="32"/>
          <w:lang w:eastAsia="zh-CN"/>
        </w:rPr>
        <w:t>的</w:t>
      </w:r>
      <w:r>
        <w:rPr>
          <w:rFonts w:hint="eastAsia" w:ascii="宋体" w:hAnsi="宋体" w:cs="宋体"/>
          <w:sz w:val="32"/>
          <w:szCs w:val="32"/>
          <w:lang w:val="en-US" w:eastAsia="zh-CN"/>
        </w:rPr>
        <w:t>经营</w:t>
      </w:r>
      <w:r>
        <w:rPr>
          <w:rFonts w:hint="eastAsia" w:ascii="宋体" w:hAnsi="宋体" w:cs="宋体"/>
          <w:sz w:val="32"/>
          <w:szCs w:val="32"/>
          <w:lang w:eastAsia="zh-CN"/>
        </w:rPr>
        <w:t>费用于企业</w:t>
      </w:r>
      <w:r>
        <w:rPr>
          <w:rFonts w:hint="eastAsia" w:ascii="宋体" w:hAnsi="宋体" w:cs="宋体"/>
          <w:sz w:val="32"/>
          <w:szCs w:val="32"/>
          <w:lang w:val="en-US" w:eastAsia="zh-CN"/>
        </w:rPr>
        <w:t>日常经营管理。</w:t>
      </w:r>
    </w:p>
    <w:p>
      <w:pPr>
        <w:pStyle w:val="16"/>
        <w:spacing w:line="576" w:lineRule="exact"/>
        <w:ind w:firstLine="963" w:firstLineChars="300"/>
        <w:rPr>
          <w:rFonts w:hint="eastAsia" w:ascii="宋体" w:hAnsi="宋体" w:cs="宋体"/>
          <w:sz w:val="32"/>
          <w:szCs w:val="32"/>
          <w:lang w:val="en-US" w:eastAsia="zh-CN"/>
        </w:rPr>
      </w:pPr>
      <w:r>
        <w:rPr>
          <w:rFonts w:hint="eastAsia" w:ascii="宋体" w:hAnsi="宋体" w:cs="宋体"/>
          <w:b/>
          <w:bCs/>
          <w:kern w:val="2"/>
          <w:sz w:val="32"/>
          <w:szCs w:val="32"/>
          <w:lang w:val="en-US" w:eastAsia="zh-CN" w:bidi="ar-SA"/>
        </w:rPr>
        <w:t xml:space="preserve">(二)项目管理情况 </w:t>
      </w:r>
    </w:p>
    <w:p>
      <w:pPr>
        <w:pStyle w:val="5"/>
        <w:ind w:firstLine="960" w:firstLineChars="300"/>
        <w:rPr>
          <w:rFonts w:hint="eastAsia" w:ascii="宋体" w:hAnsi="宋体" w:cs="宋体"/>
          <w:sz w:val="32"/>
          <w:szCs w:val="32"/>
          <w:lang w:val="en-US" w:eastAsia="zh-CN"/>
        </w:rPr>
      </w:pPr>
      <w:r>
        <w:rPr>
          <w:rFonts w:hint="eastAsia" w:ascii="宋体" w:hAnsi="宋体" w:eastAsia="宋体" w:cs="宋体"/>
          <w:kern w:val="2"/>
          <w:sz w:val="32"/>
          <w:szCs w:val="32"/>
          <w:lang w:val="en-US" w:eastAsia="zh-CN" w:bidi="ar-SA"/>
        </w:rPr>
        <w:t>广荷物</w:t>
      </w:r>
      <w:r>
        <w:rPr>
          <w:rFonts w:hint="eastAsia" w:ascii="宋体" w:hAnsi="宋体" w:cs="宋体"/>
          <w:sz w:val="32"/>
          <w:szCs w:val="32"/>
          <w:lang w:val="en-US" w:eastAsia="zh-CN"/>
        </w:rPr>
        <w:t>业</w:t>
      </w:r>
      <w:r>
        <w:rPr>
          <w:rFonts w:hint="eastAsia" w:ascii="宋体" w:hAnsi="宋体" w:cs="宋体"/>
          <w:sz w:val="32"/>
          <w:szCs w:val="32"/>
        </w:rPr>
        <w:t>有限</w:t>
      </w:r>
      <w:r>
        <w:rPr>
          <w:rFonts w:hint="eastAsia" w:ascii="宋体" w:hAnsi="宋体" w:cs="宋体"/>
          <w:sz w:val="32"/>
          <w:szCs w:val="32"/>
          <w:lang w:eastAsia="zh-CN"/>
        </w:rPr>
        <w:t>公司</w:t>
      </w:r>
      <w:r>
        <w:rPr>
          <w:rFonts w:hint="eastAsia" w:ascii="宋体" w:hAnsi="宋体" w:cs="宋体"/>
          <w:sz w:val="32"/>
          <w:szCs w:val="32"/>
          <w:lang w:val="en-US" w:eastAsia="zh-CN"/>
        </w:rPr>
        <w:t>认真落实相关政策，对成都荷花池十四交易区铺面进行管理，完成租金收入，并及时上交市财政局，保障了2021年非税收入完成，同时，市财政局返还</w:t>
      </w:r>
      <w:r>
        <w:rPr>
          <w:rFonts w:hint="eastAsia" w:ascii="宋体" w:hAnsi="宋体" w:eastAsia="宋体" w:cs="宋体"/>
          <w:kern w:val="2"/>
          <w:sz w:val="32"/>
          <w:szCs w:val="32"/>
          <w:lang w:val="en-US" w:eastAsia="zh-CN" w:bidi="ar-SA"/>
        </w:rPr>
        <w:t>广荷物</w:t>
      </w:r>
      <w:r>
        <w:rPr>
          <w:rFonts w:hint="eastAsia" w:ascii="宋体" w:hAnsi="宋体" w:cs="宋体"/>
          <w:sz w:val="32"/>
          <w:szCs w:val="32"/>
          <w:lang w:val="en-US" w:eastAsia="zh-CN"/>
        </w:rPr>
        <w:t>业</w:t>
      </w:r>
      <w:r>
        <w:rPr>
          <w:rFonts w:hint="eastAsia" w:ascii="宋体" w:hAnsi="宋体" w:cs="宋体"/>
          <w:sz w:val="32"/>
          <w:szCs w:val="32"/>
        </w:rPr>
        <w:t>有限</w:t>
      </w:r>
      <w:r>
        <w:rPr>
          <w:rFonts w:hint="eastAsia" w:ascii="宋体" w:hAnsi="宋体" w:cs="宋体"/>
          <w:sz w:val="32"/>
          <w:szCs w:val="32"/>
          <w:lang w:eastAsia="zh-CN"/>
        </w:rPr>
        <w:t>公司</w:t>
      </w:r>
      <w:r>
        <w:rPr>
          <w:rFonts w:hint="eastAsia" w:ascii="宋体" w:hAnsi="宋体" w:cs="宋体"/>
          <w:sz w:val="32"/>
          <w:szCs w:val="32"/>
          <w:lang w:val="en-US" w:eastAsia="zh-CN"/>
        </w:rPr>
        <w:t>经营费用用于企业经营，保障了企业合法有序的经营。</w:t>
      </w:r>
    </w:p>
    <w:p>
      <w:pPr>
        <w:pStyle w:val="16"/>
        <w:spacing w:line="576" w:lineRule="exact"/>
        <w:ind w:firstLine="640"/>
        <w:rPr>
          <w:rFonts w:hint="eastAsia" w:ascii="宋体" w:hAnsi="宋体" w:cs="宋体"/>
          <w:b/>
          <w:bCs/>
          <w:kern w:val="2"/>
          <w:sz w:val="32"/>
          <w:szCs w:val="32"/>
          <w:lang w:val="en-US" w:eastAsia="zh-CN" w:bidi="ar-SA"/>
        </w:rPr>
      </w:pPr>
      <w:r>
        <w:rPr>
          <w:rFonts w:hint="eastAsia" w:ascii="宋体" w:hAnsi="宋体" w:cs="宋体"/>
          <w:b/>
          <w:bCs/>
          <w:kern w:val="2"/>
          <w:sz w:val="32"/>
          <w:szCs w:val="32"/>
          <w:lang w:val="en-US" w:eastAsia="zh-CN" w:bidi="ar-SA"/>
        </w:rPr>
        <w:t>（三）项目监管情况</w:t>
      </w:r>
    </w:p>
    <w:p>
      <w:pPr>
        <w:numPr>
          <w:ilvl w:val="0"/>
          <w:numId w:val="0"/>
        </w:numPr>
        <w:snapToGrid/>
        <w:spacing w:before="0" w:beforeAutospacing="0" w:after="0" w:afterAutospacing="0" w:line="540" w:lineRule="exact"/>
        <w:ind w:firstLine="640" w:firstLineChars="200"/>
        <w:jc w:val="both"/>
        <w:textAlignment w:val="baseline"/>
        <w:rPr>
          <w:rFonts w:hint="eastAsia" w:ascii="黑体" w:hAnsi="黑体" w:eastAsia="黑体" w:cs="黑体"/>
          <w:sz w:val="32"/>
          <w:szCs w:val="32"/>
          <w:lang w:val="en-US" w:eastAsia="zh-CN"/>
        </w:rPr>
      </w:pPr>
      <w:r>
        <w:rPr>
          <w:rFonts w:hint="eastAsia" w:ascii="宋体" w:hAnsi="宋体" w:cs="宋体"/>
          <w:sz w:val="32"/>
          <w:szCs w:val="32"/>
          <w:lang w:val="en-US" w:eastAsia="zh-CN"/>
        </w:rPr>
        <w:t>我单位</w:t>
      </w:r>
      <w:r>
        <w:rPr>
          <w:rFonts w:hint="eastAsia" w:ascii="宋体" w:hAnsi="宋体" w:cs="宋体"/>
          <w:sz w:val="32"/>
          <w:szCs w:val="32"/>
          <w:lang w:val="zh-CN" w:eastAsia="zh-CN"/>
        </w:rPr>
        <w:t>建立完善了监管制度，对项目的实施进行了全面的监管。</w:t>
      </w:r>
    </w:p>
    <w:p>
      <w:pPr>
        <w:pStyle w:val="16"/>
        <w:numPr>
          <w:ilvl w:val="0"/>
          <w:numId w:val="0"/>
        </w:numPr>
        <w:spacing w:line="576" w:lineRule="exact"/>
        <w:ind w:firstLine="960" w:firstLineChars="300"/>
        <w:rPr>
          <w:rFonts w:hint="eastAsia" w:ascii="黑体" w:hAnsi="黑体" w:eastAsia="黑体" w:cs="黑体"/>
          <w:sz w:val="32"/>
          <w:szCs w:val="32"/>
          <w:lang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、项目绩效情况</w:t>
      </w:r>
    </w:p>
    <w:p>
      <w:pPr>
        <w:pStyle w:val="16"/>
        <w:spacing w:line="576" w:lineRule="exact"/>
        <w:ind w:firstLine="640"/>
        <w:rPr>
          <w:rFonts w:hint="eastAsia" w:ascii="宋体" w:hAnsi="宋体" w:cs="宋体"/>
          <w:b/>
          <w:bCs/>
          <w:kern w:val="2"/>
          <w:sz w:val="32"/>
          <w:szCs w:val="32"/>
          <w:lang w:val="en-US" w:eastAsia="zh-CN" w:bidi="ar-SA"/>
        </w:rPr>
      </w:pPr>
      <w:r>
        <w:rPr>
          <w:rFonts w:hint="eastAsia" w:ascii="宋体" w:hAnsi="宋体" w:cs="宋体"/>
          <w:b/>
          <w:bCs/>
          <w:kern w:val="2"/>
          <w:sz w:val="32"/>
          <w:szCs w:val="32"/>
          <w:lang w:val="en-US" w:eastAsia="zh-CN" w:bidi="ar-SA"/>
        </w:rPr>
        <w:t>（一）项目完成情况</w:t>
      </w:r>
    </w:p>
    <w:p>
      <w:pPr>
        <w:pStyle w:val="16"/>
        <w:spacing w:line="576" w:lineRule="exact"/>
        <w:ind w:firstLine="640"/>
        <w:rPr>
          <w:rFonts w:hint="eastAsia" w:ascii="宋体" w:hAnsi="宋体" w:cs="宋体"/>
          <w:sz w:val="32"/>
          <w:szCs w:val="32"/>
          <w:lang w:val="en-US" w:eastAsia="zh-CN"/>
        </w:rPr>
      </w:pPr>
      <w:r>
        <w:rPr>
          <w:rFonts w:hint="eastAsia" w:ascii="宋体" w:hAnsi="宋体" w:cs="宋体"/>
          <w:kern w:val="2"/>
          <w:sz w:val="32"/>
          <w:szCs w:val="32"/>
          <w:lang w:val="en-US" w:eastAsia="zh-CN" w:bidi="ar-SA"/>
        </w:rPr>
        <w:t>2021年，广荷物业有限公司按照年初工作计划，完成了600万元租金收取工作，</w:t>
      </w:r>
      <w:r>
        <w:rPr>
          <w:rFonts w:hint="eastAsia" w:ascii="宋体" w:hAnsi="宋体" w:cs="宋体"/>
          <w:sz w:val="32"/>
          <w:szCs w:val="32"/>
          <w:lang w:val="en-US" w:eastAsia="zh-CN"/>
        </w:rPr>
        <w:t>并及时上交市财政局</w:t>
      </w:r>
      <w:r>
        <w:rPr>
          <w:rFonts w:hint="eastAsia" w:ascii="宋体" w:hAnsi="宋体" w:cs="宋体"/>
          <w:kern w:val="2"/>
          <w:sz w:val="32"/>
          <w:szCs w:val="32"/>
          <w:lang w:val="en-US" w:eastAsia="zh-CN" w:bidi="ar-SA"/>
        </w:rPr>
        <w:t>。</w:t>
      </w:r>
      <w:r>
        <w:rPr>
          <w:rFonts w:hint="eastAsia" w:ascii="宋体" w:hAnsi="宋体" w:cs="宋体"/>
          <w:sz w:val="32"/>
          <w:szCs w:val="32"/>
        </w:rPr>
        <w:t>返还</w:t>
      </w:r>
      <w:r>
        <w:rPr>
          <w:rFonts w:hint="eastAsia" w:ascii="宋体" w:hAnsi="宋体" w:cs="宋体"/>
          <w:sz w:val="32"/>
          <w:szCs w:val="32"/>
          <w:lang w:eastAsia="zh-CN"/>
        </w:rPr>
        <w:t>的企业</w:t>
      </w:r>
      <w:r>
        <w:rPr>
          <w:rFonts w:hint="eastAsia" w:ascii="宋体" w:hAnsi="宋体" w:cs="宋体"/>
          <w:sz w:val="32"/>
          <w:szCs w:val="32"/>
          <w:lang w:val="en-US" w:eastAsia="zh-CN"/>
        </w:rPr>
        <w:t>经营</w:t>
      </w:r>
      <w:r>
        <w:rPr>
          <w:rFonts w:hint="eastAsia" w:ascii="宋体" w:hAnsi="宋体" w:cs="宋体"/>
          <w:sz w:val="32"/>
          <w:szCs w:val="32"/>
          <w:lang w:eastAsia="zh-CN"/>
        </w:rPr>
        <w:t>费用</w:t>
      </w:r>
      <w:r>
        <w:rPr>
          <w:rFonts w:hint="eastAsia" w:ascii="宋体" w:hAnsi="宋体" w:cs="宋体"/>
          <w:kern w:val="2"/>
          <w:sz w:val="32"/>
          <w:szCs w:val="32"/>
          <w:lang w:val="en-US" w:eastAsia="zh-CN" w:bidi="ar-SA"/>
        </w:rPr>
        <w:t>134.16万元</w:t>
      </w:r>
      <w:r>
        <w:rPr>
          <w:rFonts w:hint="eastAsia" w:ascii="宋体" w:hAnsi="宋体" w:cs="宋体"/>
          <w:sz w:val="32"/>
          <w:szCs w:val="32"/>
          <w:lang w:val="en-US" w:eastAsia="zh-CN"/>
        </w:rPr>
        <w:t>实行专款专用，并按计划申请拨付资金，严格审批程序，规范使用，预算执行率为100%。</w:t>
      </w:r>
    </w:p>
    <w:p>
      <w:pPr>
        <w:pStyle w:val="16"/>
        <w:spacing w:line="576" w:lineRule="exact"/>
        <w:ind w:firstLine="640"/>
        <w:rPr>
          <w:rFonts w:hint="eastAsia" w:ascii="宋体" w:hAnsi="宋体" w:cs="宋体"/>
          <w:b/>
          <w:bCs/>
          <w:sz w:val="32"/>
          <w:szCs w:val="32"/>
        </w:rPr>
      </w:pPr>
      <w:r>
        <w:rPr>
          <w:rFonts w:hint="eastAsia" w:ascii="宋体" w:hAnsi="宋体" w:cs="宋体"/>
          <w:b/>
          <w:bCs/>
          <w:sz w:val="32"/>
          <w:szCs w:val="32"/>
        </w:rPr>
        <w:t>（二）项目效益情况</w:t>
      </w:r>
    </w:p>
    <w:p>
      <w:pPr>
        <w:pStyle w:val="16"/>
        <w:spacing w:line="576" w:lineRule="exact"/>
        <w:ind w:left="0" w:leftChars="0" w:firstLine="640" w:firstLineChars="200"/>
        <w:rPr>
          <w:rFonts w:hint="default" w:ascii="宋体" w:hAnsi="宋体" w:cs="宋体"/>
          <w:sz w:val="32"/>
          <w:szCs w:val="32"/>
          <w:lang w:val="en-US" w:eastAsia="zh-CN"/>
        </w:rPr>
      </w:pPr>
      <w:r>
        <w:rPr>
          <w:rFonts w:hint="eastAsia" w:ascii="宋体" w:hAnsi="宋体" w:cs="宋体"/>
          <w:sz w:val="32"/>
          <w:szCs w:val="32"/>
        </w:rPr>
        <w:t>该项目实施以来，</w:t>
      </w:r>
      <w:r>
        <w:rPr>
          <w:rFonts w:hint="eastAsia" w:ascii="宋体" w:hAnsi="宋体" w:cs="宋体"/>
          <w:sz w:val="32"/>
          <w:szCs w:val="32"/>
          <w:lang w:eastAsia="zh-CN"/>
        </w:rPr>
        <w:t>增加了市财政的非税收入，对</w:t>
      </w:r>
      <w:r>
        <w:rPr>
          <w:rFonts w:hint="eastAsia" w:ascii="宋体" w:hAnsi="宋体" w:cs="宋体"/>
          <w:sz w:val="32"/>
          <w:szCs w:val="32"/>
        </w:rPr>
        <w:t>减轻广元财政压力，解决</w:t>
      </w:r>
      <w:r>
        <w:rPr>
          <w:rFonts w:hint="eastAsia" w:ascii="宋体" w:hAnsi="宋体" w:cs="宋体"/>
          <w:sz w:val="32"/>
          <w:szCs w:val="32"/>
          <w:lang w:val="en-US" w:eastAsia="zh-CN"/>
        </w:rPr>
        <w:t>人员</w:t>
      </w:r>
      <w:r>
        <w:rPr>
          <w:rFonts w:hint="eastAsia" w:ascii="宋体" w:hAnsi="宋体" w:cs="宋体"/>
          <w:sz w:val="32"/>
          <w:szCs w:val="32"/>
        </w:rPr>
        <w:t>就业</w:t>
      </w:r>
      <w:r>
        <w:rPr>
          <w:rFonts w:hint="eastAsia" w:ascii="宋体" w:hAnsi="宋体" w:cs="宋体"/>
          <w:sz w:val="32"/>
          <w:szCs w:val="32"/>
          <w:lang w:eastAsia="zh-CN"/>
        </w:rPr>
        <w:t>起到了积极作用，</w:t>
      </w:r>
      <w:r>
        <w:rPr>
          <w:rFonts w:hint="eastAsia" w:ascii="宋体" w:hAnsi="宋体" w:cs="宋体"/>
          <w:sz w:val="32"/>
          <w:szCs w:val="32"/>
          <w:lang w:val="en-US" w:eastAsia="zh-CN"/>
        </w:rPr>
        <w:t>经营业主满意度达到95%以上。保障了</w:t>
      </w:r>
      <w:r>
        <w:rPr>
          <w:rFonts w:hint="eastAsia" w:ascii="宋体" w:hAnsi="宋体" w:cs="宋体"/>
          <w:sz w:val="32"/>
          <w:szCs w:val="32"/>
          <w:lang w:eastAsia="zh-CN"/>
        </w:rPr>
        <w:t>企业合法有序的经营，</w:t>
      </w:r>
      <w:r>
        <w:rPr>
          <w:rFonts w:hint="eastAsia" w:ascii="宋体" w:hAnsi="宋体" w:cs="宋体"/>
          <w:sz w:val="32"/>
          <w:szCs w:val="32"/>
        </w:rPr>
        <w:t>确保</w:t>
      </w:r>
      <w:r>
        <w:rPr>
          <w:rFonts w:hint="eastAsia" w:ascii="宋体" w:hAnsi="宋体" w:cs="宋体"/>
          <w:sz w:val="32"/>
          <w:szCs w:val="32"/>
          <w:lang w:val="en-US" w:eastAsia="zh-CN"/>
        </w:rPr>
        <w:t>了</w:t>
      </w:r>
      <w:r>
        <w:rPr>
          <w:rFonts w:hint="eastAsia" w:ascii="宋体" w:hAnsi="宋体" w:cs="宋体"/>
          <w:sz w:val="32"/>
          <w:szCs w:val="32"/>
        </w:rPr>
        <w:t>国有资产保值增值</w:t>
      </w:r>
      <w:r>
        <w:rPr>
          <w:rFonts w:hint="eastAsia" w:ascii="宋体" w:hAnsi="宋体" w:cs="宋体"/>
          <w:sz w:val="32"/>
          <w:szCs w:val="32"/>
          <w:lang w:eastAsia="zh-CN"/>
        </w:rPr>
        <w:t>。</w:t>
      </w:r>
    </w:p>
    <w:p>
      <w:pPr>
        <w:pStyle w:val="16"/>
        <w:spacing w:line="576" w:lineRule="exact"/>
        <w:ind w:left="640" w:firstLine="0" w:firstLineChars="0"/>
        <w:rPr>
          <w:rFonts w:ascii="黑体" w:hAnsi="宋体" w:eastAsia="黑体"/>
          <w:sz w:val="32"/>
          <w:szCs w:val="32"/>
        </w:rPr>
      </w:pPr>
      <w:r>
        <w:rPr>
          <w:rFonts w:hint="eastAsia" w:ascii="黑体" w:hAnsi="宋体" w:eastAsia="黑体"/>
          <w:sz w:val="32"/>
          <w:szCs w:val="32"/>
          <w:lang w:val="en-US" w:eastAsia="zh-CN"/>
        </w:rPr>
        <w:t>四</w:t>
      </w:r>
      <w:r>
        <w:rPr>
          <w:rFonts w:hint="eastAsia" w:ascii="黑体" w:hAnsi="宋体" w:eastAsia="黑体"/>
          <w:sz w:val="32"/>
          <w:szCs w:val="32"/>
        </w:rPr>
        <w:t>、</w:t>
      </w:r>
      <w:r>
        <w:rPr>
          <w:rFonts w:hint="eastAsia" w:ascii="黑体" w:hAnsi="宋体" w:eastAsia="黑体"/>
          <w:sz w:val="32"/>
          <w:szCs w:val="32"/>
          <w:lang w:val="en-US" w:eastAsia="zh-CN"/>
        </w:rPr>
        <w:t>评价结论</w:t>
      </w:r>
      <w:r>
        <w:rPr>
          <w:rFonts w:hint="eastAsia" w:ascii="黑体" w:hAnsi="宋体" w:eastAsia="黑体"/>
          <w:sz w:val="32"/>
          <w:szCs w:val="32"/>
        </w:rPr>
        <w:t>及建议</w:t>
      </w:r>
    </w:p>
    <w:p>
      <w:pPr>
        <w:pStyle w:val="16"/>
        <w:spacing w:line="576" w:lineRule="exact"/>
        <w:ind w:firstLine="640"/>
        <w:rPr>
          <w:rFonts w:hint="default" w:ascii="宋体" w:hAnsi="宋体" w:cs="宋体"/>
          <w:b/>
          <w:bCs/>
          <w:sz w:val="32"/>
          <w:szCs w:val="32"/>
          <w:lang w:val="en-US" w:eastAsia="zh-CN"/>
        </w:rPr>
      </w:pPr>
      <w:r>
        <w:rPr>
          <w:rFonts w:hint="eastAsia" w:ascii="宋体" w:hAnsi="宋体" w:cs="宋体"/>
          <w:b/>
          <w:bCs/>
          <w:sz w:val="32"/>
          <w:szCs w:val="32"/>
          <w:lang w:eastAsia="zh-CN"/>
        </w:rPr>
        <w:t>（</w:t>
      </w:r>
      <w:r>
        <w:rPr>
          <w:rFonts w:hint="eastAsia" w:ascii="宋体" w:hAnsi="宋体" w:cs="宋体"/>
          <w:b/>
          <w:bCs/>
          <w:sz w:val="32"/>
          <w:szCs w:val="32"/>
          <w:lang w:val="en-US" w:eastAsia="zh-CN"/>
        </w:rPr>
        <w:t>一</w:t>
      </w:r>
      <w:r>
        <w:rPr>
          <w:rFonts w:hint="eastAsia" w:ascii="宋体" w:hAnsi="宋体" w:cs="宋体"/>
          <w:b/>
          <w:bCs/>
          <w:sz w:val="32"/>
          <w:szCs w:val="32"/>
          <w:lang w:eastAsia="zh-CN"/>
        </w:rPr>
        <w:t>）</w:t>
      </w:r>
      <w:r>
        <w:rPr>
          <w:rFonts w:hint="eastAsia" w:ascii="宋体" w:hAnsi="宋体" w:cs="宋体"/>
          <w:b/>
          <w:bCs/>
          <w:sz w:val="32"/>
          <w:szCs w:val="32"/>
          <w:lang w:val="en-US" w:eastAsia="zh-CN"/>
        </w:rPr>
        <w:t>评价结论</w:t>
      </w:r>
    </w:p>
    <w:p>
      <w:pPr>
        <w:pStyle w:val="16"/>
        <w:spacing w:line="576" w:lineRule="exact"/>
        <w:ind w:firstLine="640"/>
        <w:rPr>
          <w:rFonts w:hint="default" w:ascii="宋体" w:hAnsi="宋体" w:cs="宋体"/>
          <w:sz w:val="32"/>
          <w:szCs w:val="32"/>
          <w:lang w:val="en-US" w:eastAsia="zh-CN"/>
        </w:rPr>
      </w:pPr>
      <w:r>
        <w:rPr>
          <w:rFonts w:hint="eastAsia" w:ascii="宋体" w:hAnsi="宋体" w:cs="宋体"/>
          <w:sz w:val="32"/>
          <w:szCs w:val="32"/>
          <w:lang w:val="en-US" w:eastAsia="zh-CN"/>
        </w:rPr>
        <w:t>通过</w:t>
      </w:r>
      <w:r>
        <w:rPr>
          <w:rFonts w:hint="eastAsia" w:ascii="宋体" w:hAnsi="宋体" w:cs="宋体"/>
          <w:sz w:val="32"/>
          <w:szCs w:val="32"/>
        </w:rPr>
        <w:t>项目</w:t>
      </w:r>
      <w:r>
        <w:rPr>
          <w:rFonts w:hint="eastAsia" w:ascii="宋体" w:hAnsi="宋体" w:cs="宋体"/>
          <w:sz w:val="32"/>
          <w:szCs w:val="32"/>
          <w:lang w:val="en-US" w:eastAsia="zh-CN"/>
        </w:rPr>
        <w:t>的</w:t>
      </w:r>
      <w:r>
        <w:rPr>
          <w:rFonts w:hint="eastAsia" w:ascii="宋体" w:hAnsi="宋体" w:cs="宋体"/>
          <w:sz w:val="32"/>
          <w:szCs w:val="32"/>
        </w:rPr>
        <w:t>实施</w:t>
      </w:r>
      <w:r>
        <w:rPr>
          <w:rFonts w:hint="eastAsia" w:ascii="宋体" w:hAnsi="宋体" w:cs="宋体"/>
          <w:sz w:val="32"/>
          <w:szCs w:val="32"/>
          <w:lang w:eastAsia="zh-CN"/>
        </w:rPr>
        <w:t>，增加了市财政的非税收入，</w:t>
      </w:r>
      <w:r>
        <w:rPr>
          <w:rFonts w:hint="eastAsia" w:ascii="宋体" w:hAnsi="宋体" w:cs="宋体"/>
          <w:sz w:val="32"/>
          <w:szCs w:val="32"/>
          <w:lang w:val="en-US" w:eastAsia="zh-CN"/>
        </w:rPr>
        <w:t>保障了</w:t>
      </w:r>
      <w:r>
        <w:rPr>
          <w:rFonts w:hint="eastAsia" w:ascii="宋体" w:hAnsi="宋体" w:cs="宋体"/>
          <w:sz w:val="32"/>
          <w:szCs w:val="32"/>
          <w:lang w:eastAsia="zh-CN"/>
        </w:rPr>
        <w:t>企业合法有序的经营，</w:t>
      </w:r>
      <w:r>
        <w:rPr>
          <w:rFonts w:hint="eastAsia" w:ascii="宋体" w:hAnsi="宋体" w:cs="宋体"/>
          <w:sz w:val="32"/>
          <w:szCs w:val="32"/>
        </w:rPr>
        <w:t>确保</w:t>
      </w:r>
      <w:r>
        <w:rPr>
          <w:rFonts w:hint="eastAsia" w:ascii="宋体" w:hAnsi="宋体" w:cs="宋体"/>
          <w:sz w:val="32"/>
          <w:szCs w:val="32"/>
          <w:lang w:val="en-US" w:eastAsia="zh-CN"/>
        </w:rPr>
        <w:t>了</w:t>
      </w:r>
      <w:r>
        <w:rPr>
          <w:rFonts w:hint="eastAsia" w:ascii="宋体" w:hAnsi="宋体" w:cs="宋体"/>
          <w:sz w:val="32"/>
          <w:szCs w:val="32"/>
        </w:rPr>
        <w:t>国有资产保值增值</w:t>
      </w:r>
      <w:r>
        <w:rPr>
          <w:rFonts w:hint="eastAsia" w:ascii="宋体" w:hAnsi="宋体" w:cs="宋体"/>
          <w:sz w:val="32"/>
          <w:szCs w:val="32"/>
          <w:lang w:eastAsia="zh-CN"/>
        </w:rPr>
        <w:t>。</w:t>
      </w:r>
      <w:r>
        <w:rPr>
          <w:rFonts w:hint="eastAsia" w:ascii="宋体" w:hAnsi="宋体" w:cs="宋体"/>
          <w:sz w:val="32"/>
          <w:szCs w:val="32"/>
          <w:lang w:val="en-US" w:eastAsia="zh-CN"/>
        </w:rPr>
        <w:t>全年目标任务完成100%。</w:t>
      </w:r>
    </w:p>
    <w:p>
      <w:pPr>
        <w:pStyle w:val="16"/>
        <w:spacing w:line="576" w:lineRule="exact"/>
        <w:ind w:firstLine="640"/>
        <w:rPr>
          <w:rFonts w:hint="eastAsia" w:ascii="宋体" w:hAnsi="宋体" w:cs="宋体"/>
          <w:b/>
          <w:bCs/>
          <w:sz w:val="32"/>
          <w:szCs w:val="32"/>
          <w:lang w:val="en-US" w:eastAsia="zh-CN"/>
        </w:rPr>
      </w:pPr>
      <w:r>
        <w:rPr>
          <w:rFonts w:hint="eastAsia" w:ascii="宋体" w:hAnsi="宋体" w:cs="宋体"/>
          <w:b/>
          <w:bCs/>
          <w:sz w:val="32"/>
          <w:szCs w:val="32"/>
          <w:lang w:val="en-US" w:eastAsia="zh-CN"/>
        </w:rPr>
        <w:t>（二）存在的问题</w:t>
      </w:r>
    </w:p>
    <w:p>
      <w:pPr>
        <w:numPr>
          <w:ilvl w:val="0"/>
          <w:numId w:val="0"/>
        </w:numPr>
        <w:spacing w:line="600" w:lineRule="exact"/>
        <w:ind w:firstLine="640" w:firstLineChars="200"/>
        <w:rPr>
          <w:rFonts w:hint="eastAsia" w:ascii="宋体" w:hAnsi="宋体" w:cs="宋体"/>
          <w:sz w:val="32"/>
          <w:szCs w:val="32"/>
          <w:lang w:eastAsia="zh-CN"/>
        </w:rPr>
      </w:pPr>
      <w:r>
        <w:rPr>
          <w:rFonts w:hint="eastAsia" w:ascii="宋体" w:hAnsi="宋体"/>
          <w:color w:val="000000"/>
          <w:sz w:val="32"/>
          <w:szCs w:val="32"/>
          <w:lang w:eastAsia="zh-CN"/>
        </w:rPr>
        <w:t>近年来，受新冠疫情和电商</w:t>
      </w:r>
      <w:r>
        <w:rPr>
          <w:rFonts w:hint="eastAsia" w:ascii="宋体" w:hAnsi="宋体"/>
          <w:color w:val="000000"/>
          <w:sz w:val="32"/>
          <w:szCs w:val="32"/>
          <w:lang w:val="en-US" w:eastAsia="zh-CN"/>
        </w:rPr>
        <w:t>冲击</w:t>
      </w:r>
      <w:r>
        <w:rPr>
          <w:rFonts w:hint="eastAsia" w:ascii="宋体" w:hAnsi="宋体"/>
          <w:color w:val="000000"/>
          <w:sz w:val="32"/>
          <w:szCs w:val="32"/>
          <w:lang w:eastAsia="zh-CN"/>
        </w:rPr>
        <w:t>影响，经营收入</w:t>
      </w:r>
      <w:r>
        <w:rPr>
          <w:rFonts w:hint="eastAsia" w:ascii="宋体" w:hAnsi="宋体"/>
          <w:color w:val="000000"/>
          <w:sz w:val="32"/>
          <w:szCs w:val="32"/>
          <w:lang w:val="en-US" w:eastAsia="zh-CN"/>
        </w:rPr>
        <w:t>呈</w:t>
      </w:r>
      <w:r>
        <w:rPr>
          <w:rFonts w:hint="eastAsia" w:ascii="宋体" w:hAnsi="宋体"/>
          <w:color w:val="000000"/>
          <w:sz w:val="32"/>
          <w:szCs w:val="32"/>
          <w:lang w:eastAsia="zh-CN"/>
        </w:rPr>
        <w:t>连年下降</w:t>
      </w:r>
      <w:r>
        <w:rPr>
          <w:rFonts w:hint="eastAsia" w:ascii="宋体" w:hAnsi="宋体"/>
          <w:color w:val="000000"/>
          <w:sz w:val="32"/>
          <w:szCs w:val="32"/>
          <w:lang w:val="en-US" w:eastAsia="zh-CN"/>
        </w:rPr>
        <w:t>趋势</w:t>
      </w:r>
      <w:r>
        <w:rPr>
          <w:rFonts w:hint="eastAsia" w:ascii="宋体" w:hAnsi="宋体"/>
          <w:color w:val="000000"/>
          <w:sz w:val="32"/>
          <w:szCs w:val="32"/>
          <w:lang w:eastAsia="zh-CN"/>
        </w:rPr>
        <w:t>。尽管</w:t>
      </w:r>
      <w:r>
        <w:rPr>
          <w:rFonts w:hint="eastAsia" w:ascii="宋体" w:hAnsi="宋体" w:cs="宋体"/>
          <w:sz w:val="32"/>
          <w:szCs w:val="32"/>
          <w:lang w:val="en-US" w:eastAsia="zh-CN"/>
        </w:rPr>
        <w:t>广荷物业</w:t>
      </w:r>
      <w:r>
        <w:rPr>
          <w:rFonts w:hint="eastAsia" w:ascii="宋体" w:hAnsi="宋体" w:cs="宋体"/>
          <w:sz w:val="32"/>
          <w:szCs w:val="32"/>
        </w:rPr>
        <w:t>有限</w:t>
      </w:r>
      <w:r>
        <w:rPr>
          <w:rFonts w:hint="eastAsia" w:ascii="宋体" w:hAnsi="宋体" w:cs="宋体"/>
          <w:sz w:val="32"/>
          <w:szCs w:val="32"/>
          <w:lang w:eastAsia="zh-CN"/>
        </w:rPr>
        <w:t>公司</w:t>
      </w:r>
      <w:r>
        <w:rPr>
          <w:rFonts w:hint="eastAsia" w:ascii="宋体" w:hAnsi="宋体"/>
          <w:color w:val="000000"/>
          <w:sz w:val="32"/>
          <w:szCs w:val="32"/>
          <w:lang w:val="en-US" w:eastAsia="zh-CN"/>
        </w:rPr>
        <w:t>多举措</w:t>
      </w:r>
      <w:r>
        <w:rPr>
          <w:rFonts w:hint="eastAsia" w:ascii="宋体" w:hAnsi="宋体"/>
          <w:color w:val="000000"/>
          <w:sz w:val="32"/>
          <w:szCs w:val="32"/>
          <w:lang w:eastAsia="zh-CN"/>
        </w:rPr>
        <w:t>增强经济效益，但受审批程序影响，</w:t>
      </w:r>
      <w:r>
        <w:rPr>
          <w:rFonts w:hint="eastAsia" w:ascii="宋体" w:hAnsi="宋体"/>
          <w:color w:val="000000"/>
          <w:sz w:val="32"/>
          <w:szCs w:val="32"/>
          <w:lang w:val="en-US" w:eastAsia="zh-CN"/>
        </w:rPr>
        <w:t>十四交易区A区</w:t>
      </w:r>
      <w:r>
        <w:rPr>
          <w:rFonts w:hint="eastAsia" w:ascii="宋体" w:hAnsi="宋体"/>
          <w:color w:val="000000"/>
          <w:sz w:val="32"/>
          <w:szCs w:val="32"/>
          <w:lang w:eastAsia="zh-CN"/>
        </w:rPr>
        <w:t>商铺改造</w:t>
      </w:r>
      <w:r>
        <w:rPr>
          <w:rFonts w:hint="eastAsia" w:ascii="宋体" w:hAnsi="宋体"/>
          <w:color w:val="000000"/>
          <w:sz w:val="32"/>
          <w:szCs w:val="32"/>
          <w:lang w:val="en-US" w:eastAsia="zh-CN"/>
        </w:rPr>
        <w:t>仍</w:t>
      </w:r>
      <w:r>
        <w:rPr>
          <w:rFonts w:hint="eastAsia" w:ascii="宋体" w:hAnsi="宋体"/>
          <w:color w:val="000000"/>
          <w:sz w:val="32"/>
          <w:szCs w:val="32"/>
          <w:lang w:eastAsia="zh-CN"/>
        </w:rPr>
        <w:t>未动工，因而难以</w:t>
      </w:r>
      <w:r>
        <w:rPr>
          <w:rFonts w:hint="eastAsia" w:ascii="宋体" w:hAnsi="宋体"/>
          <w:color w:val="000000"/>
          <w:sz w:val="32"/>
          <w:szCs w:val="32"/>
          <w:lang w:val="en-US" w:eastAsia="zh-CN"/>
        </w:rPr>
        <w:t>达到预期</w:t>
      </w:r>
      <w:r>
        <w:rPr>
          <w:rFonts w:hint="eastAsia" w:ascii="宋体" w:hAnsi="宋体"/>
          <w:color w:val="000000"/>
          <w:sz w:val="32"/>
          <w:szCs w:val="32"/>
          <w:lang w:eastAsia="zh-CN"/>
        </w:rPr>
        <w:t>经济效益。</w:t>
      </w:r>
    </w:p>
    <w:p>
      <w:pPr>
        <w:pStyle w:val="16"/>
        <w:spacing w:line="576" w:lineRule="exact"/>
        <w:ind w:firstLine="640"/>
        <w:rPr>
          <w:rFonts w:hint="eastAsia" w:ascii="宋体" w:hAnsi="宋体" w:cs="宋体"/>
          <w:b/>
          <w:bCs/>
          <w:sz w:val="32"/>
          <w:szCs w:val="32"/>
          <w:lang w:val="en-US" w:eastAsia="zh-CN"/>
        </w:rPr>
      </w:pPr>
      <w:r>
        <w:rPr>
          <w:rFonts w:hint="eastAsia" w:ascii="宋体" w:hAnsi="宋体" w:cs="宋体"/>
          <w:b/>
          <w:bCs/>
          <w:sz w:val="32"/>
          <w:szCs w:val="32"/>
          <w:lang w:val="en-US" w:eastAsia="zh-CN"/>
        </w:rPr>
        <w:t>（三）相关建议</w:t>
      </w:r>
    </w:p>
    <w:p>
      <w:pPr>
        <w:ind w:firstLine="640" w:firstLineChars="200"/>
        <w:rPr>
          <w:rFonts w:hint="eastAsia"/>
          <w:sz w:val="32"/>
          <w:szCs w:val="32"/>
          <w:lang w:val="en-US" w:eastAsia="zh-CN"/>
        </w:rPr>
      </w:pPr>
      <w:r>
        <w:rPr>
          <w:rFonts w:hint="eastAsia"/>
          <w:sz w:val="32"/>
          <w:szCs w:val="32"/>
          <w:lang w:val="en-US" w:eastAsia="zh-CN"/>
        </w:rPr>
        <w:t>进一步</w:t>
      </w:r>
      <w:r>
        <w:rPr>
          <w:rFonts w:hint="eastAsia"/>
          <w:sz w:val="32"/>
          <w:szCs w:val="32"/>
          <w:lang w:eastAsia="zh-CN"/>
        </w:rPr>
        <w:t>加快</w:t>
      </w:r>
      <w:r>
        <w:rPr>
          <w:rFonts w:hint="eastAsia" w:ascii="宋体" w:hAnsi="宋体"/>
          <w:color w:val="000000"/>
          <w:sz w:val="32"/>
          <w:szCs w:val="32"/>
          <w:lang w:val="en-US" w:eastAsia="zh-CN"/>
        </w:rPr>
        <w:t>十四交易区A区</w:t>
      </w:r>
      <w:r>
        <w:rPr>
          <w:rFonts w:hint="eastAsia"/>
          <w:sz w:val="32"/>
          <w:szCs w:val="32"/>
          <w:lang w:val="en-US" w:eastAsia="zh-CN"/>
        </w:rPr>
        <w:t>改造项目</w:t>
      </w:r>
      <w:r>
        <w:rPr>
          <w:rFonts w:hint="eastAsia"/>
          <w:sz w:val="32"/>
          <w:szCs w:val="32"/>
          <w:lang w:eastAsia="zh-CN"/>
        </w:rPr>
        <w:t>审批程序。</w:t>
      </w:r>
    </w:p>
    <w:p>
      <w:pPr>
        <w:spacing w:line="600" w:lineRule="exact"/>
        <w:jc w:val="center"/>
        <w:rPr>
          <w:rFonts w:hint="eastAsia" w:ascii="方正小标宋简体" w:hAnsi="宋体" w:eastAsia="方正小标宋简体"/>
          <w:color w:val="000000"/>
          <w:kern w:val="0"/>
          <w:sz w:val="44"/>
          <w:szCs w:val="44"/>
        </w:rPr>
      </w:pPr>
    </w:p>
    <w:p>
      <w:pPr>
        <w:spacing w:line="600" w:lineRule="exact"/>
        <w:jc w:val="center"/>
        <w:rPr>
          <w:rFonts w:hint="eastAsia" w:ascii="方正小标宋简体" w:hAnsi="宋体" w:eastAsia="方正小标宋简体"/>
          <w:color w:val="000000"/>
          <w:kern w:val="0"/>
          <w:sz w:val="44"/>
          <w:szCs w:val="44"/>
        </w:rPr>
      </w:pPr>
    </w:p>
    <w:p>
      <w:pPr>
        <w:spacing w:line="600" w:lineRule="exact"/>
        <w:jc w:val="center"/>
        <w:rPr>
          <w:rFonts w:hint="eastAsia" w:ascii="方正小标宋简体" w:hAnsi="宋体" w:eastAsia="方正小标宋简体"/>
          <w:color w:val="000000"/>
          <w:kern w:val="0"/>
          <w:sz w:val="44"/>
          <w:szCs w:val="44"/>
        </w:rPr>
      </w:pPr>
    </w:p>
    <w:p>
      <w:pPr>
        <w:spacing w:line="600" w:lineRule="exact"/>
        <w:jc w:val="center"/>
        <w:rPr>
          <w:rFonts w:hint="eastAsia" w:ascii="方正小标宋简体" w:hAnsi="宋体" w:eastAsia="方正小标宋简体"/>
          <w:color w:val="000000"/>
          <w:kern w:val="0"/>
          <w:sz w:val="44"/>
          <w:szCs w:val="44"/>
        </w:rPr>
      </w:pPr>
    </w:p>
    <w:p>
      <w:pPr>
        <w:spacing w:line="600" w:lineRule="exact"/>
        <w:jc w:val="center"/>
        <w:rPr>
          <w:rFonts w:hint="eastAsia" w:ascii="方正小标宋简体" w:hAnsi="宋体" w:eastAsia="方正小标宋简体"/>
          <w:color w:val="000000"/>
          <w:kern w:val="0"/>
          <w:sz w:val="44"/>
          <w:szCs w:val="44"/>
        </w:rPr>
      </w:pPr>
    </w:p>
    <w:p>
      <w:pPr>
        <w:spacing w:line="600" w:lineRule="exact"/>
        <w:jc w:val="center"/>
        <w:rPr>
          <w:rFonts w:hint="eastAsia" w:ascii="方正小标宋简体" w:hAnsi="宋体" w:eastAsia="方正小标宋简体"/>
          <w:color w:val="000000"/>
          <w:kern w:val="0"/>
          <w:sz w:val="44"/>
          <w:szCs w:val="44"/>
        </w:rPr>
      </w:pPr>
    </w:p>
    <w:p>
      <w:pPr>
        <w:spacing w:line="600" w:lineRule="exact"/>
        <w:jc w:val="center"/>
        <w:rPr>
          <w:rFonts w:hint="eastAsia" w:ascii="方正小标宋简体" w:hAnsi="宋体" w:eastAsia="方正小标宋简体"/>
          <w:color w:val="000000"/>
          <w:kern w:val="0"/>
          <w:sz w:val="44"/>
          <w:szCs w:val="44"/>
        </w:rPr>
      </w:pPr>
    </w:p>
    <w:p>
      <w:pPr>
        <w:spacing w:line="600" w:lineRule="exact"/>
        <w:jc w:val="both"/>
        <w:rPr>
          <w:rFonts w:hint="eastAsia" w:ascii="方正小标宋简体" w:hAnsi="宋体" w:eastAsia="方正小标宋简体"/>
          <w:color w:val="000000"/>
          <w:kern w:val="0"/>
          <w:sz w:val="44"/>
          <w:szCs w:val="44"/>
        </w:rPr>
      </w:pPr>
    </w:p>
    <w:p>
      <w:pPr>
        <w:pStyle w:val="2"/>
        <w:rPr>
          <w:rFonts w:hint="eastAsia" w:ascii="方正小标宋简体" w:hAnsi="宋体" w:eastAsia="方正小标宋简体"/>
          <w:color w:val="000000"/>
          <w:kern w:val="0"/>
          <w:sz w:val="44"/>
          <w:szCs w:val="44"/>
        </w:rPr>
      </w:pPr>
    </w:p>
    <w:p>
      <w:pPr>
        <w:pStyle w:val="2"/>
        <w:rPr>
          <w:rFonts w:hint="eastAsia" w:ascii="方正小标宋简体" w:hAnsi="宋体" w:eastAsia="方正小标宋简体"/>
          <w:color w:val="000000"/>
          <w:kern w:val="0"/>
          <w:sz w:val="44"/>
          <w:szCs w:val="44"/>
        </w:rPr>
      </w:pPr>
    </w:p>
    <w:p>
      <w:pPr>
        <w:pStyle w:val="7"/>
        <w:rPr>
          <w:rFonts w:hint="eastAsia" w:ascii="方正小标宋简体" w:hAnsi="宋体" w:eastAsia="方正小标宋简体"/>
          <w:color w:val="000000"/>
          <w:kern w:val="0"/>
          <w:sz w:val="44"/>
          <w:szCs w:val="44"/>
        </w:rPr>
      </w:pPr>
    </w:p>
    <w:p>
      <w:pPr>
        <w:pStyle w:val="7"/>
        <w:rPr>
          <w:rFonts w:hint="eastAsia" w:ascii="方正小标宋简体" w:hAnsi="宋体" w:eastAsia="方正小标宋简体"/>
          <w:color w:val="000000"/>
          <w:kern w:val="0"/>
          <w:sz w:val="44"/>
          <w:szCs w:val="44"/>
        </w:rPr>
      </w:pPr>
    </w:p>
    <w:p>
      <w:pPr>
        <w:pStyle w:val="7"/>
        <w:rPr>
          <w:rFonts w:hint="eastAsia"/>
        </w:rPr>
      </w:pPr>
    </w:p>
    <w:p>
      <w:pPr>
        <w:pStyle w:val="16"/>
        <w:spacing w:line="576"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附表</w:t>
      </w:r>
    </w:p>
    <w:tbl>
      <w:tblPr>
        <w:tblStyle w:val="11"/>
        <w:tblW w:w="9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1"/>
        <w:gridCol w:w="975"/>
        <w:gridCol w:w="1215"/>
        <w:gridCol w:w="2230"/>
        <w:gridCol w:w="1364"/>
        <w:gridCol w:w="742"/>
        <w:gridCol w:w="17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9051"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2021年部门预算项目绩效目标自评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174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主管部门及代码</w:t>
            </w:r>
          </w:p>
        </w:tc>
        <w:tc>
          <w:tcPr>
            <w:tcW w:w="3445"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广元市人民政府办公室302001</w:t>
            </w:r>
          </w:p>
        </w:tc>
        <w:tc>
          <w:tcPr>
            <w:tcW w:w="136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2496"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广元市人民政府驻成都办事处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1746"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项目预算</w:t>
            </w:r>
          </w:p>
        </w:tc>
        <w:tc>
          <w:tcPr>
            <w:tcW w:w="12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预算数：</w:t>
            </w:r>
          </w:p>
        </w:tc>
        <w:tc>
          <w:tcPr>
            <w:tcW w:w="2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134.16</w:t>
            </w:r>
          </w:p>
        </w:tc>
        <w:tc>
          <w:tcPr>
            <w:tcW w:w="2106"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执行数：</w:t>
            </w:r>
          </w:p>
        </w:tc>
        <w:tc>
          <w:tcPr>
            <w:tcW w:w="175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746"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执行情况</w:t>
            </w:r>
          </w:p>
        </w:tc>
        <w:tc>
          <w:tcPr>
            <w:tcW w:w="1215"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w:t>
            </w:r>
          </w:p>
        </w:tc>
        <w:tc>
          <w:tcPr>
            <w:tcW w:w="223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134.16</w:t>
            </w:r>
          </w:p>
        </w:tc>
        <w:tc>
          <w:tcPr>
            <w:tcW w:w="2106" w:type="dxa"/>
            <w:gridSpan w:val="2"/>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w:t>
            </w:r>
          </w:p>
        </w:tc>
        <w:tc>
          <w:tcPr>
            <w:tcW w:w="1754"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746"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（万元）</w:t>
            </w:r>
          </w:p>
        </w:tc>
        <w:tc>
          <w:tcPr>
            <w:tcW w:w="12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财政拨款</w:t>
            </w:r>
          </w:p>
        </w:tc>
        <w:tc>
          <w:tcPr>
            <w:tcW w:w="2230"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106"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财政拨款</w:t>
            </w:r>
          </w:p>
        </w:tc>
        <w:tc>
          <w:tcPr>
            <w:tcW w:w="1754" w:type="dxa"/>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746" w:type="dxa"/>
            <w:gridSpan w:val="2"/>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2230"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106"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175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771" w:type="dxa"/>
            <w:vMerge w:val="restar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年度总体目标完成情况</w:t>
            </w:r>
          </w:p>
        </w:tc>
        <w:tc>
          <w:tcPr>
            <w:tcW w:w="4420" w:type="dxa"/>
            <w:gridSpan w:val="3"/>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3860" w:type="dxa"/>
            <w:gridSpan w:val="3"/>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trPr>
        <w:tc>
          <w:tcPr>
            <w:tcW w:w="771"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420" w:type="dxa"/>
            <w:gridSpan w:val="3"/>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合理使用返还的经营费用134.36万元，完成广荷物业管理有限公司600万元租金收取工作，保障2021年非税收入完成。</w:t>
            </w:r>
          </w:p>
        </w:tc>
        <w:tc>
          <w:tcPr>
            <w:tcW w:w="3860" w:type="dxa"/>
            <w:gridSpan w:val="3"/>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合理使用返还的经营费用134.36万元，完成广荷物业管理有限公司600万元租金收取工作，保障了2021年非税收入完成。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77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年度绩效指标完成情况</w:t>
            </w:r>
          </w:p>
        </w:tc>
        <w:tc>
          <w:tcPr>
            <w:tcW w:w="975"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一级</w:t>
            </w:r>
          </w:p>
        </w:tc>
        <w:tc>
          <w:tcPr>
            <w:tcW w:w="1215"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二级</w:t>
            </w:r>
          </w:p>
        </w:tc>
        <w:tc>
          <w:tcPr>
            <w:tcW w:w="2230"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三级</w:t>
            </w:r>
          </w:p>
        </w:tc>
        <w:tc>
          <w:tcPr>
            <w:tcW w:w="2106" w:type="dxa"/>
            <w:gridSpan w:val="2"/>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预期指标值</w:t>
            </w:r>
          </w:p>
        </w:tc>
        <w:tc>
          <w:tcPr>
            <w:tcW w:w="1754"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7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9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指标</w:t>
            </w:r>
          </w:p>
        </w:tc>
        <w:tc>
          <w:tcPr>
            <w:tcW w:w="12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指标</w:t>
            </w:r>
          </w:p>
        </w:tc>
        <w:tc>
          <w:tcPr>
            <w:tcW w:w="2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指标</w:t>
            </w:r>
          </w:p>
        </w:tc>
        <w:tc>
          <w:tcPr>
            <w:tcW w:w="2106" w:type="dxa"/>
            <w:gridSpan w:val="2"/>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754"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77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975" w:type="dxa"/>
            <w:vMerge w:val="restart"/>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完成  指标</w:t>
            </w:r>
          </w:p>
        </w:tc>
        <w:tc>
          <w:tcPr>
            <w:tcW w:w="121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数量指标</w:t>
            </w:r>
          </w:p>
        </w:tc>
        <w:tc>
          <w:tcPr>
            <w:tcW w:w="2230"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完成2021年1月-2021年3月租金收取工作</w:t>
            </w:r>
          </w:p>
        </w:tc>
        <w:tc>
          <w:tcPr>
            <w:tcW w:w="2106" w:type="dxa"/>
            <w:gridSpan w:val="2"/>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100万元</w:t>
            </w:r>
          </w:p>
        </w:tc>
        <w:tc>
          <w:tcPr>
            <w:tcW w:w="1754"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77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975" w:type="dxa"/>
            <w:vMerge w:val="continue"/>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215" w:type="dxa"/>
            <w:vMerge w:val="continue"/>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2230"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完成2021年4月-2021年6月租金收取工作</w:t>
            </w:r>
          </w:p>
        </w:tc>
        <w:tc>
          <w:tcPr>
            <w:tcW w:w="2106" w:type="dxa"/>
            <w:gridSpan w:val="2"/>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100万元</w:t>
            </w:r>
          </w:p>
        </w:tc>
        <w:tc>
          <w:tcPr>
            <w:tcW w:w="1754"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77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975" w:type="dxa"/>
            <w:vMerge w:val="continue"/>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215" w:type="dxa"/>
            <w:vMerge w:val="continue"/>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2230"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完成2021年7月-2021年9月租金收取工作</w:t>
            </w:r>
          </w:p>
        </w:tc>
        <w:tc>
          <w:tcPr>
            <w:tcW w:w="2106" w:type="dxa"/>
            <w:gridSpan w:val="2"/>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200万元</w:t>
            </w:r>
          </w:p>
        </w:tc>
        <w:tc>
          <w:tcPr>
            <w:tcW w:w="1754"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77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975" w:type="dxa"/>
            <w:vMerge w:val="continue"/>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215" w:type="dxa"/>
            <w:vMerge w:val="continue"/>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2230"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完成2021年10月-2021年12月租金收取工作</w:t>
            </w:r>
          </w:p>
        </w:tc>
        <w:tc>
          <w:tcPr>
            <w:tcW w:w="2106" w:type="dxa"/>
            <w:gridSpan w:val="2"/>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200万元</w:t>
            </w:r>
          </w:p>
        </w:tc>
        <w:tc>
          <w:tcPr>
            <w:tcW w:w="1754"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77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975" w:type="dxa"/>
            <w:vMerge w:val="continue"/>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215"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质量指标</w:t>
            </w:r>
          </w:p>
        </w:tc>
        <w:tc>
          <w:tcPr>
            <w:tcW w:w="2230"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保障2021年非税收入完成</w:t>
            </w:r>
          </w:p>
        </w:tc>
        <w:tc>
          <w:tcPr>
            <w:tcW w:w="2106" w:type="dxa"/>
            <w:gridSpan w:val="2"/>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600万元</w:t>
            </w:r>
          </w:p>
        </w:tc>
        <w:tc>
          <w:tcPr>
            <w:tcW w:w="1754"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600万元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7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975" w:type="dxa"/>
            <w:vMerge w:val="continue"/>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215"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时效指标</w:t>
            </w:r>
          </w:p>
        </w:tc>
        <w:tc>
          <w:tcPr>
            <w:tcW w:w="2230"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完成时间</w:t>
            </w:r>
          </w:p>
        </w:tc>
        <w:tc>
          <w:tcPr>
            <w:tcW w:w="2106" w:type="dxa"/>
            <w:gridSpan w:val="2"/>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≤12个月</w:t>
            </w:r>
          </w:p>
        </w:tc>
        <w:tc>
          <w:tcPr>
            <w:tcW w:w="1754"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7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975" w:type="dxa"/>
            <w:vMerge w:val="continue"/>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215"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成本指标</w:t>
            </w:r>
          </w:p>
        </w:tc>
        <w:tc>
          <w:tcPr>
            <w:tcW w:w="2230"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经营管理费用</w:t>
            </w:r>
          </w:p>
        </w:tc>
        <w:tc>
          <w:tcPr>
            <w:tcW w:w="2106" w:type="dxa"/>
            <w:gridSpan w:val="2"/>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134.36万元</w:t>
            </w:r>
          </w:p>
        </w:tc>
        <w:tc>
          <w:tcPr>
            <w:tcW w:w="1754"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134.36万元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77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97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效益</w:t>
            </w:r>
          </w:p>
        </w:tc>
        <w:tc>
          <w:tcPr>
            <w:tcW w:w="1215"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经济效益  指标</w:t>
            </w:r>
          </w:p>
        </w:tc>
        <w:tc>
          <w:tcPr>
            <w:tcW w:w="2230"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完成2021年非税收入</w:t>
            </w:r>
          </w:p>
        </w:tc>
        <w:tc>
          <w:tcPr>
            <w:tcW w:w="2106" w:type="dxa"/>
            <w:gridSpan w:val="2"/>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600万元</w:t>
            </w:r>
          </w:p>
        </w:tc>
        <w:tc>
          <w:tcPr>
            <w:tcW w:w="1754"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600万元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77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975"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指标</w:t>
            </w:r>
          </w:p>
        </w:tc>
        <w:tc>
          <w:tcPr>
            <w:tcW w:w="1215"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社会效益  指标</w:t>
            </w:r>
          </w:p>
        </w:tc>
        <w:tc>
          <w:tcPr>
            <w:tcW w:w="2230"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对工作的促进作用</w:t>
            </w:r>
          </w:p>
        </w:tc>
        <w:tc>
          <w:tcPr>
            <w:tcW w:w="2106" w:type="dxa"/>
            <w:gridSpan w:val="2"/>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解决人员就业，减轻财政压力。</w:t>
            </w:r>
          </w:p>
        </w:tc>
        <w:tc>
          <w:tcPr>
            <w:tcW w:w="1754"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解决人员就业，减轻财政压力。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77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975" w:type="dxa"/>
            <w:tcBorders>
              <w:top w:val="nil"/>
              <w:left w:val="nil"/>
              <w:bottom w:val="nil"/>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满意</w:t>
            </w:r>
          </w:p>
        </w:tc>
        <w:tc>
          <w:tcPr>
            <w:tcW w:w="1215" w:type="dxa"/>
            <w:tcBorders>
              <w:top w:val="nil"/>
              <w:left w:val="nil"/>
              <w:bottom w:val="nil"/>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满意度</w:t>
            </w:r>
          </w:p>
        </w:tc>
        <w:tc>
          <w:tcPr>
            <w:tcW w:w="2230" w:type="dxa"/>
            <w:vMerge w:val="restart"/>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主管部门满意</w:t>
            </w:r>
          </w:p>
        </w:tc>
        <w:tc>
          <w:tcPr>
            <w:tcW w:w="2106" w:type="dxa"/>
            <w:gridSpan w:val="2"/>
            <w:vMerge w:val="restart"/>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≥100%</w:t>
            </w:r>
          </w:p>
        </w:tc>
        <w:tc>
          <w:tcPr>
            <w:tcW w:w="1754" w:type="dxa"/>
            <w:vMerge w:val="restart"/>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7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975"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度指标</w:t>
            </w:r>
          </w:p>
        </w:tc>
        <w:tc>
          <w:tcPr>
            <w:tcW w:w="1215"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指标</w:t>
            </w:r>
          </w:p>
        </w:tc>
        <w:tc>
          <w:tcPr>
            <w:tcW w:w="2230" w:type="dxa"/>
            <w:vMerge w:val="continue"/>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2106" w:type="dxa"/>
            <w:gridSpan w:val="2"/>
            <w:vMerge w:val="continue"/>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754" w:type="dxa"/>
            <w:vMerge w:val="continue"/>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bl>
    <w:p>
      <w:pPr>
        <w:spacing w:line="600" w:lineRule="exact"/>
        <w:jc w:val="center"/>
        <w:rPr>
          <w:rFonts w:hint="eastAsia" w:ascii="方正小标宋简体" w:hAnsi="宋体" w:eastAsia="方正小标宋简体" w:cs="Times New Roman"/>
          <w:color w:val="000000"/>
          <w:kern w:val="0"/>
          <w:sz w:val="44"/>
          <w:szCs w:val="44"/>
          <w:lang w:val="zh-CN"/>
        </w:rPr>
      </w:pPr>
      <w:bookmarkStart w:id="54" w:name="_Toc15396618"/>
      <w:r>
        <w:rPr>
          <w:rFonts w:ascii="方正小标宋简体" w:hAnsi="宋体" w:eastAsia="方正小标宋简体"/>
          <w:color w:val="000000"/>
          <w:kern w:val="0"/>
          <w:sz w:val="44"/>
          <w:szCs w:val="44"/>
        </w:rPr>
        <w:t>202</w:t>
      </w:r>
      <w:r>
        <w:rPr>
          <w:rFonts w:hint="eastAsia" w:ascii="方正小标宋简体" w:hAnsi="宋体" w:eastAsia="方正小标宋简体" w:cs="Times New Roman"/>
          <w:color w:val="000000"/>
          <w:kern w:val="0"/>
          <w:sz w:val="44"/>
          <w:szCs w:val="44"/>
          <w:lang w:val="en-US" w:eastAsia="zh-CN"/>
        </w:rPr>
        <w:t>1</w:t>
      </w:r>
      <w:r>
        <w:rPr>
          <w:rFonts w:hint="eastAsia" w:ascii="方正小标宋简体" w:hAnsi="宋体" w:eastAsia="方正小标宋简体" w:cs="Times New Roman"/>
          <w:color w:val="000000"/>
          <w:kern w:val="0"/>
          <w:sz w:val="44"/>
          <w:szCs w:val="44"/>
        </w:rPr>
        <w:t>年</w:t>
      </w:r>
      <w:r>
        <w:rPr>
          <w:rFonts w:hint="eastAsia" w:ascii="方正小标宋简体" w:hAnsi="宋体" w:eastAsia="方正小标宋简体" w:cs="Times New Roman"/>
          <w:color w:val="000000"/>
          <w:kern w:val="0"/>
          <w:sz w:val="44"/>
          <w:szCs w:val="44"/>
          <w:lang w:val="zh-CN"/>
        </w:rPr>
        <w:t>广元市驻蓉流动党委专项</w:t>
      </w:r>
    </w:p>
    <w:p>
      <w:pPr>
        <w:spacing w:line="600" w:lineRule="exact"/>
        <w:jc w:val="center"/>
        <w:rPr>
          <w:rFonts w:ascii="方正小标宋简体" w:hAnsi="宋体" w:eastAsia="方正小标宋简体"/>
          <w:color w:val="000000"/>
          <w:kern w:val="0"/>
          <w:sz w:val="44"/>
          <w:szCs w:val="44"/>
        </w:rPr>
      </w:pPr>
      <w:r>
        <w:rPr>
          <w:rFonts w:hint="eastAsia" w:ascii="方正小标宋简体" w:hAnsi="宋体" w:eastAsia="方正小标宋简体" w:cs="Times New Roman"/>
          <w:color w:val="000000"/>
          <w:kern w:val="0"/>
          <w:sz w:val="44"/>
          <w:szCs w:val="44"/>
          <w:lang w:val="zh-CN"/>
        </w:rPr>
        <w:t>工作经费</w:t>
      </w:r>
      <w:r>
        <w:rPr>
          <w:rFonts w:hint="eastAsia" w:ascii="方正小标宋简体" w:hAnsi="宋体" w:eastAsia="方正小标宋简体" w:cs="Times New Roman"/>
          <w:color w:val="000000"/>
          <w:kern w:val="0"/>
          <w:sz w:val="44"/>
          <w:szCs w:val="44"/>
          <w:lang w:val="en-US" w:eastAsia="zh-CN"/>
        </w:rPr>
        <w:t>项目</w:t>
      </w:r>
      <w:r>
        <w:rPr>
          <w:rFonts w:hint="eastAsia" w:ascii="方正小标宋简体" w:hAnsi="宋体" w:eastAsia="方正小标宋简体"/>
          <w:color w:val="000000"/>
          <w:kern w:val="0"/>
          <w:sz w:val="44"/>
          <w:szCs w:val="44"/>
          <w:lang w:val="zh-CN"/>
        </w:rPr>
        <w:t>绩效</w:t>
      </w:r>
      <w:r>
        <w:rPr>
          <w:rFonts w:hint="eastAsia" w:ascii="方正小标宋简体" w:hAnsi="宋体" w:eastAsia="方正小标宋简体"/>
          <w:color w:val="000000"/>
          <w:kern w:val="0"/>
          <w:sz w:val="44"/>
          <w:szCs w:val="44"/>
          <w:lang w:val="en-US" w:eastAsia="zh-CN"/>
        </w:rPr>
        <w:t>自</w:t>
      </w:r>
      <w:r>
        <w:rPr>
          <w:rFonts w:hint="eastAsia" w:ascii="方正小标宋简体" w:hAnsi="宋体" w:eastAsia="方正小标宋简体"/>
          <w:color w:val="000000"/>
          <w:kern w:val="0"/>
          <w:sz w:val="44"/>
          <w:szCs w:val="44"/>
          <w:lang w:val="zh-CN"/>
        </w:rPr>
        <w:t>评报告</w:t>
      </w:r>
    </w:p>
    <w:p>
      <w:pPr>
        <w:pStyle w:val="7"/>
      </w:pPr>
    </w:p>
    <w:p>
      <w:pPr>
        <w:pStyle w:val="7"/>
      </w:pPr>
    </w:p>
    <w:p>
      <w:pPr>
        <w:pStyle w:val="18"/>
        <w:spacing w:line="576" w:lineRule="exact"/>
        <w:ind w:left="640" w:firstLine="0" w:firstLineChars="0"/>
        <w:rPr>
          <w:rFonts w:ascii="黑体" w:eastAsia="黑体"/>
          <w:sz w:val="32"/>
          <w:szCs w:val="32"/>
        </w:rPr>
      </w:pPr>
      <w:r>
        <w:rPr>
          <w:rFonts w:hint="eastAsia" w:ascii="黑体" w:hAnsi="宋体" w:eastAsia="黑体"/>
          <w:sz w:val="32"/>
          <w:szCs w:val="32"/>
        </w:rPr>
        <w:t>一、项目概况</w:t>
      </w:r>
    </w:p>
    <w:p>
      <w:pPr>
        <w:snapToGrid/>
        <w:spacing w:before="0" w:beforeAutospacing="0" w:after="0" w:afterAutospacing="0" w:line="540" w:lineRule="exact"/>
        <w:ind w:firstLine="642" w:firstLineChars="200"/>
        <w:jc w:val="both"/>
        <w:textAlignment w:val="baseline"/>
        <w:rPr>
          <w:rFonts w:hint="eastAsia" w:ascii="宋体" w:hAnsi="宋体" w:eastAsia="宋体" w:cs="Times New Roman"/>
          <w:b/>
          <w:bCs/>
          <w:color w:val="000000"/>
          <w:sz w:val="32"/>
          <w:szCs w:val="32"/>
          <w:lang w:eastAsia="zh-CN"/>
        </w:rPr>
      </w:pPr>
      <w:r>
        <w:rPr>
          <w:rFonts w:hint="eastAsia" w:ascii="宋体" w:hAnsi="宋体" w:eastAsia="宋体" w:cs="Times New Roman"/>
          <w:b/>
          <w:bCs/>
          <w:color w:val="000000"/>
          <w:sz w:val="32"/>
          <w:szCs w:val="32"/>
          <w:lang w:eastAsia="zh-CN"/>
        </w:rPr>
        <w:t>（一）项目</w:t>
      </w:r>
      <w:r>
        <w:rPr>
          <w:rFonts w:hint="eastAsia" w:ascii="宋体" w:hAnsi="宋体" w:cs="Times New Roman"/>
          <w:b/>
          <w:bCs/>
          <w:color w:val="000000"/>
          <w:sz w:val="32"/>
          <w:szCs w:val="32"/>
          <w:lang w:val="en-US" w:eastAsia="zh-CN"/>
        </w:rPr>
        <w:t>基本</w:t>
      </w:r>
      <w:r>
        <w:rPr>
          <w:rFonts w:hint="eastAsia" w:ascii="宋体" w:hAnsi="宋体" w:eastAsia="宋体" w:cs="Times New Roman"/>
          <w:b/>
          <w:bCs/>
          <w:color w:val="000000"/>
          <w:sz w:val="32"/>
          <w:szCs w:val="32"/>
          <w:lang w:eastAsia="zh-CN"/>
        </w:rPr>
        <w:t>情况</w:t>
      </w:r>
    </w:p>
    <w:p>
      <w:pPr>
        <w:snapToGrid/>
        <w:spacing w:before="0" w:beforeAutospacing="0" w:after="0" w:afterAutospacing="0" w:line="540" w:lineRule="exact"/>
        <w:ind w:firstLine="640" w:firstLineChars="200"/>
        <w:jc w:val="both"/>
        <w:textAlignment w:val="baseline"/>
        <w:rPr>
          <w:rFonts w:hint="default" w:ascii="宋体" w:hAnsi="宋体" w:eastAsia="宋体" w:cs="Times New Roman"/>
          <w:color w:val="000000"/>
          <w:sz w:val="32"/>
          <w:szCs w:val="32"/>
          <w:lang w:val="en-US" w:eastAsia="zh-CN"/>
        </w:rPr>
      </w:pPr>
      <w:r>
        <w:rPr>
          <w:rFonts w:hint="eastAsia" w:ascii="宋体" w:hAnsi="宋体" w:cs="宋体"/>
          <w:bCs/>
          <w:sz w:val="32"/>
          <w:szCs w:val="32"/>
          <w:lang w:val="en-US" w:eastAsia="zh-CN"/>
        </w:rPr>
        <w:t>根据广元市人民政府驻成都办事处的职能：</w:t>
      </w:r>
      <w:r>
        <w:rPr>
          <w:rFonts w:hint="eastAsia" w:ascii="宋体" w:hAnsi="宋体" w:cs="宋体"/>
          <w:bCs/>
          <w:sz w:val="32"/>
          <w:szCs w:val="32"/>
        </w:rPr>
        <w:t>做好流动党员管理工作，夯实驻外机构队伍建设</w:t>
      </w:r>
      <w:r>
        <w:rPr>
          <w:rFonts w:hint="eastAsia" w:ascii="宋体" w:hAnsi="宋体" w:cs="宋体"/>
          <w:bCs/>
          <w:sz w:val="32"/>
          <w:szCs w:val="32"/>
          <w:lang w:eastAsia="zh-CN"/>
        </w:rPr>
        <w:t>。</w:t>
      </w:r>
      <w:r>
        <w:rPr>
          <w:rFonts w:hint="eastAsia" w:ascii="宋体" w:hAnsi="宋体" w:eastAsia="宋体" w:cs="Times New Roman"/>
          <w:color w:val="000000"/>
          <w:sz w:val="32"/>
          <w:szCs w:val="32"/>
          <w:lang w:eastAsia="zh-CN"/>
        </w:rPr>
        <w:t>2013年6月19日，中共广元市驻蓉流动党员委员会根据《市委组织部印发&lt;关于同意成立中共广元市驻蓉流动党员委员会的批复&gt;》(广组办〔2013〕98号）成立，由市委组织部牵头，市政府驻成都办事处具体负责，</w:t>
      </w:r>
      <w:r>
        <w:rPr>
          <w:rFonts w:hint="eastAsia" w:ascii="宋体" w:hAnsi="宋体" w:eastAsia="宋体" w:cs="Times New Roman"/>
          <w:color w:val="000000"/>
          <w:sz w:val="32"/>
          <w:szCs w:val="32"/>
          <w:lang w:val="zh-CN" w:eastAsia="zh-CN"/>
        </w:rPr>
        <w:t>并</w:t>
      </w:r>
      <w:r>
        <w:rPr>
          <w:rFonts w:hint="eastAsia" w:ascii="宋体" w:hAnsi="宋体" w:eastAsia="宋体" w:cs="Times New Roman"/>
          <w:color w:val="000000"/>
          <w:sz w:val="32"/>
          <w:szCs w:val="32"/>
          <w:lang w:eastAsia="zh-CN"/>
        </w:rPr>
        <w:t>以“1+10”的管理模式构建组织机构，下辖10个党组织，设书记1名，副书记4名（其中专职副书记1名），委员12名。</w:t>
      </w:r>
      <w:r>
        <w:rPr>
          <w:rFonts w:hint="eastAsia" w:ascii="宋体" w:hAnsi="宋体" w:cs="Times New Roman"/>
          <w:color w:val="000000"/>
          <w:sz w:val="32"/>
          <w:szCs w:val="32"/>
          <w:lang w:val="en-US" w:eastAsia="zh-CN"/>
        </w:rPr>
        <w:t>该项目年初</w:t>
      </w:r>
      <w:r>
        <w:rPr>
          <w:rFonts w:hint="eastAsia" w:ascii="宋体" w:hAnsi="宋体" w:eastAsia="宋体" w:cs="Times New Roman"/>
          <w:color w:val="000000"/>
          <w:sz w:val="32"/>
          <w:szCs w:val="32"/>
          <w:lang w:val="en-US" w:eastAsia="zh-CN"/>
        </w:rPr>
        <w:t>申报</w:t>
      </w:r>
      <w:r>
        <w:rPr>
          <w:rFonts w:hint="eastAsia" w:ascii="宋体" w:hAnsi="宋体" w:cs="Times New Roman"/>
          <w:color w:val="000000"/>
          <w:sz w:val="32"/>
          <w:szCs w:val="32"/>
          <w:lang w:val="en-US" w:eastAsia="zh-CN"/>
        </w:rPr>
        <w:t>预算</w:t>
      </w:r>
      <w:r>
        <w:rPr>
          <w:rFonts w:hint="eastAsia" w:ascii="宋体" w:hAnsi="宋体" w:eastAsia="宋体" w:cs="Times New Roman"/>
          <w:color w:val="000000"/>
          <w:sz w:val="32"/>
          <w:szCs w:val="32"/>
          <w:lang w:val="en-US" w:eastAsia="zh-CN"/>
        </w:rPr>
        <w:t>资金3万元，</w:t>
      </w:r>
      <w:r>
        <w:rPr>
          <w:rFonts w:hint="eastAsia" w:ascii="宋体" w:hAnsi="宋体" w:cs="Times New Roman"/>
          <w:color w:val="000000"/>
          <w:sz w:val="32"/>
          <w:szCs w:val="32"/>
          <w:lang w:val="en-US" w:eastAsia="zh-CN"/>
        </w:rPr>
        <w:t>主要用于驻蓉流动党委开展党建工作。</w:t>
      </w:r>
    </w:p>
    <w:p>
      <w:pPr>
        <w:snapToGrid/>
        <w:spacing w:before="0" w:beforeAutospacing="0" w:after="0" w:afterAutospacing="0" w:line="540" w:lineRule="exact"/>
        <w:ind w:firstLine="642" w:firstLineChars="200"/>
        <w:jc w:val="both"/>
        <w:textAlignment w:val="baseline"/>
        <w:rPr>
          <w:rFonts w:hint="eastAsia" w:ascii="宋体" w:hAnsi="宋体" w:eastAsia="宋体" w:cs="Times New Roman"/>
          <w:b/>
          <w:bCs/>
          <w:color w:val="000000"/>
          <w:sz w:val="32"/>
          <w:szCs w:val="32"/>
          <w:lang w:val="en-US" w:eastAsia="zh-CN"/>
        </w:rPr>
      </w:pPr>
      <w:r>
        <w:rPr>
          <w:rFonts w:hint="eastAsia" w:ascii="宋体" w:hAnsi="宋体" w:eastAsia="宋体" w:cs="Times New Roman"/>
          <w:b/>
          <w:bCs/>
          <w:color w:val="000000"/>
          <w:sz w:val="32"/>
          <w:szCs w:val="32"/>
          <w:lang w:val="en-US" w:eastAsia="zh-CN"/>
        </w:rPr>
        <w:t>（二）项目绩效目标</w:t>
      </w:r>
    </w:p>
    <w:p>
      <w:pPr>
        <w:snapToGrid/>
        <w:spacing w:before="0" w:beforeAutospacing="0" w:after="0" w:afterAutospacing="0" w:line="540" w:lineRule="exact"/>
        <w:ind w:firstLine="640" w:firstLineChars="200"/>
        <w:jc w:val="both"/>
        <w:textAlignment w:val="baseline"/>
        <w:rPr>
          <w:rFonts w:hint="default" w:ascii="宋体" w:hAnsi="宋体" w:eastAsia="宋体" w:cs="Times New Roman"/>
          <w:color w:val="000000"/>
          <w:sz w:val="32"/>
          <w:szCs w:val="32"/>
          <w:lang w:val="en-US" w:eastAsia="zh-CN"/>
        </w:rPr>
      </w:pPr>
      <w:r>
        <w:rPr>
          <w:rFonts w:hint="eastAsia" w:ascii="宋体" w:hAnsi="宋体" w:eastAsia="宋体" w:cs="Times New Roman"/>
          <w:color w:val="000000"/>
          <w:sz w:val="32"/>
          <w:szCs w:val="32"/>
          <w:lang w:val="en-US" w:eastAsia="zh-CN"/>
        </w:rPr>
        <w:t>为充分发挥党建引领作用，广元市以健全驻外流动党组织体系为突破口，积极培育密切联系和管理服务流动党员的“直接施力主体”，明晰“政治引领、服务凝聚”功能定位，整合流入地、流出地党建资源，搭建党建引领作用发挥的服务平台，促进流动党员向党组织凝聚和归属，较好地发挥了流动党员在推动发展、服务群众和促进和谐中的作用。项目申报内容为保障驻蓉流动党委开展党建活动，与具体实施内容相符，申报目标合理可行。</w:t>
      </w:r>
    </w:p>
    <w:p>
      <w:pPr>
        <w:snapToGrid/>
        <w:spacing w:before="0" w:beforeAutospacing="0" w:after="0" w:afterAutospacing="0" w:line="540" w:lineRule="exact"/>
        <w:ind w:firstLine="640" w:firstLineChars="200"/>
        <w:jc w:val="both"/>
        <w:textAlignment w:val="baseline"/>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（三）项目自评步骤及方法</w:t>
      </w:r>
    </w:p>
    <w:p>
      <w:pPr>
        <w:pStyle w:val="2"/>
        <w:numPr>
          <w:ilvl w:val="0"/>
          <w:numId w:val="0"/>
        </w:numPr>
        <w:ind w:firstLine="640" w:firstLineChars="200"/>
        <w:rPr>
          <w:rFonts w:hint="default"/>
          <w:lang w:val="en-US" w:eastAsia="zh-CN"/>
        </w:rPr>
      </w:pPr>
      <w:r>
        <w:rPr>
          <w:rFonts w:hint="eastAsia" w:ascii="宋体" w:hAnsi="宋体" w:eastAsia="宋体" w:cs="宋体"/>
          <w:sz w:val="32"/>
          <w:szCs w:val="32"/>
          <w:lang w:val="zh-CN" w:eastAsia="zh-CN"/>
        </w:rPr>
        <w:t>根据绩效管理的相关规定，成立了绩效评价工作领导小组，根据年初确定的绩效目标，对照检查设置指标产出数量、质量、时效、成本，以及社会效益、可持续影响、满意度等指标开展项目绩效</w:t>
      </w:r>
      <w:r>
        <w:rPr>
          <w:rFonts w:hint="eastAsia" w:ascii="宋体" w:hAnsi="宋体" w:eastAsia="宋体" w:cs="宋体"/>
          <w:sz w:val="32"/>
          <w:szCs w:val="32"/>
          <w:lang w:val="en-US" w:eastAsia="zh-CN"/>
        </w:rPr>
        <w:t>自评</w:t>
      </w:r>
      <w:r>
        <w:rPr>
          <w:rFonts w:hint="eastAsia" w:ascii="宋体" w:hAnsi="宋体" w:eastAsia="宋体" w:cs="宋体"/>
          <w:sz w:val="32"/>
          <w:szCs w:val="32"/>
          <w:lang w:val="zh-CN" w:eastAsia="zh-CN"/>
        </w:rPr>
        <w:t>。</w:t>
      </w:r>
    </w:p>
    <w:p>
      <w:pPr>
        <w:snapToGrid/>
        <w:spacing w:before="0" w:beforeAutospacing="0" w:after="0" w:afterAutospacing="0" w:line="540" w:lineRule="exact"/>
        <w:ind w:firstLine="640" w:firstLineChars="200"/>
        <w:jc w:val="both"/>
        <w:textAlignment w:val="baseline"/>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二、项目资金申报及使用情况</w:t>
      </w:r>
    </w:p>
    <w:p>
      <w:pPr>
        <w:snapToGrid/>
        <w:spacing w:before="0" w:beforeAutospacing="0" w:after="0" w:afterAutospacing="0" w:line="540" w:lineRule="exact"/>
        <w:ind w:firstLine="642" w:firstLineChars="200"/>
        <w:jc w:val="both"/>
        <w:textAlignment w:val="baseline"/>
        <w:rPr>
          <w:rFonts w:hint="default" w:ascii="宋体" w:hAnsi="宋体" w:eastAsia="宋体" w:cs="Times New Roman"/>
          <w:b/>
          <w:bCs/>
          <w:color w:val="000000"/>
          <w:sz w:val="32"/>
          <w:szCs w:val="32"/>
          <w:lang w:val="en-US" w:eastAsia="zh-CN"/>
        </w:rPr>
      </w:pPr>
      <w:r>
        <w:rPr>
          <w:rFonts w:hint="eastAsia" w:ascii="宋体" w:hAnsi="宋体" w:cs="Times New Roman"/>
          <w:b/>
          <w:bCs/>
          <w:color w:val="000000"/>
          <w:sz w:val="32"/>
          <w:szCs w:val="32"/>
          <w:lang w:val="en-US" w:eastAsia="zh-CN"/>
        </w:rPr>
        <w:t>（一）项目资金申报及批复情况</w:t>
      </w:r>
    </w:p>
    <w:p>
      <w:pPr>
        <w:snapToGrid/>
        <w:spacing w:before="0" w:beforeAutospacing="0" w:after="0" w:afterAutospacing="0" w:line="540" w:lineRule="exact"/>
        <w:ind w:firstLine="640" w:firstLineChars="200"/>
        <w:jc w:val="both"/>
        <w:textAlignment w:val="baseline"/>
        <w:rPr>
          <w:rFonts w:hint="eastAsia" w:ascii="宋体" w:hAnsi="宋体" w:eastAsia="宋体" w:cs="Times New Roman"/>
          <w:b/>
          <w:bCs/>
          <w:color w:val="000000"/>
          <w:sz w:val="32"/>
          <w:szCs w:val="32"/>
          <w:lang w:val="en-US" w:eastAsia="zh-CN"/>
        </w:rPr>
      </w:pPr>
      <w:r>
        <w:rPr>
          <w:rFonts w:hint="eastAsia" w:ascii="宋体" w:hAnsi="宋体" w:cs="宋体"/>
          <w:sz w:val="32"/>
          <w:szCs w:val="32"/>
          <w:lang w:val="en-US" w:eastAsia="zh-CN"/>
        </w:rPr>
        <w:t>2021年向市财政申报</w:t>
      </w:r>
      <w:r>
        <w:rPr>
          <w:rFonts w:hint="eastAsia" w:ascii="宋体" w:hAnsi="宋体" w:eastAsia="宋体" w:cs="Times New Roman"/>
          <w:color w:val="000000"/>
          <w:sz w:val="32"/>
          <w:szCs w:val="32"/>
          <w:lang w:val="zh-CN" w:eastAsia="zh-CN"/>
        </w:rPr>
        <w:t>广元市驻蓉流动党委专项工作经费</w:t>
      </w:r>
      <w:r>
        <w:rPr>
          <w:rFonts w:hint="eastAsia" w:ascii="宋体" w:hAnsi="宋体" w:cs="宋体"/>
          <w:sz w:val="32"/>
          <w:szCs w:val="32"/>
          <w:lang w:val="en-US" w:eastAsia="zh-CN"/>
        </w:rPr>
        <w:t>3万元，</w:t>
      </w:r>
      <w:r>
        <w:rPr>
          <w:rFonts w:hint="default" w:ascii="宋体" w:hAnsi="宋体" w:cs="宋体"/>
          <w:sz w:val="32"/>
          <w:szCs w:val="32"/>
          <w:lang w:val="en-US" w:eastAsia="zh-CN"/>
        </w:rPr>
        <w:t>预算</w:t>
      </w:r>
      <w:r>
        <w:rPr>
          <w:rFonts w:hint="eastAsia" w:ascii="宋体" w:hAnsi="宋体" w:cs="宋体"/>
          <w:sz w:val="32"/>
          <w:szCs w:val="32"/>
          <w:lang w:val="en-US" w:eastAsia="zh-CN"/>
        </w:rPr>
        <w:t>批复3</w:t>
      </w:r>
      <w:r>
        <w:rPr>
          <w:rFonts w:hint="default" w:ascii="宋体" w:hAnsi="宋体" w:cs="宋体"/>
          <w:sz w:val="32"/>
          <w:szCs w:val="32"/>
          <w:lang w:val="en-US" w:eastAsia="zh-CN"/>
        </w:rPr>
        <w:t>万元，无预算调整</w:t>
      </w:r>
      <w:r>
        <w:rPr>
          <w:rFonts w:hint="eastAsia" w:ascii="宋体" w:hAnsi="宋体" w:cs="宋体"/>
          <w:sz w:val="32"/>
          <w:szCs w:val="32"/>
          <w:lang w:val="en-US" w:eastAsia="zh-CN"/>
        </w:rPr>
        <w:t>。</w:t>
      </w:r>
    </w:p>
    <w:p>
      <w:pPr>
        <w:snapToGrid/>
        <w:spacing w:before="0" w:beforeAutospacing="0" w:after="0" w:afterAutospacing="0" w:line="540" w:lineRule="exact"/>
        <w:ind w:firstLine="642" w:firstLineChars="200"/>
        <w:jc w:val="both"/>
        <w:textAlignment w:val="baseline"/>
        <w:rPr>
          <w:rFonts w:hint="default" w:ascii="宋体" w:hAnsi="宋体" w:eastAsia="宋体" w:cs="Times New Roman"/>
          <w:b/>
          <w:bCs/>
          <w:color w:val="000000"/>
          <w:sz w:val="32"/>
          <w:szCs w:val="32"/>
          <w:lang w:val="en-US" w:eastAsia="zh-CN"/>
        </w:rPr>
      </w:pPr>
      <w:r>
        <w:rPr>
          <w:rFonts w:hint="eastAsia" w:ascii="宋体" w:hAnsi="宋体" w:eastAsia="宋体" w:cs="Times New Roman"/>
          <w:b/>
          <w:bCs/>
          <w:color w:val="000000"/>
          <w:sz w:val="32"/>
          <w:szCs w:val="32"/>
          <w:lang w:val="en-US" w:eastAsia="zh-CN"/>
        </w:rPr>
        <w:t>(</w:t>
      </w:r>
      <w:r>
        <w:rPr>
          <w:rFonts w:hint="eastAsia" w:ascii="宋体" w:hAnsi="宋体" w:cs="Times New Roman"/>
          <w:b/>
          <w:bCs/>
          <w:color w:val="000000"/>
          <w:sz w:val="32"/>
          <w:szCs w:val="32"/>
          <w:lang w:val="en-US" w:eastAsia="zh-CN"/>
        </w:rPr>
        <w:t>二</w:t>
      </w:r>
      <w:r>
        <w:rPr>
          <w:rFonts w:hint="eastAsia" w:ascii="宋体" w:hAnsi="宋体" w:eastAsia="宋体" w:cs="Times New Roman"/>
          <w:b/>
          <w:bCs/>
          <w:color w:val="000000"/>
          <w:sz w:val="32"/>
          <w:szCs w:val="32"/>
          <w:lang w:val="en-US" w:eastAsia="zh-CN"/>
        </w:rPr>
        <w:t>)资金计划、到位及</w:t>
      </w:r>
      <w:r>
        <w:rPr>
          <w:rFonts w:hint="eastAsia" w:ascii="宋体" w:hAnsi="宋体" w:cs="Times New Roman"/>
          <w:b/>
          <w:bCs/>
          <w:color w:val="000000"/>
          <w:sz w:val="32"/>
          <w:szCs w:val="32"/>
          <w:lang w:val="en-US" w:eastAsia="zh-CN"/>
        </w:rPr>
        <w:t>使</w:t>
      </w:r>
      <w:r>
        <w:rPr>
          <w:rFonts w:hint="eastAsia" w:ascii="宋体" w:hAnsi="宋体" w:eastAsia="宋体" w:cs="Times New Roman"/>
          <w:b/>
          <w:bCs/>
          <w:color w:val="000000"/>
          <w:sz w:val="32"/>
          <w:szCs w:val="32"/>
          <w:lang w:val="en-US" w:eastAsia="zh-CN"/>
        </w:rPr>
        <w:t>用情况</w:t>
      </w:r>
    </w:p>
    <w:p>
      <w:pPr>
        <w:snapToGrid/>
        <w:spacing w:before="0" w:beforeAutospacing="0" w:after="0" w:afterAutospacing="0" w:line="540" w:lineRule="exact"/>
        <w:ind w:firstLine="640" w:firstLineChars="200"/>
        <w:jc w:val="both"/>
        <w:textAlignment w:val="baseline"/>
        <w:rPr>
          <w:rFonts w:hint="eastAsia" w:ascii="宋体" w:hAnsi="宋体" w:eastAsia="宋体" w:cs="Times New Roman"/>
          <w:color w:val="000000"/>
          <w:sz w:val="32"/>
          <w:szCs w:val="32"/>
          <w:lang w:val="en-US" w:eastAsia="zh-CN"/>
        </w:rPr>
      </w:pPr>
      <w:r>
        <w:rPr>
          <w:rFonts w:hint="eastAsia" w:ascii="宋体" w:hAnsi="宋体" w:eastAsia="宋体" w:cs="Times New Roman"/>
          <w:color w:val="000000"/>
          <w:sz w:val="32"/>
          <w:szCs w:val="32"/>
          <w:lang w:val="en-US" w:eastAsia="zh-CN"/>
        </w:rPr>
        <w:t>1、资金计划。按照一般公共预算要求，年初由市政府驻成都办事处申报预算资金3万元。</w:t>
      </w:r>
    </w:p>
    <w:p>
      <w:pPr>
        <w:snapToGrid/>
        <w:spacing w:before="0" w:beforeAutospacing="0" w:after="0" w:afterAutospacing="0" w:line="540" w:lineRule="exact"/>
        <w:ind w:firstLine="640" w:firstLineChars="200"/>
        <w:jc w:val="both"/>
        <w:textAlignment w:val="baseline"/>
        <w:rPr>
          <w:rFonts w:hint="eastAsia" w:ascii="宋体" w:hAnsi="宋体" w:eastAsia="宋体" w:cs="Times New Roman"/>
          <w:color w:val="000000"/>
          <w:sz w:val="32"/>
          <w:szCs w:val="32"/>
          <w:lang w:val="en-US" w:eastAsia="zh-CN"/>
        </w:rPr>
      </w:pPr>
      <w:r>
        <w:rPr>
          <w:rFonts w:hint="eastAsia" w:ascii="宋体" w:hAnsi="宋体" w:eastAsia="宋体" w:cs="Times New Roman"/>
          <w:color w:val="000000"/>
          <w:sz w:val="32"/>
          <w:szCs w:val="32"/>
          <w:lang w:val="en-US" w:eastAsia="zh-CN"/>
        </w:rPr>
        <w:t>2、资金到位。2021年到位资金3万元，到位及时，到位率100%。</w:t>
      </w:r>
    </w:p>
    <w:p>
      <w:pPr>
        <w:snapToGrid/>
        <w:spacing w:before="0" w:beforeAutospacing="0" w:after="0" w:afterAutospacing="0" w:line="540" w:lineRule="exact"/>
        <w:ind w:firstLine="640" w:firstLineChars="200"/>
        <w:jc w:val="both"/>
        <w:textAlignment w:val="baseline"/>
        <w:rPr>
          <w:rFonts w:hint="eastAsia" w:ascii="宋体" w:hAnsi="宋体" w:eastAsia="宋体" w:cs="Times New Roman"/>
          <w:color w:val="000000"/>
          <w:sz w:val="32"/>
          <w:szCs w:val="32"/>
          <w:lang w:val="en-US" w:eastAsia="zh-CN"/>
        </w:rPr>
      </w:pPr>
      <w:r>
        <w:rPr>
          <w:rFonts w:hint="eastAsia" w:ascii="宋体" w:hAnsi="宋体" w:eastAsia="宋体" w:cs="Times New Roman"/>
          <w:color w:val="000000"/>
          <w:sz w:val="32"/>
          <w:szCs w:val="32"/>
          <w:lang w:val="en-US" w:eastAsia="zh-CN"/>
        </w:rPr>
        <w:t>3、资金使用。2021年项目资金实际支出3万元，全部用于驻蓉流动党委开展党建活动，支付依据合规合法，支付与预算相符，完成预算100%。</w:t>
      </w:r>
    </w:p>
    <w:p>
      <w:pPr>
        <w:snapToGrid/>
        <w:spacing w:before="0" w:beforeAutospacing="0" w:after="0" w:afterAutospacing="0" w:line="540" w:lineRule="exact"/>
        <w:ind w:firstLine="642" w:firstLineChars="200"/>
        <w:jc w:val="both"/>
        <w:textAlignment w:val="baseline"/>
        <w:rPr>
          <w:rFonts w:hint="default" w:ascii="宋体" w:hAnsi="宋体" w:eastAsia="宋体" w:cs="Times New Roman"/>
          <w:b/>
          <w:bCs/>
          <w:color w:val="000000"/>
          <w:sz w:val="32"/>
          <w:szCs w:val="32"/>
          <w:lang w:val="en-US" w:eastAsia="zh-CN"/>
        </w:rPr>
      </w:pPr>
      <w:r>
        <w:rPr>
          <w:rFonts w:hint="eastAsia" w:ascii="宋体" w:hAnsi="宋体" w:eastAsia="宋体" w:cs="Times New Roman"/>
          <w:b/>
          <w:bCs/>
          <w:color w:val="000000"/>
          <w:sz w:val="32"/>
          <w:szCs w:val="32"/>
          <w:lang w:val="en-US" w:eastAsia="zh-CN"/>
        </w:rPr>
        <w:t>（</w:t>
      </w:r>
      <w:r>
        <w:rPr>
          <w:rFonts w:hint="eastAsia" w:ascii="宋体" w:hAnsi="宋体" w:cs="Times New Roman"/>
          <w:b/>
          <w:bCs/>
          <w:color w:val="000000"/>
          <w:sz w:val="32"/>
          <w:szCs w:val="32"/>
          <w:lang w:val="en-US" w:eastAsia="zh-CN"/>
        </w:rPr>
        <w:t>三</w:t>
      </w:r>
      <w:r>
        <w:rPr>
          <w:rFonts w:hint="eastAsia" w:ascii="宋体" w:hAnsi="宋体" w:eastAsia="宋体" w:cs="Times New Roman"/>
          <w:b/>
          <w:bCs/>
          <w:color w:val="000000"/>
          <w:sz w:val="32"/>
          <w:szCs w:val="32"/>
          <w:lang w:val="en-US" w:eastAsia="zh-CN"/>
        </w:rPr>
        <w:t>）项目财务管理情况</w:t>
      </w:r>
    </w:p>
    <w:p>
      <w:pPr>
        <w:snapToGrid/>
        <w:spacing w:before="0" w:beforeAutospacing="0" w:after="0" w:afterAutospacing="0" w:line="540" w:lineRule="exact"/>
        <w:ind w:firstLine="640" w:firstLineChars="200"/>
        <w:jc w:val="both"/>
        <w:textAlignment w:val="baseline"/>
        <w:rPr>
          <w:rFonts w:hint="eastAsia" w:ascii="宋体" w:hAnsi="宋体" w:eastAsia="宋体" w:cs="Times New Roman"/>
          <w:color w:val="000000"/>
          <w:sz w:val="32"/>
          <w:szCs w:val="32"/>
          <w:lang w:val="zh-CN" w:eastAsia="zh-CN"/>
        </w:rPr>
      </w:pPr>
      <w:r>
        <w:rPr>
          <w:rFonts w:hint="eastAsia" w:ascii="宋体" w:hAnsi="宋体" w:eastAsia="宋体" w:cs="Times New Roman"/>
          <w:color w:val="000000"/>
          <w:sz w:val="32"/>
          <w:szCs w:val="32"/>
          <w:lang w:val="zh-CN" w:eastAsia="zh-CN"/>
        </w:rPr>
        <w:t>广元市驻蓉流动党委专项工作经费</w:t>
      </w:r>
      <w:r>
        <w:rPr>
          <w:rFonts w:hint="eastAsia" w:ascii="宋体" w:hAnsi="宋体" w:eastAsia="宋体" w:cs="Times New Roman"/>
          <w:color w:val="000000"/>
          <w:sz w:val="32"/>
          <w:szCs w:val="32"/>
          <w:lang w:val="en-US" w:eastAsia="zh-CN"/>
        </w:rPr>
        <w:t>由我办</w:t>
      </w:r>
      <w:r>
        <w:rPr>
          <w:rFonts w:hint="eastAsia" w:ascii="宋体" w:hAnsi="宋体" w:eastAsia="宋体" w:cs="Times New Roman"/>
          <w:color w:val="000000"/>
          <w:sz w:val="32"/>
          <w:szCs w:val="32"/>
          <w:lang w:val="zh-CN" w:eastAsia="zh-CN"/>
        </w:rPr>
        <w:t>财务科负责项目资金管理工作，</w:t>
      </w:r>
      <w:r>
        <w:rPr>
          <w:rFonts w:hint="eastAsia" w:ascii="宋体" w:hAnsi="宋体" w:eastAsia="宋体" w:cs="Times New Roman"/>
          <w:color w:val="000000"/>
          <w:sz w:val="32"/>
          <w:szCs w:val="32"/>
          <w:lang w:val="en-US" w:eastAsia="zh-CN"/>
        </w:rPr>
        <w:t>严格按照工作进度申请资金拨付，</w:t>
      </w:r>
      <w:r>
        <w:rPr>
          <w:rFonts w:hint="eastAsia" w:ascii="宋体" w:hAnsi="宋体" w:eastAsia="宋体" w:cs="Times New Roman"/>
          <w:color w:val="000000"/>
          <w:sz w:val="32"/>
          <w:szCs w:val="32"/>
          <w:lang w:val="zh-CN" w:eastAsia="zh-CN"/>
        </w:rPr>
        <w:t>并设立专账核算，资金使用范围较规范，账务处理及时，会计核算规范，符合财务管理要求。</w:t>
      </w:r>
    </w:p>
    <w:p>
      <w:pPr>
        <w:snapToGrid/>
        <w:spacing w:before="0" w:beforeAutospacing="0" w:after="0" w:afterAutospacing="0" w:line="540" w:lineRule="exact"/>
        <w:ind w:firstLine="642" w:firstLineChars="200"/>
        <w:jc w:val="both"/>
        <w:textAlignment w:val="baseline"/>
        <w:rPr>
          <w:rFonts w:hint="eastAsia" w:ascii="宋体" w:hAnsi="宋体" w:eastAsia="宋体" w:cs="Times New Roman"/>
          <w:b/>
          <w:bCs/>
          <w:color w:val="000000"/>
          <w:sz w:val="32"/>
          <w:szCs w:val="32"/>
          <w:lang w:val="en-US" w:eastAsia="zh-CN"/>
        </w:rPr>
      </w:pPr>
      <w:r>
        <w:rPr>
          <w:rFonts w:hint="eastAsia" w:ascii="宋体" w:hAnsi="宋体" w:cs="Times New Roman"/>
          <w:b/>
          <w:bCs/>
          <w:color w:val="000000"/>
          <w:sz w:val="32"/>
          <w:szCs w:val="32"/>
          <w:lang w:val="en-US" w:eastAsia="zh-CN"/>
        </w:rPr>
        <w:t>三、</w:t>
      </w:r>
      <w:r>
        <w:rPr>
          <w:rFonts w:hint="eastAsia" w:ascii="宋体" w:hAnsi="宋体" w:eastAsia="宋体" w:cs="Times New Roman"/>
          <w:b/>
          <w:bCs/>
          <w:color w:val="000000"/>
          <w:sz w:val="32"/>
          <w:szCs w:val="32"/>
          <w:lang w:val="en-US" w:eastAsia="zh-CN"/>
        </w:rPr>
        <w:t>项目实施</w:t>
      </w:r>
      <w:r>
        <w:rPr>
          <w:rFonts w:hint="eastAsia" w:ascii="宋体" w:hAnsi="宋体" w:cs="Times New Roman"/>
          <w:b/>
          <w:bCs/>
          <w:color w:val="000000"/>
          <w:sz w:val="32"/>
          <w:szCs w:val="32"/>
          <w:lang w:val="en-US" w:eastAsia="zh-CN"/>
        </w:rPr>
        <w:t>及管理</w:t>
      </w:r>
      <w:r>
        <w:rPr>
          <w:rFonts w:hint="eastAsia" w:ascii="宋体" w:hAnsi="宋体" w:eastAsia="宋体" w:cs="Times New Roman"/>
          <w:b/>
          <w:bCs/>
          <w:color w:val="000000"/>
          <w:sz w:val="32"/>
          <w:szCs w:val="32"/>
          <w:lang w:val="en-US" w:eastAsia="zh-CN"/>
        </w:rPr>
        <w:t>情况</w:t>
      </w:r>
    </w:p>
    <w:p>
      <w:pPr>
        <w:pStyle w:val="2"/>
        <w:tabs>
          <w:tab w:val="left" w:pos="216"/>
        </w:tabs>
        <w:ind w:firstLine="642" w:firstLineChars="200"/>
        <w:rPr>
          <w:rFonts w:hint="eastAsia" w:ascii="宋体" w:hAnsi="宋体" w:eastAsia="宋体" w:cs="Times New Roman"/>
          <w:b/>
          <w:bCs/>
          <w:color w:val="000000"/>
          <w:kern w:val="2"/>
          <w:sz w:val="32"/>
          <w:szCs w:val="32"/>
          <w:lang w:val="en-US" w:eastAsia="zh-CN" w:bidi="ar-SA"/>
        </w:rPr>
      </w:pPr>
      <w:r>
        <w:rPr>
          <w:rFonts w:hint="eastAsia" w:ascii="宋体" w:hAnsi="宋体" w:eastAsia="宋体" w:cs="Times New Roman"/>
          <w:b/>
          <w:bCs/>
          <w:color w:val="000000"/>
          <w:kern w:val="2"/>
          <w:sz w:val="32"/>
          <w:szCs w:val="32"/>
          <w:lang w:val="zh-CN" w:eastAsia="zh-CN" w:bidi="ar-SA"/>
        </w:rPr>
        <w:t>（</w:t>
      </w:r>
      <w:r>
        <w:rPr>
          <w:rFonts w:hint="eastAsia" w:ascii="宋体" w:hAnsi="宋体" w:eastAsia="宋体" w:cs="Times New Roman"/>
          <w:b/>
          <w:bCs/>
          <w:color w:val="000000"/>
          <w:kern w:val="2"/>
          <w:sz w:val="32"/>
          <w:szCs w:val="32"/>
          <w:lang w:val="en-US" w:eastAsia="zh-CN" w:bidi="ar-SA"/>
        </w:rPr>
        <w:t>一</w:t>
      </w:r>
      <w:r>
        <w:rPr>
          <w:rFonts w:hint="eastAsia" w:ascii="宋体" w:hAnsi="宋体" w:eastAsia="宋体" w:cs="Times New Roman"/>
          <w:b/>
          <w:bCs/>
          <w:color w:val="000000"/>
          <w:kern w:val="2"/>
          <w:sz w:val="32"/>
          <w:szCs w:val="32"/>
          <w:lang w:val="zh-CN" w:eastAsia="zh-CN" w:bidi="ar-SA"/>
        </w:rPr>
        <w:t>）</w:t>
      </w:r>
      <w:r>
        <w:rPr>
          <w:rFonts w:hint="eastAsia" w:ascii="宋体" w:hAnsi="宋体" w:eastAsia="宋体" w:cs="Times New Roman"/>
          <w:b/>
          <w:bCs/>
          <w:color w:val="000000"/>
          <w:kern w:val="2"/>
          <w:sz w:val="32"/>
          <w:szCs w:val="32"/>
          <w:lang w:val="en-US" w:eastAsia="zh-CN" w:bidi="ar-SA"/>
        </w:rPr>
        <w:t>项目组织架构及实施流程</w:t>
      </w:r>
    </w:p>
    <w:p>
      <w:pPr>
        <w:snapToGrid/>
        <w:spacing w:before="0" w:beforeAutospacing="0" w:after="0" w:afterAutospacing="0" w:line="540" w:lineRule="exact"/>
        <w:ind w:firstLine="640" w:firstLineChars="200"/>
        <w:jc w:val="both"/>
        <w:textAlignment w:val="baseline"/>
        <w:rPr>
          <w:rFonts w:hint="eastAsia" w:ascii="宋体" w:hAnsi="宋体" w:eastAsia="宋体" w:cs="Times New Roman"/>
          <w:color w:val="000000"/>
          <w:sz w:val="32"/>
          <w:szCs w:val="32"/>
          <w:lang w:val="zh-CN" w:eastAsia="zh-CN"/>
        </w:rPr>
      </w:pPr>
      <w:r>
        <w:rPr>
          <w:rFonts w:hint="eastAsia" w:ascii="宋体" w:hAnsi="宋体" w:eastAsia="宋体" w:cs="Times New Roman"/>
          <w:color w:val="000000"/>
          <w:sz w:val="32"/>
          <w:szCs w:val="32"/>
          <w:lang w:val="zh-CN" w:eastAsia="zh-CN"/>
        </w:rPr>
        <w:t xml:space="preserve"> 该项目由</w:t>
      </w:r>
      <w:r>
        <w:rPr>
          <w:rFonts w:hint="eastAsia" w:ascii="宋体" w:hAnsi="宋体" w:eastAsia="宋体" w:cs="Times New Roman"/>
          <w:color w:val="000000"/>
          <w:sz w:val="32"/>
          <w:szCs w:val="32"/>
          <w:lang w:val="en-US" w:eastAsia="zh-CN"/>
        </w:rPr>
        <w:t>中共</w:t>
      </w:r>
      <w:r>
        <w:rPr>
          <w:rFonts w:hint="eastAsia" w:ascii="宋体" w:hAnsi="宋体" w:eastAsia="宋体" w:cs="Times New Roman"/>
          <w:color w:val="000000"/>
          <w:sz w:val="32"/>
          <w:szCs w:val="32"/>
          <w:lang w:val="zh-CN" w:eastAsia="zh-CN"/>
        </w:rPr>
        <w:t>广元市驻蓉流动党员委员会负责制定实施方案，按照经</w:t>
      </w:r>
      <w:r>
        <w:rPr>
          <w:rFonts w:hint="eastAsia" w:ascii="宋体" w:hAnsi="宋体" w:eastAsia="宋体" w:cs="Times New Roman"/>
          <w:color w:val="000000"/>
          <w:sz w:val="32"/>
          <w:szCs w:val="32"/>
          <w:lang w:val="en-US" w:eastAsia="zh-CN"/>
        </w:rPr>
        <w:t>单位主任办公会</w:t>
      </w:r>
      <w:r>
        <w:rPr>
          <w:rFonts w:hint="eastAsia" w:ascii="宋体" w:hAnsi="宋体" w:eastAsia="宋体" w:cs="Times New Roman"/>
          <w:color w:val="000000"/>
          <w:sz w:val="32"/>
          <w:szCs w:val="32"/>
          <w:lang w:val="zh-CN" w:eastAsia="zh-CN"/>
        </w:rPr>
        <w:t>审议通过的实施内容、资金分配方案</w:t>
      </w:r>
      <w:r>
        <w:rPr>
          <w:rFonts w:hint="eastAsia" w:ascii="宋体" w:hAnsi="宋体" w:eastAsia="宋体" w:cs="Times New Roman"/>
          <w:color w:val="000000"/>
          <w:sz w:val="32"/>
          <w:szCs w:val="32"/>
          <w:lang w:val="en-US" w:eastAsia="zh-CN"/>
        </w:rPr>
        <w:t>进行</w:t>
      </w:r>
      <w:r>
        <w:rPr>
          <w:rFonts w:hint="eastAsia" w:ascii="宋体" w:hAnsi="宋体" w:eastAsia="宋体" w:cs="Times New Roman"/>
          <w:color w:val="000000"/>
          <w:sz w:val="32"/>
          <w:szCs w:val="32"/>
          <w:lang w:val="zh-CN" w:eastAsia="zh-CN"/>
        </w:rPr>
        <w:t>实施。</w:t>
      </w:r>
    </w:p>
    <w:p>
      <w:pPr>
        <w:pStyle w:val="2"/>
        <w:tabs>
          <w:tab w:val="left" w:pos="216"/>
        </w:tabs>
        <w:ind w:firstLine="642" w:firstLineChars="200"/>
        <w:rPr>
          <w:rFonts w:hint="eastAsia" w:ascii="宋体" w:hAnsi="宋体" w:eastAsia="宋体" w:cs="Times New Roman"/>
          <w:b/>
          <w:bCs/>
          <w:color w:val="000000"/>
          <w:kern w:val="2"/>
          <w:sz w:val="32"/>
          <w:szCs w:val="32"/>
          <w:lang w:val="en-US" w:eastAsia="zh-CN" w:bidi="ar-SA"/>
        </w:rPr>
      </w:pPr>
      <w:r>
        <w:rPr>
          <w:rFonts w:hint="eastAsia" w:ascii="宋体" w:hAnsi="宋体" w:eastAsia="宋体" w:cs="Times New Roman"/>
          <w:b/>
          <w:bCs/>
          <w:color w:val="000000"/>
          <w:kern w:val="2"/>
          <w:sz w:val="32"/>
          <w:szCs w:val="32"/>
          <w:lang w:val="en-US" w:eastAsia="zh-CN" w:bidi="ar-SA"/>
        </w:rPr>
        <w:t>（二）项目管理情况</w:t>
      </w:r>
    </w:p>
    <w:p>
      <w:pPr>
        <w:snapToGrid/>
        <w:spacing w:before="0" w:beforeAutospacing="0" w:after="0" w:afterAutospacing="0" w:line="540" w:lineRule="exact"/>
        <w:ind w:firstLine="640" w:firstLineChars="200"/>
        <w:jc w:val="both"/>
        <w:textAlignment w:val="baseline"/>
        <w:rPr>
          <w:rFonts w:hint="eastAsia" w:ascii="宋体" w:hAnsi="宋体" w:eastAsia="宋体" w:cs="Times New Roman"/>
          <w:color w:val="000000"/>
          <w:sz w:val="32"/>
          <w:szCs w:val="32"/>
          <w:lang w:val="zh-CN" w:eastAsia="zh-CN"/>
        </w:rPr>
      </w:pPr>
      <w:r>
        <w:rPr>
          <w:rFonts w:hint="eastAsia" w:ascii="宋体" w:hAnsi="宋体" w:cs="Times New Roman"/>
          <w:color w:val="000000"/>
          <w:sz w:val="32"/>
          <w:szCs w:val="32"/>
          <w:lang w:val="en-US" w:eastAsia="zh-CN"/>
        </w:rPr>
        <w:t>该项目由</w:t>
      </w:r>
      <w:r>
        <w:rPr>
          <w:rFonts w:hint="eastAsia" w:ascii="宋体" w:hAnsi="宋体" w:eastAsia="宋体" w:cs="Times New Roman"/>
          <w:color w:val="000000"/>
          <w:sz w:val="32"/>
          <w:szCs w:val="32"/>
          <w:lang w:val="zh-CN" w:eastAsia="zh-CN"/>
        </w:rPr>
        <w:t>广元市驻蓉流动党委</w:t>
      </w:r>
      <w:r>
        <w:rPr>
          <w:rFonts w:hint="eastAsia" w:ascii="宋体" w:hAnsi="宋体" w:cs="Times New Roman"/>
          <w:color w:val="000000"/>
          <w:sz w:val="32"/>
          <w:szCs w:val="32"/>
          <w:lang w:val="en-US" w:eastAsia="zh-CN"/>
        </w:rPr>
        <w:t>组织实施。</w:t>
      </w:r>
      <w:r>
        <w:rPr>
          <w:rFonts w:hint="eastAsia" w:ascii="宋体" w:hAnsi="宋体" w:eastAsia="宋体" w:cs="Times New Roman"/>
          <w:color w:val="000000"/>
          <w:sz w:val="32"/>
          <w:szCs w:val="32"/>
          <w:lang w:val="zh-CN" w:eastAsia="zh-CN"/>
        </w:rPr>
        <w:t>广元市驻蓉流动党委</w:t>
      </w:r>
      <w:r>
        <w:rPr>
          <w:rFonts w:hint="eastAsia" w:ascii="宋体" w:hAnsi="宋体" w:cs="Times New Roman"/>
          <w:color w:val="000000"/>
          <w:sz w:val="32"/>
          <w:szCs w:val="32"/>
          <w:lang w:val="en-US" w:eastAsia="zh-CN"/>
        </w:rPr>
        <w:t>严格按照</w:t>
      </w:r>
      <w:r>
        <w:rPr>
          <w:rFonts w:hint="eastAsia" w:ascii="宋体" w:hAnsi="宋体" w:eastAsia="宋体" w:cs="Times New Roman"/>
          <w:color w:val="000000"/>
          <w:sz w:val="32"/>
          <w:szCs w:val="32"/>
          <w:lang w:val="zh-CN" w:eastAsia="zh-CN"/>
        </w:rPr>
        <w:t>《</w:t>
      </w:r>
      <w:r>
        <w:rPr>
          <w:rFonts w:hint="eastAsia" w:ascii="宋体" w:hAnsi="宋体" w:eastAsia="宋体" w:cs="Times New Roman"/>
          <w:color w:val="000000"/>
          <w:sz w:val="32"/>
          <w:szCs w:val="32"/>
          <w:lang w:val="en-US" w:eastAsia="zh-CN"/>
        </w:rPr>
        <w:t>中共</w:t>
      </w:r>
      <w:r>
        <w:rPr>
          <w:rFonts w:hint="eastAsia" w:ascii="宋体" w:hAnsi="宋体" w:eastAsia="宋体" w:cs="Times New Roman"/>
          <w:color w:val="000000"/>
          <w:sz w:val="32"/>
          <w:szCs w:val="32"/>
          <w:lang w:val="zh-CN" w:eastAsia="zh-CN"/>
        </w:rPr>
        <w:t>广元市驻蓉流动党员委员会2021党史</w:t>
      </w:r>
      <w:r>
        <w:rPr>
          <w:rFonts w:hint="eastAsia" w:ascii="宋体" w:hAnsi="宋体" w:eastAsia="宋体" w:cs="Times New Roman"/>
          <w:color w:val="000000"/>
          <w:sz w:val="32"/>
          <w:szCs w:val="32"/>
          <w:lang w:val="en-US" w:eastAsia="zh-CN"/>
        </w:rPr>
        <w:t>学习</w:t>
      </w:r>
      <w:r>
        <w:rPr>
          <w:rFonts w:hint="eastAsia" w:ascii="宋体" w:hAnsi="宋体" w:eastAsia="宋体" w:cs="Times New Roman"/>
          <w:color w:val="000000"/>
          <w:sz w:val="32"/>
          <w:szCs w:val="32"/>
          <w:lang w:val="zh-CN" w:eastAsia="zh-CN"/>
        </w:rPr>
        <w:t>教育</w:t>
      </w:r>
      <w:r>
        <w:rPr>
          <w:rFonts w:hint="eastAsia" w:ascii="宋体" w:hAnsi="宋体" w:eastAsia="宋体" w:cs="Times New Roman"/>
          <w:color w:val="000000"/>
          <w:sz w:val="32"/>
          <w:szCs w:val="32"/>
          <w:lang w:val="en-US" w:eastAsia="zh-CN"/>
        </w:rPr>
        <w:t>活动</w:t>
      </w:r>
      <w:r>
        <w:rPr>
          <w:rFonts w:hint="eastAsia" w:ascii="宋体" w:hAnsi="宋体" w:eastAsia="宋体" w:cs="Times New Roman"/>
          <w:color w:val="000000"/>
          <w:sz w:val="32"/>
          <w:szCs w:val="32"/>
          <w:lang w:val="zh-CN" w:eastAsia="zh-CN"/>
        </w:rPr>
        <w:t>实施方案》</w:t>
      </w:r>
      <w:r>
        <w:rPr>
          <w:rFonts w:hint="eastAsia" w:ascii="宋体" w:hAnsi="宋体" w:cs="Times New Roman"/>
          <w:color w:val="000000"/>
          <w:sz w:val="32"/>
          <w:szCs w:val="32"/>
          <w:lang w:val="en-US" w:eastAsia="zh-CN"/>
        </w:rPr>
        <w:t>组织</w:t>
      </w:r>
      <w:r>
        <w:rPr>
          <w:rFonts w:hint="eastAsia" w:ascii="宋体" w:hAnsi="宋体" w:eastAsia="宋体" w:cs="Times New Roman"/>
          <w:color w:val="000000"/>
          <w:sz w:val="32"/>
          <w:szCs w:val="32"/>
          <w:lang w:val="zh-CN" w:eastAsia="zh-CN"/>
        </w:rPr>
        <w:t>开展专题学习</w:t>
      </w:r>
      <w:r>
        <w:rPr>
          <w:rFonts w:hint="eastAsia" w:ascii="宋体" w:hAnsi="宋体" w:cs="Times New Roman"/>
          <w:color w:val="000000"/>
          <w:sz w:val="32"/>
          <w:szCs w:val="32"/>
          <w:lang w:val="zh-CN" w:eastAsia="zh-CN"/>
        </w:rPr>
        <w:t>，</w:t>
      </w:r>
      <w:r>
        <w:rPr>
          <w:rFonts w:hint="eastAsia" w:ascii="宋体" w:hAnsi="宋体" w:eastAsia="宋体" w:cs="Times New Roman"/>
          <w:color w:val="000000"/>
          <w:sz w:val="32"/>
          <w:szCs w:val="32"/>
          <w:lang w:val="zh-CN" w:eastAsia="zh-CN"/>
        </w:rPr>
        <w:t>加强政治引领</w:t>
      </w:r>
      <w:r>
        <w:rPr>
          <w:rFonts w:hint="eastAsia" w:ascii="宋体" w:hAnsi="宋体" w:cs="Times New Roman"/>
          <w:color w:val="000000"/>
          <w:sz w:val="32"/>
          <w:szCs w:val="32"/>
          <w:lang w:val="zh-CN" w:eastAsia="zh-CN"/>
        </w:rPr>
        <w:t>；</w:t>
      </w:r>
      <w:r>
        <w:rPr>
          <w:rFonts w:hint="eastAsia" w:ascii="宋体" w:hAnsi="宋体" w:eastAsia="宋体" w:cs="Times New Roman"/>
          <w:color w:val="000000"/>
          <w:sz w:val="32"/>
          <w:szCs w:val="32"/>
          <w:lang w:val="zh-CN" w:eastAsia="zh-CN"/>
        </w:rPr>
        <w:t>开展专题党课</w:t>
      </w:r>
      <w:r>
        <w:rPr>
          <w:rFonts w:hint="eastAsia" w:ascii="宋体" w:hAnsi="宋体" w:cs="Times New Roman"/>
          <w:color w:val="000000"/>
          <w:sz w:val="32"/>
          <w:szCs w:val="32"/>
          <w:lang w:val="zh-CN" w:eastAsia="zh-CN"/>
        </w:rPr>
        <w:t>，</w:t>
      </w:r>
      <w:r>
        <w:rPr>
          <w:rFonts w:hint="eastAsia" w:ascii="宋体" w:hAnsi="宋体" w:eastAsia="宋体" w:cs="Times New Roman"/>
          <w:color w:val="000000"/>
          <w:sz w:val="32"/>
          <w:szCs w:val="32"/>
          <w:lang w:val="zh-CN" w:eastAsia="zh-CN"/>
        </w:rPr>
        <w:t>组织专题活动</w:t>
      </w:r>
      <w:r>
        <w:rPr>
          <w:rFonts w:hint="eastAsia" w:ascii="宋体" w:hAnsi="宋体" w:cs="Times New Roman"/>
          <w:color w:val="000000"/>
          <w:sz w:val="32"/>
          <w:szCs w:val="32"/>
          <w:lang w:val="zh-CN" w:eastAsia="zh-CN"/>
        </w:rPr>
        <w:t>，</w:t>
      </w:r>
      <w:r>
        <w:rPr>
          <w:rFonts w:hint="eastAsia" w:ascii="宋体" w:hAnsi="宋体" w:eastAsia="宋体" w:cs="Times New Roman"/>
          <w:color w:val="000000"/>
          <w:sz w:val="32"/>
          <w:szCs w:val="32"/>
          <w:lang w:val="zh-CN" w:eastAsia="zh-CN"/>
        </w:rPr>
        <w:t>推进党史</w:t>
      </w:r>
      <w:r>
        <w:rPr>
          <w:rFonts w:hint="eastAsia" w:ascii="宋体" w:hAnsi="宋体" w:eastAsia="宋体" w:cs="Times New Roman"/>
          <w:color w:val="000000"/>
          <w:sz w:val="32"/>
          <w:szCs w:val="32"/>
          <w:lang w:val="en-US" w:eastAsia="zh-CN"/>
        </w:rPr>
        <w:t>学习</w:t>
      </w:r>
      <w:r>
        <w:rPr>
          <w:rFonts w:hint="eastAsia" w:ascii="宋体" w:hAnsi="宋体" w:eastAsia="宋体" w:cs="Times New Roman"/>
          <w:color w:val="000000"/>
          <w:sz w:val="32"/>
          <w:szCs w:val="32"/>
          <w:lang w:val="zh-CN" w:eastAsia="zh-CN"/>
        </w:rPr>
        <w:t>教育。保障了202</w:t>
      </w:r>
      <w:r>
        <w:rPr>
          <w:rFonts w:hint="eastAsia" w:ascii="宋体" w:hAnsi="宋体" w:eastAsia="宋体" w:cs="Times New Roman"/>
          <w:color w:val="000000"/>
          <w:sz w:val="32"/>
          <w:szCs w:val="32"/>
          <w:lang w:val="en-US" w:eastAsia="zh-CN"/>
        </w:rPr>
        <w:t>1</w:t>
      </w:r>
      <w:r>
        <w:rPr>
          <w:rFonts w:hint="eastAsia" w:ascii="宋体" w:hAnsi="宋体" w:eastAsia="宋体" w:cs="Times New Roman"/>
          <w:color w:val="000000"/>
          <w:sz w:val="32"/>
          <w:szCs w:val="32"/>
          <w:lang w:val="zh-CN" w:eastAsia="zh-CN"/>
        </w:rPr>
        <w:t>年度广元驻蓉流动党委各项党建活动</w:t>
      </w:r>
      <w:r>
        <w:rPr>
          <w:rFonts w:hint="eastAsia" w:ascii="宋体" w:hAnsi="宋体" w:cs="Times New Roman"/>
          <w:color w:val="000000"/>
          <w:sz w:val="32"/>
          <w:szCs w:val="32"/>
          <w:lang w:val="en-US" w:eastAsia="zh-CN"/>
        </w:rPr>
        <w:t>有序开展</w:t>
      </w:r>
      <w:r>
        <w:rPr>
          <w:rFonts w:hint="eastAsia" w:ascii="宋体" w:hAnsi="宋体" w:eastAsia="宋体" w:cs="Times New Roman"/>
          <w:color w:val="000000"/>
          <w:sz w:val="32"/>
          <w:szCs w:val="32"/>
          <w:lang w:val="zh-CN" w:eastAsia="zh-CN"/>
        </w:rPr>
        <w:t>。</w:t>
      </w:r>
    </w:p>
    <w:p>
      <w:pPr>
        <w:pStyle w:val="2"/>
        <w:tabs>
          <w:tab w:val="left" w:pos="216"/>
        </w:tabs>
        <w:rPr>
          <w:rFonts w:hint="default"/>
          <w:lang w:val="en-US" w:eastAsia="zh-CN"/>
        </w:rPr>
      </w:pPr>
      <w:r>
        <w:rPr>
          <w:rFonts w:hint="eastAsia" w:ascii="宋体" w:hAnsi="宋体" w:eastAsia="宋体" w:cs="Times New Roman"/>
          <w:color w:val="000000"/>
          <w:sz w:val="32"/>
          <w:szCs w:val="32"/>
          <w:lang w:val="zh-CN" w:eastAsia="zh-CN"/>
        </w:rPr>
        <w:tab/>
      </w:r>
      <w:r>
        <w:rPr>
          <w:rFonts w:hint="eastAsia" w:ascii="宋体" w:hAnsi="宋体" w:eastAsia="宋体" w:cs="Times New Roman"/>
          <w:color w:val="000000"/>
          <w:sz w:val="32"/>
          <w:szCs w:val="32"/>
          <w:lang w:val="en-US" w:eastAsia="zh-CN"/>
        </w:rPr>
        <w:t xml:space="preserve"> </w:t>
      </w:r>
      <w:r>
        <w:rPr>
          <w:rFonts w:hint="eastAsia" w:ascii="宋体" w:hAnsi="宋体" w:eastAsia="宋体" w:cs="Times New Roman"/>
          <w:b/>
          <w:bCs/>
          <w:color w:val="000000"/>
          <w:kern w:val="2"/>
          <w:sz w:val="32"/>
          <w:szCs w:val="32"/>
          <w:lang w:val="zh-CN" w:eastAsia="zh-CN" w:bidi="ar-SA"/>
        </w:rPr>
        <w:t>（三）</w:t>
      </w:r>
      <w:r>
        <w:rPr>
          <w:rFonts w:hint="eastAsia" w:ascii="宋体" w:hAnsi="宋体" w:eastAsia="宋体" w:cs="Times New Roman"/>
          <w:b/>
          <w:bCs/>
          <w:color w:val="000000"/>
          <w:kern w:val="2"/>
          <w:sz w:val="32"/>
          <w:szCs w:val="32"/>
          <w:lang w:val="en-US" w:eastAsia="zh-CN" w:bidi="ar-SA"/>
        </w:rPr>
        <w:t>项目监管情况</w:t>
      </w:r>
    </w:p>
    <w:p>
      <w:pPr>
        <w:numPr>
          <w:ilvl w:val="0"/>
          <w:numId w:val="0"/>
        </w:numPr>
        <w:snapToGrid/>
        <w:spacing w:before="0" w:beforeAutospacing="0" w:after="0" w:afterAutospacing="0" w:line="540" w:lineRule="exact"/>
        <w:ind w:firstLine="640" w:firstLineChars="200"/>
        <w:jc w:val="both"/>
        <w:textAlignment w:val="baseline"/>
        <w:rPr>
          <w:rFonts w:hint="eastAsia" w:ascii="宋体" w:hAnsi="宋体" w:cs="宋体"/>
          <w:sz w:val="32"/>
          <w:szCs w:val="32"/>
          <w:lang w:val="en-US" w:eastAsia="zh-CN"/>
        </w:rPr>
      </w:pPr>
      <w:r>
        <w:rPr>
          <w:rFonts w:hint="eastAsia" w:ascii="宋体" w:hAnsi="宋体" w:cs="宋体"/>
          <w:sz w:val="32"/>
          <w:szCs w:val="32"/>
          <w:lang w:val="en-US" w:eastAsia="zh-CN"/>
        </w:rPr>
        <w:t>我单位</w:t>
      </w:r>
      <w:r>
        <w:rPr>
          <w:rFonts w:hint="eastAsia" w:ascii="宋体" w:hAnsi="宋体" w:cs="宋体"/>
          <w:sz w:val="32"/>
          <w:szCs w:val="32"/>
          <w:lang w:val="zh-CN" w:eastAsia="zh-CN"/>
        </w:rPr>
        <w:t>建立完善了监管制度，对项目的实施进行了全面的监管。</w:t>
      </w:r>
    </w:p>
    <w:p>
      <w:pPr>
        <w:pStyle w:val="18"/>
        <w:spacing w:line="576" w:lineRule="exact"/>
        <w:ind w:left="640" w:firstLine="0" w:firstLineChars="0"/>
        <w:rPr>
          <w:rFonts w:hint="eastAsia" w:ascii="黑体" w:hAnsi="宋体" w:eastAsia="黑体"/>
          <w:sz w:val="32"/>
          <w:szCs w:val="32"/>
          <w:lang w:val="zh-CN" w:eastAsia="zh-CN"/>
        </w:rPr>
      </w:pPr>
      <w:r>
        <w:rPr>
          <w:rFonts w:hint="eastAsia" w:ascii="黑体" w:hAnsi="宋体" w:eastAsia="黑体"/>
          <w:sz w:val="32"/>
          <w:szCs w:val="32"/>
          <w:lang w:val="en-US" w:eastAsia="zh-CN"/>
        </w:rPr>
        <w:t>四</w:t>
      </w:r>
      <w:r>
        <w:rPr>
          <w:rFonts w:hint="eastAsia" w:ascii="黑体" w:hAnsi="宋体" w:eastAsia="黑体"/>
          <w:sz w:val="32"/>
          <w:szCs w:val="32"/>
          <w:lang w:val="zh-CN" w:eastAsia="zh-CN"/>
        </w:rPr>
        <w:t>、项目绩效情况</w:t>
      </w:r>
    </w:p>
    <w:p>
      <w:pPr>
        <w:snapToGrid/>
        <w:spacing w:before="0" w:beforeAutospacing="0" w:after="0" w:afterAutospacing="0" w:line="540" w:lineRule="exact"/>
        <w:ind w:firstLine="642" w:firstLineChars="200"/>
        <w:jc w:val="both"/>
        <w:textAlignment w:val="baseline"/>
        <w:rPr>
          <w:rFonts w:hint="eastAsia" w:ascii="宋体" w:hAnsi="宋体" w:eastAsia="宋体" w:cs="Times New Roman"/>
          <w:b/>
          <w:bCs/>
          <w:color w:val="000000"/>
          <w:sz w:val="32"/>
          <w:szCs w:val="32"/>
          <w:lang w:val="zh-CN" w:eastAsia="zh-CN"/>
        </w:rPr>
      </w:pPr>
      <w:r>
        <w:rPr>
          <w:rFonts w:hint="eastAsia" w:ascii="宋体" w:hAnsi="宋体" w:eastAsia="宋体" w:cs="Times New Roman"/>
          <w:b/>
          <w:bCs/>
          <w:color w:val="000000"/>
          <w:sz w:val="32"/>
          <w:szCs w:val="32"/>
          <w:lang w:val="zh-CN" w:eastAsia="zh-CN"/>
        </w:rPr>
        <w:t>（一）项目完成情况</w:t>
      </w:r>
    </w:p>
    <w:p>
      <w:pPr>
        <w:snapToGrid/>
        <w:spacing w:before="0" w:beforeAutospacing="0" w:after="0" w:afterAutospacing="0" w:line="540" w:lineRule="exact"/>
        <w:ind w:firstLine="640" w:firstLineChars="200"/>
        <w:jc w:val="both"/>
        <w:textAlignment w:val="baseline"/>
        <w:rPr>
          <w:rFonts w:hint="eastAsia" w:ascii="宋体" w:hAnsi="宋体" w:eastAsia="宋体" w:cs="Times New Roman"/>
          <w:color w:val="000000"/>
          <w:sz w:val="32"/>
          <w:szCs w:val="32"/>
          <w:lang w:val="en-US" w:eastAsia="zh-CN"/>
        </w:rPr>
      </w:pPr>
      <w:r>
        <w:rPr>
          <w:rFonts w:hint="eastAsia" w:ascii="宋体" w:hAnsi="宋体" w:eastAsia="宋体" w:cs="Times New Roman"/>
          <w:color w:val="000000"/>
          <w:sz w:val="32"/>
          <w:szCs w:val="32"/>
          <w:lang w:val="zh-CN" w:eastAsia="zh-CN"/>
        </w:rPr>
        <w:t>全年预算数</w:t>
      </w:r>
      <w:r>
        <w:rPr>
          <w:rFonts w:hint="eastAsia" w:ascii="宋体" w:hAnsi="宋体" w:eastAsia="宋体" w:cs="Times New Roman"/>
          <w:color w:val="000000"/>
          <w:sz w:val="32"/>
          <w:szCs w:val="32"/>
          <w:lang w:val="en-US" w:eastAsia="zh-CN"/>
        </w:rPr>
        <w:t>为</w:t>
      </w:r>
      <w:r>
        <w:rPr>
          <w:rFonts w:hint="eastAsia" w:ascii="宋体" w:hAnsi="宋体" w:eastAsia="宋体" w:cs="Times New Roman"/>
          <w:color w:val="000000"/>
          <w:sz w:val="32"/>
          <w:szCs w:val="32"/>
          <w:lang w:val="zh-CN" w:eastAsia="zh-CN"/>
        </w:rPr>
        <w:t>3万元，决算数</w:t>
      </w:r>
      <w:r>
        <w:rPr>
          <w:rFonts w:hint="eastAsia" w:ascii="宋体" w:hAnsi="宋体" w:eastAsia="宋体" w:cs="Times New Roman"/>
          <w:color w:val="000000"/>
          <w:sz w:val="32"/>
          <w:szCs w:val="32"/>
          <w:lang w:val="en-US" w:eastAsia="zh-CN"/>
        </w:rPr>
        <w:t>为</w:t>
      </w:r>
      <w:r>
        <w:rPr>
          <w:rFonts w:hint="eastAsia" w:ascii="宋体" w:hAnsi="宋体" w:eastAsia="宋体" w:cs="Times New Roman"/>
          <w:color w:val="000000"/>
          <w:sz w:val="32"/>
          <w:szCs w:val="32"/>
          <w:lang w:val="zh-CN" w:eastAsia="zh-CN"/>
        </w:rPr>
        <w:t>3万元，完成预算100%，保障了202</w:t>
      </w:r>
      <w:r>
        <w:rPr>
          <w:rFonts w:hint="eastAsia" w:ascii="宋体" w:hAnsi="宋体" w:eastAsia="宋体" w:cs="Times New Roman"/>
          <w:color w:val="000000"/>
          <w:sz w:val="32"/>
          <w:szCs w:val="32"/>
          <w:lang w:val="en-US" w:eastAsia="zh-CN"/>
        </w:rPr>
        <w:t>1</w:t>
      </w:r>
      <w:r>
        <w:rPr>
          <w:rFonts w:hint="eastAsia" w:ascii="宋体" w:hAnsi="宋体" w:eastAsia="宋体" w:cs="Times New Roman"/>
          <w:color w:val="000000"/>
          <w:sz w:val="32"/>
          <w:szCs w:val="32"/>
          <w:lang w:val="zh-CN" w:eastAsia="zh-CN"/>
        </w:rPr>
        <w:t>年度广元驻蓉流动党委</w:t>
      </w:r>
      <w:r>
        <w:rPr>
          <w:rFonts w:hint="eastAsia" w:ascii="宋体" w:hAnsi="宋体" w:cs="Times New Roman"/>
          <w:color w:val="000000"/>
          <w:sz w:val="32"/>
          <w:szCs w:val="32"/>
          <w:lang w:val="en-US" w:eastAsia="zh-CN"/>
        </w:rPr>
        <w:t>开展</w:t>
      </w:r>
      <w:r>
        <w:rPr>
          <w:rFonts w:hint="eastAsia" w:ascii="宋体" w:hAnsi="宋体" w:eastAsia="宋体" w:cs="Times New Roman"/>
          <w:color w:val="000000"/>
          <w:sz w:val="32"/>
          <w:szCs w:val="32"/>
          <w:lang w:val="zh-CN" w:eastAsia="zh-CN"/>
        </w:rPr>
        <w:t>各项党建活动。通过项目实施，</w:t>
      </w:r>
      <w:r>
        <w:rPr>
          <w:rFonts w:hint="eastAsia" w:ascii="宋体" w:hAnsi="宋体" w:eastAsia="宋体" w:cs="Times New Roman"/>
          <w:color w:val="000000"/>
          <w:sz w:val="32"/>
          <w:szCs w:val="32"/>
          <w:lang w:val="en-US" w:eastAsia="zh-CN"/>
        </w:rPr>
        <w:t>充分发挥了党建引领作用，</w:t>
      </w:r>
      <w:r>
        <w:rPr>
          <w:rFonts w:hint="eastAsia" w:ascii="宋体" w:hAnsi="宋体" w:eastAsia="宋体" w:cs="Times New Roman"/>
          <w:color w:val="000000"/>
          <w:sz w:val="32"/>
          <w:szCs w:val="32"/>
          <w:lang w:val="zh-CN" w:eastAsia="zh-CN"/>
        </w:rPr>
        <w:t>切实提高了流动党员</w:t>
      </w:r>
      <w:r>
        <w:rPr>
          <w:rFonts w:hint="eastAsia" w:ascii="宋体" w:hAnsi="宋体" w:eastAsia="宋体" w:cs="Times New Roman"/>
          <w:color w:val="000000"/>
          <w:sz w:val="32"/>
          <w:szCs w:val="32"/>
          <w:lang w:val="en-US" w:eastAsia="zh-CN"/>
        </w:rPr>
        <w:t>的</w:t>
      </w:r>
      <w:r>
        <w:rPr>
          <w:rFonts w:hint="eastAsia" w:ascii="宋体" w:hAnsi="宋体" w:eastAsia="宋体" w:cs="Times New Roman"/>
          <w:color w:val="000000"/>
          <w:sz w:val="32"/>
          <w:szCs w:val="32"/>
          <w:lang w:val="zh-CN" w:eastAsia="zh-CN"/>
        </w:rPr>
        <w:t>党性修养，较好地发挥了</w:t>
      </w:r>
      <w:r>
        <w:rPr>
          <w:rFonts w:hint="eastAsia" w:ascii="宋体" w:hAnsi="宋体" w:eastAsia="宋体" w:cs="Times New Roman"/>
          <w:color w:val="000000"/>
          <w:sz w:val="32"/>
          <w:szCs w:val="32"/>
          <w:lang w:val="en-US" w:eastAsia="zh-CN"/>
        </w:rPr>
        <w:t>流动党员在推动发展、服务群众和促进和谐中的积极作用。</w:t>
      </w:r>
    </w:p>
    <w:p>
      <w:pPr>
        <w:snapToGrid/>
        <w:spacing w:before="0" w:beforeAutospacing="0" w:after="0" w:afterAutospacing="0" w:line="540" w:lineRule="exact"/>
        <w:ind w:firstLine="642" w:firstLineChars="200"/>
        <w:jc w:val="both"/>
        <w:textAlignment w:val="baseline"/>
        <w:rPr>
          <w:rFonts w:hint="eastAsia" w:ascii="宋体" w:hAnsi="宋体" w:eastAsia="宋体" w:cs="Times New Roman"/>
          <w:b/>
          <w:bCs/>
          <w:color w:val="000000"/>
          <w:sz w:val="32"/>
          <w:szCs w:val="32"/>
          <w:lang w:val="zh-CN" w:eastAsia="zh-CN"/>
        </w:rPr>
      </w:pPr>
      <w:r>
        <w:rPr>
          <w:rFonts w:hint="eastAsia" w:ascii="宋体" w:hAnsi="宋体" w:eastAsia="宋体" w:cs="Times New Roman"/>
          <w:b/>
          <w:bCs/>
          <w:color w:val="000000"/>
          <w:sz w:val="32"/>
          <w:szCs w:val="32"/>
          <w:lang w:val="zh-CN" w:eastAsia="zh-CN"/>
        </w:rPr>
        <w:t>（二）项目效益情况</w:t>
      </w:r>
    </w:p>
    <w:p>
      <w:pPr>
        <w:pStyle w:val="18"/>
        <w:spacing w:line="576" w:lineRule="exact"/>
        <w:rPr>
          <w:rFonts w:hint="default" w:ascii="宋体" w:hAnsi="宋体" w:eastAsia="宋体" w:cs="Times New Roman"/>
          <w:color w:val="000000"/>
          <w:kern w:val="2"/>
          <w:sz w:val="32"/>
          <w:szCs w:val="32"/>
          <w:lang w:val="en-US" w:eastAsia="zh-CN" w:bidi="ar-SA"/>
        </w:rPr>
      </w:pPr>
      <w:r>
        <w:rPr>
          <w:rFonts w:hint="eastAsia" w:ascii="宋体" w:hAnsi="宋体" w:eastAsia="宋体" w:cs="Times New Roman"/>
          <w:color w:val="000000"/>
          <w:kern w:val="2"/>
          <w:sz w:val="32"/>
          <w:szCs w:val="32"/>
          <w:lang w:val="en-US" w:eastAsia="zh-CN" w:bidi="ar-SA"/>
        </w:rPr>
        <w:t>该项目的实施，</w:t>
      </w:r>
      <w:r>
        <w:rPr>
          <w:rFonts w:hint="eastAsia" w:ascii="宋体" w:hAnsi="宋体" w:cs="Times New Roman"/>
          <w:color w:val="000000"/>
          <w:kern w:val="2"/>
          <w:sz w:val="32"/>
          <w:szCs w:val="32"/>
          <w:lang w:val="en-US" w:eastAsia="zh-CN" w:bidi="ar-SA"/>
        </w:rPr>
        <w:t>主要服务于驻蓉流动党员，</w:t>
      </w:r>
      <w:r>
        <w:rPr>
          <w:rFonts w:hint="eastAsia" w:ascii="宋体" w:hAnsi="宋体" w:eastAsia="宋体" w:cs="Times New Roman"/>
          <w:color w:val="000000"/>
          <w:kern w:val="2"/>
          <w:sz w:val="32"/>
          <w:szCs w:val="32"/>
          <w:lang w:val="en-US" w:eastAsia="zh-CN" w:bidi="ar-SA"/>
        </w:rPr>
        <w:t>保障了驻蓉流动党员开展党建活动，体现了党的关怀，驻蓉流动党员满意度达到95%以上。</w:t>
      </w:r>
    </w:p>
    <w:p>
      <w:pPr>
        <w:pStyle w:val="18"/>
        <w:spacing w:line="576" w:lineRule="exact"/>
        <w:ind w:left="640" w:firstLine="0" w:firstLineChars="0"/>
        <w:rPr>
          <w:rFonts w:ascii="黑体" w:hAnsi="宋体" w:eastAsia="黑体"/>
          <w:sz w:val="32"/>
          <w:szCs w:val="32"/>
        </w:rPr>
      </w:pPr>
      <w:r>
        <w:rPr>
          <w:rFonts w:hint="eastAsia" w:ascii="黑体" w:hAnsi="宋体" w:eastAsia="黑体"/>
          <w:sz w:val="32"/>
          <w:szCs w:val="32"/>
          <w:lang w:val="en-US" w:eastAsia="zh-CN"/>
        </w:rPr>
        <w:t>五</w:t>
      </w:r>
      <w:r>
        <w:rPr>
          <w:rFonts w:hint="eastAsia" w:ascii="黑体" w:hAnsi="宋体" w:eastAsia="黑体"/>
          <w:sz w:val="32"/>
          <w:szCs w:val="32"/>
        </w:rPr>
        <w:t>、</w:t>
      </w:r>
      <w:r>
        <w:rPr>
          <w:rFonts w:hint="eastAsia" w:ascii="黑体" w:hAnsi="宋体" w:eastAsia="黑体"/>
          <w:sz w:val="32"/>
          <w:szCs w:val="32"/>
          <w:lang w:val="en-US" w:eastAsia="zh-CN"/>
        </w:rPr>
        <w:t>评价结论</w:t>
      </w:r>
      <w:r>
        <w:rPr>
          <w:rFonts w:hint="eastAsia" w:ascii="黑体" w:hAnsi="宋体" w:eastAsia="黑体"/>
          <w:sz w:val="32"/>
          <w:szCs w:val="32"/>
        </w:rPr>
        <w:t>及建议</w:t>
      </w:r>
    </w:p>
    <w:p>
      <w:pPr>
        <w:snapToGrid/>
        <w:spacing w:before="0" w:beforeAutospacing="0" w:after="0" w:afterAutospacing="0" w:line="540" w:lineRule="exact"/>
        <w:ind w:firstLine="642" w:firstLineChars="200"/>
        <w:jc w:val="both"/>
        <w:textAlignment w:val="baseline"/>
        <w:rPr>
          <w:rFonts w:hint="default" w:ascii="宋体" w:hAnsi="宋体" w:eastAsia="宋体" w:cs="Times New Roman"/>
          <w:b/>
          <w:bCs/>
          <w:color w:val="000000"/>
          <w:sz w:val="32"/>
          <w:szCs w:val="32"/>
          <w:lang w:val="en-US" w:eastAsia="zh-CN"/>
        </w:rPr>
      </w:pPr>
      <w:r>
        <w:rPr>
          <w:rFonts w:hint="eastAsia" w:ascii="宋体" w:hAnsi="宋体" w:eastAsia="宋体" w:cs="Times New Roman"/>
          <w:b/>
          <w:bCs/>
          <w:color w:val="000000"/>
          <w:sz w:val="32"/>
          <w:szCs w:val="32"/>
          <w:lang w:val="zh-CN" w:eastAsia="zh-CN"/>
        </w:rPr>
        <w:t>（一）</w:t>
      </w:r>
      <w:r>
        <w:rPr>
          <w:rFonts w:hint="eastAsia" w:ascii="宋体" w:hAnsi="宋体" w:eastAsia="宋体" w:cs="Times New Roman"/>
          <w:b/>
          <w:bCs/>
          <w:color w:val="000000"/>
          <w:sz w:val="32"/>
          <w:szCs w:val="32"/>
          <w:lang w:val="en-US" w:eastAsia="zh-CN"/>
        </w:rPr>
        <w:t>评价结论</w:t>
      </w:r>
    </w:p>
    <w:p>
      <w:pPr>
        <w:snapToGrid/>
        <w:spacing w:before="0" w:beforeAutospacing="0" w:after="0" w:afterAutospacing="0" w:line="540" w:lineRule="exact"/>
        <w:ind w:firstLine="640" w:firstLineChars="200"/>
        <w:jc w:val="both"/>
        <w:textAlignment w:val="baseline"/>
        <w:rPr>
          <w:rFonts w:hint="default"/>
          <w:lang w:val="en-US" w:eastAsia="zh-CN"/>
        </w:rPr>
      </w:pPr>
      <w:r>
        <w:rPr>
          <w:rFonts w:hint="eastAsia" w:ascii="宋体" w:hAnsi="宋体" w:eastAsia="宋体" w:cs="Times New Roman"/>
          <w:color w:val="000000"/>
          <w:sz w:val="32"/>
          <w:szCs w:val="32"/>
          <w:lang w:val="zh-CN" w:eastAsia="zh-CN"/>
        </w:rPr>
        <w:t>通过项目的实施，全面加强流入党员和流出党员党组织建设，促进流动党员向流动党组织归属，流动党组织向流入地、流出地党组织归属，切实破解相关难题，全面提升流动党员服务管理水平。</w:t>
      </w:r>
      <w:r>
        <w:rPr>
          <w:rFonts w:hint="eastAsia" w:ascii="宋体" w:hAnsi="宋体" w:cs="宋体"/>
          <w:sz w:val="32"/>
          <w:szCs w:val="32"/>
          <w:lang w:val="en-US" w:eastAsia="zh-CN"/>
        </w:rPr>
        <w:t>通过对该项目绩效的分析和评价，自评得分100分。</w:t>
      </w:r>
    </w:p>
    <w:p>
      <w:pPr>
        <w:snapToGrid/>
        <w:spacing w:before="0" w:beforeAutospacing="0" w:after="0" w:afterAutospacing="0" w:line="540" w:lineRule="exact"/>
        <w:ind w:firstLine="642" w:firstLineChars="200"/>
        <w:jc w:val="both"/>
        <w:textAlignment w:val="baseline"/>
        <w:rPr>
          <w:rFonts w:hint="eastAsia" w:ascii="宋体" w:hAnsi="宋体" w:eastAsia="宋体" w:cs="Times New Roman"/>
          <w:b/>
          <w:bCs/>
          <w:color w:val="000000"/>
          <w:sz w:val="32"/>
          <w:szCs w:val="32"/>
          <w:lang w:val="zh-CN" w:eastAsia="zh-CN"/>
        </w:rPr>
      </w:pPr>
      <w:r>
        <w:rPr>
          <w:rFonts w:hint="eastAsia" w:ascii="宋体" w:hAnsi="宋体" w:eastAsia="宋体" w:cs="Times New Roman"/>
          <w:b/>
          <w:bCs/>
          <w:color w:val="000000"/>
          <w:sz w:val="32"/>
          <w:szCs w:val="32"/>
          <w:lang w:val="zh-CN" w:eastAsia="zh-CN"/>
        </w:rPr>
        <w:t>（</w:t>
      </w:r>
      <w:r>
        <w:rPr>
          <w:rFonts w:hint="eastAsia" w:ascii="宋体" w:hAnsi="宋体" w:eastAsia="宋体" w:cs="Times New Roman"/>
          <w:b/>
          <w:bCs/>
          <w:color w:val="000000"/>
          <w:sz w:val="32"/>
          <w:szCs w:val="32"/>
          <w:lang w:val="en-US" w:eastAsia="zh-CN"/>
        </w:rPr>
        <w:t>二</w:t>
      </w:r>
      <w:r>
        <w:rPr>
          <w:rFonts w:hint="eastAsia" w:ascii="宋体" w:hAnsi="宋体" w:eastAsia="宋体" w:cs="Times New Roman"/>
          <w:b/>
          <w:bCs/>
          <w:color w:val="000000"/>
          <w:sz w:val="32"/>
          <w:szCs w:val="32"/>
          <w:lang w:val="zh-CN" w:eastAsia="zh-CN"/>
        </w:rPr>
        <w:t>）存在的问题</w:t>
      </w:r>
    </w:p>
    <w:p>
      <w:pPr>
        <w:snapToGrid/>
        <w:spacing w:before="0" w:beforeAutospacing="0" w:after="0" w:afterAutospacing="0" w:line="540" w:lineRule="exact"/>
        <w:ind w:firstLine="640" w:firstLineChars="200"/>
        <w:jc w:val="both"/>
        <w:textAlignment w:val="baseline"/>
        <w:rPr>
          <w:rFonts w:hint="default" w:ascii="宋体" w:hAnsi="宋体" w:eastAsia="宋体" w:cs="Times New Roman"/>
          <w:color w:val="000000"/>
          <w:sz w:val="32"/>
          <w:szCs w:val="32"/>
          <w:lang w:val="en-US" w:eastAsia="zh-CN"/>
        </w:rPr>
      </w:pPr>
      <w:r>
        <w:rPr>
          <w:rFonts w:hint="eastAsia" w:ascii="宋体" w:hAnsi="宋体" w:eastAsia="宋体" w:cs="Times New Roman"/>
          <w:color w:val="000000"/>
          <w:sz w:val="32"/>
          <w:szCs w:val="32"/>
          <w:lang w:val="en-US" w:eastAsia="zh-CN"/>
        </w:rPr>
        <w:t>对绩效自评体系个别指标的设置理解不够透彻。</w:t>
      </w:r>
    </w:p>
    <w:p>
      <w:pPr>
        <w:snapToGrid/>
        <w:spacing w:before="0" w:beforeAutospacing="0" w:after="0" w:afterAutospacing="0" w:line="540" w:lineRule="exact"/>
        <w:ind w:firstLine="642" w:firstLineChars="200"/>
        <w:jc w:val="both"/>
        <w:textAlignment w:val="baseline"/>
        <w:rPr>
          <w:rFonts w:hint="eastAsia" w:ascii="宋体" w:hAnsi="宋体" w:eastAsia="宋体" w:cs="Times New Roman"/>
          <w:b/>
          <w:bCs/>
          <w:color w:val="000000"/>
          <w:sz w:val="32"/>
          <w:szCs w:val="32"/>
          <w:lang w:val="zh-CN" w:eastAsia="zh-CN"/>
        </w:rPr>
      </w:pPr>
      <w:r>
        <w:rPr>
          <w:rFonts w:hint="eastAsia" w:ascii="宋体" w:hAnsi="宋体" w:eastAsia="宋体" w:cs="Times New Roman"/>
          <w:b/>
          <w:bCs/>
          <w:color w:val="000000"/>
          <w:sz w:val="32"/>
          <w:szCs w:val="32"/>
          <w:lang w:val="zh-CN" w:eastAsia="zh-CN"/>
        </w:rPr>
        <w:t>（二）相关建议</w:t>
      </w:r>
    </w:p>
    <w:p>
      <w:pPr>
        <w:snapToGrid/>
        <w:spacing w:before="0" w:beforeAutospacing="0" w:after="0" w:afterAutospacing="0" w:line="540" w:lineRule="exact"/>
        <w:ind w:firstLine="640" w:firstLineChars="200"/>
        <w:jc w:val="both"/>
        <w:textAlignment w:val="baseline"/>
      </w:pPr>
      <w:r>
        <w:rPr>
          <w:rFonts w:hint="eastAsia" w:ascii="Calibri" w:hAnsi="Calibri" w:eastAsia="宋体" w:cs="Times New Roman"/>
          <w:sz w:val="32"/>
          <w:szCs w:val="32"/>
          <w:lang w:val="en-US" w:eastAsia="zh-CN"/>
        </w:rPr>
        <w:t>进一步加强对绩效管理工作的培训和指导，进一步优化项目绩效考核指标体系。</w:t>
      </w:r>
    </w:p>
    <w:p>
      <w:pPr>
        <w:snapToGrid/>
        <w:spacing w:before="0" w:beforeAutospacing="0" w:after="0" w:afterAutospacing="0" w:line="540" w:lineRule="exact"/>
        <w:jc w:val="both"/>
        <w:textAlignment w:val="baseline"/>
        <w:rPr>
          <w:rFonts w:hint="eastAsia" w:ascii="宋体" w:hAnsi="宋体" w:cs="宋体"/>
          <w:sz w:val="32"/>
          <w:szCs w:val="32"/>
          <w:lang w:val="en-US" w:eastAsia="zh-CN"/>
        </w:rPr>
      </w:pPr>
    </w:p>
    <w:p>
      <w:pPr>
        <w:snapToGrid/>
        <w:spacing w:before="0" w:beforeAutospacing="0" w:after="0" w:afterAutospacing="0" w:line="540" w:lineRule="exact"/>
        <w:ind w:firstLine="640" w:firstLineChars="200"/>
        <w:jc w:val="both"/>
        <w:textAlignment w:val="baseline"/>
        <w:rPr>
          <w:rFonts w:hint="eastAsia" w:ascii="宋体" w:hAnsi="宋体" w:cs="宋体"/>
          <w:sz w:val="32"/>
          <w:szCs w:val="32"/>
          <w:lang w:val="en-US" w:eastAsia="zh-CN"/>
        </w:rPr>
      </w:pPr>
    </w:p>
    <w:p>
      <w:pPr>
        <w:spacing w:line="600" w:lineRule="exact"/>
        <w:jc w:val="center"/>
        <w:outlineLvl w:val="0"/>
        <w:rPr>
          <w:rFonts w:hint="eastAsia" w:ascii="黑体" w:hAnsi="黑体" w:eastAsia="黑体"/>
          <w:color w:val="000000"/>
          <w:sz w:val="44"/>
          <w:szCs w:val="44"/>
        </w:rPr>
      </w:pPr>
    </w:p>
    <w:p>
      <w:pPr>
        <w:pStyle w:val="2"/>
        <w:rPr>
          <w:rFonts w:hint="eastAsia" w:ascii="黑体" w:hAnsi="黑体" w:eastAsia="黑体"/>
          <w:color w:val="000000"/>
          <w:sz w:val="44"/>
          <w:szCs w:val="44"/>
        </w:rPr>
      </w:pPr>
    </w:p>
    <w:p>
      <w:pPr>
        <w:pStyle w:val="2"/>
        <w:rPr>
          <w:rFonts w:hint="eastAsia" w:ascii="黑体" w:hAnsi="黑体" w:eastAsia="黑体"/>
          <w:color w:val="000000"/>
          <w:sz w:val="44"/>
          <w:szCs w:val="44"/>
        </w:rPr>
      </w:pPr>
    </w:p>
    <w:p>
      <w:pPr>
        <w:pStyle w:val="2"/>
        <w:rPr>
          <w:rFonts w:hint="eastAsia" w:ascii="黑体" w:hAnsi="黑体" w:eastAsia="黑体"/>
          <w:color w:val="000000"/>
          <w:sz w:val="44"/>
          <w:szCs w:val="44"/>
        </w:rPr>
      </w:pPr>
    </w:p>
    <w:p>
      <w:pPr>
        <w:pStyle w:val="2"/>
        <w:rPr>
          <w:rFonts w:hint="eastAsia" w:ascii="黑体" w:hAnsi="黑体" w:eastAsia="黑体"/>
          <w:color w:val="000000"/>
          <w:sz w:val="44"/>
          <w:szCs w:val="44"/>
        </w:rPr>
      </w:pPr>
    </w:p>
    <w:p>
      <w:pPr>
        <w:pStyle w:val="2"/>
        <w:rPr>
          <w:rFonts w:hint="eastAsia" w:ascii="黑体" w:hAnsi="黑体" w:eastAsia="黑体"/>
          <w:color w:val="000000"/>
          <w:sz w:val="44"/>
          <w:szCs w:val="44"/>
        </w:rPr>
      </w:pPr>
    </w:p>
    <w:p>
      <w:pPr>
        <w:pStyle w:val="2"/>
        <w:rPr>
          <w:rFonts w:hint="eastAsia" w:ascii="黑体" w:hAnsi="黑体" w:eastAsia="黑体"/>
          <w:color w:val="000000"/>
          <w:sz w:val="44"/>
          <w:szCs w:val="44"/>
        </w:rPr>
      </w:pPr>
    </w:p>
    <w:p>
      <w:pPr>
        <w:pStyle w:val="2"/>
        <w:rPr>
          <w:rFonts w:hint="eastAsia" w:ascii="黑体" w:hAnsi="黑体" w:eastAsia="黑体"/>
          <w:color w:val="000000"/>
          <w:sz w:val="44"/>
          <w:szCs w:val="44"/>
        </w:rPr>
      </w:pPr>
    </w:p>
    <w:p>
      <w:pPr>
        <w:pStyle w:val="2"/>
        <w:rPr>
          <w:rFonts w:hint="eastAsia" w:ascii="黑体" w:hAnsi="黑体" w:eastAsia="黑体"/>
          <w:color w:val="000000"/>
          <w:sz w:val="44"/>
          <w:szCs w:val="44"/>
        </w:rPr>
      </w:pPr>
    </w:p>
    <w:p>
      <w:pPr>
        <w:pStyle w:val="2"/>
        <w:rPr>
          <w:rFonts w:hint="eastAsia" w:ascii="黑体" w:hAnsi="黑体" w:eastAsia="黑体"/>
          <w:color w:val="000000"/>
          <w:sz w:val="44"/>
          <w:szCs w:val="44"/>
        </w:rPr>
      </w:pPr>
    </w:p>
    <w:p>
      <w:pPr>
        <w:pStyle w:val="2"/>
        <w:rPr>
          <w:rFonts w:hint="eastAsia" w:ascii="黑体" w:hAnsi="黑体" w:eastAsia="黑体"/>
          <w:color w:val="000000"/>
          <w:sz w:val="44"/>
          <w:szCs w:val="44"/>
        </w:rPr>
      </w:pPr>
    </w:p>
    <w:p>
      <w:pPr>
        <w:pStyle w:val="2"/>
        <w:rPr>
          <w:rFonts w:hint="eastAsia" w:ascii="黑体" w:hAnsi="黑体" w:eastAsia="黑体"/>
          <w:color w:val="000000"/>
          <w:sz w:val="44"/>
          <w:szCs w:val="44"/>
        </w:rPr>
      </w:pPr>
    </w:p>
    <w:p>
      <w:pPr>
        <w:pStyle w:val="2"/>
        <w:rPr>
          <w:rFonts w:hint="eastAsia" w:ascii="黑体" w:hAnsi="黑体" w:eastAsia="黑体"/>
          <w:color w:val="000000"/>
          <w:sz w:val="44"/>
          <w:szCs w:val="44"/>
        </w:rPr>
      </w:pP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附表</w:t>
      </w:r>
    </w:p>
    <w:tbl>
      <w:tblPr>
        <w:tblStyle w:val="11"/>
        <w:tblW w:w="88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1"/>
        <w:gridCol w:w="1065"/>
        <w:gridCol w:w="1350"/>
        <w:gridCol w:w="1755"/>
        <w:gridCol w:w="2160"/>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8871"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2021年部门预算项目绩效目标自评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183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主管部门及代码</w:t>
            </w:r>
          </w:p>
        </w:tc>
        <w:tc>
          <w:tcPr>
            <w:tcW w:w="3105"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广元市人民政府办公室302001</w:t>
            </w:r>
          </w:p>
        </w:tc>
        <w:tc>
          <w:tcPr>
            <w:tcW w:w="216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77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广元市人民政府驻成都办事处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836"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项目预算</w:t>
            </w: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r>
              <w:rPr>
                <w:rStyle w:val="22"/>
                <w:lang w:val="en-US" w:eastAsia="zh-CN" w:bidi="ar"/>
              </w:rPr>
              <w:t>预算数：</w:t>
            </w:r>
          </w:p>
        </w:tc>
        <w:tc>
          <w:tcPr>
            <w:tcW w:w="17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r>
              <w:rPr>
                <w:rStyle w:val="22"/>
                <w:lang w:val="en-US" w:eastAsia="zh-CN" w:bidi="ar"/>
              </w:rPr>
              <w:t>执行数：</w:t>
            </w:r>
          </w:p>
        </w:tc>
        <w:tc>
          <w:tcPr>
            <w:tcW w:w="177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836"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执行情况</w:t>
            </w:r>
          </w:p>
        </w:tc>
        <w:tc>
          <w:tcPr>
            <w:tcW w:w="1350"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w:t>
            </w:r>
          </w:p>
        </w:tc>
        <w:tc>
          <w:tcPr>
            <w:tcW w:w="175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60"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w:t>
            </w:r>
          </w:p>
        </w:tc>
        <w:tc>
          <w:tcPr>
            <w:tcW w:w="177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836"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（万元）</w:t>
            </w: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财政拨款</w:t>
            </w:r>
          </w:p>
        </w:tc>
        <w:tc>
          <w:tcPr>
            <w:tcW w:w="1755" w:type="dxa"/>
            <w:vMerge w:val="continue"/>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财政拨款</w:t>
            </w:r>
          </w:p>
        </w:tc>
        <w:tc>
          <w:tcPr>
            <w:tcW w:w="1770" w:type="dxa"/>
            <w:vMerge w:val="continue"/>
            <w:tcBorders>
              <w:top w:val="nil"/>
              <w:left w:val="nil"/>
              <w:bottom w:val="single" w:color="000000" w:sz="8" w:space="0"/>
              <w:right w:val="single" w:color="000000" w:sz="8"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1836" w:type="dxa"/>
            <w:gridSpan w:val="2"/>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1755" w:type="dxa"/>
            <w:tcBorders>
              <w:top w:val="nil"/>
              <w:left w:val="nil"/>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177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771" w:type="dxa"/>
            <w:vMerge w:val="restar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年度总体目标完成情况</w:t>
            </w:r>
          </w:p>
        </w:tc>
        <w:tc>
          <w:tcPr>
            <w:tcW w:w="4170" w:type="dxa"/>
            <w:gridSpan w:val="3"/>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3930"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trPr>
        <w:tc>
          <w:tcPr>
            <w:tcW w:w="771"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70" w:type="dxa"/>
            <w:gridSpan w:val="3"/>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保</w:t>
            </w:r>
            <w:r>
              <w:rPr>
                <w:rFonts w:hint="eastAsia" w:ascii="宋体" w:hAnsi="宋体" w:eastAsia="宋体" w:cs="宋体"/>
                <w:i w:val="0"/>
                <w:iCs w:val="0"/>
                <w:color w:val="000000"/>
                <w:kern w:val="0"/>
                <w:sz w:val="24"/>
                <w:szCs w:val="24"/>
                <w:u w:val="none"/>
                <w:lang w:val="en-US" w:eastAsia="zh-CN" w:bidi="ar"/>
              </w:rPr>
              <w:t>障2021年流动党委开展各种党建活动。</w:t>
            </w:r>
          </w:p>
        </w:tc>
        <w:tc>
          <w:tcPr>
            <w:tcW w:w="3930" w:type="dxa"/>
            <w:gridSpan w:val="2"/>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保</w:t>
            </w:r>
            <w:r>
              <w:rPr>
                <w:rFonts w:hint="eastAsia" w:ascii="宋体" w:hAnsi="宋体" w:eastAsia="宋体" w:cs="宋体"/>
                <w:i w:val="0"/>
                <w:iCs w:val="0"/>
                <w:color w:val="000000"/>
                <w:kern w:val="0"/>
                <w:sz w:val="24"/>
                <w:szCs w:val="24"/>
                <w:u w:val="none"/>
                <w:lang w:val="en-US" w:eastAsia="zh-CN" w:bidi="ar"/>
              </w:rPr>
              <w:t>障2021年流动党委开展各种党建活动。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77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年度绩效指标完成情况</w:t>
            </w:r>
          </w:p>
        </w:tc>
        <w:tc>
          <w:tcPr>
            <w:tcW w:w="1065"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一级</w:t>
            </w:r>
          </w:p>
        </w:tc>
        <w:tc>
          <w:tcPr>
            <w:tcW w:w="1350"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二级</w:t>
            </w:r>
          </w:p>
        </w:tc>
        <w:tc>
          <w:tcPr>
            <w:tcW w:w="175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三级</w:t>
            </w:r>
          </w:p>
        </w:tc>
        <w:tc>
          <w:tcPr>
            <w:tcW w:w="216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预期指标值</w:t>
            </w:r>
          </w:p>
        </w:tc>
        <w:tc>
          <w:tcPr>
            <w:tcW w:w="177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trPr>
        <w:tc>
          <w:tcPr>
            <w:tcW w:w="77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0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指标</w:t>
            </w: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指标</w:t>
            </w:r>
          </w:p>
        </w:tc>
        <w:tc>
          <w:tcPr>
            <w:tcW w:w="17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指标</w:t>
            </w:r>
          </w:p>
        </w:tc>
        <w:tc>
          <w:tcPr>
            <w:tcW w:w="2160"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770" w:type="dxa"/>
            <w:vMerge w:val="continue"/>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7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065" w:type="dxa"/>
            <w:tcBorders>
              <w:top w:val="nil"/>
              <w:left w:val="nil"/>
              <w:bottom w:val="nil"/>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35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数量指标</w:t>
            </w:r>
          </w:p>
        </w:tc>
        <w:tc>
          <w:tcPr>
            <w:tcW w:w="1755"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组织主题党日活动</w:t>
            </w:r>
          </w:p>
        </w:tc>
        <w:tc>
          <w:tcPr>
            <w:tcW w:w="2160"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1.5万</w:t>
            </w:r>
          </w:p>
        </w:tc>
        <w:tc>
          <w:tcPr>
            <w:tcW w:w="1770"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77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065" w:type="dxa"/>
            <w:tcBorders>
              <w:top w:val="nil"/>
              <w:left w:val="nil"/>
              <w:bottom w:val="nil"/>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350" w:type="dxa"/>
            <w:vMerge w:val="continue"/>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755"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建党100周年及国庆两次大型活动</w:t>
            </w:r>
          </w:p>
        </w:tc>
        <w:tc>
          <w:tcPr>
            <w:tcW w:w="2160"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1万</w:t>
            </w:r>
          </w:p>
        </w:tc>
        <w:tc>
          <w:tcPr>
            <w:tcW w:w="1770"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77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065" w:type="dxa"/>
            <w:tcBorders>
              <w:top w:val="nil"/>
              <w:left w:val="nil"/>
              <w:bottom w:val="nil"/>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完成</w:t>
            </w:r>
          </w:p>
        </w:tc>
        <w:tc>
          <w:tcPr>
            <w:tcW w:w="1350" w:type="dxa"/>
            <w:vMerge w:val="continue"/>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755"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党员政治 理论学习</w:t>
            </w:r>
          </w:p>
        </w:tc>
        <w:tc>
          <w:tcPr>
            <w:tcW w:w="2160"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0.5万</w:t>
            </w:r>
          </w:p>
        </w:tc>
        <w:tc>
          <w:tcPr>
            <w:tcW w:w="1770"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0.5万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7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065"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指标</w:t>
            </w:r>
          </w:p>
        </w:tc>
        <w:tc>
          <w:tcPr>
            <w:tcW w:w="1350"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质量指标</w:t>
            </w:r>
          </w:p>
        </w:tc>
        <w:tc>
          <w:tcPr>
            <w:tcW w:w="1755"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驻蓉流动党委党建工作扎实推进</w:t>
            </w:r>
          </w:p>
        </w:tc>
        <w:tc>
          <w:tcPr>
            <w:tcW w:w="2160"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良好</w:t>
            </w:r>
          </w:p>
        </w:tc>
        <w:tc>
          <w:tcPr>
            <w:tcW w:w="1770"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065"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0"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时效指标</w:t>
            </w:r>
          </w:p>
        </w:tc>
        <w:tc>
          <w:tcPr>
            <w:tcW w:w="1755"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完成时间</w:t>
            </w:r>
          </w:p>
        </w:tc>
        <w:tc>
          <w:tcPr>
            <w:tcW w:w="2160"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≤12个月</w:t>
            </w:r>
          </w:p>
        </w:tc>
        <w:tc>
          <w:tcPr>
            <w:tcW w:w="1770"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77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0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0"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成本指标</w:t>
            </w:r>
          </w:p>
        </w:tc>
        <w:tc>
          <w:tcPr>
            <w:tcW w:w="1755"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开展业务培训和党性教育等</w:t>
            </w:r>
          </w:p>
        </w:tc>
        <w:tc>
          <w:tcPr>
            <w:tcW w:w="2160"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3万元</w:t>
            </w:r>
          </w:p>
        </w:tc>
        <w:tc>
          <w:tcPr>
            <w:tcW w:w="1770"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trPr>
        <w:tc>
          <w:tcPr>
            <w:tcW w:w="77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065" w:type="dxa"/>
            <w:tcBorders>
              <w:top w:val="nil"/>
              <w:left w:val="nil"/>
              <w:bottom w:val="nil"/>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效益</w:t>
            </w:r>
          </w:p>
        </w:tc>
        <w:tc>
          <w:tcPr>
            <w:tcW w:w="13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社会效益  指标</w:t>
            </w:r>
          </w:p>
        </w:tc>
        <w:tc>
          <w:tcPr>
            <w:tcW w:w="17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服务驻蓉流动党委员</w:t>
            </w:r>
          </w:p>
        </w:tc>
        <w:tc>
          <w:tcPr>
            <w:tcW w:w="2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保障驻蓉流动党员开展党建活动</w:t>
            </w:r>
          </w:p>
        </w:tc>
        <w:tc>
          <w:tcPr>
            <w:tcW w:w="1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保障了驻蓉流动党员开展党建活动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065" w:type="dxa"/>
            <w:tcBorders>
              <w:top w:val="nil"/>
              <w:left w:val="nil"/>
              <w:bottom w:val="nil"/>
              <w:right w:val="single" w:color="000000" w:sz="8" w:space="0"/>
            </w:tcBorders>
            <w:shd w:val="clear" w:color="auto" w:fill="auto"/>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指标</w:t>
            </w:r>
          </w:p>
        </w:tc>
        <w:tc>
          <w:tcPr>
            <w:tcW w:w="1350"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可持续影响指标</w:t>
            </w:r>
          </w:p>
        </w:tc>
        <w:tc>
          <w:tcPr>
            <w:tcW w:w="1755"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继续为驻蓉流动党员服务。</w:t>
            </w:r>
          </w:p>
        </w:tc>
        <w:tc>
          <w:tcPr>
            <w:tcW w:w="21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体现党的关怀。</w:t>
            </w:r>
          </w:p>
        </w:tc>
        <w:tc>
          <w:tcPr>
            <w:tcW w:w="177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体现党的关怀。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77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065" w:type="dxa"/>
            <w:tcBorders>
              <w:top w:val="single" w:color="000000" w:sz="8" w:space="0"/>
              <w:left w:val="single" w:color="000000" w:sz="8" w:space="0"/>
              <w:bottom w:val="nil"/>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满意</w:t>
            </w:r>
          </w:p>
        </w:tc>
        <w:tc>
          <w:tcPr>
            <w:tcW w:w="1350" w:type="dxa"/>
            <w:tcBorders>
              <w:top w:val="nil"/>
              <w:left w:val="nil"/>
              <w:bottom w:val="nil"/>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满意度</w:t>
            </w:r>
          </w:p>
        </w:tc>
        <w:tc>
          <w:tcPr>
            <w:tcW w:w="1755" w:type="dxa"/>
            <w:vMerge w:val="restart"/>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驻蓉流动党员满意度</w:t>
            </w:r>
          </w:p>
        </w:tc>
        <w:tc>
          <w:tcPr>
            <w:tcW w:w="216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≥95%</w:t>
            </w:r>
          </w:p>
        </w:tc>
        <w:tc>
          <w:tcPr>
            <w:tcW w:w="177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trPr>
        <w:tc>
          <w:tcPr>
            <w:tcW w:w="77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065"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度指标</w:t>
            </w:r>
          </w:p>
        </w:tc>
        <w:tc>
          <w:tcPr>
            <w:tcW w:w="1350" w:type="dxa"/>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指标</w:t>
            </w:r>
          </w:p>
        </w:tc>
        <w:tc>
          <w:tcPr>
            <w:tcW w:w="1755" w:type="dxa"/>
            <w:vMerge w:val="continue"/>
            <w:tcBorders>
              <w:top w:val="nil"/>
              <w:left w:val="nil"/>
              <w:bottom w:val="single" w:color="000000" w:sz="8" w:space="0"/>
              <w:right w:val="single" w:color="000000" w:sz="8" w:space="0"/>
            </w:tcBorders>
            <w:shd w:val="clear" w:color="auto" w:fill="auto"/>
            <w:vAlign w:val="bottom"/>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2160" w:type="dxa"/>
            <w:vMerge w:val="continue"/>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1770" w:type="dxa"/>
            <w:vMerge w:val="continue"/>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bookmarkEnd w:id="53"/>
    <w:bookmarkEnd w:id="54"/>
    <w:p>
      <w:pPr>
        <w:pStyle w:val="4"/>
        <w:jc w:val="center"/>
        <w:rPr>
          <w:rFonts w:hint="eastAsia" w:ascii="黑体" w:hAnsi="黑体" w:eastAsia="黑体" w:cs="黑体"/>
          <w:b/>
          <w:bCs w:val="0"/>
          <w:color w:val="000000"/>
          <w:sz w:val="44"/>
          <w:szCs w:val="44"/>
          <w:lang w:val="en-US" w:eastAsia="zh-CN"/>
        </w:rPr>
      </w:pPr>
      <w:bookmarkStart w:id="55" w:name="_Toc15396619"/>
      <w:r>
        <w:rPr>
          <w:rFonts w:hint="eastAsia" w:ascii="黑体" w:hAnsi="黑体" w:eastAsia="黑体" w:cs="黑体"/>
          <w:b/>
          <w:bCs w:val="0"/>
          <w:color w:val="000000"/>
          <w:sz w:val="44"/>
          <w:szCs w:val="44"/>
          <w:lang w:val="en-US" w:eastAsia="zh-CN"/>
        </w:rPr>
        <w:t>第五部分  附表</w:t>
      </w:r>
    </w:p>
    <w:p>
      <w:pPr>
        <w:pStyle w:val="4"/>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val="0"/>
          <w:bCs w:val="0"/>
          <w:color w:val="000000"/>
          <w:kern w:val="2"/>
          <w:sz w:val="32"/>
          <w:szCs w:val="32"/>
          <w:lang w:val="zh-CN" w:eastAsia="zh-CN" w:bidi="ar-SA"/>
        </w:rPr>
      </w:pPr>
      <w:r>
        <w:rPr>
          <w:rFonts w:hint="eastAsia" w:ascii="宋体" w:hAnsi="宋体" w:eastAsia="宋体" w:cs="Times New Roman"/>
          <w:b w:val="0"/>
          <w:bCs w:val="0"/>
          <w:color w:val="000000"/>
          <w:kern w:val="2"/>
          <w:sz w:val="32"/>
          <w:szCs w:val="32"/>
          <w:lang w:val="zh-CN" w:eastAsia="zh-CN" w:bidi="ar-SA"/>
        </w:rPr>
        <w:t>一、收入支出决算总表</w:t>
      </w:r>
      <w:bookmarkEnd w:id="55"/>
    </w:p>
    <w:p>
      <w:pPr>
        <w:pStyle w:val="4"/>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val="0"/>
          <w:bCs w:val="0"/>
          <w:color w:val="000000"/>
          <w:kern w:val="2"/>
          <w:sz w:val="32"/>
          <w:szCs w:val="32"/>
          <w:lang w:val="zh-CN" w:eastAsia="zh-CN" w:bidi="ar-SA"/>
        </w:rPr>
      </w:pPr>
      <w:bookmarkStart w:id="56" w:name="_Toc15396620"/>
      <w:r>
        <w:rPr>
          <w:rFonts w:hint="eastAsia" w:ascii="宋体" w:hAnsi="宋体" w:eastAsia="宋体" w:cs="Times New Roman"/>
          <w:b w:val="0"/>
          <w:bCs w:val="0"/>
          <w:color w:val="000000"/>
          <w:kern w:val="2"/>
          <w:sz w:val="32"/>
          <w:szCs w:val="32"/>
          <w:lang w:val="zh-CN" w:eastAsia="zh-CN" w:bidi="ar-SA"/>
        </w:rPr>
        <w:t>二、收入决算表</w:t>
      </w:r>
      <w:bookmarkEnd w:id="56"/>
    </w:p>
    <w:p>
      <w:pPr>
        <w:pStyle w:val="4"/>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val="0"/>
          <w:bCs w:val="0"/>
          <w:color w:val="000000"/>
          <w:kern w:val="2"/>
          <w:sz w:val="32"/>
          <w:szCs w:val="32"/>
          <w:lang w:val="zh-CN" w:eastAsia="zh-CN" w:bidi="ar-SA"/>
        </w:rPr>
      </w:pPr>
      <w:bookmarkStart w:id="57" w:name="_Toc15396621"/>
      <w:r>
        <w:rPr>
          <w:rFonts w:hint="eastAsia" w:ascii="宋体" w:hAnsi="宋体" w:eastAsia="宋体" w:cs="Times New Roman"/>
          <w:b w:val="0"/>
          <w:bCs w:val="0"/>
          <w:color w:val="000000"/>
          <w:kern w:val="2"/>
          <w:sz w:val="32"/>
          <w:szCs w:val="32"/>
          <w:lang w:val="zh-CN" w:eastAsia="zh-CN" w:bidi="ar-SA"/>
        </w:rPr>
        <w:t>三、支出决算表</w:t>
      </w:r>
      <w:bookmarkEnd w:id="57"/>
    </w:p>
    <w:p>
      <w:pPr>
        <w:pStyle w:val="4"/>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val="0"/>
          <w:bCs w:val="0"/>
          <w:color w:val="000000"/>
          <w:kern w:val="2"/>
          <w:sz w:val="32"/>
          <w:szCs w:val="32"/>
          <w:lang w:val="zh-CN" w:eastAsia="zh-CN" w:bidi="ar-SA"/>
        </w:rPr>
      </w:pPr>
      <w:bookmarkStart w:id="58" w:name="_Toc15396622"/>
      <w:r>
        <w:rPr>
          <w:rFonts w:hint="eastAsia" w:ascii="宋体" w:hAnsi="宋体" w:eastAsia="宋体" w:cs="Times New Roman"/>
          <w:b w:val="0"/>
          <w:bCs w:val="0"/>
          <w:color w:val="000000"/>
          <w:kern w:val="2"/>
          <w:sz w:val="32"/>
          <w:szCs w:val="32"/>
          <w:lang w:val="zh-CN" w:eastAsia="zh-CN" w:bidi="ar-SA"/>
        </w:rPr>
        <w:t>四、财政拨款收入支出决算总表</w:t>
      </w:r>
      <w:bookmarkEnd w:id="58"/>
    </w:p>
    <w:p>
      <w:pPr>
        <w:pStyle w:val="4"/>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val="0"/>
          <w:bCs w:val="0"/>
          <w:color w:val="000000"/>
          <w:kern w:val="2"/>
          <w:sz w:val="32"/>
          <w:szCs w:val="32"/>
          <w:lang w:val="zh-CN" w:eastAsia="zh-CN" w:bidi="ar-SA"/>
        </w:rPr>
      </w:pPr>
      <w:bookmarkStart w:id="59" w:name="_Toc15396623"/>
      <w:r>
        <w:rPr>
          <w:rFonts w:hint="eastAsia" w:ascii="宋体" w:hAnsi="宋体" w:eastAsia="宋体" w:cs="Times New Roman"/>
          <w:b w:val="0"/>
          <w:bCs w:val="0"/>
          <w:color w:val="000000"/>
          <w:kern w:val="2"/>
          <w:sz w:val="32"/>
          <w:szCs w:val="32"/>
          <w:lang w:val="zh-CN" w:eastAsia="zh-CN" w:bidi="ar-SA"/>
        </w:rPr>
        <w:t>五、财政拨款支出决算明细表</w:t>
      </w:r>
      <w:bookmarkEnd w:id="59"/>
      <w:bookmarkStart w:id="60" w:name="_Toc15396624"/>
    </w:p>
    <w:p>
      <w:pPr>
        <w:pStyle w:val="4"/>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val="0"/>
          <w:bCs w:val="0"/>
          <w:color w:val="000000"/>
          <w:kern w:val="2"/>
          <w:sz w:val="32"/>
          <w:szCs w:val="32"/>
          <w:lang w:val="zh-CN" w:eastAsia="zh-CN" w:bidi="ar-SA"/>
        </w:rPr>
      </w:pPr>
      <w:r>
        <w:rPr>
          <w:rFonts w:hint="eastAsia" w:ascii="宋体" w:hAnsi="宋体" w:eastAsia="宋体" w:cs="Times New Roman"/>
          <w:b w:val="0"/>
          <w:bCs w:val="0"/>
          <w:color w:val="000000"/>
          <w:kern w:val="2"/>
          <w:sz w:val="32"/>
          <w:szCs w:val="32"/>
          <w:lang w:val="zh-CN" w:eastAsia="zh-CN" w:bidi="ar-SA"/>
        </w:rPr>
        <w:t>六、一般公共预算财政拨款支出决算表</w:t>
      </w:r>
      <w:bookmarkEnd w:id="60"/>
    </w:p>
    <w:p>
      <w:pPr>
        <w:pStyle w:val="4"/>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val="0"/>
          <w:bCs w:val="0"/>
          <w:color w:val="000000"/>
          <w:kern w:val="2"/>
          <w:sz w:val="32"/>
          <w:szCs w:val="32"/>
          <w:lang w:val="zh-CN" w:eastAsia="zh-CN" w:bidi="ar-SA"/>
        </w:rPr>
      </w:pPr>
      <w:bookmarkStart w:id="61" w:name="_Toc15396625"/>
      <w:r>
        <w:rPr>
          <w:rFonts w:hint="eastAsia" w:ascii="宋体" w:hAnsi="宋体" w:eastAsia="宋体" w:cs="Times New Roman"/>
          <w:b w:val="0"/>
          <w:bCs w:val="0"/>
          <w:color w:val="000000"/>
          <w:kern w:val="2"/>
          <w:sz w:val="32"/>
          <w:szCs w:val="32"/>
          <w:lang w:val="zh-CN" w:eastAsia="zh-CN" w:bidi="ar-SA"/>
        </w:rPr>
        <w:t>七、一般公共预算财政拨款支出决算明细表</w:t>
      </w:r>
      <w:bookmarkEnd w:id="61"/>
    </w:p>
    <w:p>
      <w:pPr>
        <w:pStyle w:val="4"/>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val="0"/>
          <w:bCs w:val="0"/>
          <w:color w:val="000000"/>
          <w:kern w:val="2"/>
          <w:sz w:val="32"/>
          <w:szCs w:val="32"/>
          <w:lang w:val="zh-CN" w:eastAsia="zh-CN" w:bidi="ar-SA"/>
        </w:rPr>
      </w:pPr>
      <w:bookmarkStart w:id="62" w:name="_Toc15396626"/>
      <w:r>
        <w:rPr>
          <w:rFonts w:hint="eastAsia" w:ascii="宋体" w:hAnsi="宋体" w:eastAsia="宋体" w:cs="Times New Roman"/>
          <w:b w:val="0"/>
          <w:bCs w:val="0"/>
          <w:color w:val="000000"/>
          <w:kern w:val="2"/>
          <w:sz w:val="32"/>
          <w:szCs w:val="32"/>
          <w:lang w:val="zh-CN" w:eastAsia="zh-CN" w:bidi="ar-SA"/>
        </w:rPr>
        <w:t>八、一般公共预算财政拨款基本支出决算表</w:t>
      </w:r>
      <w:bookmarkEnd w:id="62"/>
    </w:p>
    <w:p>
      <w:pPr>
        <w:pStyle w:val="4"/>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val="0"/>
          <w:bCs w:val="0"/>
          <w:color w:val="000000"/>
          <w:kern w:val="2"/>
          <w:sz w:val="32"/>
          <w:szCs w:val="32"/>
          <w:lang w:val="zh-CN" w:eastAsia="zh-CN" w:bidi="ar-SA"/>
        </w:rPr>
      </w:pPr>
      <w:bookmarkStart w:id="63" w:name="_Toc15396627"/>
      <w:r>
        <w:rPr>
          <w:rFonts w:hint="eastAsia" w:ascii="宋体" w:hAnsi="宋体" w:eastAsia="宋体" w:cs="Times New Roman"/>
          <w:b w:val="0"/>
          <w:bCs w:val="0"/>
          <w:color w:val="000000"/>
          <w:kern w:val="2"/>
          <w:sz w:val="32"/>
          <w:szCs w:val="32"/>
          <w:lang w:val="zh-CN" w:eastAsia="zh-CN" w:bidi="ar-SA"/>
        </w:rPr>
        <w:t>九、一般公共预算财政拨款项目支出决算表</w:t>
      </w:r>
      <w:bookmarkEnd w:id="63"/>
    </w:p>
    <w:p>
      <w:pPr>
        <w:pStyle w:val="4"/>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val="0"/>
          <w:bCs w:val="0"/>
          <w:color w:val="000000"/>
          <w:kern w:val="2"/>
          <w:sz w:val="32"/>
          <w:szCs w:val="32"/>
          <w:lang w:val="zh-CN" w:eastAsia="zh-CN" w:bidi="ar-SA"/>
        </w:rPr>
      </w:pPr>
      <w:bookmarkStart w:id="64" w:name="_Toc15396628"/>
      <w:r>
        <w:rPr>
          <w:rFonts w:hint="eastAsia" w:ascii="宋体" w:hAnsi="宋体" w:eastAsia="宋体" w:cs="Times New Roman"/>
          <w:b w:val="0"/>
          <w:bCs w:val="0"/>
          <w:color w:val="000000"/>
          <w:kern w:val="2"/>
          <w:sz w:val="32"/>
          <w:szCs w:val="32"/>
          <w:lang w:val="zh-CN" w:eastAsia="zh-CN" w:bidi="ar-SA"/>
        </w:rPr>
        <w:t>十、一般公共预算财政拨款“三公”经费支出决算表</w:t>
      </w:r>
      <w:bookmarkEnd w:id="64"/>
    </w:p>
    <w:p>
      <w:pPr>
        <w:pStyle w:val="4"/>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val="0"/>
          <w:bCs w:val="0"/>
          <w:color w:val="000000"/>
          <w:kern w:val="2"/>
          <w:sz w:val="32"/>
          <w:szCs w:val="32"/>
          <w:lang w:val="zh-CN" w:eastAsia="zh-CN" w:bidi="ar-SA"/>
        </w:rPr>
      </w:pPr>
      <w:bookmarkStart w:id="65" w:name="_Toc15396629"/>
      <w:r>
        <w:rPr>
          <w:rFonts w:hint="eastAsia" w:ascii="宋体" w:hAnsi="宋体" w:eastAsia="宋体" w:cs="Times New Roman"/>
          <w:b w:val="0"/>
          <w:bCs w:val="0"/>
          <w:color w:val="000000"/>
          <w:kern w:val="2"/>
          <w:sz w:val="32"/>
          <w:szCs w:val="32"/>
          <w:lang w:val="zh-CN" w:eastAsia="zh-CN" w:bidi="ar-SA"/>
        </w:rPr>
        <w:t>十一、政府性基金预算财政拨款收入支出决算表</w:t>
      </w:r>
      <w:bookmarkEnd w:id="65"/>
    </w:p>
    <w:p>
      <w:pPr>
        <w:pStyle w:val="4"/>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val="0"/>
          <w:bCs w:val="0"/>
          <w:color w:val="000000"/>
          <w:kern w:val="2"/>
          <w:sz w:val="32"/>
          <w:szCs w:val="32"/>
          <w:lang w:val="zh-CN" w:eastAsia="zh-CN" w:bidi="ar-SA"/>
        </w:rPr>
      </w:pPr>
      <w:bookmarkStart w:id="66" w:name="_Toc15396630"/>
      <w:r>
        <w:rPr>
          <w:rFonts w:hint="eastAsia" w:ascii="宋体" w:hAnsi="宋体" w:eastAsia="宋体" w:cs="Times New Roman"/>
          <w:b w:val="0"/>
          <w:bCs w:val="0"/>
          <w:color w:val="000000"/>
          <w:kern w:val="2"/>
          <w:sz w:val="32"/>
          <w:szCs w:val="32"/>
          <w:lang w:val="zh-CN" w:eastAsia="zh-CN" w:bidi="ar-SA"/>
        </w:rPr>
        <w:t>十二、政府性基金预算财政拨款“三公”经费支出决算表</w:t>
      </w:r>
      <w:bookmarkEnd w:id="66"/>
    </w:p>
    <w:p>
      <w:pPr>
        <w:pStyle w:val="4"/>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val="0"/>
          <w:bCs w:val="0"/>
          <w:color w:val="000000"/>
          <w:kern w:val="2"/>
          <w:sz w:val="32"/>
          <w:szCs w:val="32"/>
          <w:lang w:val="en-US" w:eastAsia="zh-CN" w:bidi="ar-SA"/>
        </w:rPr>
      </w:pPr>
      <w:r>
        <w:rPr>
          <w:rFonts w:hint="eastAsia" w:ascii="宋体" w:hAnsi="宋体" w:eastAsia="宋体" w:cs="Times New Roman"/>
          <w:b w:val="0"/>
          <w:bCs w:val="0"/>
          <w:color w:val="000000"/>
          <w:kern w:val="2"/>
          <w:sz w:val="32"/>
          <w:szCs w:val="32"/>
          <w:lang w:val="zh-CN" w:eastAsia="zh-CN" w:bidi="ar-SA"/>
        </w:rPr>
        <w:t>十三、国有资本经营预算财政拨款收入支出决算表</w:t>
      </w:r>
      <w:r>
        <w:rPr>
          <w:rFonts w:hint="eastAsia" w:ascii="宋体" w:hAnsi="宋体" w:eastAsia="宋体" w:cs="Times New Roman"/>
          <w:b w:val="0"/>
          <w:bCs w:val="0"/>
          <w:color w:val="000000"/>
          <w:kern w:val="2"/>
          <w:sz w:val="32"/>
          <w:szCs w:val="32"/>
          <w:lang w:val="en-US" w:eastAsia="zh-CN" w:bidi="ar-SA"/>
        </w:rPr>
        <w:t xml:space="preserve">  </w:t>
      </w:r>
    </w:p>
    <w:p>
      <w:pPr>
        <w:pStyle w:val="4"/>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val="0"/>
          <w:bCs w:val="0"/>
          <w:color w:val="000000"/>
          <w:kern w:val="2"/>
          <w:sz w:val="32"/>
          <w:szCs w:val="32"/>
          <w:lang w:val="zh-CN" w:eastAsia="zh-CN" w:bidi="ar-SA"/>
        </w:rPr>
      </w:pPr>
      <w:r>
        <w:rPr>
          <w:rFonts w:hint="eastAsia" w:ascii="宋体" w:hAnsi="宋体" w:eastAsia="宋体" w:cs="Times New Roman"/>
          <w:b w:val="0"/>
          <w:bCs w:val="0"/>
          <w:color w:val="000000"/>
          <w:kern w:val="2"/>
          <w:sz w:val="32"/>
          <w:szCs w:val="32"/>
          <w:lang w:val="zh-CN" w:eastAsia="zh-CN" w:bidi="ar-SA"/>
        </w:rPr>
        <w:t>十四、国有资本经营预算财政拨款支出决算表</w:t>
      </w:r>
      <w:r>
        <w:rPr>
          <w:rFonts w:hint="eastAsia" w:ascii="宋体" w:hAnsi="宋体" w:eastAsia="宋体" w:cs="Times New Roman"/>
          <w:b w:val="0"/>
          <w:bCs w:val="0"/>
          <w:color w:val="000000"/>
          <w:kern w:val="2"/>
          <w:sz w:val="32"/>
          <w:szCs w:val="32"/>
          <w:lang w:val="en-US" w:eastAsia="zh-CN" w:bidi="ar-SA"/>
        </w:rPr>
        <w:t xml:space="preserve"> </w:t>
      </w:r>
    </w:p>
    <w:p>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b w:val="0"/>
          <w:bCs w:val="0"/>
          <w:color w:val="000000"/>
          <w:kern w:val="2"/>
          <w:sz w:val="32"/>
          <w:szCs w:val="32"/>
          <w:lang w:val="zh-CN" w:eastAsia="zh-CN" w:bidi="ar-SA"/>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Georgia"/>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Calibri Light">
    <w:altName w:val="Arial"/>
    <w:panose1 w:val="020F0302020204030204"/>
    <w:charset w:val="00"/>
    <w:family w:val="auto"/>
    <w:pitch w:val="default"/>
    <w:sig w:usb0="00000000" w:usb1="00000000"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2</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71A6B"/>
    <w:multiLevelType w:val="singleLevel"/>
    <w:tmpl w:val="84E71A6B"/>
    <w:lvl w:ilvl="0" w:tentative="0">
      <w:start w:val="2"/>
      <w:numFmt w:val="chineseCounting"/>
      <w:suff w:val="nothing"/>
      <w:lvlText w:val="%1、"/>
      <w:lvlJc w:val="left"/>
      <w:rPr>
        <w:rFonts w:hint="eastAsia"/>
      </w:rPr>
    </w:lvl>
  </w:abstractNum>
  <w:abstractNum w:abstractNumId="1">
    <w:nsid w:val="B3CBD417"/>
    <w:multiLevelType w:val="singleLevel"/>
    <w:tmpl w:val="B3CBD417"/>
    <w:lvl w:ilvl="0" w:tentative="0">
      <w:start w:val="1"/>
      <w:numFmt w:val="decimal"/>
      <w:suff w:val="nothing"/>
      <w:lvlText w:val="%1、"/>
      <w:lvlJc w:val="left"/>
    </w:lvl>
  </w:abstractNum>
  <w:abstractNum w:abstractNumId="2">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3">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5">
    <w:nsid w:val="2E047E12"/>
    <w:multiLevelType w:val="singleLevel"/>
    <w:tmpl w:val="2E047E12"/>
    <w:lvl w:ilvl="0" w:tentative="0">
      <w:start w:val="2"/>
      <w:numFmt w:val="decimal"/>
      <w:suff w:val="nothing"/>
      <w:lvlText w:val="%1、"/>
      <w:lvlJc w:val="left"/>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yZjFmYzEyY2VkZTg0YjdmZGUxMjhmYWE5ZjJhY2MifQ=="/>
  </w:docVars>
  <w:rsids>
    <w:rsidRoot w:val="5EE627D4"/>
    <w:rsid w:val="04267B46"/>
    <w:rsid w:val="061545D1"/>
    <w:rsid w:val="07476CDC"/>
    <w:rsid w:val="077313BD"/>
    <w:rsid w:val="07B13E70"/>
    <w:rsid w:val="07C9029B"/>
    <w:rsid w:val="0E4A1545"/>
    <w:rsid w:val="0E4D2436"/>
    <w:rsid w:val="10BC265B"/>
    <w:rsid w:val="10E70644"/>
    <w:rsid w:val="13804702"/>
    <w:rsid w:val="161A7F73"/>
    <w:rsid w:val="170A4F6C"/>
    <w:rsid w:val="175702CE"/>
    <w:rsid w:val="18B828C6"/>
    <w:rsid w:val="1BD63852"/>
    <w:rsid w:val="1BFF19A7"/>
    <w:rsid w:val="1C7F1623"/>
    <w:rsid w:val="1F796FEE"/>
    <w:rsid w:val="1F9F10DF"/>
    <w:rsid w:val="21893FA9"/>
    <w:rsid w:val="22703F46"/>
    <w:rsid w:val="252A35D9"/>
    <w:rsid w:val="253E4BFC"/>
    <w:rsid w:val="258E0D3D"/>
    <w:rsid w:val="262D097E"/>
    <w:rsid w:val="285F4B0C"/>
    <w:rsid w:val="29212E13"/>
    <w:rsid w:val="2AD61920"/>
    <w:rsid w:val="2C4E4207"/>
    <w:rsid w:val="2D12070E"/>
    <w:rsid w:val="2E387423"/>
    <w:rsid w:val="2EA53CC6"/>
    <w:rsid w:val="2EC102CF"/>
    <w:rsid w:val="32D65278"/>
    <w:rsid w:val="32DA0AA1"/>
    <w:rsid w:val="3A4C17B3"/>
    <w:rsid w:val="3BB04BE2"/>
    <w:rsid w:val="3E7A5DA4"/>
    <w:rsid w:val="3F9C47B8"/>
    <w:rsid w:val="3FBD144E"/>
    <w:rsid w:val="426C634B"/>
    <w:rsid w:val="4400665C"/>
    <w:rsid w:val="459B0CCF"/>
    <w:rsid w:val="45F034C9"/>
    <w:rsid w:val="46B63245"/>
    <w:rsid w:val="47726929"/>
    <w:rsid w:val="48066437"/>
    <w:rsid w:val="49931739"/>
    <w:rsid w:val="4AED616E"/>
    <w:rsid w:val="4FED2EE1"/>
    <w:rsid w:val="511D4679"/>
    <w:rsid w:val="53A15266"/>
    <w:rsid w:val="551B39E5"/>
    <w:rsid w:val="552D196B"/>
    <w:rsid w:val="558F4E82"/>
    <w:rsid w:val="570D3802"/>
    <w:rsid w:val="571921A6"/>
    <w:rsid w:val="585223AC"/>
    <w:rsid w:val="586F37F1"/>
    <w:rsid w:val="596F0AFA"/>
    <w:rsid w:val="59CB2E85"/>
    <w:rsid w:val="5B8A3BFB"/>
    <w:rsid w:val="5C311D40"/>
    <w:rsid w:val="5EE627D4"/>
    <w:rsid w:val="60372210"/>
    <w:rsid w:val="62B57374"/>
    <w:rsid w:val="642C0893"/>
    <w:rsid w:val="65EA2EBA"/>
    <w:rsid w:val="66BF9634"/>
    <w:rsid w:val="66EA6A7F"/>
    <w:rsid w:val="67D962A7"/>
    <w:rsid w:val="67D96F7A"/>
    <w:rsid w:val="6F37261F"/>
    <w:rsid w:val="6F541B76"/>
    <w:rsid w:val="6F822CFC"/>
    <w:rsid w:val="722F2426"/>
    <w:rsid w:val="74A340D4"/>
    <w:rsid w:val="7BE435DA"/>
    <w:rsid w:val="7EBF0FAE"/>
    <w:rsid w:val="7ECD7FF4"/>
    <w:rsid w:val="7F2F6F10"/>
    <w:rsid w:val="E5E5238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Arial"/>
      <w:kern w:val="2"/>
      <w:sz w:val="21"/>
      <w:szCs w:val="24"/>
      <w:lang w:val="en-US" w:eastAsia="zh-CN" w:bidi="ar-SA"/>
    </w:rPr>
  </w:style>
  <w:style w:type="paragraph" w:styleId="3">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9"/>
    <w:qFormat/>
    <w:uiPriority w:val="9"/>
    <w:pPr>
      <w:keepNext/>
      <w:keepLines/>
      <w:spacing w:before="260" w:after="260" w:line="416" w:lineRule="auto"/>
      <w:outlineLvl w:val="1"/>
    </w:pPr>
    <w:rPr>
      <w:rFonts w:ascii="Cambria" w:hAnsi="Cambria"/>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beforeLines="30"/>
    </w:pPr>
    <w:rPr>
      <w:rFonts w:ascii="仿宋_GB2312" w:eastAsia="仿宋_GB2312"/>
      <w:kern w:val="0"/>
      <w:sz w:val="24"/>
      <w:szCs w:val="20"/>
    </w:rPr>
  </w:style>
  <w:style w:type="paragraph" w:styleId="5">
    <w:name w:val="Normal Indent"/>
    <w:basedOn w:val="1"/>
    <w:qFormat/>
    <w:uiPriority w:val="99"/>
    <w:pPr>
      <w:ind w:firstLine="420"/>
    </w:pPr>
  </w:style>
  <w:style w:type="paragraph" w:styleId="6">
    <w:name w:val="Salutation"/>
    <w:basedOn w:val="1"/>
    <w:next w:val="1"/>
    <w:qFormat/>
    <w:uiPriority w:val="0"/>
  </w:style>
  <w:style w:type="paragraph" w:styleId="7">
    <w:name w:val="footer"/>
    <w:basedOn w:val="1"/>
    <w:qFormat/>
    <w:uiPriority w:val="99"/>
    <w:pPr>
      <w:tabs>
        <w:tab w:val="center" w:pos="4153"/>
        <w:tab w:val="right" w:pos="8306"/>
      </w:tabs>
      <w:snapToGrid w:val="0"/>
      <w:jc w:val="left"/>
    </w:pPr>
    <w:rPr>
      <w:rFonts w:ascii="Calibri" w:hAnsi="Calibri"/>
      <w:kern w:val="0"/>
      <w:sz w:val="18"/>
      <w:szCs w:val="20"/>
    </w:rPr>
  </w:style>
  <w:style w:type="paragraph" w:styleId="8">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9">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0">
    <w:name w:val="table of figures"/>
    <w:basedOn w:val="1"/>
    <w:next w:val="1"/>
    <w:semiHidden/>
    <w:qFormat/>
    <w:uiPriority w:val="0"/>
    <w:pPr>
      <w:ind w:leftChars="200" w:hanging="200" w:hangingChars="200"/>
    </w:pPr>
  </w:style>
  <w:style w:type="character" w:styleId="13">
    <w:name w:val="Strong"/>
    <w:basedOn w:val="12"/>
    <w:qFormat/>
    <w:uiPriority w:val="99"/>
    <w:rPr>
      <w:rFonts w:cs="Times New Roman"/>
      <w:b/>
    </w:rPr>
  </w:style>
  <w:style w:type="character" w:customStyle="1" w:styleId="14">
    <w:name w:val="标题 1 字符"/>
    <w:link w:val="3"/>
    <w:qFormat/>
    <w:locked/>
    <w:uiPriority w:val="9"/>
    <w:rPr>
      <w:b/>
      <w:bCs/>
      <w:kern w:val="44"/>
      <w:sz w:val="44"/>
      <w:szCs w:val="44"/>
    </w:rPr>
  </w:style>
  <w:style w:type="character" w:customStyle="1" w:styleId="15">
    <w:name w:val="标题 2 字符"/>
    <w:link w:val="4"/>
    <w:qFormat/>
    <w:locked/>
    <w:uiPriority w:val="9"/>
    <w:rPr>
      <w:rFonts w:ascii="Cambria" w:hAnsi="Cambria"/>
      <w:b/>
      <w:bCs/>
      <w:sz w:val="32"/>
      <w:szCs w:val="32"/>
    </w:rPr>
  </w:style>
  <w:style w:type="paragraph" w:customStyle="1" w:styleId="16">
    <w:name w:val="List Paragraph"/>
    <w:basedOn w:val="1"/>
    <w:qFormat/>
    <w:uiPriority w:val="34"/>
    <w:pPr>
      <w:ind w:firstLine="420" w:firstLineChars="200"/>
    </w:pPr>
  </w:style>
  <w:style w:type="paragraph" w:customStyle="1" w:styleId="1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8">
    <w:name w:val="列出段落1"/>
    <w:basedOn w:val="1"/>
    <w:qFormat/>
    <w:uiPriority w:val="34"/>
    <w:pPr>
      <w:ind w:firstLine="420" w:firstLineChars="200"/>
    </w:pPr>
  </w:style>
  <w:style w:type="character" w:customStyle="1" w:styleId="19">
    <w:name w:val="标题 2 Char"/>
    <w:basedOn w:val="12"/>
    <w:link w:val="4"/>
    <w:qFormat/>
    <w:uiPriority w:val="9"/>
    <w:rPr>
      <w:rFonts w:asciiTheme="majorHAnsi" w:hAnsiTheme="majorHAnsi" w:eastAsiaTheme="majorEastAsia" w:cstheme="majorBidi"/>
      <w:b/>
      <w:bCs/>
      <w:kern w:val="2"/>
      <w:sz w:val="32"/>
      <w:szCs w:val="32"/>
    </w:rPr>
  </w:style>
  <w:style w:type="character" w:customStyle="1" w:styleId="20">
    <w:name w:val="font21"/>
    <w:basedOn w:val="12"/>
    <w:qFormat/>
    <w:uiPriority w:val="0"/>
    <w:rPr>
      <w:rFonts w:hint="eastAsia" w:ascii="宋体" w:hAnsi="宋体" w:eastAsia="宋体" w:cs="宋体"/>
      <w:color w:val="000000"/>
      <w:sz w:val="24"/>
      <w:szCs w:val="24"/>
      <w:u w:val="none"/>
    </w:rPr>
  </w:style>
  <w:style w:type="character" w:customStyle="1" w:styleId="21">
    <w:name w:val="font31"/>
    <w:basedOn w:val="12"/>
    <w:qFormat/>
    <w:uiPriority w:val="0"/>
    <w:rPr>
      <w:rFonts w:hint="default" w:ascii="仿宋_GB2312" w:eastAsia="仿宋_GB2312" w:cs="仿宋_GB2312"/>
      <w:color w:val="000000"/>
      <w:sz w:val="28"/>
      <w:szCs w:val="28"/>
      <w:u w:val="none"/>
    </w:rPr>
  </w:style>
  <w:style w:type="character" w:customStyle="1" w:styleId="22">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4191;&#20803;&#24066;&#26412;&#32423;&#36164;&#20135;&#26376;&#25253;&#29992;&#25143;&#21517;%20(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收入支出决算总计变动情况</a:t>
            </a:r>
          </a:p>
        </c:rich>
      </c:tx>
      <c:layout/>
      <c:overlay val="false"/>
      <c:spPr>
        <a:noFill/>
        <a:ln>
          <a:noFill/>
        </a:ln>
        <a:effectLst/>
      </c:spPr>
    </c:title>
    <c:autoTitleDeleted val="false"/>
    <c:plotArea>
      <c:layout>
        <c:manualLayout>
          <c:layoutTarget val="inner"/>
          <c:xMode val="edge"/>
          <c:yMode val="edge"/>
          <c:x val="0.150638888888889"/>
          <c:y val="0.192592592592593"/>
          <c:w val="0.845194444444444"/>
          <c:h val="0.71212962962963"/>
        </c:manualLayout>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[工作簿1]Sheet1!$A$2:$A$3</c:f>
              <c:strCache>
                <c:ptCount val="2"/>
                <c:pt idx="0">
                  <c:v>2020年</c:v>
                </c:pt>
                <c:pt idx="1">
                  <c:v>2021年</c:v>
                </c:pt>
              </c:strCache>
            </c:strRef>
          </c:cat>
          <c:val>
            <c:numRef>
              <c:f>[工作簿1]Sheet1!$B$2:$B$3</c:f>
              <c:numCache>
                <c:formatCode>General</c:formatCode>
                <c:ptCount val="2"/>
                <c:pt idx="0">
                  <c:v>649.59</c:v>
                </c:pt>
                <c:pt idx="1">
                  <c:v>707.67</c:v>
                </c:pt>
              </c:numCache>
            </c:numRef>
          </c:val>
        </c:ser>
        <c:dLbls>
          <c:showLegendKey val="false"/>
          <c:showVal val="true"/>
          <c:showCatName val="false"/>
          <c:showSerName val="false"/>
          <c:showPercent val="false"/>
          <c:showBubbleSize val="false"/>
        </c:dLbls>
        <c:gapWidth val="219"/>
        <c:overlap val="-27"/>
        <c:axId val="641080415"/>
        <c:axId val="878661360"/>
      </c:barChart>
      <c:catAx>
        <c:axId val="641080415"/>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78661360"/>
        <c:crosses val="autoZero"/>
        <c:auto val="true"/>
        <c:lblAlgn val="ctr"/>
        <c:lblOffset val="100"/>
        <c:noMultiLvlLbl val="false"/>
      </c:catAx>
      <c:valAx>
        <c:axId val="878661360"/>
        <c:scaling>
          <c:orientation val="minMax"/>
          <c:min val="0"/>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41080415"/>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[工作簿1]Sheet1!$A$2:$A$3</c:f>
              <c:strCache>
                <c:ptCount val="2"/>
                <c:pt idx="0">
                  <c:v>一般公共预算财政拨款收入</c:v>
                </c:pt>
                <c:pt idx="1">
                  <c:v>其他收入</c:v>
                </c:pt>
              </c:strCache>
            </c:strRef>
          </c:cat>
          <c:val>
            <c:numRef>
              <c:f>[工作簿1]Sheet1!$B$2:$B$3</c:f>
              <c:numCache>
                <c:formatCode>0.00%</c:formatCode>
                <c:ptCount val="2"/>
                <c:pt idx="0">
                  <c:v>0.9999</c:v>
                </c:pt>
                <c:pt idx="1">
                  <c:v>0.0001</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[工作簿1]Sheet1!$A$2:$A$3</c:f>
              <c:strCache>
                <c:ptCount val="2"/>
                <c:pt idx="0">
                  <c:v>基本支出</c:v>
                </c:pt>
                <c:pt idx="1">
                  <c:v>项目支出</c:v>
                </c:pt>
              </c:strCache>
            </c:strRef>
          </c:cat>
          <c:val>
            <c:numRef>
              <c:f>[工作簿1]Sheet1!$B$2:$B$3</c:f>
              <c:numCache>
                <c:formatCode>0.00%</c:formatCode>
                <c:ptCount val="2"/>
                <c:pt idx="0">
                  <c:v>0.6122</c:v>
                </c:pt>
                <c:pt idx="1">
                  <c:v>0.3878</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财政拨款支出决算总计变动情况</a:t>
            </a:r>
          </a:p>
        </c:rich>
      </c:tx>
      <c:layout/>
      <c:overlay val="false"/>
      <c:spPr>
        <a:noFill/>
        <a:ln>
          <a:noFill/>
        </a:ln>
        <a:effectLst/>
      </c:spPr>
    </c:title>
    <c:autoTitleDeleted val="false"/>
    <c:plotArea>
      <c:layout>
        <c:manualLayout>
          <c:layoutTarget val="inner"/>
          <c:xMode val="edge"/>
          <c:yMode val="edge"/>
          <c:x val="0.150638888888889"/>
          <c:y val="0.192592592592593"/>
          <c:w val="0.845194444444444"/>
          <c:h val="0.71212962962963"/>
        </c:manualLayout>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[工作簿1]Sheet1!$A$2:$A$3</c:f>
              <c:strCache>
                <c:ptCount val="2"/>
                <c:pt idx="0">
                  <c:v>2020年</c:v>
                </c:pt>
                <c:pt idx="1">
                  <c:v>2021年</c:v>
                </c:pt>
              </c:strCache>
            </c:strRef>
          </c:cat>
          <c:val>
            <c:numRef>
              <c:f>[工作簿1]Sheet1!$B$2:$B$3</c:f>
              <c:numCache>
                <c:formatCode>General</c:formatCode>
                <c:ptCount val="2"/>
                <c:pt idx="0">
                  <c:v>648.54</c:v>
                </c:pt>
                <c:pt idx="1">
                  <c:v>707.63</c:v>
                </c:pt>
              </c:numCache>
            </c:numRef>
          </c:val>
        </c:ser>
        <c:dLbls>
          <c:showLegendKey val="false"/>
          <c:showVal val="true"/>
          <c:showCatName val="false"/>
          <c:showSerName val="false"/>
          <c:showPercent val="false"/>
          <c:showBubbleSize val="false"/>
        </c:dLbls>
        <c:gapWidth val="219"/>
        <c:overlap val="-27"/>
        <c:axId val="641080415"/>
        <c:axId val="878661360"/>
      </c:barChart>
      <c:catAx>
        <c:axId val="641080415"/>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78661360"/>
        <c:crosses val="autoZero"/>
        <c:auto val="true"/>
        <c:lblAlgn val="ctr"/>
        <c:lblOffset val="100"/>
        <c:noMultiLvlLbl val="false"/>
      </c:catAx>
      <c:valAx>
        <c:axId val="878661360"/>
        <c:scaling>
          <c:orientation val="minMax"/>
          <c:min val="0"/>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41080415"/>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一般公共财政拨款支出决算变动情况</a:t>
            </a:r>
          </a:p>
        </c:rich>
      </c:tx>
      <c:layout>
        <c:manualLayout>
          <c:xMode val="edge"/>
          <c:yMode val="edge"/>
          <c:x val="0.22"/>
          <c:y val="0.03125"/>
        </c:manualLayout>
      </c:layout>
      <c:overlay val="false"/>
      <c:spPr>
        <a:noFill/>
        <a:ln>
          <a:noFill/>
        </a:ln>
        <a:effectLst/>
      </c:spPr>
    </c:title>
    <c:autoTitleDeleted val="false"/>
    <c:plotArea>
      <c:layout>
        <c:manualLayout>
          <c:layoutTarget val="inner"/>
          <c:xMode val="edge"/>
          <c:yMode val="edge"/>
          <c:x val="0.150638888888889"/>
          <c:y val="0.192592592592593"/>
          <c:w val="0.845194444444444"/>
          <c:h val="0.71212962962963"/>
        </c:manualLayout>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[工作簿1]Sheet1!$A$2:$A$3</c:f>
              <c:strCache>
                <c:ptCount val="2"/>
                <c:pt idx="0">
                  <c:v>2020年</c:v>
                </c:pt>
                <c:pt idx="1">
                  <c:v>2021年</c:v>
                </c:pt>
              </c:strCache>
            </c:strRef>
          </c:cat>
          <c:val>
            <c:numRef>
              <c:f>[工作簿1]Sheet1!$B$2:$B$3</c:f>
              <c:numCache>
                <c:formatCode>General</c:formatCode>
                <c:ptCount val="2"/>
                <c:pt idx="0">
                  <c:v>648.54</c:v>
                </c:pt>
                <c:pt idx="1">
                  <c:v>707.63</c:v>
                </c:pt>
              </c:numCache>
            </c:numRef>
          </c:val>
        </c:ser>
        <c:dLbls>
          <c:showLegendKey val="false"/>
          <c:showVal val="true"/>
          <c:showCatName val="false"/>
          <c:showSerName val="false"/>
          <c:showPercent val="false"/>
          <c:showBubbleSize val="false"/>
        </c:dLbls>
        <c:gapWidth val="219"/>
        <c:overlap val="-27"/>
        <c:axId val="641080415"/>
        <c:axId val="878661360"/>
      </c:barChart>
      <c:catAx>
        <c:axId val="641080415"/>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78661360"/>
        <c:crosses val="autoZero"/>
        <c:auto val="true"/>
        <c:lblAlgn val="ctr"/>
        <c:lblOffset val="100"/>
        <c:noMultiLvlLbl val="false"/>
      </c:catAx>
      <c:valAx>
        <c:axId val="878661360"/>
        <c:scaling>
          <c:orientation val="minMax"/>
          <c:min val="0"/>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41080415"/>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dLbl>
              <c:idx val="1"/>
              <c:layout>
                <c:manualLayout>
                  <c:x val="0.00690056559939097"/>
                  <c:y val="0.035688044412171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147382789154508"/>
                  <c:y val="0.025628146335280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020034501798895"/>
                  <c:y val="0.0083965065537284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[工作簿1]Sheet1!$A$2:$A$5</c:f>
              <c:strCache>
                <c:ptCount val="4"/>
                <c:pt idx="0">
                  <c:v>一般公共服务支出</c:v>
                </c:pt>
                <c:pt idx="1">
                  <c:v>社会保障和就业支出</c:v>
                </c:pt>
                <c:pt idx="2">
                  <c:v>卫生健康支出</c:v>
                </c:pt>
                <c:pt idx="3">
                  <c:v>住房保障支出</c:v>
                </c:pt>
              </c:strCache>
            </c:strRef>
          </c:cat>
          <c:val>
            <c:numRef>
              <c:f>[工作簿1]Sheet1!$B$2:$B$5</c:f>
              <c:numCache>
                <c:formatCode>0.00%</c:formatCode>
                <c:ptCount val="4"/>
                <c:pt idx="0">
                  <c:v>0.8629</c:v>
                </c:pt>
                <c:pt idx="1">
                  <c:v>0.0689</c:v>
                </c:pt>
                <c:pt idx="2">
                  <c:v>0.0255</c:v>
                </c:pt>
                <c:pt idx="3">
                  <c:v>0.0427</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en-US"/>
              <a:t>三公</a:t>
            </a:r>
            <a:r>
              <a:rPr lang="en-US" altLang="zh-CN"/>
              <a:t>”</a:t>
            </a:r>
            <a:r>
              <a:rPr altLang="en-US"/>
              <a:t>经费财政拨款支出结构图</a:t>
            </a:r>
            <a:endParaRPr altLang="en-US"/>
          </a:p>
        </c:rich>
      </c:tx>
      <c:layout>
        <c:manualLayout>
          <c:xMode val="edge"/>
          <c:yMode val="edge"/>
          <c:x val="0.258194444444444"/>
          <c:y val="0.0138888888888889"/>
        </c:manualLayout>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'[广元市本级资产月报用户名 (1).xls]Sheet1'!$A$1:$A$3</c:f>
              <c:strCache>
                <c:ptCount val="3"/>
                <c:pt idx="0">
                  <c:v>因公出国（境）经费支出</c:v>
                </c:pt>
                <c:pt idx="1">
                  <c:v>公务用车购置及运行维护费支出</c:v>
                </c:pt>
                <c:pt idx="2">
                  <c:v>公务接待费支出</c:v>
                </c:pt>
              </c:strCache>
            </c:strRef>
          </c:cat>
          <c:val>
            <c:numRef>
              <c:f>'[广元市本级资产月报用户名 (1).xls]Sheet1'!$B$1:$B$3</c:f>
              <c:numCache>
                <c:formatCode>0%</c:formatCode>
                <c:ptCount val="3"/>
                <c:pt idx="0">
                  <c:v>0</c:v>
                </c:pt>
                <c:pt idx="1">
                  <c:v>1</c:v>
                </c:pt>
                <c:pt idx="2">
                  <c:v>0</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39</Pages>
  <Words>13930</Words>
  <Characters>14826</Characters>
  <Lines>0</Lines>
  <Paragraphs>0</Paragraphs>
  <TotalTime>428</TotalTime>
  <ScaleCrop>false</ScaleCrop>
  <LinksUpToDate>false</LinksUpToDate>
  <CharactersWithSpaces>14977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2022-09-22T06:51:00Z</dcterms:created>
  <dc:creator>Administrator</dc:creator>
  <cp:lastModifiedBy> </cp:lastModifiedBy>
  <cp:lastPrinted>2022-09-28T18:10:00Z</cp:lastPrinted>
  <dcterms:modified xsi:type="dcterms:W3CDTF">2023-09-12T18:23:29Z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0B4E7873A0A94033AC896515F48507E1</vt:lpwstr>
  </property>
</Properties>
</file>