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50" w:lineRule="atLeast"/>
        <w:jc w:val="center"/>
        <w:rPr>
          <w:rFonts w:ascii="微软雅黑" w:hAnsi="微软雅黑" w:eastAsia="微软雅黑" w:cs="宋体"/>
          <w:b/>
          <w:bCs/>
          <w:color w:val="0066B1"/>
          <w:kern w:val="0"/>
          <w:sz w:val="33"/>
          <w:szCs w:val="33"/>
        </w:rPr>
      </w:pPr>
      <w:r>
        <w:rPr>
          <w:rFonts w:hint="eastAsia" w:ascii="微软雅黑" w:hAnsi="微软雅黑" w:eastAsia="微软雅黑" w:cs="宋体"/>
          <w:b/>
          <w:bCs/>
          <w:color w:val="0066B1"/>
          <w:kern w:val="0"/>
          <w:sz w:val="33"/>
          <w:szCs w:val="33"/>
        </w:rPr>
        <w:t xml:space="preserve">中共广元市委目标绩效管理办公室 </w:t>
      </w:r>
    </w:p>
    <w:p>
      <w:pPr>
        <w:widowControl/>
        <w:shd w:val="clear" w:color="auto" w:fill="FFFFFF"/>
        <w:spacing w:line="450" w:lineRule="atLeast"/>
        <w:jc w:val="center"/>
        <w:rPr>
          <w:rFonts w:ascii="微软雅黑" w:hAnsi="微软雅黑" w:eastAsia="微软雅黑" w:cs="宋体"/>
          <w:b/>
          <w:bCs/>
          <w:color w:val="0066B1"/>
          <w:kern w:val="0"/>
          <w:sz w:val="33"/>
          <w:szCs w:val="33"/>
        </w:rPr>
      </w:pPr>
      <w:r>
        <w:rPr>
          <w:rFonts w:hint="eastAsia" w:ascii="微软雅黑" w:hAnsi="微软雅黑" w:eastAsia="微软雅黑" w:cs="宋体"/>
          <w:b/>
          <w:bCs/>
          <w:color w:val="0066B1"/>
          <w:kern w:val="0"/>
          <w:sz w:val="33"/>
          <w:szCs w:val="33"/>
        </w:rPr>
        <w:t>2022年部门预算编制说明</w:t>
      </w:r>
    </w:p>
    <w:p>
      <w:pPr>
        <w:widowControl/>
        <w:shd w:val="clear" w:color="auto" w:fill="FFFFFF"/>
        <w:spacing w:line="480" w:lineRule="auto"/>
        <w:jc w:val="left"/>
        <w:rPr>
          <w:rFonts w:hint="eastAsia" w:ascii="Calibri" w:hAnsi="Calibri" w:eastAsia="宋体" w:cs="Calibri"/>
          <w:color w:val="000000"/>
          <w:kern w:val="0"/>
          <w:szCs w:val="21"/>
        </w:rPr>
      </w:pPr>
      <w:r>
        <w:rPr>
          <w:rFonts w:hint="eastAsia" w:ascii="新宋体" w:hAnsi="新宋体" w:eastAsia="新宋体" w:cs="Calibri"/>
          <w:b/>
          <w:bCs/>
          <w:color w:val="333333"/>
          <w:kern w:val="0"/>
          <w:sz w:val="30"/>
          <w:szCs w:val="30"/>
          <w:shd w:val="clear" w:color="auto" w:fill="FFFFFF"/>
        </w:rPr>
        <w:t>目   录</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一、基本职能及主要工作</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（一）单位职能简介</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（二）单位2022年重点工作</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二、部门预算单位构成</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三、收支预算情况说明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（一）收入预算情况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（二）支出预算情况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四、财政拨款收支预算情况说明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五、一般公共预算当年拨款情况说明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（一）一般公共预算当年拨款规模变化情况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（二）一般公共预算当年拨款结构情况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（三）一般公共预算当年拨款具体使用情况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六、一般公共预算基本支出情况说明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七、“三公”经费财政拨款预算安排情况说明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（一）公务接待费与2021年预算相比。</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（二）公务用车购置及运行维护费与2021年预算相比。</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（三）因公出国（境）经费与2021年预算相比。</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八、政府性基金预算支出情况说明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九、国有资本经营预算支出情况说明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十、其他重要事项的情况说明</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（一）机关运行经费</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（二）政府采购情况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（三）国有资产占有使用情况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（四）绩效目标设置情况</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     十一、名词解释</w:t>
      </w:r>
    </w:p>
    <w:p>
      <w:pPr>
        <w:widowControl/>
        <w:shd w:val="clear" w:color="auto" w:fill="FFFFFF"/>
        <w:spacing w:line="480" w:lineRule="auto"/>
        <w:rPr>
          <w:rFonts w:ascii="Calibri" w:hAnsi="Calibri" w:eastAsia="宋体" w:cs="Calibri"/>
          <w:color w:val="000000"/>
          <w:kern w:val="0"/>
          <w:szCs w:val="21"/>
        </w:rPr>
      </w:pPr>
      <w:r>
        <w:rPr>
          <w:rFonts w:ascii="Calibri" w:hAnsi="Calibri" w:eastAsia="宋体" w:cs="Calibri"/>
          <w:color w:val="000000"/>
          <w:kern w:val="0"/>
          <w:sz w:val="27"/>
          <w:szCs w:val="27"/>
        </w:rPr>
        <w:t>一、基本职能及主要工作</w:t>
      </w:r>
    </w:p>
    <w:p>
      <w:pPr>
        <w:widowControl/>
        <w:shd w:val="clear" w:color="auto" w:fill="FFFFFF"/>
        <w:spacing w:line="480" w:lineRule="auto"/>
        <w:ind w:firstLine="480"/>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目标绩效办职能简介。广元市委目标绩效管理办公室负责市委、市政府重大决策、重要工作部署落实情况督促检查，承担市委、市政府领导批示交办事项专项督查或督查调研，统筹规范管理市本级督查检查考核事项；负责省委、省政府下达的绩效目标任务的运行管理；负责县区和市级部门目标绩效管理，开展运行监控，牵头组织考评；负责年度民生实事任务统筹管理，拟订全市民生实事实施方案，开展日常推进督促检查；负责督办市委常委会决定事项、市委主要领导批示件办理工作；负责承办省委督查室、省政府督查室交办事项的督办落实和情况反馈工作；承担市督促检查和目标绩效管理领导小组、市整治形式主义为基层减负专项机制办公室日常工作。</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目标绩效办2022年重点工作。市委目标绩效办将坚定政治站位，聚焦中心，精准发力，围绕“一个定位、三项机制、三个优化、三个提升”强化督查目标工作，为加快建设川陕甘结合部现代化中心城市贡献力量。认真制定《2022年度督促检查工作要点》《2022年度督查检查考核计划》。持续牵头抓好中央省委巡视整改工作、整治形式主义为基层减负和2022年民生实事工作。聚焦市委市政府专题部署和市委市政府主要领导关注的重点工作主动介入，及时跟进真督实查。围绕各级重大决策部署，对标全省第一方阵，精准设置考评指标，及早下达年度任务。创新运行调度方式，定期开展目标运行综合督查。严实精细做好2021年度县区、市级部门目标考核工作。按照中省有关要求，加大以工作实绩为导向的差异化奖惩力度。</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二、部门预算单位构成</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广元市委目标绩效办是广元市委办公室财务管理二级预算单位，无下属单位。</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三、收支预算情况说明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按照综合预算的原则，目标绩效办所有收入和支出均纳入部门预算管理。收入包括：一般公共预算拨款收入、上年结转；支出包括：一般公共服务支出、社会保障和就业支出、卫生健康支出、住房保障支出。目标绩效办2022年收支总预算349.74万元，比2021年收支预算总数增加22.58万元，扣除上年结转资金、一次性安排等因素后，同口径增加32.24万元，主要原因是单位新增人员，经费增加。</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（一）收入预算情况。目标绩效办2022年收入预算349.74万元，其中：上年结转28.49万元，占8.15%；一般公共预算拨款收入321.24万元，占91.85%。</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（二）支出预算情况。目标绩效办2022年支出预算349.74万元，其中：基本支出268.36万元，占76.73%；项目支出81.38万元，占23.27%。</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四、财政拨款收支预算情况说明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目标绩效办2022年财政拨款收支总预算349.74万元,比2021年财政拨款收支总预算增加22.58万元，扣除上年结转资金、一次性安排等因素后，同口径增加32.44万元，主要原因是单位新增人员，经费增加。</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收入包括：本年一般公共预算拨款收入321.24万元、上年结转一般公共预算拨款收入28.49万元；支出包括：一般公共服务支出301.09万元、社会保障和就业支出18.72万元、卫生健康支出9.36万元、住房保障支出20.57万元。</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五、一般公共预算当年拨款情况说明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（一）一般公共预算当年拨款规模变化情况。目标绩效办2022年一般公共预算当年拨款321.24万元，比2021年预算数增加32.44万元，主要原因是单位新增人员，经费增加。</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（二）一般公共预算当年拨款结构情况。一般公共服务支出272.59万元，占84.86%；社会保障和就业支出18.72万元，占5.83%；卫生健康支出9.36万元，2.91%；住房保障支出20.57万元，占6.40%。</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（三）一般公共预算当年拨款具体使用情况</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1.一般公共服务（类）党委办公厅（室）及相关机构事务（款）行政运行（项）2022年预算数为209.95万元，主要用于：人员及日常公用经费支出，主要包括（基本工资、津贴补贴、绩效工资、奖金及对个人和家庭补助、日常办公运行经费等）。</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2.一般公共服务（类）党委办公厅（室）及相关机构事务（款）一般行政管理事务（项）2022年预算数为62.64万元，主要用于：项目工作经费支出等。</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3.社会保障和就业（类）行政事业单位养老支出（款）机关事业单位基本养老保险缴费支出（项）2022年预算数为18.72万元，主要用于：实施养老保险制度由单位缴纳的基本养老保险支出。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4.卫生健康（类）行政事业单位医疗（款）行政单位医疗（项）2022年预算数为9.36万元，主要用于：机关及参公管理事业单位按规定由单位缴纳的基本医疗保险支出。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5.住房保障（类）住房改革支出（款）住房公积金（项）2022年预算数为20.57万元，主要用于：部门按规定为职工缴纳的住房公积金支出。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六、一般公共预算基本支出情况说明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市委目标绩效办2022年一般公共预算基本支出</w:t>
      </w:r>
      <w:r>
        <w:rPr>
          <w:rFonts w:ascii="微软雅黑" w:hAnsi="微软雅黑" w:eastAsia="微软雅黑" w:cs="宋体"/>
          <w:color w:val="000000"/>
          <w:kern w:val="0"/>
          <w:sz w:val="27"/>
          <w:szCs w:val="27"/>
        </w:rPr>
        <w:t>268.36</w:t>
      </w:r>
      <w:r>
        <w:rPr>
          <w:rFonts w:hint="eastAsia" w:ascii="微软雅黑" w:hAnsi="微软雅黑" w:eastAsia="微软雅黑" w:cs="宋体"/>
          <w:color w:val="000000"/>
          <w:kern w:val="0"/>
          <w:sz w:val="27"/>
          <w:szCs w:val="27"/>
        </w:rPr>
        <w:t>万元，其中：人员经费</w:t>
      </w:r>
      <w:r>
        <w:rPr>
          <w:rFonts w:ascii="微软雅黑" w:hAnsi="微软雅黑" w:eastAsia="微软雅黑" w:cs="宋体"/>
          <w:color w:val="000000"/>
          <w:kern w:val="0"/>
          <w:sz w:val="27"/>
          <w:szCs w:val="27"/>
        </w:rPr>
        <w:t>211.9</w:t>
      </w:r>
      <w:r>
        <w:rPr>
          <w:rFonts w:hint="eastAsia" w:ascii="微软雅黑" w:hAnsi="微软雅黑" w:eastAsia="微软雅黑" w:cs="宋体"/>
          <w:color w:val="000000"/>
          <w:kern w:val="0"/>
          <w:sz w:val="27"/>
          <w:szCs w:val="27"/>
        </w:rPr>
        <w:t>万元，主要包括：基本工资、津贴补贴、奖金、社会保险缴费、住房公积金</w:t>
      </w:r>
      <w:r>
        <w:rPr>
          <w:rFonts w:hint="eastAsia" w:ascii="微软雅黑" w:hAnsi="微软雅黑" w:eastAsia="微软雅黑" w:cs="宋体"/>
          <w:color w:val="000000"/>
          <w:kern w:val="0"/>
          <w:sz w:val="27"/>
          <w:szCs w:val="27"/>
          <w:lang w:eastAsia="zh-CN"/>
        </w:rPr>
        <w:t>、</w:t>
      </w:r>
      <w:r>
        <w:rPr>
          <w:rFonts w:hint="eastAsia" w:ascii="微软雅黑" w:hAnsi="微软雅黑" w:eastAsia="微软雅黑" w:cs="宋体"/>
          <w:color w:val="000000"/>
          <w:kern w:val="0"/>
          <w:sz w:val="27"/>
          <w:szCs w:val="27"/>
        </w:rPr>
        <w:t>其他工资福利支出</w:t>
      </w:r>
      <w:r>
        <w:rPr>
          <w:rFonts w:hint="eastAsia" w:ascii="微软雅黑" w:hAnsi="微软雅黑" w:eastAsia="微软雅黑" w:cs="宋体"/>
          <w:color w:val="000000"/>
          <w:kern w:val="0"/>
          <w:sz w:val="27"/>
          <w:szCs w:val="27"/>
          <w:lang w:eastAsia="zh-CN"/>
        </w:rPr>
        <w:t>、对个人和家庭的补助</w:t>
      </w:r>
      <w:r>
        <w:rPr>
          <w:rFonts w:hint="eastAsia" w:ascii="微软雅黑" w:hAnsi="微软雅黑" w:eastAsia="微软雅黑" w:cs="宋体"/>
          <w:color w:val="000000"/>
          <w:kern w:val="0"/>
          <w:sz w:val="27"/>
          <w:szCs w:val="27"/>
        </w:rPr>
        <w:t>等支出。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公用经费</w:t>
      </w:r>
      <w:r>
        <w:rPr>
          <w:rFonts w:ascii="微软雅黑" w:hAnsi="微软雅黑" w:eastAsia="微软雅黑" w:cs="宋体"/>
          <w:color w:val="000000"/>
          <w:kern w:val="0"/>
          <w:sz w:val="27"/>
          <w:szCs w:val="27"/>
        </w:rPr>
        <w:t>56.46</w:t>
      </w:r>
      <w:r>
        <w:rPr>
          <w:rFonts w:hint="eastAsia" w:ascii="微软雅黑" w:hAnsi="微软雅黑" w:eastAsia="微软雅黑" w:cs="宋体"/>
          <w:color w:val="000000"/>
          <w:kern w:val="0"/>
          <w:sz w:val="27"/>
          <w:szCs w:val="27"/>
        </w:rPr>
        <w:t>万元，主要包括：办公费、印刷费、电费、邮电费、物业管理费、差旅费、会议费、培训费、公务接待费、工会经费、福利费、其他交通费用</w:t>
      </w:r>
      <w:r>
        <w:rPr>
          <w:rFonts w:hint="eastAsia" w:ascii="微软雅黑" w:hAnsi="微软雅黑" w:eastAsia="微软雅黑" w:cs="宋体"/>
          <w:color w:val="000000"/>
          <w:kern w:val="0"/>
          <w:sz w:val="27"/>
          <w:szCs w:val="27"/>
          <w:lang w:eastAsia="zh-CN"/>
        </w:rPr>
        <w:t>、</w:t>
      </w:r>
      <w:bookmarkStart w:id="0" w:name="_GoBack"/>
      <w:bookmarkEnd w:id="0"/>
      <w:r>
        <w:rPr>
          <w:rFonts w:hint="eastAsia" w:ascii="微软雅黑" w:hAnsi="微软雅黑" w:eastAsia="微软雅黑" w:cs="宋体"/>
          <w:color w:val="000000"/>
          <w:kern w:val="0"/>
          <w:sz w:val="27"/>
          <w:szCs w:val="27"/>
        </w:rPr>
        <w:t>其他商品和服务支出等支出。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七、“三公”经费财政拨款预算安排情况说明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市委目标绩效办2022年“三公”经费财政拨款预算数0.79万元，其中：公务接待费0.79万元，公务用车购置及运行维护费0万元，因公出国（境）经费0万元。</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（一）公务接待费与2021年预算减少0.12万元,原因是进一步贯彻落实党中央国务院关于党政机关改进作风、厉行节约的指示精神，预算减少接待安排。</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（二）公务用车购置及运行维护费0元，与2021年预算持平，主要原因是单位无公务用车。</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（三）2022年单位预算未编列因公出国（境）经费，未安排出国（境）任务和计划。</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八、政府性基金预算支出情况说明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市委目标绩效办2022年没有使用政府性基金预算拨款安排的支出。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九、国有资本经营预算支出情况说明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市委目标绩效办2022年没有使用国有资本经营预算拨款安排的支出。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十、其他重要事项的情况说明</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（一）机关运行经费。2022年，目标绩效办的机关运行经费财政拨款预算为</w:t>
      </w:r>
      <w:r>
        <w:rPr>
          <w:rFonts w:ascii="微软雅黑" w:hAnsi="微软雅黑" w:eastAsia="微软雅黑" w:cs="宋体"/>
          <w:color w:val="000000"/>
          <w:kern w:val="0"/>
          <w:sz w:val="27"/>
          <w:szCs w:val="27"/>
        </w:rPr>
        <w:t>56.46</w:t>
      </w:r>
      <w:r>
        <w:rPr>
          <w:rFonts w:hint="eastAsia" w:ascii="微软雅黑" w:hAnsi="微软雅黑" w:eastAsia="微软雅黑" w:cs="宋体"/>
          <w:color w:val="000000"/>
          <w:kern w:val="0"/>
          <w:sz w:val="27"/>
          <w:szCs w:val="27"/>
        </w:rPr>
        <w:t>万元，比2021年预算增加</w:t>
      </w:r>
      <w:r>
        <w:rPr>
          <w:rFonts w:ascii="微软雅黑" w:hAnsi="微软雅黑" w:eastAsia="微软雅黑" w:cs="宋体"/>
          <w:color w:val="000000"/>
          <w:kern w:val="0"/>
          <w:sz w:val="27"/>
          <w:szCs w:val="27"/>
        </w:rPr>
        <w:t>10.46</w:t>
      </w:r>
      <w:r>
        <w:rPr>
          <w:rFonts w:hint="eastAsia" w:ascii="微软雅黑" w:hAnsi="微软雅黑" w:eastAsia="微软雅黑" w:cs="宋体"/>
          <w:color w:val="000000"/>
          <w:kern w:val="0"/>
          <w:sz w:val="27"/>
          <w:szCs w:val="27"/>
        </w:rPr>
        <w:t>万元，上升</w:t>
      </w:r>
      <w:r>
        <w:rPr>
          <w:rFonts w:ascii="微软雅黑" w:hAnsi="微软雅黑" w:eastAsia="微软雅黑" w:cs="宋体"/>
          <w:color w:val="000000"/>
          <w:kern w:val="0"/>
          <w:sz w:val="27"/>
          <w:szCs w:val="27"/>
        </w:rPr>
        <w:t>22.74</w:t>
      </w:r>
      <w:r>
        <w:rPr>
          <w:rFonts w:hint="eastAsia" w:ascii="微软雅黑" w:hAnsi="微软雅黑" w:eastAsia="微软雅黑" w:cs="宋体"/>
          <w:color w:val="000000"/>
          <w:kern w:val="0"/>
          <w:sz w:val="27"/>
          <w:szCs w:val="27"/>
        </w:rPr>
        <w:t>%。主要原因单位新增人员，经费增加。</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（二）政府采购情况。2022年，目标绩效办单位安排政府采购预算3万元，主要用于日常办公用品及家具采购等。</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（三）国有资产占有使用情况。截至2021年底，目标绩效办单位共有车辆0辆，单位无价值50万元以上大型设备。</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四）绩效目标设置情况。绩效目标是预算编制的前提和基础，2022年目标绩效办单位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十一、名词解释</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（一）一般公共预算拨款收入：指市级财政当年拨付的资金。</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（二）上年结转：指以前年度尚未完成，结转到本年仍按原规定用途继续使用的资金。</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（三）一般公共服务（类）党委办公厅（室）及相关机构事务（款）行政运行（项）：指机关单位用于保障机构正常运行、开展日常工作的基本支出。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（四）一般公共服务（类）党委办公厅（室）及相关机构事务（款）一般行政管理事务（项）：指机关单位开展目标绩效办管理工作的项目支出。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（五）社会保障和就业（类）行政事业单位养老支出（款）机关事业单位基本养老保险缴费支出（项）：指部门实施养老保险制度由单位缴纳的养老保险的支出。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（六）卫生健康（类）行政事业单位医疗（款）行政单位医疗（项）：指机关及参公管理事业单位用于单位应缴纳基本医疗保险支出。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（七）住房保障（类）住房改革支出（款）住房公积金（项）：指按照《住房公积金管理条例》的规定，由单位及其在职职工缴存的长期住房储金。</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（八）基本支出：指为保证机构正常运转，完成日常工作任务而发生的人员支出和公用支出。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（九）项目支出：指在基本支出之外为完成特定行政任务和事业发展目标所发生的支出。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附件1：部门预算公开表</w:t>
      </w:r>
    </w:p>
    <w:p>
      <w:pPr>
        <w:widowControl/>
        <w:shd w:val="clear" w:color="auto" w:fill="FFFFFF"/>
        <w:spacing w:line="480" w:lineRule="auto"/>
        <w:ind w:firstLine="480"/>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附件2：部门预算绩效目标表</w:t>
      </w:r>
    </w:p>
    <w:p>
      <w:pPr>
        <w:widowControl/>
        <w:shd w:val="clear" w:color="auto" w:fill="FFFFFF"/>
        <w:spacing w:line="480" w:lineRule="auto"/>
        <w:ind w:firstLine="480"/>
        <w:jc w:val="right"/>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中共广元市委目标绩效管理办公室</w:t>
      </w:r>
    </w:p>
    <w:p>
      <w:pPr>
        <w:widowControl/>
        <w:shd w:val="clear" w:color="auto" w:fill="FFFFFF"/>
        <w:spacing w:line="480" w:lineRule="auto"/>
        <w:ind w:firstLine="480"/>
        <w:jc w:val="right"/>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7"/>
          <w:szCs w:val="27"/>
        </w:rPr>
        <w:t>2022年3月6日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zMTU5NmIzMTdiYjAyM2ZjZDg3NzBhMmYyNDA5MDUifQ=="/>
  </w:docVars>
  <w:rsids>
    <w:rsidRoot w:val="00745726"/>
    <w:rsid w:val="00313532"/>
    <w:rsid w:val="0048274F"/>
    <w:rsid w:val="005207EE"/>
    <w:rsid w:val="006E0FDB"/>
    <w:rsid w:val="00745726"/>
    <w:rsid w:val="007D1D65"/>
    <w:rsid w:val="00864083"/>
    <w:rsid w:val="008C24E9"/>
    <w:rsid w:val="008C5088"/>
    <w:rsid w:val="00C64F61"/>
    <w:rsid w:val="00C8707C"/>
    <w:rsid w:val="00CA568F"/>
    <w:rsid w:val="69E22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641</Words>
  <Characters>3659</Characters>
  <Lines>30</Lines>
  <Paragraphs>8</Paragraphs>
  <TotalTime>42</TotalTime>
  <ScaleCrop>false</ScaleCrop>
  <LinksUpToDate>false</LinksUpToDate>
  <CharactersWithSpaces>4292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2023-09-08T02:22:00Z</dcterms:created>
  <dc:creator>Administrator</dc:creator>
  <cp:lastModifiedBy>user</cp:lastModifiedBy>
  <dcterms:modified xsi:type="dcterms:W3CDTF">2023-09-10T15:16:34Z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C813B0227D2740A0A2327545478AD2C9_12</vt:lpwstr>
  </property>
</Properties>
</file>