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outlineLvl w:val="0"/>
        <w:rPr>
          <w:rFonts w:ascii="方正小标宋简体" w:hAnsi="宋体" w:eastAsia="方正小标宋简体"/>
          <w:color w:val="000000"/>
          <w:sz w:val="72"/>
          <w:szCs w:val="72"/>
        </w:rPr>
      </w:pPr>
    </w:p>
    <w:p>
      <w:pPr>
        <w:pStyle w:val="2"/>
        <w:rPr>
          <w:rFonts w:ascii="方正小标宋简体" w:hAnsi="宋体" w:eastAsia="方正小标宋简体"/>
          <w:color w:val="000000"/>
          <w:sz w:val="72"/>
          <w:szCs w:val="72"/>
        </w:rPr>
      </w:pPr>
    </w:p>
    <w:p>
      <w:pPr>
        <w:pStyle w:val="2"/>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rPr>
      </w:pPr>
      <w:bookmarkStart w:id="0" w:name="_Toc15378441"/>
      <w:bookmarkStart w:id="1" w:name="_Toc15377425"/>
      <w:bookmarkStart w:id="2" w:name="_Toc15396475"/>
      <w:bookmarkStart w:id="3" w:name="_Toc15396597"/>
      <w:bookmarkStart w:id="4" w:name="_Toc15377193"/>
      <w:r>
        <w:rPr>
          <w:rFonts w:hint="eastAsia" w:ascii="方正小标宋简体" w:hAnsi="方正小标宋简体" w:eastAsia="方正小标宋简体" w:cs="方正小标宋简体"/>
          <w:color w:val="000000"/>
          <w:sz w:val="72"/>
          <w:szCs w:val="72"/>
        </w:rPr>
        <w:t>202</w:t>
      </w:r>
      <w:r>
        <w:rPr>
          <w:rFonts w:hint="eastAsia" w:ascii="方正小标宋简体" w:hAnsi="方正小标宋简体" w:eastAsia="方正小标宋简体" w:cs="方正小标宋简体"/>
          <w:color w:val="000000"/>
          <w:sz w:val="72"/>
          <w:szCs w:val="72"/>
          <w:lang w:val="en-US" w:eastAsia="zh-CN"/>
        </w:rPr>
        <w:t>1</w:t>
      </w:r>
      <w:r>
        <w:rPr>
          <w:rFonts w:hint="eastAsia" w:ascii="方正小标宋简体" w:hAnsi="方正小标宋简体" w:eastAsia="方正小标宋简体" w:cs="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rPr>
      </w:pPr>
      <w:bookmarkStart w:id="5" w:name="_Toc15378442"/>
      <w:bookmarkStart w:id="6" w:name="_Toc15377426"/>
      <w:bookmarkStart w:id="7" w:name="_Toc15396476"/>
      <w:bookmarkStart w:id="8" w:name="_Toc15377194"/>
      <w:bookmarkStart w:id="9" w:name="_Toc15396598"/>
      <w:r>
        <w:rPr>
          <w:rFonts w:hint="eastAsia" w:ascii="方正小标宋简体" w:hAnsi="方正小标宋简体" w:eastAsia="方正小标宋简体" w:cs="方正小标宋简体"/>
          <w:color w:val="000000"/>
          <w:sz w:val="72"/>
          <w:szCs w:val="72"/>
        </w:rPr>
        <w:t>广元市</w:t>
      </w:r>
      <w:bookmarkStart w:id="10" w:name="_Toc15306268"/>
      <w:r>
        <w:rPr>
          <w:rFonts w:hint="eastAsia" w:ascii="方正小标宋简体" w:hAnsi="方正小标宋简体" w:eastAsia="方正小标宋简体" w:cs="方正小标宋简体"/>
          <w:color w:val="000000"/>
          <w:sz w:val="72"/>
          <w:szCs w:val="72"/>
          <w:lang w:eastAsia="zh-CN"/>
        </w:rPr>
        <w:t>统计局部门</w:t>
      </w:r>
      <w:r>
        <w:rPr>
          <w:rFonts w:hint="eastAsia" w:ascii="方正小标宋简体" w:hAnsi="方正小标宋简体" w:eastAsia="方正小标宋简体" w:cs="方正小标宋简体"/>
          <w:color w:val="000000"/>
          <w:sz w:val="72"/>
          <w:szCs w:val="72"/>
        </w:rPr>
        <w:t>决算</w:t>
      </w:r>
      <w:bookmarkEnd w:id="5"/>
      <w:bookmarkEnd w:id="6"/>
      <w:bookmarkEnd w:id="7"/>
      <w:bookmarkEnd w:id="8"/>
      <w:bookmarkEnd w:id="9"/>
      <w:bookmarkEnd w:id="10"/>
    </w:p>
    <w:p>
      <w:pPr>
        <w:widowControl/>
        <w:jc w:val="center"/>
        <w:rPr>
          <w:rFonts w:hint="eastAsia" w:ascii="方正小标宋简体" w:hAnsi="方正小标宋简体" w:eastAsia="方正小标宋简体" w:cs="方正小标宋简体"/>
          <w:color w:val="auto"/>
          <w:sz w:val="48"/>
          <w:szCs w:val="48"/>
          <w:highlight w:val="none"/>
        </w:rPr>
        <w:sectPr>
          <w:footerReference r:id="rId3" w:type="first"/>
          <w:pgSz w:w="11906" w:h="16838"/>
          <w:pgMar w:top="1701" w:right="1474" w:bottom="1417" w:left="1587" w:header="851" w:footer="992" w:gutter="0"/>
          <w:pgNumType w:fmt="decimal"/>
          <w:cols w:space="0" w:num="1"/>
          <w:rtlGutter w:val="0"/>
          <w:docGrid w:type="lines" w:linePitch="442" w:charSpace="0"/>
        </w:sectPr>
      </w:pPr>
    </w:p>
    <w:p>
      <w:pPr>
        <w:widowControl/>
        <w:jc w:val="center"/>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pPr>
        <w:widowControl/>
        <w:jc w:val="center"/>
        <w:rPr>
          <w:rFonts w:ascii="黑体" w:hAnsi="黑体" w:eastAsia="黑体" w:cstheme="minorBidi"/>
          <w:color w:val="auto"/>
          <w:sz w:val="28"/>
          <w:szCs w:val="28"/>
          <w:highlight w:val="none"/>
        </w:rPr>
      </w:pPr>
    </w:p>
    <w:p>
      <w:pPr>
        <w:pStyle w:val="11"/>
        <w:rPr>
          <w:color w:val="auto"/>
          <w:sz w:val="32"/>
          <w:szCs w:val="32"/>
          <w:highlight w:val="none"/>
        </w:rPr>
      </w:pPr>
      <w:r>
        <w:rPr>
          <w:rFonts w:hint="eastAsia"/>
          <w:color w:val="auto"/>
          <w:sz w:val="32"/>
          <w:szCs w:val="32"/>
          <w:highlight w:val="none"/>
        </w:rPr>
        <w:t>公开时间：20</w:t>
      </w:r>
      <w:r>
        <w:rPr>
          <w:rFonts w:hint="eastAsia"/>
          <w:color w:val="auto"/>
          <w:sz w:val="32"/>
          <w:szCs w:val="32"/>
          <w:highlight w:val="none"/>
          <w:lang w:val="en-US" w:eastAsia="zh-CN"/>
        </w:rPr>
        <w:t>22</w:t>
      </w:r>
      <w:r>
        <w:rPr>
          <w:rFonts w:hint="eastAsia"/>
          <w:color w:val="auto"/>
          <w:sz w:val="32"/>
          <w:szCs w:val="32"/>
          <w:highlight w:val="none"/>
        </w:rPr>
        <w:t>年</w:t>
      </w:r>
      <w:r>
        <w:rPr>
          <w:rFonts w:hint="eastAsia"/>
          <w:color w:val="auto"/>
          <w:sz w:val="32"/>
          <w:szCs w:val="32"/>
          <w:highlight w:val="none"/>
          <w:lang w:val="en-US" w:eastAsia="zh-CN"/>
        </w:rPr>
        <w:t>9</w:t>
      </w:r>
      <w:r>
        <w:rPr>
          <w:rFonts w:hint="eastAsia"/>
          <w:color w:val="auto"/>
          <w:sz w:val="32"/>
          <w:szCs w:val="32"/>
          <w:highlight w:val="none"/>
        </w:rPr>
        <w:t>月</w:t>
      </w:r>
      <w:r>
        <w:rPr>
          <w:rFonts w:hint="eastAsia"/>
          <w:color w:val="auto"/>
          <w:sz w:val="32"/>
          <w:szCs w:val="32"/>
          <w:highlight w:val="none"/>
          <w:lang w:val="en-US" w:eastAsia="zh-CN"/>
        </w:rPr>
        <w:t>27</w:t>
      </w:r>
      <w:r>
        <w:rPr>
          <w:rFonts w:hint="eastAsia"/>
          <w:color w:val="auto"/>
          <w:sz w:val="32"/>
          <w:szCs w:val="32"/>
          <w:highlight w:val="none"/>
        </w:rPr>
        <w:t>日</w:t>
      </w:r>
    </w:p>
    <w:p>
      <w:pPr>
        <w:rPr>
          <w:color w:val="auto"/>
          <w:highlight w:val="none"/>
        </w:rPr>
      </w:pPr>
    </w:p>
    <w:p>
      <w:pPr>
        <w:pStyle w:val="11"/>
        <w:adjustRightInd w:val="0"/>
        <w:snapToGrid w:val="0"/>
        <w:spacing w:before="0" w:line="440" w:lineRule="exact"/>
        <w:jc w:val="left"/>
        <w:rPr>
          <w:rFonts w:hint="eastAsia" w:ascii="楷体" w:hAnsi="楷体" w:eastAsia="楷体" w:cs="楷体"/>
          <w:color w:val="auto"/>
          <w:sz w:val="24"/>
          <w:szCs w:val="24"/>
          <w:highlight w:val="none"/>
        </w:rPr>
      </w:pPr>
      <w:r>
        <w:rPr>
          <w:rFonts w:hint="eastAsia" w:ascii="楷体" w:hAnsi="楷体" w:eastAsia="楷体" w:cs="楷体"/>
          <w:color w:val="auto"/>
          <w:sz w:val="24"/>
          <w:highlight w:val="none"/>
        </w:rPr>
        <w:t>第一部分 部门概况</w:t>
      </w:r>
    </w:p>
    <w:p>
      <w:pPr>
        <w:pStyle w:val="12"/>
        <w:adjustRightInd w:val="0"/>
        <w:snapToGrid w:val="0"/>
        <w:spacing w:line="440" w:lineRule="exact"/>
        <w:jc w:val="left"/>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一、基本职能及主要工作</w:t>
      </w:r>
      <w:r>
        <w:rPr>
          <w:rFonts w:hint="eastAsia" w:ascii="宋体" w:hAnsi="宋体" w:eastAsia="宋体" w:cs="宋体"/>
          <w:kern w:val="2"/>
          <w:sz w:val="24"/>
          <w:szCs w:val="24"/>
          <w:lang w:val="en-US" w:eastAsia="zh-CN" w:bidi="ar-SA"/>
        </w:rPr>
        <w:tab/>
      </w:r>
      <w:r>
        <w:rPr>
          <w:rFonts w:hint="eastAsia" w:ascii="宋体" w:hAnsi="宋体" w:cs="宋体"/>
          <w:kern w:val="2"/>
          <w:sz w:val="24"/>
          <w:szCs w:val="24"/>
          <w:lang w:val="en-US" w:eastAsia="zh-CN" w:bidi="ar-SA"/>
        </w:rPr>
        <w:t>1</w:t>
      </w:r>
    </w:p>
    <w:p>
      <w:pPr>
        <w:pStyle w:val="12"/>
        <w:adjustRightInd w:val="0"/>
        <w:snapToGrid w:val="0"/>
        <w:spacing w:line="44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二、机构设置</w:t>
      </w:r>
      <w:r>
        <w:rPr>
          <w:rFonts w:hint="eastAsia" w:ascii="宋体" w:hAnsi="宋体" w:eastAsia="宋体" w:cs="宋体"/>
          <w:kern w:val="2"/>
          <w:sz w:val="24"/>
          <w:szCs w:val="24"/>
          <w:lang w:val="en-US" w:eastAsia="zh-CN" w:bidi="ar-SA"/>
        </w:rPr>
        <w:tab/>
      </w:r>
      <w:r>
        <w:rPr>
          <w:rFonts w:hint="eastAsia" w:ascii="宋体" w:hAnsi="宋体" w:cs="宋体"/>
          <w:kern w:val="2"/>
          <w:sz w:val="24"/>
          <w:szCs w:val="24"/>
          <w:lang w:val="en-US" w:eastAsia="zh-CN" w:bidi="ar-SA"/>
        </w:rPr>
        <w:t>4</w:t>
      </w:r>
    </w:p>
    <w:p>
      <w:pPr>
        <w:pStyle w:val="11"/>
        <w:adjustRightInd w:val="0"/>
        <w:snapToGrid w:val="0"/>
        <w:spacing w:before="0" w:line="440" w:lineRule="exact"/>
        <w:jc w:val="left"/>
        <w:rPr>
          <w:rFonts w:hint="eastAsia" w:ascii="楷体" w:hAnsi="楷体" w:eastAsia="楷体" w:cs="楷体"/>
          <w:sz w:val="24"/>
          <w:szCs w:val="24"/>
          <w:lang w:val="en-US"/>
        </w:rPr>
      </w:pPr>
      <w:r>
        <w:rPr>
          <w:rFonts w:hint="eastAsia" w:ascii="楷体" w:hAnsi="楷体" w:eastAsia="楷体" w:cs="楷体"/>
          <w:color w:val="auto"/>
          <w:sz w:val="24"/>
          <w:szCs w:val="24"/>
          <w:highlight w:val="none"/>
        </w:rPr>
        <w:t>第二部分</w:t>
      </w:r>
      <w:r>
        <w:rPr>
          <w:rFonts w:hint="eastAsia" w:ascii="楷体" w:hAnsi="楷体" w:eastAsia="楷体" w:cs="楷体"/>
          <w:color w:val="auto"/>
          <w:sz w:val="24"/>
          <w:szCs w:val="24"/>
          <w:highlight w:val="none"/>
          <w:lang w:val="en-US" w:eastAsia="zh-CN"/>
        </w:rPr>
        <w:t xml:space="preserve"> 2021年度</w:t>
      </w:r>
      <w:r>
        <w:rPr>
          <w:rFonts w:hint="eastAsia" w:ascii="楷体" w:hAnsi="楷体" w:eastAsia="楷体" w:cs="楷体"/>
          <w:color w:val="auto"/>
          <w:sz w:val="24"/>
          <w:szCs w:val="24"/>
          <w:highlight w:val="none"/>
        </w:rPr>
        <w:t>部门决算情况说明</w:t>
      </w:r>
      <w:r>
        <w:rPr>
          <w:rFonts w:hint="eastAsia" w:ascii="楷体" w:hAnsi="楷体" w:eastAsia="楷体" w:cs="楷体"/>
          <w:kern w:val="2"/>
          <w:sz w:val="24"/>
          <w:szCs w:val="24"/>
          <w:lang w:val="en-US" w:eastAsia="zh-CN" w:bidi="ar-SA"/>
        </w:rPr>
        <w:tab/>
      </w:r>
      <w:r>
        <w:rPr>
          <w:rFonts w:hint="eastAsia" w:ascii="楷体" w:hAnsi="楷体" w:eastAsia="楷体" w:cs="楷体"/>
          <w:kern w:val="2"/>
          <w:sz w:val="24"/>
          <w:szCs w:val="24"/>
          <w:lang w:val="en-US" w:eastAsia="zh-CN" w:bidi="ar-SA"/>
        </w:rPr>
        <w:t>5</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rPr>
        <w:t>一、收入支出决算总体情况说明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rPr>
        <w:t>二、收入决算情况说明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四、财政拨款收入支出决算总体情况说明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rPr>
        <w:t>五、一般公共预算财政拨款支出决算情况说明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7</w:t>
      </w:r>
    </w:p>
    <w:p>
      <w:pPr>
        <w:pStyle w:val="11"/>
        <w:adjustRightInd w:val="0"/>
        <w:snapToGrid w:val="0"/>
        <w:spacing w:before="0" w:line="440" w:lineRule="exact"/>
        <w:ind w:left="0" w:leftChars="0" w:firstLine="420" w:firstLineChars="175"/>
        <w:jc w:val="left"/>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rPr>
        <w:t>六、一般公共预算财政拨款基本支出决算情况说明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10</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三公”经费财政拨款支出决算情况说明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10</w:t>
      </w:r>
    </w:p>
    <w:p>
      <w:pPr>
        <w:pStyle w:val="11"/>
        <w:adjustRightInd w:val="0"/>
        <w:snapToGrid w:val="0"/>
        <w:spacing w:before="0" w:line="440" w:lineRule="exact"/>
        <w:ind w:left="0" w:leftChars="0" w:firstLine="420" w:firstLineChars="175"/>
        <w:jc w:val="left"/>
        <w:rPr>
          <w:rFonts w:hint="default" w:ascii="宋体" w:hAnsi="宋体" w:eastAsia="宋体" w:cs="宋体"/>
          <w:sz w:val="24"/>
          <w:szCs w:val="24"/>
          <w:lang w:val="en-US"/>
        </w:rPr>
      </w:pPr>
      <w:r>
        <w:rPr>
          <w:rFonts w:hint="eastAsia" w:ascii="宋体" w:hAnsi="宋体" w:eastAsia="宋体" w:cs="宋体"/>
          <w:color w:val="auto"/>
          <w:sz w:val="24"/>
          <w:szCs w:val="24"/>
          <w:highlight w:val="none"/>
        </w:rPr>
        <w:t>八、政府性基金预算支出决算情况说明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12</w:t>
      </w:r>
    </w:p>
    <w:p>
      <w:pPr>
        <w:pStyle w:val="11"/>
        <w:adjustRightInd w:val="0"/>
        <w:snapToGrid w:val="0"/>
        <w:spacing w:before="0" w:line="440" w:lineRule="exact"/>
        <w:ind w:left="0" w:leftChars="0" w:firstLine="420" w:firstLineChars="175"/>
        <w:jc w:val="left"/>
        <w:rPr>
          <w:rFonts w:hint="default" w:ascii="宋体" w:hAnsi="宋体" w:eastAsia="宋体" w:cs="宋体"/>
          <w:sz w:val="24"/>
          <w:szCs w:val="24"/>
          <w:lang w:val="en-US"/>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国</w:t>
      </w:r>
      <w:r>
        <w:rPr>
          <w:rFonts w:hint="eastAsia" w:ascii="宋体" w:hAnsi="宋体" w:eastAsia="宋体" w:cs="宋体"/>
          <w:color w:val="auto"/>
          <w:sz w:val="24"/>
          <w:szCs w:val="24"/>
          <w:highlight w:val="none"/>
        </w:rPr>
        <w:t>有资本经营预算支出决算情况说明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12</w:t>
      </w:r>
    </w:p>
    <w:p>
      <w:pPr>
        <w:pStyle w:val="11"/>
        <w:adjustRightInd w:val="0"/>
        <w:snapToGrid w:val="0"/>
        <w:spacing w:before="0" w:line="440" w:lineRule="exact"/>
        <w:ind w:left="0" w:leftChars="0" w:firstLine="420" w:firstLineChars="175"/>
        <w:jc w:val="left"/>
        <w:rPr>
          <w:rFonts w:hint="default" w:ascii="宋体" w:hAnsi="宋体" w:eastAsia="宋体" w:cs="宋体"/>
          <w:sz w:val="24"/>
          <w:szCs w:val="24"/>
          <w:lang w:val="en-US"/>
        </w:rPr>
      </w:pPr>
      <w:r>
        <w:rPr>
          <w:rStyle w:val="17"/>
          <w:rFonts w:hint="eastAsia" w:ascii="宋体" w:hAnsi="宋体" w:eastAsia="宋体" w:cs="宋体"/>
          <w:color w:val="auto"/>
          <w:sz w:val="24"/>
          <w:szCs w:val="24"/>
          <w:highlight w:val="none"/>
          <w:u w:val="none"/>
          <w:lang w:eastAsia="zh-CN"/>
        </w:rPr>
        <w:t>十</w:t>
      </w:r>
      <w:r>
        <w:rPr>
          <w:rStyle w:val="17"/>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lang w:val="en-US" w:eastAsia="zh-CN"/>
        </w:rPr>
        <w:t>预算绩效管理情况</w:t>
      </w:r>
      <w:r>
        <w:rPr>
          <w:rFonts w:hint="eastAsia" w:ascii="宋体" w:hAnsi="宋体" w:eastAsia="宋体" w:cs="宋体"/>
          <w:color w:val="auto"/>
          <w:sz w:val="24"/>
          <w:szCs w:val="24"/>
          <w:highlight w:val="none"/>
        </w:rPr>
        <w:tab/>
      </w:r>
      <w:r>
        <w:rPr>
          <w:rFonts w:hint="eastAsia" w:ascii="宋体" w:hAnsi="宋体" w:eastAsia="宋体" w:cs="宋体"/>
          <w:kern w:val="2"/>
          <w:sz w:val="24"/>
          <w:szCs w:val="24"/>
          <w:lang w:val="en-US" w:eastAsia="zh-CN" w:bidi="ar-SA"/>
        </w:rPr>
        <w:t>12</w:t>
      </w:r>
    </w:p>
    <w:p>
      <w:pPr>
        <w:pStyle w:val="11"/>
        <w:adjustRightInd w:val="0"/>
        <w:snapToGrid w:val="0"/>
        <w:spacing w:before="0" w:line="440" w:lineRule="exact"/>
        <w:ind w:left="0" w:leftChars="0" w:firstLine="420" w:firstLineChars="175"/>
        <w:jc w:val="left"/>
        <w:rPr>
          <w:rFonts w:hint="default"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其他重要事项的情况说明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13</w:t>
      </w:r>
    </w:p>
    <w:p>
      <w:pPr>
        <w:pStyle w:val="11"/>
        <w:adjustRightInd w:val="0"/>
        <w:snapToGrid w:val="0"/>
        <w:spacing w:before="0" w:line="440" w:lineRule="exact"/>
        <w:jc w:val="left"/>
        <w:rPr>
          <w:rFonts w:hint="default"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rPr>
        <w:t>第三部分 名词解释</w:t>
      </w:r>
      <w:r>
        <w:rPr>
          <w:rFonts w:hint="eastAsia" w:ascii="楷体" w:hAnsi="楷体" w:eastAsia="楷体" w:cs="楷体"/>
          <w:kern w:val="2"/>
          <w:sz w:val="24"/>
          <w:szCs w:val="24"/>
          <w:lang w:val="en-US" w:eastAsia="zh-CN" w:bidi="ar-SA"/>
        </w:rPr>
        <w:tab/>
      </w:r>
      <w:r>
        <w:rPr>
          <w:rFonts w:hint="eastAsia" w:ascii="楷体" w:hAnsi="楷体" w:eastAsia="楷体" w:cs="楷体"/>
          <w:kern w:val="2"/>
          <w:sz w:val="24"/>
          <w:szCs w:val="24"/>
          <w:lang w:val="en-US" w:eastAsia="zh-CN" w:bidi="ar-SA"/>
        </w:rPr>
        <w:t>13</w:t>
      </w:r>
    </w:p>
    <w:p>
      <w:pPr>
        <w:pStyle w:val="11"/>
        <w:adjustRightInd w:val="0"/>
        <w:snapToGrid w:val="0"/>
        <w:spacing w:before="0" w:line="440" w:lineRule="exact"/>
        <w:jc w:val="left"/>
        <w:rPr>
          <w:rFonts w:hint="eastAsia" w:ascii="楷体" w:hAnsi="楷体" w:eastAsia="楷体" w:cs="楷体"/>
          <w:kern w:val="2"/>
          <w:sz w:val="24"/>
          <w:szCs w:val="24"/>
          <w:lang w:val="en-US" w:eastAsia="zh-CN" w:bidi="ar-SA"/>
        </w:rPr>
      </w:pPr>
      <w:r>
        <w:rPr>
          <w:rFonts w:hint="eastAsia" w:ascii="楷体" w:hAnsi="楷体" w:eastAsia="楷体" w:cs="楷体"/>
          <w:color w:val="auto"/>
          <w:sz w:val="24"/>
          <w:szCs w:val="24"/>
          <w:highlight w:val="none"/>
        </w:rPr>
        <w:t>第四部分 附件</w:t>
      </w:r>
      <w:r>
        <w:rPr>
          <w:rFonts w:hint="eastAsia" w:ascii="楷体" w:hAnsi="楷体" w:eastAsia="楷体" w:cs="楷体"/>
          <w:kern w:val="2"/>
          <w:sz w:val="24"/>
          <w:szCs w:val="24"/>
          <w:lang w:val="en-US" w:eastAsia="zh-CN" w:bidi="ar-SA"/>
        </w:rPr>
        <w:tab/>
      </w:r>
      <w:r>
        <w:rPr>
          <w:rFonts w:hint="eastAsia" w:ascii="楷体" w:hAnsi="楷体" w:eastAsia="楷体" w:cs="楷体"/>
          <w:kern w:val="2"/>
          <w:sz w:val="24"/>
          <w:szCs w:val="24"/>
          <w:lang w:val="en-US" w:eastAsia="zh-CN" w:bidi="ar-SA"/>
        </w:rPr>
        <w:t>16</w:t>
      </w:r>
    </w:p>
    <w:p>
      <w:pPr>
        <w:pStyle w:val="11"/>
        <w:adjustRightInd w:val="0"/>
        <w:snapToGrid w:val="0"/>
        <w:spacing w:before="0" w:line="440" w:lineRule="exact"/>
        <w:jc w:val="left"/>
        <w:rPr>
          <w:rFonts w:hint="default"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rPr>
        <w:t>第五部分 附表</w:t>
      </w:r>
      <w:r>
        <w:rPr>
          <w:rFonts w:hint="eastAsia" w:ascii="楷体" w:hAnsi="楷体" w:eastAsia="楷体" w:cs="楷体"/>
          <w:kern w:val="2"/>
          <w:sz w:val="24"/>
          <w:szCs w:val="24"/>
          <w:lang w:val="en-US" w:eastAsia="zh-CN" w:bidi="ar-SA"/>
        </w:rPr>
        <w:tab/>
      </w:r>
      <w:r>
        <w:rPr>
          <w:rFonts w:hint="eastAsia" w:ascii="楷体" w:hAnsi="楷体" w:eastAsia="楷体" w:cs="楷体"/>
          <w:kern w:val="2"/>
          <w:sz w:val="24"/>
          <w:szCs w:val="24"/>
          <w:lang w:val="en-US" w:eastAsia="zh-CN" w:bidi="ar-SA"/>
        </w:rPr>
        <w:t>61</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一、收入支出决算总表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二、收入决算表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rPr>
        <w:t>四、财政拨款收入支出决算总表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五、财政拨款支出决算明细表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六、一般公共预算财政拨款支出决算表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七、一般公共预算财政拨款支出决算明细表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八、一般公共预算财政拨款基本支出决算表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九、一般公共预算财政拨款项目支出决算表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十、一般公共预算财政拨款“三公”经费支出决算表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十一、政府性基金预算财政拨款收入支出决算表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十二、政府性基金预算财政拨款“三公”经费支出决算表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十三、国有资本经营预算</w:t>
      </w:r>
      <w:r>
        <w:rPr>
          <w:rFonts w:hint="eastAsia" w:ascii="宋体" w:hAnsi="宋体" w:eastAsia="宋体" w:cs="宋体"/>
          <w:color w:val="auto"/>
          <w:sz w:val="24"/>
          <w:szCs w:val="24"/>
          <w:highlight w:val="none"/>
          <w:lang w:eastAsia="zh-CN"/>
        </w:rPr>
        <w:t>财政拨款收入</w:t>
      </w:r>
      <w:r>
        <w:rPr>
          <w:rFonts w:hint="eastAsia" w:ascii="宋体" w:hAnsi="宋体" w:eastAsia="宋体" w:cs="宋体"/>
          <w:color w:val="auto"/>
          <w:sz w:val="24"/>
          <w:szCs w:val="24"/>
          <w:highlight w:val="none"/>
        </w:rPr>
        <w:t>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lang w:val="en-US" w:eastAsia="zh-CN"/>
        </w:rPr>
        <w:t>十四、国有资本经营预算财政拨款支出决算表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2"/>
        <w:adjustRightInd w:val="0"/>
        <w:snapToGrid w:val="0"/>
        <w:spacing w:line="440" w:lineRule="exact"/>
        <w:jc w:val="left"/>
        <w:rPr>
          <w:rFonts w:hint="eastAsia" w:ascii="宋体" w:hAnsi="宋体" w:eastAsia="宋体" w:cs="宋体"/>
          <w:color w:val="auto"/>
          <w:sz w:val="24"/>
          <w:szCs w:val="24"/>
          <w:highlight w:val="none"/>
          <w:lang w:val="en-US" w:eastAsia="zh-CN"/>
        </w:rPr>
      </w:pPr>
    </w:p>
    <w:p>
      <w:pPr>
        <w:rPr>
          <w:rFonts w:hint="eastAsia"/>
        </w:rPr>
        <w:sectPr>
          <w:footerReference r:id="rId4" w:type="default"/>
          <w:pgSz w:w="11906" w:h="16838"/>
          <w:pgMar w:top="1701" w:right="1474" w:bottom="1417" w:left="1587" w:header="851" w:footer="992" w:gutter="0"/>
          <w:pgNumType w:fmt="decimal" w:start="1"/>
          <w:cols w:space="0" w:num="1"/>
          <w:rtlGutter w:val="0"/>
          <w:docGrid w:type="lines" w:linePitch="442" w:charSpace="0"/>
        </w:sectPr>
      </w:pPr>
    </w:p>
    <w:p>
      <w:pPr>
        <w:pStyle w:val="3"/>
        <w:pageBreakBefore w:val="0"/>
        <w:kinsoku/>
        <w:wordWrap/>
        <w:overflowPunct/>
        <w:topLinePunct w:val="0"/>
        <w:autoSpaceDE/>
        <w:autoSpaceDN/>
        <w:bidi w:val="0"/>
        <w:adjustRightInd/>
        <w:snapToGrid/>
        <w:spacing w:before="0" w:after="0" w:line="360" w:lineRule="auto"/>
        <w:jc w:val="center"/>
        <w:textAlignment w:val="auto"/>
        <w:rPr>
          <w:rStyle w:val="18"/>
          <w:rFonts w:ascii="黑体" w:hAnsi="黑体" w:eastAsia="黑体"/>
          <w:b/>
          <w:bCs w:val="0"/>
          <w:color w:val="auto"/>
          <w:highlight w:val="none"/>
        </w:rPr>
      </w:pPr>
      <w:bookmarkStart w:id="11" w:name="_Toc15377196"/>
      <w:bookmarkStart w:id="12" w:name="_Toc15396599"/>
      <w:r>
        <w:rPr>
          <w:rFonts w:hint="eastAsia" w:ascii="黑体" w:hAnsi="黑体" w:eastAsia="黑体"/>
          <w:b w:val="0"/>
          <w:color w:val="auto"/>
          <w:highlight w:val="none"/>
        </w:rPr>
        <w:t xml:space="preserve">第一部分 </w:t>
      </w:r>
      <w:r>
        <w:rPr>
          <w:rStyle w:val="18"/>
          <w:rFonts w:hint="eastAsia" w:ascii="黑体" w:hAnsi="黑体" w:eastAsia="黑体"/>
          <w:b w:val="0"/>
          <w:bCs w:val="0"/>
          <w:color w:val="auto"/>
          <w:highlight w:val="none"/>
        </w:rPr>
        <w:t>部门概况</w:t>
      </w:r>
      <w:bookmarkEnd w:id="11"/>
      <w:bookmarkEnd w:id="12"/>
    </w:p>
    <w:p>
      <w:pPr>
        <w:pageBreakBefore w:val="0"/>
        <w:widowControl/>
        <w:kinsoku/>
        <w:wordWrap/>
        <w:overflowPunct/>
        <w:topLinePunct w:val="0"/>
        <w:autoSpaceDE/>
        <w:autoSpaceDN/>
        <w:bidi w:val="0"/>
        <w:adjustRightInd/>
        <w:snapToGrid/>
        <w:spacing w:line="360" w:lineRule="auto"/>
        <w:jc w:val="left"/>
        <w:textAlignment w:val="auto"/>
        <w:rPr>
          <w:rFonts w:ascii="黑体" w:eastAsia="黑体"/>
          <w:color w:val="auto"/>
          <w:sz w:val="32"/>
          <w:szCs w:val="32"/>
          <w:highlight w:val="none"/>
        </w:rPr>
      </w:pPr>
    </w:p>
    <w:p>
      <w:pPr>
        <w:pStyle w:val="4"/>
        <w:pageBreakBefore w:val="0"/>
        <w:kinsoku/>
        <w:wordWrap/>
        <w:overflowPunct/>
        <w:topLinePunct w:val="0"/>
        <w:autoSpaceDE/>
        <w:autoSpaceDN/>
        <w:bidi w:val="0"/>
        <w:adjustRightInd/>
        <w:snapToGrid/>
        <w:spacing w:before="0" w:after="0" w:line="560" w:lineRule="exact"/>
        <w:ind w:firstLine="640" w:firstLineChars="200"/>
        <w:textAlignment w:val="auto"/>
        <w:rPr>
          <w:rStyle w:val="19"/>
          <w:rFonts w:ascii="仿宋" w:hAnsi="仿宋" w:eastAsia="仿宋"/>
          <w:b w:val="0"/>
          <w:bCs w:val="0"/>
          <w:color w:val="auto"/>
          <w:highlight w:val="none"/>
        </w:rPr>
      </w:pPr>
      <w:bookmarkStart w:id="13" w:name="_Toc15377197"/>
      <w:bookmarkStart w:id="14" w:name="_Toc15396600"/>
      <w:r>
        <w:rPr>
          <w:rFonts w:hint="eastAsia" w:ascii="黑体" w:hAnsi="黑体" w:eastAsia="黑体"/>
          <w:b w:val="0"/>
          <w:color w:val="auto"/>
          <w:highlight w:val="none"/>
        </w:rPr>
        <w:t>一、基</w:t>
      </w:r>
      <w:r>
        <w:rPr>
          <w:rStyle w:val="19"/>
          <w:rFonts w:hint="eastAsia" w:ascii="黑体" w:hAnsi="黑体" w:eastAsia="黑体"/>
          <w:b w:val="0"/>
          <w:bCs w:val="0"/>
          <w:color w:val="auto"/>
          <w:highlight w:val="none"/>
        </w:rPr>
        <w:t>本职能及主要工作</w:t>
      </w:r>
      <w:bookmarkEnd w:id="13"/>
      <w:bookmarkEnd w:id="14"/>
    </w:p>
    <w:p>
      <w:pPr>
        <w:pStyle w:val="13"/>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 w:hAnsi="仿宋" w:eastAsia="仿宋"/>
          <w:bCs/>
          <w:color w:val="000000"/>
          <w:sz w:val="32"/>
          <w:szCs w:val="32"/>
        </w:rPr>
      </w:pPr>
      <w:bookmarkStart w:id="15" w:name="_Toc15378445"/>
      <w:bookmarkStart w:id="16" w:name="_Toc15377198"/>
      <w:r>
        <w:rPr>
          <w:rFonts w:hint="eastAsia" w:ascii="楷体" w:hAnsi="楷体" w:eastAsia="楷体" w:cs="楷体"/>
          <w:bCs/>
          <w:color w:val="auto"/>
          <w:sz w:val="32"/>
          <w:szCs w:val="32"/>
          <w:highlight w:val="none"/>
        </w:rPr>
        <w:t>（一）主要职能。</w:t>
      </w:r>
      <w:bookmarkEnd w:id="15"/>
      <w:bookmarkEnd w:id="16"/>
      <w:bookmarkStart w:id="17" w:name="_Toc15378446"/>
      <w:bookmarkStart w:id="18" w:name="_Toc15377199"/>
      <w:r>
        <w:rPr>
          <w:rFonts w:hint="eastAsia" w:ascii="仿宋" w:hAnsi="仿宋" w:eastAsia="仿宋"/>
          <w:bCs/>
          <w:color w:val="000000"/>
          <w:sz w:val="32"/>
          <w:szCs w:val="32"/>
        </w:rPr>
        <w:t>我局的基本职能主要是负责全市国民经济核算，主管全市统计工作，分析和预测国民经济、社会发展、科技进步和资源环境等情况，</w:t>
      </w:r>
      <w:r>
        <w:rPr>
          <w:rFonts w:hint="eastAsia" w:ascii="仿宋_GB2312" w:hAnsi="仿宋" w:eastAsia="仿宋_GB2312"/>
          <w:sz w:val="32"/>
          <w:szCs w:val="32"/>
        </w:rPr>
        <w:t>贯彻执行有关统计工作的方针、政策和法律、法规、规章；结合本市实际，研究起草有关统计工作的地方性法规、规章草案和政策，并组织实施有关法规、规章和政策。建立和完善统计指标体系，制定全市统一的基本统计制度；组织领导和监督检查各区县、各部门的统计和国民经济核算工作。会同有关部门组织重大的国情、国力调查和开展各项普查；</w:t>
      </w:r>
      <w:r>
        <w:rPr>
          <w:rFonts w:hint="eastAsia" w:ascii="仿宋" w:hAnsi="仿宋" w:eastAsia="仿宋"/>
          <w:bCs/>
          <w:color w:val="000000"/>
          <w:sz w:val="32"/>
          <w:szCs w:val="32"/>
        </w:rPr>
        <w:t>定期发布全市经济社会发展情况的统计信息，向市委、市政府及有关部门提供统计咨询建议，向社会公众提供统计信息服务等,</w:t>
      </w:r>
      <w:r>
        <w:rPr>
          <w:rFonts w:hint="eastAsia" w:ascii="仿宋_GB2312" w:hAnsi="仿宋" w:eastAsia="仿宋_GB2312"/>
          <w:sz w:val="32"/>
          <w:szCs w:val="32"/>
        </w:rPr>
        <w:t>承办市政府交办的其他事项。</w:t>
      </w:r>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（二）20</w:t>
      </w:r>
      <w:r>
        <w:rPr>
          <w:rFonts w:hint="eastAsia" w:ascii="楷体" w:hAnsi="楷体" w:eastAsia="楷体" w:cs="楷体"/>
          <w:bCs/>
          <w:color w:val="auto"/>
          <w:sz w:val="32"/>
          <w:szCs w:val="32"/>
          <w:highlight w:val="none"/>
          <w:lang w:val="en-US" w:eastAsia="zh-CN"/>
        </w:rPr>
        <w:t>21</w:t>
      </w:r>
      <w:r>
        <w:rPr>
          <w:rFonts w:hint="eastAsia" w:ascii="楷体" w:hAnsi="楷体" w:eastAsia="楷体" w:cs="楷体"/>
          <w:bCs/>
          <w:color w:val="auto"/>
          <w:sz w:val="32"/>
          <w:szCs w:val="32"/>
          <w:highlight w:val="none"/>
        </w:rPr>
        <w:t>年重点工作完成情况。</w:t>
      </w:r>
      <w:bookmarkEnd w:id="17"/>
      <w:bookmarkEnd w:id="18"/>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）坚持党建引领，助推统计工作高质量发展</w:t>
      </w:r>
      <w:r>
        <w:rPr>
          <w:rFonts w:hint="eastAsia" w:ascii="仿宋" w:hAnsi="仿宋" w:eastAsia="仿宋" w:cs="仿宋"/>
          <w:b w:val="0"/>
          <w:bCs w:val="0"/>
          <w:sz w:val="32"/>
          <w:szCs w:val="32"/>
          <w:lang w:eastAsia="zh-CN"/>
        </w:rPr>
        <w:t>。</w:t>
      </w:r>
      <w:r>
        <w:rPr>
          <w:rFonts w:hint="eastAsia" w:ascii="仿宋" w:hAnsi="仿宋" w:eastAsia="仿宋" w:cs="仿宋"/>
          <w:sz w:val="32"/>
          <w:szCs w:val="32"/>
          <w:lang w:eastAsia="zh-CN"/>
        </w:rPr>
        <w:t>一是坚定扛牢管党治党政治责任。切实</w:t>
      </w:r>
      <w:r>
        <w:rPr>
          <w:rFonts w:hint="eastAsia" w:ascii="仿宋" w:hAnsi="仿宋" w:eastAsia="仿宋" w:cs="仿宋"/>
          <w:sz w:val="32"/>
          <w:szCs w:val="32"/>
        </w:rPr>
        <w:t>加强党员日常教育，逗硬落实“三会一课”等制度</w:t>
      </w:r>
      <w:r>
        <w:rPr>
          <w:rFonts w:hint="eastAsia" w:ascii="仿宋" w:hAnsi="仿宋" w:eastAsia="仿宋" w:cs="仿宋"/>
          <w:sz w:val="32"/>
          <w:szCs w:val="32"/>
          <w:lang w:eastAsia="zh-CN"/>
        </w:rPr>
        <w:t>，</w:t>
      </w:r>
      <w:r>
        <w:rPr>
          <w:rFonts w:hint="eastAsia" w:ascii="仿宋" w:hAnsi="仿宋" w:eastAsia="仿宋" w:cs="仿宋"/>
          <w:sz w:val="32"/>
          <w:szCs w:val="32"/>
        </w:rPr>
        <w:t>严格落实意识形态工作责任制</w:t>
      </w:r>
      <w:r>
        <w:rPr>
          <w:rFonts w:hint="eastAsia" w:ascii="仿宋" w:hAnsi="仿宋" w:eastAsia="仿宋" w:cs="仿宋"/>
          <w:sz w:val="32"/>
          <w:szCs w:val="32"/>
          <w:lang w:val="en-US" w:eastAsia="zh-CN"/>
        </w:rPr>
        <w:t>。</w:t>
      </w:r>
      <w:r>
        <w:rPr>
          <w:rFonts w:hint="eastAsia" w:ascii="仿宋" w:hAnsi="仿宋" w:eastAsia="仿宋" w:cs="仿宋"/>
          <w:sz w:val="32"/>
          <w:szCs w:val="32"/>
        </w:rPr>
        <w:t>今年以来，召开党组（扩大）会</w:t>
      </w:r>
      <w:r>
        <w:rPr>
          <w:rFonts w:hint="eastAsia" w:ascii="仿宋" w:hAnsi="仿宋" w:eastAsia="仿宋" w:cs="仿宋"/>
          <w:sz w:val="32"/>
          <w:szCs w:val="32"/>
          <w:lang w:val="en-US" w:eastAsia="zh-CN"/>
        </w:rPr>
        <w:t>2</w:t>
      </w:r>
      <w:r>
        <w:rPr>
          <w:rFonts w:hint="eastAsia" w:ascii="仿宋" w:hAnsi="仿宋" w:eastAsia="仿宋" w:cs="仿宋"/>
          <w:sz w:val="32"/>
          <w:szCs w:val="32"/>
          <w:lang w:val="en" w:eastAsia="zh-CN"/>
        </w:rPr>
        <w:t>8</w:t>
      </w:r>
      <w:r>
        <w:rPr>
          <w:rFonts w:hint="eastAsia" w:ascii="仿宋" w:hAnsi="仿宋" w:eastAsia="仿宋" w:cs="仿宋"/>
          <w:sz w:val="32"/>
          <w:szCs w:val="32"/>
        </w:rPr>
        <w:t>次、党组中心组（扩大）学习会1</w:t>
      </w:r>
      <w:r>
        <w:rPr>
          <w:rFonts w:hint="eastAsia" w:ascii="仿宋" w:hAnsi="仿宋" w:eastAsia="仿宋" w:cs="仿宋"/>
          <w:sz w:val="32"/>
          <w:szCs w:val="32"/>
          <w:lang w:val="en-US" w:eastAsia="zh-CN"/>
        </w:rPr>
        <w:t>3</w:t>
      </w:r>
      <w:r>
        <w:rPr>
          <w:rFonts w:hint="eastAsia" w:ascii="仿宋" w:hAnsi="仿宋" w:eastAsia="仿宋" w:cs="仿宋"/>
          <w:sz w:val="32"/>
          <w:szCs w:val="32"/>
        </w:rPr>
        <w:t>次。</w:t>
      </w:r>
      <w:r>
        <w:rPr>
          <w:rFonts w:hint="eastAsia" w:ascii="仿宋" w:hAnsi="仿宋" w:eastAsia="仿宋" w:cs="仿宋"/>
          <w:sz w:val="32"/>
          <w:szCs w:val="32"/>
          <w:lang w:eastAsia="zh-CN"/>
        </w:rPr>
        <w:t>二是认真做好市委巡察整改“回头看”工作。</w:t>
      </w:r>
      <w:r>
        <w:rPr>
          <w:rFonts w:hint="eastAsia" w:ascii="仿宋" w:hAnsi="仿宋" w:eastAsia="仿宋" w:cs="仿宋"/>
          <w:sz w:val="32"/>
          <w:szCs w:val="32"/>
        </w:rPr>
        <w:t>明确</w:t>
      </w:r>
      <w:r>
        <w:rPr>
          <w:rFonts w:hint="eastAsia" w:ascii="仿宋" w:hAnsi="仿宋" w:eastAsia="仿宋" w:cs="仿宋"/>
          <w:sz w:val="32"/>
          <w:szCs w:val="32"/>
          <w:lang w:eastAsia="zh-CN"/>
        </w:rPr>
        <w:t>整改措施和整改时限，扎实开展巡察整改工作。三是持续开展纪律作风整顿。研究出台《广元市统计局干部纪律作风整顿工作方案》等文件，推进全面从严治党“四责协同”机制，定期开展政治生态研判分析，筑牢党员干部拒腐防变思想防线。</w:t>
      </w:r>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kern w:val="2"/>
          <w:sz w:val="32"/>
          <w:szCs w:val="32"/>
          <w:lang w:val="en-US" w:eastAsia="zh-CN" w:bidi="ar-SA"/>
        </w:rPr>
        <w:t>彰显职能职责，多维度谋划优质统计服务。</w:t>
      </w:r>
      <w:r>
        <w:rPr>
          <w:rFonts w:hint="eastAsia" w:ascii="仿宋" w:hAnsi="仿宋" w:eastAsia="仿宋" w:cs="仿宋"/>
          <w:kern w:val="2"/>
          <w:sz w:val="32"/>
          <w:szCs w:val="32"/>
          <w:lang w:val="en-US" w:eastAsia="zh-CN" w:bidi="ar-SA"/>
        </w:rPr>
        <w:t>一是精准预研预判经济运行情况。按月按季召开经济形势分析会，认真研判经济运行情况，提出解决问题的措施建议，及时向党委政府作详细报告。二是精深化调研分析态势。盯紧重点行业、重点领域、重点企业，深入开展专项调查和统计分析。今年，共撰写统计分析报告52篇。其中，被市委市政府主要领导签批39篇。三是精细化提供统计服务。不断提升《统计要情》《统计资料》等统计产品质量，及时通过统计内外网、政府门户网站向社会公开统计信息、统计数据。今年以来，为党委全会、“十四五规划”编制、项目推进等重要会议、活动提供数据服务</w:t>
      </w:r>
      <w:r>
        <w:rPr>
          <w:rFonts w:hint="eastAsia" w:ascii="仿宋" w:hAnsi="仿宋" w:eastAsia="仿宋" w:cs="仿宋"/>
          <w:kern w:val="2"/>
          <w:sz w:val="32"/>
          <w:szCs w:val="32"/>
          <w:lang w:eastAsia="zh-CN" w:bidi="ar-SA"/>
        </w:rPr>
        <w:t>300余次。</w:t>
      </w:r>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仿宋" w:hAnsi="仿宋" w:eastAsia="仿宋" w:cs="仿宋"/>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）聚力改革创新，不断提升统计事业发展动力。</w:t>
      </w:r>
      <w:r>
        <w:rPr>
          <w:rFonts w:hint="eastAsia" w:ascii="仿宋" w:hAnsi="仿宋" w:eastAsia="仿宋" w:cs="仿宋"/>
          <w:sz w:val="32"/>
          <w:szCs w:val="32"/>
          <w:lang w:val="en-US" w:eastAsia="zh-CN"/>
        </w:rPr>
        <w:t>进一步对标省统计改革全领域试点方案的成果要求和目标路径，优化完善高质量发展统计体系，不断探索推动统计制度体系、统计指标体系和统计方法技术现代化。认真组织实施地区生产总值统一核算改革，实现县（区）与全市数据的完全衔接。扎实开展枢纽经济、生态经济、民营经济等重点统计监测，积极推进大数据在人口、服务业、经贸等统计调查中的应用，不断提升统计生产力。</w:t>
      </w:r>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仿宋" w:hAnsi="仿宋" w:eastAsia="仿宋" w:cs="仿宋"/>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）精心组织谋划</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推动各项普查调查高效开展。</w:t>
      </w:r>
      <w:r>
        <w:rPr>
          <w:rFonts w:hint="eastAsia" w:ascii="仿宋" w:hAnsi="仿宋" w:eastAsia="仿宋" w:cs="仿宋"/>
          <w:b w:val="0"/>
          <w:bCs w:val="0"/>
          <w:color w:val="auto"/>
          <w:sz w:val="32"/>
          <w:szCs w:val="32"/>
          <w:lang w:val="en-US" w:eastAsia="zh-CN"/>
        </w:rPr>
        <w:t>认真执行各项统计调查制度及标准，有序推进国民经济核算、能耗核算、民营经济核算和限额以下贸经企业、规模以下工业抽样调查、科技、劳动力、企业创新、城镇化等，</w:t>
      </w:r>
      <w:r>
        <w:rPr>
          <w:rFonts w:hint="eastAsia" w:ascii="仿宋" w:hAnsi="仿宋" w:eastAsia="仿宋" w:cs="仿宋"/>
          <w:sz w:val="32"/>
          <w:szCs w:val="32"/>
          <w:lang w:val="en-US" w:eastAsia="zh-CN"/>
        </w:rPr>
        <w:t>各类常规统计调查任务和各项抽样调查、专项调查及统计监测工作得到省统计局的充分认可。</w:t>
      </w:r>
      <w:r>
        <w:rPr>
          <w:rFonts w:hint="eastAsia" w:ascii="仿宋" w:hAnsi="仿宋" w:eastAsia="仿宋" w:cs="仿宋"/>
          <w:sz w:val="32"/>
          <w:szCs w:val="32"/>
          <w:lang w:eastAsia="zh-CN"/>
        </w:rPr>
        <w:t>统筹协调、上下联动，抓实抓细</w:t>
      </w:r>
      <w:r>
        <w:rPr>
          <w:rFonts w:hint="eastAsia" w:ascii="仿宋" w:hAnsi="仿宋" w:eastAsia="仿宋" w:cs="仿宋"/>
          <w:sz w:val="32"/>
          <w:szCs w:val="32"/>
          <w:lang w:val="en-US" w:eastAsia="zh-CN"/>
        </w:rPr>
        <w:t>“七人普”数据开发运用工作，发布《人口普查公报》6期，引起社会的广泛关注，“七人普”数据挖掘工作深入推进。利州区统计局获第七次全国人口普查国家级先进集体，市统计局等2名同志获国家级先进个人荣誉称号。</w:t>
      </w:r>
    </w:p>
    <w:p>
      <w:pPr>
        <w:pStyle w:val="34"/>
        <w:keepNext w:val="0"/>
        <w:keepLines w:val="0"/>
        <w:pageBreakBefore w:val="0"/>
        <w:widowControl w:val="0"/>
        <w:kinsoku/>
        <w:wordWrap/>
        <w:overflowPunct/>
        <w:topLinePunct w:val="0"/>
        <w:autoSpaceDE/>
        <w:autoSpaceDN/>
        <w:bidi w:val="0"/>
        <w:adjustRightInd/>
        <w:spacing w:line="560" w:lineRule="exact"/>
        <w:ind w:left="0" w:firstLine="588"/>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（5）</w:t>
      </w:r>
      <w:r>
        <w:rPr>
          <w:rFonts w:hint="eastAsia" w:ascii="仿宋" w:hAnsi="仿宋" w:eastAsia="仿宋" w:cs="仿宋"/>
          <w:b w:val="0"/>
          <w:bCs w:val="0"/>
          <w:sz w:val="32"/>
          <w:szCs w:val="32"/>
          <w:lang w:eastAsia="zh-CN"/>
        </w:rPr>
        <w:t>强化依法治统，筑牢统计数据质量生命线。</w:t>
      </w:r>
      <w:r>
        <w:rPr>
          <w:rFonts w:hint="eastAsia" w:ascii="仿宋" w:hAnsi="仿宋" w:eastAsia="仿宋" w:cs="仿宋"/>
          <w:sz w:val="32"/>
          <w:szCs w:val="32"/>
          <w:lang w:val="en-US" w:eastAsia="zh-CN"/>
        </w:rPr>
        <w:t>一是持续增强统计法治意识。联合发改、经信等部门开展多层次、多形式的统计法治培训，切实增强各级各部门依法统计的思想和行动自觉。二是深入开展统计法制宣传。利用下基层调研、入企指导、业务培训会、执法检查等开展统计普法活动，增强调查对象和社会公众的统计法治意识。三是扎实开展统计执法检查。</w:t>
      </w:r>
      <w:r>
        <w:rPr>
          <w:rFonts w:hint="eastAsia" w:ascii="仿宋" w:hAnsi="仿宋" w:eastAsia="仿宋" w:cs="仿宋"/>
          <w:sz w:val="32"/>
          <w:szCs w:val="32"/>
        </w:rPr>
        <w:t>切实加强组织领导，研究制定工作方案，严肃检查工作要求，抽调全市具有统计执法资格的人员组建5个检查组，对全市140户企业开展执法检查，检查出问题企业54户，依法依规对查处的6户企业给予行政处罚，确保广元统计数据真实可靠。</w:t>
      </w:r>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（6）</w:t>
      </w:r>
      <w:r>
        <w:rPr>
          <w:rFonts w:hint="eastAsia" w:ascii="仿宋" w:hAnsi="仿宋" w:eastAsia="仿宋" w:cs="仿宋"/>
          <w:kern w:val="2"/>
          <w:sz w:val="32"/>
          <w:szCs w:val="32"/>
          <w:lang w:val="en-US" w:eastAsia="zh-CN" w:bidi="ar-SA"/>
        </w:rPr>
        <w:t>不断夯实基础，统计规范化建设有序推进。一是及时安排部署。统筹推进</w:t>
      </w:r>
      <w:r>
        <w:rPr>
          <w:rStyle w:val="35"/>
          <w:rFonts w:hint="eastAsia" w:ascii="仿宋" w:hAnsi="仿宋" w:eastAsia="仿宋" w:cs="仿宋"/>
          <w:b w:val="0"/>
          <w:i w:val="0"/>
          <w:caps w:val="0"/>
          <w:spacing w:val="0"/>
          <w:w w:val="100"/>
          <w:kern w:val="2"/>
          <w:sz w:val="32"/>
          <w:szCs w:val="32"/>
          <w:lang w:val="en-US" w:eastAsia="zh-CN" w:bidi="ar-SA"/>
        </w:rPr>
        <w:t>统计基层基础规范化建设年活动</w:t>
      </w:r>
      <w:r>
        <w:rPr>
          <w:rFonts w:hint="eastAsia" w:ascii="仿宋" w:hAnsi="仿宋" w:eastAsia="仿宋" w:cs="仿宋"/>
          <w:kern w:val="2"/>
          <w:sz w:val="32"/>
          <w:szCs w:val="32"/>
          <w:lang w:val="en-US" w:eastAsia="zh-CN" w:bidi="ar-SA"/>
        </w:rPr>
        <w:t>，坚持将统计基层基础工作纳入对县区、相关部门的绩效目标考核，组织县区探索建立基层统计协管员管理机制，</w:t>
      </w:r>
      <w:r>
        <w:rPr>
          <w:rFonts w:hint="eastAsia" w:ascii="仿宋" w:hAnsi="仿宋" w:eastAsia="仿宋" w:cs="仿宋"/>
          <w:sz w:val="32"/>
          <w:szCs w:val="32"/>
          <w:lang w:eastAsia="zh-CN"/>
        </w:rPr>
        <w:t>建立班子成员联系县区、干部职工联系重点企业项目等制度，进一步夯实统计基层基础。</w:t>
      </w:r>
      <w:r>
        <w:rPr>
          <w:rFonts w:hint="eastAsia" w:ascii="仿宋" w:hAnsi="仿宋" w:eastAsia="仿宋" w:cs="仿宋"/>
          <w:kern w:val="2"/>
          <w:sz w:val="32"/>
          <w:szCs w:val="32"/>
          <w:lang w:val="en-US" w:eastAsia="zh-CN" w:bidi="ar-SA"/>
        </w:rPr>
        <w:t>二是抓实业务培训提能。按照分级负责、分层实施原则，通过业务培训会、工作会商会、现场交流等形式，对县区党委政府、各级部门、乡镇及企业领导和统计人员开展业务培训。年内开展各类统计培训10余次，组织参加省统计局业务培训100余人次。三是</w:t>
      </w:r>
      <w:r>
        <w:rPr>
          <w:rFonts w:hint="eastAsia" w:ascii="仿宋" w:hAnsi="仿宋" w:eastAsia="仿宋" w:cs="仿宋"/>
          <w:sz w:val="32"/>
          <w:szCs w:val="32"/>
          <w:lang w:eastAsia="zh-CN"/>
        </w:rPr>
        <w:t>大力推进统计信息化建设，</w:t>
      </w:r>
      <w:r>
        <w:rPr>
          <w:rFonts w:hint="eastAsia" w:ascii="仿宋" w:hAnsi="仿宋" w:eastAsia="仿宋" w:cs="仿宋"/>
          <w:sz w:val="32"/>
          <w:szCs w:val="32"/>
        </w:rPr>
        <w:t>完成骨干网络提速升级改造工作</w:t>
      </w:r>
      <w:r>
        <w:rPr>
          <w:rFonts w:hint="eastAsia" w:ascii="仿宋" w:hAnsi="仿宋" w:eastAsia="仿宋" w:cs="仿宋"/>
          <w:sz w:val="32"/>
          <w:szCs w:val="32"/>
          <w:lang w:eastAsia="zh-CN"/>
        </w:rPr>
        <w:t>和乡村振兴统计监测系统等级保护测评整改，保障</w:t>
      </w:r>
      <w:r>
        <w:rPr>
          <w:rFonts w:hint="eastAsia" w:ascii="仿宋" w:hAnsi="仿宋" w:eastAsia="仿宋" w:cs="仿宋"/>
          <w:sz w:val="32"/>
          <w:szCs w:val="32"/>
        </w:rPr>
        <w:t>统计信息网络运</w:t>
      </w:r>
      <w:r>
        <w:rPr>
          <w:rFonts w:hint="eastAsia" w:ascii="仿宋" w:hAnsi="仿宋" w:eastAsia="仿宋" w:cs="仿宋"/>
          <w:kern w:val="2"/>
          <w:sz w:val="32"/>
          <w:szCs w:val="32"/>
          <w:lang w:val="en-US" w:eastAsia="zh-CN" w:bidi="ar-SA"/>
        </w:rPr>
        <w:t>行稳定、通畅、安全。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35"/>
          <w:rFonts w:hint="eastAsia" w:ascii="仿宋" w:hAnsi="仿宋" w:eastAsia="仿宋" w:cs="仿宋"/>
          <w:b w:val="0"/>
          <w:i w:val="0"/>
          <w:caps w:val="0"/>
          <w:spacing w:val="0"/>
          <w:w w:val="100"/>
          <w:kern w:val="2"/>
          <w:sz w:val="32"/>
          <w:szCs w:val="32"/>
          <w:lang w:val="en-US" w:eastAsia="zh-CN" w:bidi="ar-SA"/>
        </w:rPr>
      </w:pPr>
      <w:r>
        <w:rPr>
          <w:rStyle w:val="35"/>
          <w:rFonts w:hint="eastAsia" w:ascii="仿宋" w:hAnsi="仿宋" w:eastAsia="仿宋" w:cs="仿宋"/>
          <w:b w:val="0"/>
          <w:i w:val="0"/>
          <w:caps w:val="0"/>
          <w:spacing w:val="0"/>
          <w:w w:val="100"/>
          <w:kern w:val="2"/>
          <w:sz w:val="32"/>
          <w:szCs w:val="32"/>
          <w:lang w:val="en-US" w:eastAsia="zh-CN" w:bidi="ar-SA"/>
        </w:rPr>
        <w:t>虽然我市统计工作取得了一定成效，但还存在统计监督作用空间发挥不足、统计基础较为薄弱、数据质量和统计能力还有待提升、统计改革还需强化等问题。下一步，我们将坚持以习近平新时代中国特色社会主义思想为指导，进一步坚定信心、强化责任担当，为开创广元经济高质量发展新局面提供坚实统计保障。</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19"/>
          <w:b w:val="0"/>
          <w:bCs w:val="0"/>
          <w:color w:val="auto"/>
          <w:highlight w:val="none"/>
        </w:rPr>
      </w:pPr>
      <w:bookmarkStart w:id="19" w:name="_Toc15396601"/>
      <w:bookmarkStart w:id="20"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19"/>
          <w:rFonts w:hint="eastAsia" w:ascii="黑体" w:hAnsi="黑体" w:eastAsia="黑体"/>
          <w:b w:val="0"/>
          <w:bCs w:val="0"/>
          <w:color w:val="auto"/>
          <w:highlight w:val="none"/>
        </w:rPr>
        <w:t>构设置</w:t>
      </w:r>
      <w:bookmarkEnd w:id="19"/>
      <w:bookmarkEnd w:id="20"/>
    </w:p>
    <w:p>
      <w:pPr>
        <w:pageBreakBefore w:val="0"/>
        <w:kinsoku/>
        <w:wordWrap/>
        <w:overflowPunct/>
        <w:topLinePunct w:val="0"/>
        <w:autoSpaceDE/>
        <w:autoSpaceDN/>
        <w:bidi w:val="0"/>
        <w:adjustRightInd/>
        <w:snapToGrid w:val="0"/>
        <w:spacing w:line="560" w:lineRule="exact"/>
        <w:ind w:firstLine="640" w:firstLineChars="200"/>
        <w:rPr>
          <w:rFonts w:ascii="仿宋" w:hAnsi="仿宋" w:eastAsia="仿宋"/>
          <w:bCs/>
          <w:color w:val="000000"/>
          <w:sz w:val="32"/>
          <w:szCs w:val="32"/>
        </w:rPr>
      </w:pPr>
      <w:r>
        <w:rPr>
          <w:rFonts w:hint="eastAsia" w:ascii="仿宋" w:hAnsi="仿宋" w:eastAsia="仿宋"/>
          <w:sz w:val="32"/>
          <w:szCs w:val="32"/>
        </w:rPr>
        <w:t>我</w:t>
      </w:r>
      <w:r>
        <w:rPr>
          <w:rFonts w:ascii="仿宋" w:hAnsi="仿宋" w:eastAsia="仿宋"/>
          <w:sz w:val="32"/>
          <w:szCs w:val="32"/>
        </w:rPr>
        <w:t>局</w:t>
      </w:r>
      <w:r>
        <w:rPr>
          <w:rFonts w:hint="eastAsia" w:ascii="仿宋" w:hAnsi="仿宋" w:eastAsia="仿宋"/>
          <w:sz w:val="32"/>
          <w:szCs w:val="32"/>
        </w:rPr>
        <w:t>为一级</w:t>
      </w:r>
      <w:r>
        <w:rPr>
          <w:rFonts w:ascii="仿宋" w:hAnsi="仿宋" w:eastAsia="仿宋"/>
          <w:sz w:val="32"/>
          <w:szCs w:val="32"/>
        </w:rPr>
        <w:t>预算的</w:t>
      </w:r>
      <w:r>
        <w:rPr>
          <w:rFonts w:hint="eastAsia" w:ascii="仿宋" w:hAnsi="仿宋" w:eastAsia="仿宋"/>
          <w:sz w:val="32"/>
          <w:szCs w:val="32"/>
        </w:rPr>
        <w:t>行政单位，无二级</w:t>
      </w:r>
      <w:r>
        <w:rPr>
          <w:rFonts w:ascii="仿宋" w:hAnsi="仿宋" w:eastAsia="仿宋"/>
          <w:sz w:val="32"/>
          <w:szCs w:val="32"/>
        </w:rPr>
        <w:t>单位，下属</w:t>
      </w:r>
      <w:r>
        <w:rPr>
          <w:rFonts w:hint="eastAsia" w:ascii="仿宋" w:hAnsi="仿宋" w:eastAsia="仿宋"/>
          <w:sz w:val="32"/>
          <w:szCs w:val="32"/>
        </w:rPr>
        <w:t>参照公务员法管理的事业单位1个，全额</w:t>
      </w:r>
      <w:r>
        <w:rPr>
          <w:rFonts w:ascii="仿宋" w:hAnsi="仿宋" w:eastAsia="仿宋"/>
          <w:sz w:val="32"/>
          <w:szCs w:val="32"/>
        </w:rPr>
        <w:t>拨款</w:t>
      </w:r>
      <w:r>
        <w:rPr>
          <w:rFonts w:hint="eastAsia" w:ascii="仿宋" w:hAnsi="仿宋" w:eastAsia="仿宋"/>
          <w:sz w:val="32"/>
          <w:szCs w:val="32"/>
        </w:rPr>
        <w:t>事业单位1个。</w:t>
      </w:r>
      <w:r>
        <w:rPr>
          <w:rFonts w:hint="eastAsia" w:ascii="仿宋" w:hAnsi="仿宋" w:eastAsia="仿宋"/>
          <w:bCs/>
          <w:color w:val="000000"/>
          <w:spacing w:val="-4"/>
          <w:sz w:val="32"/>
          <w:szCs w:val="32"/>
        </w:rPr>
        <w:t>本单位共有编制</w:t>
      </w:r>
      <w:r>
        <w:rPr>
          <w:rFonts w:hint="eastAsia" w:ascii="仿宋" w:hAnsi="仿宋" w:eastAsia="仿宋"/>
          <w:bCs/>
          <w:color w:val="000000"/>
          <w:spacing w:val="-4"/>
          <w:sz w:val="32"/>
          <w:szCs w:val="32"/>
          <w:lang w:val="en-US" w:eastAsia="zh-CN"/>
        </w:rPr>
        <w:t>41</w:t>
      </w:r>
      <w:r>
        <w:rPr>
          <w:rFonts w:hint="eastAsia" w:ascii="仿宋" w:hAnsi="仿宋" w:eastAsia="仿宋"/>
          <w:bCs/>
          <w:color w:val="000000"/>
          <w:spacing w:val="-4"/>
          <w:sz w:val="32"/>
          <w:szCs w:val="32"/>
        </w:rPr>
        <w:t>名。</w:t>
      </w:r>
      <w:r>
        <w:rPr>
          <w:rFonts w:hint="eastAsia" w:ascii="仿宋_GB2312" w:hAnsi="仿宋" w:eastAsia="仿宋_GB2312" w:cs="仿宋"/>
          <w:color w:val="000000"/>
          <w:sz w:val="32"/>
          <w:szCs w:val="32"/>
        </w:rPr>
        <w:t>总编制</w:t>
      </w:r>
      <w:r>
        <w:rPr>
          <w:rFonts w:hint="eastAsia" w:ascii="仿宋_GB2312" w:hAnsi="仿宋" w:eastAsia="仿宋_GB2312" w:cs="仿宋"/>
          <w:color w:val="000000"/>
          <w:sz w:val="32"/>
          <w:szCs w:val="32"/>
          <w:lang w:val="en-US" w:eastAsia="zh-CN"/>
        </w:rPr>
        <w:t>40</w:t>
      </w:r>
      <w:r>
        <w:rPr>
          <w:rFonts w:hint="eastAsia" w:ascii="仿宋_GB2312" w:hAnsi="仿宋" w:eastAsia="仿宋_GB2312" w:cs="仿宋"/>
          <w:color w:val="000000"/>
          <w:sz w:val="32"/>
          <w:szCs w:val="32"/>
        </w:rPr>
        <w:t>个。</w:t>
      </w:r>
      <w:r>
        <w:rPr>
          <w:rFonts w:hint="eastAsia" w:ascii="仿宋" w:hAnsi="仿宋" w:eastAsia="仿宋"/>
          <w:bCs/>
          <w:color w:val="000000"/>
          <w:spacing w:val="-4"/>
          <w:sz w:val="32"/>
          <w:szCs w:val="32"/>
        </w:rPr>
        <w:t>其中局机关</w:t>
      </w:r>
      <w:r>
        <w:rPr>
          <w:rFonts w:ascii="仿宋" w:hAnsi="仿宋" w:eastAsia="仿宋"/>
          <w:bCs/>
          <w:color w:val="000000"/>
          <w:spacing w:val="-4"/>
          <w:sz w:val="32"/>
          <w:szCs w:val="32"/>
        </w:rPr>
        <w:t>23</w:t>
      </w:r>
      <w:r>
        <w:rPr>
          <w:rFonts w:hint="eastAsia" w:ascii="仿宋" w:hAnsi="仿宋" w:eastAsia="仿宋"/>
          <w:bCs/>
          <w:color w:val="000000"/>
          <w:spacing w:val="-4"/>
          <w:sz w:val="32"/>
          <w:szCs w:val="32"/>
        </w:rPr>
        <w:t>名，包括行政编制</w:t>
      </w:r>
      <w:r>
        <w:rPr>
          <w:rFonts w:ascii="仿宋" w:hAnsi="仿宋" w:eastAsia="仿宋"/>
          <w:bCs/>
          <w:color w:val="000000"/>
          <w:spacing w:val="-4"/>
          <w:sz w:val="32"/>
          <w:szCs w:val="32"/>
        </w:rPr>
        <w:t>21</w:t>
      </w:r>
      <w:r>
        <w:rPr>
          <w:rFonts w:hint="eastAsia" w:ascii="仿宋" w:hAnsi="仿宋" w:eastAsia="仿宋"/>
          <w:bCs/>
          <w:color w:val="000000"/>
          <w:spacing w:val="-4"/>
          <w:sz w:val="32"/>
          <w:szCs w:val="32"/>
        </w:rPr>
        <w:t>名、工勤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名；市普查中心编制</w:t>
      </w:r>
      <w:r>
        <w:rPr>
          <w:rFonts w:ascii="仿宋" w:hAnsi="仿宋" w:eastAsia="仿宋"/>
          <w:bCs/>
          <w:color w:val="000000"/>
          <w:spacing w:val="-4"/>
          <w:sz w:val="32"/>
          <w:szCs w:val="32"/>
        </w:rPr>
        <w:t>6</w:t>
      </w:r>
      <w:r>
        <w:rPr>
          <w:rFonts w:hint="eastAsia" w:ascii="仿宋" w:hAnsi="仿宋" w:eastAsia="仿宋"/>
          <w:bCs/>
          <w:color w:val="000000"/>
          <w:spacing w:val="-4"/>
          <w:sz w:val="32"/>
          <w:szCs w:val="32"/>
        </w:rPr>
        <w:t>名；市统计大数据管理与社情民意调查中心编制</w:t>
      </w:r>
      <w:r>
        <w:rPr>
          <w:rFonts w:ascii="仿宋" w:hAnsi="仿宋" w:eastAsia="仿宋"/>
          <w:bCs/>
          <w:color w:val="000000"/>
          <w:spacing w:val="-4"/>
          <w:sz w:val="32"/>
          <w:szCs w:val="32"/>
        </w:rPr>
        <w:t>1</w:t>
      </w:r>
      <w:r>
        <w:rPr>
          <w:rFonts w:hint="eastAsia" w:ascii="仿宋" w:hAnsi="仿宋" w:eastAsia="仿宋"/>
          <w:bCs/>
          <w:color w:val="000000"/>
          <w:spacing w:val="-4"/>
          <w:sz w:val="32"/>
          <w:szCs w:val="32"/>
          <w:lang w:val="en-US" w:eastAsia="zh-CN"/>
        </w:rPr>
        <w:t>2</w:t>
      </w:r>
      <w:r>
        <w:rPr>
          <w:rFonts w:hint="eastAsia" w:ascii="仿宋" w:hAnsi="仿宋" w:eastAsia="仿宋"/>
          <w:bCs/>
          <w:color w:val="000000"/>
          <w:spacing w:val="-4"/>
          <w:sz w:val="32"/>
          <w:szCs w:val="32"/>
        </w:rPr>
        <w:t>名。在职人员</w:t>
      </w:r>
      <w:r>
        <w:rPr>
          <w:rFonts w:hint="eastAsia" w:ascii="仿宋" w:hAnsi="仿宋" w:eastAsia="仿宋"/>
          <w:bCs/>
          <w:color w:val="000000"/>
          <w:spacing w:val="-4"/>
          <w:sz w:val="32"/>
          <w:szCs w:val="32"/>
          <w:lang w:val="en-US" w:eastAsia="zh-CN"/>
        </w:rPr>
        <w:t>40</w:t>
      </w:r>
      <w:r>
        <w:rPr>
          <w:rFonts w:hint="eastAsia" w:ascii="仿宋" w:hAnsi="仿宋" w:eastAsia="仿宋"/>
          <w:bCs/>
          <w:color w:val="000000"/>
          <w:spacing w:val="-4"/>
          <w:sz w:val="32"/>
          <w:szCs w:val="32"/>
        </w:rPr>
        <w:t>名，其中财政供养人员</w:t>
      </w:r>
      <w:r>
        <w:rPr>
          <w:rFonts w:hint="eastAsia" w:ascii="仿宋" w:hAnsi="仿宋" w:eastAsia="仿宋"/>
          <w:bCs/>
          <w:color w:val="000000"/>
          <w:spacing w:val="-4"/>
          <w:sz w:val="32"/>
          <w:szCs w:val="32"/>
          <w:lang w:val="en-US" w:eastAsia="zh-CN"/>
        </w:rPr>
        <w:t>40</w:t>
      </w:r>
      <w:r>
        <w:rPr>
          <w:rFonts w:hint="eastAsia" w:ascii="仿宋" w:hAnsi="仿宋" w:eastAsia="仿宋"/>
          <w:bCs/>
          <w:color w:val="000000"/>
          <w:spacing w:val="-4"/>
          <w:sz w:val="32"/>
          <w:szCs w:val="32"/>
        </w:rPr>
        <w:t>人，局机关</w:t>
      </w:r>
      <w:r>
        <w:rPr>
          <w:rFonts w:ascii="仿宋" w:hAnsi="仿宋" w:eastAsia="仿宋"/>
          <w:bCs/>
          <w:color w:val="000000"/>
          <w:spacing w:val="-4"/>
          <w:sz w:val="32"/>
          <w:szCs w:val="32"/>
        </w:rPr>
        <w:t>2</w:t>
      </w:r>
      <w:r>
        <w:rPr>
          <w:rFonts w:hint="eastAsia" w:ascii="仿宋" w:hAnsi="仿宋" w:eastAsia="仿宋"/>
          <w:bCs/>
          <w:color w:val="000000"/>
          <w:spacing w:val="-4"/>
          <w:sz w:val="32"/>
          <w:szCs w:val="32"/>
          <w:lang w:val="en-US" w:eastAsia="zh-CN"/>
        </w:rPr>
        <w:t>3</w:t>
      </w:r>
      <w:r>
        <w:rPr>
          <w:rFonts w:hint="eastAsia" w:ascii="仿宋" w:hAnsi="仿宋" w:eastAsia="仿宋"/>
          <w:bCs/>
          <w:color w:val="000000"/>
          <w:spacing w:val="-4"/>
          <w:sz w:val="32"/>
          <w:szCs w:val="32"/>
        </w:rPr>
        <w:t>人包括行政人员</w:t>
      </w:r>
      <w:r>
        <w:rPr>
          <w:rFonts w:hint="eastAsia" w:ascii="仿宋" w:hAnsi="仿宋" w:eastAsia="仿宋"/>
          <w:bCs/>
          <w:color w:val="000000"/>
          <w:spacing w:val="-4"/>
          <w:sz w:val="32"/>
          <w:szCs w:val="32"/>
          <w:lang w:val="en-US" w:eastAsia="zh-CN"/>
        </w:rPr>
        <w:t>21</w:t>
      </w:r>
      <w:r>
        <w:rPr>
          <w:rFonts w:hint="eastAsia" w:ascii="仿宋" w:hAnsi="仿宋" w:eastAsia="仿宋"/>
          <w:bCs/>
          <w:color w:val="000000"/>
          <w:spacing w:val="-4"/>
          <w:sz w:val="32"/>
          <w:szCs w:val="32"/>
        </w:rPr>
        <w:t>人、工勤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人，市普查中心</w:t>
      </w:r>
      <w:r>
        <w:rPr>
          <w:rFonts w:hint="eastAsia" w:ascii="仿宋" w:hAnsi="仿宋" w:eastAsia="仿宋"/>
          <w:bCs/>
          <w:color w:val="000000"/>
          <w:spacing w:val="-4"/>
          <w:sz w:val="32"/>
          <w:szCs w:val="32"/>
          <w:lang w:val="en-US" w:eastAsia="zh-CN"/>
        </w:rPr>
        <w:t>6</w:t>
      </w:r>
      <w:r>
        <w:rPr>
          <w:rFonts w:hint="eastAsia" w:ascii="仿宋" w:hAnsi="仿宋" w:eastAsia="仿宋"/>
          <w:bCs/>
          <w:color w:val="000000"/>
          <w:spacing w:val="-4"/>
          <w:sz w:val="32"/>
          <w:szCs w:val="32"/>
        </w:rPr>
        <w:t>人包括行政人员</w:t>
      </w:r>
      <w:r>
        <w:rPr>
          <w:rFonts w:hint="eastAsia" w:ascii="仿宋" w:hAnsi="仿宋" w:eastAsia="仿宋"/>
          <w:bCs/>
          <w:color w:val="000000"/>
          <w:spacing w:val="-4"/>
          <w:sz w:val="32"/>
          <w:szCs w:val="32"/>
          <w:lang w:val="en-US" w:eastAsia="zh-CN"/>
        </w:rPr>
        <w:t>5</w:t>
      </w:r>
      <w:r>
        <w:rPr>
          <w:rFonts w:hint="eastAsia" w:ascii="仿宋" w:hAnsi="仿宋" w:eastAsia="仿宋"/>
          <w:bCs/>
          <w:color w:val="000000"/>
          <w:spacing w:val="-4"/>
          <w:sz w:val="32"/>
          <w:szCs w:val="32"/>
        </w:rPr>
        <w:t>名、工勤人员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名，市统计大数据管理与社情民意调查中心全额事业人员</w:t>
      </w:r>
      <w:r>
        <w:rPr>
          <w:rFonts w:hint="eastAsia" w:ascii="仿宋" w:hAnsi="仿宋" w:eastAsia="仿宋"/>
          <w:bCs/>
          <w:color w:val="000000"/>
          <w:spacing w:val="-4"/>
          <w:sz w:val="32"/>
          <w:szCs w:val="32"/>
          <w:lang w:val="en-US" w:eastAsia="zh-CN"/>
        </w:rPr>
        <w:t>11</w:t>
      </w:r>
      <w:r>
        <w:rPr>
          <w:rFonts w:hint="eastAsia" w:ascii="仿宋" w:hAnsi="仿宋" w:eastAsia="仿宋"/>
          <w:bCs/>
          <w:color w:val="000000"/>
          <w:spacing w:val="-4"/>
          <w:sz w:val="32"/>
          <w:szCs w:val="32"/>
        </w:rPr>
        <w:t>名；长期聘用人员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人</w:t>
      </w:r>
      <w:r>
        <w:rPr>
          <w:rFonts w:hint="eastAsia" w:ascii="仿宋" w:hAnsi="仿宋" w:eastAsia="仿宋"/>
          <w:bCs/>
          <w:color w:val="000000"/>
          <w:sz w:val="32"/>
          <w:szCs w:val="32"/>
        </w:rPr>
        <w:t>。</w:t>
      </w:r>
    </w:p>
    <w:p>
      <w:pPr>
        <w:pageBreakBefore w:val="0"/>
        <w:kinsoku/>
        <w:wordWrap/>
        <w:overflowPunct/>
        <w:topLinePunct w:val="0"/>
        <w:autoSpaceDE/>
        <w:autoSpaceDN/>
        <w:bidi w:val="0"/>
        <w:adjustRightInd/>
        <w:spacing w:line="560" w:lineRule="exact"/>
        <w:ind w:firstLine="800" w:firstLineChars="250"/>
        <w:rPr>
          <w:rFonts w:ascii="仿宋" w:hAnsi="仿宋" w:eastAsia="仿宋"/>
          <w:sz w:val="32"/>
          <w:szCs w:val="32"/>
        </w:rPr>
      </w:pPr>
    </w:p>
    <w:p>
      <w:pPr>
        <w:pageBreakBefore w:val="0"/>
        <w:widowControl/>
        <w:kinsoku/>
        <w:wordWrap/>
        <w:overflowPunct/>
        <w:topLinePunct w:val="0"/>
        <w:autoSpaceDE/>
        <w:autoSpaceDN/>
        <w:bidi w:val="0"/>
        <w:adjustRightInd/>
        <w:spacing w:line="560" w:lineRule="exact"/>
        <w:jc w:val="left"/>
        <w:rPr>
          <w:rFonts w:ascii="仿宋" w:hAnsi="仿宋" w:eastAsia="仿宋"/>
          <w:color w:val="auto"/>
          <w:kern w:val="0"/>
          <w:sz w:val="32"/>
          <w:szCs w:val="32"/>
          <w:highlight w:val="none"/>
        </w:rPr>
      </w:pPr>
    </w:p>
    <w:p>
      <w:pPr>
        <w:pStyle w:val="2"/>
        <w:rPr>
          <w:rFonts w:hint="eastAsia" w:ascii="仿宋" w:hAnsi="仿宋" w:eastAsia="仿宋"/>
          <w:color w:val="auto"/>
          <w:kern w:val="0"/>
          <w:sz w:val="32"/>
          <w:szCs w:val="32"/>
          <w:highlight w:val="none"/>
          <w:lang w:val="en-US" w:eastAsia="zh-CN"/>
        </w:rPr>
      </w:pPr>
      <w:r>
        <w:rPr>
          <w:rFonts w:hint="eastAsia" w:ascii="仿宋" w:hAnsi="仿宋" w:eastAsia="仿宋"/>
          <w:color w:val="auto"/>
          <w:kern w:val="0"/>
          <w:sz w:val="32"/>
          <w:szCs w:val="32"/>
          <w:highlight w:val="none"/>
          <w:lang w:val="en-US" w:eastAsia="zh-CN"/>
        </w:rPr>
        <w:t xml:space="preserve"> </w:t>
      </w: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3"/>
        <w:ind w:right="440"/>
        <w:jc w:val="center"/>
        <w:rPr>
          <w:rStyle w:val="18"/>
          <w:rFonts w:ascii="黑体" w:hAnsi="黑体" w:eastAsia="黑体"/>
          <w:b w:val="0"/>
          <w:bCs/>
          <w:color w:val="auto"/>
          <w:highlight w:val="none"/>
        </w:rPr>
      </w:pPr>
      <w:bookmarkStart w:id="21" w:name="_Toc15377204"/>
      <w:bookmarkStart w:id="22"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18"/>
          <w:rFonts w:hint="eastAsia" w:ascii="黑体" w:hAnsi="黑体" w:eastAsia="黑体"/>
          <w:b w:val="0"/>
          <w:bCs/>
          <w:color w:val="auto"/>
          <w:highlight w:val="none"/>
        </w:rPr>
        <w:t>部门决算情况说明</w:t>
      </w:r>
      <w:bookmarkEnd w:id="21"/>
      <w:bookmarkEnd w:id="22"/>
    </w:p>
    <w:p>
      <w:pPr>
        <w:pStyle w:val="2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50" w:leftChars="0" w:firstLineChars="0"/>
        <w:textAlignment w:val="auto"/>
        <w:outlineLvl w:val="1"/>
        <w:rPr>
          <w:rStyle w:val="19"/>
          <w:rFonts w:ascii="黑体" w:hAnsi="黑体" w:eastAsia="黑体"/>
          <w:b w:val="0"/>
          <w:color w:val="auto"/>
          <w:highlight w:val="none"/>
        </w:rPr>
      </w:pPr>
      <w:bookmarkStart w:id="23" w:name="_Toc15377205"/>
      <w:bookmarkStart w:id="24" w:name="_Toc15396603"/>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入支出决算总体情况说明</w:t>
      </w:r>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年度收、支总计905.12万元。与20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8.07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val="en-US" w:eastAsia="zh-CN"/>
        </w:rPr>
        <w:t>2020年是全国第七次人口普查工作实施年，相关普查经费较高，2021年普查资料开发及数据核查相关工作，费用有一定下降。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29835" cy="3090545"/>
            <wp:effectExtent l="0" t="0" r="18415" b="14605"/>
            <wp:docPr id="2"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true"/>
                    </pic:cNvPicPr>
                  </pic:nvPicPr>
                  <pic:blipFill>
                    <a:blip r:embed="rId11"/>
                    <a:stretch>
                      <a:fillRect/>
                    </a:stretch>
                  </pic:blipFill>
                  <pic:spPr>
                    <a:xfrm>
                      <a:off x="0" y="0"/>
                      <a:ext cx="5029835" cy="3090545"/>
                    </a:xfrm>
                    <a:prstGeom prst="rect">
                      <a:avLst/>
                    </a:prstGeom>
                    <a:noFill/>
                    <a:ln w="9525">
                      <a:noFill/>
                    </a:ln>
                  </pic:spPr>
                </pic:pic>
              </a:graphicData>
            </a:graphic>
          </wp:inline>
        </w:drawing>
      </w:r>
    </w:p>
    <w:p>
      <w:pPr>
        <w:keepNext w:val="0"/>
        <w:keepLines w:val="0"/>
        <w:widowControl/>
        <w:suppressLineNumbers w:val="0"/>
        <w:jc w:val="left"/>
      </w:pPr>
    </w:p>
    <w:p>
      <w:pPr>
        <w:pStyle w:val="2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50" w:leftChars="0" w:firstLineChars="0"/>
        <w:textAlignment w:val="auto"/>
        <w:outlineLvl w:val="1"/>
        <w:rPr>
          <w:rStyle w:val="19"/>
          <w:rFonts w:ascii="黑体" w:hAnsi="黑体" w:eastAsia="黑体"/>
          <w:b w:val="0"/>
          <w:color w:val="auto"/>
          <w:highlight w:val="none"/>
        </w:rPr>
      </w:pPr>
      <w:bookmarkStart w:id="25" w:name="_Toc15396604"/>
      <w:bookmarkStart w:id="26" w:name="_Toc15377206"/>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入决算情况说明</w:t>
      </w:r>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年本年收入合计833.87万元，其中：一般公共预算财政拨款收入833.0</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733290" cy="2638425"/>
            <wp:effectExtent l="0" t="0" r="10160" b="9525"/>
            <wp:docPr id="3" name="图片 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true"/>
                    </pic:cNvPicPr>
                  </pic:nvPicPr>
                  <pic:blipFill>
                    <a:blip r:embed="rId12"/>
                    <a:stretch>
                      <a:fillRect/>
                    </a:stretch>
                  </pic:blipFill>
                  <pic:spPr>
                    <a:xfrm>
                      <a:off x="0" y="0"/>
                      <a:ext cx="4733290" cy="2638425"/>
                    </a:xfrm>
                    <a:prstGeom prst="rect">
                      <a:avLst/>
                    </a:prstGeom>
                    <a:noFill/>
                    <a:ln w="9525">
                      <a:noFill/>
                    </a:ln>
                  </pic:spPr>
                </pic:pic>
              </a:graphicData>
            </a:graphic>
          </wp:inline>
        </w:drawing>
      </w:r>
    </w:p>
    <w:p>
      <w:pPr>
        <w:pStyle w:val="2"/>
      </w:pPr>
    </w:p>
    <w:p>
      <w:pPr>
        <w:pStyle w:val="28"/>
        <w:numPr>
          <w:ilvl w:val="0"/>
          <w:numId w:val="1"/>
        </w:numPr>
        <w:spacing w:line="600" w:lineRule="exact"/>
        <w:ind w:left="1350" w:leftChars="0" w:firstLineChars="0"/>
        <w:outlineLvl w:val="1"/>
        <w:rPr>
          <w:rStyle w:val="19"/>
          <w:rFonts w:ascii="黑体" w:hAnsi="黑体" w:eastAsia="黑体"/>
          <w:b w:val="0"/>
          <w:color w:val="auto"/>
          <w:highlight w:val="none"/>
        </w:rPr>
      </w:pPr>
      <w:bookmarkStart w:id="27" w:name="_Toc15396605"/>
      <w:bookmarkStart w:id="28" w:name="_Toc15377207"/>
      <w:r>
        <w:rPr>
          <w:rFonts w:hint="eastAsia" w:ascii="黑体" w:hAnsi="黑体" w:eastAsia="黑体"/>
          <w:color w:val="auto"/>
          <w:sz w:val="32"/>
          <w:szCs w:val="32"/>
          <w:highlight w:val="none"/>
        </w:rPr>
        <w:t>支</w:t>
      </w:r>
      <w:r>
        <w:rPr>
          <w:rStyle w:val="19"/>
          <w:rFonts w:hint="eastAsia" w:ascii="黑体" w:hAnsi="黑体" w:eastAsia="黑体"/>
          <w:b w:val="0"/>
          <w:color w:val="auto"/>
          <w:highlight w:val="none"/>
        </w:rPr>
        <w:t>出决算情况说明</w:t>
      </w:r>
      <w:bookmarkEnd w:id="27"/>
      <w:bookmarkEnd w:id="28"/>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880.57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683.73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77.65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；项目支出196.84万元，占</w:t>
      </w:r>
      <w:r>
        <w:rPr>
          <w:rFonts w:hint="eastAsia" w:ascii="仿宋" w:hAnsi="仿宋" w:eastAsia="仿宋"/>
          <w:color w:val="auto"/>
          <w:sz w:val="32"/>
          <w:szCs w:val="32"/>
          <w:highlight w:val="none"/>
          <w:lang w:val="en-US" w:eastAsia="zh-CN"/>
        </w:rPr>
        <w:t>22.35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widowControl/>
        <w:suppressLineNumbers w:val="0"/>
        <w:jc w:val="left"/>
      </w:pPr>
      <w:r>
        <w:rPr>
          <w:rFonts w:hint="eastAsia" w:ascii="仿宋" w:hAnsi="仿宋" w:eastAsia="仿宋"/>
          <w:color w:val="auto"/>
          <w:sz w:val="32"/>
          <w:szCs w:val="32"/>
          <w:highlight w:val="none"/>
        </w:rPr>
        <w:t>（图3：支出决算结构图）</w:t>
      </w:r>
      <w:r>
        <w:rPr>
          <w:rFonts w:ascii="宋体" w:hAnsi="宋体" w:eastAsia="宋体" w:cs="宋体"/>
          <w:kern w:val="0"/>
          <w:sz w:val="24"/>
          <w:szCs w:val="24"/>
          <w:lang w:val="en-US" w:eastAsia="zh-CN" w:bidi="ar"/>
        </w:rPr>
        <w:drawing>
          <wp:inline distT="0" distB="0" distL="114300" distR="114300">
            <wp:extent cx="5152390" cy="2875915"/>
            <wp:effectExtent l="0" t="0" r="10160" b="635"/>
            <wp:docPr id="10"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true"/>
                    </pic:cNvPicPr>
                  </pic:nvPicPr>
                  <pic:blipFill>
                    <a:blip r:embed="rId13"/>
                    <a:stretch>
                      <a:fillRect/>
                    </a:stretch>
                  </pic:blipFill>
                  <pic:spPr>
                    <a:xfrm>
                      <a:off x="0" y="0"/>
                      <a:ext cx="5152390" cy="2875915"/>
                    </a:xfrm>
                    <a:prstGeom prst="rect">
                      <a:avLst/>
                    </a:prstGeom>
                    <a:noFill/>
                    <a:ln w="9525">
                      <a:noFill/>
                    </a:ln>
                  </pic:spPr>
                </pic:pic>
              </a:graphicData>
            </a:graphic>
          </wp:inline>
        </w:drawing>
      </w:r>
    </w:p>
    <w:p>
      <w:pPr>
        <w:pStyle w:val="2"/>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19"/>
          <w:rFonts w:ascii="黑体" w:hAnsi="黑体" w:eastAsia="黑体"/>
          <w:b w:val="0"/>
          <w:color w:val="auto"/>
          <w:highlight w:val="none"/>
        </w:rPr>
      </w:pPr>
      <w:bookmarkStart w:id="29" w:name="_Toc15396606"/>
      <w:bookmarkStart w:id="30" w:name="_Toc15377208"/>
      <w:r>
        <w:rPr>
          <w:rFonts w:hint="eastAsia" w:ascii="黑体" w:hAnsi="黑体" w:eastAsia="黑体"/>
          <w:color w:val="auto"/>
          <w:sz w:val="32"/>
          <w:szCs w:val="32"/>
          <w:highlight w:val="none"/>
        </w:rPr>
        <w:t>四、财</w:t>
      </w:r>
      <w:r>
        <w:rPr>
          <w:rStyle w:val="19"/>
          <w:rFonts w:hint="eastAsia" w:ascii="黑体" w:hAnsi="黑体" w:eastAsia="黑体"/>
          <w:b w:val="0"/>
          <w:color w:val="auto"/>
          <w:highlight w:val="none"/>
        </w:rPr>
        <w:t>政拨款收入支出决算总体情况说明</w:t>
      </w:r>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904.31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70.86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7.8%</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eastAsia="zh-CN"/>
        </w:rPr>
        <w:t>年中追加专项统计业务项目两个，调整省局电访</w:t>
      </w:r>
      <w:r>
        <w:rPr>
          <w:rFonts w:hint="eastAsia" w:ascii="仿宋" w:hAnsi="仿宋" w:eastAsia="仿宋"/>
          <w:color w:val="000000"/>
          <w:sz w:val="32"/>
          <w:szCs w:val="32"/>
          <w:lang w:val="en-US" w:eastAsia="zh-CN"/>
        </w:rPr>
        <w:t>CATI建设</w:t>
      </w:r>
      <w:r>
        <w:rPr>
          <w:rFonts w:hint="eastAsia" w:ascii="仿宋" w:hAnsi="仿宋" w:eastAsia="仿宋"/>
          <w:color w:val="000000"/>
          <w:sz w:val="32"/>
          <w:szCs w:val="32"/>
          <w:lang w:eastAsia="zh-CN"/>
        </w:rPr>
        <w:t>项目一个。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Style w:val="2"/>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038850" cy="3438525"/>
            <wp:effectExtent l="0" t="0" r="0" b="9525"/>
            <wp:docPr id="11"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true"/>
                    </pic:cNvPicPr>
                  </pic:nvPicPr>
                  <pic:blipFill>
                    <a:blip r:embed="rId14"/>
                    <a:stretch>
                      <a:fillRect/>
                    </a:stretch>
                  </pic:blipFill>
                  <pic:spPr>
                    <a:xfrm>
                      <a:off x="0" y="0"/>
                      <a:ext cx="6038850" cy="3438525"/>
                    </a:xfrm>
                    <a:prstGeom prst="rect">
                      <a:avLst/>
                    </a:prstGeom>
                    <a:noFill/>
                    <a:ln w="9525">
                      <a:noFill/>
                    </a:ln>
                  </pic:spPr>
                </pic:pic>
              </a:graphicData>
            </a:graphic>
          </wp:inline>
        </w:drawing>
      </w:r>
    </w:p>
    <w:p>
      <w:pPr>
        <w:keepNext w:val="0"/>
        <w:keepLines w:val="0"/>
        <w:widowControl/>
        <w:suppressLineNumbers w:val="0"/>
        <w:jc w:val="left"/>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19"/>
          <w:rFonts w:ascii="黑体" w:hAnsi="黑体" w:eastAsia="黑体"/>
          <w:b w:val="0"/>
          <w:color w:val="auto"/>
          <w:highlight w:val="none"/>
        </w:rPr>
      </w:pPr>
      <w:bookmarkStart w:id="31" w:name="_Toc15396607"/>
      <w:bookmarkStart w:id="32"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般公共预算财政拨款支出决算情况说明</w:t>
      </w:r>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33" w:name="_Toc15377210"/>
      <w:r>
        <w:rPr>
          <w:rFonts w:hint="eastAsia" w:ascii="楷体" w:hAnsi="楷体" w:eastAsia="楷体" w:cs="楷体"/>
          <w:b w:val="0"/>
          <w:bCs/>
          <w:color w:val="auto"/>
          <w:sz w:val="32"/>
          <w:szCs w:val="32"/>
          <w:highlight w:val="none"/>
        </w:rPr>
        <w:t>（一）一般公共预算财政拨款支出决算总体情况</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879.75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77.55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年中追加了三个项目经费，项目支出较上年有一定增加。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809490" cy="2491740"/>
            <wp:effectExtent l="0" t="0" r="10160" b="3810"/>
            <wp:docPr id="5"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true"/>
                    </pic:cNvPicPr>
                  </pic:nvPicPr>
                  <pic:blipFill>
                    <a:blip r:embed="rId15"/>
                    <a:stretch>
                      <a:fillRect/>
                    </a:stretch>
                  </pic:blipFill>
                  <pic:spPr>
                    <a:xfrm>
                      <a:off x="0" y="0"/>
                      <a:ext cx="4809490" cy="2491740"/>
                    </a:xfrm>
                    <a:prstGeom prst="rect">
                      <a:avLst/>
                    </a:prstGeom>
                    <a:noFill/>
                    <a:ln w="9525">
                      <a:noFill/>
                    </a:ln>
                  </pic:spPr>
                </pic:pic>
              </a:graphicData>
            </a:graphic>
          </wp:inline>
        </w:drawing>
      </w:r>
    </w:p>
    <w:p>
      <w:pPr>
        <w:pStyle w:val="2"/>
      </w:pP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34" w:name="_Toc15377211"/>
      <w:r>
        <w:rPr>
          <w:rFonts w:hint="eastAsia" w:ascii="楷体" w:hAnsi="楷体" w:eastAsia="楷体" w:cs="楷体"/>
          <w:b w:val="0"/>
          <w:bCs/>
          <w:color w:val="auto"/>
          <w:sz w:val="32"/>
          <w:szCs w:val="32"/>
          <w:highlight w:val="none"/>
        </w:rPr>
        <w:t>（二）一般公共预算财政拨款支出决算结构情况</w:t>
      </w:r>
      <w:bookmarkEnd w:id="34"/>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879.75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支出718.48万元，占</w:t>
      </w:r>
      <w:r>
        <w:rPr>
          <w:rFonts w:hint="eastAsia" w:ascii="仿宋" w:hAnsi="仿宋" w:eastAsia="仿宋"/>
          <w:color w:val="auto"/>
          <w:sz w:val="32"/>
          <w:szCs w:val="32"/>
          <w:highlight w:val="none"/>
          <w:lang w:val="en-US" w:eastAsia="zh-CN"/>
        </w:rPr>
        <w:t>81.7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支出54.54万元，占</w:t>
      </w:r>
      <w:r>
        <w:rPr>
          <w:rFonts w:hint="eastAsia" w:ascii="仿宋" w:hAnsi="仿宋" w:eastAsia="仿宋"/>
          <w:color w:val="auto"/>
          <w:sz w:val="32"/>
          <w:szCs w:val="32"/>
          <w:highlight w:val="none"/>
          <w:lang w:val="en-US" w:eastAsia="zh-CN"/>
        </w:rPr>
        <w:t>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25.54万元，占</w:t>
      </w:r>
      <w:r>
        <w:rPr>
          <w:rFonts w:hint="eastAsia" w:ascii="仿宋" w:hAnsi="仿宋" w:eastAsia="仿宋"/>
          <w:color w:val="auto"/>
          <w:sz w:val="32"/>
          <w:szCs w:val="32"/>
          <w:highlight w:val="none"/>
          <w:lang w:val="en-US" w:eastAsia="zh-CN"/>
        </w:rPr>
        <w:t>2.9</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；住房保障支出81.19万元，占</w:t>
      </w:r>
      <w:r>
        <w:rPr>
          <w:rFonts w:hint="eastAsia" w:ascii="仿宋" w:hAnsi="仿宋" w:eastAsia="仿宋"/>
          <w:color w:val="auto"/>
          <w:sz w:val="32"/>
          <w:szCs w:val="32"/>
          <w:highlight w:val="none"/>
          <w:lang w:val="en-US" w:eastAsia="zh-CN"/>
        </w:rPr>
        <w:t>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38800" cy="2676525"/>
            <wp:effectExtent l="0" t="0" r="0" b="9525"/>
            <wp:docPr id="6"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true"/>
                    </pic:cNvPicPr>
                  </pic:nvPicPr>
                  <pic:blipFill>
                    <a:blip r:embed="rId16"/>
                    <a:stretch>
                      <a:fillRect/>
                    </a:stretch>
                  </pic:blipFill>
                  <pic:spPr>
                    <a:xfrm>
                      <a:off x="0" y="0"/>
                      <a:ext cx="5638800" cy="2676525"/>
                    </a:xfrm>
                    <a:prstGeom prst="rect">
                      <a:avLst/>
                    </a:prstGeom>
                    <a:noFill/>
                    <a:ln w="9525">
                      <a:noFill/>
                    </a:ln>
                  </pic:spPr>
                </pic:pic>
              </a:graphicData>
            </a:graphic>
          </wp:inline>
        </w:drawing>
      </w:r>
    </w:p>
    <w:p>
      <w:pPr>
        <w:pStyle w:val="2"/>
      </w:pP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35" w:name="_Toc15377212"/>
      <w:r>
        <w:rPr>
          <w:rFonts w:hint="eastAsia" w:ascii="楷体" w:hAnsi="楷体" w:eastAsia="楷体" w:cs="楷体"/>
          <w:b w:val="0"/>
          <w:bCs/>
          <w:color w:val="auto"/>
          <w:sz w:val="32"/>
          <w:szCs w:val="32"/>
          <w:highlight w:val="none"/>
        </w:rPr>
        <w:t>（三）一般公共预算财政拨款支出决算具体情况</w:t>
      </w:r>
      <w:bookmarkEnd w:id="35"/>
    </w:p>
    <w:p>
      <w:pPr>
        <w:spacing w:line="600" w:lineRule="exact"/>
        <w:ind w:firstLine="640" w:firstLineChars="200"/>
        <w:outlineLvl w:val="2"/>
        <w:rPr>
          <w:rFonts w:ascii="仿宋" w:hAnsi="仿宋" w:eastAsia="仿宋"/>
          <w:b w:val="0"/>
          <w:bCs/>
          <w:color w:val="auto"/>
          <w:sz w:val="32"/>
          <w:szCs w:val="32"/>
          <w:highlight w:val="none"/>
        </w:rPr>
      </w:pPr>
      <w:bookmarkStart w:id="36" w:name="_Toc15377213"/>
      <w:bookmarkStart w:id="37" w:name="_Toc15378460"/>
      <w:bookmarkStart w:id="38" w:name="_Toc15377444"/>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21</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般公共预算支出决算数为</w:t>
      </w:r>
      <w:r>
        <w:rPr>
          <w:rFonts w:hint="eastAsia" w:ascii="仿宋" w:hAnsi="仿宋" w:eastAsia="仿宋"/>
          <w:b w:val="0"/>
          <w:bCs/>
          <w:color w:val="auto"/>
          <w:sz w:val="32"/>
          <w:szCs w:val="32"/>
          <w:highlight w:val="none"/>
          <w:lang w:val="en-US" w:eastAsia="zh-CN"/>
        </w:rPr>
        <w:t>879.75</w:t>
      </w:r>
      <w:r>
        <w:rPr>
          <w:rFonts w:hint="eastAsia" w:ascii="仿宋" w:hAnsi="仿宋" w:eastAsia="仿宋"/>
          <w:b w:val="0"/>
          <w:bCs/>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97.28</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。其中：</w:t>
      </w:r>
      <w:bookmarkEnd w:id="36"/>
      <w:bookmarkEnd w:id="37"/>
      <w:bookmarkEnd w:id="38"/>
    </w:p>
    <w:p>
      <w:pPr>
        <w:spacing w:line="600" w:lineRule="exact"/>
        <w:ind w:firstLine="640" w:firstLineChars="200"/>
        <w:rPr>
          <w:rFonts w:ascii="仿宋" w:hAnsi="仿宋" w:eastAsia="仿宋"/>
          <w:b w:val="0"/>
          <w:bCs/>
          <w:color w:val="auto"/>
          <w:sz w:val="32"/>
          <w:szCs w:val="32"/>
          <w:highlight w:val="none"/>
        </w:rPr>
      </w:pPr>
      <w:r>
        <w:rPr>
          <w:rStyle w:val="16"/>
          <w:rFonts w:ascii="仿宋" w:hAnsi="仿宋" w:eastAsia="仿宋"/>
          <w:b w:val="0"/>
          <w:bCs/>
          <w:color w:val="auto"/>
          <w:sz w:val="32"/>
          <w:szCs w:val="32"/>
          <w:highlight w:val="none"/>
        </w:rPr>
        <w:t>1.</w:t>
      </w:r>
      <w:r>
        <w:rPr>
          <w:rFonts w:hint="eastAsia" w:ascii="仿宋" w:hAnsi="仿宋" w:eastAsia="仿宋"/>
          <w:b w:val="0"/>
          <w:bCs/>
          <w:color w:val="000000"/>
          <w:sz w:val="32"/>
          <w:szCs w:val="32"/>
        </w:rPr>
        <w:t>一般公共服务</w:t>
      </w:r>
      <w:r>
        <w:rPr>
          <w:rFonts w:hint="eastAsia" w:ascii="仿宋" w:hAnsi="仿宋" w:eastAsia="仿宋"/>
          <w:b w:val="0"/>
          <w:bCs/>
          <w:color w:val="000000"/>
          <w:sz w:val="32"/>
          <w:szCs w:val="32"/>
          <w:lang w:eastAsia="zh-CN"/>
        </w:rPr>
        <w:t>（类）</w:t>
      </w:r>
      <w:r>
        <w:rPr>
          <w:rFonts w:hint="eastAsia" w:ascii="仿宋" w:hAnsi="仿宋" w:eastAsia="仿宋"/>
          <w:b w:val="0"/>
          <w:bCs/>
          <w:color w:val="000000"/>
          <w:sz w:val="32"/>
          <w:szCs w:val="32"/>
        </w:rPr>
        <w:t>统计信息事务</w:t>
      </w:r>
      <w:r>
        <w:rPr>
          <w:rFonts w:hint="eastAsia" w:ascii="仿宋" w:hAnsi="仿宋" w:eastAsia="仿宋"/>
          <w:b w:val="0"/>
          <w:bCs/>
          <w:color w:val="000000"/>
          <w:sz w:val="32"/>
          <w:szCs w:val="32"/>
          <w:lang w:eastAsia="zh-CN"/>
        </w:rPr>
        <w:t>（款）</w:t>
      </w:r>
      <w:r>
        <w:rPr>
          <w:rFonts w:hint="eastAsia" w:ascii="仿宋" w:hAnsi="仿宋" w:eastAsia="仿宋"/>
          <w:b w:val="0"/>
          <w:bCs/>
          <w:color w:val="000000"/>
          <w:sz w:val="32"/>
          <w:szCs w:val="32"/>
        </w:rPr>
        <w:t>行政运行</w:t>
      </w:r>
      <w:r>
        <w:rPr>
          <w:rFonts w:hint="eastAsia" w:ascii="仿宋" w:hAnsi="仿宋" w:eastAsia="仿宋"/>
          <w:b w:val="0"/>
          <w:bCs/>
          <w:color w:val="000000"/>
          <w:sz w:val="32"/>
          <w:szCs w:val="32"/>
          <w:lang w:eastAsia="zh-CN"/>
        </w:rPr>
        <w:t>（项）</w:t>
      </w:r>
      <w:r>
        <w:rPr>
          <w:rStyle w:val="16"/>
          <w:rFonts w:ascii="仿宋" w:hAnsi="仿宋" w:eastAsia="仿宋"/>
          <w:b w:val="0"/>
          <w:bCs/>
          <w:color w:val="000000"/>
          <w:sz w:val="32"/>
          <w:szCs w:val="32"/>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支出决算为446.12万元，完成预算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r>
        <w:rPr>
          <w:rStyle w:val="16"/>
          <w:rFonts w:hint="eastAsia" w:ascii="仿宋" w:hAnsi="仿宋" w:eastAsia="仿宋"/>
          <w:b w:val="0"/>
          <w:bCs/>
          <w:color w:val="auto"/>
          <w:sz w:val="32"/>
          <w:szCs w:val="32"/>
          <w:highlight w:val="none"/>
          <w:lang w:val="en-US" w:eastAsia="zh-CN"/>
        </w:rPr>
        <w:t>,年终无结余</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Style w:val="16"/>
          <w:rFonts w:ascii="仿宋" w:hAnsi="仿宋" w:eastAsia="仿宋"/>
          <w:b w:val="0"/>
          <w:bCs/>
          <w:color w:val="000000"/>
          <w:sz w:val="32"/>
          <w:szCs w:val="32"/>
        </w:rPr>
        <w:t>2.</w:t>
      </w:r>
      <w:r>
        <w:rPr>
          <w:rFonts w:hint="eastAsia" w:ascii="仿宋" w:hAnsi="仿宋" w:eastAsia="仿宋"/>
          <w:b w:val="0"/>
          <w:bCs/>
          <w:color w:val="000000"/>
          <w:sz w:val="32"/>
          <w:szCs w:val="32"/>
        </w:rPr>
        <w:t>一般公共服务</w:t>
      </w:r>
      <w:r>
        <w:rPr>
          <w:rFonts w:hint="eastAsia" w:ascii="仿宋" w:hAnsi="仿宋" w:eastAsia="仿宋"/>
          <w:b w:val="0"/>
          <w:bCs/>
          <w:color w:val="000000"/>
          <w:sz w:val="32"/>
          <w:szCs w:val="32"/>
          <w:lang w:eastAsia="zh-CN"/>
        </w:rPr>
        <w:t>（类）</w:t>
      </w:r>
      <w:r>
        <w:rPr>
          <w:rFonts w:hint="eastAsia" w:ascii="仿宋" w:hAnsi="仿宋" w:eastAsia="仿宋"/>
          <w:b w:val="0"/>
          <w:bCs/>
          <w:color w:val="000000"/>
          <w:sz w:val="32"/>
          <w:szCs w:val="32"/>
        </w:rPr>
        <w:t>统计信息事务</w:t>
      </w:r>
      <w:r>
        <w:rPr>
          <w:rFonts w:hint="eastAsia" w:ascii="仿宋" w:hAnsi="仿宋" w:eastAsia="仿宋"/>
          <w:b w:val="0"/>
          <w:bCs/>
          <w:color w:val="000000"/>
          <w:sz w:val="32"/>
          <w:szCs w:val="32"/>
          <w:lang w:eastAsia="zh-CN"/>
        </w:rPr>
        <w:t>（款）</w:t>
      </w:r>
      <w:r>
        <w:rPr>
          <w:rFonts w:hint="eastAsia" w:ascii="仿宋" w:hAnsi="仿宋" w:eastAsia="仿宋"/>
          <w:b w:val="0"/>
          <w:bCs/>
          <w:color w:val="000000"/>
          <w:sz w:val="32"/>
          <w:szCs w:val="32"/>
        </w:rPr>
        <w:t>专项统计业务</w:t>
      </w:r>
      <w:r>
        <w:rPr>
          <w:rFonts w:hint="eastAsia" w:ascii="仿宋" w:hAnsi="仿宋" w:eastAsia="仿宋"/>
          <w:b w:val="0"/>
          <w:bCs/>
          <w:color w:val="000000"/>
          <w:sz w:val="32"/>
          <w:szCs w:val="32"/>
          <w:lang w:eastAsia="zh-CN"/>
        </w:rPr>
        <w:t>（项）</w:t>
      </w:r>
      <w:r>
        <w:rPr>
          <w:rFonts w:ascii="仿宋" w:hAnsi="仿宋" w:eastAsia="仿宋"/>
          <w:b w:val="0"/>
          <w:bCs/>
          <w:color w:val="000000"/>
          <w:sz w:val="32"/>
          <w:szCs w:val="32"/>
        </w:rPr>
        <w:t>:</w:t>
      </w:r>
      <w:r>
        <w:rPr>
          <w:rStyle w:val="16"/>
          <w:rFonts w:ascii="仿宋" w:hAnsi="仿宋" w:eastAsia="仿宋"/>
          <w:b w:val="0"/>
          <w:bCs/>
          <w:color w:val="000000"/>
          <w:sz w:val="32"/>
          <w:szCs w:val="32"/>
        </w:rPr>
        <w:t xml:space="preserve"> </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119.12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84.24</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，决算数小于预算数的主要原因是</w:t>
      </w:r>
      <w:r>
        <w:rPr>
          <w:rStyle w:val="16"/>
          <w:rFonts w:hint="eastAsia" w:ascii="仿宋" w:hAnsi="仿宋" w:eastAsia="仿宋"/>
          <w:b w:val="0"/>
          <w:bCs/>
          <w:color w:val="auto"/>
          <w:sz w:val="32"/>
          <w:szCs w:val="32"/>
          <w:highlight w:val="none"/>
          <w:lang w:val="en-US" w:eastAsia="zh-CN"/>
        </w:rPr>
        <w:t>2021年度专项统计业务费中的CATI电访建设项目为11月调整的项目，结转下年执行</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Style w:val="16"/>
          <w:rFonts w:ascii="仿宋" w:hAnsi="仿宋" w:eastAsia="仿宋"/>
          <w:b w:val="0"/>
          <w:bCs/>
          <w:color w:val="000000"/>
          <w:sz w:val="32"/>
          <w:szCs w:val="32"/>
        </w:rPr>
        <w:t>3.</w:t>
      </w:r>
      <w:r>
        <w:rPr>
          <w:rFonts w:hint="eastAsia" w:ascii="仿宋" w:hAnsi="仿宋" w:eastAsia="仿宋"/>
          <w:b w:val="0"/>
          <w:bCs/>
          <w:color w:val="000000"/>
          <w:sz w:val="32"/>
          <w:szCs w:val="32"/>
        </w:rPr>
        <w:t>一般公共服务</w:t>
      </w:r>
      <w:r>
        <w:rPr>
          <w:rFonts w:hint="eastAsia" w:ascii="仿宋" w:hAnsi="仿宋" w:eastAsia="仿宋"/>
          <w:b w:val="0"/>
          <w:bCs/>
          <w:color w:val="000000"/>
          <w:sz w:val="32"/>
          <w:szCs w:val="32"/>
          <w:lang w:eastAsia="zh-CN"/>
        </w:rPr>
        <w:t>（类）</w:t>
      </w:r>
      <w:r>
        <w:rPr>
          <w:rFonts w:hint="eastAsia" w:ascii="仿宋" w:hAnsi="仿宋" w:eastAsia="仿宋"/>
          <w:b w:val="0"/>
          <w:bCs/>
          <w:color w:val="000000"/>
          <w:sz w:val="32"/>
          <w:szCs w:val="32"/>
        </w:rPr>
        <w:t>统计信息事务</w:t>
      </w:r>
      <w:r>
        <w:rPr>
          <w:rFonts w:hint="eastAsia" w:ascii="仿宋" w:hAnsi="仿宋" w:eastAsia="仿宋"/>
          <w:b w:val="0"/>
          <w:bCs/>
          <w:color w:val="000000"/>
          <w:sz w:val="32"/>
          <w:szCs w:val="32"/>
          <w:lang w:eastAsia="zh-CN"/>
        </w:rPr>
        <w:t>（款）</w:t>
      </w:r>
      <w:r>
        <w:rPr>
          <w:rFonts w:hint="eastAsia" w:ascii="仿宋" w:hAnsi="仿宋" w:eastAsia="仿宋"/>
          <w:b w:val="0"/>
          <w:bCs/>
          <w:color w:val="000000"/>
          <w:sz w:val="32"/>
          <w:szCs w:val="32"/>
        </w:rPr>
        <w:t>专项普查活动</w:t>
      </w:r>
      <w:r>
        <w:rPr>
          <w:rFonts w:hint="eastAsia" w:ascii="仿宋" w:hAnsi="仿宋" w:eastAsia="仿宋"/>
          <w:b w:val="0"/>
          <w:bCs/>
          <w:color w:val="000000"/>
          <w:sz w:val="32"/>
          <w:szCs w:val="32"/>
          <w:lang w:eastAsia="zh-CN"/>
        </w:rPr>
        <w:t>（项）</w:t>
      </w:r>
      <w:r>
        <w:rPr>
          <w:rStyle w:val="16"/>
          <w:rFonts w:ascii="仿宋" w:hAnsi="仿宋" w:eastAsia="仿宋"/>
          <w:b w:val="0"/>
          <w:bCs/>
          <w:color w:val="000000"/>
          <w:sz w:val="32"/>
          <w:szCs w:val="32"/>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77.72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97.15</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，决算数小于预算数的主要原因是</w:t>
      </w:r>
      <w:r>
        <w:rPr>
          <w:rStyle w:val="16"/>
          <w:rFonts w:hint="eastAsia" w:ascii="仿宋" w:hAnsi="仿宋" w:eastAsia="仿宋"/>
          <w:b w:val="0"/>
          <w:bCs/>
          <w:color w:val="auto"/>
          <w:sz w:val="32"/>
          <w:szCs w:val="32"/>
          <w:highlight w:val="none"/>
          <w:lang w:eastAsia="zh-CN"/>
        </w:rPr>
        <w:t>第七次全国人口普查经费是部门预算之外的三年预算普查项目，</w:t>
      </w:r>
      <w:r>
        <w:rPr>
          <w:rStyle w:val="16"/>
          <w:rFonts w:hint="eastAsia" w:ascii="仿宋" w:hAnsi="仿宋" w:eastAsia="仿宋"/>
          <w:b w:val="0"/>
          <w:bCs/>
          <w:color w:val="auto"/>
          <w:sz w:val="32"/>
          <w:szCs w:val="32"/>
          <w:highlight w:val="none"/>
          <w:lang w:val="en-US" w:eastAsia="zh-CN"/>
        </w:rPr>
        <w:t>2021年执行的是数据核查等相关工作，2022年将继续开展普查相关工作，故年终有结余</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Style w:val="16"/>
          <w:rFonts w:ascii="仿宋" w:hAnsi="仿宋" w:eastAsia="仿宋"/>
          <w:b w:val="0"/>
          <w:bCs/>
          <w:color w:val="000000"/>
          <w:sz w:val="32"/>
          <w:szCs w:val="32"/>
        </w:rPr>
        <w:t>4.</w:t>
      </w:r>
      <w:r>
        <w:rPr>
          <w:rFonts w:hint="eastAsia" w:ascii="仿宋" w:hAnsi="仿宋" w:eastAsia="仿宋"/>
          <w:b w:val="0"/>
          <w:bCs/>
          <w:color w:val="000000"/>
          <w:sz w:val="32"/>
          <w:szCs w:val="32"/>
        </w:rPr>
        <w:t>一般公共服务</w:t>
      </w:r>
      <w:r>
        <w:rPr>
          <w:rFonts w:hint="eastAsia" w:ascii="仿宋" w:hAnsi="仿宋" w:eastAsia="仿宋"/>
          <w:b w:val="0"/>
          <w:bCs/>
          <w:color w:val="000000"/>
          <w:sz w:val="32"/>
          <w:szCs w:val="32"/>
          <w:lang w:eastAsia="zh-CN"/>
        </w:rPr>
        <w:t>（类）</w:t>
      </w:r>
      <w:r>
        <w:rPr>
          <w:rFonts w:hint="eastAsia" w:ascii="仿宋" w:hAnsi="仿宋" w:eastAsia="仿宋"/>
          <w:b w:val="0"/>
          <w:bCs/>
          <w:color w:val="000000"/>
          <w:sz w:val="32"/>
          <w:szCs w:val="32"/>
        </w:rPr>
        <w:t>统计信息事务</w:t>
      </w:r>
      <w:r>
        <w:rPr>
          <w:rFonts w:hint="eastAsia" w:ascii="仿宋" w:hAnsi="仿宋" w:eastAsia="仿宋"/>
          <w:b w:val="0"/>
          <w:bCs/>
          <w:color w:val="000000"/>
          <w:sz w:val="32"/>
          <w:szCs w:val="32"/>
          <w:lang w:eastAsia="zh-CN"/>
        </w:rPr>
        <w:t>（款）事业运行（项）</w:t>
      </w:r>
      <w:r>
        <w:rPr>
          <w:rStyle w:val="16"/>
          <w:rFonts w:ascii="仿宋" w:hAnsi="仿宋" w:eastAsia="仿宋"/>
          <w:b w:val="0"/>
          <w:bCs/>
          <w:color w:val="000000"/>
          <w:sz w:val="32"/>
          <w:szCs w:val="32"/>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75.52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r>
        <w:rPr>
          <w:rStyle w:val="16"/>
          <w:rFonts w:hint="eastAsia" w:ascii="仿宋" w:hAnsi="仿宋" w:eastAsia="仿宋"/>
          <w:b w:val="0"/>
          <w:bCs/>
          <w:color w:val="auto"/>
          <w:sz w:val="32"/>
          <w:szCs w:val="32"/>
          <w:highlight w:val="none"/>
          <w:lang w:val="en-US" w:eastAsia="zh-CN"/>
        </w:rPr>
        <w:t>,年终无结余</w:t>
      </w:r>
      <w:r>
        <w:rPr>
          <w:rStyle w:val="16"/>
          <w:rFonts w:hint="eastAsia" w:ascii="仿宋" w:hAnsi="仿宋" w:eastAsia="仿宋"/>
          <w:b w:val="0"/>
          <w:bCs/>
          <w:color w:val="auto"/>
          <w:sz w:val="32"/>
          <w:szCs w:val="32"/>
          <w:highlight w:val="none"/>
        </w:rPr>
        <w:t>。</w:t>
      </w:r>
    </w:p>
    <w:p>
      <w:pPr>
        <w:spacing w:line="600" w:lineRule="exact"/>
        <w:ind w:firstLine="640" w:firstLineChars="200"/>
        <w:rPr>
          <w:rStyle w:val="16"/>
          <w:rFonts w:hint="eastAsia" w:ascii="仿宋" w:hAnsi="仿宋" w:eastAsia="仿宋"/>
          <w:b w:val="0"/>
          <w:bCs/>
          <w:color w:val="auto"/>
          <w:sz w:val="32"/>
          <w:szCs w:val="32"/>
          <w:highlight w:val="none"/>
        </w:rPr>
      </w:pPr>
      <w:r>
        <w:rPr>
          <w:rStyle w:val="16"/>
          <w:rFonts w:hint="eastAsia" w:ascii="仿宋" w:hAnsi="仿宋" w:eastAsia="仿宋"/>
          <w:b w:val="0"/>
          <w:bCs/>
          <w:color w:val="000000"/>
          <w:sz w:val="32"/>
          <w:szCs w:val="32"/>
          <w:lang w:val="en-US" w:eastAsia="zh-CN"/>
        </w:rPr>
        <w:t>5.</w:t>
      </w:r>
      <w:r>
        <w:rPr>
          <w:rStyle w:val="16"/>
          <w:rFonts w:hint="eastAsia" w:ascii="仿宋" w:hAnsi="仿宋" w:eastAsia="仿宋"/>
          <w:b w:val="0"/>
          <w:bCs/>
          <w:color w:val="000000"/>
          <w:sz w:val="32"/>
          <w:szCs w:val="32"/>
        </w:rPr>
        <w:t>社会保障和就业</w:t>
      </w:r>
      <w:r>
        <w:rPr>
          <w:rStyle w:val="16"/>
          <w:rFonts w:hint="eastAsia" w:ascii="仿宋" w:hAnsi="仿宋" w:eastAsia="仿宋"/>
          <w:b w:val="0"/>
          <w:bCs/>
          <w:color w:val="000000"/>
          <w:sz w:val="32"/>
          <w:szCs w:val="32"/>
          <w:lang w:eastAsia="zh-CN"/>
        </w:rPr>
        <w:t>支出</w:t>
      </w:r>
      <w:r>
        <w:rPr>
          <w:rStyle w:val="16"/>
          <w:rFonts w:hint="eastAsia" w:ascii="仿宋" w:hAnsi="仿宋" w:eastAsia="仿宋"/>
          <w:b w:val="0"/>
          <w:bCs/>
          <w:color w:val="000000"/>
          <w:sz w:val="32"/>
          <w:szCs w:val="32"/>
        </w:rPr>
        <w:t>（类）行政事业单位离退休（款）机关事业单位基本养老保险缴费支出（项）</w:t>
      </w:r>
      <w:r>
        <w:rPr>
          <w:rStyle w:val="16"/>
          <w:rFonts w:ascii="仿宋" w:hAnsi="仿宋" w:eastAsia="仿宋"/>
          <w:b w:val="0"/>
          <w:bCs/>
          <w:color w:val="000000"/>
          <w:sz w:val="32"/>
          <w:szCs w:val="32"/>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43.91</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eastAsia="仿宋"/>
          <w:color w:val="auto"/>
          <w:lang w:val="en-US" w:eastAsia="zh-CN"/>
        </w:rPr>
      </w:pPr>
      <w:r>
        <w:rPr>
          <w:rStyle w:val="16"/>
          <w:rFonts w:hint="eastAsia" w:ascii="仿宋" w:hAnsi="仿宋" w:eastAsia="仿宋" w:cs="Times New Roman"/>
          <w:b w:val="0"/>
          <w:bCs/>
          <w:color w:val="auto"/>
          <w:sz w:val="32"/>
          <w:szCs w:val="32"/>
          <w:lang w:val="en-US" w:eastAsia="zh-CN"/>
        </w:rPr>
        <w:t>6.</w:t>
      </w:r>
      <w:r>
        <w:rPr>
          <w:rStyle w:val="16"/>
          <w:rFonts w:hint="eastAsia" w:ascii="仿宋" w:hAnsi="仿宋" w:eastAsia="仿宋" w:cs="Times New Roman"/>
          <w:b w:val="0"/>
          <w:bCs/>
          <w:color w:val="auto"/>
          <w:sz w:val="32"/>
          <w:szCs w:val="32"/>
        </w:rPr>
        <w:t>社会保障和就业</w:t>
      </w:r>
      <w:r>
        <w:rPr>
          <w:rStyle w:val="16"/>
          <w:rFonts w:hint="eastAsia" w:ascii="仿宋" w:hAnsi="仿宋" w:eastAsia="仿宋" w:cs="Times New Roman"/>
          <w:b w:val="0"/>
          <w:bCs/>
          <w:color w:val="auto"/>
          <w:sz w:val="32"/>
          <w:szCs w:val="32"/>
          <w:lang w:eastAsia="zh-CN"/>
        </w:rPr>
        <w:t>支出</w:t>
      </w:r>
      <w:r>
        <w:rPr>
          <w:rStyle w:val="16"/>
          <w:rFonts w:hint="eastAsia" w:ascii="仿宋" w:hAnsi="仿宋" w:eastAsia="仿宋" w:cs="Times New Roman"/>
          <w:b w:val="0"/>
          <w:bCs/>
          <w:color w:val="auto"/>
          <w:sz w:val="32"/>
          <w:szCs w:val="32"/>
        </w:rPr>
        <w:t>（类）其他社会保障和就业支出（款）  其他社会保障和就业支出（项）</w:t>
      </w:r>
      <w:r>
        <w:rPr>
          <w:rStyle w:val="16"/>
          <w:rFonts w:hint="eastAsia" w:ascii="仿宋" w:hAnsi="仿宋" w:eastAsia="仿宋" w:cs="Times New Roman"/>
          <w:b w:val="0"/>
          <w:bCs/>
          <w:color w:val="auto"/>
          <w:sz w:val="32"/>
          <w:szCs w:val="32"/>
          <w:lang w:eastAsia="zh-CN"/>
        </w:rPr>
        <w:t>：支出决算为</w:t>
      </w:r>
      <w:r>
        <w:rPr>
          <w:rStyle w:val="16"/>
          <w:rFonts w:hint="eastAsia" w:ascii="仿宋" w:hAnsi="仿宋" w:eastAsia="仿宋" w:cs="Times New Roman"/>
          <w:b w:val="0"/>
          <w:bCs/>
          <w:color w:val="auto"/>
          <w:sz w:val="32"/>
          <w:szCs w:val="32"/>
          <w:lang w:val="en-US" w:eastAsia="zh-CN"/>
        </w:rPr>
        <w:t>10.63万元，完成预算100%。</w:t>
      </w:r>
    </w:p>
    <w:p>
      <w:pPr>
        <w:spacing w:line="600" w:lineRule="exact"/>
        <w:ind w:firstLine="640" w:firstLineChars="200"/>
        <w:rPr>
          <w:rFonts w:ascii="仿宋" w:hAnsi="仿宋" w:eastAsia="仿宋"/>
          <w:b w:val="0"/>
          <w:bCs/>
          <w:color w:val="auto"/>
          <w:sz w:val="32"/>
          <w:szCs w:val="32"/>
          <w:highlight w:val="none"/>
        </w:rPr>
      </w:pPr>
      <w:r>
        <w:rPr>
          <w:rStyle w:val="16"/>
          <w:rFonts w:hint="eastAsia" w:ascii="仿宋" w:hAnsi="仿宋" w:eastAsia="仿宋"/>
          <w:b w:val="0"/>
          <w:bCs/>
          <w:color w:val="auto"/>
          <w:sz w:val="32"/>
          <w:szCs w:val="32"/>
          <w:lang w:val="en-US" w:eastAsia="zh-CN"/>
        </w:rPr>
        <w:t>7</w:t>
      </w:r>
      <w:r>
        <w:rPr>
          <w:rStyle w:val="16"/>
          <w:rFonts w:ascii="仿宋" w:hAnsi="仿宋" w:eastAsia="仿宋"/>
          <w:b w:val="0"/>
          <w:bCs/>
          <w:color w:val="auto"/>
          <w:sz w:val="32"/>
          <w:szCs w:val="32"/>
        </w:rPr>
        <w:t>.</w:t>
      </w:r>
      <w:r>
        <w:rPr>
          <w:rStyle w:val="16"/>
          <w:rFonts w:hint="eastAsia" w:ascii="仿宋" w:hAnsi="仿宋" w:eastAsia="仿宋"/>
          <w:b w:val="0"/>
          <w:bCs/>
          <w:color w:val="000000"/>
          <w:sz w:val="32"/>
          <w:szCs w:val="32"/>
        </w:rPr>
        <w:t>医疗卫生与计划生育（类）</w:t>
      </w:r>
      <w:r>
        <w:rPr>
          <w:rStyle w:val="16"/>
          <w:rFonts w:hint="eastAsia" w:ascii="仿宋" w:hAnsi="仿宋" w:eastAsia="仿宋"/>
          <w:b w:val="0"/>
          <w:bCs/>
          <w:color w:val="000000"/>
          <w:sz w:val="32"/>
          <w:szCs w:val="32"/>
          <w:lang w:val="en-US" w:eastAsia="zh-CN"/>
        </w:rPr>
        <w:t>行政事业单位医疗</w:t>
      </w:r>
      <w:r>
        <w:rPr>
          <w:rStyle w:val="16"/>
          <w:rFonts w:hint="eastAsia" w:ascii="仿宋" w:hAnsi="仿宋" w:eastAsia="仿宋"/>
          <w:b w:val="0"/>
          <w:bCs/>
          <w:color w:val="000000"/>
          <w:sz w:val="32"/>
          <w:szCs w:val="32"/>
        </w:rPr>
        <w:t>（款）</w:t>
      </w:r>
      <w:r>
        <w:rPr>
          <w:rStyle w:val="16"/>
          <w:rFonts w:hint="eastAsia" w:ascii="仿宋" w:hAnsi="仿宋" w:eastAsia="仿宋"/>
          <w:b w:val="0"/>
          <w:bCs/>
          <w:color w:val="000000"/>
          <w:sz w:val="32"/>
          <w:szCs w:val="32"/>
          <w:lang w:val="en-US" w:eastAsia="zh-CN"/>
        </w:rPr>
        <w:t>行政单位医疗</w:t>
      </w:r>
      <w:r>
        <w:rPr>
          <w:rStyle w:val="16"/>
          <w:rFonts w:hint="eastAsia" w:ascii="仿宋" w:hAnsi="仿宋" w:eastAsia="仿宋"/>
          <w:b w:val="0"/>
          <w:bCs/>
          <w:color w:val="000000"/>
          <w:sz w:val="32"/>
          <w:szCs w:val="32"/>
        </w:rPr>
        <w:t>（项）</w:t>
      </w:r>
      <w:r>
        <w:rPr>
          <w:rFonts w:ascii="仿宋" w:hAnsi="仿宋" w:eastAsia="仿宋"/>
          <w:b w:val="0"/>
          <w:bCs/>
          <w:color w:val="auto"/>
          <w:sz w:val="32"/>
          <w:szCs w:val="32"/>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25.54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0" w:firstLineChars="200"/>
        <w:rPr>
          <w:rStyle w:val="16"/>
          <w:rFonts w:hint="eastAsia" w:ascii="仿宋" w:hAnsi="仿宋" w:eastAsia="仿宋"/>
          <w:b w:val="0"/>
          <w:bCs/>
          <w:color w:val="auto"/>
          <w:sz w:val="32"/>
          <w:szCs w:val="32"/>
          <w:highlight w:val="none"/>
        </w:rPr>
      </w:pPr>
      <w:r>
        <w:rPr>
          <w:rStyle w:val="16"/>
          <w:rFonts w:hint="eastAsia" w:ascii="仿宋" w:hAnsi="仿宋" w:eastAsia="仿宋"/>
          <w:b w:val="0"/>
          <w:bCs/>
          <w:color w:val="auto"/>
          <w:sz w:val="32"/>
          <w:szCs w:val="32"/>
          <w:lang w:val="en-US" w:eastAsia="zh-CN"/>
        </w:rPr>
        <w:t>8</w:t>
      </w:r>
      <w:r>
        <w:rPr>
          <w:rStyle w:val="16"/>
          <w:rFonts w:ascii="仿宋" w:hAnsi="仿宋" w:eastAsia="仿宋"/>
          <w:b w:val="0"/>
          <w:bCs/>
          <w:color w:val="auto"/>
          <w:sz w:val="32"/>
          <w:szCs w:val="32"/>
        </w:rPr>
        <w:t>.</w:t>
      </w:r>
      <w:r>
        <w:rPr>
          <w:rStyle w:val="16"/>
          <w:rFonts w:hint="eastAsia" w:ascii="仿宋" w:hAnsi="仿宋" w:eastAsia="仿宋" w:cs="仿宋"/>
          <w:b w:val="0"/>
          <w:bCs/>
          <w:color w:val="000000"/>
          <w:sz w:val="32"/>
          <w:szCs w:val="32"/>
        </w:rPr>
        <w:t>住房保障（类）</w:t>
      </w:r>
      <w:r>
        <w:rPr>
          <w:rStyle w:val="16"/>
          <w:rFonts w:hint="eastAsia" w:ascii="仿宋" w:hAnsi="仿宋" w:eastAsia="仿宋" w:cs="仿宋"/>
          <w:b w:val="0"/>
          <w:bCs/>
          <w:color w:val="000000"/>
          <w:sz w:val="32"/>
          <w:szCs w:val="32"/>
          <w:lang w:val="en-US" w:eastAsia="zh-CN"/>
        </w:rPr>
        <w:t>住房改革支出</w:t>
      </w:r>
      <w:r>
        <w:rPr>
          <w:rStyle w:val="16"/>
          <w:rFonts w:hint="eastAsia" w:ascii="仿宋" w:hAnsi="仿宋" w:eastAsia="仿宋" w:cs="仿宋"/>
          <w:b w:val="0"/>
          <w:bCs/>
          <w:color w:val="000000"/>
          <w:sz w:val="32"/>
          <w:szCs w:val="32"/>
        </w:rPr>
        <w:t>（款）</w:t>
      </w:r>
      <w:r>
        <w:rPr>
          <w:rStyle w:val="16"/>
          <w:rFonts w:hint="eastAsia" w:ascii="仿宋" w:hAnsi="仿宋" w:eastAsia="仿宋" w:cs="仿宋"/>
          <w:b w:val="0"/>
          <w:bCs/>
          <w:color w:val="000000"/>
          <w:sz w:val="32"/>
          <w:szCs w:val="32"/>
          <w:lang w:val="en-US" w:eastAsia="zh-CN"/>
        </w:rPr>
        <w:t>住房公积金</w:t>
      </w:r>
      <w:r>
        <w:rPr>
          <w:rStyle w:val="16"/>
          <w:rFonts w:hint="eastAsia" w:ascii="仿宋" w:hAnsi="仿宋" w:eastAsia="仿宋" w:cs="仿宋"/>
          <w:b w:val="0"/>
          <w:bCs/>
          <w:color w:val="000000"/>
          <w:sz w:val="32"/>
          <w:szCs w:val="32"/>
        </w:rPr>
        <w:t>（项）:</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65.19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Style w:val="2"/>
        <w:ind w:firstLine="640" w:firstLineChars="200"/>
        <w:rPr>
          <w:rStyle w:val="16"/>
          <w:rFonts w:hint="default" w:ascii="仿宋" w:hAnsi="仿宋" w:eastAsia="仿宋" w:cs="Times New Roman"/>
          <w:b w:val="0"/>
          <w:bCs/>
          <w:color w:val="auto"/>
          <w:kern w:val="2"/>
          <w:sz w:val="32"/>
          <w:szCs w:val="32"/>
          <w:highlight w:val="none"/>
          <w:lang w:val="en-US" w:eastAsia="zh-CN" w:bidi="ar-SA"/>
        </w:rPr>
      </w:pPr>
      <w:r>
        <w:rPr>
          <w:rStyle w:val="16"/>
          <w:rFonts w:hint="eastAsia" w:ascii="仿宋" w:hAnsi="仿宋" w:eastAsia="仿宋" w:cs="Times New Roman"/>
          <w:b w:val="0"/>
          <w:bCs/>
          <w:color w:val="auto"/>
          <w:kern w:val="2"/>
          <w:sz w:val="32"/>
          <w:szCs w:val="32"/>
          <w:highlight w:val="none"/>
          <w:lang w:val="en-US" w:eastAsia="zh-CN" w:bidi="ar-SA"/>
        </w:rPr>
        <w:t>9.住房保障（类）住房改革支出（款）购房补贴（项）：支出决算为16万元，完成预算100%。</w:t>
      </w:r>
    </w:p>
    <w:p>
      <w:pPr>
        <w:tabs>
          <w:tab w:val="right" w:pos="8306"/>
        </w:tabs>
        <w:spacing w:line="600" w:lineRule="exact"/>
        <w:ind w:firstLine="640"/>
        <w:outlineLvl w:val="1"/>
        <w:rPr>
          <w:rStyle w:val="19"/>
          <w:color w:val="auto"/>
          <w:highlight w:val="none"/>
        </w:rPr>
      </w:pPr>
      <w:bookmarkStart w:id="39" w:name="_Toc15396608"/>
      <w:bookmarkStart w:id="40"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般公共预算财政拨款基本支出决算情况说明</w:t>
      </w:r>
      <w:bookmarkEnd w:id="39"/>
      <w:bookmarkEnd w:id="40"/>
      <w:r>
        <w:rPr>
          <w:rStyle w:val="1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682.92</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596.74</w:t>
      </w:r>
      <w:r>
        <w:rPr>
          <w:rFonts w:hint="eastAsia" w:ascii="仿宋" w:hAnsi="仿宋" w:eastAsia="仿宋"/>
          <w:color w:val="auto"/>
          <w:sz w:val="32"/>
          <w:szCs w:val="32"/>
          <w:highlight w:val="none"/>
        </w:rPr>
        <w:t>万元，主要包括：基本工资、津贴补贴、奖金、伙食补助费、绩效工资、机关事业单位基本养老保险缴费、</w:t>
      </w:r>
      <w:r>
        <w:rPr>
          <w:rFonts w:hint="eastAsia" w:ascii="仿宋" w:hAnsi="仿宋" w:eastAsia="仿宋"/>
          <w:color w:val="auto"/>
          <w:sz w:val="32"/>
          <w:szCs w:val="32"/>
          <w:highlight w:val="none"/>
          <w:lang w:eastAsia="zh-CN"/>
        </w:rPr>
        <w:t>职工基本医疗</w:t>
      </w:r>
      <w:r>
        <w:rPr>
          <w:rFonts w:hint="eastAsia" w:ascii="仿宋" w:hAnsi="仿宋" w:eastAsia="仿宋"/>
          <w:color w:val="auto"/>
          <w:sz w:val="32"/>
          <w:szCs w:val="32"/>
          <w:highlight w:val="none"/>
        </w:rPr>
        <w:t>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其他工资福利支出、生活补助、奖励金等。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86.18</w:t>
      </w:r>
      <w:r>
        <w:rPr>
          <w:rFonts w:hint="eastAsia" w:ascii="仿宋" w:hAnsi="仿宋" w:eastAsia="仿宋"/>
          <w:color w:val="auto"/>
          <w:sz w:val="32"/>
          <w:szCs w:val="32"/>
          <w:highlight w:val="none"/>
        </w:rPr>
        <w:t>万元，主要包括：办公费、印刷费、手续费、邮电费、差旅费、维修（护）费、培训费、公务接待费、劳务费、工会经费、福利费、公务用车运行维护费、</w:t>
      </w:r>
      <w:r>
        <w:rPr>
          <w:rFonts w:hint="eastAsia" w:ascii="仿宋" w:hAnsi="仿宋" w:eastAsia="仿宋"/>
          <w:color w:val="auto"/>
          <w:sz w:val="32"/>
          <w:szCs w:val="32"/>
          <w:highlight w:val="none"/>
          <w:lang w:eastAsia="zh-CN"/>
        </w:rPr>
        <w:t>其他交通费用、</w:t>
      </w:r>
      <w:bookmarkStart w:id="72" w:name="_GoBack"/>
      <w:bookmarkEnd w:id="72"/>
      <w:r>
        <w:rPr>
          <w:rFonts w:hint="eastAsia" w:ascii="仿宋" w:hAnsi="仿宋" w:eastAsia="仿宋"/>
          <w:color w:val="auto"/>
          <w:sz w:val="32"/>
          <w:szCs w:val="32"/>
          <w:highlight w:val="none"/>
        </w:rPr>
        <w:t>其他商品和服务支出等。</w:t>
      </w:r>
    </w:p>
    <w:p>
      <w:pPr>
        <w:spacing w:line="600" w:lineRule="exact"/>
        <w:ind w:firstLine="640"/>
        <w:outlineLvl w:val="1"/>
        <w:rPr>
          <w:rStyle w:val="19"/>
          <w:rFonts w:ascii="黑体" w:hAnsi="黑体" w:eastAsia="黑体"/>
          <w:b w:val="0"/>
          <w:color w:val="auto"/>
          <w:highlight w:val="none"/>
        </w:rPr>
      </w:pPr>
      <w:bookmarkStart w:id="41" w:name="_Toc15377215"/>
      <w:bookmarkStart w:id="42" w:name="_Toc15396609"/>
      <w:r>
        <w:rPr>
          <w:rFonts w:hint="eastAsia" w:ascii="黑体" w:eastAsia="黑体"/>
          <w:color w:val="auto"/>
          <w:sz w:val="32"/>
          <w:szCs w:val="32"/>
          <w:highlight w:val="none"/>
        </w:rPr>
        <w:t>七、</w:t>
      </w:r>
      <w:r>
        <w:rPr>
          <w:rStyle w:val="19"/>
          <w:rFonts w:hint="eastAsia" w:ascii="黑体" w:hAnsi="黑体" w:eastAsia="黑体"/>
          <w:color w:val="auto"/>
          <w:highlight w:val="none"/>
        </w:rPr>
        <w:t>“</w:t>
      </w:r>
      <w:r>
        <w:rPr>
          <w:rStyle w:val="19"/>
          <w:rFonts w:hint="eastAsia" w:ascii="黑体" w:hAnsi="黑体" w:eastAsia="黑体"/>
          <w:b w:val="0"/>
          <w:color w:val="auto"/>
          <w:highlight w:val="none"/>
        </w:rPr>
        <w:t>三公”经费财政拨款支出决算情况说明</w:t>
      </w:r>
      <w:bookmarkEnd w:id="41"/>
      <w:bookmarkEnd w:id="42"/>
    </w:p>
    <w:p>
      <w:pPr>
        <w:spacing w:line="600" w:lineRule="exact"/>
        <w:ind w:firstLine="640"/>
        <w:outlineLvl w:val="2"/>
        <w:rPr>
          <w:rFonts w:hint="eastAsia" w:ascii="楷体" w:hAnsi="楷体" w:eastAsia="楷体" w:cs="楷体"/>
          <w:b w:val="0"/>
          <w:bCs/>
          <w:color w:val="auto"/>
          <w:sz w:val="32"/>
          <w:szCs w:val="32"/>
          <w:highlight w:val="none"/>
        </w:rPr>
      </w:pPr>
      <w:bookmarkStart w:id="43" w:name="_Toc15377216"/>
      <w:r>
        <w:rPr>
          <w:rFonts w:hint="eastAsia" w:ascii="楷体" w:hAnsi="楷体" w:eastAsia="楷体" w:cs="楷体"/>
          <w:b w:val="0"/>
          <w:bCs/>
          <w:color w:val="auto"/>
          <w:sz w:val="32"/>
          <w:szCs w:val="32"/>
          <w:highlight w:val="none"/>
        </w:rPr>
        <w:t>（一）“三公”经费财政拨款支出决算总体情况说明</w:t>
      </w:r>
      <w:bookmarkEnd w:id="4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9.72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接待费下降，严格执行厉行节约十三条措施</w:t>
      </w:r>
      <w:r>
        <w:rPr>
          <w:rFonts w:hint="eastAsia" w:ascii="仿宋" w:hAnsi="仿宋" w:eastAsia="仿宋"/>
          <w:color w:val="000000"/>
          <w:sz w:val="32"/>
          <w:szCs w:val="32"/>
        </w:rPr>
        <w:t>。</w:t>
      </w:r>
    </w:p>
    <w:p>
      <w:pPr>
        <w:spacing w:line="600" w:lineRule="exact"/>
        <w:ind w:firstLine="640"/>
        <w:outlineLvl w:val="2"/>
        <w:rPr>
          <w:rFonts w:hint="eastAsia" w:ascii="楷体" w:hAnsi="楷体" w:eastAsia="楷体" w:cs="楷体"/>
          <w:b w:val="0"/>
          <w:bCs/>
          <w:color w:val="auto"/>
          <w:sz w:val="32"/>
          <w:szCs w:val="32"/>
          <w:highlight w:val="none"/>
        </w:rPr>
      </w:pPr>
      <w:bookmarkStart w:id="44" w:name="_Toc15377217"/>
      <w:r>
        <w:rPr>
          <w:rFonts w:hint="eastAsia" w:ascii="楷体" w:hAnsi="楷体" w:eastAsia="楷体" w:cs="楷体"/>
          <w:b w:val="0"/>
          <w:bCs/>
          <w:color w:val="auto"/>
          <w:sz w:val="32"/>
          <w:szCs w:val="32"/>
          <w:highlight w:val="none"/>
        </w:rPr>
        <w:t>（二）“三公”经费财政拨款支出决算具体情况说明</w:t>
      </w:r>
      <w:bookmarkEnd w:id="4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w:t>
      </w:r>
      <w:r>
        <w:rPr>
          <w:rFonts w:hint="eastAsia" w:ascii="仿宋" w:hAnsi="仿宋" w:eastAsia="仿宋"/>
          <w:color w:val="auto"/>
          <w:sz w:val="32"/>
          <w:szCs w:val="32"/>
        </w:rPr>
        <w:t>因公出国（境）费支出</w:t>
      </w:r>
      <w:r>
        <w:rPr>
          <w:rFonts w:hint="eastAsia" w:ascii="仿宋" w:hAnsi="仿宋" w:eastAsia="仿宋"/>
          <w:color w:val="auto"/>
          <w:sz w:val="32"/>
          <w:szCs w:val="32"/>
          <w:lang w:eastAsia="zh-CN"/>
        </w:rPr>
        <w:t>决算</w:t>
      </w:r>
      <w:r>
        <w:rPr>
          <w:rFonts w:hint="eastAsia" w:ascii="仿宋" w:hAnsi="仿宋" w:eastAsia="仿宋"/>
          <w:color w:val="auto"/>
          <w:sz w:val="32"/>
          <w:szCs w:val="32"/>
          <w:lang w:val="en-US" w:eastAsia="zh-CN"/>
        </w:rPr>
        <w:t>0万元，占0%</w:t>
      </w:r>
      <w:r>
        <w:rPr>
          <w:rFonts w:hint="eastAsia" w:ascii="仿宋" w:hAnsi="仿宋" w:eastAsia="仿宋"/>
          <w:color w:val="auto"/>
          <w:sz w:val="32"/>
          <w:szCs w:val="32"/>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8.84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90.9</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0.89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F79646" w:themeColor="accent6"/>
          <w:sz w:val="32"/>
          <w:szCs w:val="32"/>
          <w:highlight w:val="none"/>
          <w14:textFill>
            <w14:solidFill>
              <w14:schemeClr w14:val="accent6"/>
            </w14:solidFill>
          </w14:textFill>
        </w:rPr>
      </w:pPr>
      <w:r>
        <w:rPr>
          <w:rFonts w:hint="eastAsia" w:ascii="仿宋" w:hAnsi="仿宋" w:eastAsia="仿宋"/>
          <w:color w:val="auto"/>
          <w:sz w:val="32"/>
          <w:szCs w:val="32"/>
          <w:highlight w:val="none"/>
        </w:rPr>
        <w:t>（图7：“三公”经费财政拨款支出结构）</w:t>
      </w:r>
    </w:p>
    <w:p>
      <w:pPr>
        <w:pStyle w:val="2"/>
      </w:pPr>
      <w:r>
        <w:rPr>
          <w:rFonts w:ascii="宋体" w:hAnsi="宋体" w:eastAsia="宋体" w:cs="宋体"/>
          <w:sz w:val="24"/>
          <w:szCs w:val="24"/>
        </w:rPr>
        <w:drawing>
          <wp:inline distT="0" distB="0" distL="114300" distR="114300">
            <wp:extent cx="5362575" cy="3324225"/>
            <wp:effectExtent l="0" t="0" r="9525" b="9525"/>
            <wp:docPr id="7"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true"/>
                    </pic:cNvPicPr>
                  </pic:nvPicPr>
                  <pic:blipFill>
                    <a:blip r:embed="rId17"/>
                    <a:stretch>
                      <a:fillRect/>
                    </a:stretch>
                  </pic:blipFill>
                  <pic:spPr>
                    <a:xfrm>
                      <a:off x="0" y="0"/>
                      <a:ext cx="5362575" cy="3324225"/>
                    </a:xfrm>
                    <a:prstGeom prst="rect">
                      <a:avLst/>
                    </a:prstGeom>
                    <a:noFill/>
                    <a:ln w="9525">
                      <a:noFill/>
                    </a:ln>
                  </pic:spPr>
                </pic:pic>
              </a:graphicData>
            </a:graphic>
          </wp:inline>
        </w:drawing>
      </w:r>
    </w:p>
    <w:p>
      <w:pPr>
        <w:spacing w:line="600" w:lineRule="exact"/>
        <w:ind w:firstLine="640"/>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rPr>
        <w:t>1.因公出国（境）经费支出</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b w:val="0"/>
          <w:bCs/>
          <w:color w:val="auto"/>
          <w:sz w:val="32"/>
          <w:szCs w:val="32"/>
          <w:highlight w:val="none"/>
        </w:rPr>
        <w:t>万元，</w:t>
      </w:r>
      <w:r>
        <w:rPr>
          <w:rFonts w:hint="eastAsia" w:ascii="仿宋" w:hAnsi="仿宋" w:eastAsia="仿宋" w:cs="仿宋"/>
          <w:b w:val="0"/>
          <w:bCs/>
          <w:color w:val="auto"/>
          <w:sz w:val="32"/>
          <w:szCs w:val="32"/>
          <w:highlight w:val="none"/>
          <w:lang w:val="en-US" w:eastAsia="zh-CN"/>
        </w:rPr>
        <w:t>年初未安排预算</w:t>
      </w:r>
      <w:r>
        <w:rPr>
          <w:rFonts w:hint="eastAsia" w:ascii="仿宋" w:hAnsi="仿宋" w:eastAsia="仿宋" w:cs="仿宋"/>
          <w:b w:val="0"/>
          <w:bCs/>
          <w:color w:val="auto"/>
          <w:sz w:val="32"/>
          <w:szCs w:val="32"/>
          <w:highlight w:val="none"/>
        </w:rPr>
        <w:t>。因公出国（境）支出决算较2020年无变化</w:t>
      </w:r>
      <w:r>
        <w:rPr>
          <w:rFonts w:hint="eastAsia" w:ascii="仿宋" w:hAnsi="仿宋" w:eastAsia="仿宋" w:cs="仿宋"/>
          <w:b w:val="0"/>
          <w:bCs/>
          <w:color w:val="auto"/>
          <w:sz w:val="32"/>
          <w:szCs w:val="32"/>
          <w:highlight w:val="none"/>
          <w:lang w:eastAsia="zh-CN"/>
        </w:rPr>
        <w:t>。</w:t>
      </w:r>
    </w:p>
    <w:p>
      <w:pPr>
        <w:spacing w:line="600" w:lineRule="exact"/>
        <w:ind w:firstLine="64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2.公务用车购置及运行维护费支出</w:t>
      </w:r>
      <w:r>
        <w:rPr>
          <w:rFonts w:hint="eastAsia" w:ascii="仿宋" w:hAnsi="仿宋" w:eastAsia="仿宋" w:cs="仿宋"/>
          <w:b w:val="0"/>
          <w:bCs/>
          <w:color w:val="auto"/>
          <w:sz w:val="32"/>
          <w:szCs w:val="32"/>
          <w:highlight w:val="none"/>
          <w:lang w:val="en-US" w:eastAsia="zh-CN"/>
        </w:rPr>
        <w:t>8.84</w:t>
      </w:r>
      <w:r>
        <w:rPr>
          <w:rFonts w:hint="eastAsia" w:ascii="仿宋" w:hAnsi="仿宋" w:eastAsia="仿宋" w:cs="仿宋"/>
          <w:b w:val="0"/>
          <w:bCs/>
          <w:color w:val="auto"/>
          <w:sz w:val="32"/>
          <w:szCs w:val="32"/>
          <w:highlight w:val="none"/>
        </w:rPr>
        <w:t>万元,</w:t>
      </w:r>
      <w:r>
        <w:rPr>
          <w:rStyle w:val="16"/>
          <w:rFonts w:hint="eastAsia" w:ascii="仿宋" w:hAnsi="仿宋" w:eastAsia="仿宋" w:cs="仿宋"/>
          <w:b w:val="0"/>
          <w:bCs/>
          <w:color w:val="auto"/>
          <w:sz w:val="32"/>
          <w:szCs w:val="32"/>
          <w:highlight w:val="none"/>
        </w:rPr>
        <w:t>完成预算</w:t>
      </w:r>
      <w:r>
        <w:rPr>
          <w:rStyle w:val="16"/>
          <w:rFonts w:hint="eastAsia" w:ascii="仿宋" w:hAnsi="仿宋" w:eastAsia="仿宋" w:cs="仿宋"/>
          <w:b w:val="0"/>
          <w:bCs/>
          <w:color w:val="auto"/>
          <w:sz w:val="32"/>
          <w:szCs w:val="32"/>
          <w:highlight w:val="none"/>
          <w:lang w:val="en-US" w:eastAsia="zh-CN"/>
        </w:rPr>
        <w:t>100</w:t>
      </w:r>
      <w:r>
        <w:rPr>
          <w:rStyle w:val="16"/>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rPr>
        <w:t>公务用车购置及运行维护费支出决算比20</w:t>
      </w:r>
      <w:r>
        <w:rPr>
          <w:rFonts w:hint="eastAsia" w:ascii="仿宋" w:hAnsi="仿宋" w:eastAsia="仿宋" w:cs="仿宋"/>
          <w:b w:val="0"/>
          <w:bCs/>
          <w:color w:val="auto"/>
          <w:sz w:val="32"/>
          <w:szCs w:val="32"/>
          <w:highlight w:val="none"/>
          <w:lang w:val="en-US" w:eastAsia="zh-CN"/>
        </w:rPr>
        <w:t>20</w:t>
      </w:r>
      <w:r>
        <w:rPr>
          <w:rFonts w:hint="eastAsia" w:ascii="仿宋" w:hAnsi="仿宋" w:eastAsia="仿宋" w:cs="仿宋"/>
          <w:b w:val="0"/>
          <w:bCs/>
          <w:color w:val="auto"/>
          <w:sz w:val="32"/>
          <w:szCs w:val="32"/>
          <w:highlight w:val="none"/>
        </w:rPr>
        <w:t>年增加</w:t>
      </w:r>
      <w:r>
        <w:rPr>
          <w:rFonts w:hint="eastAsia" w:ascii="仿宋" w:hAnsi="仿宋" w:eastAsia="仿宋" w:cs="仿宋"/>
          <w:b w:val="0"/>
          <w:bCs/>
          <w:color w:val="auto"/>
          <w:sz w:val="32"/>
          <w:szCs w:val="32"/>
          <w:highlight w:val="none"/>
          <w:lang w:val="en-US" w:eastAsia="zh-CN"/>
        </w:rPr>
        <w:t>2.19</w:t>
      </w:r>
      <w:r>
        <w:rPr>
          <w:rFonts w:hint="eastAsia" w:ascii="仿宋" w:hAnsi="仿宋" w:eastAsia="仿宋" w:cs="仿宋"/>
          <w:b w:val="0"/>
          <w:bCs/>
          <w:color w:val="auto"/>
          <w:sz w:val="32"/>
          <w:szCs w:val="32"/>
          <w:highlight w:val="none"/>
        </w:rPr>
        <w:t>万元，增长</w:t>
      </w:r>
      <w:r>
        <w:rPr>
          <w:rFonts w:hint="eastAsia" w:ascii="仿宋" w:hAnsi="仿宋" w:eastAsia="仿宋" w:cs="仿宋"/>
          <w:b w:val="0"/>
          <w:bCs/>
          <w:color w:val="auto"/>
          <w:sz w:val="32"/>
          <w:szCs w:val="32"/>
          <w:highlight w:val="none"/>
          <w:lang w:val="en-US" w:eastAsia="zh-CN"/>
        </w:rPr>
        <w:t>24.7</w:t>
      </w:r>
      <w:r>
        <w:rPr>
          <w:rFonts w:hint="eastAsia" w:ascii="仿宋" w:hAnsi="仿宋" w:eastAsia="仿宋" w:cs="仿宋"/>
          <w:b w:val="0"/>
          <w:bCs/>
          <w:color w:val="auto"/>
          <w:sz w:val="32"/>
          <w:szCs w:val="32"/>
          <w:highlight w:val="none"/>
        </w:rPr>
        <w:t>%。主要原因是</w:t>
      </w:r>
      <w:r>
        <w:rPr>
          <w:rFonts w:hint="eastAsia" w:ascii="仿宋" w:hAnsi="仿宋" w:eastAsia="仿宋" w:cs="仿宋"/>
          <w:b w:val="0"/>
          <w:bCs/>
          <w:color w:val="auto"/>
          <w:sz w:val="32"/>
          <w:szCs w:val="32"/>
          <w:highlight w:val="none"/>
          <w:lang w:eastAsia="zh-CN"/>
        </w:rPr>
        <w:t>我局</w:t>
      </w:r>
      <w:r>
        <w:rPr>
          <w:rFonts w:hint="eastAsia" w:ascii="仿宋" w:hAnsi="仿宋" w:eastAsia="仿宋" w:cs="仿宋"/>
          <w:b w:val="0"/>
          <w:bCs/>
          <w:color w:val="auto"/>
          <w:sz w:val="32"/>
          <w:szCs w:val="32"/>
          <w:highlight w:val="none"/>
          <w:lang w:val="en-US" w:eastAsia="zh-CN"/>
        </w:rPr>
        <w:t>2021年度开展的七人普数据核查工作，公务用车频率较高且公务车为车改划拨资产，早已达到报废年限，账面价值已为0元，故为保障车辆运转，维修维护费用逐年递增，无法压减</w:t>
      </w:r>
      <w:r>
        <w:rPr>
          <w:rFonts w:hint="eastAsia" w:ascii="仿宋" w:hAnsi="仿宋" w:eastAsia="仿宋" w:cs="仿宋"/>
          <w:b w:val="0"/>
          <w:bCs/>
          <w:color w:val="auto"/>
          <w:sz w:val="32"/>
          <w:szCs w:val="32"/>
          <w:highlight w:val="none"/>
        </w:rPr>
        <w:t>。</w:t>
      </w:r>
    </w:p>
    <w:p>
      <w:pPr>
        <w:spacing w:line="60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其中：</w:t>
      </w:r>
      <w:r>
        <w:rPr>
          <w:rFonts w:hint="eastAsia" w:ascii="仿宋" w:hAnsi="仿宋" w:eastAsia="仿宋" w:cs="仿宋"/>
          <w:b w:val="0"/>
          <w:bCs/>
          <w:color w:val="000000"/>
          <w:sz w:val="32"/>
          <w:szCs w:val="32"/>
        </w:rPr>
        <w:t>公务用车购置支出</w:t>
      </w:r>
      <w:r>
        <w:rPr>
          <w:rFonts w:hint="eastAsia" w:ascii="仿宋" w:hAnsi="仿宋" w:eastAsia="仿宋" w:cs="仿宋"/>
          <w:b w:val="0"/>
          <w:bCs/>
          <w:color w:val="000000"/>
          <w:sz w:val="32"/>
          <w:szCs w:val="32"/>
          <w:lang w:val="en-US" w:eastAsia="zh-CN"/>
        </w:rPr>
        <w:t>0</w:t>
      </w:r>
      <w:r>
        <w:rPr>
          <w:rFonts w:hint="eastAsia" w:ascii="仿宋" w:hAnsi="仿宋" w:eastAsia="仿宋" w:cs="仿宋"/>
          <w:b w:val="0"/>
          <w:bCs/>
          <w:color w:val="000000"/>
          <w:sz w:val="32"/>
          <w:szCs w:val="32"/>
        </w:rPr>
        <w:t>万元。截至202</w:t>
      </w:r>
      <w:r>
        <w:rPr>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rPr>
        <w:t>年12月底，单位共有公务用车</w:t>
      </w:r>
      <w:r>
        <w:rPr>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rPr>
        <w:t>辆，其中：越野车</w:t>
      </w:r>
      <w:r>
        <w:rPr>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rPr>
        <w:t>辆。</w:t>
      </w:r>
    </w:p>
    <w:p>
      <w:pPr>
        <w:spacing w:line="600" w:lineRule="exact"/>
        <w:ind w:firstLine="64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公务用车运行维护费支出</w:t>
      </w:r>
      <w:r>
        <w:rPr>
          <w:rFonts w:hint="eastAsia" w:ascii="仿宋" w:hAnsi="仿宋" w:eastAsia="仿宋" w:cs="仿宋"/>
          <w:b w:val="0"/>
          <w:bCs/>
          <w:color w:val="auto"/>
          <w:sz w:val="32"/>
          <w:szCs w:val="32"/>
          <w:highlight w:val="none"/>
          <w:lang w:val="en-US" w:eastAsia="zh-CN"/>
        </w:rPr>
        <w:t>8.84</w:t>
      </w:r>
      <w:r>
        <w:rPr>
          <w:rFonts w:hint="eastAsia" w:ascii="仿宋" w:hAnsi="仿宋" w:eastAsia="仿宋" w:cs="仿宋"/>
          <w:b w:val="0"/>
          <w:bCs/>
          <w:color w:val="auto"/>
          <w:sz w:val="32"/>
          <w:szCs w:val="32"/>
          <w:highlight w:val="none"/>
        </w:rPr>
        <w:t>万元。主要用于</w:t>
      </w:r>
      <w:r>
        <w:rPr>
          <w:rFonts w:hint="eastAsia" w:ascii="仿宋" w:hAnsi="仿宋" w:eastAsia="仿宋" w:cs="仿宋"/>
          <w:b w:val="0"/>
          <w:bCs/>
          <w:color w:val="auto"/>
          <w:sz w:val="32"/>
          <w:szCs w:val="32"/>
          <w:highlight w:val="none"/>
          <w:lang w:eastAsia="zh-CN"/>
        </w:rPr>
        <w:t>专项统计业务、统计执法及七人普</w:t>
      </w:r>
      <w:r>
        <w:rPr>
          <w:rFonts w:hint="eastAsia" w:ascii="仿宋" w:hAnsi="仿宋" w:eastAsia="仿宋" w:cs="仿宋"/>
          <w:b w:val="0"/>
          <w:bCs/>
          <w:color w:val="auto"/>
          <w:sz w:val="32"/>
          <w:szCs w:val="32"/>
          <w:highlight w:val="none"/>
        </w:rPr>
        <w:t>等</w:t>
      </w:r>
      <w:r>
        <w:rPr>
          <w:rFonts w:hint="eastAsia" w:ascii="仿宋" w:hAnsi="仿宋" w:eastAsia="仿宋" w:cs="仿宋"/>
          <w:b w:val="0"/>
          <w:bCs/>
          <w:color w:val="auto"/>
          <w:sz w:val="32"/>
          <w:szCs w:val="32"/>
          <w:highlight w:val="none"/>
          <w:lang w:eastAsia="zh-CN"/>
        </w:rPr>
        <w:t>统计业务工作开展</w:t>
      </w:r>
      <w:r>
        <w:rPr>
          <w:rFonts w:hint="eastAsia" w:ascii="仿宋" w:hAnsi="仿宋" w:eastAsia="仿宋" w:cs="仿宋"/>
          <w:b w:val="0"/>
          <w:bCs/>
          <w:color w:val="auto"/>
          <w:sz w:val="32"/>
          <w:szCs w:val="32"/>
          <w:highlight w:val="none"/>
        </w:rPr>
        <w:t>所需的公务用车燃料费、维修费、过路过桥费、保险费等支出。</w:t>
      </w:r>
    </w:p>
    <w:p>
      <w:pPr>
        <w:spacing w:line="600" w:lineRule="exact"/>
        <w:ind w:firstLine="64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3.公务接待费支出</w:t>
      </w:r>
      <w:r>
        <w:rPr>
          <w:rFonts w:hint="eastAsia" w:ascii="仿宋" w:hAnsi="仿宋" w:eastAsia="仿宋" w:cs="仿宋"/>
          <w:b w:val="0"/>
          <w:bCs/>
          <w:color w:val="auto"/>
          <w:sz w:val="32"/>
          <w:szCs w:val="32"/>
          <w:highlight w:val="none"/>
          <w:lang w:val="en-US" w:eastAsia="zh-CN"/>
        </w:rPr>
        <w:t>0.89</w:t>
      </w:r>
      <w:r>
        <w:rPr>
          <w:rFonts w:hint="eastAsia" w:ascii="仿宋" w:hAnsi="仿宋" w:eastAsia="仿宋" w:cs="仿宋"/>
          <w:b w:val="0"/>
          <w:bCs/>
          <w:color w:val="auto"/>
          <w:sz w:val="32"/>
          <w:szCs w:val="32"/>
          <w:highlight w:val="none"/>
        </w:rPr>
        <w:t>万元，</w:t>
      </w:r>
      <w:r>
        <w:rPr>
          <w:rStyle w:val="16"/>
          <w:rFonts w:hint="eastAsia" w:ascii="仿宋" w:hAnsi="仿宋" w:eastAsia="仿宋" w:cs="仿宋"/>
          <w:b w:val="0"/>
          <w:bCs/>
          <w:color w:val="auto"/>
          <w:sz w:val="32"/>
          <w:szCs w:val="32"/>
          <w:highlight w:val="none"/>
        </w:rPr>
        <w:t>完成预算</w:t>
      </w:r>
      <w:r>
        <w:rPr>
          <w:rStyle w:val="16"/>
          <w:rFonts w:hint="eastAsia" w:ascii="仿宋" w:hAnsi="仿宋" w:eastAsia="仿宋" w:cs="仿宋"/>
          <w:b w:val="0"/>
          <w:bCs/>
          <w:color w:val="auto"/>
          <w:sz w:val="32"/>
          <w:szCs w:val="32"/>
          <w:highlight w:val="none"/>
          <w:lang w:val="en-US" w:eastAsia="zh-CN"/>
        </w:rPr>
        <w:t>35.6</w:t>
      </w:r>
      <w:r>
        <w:rPr>
          <w:rStyle w:val="16"/>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rPr>
        <w:t>公务接待费支出决算比20</w:t>
      </w:r>
      <w:r>
        <w:rPr>
          <w:rFonts w:hint="eastAsia" w:ascii="仿宋" w:hAnsi="仿宋" w:eastAsia="仿宋" w:cs="仿宋"/>
          <w:b w:val="0"/>
          <w:bCs/>
          <w:color w:val="auto"/>
          <w:sz w:val="32"/>
          <w:szCs w:val="32"/>
          <w:highlight w:val="none"/>
          <w:lang w:val="en-US" w:eastAsia="zh-CN"/>
        </w:rPr>
        <w:t>20</w:t>
      </w:r>
      <w:r>
        <w:rPr>
          <w:rFonts w:hint="eastAsia" w:ascii="仿宋" w:hAnsi="仿宋" w:eastAsia="仿宋" w:cs="仿宋"/>
          <w:b w:val="0"/>
          <w:bCs/>
          <w:color w:val="auto"/>
          <w:sz w:val="32"/>
          <w:szCs w:val="32"/>
          <w:highlight w:val="none"/>
        </w:rPr>
        <w:t>年减少</w:t>
      </w:r>
      <w:r>
        <w:rPr>
          <w:rFonts w:hint="eastAsia" w:ascii="仿宋" w:hAnsi="仿宋" w:eastAsia="仿宋" w:cs="仿宋"/>
          <w:b w:val="0"/>
          <w:bCs/>
          <w:color w:val="auto"/>
          <w:sz w:val="32"/>
          <w:szCs w:val="32"/>
          <w:highlight w:val="none"/>
          <w:lang w:val="en-US" w:eastAsia="zh-CN"/>
        </w:rPr>
        <w:t>0.7</w:t>
      </w:r>
      <w:r>
        <w:rPr>
          <w:rFonts w:hint="eastAsia" w:ascii="仿宋" w:hAnsi="仿宋" w:eastAsia="仿宋" w:cs="仿宋"/>
          <w:b w:val="0"/>
          <w:bCs/>
          <w:color w:val="auto"/>
          <w:sz w:val="32"/>
          <w:szCs w:val="32"/>
          <w:highlight w:val="none"/>
        </w:rPr>
        <w:t>万元，下降</w:t>
      </w:r>
      <w:r>
        <w:rPr>
          <w:rFonts w:hint="eastAsia" w:ascii="仿宋" w:hAnsi="仿宋" w:eastAsia="仿宋" w:cs="仿宋"/>
          <w:b w:val="0"/>
          <w:bCs/>
          <w:color w:val="auto"/>
          <w:sz w:val="32"/>
          <w:szCs w:val="32"/>
          <w:highlight w:val="none"/>
          <w:lang w:val="en-US" w:eastAsia="zh-CN"/>
        </w:rPr>
        <w:t>44</w:t>
      </w:r>
      <w:r>
        <w:rPr>
          <w:rFonts w:hint="eastAsia" w:ascii="仿宋" w:hAnsi="仿宋" w:eastAsia="仿宋" w:cs="仿宋"/>
          <w:b w:val="0"/>
          <w:bCs/>
          <w:color w:val="auto"/>
          <w:sz w:val="32"/>
          <w:szCs w:val="32"/>
          <w:highlight w:val="none"/>
        </w:rPr>
        <w:t>%。主要原因是</w:t>
      </w:r>
      <w:r>
        <w:rPr>
          <w:rFonts w:hint="eastAsia" w:ascii="仿宋" w:hAnsi="仿宋" w:eastAsia="仿宋" w:cs="仿宋"/>
          <w:b w:val="0"/>
          <w:bCs/>
          <w:color w:val="auto"/>
          <w:sz w:val="32"/>
          <w:szCs w:val="32"/>
          <w:highlight w:val="none"/>
          <w:lang w:eastAsia="zh-CN"/>
        </w:rPr>
        <w:t>按要求压减，厉行节约。</w:t>
      </w:r>
      <w:r>
        <w:rPr>
          <w:rFonts w:hint="eastAsia" w:ascii="仿宋" w:hAnsi="仿宋" w:eastAsia="仿宋" w:cs="仿宋"/>
          <w:b w:val="0"/>
          <w:bCs/>
          <w:color w:val="auto"/>
          <w:sz w:val="32"/>
          <w:szCs w:val="32"/>
          <w:highlight w:val="none"/>
        </w:rPr>
        <w:t>其中：</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仿宋_GB2312" w:eastAsia="仿宋_GB2312"/>
          <w:color w:val="auto"/>
          <w:sz w:val="32"/>
          <w:szCs w:val="32"/>
          <w:highlight w:val="none"/>
        </w:rPr>
      </w:pPr>
      <w:r>
        <w:rPr>
          <w:rFonts w:hint="eastAsia" w:ascii="仿宋" w:hAnsi="仿宋" w:eastAsia="仿宋" w:cs="仿宋"/>
          <w:b w:val="0"/>
          <w:bCs/>
          <w:color w:val="auto"/>
          <w:sz w:val="32"/>
          <w:szCs w:val="32"/>
          <w:highlight w:val="none"/>
        </w:rPr>
        <w:t>国内公务接待支出</w:t>
      </w:r>
      <w:r>
        <w:rPr>
          <w:rFonts w:hint="eastAsia" w:ascii="仿宋" w:hAnsi="仿宋" w:eastAsia="仿宋" w:cs="仿宋"/>
          <w:b w:val="0"/>
          <w:bCs/>
          <w:color w:val="auto"/>
          <w:sz w:val="32"/>
          <w:szCs w:val="32"/>
          <w:highlight w:val="none"/>
          <w:lang w:val="en-US" w:eastAsia="zh-CN"/>
        </w:rPr>
        <w:t>0.89</w:t>
      </w:r>
      <w:r>
        <w:rPr>
          <w:rFonts w:hint="eastAsia" w:ascii="仿宋" w:hAnsi="仿宋" w:eastAsia="仿宋" w:cs="仿宋"/>
          <w:b w:val="0"/>
          <w:bCs/>
          <w:color w:val="auto"/>
          <w:sz w:val="32"/>
          <w:szCs w:val="32"/>
          <w:highlight w:val="none"/>
        </w:rPr>
        <w:t>万元，</w:t>
      </w:r>
      <w:r>
        <w:rPr>
          <w:rFonts w:hint="eastAsia" w:ascii="仿宋" w:hAnsi="仿宋" w:eastAsia="仿宋" w:cs="仿宋"/>
          <w:b w:val="0"/>
          <w:bCs/>
          <w:color w:val="000000"/>
          <w:sz w:val="32"/>
          <w:szCs w:val="32"/>
        </w:rPr>
        <w:t>主要用</w:t>
      </w:r>
      <w:r>
        <w:rPr>
          <w:rFonts w:hint="eastAsia" w:ascii="仿宋_GB2312" w:eastAsia="仿宋_GB2312"/>
          <w:color w:val="000000"/>
          <w:sz w:val="32"/>
          <w:szCs w:val="32"/>
        </w:rPr>
        <w:t>于统计</w:t>
      </w:r>
      <w:r>
        <w:rPr>
          <w:rFonts w:ascii="仿宋_GB2312" w:eastAsia="仿宋_GB2312"/>
          <w:color w:val="000000"/>
          <w:sz w:val="32"/>
          <w:szCs w:val="32"/>
        </w:rPr>
        <w:t>专项业务开展</w:t>
      </w:r>
      <w:r>
        <w:rPr>
          <w:rFonts w:hint="eastAsia" w:ascii="仿宋_GB2312" w:eastAsia="仿宋_GB2312"/>
          <w:color w:val="000000"/>
          <w:sz w:val="32"/>
          <w:szCs w:val="32"/>
        </w:rPr>
        <w:t>开支</w:t>
      </w:r>
      <w:r>
        <w:rPr>
          <w:rFonts w:ascii="仿宋_GB2312" w:eastAsia="仿宋_GB2312"/>
          <w:color w:val="000000"/>
          <w:sz w:val="32"/>
          <w:szCs w:val="32"/>
        </w:rPr>
        <w:t>的</w:t>
      </w:r>
      <w:r>
        <w:rPr>
          <w:rFonts w:hint="eastAsia" w:ascii="仿宋_GB2312" w:eastAsia="仿宋_GB2312"/>
          <w:color w:val="000000"/>
          <w:sz w:val="32"/>
          <w:szCs w:val="32"/>
        </w:rPr>
        <w:t>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0.89</w:t>
      </w:r>
      <w:r>
        <w:rPr>
          <w:rFonts w:hint="eastAsia" w:ascii="仿宋_GB2312" w:eastAsia="仿宋_GB2312"/>
          <w:color w:val="auto"/>
          <w:sz w:val="32"/>
          <w:szCs w:val="32"/>
          <w:highlight w:val="none"/>
        </w:rPr>
        <w:t>万元。</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万元，外事接待</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人，共计支出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p>
    <w:p>
      <w:pPr>
        <w:spacing w:line="600" w:lineRule="exact"/>
        <w:ind w:firstLine="640"/>
        <w:outlineLvl w:val="1"/>
        <w:rPr>
          <w:rStyle w:val="19"/>
          <w:rFonts w:ascii="黑体" w:hAnsi="黑体" w:eastAsia="黑体"/>
          <w:color w:val="auto"/>
          <w:highlight w:val="none"/>
        </w:rPr>
      </w:pPr>
      <w:bookmarkStart w:id="45" w:name="_Toc15396610"/>
      <w:bookmarkStart w:id="46" w:name="_Toc15377218"/>
      <w:r>
        <w:rPr>
          <w:rFonts w:hint="eastAsia" w:ascii="黑体" w:eastAsia="黑体"/>
          <w:color w:val="auto"/>
          <w:sz w:val="32"/>
          <w:szCs w:val="32"/>
          <w:highlight w:val="none"/>
        </w:rPr>
        <w:t>八、</w:t>
      </w:r>
      <w:r>
        <w:rPr>
          <w:rStyle w:val="19"/>
          <w:rFonts w:hint="eastAsia" w:ascii="黑体" w:hAnsi="黑体" w:eastAsia="黑体"/>
          <w:b w:val="0"/>
          <w:color w:val="auto"/>
          <w:highlight w:val="none"/>
        </w:rPr>
        <w:t>政府性基金预算支出决算情况说明</w:t>
      </w:r>
      <w:bookmarkEnd w:id="45"/>
      <w:bookmarkEnd w:id="46"/>
    </w:p>
    <w:p>
      <w:pPr>
        <w:spacing w:line="600" w:lineRule="exact"/>
        <w:ind w:firstLine="640" w:firstLineChars="200"/>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eastAsia="zh-CN"/>
        </w:rPr>
        <w:t>无</w:t>
      </w:r>
      <w:r>
        <w:rPr>
          <w:rFonts w:hint="eastAsia" w:ascii="仿宋" w:hAnsi="仿宋" w:eastAsia="仿宋"/>
          <w:color w:val="000000"/>
          <w:sz w:val="32"/>
          <w:szCs w:val="32"/>
        </w:rPr>
        <w:t>政府性基金预算拨款支出。202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年本单位未在政府性基金预算拨款安排“三公经费”支出。</w:t>
      </w:r>
    </w:p>
    <w:p>
      <w:pPr>
        <w:numPr>
          <w:ilvl w:val="0"/>
          <w:numId w:val="2"/>
        </w:numPr>
        <w:spacing w:line="600" w:lineRule="exact"/>
        <w:ind w:firstLine="640"/>
        <w:outlineLvl w:val="1"/>
        <w:rPr>
          <w:rStyle w:val="19"/>
          <w:rFonts w:ascii="黑体" w:hAnsi="黑体" w:eastAsia="黑体"/>
          <w:b w:val="0"/>
          <w:color w:val="auto"/>
          <w:highlight w:val="none"/>
        </w:rPr>
      </w:pPr>
      <w:bookmarkStart w:id="47" w:name="_Toc15377219"/>
      <w:bookmarkStart w:id="48" w:name="_Toc15396611"/>
      <w:r>
        <w:rPr>
          <w:rStyle w:val="19"/>
          <w:rFonts w:hint="eastAsia" w:ascii="黑体" w:hAnsi="黑体" w:eastAsia="黑体"/>
          <w:b w:val="0"/>
          <w:color w:val="auto"/>
          <w:highlight w:val="none"/>
        </w:rPr>
        <w:t>国有资本经营预算支出决算情况说明</w:t>
      </w:r>
      <w:bookmarkEnd w:id="47"/>
      <w:bookmarkEnd w:id="48"/>
    </w:p>
    <w:p>
      <w:pPr>
        <w:spacing w:line="600" w:lineRule="exact"/>
        <w:ind w:firstLine="640" w:firstLineChars="200"/>
        <w:rPr>
          <w:rFonts w:hint="eastAsia"/>
        </w:rPr>
      </w:pPr>
      <w:bookmarkStart w:id="49" w:name="_Toc15396612"/>
      <w:bookmarkStart w:id="50" w:name="_Toc15377221"/>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eastAsia="zh-CN"/>
        </w:rPr>
        <w:t>无</w:t>
      </w:r>
      <w:r>
        <w:rPr>
          <w:rFonts w:hint="eastAsia" w:ascii="仿宋" w:hAnsi="仿宋" w:eastAsia="仿宋"/>
          <w:color w:val="000000"/>
          <w:sz w:val="32"/>
          <w:szCs w:val="32"/>
        </w:rPr>
        <w:t>国有资本经营预算拨款支出。</w:t>
      </w:r>
    </w:p>
    <w:p>
      <w:pPr>
        <w:numPr>
          <w:ilvl w:val="0"/>
          <w:numId w:val="2"/>
        </w:numPr>
        <w:spacing w:line="600" w:lineRule="exact"/>
        <w:ind w:firstLine="640"/>
        <w:outlineLvl w:val="1"/>
        <w:rPr>
          <w:rStyle w:val="19"/>
          <w:rFonts w:hint="eastAsia" w:ascii="黑体" w:hAnsi="黑体" w:eastAsia="黑体"/>
          <w:b w:val="0"/>
          <w:color w:val="auto"/>
          <w:highlight w:val="none"/>
        </w:rPr>
      </w:pPr>
      <w:r>
        <w:rPr>
          <w:rStyle w:val="19"/>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Fonts w:hint="eastAsia"/>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统计调查专项经费、统计专项业务培训、统计年鉴、月报、季报、统计资料制作经费、统计等保测评信息化运维项目、统计工作专项经费、脱贫帮扶工作经费等</w:t>
      </w:r>
      <w:r>
        <w:rPr>
          <w:rFonts w:hint="eastAsia" w:ascii="仿宋_GB2312" w:hAnsi="仿宋_GB2312" w:eastAsia="仿宋_GB2312" w:cs="仿宋_GB2312"/>
          <w:color w:val="auto"/>
          <w:sz w:val="32"/>
          <w:szCs w:val="32"/>
          <w:highlight w:val="none"/>
          <w:lang w:val="en-US" w:eastAsia="zh-CN"/>
        </w:rPr>
        <w:t>六个项目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市统计局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19"/>
          <w:rFonts w:hint="eastAsia" w:ascii="黑体" w:hAnsi="黑体" w:eastAsia="黑体"/>
          <w:b w:val="0"/>
          <w:color w:val="auto"/>
          <w:highlight w:val="none"/>
        </w:rPr>
      </w:pPr>
      <w:r>
        <w:rPr>
          <w:rStyle w:val="19"/>
          <w:rFonts w:hint="eastAsia" w:ascii="黑体" w:hAnsi="黑体" w:eastAsia="黑体"/>
          <w:b w:val="0"/>
          <w:color w:val="auto"/>
          <w:highlight w:val="none"/>
        </w:rPr>
        <w:t>其他重要事项的情况说明</w:t>
      </w:r>
      <w:bookmarkEnd w:id="49"/>
      <w:bookmarkEnd w:id="50"/>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51" w:name="_Toc15377222"/>
      <w:r>
        <w:rPr>
          <w:rFonts w:hint="eastAsia" w:ascii="楷体" w:hAnsi="楷体" w:eastAsia="楷体" w:cs="楷体"/>
          <w:b w:val="0"/>
          <w:bCs/>
          <w:color w:val="auto"/>
          <w:sz w:val="32"/>
          <w:szCs w:val="32"/>
          <w:highlight w:val="none"/>
        </w:rPr>
        <w:t>（一）机关运行经费支出情况</w:t>
      </w:r>
      <w:bookmarkEnd w:id="5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广元市统计局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86.18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17.62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16.9</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厉行节约。</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bookmarkStart w:id="52" w:name="_Toc15377223"/>
      <w:r>
        <w:rPr>
          <w:rFonts w:hint="eastAsia" w:ascii="楷体" w:hAnsi="楷体" w:eastAsia="楷体" w:cs="楷体"/>
          <w:b w:val="0"/>
          <w:bCs/>
          <w:color w:val="auto"/>
          <w:sz w:val="32"/>
          <w:szCs w:val="32"/>
          <w:highlight w:val="none"/>
        </w:rPr>
        <w:t>（二）政府采购支出情况</w:t>
      </w:r>
      <w:bookmarkEnd w:id="52"/>
    </w:p>
    <w:p>
      <w:pPr>
        <w:spacing w:line="600" w:lineRule="exact"/>
        <w:ind w:firstLine="640" w:firstLineChars="200"/>
        <w:rPr>
          <w:rFonts w:ascii="仿宋" w:hAnsi="仿宋" w:eastAsia="仿宋"/>
          <w:color w:val="auto"/>
          <w:sz w:val="32"/>
          <w:szCs w:val="32"/>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广元市统计局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15.25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15.25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、政府采购工程支出</w:t>
      </w:r>
      <w:r>
        <w:rPr>
          <w:rFonts w:hint="eastAsia" w:ascii="仿宋_GB2312" w:eastAsia="仿宋_GB2312"/>
          <w:color w:val="auto"/>
          <w:sz w:val="32"/>
          <w:szCs w:val="32"/>
          <w:highlight w:val="none"/>
          <w:lang w:val="en-US" w:eastAsia="zh-CN"/>
        </w:rPr>
        <w:t>0万元、政府采购服务支出0万元。</w:t>
      </w:r>
      <w:r>
        <w:rPr>
          <w:rFonts w:hint="eastAsia" w:ascii="仿宋_GB2312" w:eastAsia="仿宋_GB2312"/>
          <w:color w:val="auto"/>
          <w:sz w:val="32"/>
          <w:szCs w:val="32"/>
          <w:highlight w:val="none"/>
        </w:rPr>
        <w:t>主要用于</w:t>
      </w:r>
      <w:r>
        <w:rPr>
          <w:rFonts w:hint="eastAsia" w:ascii="仿宋" w:hAnsi="仿宋" w:eastAsia="仿宋"/>
          <w:color w:val="auto"/>
          <w:sz w:val="32"/>
          <w:szCs w:val="32"/>
          <w:lang w:eastAsia="zh-CN"/>
        </w:rPr>
        <w:t>统计专项业务工作购买办公用设备</w:t>
      </w:r>
      <w:r>
        <w:rPr>
          <w:rFonts w:hint="eastAsia" w:ascii="仿宋" w:hAnsi="仿宋" w:eastAsia="仿宋"/>
          <w:color w:val="auto"/>
          <w:sz w:val="32"/>
          <w:szCs w:val="32"/>
        </w:rPr>
        <w:t>。</w:t>
      </w:r>
      <w:r>
        <w:rPr>
          <w:rFonts w:hint="eastAsia" w:ascii="仿宋_GB2312" w:hAnsi="仿宋_GB2312" w:eastAsia="仿宋_GB2312" w:cs="仿宋_GB2312"/>
          <w:color w:val="auto"/>
          <w:sz w:val="32"/>
          <w:szCs w:val="32"/>
        </w:rPr>
        <w:t>授予中小企业合同金额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%，其中：授予小微企业合同金额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bookmarkStart w:id="53" w:name="_Toc15377224"/>
      <w:r>
        <w:rPr>
          <w:rFonts w:hint="eastAsia" w:ascii="楷体" w:hAnsi="楷体" w:eastAsia="楷体" w:cs="楷体"/>
          <w:b w:val="0"/>
          <w:bCs/>
          <w:color w:val="auto"/>
          <w:sz w:val="32"/>
          <w:szCs w:val="32"/>
          <w:highlight w:val="none"/>
        </w:rPr>
        <w:t>（三）国有资产占有使用情况</w:t>
      </w:r>
      <w:bookmarkEnd w:id="53"/>
    </w:p>
    <w:p>
      <w:pPr>
        <w:autoSpaceDE w:val="0"/>
        <w:autoSpaceDN w:val="0"/>
        <w:adjustRightInd w:val="0"/>
        <w:spacing w:line="600" w:lineRule="exact"/>
        <w:ind w:firstLine="640" w:firstLineChars="200"/>
        <w:jc w:val="left"/>
        <w:rPr>
          <w:rFonts w:hint="eastAsia" w:ascii="仿宋" w:hAnsi="仿宋" w:eastAsia="仿宋"/>
          <w:color w:val="auto"/>
          <w:sz w:val="32"/>
          <w:szCs w:val="32"/>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olor w:val="000000"/>
          <w:sz w:val="32"/>
          <w:szCs w:val="32"/>
          <w:lang w:eastAsia="zh-CN"/>
        </w:rPr>
        <w:t>广元市统计局</w:t>
      </w:r>
      <w:r>
        <w:rPr>
          <w:rFonts w:hint="eastAsia" w:ascii="仿宋" w:hAnsi="仿宋" w:eastAsia="仿宋"/>
          <w:color w:val="000000"/>
          <w:sz w:val="32"/>
          <w:szCs w:val="32"/>
        </w:rPr>
        <w:t>共有车辆</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辆，其中：其他用车</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辆</w:t>
      </w:r>
      <w:r>
        <w:rPr>
          <w:rFonts w:hint="eastAsia" w:ascii="仿宋" w:hAnsi="仿宋" w:eastAsia="仿宋"/>
          <w:color w:val="000000"/>
          <w:sz w:val="32"/>
          <w:szCs w:val="32"/>
          <w:lang w:eastAsia="zh-CN"/>
        </w:rPr>
        <w:t>，</w:t>
      </w:r>
      <w:r>
        <w:rPr>
          <w:rFonts w:hint="eastAsia" w:ascii="仿宋" w:hAnsi="仿宋" w:eastAsia="仿宋"/>
          <w:color w:val="auto"/>
          <w:sz w:val="32"/>
          <w:szCs w:val="32"/>
          <w:lang w:eastAsia="zh-CN"/>
        </w:rPr>
        <w:t>主要用于开展专项统计业务相关的统计调查、数据核查、人口普查等相关开支，单价50万元以上通用设备</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台，单价100万元以上专用设备</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台。</w:t>
      </w: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numPr>
          <w:ilvl w:val="0"/>
          <w:numId w:val="3"/>
        </w:numPr>
        <w:spacing w:line="600" w:lineRule="exact"/>
        <w:ind w:left="0" w:leftChars="0" w:firstLine="0" w:firstLineChars="0"/>
        <w:jc w:val="center"/>
        <w:outlineLvl w:val="0"/>
        <w:rPr>
          <w:rStyle w:val="18"/>
          <w:rFonts w:hint="eastAsia" w:ascii="方正小标宋简体" w:hAnsi="方正小标宋简体" w:eastAsia="方正小标宋简体" w:cs="方正小标宋简体"/>
          <w:b w:val="0"/>
          <w:color w:val="auto"/>
          <w:highlight w:val="none"/>
        </w:rPr>
      </w:pPr>
      <w:bookmarkStart w:id="54" w:name="_Toc15377225"/>
      <w:bookmarkStart w:id="55" w:name="_Toc15396613"/>
      <w:r>
        <w:rPr>
          <w:rFonts w:hint="eastAsia" w:ascii="方正小标宋简体" w:hAnsi="方正小标宋简体" w:eastAsia="方正小标宋简体" w:cs="方正小标宋简体"/>
          <w:color w:val="auto"/>
          <w:sz w:val="44"/>
          <w:szCs w:val="44"/>
          <w:highlight w:val="none"/>
        </w:rPr>
        <w:t>名</w:t>
      </w:r>
      <w:r>
        <w:rPr>
          <w:rStyle w:val="18"/>
          <w:rFonts w:hint="eastAsia" w:ascii="方正小标宋简体" w:hAnsi="方正小标宋简体" w:eastAsia="方正小标宋简体" w:cs="方正小标宋简体"/>
          <w:b w:val="0"/>
          <w:color w:val="auto"/>
          <w:highlight w:val="none"/>
        </w:rPr>
        <w:t>词解释</w:t>
      </w:r>
      <w:bookmarkEnd w:id="54"/>
      <w:bookmarkEnd w:id="55"/>
    </w:p>
    <w:p>
      <w:pPr>
        <w:spacing w:line="600" w:lineRule="exact"/>
        <w:jc w:val="left"/>
        <w:rPr>
          <w:rFonts w:ascii="宋体"/>
          <w:b/>
          <w:color w:val="auto"/>
          <w:sz w:val="44"/>
          <w:szCs w:val="44"/>
          <w:highlight w:val="none"/>
        </w:rPr>
      </w:pPr>
    </w:p>
    <w:p>
      <w:pPr>
        <w:pStyle w:val="27"/>
        <w:keepNext w:val="0"/>
        <w:keepLines w:val="0"/>
        <w:pageBreakBefore w:val="0"/>
        <w:kinsoku/>
        <w:wordWrap/>
        <w:overflowPunct/>
        <w:topLinePunct w:val="0"/>
        <w:bidi w:val="0"/>
        <w:snapToGrid/>
        <w:spacing w:line="560" w:lineRule="exact"/>
        <w:ind w:firstLine="640" w:firstLineChars="200"/>
        <w:textAlignment w:val="auto"/>
        <w:rPr>
          <w:rFonts w:hAnsi="仿宋"/>
          <w:sz w:val="32"/>
          <w:szCs w:val="32"/>
        </w:rPr>
      </w:pPr>
      <w:r>
        <w:rPr>
          <w:rFonts w:hAnsi="仿宋"/>
          <w:sz w:val="32"/>
          <w:szCs w:val="32"/>
        </w:rPr>
        <w:t>1</w:t>
      </w:r>
      <w:r>
        <w:rPr>
          <w:rFonts w:hint="eastAsia" w:hAnsi="仿宋"/>
          <w:sz w:val="32"/>
          <w:szCs w:val="32"/>
          <w:lang w:eastAsia="zh-CN"/>
        </w:rPr>
        <w:t>、</w:t>
      </w:r>
      <w:r>
        <w:rPr>
          <w:rFonts w:hint="eastAsia" w:hAnsi="仿宋"/>
          <w:sz w:val="32"/>
          <w:szCs w:val="32"/>
        </w:rPr>
        <w:t>财政拨款收入：指单位从同级财政部门取得的财政预算资金。</w:t>
      </w:r>
    </w:p>
    <w:p>
      <w:pPr>
        <w:pStyle w:val="27"/>
        <w:keepNext w:val="0"/>
        <w:keepLines w:val="0"/>
        <w:pageBreakBefore w:val="0"/>
        <w:kinsoku/>
        <w:wordWrap/>
        <w:overflowPunct/>
        <w:topLinePunct w:val="0"/>
        <w:bidi w:val="0"/>
        <w:snapToGrid/>
        <w:spacing w:line="560" w:lineRule="exact"/>
        <w:ind w:firstLine="640" w:firstLineChars="200"/>
        <w:textAlignment w:val="auto"/>
        <w:rPr>
          <w:rFonts w:hAnsi="仿宋"/>
          <w:sz w:val="32"/>
          <w:szCs w:val="32"/>
        </w:rPr>
      </w:pPr>
      <w:r>
        <w:rPr>
          <w:rFonts w:hAnsi="仿宋"/>
          <w:sz w:val="32"/>
          <w:szCs w:val="32"/>
        </w:rPr>
        <w:t>2</w:t>
      </w:r>
      <w:r>
        <w:rPr>
          <w:rFonts w:hint="eastAsia" w:hAnsi="仿宋"/>
          <w:sz w:val="32"/>
          <w:szCs w:val="32"/>
          <w:lang w:eastAsia="zh-CN"/>
        </w:rPr>
        <w:t>、</w:t>
      </w:r>
      <w:r>
        <w:rPr>
          <w:rFonts w:hint="eastAsia" w:hAnsi="仿宋"/>
          <w:sz w:val="32"/>
          <w:szCs w:val="32"/>
        </w:rPr>
        <w:t>其他收入：指单位取得的除上述收入以外的各项收入。主要是利息收入等。</w:t>
      </w:r>
      <w:r>
        <w:rPr>
          <w:rFonts w:hAnsi="仿宋"/>
          <w:sz w:val="32"/>
          <w:szCs w:val="32"/>
        </w:rPr>
        <w:t xml:space="preserve"> </w:t>
      </w:r>
    </w:p>
    <w:p>
      <w:pPr>
        <w:pStyle w:val="27"/>
        <w:keepNext w:val="0"/>
        <w:keepLines w:val="0"/>
        <w:pageBreakBefore w:val="0"/>
        <w:kinsoku/>
        <w:wordWrap/>
        <w:overflowPunct/>
        <w:topLinePunct w:val="0"/>
        <w:bidi w:val="0"/>
        <w:snapToGrid/>
        <w:spacing w:line="560" w:lineRule="exact"/>
        <w:ind w:firstLine="640" w:firstLineChars="200"/>
        <w:textAlignment w:val="auto"/>
        <w:rPr>
          <w:rFonts w:hAnsi="仿宋"/>
          <w:sz w:val="32"/>
          <w:szCs w:val="32"/>
        </w:rPr>
      </w:pPr>
      <w:r>
        <w:rPr>
          <w:rFonts w:hAnsi="仿宋"/>
          <w:sz w:val="32"/>
          <w:szCs w:val="32"/>
        </w:rPr>
        <w:t>3</w:t>
      </w:r>
      <w:r>
        <w:rPr>
          <w:rFonts w:hint="eastAsia" w:hAnsi="仿宋"/>
          <w:sz w:val="32"/>
          <w:szCs w:val="32"/>
          <w:lang w:eastAsia="zh-CN"/>
        </w:rPr>
        <w:t>、</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7"/>
        <w:keepNext w:val="0"/>
        <w:keepLines w:val="0"/>
        <w:pageBreakBefore w:val="0"/>
        <w:kinsoku/>
        <w:wordWrap/>
        <w:overflowPunct/>
        <w:topLinePunct w:val="0"/>
        <w:bidi w:val="0"/>
        <w:snapToGrid/>
        <w:spacing w:line="560" w:lineRule="exact"/>
        <w:ind w:firstLine="640" w:firstLineChars="200"/>
        <w:textAlignment w:val="auto"/>
        <w:rPr>
          <w:rFonts w:hAnsi="仿宋"/>
          <w:sz w:val="32"/>
          <w:szCs w:val="32"/>
        </w:rPr>
      </w:pPr>
      <w:r>
        <w:rPr>
          <w:rFonts w:hAnsi="仿宋"/>
          <w:sz w:val="32"/>
          <w:szCs w:val="32"/>
        </w:rPr>
        <w:t>4</w:t>
      </w:r>
      <w:r>
        <w:rPr>
          <w:rFonts w:hint="eastAsia" w:hAnsi="仿宋"/>
          <w:sz w:val="32"/>
          <w:szCs w:val="32"/>
          <w:lang w:eastAsia="zh-CN"/>
        </w:rPr>
        <w:t>、</w:t>
      </w:r>
      <w:r>
        <w:rPr>
          <w:rFonts w:hint="eastAsia" w:hAnsi="仿宋"/>
          <w:sz w:val="32"/>
          <w:szCs w:val="32"/>
        </w:rPr>
        <w:t>年末结转和结余：指单位按有关规定结转到下年或以后年度继续使用的资金。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left"/>
        <w:textAlignment w:val="auto"/>
      </w:pPr>
      <w:r>
        <w:rPr>
          <w:rFonts w:hint="eastAsia" w:ascii="仿宋" w:hAnsi="仿宋" w:eastAsia="仿宋" w:cs="仿宋"/>
          <w:color w:val="000000"/>
          <w:kern w:val="0"/>
          <w:sz w:val="32"/>
          <w:szCs w:val="32"/>
          <w:lang w:val="en-US" w:eastAsia="zh-CN" w:bidi="ar-SA"/>
        </w:rPr>
        <w:t>5、</w:t>
      </w:r>
      <w:r>
        <w:rPr>
          <w:rFonts w:hint="eastAsia" w:ascii="仿宋" w:hAnsi="仿宋" w:eastAsia="仿宋" w:cs="仿宋"/>
          <w:color w:val="000000"/>
          <w:kern w:val="0"/>
          <w:sz w:val="32"/>
          <w:szCs w:val="32"/>
          <w:lang w:val="en-US" w:eastAsia="zh-Hans" w:bidi="ar-SA"/>
        </w:rPr>
        <w:t>一般公共服务</w:t>
      </w:r>
      <w:r>
        <w:rPr>
          <w:rFonts w:hint="eastAsia" w:ascii="仿宋" w:hAnsi="仿宋" w:eastAsia="仿宋" w:cs="仿宋"/>
          <w:color w:val="000000"/>
          <w:kern w:val="0"/>
          <w:sz w:val="32"/>
          <w:szCs w:val="32"/>
          <w:lang w:val="en-US" w:eastAsia="zh-CN" w:bidi="ar-SA"/>
        </w:rPr>
        <w:t>(类)</w:t>
      </w:r>
      <w:r>
        <w:rPr>
          <w:rFonts w:hint="eastAsia" w:ascii="仿宋" w:hAnsi="仿宋" w:eastAsia="仿宋" w:cs="仿宋"/>
          <w:color w:val="000000"/>
          <w:kern w:val="0"/>
          <w:sz w:val="32"/>
          <w:szCs w:val="32"/>
          <w:lang w:val="en-US" w:eastAsia="zh-Hans" w:bidi="ar-SA"/>
        </w:rPr>
        <w:t>统计信息事务</w:t>
      </w:r>
      <w:r>
        <w:rPr>
          <w:rFonts w:hint="eastAsia" w:ascii="仿宋" w:hAnsi="仿宋" w:eastAsia="仿宋" w:cs="仿宋"/>
          <w:color w:val="000000"/>
          <w:kern w:val="0"/>
          <w:sz w:val="32"/>
          <w:szCs w:val="32"/>
          <w:lang w:val="en-US" w:eastAsia="zh-CN" w:bidi="ar-SA"/>
        </w:rPr>
        <w:t>（款）</w:t>
      </w:r>
      <w:r>
        <w:rPr>
          <w:rFonts w:hint="eastAsia" w:ascii="仿宋" w:hAnsi="仿宋" w:eastAsia="仿宋" w:cs="仿宋"/>
          <w:color w:val="000000"/>
          <w:kern w:val="0"/>
          <w:sz w:val="32"/>
          <w:szCs w:val="32"/>
          <w:lang w:val="en-US" w:eastAsia="zh-Hans" w:bidi="ar-SA"/>
        </w:rPr>
        <w:t>行政运行</w:t>
      </w:r>
      <w:r>
        <w:rPr>
          <w:rFonts w:hint="eastAsia" w:ascii="仿宋" w:hAnsi="仿宋" w:eastAsia="仿宋" w:cs="仿宋"/>
          <w:color w:val="000000"/>
          <w:kern w:val="0"/>
          <w:sz w:val="32"/>
          <w:szCs w:val="32"/>
          <w:lang w:val="en-US" w:eastAsia="zh-CN" w:bidi="ar-SA"/>
        </w:rPr>
        <w:t>（项）</w:t>
      </w:r>
      <w:r>
        <w:rPr>
          <w:rFonts w:hint="eastAsia" w:ascii="仿宋" w:hAnsi="仿宋" w:eastAsia="仿宋" w:cs="仿宋"/>
          <w:color w:val="000000"/>
          <w:kern w:val="0"/>
          <w:sz w:val="32"/>
          <w:szCs w:val="32"/>
          <w:lang w:val="en-US" w:eastAsia="zh-Hans" w:bidi="ar-SA"/>
        </w:rPr>
        <w:t>：指</w:t>
      </w:r>
      <w:r>
        <w:rPr>
          <w:rFonts w:hint="default" w:ascii="仿宋" w:hAnsi="仿宋" w:eastAsia="仿宋" w:cs="仿宋"/>
          <w:color w:val="000000"/>
          <w:kern w:val="0"/>
          <w:sz w:val="32"/>
          <w:szCs w:val="32"/>
          <w:lang w:val="en-US" w:eastAsia="zh-Hans" w:bidi="ar-SA"/>
        </w:rPr>
        <w:t>广元市</w:t>
      </w:r>
      <w:r>
        <w:rPr>
          <w:rFonts w:hint="eastAsia" w:ascii="仿宋" w:hAnsi="仿宋" w:eastAsia="仿宋" w:cs="仿宋"/>
          <w:color w:val="000000"/>
          <w:kern w:val="0"/>
          <w:sz w:val="32"/>
          <w:szCs w:val="32"/>
          <w:lang w:val="en-US" w:eastAsia="zh-CN" w:bidi="ar-SA"/>
        </w:rPr>
        <w:t>统计</w:t>
      </w:r>
      <w:r>
        <w:rPr>
          <w:rFonts w:hint="default" w:ascii="仿宋" w:hAnsi="仿宋" w:eastAsia="仿宋" w:cs="仿宋"/>
          <w:color w:val="000000"/>
          <w:kern w:val="0"/>
          <w:sz w:val="32"/>
          <w:szCs w:val="32"/>
          <w:lang w:val="en-US" w:eastAsia="zh-Hans" w:bidi="ar-SA"/>
        </w:rPr>
        <w:t>部门</w:t>
      </w:r>
      <w:r>
        <w:rPr>
          <w:rFonts w:hint="eastAsia" w:ascii="仿宋" w:hAnsi="仿宋" w:eastAsia="仿宋" w:cs="仿宋"/>
          <w:color w:val="000000"/>
          <w:kern w:val="0"/>
          <w:sz w:val="32"/>
          <w:szCs w:val="32"/>
          <w:lang w:val="en-US" w:eastAsia="zh-Hans" w:bidi="ar-SA"/>
        </w:rPr>
        <w:t>基本支出。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仿宋" w:hAnsi="仿宋" w:eastAsia="仿宋"/>
          <w:color w:val="000000"/>
          <w:sz w:val="32"/>
          <w:szCs w:val="32"/>
          <w:lang w:eastAsia="zh-CN"/>
        </w:rPr>
      </w:pPr>
      <w:r>
        <w:rPr>
          <w:rFonts w:ascii="仿宋" w:hAnsi="仿宋" w:eastAsia="仿宋"/>
          <w:color w:val="000000"/>
          <w:sz w:val="32"/>
          <w:szCs w:val="32"/>
        </w:rPr>
        <w:t>6</w:t>
      </w:r>
      <w:r>
        <w:rPr>
          <w:rFonts w:hint="eastAsia" w:ascii="仿宋" w:hAnsi="仿宋" w:eastAsia="仿宋"/>
          <w:color w:val="000000"/>
          <w:sz w:val="32"/>
          <w:szCs w:val="32"/>
          <w:lang w:eastAsia="zh-CN"/>
        </w:rPr>
        <w:t>、</w:t>
      </w:r>
      <w:r>
        <w:rPr>
          <w:rFonts w:hint="eastAsia" w:ascii="仿宋" w:hAnsi="仿宋" w:eastAsia="仿宋" w:cs="仿宋"/>
          <w:color w:val="000000"/>
          <w:kern w:val="0"/>
          <w:sz w:val="32"/>
          <w:szCs w:val="32"/>
          <w:lang w:val="en-US" w:eastAsia="zh-Hans" w:bidi="ar-SA"/>
        </w:rPr>
        <w:t>一般公共服务</w:t>
      </w:r>
      <w:r>
        <w:rPr>
          <w:rFonts w:hint="eastAsia" w:ascii="仿宋" w:hAnsi="仿宋" w:eastAsia="仿宋" w:cs="仿宋"/>
          <w:color w:val="000000"/>
          <w:kern w:val="0"/>
          <w:sz w:val="32"/>
          <w:szCs w:val="32"/>
          <w:lang w:val="en-US" w:eastAsia="zh-CN" w:bidi="ar-SA"/>
        </w:rPr>
        <w:t>(类)</w:t>
      </w:r>
      <w:r>
        <w:rPr>
          <w:rFonts w:hint="eastAsia" w:ascii="仿宋" w:hAnsi="仿宋" w:eastAsia="仿宋" w:cs="仿宋"/>
          <w:color w:val="000000"/>
          <w:kern w:val="0"/>
          <w:sz w:val="32"/>
          <w:szCs w:val="32"/>
          <w:lang w:val="en-US" w:eastAsia="zh-Hans" w:bidi="ar-SA"/>
        </w:rPr>
        <w:t>统计信息事务</w:t>
      </w:r>
      <w:r>
        <w:rPr>
          <w:rFonts w:hint="eastAsia" w:ascii="仿宋" w:hAnsi="仿宋" w:eastAsia="仿宋" w:cs="仿宋"/>
          <w:color w:val="000000"/>
          <w:kern w:val="0"/>
          <w:sz w:val="32"/>
          <w:szCs w:val="32"/>
          <w:lang w:val="en-US" w:eastAsia="zh-CN" w:bidi="ar-SA"/>
        </w:rPr>
        <w:t>（款）事业</w:t>
      </w:r>
      <w:r>
        <w:rPr>
          <w:rFonts w:hint="eastAsia" w:ascii="仿宋" w:hAnsi="仿宋" w:eastAsia="仿宋" w:cs="仿宋"/>
          <w:color w:val="000000"/>
          <w:kern w:val="0"/>
          <w:sz w:val="32"/>
          <w:szCs w:val="32"/>
          <w:lang w:val="en-US" w:eastAsia="zh-Hans" w:bidi="ar-SA"/>
        </w:rPr>
        <w:t>运行</w:t>
      </w:r>
      <w:r>
        <w:rPr>
          <w:rFonts w:hint="eastAsia" w:ascii="仿宋" w:hAnsi="仿宋" w:eastAsia="仿宋" w:cs="仿宋"/>
          <w:color w:val="000000"/>
          <w:kern w:val="0"/>
          <w:sz w:val="32"/>
          <w:szCs w:val="32"/>
          <w:lang w:val="en-US" w:eastAsia="zh-CN" w:bidi="ar-SA"/>
        </w:rPr>
        <w:t>（项）</w:t>
      </w:r>
      <w:r>
        <w:rPr>
          <w:rFonts w:hint="eastAsia" w:ascii="仿宋" w:hAnsi="仿宋" w:eastAsia="仿宋" w:cs="仿宋"/>
          <w:color w:val="000000"/>
          <w:kern w:val="0"/>
          <w:sz w:val="32"/>
          <w:szCs w:val="32"/>
          <w:lang w:val="en-US" w:eastAsia="zh-Hans" w:bidi="ar-SA"/>
        </w:rPr>
        <w:t>：</w:t>
      </w:r>
      <w:r>
        <w:rPr>
          <w:rFonts w:hint="eastAsia" w:ascii="仿宋" w:hAnsi="仿宋" w:eastAsia="仿宋" w:cs="仿宋"/>
          <w:color w:val="000000"/>
          <w:kern w:val="0"/>
          <w:sz w:val="32"/>
          <w:szCs w:val="32"/>
          <w:lang w:val="en-US" w:eastAsia="zh-CN" w:bidi="ar-SA"/>
        </w:rPr>
        <w:t>指广元市统计部门下属事业单位的基本支出。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仿宋" w:hAnsi="仿宋" w:eastAsia="仿宋" w:cs="仿宋"/>
          <w:color w:val="000000"/>
          <w:kern w:val="0"/>
          <w:sz w:val="32"/>
          <w:szCs w:val="32"/>
          <w:lang w:val="en-US" w:eastAsia="zh-Hans" w:bidi="ar-SA"/>
        </w:rPr>
      </w:pPr>
      <w:r>
        <w:rPr>
          <w:rFonts w:ascii="仿宋" w:hAnsi="仿宋" w:eastAsia="仿宋"/>
          <w:color w:val="000000"/>
          <w:sz w:val="32"/>
          <w:szCs w:val="32"/>
        </w:rPr>
        <w:t>7</w:t>
      </w:r>
      <w:r>
        <w:rPr>
          <w:rFonts w:hint="eastAsia" w:ascii="仿宋" w:hAnsi="仿宋" w:eastAsia="仿宋"/>
          <w:color w:val="000000"/>
          <w:sz w:val="32"/>
          <w:szCs w:val="32"/>
          <w:lang w:eastAsia="zh-CN"/>
        </w:rPr>
        <w:t>、</w:t>
      </w:r>
      <w:r>
        <w:rPr>
          <w:rFonts w:hint="eastAsia" w:ascii="仿宋" w:hAnsi="仿宋" w:eastAsia="仿宋" w:cs="仿宋"/>
          <w:color w:val="000000"/>
          <w:kern w:val="0"/>
          <w:sz w:val="32"/>
          <w:szCs w:val="32"/>
          <w:lang w:val="en-US" w:eastAsia="zh-Hans" w:bidi="ar-SA"/>
        </w:rPr>
        <w:t>一般公共服务</w:t>
      </w:r>
      <w:r>
        <w:rPr>
          <w:rFonts w:hint="eastAsia" w:ascii="仿宋" w:hAnsi="仿宋" w:eastAsia="仿宋" w:cs="仿宋"/>
          <w:color w:val="000000"/>
          <w:kern w:val="0"/>
          <w:sz w:val="32"/>
          <w:szCs w:val="32"/>
          <w:lang w:val="en-US" w:eastAsia="zh-CN" w:bidi="ar-SA"/>
        </w:rPr>
        <w:t>(类）</w:t>
      </w:r>
      <w:r>
        <w:rPr>
          <w:rFonts w:hint="eastAsia" w:ascii="仿宋" w:hAnsi="仿宋" w:eastAsia="仿宋" w:cs="仿宋"/>
          <w:color w:val="000000"/>
          <w:kern w:val="0"/>
          <w:sz w:val="32"/>
          <w:szCs w:val="32"/>
          <w:lang w:val="en-US" w:eastAsia="zh-Hans" w:bidi="ar-SA"/>
        </w:rPr>
        <w:t>统计信息事务</w:t>
      </w:r>
      <w:r>
        <w:rPr>
          <w:rFonts w:hint="eastAsia" w:ascii="仿宋" w:hAnsi="仿宋" w:eastAsia="仿宋" w:cs="仿宋"/>
          <w:color w:val="000000"/>
          <w:kern w:val="0"/>
          <w:sz w:val="32"/>
          <w:szCs w:val="32"/>
          <w:lang w:val="en-US" w:eastAsia="zh-CN" w:bidi="ar-SA"/>
        </w:rPr>
        <w:t>（款）</w:t>
      </w:r>
      <w:r>
        <w:rPr>
          <w:rFonts w:hint="eastAsia" w:ascii="仿宋" w:hAnsi="仿宋" w:eastAsia="仿宋" w:cs="仿宋"/>
          <w:color w:val="000000"/>
          <w:kern w:val="0"/>
          <w:sz w:val="32"/>
          <w:szCs w:val="32"/>
          <w:lang w:val="en-US" w:eastAsia="zh-Hans" w:bidi="ar-SA"/>
        </w:rPr>
        <w:t>专项统计业务</w:t>
      </w:r>
      <w:r>
        <w:rPr>
          <w:rFonts w:hint="eastAsia" w:ascii="仿宋" w:hAnsi="仿宋" w:eastAsia="仿宋" w:cs="仿宋"/>
          <w:color w:val="000000"/>
          <w:kern w:val="0"/>
          <w:sz w:val="32"/>
          <w:szCs w:val="32"/>
          <w:lang w:val="en-US" w:eastAsia="zh-CN" w:bidi="ar-SA"/>
        </w:rPr>
        <w:t>（项）</w:t>
      </w:r>
      <w:r>
        <w:rPr>
          <w:rFonts w:hint="eastAsia" w:ascii="仿宋" w:hAnsi="仿宋" w:eastAsia="仿宋" w:cs="仿宋"/>
          <w:color w:val="000000"/>
          <w:kern w:val="0"/>
          <w:sz w:val="32"/>
          <w:szCs w:val="32"/>
          <w:lang w:val="en-US" w:eastAsia="zh-Hans" w:bidi="ar-SA"/>
        </w:rPr>
        <w:t>：反映</w:t>
      </w:r>
      <w:r>
        <w:rPr>
          <w:rFonts w:hint="default" w:ascii="仿宋" w:hAnsi="仿宋" w:eastAsia="仿宋" w:cs="仿宋"/>
          <w:color w:val="000000"/>
          <w:kern w:val="0"/>
          <w:sz w:val="32"/>
          <w:szCs w:val="32"/>
          <w:lang w:val="en-US" w:eastAsia="zh-Hans" w:bidi="ar-SA"/>
        </w:rPr>
        <w:t>广元市</w:t>
      </w:r>
      <w:r>
        <w:rPr>
          <w:rFonts w:hint="eastAsia" w:ascii="仿宋" w:hAnsi="仿宋" w:eastAsia="仿宋" w:cs="仿宋"/>
          <w:color w:val="000000"/>
          <w:kern w:val="0"/>
          <w:sz w:val="32"/>
          <w:szCs w:val="32"/>
          <w:lang w:val="en-US" w:eastAsia="zh-CN" w:bidi="ar-SA"/>
        </w:rPr>
        <w:t>统计</w:t>
      </w:r>
      <w:r>
        <w:rPr>
          <w:rFonts w:hint="default" w:ascii="仿宋" w:hAnsi="仿宋" w:eastAsia="仿宋" w:cs="仿宋"/>
          <w:color w:val="000000"/>
          <w:kern w:val="0"/>
          <w:sz w:val="32"/>
          <w:szCs w:val="32"/>
          <w:lang w:val="en-US" w:eastAsia="zh-Hans" w:bidi="ar-SA"/>
        </w:rPr>
        <w:t>部门</w:t>
      </w:r>
      <w:r>
        <w:rPr>
          <w:rFonts w:hint="eastAsia" w:ascii="仿宋" w:hAnsi="仿宋" w:eastAsia="仿宋" w:cs="仿宋"/>
          <w:color w:val="000000"/>
          <w:kern w:val="0"/>
          <w:sz w:val="32"/>
          <w:szCs w:val="32"/>
          <w:lang w:val="en-US" w:eastAsia="zh-Hans" w:bidi="ar-SA"/>
        </w:rPr>
        <w:t>日常业务之外开展专项统计工作的支出。</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olor w:val="000000"/>
          <w:sz w:val="32"/>
          <w:szCs w:val="32"/>
        </w:rPr>
      </w:pPr>
      <w:r>
        <w:rPr>
          <w:rFonts w:hint="eastAsia" w:ascii="仿宋" w:hAnsi="仿宋" w:eastAsia="仿宋" w:cs="仿宋"/>
          <w:color w:val="auto"/>
          <w:kern w:val="0"/>
          <w:sz w:val="32"/>
          <w:szCs w:val="32"/>
          <w:lang w:val="en-US" w:eastAsia="zh-CN" w:bidi="ar-SA"/>
        </w:rPr>
        <w:t>8、</w:t>
      </w:r>
      <w:r>
        <w:rPr>
          <w:rFonts w:hint="eastAsia" w:ascii="仿宋" w:hAnsi="仿宋" w:eastAsia="仿宋" w:cs="仿宋"/>
          <w:color w:val="000000"/>
          <w:kern w:val="0"/>
          <w:sz w:val="32"/>
          <w:szCs w:val="32"/>
          <w:lang w:val="en-US" w:eastAsia="zh-Hans" w:bidi="ar-SA"/>
        </w:rPr>
        <w:t>一般公共服务</w:t>
      </w:r>
      <w:r>
        <w:rPr>
          <w:rFonts w:hint="eastAsia" w:ascii="仿宋" w:hAnsi="仿宋" w:eastAsia="仿宋" w:cs="仿宋"/>
          <w:color w:val="000000"/>
          <w:kern w:val="0"/>
          <w:sz w:val="32"/>
          <w:szCs w:val="32"/>
          <w:lang w:val="en-US" w:eastAsia="zh-CN" w:bidi="ar-SA"/>
        </w:rPr>
        <w:t>(类）</w:t>
      </w:r>
      <w:r>
        <w:rPr>
          <w:rFonts w:hint="eastAsia" w:ascii="仿宋" w:hAnsi="仿宋" w:eastAsia="仿宋" w:cs="仿宋"/>
          <w:color w:val="000000"/>
          <w:kern w:val="0"/>
          <w:sz w:val="32"/>
          <w:szCs w:val="32"/>
          <w:lang w:val="en-US" w:eastAsia="zh-Hans" w:bidi="ar-SA"/>
        </w:rPr>
        <w:t>统计信息事务</w:t>
      </w:r>
      <w:r>
        <w:rPr>
          <w:rFonts w:hint="eastAsia" w:ascii="仿宋" w:hAnsi="仿宋" w:eastAsia="仿宋" w:cs="仿宋"/>
          <w:color w:val="000000"/>
          <w:kern w:val="0"/>
          <w:sz w:val="32"/>
          <w:szCs w:val="32"/>
          <w:lang w:val="en-US" w:eastAsia="zh-CN" w:bidi="ar-SA"/>
        </w:rPr>
        <w:t>（款）</w:t>
      </w:r>
      <w:r>
        <w:rPr>
          <w:rFonts w:hint="eastAsia" w:ascii="仿宋" w:hAnsi="仿宋" w:eastAsia="仿宋"/>
          <w:color w:val="000000"/>
          <w:sz w:val="32"/>
          <w:szCs w:val="32"/>
        </w:rPr>
        <w:t>专项普查活动</w:t>
      </w:r>
      <w:r>
        <w:rPr>
          <w:rFonts w:hint="eastAsia" w:ascii="仿宋" w:hAnsi="仿宋" w:eastAsia="仿宋"/>
          <w:color w:val="000000"/>
          <w:sz w:val="32"/>
          <w:szCs w:val="32"/>
          <w:lang w:eastAsia="zh-CN"/>
        </w:rPr>
        <w:t>（项）</w:t>
      </w:r>
      <w:r>
        <w:rPr>
          <w:rFonts w:hint="eastAsia" w:ascii="仿宋" w:hAnsi="仿宋" w:eastAsia="仿宋"/>
          <w:color w:val="000000"/>
          <w:sz w:val="32"/>
          <w:szCs w:val="32"/>
        </w:rPr>
        <w:t>：反映统计部门开展人口普查、经济普查、农业普查、投入产出调查等周期性普查工作的支出。</w:t>
      </w:r>
    </w:p>
    <w:p>
      <w:pPr>
        <w:keepNext w:val="0"/>
        <w:keepLines w:val="0"/>
        <w:pageBreakBefore w:val="0"/>
        <w:kinsoku/>
        <w:wordWrap/>
        <w:overflowPunct/>
        <w:topLinePunct w:val="0"/>
        <w:bidi w:val="0"/>
        <w:snapToGrid/>
        <w:spacing w:line="560" w:lineRule="exact"/>
        <w:ind w:firstLine="640" w:firstLineChars="200"/>
        <w:textAlignment w:val="auto"/>
        <w:rPr>
          <w:rFonts w:hint="default" w:ascii="仿宋" w:hAnsi="仿宋" w:eastAsia="仿宋" w:cs="仿宋"/>
          <w:color w:val="00B0F0"/>
          <w:kern w:val="0"/>
          <w:sz w:val="32"/>
          <w:szCs w:val="32"/>
          <w:lang w:val="en-US" w:eastAsia="zh-Hans" w:bidi="ar-SA"/>
        </w:rPr>
      </w:pPr>
      <w:r>
        <w:rPr>
          <w:rFonts w:hint="default" w:ascii="仿宋" w:hAnsi="仿宋" w:eastAsia="仿宋" w:cs="仿宋"/>
          <w:color w:val="000000"/>
          <w:kern w:val="0"/>
          <w:sz w:val="32"/>
          <w:szCs w:val="32"/>
          <w:lang w:val="en-US" w:eastAsia="zh-Hans" w:bidi="ar-SA"/>
        </w:rPr>
        <w:t>9</w:t>
      </w:r>
      <w:r>
        <w:rPr>
          <w:rFonts w:hint="eastAsia" w:ascii="仿宋" w:hAnsi="仿宋" w:eastAsia="仿宋" w:cs="仿宋"/>
          <w:color w:val="000000"/>
          <w:kern w:val="0"/>
          <w:sz w:val="32"/>
          <w:szCs w:val="32"/>
          <w:lang w:val="en-US" w:eastAsia="zh-CN" w:bidi="ar-SA"/>
        </w:rPr>
        <w:t>、</w:t>
      </w:r>
      <w:r>
        <w:rPr>
          <w:rFonts w:hint="default" w:ascii="仿宋" w:hAnsi="仿宋" w:eastAsia="仿宋" w:cs="仿宋"/>
          <w:color w:val="000000"/>
          <w:kern w:val="0"/>
          <w:sz w:val="32"/>
          <w:szCs w:val="32"/>
          <w:lang w:val="en-US" w:eastAsia="zh-Hans" w:bidi="ar-SA"/>
        </w:rPr>
        <w:t>社会保障和就业支出（类）行政事业单位养老支出（款）机关事业单位基本养老保险缴费支出（项）：指广元市</w:t>
      </w:r>
      <w:r>
        <w:rPr>
          <w:rFonts w:hint="eastAsia" w:ascii="仿宋" w:hAnsi="仿宋" w:eastAsia="仿宋" w:cs="仿宋"/>
          <w:color w:val="000000"/>
          <w:kern w:val="0"/>
          <w:sz w:val="32"/>
          <w:szCs w:val="32"/>
          <w:lang w:val="en-US" w:eastAsia="zh-CN" w:bidi="ar-SA"/>
        </w:rPr>
        <w:t>统计</w:t>
      </w:r>
      <w:r>
        <w:rPr>
          <w:rFonts w:hint="default" w:ascii="仿宋" w:hAnsi="仿宋" w:eastAsia="仿宋" w:cs="仿宋"/>
          <w:color w:val="000000"/>
          <w:kern w:val="0"/>
          <w:sz w:val="32"/>
          <w:szCs w:val="32"/>
          <w:lang w:val="en-US" w:eastAsia="zh-Hans" w:bidi="ar-SA"/>
        </w:rPr>
        <w:t>部门用于实施养老保险制度由单位缴纳的基本养老保险费支出。</w:t>
      </w:r>
    </w:p>
    <w:p>
      <w:pPr>
        <w:keepNext w:val="0"/>
        <w:keepLines w:val="0"/>
        <w:pageBreakBefore w:val="0"/>
        <w:kinsoku/>
        <w:wordWrap/>
        <w:overflowPunct/>
        <w:topLinePunct w:val="0"/>
        <w:bidi w:val="0"/>
        <w:snapToGrid/>
        <w:spacing w:line="560" w:lineRule="exact"/>
        <w:ind w:firstLine="320" w:firstLineChars="100"/>
        <w:textAlignment w:val="auto"/>
        <w:rPr>
          <w:rFonts w:hint="eastAsia" w:ascii="仿宋" w:hAnsi="仿宋" w:eastAsia="仿宋" w:cs="仿宋"/>
          <w:color w:val="00B0F0"/>
          <w:kern w:val="0"/>
          <w:sz w:val="32"/>
          <w:szCs w:val="32"/>
          <w:lang w:val="en-US" w:eastAsia="zh-CN" w:bidi="ar-SA"/>
        </w:rPr>
      </w:pPr>
      <w:r>
        <w:rPr>
          <w:rFonts w:hint="default" w:ascii="仿宋" w:hAnsi="仿宋" w:eastAsia="仿宋" w:cs="仿宋"/>
          <w:color w:val="auto"/>
          <w:kern w:val="0"/>
          <w:sz w:val="32"/>
          <w:szCs w:val="32"/>
          <w:lang w:val="en-US" w:eastAsia="zh-Hans" w:bidi="ar-SA"/>
        </w:rPr>
        <w:t xml:space="preserve"> 10</w:t>
      </w:r>
      <w:r>
        <w:rPr>
          <w:rFonts w:hint="eastAsia" w:ascii="仿宋" w:hAnsi="仿宋" w:eastAsia="仿宋" w:cs="仿宋"/>
          <w:color w:val="auto"/>
          <w:kern w:val="0"/>
          <w:sz w:val="32"/>
          <w:szCs w:val="32"/>
          <w:lang w:val="en-US" w:eastAsia="zh-CN" w:bidi="ar-SA"/>
        </w:rPr>
        <w:t>、</w:t>
      </w:r>
      <w:r>
        <w:rPr>
          <w:rStyle w:val="16"/>
          <w:rFonts w:hint="eastAsia" w:ascii="仿宋" w:hAnsi="仿宋" w:eastAsia="仿宋" w:cs="Times New Roman"/>
          <w:b w:val="0"/>
          <w:bCs/>
          <w:color w:val="auto"/>
          <w:sz w:val="32"/>
          <w:szCs w:val="32"/>
        </w:rPr>
        <w:t>社会保障和就业</w:t>
      </w:r>
      <w:r>
        <w:rPr>
          <w:rStyle w:val="16"/>
          <w:rFonts w:hint="eastAsia" w:ascii="仿宋" w:hAnsi="仿宋" w:eastAsia="仿宋" w:cs="Times New Roman"/>
          <w:b w:val="0"/>
          <w:bCs/>
          <w:color w:val="auto"/>
          <w:sz w:val="32"/>
          <w:szCs w:val="32"/>
          <w:lang w:eastAsia="zh-CN"/>
        </w:rPr>
        <w:t>支出</w:t>
      </w:r>
      <w:r>
        <w:rPr>
          <w:rStyle w:val="16"/>
          <w:rFonts w:hint="eastAsia" w:ascii="仿宋" w:hAnsi="仿宋" w:eastAsia="仿宋" w:cs="Times New Roman"/>
          <w:b w:val="0"/>
          <w:bCs/>
          <w:color w:val="auto"/>
          <w:sz w:val="32"/>
          <w:szCs w:val="32"/>
        </w:rPr>
        <w:t>（类）其他社会保障和就业支出（款）其他社会保障和就业支出（项）</w:t>
      </w:r>
      <w:r>
        <w:rPr>
          <w:rStyle w:val="16"/>
          <w:rFonts w:hint="eastAsia" w:ascii="仿宋" w:hAnsi="仿宋" w:eastAsia="仿宋" w:cs="Times New Roman"/>
          <w:b w:val="0"/>
          <w:bCs/>
          <w:color w:val="auto"/>
          <w:sz w:val="32"/>
          <w:szCs w:val="32"/>
          <w:lang w:eastAsia="zh-CN"/>
        </w:rPr>
        <w:t>：指广元市统计部门用于实施其他社会保险制度由单位缴纳的其他社会保险支出。</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olor w:val="000000"/>
          <w:sz w:val="32"/>
          <w:szCs w:val="32"/>
        </w:rPr>
      </w:pPr>
      <w:r>
        <w:rPr>
          <w:rFonts w:hint="default" w:ascii="仿宋" w:hAnsi="仿宋" w:eastAsia="仿宋" w:cs="仿宋"/>
          <w:color w:val="00B0F0"/>
          <w:kern w:val="0"/>
          <w:sz w:val="32"/>
          <w:szCs w:val="32"/>
          <w:lang w:val="en-US" w:eastAsia="zh-Hans" w:bidi="ar-SA"/>
        </w:rPr>
        <w:t xml:space="preserve"> </w:t>
      </w:r>
      <w:r>
        <w:rPr>
          <w:rFonts w:hint="eastAsia" w:ascii="仿宋" w:hAnsi="仿宋" w:eastAsia="仿宋" w:cs="仿宋"/>
          <w:color w:val="000000"/>
          <w:kern w:val="0"/>
          <w:sz w:val="32"/>
          <w:szCs w:val="32"/>
          <w:lang w:val="en-US" w:eastAsia="zh-CN" w:bidi="ar-SA"/>
        </w:rPr>
        <w:t>11、卫</w:t>
      </w:r>
      <w:r>
        <w:rPr>
          <w:rFonts w:hint="default" w:ascii="仿宋" w:hAnsi="仿宋" w:eastAsia="仿宋" w:cs="仿宋"/>
          <w:color w:val="000000"/>
          <w:kern w:val="0"/>
          <w:sz w:val="32"/>
          <w:szCs w:val="32"/>
          <w:lang w:val="en-US" w:eastAsia="zh-Hans" w:bidi="ar-SA"/>
        </w:rPr>
        <w:t>生健康支出（类）行政事业单位医疗（款）行政单位医疗（项）：</w:t>
      </w:r>
      <w:r>
        <w:rPr>
          <w:rFonts w:hint="eastAsia" w:ascii="仿宋" w:hAnsi="仿宋" w:eastAsia="仿宋" w:cs="仿宋"/>
          <w:color w:val="000000"/>
          <w:kern w:val="0"/>
          <w:sz w:val="32"/>
          <w:szCs w:val="32"/>
          <w:lang w:val="en-US" w:eastAsia="zh-Hans" w:bidi="ar-SA"/>
        </w:rPr>
        <w:t>指财政部门集中安排的行政单位基本医疗保险缴费经费，未参加医疗保险的行政单位的公费医疗经费，按国家规定享</w:t>
      </w:r>
      <w:r>
        <w:rPr>
          <w:rFonts w:hint="eastAsia" w:ascii="仿宋" w:hAnsi="仿宋" w:eastAsia="仿宋"/>
          <w:color w:val="000000"/>
          <w:sz w:val="32"/>
          <w:szCs w:val="32"/>
        </w:rPr>
        <w:t>受离休人员、红军老战士待遇人员的医疗经费。</w:t>
      </w:r>
    </w:p>
    <w:p>
      <w:pPr>
        <w:keepNext w:val="0"/>
        <w:keepLines w:val="0"/>
        <w:pageBreakBefore w:val="0"/>
        <w:kinsoku/>
        <w:wordWrap/>
        <w:overflowPunct/>
        <w:topLinePunct w:val="0"/>
        <w:bidi w:val="0"/>
        <w:snapToGrid/>
        <w:spacing w:line="560" w:lineRule="exact"/>
        <w:ind w:firstLine="640" w:firstLineChars="200"/>
        <w:textAlignment w:val="auto"/>
        <w:rPr>
          <w:rFonts w:hint="default" w:ascii="仿宋" w:hAnsi="仿宋" w:eastAsia="仿宋" w:cs="Times New Roman"/>
          <w:color w:val="000000"/>
          <w:sz w:val="32"/>
          <w:szCs w:val="32"/>
          <w:lang w:val="en-US" w:eastAsia="zh-Hans"/>
        </w:rPr>
      </w:pPr>
      <w:r>
        <w:rPr>
          <w:rFonts w:hint="eastAsia" w:ascii="仿宋" w:hAnsi="仿宋" w:eastAsia="仿宋" w:cs="Times New Roman"/>
          <w:color w:val="000000"/>
          <w:sz w:val="32"/>
          <w:szCs w:val="32"/>
        </w:rPr>
        <w:t>1</w:t>
      </w: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lang w:eastAsia="zh-CN"/>
        </w:rPr>
        <w:t>、</w:t>
      </w:r>
      <w:r>
        <w:rPr>
          <w:rFonts w:hint="default" w:ascii="仿宋" w:hAnsi="仿宋" w:eastAsia="仿宋" w:cs="Times New Roman"/>
          <w:color w:val="000000"/>
          <w:sz w:val="32"/>
          <w:szCs w:val="32"/>
          <w:lang w:val="en-US" w:eastAsia="zh-Hans"/>
        </w:rPr>
        <w:t>住房保障支出（类）住房改革支出（款）住房公积金（项）：指广元市</w:t>
      </w:r>
      <w:r>
        <w:rPr>
          <w:rFonts w:hint="eastAsia" w:ascii="仿宋" w:hAnsi="仿宋" w:eastAsia="仿宋" w:cs="Times New Roman"/>
          <w:color w:val="000000"/>
          <w:sz w:val="32"/>
          <w:szCs w:val="32"/>
          <w:lang w:val="en-US" w:eastAsia="zh-CN"/>
        </w:rPr>
        <w:t>统计</w:t>
      </w:r>
      <w:r>
        <w:rPr>
          <w:rFonts w:hint="default" w:ascii="仿宋" w:hAnsi="仿宋" w:eastAsia="仿宋" w:cs="Times New Roman"/>
          <w:color w:val="000000"/>
          <w:sz w:val="32"/>
          <w:szCs w:val="32"/>
          <w:lang w:val="en-US" w:eastAsia="zh-Hans"/>
        </w:rPr>
        <w:t xml:space="preserve">部门用于按规定的工资基数以及规定比例为职工缴纳的住房公积金。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olor w:val="000000"/>
          <w:sz w:val="32"/>
          <w:szCs w:val="32"/>
          <w:lang w:val="en-US" w:eastAsia="zh-CN"/>
        </w:rPr>
      </w:pPr>
      <w:r>
        <w:rPr>
          <w:rFonts w:ascii="仿宋" w:hAnsi="仿宋" w:eastAsia="仿宋"/>
          <w:color w:val="000000"/>
          <w:sz w:val="32"/>
          <w:szCs w:val="32"/>
        </w:rPr>
        <w:t>1</w:t>
      </w:r>
      <w:r>
        <w:rPr>
          <w:rFonts w:hint="eastAsia" w:ascii="仿宋" w:hAnsi="仿宋" w:eastAsia="仿宋"/>
          <w:color w:val="000000"/>
          <w:sz w:val="32"/>
          <w:szCs w:val="32"/>
          <w:lang w:val="en-US" w:eastAsia="zh-CN"/>
        </w:rPr>
        <w:t>3、</w:t>
      </w:r>
      <w:r>
        <w:rPr>
          <w:rStyle w:val="16"/>
          <w:rFonts w:hint="eastAsia" w:ascii="仿宋" w:hAnsi="仿宋" w:eastAsia="仿宋" w:cs="Times New Roman"/>
          <w:b w:val="0"/>
          <w:bCs/>
          <w:color w:val="auto"/>
          <w:kern w:val="2"/>
          <w:sz w:val="32"/>
          <w:szCs w:val="32"/>
          <w:highlight w:val="none"/>
          <w:lang w:val="en-US" w:eastAsia="zh-CN" w:bidi="ar-SA"/>
        </w:rPr>
        <w:t>住房保障（类）住房改革支出（款）购房补贴（项）：指广元市统计局按照规定对本年度引进的两名高层次人才支付的住房保障类安家费。</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项目支出：指在基本支出之外为完成各项统计专项业务和各类大型普查活动等相关工作而发生的支出。</w:t>
      </w:r>
      <w:r>
        <w:rPr>
          <w:rFonts w:ascii="仿宋" w:hAnsi="仿宋" w:eastAsia="仿宋"/>
          <w:color w:val="000000"/>
          <w:sz w:val="32"/>
          <w:szCs w:val="32"/>
        </w:rPr>
        <w:t xml:space="preserve"> </w:t>
      </w:r>
    </w:p>
    <w:p>
      <w:pPr>
        <w:pStyle w:val="27"/>
        <w:keepNext w:val="0"/>
        <w:keepLines w:val="0"/>
        <w:pageBreakBefore w:val="0"/>
        <w:kinsoku/>
        <w:wordWrap/>
        <w:overflowPunct/>
        <w:topLinePunct w:val="0"/>
        <w:bidi w:val="0"/>
        <w:snapToGrid/>
        <w:spacing w:line="560" w:lineRule="exact"/>
        <w:ind w:firstLine="640" w:firstLineChars="200"/>
        <w:textAlignment w:val="auto"/>
        <w:rPr>
          <w:rFonts w:hAnsi="仿宋"/>
          <w:sz w:val="32"/>
          <w:szCs w:val="32"/>
        </w:rPr>
      </w:pPr>
      <w:r>
        <w:rPr>
          <w:rFonts w:hAnsi="仿宋"/>
          <w:sz w:val="32"/>
          <w:szCs w:val="32"/>
        </w:rPr>
        <w:t>1</w:t>
      </w:r>
      <w:r>
        <w:rPr>
          <w:rFonts w:hint="eastAsia" w:hAnsi="仿宋"/>
          <w:sz w:val="32"/>
          <w:szCs w:val="32"/>
          <w:lang w:val="en-US" w:eastAsia="zh-CN"/>
        </w:rPr>
        <w:t>6</w:t>
      </w:r>
      <w:r>
        <w:rPr>
          <w:rFonts w:hint="eastAsia" w:hAnsi="仿宋"/>
          <w:sz w:val="32"/>
          <w:szCs w:val="32"/>
          <w:lang w:eastAsia="zh-CN"/>
        </w:rPr>
        <w:t>、</w:t>
      </w:r>
      <w:r>
        <w:rPr>
          <w:rFonts w:hint="eastAsia" w:hAnsi="仿宋"/>
          <w:sz w:val="32"/>
          <w:szCs w:val="32"/>
        </w:rPr>
        <w:t>“三公”经费：指部门用财政拨款安排的公务用车运行维护费和公务接待费。其中，我单位不涉及因公出国出境费用；公务用车运行及维护费反映单位留存的公务用车车辆燃料费、维修费、过路过桥费、保险费等支出以及公务租用费；公务接待费反映单位按规定开支的各类公务接待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w:t>
      </w:r>
      <w:r>
        <w:rPr>
          <w:rFonts w:hint="eastAsia" w:ascii="仿宋" w:hAnsi="仿宋" w:eastAsia="仿宋" w:cs="Times New Roman"/>
          <w:color w:val="000000"/>
          <w:sz w:val="32"/>
          <w:szCs w:val="32"/>
          <w:lang w:val="en-US" w:eastAsia="zh-CN"/>
        </w:rPr>
        <w:t>7</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机关运行经费：为保障行政单位（含参照公务员法管理的事业单位）运行用于购买货物和服务的各项资金，包括办公及印刷费、邮电费、差旅费、会议费、福利费、日常维修费、办公用房水电费、公务用车运行维护费以及其他费用。</w:t>
      </w:r>
    </w:p>
    <w:p>
      <w:pPr>
        <w:keepNext w:val="0"/>
        <w:keepLines w:val="0"/>
        <w:pageBreakBefore w:val="0"/>
        <w:kinsoku/>
        <w:wordWrap/>
        <w:overflowPunct/>
        <w:topLinePunct w:val="0"/>
        <w:bidi w:val="0"/>
        <w:snapToGrid/>
        <w:spacing w:line="560" w:lineRule="exact"/>
        <w:jc w:val="center"/>
        <w:textAlignment w:val="auto"/>
        <w:outlineLvl w:val="0"/>
        <w:rPr>
          <w:rStyle w:val="18"/>
          <w:rFonts w:hint="eastAsia" w:ascii="方正小标宋简体" w:hAnsi="方正小标宋简体" w:eastAsia="方正小标宋简体" w:cs="方正小标宋简体"/>
          <w:b w:val="0"/>
          <w:color w:val="auto"/>
          <w:highlight w:val="none"/>
          <w:lang w:eastAsia="zh-CN"/>
        </w:rPr>
      </w:pPr>
      <w:bookmarkStart w:id="56" w:name="_Toc15377226"/>
      <w:r>
        <w:rPr>
          <w:rFonts w:ascii="宋体"/>
          <w:b/>
          <w:color w:val="auto"/>
          <w:sz w:val="44"/>
          <w:szCs w:val="44"/>
          <w:highlight w:val="none"/>
        </w:rPr>
        <w:br w:type="page"/>
      </w:r>
      <w:bookmarkStart w:id="57" w:name="_Toc15396614"/>
      <w:r>
        <w:rPr>
          <w:rFonts w:hint="eastAsia" w:ascii="方正小标宋简体" w:hAnsi="方正小标宋简体" w:eastAsia="方正小标宋简体" w:cs="方正小标宋简体"/>
          <w:color w:val="auto"/>
          <w:sz w:val="44"/>
          <w:szCs w:val="44"/>
          <w:highlight w:val="none"/>
        </w:rPr>
        <w:t>第</w:t>
      </w:r>
      <w:r>
        <w:rPr>
          <w:rStyle w:val="18"/>
          <w:rFonts w:hint="eastAsia" w:ascii="方正小标宋简体" w:hAnsi="方正小标宋简体" w:eastAsia="方正小标宋简体" w:cs="方正小标宋简体"/>
          <w:b w:val="0"/>
          <w:color w:val="auto"/>
          <w:highlight w:val="none"/>
        </w:rPr>
        <w:t>四部分 附件</w:t>
      </w:r>
      <w:bookmarkEnd w:id="57"/>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2" w:lineRule="exact"/>
        <w:jc w:val="center"/>
        <w:textAlignment w:val="auto"/>
        <w:rPr>
          <w:rFonts w:hint="eastAsia" w:ascii="宋体" w:hAnsi="宋体" w:eastAsia="宋体" w:cs="宋体"/>
          <w:color w:val="000000"/>
          <w:kern w:val="0"/>
          <w:sz w:val="40"/>
          <w:szCs w:val="44"/>
          <w:lang w:val="zh-CN" w:eastAsia="zh-CN"/>
        </w:rPr>
      </w:pPr>
      <w:r>
        <w:rPr>
          <w:rFonts w:hint="eastAsia" w:ascii="宋体" w:hAnsi="宋体" w:eastAsia="宋体" w:cs="宋体"/>
          <w:color w:val="000000"/>
          <w:kern w:val="0"/>
          <w:sz w:val="40"/>
          <w:szCs w:val="44"/>
          <w:lang w:eastAsia="zh-CN"/>
        </w:rPr>
        <w:t>广元市统计局</w:t>
      </w:r>
      <w:r>
        <w:rPr>
          <w:rFonts w:hint="eastAsia" w:ascii="宋体" w:hAnsi="宋体" w:eastAsia="宋体" w:cs="宋体"/>
          <w:color w:val="auto"/>
          <w:kern w:val="0"/>
          <w:sz w:val="40"/>
          <w:szCs w:val="44"/>
          <w:highlight w:val="none"/>
        </w:rPr>
        <w:t>2</w:t>
      </w:r>
      <w:r>
        <w:rPr>
          <w:rFonts w:hint="eastAsia" w:ascii="宋体" w:hAnsi="宋体" w:eastAsia="宋体" w:cs="宋体"/>
          <w:color w:val="000000"/>
          <w:kern w:val="0"/>
          <w:sz w:val="40"/>
          <w:szCs w:val="44"/>
          <w:lang w:eastAsia="zh-CN"/>
        </w:rPr>
        <w:t>02</w:t>
      </w:r>
      <w:r>
        <w:rPr>
          <w:rFonts w:hint="eastAsia" w:ascii="宋体" w:hAnsi="宋体" w:eastAsia="宋体" w:cs="宋体"/>
          <w:color w:val="000000"/>
          <w:kern w:val="0"/>
          <w:sz w:val="40"/>
          <w:szCs w:val="44"/>
          <w:lang w:val="en-US" w:eastAsia="zh-CN"/>
        </w:rPr>
        <w:t>1</w:t>
      </w:r>
      <w:r>
        <w:rPr>
          <w:rFonts w:hint="eastAsia" w:ascii="宋体" w:hAnsi="宋体" w:eastAsia="宋体" w:cs="宋体"/>
          <w:color w:val="000000"/>
          <w:kern w:val="0"/>
          <w:sz w:val="40"/>
          <w:szCs w:val="44"/>
          <w:lang w:eastAsia="zh-CN"/>
        </w:rPr>
        <w:t>年部门整体绩效评价报告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部门（单位）概况</w:t>
      </w:r>
    </w:p>
    <w:p>
      <w:pPr>
        <w:keepNext w:val="0"/>
        <w:keepLines w:val="0"/>
        <w:pageBreakBefore w:val="0"/>
        <w:kinsoku/>
        <w:wordWrap/>
        <w:overflowPunct/>
        <w:topLinePunct w:val="0"/>
        <w:autoSpaceDE/>
        <w:autoSpaceDN/>
        <w:bidi w:val="0"/>
        <w:spacing w:line="560" w:lineRule="exact"/>
        <w:ind w:firstLine="627" w:firstLineChars="196"/>
        <w:jc w:val="both"/>
        <w:textAlignment w:val="auto"/>
        <w:rPr>
          <w:rFonts w:ascii="仿宋" w:hAnsi="仿宋" w:eastAsia="仿宋" w:cs="仿宋_GB2312"/>
          <w:color w:val="000000"/>
          <w:sz w:val="32"/>
          <w:szCs w:val="32"/>
        </w:rPr>
      </w:pPr>
      <w:r>
        <w:rPr>
          <w:rFonts w:hint="eastAsia" w:ascii="楷体" w:hAnsi="楷体" w:eastAsia="楷体" w:cs="楷体"/>
          <w:color w:val="auto"/>
          <w:kern w:val="0"/>
          <w:sz w:val="32"/>
          <w:szCs w:val="32"/>
          <w:highlight w:val="none"/>
          <w:shd w:val="clear" w:color="auto" w:fill="FFFFFF"/>
          <w:lang w:val="zh-CN"/>
        </w:rPr>
        <w:t>（一）机构组成。</w:t>
      </w:r>
      <w:r>
        <w:rPr>
          <w:rFonts w:hint="eastAsia" w:ascii="仿宋" w:hAnsi="仿宋" w:eastAsia="仿宋"/>
          <w:bCs/>
          <w:color w:val="000000"/>
          <w:sz w:val="32"/>
          <w:szCs w:val="32"/>
        </w:rPr>
        <w:t>本单位为一级预算单位，局属内设机构</w:t>
      </w:r>
      <w:r>
        <w:rPr>
          <w:rFonts w:ascii="仿宋" w:hAnsi="仿宋" w:eastAsia="仿宋"/>
          <w:bCs/>
          <w:color w:val="000000"/>
          <w:sz w:val="32"/>
          <w:szCs w:val="32"/>
        </w:rPr>
        <w:t>10</w:t>
      </w:r>
      <w:r>
        <w:rPr>
          <w:rFonts w:hint="eastAsia" w:ascii="仿宋" w:hAnsi="仿宋" w:eastAsia="仿宋"/>
          <w:bCs/>
          <w:color w:val="000000"/>
          <w:sz w:val="32"/>
          <w:szCs w:val="32"/>
        </w:rPr>
        <w:t>个，</w:t>
      </w:r>
      <w:r>
        <w:rPr>
          <w:rFonts w:hint="eastAsia" w:ascii="仿宋" w:hAnsi="仿宋" w:eastAsia="仿宋" w:cs="仿宋_GB2312"/>
          <w:color w:val="000000"/>
          <w:sz w:val="32"/>
          <w:szCs w:val="32"/>
        </w:rPr>
        <w:t>包括下属一个参公单位、一个事业单位。</w:t>
      </w:r>
    </w:p>
    <w:p>
      <w:pPr>
        <w:keepNext w:val="0"/>
        <w:keepLines w:val="0"/>
        <w:pageBreakBefore w:val="0"/>
        <w:kinsoku/>
        <w:wordWrap/>
        <w:overflowPunct/>
        <w:topLinePunct w:val="0"/>
        <w:autoSpaceDE/>
        <w:autoSpaceDN/>
        <w:bidi w:val="0"/>
        <w:spacing w:line="560" w:lineRule="exact"/>
        <w:ind w:firstLine="627" w:firstLineChars="196"/>
        <w:jc w:val="both"/>
        <w:textAlignment w:val="auto"/>
        <w:rPr>
          <w:rFonts w:ascii="仿宋" w:hAnsi="仿宋" w:eastAsia="仿宋"/>
          <w:bCs/>
          <w:color w:val="000000"/>
          <w:sz w:val="32"/>
          <w:szCs w:val="32"/>
        </w:rPr>
      </w:pPr>
      <w:r>
        <w:rPr>
          <w:rFonts w:hint="eastAsia" w:ascii="楷体" w:hAnsi="楷体" w:eastAsia="楷体" w:cs="楷体"/>
          <w:color w:val="auto"/>
          <w:kern w:val="0"/>
          <w:sz w:val="32"/>
          <w:szCs w:val="32"/>
          <w:highlight w:val="none"/>
          <w:shd w:val="clear" w:color="auto" w:fill="FFFFFF"/>
          <w:lang w:val="zh-CN"/>
        </w:rPr>
        <w:t>（二）机构职能。</w:t>
      </w:r>
      <w:r>
        <w:rPr>
          <w:rFonts w:hint="eastAsia" w:ascii="仿宋" w:hAnsi="仿宋" w:eastAsia="仿宋"/>
          <w:bCs/>
          <w:color w:val="000000"/>
          <w:sz w:val="32"/>
          <w:szCs w:val="32"/>
        </w:rPr>
        <w:t>我局的基本职能主要是负责全市国民经济核算，主管全市统计工作，分析和预测国民经济、社会发展、科技进步和资源环境等情况，定期发布全市经济社会发展情况的统计信息，向市委、市政府及有关部门提供统计咨询建议，向社会公众提供统计信息服务等。</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ascii="仿宋_GB2312" w:hAnsi="宋体" w:eastAsia="仿宋_GB2312" w:cs="宋体"/>
          <w:color w:val="auto"/>
          <w:kern w:val="0"/>
          <w:sz w:val="32"/>
          <w:szCs w:val="32"/>
          <w:highlight w:val="none"/>
          <w:shd w:val="clear" w:color="auto" w:fill="FFFFFF"/>
          <w:lang w:val="zh-CN"/>
        </w:rPr>
      </w:pPr>
      <w:r>
        <w:rPr>
          <w:rFonts w:hint="eastAsia" w:ascii="楷体" w:hAnsi="楷体" w:eastAsia="楷体" w:cs="楷体"/>
          <w:color w:val="auto"/>
          <w:kern w:val="0"/>
          <w:sz w:val="32"/>
          <w:szCs w:val="32"/>
          <w:highlight w:val="none"/>
          <w:shd w:val="clear" w:color="auto" w:fill="FFFFFF"/>
          <w:lang w:val="zh-CN"/>
        </w:rPr>
        <w:t>（三）人员概况。</w:t>
      </w:r>
      <w:r>
        <w:rPr>
          <w:rFonts w:hint="eastAsia" w:ascii="仿宋" w:hAnsi="仿宋" w:eastAsia="仿宋"/>
          <w:bCs/>
          <w:color w:val="000000"/>
          <w:spacing w:val="-4"/>
          <w:sz w:val="32"/>
          <w:szCs w:val="32"/>
        </w:rPr>
        <w:t>本单位共有编制</w:t>
      </w:r>
      <w:r>
        <w:rPr>
          <w:rFonts w:hint="eastAsia" w:ascii="仿宋" w:hAnsi="仿宋" w:eastAsia="仿宋"/>
          <w:bCs/>
          <w:color w:val="000000"/>
          <w:spacing w:val="-4"/>
          <w:sz w:val="32"/>
          <w:szCs w:val="32"/>
          <w:lang w:val="en-US" w:eastAsia="zh-CN"/>
        </w:rPr>
        <w:t>41</w:t>
      </w:r>
      <w:r>
        <w:rPr>
          <w:rFonts w:hint="eastAsia" w:ascii="仿宋" w:hAnsi="仿宋" w:eastAsia="仿宋"/>
          <w:bCs/>
          <w:color w:val="000000"/>
          <w:spacing w:val="-4"/>
          <w:sz w:val="32"/>
          <w:szCs w:val="32"/>
        </w:rPr>
        <w:t>名。</w:t>
      </w:r>
      <w:r>
        <w:rPr>
          <w:rFonts w:hint="eastAsia" w:ascii="仿宋_GB2312" w:hAnsi="仿宋" w:eastAsia="仿宋_GB2312" w:cs="仿宋"/>
          <w:color w:val="000000"/>
          <w:sz w:val="32"/>
          <w:szCs w:val="32"/>
        </w:rPr>
        <w:t>总编制</w:t>
      </w:r>
      <w:r>
        <w:rPr>
          <w:rFonts w:hint="eastAsia" w:ascii="仿宋_GB2312" w:hAnsi="仿宋" w:eastAsia="仿宋_GB2312" w:cs="仿宋"/>
          <w:color w:val="000000"/>
          <w:sz w:val="32"/>
          <w:szCs w:val="32"/>
          <w:lang w:val="en-US" w:eastAsia="zh-CN"/>
        </w:rPr>
        <w:t>40</w:t>
      </w:r>
      <w:r>
        <w:rPr>
          <w:rFonts w:hint="eastAsia" w:ascii="仿宋_GB2312" w:hAnsi="仿宋" w:eastAsia="仿宋_GB2312" w:cs="仿宋"/>
          <w:color w:val="000000"/>
          <w:sz w:val="32"/>
          <w:szCs w:val="32"/>
        </w:rPr>
        <w:t>个。</w:t>
      </w:r>
      <w:r>
        <w:rPr>
          <w:rFonts w:hint="eastAsia" w:ascii="仿宋" w:hAnsi="仿宋" w:eastAsia="仿宋"/>
          <w:bCs/>
          <w:color w:val="000000"/>
          <w:spacing w:val="-4"/>
          <w:sz w:val="32"/>
          <w:szCs w:val="32"/>
        </w:rPr>
        <w:t>其中局机关</w:t>
      </w:r>
      <w:r>
        <w:rPr>
          <w:rFonts w:ascii="仿宋" w:hAnsi="仿宋" w:eastAsia="仿宋"/>
          <w:bCs/>
          <w:color w:val="000000"/>
          <w:spacing w:val="-4"/>
          <w:sz w:val="32"/>
          <w:szCs w:val="32"/>
        </w:rPr>
        <w:t>23</w:t>
      </w:r>
      <w:r>
        <w:rPr>
          <w:rFonts w:hint="eastAsia" w:ascii="仿宋" w:hAnsi="仿宋" w:eastAsia="仿宋"/>
          <w:bCs/>
          <w:color w:val="000000"/>
          <w:spacing w:val="-4"/>
          <w:sz w:val="32"/>
          <w:szCs w:val="32"/>
        </w:rPr>
        <w:t>名，包括行政编制</w:t>
      </w:r>
      <w:r>
        <w:rPr>
          <w:rFonts w:ascii="仿宋" w:hAnsi="仿宋" w:eastAsia="仿宋"/>
          <w:bCs/>
          <w:color w:val="000000"/>
          <w:spacing w:val="-4"/>
          <w:sz w:val="32"/>
          <w:szCs w:val="32"/>
        </w:rPr>
        <w:t>21</w:t>
      </w:r>
      <w:r>
        <w:rPr>
          <w:rFonts w:hint="eastAsia" w:ascii="仿宋" w:hAnsi="仿宋" w:eastAsia="仿宋"/>
          <w:bCs/>
          <w:color w:val="000000"/>
          <w:spacing w:val="-4"/>
          <w:sz w:val="32"/>
          <w:szCs w:val="32"/>
        </w:rPr>
        <w:t>名、工勤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名；市普查中心编制</w:t>
      </w:r>
      <w:r>
        <w:rPr>
          <w:rFonts w:ascii="仿宋" w:hAnsi="仿宋" w:eastAsia="仿宋"/>
          <w:bCs/>
          <w:color w:val="000000"/>
          <w:spacing w:val="-4"/>
          <w:sz w:val="32"/>
          <w:szCs w:val="32"/>
        </w:rPr>
        <w:t>6</w:t>
      </w:r>
      <w:r>
        <w:rPr>
          <w:rFonts w:hint="eastAsia" w:ascii="仿宋" w:hAnsi="仿宋" w:eastAsia="仿宋"/>
          <w:bCs/>
          <w:color w:val="000000"/>
          <w:spacing w:val="-4"/>
          <w:sz w:val="32"/>
          <w:szCs w:val="32"/>
        </w:rPr>
        <w:t>名；市统计大数据管理与社情民意调查中心编制</w:t>
      </w:r>
      <w:r>
        <w:rPr>
          <w:rFonts w:ascii="仿宋" w:hAnsi="仿宋" w:eastAsia="仿宋"/>
          <w:bCs/>
          <w:color w:val="000000"/>
          <w:spacing w:val="-4"/>
          <w:sz w:val="32"/>
          <w:szCs w:val="32"/>
        </w:rPr>
        <w:t>1</w:t>
      </w:r>
      <w:r>
        <w:rPr>
          <w:rFonts w:hint="eastAsia" w:ascii="仿宋" w:hAnsi="仿宋" w:eastAsia="仿宋"/>
          <w:bCs/>
          <w:color w:val="000000"/>
          <w:spacing w:val="-4"/>
          <w:sz w:val="32"/>
          <w:szCs w:val="32"/>
          <w:lang w:val="en-US" w:eastAsia="zh-CN"/>
        </w:rPr>
        <w:t>2</w:t>
      </w:r>
      <w:r>
        <w:rPr>
          <w:rFonts w:hint="eastAsia" w:ascii="仿宋" w:hAnsi="仿宋" w:eastAsia="仿宋"/>
          <w:bCs/>
          <w:color w:val="000000"/>
          <w:spacing w:val="-4"/>
          <w:sz w:val="32"/>
          <w:szCs w:val="32"/>
        </w:rPr>
        <w:t>名。在职人员</w:t>
      </w:r>
      <w:r>
        <w:rPr>
          <w:rFonts w:hint="eastAsia" w:ascii="仿宋" w:hAnsi="仿宋" w:eastAsia="仿宋"/>
          <w:bCs/>
          <w:color w:val="000000"/>
          <w:spacing w:val="-4"/>
          <w:sz w:val="32"/>
          <w:szCs w:val="32"/>
          <w:lang w:val="en-US" w:eastAsia="zh-CN"/>
        </w:rPr>
        <w:t>40</w:t>
      </w:r>
      <w:r>
        <w:rPr>
          <w:rFonts w:hint="eastAsia" w:ascii="仿宋" w:hAnsi="仿宋" w:eastAsia="仿宋"/>
          <w:bCs/>
          <w:color w:val="000000"/>
          <w:spacing w:val="-4"/>
          <w:sz w:val="32"/>
          <w:szCs w:val="32"/>
        </w:rPr>
        <w:t>名，其中财政供养人员</w:t>
      </w:r>
      <w:r>
        <w:rPr>
          <w:rFonts w:hint="eastAsia" w:ascii="仿宋" w:hAnsi="仿宋" w:eastAsia="仿宋"/>
          <w:bCs/>
          <w:color w:val="000000"/>
          <w:spacing w:val="-4"/>
          <w:sz w:val="32"/>
          <w:szCs w:val="32"/>
          <w:lang w:val="en-US" w:eastAsia="zh-CN"/>
        </w:rPr>
        <w:t>40</w:t>
      </w:r>
      <w:r>
        <w:rPr>
          <w:rFonts w:hint="eastAsia" w:ascii="仿宋" w:hAnsi="仿宋" w:eastAsia="仿宋"/>
          <w:bCs/>
          <w:color w:val="000000"/>
          <w:spacing w:val="-4"/>
          <w:sz w:val="32"/>
          <w:szCs w:val="32"/>
        </w:rPr>
        <w:t>人，局机关</w:t>
      </w:r>
      <w:r>
        <w:rPr>
          <w:rFonts w:ascii="仿宋" w:hAnsi="仿宋" w:eastAsia="仿宋"/>
          <w:bCs/>
          <w:color w:val="000000"/>
          <w:spacing w:val="-4"/>
          <w:sz w:val="32"/>
          <w:szCs w:val="32"/>
        </w:rPr>
        <w:t>2</w:t>
      </w:r>
      <w:r>
        <w:rPr>
          <w:rFonts w:hint="eastAsia" w:ascii="仿宋" w:hAnsi="仿宋" w:eastAsia="仿宋"/>
          <w:bCs/>
          <w:color w:val="000000"/>
          <w:spacing w:val="-4"/>
          <w:sz w:val="32"/>
          <w:szCs w:val="32"/>
          <w:lang w:val="en-US" w:eastAsia="zh-CN"/>
        </w:rPr>
        <w:t>3</w:t>
      </w:r>
      <w:r>
        <w:rPr>
          <w:rFonts w:hint="eastAsia" w:ascii="仿宋" w:hAnsi="仿宋" w:eastAsia="仿宋"/>
          <w:bCs/>
          <w:color w:val="000000"/>
          <w:spacing w:val="-4"/>
          <w:sz w:val="32"/>
          <w:szCs w:val="32"/>
        </w:rPr>
        <w:t>人包括行政人员</w:t>
      </w:r>
      <w:r>
        <w:rPr>
          <w:rFonts w:hint="eastAsia" w:ascii="仿宋" w:hAnsi="仿宋" w:eastAsia="仿宋"/>
          <w:bCs/>
          <w:color w:val="000000"/>
          <w:spacing w:val="-4"/>
          <w:sz w:val="32"/>
          <w:szCs w:val="32"/>
          <w:lang w:val="en-US" w:eastAsia="zh-CN"/>
        </w:rPr>
        <w:t>21</w:t>
      </w:r>
      <w:r>
        <w:rPr>
          <w:rFonts w:hint="eastAsia" w:ascii="仿宋" w:hAnsi="仿宋" w:eastAsia="仿宋"/>
          <w:bCs/>
          <w:color w:val="000000"/>
          <w:spacing w:val="-4"/>
          <w:sz w:val="32"/>
          <w:szCs w:val="32"/>
        </w:rPr>
        <w:t>人、工勤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人，市普查中心</w:t>
      </w:r>
      <w:r>
        <w:rPr>
          <w:rFonts w:hint="eastAsia" w:ascii="仿宋" w:hAnsi="仿宋" w:eastAsia="仿宋"/>
          <w:bCs/>
          <w:color w:val="000000"/>
          <w:spacing w:val="-4"/>
          <w:sz w:val="32"/>
          <w:szCs w:val="32"/>
          <w:lang w:val="en-US" w:eastAsia="zh-CN"/>
        </w:rPr>
        <w:t>6</w:t>
      </w:r>
      <w:r>
        <w:rPr>
          <w:rFonts w:hint="eastAsia" w:ascii="仿宋" w:hAnsi="仿宋" w:eastAsia="仿宋"/>
          <w:bCs/>
          <w:color w:val="000000"/>
          <w:spacing w:val="-4"/>
          <w:sz w:val="32"/>
          <w:szCs w:val="32"/>
        </w:rPr>
        <w:t>人包括行政人员</w:t>
      </w:r>
      <w:r>
        <w:rPr>
          <w:rFonts w:hint="eastAsia" w:ascii="仿宋" w:hAnsi="仿宋" w:eastAsia="仿宋"/>
          <w:bCs/>
          <w:color w:val="000000"/>
          <w:spacing w:val="-4"/>
          <w:sz w:val="32"/>
          <w:szCs w:val="32"/>
          <w:lang w:val="en-US" w:eastAsia="zh-CN"/>
        </w:rPr>
        <w:t>5</w:t>
      </w:r>
      <w:r>
        <w:rPr>
          <w:rFonts w:hint="eastAsia" w:ascii="仿宋" w:hAnsi="仿宋" w:eastAsia="仿宋"/>
          <w:bCs/>
          <w:color w:val="000000"/>
          <w:spacing w:val="-4"/>
          <w:sz w:val="32"/>
          <w:szCs w:val="32"/>
        </w:rPr>
        <w:t>名、工勤人员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名，市统计大数据管理与社情民意调查中心全额事业人员</w:t>
      </w:r>
      <w:r>
        <w:rPr>
          <w:rFonts w:hint="eastAsia" w:ascii="仿宋" w:hAnsi="仿宋" w:eastAsia="仿宋"/>
          <w:bCs/>
          <w:color w:val="000000"/>
          <w:spacing w:val="-4"/>
          <w:sz w:val="32"/>
          <w:szCs w:val="32"/>
          <w:lang w:val="en-US" w:eastAsia="zh-CN"/>
        </w:rPr>
        <w:t>11</w:t>
      </w:r>
      <w:r>
        <w:rPr>
          <w:rFonts w:hint="eastAsia" w:ascii="仿宋" w:hAnsi="仿宋" w:eastAsia="仿宋"/>
          <w:bCs/>
          <w:color w:val="000000"/>
          <w:spacing w:val="-4"/>
          <w:sz w:val="32"/>
          <w:szCs w:val="32"/>
        </w:rPr>
        <w:t>名；长期聘用人员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人</w:t>
      </w:r>
      <w:r>
        <w:rPr>
          <w:rFonts w:hint="eastAsia" w:ascii="仿宋" w:hAnsi="仿宋" w:eastAsia="仿宋"/>
          <w:bCs/>
          <w:color w:val="00000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 w:eastAsia="仿宋_GB2312"/>
          <w:sz w:val="32"/>
          <w:szCs w:val="32"/>
        </w:rPr>
      </w:pPr>
      <w:r>
        <w:rPr>
          <w:rFonts w:hint="eastAsia" w:ascii="楷体" w:hAnsi="楷体" w:eastAsia="楷体" w:cs="楷体"/>
          <w:color w:val="auto"/>
          <w:kern w:val="0"/>
          <w:sz w:val="32"/>
          <w:szCs w:val="32"/>
          <w:highlight w:val="none"/>
          <w:shd w:val="clear" w:color="auto" w:fill="FFFFFF"/>
          <w:lang w:val="zh-CN"/>
        </w:rPr>
        <w:t>（一）部门财政资金收入情况。</w:t>
      </w:r>
      <w:r>
        <w:rPr>
          <w:rFonts w:hint="eastAsia" w:ascii="仿宋_GB2312" w:hAnsi="仿宋" w:eastAsia="仿宋_GB2312"/>
          <w:sz w:val="32"/>
          <w:szCs w:val="32"/>
        </w:rPr>
        <w:t>我单位本年收入情况由上年财政应返还额度</w:t>
      </w:r>
      <w:r>
        <w:rPr>
          <w:rFonts w:hint="eastAsia" w:ascii="仿宋_GB2312" w:hAnsi="仿宋" w:eastAsia="仿宋_GB2312"/>
          <w:sz w:val="32"/>
          <w:szCs w:val="32"/>
          <w:lang w:val="en-US" w:eastAsia="zh-CN"/>
        </w:rPr>
        <w:t>312561.73</w:t>
      </w:r>
      <w:r>
        <w:rPr>
          <w:rFonts w:hint="eastAsia" w:ascii="仿宋_GB2312" w:hAnsi="仿宋" w:eastAsia="仿宋_GB2312"/>
          <w:sz w:val="32"/>
          <w:szCs w:val="32"/>
        </w:rPr>
        <w:t>元、本年预算收入</w:t>
      </w:r>
      <w:r>
        <w:rPr>
          <w:rFonts w:hint="eastAsia" w:ascii="仿宋_GB2312" w:hAnsi="仿宋" w:eastAsia="仿宋_GB2312"/>
          <w:sz w:val="32"/>
          <w:szCs w:val="32"/>
          <w:lang w:val="en-US" w:eastAsia="zh-CN"/>
        </w:rPr>
        <w:t>8730530</w:t>
      </w:r>
      <w:r>
        <w:rPr>
          <w:rFonts w:hint="eastAsia" w:ascii="仿宋_GB2312" w:hAnsi="仿宋" w:eastAsia="仿宋_GB2312"/>
          <w:sz w:val="32"/>
          <w:szCs w:val="32"/>
        </w:rPr>
        <w:t>元、其他资金</w:t>
      </w:r>
      <w:r>
        <w:rPr>
          <w:rFonts w:hint="eastAsia" w:ascii="仿宋_GB2312" w:hAnsi="仿宋" w:eastAsia="仿宋_GB2312"/>
          <w:sz w:val="32"/>
          <w:szCs w:val="32"/>
          <w:lang w:val="en-US" w:eastAsia="zh-CN"/>
        </w:rPr>
        <w:t>8147.21</w:t>
      </w:r>
      <w:r>
        <w:rPr>
          <w:rFonts w:hint="eastAsia" w:ascii="仿宋_GB2312" w:hAnsi="仿宋" w:eastAsia="仿宋_GB2312"/>
          <w:sz w:val="32"/>
          <w:szCs w:val="32"/>
        </w:rPr>
        <w:t>元组成，全年财政</w:t>
      </w:r>
      <w:r>
        <w:rPr>
          <w:rFonts w:ascii="仿宋_GB2312" w:hAnsi="仿宋" w:eastAsia="仿宋_GB2312"/>
          <w:sz w:val="32"/>
          <w:szCs w:val="32"/>
        </w:rPr>
        <w:t>拨款</w:t>
      </w:r>
      <w:r>
        <w:rPr>
          <w:rFonts w:hint="eastAsia" w:ascii="仿宋_GB2312" w:hAnsi="仿宋" w:eastAsia="仿宋_GB2312"/>
          <w:sz w:val="32"/>
          <w:szCs w:val="32"/>
        </w:rPr>
        <w:t>收入数为</w:t>
      </w:r>
      <w:r>
        <w:rPr>
          <w:rFonts w:hint="eastAsia" w:ascii="仿宋_GB2312" w:hAnsi="仿宋" w:eastAsia="仿宋_GB2312"/>
          <w:sz w:val="32"/>
          <w:szCs w:val="32"/>
          <w:lang w:val="en-US" w:eastAsia="zh-CN"/>
        </w:rPr>
        <w:t>8730530</w:t>
      </w:r>
      <w:r>
        <w:rPr>
          <w:rFonts w:hint="eastAsia" w:ascii="仿宋_GB2312" w:hAnsi="仿宋" w:eastAsia="仿宋_GB2312"/>
          <w:sz w:val="32"/>
          <w:szCs w:val="32"/>
        </w:rPr>
        <w:t>元，与财政完成对账无误。全年支出情况财政拨款支付数为</w:t>
      </w:r>
      <w:r>
        <w:rPr>
          <w:rFonts w:hint="eastAsia" w:ascii="仿宋_GB2312" w:hAnsi="仿宋" w:eastAsia="仿宋_GB2312"/>
          <w:sz w:val="32"/>
          <w:szCs w:val="32"/>
          <w:lang w:val="en-US" w:eastAsia="zh-CN"/>
        </w:rPr>
        <w:t>8797542.39</w:t>
      </w:r>
      <w:r>
        <w:rPr>
          <w:rFonts w:hint="eastAsia" w:ascii="仿宋_GB2312" w:hAnsi="仿宋" w:eastAsia="仿宋_GB2312"/>
          <w:sz w:val="32"/>
          <w:szCs w:val="32"/>
        </w:rPr>
        <w:t>元，其他资金支出</w:t>
      </w:r>
      <w:r>
        <w:rPr>
          <w:rFonts w:hint="eastAsia" w:ascii="仿宋_GB2312" w:hAnsi="仿宋" w:eastAsia="仿宋_GB2312"/>
          <w:sz w:val="32"/>
          <w:szCs w:val="32"/>
          <w:lang w:val="en-US" w:eastAsia="zh-CN"/>
        </w:rPr>
        <w:t>13989.34</w:t>
      </w:r>
      <w:r>
        <w:rPr>
          <w:rFonts w:hint="eastAsia" w:ascii="仿宋_GB2312" w:hAnsi="仿宋" w:eastAsia="仿宋_GB2312"/>
          <w:sz w:val="32"/>
          <w:szCs w:val="32"/>
        </w:rPr>
        <w:t>元，累计支出数为</w:t>
      </w:r>
      <w:r>
        <w:rPr>
          <w:rFonts w:hint="eastAsia" w:ascii="仿宋_GB2312" w:hAnsi="仿宋" w:eastAsia="仿宋_GB2312"/>
          <w:sz w:val="32"/>
          <w:szCs w:val="32"/>
          <w:lang w:val="en-US" w:eastAsia="zh-CN"/>
        </w:rPr>
        <w:t>8811531.73</w:t>
      </w:r>
      <w:r>
        <w:rPr>
          <w:rFonts w:hint="eastAsia" w:ascii="仿宋_GB2312" w:hAnsi="仿宋" w:eastAsia="仿宋_GB2312"/>
          <w:sz w:val="32"/>
          <w:szCs w:val="32"/>
        </w:rPr>
        <w:t>元。收支较去年都有一定上升，主要原因</w:t>
      </w:r>
      <w:r>
        <w:rPr>
          <w:rFonts w:ascii="仿宋_GB2312" w:hAnsi="仿宋" w:eastAsia="仿宋_GB2312"/>
          <w:sz w:val="32"/>
          <w:szCs w:val="32"/>
        </w:rPr>
        <w:t>是</w:t>
      </w:r>
      <w:r>
        <w:rPr>
          <w:rFonts w:hint="eastAsia" w:ascii="仿宋_GB2312" w:hAnsi="仿宋" w:eastAsia="仿宋_GB2312"/>
          <w:sz w:val="32"/>
          <w:szCs w:val="32"/>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eastAsia="zh-CN"/>
        </w:rPr>
        <w:t>进入</w:t>
      </w:r>
      <w:r>
        <w:rPr>
          <w:rFonts w:hint="eastAsia" w:ascii="仿宋_GB2312" w:hAnsi="仿宋" w:eastAsia="仿宋_GB2312"/>
          <w:sz w:val="32"/>
          <w:szCs w:val="32"/>
        </w:rPr>
        <w:t>第七次全国人口普查</w:t>
      </w:r>
      <w:r>
        <w:rPr>
          <w:rFonts w:hint="eastAsia" w:ascii="仿宋_GB2312" w:hAnsi="仿宋" w:eastAsia="仿宋_GB2312"/>
          <w:sz w:val="32"/>
          <w:szCs w:val="32"/>
          <w:lang w:eastAsia="zh-CN"/>
        </w:rPr>
        <w:t>数据核查与普查数据开发应用等相关工作的重要时期</w:t>
      </w:r>
      <w:r>
        <w:rPr>
          <w:rFonts w:hint="eastAsia" w:ascii="仿宋_GB2312" w:hAnsi="仿宋" w:eastAsia="仿宋_GB2312"/>
          <w:sz w:val="32"/>
          <w:szCs w:val="32"/>
        </w:rPr>
        <w:t>，</w:t>
      </w:r>
      <w:r>
        <w:rPr>
          <w:rFonts w:hint="eastAsia" w:ascii="仿宋_GB2312" w:hAnsi="仿宋" w:eastAsia="仿宋_GB2312"/>
          <w:sz w:val="32"/>
          <w:szCs w:val="32"/>
          <w:lang w:eastAsia="zh-CN"/>
        </w:rPr>
        <w:t>本年调整</w:t>
      </w:r>
      <w:r>
        <w:rPr>
          <w:rFonts w:hint="eastAsia" w:ascii="仿宋_GB2312" w:hAnsi="仿宋" w:eastAsia="仿宋_GB2312"/>
          <w:sz w:val="32"/>
          <w:szCs w:val="32"/>
        </w:rPr>
        <w:t>专项预算拨款</w:t>
      </w:r>
      <w:r>
        <w:rPr>
          <w:rFonts w:hint="eastAsia" w:ascii="仿宋_GB2312" w:hAnsi="仿宋" w:eastAsia="仿宋_GB2312"/>
          <w:sz w:val="32"/>
          <w:szCs w:val="32"/>
          <w:lang w:val="en-US" w:eastAsia="zh-CN"/>
        </w:rPr>
        <w:t>8</w:t>
      </w:r>
      <w:r>
        <w:rPr>
          <w:rFonts w:hint="eastAsia" w:ascii="仿宋_GB2312" w:hAnsi="仿宋" w:eastAsia="仿宋_GB2312"/>
          <w:sz w:val="32"/>
          <w:szCs w:val="32"/>
        </w:rPr>
        <w:t>0万元</w:t>
      </w:r>
      <w:r>
        <w:rPr>
          <w:rFonts w:hint="eastAsia" w:ascii="仿宋_GB2312" w:hAnsi="仿宋" w:eastAsia="仿宋_GB2312"/>
          <w:sz w:val="32"/>
          <w:szCs w:val="32"/>
          <w:lang w:eastAsia="zh-CN"/>
        </w:rPr>
        <w:t>，另外按照省统计局统一安排部署今年调增了两个信息化建设项目和统计社情民意调查项目</w:t>
      </w:r>
      <w:r>
        <w:rPr>
          <w:rFonts w:hint="eastAsia" w:ascii="仿宋_GB2312" w:hAnsi="仿宋" w:eastAsia="仿宋_GB2312"/>
          <w:sz w:val="32"/>
          <w:szCs w:val="32"/>
          <w:lang w:val="en-US" w:eastAsia="zh-CN"/>
        </w:rPr>
        <w:t>CATI电访项目建设</w:t>
      </w:r>
      <w:r>
        <w:rPr>
          <w:rFonts w:hint="eastAsia" w:ascii="仿宋_GB2312" w:hAnsi="仿宋" w:eastAsia="仿宋_GB2312"/>
          <w:sz w:val="32"/>
          <w:szCs w:val="32"/>
          <w:lang w:eastAsia="zh-CN"/>
        </w:rPr>
        <w:t>，追加专项资金</w:t>
      </w:r>
      <w:r>
        <w:rPr>
          <w:rFonts w:hint="eastAsia" w:ascii="仿宋_GB2312" w:hAnsi="仿宋" w:eastAsia="仿宋_GB2312"/>
          <w:sz w:val="32"/>
          <w:szCs w:val="32"/>
          <w:lang w:val="en-US" w:eastAsia="zh-CN"/>
        </w:rPr>
        <w:t>90万余元，其中：CATI建设项目为省统计局2020年度拨付资金项目，2021年初作为存量资金缴入金库以调整指标拨回后开展实施</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楷体" w:hAnsi="楷体" w:eastAsia="楷体" w:cs="楷体"/>
          <w:color w:val="auto"/>
          <w:kern w:val="0"/>
          <w:sz w:val="32"/>
          <w:szCs w:val="32"/>
          <w:highlight w:val="none"/>
          <w:shd w:val="clear" w:color="auto" w:fill="FFFFFF"/>
          <w:lang w:val="zh-CN"/>
        </w:rPr>
        <w:t>（二）部门财政资金支出情况。</w:t>
      </w:r>
      <w:r>
        <w:rPr>
          <w:rFonts w:hint="eastAsia" w:ascii="仿宋_GB2312" w:hAnsi="仿宋" w:eastAsia="仿宋_GB2312"/>
          <w:sz w:val="32"/>
          <w:szCs w:val="32"/>
          <w:lang w:eastAsia="zh-CN"/>
        </w:rPr>
        <w:t>本年一般公共服务支出中，行政运行经费支出</w:t>
      </w:r>
      <w:r>
        <w:rPr>
          <w:rFonts w:hint="eastAsia" w:ascii="仿宋_GB2312" w:hAnsi="仿宋" w:eastAsia="仿宋_GB2312"/>
          <w:sz w:val="32"/>
          <w:szCs w:val="32"/>
          <w:lang w:val="en-US" w:eastAsia="zh-CN"/>
        </w:rPr>
        <w:t>537.34，与去年基本持平；专项统计经费支出121.07万元，年终追加项目支出，较去年有一定增幅；第七次人口普查工作经费调增80万元，年终无结余。</w:t>
      </w:r>
    </w:p>
    <w:p>
      <w:pPr>
        <w:keepNext w:val="0"/>
        <w:keepLines w:val="0"/>
        <w:pageBreakBefore w:val="0"/>
        <w:kinsoku/>
        <w:wordWrap/>
        <w:overflowPunct/>
        <w:topLinePunct w:val="0"/>
        <w:autoSpaceDE/>
        <w:autoSpaceDN/>
        <w:bidi w:val="0"/>
        <w:snapToGrid w:val="0"/>
        <w:spacing w:line="560" w:lineRule="exact"/>
        <w:ind w:firstLine="642" w:firstLineChars="200"/>
        <w:jc w:val="both"/>
        <w:textAlignment w:val="auto"/>
        <w:rPr>
          <w:rFonts w:ascii="仿宋_GB2312" w:hAnsi="宋体" w:cs="宋体"/>
          <w:color w:val="000000"/>
          <w:kern w:val="0"/>
          <w:szCs w:val="32"/>
          <w:shd w:val="clear" w:color="auto" w:fill="FFFFFF"/>
          <w:lang w:val="zh-CN"/>
        </w:rPr>
      </w:pPr>
      <w:r>
        <w:rPr>
          <w:rFonts w:hint="eastAsia" w:ascii="仿宋" w:hAnsi="仿宋" w:eastAsia="仿宋" w:cs="仿宋"/>
          <w:b/>
          <w:sz w:val="32"/>
          <w:szCs w:val="32"/>
          <w:lang w:val="zh-CN"/>
        </w:rPr>
        <w:t>“三公”经费支出情况：</w:t>
      </w:r>
      <w:r>
        <w:rPr>
          <w:rFonts w:hint="eastAsia" w:ascii="仿宋_GB2312" w:hAnsi="仿宋" w:eastAsia="仿宋_GB2312"/>
          <w:sz w:val="32"/>
          <w:szCs w:val="32"/>
        </w:rPr>
        <w:t>本年度三公经费支出</w:t>
      </w:r>
      <w:r>
        <w:rPr>
          <w:rFonts w:hint="eastAsia" w:ascii="仿宋_GB2312" w:hAnsi="仿宋" w:eastAsia="仿宋_GB2312"/>
          <w:sz w:val="32"/>
          <w:szCs w:val="32"/>
          <w:lang w:val="en-US" w:eastAsia="zh-CN"/>
        </w:rPr>
        <w:t>9.72</w:t>
      </w:r>
      <w:r>
        <w:rPr>
          <w:rFonts w:hint="eastAsia" w:ascii="仿宋_GB2312" w:hAnsi="仿宋" w:eastAsia="仿宋_GB2312"/>
          <w:sz w:val="32"/>
          <w:szCs w:val="32"/>
        </w:rPr>
        <w:t>万元，较去年</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1.49</w:t>
      </w:r>
      <w:r>
        <w:rPr>
          <w:rFonts w:hint="eastAsia" w:ascii="仿宋_GB2312" w:hAnsi="仿宋" w:eastAsia="仿宋_GB2312"/>
          <w:sz w:val="32"/>
          <w:szCs w:val="32"/>
        </w:rPr>
        <w:t>万元，</w:t>
      </w:r>
      <w:r>
        <w:rPr>
          <w:rFonts w:hint="eastAsia" w:ascii="仿宋_GB2312" w:hAnsi="仿宋" w:eastAsia="仿宋_GB2312"/>
          <w:sz w:val="32"/>
          <w:szCs w:val="32"/>
          <w:lang w:eastAsia="zh-CN"/>
        </w:rPr>
        <w:t>增</w:t>
      </w:r>
      <w:r>
        <w:rPr>
          <w:rFonts w:hint="eastAsia" w:ascii="仿宋_GB2312" w:hAnsi="仿宋" w:eastAsia="仿宋_GB2312"/>
          <w:sz w:val="32"/>
          <w:szCs w:val="32"/>
        </w:rPr>
        <w:t>幅为</w:t>
      </w:r>
      <w:r>
        <w:rPr>
          <w:rFonts w:hint="eastAsia" w:ascii="仿宋_GB2312" w:hAnsi="仿宋" w:eastAsia="仿宋_GB2312"/>
          <w:sz w:val="32"/>
          <w:szCs w:val="32"/>
          <w:lang w:val="en-US" w:eastAsia="zh-CN"/>
        </w:rPr>
        <w:t>15.3</w:t>
      </w:r>
      <w:r>
        <w:rPr>
          <w:rFonts w:hint="eastAsia" w:ascii="仿宋_GB2312" w:hAnsi="仿宋" w:eastAsia="仿宋_GB2312"/>
          <w:sz w:val="32"/>
          <w:szCs w:val="32"/>
        </w:rPr>
        <w:t>%</w:t>
      </w:r>
      <w:r>
        <w:rPr>
          <w:rFonts w:hint="eastAsia" w:ascii="仿宋_GB2312" w:hAnsi="仿宋" w:eastAsia="仿宋_GB2312"/>
          <w:sz w:val="32"/>
          <w:szCs w:val="32"/>
          <w:lang w:eastAsia="zh-CN"/>
        </w:rPr>
        <w:t>，主要用于公务用车运行费用支出。</w:t>
      </w:r>
      <w:r>
        <w:rPr>
          <w:rFonts w:hint="eastAsia" w:ascii="仿宋_GB2312" w:hAnsi="仿宋" w:eastAsia="仿宋_GB2312"/>
          <w:sz w:val="32"/>
          <w:szCs w:val="32"/>
        </w:rPr>
        <w:t>会议费支出情况：本年度会议费支出</w:t>
      </w:r>
      <w:r>
        <w:rPr>
          <w:rFonts w:hint="eastAsia" w:ascii="仿宋_GB2312" w:hAnsi="仿宋" w:eastAsia="仿宋_GB2312"/>
          <w:sz w:val="32"/>
          <w:szCs w:val="32"/>
          <w:lang w:val="en-US" w:eastAsia="zh-CN"/>
        </w:rPr>
        <w:t>1.22</w:t>
      </w:r>
      <w:r>
        <w:rPr>
          <w:rFonts w:hint="eastAsia" w:ascii="仿宋_GB2312" w:hAnsi="仿宋" w:eastAsia="仿宋_GB2312"/>
          <w:sz w:val="32"/>
          <w:szCs w:val="32"/>
        </w:rPr>
        <w:t>万元，较去年</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7.17</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2021年人口普查</w:t>
      </w:r>
      <w:r>
        <w:rPr>
          <w:rFonts w:hint="eastAsia" w:ascii="仿宋_GB2312" w:hAnsi="仿宋" w:eastAsia="仿宋_GB2312"/>
          <w:sz w:val="32"/>
          <w:szCs w:val="32"/>
        </w:rPr>
        <w:t>相关</w:t>
      </w:r>
      <w:r>
        <w:rPr>
          <w:rFonts w:hint="eastAsia" w:ascii="仿宋_GB2312" w:hAnsi="仿宋" w:eastAsia="仿宋_GB2312"/>
          <w:sz w:val="32"/>
          <w:szCs w:val="32"/>
          <w:lang w:eastAsia="zh-CN"/>
        </w:rPr>
        <w:t>会议费较去年有所下降。</w:t>
      </w:r>
      <w:r>
        <w:rPr>
          <w:rFonts w:hint="eastAsia" w:ascii="仿宋_GB2312" w:hAnsi="仿宋" w:eastAsia="仿宋_GB2312"/>
          <w:sz w:val="32"/>
          <w:szCs w:val="32"/>
        </w:rPr>
        <w:t>培训费支出情况：本年度</w:t>
      </w:r>
      <w:r>
        <w:rPr>
          <w:rFonts w:hint="eastAsia" w:ascii="仿宋_GB2312" w:hAnsi="仿宋" w:eastAsia="仿宋_GB2312"/>
          <w:sz w:val="32"/>
          <w:szCs w:val="32"/>
          <w:lang w:val="en-US" w:eastAsia="zh-CN"/>
        </w:rPr>
        <w:t xml:space="preserve">10.21 </w:t>
      </w:r>
      <w:r>
        <w:rPr>
          <w:rFonts w:hint="eastAsia" w:ascii="仿宋_GB2312" w:hAnsi="仿宋" w:eastAsia="仿宋_GB2312"/>
          <w:sz w:val="32"/>
          <w:szCs w:val="32"/>
        </w:rPr>
        <w:t>万元，较去年减少</w:t>
      </w:r>
      <w:r>
        <w:rPr>
          <w:rFonts w:hint="eastAsia" w:ascii="仿宋_GB2312" w:hAnsi="仿宋" w:eastAsia="仿宋_GB2312"/>
          <w:sz w:val="32"/>
          <w:szCs w:val="32"/>
          <w:lang w:val="en-US" w:eastAsia="zh-CN"/>
        </w:rPr>
        <w:t>2.39</w:t>
      </w:r>
      <w:r>
        <w:rPr>
          <w:rFonts w:hint="eastAsia" w:ascii="仿宋_GB2312" w:hAnsi="仿宋" w:eastAsia="仿宋_GB2312"/>
          <w:sz w:val="32"/>
          <w:szCs w:val="32"/>
        </w:rPr>
        <w:t>万元，主要是第七次全国人口</w:t>
      </w:r>
      <w:r>
        <w:rPr>
          <w:rFonts w:ascii="仿宋_GB2312" w:hAnsi="仿宋" w:eastAsia="仿宋_GB2312"/>
          <w:sz w:val="32"/>
          <w:szCs w:val="32"/>
        </w:rPr>
        <w:t>普查</w:t>
      </w:r>
      <w:r>
        <w:rPr>
          <w:rFonts w:hint="eastAsia" w:ascii="仿宋_GB2312" w:hAnsi="仿宋" w:eastAsia="仿宋_GB2312"/>
          <w:sz w:val="32"/>
          <w:szCs w:val="32"/>
        </w:rPr>
        <w:t>业务培训内容主要在</w:t>
      </w:r>
      <w:r>
        <w:rPr>
          <w:rFonts w:hint="eastAsia" w:ascii="仿宋_GB2312" w:hAnsi="仿宋" w:eastAsia="仿宋_GB2312"/>
          <w:sz w:val="32"/>
          <w:szCs w:val="32"/>
          <w:lang w:val="en-US" w:eastAsia="zh-CN"/>
        </w:rPr>
        <w:t>2020年度</w:t>
      </w:r>
      <w:r>
        <w:rPr>
          <w:rFonts w:hint="eastAsia" w:ascii="仿宋_GB2312" w:hAnsi="仿宋" w:eastAsia="仿宋_GB2312"/>
          <w:sz w:val="32"/>
          <w:szCs w:val="32"/>
        </w:rPr>
        <w:t>，其他相关专业会议采取以训代会。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30" w:leftChars="0"/>
        <w:contextualSpacing/>
        <w:jc w:val="both"/>
        <w:textAlignment w:val="auto"/>
        <w:rPr>
          <w:rFonts w:hint="eastAsia" w:ascii="黑体" w:hAnsi="宋体" w:eastAsia="黑体" w:cs="宋体"/>
          <w:color w:val="auto"/>
          <w:kern w:val="0"/>
          <w:sz w:val="32"/>
          <w:szCs w:val="32"/>
          <w:highlight w:val="none"/>
          <w:u w:val="none"/>
          <w:shd w:val="clear" w:color="auto" w:fill="FFFFFF"/>
        </w:rPr>
      </w:pPr>
      <w:r>
        <w:rPr>
          <w:rFonts w:hint="eastAsia" w:ascii="黑体" w:hAnsi="宋体" w:eastAsia="黑体" w:cs="宋体"/>
          <w:color w:val="auto"/>
          <w:kern w:val="0"/>
          <w:sz w:val="32"/>
          <w:szCs w:val="32"/>
          <w:highlight w:val="none"/>
          <w:u w:val="none"/>
          <w:shd w:val="clear" w:color="auto" w:fill="FFFFFF"/>
          <w:lang w:eastAsia="zh-CN"/>
        </w:rPr>
        <w:t>三、</w:t>
      </w:r>
      <w:r>
        <w:rPr>
          <w:rFonts w:hint="eastAsia" w:ascii="黑体" w:hAnsi="宋体" w:eastAsia="黑体" w:cs="宋体"/>
          <w:color w:val="auto"/>
          <w:kern w:val="0"/>
          <w:sz w:val="32"/>
          <w:szCs w:val="32"/>
          <w:highlight w:val="none"/>
          <w:u w:val="none"/>
          <w:shd w:val="clear" w:color="auto" w:fill="FFFFFF"/>
        </w:rPr>
        <w:t>部门整体预算绩效管理情况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0" w:leftChars="0"/>
        <w:contextualSpacing/>
        <w:jc w:val="both"/>
        <w:textAlignment w:val="auto"/>
        <w:rPr>
          <w:rFonts w:hint="eastAsia" w:ascii="楷体" w:hAnsi="楷体" w:eastAsia="楷体" w:cs="楷体"/>
          <w:color w:val="auto"/>
          <w:kern w:val="0"/>
          <w:sz w:val="32"/>
          <w:szCs w:val="32"/>
          <w:highlight w:val="none"/>
          <w:shd w:val="clear" w:color="auto" w:fill="FFFFFF"/>
          <w:lang w:val="zh-CN"/>
        </w:rPr>
      </w:pPr>
      <w:r>
        <w:rPr>
          <w:rFonts w:hint="eastAsia" w:ascii="楷体" w:hAnsi="楷体" w:eastAsia="楷体" w:cs="楷体"/>
          <w:color w:val="auto"/>
          <w:kern w:val="0"/>
          <w:sz w:val="32"/>
          <w:szCs w:val="32"/>
          <w:highlight w:val="none"/>
          <w:shd w:val="clear" w:color="auto" w:fill="FFFFFF"/>
          <w:lang w:val="zh-CN"/>
        </w:rPr>
        <w:t>（一）部门预算项目绩效管理。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hAnsi="Times New Roman" w:eastAsia="仿宋_GB2312" w:cs="Times New Roman"/>
          <w:kern w:val="2"/>
          <w:sz w:val="32"/>
          <w:szCs w:val="32"/>
          <w:lang w:val="en-US" w:eastAsia="zh-CN" w:bidi="ar-SA"/>
        </w:rPr>
        <w:t>绩效目标编制情况。</w:t>
      </w:r>
      <w:r>
        <w:rPr>
          <w:rFonts w:hint="eastAsia" w:ascii="仿宋_GB2312" w:hAnsi="Times New Roman" w:eastAsia="仿宋_GB2312" w:cs="Times New Roman"/>
          <w:kern w:val="2"/>
          <w:sz w:val="32"/>
          <w:szCs w:val="32"/>
          <w:lang w:val="en-US" w:eastAsia="zh-CN" w:bidi="ar-SA"/>
        </w:rPr>
        <w:t>部门整体绩效目标</w:t>
      </w:r>
      <w:r>
        <w:rPr>
          <w:rFonts w:hint="eastAsia" w:hAnsi="Times New Roman"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项目绩效编制全面</w:t>
      </w:r>
      <w:r>
        <w:rPr>
          <w:rFonts w:hint="eastAsia" w:hAnsi="Times New Roman" w:eastAsia="仿宋_GB2312" w:cs="Times New Roman"/>
          <w:kern w:val="2"/>
          <w:sz w:val="32"/>
          <w:szCs w:val="32"/>
          <w:lang w:val="en-US" w:eastAsia="zh-CN" w:bidi="ar-SA"/>
        </w:rPr>
        <w:t>准确</w:t>
      </w:r>
      <w:r>
        <w:rPr>
          <w:rFonts w:hint="eastAsia" w:ascii="仿宋_GB2312" w:hAnsi="Times New Roman" w:eastAsia="仿宋_GB2312" w:cs="Times New Roman"/>
          <w:kern w:val="2"/>
          <w:sz w:val="32"/>
          <w:szCs w:val="32"/>
          <w:lang w:val="en-US" w:eastAsia="zh-CN" w:bidi="ar-SA"/>
        </w:rPr>
        <w:t>，对绩效指标能够量化的尽量量化。整体绩效目标涵盖</w:t>
      </w:r>
      <w:r>
        <w:rPr>
          <w:rFonts w:hint="eastAsia" w:hAnsi="Times New Roman" w:eastAsia="仿宋_GB2312" w:cs="Times New Roman"/>
          <w:kern w:val="2"/>
          <w:sz w:val="32"/>
          <w:szCs w:val="32"/>
          <w:lang w:val="en-US" w:eastAsia="zh-CN" w:bidi="ar-SA"/>
        </w:rPr>
        <w:t>了</w:t>
      </w:r>
      <w:r>
        <w:rPr>
          <w:rFonts w:hint="eastAsia" w:ascii="仿宋_GB2312" w:hAnsi="Times New Roman" w:eastAsia="仿宋_GB2312" w:cs="Times New Roman"/>
          <w:kern w:val="2"/>
          <w:sz w:val="32"/>
          <w:szCs w:val="32"/>
          <w:lang w:val="en-US" w:eastAsia="zh-CN" w:bidi="ar-SA"/>
        </w:rPr>
        <w:t>单位基本支出和所有项目支出。</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eastAsia" w:hAnsi="Times New Roman" w:eastAsia="仿宋_GB2312" w:cs="Times New Roman"/>
          <w:kern w:val="2"/>
          <w:sz w:val="32"/>
          <w:szCs w:val="32"/>
          <w:lang w:val="en-US" w:eastAsia="zh-CN" w:bidi="ar-SA"/>
        </w:rPr>
      </w:pPr>
      <w:r>
        <w:rPr>
          <w:rFonts w:hint="eastAsia" w:hAnsi="Times New Roman"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w:t>
      </w:r>
      <w:r>
        <w:rPr>
          <w:rFonts w:hint="eastAsia" w:hAnsi="Times New Roman" w:eastAsia="仿宋_GB2312" w:cs="Times New Roman"/>
          <w:kern w:val="2"/>
          <w:sz w:val="32"/>
          <w:szCs w:val="32"/>
          <w:lang w:val="en-US" w:eastAsia="zh-CN" w:bidi="ar-SA"/>
        </w:rPr>
        <w:t>绩效监控情况。按照财政预算批复，</w:t>
      </w:r>
      <w:r>
        <w:rPr>
          <w:rFonts w:hint="eastAsia" w:ascii="仿宋_GB2312" w:eastAsia="仿宋_GB2312"/>
          <w:sz w:val="32"/>
          <w:szCs w:val="32"/>
        </w:rPr>
        <w:t>建立</w:t>
      </w:r>
      <w:r>
        <w:rPr>
          <w:rFonts w:hint="eastAsia" w:eastAsia="仿宋_GB2312"/>
          <w:sz w:val="32"/>
          <w:szCs w:val="32"/>
          <w:lang w:eastAsia="zh-CN"/>
        </w:rPr>
        <w:t>了</w:t>
      </w:r>
      <w:r>
        <w:rPr>
          <w:rFonts w:hint="eastAsia" w:ascii="仿宋_GB2312" w:eastAsia="仿宋_GB2312"/>
          <w:sz w:val="32"/>
          <w:szCs w:val="32"/>
        </w:rPr>
        <w:t>资金监控台账，随时监控</w:t>
      </w:r>
      <w:r>
        <w:rPr>
          <w:rFonts w:hint="eastAsia" w:eastAsia="仿宋_GB2312"/>
          <w:sz w:val="32"/>
          <w:szCs w:val="32"/>
          <w:lang w:eastAsia="zh-CN"/>
        </w:rPr>
        <w:t>预算</w:t>
      </w:r>
      <w:r>
        <w:rPr>
          <w:rFonts w:hint="eastAsia" w:ascii="仿宋_GB2312" w:eastAsia="仿宋_GB2312"/>
          <w:sz w:val="32"/>
          <w:szCs w:val="32"/>
        </w:rPr>
        <w:t>实施进度。</w:t>
      </w:r>
      <w:r>
        <w:rPr>
          <w:rFonts w:hint="eastAsia" w:hAnsi="Times New Roman" w:eastAsia="仿宋_GB2312" w:cs="Times New Roman"/>
          <w:kern w:val="2"/>
          <w:sz w:val="32"/>
          <w:szCs w:val="32"/>
          <w:lang w:val="en-US" w:eastAsia="zh-CN" w:bidi="ar-SA"/>
        </w:rPr>
        <w:t>同时，按照财政要求填报了相关报表。202</w:t>
      </w:r>
      <w:r>
        <w:rPr>
          <w:rFonts w:hint="eastAsia" w:cs="Times New Roman"/>
          <w:kern w:val="2"/>
          <w:sz w:val="32"/>
          <w:szCs w:val="32"/>
          <w:lang w:val="en-US" w:eastAsia="zh-CN" w:bidi="ar-SA"/>
        </w:rPr>
        <w:t>1</w:t>
      </w:r>
      <w:r>
        <w:rPr>
          <w:rFonts w:hint="eastAsia" w:hAnsi="Times New Roman" w:eastAsia="仿宋_GB2312" w:cs="Times New Roman"/>
          <w:kern w:val="2"/>
          <w:sz w:val="32"/>
          <w:szCs w:val="32"/>
          <w:lang w:val="en-US" w:eastAsia="zh-CN" w:bidi="ar-SA"/>
        </w:rPr>
        <w:t>年项目不存在偏离目标问题。</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eastAsia="仿宋_GB2312"/>
          <w:sz w:val="32"/>
          <w:szCs w:val="32"/>
        </w:rPr>
      </w:pPr>
      <w:r>
        <w:rPr>
          <w:rFonts w:hint="eastAsia" w:hAnsi="Times New Roman" w:eastAsia="仿宋_GB2312" w:cs="Times New Roman"/>
          <w:kern w:val="2"/>
          <w:sz w:val="32"/>
          <w:szCs w:val="32"/>
          <w:lang w:val="en-US" w:eastAsia="zh-CN" w:bidi="ar-SA"/>
        </w:rPr>
        <w:t>3.</w:t>
      </w:r>
      <w:r>
        <w:rPr>
          <w:rFonts w:hint="eastAsia" w:ascii="仿宋_GB2312" w:eastAsia="仿宋_GB2312"/>
          <w:sz w:val="32"/>
          <w:szCs w:val="32"/>
        </w:rPr>
        <w:t>绩效评价开展、评价结果报告情况。积极配合市财政局开展绩效评价有关工作，按时报送了</w:t>
      </w:r>
      <w:r>
        <w:rPr>
          <w:rFonts w:hint="eastAsia" w:ascii="仿宋_GB2312" w:eastAsia="仿宋_GB2312"/>
          <w:sz w:val="32"/>
          <w:szCs w:val="32"/>
          <w:lang w:val="en-US" w:eastAsia="zh-CN"/>
        </w:rPr>
        <w:t>202</w:t>
      </w:r>
      <w:r>
        <w:rPr>
          <w:rFonts w:hint="eastAsia"/>
          <w:sz w:val="32"/>
          <w:szCs w:val="32"/>
          <w:lang w:val="en-US" w:eastAsia="zh-CN"/>
        </w:rPr>
        <w:t>1</w:t>
      </w:r>
      <w:r>
        <w:rPr>
          <w:rFonts w:hint="eastAsia" w:ascii="仿宋_GB2312" w:eastAsia="仿宋_GB2312"/>
          <w:sz w:val="32"/>
          <w:szCs w:val="32"/>
        </w:rPr>
        <w:t>年部门支出绩效评价自评表等相关材料。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楷体" w:hAnsi="楷体" w:eastAsia="楷体" w:cs="楷体"/>
          <w:color w:val="auto"/>
          <w:kern w:val="0"/>
          <w:sz w:val="32"/>
          <w:szCs w:val="32"/>
          <w:highlight w:val="none"/>
          <w:shd w:val="clear" w:color="auto" w:fill="FFFFFF"/>
          <w:lang w:val="zh-CN"/>
        </w:rPr>
      </w:pPr>
      <w:r>
        <w:rPr>
          <w:rFonts w:hint="eastAsia" w:ascii="楷体" w:hAnsi="楷体" w:eastAsia="楷体" w:cs="楷体"/>
          <w:color w:val="auto"/>
          <w:kern w:val="0"/>
          <w:sz w:val="32"/>
          <w:szCs w:val="32"/>
          <w:highlight w:val="none"/>
          <w:shd w:val="clear" w:color="auto" w:fill="FFFFFF"/>
          <w:lang w:val="zh-CN"/>
        </w:rPr>
        <w:t>（二）结果应用情况。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1.非税收入征收、上缴情况。单位无非税收入。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2.政府采购实施计划编制执行情况。20</w:t>
      </w:r>
      <w:r>
        <w:rPr>
          <w:rFonts w:hint="eastAsia" w:ascii="仿宋_GB2312" w:eastAsia="仿宋_GB2312"/>
          <w:color w:val="auto"/>
          <w:sz w:val="32"/>
          <w:szCs w:val="32"/>
          <w:lang w:val="en-US" w:eastAsia="zh-CN"/>
        </w:rPr>
        <w:t>2</w:t>
      </w:r>
      <w:r>
        <w:rPr>
          <w:rFonts w:hint="eastAsia" w:ascii="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eastAsia="zh-CN"/>
        </w:rPr>
        <w:t>单位实施的政府采购</w:t>
      </w:r>
      <w:r>
        <w:rPr>
          <w:rFonts w:hint="eastAsia" w:ascii="仿宋_GB2312"/>
          <w:color w:val="auto"/>
          <w:sz w:val="32"/>
          <w:szCs w:val="32"/>
          <w:lang w:val="en-US" w:eastAsia="zh-CN"/>
        </w:rPr>
        <w:t>1.525万元，</w:t>
      </w:r>
      <w:r>
        <w:rPr>
          <w:rFonts w:hint="eastAsia" w:ascii="仿宋_GB2312" w:eastAsia="仿宋_GB2312"/>
          <w:color w:val="auto"/>
          <w:sz w:val="32"/>
          <w:szCs w:val="32"/>
          <w:lang w:eastAsia="zh-CN"/>
        </w:rPr>
        <w:t>均按照财政和市机关事务服务中心要求报批备案后实施，不存</w:t>
      </w:r>
      <w:r>
        <w:rPr>
          <w:rFonts w:hint="eastAsia" w:ascii="仿宋_GB2312"/>
          <w:color w:val="auto"/>
          <w:sz w:val="32"/>
          <w:szCs w:val="32"/>
          <w:lang w:val="en-US" w:eastAsia="zh-CN"/>
        </w:rPr>
        <w:t>在执行的计划与备案计划不一致情况</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3.资产管理信息系统建设、资产清查上报情况。单位落实专人负责资产管理系统，将全部固定资产纳入了资产信息系统统一管理，并根据实际情况及时录入资产变动情况</w:t>
      </w:r>
      <w:r>
        <w:rPr>
          <w:rFonts w:hint="eastAsia" w:ascii="仿宋_GB2312" w:eastAsia="仿宋_GB2312"/>
          <w:sz w:val="32"/>
          <w:szCs w:val="32"/>
          <w:lang w:val="en-US" w:eastAsia="zh-CN"/>
        </w:rPr>
        <w:t>,确保了</w:t>
      </w:r>
      <w:r>
        <w:rPr>
          <w:rFonts w:hint="eastAsia" w:ascii="仿宋_GB2312" w:eastAsia="仿宋_GB2312"/>
          <w:sz w:val="32"/>
          <w:szCs w:val="32"/>
          <w:lang w:eastAsia="zh-CN"/>
        </w:rPr>
        <w:t>资产系统数据与上报国有资产报表数据一致。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4.部门内部控制制度健全情况。</w:t>
      </w:r>
      <w:r>
        <w:rPr>
          <w:rFonts w:hint="eastAsia" w:ascii="仿宋_GB2312" w:eastAsia="仿宋_GB2312"/>
          <w:sz w:val="32"/>
          <w:szCs w:val="32"/>
          <w:lang w:eastAsia="zh-CN"/>
        </w:rPr>
        <w:t>成立了以单位一把手为组长、分管副局长为副组长的单位内部控制工作领导小组，完善了一系列内控管理制度，完成了《</w:t>
      </w:r>
      <w:r>
        <w:rPr>
          <w:rFonts w:hint="eastAsia" w:ascii="仿宋_GB2312" w:eastAsia="仿宋_GB2312"/>
          <w:sz w:val="32"/>
          <w:szCs w:val="32"/>
        </w:rPr>
        <w:t>20</w:t>
      </w:r>
      <w:r>
        <w:rPr>
          <w:rFonts w:hint="eastAsia" w:ascii="仿宋_GB2312" w:eastAsia="仿宋_GB2312"/>
          <w:sz w:val="32"/>
          <w:szCs w:val="32"/>
          <w:lang w:val="en-US" w:eastAsia="zh-CN"/>
        </w:rPr>
        <w:t>2</w:t>
      </w:r>
      <w:r>
        <w:rPr>
          <w:rFonts w:hint="eastAsia" w:ascii="仿宋_GB2312"/>
          <w:sz w:val="32"/>
          <w:szCs w:val="32"/>
          <w:lang w:val="en-US" w:eastAsia="zh-CN"/>
        </w:rPr>
        <w:t>1</w:t>
      </w:r>
      <w:r>
        <w:rPr>
          <w:rFonts w:hint="eastAsia" w:ascii="仿宋_GB2312" w:eastAsia="仿宋_GB2312"/>
          <w:sz w:val="32"/>
          <w:szCs w:val="32"/>
        </w:rPr>
        <w:t>年度</w:t>
      </w:r>
      <w:r>
        <w:rPr>
          <w:rFonts w:hint="eastAsia" w:ascii="仿宋_GB2312" w:eastAsia="仿宋_GB2312"/>
          <w:sz w:val="32"/>
          <w:szCs w:val="32"/>
          <w:lang w:eastAsia="zh-CN"/>
        </w:rPr>
        <w:t>行政事业单位内部控制报告》填报工作，全</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出现廉政风险和发生重大责任事故。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5.预决算及绩效信息公开情况。单位预决算、绩效目标和整体支出绩效自评均在财政部门批复预决算后二十日内通过广元市政府门户网站向社会公开。</w:t>
      </w:r>
      <w:r>
        <w:rPr>
          <w:rFonts w:hint="eastAsia" w:ascii="仿宋_GB2312" w:eastAsia="仿宋_GB2312"/>
          <w:sz w:val="32"/>
          <w:szCs w:val="32"/>
          <w:lang w:eastAsia="zh-CN"/>
        </w:rPr>
        <w:t>公开数据以财政批复数据为准，按统一格式公开，数据完整、真实、准确。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.财政政策执行情况。20</w:t>
      </w:r>
      <w:r>
        <w:rPr>
          <w:rFonts w:hint="eastAsia" w:ascii="仿宋_GB2312" w:eastAsia="仿宋_GB2312"/>
          <w:sz w:val="32"/>
          <w:szCs w:val="32"/>
          <w:lang w:val="en-US" w:eastAsia="zh-CN"/>
        </w:rPr>
        <w:t>2</w:t>
      </w:r>
      <w:r>
        <w:rPr>
          <w:rFonts w:hint="eastAsia" w:ascii="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单位严格规范资金支付方式，对公务卡强制结算目录内的支出，能够采取直接支付的不采取转账支付，能采取转账支付的不采取公务卡支付，能够公务卡支付的不采取现金支付，有效地降低了单位现金支付比例，提升了公务卡结算支出比率。全年无违规支付行为。授权支付退票严格按照退票程序办理退票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cs="宋体"/>
          <w:color w:val="000000"/>
          <w:kern w:val="0"/>
          <w:szCs w:val="32"/>
          <w:shd w:val="clear" w:color="auto" w:fill="FFFFFF"/>
          <w:lang w:val="zh-CN"/>
        </w:rPr>
      </w:pPr>
      <w:r>
        <w:rPr>
          <w:rFonts w:hint="eastAsia" w:ascii="仿宋_GB2312" w:eastAsia="仿宋_GB2312"/>
          <w:sz w:val="32"/>
          <w:szCs w:val="32"/>
          <w:lang w:val="en-US" w:eastAsia="zh-CN"/>
        </w:rPr>
        <w:t>7</w:t>
      </w:r>
      <w:r>
        <w:rPr>
          <w:rFonts w:hint="eastAsia" w:ascii="仿宋_GB2312" w:eastAsia="仿宋_GB2312"/>
          <w:sz w:val="32"/>
          <w:szCs w:val="32"/>
        </w:rPr>
        <w:t>.财经纪律</w:t>
      </w:r>
      <w:r>
        <w:rPr>
          <w:rFonts w:hint="eastAsia" w:ascii="仿宋_GB2312" w:eastAsia="仿宋_GB2312"/>
          <w:sz w:val="32"/>
          <w:szCs w:val="32"/>
          <w:lang w:eastAsia="zh-CN"/>
        </w:rPr>
        <w:t>执行情况。市审计局对我单位</w:t>
      </w:r>
      <w:r>
        <w:rPr>
          <w:rFonts w:hint="eastAsia" w:ascii="仿宋_GB2312" w:eastAsia="仿宋_GB2312"/>
          <w:sz w:val="32"/>
          <w:szCs w:val="32"/>
          <w:lang w:val="en-US" w:eastAsia="zh-CN"/>
        </w:rPr>
        <w:t>2021</w:t>
      </w:r>
      <w:r>
        <w:rPr>
          <w:rFonts w:hint="eastAsia" w:ascii="仿宋_GB2312" w:eastAsia="仿宋_GB2312"/>
          <w:sz w:val="32"/>
          <w:szCs w:val="32"/>
          <w:lang w:eastAsia="zh-CN"/>
        </w:rPr>
        <w:t>年度部门预算执行进行了审计，市财政局也针对财政资金“</w:t>
      </w:r>
      <w:r>
        <w:rPr>
          <w:rFonts w:hint="eastAsia" w:ascii="仿宋_GB2312" w:eastAsia="仿宋_GB2312"/>
          <w:sz w:val="32"/>
          <w:szCs w:val="32"/>
          <w:lang w:val="en-US" w:eastAsia="zh-CN"/>
        </w:rPr>
        <w:t>6+4</w:t>
      </w:r>
      <w:r>
        <w:rPr>
          <w:rFonts w:hint="eastAsia" w:ascii="仿宋_GB2312" w:eastAsia="仿宋_GB2312"/>
          <w:sz w:val="32"/>
          <w:szCs w:val="32"/>
          <w:lang w:eastAsia="zh-CN"/>
        </w:rPr>
        <w:t>”进行了专项检查，未发现我单位</w:t>
      </w:r>
      <w:r>
        <w:rPr>
          <w:rFonts w:hint="eastAsia" w:ascii="仿宋_GB2312" w:eastAsia="仿宋_GB2312"/>
          <w:sz w:val="32"/>
          <w:szCs w:val="32"/>
          <w:lang w:val="en-US" w:eastAsia="zh-CN"/>
        </w:rPr>
        <w:t>2021年</w:t>
      </w:r>
      <w:r>
        <w:rPr>
          <w:rFonts w:hint="eastAsia" w:ascii="仿宋_GB2312" w:eastAsia="仿宋_GB2312"/>
          <w:sz w:val="32"/>
          <w:szCs w:val="32"/>
          <w:lang w:eastAsia="zh-CN"/>
        </w:rPr>
        <w:t>预算执行与账务处理中有违纪违规问题。</w:t>
      </w: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楷体" w:hAnsi="楷体" w:eastAsia="楷体" w:cs="楷体"/>
          <w:color w:val="auto"/>
          <w:kern w:val="0"/>
          <w:sz w:val="32"/>
          <w:szCs w:val="32"/>
          <w:highlight w:val="none"/>
          <w:u w:val="none"/>
          <w:shd w:val="clear" w:color="auto" w:fill="FFFFFF"/>
          <w:lang w:val="zh-CN"/>
        </w:rPr>
      </w:pPr>
      <w:r>
        <w:rPr>
          <w:rFonts w:hint="eastAsia" w:ascii="楷体" w:hAnsi="楷体" w:eastAsia="楷体" w:cs="楷体"/>
          <w:color w:val="auto"/>
          <w:kern w:val="0"/>
          <w:sz w:val="32"/>
          <w:szCs w:val="32"/>
          <w:highlight w:val="none"/>
          <w:u w:val="none"/>
          <w:shd w:val="clear" w:color="auto" w:fill="FFFFFF"/>
          <w:lang w:val="zh-CN"/>
        </w:rPr>
        <w:t>自评质量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eastAsia="仿宋_GB2312"/>
          <w:sz w:val="32"/>
          <w:szCs w:val="32"/>
          <w:lang w:val="en-US" w:eastAsia="zh-CN"/>
        </w:rPr>
        <w:t>2021年度整体绩效评价得分98分。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仿宋" w:hAnsi="仿宋" w:eastAsia="仿宋" w:cs="Times New Roman"/>
          <w:b w:val="0"/>
          <w:bCs/>
          <w:color w:val="000000"/>
          <w:kern w:val="2"/>
          <w:sz w:val="32"/>
          <w:szCs w:val="32"/>
          <w:lang w:val="en-US" w:eastAsia="zh-CN" w:bidi="ar-SA"/>
        </w:rPr>
      </w:pPr>
      <w:r>
        <w:rPr>
          <w:rFonts w:hint="eastAsia" w:ascii="楷体" w:hAnsi="楷体" w:eastAsia="楷体" w:cs="楷体"/>
          <w:color w:val="auto"/>
          <w:kern w:val="0"/>
          <w:sz w:val="32"/>
          <w:szCs w:val="32"/>
          <w:highlight w:val="none"/>
          <w:shd w:val="clear" w:color="auto" w:fill="FFFFFF"/>
          <w:lang w:val="zh-CN"/>
        </w:rPr>
        <w:t>（一）评价结论。</w:t>
      </w:r>
      <w:r>
        <w:rPr>
          <w:rFonts w:hint="eastAsia" w:ascii="仿宋" w:hAnsi="仿宋" w:eastAsia="仿宋" w:cs="Times New Roman"/>
          <w:b w:val="0"/>
          <w:bCs/>
          <w:color w:val="000000"/>
          <w:kern w:val="2"/>
          <w:sz w:val="32"/>
          <w:szCs w:val="32"/>
          <w:lang w:val="en-US" w:eastAsia="zh-CN" w:bidi="ar-SA"/>
        </w:rPr>
        <w:t>2021年，我单位以绩效目标实现为导向，进一步加强制度建设，提升自评质量，预算绩效管理取得新成效。一是抓好绩效目标编制，及时报送绩效目标。二是探索绩效跟踪监控，要求加强过程监控。三是深入开展财政支出绩效评价，对专项资金实施绩效自评和项目核查，在此基础上形成自评报告。四是强化评价结果应用，组织绩效自评和绩效跟踪监控，对发现的问题及时改进，加强评价结果与项目资金安排的衔接。五是健全绩效管理工作机制，明确职责分工，努力提高了绩效管理工作水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仿宋" w:hAnsi="仿宋" w:eastAsia="仿宋" w:cs="仿宋_GB2312"/>
          <w:color w:val="000000"/>
          <w:kern w:val="2"/>
          <w:sz w:val="32"/>
          <w:szCs w:val="32"/>
          <w:lang w:val="en-US" w:eastAsia="zh-CN" w:bidi="ar-SA"/>
        </w:rPr>
      </w:pPr>
      <w:r>
        <w:rPr>
          <w:rFonts w:hint="eastAsia" w:ascii="楷体" w:hAnsi="楷体" w:eastAsia="楷体" w:cs="楷体"/>
          <w:color w:val="auto"/>
          <w:kern w:val="0"/>
          <w:sz w:val="32"/>
          <w:szCs w:val="32"/>
          <w:highlight w:val="none"/>
          <w:shd w:val="clear" w:color="auto" w:fill="FFFFFF"/>
          <w:lang w:val="zh-CN"/>
        </w:rPr>
        <w:t>（二）存在问题。</w:t>
      </w:r>
      <w:r>
        <w:rPr>
          <w:rFonts w:hint="eastAsia" w:ascii="仿宋" w:hAnsi="仿宋" w:eastAsia="仿宋" w:cs="仿宋_GB2312"/>
          <w:b/>
          <w:bCs/>
          <w:color w:val="000000"/>
          <w:kern w:val="2"/>
          <w:sz w:val="32"/>
          <w:szCs w:val="32"/>
          <w:lang w:val="en-US" w:eastAsia="zh-CN" w:bidi="ar-SA"/>
        </w:rPr>
        <w:t>一是</w:t>
      </w:r>
      <w:r>
        <w:rPr>
          <w:rFonts w:hint="eastAsia" w:ascii="仿宋" w:hAnsi="仿宋" w:eastAsia="仿宋" w:cs="仿宋_GB2312"/>
          <w:color w:val="000000"/>
          <w:kern w:val="2"/>
          <w:sz w:val="32"/>
          <w:szCs w:val="32"/>
          <w:lang w:val="en-US" w:eastAsia="zh-CN" w:bidi="ar-SA"/>
        </w:rPr>
        <w:t>预算绩效观念不深入。部门内部对绩效管理工作重视程度不够，重预算轻绩效，业务科室参与度不够，仅靠办公室财务工作人员牵头此项工作，业务管理与绩效管理脱节，弱化了实施预算绩效管理的最基本的环节，部门绩效目标存在个性指标设置不够细化等问题。</w:t>
      </w:r>
      <w:r>
        <w:rPr>
          <w:rFonts w:hint="eastAsia" w:ascii="仿宋" w:hAnsi="仿宋" w:eastAsia="仿宋" w:cs="仿宋_GB2312"/>
          <w:b/>
          <w:bCs/>
          <w:color w:val="000000"/>
          <w:kern w:val="2"/>
          <w:sz w:val="32"/>
          <w:szCs w:val="32"/>
          <w:lang w:val="en-US" w:eastAsia="zh-CN" w:bidi="ar-SA"/>
        </w:rPr>
        <w:t>二是</w:t>
      </w:r>
      <w:r>
        <w:rPr>
          <w:rFonts w:hint="default" w:ascii="仿宋" w:hAnsi="仿宋" w:eastAsia="仿宋" w:cs="仿宋_GB2312"/>
          <w:color w:val="000000"/>
          <w:kern w:val="2"/>
          <w:sz w:val="32"/>
          <w:szCs w:val="32"/>
          <w:lang w:val="en-US" w:eastAsia="zh-CN" w:bidi="ar-SA"/>
        </w:rPr>
        <w:t>绩效管理内容体系和评价标准的设置不科学。</w:t>
      </w:r>
      <w:r>
        <w:rPr>
          <w:rFonts w:hint="eastAsia" w:ascii="仿宋" w:hAnsi="仿宋" w:eastAsia="仿宋" w:cs="仿宋_GB2312"/>
          <w:color w:val="000000"/>
          <w:kern w:val="2"/>
          <w:sz w:val="32"/>
          <w:szCs w:val="32"/>
          <w:lang w:val="en-US" w:eastAsia="zh-CN" w:bidi="ar-SA"/>
        </w:rPr>
        <w:t xml:space="preserve"> 自查</w:t>
      </w:r>
      <w:r>
        <w:rPr>
          <w:rFonts w:hint="default" w:ascii="仿宋" w:hAnsi="仿宋" w:eastAsia="仿宋" w:cs="仿宋_GB2312"/>
          <w:color w:val="000000"/>
          <w:kern w:val="2"/>
          <w:sz w:val="32"/>
          <w:szCs w:val="32"/>
          <w:lang w:val="en-US" w:eastAsia="zh-CN" w:bidi="ar-SA"/>
        </w:rPr>
        <w:t>发现，存在评价科学严密性不够，对绩效工作缺乏具体的、科学的方案和方法，</w:t>
      </w:r>
      <w:r>
        <w:rPr>
          <w:rFonts w:hint="eastAsia" w:ascii="仿宋" w:hAnsi="仿宋" w:eastAsia="仿宋" w:cs="仿宋_GB2312"/>
          <w:color w:val="000000"/>
          <w:kern w:val="2"/>
          <w:sz w:val="32"/>
          <w:szCs w:val="32"/>
          <w:lang w:val="en-US" w:eastAsia="zh-CN" w:bidi="ar-SA"/>
        </w:rPr>
        <w:t>部门预算中的项目经费多为项目工作经费，在绩效</w:t>
      </w:r>
      <w:r>
        <w:rPr>
          <w:rFonts w:hint="default" w:ascii="仿宋" w:hAnsi="仿宋" w:eastAsia="仿宋" w:cs="仿宋_GB2312"/>
          <w:color w:val="000000"/>
          <w:kern w:val="2"/>
          <w:sz w:val="32"/>
          <w:szCs w:val="32"/>
          <w:lang w:val="en-US" w:eastAsia="zh-CN" w:bidi="ar-SA"/>
        </w:rPr>
        <w:t>指标设计</w:t>
      </w:r>
      <w:r>
        <w:rPr>
          <w:rFonts w:hint="eastAsia" w:ascii="仿宋" w:hAnsi="仿宋" w:eastAsia="仿宋" w:cs="仿宋_GB2312"/>
          <w:color w:val="000000"/>
          <w:kern w:val="2"/>
          <w:sz w:val="32"/>
          <w:szCs w:val="32"/>
          <w:lang w:val="en-US" w:eastAsia="zh-CN" w:bidi="ar-SA"/>
        </w:rPr>
        <w:t>方面，</w:t>
      </w:r>
      <w:r>
        <w:rPr>
          <w:rFonts w:hint="default" w:ascii="仿宋" w:hAnsi="仿宋" w:eastAsia="仿宋" w:cs="仿宋_GB2312"/>
          <w:color w:val="000000"/>
          <w:kern w:val="2"/>
          <w:sz w:val="32"/>
          <w:szCs w:val="32"/>
          <w:lang w:val="en-US" w:eastAsia="zh-CN" w:bidi="ar-SA"/>
        </w:rPr>
        <w:t>质量和层次尚需提高</w:t>
      </w:r>
      <w:r>
        <w:rPr>
          <w:rFonts w:hint="eastAsia" w:ascii="仿宋" w:hAnsi="仿宋" w:eastAsia="仿宋" w:cs="仿宋_GB2312"/>
          <w:color w:val="000000"/>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bCs/>
          <w:color w:val="000000"/>
          <w:sz w:val="32"/>
          <w:szCs w:val="32"/>
          <w:lang w:eastAsia="zh-CN"/>
        </w:rPr>
      </w:pPr>
      <w:r>
        <w:rPr>
          <w:rFonts w:hint="eastAsia" w:ascii="楷体" w:hAnsi="楷体" w:eastAsia="楷体" w:cs="楷体"/>
          <w:color w:val="auto"/>
          <w:kern w:val="0"/>
          <w:sz w:val="32"/>
          <w:szCs w:val="32"/>
          <w:highlight w:val="none"/>
          <w:shd w:val="clear" w:color="auto" w:fill="FFFFFF"/>
          <w:lang w:val="zh-CN"/>
        </w:rPr>
        <w:t>（三）改进建议。</w:t>
      </w:r>
      <w:r>
        <w:rPr>
          <w:rFonts w:hint="eastAsia" w:ascii="仿宋" w:hAnsi="仿宋" w:eastAsia="仿宋" w:cs="仿宋_GB2312"/>
          <w:b/>
          <w:bCs/>
          <w:color w:val="000000"/>
          <w:sz w:val="32"/>
          <w:szCs w:val="32"/>
        </w:rPr>
        <w:t>一是</w:t>
      </w:r>
      <w:r>
        <w:rPr>
          <w:rFonts w:hint="eastAsia" w:ascii="仿宋" w:hAnsi="仿宋" w:eastAsia="仿宋" w:cs="仿宋_GB2312"/>
          <w:color w:val="000000"/>
          <w:sz w:val="32"/>
          <w:szCs w:val="32"/>
        </w:rPr>
        <w:t>强化</w:t>
      </w:r>
      <w:r>
        <w:rPr>
          <w:rFonts w:hint="eastAsia" w:ascii="仿宋" w:hAnsi="仿宋" w:eastAsia="仿宋" w:cs="仿宋_GB2312"/>
          <w:color w:val="000000"/>
          <w:sz w:val="32"/>
          <w:szCs w:val="32"/>
          <w:lang w:eastAsia="zh-CN"/>
        </w:rPr>
        <w:t>预算和绩效管理。目前的预算管理模式存在难操作，部门预算的预算科目不能满足日常机关运转经费，有政策依据的支出和预算收入科目不匹配，造成预算执行度难度增加，绩效管理难以有实质性效果。</w:t>
      </w:r>
      <w:r>
        <w:rPr>
          <w:rFonts w:hint="eastAsia" w:ascii="仿宋" w:hAnsi="仿宋" w:eastAsia="仿宋" w:cs="仿宋_GB2312"/>
          <w:b/>
          <w:bCs/>
          <w:color w:val="000000"/>
          <w:sz w:val="32"/>
          <w:szCs w:val="32"/>
          <w:lang w:eastAsia="zh-CN"/>
        </w:rPr>
        <w:t>二是</w:t>
      </w:r>
      <w:r>
        <w:rPr>
          <w:rFonts w:hint="eastAsia" w:ascii="仿宋" w:hAnsi="仿宋" w:eastAsia="仿宋" w:cs="仿宋_GB2312"/>
          <w:color w:val="000000"/>
          <w:sz w:val="32"/>
          <w:szCs w:val="32"/>
          <w:lang w:eastAsia="zh-CN"/>
        </w:rPr>
        <w:t>完善预算绩效相关制度。进一步完善相关制度，提高可执行度，对指标的设置要具有科学性、客观性。</w:t>
      </w:r>
    </w:p>
    <w:p>
      <w:pPr>
        <w:keepNext w:val="0"/>
        <w:keepLines w:val="0"/>
        <w:pageBreakBefore w:val="0"/>
        <w:widowControl/>
        <w:kinsoku/>
        <w:wordWrap/>
        <w:overflowPunct/>
        <w:topLinePunct w:val="0"/>
        <w:autoSpaceDE/>
        <w:autoSpaceDN/>
        <w:bidi w:val="0"/>
        <w:adjustRightInd w:val="0"/>
        <w:snapToGrid w:val="0"/>
        <w:spacing w:line="560" w:lineRule="exact"/>
        <w:contextualSpacing/>
        <w:jc w:val="both"/>
        <w:textAlignment w:val="auto"/>
        <w:rPr>
          <w:rFonts w:hint="default" w:ascii="仿宋_GB2312" w:hAnsi="宋体" w:cs="宋体"/>
          <w:color w:val="C00000"/>
          <w:kern w:val="0"/>
          <w:szCs w:val="32"/>
          <w:shd w:val="clear" w:color="auto" w:fill="FFFFFF"/>
          <w:lang w:val="en-US" w:eastAsia="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5120" w:firstLineChars="16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广元市统计局</w:t>
      </w: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2022年9月14日</w:t>
      </w: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ascii="黑体" w:hAnsi="黑体" w:eastAsia="黑体" w:cs="黑体"/>
          <w:color w:val="auto"/>
          <w:highlight w:val="none"/>
          <w:lang w:val="zh-CN"/>
        </w:rPr>
      </w:pPr>
      <w:r>
        <w:rPr>
          <w:rFonts w:hint="eastAsia" w:ascii="黑体" w:hAnsi="黑体" w:eastAsia="黑体" w:cs="黑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adjustRightInd/>
        <w:snapToGrid/>
        <w:spacing w:line="676"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广元市统计局</w:t>
      </w:r>
    </w:p>
    <w:p>
      <w:pPr>
        <w:pStyle w:val="36"/>
        <w:keepNext w:val="0"/>
        <w:keepLines w:val="0"/>
        <w:pageBreakBefore w:val="0"/>
        <w:widowControl w:val="0"/>
        <w:kinsoku/>
        <w:wordWrap/>
        <w:overflowPunct/>
        <w:topLinePunct w:val="0"/>
        <w:autoSpaceDE/>
        <w:autoSpaceDN/>
        <w:bidi w:val="0"/>
        <w:adjustRightInd/>
        <w:snapToGrid/>
        <w:spacing w:line="6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eastAsia="zh-CN"/>
        </w:rPr>
      </w:pPr>
      <w:r>
        <w:rPr>
          <w:rFonts w:hint="eastAsia" w:ascii="方正小标宋简体" w:hAnsi="方正小标宋简体" w:eastAsia="方正小标宋简体" w:cs="方正小标宋简体"/>
          <w:b w:val="0"/>
          <w:bCs w:val="0"/>
          <w:color w:val="auto"/>
          <w:kern w:val="2"/>
          <w:sz w:val="44"/>
          <w:szCs w:val="44"/>
          <w:lang w:val="en-US" w:eastAsia="zh-CN"/>
        </w:rPr>
        <w:t>2021年统计年鉴、月报、季报、统计资料</w:t>
      </w:r>
      <w:r>
        <w:rPr>
          <w:rFonts w:hint="eastAsia" w:ascii="方正小标宋简体" w:hAnsi="方正小标宋简体" w:eastAsia="方正小标宋简体" w:cs="方正小标宋简体"/>
          <w:b w:val="0"/>
          <w:bCs w:val="0"/>
          <w:color w:val="auto"/>
          <w:kern w:val="2"/>
          <w:sz w:val="44"/>
          <w:szCs w:val="44"/>
          <w:lang w:eastAsia="zh-CN"/>
        </w:rPr>
        <w:t>专项支出绩效自评报告</w:t>
      </w:r>
      <w:r>
        <w:rPr>
          <w:rFonts w:hint="eastAsia" w:ascii="方正小标宋简体" w:hAnsi="方正小标宋简体" w:eastAsia="方正小标宋简体" w:cs="方正小标宋简体"/>
          <w:b w:val="0"/>
          <w:bCs w:val="0"/>
          <w:color w:val="auto"/>
          <w:kern w:val="2"/>
          <w:sz w:val="44"/>
          <w:szCs w:val="44"/>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val="zh-CN"/>
        </w:rPr>
        <w:t>项目资金申报及批复情况。</w:t>
      </w:r>
      <w:r>
        <w:rPr>
          <w:rFonts w:hint="eastAsia" w:ascii="仿宋" w:hAnsi="仿宋" w:eastAsia="仿宋" w:cs="仿宋"/>
          <w:b w:val="0"/>
          <w:bCs w:val="0"/>
          <w:sz w:val="32"/>
          <w:szCs w:val="32"/>
          <w:lang w:val="en-US" w:eastAsia="zh-CN"/>
        </w:rPr>
        <w:t>2021年度，我局部门预算项目申报及批复统计年鉴、月报、季报、统计资料制作经费10.14万元。</w:t>
      </w:r>
      <w:r>
        <w:rPr>
          <w:rFonts w:hint="eastAsia" w:ascii="仿宋" w:hAnsi="仿宋" w:eastAsia="仿宋" w:cs="仿宋"/>
          <w:b w:val="0"/>
          <w:bCs w:val="0"/>
          <w:sz w:val="32"/>
          <w:szCs w:val="32"/>
          <w:lang w:val="zh-CN" w:eastAsia="zh-CN"/>
        </w:rPr>
        <w:t>项目主管部门为局机关，在该项目管理中的职能为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十次党代会以来广元主要经济指标》《投资统计制度变革相关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eastAsia="zh-CN"/>
        </w:rPr>
        <w:t>项目立项、资金申报的依据。我单位申报的项目为部门预算下达的项目工作经费，都是经常性开展的统计专项业务经费，各项目内容与具体实施内容相符、申报目标严格按照预算管理和绩效评级相关指标定义合理设置的，项目实施可行性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val="zh-CN" w:eastAsia="zh-CN"/>
        </w:rPr>
        <w:t>资金管理办法制定按市统计局财务管理制度和预算管理制度、专项补助资金管理实施办法进行管理，</w:t>
      </w:r>
      <w:r>
        <w:rPr>
          <w:rFonts w:hint="eastAsia" w:ascii="仿宋" w:hAnsi="仿宋" w:eastAsia="仿宋" w:cs="仿宋"/>
          <w:b w:val="0"/>
          <w:bCs w:val="0"/>
          <w:sz w:val="32"/>
          <w:szCs w:val="32"/>
          <w:lang w:val="en-US" w:eastAsia="zh-CN"/>
        </w:rPr>
        <w:t xml:space="preserve">我局预算执行到位，做到了财务公开、会计核算真实、规范，没有截留、挪用财政资金、擅自扩大或缩小资金使用范围、改变资金用途等现象，未在项目申报中弄虚作假，套取财政资金，保证了专项资金专款专用。   </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val="zh-CN" w:eastAsia="zh-CN"/>
        </w:rPr>
        <w:t>资金分配的原则及考虑因素。</w:t>
      </w:r>
      <w:r>
        <w:rPr>
          <w:rFonts w:hint="eastAsia" w:ascii="仿宋" w:hAnsi="仿宋" w:eastAsia="仿宋" w:cs="仿宋"/>
          <w:sz w:val="32"/>
          <w:szCs w:val="32"/>
          <w:lang w:val="zh-CN" w:eastAsia="zh-CN"/>
        </w:rPr>
        <w:t>资金分配原则按照年初预算各科室实施工作任务申报的事前项目绩效申报情况经局党组会讨论研究，并结合</w:t>
      </w:r>
      <w:r>
        <w:rPr>
          <w:rFonts w:hint="eastAsia" w:ascii="仿宋" w:hAnsi="仿宋" w:eastAsia="仿宋" w:cs="仿宋"/>
          <w:sz w:val="32"/>
          <w:szCs w:val="32"/>
          <w:lang w:val="en-US" w:eastAsia="zh-CN"/>
        </w:rPr>
        <w:t xml:space="preserve">2021年全年重点工作对资金进行上报和分配。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项目主要内容。</w:t>
      </w:r>
      <w:r>
        <w:rPr>
          <w:rFonts w:hint="eastAsia" w:ascii="仿宋" w:hAnsi="仿宋" w:eastAsia="仿宋" w:cs="仿宋"/>
          <w:sz w:val="32"/>
          <w:szCs w:val="32"/>
          <w:lang w:val="en-US" w:eastAsia="zh-CN"/>
        </w:rPr>
        <w:t>统计年鉴、月报、季报、统计资料制作经费，主要用于统计年鉴、月报、数说2020、领导干部经济工作手册、县级经济综合评价、2020年月季度主要经济指标、四上企业入库台账和各统计专业报表等统计产品印制相关费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项目应实现的具体绩效目标，包括项目的数量指标、质量指标、实效指标、成本指标等几个部分组成，三级指标设计都进行了量化和细化，情况以及项目实施进度计划等。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本项目绩效目标申报内容与实际相符，申报目标设置为七个二级指标，十一个三级指标，相对合理可行。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eastAsia="仿宋_GB2312" w:cs="Times New Roman"/>
          <w:color w:val="auto"/>
          <w:sz w:val="32"/>
          <w:szCs w:val="32"/>
          <w:highlight w:val="none"/>
          <w:lang w:val="zh-CN"/>
        </w:rPr>
      </w:pPr>
      <w:r>
        <w:rPr>
          <w:rFonts w:hint="eastAsia" w:ascii="仿宋" w:hAnsi="仿宋" w:eastAsia="仿宋" w:cs="仿宋"/>
          <w:sz w:val="32"/>
          <w:szCs w:val="32"/>
          <w:lang w:val="zh-CN" w:eastAsia="zh-CN"/>
        </w:rPr>
        <w:t>本项目为我单位部门职能范围内业务工作，属于部门预算内项目，是按照部门职责相关规定及统计行业政策、行业标准及统计专业技术规范进行绩效自评，采用的组织实施步骤为年初申报项目绩效时，由各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该项目资金申报、批复及预算调整等程序均按部门预算相关规定按时执行。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资金计划及到位。</w:t>
      </w:r>
      <w:r>
        <w:rPr>
          <w:rFonts w:hint="eastAsia" w:ascii="仿宋" w:hAnsi="仿宋" w:eastAsia="仿宋" w:cs="仿宋"/>
          <w:sz w:val="32"/>
          <w:szCs w:val="32"/>
          <w:lang w:val="en-US" w:eastAsia="zh-CN"/>
        </w:rPr>
        <w:t>2021年度市本级财政下拨我局专项资金共计10.14万元。资金到位及时，到位率100%。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资金使用。统计年鉴、月报、季报、统计资料制作项目绩效目标完成情况综述。项目全年预算数</w:t>
      </w:r>
      <w:r>
        <w:rPr>
          <w:rFonts w:hint="eastAsia" w:ascii="仿宋" w:hAnsi="仿宋" w:eastAsia="仿宋" w:cs="仿宋"/>
          <w:sz w:val="32"/>
          <w:szCs w:val="32"/>
          <w:lang w:val="en-US" w:eastAsia="zh-CN"/>
        </w:rPr>
        <w:t>10.14</w:t>
      </w:r>
      <w:r>
        <w:rPr>
          <w:rFonts w:hint="eastAsia" w:ascii="仿宋" w:hAnsi="仿宋" w:eastAsia="仿宋" w:cs="仿宋"/>
          <w:sz w:val="32"/>
          <w:szCs w:val="32"/>
          <w:lang w:val="zh-CN" w:eastAsia="zh-CN"/>
        </w:rPr>
        <w:t>万元，执行数</w:t>
      </w:r>
      <w:r>
        <w:rPr>
          <w:rFonts w:hint="eastAsia" w:ascii="仿宋" w:hAnsi="仿宋" w:eastAsia="仿宋" w:cs="仿宋"/>
          <w:sz w:val="32"/>
          <w:szCs w:val="32"/>
          <w:lang w:val="en-US" w:eastAsia="zh-CN"/>
        </w:rPr>
        <w:t>10.14万元</w:t>
      </w:r>
      <w:r>
        <w:rPr>
          <w:rFonts w:hint="eastAsia" w:ascii="仿宋" w:hAnsi="仿宋" w:eastAsia="仿宋" w:cs="仿宋"/>
          <w:sz w:val="32"/>
          <w:szCs w:val="32"/>
          <w:lang w:val="zh-CN" w:eastAsia="zh-CN"/>
        </w:rPr>
        <w:t>，完成预算的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val="zh-CN" w:eastAsia="zh-CN"/>
        </w:rPr>
        <w:t>%。此项目是统计年鉴、月报、数说2020、领导干部经济工作手册、2020年月季度主要经济指标等统计专项印刷品。资金支付范围、支付标准、支付进度、支付依据等合规合法、与预算相符。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（三）项目财务管理情况。</w:t>
      </w:r>
    </w:p>
    <w:p>
      <w:pPr>
        <w:adjustRightInd w:val="0"/>
        <w:spacing w:line="360" w:lineRule="auto"/>
        <w:ind w:firstLine="600" w:firstLineChars="200"/>
        <w:rPr>
          <w:rFonts w:ascii="仿宋" w:hAnsi="仿宋" w:eastAsia="仿宋" w:cs="Times New Roman"/>
          <w:sz w:val="32"/>
          <w:szCs w:val="32"/>
        </w:rPr>
      </w:pPr>
      <w:r>
        <w:rPr>
          <w:rFonts w:hint="eastAsia" w:ascii="仿宋_GB2312" w:hAnsi="宋体" w:eastAsia="仿宋_GB2312"/>
          <w:sz w:val="30"/>
          <w:szCs w:val="30"/>
        </w:rPr>
        <w:t>按照会计基础工作规范化和《四川省会计管理条例》进行财务核算；</w:t>
      </w:r>
      <w:r>
        <w:rPr>
          <w:rFonts w:hint="eastAsia" w:ascii="仿宋_GB2312" w:hAnsi="宋体" w:eastAsia="仿宋_GB2312"/>
          <w:sz w:val="30"/>
          <w:szCs w:val="30"/>
          <w:lang w:eastAsia="zh-CN"/>
        </w:rPr>
        <w:t>三是</w:t>
      </w:r>
      <w:r>
        <w:rPr>
          <w:rFonts w:hint="eastAsia" w:ascii="仿宋_GB2312" w:hAnsi="宋体" w:eastAsia="仿宋_GB2312"/>
          <w:sz w:val="30"/>
          <w:szCs w:val="30"/>
        </w:rPr>
        <w:t>依据新的</w:t>
      </w:r>
      <w:r>
        <w:rPr>
          <w:rFonts w:ascii="仿宋_GB2312" w:hAnsi="宋体" w:eastAsia="仿宋_GB2312"/>
          <w:sz w:val="30"/>
          <w:szCs w:val="30"/>
        </w:rPr>
        <w:t>政策</w:t>
      </w:r>
      <w:r>
        <w:rPr>
          <w:rFonts w:hint="eastAsia" w:ascii="仿宋_GB2312" w:hAnsi="宋体" w:eastAsia="仿宋_GB2312"/>
          <w:sz w:val="30"/>
          <w:szCs w:val="30"/>
        </w:rPr>
        <w:t>和</w:t>
      </w:r>
      <w:r>
        <w:rPr>
          <w:rFonts w:ascii="仿宋_GB2312" w:hAnsi="宋体" w:eastAsia="仿宋_GB2312"/>
          <w:sz w:val="30"/>
          <w:szCs w:val="30"/>
        </w:rPr>
        <w:t>要求</w:t>
      </w:r>
      <w:r>
        <w:rPr>
          <w:rFonts w:hint="eastAsia" w:ascii="仿宋_GB2312" w:hAnsi="宋体" w:eastAsia="仿宋_GB2312"/>
          <w:sz w:val="30"/>
          <w:szCs w:val="30"/>
        </w:rPr>
        <w:t>修改完善</w:t>
      </w:r>
      <w:r>
        <w:rPr>
          <w:rFonts w:hint="eastAsia" w:ascii="仿宋_GB2312" w:hAnsi="宋体" w:eastAsia="仿宋_GB2312"/>
          <w:sz w:val="30"/>
          <w:szCs w:val="30"/>
          <w:lang w:eastAsia="zh-CN"/>
        </w:rPr>
        <w:t>了</w:t>
      </w:r>
      <w:r>
        <w:rPr>
          <w:rFonts w:ascii="仿宋_GB2312" w:hAnsi="宋体" w:eastAsia="仿宋_GB2312"/>
          <w:sz w:val="30"/>
          <w:szCs w:val="30"/>
        </w:rPr>
        <w:t>《</w:t>
      </w:r>
      <w:r>
        <w:rPr>
          <w:rFonts w:hint="eastAsia" w:ascii="仿宋_GB2312" w:hAnsi="宋体" w:eastAsia="仿宋_GB2312"/>
          <w:sz w:val="30"/>
          <w:szCs w:val="30"/>
        </w:rPr>
        <w:t>广元市</w:t>
      </w:r>
      <w:r>
        <w:rPr>
          <w:rFonts w:ascii="仿宋_GB2312" w:hAnsi="宋体" w:eastAsia="仿宋_GB2312"/>
          <w:sz w:val="30"/>
          <w:szCs w:val="30"/>
        </w:rPr>
        <w:t>内部控制</w:t>
      </w:r>
      <w:r>
        <w:rPr>
          <w:rFonts w:hint="eastAsia" w:ascii="仿宋_GB2312" w:hAnsi="宋体" w:eastAsia="仿宋_GB2312"/>
          <w:sz w:val="30"/>
          <w:szCs w:val="30"/>
        </w:rPr>
        <w:t>制度</w:t>
      </w:r>
      <w:r>
        <w:rPr>
          <w:rFonts w:ascii="仿宋_GB2312" w:hAnsi="宋体" w:eastAsia="仿宋_GB2312"/>
          <w:sz w:val="30"/>
          <w:szCs w:val="30"/>
        </w:rPr>
        <w:t>汇编》</w:t>
      </w:r>
      <w:r>
        <w:rPr>
          <w:rFonts w:hint="eastAsia" w:ascii="仿宋_GB2312" w:hAnsi="宋体" w:eastAsia="仿宋_GB2312"/>
          <w:sz w:val="30"/>
          <w:szCs w:val="30"/>
          <w:lang w:eastAsia="zh-CN"/>
        </w:rPr>
        <w:t>，新增了《广元市统计局固定资产管理办法》《广元市统计局政府采购内控制度》《广元市统计局自行采购管理办法》《广元市统计局预算管理制度》等制度，</w:t>
      </w:r>
      <w:r>
        <w:rPr>
          <w:rFonts w:hint="eastAsia" w:ascii="仿宋" w:hAnsi="仿宋" w:eastAsia="仿宋" w:cs="Times New Roman"/>
          <w:sz w:val="32"/>
          <w:szCs w:val="32"/>
          <w:lang w:eastAsia="zh-CN"/>
        </w:rPr>
        <w:t>严格按照部门预算专项资金开支范围执行，</w:t>
      </w:r>
      <w:r>
        <w:rPr>
          <w:rFonts w:hint="eastAsia" w:ascii="仿宋" w:hAnsi="仿宋" w:eastAsia="仿宋" w:cs="Times New Roman"/>
          <w:sz w:val="32"/>
          <w:szCs w:val="32"/>
        </w:rPr>
        <w:t>支出合理。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项目组织架构及实施流程。</w:t>
      </w:r>
    </w:p>
    <w:p>
      <w:pPr>
        <w:pStyle w:val="2"/>
        <w:numPr>
          <w:ilvl w:val="0"/>
          <w:numId w:val="0"/>
        </w:numPr>
        <w:rPr>
          <w:lang w:val="zh-CN"/>
        </w:rPr>
      </w:pPr>
      <w:r>
        <w:rPr>
          <w:rFonts w:ascii="宋体" w:hAnsi="宋体" w:eastAsia="宋体" w:cs="宋体"/>
          <w:kern w:val="0"/>
          <w:sz w:val="24"/>
          <w:szCs w:val="24"/>
          <w:lang w:val="en-US" w:eastAsia="zh-CN" w:bidi="ar"/>
        </w:rPr>
        <w:drawing>
          <wp:inline distT="0" distB="0" distL="114300" distR="114300">
            <wp:extent cx="5469255" cy="1564640"/>
            <wp:effectExtent l="0" t="0" r="17145" b="16510"/>
            <wp:docPr id="8" name="图片 8"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true"/>
                    </pic:cNvPicPr>
                  </pic:nvPicPr>
                  <pic:blipFill>
                    <a:blip r:embed="rId18"/>
                    <a:stretch>
                      <a:fillRect/>
                    </a:stretch>
                  </pic:blipFill>
                  <pic:spPr>
                    <a:xfrm>
                      <a:off x="0" y="0"/>
                      <a:ext cx="5469255" cy="1564640"/>
                    </a:xfrm>
                    <a:prstGeom prst="rect">
                      <a:avLst/>
                    </a:prstGeom>
                    <a:noFill/>
                    <a:ln w="9525">
                      <a:noFill/>
                    </a:ln>
                  </pic:spPr>
                </pic:pic>
              </a:graphicData>
            </a:graphic>
          </wp:inline>
        </w:drawing>
      </w:r>
    </w:p>
    <w:p>
      <w:pPr>
        <w:adjustRightInd w:val="0"/>
        <w:spacing w:line="360" w:lineRule="auto"/>
        <w:ind w:firstLine="640" w:firstLineChars="200"/>
        <w:rPr>
          <w:rFonts w:ascii="仿宋" w:hAnsi="仿宋" w:eastAsia="仿宋" w:cs="Times New Roman"/>
          <w:b w:val="0"/>
          <w:bCs/>
          <w:sz w:val="32"/>
          <w:szCs w:val="32"/>
        </w:rPr>
      </w:pPr>
      <w:r>
        <w:rPr>
          <w:rFonts w:hint="eastAsia" w:ascii="楷体" w:hAnsi="楷体" w:eastAsia="楷体" w:cs="楷体"/>
          <w:b w:val="0"/>
          <w:bCs/>
          <w:color w:val="auto"/>
          <w:sz w:val="32"/>
          <w:szCs w:val="32"/>
          <w:highlight w:val="none"/>
          <w:lang w:val="zh-CN"/>
        </w:rPr>
        <w:t>（二）项目管理情况。</w:t>
      </w:r>
      <w:r>
        <w:rPr>
          <w:rFonts w:hint="eastAsia" w:ascii="仿宋_GB2312" w:hAnsi="宋体" w:eastAsia="仿宋_GB2312"/>
          <w:b w:val="0"/>
          <w:bCs/>
          <w:sz w:val="30"/>
          <w:szCs w:val="30"/>
        </w:rPr>
        <w:t>按照会计基础工作规范化和《四川省会计管理条例》进行财务核算；</w:t>
      </w:r>
      <w:r>
        <w:rPr>
          <w:rFonts w:hint="eastAsia" w:ascii="仿宋_GB2312" w:hAnsi="宋体" w:eastAsia="仿宋_GB2312"/>
          <w:b w:val="0"/>
          <w:bCs/>
          <w:sz w:val="30"/>
          <w:szCs w:val="30"/>
          <w:lang w:eastAsia="zh-CN"/>
        </w:rPr>
        <w:t>三是</w:t>
      </w:r>
      <w:r>
        <w:rPr>
          <w:rFonts w:hint="eastAsia" w:ascii="仿宋_GB2312" w:hAnsi="宋体" w:eastAsia="仿宋_GB2312"/>
          <w:b w:val="0"/>
          <w:bCs/>
          <w:sz w:val="30"/>
          <w:szCs w:val="30"/>
        </w:rPr>
        <w:t>依据新的</w:t>
      </w:r>
      <w:r>
        <w:rPr>
          <w:rFonts w:ascii="仿宋_GB2312" w:hAnsi="宋体" w:eastAsia="仿宋_GB2312"/>
          <w:b w:val="0"/>
          <w:bCs/>
          <w:sz w:val="30"/>
          <w:szCs w:val="30"/>
        </w:rPr>
        <w:t>政策</w:t>
      </w:r>
      <w:r>
        <w:rPr>
          <w:rFonts w:hint="eastAsia" w:ascii="仿宋_GB2312" w:hAnsi="宋体" w:eastAsia="仿宋_GB2312"/>
          <w:b w:val="0"/>
          <w:bCs/>
          <w:sz w:val="30"/>
          <w:szCs w:val="30"/>
        </w:rPr>
        <w:t>和</w:t>
      </w:r>
      <w:r>
        <w:rPr>
          <w:rFonts w:ascii="仿宋_GB2312" w:hAnsi="宋体" w:eastAsia="仿宋_GB2312"/>
          <w:b w:val="0"/>
          <w:bCs/>
          <w:sz w:val="30"/>
          <w:szCs w:val="30"/>
        </w:rPr>
        <w:t>要求</w:t>
      </w:r>
      <w:r>
        <w:rPr>
          <w:rFonts w:hint="eastAsia" w:ascii="仿宋_GB2312" w:hAnsi="宋体" w:eastAsia="仿宋_GB2312"/>
          <w:b w:val="0"/>
          <w:bCs/>
          <w:sz w:val="30"/>
          <w:szCs w:val="30"/>
        </w:rPr>
        <w:t>修改完善</w:t>
      </w:r>
      <w:r>
        <w:rPr>
          <w:rFonts w:hint="eastAsia" w:ascii="仿宋_GB2312" w:hAnsi="宋体" w:eastAsia="仿宋_GB2312"/>
          <w:b w:val="0"/>
          <w:bCs/>
          <w:sz w:val="30"/>
          <w:szCs w:val="30"/>
          <w:lang w:eastAsia="zh-CN"/>
        </w:rPr>
        <w:t>了</w:t>
      </w:r>
      <w:r>
        <w:rPr>
          <w:rFonts w:ascii="仿宋_GB2312" w:hAnsi="宋体" w:eastAsia="仿宋_GB2312"/>
          <w:b w:val="0"/>
          <w:bCs/>
          <w:sz w:val="30"/>
          <w:szCs w:val="30"/>
        </w:rPr>
        <w:t>《</w:t>
      </w:r>
      <w:r>
        <w:rPr>
          <w:rFonts w:hint="eastAsia" w:ascii="仿宋_GB2312" w:hAnsi="宋体" w:eastAsia="仿宋_GB2312"/>
          <w:b w:val="0"/>
          <w:bCs/>
          <w:sz w:val="30"/>
          <w:szCs w:val="30"/>
        </w:rPr>
        <w:t>广元市</w:t>
      </w:r>
      <w:r>
        <w:rPr>
          <w:rFonts w:ascii="仿宋_GB2312" w:hAnsi="宋体" w:eastAsia="仿宋_GB2312"/>
          <w:b w:val="0"/>
          <w:bCs/>
          <w:sz w:val="30"/>
          <w:szCs w:val="30"/>
        </w:rPr>
        <w:t>内部控制</w:t>
      </w:r>
      <w:r>
        <w:rPr>
          <w:rFonts w:hint="eastAsia" w:ascii="仿宋_GB2312" w:hAnsi="宋体" w:eastAsia="仿宋_GB2312"/>
          <w:b w:val="0"/>
          <w:bCs/>
          <w:sz w:val="30"/>
          <w:szCs w:val="30"/>
        </w:rPr>
        <w:t>制度</w:t>
      </w:r>
      <w:r>
        <w:rPr>
          <w:rFonts w:ascii="仿宋_GB2312" w:hAnsi="宋体" w:eastAsia="仿宋_GB2312"/>
          <w:b w:val="0"/>
          <w:bCs/>
          <w:sz w:val="30"/>
          <w:szCs w:val="30"/>
        </w:rPr>
        <w:t>汇编》</w:t>
      </w:r>
      <w:r>
        <w:rPr>
          <w:rFonts w:hint="eastAsia" w:ascii="仿宋_GB2312" w:hAnsi="宋体" w:eastAsia="仿宋_GB2312"/>
          <w:b w:val="0"/>
          <w:bCs/>
          <w:sz w:val="30"/>
          <w:szCs w:val="30"/>
          <w:lang w:eastAsia="zh-CN"/>
        </w:rPr>
        <w:t>，新增了《广元市统计局固定资产管理办法》《广元市统计局政府采购内控制度》《广元市统计局自行采购管理办法》《广元市统计局预算管理制度》等制度，</w:t>
      </w:r>
      <w:r>
        <w:rPr>
          <w:rFonts w:hint="eastAsia" w:ascii="仿宋" w:hAnsi="仿宋" w:eastAsia="仿宋" w:cs="Times New Roman"/>
          <w:b w:val="0"/>
          <w:bCs/>
          <w:sz w:val="32"/>
          <w:szCs w:val="32"/>
          <w:lang w:eastAsia="zh-CN"/>
        </w:rPr>
        <w:t>严格按照部门预算专项资金开支范围执行，</w:t>
      </w:r>
      <w:r>
        <w:rPr>
          <w:rFonts w:hint="eastAsia" w:ascii="仿宋" w:hAnsi="仿宋" w:eastAsia="仿宋" w:cs="Times New Roman"/>
          <w:b w:val="0"/>
          <w:bCs/>
          <w:sz w:val="32"/>
          <w:szCs w:val="32"/>
        </w:rPr>
        <w:t>支出合理。</w:t>
      </w:r>
    </w:p>
    <w:p>
      <w:pPr>
        <w:adjustRightInd w:val="0"/>
        <w:snapToGrid w:val="0"/>
        <w:spacing w:line="600" w:lineRule="exact"/>
        <w:ind w:firstLine="720"/>
        <w:rPr>
          <w:rFonts w:hint="eastAsia" w:ascii="仿宋_GB2312" w:hAnsi="宋体" w:eastAsia="仿宋_GB2312"/>
          <w:sz w:val="30"/>
          <w:szCs w:val="30"/>
          <w:lang w:val="zh-CN" w:eastAsia="zh-CN"/>
        </w:rPr>
      </w:pPr>
      <w:r>
        <w:rPr>
          <w:rFonts w:hint="eastAsia" w:ascii="楷体" w:hAnsi="楷体" w:eastAsia="楷体" w:cs="楷体"/>
          <w:b w:val="0"/>
          <w:bCs/>
          <w:color w:val="auto"/>
          <w:sz w:val="32"/>
          <w:szCs w:val="32"/>
          <w:highlight w:val="none"/>
          <w:lang w:val="zh-CN"/>
        </w:rPr>
        <w:t>（三）项目监管情况。</w:t>
      </w:r>
      <w:r>
        <w:rPr>
          <w:rFonts w:hint="eastAsia" w:ascii="仿宋_GB2312" w:hAnsi="宋体" w:eastAsia="仿宋_GB2312"/>
          <w:b w:val="0"/>
          <w:bCs/>
          <w:sz w:val="30"/>
          <w:szCs w:val="30"/>
          <w:lang w:val="zh-CN" w:eastAsia="zh-CN"/>
        </w:rPr>
        <w:t>项目实施是统计局各业务科室根据年度工作计划开展，重点围绕统计专项业务工作开展情况进行分析评价，并对自评中发现的问题分析说明，由资金管理部门局办公室进行项目实施进度监管、提醒，确保</w:t>
      </w:r>
      <w:r>
        <w:rPr>
          <w:rFonts w:hint="eastAsia" w:ascii="仿宋_GB2312" w:hAnsi="宋体" w:eastAsia="仿宋_GB2312"/>
          <w:sz w:val="30"/>
          <w:szCs w:val="30"/>
          <w:lang w:val="zh-CN" w:eastAsia="zh-CN"/>
        </w:rPr>
        <w:t>项目执行进度。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（一）项目完成情况。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统计年鉴、月报、季报、统计资料制作项目。及时提供各类统计产品。按月按季做好“5+N”主要统计产品，围绕市委市政府“九项工作大比武”等重大部署、重点工作，坚持以需求为导向，及时整理提供了大量的有针对性的统计资料及分析材料。按季召开经济形势新闻发布会。及时通过统计内外网、政府门户网站向社会公开统计信息、统计数据。</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十次党代会以来广元主要经济指标》《投资统计制度变革相关情况》等。三是积极为目标考核管理、市级重要会议及经济调研等提供数据支持，认真建言献策，彰显统计职能；被市“两办”采用的经济信息量在市级部门中排名靠前。深入推进统计公开透明，按季召开经济形势新闻发布会，利用统计内外网、广元新闻网、广元日报、政府门户网等媒体发布和解读统计数据、宣传统计改革、统计制度、统计政策，普及统计知识，展示统计成果。及时为招商引资、项目推进、企业决策、公众司法诉讼等提供咨询服务400余次。四是及时反映经济运行和民生状况发展趋势，提供决策参考建议。全年完成《调查资料》80期。其中，专报市委市政府领导的调查资料不少于10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（二）项目效益情况。</w:t>
      </w:r>
    </w:p>
    <w:p>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该项目的实施紧扣全市经济运行走势，提高调查分析的针对性、深入性和权威性，积极探索创新统计分析方法和手段，加强经济运行监测分析，确保服务到位、研判准确，为市委市政府决策提供参考，数据指标使用年限为五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（一）评价结论。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我局</w:t>
      </w:r>
      <w:r>
        <w:rPr>
          <w:rFonts w:hint="eastAsia" w:ascii="仿宋_GB2312"/>
          <w:sz w:val="32"/>
          <w:szCs w:val="32"/>
          <w:lang w:eastAsia="zh-CN"/>
        </w:rPr>
        <w:t>该项目</w:t>
      </w:r>
      <w:r>
        <w:rPr>
          <w:rFonts w:hint="eastAsia" w:ascii="仿宋_GB2312" w:eastAsia="仿宋_GB2312"/>
          <w:sz w:val="32"/>
          <w:szCs w:val="32"/>
        </w:rPr>
        <w:t>预算执行到位，做到了财务公开、会计核算真实、规范，没有截留、挪用财政资金、擅自扩大或缩小资金使用范围、改变资金用途等现象，未在项目申报中弄虚作假，套取财政资金，保证了专项资金专款专用。对照《部门</w:t>
      </w:r>
      <w:r>
        <w:rPr>
          <w:rFonts w:hint="eastAsia" w:ascii="仿宋_GB2312"/>
          <w:sz w:val="32"/>
          <w:szCs w:val="32"/>
          <w:lang w:eastAsia="zh-CN"/>
        </w:rPr>
        <w:t>项目</w:t>
      </w:r>
      <w:r>
        <w:rPr>
          <w:rFonts w:hint="eastAsia" w:ascii="仿宋_GB2312" w:eastAsia="仿宋_GB2312"/>
          <w:sz w:val="32"/>
          <w:szCs w:val="32"/>
        </w:rPr>
        <w:t>支出绩效评价指标体系》，</w:t>
      </w:r>
      <w:r>
        <w:rPr>
          <w:rFonts w:hint="eastAsia" w:ascii="仿宋_GB2312" w:eastAsia="仿宋_GB2312"/>
          <w:sz w:val="32"/>
          <w:szCs w:val="32"/>
          <w:lang w:eastAsia="zh-CN"/>
        </w:rPr>
        <w:t>我局</w:t>
      </w:r>
      <w:r>
        <w:rPr>
          <w:rFonts w:hint="eastAsia" w:ascii="仿宋_GB2312" w:eastAsia="仿宋_GB2312"/>
          <w:sz w:val="32"/>
          <w:szCs w:val="32"/>
          <w:lang w:val="en-US" w:eastAsia="zh-CN"/>
        </w:rPr>
        <w:t>2021年统计年鉴、月报、季报、统计资料</w:t>
      </w:r>
      <w:r>
        <w:rPr>
          <w:rFonts w:hint="eastAsia" w:ascii="仿宋_GB2312" w:eastAsia="仿宋_GB2312"/>
          <w:sz w:val="32"/>
          <w:szCs w:val="32"/>
          <w:lang w:eastAsia="zh-CN"/>
        </w:rPr>
        <w:t>专项支出绩效自评</w:t>
      </w:r>
      <w:r>
        <w:rPr>
          <w:rFonts w:hint="eastAsia" w:ascii="仿宋_GB2312" w:eastAsia="仿宋_GB2312"/>
          <w:sz w:val="32"/>
          <w:szCs w:val="32"/>
        </w:rPr>
        <w:t>得分9</w:t>
      </w:r>
      <w:r>
        <w:rPr>
          <w:rFonts w:hint="eastAsia" w:ascii="仿宋_GB2312" w:eastAsia="仿宋_GB2312"/>
          <w:sz w:val="32"/>
          <w:szCs w:val="32"/>
          <w:lang w:val="en-US" w:eastAsia="zh-CN"/>
        </w:rPr>
        <w:t>8</w:t>
      </w:r>
      <w:r>
        <w:rPr>
          <w:rFonts w:hint="eastAsia" w:ascii="仿宋_GB2312" w:eastAsia="仿宋_GB2312"/>
          <w:sz w:val="32"/>
          <w:szCs w:val="32"/>
        </w:rPr>
        <w:t>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（二）存在的问题。</w:t>
      </w:r>
    </w:p>
    <w:p>
      <w:pPr>
        <w:adjustRightInd w:val="0"/>
        <w:snapToGrid w:val="0"/>
        <w:spacing w:line="600" w:lineRule="exact"/>
        <w:ind w:firstLine="640" w:firstLineChars="200"/>
        <w:rPr>
          <w:rFonts w:ascii="仿宋_GB2312" w:hAnsi="宋体" w:eastAsia="仿宋_GB2312" w:cs="Times New Roman"/>
          <w:color w:val="auto"/>
          <w:sz w:val="32"/>
          <w:szCs w:val="32"/>
          <w:highlight w:val="none"/>
          <w:lang w:val="zh-CN"/>
        </w:rPr>
      </w:pPr>
      <w:r>
        <w:rPr>
          <w:rFonts w:hint="eastAsia" w:ascii="仿宋" w:hAnsi="仿宋" w:eastAsia="仿宋"/>
          <w:kern w:val="0"/>
          <w:sz w:val="32"/>
          <w:szCs w:val="32"/>
          <w:lang w:eastAsia="zh-CN"/>
        </w:rPr>
        <w:t>统计产品印制项目都是基于统计各专业的培训、资料印</w:t>
      </w:r>
      <w:r>
        <w:rPr>
          <w:rFonts w:hint="eastAsia" w:ascii="仿宋" w:hAnsi="仿宋" w:eastAsia="仿宋"/>
          <w:color w:val="auto"/>
          <w:kern w:val="0"/>
          <w:sz w:val="32"/>
          <w:szCs w:val="32"/>
          <w:lang w:eastAsia="zh-CN"/>
        </w:rPr>
        <w:t>制工作的整合，是由每年工作任务中的多个统计业务组成，整合后的项目</w:t>
      </w:r>
      <w:r>
        <w:rPr>
          <w:rFonts w:hint="eastAsia" w:ascii="仿宋" w:hAnsi="仿宋" w:eastAsia="仿宋"/>
          <w:color w:val="auto"/>
          <w:kern w:val="0"/>
          <w:sz w:val="32"/>
          <w:szCs w:val="32"/>
          <w:lang w:val="en-US" w:eastAsia="zh-CN"/>
        </w:rPr>
        <w:t>资金投入较少。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000000"/>
          <w:sz w:val="32"/>
          <w:szCs w:val="32"/>
        </w:rPr>
        <w:t>一是</w:t>
      </w:r>
      <w:r>
        <w:rPr>
          <w:rFonts w:hint="eastAsia" w:ascii="仿宋" w:hAnsi="仿宋" w:eastAsia="仿宋" w:cs="仿宋"/>
          <w:color w:val="000000"/>
          <w:sz w:val="32"/>
          <w:szCs w:val="32"/>
        </w:rPr>
        <w:t>强化</w:t>
      </w:r>
      <w:r>
        <w:rPr>
          <w:rFonts w:hint="eastAsia" w:ascii="仿宋" w:hAnsi="仿宋" w:eastAsia="仿宋" w:cs="仿宋"/>
          <w:color w:val="000000"/>
          <w:sz w:val="32"/>
          <w:szCs w:val="32"/>
          <w:lang w:eastAsia="zh-CN"/>
        </w:rPr>
        <w:t>预算和绩效管理。目前的预算管理模式存在难操作，部门预算的预算科目不能满足日常机关运转经费，政策依据和预算科目不匹配，造成预算执行度难度增加，绩效管理难以有实质性效果。</w:t>
      </w:r>
      <w:r>
        <w:rPr>
          <w:rFonts w:hint="eastAsia" w:ascii="仿宋" w:hAnsi="仿宋" w:eastAsia="仿宋" w:cs="仿宋"/>
          <w:b/>
          <w:bCs/>
          <w:color w:val="000000"/>
          <w:sz w:val="32"/>
          <w:szCs w:val="32"/>
          <w:lang w:eastAsia="zh-CN"/>
        </w:rPr>
        <w:t>二是</w:t>
      </w:r>
      <w:r>
        <w:rPr>
          <w:rFonts w:hint="eastAsia" w:ascii="仿宋" w:hAnsi="仿宋" w:eastAsia="仿宋" w:cs="仿宋"/>
          <w:sz w:val="32"/>
          <w:szCs w:val="32"/>
          <w:highlight w:val="none"/>
          <w:lang w:val="en-US" w:eastAsia="zh-CN"/>
        </w:rPr>
        <w:t>结合部门职能职责、中长期规划和年度工作计划，采取定量和定性相结合的方式，设置完整、合理、清晰、明确细化且具有可衡量性的绩效目标和指标。</w:t>
      </w:r>
    </w:p>
    <w:p>
      <w:pPr>
        <w:pStyle w:val="7"/>
        <w:rPr>
          <w:rFonts w:hint="eastAsia" w:ascii="仿宋" w:hAnsi="仿宋" w:eastAsia="仿宋" w:cs="仿宋"/>
          <w:color w:val="auto"/>
          <w:sz w:val="32"/>
          <w:szCs w:val="32"/>
          <w:highlight w:val="none"/>
          <w:lang w:val="zh-CN"/>
        </w:rPr>
      </w:pPr>
    </w:p>
    <w:p>
      <w:pPr>
        <w:pStyle w:val="7"/>
        <w:rPr>
          <w:rFonts w:hint="eastAsia" w:ascii="仿宋" w:hAnsi="仿宋" w:eastAsia="仿宋" w:cs="仿宋"/>
          <w:color w:val="auto"/>
          <w:sz w:val="32"/>
          <w:szCs w:val="32"/>
          <w:highlight w:val="none"/>
          <w:lang w:val="zh-CN"/>
        </w:rPr>
      </w:pP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lang w:val="en-US" w:eastAsia="zh-CN"/>
        </w:rPr>
        <w:t>附件：</w:t>
      </w:r>
      <w:r>
        <w:rPr>
          <w:rFonts w:hint="eastAsia" w:ascii="仿宋" w:hAnsi="仿宋" w:eastAsia="仿宋" w:cs="仿宋"/>
          <w:sz w:val="32"/>
          <w:szCs w:val="32"/>
          <w:highlight w:val="none"/>
          <w:lang w:val="en-US" w:eastAsia="zh-CN"/>
        </w:rPr>
        <w:t>2022年市统计局统计年鉴、月报、季报、统计资料制作经费项目支出绩效评价指标</w:t>
      </w:r>
    </w:p>
    <w:p>
      <w:pPr>
        <w:pStyle w:val="2"/>
        <w:rPr>
          <w:rFonts w:hint="eastAsia" w:ascii="仿宋" w:hAnsi="仿宋" w:eastAsia="仿宋" w:cs="仿宋"/>
          <w:sz w:val="32"/>
          <w:szCs w:val="32"/>
          <w:highlight w:val="none"/>
          <w:lang w:val="en-US" w:eastAsia="zh-CN"/>
        </w:rPr>
      </w:pPr>
    </w:p>
    <w:p>
      <w:pPr>
        <w:pStyle w:val="2"/>
        <w:rPr>
          <w:rFonts w:hint="eastAsia" w:ascii="仿宋" w:hAnsi="仿宋" w:eastAsia="仿宋" w:cs="仿宋"/>
          <w:sz w:val="32"/>
          <w:szCs w:val="32"/>
          <w:highlight w:val="none"/>
          <w:lang w:val="en-US" w:eastAsia="zh-CN"/>
        </w:rPr>
      </w:pPr>
    </w:p>
    <w:p>
      <w:pPr>
        <w:pStyle w:val="2"/>
        <w:rPr>
          <w:rFonts w:hint="eastAsia" w:ascii="仿宋" w:hAnsi="仿宋" w:eastAsia="仿宋" w:cs="仿宋"/>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广元市统计局</w:t>
      </w: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2022年9月14日</w:t>
      </w:r>
    </w:p>
    <w:p>
      <w:pPr>
        <w:pStyle w:val="7"/>
        <w:rPr>
          <w:rFonts w:hint="eastAsia" w:ascii="仿宋" w:hAnsi="仿宋" w:eastAsia="仿宋" w:cs="仿宋"/>
          <w:color w:val="auto"/>
          <w:sz w:val="32"/>
          <w:szCs w:val="32"/>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keepNext w:val="0"/>
        <w:keepLines w:val="0"/>
        <w:pageBreakBefore w:val="0"/>
        <w:widowControl w:val="0"/>
        <w:kinsoku/>
        <w:wordWrap/>
        <w:overflowPunct/>
        <w:topLinePunct w:val="0"/>
        <w:autoSpaceDE/>
        <w:autoSpaceDN/>
        <w:bidi w:val="0"/>
        <w:adjustRightInd/>
        <w:snapToGrid/>
        <w:spacing w:beforeLines="0"/>
        <w:textAlignment w:val="auto"/>
        <w:rPr>
          <w:rFonts w:hint="eastAsia"/>
          <w:color w:val="auto"/>
          <w:highlight w:val="none"/>
          <w:lang w:val="zh-CN"/>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Style w:val="18"/>
          <w:rFonts w:ascii="黑体" w:hAnsi="黑体" w:eastAsia="黑体"/>
          <w:b w:val="0"/>
          <w:color w:val="auto"/>
          <w:highlight w:val="none"/>
        </w:rPr>
      </w:pPr>
    </w:p>
    <w:tbl>
      <w:tblPr>
        <w:tblStyle w:val="14"/>
        <w:tblpPr w:leftFromText="180" w:rightFromText="180" w:vertAnchor="text" w:horzAnchor="page" w:tblpX="1322" w:tblpY="142"/>
        <w:tblOverlap w:val="never"/>
        <w:tblW w:w="10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9"/>
        <w:gridCol w:w="690"/>
        <w:gridCol w:w="1320"/>
        <w:gridCol w:w="1965"/>
        <w:gridCol w:w="1965"/>
        <w:gridCol w:w="2460"/>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889"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黑体" w:hAnsi="黑体" w:eastAsia="黑体" w:cs="黑体"/>
                <w:b/>
                <w:i w:val="0"/>
                <w:color w:val="auto"/>
                <w:sz w:val="32"/>
                <w:szCs w:val="32"/>
                <w:highlight w:val="none"/>
                <w:u w:val="none"/>
                <w:lang w:val="en-US" w:eastAsia="zh-CN"/>
              </w:rPr>
            </w:pPr>
            <w:r>
              <w:rPr>
                <w:rFonts w:hint="eastAsia" w:ascii="黑体" w:hAnsi="黑体" w:eastAsia="黑体" w:cs="黑体"/>
                <w:b w:val="0"/>
                <w:bCs w:val="0"/>
                <w:color w:val="auto"/>
                <w:kern w:val="0"/>
                <w:sz w:val="32"/>
                <w:szCs w:val="32"/>
                <w:highlight w:val="none"/>
                <w:shd w:val="clear" w:color="auto" w:fill="FFFFFF"/>
                <w:lang w:val="zh-CN"/>
              </w:rPr>
              <w:t>附表</w:t>
            </w: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统计年鉴、月报、季报、统计资料等统计产品制作项目绩效目标自评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trPr>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317001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21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5" w:hRule="atLeast"/>
        </w:trPr>
        <w:tc>
          <w:tcPr>
            <w:tcW w:w="2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2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97"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统计年鉴、月报、数说2020、领导干部经济工作手册、2020年月季度主要经济指标等统计专项印刷品</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49" w:hRule="atLeast"/>
        </w:trPr>
        <w:tc>
          <w:tcPr>
            <w:tcW w:w="14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6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数量指标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完成统计年鉴</w:t>
            </w:r>
            <w:r>
              <w:rPr>
                <w:rFonts w:hint="eastAsia" w:ascii="仿宋" w:hAnsi="仿宋" w:eastAsia="仿宋" w:cs="宋体"/>
                <w:color w:val="000000"/>
                <w:sz w:val="24"/>
                <w:lang w:eastAsia="zh-CN"/>
              </w:rPr>
              <w:t>、完成2021年月报、完成《数说2020》《干部手册》完成《主要指标评估》、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450本</w:t>
            </w:r>
            <w:r>
              <w:rPr>
                <w:rFonts w:hint="eastAsia" w:ascii="仿宋" w:hAnsi="仿宋" w:eastAsia="仿宋" w:cs="宋体"/>
                <w:color w:val="000000"/>
                <w:sz w:val="24"/>
                <w:lang w:eastAsia="zh-CN"/>
              </w:rPr>
              <w:t>、1300本、各300册、各300册</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rPr>
              <w:t>完成统计年鉴</w:t>
            </w:r>
            <w:r>
              <w:rPr>
                <w:rFonts w:hint="eastAsia" w:ascii="仿宋" w:hAnsi="仿宋" w:eastAsia="仿宋" w:cs="宋体"/>
                <w:color w:val="000000"/>
                <w:sz w:val="24"/>
                <w:lang w:eastAsia="zh-CN"/>
              </w:rPr>
              <w:t>、完成2021年月报</w:t>
            </w:r>
            <w:r>
              <w:rPr>
                <w:rFonts w:hint="eastAsia" w:ascii="仿宋" w:hAnsi="仿宋" w:eastAsia="仿宋" w:cs="宋体"/>
                <w:color w:val="000000"/>
                <w:sz w:val="24"/>
              </w:rPr>
              <w:t>450本</w:t>
            </w:r>
            <w:r>
              <w:rPr>
                <w:rFonts w:hint="eastAsia" w:ascii="仿宋" w:hAnsi="仿宋" w:eastAsia="仿宋" w:cs="宋体"/>
                <w:color w:val="000000"/>
                <w:sz w:val="24"/>
                <w:lang w:eastAsia="zh-CN"/>
              </w:rPr>
              <w:t>、完成《数说2020》</w:t>
            </w:r>
            <w:r>
              <w:rPr>
                <w:rFonts w:hint="eastAsia" w:ascii="仿宋" w:hAnsi="仿宋" w:eastAsia="仿宋" w:cs="宋体"/>
                <w:color w:val="000000"/>
                <w:sz w:val="24"/>
                <w:lang w:val="en-US" w:eastAsia="zh-CN"/>
              </w:rPr>
              <w:t>1300本</w:t>
            </w:r>
            <w:r>
              <w:rPr>
                <w:rFonts w:hint="eastAsia" w:ascii="仿宋" w:hAnsi="仿宋" w:eastAsia="仿宋" w:cs="宋体"/>
                <w:color w:val="000000"/>
                <w:sz w:val="24"/>
                <w:lang w:eastAsia="zh-CN"/>
              </w:rPr>
              <w:t>《干部手册》完成《主要指标评估》各</w:t>
            </w:r>
            <w:r>
              <w:rPr>
                <w:rFonts w:hint="eastAsia" w:ascii="仿宋" w:hAnsi="仿宋" w:eastAsia="仿宋" w:cs="宋体"/>
                <w:color w:val="000000"/>
                <w:sz w:val="24"/>
                <w:lang w:val="en-US" w:eastAsia="zh-CN"/>
              </w:rPr>
              <w:t>300册</w:t>
            </w:r>
            <w:r>
              <w:rPr>
                <w:rFonts w:hint="eastAsia" w:ascii="仿宋" w:hAnsi="仿宋" w:eastAsia="仿宋" w:cs="宋体"/>
                <w:color w:val="000000"/>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4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质量指标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印制专业资料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≥100%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时效指标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完成时间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2021年12月前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成本指标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定制化统计产品</w:t>
            </w:r>
            <w:r>
              <w:rPr>
                <w:rFonts w:hint="eastAsia" w:ascii="仿宋" w:hAnsi="仿宋" w:eastAsia="仿宋" w:cs="宋体"/>
                <w:color w:val="000000"/>
                <w:sz w:val="24"/>
                <w:lang w:eastAsia="zh-CN"/>
              </w:rPr>
              <w:t>制作费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10.14万元</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4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社会效益  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对工作的促进作用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及时反映经济运行和民生状况发展趋势，提供决策参考建议。</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全年完成《调查资料》80期。其中，专报市委市政府领导的调查资料不少于10篇。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可持续影响 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数据指标使用年限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≥5年</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4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val="en-US" w:eastAsia="zh-CN"/>
              </w:rPr>
              <w:t xml:space="preserve"> </w:t>
            </w:r>
            <w:r>
              <w:rPr>
                <w:rFonts w:hint="eastAsia" w:ascii="仿宋" w:hAnsi="仿宋" w:eastAsia="仿宋" w:cs="宋体"/>
                <w:color w:val="000000"/>
                <w:sz w:val="24"/>
              </w:rPr>
              <w:t>为市委市政府决策提供参考。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bl>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Style w:val="18"/>
          <w:rFonts w:ascii="黑体" w:hAnsi="黑体" w:eastAsia="黑体"/>
          <w:b w:val="0"/>
          <w:color w:val="auto"/>
          <w:highlight w:val="none"/>
        </w:rPr>
      </w:pPr>
      <w:r>
        <w:rPr>
          <w:rStyle w:val="18"/>
          <w:rFonts w:ascii="黑体" w:hAnsi="黑体" w:eastAsia="黑体"/>
          <w:b w:val="0"/>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300" w:lineRule="exact"/>
        <w:ind w:firstLine="3080" w:firstLineChars="700"/>
        <w:textAlignment w:val="auto"/>
        <w:rPr>
          <w:rStyle w:val="18"/>
          <w:rFonts w:ascii="黑体" w:hAnsi="黑体" w:eastAsia="黑体"/>
          <w:b w:val="0"/>
          <w:color w:val="auto"/>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广元市统计局</w:t>
      </w:r>
    </w:p>
    <w:p>
      <w:pPr>
        <w:pStyle w:val="36"/>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2021年全国第七次人口普查经费</w:t>
      </w:r>
    </w:p>
    <w:p>
      <w:pPr>
        <w:pStyle w:val="36"/>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eastAsia="zh-CN"/>
        </w:rPr>
      </w:pPr>
      <w:r>
        <w:rPr>
          <w:rFonts w:hint="eastAsia" w:ascii="方正小标宋简体" w:hAnsi="方正小标宋简体" w:eastAsia="方正小标宋简体" w:cs="方正小标宋简体"/>
          <w:b w:val="0"/>
          <w:bCs w:val="0"/>
          <w:color w:val="auto"/>
          <w:kern w:val="2"/>
          <w:sz w:val="44"/>
          <w:szCs w:val="44"/>
          <w:lang w:eastAsia="zh-CN"/>
        </w:rPr>
        <w:t>绩效自评报告</w:t>
      </w:r>
      <w:r>
        <w:rPr>
          <w:rFonts w:hint="eastAsia" w:ascii="方正小标宋简体" w:hAnsi="方正小标宋简体" w:eastAsia="方正小标宋简体" w:cs="方正小标宋简体"/>
          <w:b w:val="0"/>
          <w:bCs w:val="0"/>
          <w:color w:val="auto"/>
          <w:kern w:val="2"/>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76" w:lineRule="exact"/>
        <w:ind w:firstLine="880" w:firstLineChars="200"/>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rPr>
        <w:t>项目资金申报及批复情况。</w:t>
      </w:r>
      <w:r>
        <w:rPr>
          <w:rFonts w:hint="eastAsia" w:ascii="仿宋" w:hAnsi="仿宋" w:eastAsia="仿宋" w:cs="仿宋"/>
          <w:b w:val="0"/>
          <w:bCs w:val="0"/>
          <w:sz w:val="32"/>
          <w:szCs w:val="32"/>
          <w:lang w:val="en-US" w:eastAsia="zh-CN"/>
        </w:rPr>
        <w:t>2021年度，我局部门预算项目申报及批复项目统计工作专项经费项目70万元。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rPr>
        <w:t>项目立项、资金申报的依据。</w:t>
      </w:r>
      <w:r>
        <w:rPr>
          <w:rFonts w:hint="eastAsia" w:ascii="仿宋" w:hAnsi="仿宋" w:eastAsia="仿宋" w:cs="仿宋"/>
          <w:b w:val="0"/>
          <w:bCs w:val="0"/>
          <w:sz w:val="32"/>
          <w:szCs w:val="32"/>
          <w:lang w:val="zh-CN" w:eastAsia="zh-CN"/>
        </w:rPr>
        <w:t>我单位申报的项目为部门预算下达的项目工作经费，是经常性开展的统计专项普查经费，各项目内容与具体实施内容相符、申报目标严格按照预算管理和绩效评级相关指标定义合理设置的，项目实施可行性高。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val="zh-CN"/>
        </w:rPr>
        <w:t>资金管理办法制定</w:t>
      </w:r>
      <w:r>
        <w:rPr>
          <w:rFonts w:hint="eastAsia" w:ascii="仿宋" w:hAnsi="仿宋" w:eastAsia="仿宋" w:cs="仿宋"/>
          <w:b w:val="0"/>
          <w:bCs w:val="0"/>
          <w:color w:val="auto"/>
          <w:sz w:val="32"/>
          <w:szCs w:val="32"/>
          <w:lang w:val="zh-CN" w:eastAsia="zh-CN"/>
        </w:rPr>
        <w:t>按市统计局财务管理制度和预算管理制度、专项补助资金管理实施办法进行管理</w:t>
      </w:r>
      <w:r>
        <w:rPr>
          <w:rFonts w:hint="eastAsia" w:ascii="仿宋" w:hAnsi="仿宋" w:eastAsia="仿宋" w:cs="仿宋"/>
          <w:b w:val="0"/>
          <w:bCs w:val="0"/>
          <w:color w:val="auto"/>
          <w:sz w:val="32"/>
          <w:szCs w:val="32"/>
          <w:lang w:val="zh-CN"/>
        </w:rPr>
        <w:t>，</w:t>
      </w:r>
      <w:r>
        <w:rPr>
          <w:rFonts w:hint="eastAsia" w:ascii="仿宋" w:hAnsi="仿宋" w:eastAsia="仿宋" w:cs="仿宋"/>
          <w:b w:val="0"/>
          <w:bCs w:val="0"/>
          <w:sz w:val="32"/>
          <w:szCs w:val="32"/>
          <w:lang w:eastAsia="zh-CN"/>
        </w:rPr>
        <w:t>我局</w:t>
      </w:r>
      <w:r>
        <w:rPr>
          <w:rFonts w:hint="eastAsia" w:ascii="仿宋" w:hAnsi="仿宋" w:eastAsia="仿宋" w:cs="仿宋"/>
          <w:b w:val="0"/>
          <w:bCs w:val="0"/>
          <w:sz w:val="32"/>
          <w:szCs w:val="32"/>
        </w:rPr>
        <w:t>预算执行到位，做到了财务公开、会计核算真实、规范，没有截留、挪用财政资金、擅自扩大或缩小资金使用范围、改变资金用途等现象，未在项目申报中弄虚作假，套取财政资金，保证了专项资金专款专用。</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lang w:val="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val="zh-CN"/>
        </w:rPr>
        <w:t>资金分配的原则及考虑因素。资金分配原则按照年初预算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color w:val="auto"/>
          <w:sz w:val="32"/>
          <w:szCs w:val="32"/>
          <w:lang w:val="zh-CN"/>
        </w:rPr>
        <w:t>各科室实施工作任务申报的事前项目绩效申报情况经局党组会讨论研究，并结合</w:t>
      </w:r>
      <w:r>
        <w:rPr>
          <w:rFonts w:hint="eastAsia" w:ascii="仿宋" w:hAnsi="仿宋" w:eastAsia="仿宋" w:cs="仿宋"/>
          <w:b w:val="0"/>
          <w:bCs w:val="0"/>
          <w:color w:val="auto"/>
          <w:sz w:val="32"/>
          <w:szCs w:val="32"/>
          <w:lang w:val="en-US" w:eastAsia="zh-CN"/>
        </w:rPr>
        <w:t>2021年全年重点工作对资金进行上报和分配。</w:t>
      </w:r>
      <w:r>
        <w:rPr>
          <w:rFonts w:hint="eastAsia" w:ascii="仿宋" w:hAnsi="仿宋" w:eastAsia="仿宋" w:cs="仿宋"/>
          <w:b w:val="0"/>
          <w:bCs w:val="0"/>
          <w:color w:val="FF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（二）项目绩效目标。</w:t>
      </w:r>
    </w:p>
    <w:p>
      <w:pPr>
        <w:pStyle w:val="2"/>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lang w:val="zh-CN"/>
        </w:rPr>
        <w:sectPr>
          <w:footerReference r:id="rId5" w:type="default"/>
          <w:pgSz w:w="11906" w:h="16838"/>
          <w:pgMar w:top="1701" w:right="1474" w:bottom="1417" w:left="1587" w:header="851" w:footer="992" w:gutter="0"/>
          <w:pgNumType w:fmt="decimal" w:start="1"/>
          <w:cols w:space="0" w:num="1"/>
          <w:rtlGutter w:val="0"/>
          <w:docGrid w:type="lines" w:linePitch="442" w:charSpace="0"/>
        </w:sectPr>
      </w:pPr>
      <w:r>
        <w:rPr>
          <w:rFonts w:hint="eastAsia" w:ascii="仿宋" w:hAnsi="仿宋" w:eastAsia="仿宋" w:cs="仿宋"/>
          <w:b w:val="0"/>
          <w:bCs w:val="0"/>
          <w:sz w:val="32"/>
          <w:szCs w:val="32"/>
          <w:lang w:val="zh-CN"/>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rPr>
        <w:t>项目主要内容。</w:t>
      </w:r>
      <w:r>
        <w:rPr>
          <w:rFonts w:hint="eastAsia" w:ascii="仿宋" w:hAnsi="仿宋" w:eastAsia="仿宋" w:cs="仿宋"/>
          <w:sz w:val="32"/>
          <w:szCs w:val="32"/>
          <w:lang w:val="en-US" w:eastAsia="zh-CN"/>
        </w:rPr>
        <w:t>2020年度完成前期准备工作，开展宣传及摸底工作，并于标准时点开展入户登记。2021年度完成第七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次人口普查相关工作，主要是PAD数据汇总、审核、数据质量核查、数据分析挖掘系统、公报印制等相关工作。2022年完成人口普查成果发布及数据开发应用相关工作。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rPr>
        <w:t>项目应实现的具体绩效目标，包括项目的数量指标、质量指标、实效指标、成本指标等几个部分组成，三级指标设计都进行了量化和细化，情况以及项目实施进度计划等。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rPr>
        <w:t>本项目绩效目标申报内容与实际相符，申报目标设置为八个二级指标，</w:t>
      </w:r>
      <w:r>
        <w:rPr>
          <w:rFonts w:hint="eastAsia" w:ascii="仿宋" w:hAnsi="仿宋" w:eastAsia="仿宋" w:cs="仿宋"/>
          <w:b w:val="0"/>
          <w:bCs w:val="0"/>
          <w:sz w:val="32"/>
          <w:szCs w:val="32"/>
          <w:lang w:val="zh-CN" w:eastAsia="zh-CN"/>
        </w:rPr>
        <w:t>十一</w:t>
      </w:r>
      <w:r>
        <w:rPr>
          <w:rFonts w:hint="eastAsia" w:ascii="仿宋" w:hAnsi="仿宋" w:eastAsia="仿宋" w:cs="仿宋"/>
          <w:b w:val="0"/>
          <w:bCs w:val="0"/>
          <w:sz w:val="32"/>
          <w:szCs w:val="32"/>
          <w:lang w:val="zh-CN"/>
        </w:rPr>
        <w:t>个三级指标，相对合理可行。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本项目为我单位部门职能范围内业务工作，属于部门预算内项目，是按照部门职责相关规定及统计行业政策、行业标准及统计专业技术规范进行绩效自评，采用的组织实施步骤为年初申报项目绩效时，由各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该项目资金申报、批复及预算调整等程序均按部门预算相关规定按时执行。</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val="zh-CN"/>
        </w:rPr>
        <w:t>资金计划及到位。</w:t>
      </w:r>
      <w:r>
        <w:rPr>
          <w:rFonts w:hint="eastAsia" w:ascii="仿宋" w:hAnsi="仿宋" w:eastAsia="仿宋" w:cs="仿宋"/>
          <w:b w:val="0"/>
          <w:bCs w:val="0"/>
          <w:sz w:val="32"/>
          <w:szCs w:val="32"/>
          <w:lang w:val="en-US" w:eastAsia="zh-CN"/>
        </w:rPr>
        <w:t>2021年度市本级财政下拨我局专项资金共计70万元。资金到位及时，到位率99.99%。</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b w:val="0"/>
          <w:bCs w:val="0"/>
          <w:sz w:val="32"/>
          <w:szCs w:val="32"/>
          <w:lang w:val="en-US" w:eastAsia="zh-CN"/>
        </w:rPr>
        <w:sectPr>
          <w:headerReference r:id="rId6" w:type="default"/>
          <w:footerReference r:id="rId7" w:type="default"/>
          <w:pgSz w:w="11906" w:h="16838"/>
          <w:pgMar w:top="1440" w:right="1800" w:bottom="1440" w:left="1800" w:header="851" w:footer="992" w:gutter="0"/>
          <w:pgNumType w:fmt="decimal" w:start="1"/>
          <w:cols w:space="425" w:num="1"/>
          <w:titlePg/>
          <w:docGrid w:type="lines" w:linePitch="312" w:charSpace="0"/>
        </w:sectPr>
      </w:pP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val="zh-CN"/>
        </w:rPr>
        <w:t>资金使用。</w:t>
      </w:r>
      <w:r>
        <w:rPr>
          <w:rFonts w:hint="eastAsia" w:ascii="仿宋" w:hAnsi="仿宋" w:eastAsia="仿宋" w:cs="仿宋"/>
          <w:sz w:val="32"/>
          <w:szCs w:val="32"/>
        </w:rPr>
        <w:t>项目全年预算</w:t>
      </w:r>
      <w:r>
        <w:rPr>
          <w:rFonts w:hint="eastAsia" w:ascii="仿宋" w:hAnsi="仿宋" w:eastAsia="仿宋" w:cs="仿宋"/>
          <w:sz w:val="32"/>
          <w:szCs w:val="32"/>
          <w:lang w:val="en-US" w:eastAsia="zh-CN"/>
        </w:rPr>
        <w:t>70</w:t>
      </w:r>
      <w:r>
        <w:rPr>
          <w:rFonts w:hint="eastAsia" w:ascii="仿宋" w:hAnsi="仿宋" w:eastAsia="仿宋" w:cs="仿宋"/>
          <w:sz w:val="32"/>
          <w:szCs w:val="32"/>
        </w:rPr>
        <w:t>元，</w:t>
      </w:r>
      <w:r>
        <w:rPr>
          <w:rFonts w:hint="eastAsia" w:ascii="仿宋" w:hAnsi="仿宋" w:eastAsia="仿宋" w:cs="仿宋"/>
          <w:sz w:val="32"/>
          <w:szCs w:val="32"/>
          <w:lang w:eastAsia="zh-CN"/>
        </w:rPr>
        <w:t>执行数</w:t>
      </w:r>
      <w:r>
        <w:rPr>
          <w:rFonts w:hint="eastAsia" w:ascii="仿宋" w:hAnsi="仿宋" w:eastAsia="仿宋" w:cs="仿宋"/>
          <w:sz w:val="32"/>
          <w:szCs w:val="32"/>
          <w:lang w:val="en-US" w:eastAsia="zh-CN"/>
        </w:rPr>
        <w:t>约70万元，</w:t>
      </w:r>
      <w:r>
        <w:rPr>
          <w:rFonts w:hint="eastAsia" w:ascii="仿宋" w:hAnsi="仿宋" w:eastAsia="仿宋" w:cs="仿宋"/>
          <w:sz w:val="32"/>
          <w:szCs w:val="32"/>
        </w:rPr>
        <w:t>完成预算</w:t>
      </w:r>
      <w:r>
        <w:rPr>
          <w:rFonts w:hint="eastAsia" w:ascii="仿宋" w:hAnsi="仿宋" w:eastAsia="仿宋" w:cs="仿宋"/>
          <w:sz w:val="32"/>
          <w:szCs w:val="32"/>
          <w:lang w:val="en-US" w:eastAsia="zh-CN"/>
        </w:rPr>
        <w:t>99.99</w:t>
      </w:r>
      <w:r>
        <w:rPr>
          <w:rFonts w:hint="eastAsia" w:ascii="仿宋" w:hAnsi="仿宋" w:eastAsia="仿宋" w:cs="仿宋"/>
          <w:sz w:val="32"/>
          <w:szCs w:val="32"/>
        </w:rPr>
        <w:t>%。通过项目实施完成2021年度第七次人口普查相关工作，主要是完成第七次人口普查相关工作，主要是PAD数据汇总、审核、数据质量核查、数据分析挖掘系统、公报印制等相关工作。2022年完成人口普查成果发布及数据开发应用相关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按照会计基础工作规范化和《四川省会计管理条例》进行财务核算；</w:t>
      </w:r>
      <w:r>
        <w:rPr>
          <w:rFonts w:hint="eastAsia" w:ascii="仿宋" w:hAnsi="仿宋" w:eastAsia="仿宋" w:cs="仿宋"/>
          <w:sz w:val="32"/>
          <w:szCs w:val="32"/>
          <w:lang w:eastAsia="zh-CN"/>
        </w:rPr>
        <w:t>三是</w:t>
      </w:r>
      <w:r>
        <w:rPr>
          <w:rFonts w:hint="eastAsia" w:ascii="仿宋" w:hAnsi="仿宋" w:eastAsia="仿宋" w:cs="仿宋"/>
          <w:sz w:val="32"/>
          <w:szCs w:val="32"/>
        </w:rPr>
        <w:t>依据新的政策和要求修改完善</w:t>
      </w:r>
      <w:r>
        <w:rPr>
          <w:rFonts w:hint="eastAsia" w:ascii="仿宋" w:hAnsi="仿宋" w:eastAsia="仿宋" w:cs="仿宋"/>
          <w:sz w:val="32"/>
          <w:szCs w:val="32"/>
          <w:lang w:eastAsia="zh-CN"/>
        </w:rPr>
        <w:t>了</w:t>
      </w:r>
      <w:r>
        <w:rPr>
          <w:rFonts w:hint="eastAsia" w:ascii="仿宋" w:hAnsi="仿宋" w:eastAsia="仿宋" w:cs="仿宋"/>
          <w:sz w:val="32"/>
          <w:szCs w:val="32"/>
        </w:rPr>
        <w:t>《广元市内部控制制度汇编》</w:t>
      </w:r>
      <w:r>
        <w:rPr>
          <w:rFonts w:hint="eastAsia" w:ascii="仿宋" w:hAnsi="仿宋" w:eastAsia="仿宋" w:cs="仿宋"/>
          <w:sz w:val="32"/>
          <w:szCs w:val="32"/>
          <w:lang w:eastAsia="zh-CN"/>
        </w:rPr>
        <w:t>，新增了《广元市统计局固定资产管理办法》《广元市统计局政府采购内控制度》《广元市统计局自行采购管理办法》《广元市统计局预算管理制度》等制度，严格按照部门预算专项资金开支范围执行，</w:t>
      </w:r>
      <w:r>
        <w:rPr>
          <w:rFonts w:hint="eastAsia" w:ascii="仿宋" w:hAnsi="仿宋" w:eastAsia="仿宋" w:cs="仿宋"/>
          <w:sz w:val="32"/>
          <w:szCs w:val="32"/>
        </w:rPr>
        <w:t>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结合项目组织实施管理办法，重点围绕以下内容进行分析评价，并对自评中发现的问题分析说明。</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220" w:leftChars="0" w:firstLine="640" w:firstLineChars="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项目组织架构及实施流程。</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469255" cy="1564640"/>
            <wp:effectExtent l="0" t="0" r="17145" b="16510"/>
            <wp:docPr id="9" name="图片 9"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true"/>
                    </pic:cNvPicPr>
                  </pic:nvPicPr>
                  <pic:blipFill>
                    <a:blip r:embed="rId18"/>
                    <a:stretch>
                      <a:fillRect/>
                    </a:stretch>
                  </pic:blipFill>
                  <pic:spPr>
                    <a:xfrm>
                      <a:off x="0" y="0"/>
                      <a:ext cx="5469255" cy="1564640"/>
                    </a:xfrm>
                    <a:prstGeom prst="rect">
                      <a:avLst/>
                    </a:prstGeom>
                    <a:noFill/>
                    <a:ln w="9525">
                      <a:noFill/>
                    </a:ln>
                  </pic:spPr>
                </pic:pic>
              </a:graphicData>
            </a:graphic>
          </wp:inline>
        </w:drawing>
      </w:r>
    </w:p>
    <w:p>
      <w:pPr>
        <w:pStyle w:val="2"/>
        <w:numPr>
          <w:ilvl w:val="0"/>
          <w:numId w:val="0"/>
        </w:numPr>
        <w:rPr>
          <w:lang w:val="zh-CN"/>
        </w:rPr>
      </w:pPr>
    </w:p>
    <w:p>
      <w:pPr>
        <w:keepNext w:val="0"/>
        <w:keepLines w:val="0"/>
        <w:pageBreakBefore w:val="0"/>
        <w:widowControl w:val="0"/>
        <w:kinsoku/>
        <w:wordWrap/>
        <w:overflowPunct/>
        <w:topLinePunct w:val="0"/>
        <w:autoSpaceDE/>
        <w:autoSpaceDN/>
        <w:bidi w:val="0"/>
        <w:adjustRightInd w:val="0"/>
        <w:spacing w:line="576"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b w:val="0"/>
          <w:bCs w:val="0"/>
          <w:sz w:val="32"/>
          <w:szCs w:val="32"/>
          <w:lang w:val="zh-CN"/>
        </w:rPr>
        <w:t>（二）项目管理情况。</w:t>
      </w:r>
      <w:r>
        <w:rPr>
          <w:rFonts w:hint="eastAsia" w:ascii="仿宋" w:hAnsi="仿宋" w:eastAsia="仿宋" w:cs="仿宋"/>
          <w:sz w:val="32"/>
          <w:szCs w:val="32"/>
        </w:rPr>
        <w:t>按照会计基础工作规范化和《四川省会计管理条例》进行财务核算；</w:t>
      </w:r>
      <w:r>
        <w:rPr>
          <w:rFonts w:hint="eastAsia" w:ascii="仿宋" w:hAnsi="仿宋" w:eastAsia="仿宋" w:cs="仿宋"/>
          <w:sz w:val="32"/>
          <w:szCs w:val="32"/>
          <w:lang w:eastAsia="zh-CN"/>
        </w:rPr>
        <w:t>三是</w:t>
      </w:r>
      <w:r>
        <w:rPr>
          <w:rFonts w:hint="eastAsia" w:ascii="仿宋" w:hAnsi="仿宋" w:eastAsia="仿宋" w:cs="仿宋"/>
          <w:sz w:val="32"/>
          <w:szCs w:val="32"/>
        </w:rPr>
        <w:t>依据新的政策和要求修改完善</w:t>
      </w:r>
      <w:r>
        <w:rPr>
          <w:rFonts w:hint="eastAsia" w:ascii="仿宋" w:hAnsi="仿宋" w:eastAsia="仿宋" w:cs="仿宋"/>
          <w:sz w:val="32"/>
          <w:szCs w:val="32"/>
          <w:lang w:eastAsia="zh-CN"/>
        </w:rPr>
        <w:t>了</w:t>
      </w:r>
      <w:r>
        <w:rPr>
          <w:rFonts w:hint="eastAsia" w:ascii="仿宋" w:hAnsi="仿宋" w:eastAsia="仿宋" w:cs="仿宋"/>
          <w:sz w:val="32"/>
          <w:szCs w:val="32"/>
        </w:rPr>
        <w:t>《广元市内部控制制度汇编》</w:t>
      </w:r>
      <w:r>
        <w:rPr>
          <w:rFonts w:hint="eastAsia" w:ascii="仿宋" w:hAnsi="仿宋" w:eastAsia="仿宋" w:cs="仿宋"/>
          <w:sz w:val="32"/>
          <w:szCs w:val="32"/>
          <w:lang w:eastAsia="zh-CN"/>
        </w:rPr>
        <w:t>，新增了《广元市统计局固定资产管理办法》《广元市统计局政府采购内控制度》《广元市统计局自行采购管理办法》《广元市统计局预算管理制度》等制度，严格按照部门预算专项资金开支范围执行，</w:t>
      </w:r>
      <w:r>
        <w:rPr>
          <w:rFonts w:hint="eastAsia" w:ascii="仿宋" w:hAnsi="仿宋" w:eastAsia="仿宋" w:cs="仿宋"/>
          <w:sz w:val="32"/>
          <w:szCs w:val="32"/>
        </w:rPr>
        <w:t>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hAnsi="仿宋" w:eastAsia="仿宋" w:cs="仿宋"/>
          <w:sz w:val="32"/>
          <w:szCs w:val="32"/>
          <w:lang w:val="zh-CN"/>
        </w:rPr>
      </w:pPr>
      <w:r>
        <w:rPr>
          <w:rFonts w:hint="eastAsia" w:ascii="楷体" w:hAnsi="楷体" w:eastAsia="楷体" w:cs="楷体"/>
          <w:b w:val="0"/>
          <w:bCs w:val="0"/>
          <w:sz w:val="32"/>
          <w:szCs w:val="32"/>
          <w:lang w:val="zh-CN"/>
        </w:rPr>
        <w:t>（三）项目监管情况</w:t>
      </w:r>
      <w:r>
        <w:rPr>
          <w:rFonts w:hint="eastAsia" w:ascii="仿宋" w:hAnsi="仿宋" w:eastAsia="仿宋" w:cs="仿宋"/>
          <w:b w:val="0"/>
          <w:bCs w:val="0"/>
          <w:sz w:val="32"/>
          <w:szCs w:val="32"/>
          <w:lang w:val="zh-CN"/>
        </w:rPr>
        <w:t>。</w:t>
      </w:r>
      <w:r>
        <w:rPr>
          <w:rFonts w:hint="eastAsia" w:ascii="仿宋" w:hAnsi="仿宋" w:eastAsia="仿宋" w:cs="仿宋"/>
          <w:sz w:val="32"/>
          <w:szCs w:val="32"/>
          <w:lang w:val="zh-CN"/>
        </w:rPr>
        <w:t>项目实施是统计局各业务科室根据年度工作计划开展，重点围绕统计专项业务工作开展情况进行分析评价，并对自评中发现的问题分析说明，由资金管理部门局办公室进行项目实施进度监管、提醒，确保项目执行进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四、项目绩效情况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rPr>
        <w:t>该项目的完成保障完成人口普查相关业务培训会议三次，PDA数据汇总量350000条，数据资料、手册、公报50本，全面客观反映我国人口发展状况，数据利用率≥90%，普查数据的分阶段错差率低于相关要求，均达标住房和单元数≦2‰；户籍人口数≦4‰；登记人数与户籍人数指标差错率为0，出生人口与死亡人口指标零差错，普查数据的利用率，网站点击率≥90%，超3000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（二）项目效益情况。</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该项目的实施</w:t>
      </w:r>
      <w:r>
        <w:rPr>
          <w:rFonts w:hint="eastAsia" w:ascii="仿宋" w:hAnsi="仿宋" w:eastAsia="仿宋" w:cs="仿宋"/>
          <w:sz w:val="32"/>
          <w:szCs w:val="32"/>
        </w:rPr>
        <w:t>完成第七次人口普查相关工作，主要是PAD数据汇总、审核、数据质量核查、数据分析挖掘系统、公报印制等相关工作。2022年完成人口普查成果发布及数据开发应用相关工作。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（一）评价结论。</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我局该项目</w:t>
      </w:r>
      <w:r>
        <w:rPr>
          <w:rFonts w:hint="eastAsia" w:ascii="仿宋" w:hAnsi="仿宋" w:eastAsia="仿宋" w:cs="仿宋"/>
          <w:sz w:val="32"/>
          <w:szCs w:val="32"/>
        </w:rPr>
        <w:t>预算执行到位，做到了财务公开、会计核算真实、规范，没有截留、挪用财政资金、擅自扩大或缩小资金使用范围、改变资金用途等现象，未在项目申报中弄虚作假，套取财政资金，保证了专项资金专款专用。对照《部门</w:t>
      </w:r>
      <w:r>
        <w:rPr>
          <w:rFonts w:hint="eastAsia" w:ascii="仿宋" w:hAnsi="仿宋" w:eastAsia="仿宋" w:cs="仿宋"/>
          <w:sz w:val="32"/>
          <w:szCs w:val="32"/>
          <w:lang w:eastAsia="zh-CN"/>
        </w:rPr>
        <w:t>项目</w:t>
      </w:r>
      <w:r>
        <w:rPr>
          <w:rFonts w:hint="eastAsia" w:ascii="仿宋" w:hAnsi="仿宋" w:eastAsia="仿宋" w:cs="仿宋"/>
          <w:sz w:val="32"/>
          <w:szCs w:val="32"/>
        </w:rPr>
        <w:t>支出绩效评价指标体系》，</w:t>
      </w:r>
      <w:r>
        <w:rPr>
          <w:rFonts w:hint="eastAsia" w:ascii="仿宋" w:hAnsi="仿宋" w:eastAsia="仿宋" w:cs="仿宋"/>
          <w:sz w:val="32"/>
          <w:szCs w:val="32"/>
          <w:lang w:eastAsia="zh-CN"/>
        </w:rPr>
        <w:t>我局</w:t>
      </w:r>
      <w:r>
        <w:rPr>
          <w:rFonts w:hint="eastAsia" w:ascii="仿宋" w:hAnsi="仿宋" w:eastAsia="仿宋" w:cs="仿宋"/>
          <w:sz w:val="32"/>
          <w:szCs w:val="32"/>
          <w:lang w:val="en-US" w:eastAsia="zh-CN"/>
        </w:rPr>
        <w:t>2021年统计调查</w:t>
      </w:r>
      <w:r>
        <w:rPr>
          <w:rFonts w:hint="eastAsia" w:ascii="仿宋" w:hAnsi="仿宋" w:eastAsia="仿宋" w:cs="仿宋"/>
          <w:sz w:val="32"/>
          <w:szCs w:val="32"/>
          <w:lang w:eastAsia="zh-CN"/>
        </w:rPr>
        <w:t>专项支出绩效自评</w:t>
      </w:r>
      <w:r>
        <w:rPr>
          <w:rFonts w:hint="eastAsia" w:ascii="仿宋" w:hAnsi="仿宋" w:eastAsia="仿宋" w:cs="仿宋"/>
          <w:sz w:val="32"/>
          <w:szCs w:val="32"/>
        </w:rPr>
        <w:t>自评得分</w:t>
      </w:r>
      <w:r>
        <w:rPr>
          <w:rFonts w:hint="eastAsia" w:ascii="仿宋" w:hAnsi="仿宋" w:eastAsia="仿宋" w:cs="仿宋"/>
          <w:sz w:val="32"/>
          <w:szCs w:val="32"/>
          <w:lang w:val="en-US" w:eastAsia="zh-CN"/>
        </w:rPr>
        <w:t>100</w:t>
      </w:r>
      <w:r>
        <w:rPr>
          <w:rFonts w:hint="eastAsia" w:ascii="仿宋" w:hAnsi="仿宋" w:eastAsia="仿宋" w:cs="仿宋"/>
          <w:sz w:val="32"/>
          <w:szCs w:val="32"/>
        </w:rPr>
        <w:t>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（二）存在的问题。</w:t>
      </w:r>
    </w:p>
    <w:p>
      <w:pPr>
        <w:pStyle w:val="6"/>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一是统计</w:t>
      </w:r>
      <w:r>
        <w:rPr>
          <w:rFonts w:hint="eastAsia" w:ascii="仿宋" w:hAnsi="仿宋" w:eastAsia="仿宋" w:cs="仿宋"/>
          <w:b w:val="0"/>
          <w:bCs w:val="0"/>
          <w:kern w:val="0"/>
          <w:sz w:val="32"/>
          <w:szCs w:val="32"/>
          <w:lang w:eastAsia="zh-CN"/>
        </w:rPr>
        <w:t>业务培训、统计产品印制项目都是基于统计各专业的培训、资料印</w:t>
      </w:r>
      <w:r>
        <w:rPr>
          <w:rFonts w:hint="eastAsia" w:ascii="仿宋" w:hAnsi="仿宋" w:eastAsia="仿宋" w:cs="仿宋"/>
          <w:b w:val="0"/>
          <w:bCs w:val="0"/>
          <w:color w:val="auto"/>
          <w:kern w:val="0"/>
          <w:sz w:val="32"/>
          <w:szCs w:val="32"/>
          <w:lang w:eastAsia="zh-CN"/>
        </w:rPr>
        <w:t>制工作的整合，是由每年工作任务中的多个统计业务组成，整合后的项目</w:t>
      </w:r>
      <w:r>
        <w:rPr>
          <w:rFonts w:hint="eastAsia" w:ascii="仿宋" w:hAnsi="仿宋" w:eastAsia="仿宋" w:cs="仿宋"/>
          <w:b w:val="0"/>
          <w:bCs w:val="0"/>
          <w:color w:val="auto"/>
          <w:kern w:val="0"/>
          <w:sz w:val="32"/>
          <w:szCs w:val="32"/>
          <w:lang w:val="en-US" w:eastAsia="zh-CN"/>
        </w:rPr>
        <w:t>资金投入较少。二是</w:t>
      </w:r>
      <w:r>
        <w:rPr>
          <w:rFonts w:hint="eastAsia" w:ascii="仿宋" w:hAnsi="仿宋" w:eastAsia="仿宋" w:cs="仿宋"/>
          <w:b w:val="0"/>
          <w:bCs w:val="0"/>
          <w:color w:val="auto"/>
          <w:kern w:val="0"/>
          <w:sz w:val="32"/>
          <w:szCs w:val="32"/>
        </w:rPr>
        <w:t>随着深化统计改革不断推进，统计工作面临新形势新要求新任务，</w:t>
      </w:r>
      <w:r>
        <w:rPr>
          <w:rFonts w:hint="eastAsia" w:ascii="仿宋" w:hAnsi="仿宋" w:eastAsia="仿宋" w:cs="仿宋"/>
          <w:b w:val="0"/>
          <w:bCs w:val="0"/>
          <w:color w:val="auto"/>
          <w:kern w:val="0"/>
          <w:sz w:val="32"/>
          <w:szCs w:val="32"/>
          <w:lang w:eastAsia="zh-CN"/>
        </w:rPr>
        <w:t>对各项业务工作都有了新的要求，对培训业务力度不只局限覆盖到区县一级，而是要提升对各部门的培训。三是统计信息化建设</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val="en-US" w:eastAsia="zh-CN"/>
        </w:rPr>
        <w:t>运维项目</w:t>
      </w:r>
      <w:r>
        <w:rPr>
          <w:rFonts w:hint="eastAsia" w:ascii="仿宋" w:hAnsi="仿宋" w:eastAsia="仿宋" w:cs="仿宋"/>
          <w:b w:val="0"/>
          <w:bCs w:val="0"/>
          <w:kern w:val="0"/>
          <w:sz w:val="32"/>
          <w:szCs w:val="32"/>
          <w:lang w:eastAsia="zh-CN"/>
        </w:rPr>
        <w:t>编制采购计划实操性不强</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中心机房的所有软硬设备老化或者故障，都属于运维经费列支范围，可能存在采购计划预算不精准情况</w:t>
      </w:r>
      <w:r>
        <w:rPr>
          <w:rFonts w:hint="eastAsia" w:ascii="仿宋" w:hAnsi="仿宋" w:eastAsia="仿宋" w:cs="仿宋"/>
          <w:b w:val="0"/>
          <w:bCs w:val="0"/>
          <w:snapToGrid w:val="0"/>
          <w:kern w:val="0"/>
          <w:sz w:val="32"/>
          <w:szCs w:val="32"/>
          <w:lang w:eastAsia="zh-CN"/>
        </w:rPr>
        <w:t>，而统计数据的安全又是整个统计工作的核心工作，</w:t>
      </w:r>
      <w:r>
        <w:rPr>
          <w:rFonts w:hint="eastAsia" w:ascii="仿宋" w:hAnsi="仿宋" w:eastAsia="仿宋" w:cs="仿宋"/>
          <w:b w:val="0"/>
          <w:bCs w:val="0"/>
          <w:kern w:val="0"/>
          <w:sz w:val="32"/>
          <w:szCs w:val="32"/>
          <w:lang w:eastAsia="zh-CN"/>
        </w:rPr>
        <w:t>保障力度不到位。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color w:val="000000"/>
          <w:sz w:val="32"/>
          <w:szCs w:val="32"/>
        </w:rPr>
        <w:t>一是强化</w:t>
      </w:r>
      <w:r>
        <w:rPr>
          <w:rFonts w:hint="eastAsia" w:ascii="仿宋" w:hAnsi="仿宋" w:eastAsia="仿宋" w:cs="仿宋"/>
          <w:b w:val="0"/>
          <w:bCs w:val="0"/>
          <w:color w:val="000000"/>
          <w:sz w:val="32"/>
          <w:szCs w:val="32"/>
          <w:lang w:eastAsia="zh-CN"/>
        </w:rPr>
        <w:t>预算和绩效管理。目前的预算管理模式存在难操作，部门预算的预算科目不能满足日常机关运转经费，政策依据和预算科目不匹配，造成预算执行度难度增加，绩效管理难以有实质性效果。二是</w:t>
      </w:r>
      <w:r>
        <w:rPr>
          <w:rFonts w:hint="eastAsia" w:ascii="仿宋" w:hAnsi="仿宋" w:eastAsia="仿宋" w:cs="仿宋"/>
          <w:b w:val="0"/>
          <w:bCs w:val="0"/>
          <w:sz w:val="32"/>
          <w:szCs w:val="32"/>
          <w:highlight w:val="none"/>
          <w:lang w:val="en-US" w:eastAsia="zh-CN"/>
        </w:rPr>
        <w:t>结合部门职能职责、中长期规划和年度工作计划，采取定量和定性相结合的方式，设置完整、合理、清晰、明确细化且具有可衡量</w:t>
      </w:r>
      <w:r>
        <w:rPr>
          <w:rFonts w:hint="eastAsia" w:ascii="仿宋" w:hAnsi="仿宋" w:eastAsia="仿宋" w:cs="仿宋"/>
          <w:sz w:val="32"/>
          <w:szCs w:val="32"/>
          <w:highlight w:val="none"/>
          <w:lang w:val="en-US" w:eastAsia="zh-CN"/>
        </w:rPr>
        <w:t>性的绩效目标和指标。</w:t>
      </w:r>
    </w:p>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3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lang w:val="en-US" w:eastAsia="zh-CN"/>
        </w:rPr>
        <w:t>附件：</w:t>
      </w:r>
      <w:r>
        <w:rPr>
          <w:rFonts w:hint="eastAsia" w:ascii="仿宋" w:hAnsi="仿宋" w:eastAsia="仿宋" w:cs="仿宋"/>
          <w:sz w:val="32"/>
          <w:szCs w:val="32"/>
          <w:highlight w:val="none"/>
          <w:lang w:val="en-US" w:eastAsia="zh-CN"/>
        </w:rPr>
        <w:t>市统计</w:t>
      </w:r>
      <w:r>
        <w:rPr>
          <w:rFonts w:hint="eastAsia" w:ascii="仿宋" w:hAnsi="仿宋" w:eastAsia="仿宋" w:cs="仿宋"/>
          <w:color w:val="auto"/>
          <w:kern w:val="2"/>
          <w:sz w:val="32"/>
          <w:szCs w:val="32"/>
          <w:highlight w:val="none"/>
          <w:lang w:val="en-US" w:eastAsia="zh-CN" w:bidi="ar-SA"/>
        </w:rPr>
        <w:t>局2021年统计工作专项经费项目</w:t>
      </w:r>
      <w:r>
        <w:rPr>
          <w:rFonts w:hint="eastAsia" w:ascii="仿宋" w:hAnsi="仿宋" w:eastAsia="仿宋" w:cs="仿宋"/>
          <w:sz w:val="32"/>
          <w:szCs w:val="32"/>
          <w:highlight w:val="none"/>
          <w:lang w:val="en-US" w:eastAsia="zh-CN"/>
        </w:rPr>
        <w:t>绩效指标</w:t>
      </w:r>
    </w:p>
    <w:p>
      <w:pPr>
        <w:pStyle w:val="2"/>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sz w:val="32"/>
          <w:szCs w:val="32"/>
          <w:highlight w:val="none"/>
          <w:lang w:val="en-US" w:eastAsia="zh-CN"/>
        </w:rPr>
      </w:pPr>
    </w:p>
    <w:p>
      <w:pPr>
        <w:pStyle w:val="2"/>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sz w:val="32"/>
          <w:szCs w:val="32"/>
          <w:highlight w:val="none"/>
          <w:lang w:val="en-US" w:eastAsia="zh-CN"/>
        </w:rPr>
      </w:pPr>
    </w:p>
    <w:p>
      <w:pPr>
        <w:pStyle w:val="2"/>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广元市统计局</w:t>
      </w:r>
    </w:p>
    <w:p>
      <w:pPr>
        <w:pStyle w:val="2"/>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2022年9月14日</w:t>
      </w:r>
    </w:p>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tbl>
      <w:tblPr>
        <w:tblStyle w:val="14"/>
        <w:tblpPr w:leftFromText="180" w:rightFromText="180" w:vertAnchor="text" w:horzAnchor="page" w:tblpX="1281" w:tblpY="660"/>
        <w:tblOverlap w:val="never"/>
        <w:tblW w:w="9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9"/>
        <w:gridCol w:w="690"/>
        <w:gridCol w:w="1275"/>
        <w:gridCol w:w="2235"/>
        <w:gridCol w:w="1725"/>
        <w:gridCol w:w="1950"/>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379"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黑体" w:hAnsi="黑体" w:eastAsia="黑体" w:cs="黑体"/>
                <w:b/>
                <w:i w:val="0"/>
                <w:color w:val="auto"/>
                <w:sz w:val="32"/>
                <w:szCs w:val="32"/>
                <w:highlight w:val="none"/>
                <w:u w:val="none"/>
                <w:lang w:val="en-US" w:eastAsia="zh-CN"/>
              </w:rPr>
            </w:pPr>
            <w:r>
              <w:rPr>
                <w:rFonts w:hint="eastAsia" w:ascii="黑体" w:hAnsi="黑体" w:eastAsia="黑体" w:cs="黑体"/>
                <w:b w:val="0"/>
                <w:bCs w:val="0"/>
                <w:color w:val="auto"/>
                <w:kern w:val="0"/>
                <w:sz w:val="32"/>
                <w:szCs w:val="32"/>
                <w:highlight w:val="none"/>
                <w:shd w:val="clear" w:color="auto" w:fill="FFFFFF"/>
                <w:lang w:val="zh-CN"/>
              </w:rPr>
              <w:t>附表</w:t>
            </w: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36"/>
                <w:szCs w:val="36"/>
                <w:highlight w:val="none"/>
                <w:u w:val="none"/>
                <w:lang w:val="en-US" w:eastAsia="zh-CN"/>
              </w:rPr>
              <w:t>全国第七次人口普查经费项目绩效目标自评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54" w:hRule="atLeast"/>
        </w:trPr>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317001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41" w:hRule="atLeast"/>
        </w:trPr>
        <w:tc>
          <w:tcPr>
            <w:tcW w:w="21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55" w:hRule="atLeast"/>
        </w:trPr>
        <w:tc>
          <w:tcPr>
            <w:tcW w:w="2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41" w:hRule="atLeast"/>
        </w:trPr>
        <w:tc>
          <w:tcPr>
            <w:tcW w:w="2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17"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97"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完成2021年度第七次人口普查相关工作，主要是PAD数据汇总、审核、数据质量核查、数据分析挖掘系统、公报印制等相关经费</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完成2021年度第七次人口普查相关工作，主要是PAD数据汇总、审核、数据质量核查、数据分析挖掘系统、公报印制等相关经费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93" w:hRule="atLeast"/>
        </w:trPr>
        <w:tc>
          <w:tcPr>
            <w:tcW w:w="14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6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27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数量指标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完成人口普查相关业务培训会议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3次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27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PDA数据汇总量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350000条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350000条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27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数据资料、手册、公报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50本</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50本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质量指标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全面客观反映我国人口发展状况，数据利用率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时效指标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普查准备、实施、数据审核应用开发，一个普查开展三年。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成本指标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人口普查会议费5次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17万元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培训费5次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20万元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人普宣传费、数据处理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10万元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普查数据产品印制公报、资料应用、手册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13万元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14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社会效益  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全面查清我国人口数量、结构、分布、城乡住房等方面的数据覆盖率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可持续影响 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提供科学准确的统计信息支持，数据利用率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30" w:hRule="atLeast"/>
        </w:trPr>
        <w:tc>
          <w:tcPr>
            <w:tcW w:w="14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 xml:space="preserve"> </w:t>
            </w:r>
            <w:r>
              <w:rPr>
                <w:rFonts w:hint="eastAsia" w:ascii="仿宋" w:hAnsi="仿宋" w:eastAsia="仿宋" w:cs="宋体"/>
                <w:color w:val="000000"/>
                <w:sz w:val="24"/>
              </w:rPr>
              <w:t>普查用户认可度和被普查对象认可度</w:t>
            </w:r>
            <w:r>
              <w:rPr>
                <w:rFonts w:hint="eastAsia" w:ascii="仿宋" w:hAnsi="仿宋" w:eastAsia="仿宋" w:cs="宋体"/>
                <w:color w:val="000000"/>
                <w:sz w:val="24"/>
                <w:lang w:eastAsia="zh-CN"/>
              </w:rPr>
              <w:t>、政府及社会各界对普查认可度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bl>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广元市统计局</w:t>
      </w:r>
    </w:p>
    <w:p>
      <w:pPr>
        <w:keepNext w:val="0"/>
        <w:keepLines w:val="0"/>
        <w:pageBreakBefore w:val="0"/>
        <w:widowControl w:val="0"/>
        <w:kinsoku/>
        <w:wordWrap/>
        <w:overflowPunct/>
        <w:topLinePunct w:val="0"/>
        <w:autoSpaceDE/>
        <w:autoSpaceDN/>
        <w:bidi w:val="0"/>
        <w:adjustRightInd/>
        <w:snapToGrid/>
        <w:spacing w:line="740" w:lineRule="exact"/>
        <w:ind w:firstLine="440" w:firstLineChars="1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2021年统计调查专项经费专项支出绩效</w:t>
      </w:r>
    </w:p>
    <w:p>
      <w:pPr>
        <w:keepNext w:val="0"/>
        <w:keepLines w:val="0"/>
        <w:pageBreakBefore w:val="0"/>
        <w:widowControl w:val="0"/>
        <w:kinsoku/>
        <w:wordWrap/>
        <w:overflowPunct/>
        <w:topLinePunct w:val="0"/>
        <w:autoSpaceDE/>
        <w:autoSpaceDN/>
        <w:bidi w:val="0"/>
        <w:adjustRightInd/>
        <w:snapToGrid/>
        <w:spacing w:line="740" w:lineRule="exact"/>
        <w:ind w:firstLine="3520" w:firstLineChars="8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lang w:val="zh-CN" w:eastAsia="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val="zh-CN" w:eastAsia="zh-CN"/>
        </w:rPr>
        <w:t>1</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zh-CN" w:eastAsia="zh-CN"/>
        </w:rPr>
        <w:t>项目资金申报及批复情况。</w:t>
      </w:r>
      <w:r>
        <w:rPr>
          <w:rFonts w:hint="eastAsia" w:ascii="仿宋" w:hAnsi="仿宋" w:eastAsia="仿宋" w:cs="仿宋"/>
          <w:b w:val="0"/>
          <w:bCs w:val="0"/>
          <w:color w:val="000000"/>
          <w:sz w:val="32"/>
          <w:szCs w:val="32"/>
          <w:lang w:eastAsia="zh-CN"/>
        </w:rPr>
        <w:t>2021年度，我局部门预算项目申报及批复统计专项调查经费16.28万元。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zh-CN" w:eastAsia="zh-CN"/>
        </w:rPr>
        <w:t>项目立项、资金申报的依据。我单位申报的项目为部门预算下达的项目工作经费，都是经常性开展的统计专项业务经费，各项目内容与具体实施内容相符、申报目标严格按照预算管理和绩效评级相关指标定义合理设置的，项目实施可行性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3.</w:t>
      </w:r>
      <w:r>
        <w:rPr>
          <w:rFonts w:hint="eastAsia" w:ascii="仿宋" w:hAnsi="仿宋" w:eastAsia="仿宋" w:cs="仿宋"/>
          <w:b w:val="0"/>
          <w:bCs w:val="0"/>
          <w:color w:val="000000"/>
          <w:sz w:val="32"/>
          <w:szCs w:val="32"/>
          <w:lang w:val="zh-CN" w:eastAsia="zh-CN"/>
        </w:rPr>
        <w:t>资金管理办法制定按市统计局财务管理制度和预算管理制度、专项补助资金管理实施办法进行管理，</w:t>
      </w:r>
      <w:r>
        <w:rPr>
          <w:rFonts w:hint="eastAsia" w:ascii="仿宋" w:hAnsi="仿宋" w:eastAsia="仿宋" w:cs="仿宋"/>
          <w:b w:val="0"/>
          <w:bCs w:val="0"/>
          <w:color w:val="000000"/>
          <w:sz w:val="32"/>
          <w:szCs w:val="32"/>
          <w:lang w:eastAsia="zh-CN"/>
        </w:rPr>
        <w:t>我局预算执行到位，做到了财务公开、会计核算真实、规范，没有截留、挪用财政资金、擅自扩大或缩小资金使用范围、改变资金用途等现象，未在项目申报中弄虚作假，套取财政资金，保证了专项资金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4.</w:t>
      </w:r>
      <w:r>
        <w:rPr>
          <w:rFonts w:hint="eastAsia" w:ascii="仿宋" w:hAnsi="仿宋" w:eastAsia="仿宋" w:cs="仿宋"/>
          <w:b w:val="0"/>
          <w:bCs w:val="0"/>
          <w:color w:val="000000"/>
          <w:sz w:val="32"/>
          <w:szCs w:val="32"/>
          <w:lang w:val="zh-CN" w:eastAsia="zh-CN"/>
        </w:rPr>
        <w:t>资金分配的原则及考虑因素。资金分配原则按照年初预算各科室实施工作任务申报的事前项目绩效申报情况经局党组会讨论研究，并结合</w:t>
      </w:r>
      <w:r>
        <w:rPr>
          <w:rFonts w:hint="eastAsia" w:ascii="仿宋" w:hAnsi="仿宋" w:eastAsia="仿宋" w:cs="仿宋"/>
          <w:b w:val="0"/>
          <w:bCs w:val="0"/>
          <w:color w:val="000000"/>
          <w:sz w:val="32"/>
          <w:szCs w:val="32"/>
          <w:lang w:eastAsia="zh-CN"/>
        </w:rPr>
        <w:t>2021年全年重点工作对资金进行上报和分配。</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val="zh-CN" w:eastAsia="zh-CN"/>
        </w:rPr>
        <w:t>1</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zh-CN" w:eastAsia="zh-CN"/>
        </w:rPr>
        <w:t>项目主要内容。</w:t>
      </w:r>
      <w:r>
        <w:rPr>
          <w:rFonts w:hint="eastAsia" w:ascii="仿宋" w:hAnsi="仿宋" w:eastAsia="仿宋" w:cs="仿宋"/>
          <w:b w:val="0"/>
          <w:bCs w:val="0"/>
          <w:color w:val="000000"/>
          <w:sz w:val="32"/>
          <w:szCs w:val="32"/>
          <w:lang w:eastAsia="zh-CN"/>
        </w:rPr>
        <w:t>完成2021年度规下服务业和限下批零住餐业抽样调查、能源统计监测、劳动力抽样调查、全省企业景气调查、企业创新工作调查、社情民意调查、健康、养老服务业调查经费、人口变动调查培训、劳动力工资调查、文化旅游产业发展调查</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zh-CN" w:eastAsia="zh-CN"/>
        </w:rPr>
        <w:t>项目应实现的具体绩效目标，包括项目的数量指标、质量指标、实效指标、成本指标等几个部分组成，三级指标设计都进行了量化和细化，情况以及项目实施进度计划等。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3</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zh-CN" w:eastAsia="zh-CN"/>
        </w:rPr>
        <w:t>本项目绩效目标申报内容与实际相符，申报目标设置为七个二级指标，十个三级指标，相对合理可行。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本项目为我单位部门职能范围内业务工作，属于部门预算内项目，是按照部门职责相关规定及统计行业政策、行业标准及统计专业技术规范进行绩效自评，采用的组织实施步骤为年初申报项目绩效时，由各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该项目资金申报、批复及预算调整等程序均按部门预算相关规定按时执行。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1.</w:t>
      </w:r>
      <w:r>
        <w:rPr>
          <w:rFonts w:hint="eastAsia" w:ascii="仿宋" w:hAnsi="仿宋" w:eastAsia="仿宋" w:cs="仿宋"/>
          <w:b w:val="0"/>
          <w:bCs w:val="0"/>
          <w:color w:val="000000"/>
          <w:sz w:val="32"/>
          <w:szCs w:val="32"/>
          <w:lang w:val="zh-CN" w:eastAsia="zh-CN"/>
        </w:rPr>
        <w:t>资金计划及到位。</w:t>
      </w:r>
      <w:r>
        <w:rPr>
          <w:rFonts w:hint="eastAsia" w:ascii="仿宋" w:hAnsi="仿宋" w:eastAsia="仿宋" w:cs="仿宋"/>
          <w:b w:val="0"/>
          <w:bCs w:val="0"/>
          <w:color w:val="000000"/>
          <w:sz w:val="32"/>
          <w:szCs w:val="32"/>
          <w:lang w:eastAsia="zh-CN"/>
        </w:rPr>
        <w:t>2021年度市本级财政下拨我局专项资金共计16.28万元。资金到位及时，到位率100%。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eastAsia="zh-CN"/>
        </w:rPr>
        <w:t>2.</w:t>
      </w:r>
      <w:r>
        <w:rPr>
          <w:rFonts w:hint="eastAsia" w:ascii="仿宋" w:hAnsi="仿宋" w:eastAsia="仿宋" w:cs="仿宋"/>
          <w:b w:val="0"/>
          <w:bCs w:val="0"/>
          <w:color w:val="000000"/>
          <w:sz w:val="32"/>
          <w:szCs w:val="32"/>
          <w:lang w:val="zh-CN" w:eastAsia="zh-CN"/>
        </w:rPr>
        <w:t>资金使用。</w:t>
      </w:r>
      <w:r>
        <w:rPr>
          <w:rFonts w:hint="eastAsia" w:ascii="仿宋" w:hAnsi="仿宋" w:eastAsia="仿宋" w:cs="仿宋"/>
          <w:b w:val="0"/>
          <w:bCs w:val="0"/>
          <w:color w:val="000000"/>
          <w:sz w:val="32"/>
          <w:szCs w:val="32"/>
          <w:lang w:eastAsia="zh-CN"/>
        </w:rPr>
        <w:t>项目全年预算16.28万元，执行数16.28万元，完成预算100%。通过项目实施完成2020年度对规下服务业和限下批零住餐抽样调查、能源统计监测、劳动力抽样调查、社情民意调查、健康、养老服务业调查经费、人口变动调查等专项统计业务。</w:t>
      </w:r>
      <w:r>
        <w:rPr>
          <w:rFonts w:hint="eastAsia" w:ascii="仿宋" w:hAnsi="仿宋" w:eastAsia="仿宋" w:cs="仿宋"/>
          <w:b w:val="0"/>
          <w:bCs w:val="0"/>
          <w:color w:val="000000"/>
          <w:sz w:val="32"/>
          <w:szCs w:val="32"/>
          <w:lang w:val="zh-CN" w:eastAsia="zh-CN"/>
        </w:rPr>
        <w:t>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（一）项目组织架构及实施流程。</w:t>
      </w:r>
    </w:p>
    <w:p>
      <w:pPr>
        <w:pStyle w:val="2"/>
        <w:rPr>
          <w:rFonts w:hint="eastAsia" w:ascii="仿宋" w:hAnsi="仿宋" w:eastAsia="仿宋" w:cs="仿宋"/>
          <w:b w:val="0"/>
          <w:bCs w:val="0"/>
          <w:color w:val="000000"/>
          <w:sz w:val="32"/>
          <w:szCs w:val="32"/>
          <w:lang w:val="zh-CN" w:eastAsia="zh-CN"/>
        </w:rPr>
      </w:pPr>
    </w:p>
    <w:p>
      <w:pPr>
        <w:pStyle w:val="2"/>
        <w:rPr>
          <w:rFonts w:hint="eastAsia" w:ascii="仿宋" w:hAnsi="仿宋" w:eastAsia="仿宋" w:cs="仿宋"/>
          <w:b w:val="0"/>
          <w:bCs w:val="0"/>
          <w:color w:val="000000"/>
          <w:sz w:val="32"/>
          <w:szCs w:val="32"/>
          <w:lang w:val="zh-CN" w:eastAsia="zh-CN"/>
        </w:rPr>
      </w:pPr>
      <w:r>
        <w:rPr>
          <w:rFonts w:ascii="宋体" w:hAnsi="宋体" w:eastAsia="宋体" w:cs="宋体"/>
          <w:kern w:val="0"/>
          <w:sz w:val="24"/>
          <w:szCs w:val="24"/>
        </w:rPr>
        <w:drawing>
          <wp:inline distT="0" distB="0" distL="114300" distR="114300">
            <wp:extent cx="5469255" cy="1564640"/>
            <wp:effectExtent l="0" t="0" r="17145" b="16510"/>
            <wp:docPr id="16" name="图片 1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true"/>
                    </pic:cNvPicPr>
                  </pic:nvPicPr>
                  <pic:blipFill>
                    <a:blip r:embed="rId18"/>
                    <a:stretch>
                      <a:fillRect/>
                    </a:stretch>
                  </pic:blipFill>
                  <pic:spPr>
                    <a:xfrm>
                      <a:off x="0" y="0"/>
                      <a:ext cx="5469255" cy="1564640"/>
                    </a:xfrm>
                    <a:prstGeom prst="rect">
                      <a:avLst/>
                    </a:prstGeom>
                    <a:noFill/>
                    <a:ln w="9525">
                      <a:noFill/>
                    </a:ln>
                  </pic:spPr>
                </pic:pic>
              </a:graphicData>
            </a:graphic>
          </wp:inline>
        </w:drawing>
      </w:r>
    </w:p>
    <w:p>
      <w:pPr>
        <w:pStyle w:val="2"/>
        <w:rPr>
          <w:rFonts w:hint="eastAsia" w:ascii="仿宋" w:hAnsi="仿宋" w:eastAsia="仿宋" w:cs="仿宋"/>
          <w:b w:val="0"/>
          <w:bCs w:val="0"/>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（二）项目管理情况。</w:t>
      </w:r>
      <w:r>
        <w:rPr>
          <w:rFonts w:hint="eastAsia" w:ascii="仿宋" w:hAnsi="仿宋" w:eastAsia="仿宋" w:cs="仿宋"/>
          <w:b w:val="0"/>
          <w:bCs w:val="0"/>
          <w:color w:val="000000"/>
          <w:sz w:val="32"/>
          <w:szCs w:val="32"/>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（三）项目监管情况</w:t>
      </w:r>
      <w:r>
        <w:rPr>
          <w:rFonts w:hint="eastAsia" w:ascii="仿宋" w:hAnsi="仿宋" w:eastAsia="仿宋" w:cs="仿宋"/>
          <w:b w:val="0"/>
          <w:bCs w:val="0"/>
          <w:color w:val="000000"/>
          <w:sz w:val="32"/>
          <w:szCs w:val="32"/>
          <w:lang w:val="zh-CN" w:eastAsia="zh-CN"/>
        </w:rPr>
        <w:t>。项目实施是统计局各业务科室根据年度工作计划开展，重点围绕统计专项业务工作开展情况进行分析评价，并对自评中发现的问题分析说明，由资金管理部门局办公室进行项目实施进度监管、提醒，确保项目执行进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四、项目绩效情况</w:t>
      </w:r>
      <w:r>
        <w:rPr>
          <w:rFonts w:hint="eastAsia" w:ascii="黑体" w:hAnsi="黑体" w:eastAsia="黑体" w:cs="黑体"/>
          <w:b w:val="0"/>
          <w:bCs w:val="0"/>
          <w:color w:val="000000"/>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完成2021年度规下服务业和限下批零住餐业抽样调查、能源统计监测、劳动力抽样调查、全省企业景气调查、企业创新工作调查、社情民意调查、健康、养老服务业调查经费、人口变动调查培训、劳动力工资调查、文化旅游产业发展调查二是完成了限下批零住餐抽样调查213个单位，规下服务业77个单位；广元企业创新调查共调查企业900个单位，其中规上846，规下54（有效样本）；企业研发调查企业615个，其中规上600，规下15（有效样本）；共有报表单位105个，有效单位64个，主要调查内容为调查单位经营情况，和调查单位问卷调查；完成电子记账摸底调查工作，摸底调查数据汇总统计工作；12月中旬国家统计局电子记账操作平台基本完善数据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的实施紧扣统计调查专项，精心组织统计调查。认真执行各项统计调查制度及标准，组织实施了国民经济各领域2020年统计年报和2021年定期报表制度，有序推进国民经济核算、能耗核算、民营经济核算等40余项常规统计调查，贸经、服务业、名录库等多项专业统计在全省工作会议上通报表扬，工业统计在全省工作会上交流发言，省统计局来函表扬统计执法监督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我局该项目预算执行到位，做到了财务公开、会计核算真实、规范，没有截留、挪用财政资金、擅自扩大或缩小资金使用范围、改变资金用途等现象，未在项目申报中弄虚作假，套取财政资金，保证了专项资金专款专用。对照《部门项目支出绩效评价指标体系》，我局2021年统计调查专项支出绩效自评自评得分100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统计业务培训、统计产品印制项目都是基于统计各专业的培训、资料印制工作的整合，是由每年工作任务中的多个统计业务组成，整合后的项目资金投入较少。二是随着深化统计改革不断推进，统计工作面临新形势新要求新任务，对各项业务工作都有了新的要求，对培训业务力度不只局限覆盖到区县一级，而是要提升对各部门的培训。三是统计信息化建设。运维项目编制采购计划实操性不强，中心机房的所有软硬设备老化或者故障，都属于运维经费列支范围，可能存在采购计划预算不精准情况，而统计数据的安全又是整个统计工作的核心工作，保障力度不到位。</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强化预算和绩效管理。目前的预算管理模式存在难操作，部门预算的预算科目不能满足日常机关运转经费，政策依据和预算科目不匹配，造成预算执行度难度增加，绩效管理难以有实质性效果。二是结合部门职能职责、中长期规</w:t>
      </w:r>
      <w:r>
        <w:rPr>
          <w:rFonts w:hint="eastAsia" w:ascii="仿宋" w:hAnsi="仿宋" w:eastAsia="仿宋" w:cs="仿宋"/>
          <w:b w:val="0"/>
          <w:bCs w:val="0"/>
          <w:color w:val="000000"/>
          <w:spacing w:val="-6"/>
          <w:sz w:val="32"/>
          <w:szCs w:val="32"/>
          <w:lang w:val="zh-CN" w:eastAsia="zh-CN"/>
        </w:rPr>
        <w:t>划和年度工作计划，采取定量和定性相结合的方式，设置完整、合理、清晰、明确细化且具有可衡量性的绩效目标和指标</w:t>
      </w:r>
      <w:r>
        <w:rPr>
          <w:rFonts w:hint="eastAsia" w:ascii="仿宋" w:hAnsi="仿宋" w:eastAsia="仿宋" w:cs="仿宋"/>
          <w:b w:val="0"/>
          <w:bCs w:val="0"/>
          <w:color w:val="00000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pacing w:val="-11"/>
          <w:sz w:val="32"/>
          <w:szCs w:val="32"/>
          <w:lang w:val="zh-CN" w:eastAsia="zh-CN"/>
        </w:rPr>
      </w:pPr>
      <w:r>
        <w:rPr>
          <w:rFonts w:hint="eastAsia" w:ascii="仿宋" w:hAnsi="仿宋" w:eastAsia="仿宋" w:cs="仿宋"/>
          <w:b w:val="0"/>
          <w:bCs w:val="0"/>
          <w:color w:val="000000"/>
          <w:spacing w:val="-11"/>
          <w:sz w:val="32"/>
          <w:szCs w:val="32"/>
          <w:lang w:val="zh-CN" w:eastAsia="zh-CN"/>
        </w:rPr>
        <w:t>附件：202</w:t>
      </w:r>
      <w:r>
        <w:rPr>
          <w:rFonts w:hint="eastAsia" w:ascii="仿宋" w:hAnsi="仿宋" w:eastAsia="仿宋" w:cs="仿宋"/>
          <w:b w:val="0"/>
          <w:bCs w:val="0"/>
          <w:color w:val="000000"/>
          <w:spacing w:val="-11"/>
          <w:sz w:val="32"/>
          <w:szCs w:val="32"/>
          <w:lang w:val="en-US" w:eastAsia="zh-CN"/>
        </w:rPr>
        <w:t>1</w:t>
      </w:r>
      <w:r>
        <w:rPr>
          <w:rFonts w:hint="eastAsia" w:ascii="仿宋" w:hAnsi="仿宋" w:eastAsia="仿宋" w:cs="仿宋"/>
          <w:b w:val="0"/>
          <w:bCs w:val="0"/>
          <w:color w:val="000000"/>
          <w:spacing w:val="-11"/>
          <w:sz w:val="32"/>
          <w:szCs w:val="32"/>
          <w:lang w:val="zh-CN" w:eastAsia="zh-CN"/>
        </w:rPr>
        <w:t>年市统计局统计调查专项经费支出绩效指标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pStyle w:val="2"/>
        <w:spacing w:line="576" w:lineRule="exact"/>
        <w:rPr>
          <w:rFonts w:hint="eastAsia" w:ascii="仿宋" w:hAnsi="仿宋" w:eastAsia="仿宋" w:cs="仿宋"/>
          <w:sz w:val="32"/>
          <w:szCs w:val="32"/>
          <w:lang w:val="en-US"/>
        </w:rPr>
      </w:pPr>
      <w:r>
        <w:rPr>
          <w:rFonts w:hint="eastAsia" w:ascii="仿宋" w:hAnsi="仿宋" w:eastAsia="仿宋" w:cs="仿宋"/>
          <w:sz w:val="32"/>
          <w:szCs w:val="32"/>
          <w:lang w:val="en-US"/>
        </w:rPr>
        <w:t xml:space="preserve">                              广元市统计局 </w:t>
      </w:r>
    </w:p>
    <w:p>
      <w:pPr>
        <w:pStyle w:val="2"/>
        <w:spacing w:line="576" w:lineRule="exact"/>
        <w:ind w:firstLine="4480" w:firstLineChars="1400"/>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 w:hAnsi="仿宋" w:eastAsia="仿宋" w:cs="仿宋"/>
          <w:color w:val="auto"/>
          <w:sz w:val="32"/>
          <w:szCs w:val="32"/>
          <w:lang w:val="en-US"/>
        </w:rPr>
        <w:t xml:space="preserve"> 2022年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val="en-US"/>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lang w:val="en-US"/>
        </w:rPr>
        <w:t>日</w:t>
      </w:r>
    </w:p>
    <w:p>
      <w:pPr>
        <w:pStyle w:val="2"/>
        <w:spacing w:line="576" w:lineRule="exact"/>
        <w:rPr>
          <w:rFonts w:ascii="仿宋" w:hAnsi="仿宋" w:eastAsia="仿宋" w:cs="仿宋"/>
          <w:sz w:val="32"/>
          <w:szCs w:val="32"/>
          <w:lang w:val="en-US"/>
        </w:rPr>
      </w:pPr>
    </w:p>
    <w:tbl>
      <w:tblPr>
        <w:tblStyle w:val="14"/>
        <w:tblpPr w:leftFromText="180" w:rightFromText="180" w:vertAnchor="text" w:horzAnchor="page" w:tblpX="1281" w:tblpY="660"/>
        <w:tblOverlap w:val="never"/>
        <w:tblW w:w="10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9"/>
        <w:gridCol w:w="615"/>
        <w:gridCol w:w="1230"/>
        <w:gridCol w:w="236"/>
        <w:gridCol w:w="2134"/>
        <w:gridCol w:w="1725"/>
        <w:gridCol w:w="236"/>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125"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320" w:firstLineChars="100"/>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en-US" w:eastAsia="zh-CN"/>
              </w:rPr>
            </w:pPr>
            <w:r>
              <w:rPr>
                <w:rFonts w:hint="eastAsia" w:ascii="仿宋" w:hAnsi="仿宋" w:eastAsia="仿宋" w:cs="仿宋"/>
                <w:sz w:val="32"/>
                <w:szCs w:val="32"/>
                <w:lang w:val="en-US"/>
              </w:rPr>
              <w:t xml:space="preserve"> </w:t>
            </w:r>
            <w:r>
              <w:rPr>
                <w:rFonts w:hint="eastAsia" w:ascii="黑体" w:hAnsi="黑体" w:eastAsia="黑体" w:cs="黑体"/>
                <w:b w:val="0"/>
                <w:bCs w:val="0"/>
                <w:color w:val="auto"/>
                <w:kern w:val="0"/>
                <w:sz w:val="32"/>
                <w:szCs w:val="32"/>
                <w:highlight w:val="none"/>
                <w:shd w:val="clear" w:color="auto" w:fill="FFFFFF"/>
                <w:lang w:val="zh-CN"/>
              </w:rPr>
              <w:t>附表</w:t>
            </w:r>
            <w:r>
              <w:rPr>
                <w:rFonts w:hint="eastAsia" w:ascii="仿宋_GB2312" w:hAnsi="宋体" w:eastAsia="仿宋_GB2312" w:cs="宋体"/>
                <w:b w:val="0"/>
                <w:bCs w:val="0"/>
                <w:color w:val="auto"/>
                <w:kern w:val="0"/>
                <w:sz w:val="32"/>
                <w:szCs w:val="32"/>
                <w:highlight w:val="none"/>
                <w:shd w:val="clear" w:color="auto" w:fill="FFFFFF"/>
                <w:lang w:val="en-US" w:eastAsia="zh-CN"/>
              </w:rPr>
              <w:t xml:space="preserve">      </w:t>
            </w:r>
          </w:p>
          <w:p>
            <w:pPr>
              <w:pStyle w:val="2"/>
              <w:spacing w:line="576" w:lineRule="exact"/>
              <w:ind w:firstLine="2520" w:firstLineChars="700"/>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36"/>
                <w:szCs w:val="36"/>
                <w:highlight w:val="none"/>
                <w:u w:val="none"/>
                <w:lang w:val="en-US" w:eastAsia="zh-CN"/>
              </w:rPr>
              <w:t>统计调查专项经费绩效目标自评</w:t>
            </w:r>
            <w:r>
              <w:rPr>
                <w:rFonts w:hint="eastAsia" w:ascii="仿宋" w:hAnsi="仿宋" w:eastAsia="仿宋" w:cs="仿宋"/>
                <w:sz w:val="32"/>
                <w:szCs w:val="32"/>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317001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16.28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16.28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完成2021年度规下服务业和限下批零住餐业抽样调查、能源统计监测、劳动力抽样调查、全省企业景气调查、企业创新工作调查、社情民意调查、健康、养老服务业调查经费、人口变动调查培训、劳动力工资调查、文化旅游产业发展调查</w:t>
            </w:r>
          </w:p>
        </w:tc>
        <w:tc>
          <w:tcPr>
            <w:tcW w:w="442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完成2021年度规下服务业和限下批零住餐业抽样调查、能源统计监测、劳动力抽样调查、全省企业景气调查、企业创新工作调查、社情民意调查、健康、养老服务业调查经费、人口变动调查培训、劳动力工资调查、文化旅游产业发展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4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6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数量指标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完成规下服务业和限下批零住餐抽样调查单位213个</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限下批零住餐抽样调查213个单位，规下服务业77个单位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rPr>
              <w:t>限下批零住餐抽样调查213个单位，规下服务业77个单位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广元企业创新调查</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广元企业创新调查共调查企业900个单位，其中规上846，规下54（有效样本）</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广元企业创新调查共调查企业900个单位，其中规上846，规下54（有效样本）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企业研发调查企业</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企业研发调查企业615个，其中规上600，规下15（有效样本）</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企业研发调查企业615个，其中规上600，规下15（有效样本）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规模以下服务业抽样调查为季度报表</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共有报表单位105个，有效单位64个，主要调查内容为调查单位经营情况，和调查单位问卷调查</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共有报表单位105个，有效单位64个，主要调查内容为调查单位经营情况，和调查单位问卷调查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质量指标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（质量达标率）重大政策落实情况满意度绝对误差</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时效指标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（按期完成率）按规定时限完成调查任务；政策咨询建议及时提出并报告。</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成本指标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（成本标准）统计调查项目标准</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电访成本控制在15-25元/份，面访成本控制在50—200元/份。</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电访成本控制在15-25元/份，面访成本控制在50—200元/份。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社会效益  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（统计产品应用率）统计调查评价产品得到省委省政府和各级部门（单位）应用</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应用率达</w:t>
            </w:r>
            <w:r>
              <w:rPr>
                <w:rFonts w:hint="eastAsia" w:ascii="仿宋" w:hAnsi="仿宋" w:eastAsia="仿宋" w:cs="宋体"/>
                <w:color w:val="000000"/>
                <w:sz w:val="24"/>
              </w:rPr>
              <w:t>100%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应用率达</w:t>
            </w:r>
            <w:r>
              <w:rPr>
                <w:rFonts w:hint="eastAsia" w:ascii="仿宋" w:hAnsi="仿宋" w:eastAsia="仿宋"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可持续影响 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调查数据使用</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完成电子记账摸底调查工作，摸底调查数据汇总统计工作；12月中旬国家统计局电子记账操作平台基本完善数据</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完成电子记账摸底调查工作，摸底调查数据汇总统计工作；12月中旬国家统计局电子记账操作平台基本完善数据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4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 xml:space="preserve"> </w:t>
            </w:r>
            <w:r>
              <w:rPr>
                <w:rFonts w:hint="eastAsia" w:ascii="仿宋" w:hAnsi="仿宋" w:eastAsia="仿宋" w:cs="宋体"/>
                <w:color w:val="000000"/>
                <w:sz w:val="24"/>
              </w:rPr>
              <w:t>满意率）重大政策落实情况满意度调查获得用户认可度和被调查对象认可度</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bl>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广元市统计局</w:t>
      </w:r>
    </w:p>
    <w:p>
      <w:pPr>
        <w:keepNext w:val="0"/>
        <w:keepLines w:val="0"/>
        <w:pageBreakBefore w:val="0"/>
        <w:widowControl w:val="0"/>
        <w:kinsoku/>
        <w:wordWrap/>
        <w:overflowPunct/>
        <w:topLinePunct w:val="0"/>
        <w:autoSpaceDE/>
        <w:autoSpaceDN/>
        <w:bidi w:val="0"/>
        <w:adjustRightInd/>
        <w:snapToGrid/>
        <w:spacing w:line="740" w:lineRule="exact"/>
        <w:ind w:firstLine="440" w:firstLineChars="1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2021年统计等保测评信息化运维项目</w:t>
      </w: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绩效自评报告</w:t>
      </w:r>
    </w:p>
    <w:p>
      <w:pPr>
        <w:adjustRightInd w:val="0"/>
        <w:snapToGrid w:val="0"/>
        <w:spacing w:line="576" w:lineRule="exact"/>
        <w:ind w:firstLine="720"/>
        <w:rPr>
          <w:rFonts w:ascii="黑体" w:hAnsi="宋体" w:eastAsia="黑体"/>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1.项目资金申报及批复情况。2021年度，我局部门预算项目申报及批复项目统计信息化运维项目9万元。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项目立项、资金申报的依据。我单位申报的项目为部门预算下达的项目工作经费，都是经常性开展的统计专项业务经费，各项目内容与具体实施内容相符、申报目标严格按照预算管理和绩效评级相关指标定义合理设置的，项目实施可行性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3.资金管理办法制定按市统计局财务管理制度和预算管理制度、专项补助资金管理实施办法进行管理，我局预算执行到位，做到了财务公开、会计核算真实、规范，没有截留、挪用财政资金、擅自扩大或缩小资金使用范围、改变资金用途等现象，未在项目申报中弄虚作假，套取财政资金，保证了专项资金专款专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4.资金分配的原则及考虑因素。资金分配原则按照年初预算各科室实施工作任务申报的事前项目绩效申报情况经局党组会讨论研究，并结合2021年全年重点工作对资金进行上报和分配。</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项目主要内容。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2．项目应实现的具体绩效目标，包括项目的数量指标、质量指标、实效指标、成本指标等几个部分组成，三级指标设计都进行了量化和细化，情况以及项目实施进度计划等。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3．本项目绩效目标申报内容与实际相符，申报目标设置为七个二级指标，八个三级指标，相对合理可行。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本项目为我单位部门职能范围内业务工作，属于部门预算内项目，是按照部门职责相关规定及统计行业政策、行业标准及统计专业技术规范进行绩效自评，采用的组织实施步骤为年初申报项目绩效时，由各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720"/>
        <w:jc w:val="both"/>
        <w:textAlignment w:val="auto"/>
        <w:rPr>
          <w:rFonts w:hint="eastAsia" w:ascii="黑体" w:hAnsi="黑体" w:eastAsia="黑体" w:cs="黑体"/>
          <w:sz w:val="32"/>
          <w:szCs w:val="32"/>
          <w:lang w:val="zh-CN" w:eastAsia="zh-CN"/>
        </w:rPr>
      </w:pPr>
      <w:r>
        <w:rPr>
          <w:rFonts w:hint="eastAsia" w:ascii="黑体" w:hAnsi="黑体" w:eastAsia="黑体" w:cs="黑体"/>
          <w:b w:val="0"/>
          <w:bCs w:val="0"/>
          <w:color w:val="000000"/>
          <w:sz w:val="32"/>
          <w:szCs w:val="32"/>
          <w:lang w:val="zh-CN" w:eastAsia="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该项目资金申报、批复及预算调整等程序均按部门预算相关规定按时执行。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1.资金计划及到位。2021年度市本级财政下拨我局专项资金共计9.9万元。资金到位及时，到位率100%。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资金使用。项目全年预算9.9万元，执行数9.9万元，完成预算100%。通过项目实施完成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（一）项目组织架构及实施流程。</w:t>
      </w:r>
    </w:p>
    <w:p>
      <w:pPr>
        <w:widowControl/>
        <w:jc w:val="left"/>
      </w:pPr>
      <w:r>
        <w:rPr>
          <w:rFonts w:ascii="宋体" w:hAnsi="宋体" w:eastAsia="宋体" w:cs="宋体"/>
          <w:kern w:val="0"/>
          <w:sz w:val="24"/>
          <w:szCs w:val="24"/>
        </w:rPr>
        <w:drawing>
          <wp:inline distT="0" distB="0" distL="114300" distR="114300">
            <wp:extent cx="5469255" cy="1564640"/>
            <wp:effectExtent l="0" t="0" r="17145" b="16510"/>
            <wp:docPr id="17" name="图片 17"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true"/>
                    </pic:cNvPicPr>
                  </pic:nvPicPr>
                  <pic:blipFill>
                    <a:blip r:embed="rId18"/>
                    <a:stretch>
                      <a:fillRect/>
                    </a:stretch>
                  </pic:blipFill>
                  <pic:spPr>
                    <a:xfrm>
                      <a:off x="0" y="0"/>
                      <a:ext cx="5469255" cy="1564640"/>
                    </a:xfrm>
                    <a:prstGeom prst="rect">
                      <a:avLst/>
                    </a:prstGeom>
                    <a:noFill/>
                    <a:ln w="9525">
                      <a:noFill/>
                    </a:ln>
                  </pic:spPr>
                </pic:pic>
              </a:graphicData>
            </a:graphic>
          </wp:inline>
        </w:drawing>
      </w:r>
    </w:p>
    <w:p>
      <w:pPr>
        <w:pStyle w:val="2"/>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（二）项目管理情况</w:t>
      </w:r>
      <w:r>
        <w:rPr>
          <w:rFonts w:hint="eastAsia" w:ascii="仿宋" w:hAnsi="仿宋" w:eastAsia="仿宋" w:cs="仿宋"/>
          <w:b w:val="0"/>
          <w:bCs w:val="0"/>
          <w:color w:val="000000"/>
          <w:sz w:val="32"/>
          <w:szCs w:val="32"/>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（三）项目监管情况。</w:t>
      </w:r>
      <w:r>
        <w:rPr>
          <w:rFonts w:hint="eastAsia" w:ascii="仿宋" w:hAnsi="仿宋" w:eastAsia="仿宋" w:cs="仿宋"/>
          <w:b w:val="0"/>
          <w:bCs w:val="0"/>
          <w:color w:val="000000"/>
          <w:sz w:val="32"/>
          <w:szCs w:val="32"/>
          <w:lang w:val="zh-CN" w:eastAsia="zh-CN"/>
        </w:rPr>
        <w:t>项目实施是统计局各业务科室根据年度工作计划开展，重点围绕统计专项业务工作开展情况进行分析评价，并对自评中发现的问题分析说明，由资金管理部门局办公室进行项目实施进度监管、提醒，确保项目执行进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四、项目绩效情况</w:t>
      </w:r>
      <w:r>
        <w:rPr>
          <w:rFonts w:hint="eastAsia" w:ascii="黑体" w:hAnsi="黑体" w:eastAsia="黑体" w:cs="黑体"/>
          <w:b w:val="0"/>
          <w:bCs w:val="0"/>
          <w:color w:val="000000"/>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的完成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该项目的实施提高统计数据采集的工作效率，加强统计数据监控，加强单位内控管理，降低机关行政运行成本，提高信息化运维对统计数据真实性和时效性的保障能力。</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我局该项目预算执行到位，做到了财务公开、会计核算真实、规范，没有截留、挪用财政资金、擅自扩大或缩小资金使用范围、改变资金用途等现象，未在项目申报中弄虚作假，套取财政资金，保证了专项资金专款专用。对照《部门项目支出绩效评价指标体系》，我局2021年统计调查专项支出绩效自评自评得分100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统计业务培训、统计产品印制项目都是基于统计各专业的培训、资料印制工作的整合，是由每年工作任务中的多个统计业务组成，整合后的项目资金投入较少。二是随着深化统计改革不断推进，统计工作面临新形势新要求新任务，对各项业务工作都有了新的要求，对培训业务力度不只局限覆盖到区县一级，而是要提升对各部门的培训。三是统计信息化建设。运维项目编制采购计划实操性不强，中心机房的所有软硬设备老化或者故障，都属于运维经费列支范围，可能存在采购计划预算不精准情况，而统计数据的安全又是整个统计工作的核心工作，保障力度不到位。</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强化预算和绩效管理。目前的预算管理模式存在难操作，部门预算的预算科目不能满足日常机关运转经费，政策依据和预算科目不匹配，造成预算执行度难度增加，绩效管理难以有实质性效果。二是结合部门职能职责、中长期规划和年度工作计划，采取定量和定性相结合的方式，设置完整、合理、清晰、明确细化且具有可衡量性的绩效目标和指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附件：2021年市统计局统计等保测评信息化运维项目绩效指标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广元市统计局</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2022年9月14日</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tbl>
      <w:tblPr>
        <w:tblStyle w:val="14"/>
        <w:tblpPr w:leftFromText="180" w:rightFromText="180" w:vertAnchor="text" w:horzAnchor="page" w:tblpX="1281" w:tblpY="660"/>
        <w:tblOverlap w:val="never"/>
        <w:tblW w:w="102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9"/>
        <w:gridCol w:w="615"/>
        <w:gridCol w:w="1230"/>
        <w:gridCol w:w="236"/>
        <w:gridCol w:w="2209"/>
        <w:gridCol w:w="1725"/>
        <w:gridCol w:w="236"/>
        <w:gridCol w:w="1939"/>
        <w:gridCol w:w="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675" w:hRule="atLeast"/>
        </w:trPr>
        <w:tc>
          <w:tcPr>
            <w:tcW w:w="9949"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宋体" w:hAnsi="宋体" w:eastAsia="宋体" w:cs="宋体"/>
                <w:b/>
                <w:i w:val="0"/>
                <w:color w:val="auto"/>
                <w:sz w:val="32"/>
                <w:szCs w:val="32"/>
                <w:highlight w:val="none"/>
                <w:u w:val="none"/>
              </w:rPr>
            </w:pPr>
            <w:r>
              <w:rPr>
                <w:rFonts w:hint="eastAsia" w:ascii="黑体" w:hAnsi="黑体" w:eastAsia="黑体" w:cs="黑体"/>
                <w:b w:val="0"/>
                <w:bCs w:val="0"/>
                <w:color w:val="auto"/>
                <w:kern w:val="0"/>
                <w:sz w:val="32"/>
                <w:szCs w:val="32"/>
                <w:highlight w:val="none"/>
                <w:shd w:val="clear" w:color="auto" w:fill="FFFFFF"/>
                <w:lang w:val="zh-CN"/>
              </w:rPr>
              <w:t>附表</w:t>
            </w:r>
            <w:r>
              <w:rPr>
                <w:rFonts w:hint="eastAsia" w:ascii="黑体" w:hAnsi="黑体" w:eastAsia="黑体" w:cs="黑体"/>
                <w:b w:val="0"/>
                <w:bCs w:val="0"/>
                <w:color w:val="auto"/>
                <w:kern w:val="0"/>
                <w:sz w:val="32"/>
                <w:szCs w:val="32"/>
                <w:highlight w:val="none"/>
                <w:shd w:val="clear" w:color="auto" w:fill="FFFFFF"/>
                <w:lang w:val="en-US" w:eastAsia="zh-CN"/>
              </w:rPr>
              <w:t xml:space="preserve">  </w:t>
            </w:r>
            <w:r>
              <w:rPr>
                <w:rFonts w:hint="eastAsia" w:ascii="仿宋_GB2312" w:hAnsi="宋体" w:eastAsia="仿宋_GB2312" w:cs="宋体"/>
                <w:b w:val="0"/>
                <w:bCs w:val="0"/>
                <w:color w:val="auto"/>
                <w:kern w:val="0"/>
                <w:sz w:val="32"/>
                <w:szCs w:val="32"/>
                <w:highlight w:val="none"/>
                <w:shd w:val="clear" w:color="auto" w:fill="FFFFFF"/>
                <w:lang w:val="en-US" w:eastAsia="zh-CN"/>
              </w:rPr>
              <w:t xml:space="preserve"> </w:t>
            </w:r>
            <w:r>
              <w:rPr>
                <w:rFonts w:hint="eastAsia" w:ascii="方正小标宋简体" w:hAnsi="方正小标宋简体" w:eastAsia="方正小标宋简体" w:cs="方正小标宋简体"/>
                <w:b w:val="0"/>
                <w:bCs w:val="0"/>
                <w:color w:val="auto"/>
                <w:kern w:val="0"/>
                <w:sz w:val="36"/>
                <w:szCs w:val="36"/>
                <w:highlight w:val="none"/>
                <w:shd w:val="clear" w:color="auto" w:fill="FFFFFF"/>
                <w:lang w:val="en-US" w:eastAsia="zh-CN"/>
              </w:rPr>
              <w:t xml:space="preserve"> </w:t>
            </w:r>
            <w:r>
              <w:rPr>
                <w:rFonts w:hint="eastAsia" w:ascii="方正小标宋简体" w:hAnsi="方正小标宋简体" w:eastAsia="方正小标宋简体" w:cs="方正小标宋简体"/>
                <w:b w:val="0"/>
                <w:bCs w:val="0"/>
                <w:i w:val="0"/>
                <w:color w:val="auto"/>
                <w:sz w:val="36"/>
                <w:szCs w:val="36"/>
                <w:highlight w:val="none"/>
                <w:u w:val="none"/>
                <w:lang w:val="en-US" w:eastAsia="zh-CN"/>
              </w:rPr>
              <w:t>统计等保测评信息化运维项目绩效目标自评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主管部门及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代码</w:t>
            </w:r>
          </w:p>
        </w:tc>
        <w:tc>
          <w:tcPr>
            <w:tcW w:w="4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317001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2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年度目标：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tc>
        <w:tc>
          <w:tcPr>
            <w:tcW w:w="424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6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数量指标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一套表平台、名录库综合管理平台系统维护</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2</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全省统计系统“一套表”信息系统使用电信一条、移动一条广域网络</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2</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质量指标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（质量达标率）项目达到预期要求</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rPr>
              <w:t>≥90%</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时效指标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（按期完成率）按期完成项目</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成本指标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平台及信息化运维维护</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9.9万元</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社会效益  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提高统计数据采集的工作效率，加强统计数据监控，提高信息化运维对统计数据真实性和时效性的保障能力。</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应用率达</w:t>
            </w:r>
            <w:r>
              <w:rPr>
                <w:rFonts w:hint="eastAsia" w:ascii="仿宋" w:hAnsi="仿宋" w:eastAsia="仿宋" w:cs="宋体"/>
                <w:color w:val="000000"/>
                <w:sz w:val="24"/>
              </w:rPr>
              <w:t>100%</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应用率达</w:t>
            </w:r>
            <w:r>
              <w:rPr>
                <w:rFonts w:hint="eastAsia" w:ascii="仿宋" w:hAnsi="仿宋" w:eastAsia="仿宋"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可持续影响 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是否达到预期目标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数据安全率</w:t>
            </w:r>
            <w:r>
              <w:rPr>
                <w:rFonts w:hint="eastAsia" w:ascii="仿宋" w:hAnsi="仿宋" w:eastAsia="仿宋" w:cs="宋体"/>
                <w:color w:val="000000"/>
                <w:sz w:val="24"/>
              </w:rPr>
              <w:t>≥85%</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数据安全率</w:t>
            </w:r>
            <w:r>
              <w:rPr>
                <w:rFonts w:hint="eastAsia" w:ascii="仿宋" w:hAnsi="仿宋" w:eastAsia="仿宋" w:cs="宋体"/>
                <w:color w:val="000000"/>
                <w:sz w:val="24"/>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75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数据产品和分析研究是否得到用户认可；网络使用者认可度。</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bl>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广元市统计局</w:t>
      </w:r>
    </w:p>
    <w:p>
      <w:pPr>
        <w:keepNext w:val="0"/>
        <w:keepLines w:val="0"/>
        <w:pageBreakBefore w:val="0"/>
        <w:widowControl w:val="0"/>
        <w:kinsoku/>
        <w:wordWrap/>
        <w:overflowPunct/>
        <w:topLinePunct w:val="0"/>
        <w:autoSpaceDE/>
        <w:autoSpaceDN/>
        <w:bidi w:val="0"/>
        <w:adjustRightInd/>
        <w:snapToGrid/>
        <w:spacing w:line="740" w:lineRule="exact"/>
        <w:ind w:firstLine="1320" w:firstLineChars="3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2021年统计业务培训经费绩效</w:t>
      </w:r>
    </w:p>
    <w:p>
      <w:pPr>
        <w:keepNext w:val="0"/>
        <w:keepLines w:val="0"/>
        <w:pageBreakBefore w:val="0"/>
        <w:widowControl w:val="0"/>
        <w:kinsoku/>
        <w:wordWrap/>
        <w:overflowPunct/>
        <w:topLinePunct w:val="0"/>
        <w:autoSpaceDE/>
        <w:autoSpaceDN/>
        <w:bidi w:val="0"/>
        <w:adjustRightInd/>
        <w:snapToGrid/>
        <w:spacing w:line="740" w:lineRule="exact"/>
        <w:ind w:firstLine="3520" w:firstLineChars="8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1.项目资金申报及批复情况。2021年度，我局部门预算项目申报及批复统计业务培训经费9.9万元。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项目立项、资金申报的依据。我单位申报的项目为部门预算下达的项目工作经费，都是经常性开展的统计专项业务经费，各项目内容与具体实施内容相符、申报目标严格按照预算管理和绩效评级相关指标定义合理设置的，项目实施可行性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3.资金管理办法制定按市统计局财务管理制度和预算管理制度、专项补助资金管理实施办法进行管理，我局预算执行到位，做到了财务公开、会计核算真实、规范，没有截留、挪用财政资金、擅自扩大或缩小资金使用范围、改变资金用途等现象，未在项目申报中弄虚作假，套取财政资金，保证了专项资金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4.资金分配的原则及考虑因素。资金分配原则按照年初预算各科室实施工作任务申报的事前项目绩效申报情况经局党组会讨论研究，并结合2021年全年重点工作对资金进行上报和分配。</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1.项目主要内容。统计业务培训经费是部门预算下达专项资金，项目目标是完成工业统计业务培训 、能源统计业务培训、完成2021年人口变动调查培训、2021年劳动工作培训、乡村振兴战略统计监测培训、商贸服务业统计业务培训，批零住餐单位规范化建设业务培训、一套表培训会、文化产业培训会等年度统计专业培训、基本单位名录库培训等专业培训会。</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2.项目应实现的具体绩效目标，包括项目的数量指标、质量指标、实效指标、成本指标等几个部分组成，三级指标设计都进行了量化和细化，情况以及项目实施进度计划等。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3.本项目绩效目标申报内容与实际相符，申报目标设置为七个二级指标，十一个三级指标，相对合理可行。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本项目为我单位部门职能范围内业务工作，属于部门预算内项目，是按照部门职责相关规定及统计行业政策、行业标准及统计专业技术规范进行绩效自评，采用的组织实施步骤为年初申报项目绩效时，由各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该项目资金申报、批复及预算调整等程序均按部门预算相关规定按时执行。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1.资金计划及到位。2021年度市本级财政下拨我局专项资金共计9.9万元。资金到位及时，到位率100%。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2.资金使用。项目全年预算9.9万元，执行数9.9万元，完成预算100%。通过项目实施完成工业统计业务培训 、能源统计业务培训、完成2021年人口变动调查培训、2021年劳动工作培训、乡村振兴战略统计监测培训、商贸服务业统计业务培训，批零住餐单位规范化建设业务培训、一套表培训会、文化产业培训会等年度统计专业培训、基本单位名录库培训等专业培训会。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（一）项目组织架构及实施流程。</w:t>
      </w:r>
    </w:p>
    <w:p>
      <w:pPr>
        <w:widowControl/>
        <w:jc w:val="left"/>
      </w:pPr>
      <w:r>
        <w:rPr>
          <w:rFonts w:ascii="宋体" w:hAnsi="宋体" w:eastAsia="宋体" w:cs="宋体"/>
          <w:kern w:val="0"/>
          <w:sz w:val="24"/>
          <w:szCs w:val="24"/>
        </w:rPr>
        <w:drawing>
          <wp:inline distT="0" distB="0" distL="114300" distR="114300">
            <wp:extent cx="5469255" cy="1564640"/>
            <wp:effectExtent l="0" t="0" r="17145" b="16510"/>
            <wp:docPr id="19" name="图片 19"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true"/>
                    </pic:cNvPicPr>
                  </pic:nvPicPr>
                  <pic:blipFill>
                    <a:blip r:embed="rId18"/>
                    <a:stretch>
                      <a:fillRect/>
                    </a:stretch>
                  </pic:blipFill>
                  <pic:spPr>
                    <a:xfrm>
                      <a:off x="0" y="0"/>
                      <a:ext cx="5469255" cy="1564640"/>
                    </a:xfrm>
                    <a:prstGeom prst="rect">
                      <a:avLst/>
                    </a:prstGeom>
                    <a:noFill/>
                    <a:ln w="9525">
                      <a:noFill/>
                    </a:ln>
                  </pic:spPr>
                </pic:pic>
              </a:graphicData>
            </a:graphic>
          </wp:inline>
        </w:drawing>
      </w:r>
    </w:p>
    <w:p>
      <w:pPr>
        <w:pStyle w:val="2"/>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（二）项目管理情况</w:t>
      </w:r>
      <w:r>
        <w:rPr>
          <w:rFonts w:hint="eastAsia" w:ascii="仿宋" w:hAnsi="仿宋" w:eastAsia="仿宋" w:cs="仿宋"/>
          <w:b w:val="0"/>
          <w:bCs w:val="0"/>
          <w:color w:val="000000"/>
          <w:sz w:val="32"/>
          <w:szCs w:val="32"/>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（三）项目监管情况</w:t>
      </w:r>
      <w:r>
        <w:rPr>
          <w:rFonts w:hint="eastAsia" w:ascii="仿宋" w:hAnsi="仿宋" w:eastAsia="仿宋" w:cs="仿宋"/>
          <w:b w:val="0"/>
          <w:bCs w:val="0"/>
          <w:color w:val="000000"/>
          <w:sz w:val="32"/>
          <w:szCs w:val="32"/>
          <w:lang w:val="zh-CN" w:eastAsia="zh-CN"/>
        </w:rPr>
        <w:t>。项目实施是统计局各业务科室根据年度工作计划开展，重点围绕统计专项业务工作开展情况进行分析评价，并对自评中发现的问题分析说明，由资金管理部门局办公室进行项目实施进度监管、提醒，确保项目执行进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四、项目绩效情况</w:t>
      </w:r>
      <w:r>
        <w:rPr>
          <w:rFonts w:hint="eastAsia" w:ascii="黑体" w:hAnsi="黑体" w:eastAsia="黑体" w:cs="黑体"/>
          <w:b w:val="0"/>
          <w:bCs w:val="0"/>
          <w:color w:val="000000"/>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完成2021年人口变动调查培训，30人/次，质量达标率100%，培训对象满意度90%以上；完成2021年劳动工资培训项目，30人/次，质量达标率100%，培训对象满意度90%以上；乡村振兴战略统计监测培训，80人/次，质量达标率100%，培训对象满意度90%以上；服务业统计业务培训会，2天培训70人/次，质量达标率100%，培训对象满意度90%以上。一套表业务培训，50人/次，质量达标率100%，培训对象满意度90%以上。</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该项目的实施紧扣统计各专业培训项目。项目实施产生的效益是质量指标：各专项业务培训会完成100%，满意度指标，按规定时限完成了专业培训，政策咨询建议，推动各项统计专业工作有序开展。</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我局该项目预算执行到位，做到了财务公开、会计核算真实、规范，没有截留、挪用财政资金、擅自扩大或缩小资金使用范围、改变资金用途等现象，未在项目申报中弄虚作假，套取财政资金，保证了专项资金专款专用。对照《部门项目支出绩效评价指标体系》，我局2021年统计调查专项支出绩效自评自评得分100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统计业务培训、统计产品印制项目都是基于统计各专业的培训、资料印制工作的整合，是由每年工作任务中的多个统计业务组成，整合后的项目资金投入较少。二是随着深化统计改革不断推进，统计工作面临新形势新要求新任务，对各项业务工作都有了新的要求，对培训业务力度不只局限覆盖到区县一级，而是要提升对各部门的培训。三是统计信息化建设。运维项目编制采购计划实操性不强，中心机房的所有软硬设备老化或者故障，都属于运维经费列支范围，可能存在采购计划预算不精准情况，而统计数据的安全又是整个统计工作的核心工作，保障力度不到位。</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强化预算和绩效管理。目前的预算管理模式存在难操作，部门预算的预算科目不能满足日常机关运转经费，政策依据和预算科目不匹配，造成预算执行度难度增加，绩效管理难以有实质性效果。二是结合部门职能职责、中长期规划和年度工作计划，采取定量和定性相结合的方式，设置完整、合理、清晰、明确细化且具有可衡量性的绩效目标和指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附件：2021年市统计局统计业务培训经费绩效指标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广元市统计局</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2022年9月14日</w:t>
      </w: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tbl>
      <w:tblPr>
        <w:tblStyle w:val="14"/>
        <w:tblpPr w:leftFromText="180" w:rightFromText="180" w:vertAnchor="text" w:horzAnchor="page" w:tblpX="1281" w:tblpY="660"/>
        <w:tblOverlap w:val="never"/>
        <w:tblW w:w="10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9"/>
        <w:gridCol w:w="615"/>
        <w:gridCol w:w="1230"/>
        <w:gridCol w:w="236"/>
        <w:gridCol w:w="2134"/>
        <w:gridCol w:w="1725"/>
        <w:gridCol w:w="236"/>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125"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宋体" w:hAnsi="宋体" w:eastAsia="宋体" w:cs="宋体"/>
                <w:b/>
                <w:i w:val="0"/>
                <w:color w:val="auto"/>
                <w:sz w:val="32"/>
                <w:szCs w:val="32"/>
                <w:highlight w:val="none"/>
                <w:u w:val="none"/>
              </w:rPr>
            </w:pPr>
            <w:r>
              <w:rPr>
                <w:rFonts w:hint="eastAsia" w:ascii="黑体" w:hAnsi="黑体" w:eastAsia="黑体" w:cs="黑体"/>
                <w:b w:val="0"/>
                <w:bCs w:val="0"/>
                <w:color w:val="auto"/>
                <w:kern w:val="0"/>
                <w:sz w:val="32"/>
                <w:szCs w:val="32"/>
                <w:highlight w:val="none"/>
                <w:shd w:val="clear" w:color="auto" w:fill="FFFFFF"/>
                <w:lang w:val="zh-CN"/>
              </w:rPr>
              <w:t>附表</w:t>
            </w:r>
            <w:r>
              <w:rPr>
                <w:rFonts w:hint="eastAsia" w:ascii="黑体" w:hAnsi="黑体" w:eastAsia="黑体" w:cs="黑体"/>
                <w:b w:val="0"/>
                <w:bCs w:val="0"/>
                <w:color w:val="auto"/>
                <w:kern w:val="0"/>
                <w:sz w:val="32"/>
                <w:szCs w:val="32"/>
                <w:highlight w:val="none"/>
                <w:shd w:val="clear" w:color="auto" w:fill="FFFFFF"/>
                <w:lang w:val="en-US" w:eastAsia="zh-CN"/>
              </w:rPr>
              <w:t xml:space="preserve"> </w:t>
            </w:r>
            <w:r>
              <w:rPr>
                <w:rFonts w:hint="eastAsia" w:ascii="仿宋_GB2312" w:hAnsi="宋体" w:eastAsia="仿宋_GB2312" w:cs="宋体"/>
                <w:b w:val="0"/>
                <w:bCs w:val="0"/>
                <w:color w:val="auto"/>
                <w:kern w:val="0"/>
                <w:sz w:val="32"/>
                <w:szCs w:val="32"/>
                <w:highlight w:val="none"/>
                <w:shd w:val="clear" w:color="auto" w:fill="FFFFFF"/>
                <w:lang w:val="en-US" w:eastAsia="zh-CN"/>
              </w:rPr>
              <w:t xml:space="preserve">   </w:t>
            </w:r>
            <w:r>
              <w:rPr>
                <w:rFonts w:hint="eastAsia" w:ascii="方正小标宋简体" w:hAnsi="方正小标宋简体" w:eastAsia="方正小标宋简体" w:cs="方正小标宋简体"/>
                <w:b w:val="0"/>
                <w:bCs/>
                <w:i w:val="0"/>
                <w:color w:val="auto"/>
                <w:sz w:val="36"/>
                <w:szCs w:val="36"/>
                <w:highlight w:val="none"/>
                <w:u w:val="none"/>
                <w:lang w:val="en-US" w:eastAsia="zh-CN"/>
              </w:rPr>
              <w:t>统计业务培训经费项目绩效目标自评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317001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工业统计业务培训 、能源统计业务培训、完成2021年人口变动调查培训、2021年劳动工作培训、乡村振兴战略统计监测培训、商贸服务业统计业务培训，批零住餐单位规范化建设业务培训、一套表培训会、文化产业培训会等年度统计专业培训、基本单位名录库培训等专业培训会</w:t>
            </w:r>
          </w:p>
        </w:tc>
        <w:tc>
          <w:tcPr>
            <w:tcW w:w="442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工业统计业务培训 、能源统计业务培训、完成2021年人口变动调查培训、2021年劳动工作培训、乡村振兴战略统计监测培训、商贸服务业统计业务培训，批零住餐单位规范化建设业务培训、一套表培训会、文化产业培训会等年度统计专业培训、基本单位名录库培训等专业培训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4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6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数量指标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完成2021年人口变动调查培训</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30人/次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lang w:val="en-US" w:eastAsia="zh-CN"/>
              </w:rPr>
              <w:t>30人/次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完成2021年劳动工资培训</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30人/次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30人/次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乡村振兴战略统计监测培训</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80人/次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80人/次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服务业统计业务培训会</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2天培训70人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2天培训70人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一套表培训数据</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50人/次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50人/次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质量指标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（（质量达标率）统计专项业务培训会</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rPr>
              <w:t>≥100%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时效指标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按规定时限完成专业培训；政策咨询建议。</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成本指标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完成统计业务培训工作，促进全年各项统计工作全面完成</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9.9万元</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社会效益  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对工作的促进作用</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≥100%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可持续影响 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统计调查业务数据工作开展</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w:t>
            </w:r>
            <w:r>
              <w:rPr>
                <w:rFonts w:hint="eastAsia" w:ascii="仿宋" w:hAnsi="仿宋" w:eastAsia="仿宋" w:cs="宋体"/>
                <w:color w:val="000000"/>
                <w:sz w:val="24"/>
                <w:lang w:val="en-US" w:eastAsia="zh-CN"/>
              </w:rPr>
              <w:t>9</w:t>
            </w:r>
            <w:r>
              <w:rPr>
                <w:rFonts w:hint="eastAsia" w:ascii="仿宋" w:hAnsi="仿宋" w:eastAsia="仿宋" w:cs="宋体"/>
                <w:color w:val="000000"/>
                <w:sz w:val="24"/>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w:t>
            </w:r>
            <w:r>
              <w:rPr>
                <w:rFonts w:hint="eastAsia" w:ascii="仿宋" w:hAnsi="仿宋" w:eastAsia="仿宋" w:cs="宋体"/>
                <w:color w:val="000000"/>
                <w:sz w:val="24"/>
                <w:lang w:val="en-US" w:eastAsia="zh-CN"/>
              </w:rPr>
              <w:t>9</w:t>
            </w:r>
            <w:r>
              <w:rPr>
                <w:rFonts w:hint="eastAsia" w:ascii="仿宋" w:hAnsi="仿宋" w:eastAsia="仿宋" w:cs="宋体"/>
                <w:color w:val="000000"/>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4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培训对象满意度指标率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bl>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pPr>
    </w:p>
    <w:p>
      <w:pPr>
        <w:spacing w:line="600" w:lineRule="exact"/>
        <w:jc w:val="center"/>
        <w:outlineLvl w:val="0"/>
        <w:rPr>
          <w:rFonts w:hint="eastAsia" w:ascii="黑体" w:hAnsi="黑体" w:eastAsia="黑体"/>
          <w:color w:val="auto"/>
          <w:sz w:val="44"/>
          <w:szCs w:val="44"/>
          <w:highlight w:val="none"/>
        </w:rPr>
      </w:pPr>
      <w:bookmarkStart w:id="58"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五部分 附表</w:t>
      </w:r>
      <w:bookmarkEnd w:id="56"/>
      <w:bookmarkEnd w:id="58"/>
      <w:bookmarkStart w:id="59" w:name="_Toc15396619"/>
    </w:p>
    <w:p>
      <w:pPr>
        <w:pStyle w:val="4"/>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b w:val="0"/>
          <w:color w:val="auto"/>
          <w:highlight w:val="none"/>
        </w:rPr>
      </w:pPr>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19"/>
          <w:rFonts w:hint="eastAsia" w:ascii="仿宋" w:hAnsi="仿宋" w:eastAsia="仿宋"/>
          <w:b w:val="0"/>
          <w:bCs w:val="0"/>
          <w:color w:val="auto"/>
          <w:highlight w:val="none"/>
        </w:rPr>
        <w:t>入支出决算总表</w:t>
      </w:r>
      <w:bookmarkEnd w:id="59"/>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0" w:name="_Toc15396620"/>
      <w:r>
        <w:rPr>
          <w:rFonts w:hint="eastAsia" w:ascii="仿宋" w:hAnsi="仿宋" w:eastAsia="仿宋"/>
          <w:b w:val="0"/>
          <w:color w:val="auto"/>
          <w:highlight w:val="none"/>
        </w:rPr>
        <w:t>二、收</w:t>
      </w:r>
      <w:r>
        <w:rPr>
          <w:rStyle w:val="19"/>
          <w:rFonts w:hint="eastAsia" w:ascii="仿宋" w:hAnsi="仿宋" w:eastAsia="仿宋"/>
          <w:b w:val="0"/>
          <w:bCs w:val="0"/>
          <w:color w:val="auto"/>
          <w:highlight w:val="none"/>
        </w:rPr>
        <w:t>入决算表</w:t>
      </w:r>
      <w:bookmarkEnd w:id="60"/>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1" w:name="_Toc15396621"/>
      <w:r>
        <w:rPr>
          <w:rStyle w:val="1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9"/>
          <w:rFonts w:hint="eastAsia" w:ascii="仿宋" w:hAnsi="仿宋" w:eastAsia="仿宋"/>
          <w:b w:val="0"/>
          <w:bCs w:val="0"/>
          <w:color w:val="auto"/>
          <w:highlight w:val="none"/>
        </w:rPr>
        <w:t>出决算表</w:t>
      </w:r>
      <w:bookmarkEnd w:id="61"/>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val="0"/>
          <w:color w:val="auto"/>
          <w:highlight w:val="none"/>
        </w:rPr>
      </w:pPr>
      <w:bookmarkStart w:id="62" w:name="_Toc15396622"/>
      <w:r>
        <w:rPr>
          <w:rStyle w:val="1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政拨款收入支出决算总表</w:t>
      </w:r>
      <w:bookmarkEnd w:id="62"/>
    </w:p>
    <w:p>
      <w:pPr>
        <w:pStyle w:val="4"/>
        <w:pageBreakBefore w:val="0"/>
        <w:widowControl w:val="0"/>
        <w:kinsoku/>
        <w:wordWrap/>
        <w:overflowPunct/>
        <w:topLinePunct w:val="0"/>
        <w:autoSpaceDE/>
        <w:autoSpaceDN/>
        <w:bidi w:val="0"/>
        <w:adjustRightInd/>
        <w:snapToGrid/>
        <w:spacing w:before="0" w:after="0" w:line="560" w:lineRule="exact"/>
        <w:textAlignment w:val="auto"/>
        <w:rPr>
          <w:rStyle w:val="19"/>
          <w:rFonts w:ascii="仿宋" w:hAnsi="仿宋" w:eastAsia="仿宋"/>
          <w:b w:val="0"/>
          <w:bCs w:val="0"/>
          <w:color w:val="auto"/>
          <w:highlight w:val="none"/>
        </w:rPr>
      </w:pPr>
      <w:bookmarkStart w:id="63" w:name="_Toc15396623"/>
      <w:r>
        <w:rPr>
          <w:rStyle w:val="1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政拨款支出决算明细表</w:t>
      </w:r>
      <w:bookmarkEnd w:id="63"/>
      <w:bookmarkStart w:id="64" w:name="_Toc15396624"/>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r>
        <w:rPr>
          <w:rStyle w:val="1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般公共预算财政拨款支出决算表</w:t>
      </w:r>
      <w:bookmarkEnd w:id="64"/>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5" w:name="_Toc15396625"/>
      <w:r>
        <w:rPr>
          <w:rStyle w:val="1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般公共预算财政拨款支出决算明细表</w:t>
      </w:r>
      <w:bookmarkEnd w:id="65"/>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6" w:name="_Toc15396626"/>
      <w:r>
        <w:rPr>
          <w:rStyle w:val="1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般公共预算财政拨款基本支出决算表</w:t>
      </w:r>
      <w:bookmarkEnd w:id="66"/>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7" w:name="_Toc15396627"/>
      <w:r>
        <w:rPr>
          <w:rStyle w:val="1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般公共预算财政拨款项目支出决算表</w:t>
      </w:r>
      <w:bookmarkEnd w:id="67"/>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8" w:name="_Toc15396628"/>
      <w:r>
        <w:rPr>
          <w:rStyle w:val="1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般公共预算财政拨款“三公”经费支出决算表</w:t>
      </w:r>
      <w:bookmarkEnd w:id="68"/>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9" w:name="_Toc15396629"/>
      <w:r>
        <w:rPr>
          <w:rStyle w:val="1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19"/>
          <w:rFonts w:hint="eastAsia" w:ascii="仿宋" w:hAnsi="仿宋" w:eastAsia="仿宋"/>
          <w:b w:val="0"/>
          <w:bCs w:val="0"/>
          <w:color w:val="auto"/>
          <w:highlight w:val="none"/>
        </w:rPr>
        <w:t>府性基金预算财政拨款收入支出决算表</w:t>
      </w:r>
      <w:bookmarkEnd w:id="69"/>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70" w:name="_Toc15396630"/>
      <w:r>
        <w:rPr>
          <w:rStyle w:val="1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19"/>
          <w:rFonts w:hint="eastAsia" w:ascii="仿宋" w:hAnsi="仿宋" w:eastAsia="仿宋"/>
          <w:b w:val="0"/>
          <w:bCs w:val="0"/>
          <w:color w:val="auto"/>
          <w:highlight w:val="none"/>
        </w:rPr>
        <w:t>府性基金预算财政拨款“三公”经费支出决算表</w:t>
      </w:r>
      <w:bookmarkEnd w:id="70"/>
    </w:p>
    <w:p>
      <w:pPr>
        <w:pStyle w:val="4"/>
        <w:pageBreakBefore w:val="0"/>
        <w:widowControl w:val="0"/>
        <w:kinsoku/>
        <w:wordWrap/>
        <w:overflowPunct/>
        <w:topLinePunct w:val="0"/>
        <w:autoSpaceDE/>
        <w:autoSpaceDN/>
        <w:bidi w:val="0"/>
        <w:adjustRightInd/>
        <w:snapToGrid/>
        <w:spacing w:before="0" w:after="0" w:line="560" w:lineRule="exact"/>
        <w:textAlignment w:val="auto"/>
        <w:rPr>
          <w:rStyle w:val="19"/>
          <w:rFonts w:hint="eastAsia" w:ascii="仿宋" w:hAnsi="仿宋" w:eastAsia="仿宋"/>
          <w:b w:val="0"/>
          <w:bCs w:val="0"/>
          <w:color w:val="auto"/>
          <w:highlight w:val="none"/>
        </w:rPr>
      </w:pPr>
      <w:bookmarkStart w:id="71" w:name="_Toc15396631"/>
      <w:r>
        <w:rPr>
          <w:rStyle w:val="1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19"/>
          <w:rFonts w:hint="eastAsia" w:ascii="仿宋" w:hAnsi="仿宋" w:eastAsia="仿宋"/>
          <w:b w:val="0"/>
          <w:bCs w:val="0"/>
          <w:color w:val="auto"/>
          <w:highlight w:val="none"/>
        </w:rPr>
        <w:t>有资本经营预算</w:t>
      </w:r>
      <w:r>
        <w:rPr>
          <w:rStyle w:val="19"/>
          <w:rFonts w:hint="eastAsia" w:ascii="仿宋" w:hAnsi="仿宋" w:eastAsia="仿宋"/>
          <w:b w:val="0"/>
          <w:bCs w:val="0"/>
          <w:color w:val="auto"/>
          <w:highlight w:val="none"/>
          <w:lang w:eastAsia="zh-CN"/>
        </w:rPr>
        <w:t>财政拨款收入</w:t>
      </w:r>
      <w:r>
        <w:rPr>
          <w:rStyle w:val="19"/>
          <w:rFonts w:hint="eastAsia" w:ascii="仿宋" w:hAnsi="仿宋" w:eastAsia="仿宋"/>
          <w:b w:val="0"/>
          <w:bCs w:val="0"/>
          <w:color w:val="auto"/>
          <w:highlight w:val="none"/>
        </w:rPr>
        <w:t>支出决算表</w:t>
      </w:r>
      <w:bookmarkEnd w:id="71"/>
    </w:p>
    <w:p>
      <w:pPr>
        <w:pageBreakBefore w:val="0"/>
        <w:widowControl w:val="0"/>
        <w:kinsoku/>
        <w:wordWrap/>
        <w:overflowPunct/>
        <w:topLinePunct w:val="0"/>
        <w:autoSpaceDE/>
        <w:autoSpaceDN/>
        <w:bidi w:val="0"/>
        <w:adjustRightInd/>
        <w:snapToGrid/>
        <w:spacing w:line="560" w:lineRule="exact"/>
        <w:textAlignment w:val="auto"/>
        <w:rPr>
          <w:rFonts w:hint="eastAsia" w:eastAsia="仿宋"/>
          <w:color w:val="auto"/>
          <w:highlight w:val="none"/>
          <w:lang w:eastAsia="zh-CN"/>
        </w:rPr>
      </w:pPr>
      <w:r>
        <w:rPr>
          <w:rStyle w:val="19"/>
          <w:rFonts w:hint="eastAsia" w:ascii="仿宋" w:hAnsi="仿宋" w:eastAsia="仿宋"/>
          <w:b w:val="0"/>
          <w:bCs w:val="0"/>
          <w:color w:val="auto"/>
          <w:highlight w:val="none"/>
          <w:lang w:eastAsia="zh-CN"/>
        </w:rPr>
        <w:t>十四、国有资本经营预算财政拨款支出决算表</w:t>
      </w:r>
    </w:p>
    <w:sectPr>
      <w:footerReference r:id="rId9" w:type="first"/>
      <w:footerReference r:id="rId8" w:type="default"/>
      <w:pgSz w:w="11906" w:h="16838"/>
      <w:pgMar w:top="1440" w:right="1800" w:bottom="1440" w:left="1800" w:header="851" w:footer="992" w:gutter="0"/>
      <w:pgNumType w:fmt="decimal" w:start="3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60" w:firstLineChars="2200"/>
      <w:rPr>
        <w:rFonts w:hint="default" w:eastAsia="宋体"/>
        <w:lang w:val="en-US" w:eastAsia="zh-CN"/>
      </w:rPr>
    </w:pPr>
    <w:r>
      <w:rPr>
        <w:rFonts w:hint="eastAsia"/>
        <w:lang w:val="en-US" w:eastAsia="zh-CN"/>
      </w:rPr>
      <w:t>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sz w:val="18"/>
        <w:lang w:val="en-US" w:eastAsia="zh-CN"/>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32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l5SodAgAAKwQAAA4AAAAAAAAAAQAgAAAANQEAAGRycy9lMm9Eb2MueG1sUEsF&#10;BgAAAAAGAAYAWQEAAMQ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5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988DA"/>
    <w:multiLevelType w:val="singleLevel"/>
    <w:tmpl w:val="381988DA"/>
    <w:lvl w:ilvl="0" w:tentative="0">
      <w:start w:val="1"/>
      <w:numFmt w:val="chineseCounting"/>
      <w:suff w:val="nothing"/>
      <w:lvlText w:val="（%1）"/>
      <w:lvlJc w:val="left"/>
      <w:rPr>
        <w:rFonts w:hint="eastAsia"/>
      </w:rPr>
    </w:lvl>
  </w:abstractNum>
  <w:abstractNum w:abstractNumId="4">
    <w:nsid w:val="3E007AEB"/>
    <w:multiLevelType w:val="singleLevel"/>
    <w:tmpl w:val="3E007AEB"/>
    <w:lvl w:ilvl="0" w:tentative="0">
      <w:start w:val="2"/>
      <w:numFmt w:val="chineseCounting"/>
      <w:suff w:val="nothing"/>
      <w:lvlText w:val="%1、"/>
      <w:lvlJc w:val="left"/>
      <w:rPr>
        <w:rFonts w:hint="eastAsia" w:ascii="黑体" w:hAnsi="黑体" w:eastAsia="黑体" w:cs="黑体"/>
        <w:sz w:val="32"/>
        <w:szCs w:val="32"/>
      </w:rPr>
    </w:lvl>
  </w:abstractNum>
  <w:abstractNum w:abstractNumId="5">
    <w:nsid w:val="3E794925"/>
    <w:multiLevelType w:val="singleLevel"/>
    <w:tmpl w:val="3E794925"/>
    <w:lvl w:ilvl="0" w:tentative="0">
      <w:start w:val="3"/>
      <w:numFmt w:val="chineseCounting"/>
      <w:suff w:val="nothing"/>
      <w:lvlText w:val="（%1）"/>
      <w:lvlJc w:val="left"/>
      <w:rPr>
        <w:rFonts w:hint="eastAsia"/>
      </w:rPr>
    </w:lvl>
  </w:abstractNum>
  <w:abstractNum w:abstractNumId="6">
    <w:nsid w:val="59EE5932"/>
    <w:multiLevelType w:val="singleLevel"/>
    <w:tmpl w:val="59EE5932"/>
    <w:lvl w:ilvl="0" w:tentative="0">
      <w:start w:val="1"/>
      <w:numFmt w:val="chineseCounting"/>
      <w:suff w:val="nothing"/>
      <w:lvlText w:val="（%1）"/>
      <w:lvlJc w:val="left"/>
      <w:pPr>
        <w:ind w:left="-220"/>
      </w:pPr>
      <w:rPr>
        <w:rFonts w:hint="eastAsia"/>
      </w:rPr>
    </w:lvl>
  </w:abstractNum>
  <w:abstractNum w:abstractNumId="7">
    <w:nsid w:val="71B9A298"/>
    <w:multiLevelType w:val="singleLevel"/>
    <w:tmpl w:val="71B9A298"/>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5E5C"/>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15CD2"/>
    <w:rsid w:val="01A24E81"/>
    <w:rsid w:val="025C7268"/>
    <w:rsid w:val="026B6B7A"/>
    <w:rsid w:val="030B6598"/>
    <w:rsid w:val="031E451D"/>
    <w:rsid w:val="032928CD"/>
    <w:rsid w:val="034675D0"/>
    <w:rsid w:val="03AA4003"/>
    <w:rsid w:val="03BE185C"/>
    <w:rsid w:val="03FE3EB1"/>
    <w:rsid w:val="041651F4"/>
    <w:rsid w:val="049F53F8"/>
    <w:rsid w:val="054946A2"/>
    <w:rsid w:val="056A4650"/>
    <w:rsid w:val="066E0107"/>
    <w:rsid w:val="075C1AB8"/>
    <w:rsid w:val="077C6636"/>
    <w:rsid w:val="07996F6E"/>
    <w:rsid w:val="08DD6155"/>
    <w:rsid w:val="0A2032A3"/>
    <w:rsid w:val="0A641FD4"/>
    <w:rsid w:val="0AA03A6A"/>
    <w:rsid w:val="0B502959"/>
    <w:rsid w:val="0C202B2F"/>
    <w:rsid w:val="0C530FE1"/>
    <w:rsid w:val="0C9F71C3"/>
    <w:rsid w:val="0CE21544"/>
    <w:rsid w:val="0D031A19"/>
    <w:rsid w:val="0D293F6D"/>
    <w:rsid w:val="0D3D01F7"/>
    <w:rsid w:val="0D756BBF"/>
    <w:rsid w:val="0D8256A8"/>
    <w:rsid w:val="0E085409"/>
    <w:rsid w:val="0E4E740F"/>
    <w:rsid w:val="0E502F2E"/>
    <w:rsid w:val="0E853758"/>
    <w:rsid w:val="0E9022EA"/>
    <w:rsid w:val="0F561A68"/>
    <w:rsid w:val="101860EC"/>
    <w:rsid w:val="10C055FF"/>
    <w:rsid w:val="11034D52"/>
    <w:rsid w:val="11335BD1"/>
    <w:rsid w:val="113C481C"/>
    <w:rsid w:val="118107EC"/>
    <w:rsid w:val="11D84965"/>
    <w:rsid w:val="12351A76"/>
    <w:rsid w:val="12557610"/>
    <w:rsid w:val="12F72BC6"/>
    <w:rsid w:val="13A46379"/>
    <w:rsid w:val="13B642FE"/>
    <w:rsid w:val="13D50BC4"/>
    <w:rsid w:val="147E306D"/>
    <w:rsid w:val="14C33176"/>
    <w:rsid w:val="14E45A99"/>
    <w:rsid w:val="1557566D"/>
    <w:rsid w:val="156404B5"/>
    <w:rsid w:val="15A5116A"/>
    <w:rsid w:val="15D97BC8"/>
    <w:rsid w:val="15E06475"/>
    <w:rsid w:val="16291D25"/>
    <w:rsid w:val="16451401"/>
    <w:rsid w:val="167E5D09"/>
    <w:rsid w:val="167F30CD"/>
    <w:rsid w:val="16BB723D"/>
    <w:rsid w:val="17E551B2"/>
    <w:rsid w:val="17F471BD"/>
    <w:rsid w:val="19280238"/>
    <w:rsid w:val="1A9D7FC6"/>
    <w:rsid w:val="1AEE6F80"/>
    <w:rsid w:val="1BA23AE5"/>
    <w:rsid w:val="1BBD5C59"/>
    <w:rsid w:val="1BE8440E"/>
    <w:rsid w:val="1C3B4595"/>
    <w:rsid w:val="1C5618DF"/>
    <w:rsid w:val="1CA32066"/>
    <w:rsid w:val="1CAC629E"/>
    <w:rsid w:val="1CE912A0"/>
    <w:rsid w:val="1CFC552F"/>
    <w:rsid w:val="1D155CEE"/>
    <w:rsid w:val="1D413B98"/>
    <w:rsid w:val="1D7F13CF"/>
    <w:rsid w:val="1D81772B"/>
    <w:rsid w:val="1E5C3B9F"/>
    <w:rsid w:val="1E617C32"/>
    <w:rsid w:val="1EE066D3"/>
    <w:rsid w:val="1F284388"/>
    <w:rsid w:val="1F293D47"/>
    <w:rsid w:val="1F456D91"/>
    <w:rsid w:val="1FAA4572"/>
    <w:rsid w:val="1FBA5960"/>
    <w:rsid w:val="20571047"/>
    <w:rsid w:val="20921E7D"/>
    <w:rsid w:val="20AF1B18"/>
    <w:rsid w:val="210C292A"/>
    <w:rsid w:val="214178FD"/>
    <w:rsid w:val="216D3F5C"/>
    <w:rsid w:val="219914E7"/>
    <w:rsid w:val="21C85928"/>
    <w:rsid w:val="228219CA"/>
    <w:rsid w:val="23311652"/>
    <w:rsid w:val="236812D2"/>
    <w:rsid w:val="23860B96"/>
    <w:rsid w:val="240371BF"/>
    <w:rsid w:val="2406098A"/>
    <w:rsid w:val="24200659"/>
    <w:rsid w:val="242E5FC4"/>
    <w:rsid w:val="2434206F"/>
    <w:rsid w:val="24A12297"/>
    <w:rsid w:val="24BA57BD"/>
    <w:rsid w:val="24D171E9"/>
    <w:rsid w:val="252F7E93"/>
    <w:rsid w:val="25506360"/>
    <w:rsid w:val="255F4CB9"/>
    <w:rsid w:val="256040C9"/>
    <w:rsid w:val="2601765A"/>
    <w:rsid w:val="26155812"/>
    <w:rsid w:val="26457AB8"/>
    <w:rsid w:val="266E7847"/>
    <w:rsid w:val="26720D2B"/>
    <w:rsid w:val="269801E4"/>
    <w:rsid w:val="274F2647"/>
    <w:rsid w:val="27604855"/>
    <w:rsid w:val="27653C19"/>
    <w:rsid w:val="293C4952"/>
    <w:rsid w:val="298A3E70"/>
    <w:rsid w:val="299D58EC"/>
    <w:rsid w:val="29DC183A"/>
    <w:rsid w:val="29FD04D3"/>
    <w:rsid w:val="2A0140CD"/>
    <w:rsid w:val="2A1474F2"/>
    <w:rsid w:val="2A15317C"/>
    <w:rsid w:val="2A7E4EA9"/>
    <w:rsid w:val="2A924D25"/>
    <w:rsid w:val="2ACC34B1"/>
    <w:rsid w:val="2ACD0453"/>
    <w:rsid w:val="2B255C63"/>
    <w:rsid w:val="2C097269"/>
    <w:rsid w:val="2C263CBC"/>
    <w:rsid w:val="2C4D184B"/>
    <w:rsid w:val="2C5E0E68"/>
    <w:rsid w:val="2C8A61B5"/>
    <w:rsid w:val="2CA70830"/>
    <w:rsid w:val="2CDC7C10"/>
    <w:rsid w:val="2D3E56E7"/>
    <w:rsid w:val="2DCD7B1C"/>
    <w:rsid w:val="2DF04E50"/>
    <w:rsid w:val="2E104AC0"/>
    <w:rsid w:val="2E9E25BD"/>
    <w:rsid w:val="2ED83DFD"/>
    <w:rsid w:val="300A1801"/>
    <w:rsid w:val="304828D8"/>
    <w:rsid w:val="30F54260"/>
    <w:rsid w:val="315441B3"/>
    <w:rsid w:val="319F7F4E"/>
    <w:rsid w:val="31B00187"/>
    <w:rsid w:val="321E77AB"/>
    <w:rsid w:val="32252923"/>
    <w:rsid w:val="337A1999"/>
    <w:rsid w:val="337C6572"/>
    <w:rsid w:val="358D4597"/>
    <w:rsid w:val="35943F48"/>
    <w:rsid w:val="359F7AA1"/>
    <w:rsid w:val="36274B47"/>
    <w:rsid w:val="36685822"/>
    <w:rsid w:val="36A5668C"/>
    <w:rsid w:val="36AA5135"/>
    <w:rsid w:val="36CE3589"/>
    <w:rsid w:val="37E16F03"/>
    <w:rsid w:val="3845787B"/>
    <w:rsid w:val="3872263A"/>
    <w:rsid w:val="3970002D"/>
    <w:rsid w:val="399A6D68"/>
    <w:rsid w:val="39ED4E59"/>
    <w:rsid w:val="39EE5833"/>
    <w:rsid w:val="3A323902"/>
    <w:rsid w:val="3A6B7341"/>
    <w:rsid w:val="3B4A33FA"/>
    <w:rsid w:val="3B8E1539"/>
    <w:rsid w:val="3BA67E62"/>
    <w:rsid w:val="3C326368"/>
    <w:rsid w:val="3C3A346E"/>
    <w:rsid w:val="3CDC4526"/>
    <w:rsid w:val="3CF833B1"/>
    <w:rsid w:val="3D222D3E"/>
    <w:rsid w:val="3D96001F"/>
    <w:rsid w:val="3D98207C"/>
    <w:rsid w:val="3DC47494"/>
    <w:rsid w:val="3E7376BE"/>
    <w:rsid w:val="3E7E2AFB"/>
    <w:rsid w:val="3F0858A3"/>
    <w:rsid w:val="3F2A1578"/>
    <w:rsid w:val="3FC765FB"/>
    <w:rsid w:val="40542CB9"/>
    <w:rsid w:val="40AB4BC0"/>
    <w:rsid w:val="41630D72"/>
    <w:rsid w:val="417769CF"/>
    <w:rsid w:val="42072F7D"/>
    <w:rsid w:val="4267663F"/>
    <w:rsid w:val="42707BEA"/>
    <w:rsid w:val="4292538C"/>
    <w:rsid w:val="434C6DAF"/>
    <w:rsid w:val="43B35FE0"/>
    <w:rsid w:val="444921BD"/>
    <w:rsid w:val="446568CB"/>
    <w:rsid w:val="448C2F90"/>
    <w:rsid w:val="44D02189"/>
    <w:rsid w:val="44E268DA"/>
    <w:rsid w:val="45E42C1A"/>
    <w:rsid w:val="46690253"/>
    <w:rsid w:val="46A716F8"/>
    <w:rsid w:val="47150C33"/>
    <w:rsid w:val="47577B2A"/>
    <w:rsid w:val="47C95B12"/>
    <w:rsid w:val="480242CF"/>
    <w:rsid w:val="48884181"/>
    <w:rsid w:val="49423962"/>
    <w:rsid w:val="4A0B5CB3"/>
    <w:rsid w:val="4A627F82"/>
    <w:rsid w:val="4AE94CC4"/>
    <w:rsid w:val="4B3B78E8"/>
    <w:rsid w:val="4B4F25DA"/>
    <w:rsid w:val="4B5E0F27"/>
    <w:rsid w:val="4BCB7C3F"/>
    <w:rsid w:val="4BD411EA"/>
    <w:rsid w:val="4BE068DB"/>
    <w:rsid w:val="4BE35428"/>
    <w:rsid w:val="4CB5157E"/>
    <w:rsid w:val="4CCF23C9"/>
    <w:rsid w:val="4CD369A0"/>
    <w:rsid w:val="4D330192"/>
    <w:rsid w:val="4D540EB8"/>
    <w:rsid w:val="4D577224"/>
    <w:rsid w:val="4D826A23"/>
    <w:rsid w:val="4DBD1158"/>
    <w:rsid w:val="4E872543"/>
    <w:rsid w:val="4E910A1B"/>
    <w:rsid w:val="4EA4662C"/>
    <w:rsid w:val="4EAB630A"/>
    <w:rsid w:val="4ECA04F8"/>
    <w:rsid w:val="4ECE2238"/>
    <w:rsid w:val="4EE74D90"/>
    <w:rsid w:val="4F97660D"/>
    <w:rsid w:val="500B7A48"/>
    <w:rsid w:val="501A2F43"/>
    <w:rsid w:val="50FC6543"/>
    <w:rsid w:val="517A75BA"/>
    <w:rsid w:val="51BC3477"/>
    <w:rsid w:val="51DD1C20"/>
    <w:rsid w:val="51FC0D1B"/>
    <w:rsid w:val="52620877"/>
    <w:rsid w:val="52CE2F40"/>
    <w:rsid w:val="54886196"/>
    <w:rsid w:val="553E76D4"/>
    <w:rsid w:val="554F368F"/>
    <w:rsid w:val="55C45E2B"/>
    <w:rsid w:val="55FA5BA6"/>
    <w:rsid w:val="56452573"/>
    <w:rsid w:val="57016C0B"/>
    <w:rsid w:val="5702091E"/>
    <w:rsid w:val="576E6E23"/>
    <w:rsid w:val="57DD5901"/>
    <w:rsid w:val="57F04132"/>
    <w:rsid w:val="58087383"/>
    <w:rsid w:val="586E6522"/>
    <w:rsid w:val="58CA2BC4"/>
    <w:rsid w:val="58D5293F"/>
    <w:rsid w:val="596B0199"/>
    <w:rsid w:val="5AF92295"/>
    <w:rsid w:val="5B081C66"/>
    <w:rsid w:val="5B857E0A"/>
    <w:rsid w:val="5B9637E0"/>
    <w:rsid w:val="5B9B762E"/>
    <w:rsid w:val="5BD82630"/>
    <w:rsid w:val="5C8400C2"/>
    <w:rsid w:val="5CD71FC4"/>
    <w:rsid w:val="5D69505C"/>
    <w:rsid w:val="5DB6074F"/>
    <w:rsid w:val="5DC95937"/>
    <w:rsid w:val="5DCD3CEB"/>
    <w:rsid w:val="5E7553C5"/>
    <w:rsid w:val="5E802B0B"/>
    <w:rsid w:val="5EDF5A84"/>
    <w:rsid w:val="5EF534F9"/>
    <w:rsid w:val="5F2345A8"/>
    <w:rsid w:val="5F29112D"/>
    <w:rsid w:val="5FFC2665"/>
    <w:rsid w:val="60044C25"/>
    <w:rsid w:val="60A56859"/>
    <w:rsid w:val="612F3AC6"/>
    <w:rsid w:val="61600243"/>
    <w:rsid w:val="61BC1242"/>
    <w:rsid w:val="61FA72DA"/>
    <w:rsid w:val="627F6C32"/>
    <w:rsid w:val="62A21D44"/>
    <w:rsid w:val="6324615B"/>
    <w:rsid w:val="638E7A78"/>
    <w:rsid w:val="63930301"/>
    <w:rsid w:val="63A873FC"/>
    <w:rsid w:val="64416FCC"/>
    <w:rsid w:val="64834FB2"/>
    <w:rsid w:val="649C61C5"/>
    <w:rsid w:val="64AC5A79"/>
    <w:rsid w:val="651421FF"/>
    <w:rsid w:val="66376316"/>
    <w:rsid w:val="664D59C9"/>
    <w:rsid w:val="67281F92"/>
    <w:rsid w:val="673D70A9"/>
    <w:rsid w:val="67544B35"/>
    <w:rsid w:val="68334A51"/>
    <w:rsid w:val="69331AD8"/>
    <w:rsid w:val="697C421F"/>
    <w:rsid w:val="6A2151A2"/>
    <w:rsid w:val="6A24534F"/>
    <w:rsid w:val="6A9774DE"/>
    <w:rsid w:val="6B442BC4"/>
    <w:rsid w:val="6B4E646B"/>
    <w:rsid w:val="6B895CBC"/>
    <w:rsid w:val="6BAE2E02"/>
    <w:rsid w:val="6BB17334"/>
    <w:rsid w:val="6BB34520"/>
    <w:rsid w:val="6C4A05C8"/>
    <w:rsid w:val="6C5F1B1B"/>
    <w:rsid w:val="6CC973B3"/>
    <w:rsid w:val="6CD3474E"/>
    <w:rsid w:val="6D055BE4"/>
    <w:rsid w:val="6D2B6338"/>
    <w:rsid w:val="6D5E4D2C"/>
    <w:rsid w:val="6DC61602"/>
    <w:rsid w:val="6DD150F8"/>
    <w:rsid w:val="6E7E3605"/>
    <w:rsid w:val="6EEA75A4"/>
    <w:rsid w:val="6F457FB3"/>
    <w:rsid w:val="6F502086"/>
    <w:rsid w:val="6F551D9B"/>
    <w:rsid w:val="6FBB39A3"/>
    <w:rsid w:val="6FF5CC65"/>
    <w:rsid w:val="7027521C"/>
    <w:rsid w:val="70DA60AB"/>
    <w:rsid w:val="70EB650A"/>
    <w:rsid w:val="7107213A"/>
    <w:rsid w:val="715C0E4B"/>
    <w:rsid w:val="718A4A0E"/>
    <w:rsid w:val="71BB39C6"/>
    <w:rsid w:val="71C12D90"/>
    <w:rsid w:val="724F2AC9"/>
    <w:rsid w:val="72734D90"/>
    <w:rsid w:val="72BF37AA"/>
    <w:rsid w:val="72EC0317"/>
    <w:rsid w:val="73921116"/>
    <w:rsid w:val="73AD73D5"/>
    <w:rsid w:val="73B6EB34"/>
    <w:rsid w:val="73B72323"/>
    <w:rsid w:val="746A2707"/>
    <w:rsid w:val="747E1443"/>
    <w:rsid w:val="74B669EC"/>
    <w:rsid w:val="75B275F6"/>
    <w:rsid w:val="76164BEC"/>
    <w:rsid w:val="761B3938"/>
    <w:rsid w:val="76457B6B"/>
    <w:rsid w:val="7662631E"/>
    <w:rsid w:val="769170AA"/>
    <w:rsid w:val="76E13F88"/>
    <w:rsid w:val="76E96824"/>
    <w:rsid w:val="76F459ED"/>
    <w:rsid w:val="776203D7"/>
    <w:rsid w:val="77687B30"/>
    <w:rsid w:val="77727CE4"/>
    <w:rsid w:val="77D5581E"/>
    <w:rsid w:val="77FA5D85"/>
    <w:rsid w:val="78AE679B"/>
    <w:rsid w:val="78BE2756"/>
    <w:rsid w:val="78CC1E0C"/>
    <w:rsid w:val="79397A68"/>
    <w:rsid w:val="79EE5BA4"/>
    <w:rsid w:val="7A41363F"/>
    <w:rsid w:val="7A894339"/>
    <w:rsid w:val="7B821819"/>
    <w:rsid w:val="7B8C751F"/>
    <w:rsid w:val="7BFC781D"/>
    <w:rsid w:val="7C5E0996"/>
    <w:rsid w:val="7C684D31"/>
    <w:rsid w:val="7C6F7F88"/>
    <w:rsid w:val="7CE3278B"/>
    <w:rsid w:val="7D0050EB"/>
    <w:rsid w:val="7D434198"/>
    <w:rsid w:val="7D7D04EA"/>
    <w:rsid w:val="7D8432B9"/>
    <w:rsid w:val="7DB639FC"/>
    <w:rsid w:val="7E03663C"/>
    <w:rsid w:val="7E06489D"/>
    <w:rsid w:val="7E4337E8"/>
    <w:rsid w:val="7E433A7E"/>
    <w:rsid w:val="7E5A6A7D"/>
    <w:rsid w:val="7EEF11D3"/>
    <w:rsid w:val="7F121106"/>
    <w:rsid w:val="7F17164D"/>
    <w:rsid w:val="7FA30C79"/>
    <w:rsid w:val="7FC96657"/>
    <w:rsid w:val="7FD30895"/>
    <w:rsid w:val="D8D6DB89"/>
    <w:rsid w:val="DB6F4CAB"/>
    <w:rsid w:val="DF6F9789"/>
    <w:rsid w:val="EEEF0650"/>
    <w:rsid w:val="F7E68EE7"/>
    <w:rsid w:val="FF9F3F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6">
    <w:name w:val="annotation text"/>
    <w:basedOn w:val="1"/>
    <w:qFormat/>
    <w:uiPriority w:val="0"/>
    <w:pPr>
      <w:jc w:val="left"/>
    </w:pPr>
    <w:rPr>
      <w:rFonts w:ascii="Calibri" w:hAnsi="Calibri" w:eastAsia="宋体" w:cs="Times New Roman"/>
      <w:szCs w:val="21"/>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标题 1 Char"/>
    <w:basedOn w:val="15"/>
    <w:link w:val="3"/>
    <w:qFormat/>
    <w:uiPriority w:val="9"/>
    <w:rPr>
      <w:rFonts w:ascii="Times New Roman" w:hAnsi="Times New Roman"/>
      <w:b/>
      <w:bCs/>
      <w:kern w:val="44"/>
      <w:sz w:val="44"/>
      <w:szCs w:val="44"/>
    </w:rPr>
  </w:style>
  <w:style w:type="character" w:customStyle="1" w:styleId="19">
    <w:name w:val="标题 2 Char"/>
    <w:basedOn w:val="15"/>
    <w:link w:val="4"/>
    <w:qFormat/>
    <w:uiPriority w:val="9"/>
    <w:rPr>
      <w:rFonts w:asciiTheme="majorHAnsi" w:hAnsiTheme="majorHAnsi" w:eastAsiaTheme="majorEastAsia" w:cstheme="majorBidi"/>
      <w:b/>
      <w:bCs/>
      <w:kern w:val="2"/>
      <w:sz w:val="32"/>
      <w:szCs w:val="32"/>
    </w:rPr>
  </w:style>
  <w:style w:type="character" w:customStyle="1" w:styleId="20">
    <w:name w:val="标题 3 Char"/>
    <w:basedOn w:val="15"/>
    <w:link w:val="5"/>
    <w:qFormat/>
    <w:uiPriority w:val="9"/>
    <w:rPr>
      <w:rFonts w:ascii="Times New Roman" w:hAnsi="Times New Roman"/>
      <w:b/>
      <w:bCs/>
      <w:kern w:val="2"/>
      <w:sz w:val="32"/>
      <w:szCs w:val="32"/>
    </w:rPr>
  </w:style>
  <w:style w:type="character" w:customStyle="1" w:styleId="21">
    <w:name w:val="Header Char"/>
    <w:basedOn w:val="15"/>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5"/>
    <w:semiHidden/>
    <w:qFormat/>
    <w:uiPriority w:val="99"/>
    <w:rPr>
      <w:rFonts w:ascii="Times New Roman" w:hAnsi="Times New Roman"/>
      <w:sz w:val="18"/>
      <w:szCs w:val="18"/>
    </w:rPr>
  </w:style>
  <w:style w:type="character" w:customStyle="1" w:styleId="24">
    <w:name w:val="页脚 Char"/>
    <w:link w:val="2"/>
    <w:qFormat/>
    <w:locked/>
    <w:uiPriority w:val="99"/>
    <w:rPr>
      <w:sz w:val="18"/>
    </w:rPr>
  </w:style>
  <w:style w:type="character" w:customStyle="1" w:styleId="25">
    <w:name w:val="Body Text Char"/>
    <w:basedOn w:val="15"/>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9"/>
    <w:semiHidden/>
    <w:qFormat/>
    <w:uiPriority w:val="99"/>
    <w:rPr>
      <w:rFonts w:ascii="Times New Roman" w:hAnsi="Times New Roman"/>
      <w:kern w:val="2"/>
      <w:sz w:val="18"/>
      <w:szCs w:val="18"/>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p0"/>
    <w:basedOn w:val="1"/>
    <w:qFormat/>
    <w:uiPriority w:val="0"/>
    <w:pPr>
      <w:widowControl/>
    </w:pPr>
    <w:rPr>
      <w:kern w:val="0"/>
    </w:rPr>
  </w:style>
  <w:style w:type="paragraph" w:customStyle="1" w:styleId="33">
    <w:name w:val="图表目录1"/>
    <w:basedOn w:val="1"/>
    <w:next w:val="1"/>
    <w:qFormat/>
    <w:uiPriority w:val="0"/>
    <w:pPr>
      <w:ind w:left="400" w:leftChars="200" w:hanging="200" w:hangingChars="200"/>
    </w:pPr>
  </w:style>
  <w:style w:type="paragraph" w:customStyle="1" w:styleId="34">
    <w:name w:val="p15"/>
    <w:basedOn w:val="1"/>
    <w:qFormat/>
    <w:uiPriority w:val="0"/>
    <w:pPr>
      <w:widowControl/>
    </w:pPr>
    <w:rPr>
      <w:rFonts w:ascii="Times New Roman" w:hAnsi="Times New Roman" w:eastAsia="方正仿宋简体" w:cs="Times New Roman"/>
      <w:kern w:val="0"/>
      <w:sz w:val="32"/>
      <w:szCs w:val="32"/>
    </w:rPr>
  </w:style>
  <w:style w:type="character" w:customStyle="1" w:styleId="35">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65</Pages>
  <Words>26263</Words>
  <Characters>27696</Characters>
  <Lines>61</Lines>
  <Paragraphs>17</Paragraphs>
  <TotalTime>11</TotalTime>
  <ScaleCrop>false</ScaleCrop>
  <LinksUpToDate>false</LinksUpToDate>
  <CharactersWithSpaces>28119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2022-08-09T01:11:00Z</cp:lastPrinted>
  <dcterms:modified xsi:type="dcterms:W3CDTF">2023-09-12T18:21:04Z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B27E7D5B7BA844DFB6F287D602A530B2</vt:lpwstr>
  </property>
</Properties>
</file>