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40" w:lineRule="auto"/>
        <w:ind w:firstLine="0" w:firstLineChars="0"/>
        <w:jc w:val="center"/>
        <w:outlineLvl w:val="0"/>
        <w:rPr>
          <w:rFonts w:ascii="方正小标宋简体" w:hAnsi="Helvetica" w:eastAsia="方正小标宋简体" w:cs="Helvetica"/>
          <w:bCs/>
          <w:kern w:val="36"/>
          <w:sz w:val="72"/>
          <w:szCs w:val="72"/>
        </w:rPr>
      </w:pPr>
      <w:bookmarkStart w:id="0" w:name="_Toc139013049"/>
      <w:r>
        <w:rPr>
          <w:rFonts w:hint="eastAsia" w:ascii="方正小标宋简体" w:hAnsi="Helvetica" w:eastAsia="方正小标宋简体" w:cs="Helvetica"/>
          <w:bCs/>
          <w:kern w:val="36"/>
          <w:sz w:val="72"/>
          <w:szCs w:val="72"/>
        </w:rPr>
        <w:t>广元市交通技工学校</w:t>
      </w:r>
      <w:bookmarkEnd w:id="0"/>
    </w:p>
    <w:p>
      <w:pPr>
        <w:widowControl/>
        <w:spacing w:line="240" w:lineRule="auto"/>
        <w:ind w:firstLine="0" w:firstLineChars="0"/>
        <w:jc w:val="center"/>
        <w:outlineLvl w:val="0"/>
        <w:rPr>
          <w:rFonts w:ascii="方正小标宋简体" w:hAnsi="Helvetica" w:eastAsia="方正小标宋简体" w:cs="Helvetica"/>
          <w:bCs/>
          <w:kern w:val="36"/>
          <w:sz w:val="48"/>
          <w:szCs w:val="48"/>
        </w:rPr>
      </w:pPr>
      <w:bookmarkStart w:id="1" w:name="_Toc139013050"/>
      <w:r>
        <w:rPr>
          <w:rFonts w:hint="eastAsia" w:ascii="方正小标宋简体" w:hAnsi="Helvetica" w:eastAsia="方正小标宋简体" w:cs="Helvetica"/>
          <w:bCs/>
          <w:kern w:val="36"/>
          <w:sz w:val="48"/>
          <w:szCs w:val="48"/>
        </w:rPr>
        <w:t>（2022年度）</w:t>
      </w:r>
    </w:p>
    <w:p>
      <w:pPr>
        <w:widowControl/>
        <w:ind w:firstLine="0" w:firstLineChars="0"/>
        <w:jc w:val="center"/>
        <w:outlineLvl w:val="0"/>
        <w:rPr>
          <w:rFonts w:ascii="方正小标宋简体" w:hAnsi="Helvetica" w:eastAsia="方正小标宋简体" w:cs="Helvetica"/>
          <w:bCs/>
          <w:kern w:val="36"/>
          <w:sz w:val="44"/>
          <w:szCs w:val="44"/>
        </w:rPr>
      </w:pPr>
    </w:p>
    <w:p>
      <w:pPr>
        <w:widowControl/>
        <w:spacing w:line="880" w:lineRule="exact"/>
        <w:ind w:firstLine="0" w:firstLineChars="0"/>
        <w:jc w:val="center"/>
        <w:outlineLvl w:val="0"/>
        <w:rPr>
          <w:rFonts w:ascii="黑体" w:hAnsi="黑体" w:eastAsia="黑体" w:cs="Helvetica"/>
          <w:bCs/>
          <w:kern w:val="36"/>
          <w:sz w:val="84"/>
          <w:szCs w:val="84"/>
        </w:rPr>
      </w:pPr>
      <w:r>
        <w:rPr>
          <w:rFonts w:hint="eastAsia" w:ascii="黑体" w:hAnsi="黑体" w:eastAsia="黑体" w:cs="Helvetica"/>
          <w:bCs/>
          <w:kern w:val="36"/>
          <w:sz w:val="84"/>
          <w:szCs w:val="84"/>
        </w:rPr>
        <w:t>部</w:t>
      </w:r>
    </w:p>
    <w:p>
      <w:pPr>
        <w:widowControl/>
        <w:spacing w:line="880" w:lineRule="exact"/>
        <w:ind w:firstLine="0" w:firstLineChars="0"/>
        <w:jc w:val="center"/>
        <w:outlineLvl w:val="0"/>
        <w:rPr>
          <w:rFonts w:ascii="黑体" w:hAnsi="黑体" w:eastAsia="黑体" w:cs="Helvetica"/>
          <w:bCs/>
          <w:kern w:val="36"/>
          <w:sz w:val="84"/>
          <w:szCs w:val="84"/>
        </w:rPr>
      </w:pPr>
      <w:r>
        <w:rPr>
          <w:rFonts w:hint="eastAsia" w:ascii="黑体" w:hAnsi="黑体" w:eastAsia="黑体" w:cs="Helvetica"/>
          <w:bCs/>
          <w:kern w:val="36"/>
          <w:sz w:val="84"/>
          <w:szCs w:val="84"/>
        </w:rPr>
        <w:t>门</w:t>
      </w:r>
    </w:p>
    <w:p>
      <w:pPr>
        <w:widowControl/>
        <w:spacing w:line="880" w:lineRule="exact"/>
        <w:ind w:firstLine="0" w:firstLineChars="0"/>
        <w:jc w:val="center"/>
        <w:outlineLvl w:val="0"/>
        <w:rPr>
          <w:rFonts w:ascii="黑体" w:hAnsi="黑体" w:eastAsia="黑体" w:cs="Helvetica"/>
          <w:bCs/>
          <w:kern w:val="36"/>
          <w:sz w:val="84"/>
          <w:szCs w:val="84"/>
        </w:rPr>
      </w:pPr>
      <w:r>
        <w:rPr>
          <w:rFonts w:hint="eastAsia" w:ascii="黑体" w:hAnsi="黑体" w:eastAsia="黑体" w:cs="Helvetica"/>
          <w:bCs/>
          <w:kern w:val="36"/>
          <w:sz w:val="84"/>
          <w:szCs w:val="84"/>
        </w:rPr>
        <w:t>预</w:t>
      </w:r>
    </w:p>
    <w:p>
      <w:pPr>
        <w:widowControl/>
        <w:spacing w:line="880" w:lineRule="exact"/>
        <w:ind w:firstLine="0" w:firstLineChars="0"/>
        <w:jc w:val="center"/>
        <w:outlineLvl w:val="0"/>
        <w:rPr>
          <w:rFonts w:ascii="黑体" w:hAnsi="黑体" w:eastAsia="黑体" w:cs="Helvetica"/>
          <w:bCs/>
          <w:kern w:val="36"/>
          <w:sz w:val="84"/>
          <w:szCs w:val="84"/>
        </w:rPr>
      </w:pPr>
      <w:r>
        <w:rPr>
          <w:rFonts w:hint="eastAsia" w:ascii="黑体" w:hAnsi="黑体" w:eastAsia="黑体" w:cs="Helvetica"/>
          <w:bCs/>
          <w:kern w:val="36"/>
          <w:sz w:val="84"/>
          <w:szCs w:val="84"/>
        </w:rPr>
        <w:t>算</w:t>
      </w:r>
    </w:p>
    <w:p>
      <w:pPr>
        <w:widowControl/>
        <w:spacing w:line="880" w:lineRule="exact"/>
        <w:ind w:firstLine="0" w:firstLineChars="0"/>
        <w:jc w:val="center"/>
        <w:outlineLvl w:val="0"/>
        <w:rPr>
          <w:rFonts w:ascii="黑体" w:hAnsi="黑体" w:eastAsia="黑体" w:cs="Helvetica"/>
          <w:bCs/>
          <w:kern w:val="36"/>
          <w:sz w:val="84"/>
          <w:szCs w:val="84"/>
        </w:rPr>
      </w:pPr>
      <w:r>
        <w:rPr>
          <w:rFonts w:hint="eastAsia" w:ascii="黑体" w:hAnsi="黑体" w:eastAsia="黑体" w:cs="Helvetica"/>
          <w:bCs/>
          <w:kern w:val="36"/>
          <w:sz w:val="84"/>
          <w:szCs w:val="84"/>
        </w:rPr>
        <w:t>编</w:t>
      </w:r>
    </w:p>
    <w:p>
      <w:pPr>
        <w:widowControl/>
        <w:spacing w:line="880" w:lineRule="exact"/>
        <w:ind w:firstLine="0" w:firstLineChars="0"/>
        <w:jc w:val="center"/>
        <w:outlineLvl w:val="0"/>
        <w:rPr>
          <w:rFonts w:ascii="黑体" w:hAnsi="黑体" w:eastAsia="黑体" w:cs="Helvetica"/>
          <w:bCs/>
          <w:kern w:val="36"/>
          <w:sz w:val="84"/>
          <w:szCs w:val="84"/>
        </w:rPr>
      </w:pPr>
      <w:r>
        <w:rPr>
          <w:rFonts w:hint="eastAsia" w:ascii="黑体" w:hAnsi="黑体" w:eastAsia="黑体" w:cs="Helvetica"/>
          <w:bCs/>
          <w:kern w:val="36"/>
          <w:sz w:val="84"/>
          <w:szCs w:val="84"/>
        </w:rPr>
        <w:t>制</w:t>
      </w:r>
    </w:p>
    <w:p>
      <w:pPr>
        <w:widowControl/>
        <w:spacing w:line="880" w:lineRule="exact"/>
        <w:ind w:firstLine="0" w:firstLineChars="0"/>
        <w:jc w:val="center"/>
        <w:outlineLvl w:val="0"/>
        <w:rPr>
          <w:rFonts w:ascii="黑体" w:hAnsi="黑体" w:eastAsia="黑体" w:cs="Helvetica"/>
          <w:bCs/>
          <w:kern w:val="36"/>
          <w:sz w:val="84"/>
          <w:szCs w:val="84"/>
        </w:rPr>
      </w:pPr>
      <w:r>
        <w:rPr>
          <w:rFonts w:hint="eastAsia" w:ascii="黑体" w:hAnsi="黑体" w:eastAsia="黑体" w:cs="Helvetica"/>
          <w:bCs/>
          <w:kern w:val="36"/>
          <w:sz w:val="84"/>
          <w:szCs w:val="84"/>
        </w:rPr>
        <w:t>说</w:t>
      </w:r>
    </w:p>
    <w:p>
      <w:pPr>
        <w:widowControl/>
        <w:spacing w:line="880" w:lineRule="exact"/>
        <w:ind w:firstLine="0" w:firstLineChars="0"/>
        <w:jc w:val="center"/>
        <w:outlineLvl w:val="0"/>
        <w:rPr>
          <w:rFonts w:ascii="黑体" w:hAnsi="黑体" w:eastAsia="黑体" w:cs="Helvetica"/>
          <w:bCs/>
          <w:kern w:val="36"/>
          <w:sz w:val="84"/>
          <w:szCs w:val="84"/>
        </w:rPr>
      </w:pPr>
      <w:r>
        <w:rPr>
          <w:rFonts w:hint="eastAsia" w:ascii="黑体" w:hAnsi="黑体" w:eastAsia="黑体" w:cs="Helvetica"/>
          <w:bCs/>
          <w:kern w:val="36"/>
          <w:sz w:val="84"/>
          <w:szCs w:val="84"/>
        </w:rPr>
        <w:t>明</w:t>
      </w:r>
      <w:bookmarkEnd w:id="1"/>
    </w:p>
    <w:p>
      <w:pPr>
        <w:widowControl/>
        <w:spacing w:line="240" w:lineRule="auto"/>
        <w:ind w:firstLine="0" w:firstLineChars="0"/>
        <w:rPr>
          <w:rFonts w:ascii="方正小标宋简体" w:hAnsi="Helvetica" w:eastAsia="方正小标宋简体" w:cs="Helvetica"/>
          <w:bCs/>
          <w:kern w:val="36"/>
          <w:sz w:val="44"/>
          <w:szCs w:val="44"/>
        </w:rPr>
      </w:pPr>
      <w:r>
        <w:rPr>
          <w:rFonts w:ascii="方正小标宋简体" w:hAnsi="Helvetica" w:eastAsia="方正小标宋简体" w:cs="Helvetica"/>
          <w:bCs/>
          <w:kern w:val="36"/>
          <w:sz w:val="44"/>
          <w:szCs w:val="44"/>
        </w:rPr>
        <w:br w:type="page"/>
      </w:r>
    </w:p>
    <w:p>
      <w:pPr>
        <w:widowControl/>
        <w:spacing w:beforeLines="50"/>
        <w:ind w:firstLine="0" w:firstLineChars="0"/>
        <w:jc w:val="center"/>
        <w:outlineLvl w:val="0"/>
        <w:rPr>
          <w:rFonts w:ascii="方正小标宋简体" w:hAnsi="Helvetica" w:eastAsia="方正小标宋简体" w:cs="Helvetica"/>
          <w:bCs/>
          <w:kern w:val="36"/>
          <w:sz w:val="44"/>
          <w:szCs w:val="44"/>
        </w:rPr>
      </w:pPr>
      <w:r>
        <w:rPr>
          <w:rFonts w:hint="eastAsia" w:ascii="方正小标宋简体" w:hAnsi="Helvetica" w:eastAsia="方正小标宋简体" w:cs="Helvetica"/>
          <w:bCs/>
          <w:kern w:val="36"/>
          <w:sz w:val="44"/>
          <w:szCs w:val="44"/>
        </w:rPr>
        <w:t>目       录</w:t>
      </w:r>
    </w:p>
    <w:p>
      <w:pPr>
        <w:pStyle w:val="7"/>
        <w:tabs>
          <w:tab w:val="right" w:leader="dot" w:pos="8834"/>
        </w:tabs>
        <w:spacing w:line="400" w:lineRule="exact"/>
        <w:ind w:firstLine="0" w:firstLineChars="0"/>
        <w:rPr>
          <w:rFonts w:asciiTheme="minorEastAsia" w:hAnsiTheme="minorEastAsia" w:eastAsiaTheme="minorEastAsia"/>
          <w:sz w:val="28"/>
          <w:szCs w:val="28"/>
        </w:rPr>
      </w:pPr>
      <w:r>
        <w:rPr>
          <w:rFonts w:cs="Helvetica" w:asciiTheme="minorEastAsia" w:hAnsiTheme="minorEastAsia" w:eastAsiaTheme="minorEastAsia"/>
          <w:kern w:val="0"/>
          <w:sz w:val="28"/>
          <w:szCs w:val="28"/>
        </w:rPr>
        <w:fldChar w:fldCharType="begin"/>
      </w:r>
      <w:r>
        <w:rPr>
          <w:rFonts w:cs="Helvetica" w:asciiTheme="minorEastAsia" w:hAnsiTheme="minorEastAsia" w:eastAsiaTheme="minorEastAsia"/>
          <w:kern w:val="0"/>
          <w:sz w:val="28"/>
          <w:szCs w:val="28"/>
        </w:rPr>
        <w:instrText xml:space="preserve"> </w:instrText>
      </w:r>
      <w:r>
        <w:rPr>
          <w:rFonts w:hint="eastAsia" w:cs="Helvetica" w:asciiTheme="minorEastAsia" w:hAnsiTheme="minorEastAsia" w:eastAsiaTheme="minorEastAsia"/>
          <w:kern w:val="0"/>
          <w:sz w:val="28"/>
          <w:szCs w:val="28"/>
        </w:rPr>
        <w:instrText xml:space="preserve">TOC \o "1-3" \h \z \u</w:instrText>
      </w:r>
      <w:r>
        <w:rPr>
          <w:rFonts w:cs="Helvetica" w:asciiTheme="minorEastAsia" w:hAnsiTheme="minorEastAsia" w:eastAsiaTheme="minorEastAsia"/>
          <w:kern w:val="0"/>
          <w:sz w:val="28"/>
          <w:szCs w:val="28"/>
        </w:rPr>
        <w:instrText xml:space="preserve"> </w:instrText>
      </w:r>
      <w:r>
        <w:rPr>
          <w:rFonts w:cs="Helvetica" w:asciiTheme="minorEastAsia" w:hAnsiTheme="minorEastAsia" w:eastAsiaTheme="minorEastAsia"/>
          <w:kern w:val="0"/>
          <w:sz w:val="28"/>
          <w:szCs w:val="28"/>
        </w:rPr>
        <w:fldChar w:fldCharType="separate"/>
      </w:r>
    </w:p>
    <w:p>
      <w:pPr>
        <w:pStyle w:val="8"/>
      </w:pPr>
      <w:r>
        <w:fldChar w:fldCharType="begin"/>
      </w:r>
      <w:r>
        <w:instrText xml:space="preserve"> HYPERLINK \l "_Toc139013051" </w:instrText>
      </w:r>
      <w:r>
        <w:fldChar w:fldCharType="separate"/>
      </w:r>
      <w:r>
        <w:rPr>
          <w:rStyle w:val="12"/>
          <w:rFonts w:hint="eastAsia" w:asciiTheme="minorEastAsia" w:hAnsiTheme="minorEastAsia" w:eastAsiaTheme="minorEastAsia"/>
          <w:kern w:val="0"/>
          <w:sz w:val="28"/>
          <w:szCs w:val="28"/>
          <w:shd w:val="clear" w:color="auto" w:fill="FFFFFF"/>
        </w:rPr>
        <w:t>一、基本职能及主要工作</w:t>
      </w:r>
      <w:r>
        <w:tab/>
      </w:r>
      <w:r>
        <w:fldChar w:fldCharType="begin"/>
      </w:r>
      <w:r>
        <w:instrText xml:space="preserve"> PAGEREF _Toc139013051 \h </w:instrText>
      </w:r>
      <w:r>
        <w:fldChar w:fldCharType="separate"/>
      </w:r>
      <w:r>
        <w:t>3</w:t>
      </w:r>
      <w:r>
        <w:fldChar w:fldCharType="end"/>
      </w:r>
      <w:r>
        <w:fldChar w:fldCharType="end"/>
      </w:r>
    </w:p>
    <w:p>
      <w:pPr>
        <w:pStyle w:val="5"/>
      </w:pPr>
      <w:r>
        <w:fldChar w:fldCharType="begin"/>
      </w:r>
      <w:r>
        <w:instrText xml:space="preserve"> HYPERLINK \l "_Toc139013052" </w:instrText>
      </w:r>
      <w:r>
        <w:fldChar w:fldCharType="separate"/>
      </w:r>
      <w:r>
        <w:rPr>
          <w:rStyle w:val="12"/>
          <w:rFonts w:hint="eastAsia" w:asciiTheme="minorEastAsia" w:hAnsiTheme="minorEastAsia" w:eastAsiaTheme="minorEastAsia"/>
          <w:kern w:val="0"/>
          <w:sz w:val="28"/>
          <w:szCs w:val="28"/>
          <w:shd w:val="clear" w:color="auto" w:fill="FFFFFF"/>
        </w:rPr>
        <w:t>（一）市交通技工学校职能简介</w:t>
      </w:r>
      <w:r>
        <w:tab/>
      </w:r>
      <w:r>
        <w:fldChar w:fldCharType="begin"/>
      </w:r>
      <w:r>
        <w:instrText xml:space="preserve"> PAGEREF _Toc139013052 \h </w:instrText>
      </w:r>
      <w:r>
        <w:fldChar w:fldCharType="separate"/>
      </w:r>
      <w:r>
        <w:t>3</w:t>
      </w:r>
      <w:r>
        <w:fldChar w:fldCharType="end"/>
      </w:r>
      <w:r>
        <w:fldChar w:fldCharType="end"/>
      </w:r>
    </w:p>
    <w:p>
      <w:pPr>
        <w:pStyle w:val="5"/>
      </w:pPr>
      <w:r>
        <w:fldChar w:fldCharType="begin"/>
      </w:r>
      <w:r>
        <w:instrText xml:space="preserve"> HYPERLINK \l "_Toc139013053" </w:instrText>
      </w:r>
      <w:r>
        <w:fldChar w:fldCharType="separate"/>
      </w:r>
      <w:r>
        <w:rPr>
          <w:rStyle w:val="12"/>
          <w:rFonts w:hint="eastAsia" w:asciiTheme="minorEastAsia" w:hAnsiTheme="minorEastAsia" w:eastAsiaTheme="minorEastAsia"/>
          <w:kern w:val="0"/>
          <w:sz w:val="28"/>
          <w:szCs w:val="28"/>
          <w:shd w:val="clear" w:color="auto" w:fill="FFFFFF"/>
        </w:rPr>
        <w:t>（二）市交通技工学校</w:t>
      </w:r>
      <w:r>
        <w:rPr>
          <w:rStyle w:val="12"/>
          <w:rFonts w:asciiTheme="minorEastAsia" w:hAnsiTheme="minorEastAsia" w:eastAsiaTheme="minorEastAsia"/>
          <w:kern w:val="0"/>
          <w:sz w:val="28"/>
          <w:szCs w:val="28"/>
          <w:shd w:val="clear" w:color="auto" w:fill="FFFFFF"/>
        </w:rPr>
        <w:t>2022</w:t>
      </w:r>
      <w:r>
        <w:rPr>
          <w:rStyle w:val="12"/>
          <w:rFonts w:hint="eastAsia" w:asciiTheme="minorEastAsia" w:hAnsiTheme="minorEastAsia" w:eastAsiaTheme="minorEastAsia"/>
          <w:kern w:val="0"/>
          <w:sz w:val="28"/>
          <w:szCs w:val="28"/>
          <w:shd w:val="clear" w:color="auto" w:fill="FFFFFF"/>
        </w:rPr>
        <w:t>年重点工作</w:t>
      </w:r>
      <w:r>
        <w:tab/>
      </w:r>
      <w:r>
        <w:fldChar w:fldCharType="begin"/>
      </w:r>
      <w:r>
        <w:instrText xml:space="preserve"> PAGEREF _Toc139013053 \h </w:instrText>
      </w:r>
      <w:r>
        <w:fldChar w:fldCharType="separate"/>
      </w:r>
      <w:r>
        <w:t>3</w:t>
      </w:r>
      <w:r>
        <w:fldChar w:fldCharType="end"/>
      </w:r>
      <w:r>
        <w:fldChar w:fldCharType="end"/>
      </w:r>
    </w:p>
    <w:p>
      <w:pPr>
        <w:pStyle w:val="8"/>
      </w:pPr>
      <w:r>
        <w:fldChar w:fldCharType="begin"/>
      </w:r>
      <w:r>
        <w:instrText xml:space="preserve"> HYPERLINK \l "_Toc139013054" </w:instrText>
      </w:r>
      <w:r>
        <w:fldChar w:fldCharType="separate"/>
      </w:r>
      <w:r>
        <w:rPr>
          <w:rStyle w:val="12"/>
          <w:rFonts w:hint="eastAsia" w:asciiTheme="minorEastAsia" w:hAnsiTheme="minorEastAsia" w:eastAsiaTheme="minorEastAsia"/>
          <w:kern w:val="0"/>
          <w:sz w:val="28"/>
          <w:szCs w:val="28"/>
          <w:shd w:val="clear" w:color="auto" w:fill="FFFFFF"/>
        </w:rPr>
        <w:t>二、部门预算单位构成</w:t>
      </w:r>
      <w:r>
        <w:tab/>
      </w:r>
      <w:r>
        <w:fldChar w:fldCharType="begin"/>
      </w:r>
      <w:r>
        <w:instrText xml:space="preserve"> PAGEREF _Toc139013054 \h </w:instrText>
      </w:r>
      <w:r>
        <w:fldChar w:fldCharType="separate"/>
      </w:r>
      <w:r>
        <w:t>4</w:t>
      </w:r>
      <w:r>
        <w:fldChar w:fldCharType="end"/>
      </w:r>
      <w:r>
        <w:fldChar w:fldCharType="end"/>
      </w:r>
    </w:p>
    <w:p>
      <w:pPr>
        <w:pStyle w:val="8"/>
      </w:pPr>
      <w:r>
        <w:fldChar w:fldCharType="begin"/>
      </w:r>
      <w:r>
        <w:instrText xml:space="preserve"> HYPERLINK \l "_Toc139013055" </w:instrText>
      </w:r>
      <w:r>
        <w:fldChar w:fldCharType="separate"/>
      </w:r>
      <w:r>
        <w:rPr>
          <w:rStyle w:val="12"/>
          <w:rFonts w:hint="eastAsia" w:asciiTheme="minorEastAsia" w:hAnsiTheme="minorEastAsia" w:eastAsiaTheme="minorEastAsia"/>
          <w:kern w:val="0"/>
          <w:sz w:val="28"/>
          <w:szCs w:val="28"/>
          <w:shd w:val="clear" w:color="auto" w:fill="FFFFFF"/>
        </w:rPr>
        <w:t>三、收支预算情况说明</w:t>
      </w:r>
      <w:r>
        <w:tab/>
      </w:r>
      <w:r>
        <w:fldChar w:fldCharType="begin"/>
      </w:r>
      <w:r>
        <w:instrText xml:space="preserve"> PAGEREF _Toc139013055 \h </w:instrText>
      </w:r>
      <w:r>
        <w:fldChar w:fldCharType="separate"/>
      </w:r>
      <w:r>
        <w:t>5</w:t>
      </w:r>
      <w:r>
        <w:fldChar w:fldCharType="end"/>
      </w:r>
      <w:r>
        <w:fldChar w:fldCharType="end"/>
      </w:r>
    </w:p>
    <w:p>
      <w:pPr>
        <w:pStyle w:val="5"/>
      </w:pPr>
      <w:r>
        <w:fldChar w:fldCharType="begin"/>
      </w:r>
      <w:r>
        <w:instrText xml:space="preserve"> HYPERLINK \l "_Toc139013056" </w:instrText>
      </w:r>
      <w:r>
        <w:fldChar w:fldCharType="separate"/>
      </w:r>
      <w:r>
        <w:rPr>
          <w:rStyle w:val="12"/>
          <w:rFonts w:hint="eastAsia" w:asciiTheme="minorEastAsia" w:hAnsiTheme="minorEastAsia" w:eastAsiaTheme="minorEastAsia"/>
          <w:sz w:val="28"/>
          <w:szCs w:val="28"/>
        </w:rPr>
        <w:t>（一）收入预算情况。</w:t>
      </w:r>
      <w:r>
        <w:tab/>
      </w:r>
      <w:r>
        <w:fldChar w:fldCharType="begin"/>
      </w:r>
      <w:r>
        <w:instrText xml:space="preserve"> PAGEREF _Toc139013056 \h </w:instrText>
      </w:r>
      <w:r>
        <w:fldChar w:fldCharType="separate"/>
      </w:r>
      <w:r>
        <w:t>5</w:t>
      </w:r>
      <w:r>
        <w:fldChar w:fldCharType="end"/>
      </w:r>
      <w:r>
        <w:fldChar w:fldCharType="end"/>
      </w:r>
    </w:p>
    <w:p>
      <w:pPr>
        <w:pStyle w:val="8"/>
      </w:pPr>
      <w:r>
        <w:fldChar w:fldCharType="begin"/>
      </w:r>
      <w:r>
        <w:instrText xml:space="preserve"> HYPERLINK \l "_Toc139013057" </w:instrText>
      </w:r>
      <w:r>
        <w:fldChar w:fldCharType="separate"/>
      </w:r>
      <w:r>
        <w:rPr>
          <w:rStyle w:val="12"/>
          <w:rFonts w:hint="eastAsia" w:asciiTheme="minorEastAsia" w:hAnsiTheme="minorEastAsia" w:eastAsiaTheme="minorEastAsia"/>
          <w:kern w:val="0"/>
          <w:sz w:val="28"/>
          <w:szCs w:val="28"/>
          <w:shd w:val="clear" w:color="auto" w:fill="FFFFFF"/>
        </w:rPr>
        <w:t>四、财政拨款收支预算情况说明</w:t>
      </w:r>
      <w:r>
        <w:tab/>
      </w:r>
      <w:r>
        <w:fldChar w:fldCharType="begin"/>
      </w:r>
      <w:r>
        <w:instrText xml:space="preserve"> PAGEREF _Toc139013057 \h </w:instrText>
      </w:r>
      <w:r>
        <w:fldChar w:fldCharType="separate"/>
      </w:r>
      <w:r>
        <w:t>5</w:t>
      </w:r>
      <w:r>
        <w:fldChar w:fldCharType="end"/>
      </w:r>
      <w:r>
        <w:fldChar w:fldCharType="end"/>
      </w:r>
    </w:p>
    <w:p>
      <w:pPr>
        <w:pStyle w:val="8"/>
      </w:pPr>
      <w:r>
        <w:fldChar w:fldCharType="begin"/>
      </w:r>
      <w:r>
        <w:instrText xml:space="preserve"> HYPERLINK \l "_Toc139013058" </w:instrText>
      </w:r>
      <w:r>
        <w:fldChar w:fldCharType="separate"/>
      </w:r>
      <w:r>
        <w:rPr>
          <w:rStyle w:val="12"/>
          <w:rFonts w:hint="eastAsia" w:asciiTheme="minorEastAsia" w:hAnsiTheme="minorEastAsia" w:eastAsiaTheme="minorEastAsia"/>
          <w:kern w:val="0"/>
          <w:sz w:val="28"/>
          <w:szCs w:val="28"/>
          <w:shd w:val="clear" w:color="auto" w:fill="FFFFFF"/>
        </w:rPr>
        <w:t>五、一般公共预算当年拨款情况说明</w:t>
      </w:r>
      <w:r>
        <w:tab/>
      </w:r>
      <w:r>
        <w:fldChar w:fldCharType="begin"/>
      </w:r>
      <w:r>
        <w:instrText xml:space="preserve"> PAGEREF _Toc139013058 \h </w:instrText>
      </w:r>
      <w:r>
        <w:fldChar w:fldCharType="separate"/>
      </w:r>
      <w:r>
        <w:t>6</w:t>
      </w:r>
      <w:r>
        <w:fldChar w:fldCharType="end"/>
      </w:r>
      <w:r>
        <w:fldChar w:fldCharType="end"/>
      </w:r>
    </w:p>
    <w:p>
      <w:pPr>
        <w:pStyle w:val="5"/>
      </w:pPr>
      <w:r>
        <w:fldChar w:fldCharType="begin"/>
      </w:r>
      <w:r>
        <w:instrText xml:space="preserve"> HYPERLINK \l "_Toc139013059" </w:instrText>
      </w:r>
      <w:r>
        <w:fldChar w:fldCharType="separate"/>
      </w:r>
      <w:r>
        <w:rPr>
          <w:rStyle w:val="12"/>
          <w:rFonts w:hint="eastAsia" w:asciiTheme="minorEastAsia" w:hAnsiTheme="minorEastAsia" w:eastAsiaTheme="minorEastAsia"/>
          <w:kern w:val="0"/>
          <w:sz w:val="28"/>
          <w:szCs w:val="28"/>
          <w:shd w:val="clear" w:color="auto" w:fill="FFFFFF"/>
        </w:rPr>
        <w:t>（一）一般公共预算当年拨款规模变化情况</w:t>
      </w:r>
      <w:r>
        <w:tab/>
      </w:r>
      <w:r>
        <w:fldChar w:fldCharType="begin"/>
      </w:r>
      <w:r>
        <w:instrText xml:space="preserve"> PAGEREF _Toc139013059 \h </w:instrText>
      </w:r>
      <w:r>
        <w:fldChar w:fldCharType="separate"/>
      </w:r>
      <w:r>
        <w:t>6</w:t>
      </w:r>
      <w:r>
        <w:fldChar w:fldCharType="end"/>
      </w:r>
      <w:r>
        <w:fldChar w:fldCharType="end"/>
      </w:r>
    </w:p>
    <w:p>
      <w:pPr>
        <w:pStyle w:val="5"/>
      </w:pPr>
      <w:r>
        <w:fldChar w:fldCharType="begin"/>
      </w:r>
      <w:r>
        <w:instrText xml:space="preserve"> HYPERLINK \l "_Toc139013060" </w:instrText>
      </w:r>
      <w:r>
        <w:fldChar w:fldCharType="separate"/>
      </w:r>
      <w:r>
        <w:rPr>
          <w:rStyle w:val="12"/>
          <w:rFonts w:hint="eastAsia" w:asciiTheme="minorEastAsia" w:hAnsiTheme="minorEastAsia" w:eastAsiaTheme="minorEastAsia"/>
          <w:kern w:val="0"/>
          <w:sz w:val="28"/>
          <w:szCs w:val="28"/>
          <w:shd w:val="clear" w:color="auto" w:fill="FFFFFF"/>
        </w:rPr>
        <w:t>（二）一般公共预算当年拨款结构情况</w:t>
      </w:r>
      <w:r>
        <w:tab/>
      </w:r>
      <w:r>
        <w:fldChar w:fldCharType="begin"/>
      </w:r>
      <w:r>
        <w:instrText xml:space="preserve"> PAGEREF _Toc139013060 \h </w:instrText>
      </w:r>
      <w:r>
        <w:fldChar w:fldCharType="separate"/>
      </w:r>
      <w:r>
        <w:t>6</w:t>
      </w:r>
      <w:r>
        <w:fldChar w:fldCharType="end"/>
      </w:r>
      <w:r>
        <w:fldChar w:fldCharType="end"/>
      </w:r>
    </w:p>
    <w:p>
      <w:pPr>
        <w:pStyle w:val="5"/>
      </w:pPr>
      <w:r>
        <w:fldChar w:fldCharType="begin"/>
      </w:r>
      <w:r>
        <w:instrText xml:space="preserve"> HYPERLINK \l "_Toc139013061" </w:instrText>
      </w:r>
      <w:r>
        <w:fldChar w:fldCharType="separate"/>
      </w:r>
      <w:r>
        <w:rPr>
          <w:rStyle w:val="12"/>
          <w:rFonts w:hint="eastAsia" w:asciiTheme="minorEastAsia" w:hAnsiTheme="minorEastAsia" w:eastAsiaTheme="minorEastAsia"/>
          <w:kern w:val="0"/>
          <w:sz w:val="28"/>
          <w:szCs w:val="28"/>
          <w:shd w:val="clear" w:color="auto" w:fill="FFFFFF"/>
        </w:rPr>
        <w:t>（三）一般公共预算当年拨款具体使用情况</w:t>
      </w:r>
      <w:r>
        <w:tab/>
      </w:r>
      <w:r>
        <w:fldChar w:fldCharType="begin"/>
      </w:r>
      <w:r>
        <w:instrText xml:space="preserve"> PAGEREF _Toc139013061 \h </w:instrText>
      </w:r>
      <w:r>
        <w:fldChar w:fldCharType="separate"/>
      </w:r>
      <w:r>
        <w:t>7</w:t>
      </w:r>
      <w:r>
        <w:fldChar w:fldCharType="end"/>
      </w:r>
      <w:r>
        <w:fldChar w:fldCharType="end"/>
      </w:r>
    </w:p>
    <w:p>
      <w:pPr>
        <w:pStyle w:val="8"/>
      </w:pPr>
      <w:r>
        <w:fldChar w:fldCharType="begin"/>
      </w:r>
      <w:r>
        <w:instrText xml:space="preserve"> HYPERLINK \l "_Toc139013062" </w:instrText>
      </w:r>
      <w:r>
        <w:fldChar w:fldCharType="separate"/>
      </w:r>
      <w:r>
        <w:rPr>
          <w:rStyle w:val="12"/>
          <w:rFonts w:hint="eastAsia" w:asciiTheme="minorEastAsia" w:hAnsiTheme="minorEastAsia" w:eastAsiaTheme="minorEastAsia"/>
          <w:kern w:val="0"/>
          <w:sz w:val="28"/>
          <w:szCs w:val="28"/>
          <w:shd w:val="clear" w:color="auto" w:fill="FFFFFF"/>
        </w:rPr>
        <w:t>六、一般公共预算基本支出情况说明</w:t>
      </w:r>
      <w:r>
        <w:tab/>
      </w:r>
      <w:r>
        <w:fldChar w:fldCharType="begin"/>
      </w:r>
      <w:r>
        <w:instrText xml:space="preserve"> PAGEREF _Toc139013062 \h </w:instrText>
      </w:r>
      <w:r>
        <w:fldChar w:fldCharType="separate"/>
      </w:r>
      <w:r>
        <w:t>7</w:t>
      </w:r>
      <w:r>
        <w:fldChar w:fldCharType="end"/>
      </w:r>
      <w:r>
        <w:fldChar w:fldCharType="end"/>
      </w:r>
    </w:p>
    <w:p>
      <w:pPr>
        <w:pStyle w:val="8"/>
      </w:pPr>
      <w:r>
        <w:fldChar w:fldCharType="begin"/>
      </w:r>
      <w:r>
        <w:instrText xml:space="preserve"> HYPERLINK \l "_Toc139013063" </w:instrText>
      </w:r>
      <w:r>
        <w:fldChar w:fldCharType="separate"/>
      </w:r>
      <w:r>
        <w:rPr>
          <w:rStyle w:val="12"/>
          <w:rFonts w:hint="eastAsia" w:asciiTheme="minorEastAsia" w:hAnsiTheme="minorEastAsia" w:eastAsiaTheme="minorEastAsia"/>
          <w:kern w:val="0"/>
          <w:sz w:val="28"/>
          <w:szCs w:val="28"/>
          <w:shd w:val="clear" w:color="auto" w:fill="FFFFFF"/>
        </w:rPr>
        <w:t>七、“三公”经费财政拨款预算安排情况说明</w:t>
      </w:r>
      <w:r>
        <w:tab/>
      </w:r>
      <w:r>
        <w:fldChar w:fldCharType="begin"/>
      </w:r>
      <w:r>
        <w:instrText xml:space="preserve"> PAGEREF _Toc139013063 \h </w:instrText>
      </w:r>
      <w:r>
        <w:fldChar w:fldCharType="separate"/>
      </w:r>
      <w:r>
        <w:t>8</w:t>
      </w:r>
      <w:r>
        <w:fldChar w:fldCharType="end"/>
      </w:r>
      <w:r>
        <w:fldChar w:fldCharType="end"/>
      </w:r>
    </w:p>
    <w:p>
      <w:pPr>
        <w:pStyle w:val="5"/>
      </w:pPr>
      <w:r>
        <w:fldChar w:fldCharType="begin"/>
      </w:r>
      <w:r>
        <w:instrText xml:space="preserve"> HYPERLINK \l "_Toc139013064" </w:instrText>
      </w:r>
      <w:r>
        <w:fldChar w:fldCharType="separate"/>
      </w:r>
      <w:r>
        <w:rPr>
          <w:rStyle w:val="12"/>
          <w:rFonts w:hint="eastAsia" w:asciiTheme="minorEastAsia" w:hAnsiTheme="minorEastAsia" w:eastAsiaTheme="minorEastAsia"/>
          <w:sz w:val="28"/>
          <w:szCs w:val="28"/>
        </w:rPr>
        <w:t>（一）公务接待费：</w:t>
      </w:r>
      <w:r>
        <w:tab/>
      </w:r>
      <w:r>
        <w:fldChar w:fldCharType="begin"/>
      </w:r>
      <w:r>
        <w:instrText xml:space="preserve"> PAGEREF _Toc139013064 \h </w:instrText>
      </w:r>
      <w:r>
        <w:fldChar w:fldCharType="separate"/>
      </w:r>
      <w:r>
        <w:t>8</w:t>
      </w:r>
      <w:r>
        <w:fldChar w:fldCharType="end"/>
      </w:r>
      <w:r>
        <w:fldChar w:fldCharType="end"/>
      </w:r>
    </w:p>
    <w:p>
      <w:pPr>
        <w:pStyle w:val="5"/>
      </w:pPr>
      <w:r>
        <w:fldChar w:fldCharType="begin"/>
      </w:r>
      <w:r>
        <w:instrText xml:space="preserve"> HYPERLINK \l "_Toc139013065" </w:instrText>
      </w:r>
      <w:r>
        <w:fldChar w:fldCharType="separate"/>
      </w:r>
      <w:r>
        <w:rPr>
          <w:rStyle w:val="12"/>
          <w:rFonts w:hint="eastAsia" w:asciiTheme="minorEastAsia" w:hAnsiTheme="minorEastAsia" w:eastAsiaTheme="minorEastAsia"/>
          <w:sz w:val="28"/>
          <w:szCs w:val="28"/>
        </w:rPr>
        <w:t>（二）公务用车购置及运行维护费：</w:t>
      </w:r>
      <w:r>
        <w:tab/>
      </w:r>
      <w:r>
        <w:fldChar w:fldCharType="begin"/>
      </w:r>
      <w:r>
        <w:instrText xml:space="preserve"> PAGEREF _Toc139013065 \h </w:instrText>
      </w:r>
      <w:r>
        <w:fldChar w:fldCharType="separate"/>
      </w:r>
      <w:r>
        <w:t>8</w:t>
      </w:r>
      <w:r>
        <w:fldChar w:fldCharType="end"/>
      </w:r>
      <w:r>
        <w:fldChar w:fldCharType="end"/>
      </w:r>
    </w:p>
    <w:p>
      <w:pPr>
        <w:pStyle w:val="5"/>
      </w:pPr>
      <w:r>
        <w:fldChar w:fldCharType="begin"/>
      </w:r>
      <w:r>
        <w:instrText xml:space="preserve"> HYPERLINK \l "_Toc139013066" </w:instrText>
      </w:r>
      <w:r>
        <w:fldChar w:fldCharType="separate"/>
      </w:r>
      <w:r>
        <w:rPr>
          <w:rStyle w:val="12"/>
          <w:rFonts w:hint="eastAsia" w:asciiTheme="minorEastAsia" w:hAnsiTheme="minorEastAsia" w:eastAsiaTheme="minorEastAsia"/>
          <w:sz w:val="28"/>
          <w:szCs w:val="28"/>
        </w:rPr>
        <w:t>（三）因公出国（境）经费：</w:t>
      </w:r>
      <w:r>
        <w:tab/>
      </w:r>
      <w:r>
        <w:fldChar w:fldCharType="begin"/>
      </w:r>
      <w:r>
        <w:instrText xml:space="preserve"> PAGEREF _Toc139013066 \h </w:instrText>
      </w:r>
      <w:r>
        <w:fldChar w:fldCharType="separate"/>
      </w:r>
      <w:r>
        <w:t>9</w:t>
      </w:r>
      <w:r>
        <w:fldChar w:fldCharType="end"/>
      </w:r>
      <w:r>
        <w:fldChar w:fldCharType="end"/>
      </w:r>
    </w:p>
    <w:p>
      <w:pPr>
        <w:pStyle w:val="8"/>
      </w:pPr>
      <w:r>
        <w:fldChar w:fldCharType="begin"/>
      </w:r>
      <w:r>
        <w:instrText xml:space="preserve"> HYPERLINK \l "_Toc139013067" </w:instrText>
      </w:r>
      <w:r>
        <w:fldChar w:fldCharType="separate"/>
      </w:r>
      <w:r>
        <w:rPr>
          <w:rStyle w:val="12"/>
          <w:rFonts w:hint="eastAsia" w:asciiTheme="minorEastAsia" w:hAnsiTheme="minorEastAsia" w:eastAsiaTheme="minorEastAsia"/>
          <w:kern w:val="0"/>
          <w:sz w:val="28"/>
          <w:szCs w:val="28"/>
        </w:rPr>
        <w:t>八、政府性基金预算支出情况说明</w:t>
      </w:r>
      <w:r>
        <w:tab/>
      </w:r>
      <w:r>
        <w:fldChar w:fldCharType="begin"/>
      </w:r>
      <w:r>
        <w:instrText xml:space="preserve"> PAGEREF _Toc139013067 \h </w:instrText>
      </w:r>
      <w:r>
        <w:fldChar w:fldCharType="separate"/>
      </w:r>
      <w:r>
        <w:t>9</w:t>
      </w:r>
      <w:r>
        <w:fldChar w:fldCharType="end"/>
      </w:r>
      <w:r>
        <w:fldChar w:fldCharType="end"/>
      </w:r>
    </w:p>
    <w:p>
      <w:pPr>
        <w:pStyle w:val="8"/>
      </w:pPr>
      <w:r>
        <w:fldChar w:fldCharType="begin"/>
      </w:r>
      <w:r>
        <w:instrText xml:space="preserve"> HYPERLINK \l "_Toc139013068" </w:instrText>
      </w:r>
      <w:r>
        <w:fldChar w:fldCharType="separate"/>
      </w:r>
      <w:r>
        <w:rPr>
          <w:rStyle w:val="12"/>
          <w:rFonts w:hint="eastAsia" w:asciiTheme="minorEastAsia" w:hAnsiTheme="minorEastAsia" w:eastAsiaTheme="minorEastAsia"/>
          <w:kern w:val="0"/>
          <w:sz w:val="28"/>
          <w:szCs w:val="28"/>
          <w:shd w:val="clear" w:color="auto" w:fill="FFFFFF"/>
        </w:rPr>
        <w:t>九、国有资本经营预算支出情况说明</w:t>
      </w:r>
      <w:r>
        <w:tab/>
      </w:r>
      <w:r>
        <w:fldChar w:fldCharType="begin"/>
      </w:r>
      <w:r>
        <w:instrText xml:space="preserve"> PAGEREF _Toc139013068 \h </w:instrText>
      </w:r>
      <w:r>
        <w:fldChar w:fldCharType="separate"/>
      </w:r>
      <w:r>
        <w:t>9</w:t>
      </w:r>
      <w:r>
        <w:fldChar w:fldCharType="end"/>
      </w:r>
      <w:r>
        <w:fldChar w:fldCharType="end"/>
      </w:r>
    </w:p>
    <w:p>
      <w:pPr>
        <w:pStyle w:val="8"/>
      </w:pPr>
      <w:r>
        <w:fldChar w:fldCharType="begin"/>
      </w:r>
      <w:r>
        <w:instrText xml:space="preserve"> HYPERLINK \l "_Toc139013069" </w:instrText>
      </w:r>
      <w:r>
        <w:fldChar w:fldCharType="separate"/>
      </w:r>
      <w:r>
        <w:rPr>
          <w:rStyle w:val="12"/>
          <w:rFonts w:hint="eastAsia" w:asciiTheme="minorEastAsia" w:hAnsiTheme="minorEastAsia" w:eastAsiaTheme="minorEastAsia"/>
          <w:kern w:val="0"/>
          <w:sz w:val="28"/>
          <w:szCs w:val="28"/>
          <w:shd w:val="clear" w:color="auto" w:fill="FFFFFF"/>
        </w:rPr>
        <w:t>十、其他重要事项的情况说明</w:t>
      </w:r>
      <w:r>
        <w:tab/>
      </w:r>
      <w:r>
        <w:fldChar w:fldCharType="begin"/>
      </w:r>
      <w:r>
        <w:instrText xml:space="preserve"> PAGEREF _Toc139013069 \h </w:instrText>
      </w:r>
      <w:r>
        <w:fldChar w:fldCharType="separate"/>
      </w:r>
      <w:r>
        <w:t>9</w:t>
      </w:r>
      <w:r>
        <w:fldChar w:fldCharType="end"/>
      </w:r>
      <w:r>
        <w:fldChar w:fldCharType="end"/>
      </w:r>
    </w:p>
    <w:p>
      <w:pPr>
        <w:pStyle w:val="5"/>
      </w:pPr>
      <w:r>
        <w:fldChar w:fldCharType="begin"/>
      </w:r>
      <w:r>
        <w:instrText xml:space="preserve"> HYPERLINK \l "_Toc139013070" </w:instrText>
      </w:r>
      <w:r>
        <w:fldChar w:fldCharType="separate"/>
      </w:r>
      <w:r>
        <w:rPr>
          <w:rStyle w:val="12"/>
          <w:rFonts w:hint="eastAsia" w:asciiTheme="minorEastAsia" w:hAnsiTheme="minorEastAsia" w:eastAsiaTheme="minorEastAsia"/>
          <w:kern w:val="0"/>
          <w:sz w:val="28"/>
          <w:szCs w:val="28"/>
          <w:shd w:val="clear" w:color="auto" w:fill="FFFFFF"/>
        </w:rPr>
        <w:t>（一）机关运行经费</w:t>
      </w:r>
      <w:r>
        <w:tab/>
      </w:r>
      <w:r>
        <w:fldChar w:fldCharType="begin"/>
      </w:r>
      <w:r>
        <w:instrText xml:space="preserve"> PAGEREF _Toc139013070 \h </w:instrText>
      </w:r>
      <w:r>
        <w:fldChar w:fldCharType="separate"/>
      </w:r>
      <w:r>
        <w:t>9</w:t>
      </w:r>
      <w:r>
        <w:fldChar w:fldCharType="end"/>
      </w:r>
      <w:r>
        <w:fldChar w:fldCharType="end"/>
      </w:r>
    </w:p>
    <w:p>
      <w:pPr>
        <w:pStyle w:val="5"/>
      </w:pPr>
      <w:r>
        <w:fldChar w:fldCharType="begin"/>
      </w:r>
      <w:r>
        <w:instrText xml:space="preserve"> HYPERLINK \l "_Toc139013071" </w:instrText>
      </w:r>
      <w:r>
        <w:fldChar w:fldCharType="separate"/>
      </w:r>
      <w:r>
        <w:rPr>
          <w:rStyle w:val="12"/>
          <w:rFonts w:hint="eastAsia" w:asciiTheme="minorEastAsia" w:hAnsiTheme="minorEastAsia" w:eastAsiaTheme="minorEastAsia"/>
          <w:kern w:val="0"/>
          <w:sz w:val="28"/>
          <w:szCs w:val="28"/>
          <w:shd w:val="clear" w:color="auto" w:fill="FFFFFF"/>
        </w:rPr>
        <w:t>（二）政府采购情况</w:t>
      </w:r>
      <w:r>
        <w:tab/>
      </w:r>
      <w:r>
        <w:fldChar w:fldCharType="begin"/>
      </w:r>
      <w:r>
        <w:instrText xml:space="preserve"> PAGEREF _Toc139013071 \h </w:instrText>
      </w:r>
      <w:r>
        <w:fldChar w:fldCharType="separate"/>
      </w:r>
      <w:r>
        <w:t>9</w:t>
      </w:r>
      <w:r>
        <w:fldChar w:fldCharType="end"/>
      </w:r>
      <w:r>
        <w:fldChar w:fldCharType="end"/>
      </w:r>
    </w:p>
    <w:p>
      <w:pPr>
        <w:pStyle w:val="5"/>
      </w:pPr>
      <w:r>
        <w:fldChar w:fldCharType="begin"/>
      </w:r>
      <w:r>
        <w:instrText xml:space="preserve"> HYPERLINK \l "_Toc139013072" </w:instrText>
      </w:r>
      <w:r>
        <w:fldChar w:fldCharType="separate"/>
      </w:r>
      <w:r>
        <w:rPr>
          <w:rStyle w:val="12"/>
          <w:rFonts w:hint="eastAsia" w:asciiTheme="minorEastAsia" w:hAnsiTheme="minorEastAsia" w:eastAsiaTheme="minorEastAsia"/>
          <w:kern w:val="0"/>
          <w:sz w:val="28"/>
          <w:szCs w:val="28"/>
          <w:shd w:val="clear" w:color="auto" w:fill="FFFFFF"/>
        </w:rPr>
        <w:t>（三）国有资产占有使用情况</w:t>
      </w:r>
      <w:r>
        <w:tab/>
      </w:r>
      <w:r>
        <w:fldChar w:fldCharType="begin"/>
      </w:r>
      <w:r>
        <w:instrText xml:space="preserve"> PAGEREF _Toc139013072 \h </w:instrText>
      </w:r>
      <w:r>
        <w:fldChar w:fldCharType="separate"/>
      </w:r>
      <w:r>
        <w:t>10</w:t>
      </w:r>
      <w:r>
        <w:fldChar w:fldCharType="end"/>
      </w:r>
      <w:r>
        <w:fldChar w:fldCharType="end"/>
      </w:r>
    </w:p>
    <w:p>
      <w:pPr>
        <w:pStyle w:val="5"/>
      </w:pPr>
      <w:r>
        <w:fldChar w:fldCharType="begin"/>
      </w:r>
      <w:r>
        <w:instrText xml:space="preserve"> HYPERLINK \l "_Toc139013073" </w:instrText>
      </w:r>
      <w:r>
        <w:fldChar w:fldCharType="separate"/>
      </w:r>
      <w:r>
        <w:rPr>
          <w:rStyle w:val="12"/>
          <w:rFonts w:hint="eastAsia" w:asciiTheme="minorEastAsia" w:hAnsiTheme="minorEastAsia" w:eastAsiaTheme="minorEastAsia"/>
          <w:kern w:val="0"/>
          <w:sz w:val="28"/>
          <w:szCs w:val="28"/>
          <w:shd w:val="clear" w:color="auto" w:fill="FFFFFF"/>
        </w:rPr>
        <w:t>（四）绩效目标设置情况</w:t>
      </w:r>
      <w:r>
        <w:tab/>
      </w:r>
      <w:r>
        <w:fldChar w:fldCharType="begin"/>
      </w:r>
      <w:r>
        <w:instrText xml:space="preserve"> PAGEREF _Toc139013073 \h </w:instrText>
      </w:r>
      <w:r>
        <w:fldChar w:fldCharType="separate"/>
      </w:r>
      <w:r>
        <w:t>10</w:t>
      </w:r>
      <w:r>
        <w:fldChar w:fldCharType="end"/>
      </w:r>
      <w:r>
        <w:fldChar w:fldCharType="end"/>
      </w:r>
    </w:p>
    <w:p>
      <w:pPr>
        <w:pStyle w:val="8"/>
      </w:pPr>
      <w:r>
        <w:fldChar w:fldCharType="begin"/>
      </w:r>
      <w:r>
        <w:instrText xml:space="preserve"> HYPERLINK \l "_Toc139013074" </w:instrText>
      </w:r>
      <w:r>
        <w:fldChar w:fldCharType="separate"/>
      </w:r>
      <w:r>
        <w:rPr>
          <w:rStyle w:val="12"/>
          <w:rFonts w:hint="eastAsia" w:asciiTheme="minorEastAsia" w:hAnsiTheme="minorEastAsia" w:eastAsiaTheme="minorEastAsia"/>
          <w:kern w:val="0"/>
          <w:sz w:val="28"/>
          <w:szCs w:val="28"/>
          <w:shd w:val="clear" w:color="auto" w:fill="FFFFFF"/>
        </w:rPr>
        <w:t>十一、名词解释</w:t>
      </w:r>
      <w:r>
        <w:tab/>
      </w:r>
      <w:r>
        <w:fldChar w:fldCharType="begin"/>
      </w:r>
      <w:r>
        <w:instrText xml:space="preserve"> PAGEREF _Toc139013074 \h </w:instrText>
      </w:r>
      <w:r>
        <w:fldChar w:fldCharType="separate"/>
      </w:r>
      <w:r>
        <w:t>10</w:t>
      </w:r>
      <w:r>
        <w:fldChar w:fldCharType="end"/>
      </w:r>
      <w:r>
        <w:fldChar w:fldCharType="end"/>
      </w:r>
    </w:p>
    <w:p>
      <w:pPr>
        <w:widowControl/>
        <w:spacing w:line="400" w:lineRule="exact"/>
        <w:ind w:firstLine="0" w:firstLineChars="0"/>
        <w:rPr>
          <w:rFonts w:cs="Helvetica" w:asciiTheme="minorEastAsia" w:hAnsiTheme="minorEastAsia" w:eastAsiaTheme="minorEastAsia"/>
          <w:kern w:val="0"/>
          <w:sz w:val="28"/>
          <w:szCs w:val="28"/>
        </w:rPr>
      </w:pPr>
      <w:r>
        <w:rPr>
          <w:rFonts w:cs="Helvetica" w:asciiTheme="minorEastAsia" w:hAnsiTheme="minorEastAsia" w:eastAsiaTheme="minorEastAsia"/>
          <w:kern w:val="0"/>
          <w:sz w:val="28"/>
          <w:szCs w:val="28"/>
        </w:rPr>
        <w:fldChar w:fldCharType="end"/>
      </w:r>
    </w:p>
    <w:p>
      <w:pPr>
        <w:widowControl/>
        <w:spacing w:line="240" w:lineRule="auto"/>
        <w:ind w:firstLine="0" w:firstLineChars="0"/>
        <w:rPr>
          <w:rFonts w:cs="Helvetica" w:asciiTheme="minorEastAsia" w:hAnsiTheme="minorEastAsia" w:eastAsiaTheme="minorEastAsia"/>
          <w:kern w:val="0"/>
          <w:sz w:val="28"/>
          <w:szCs w:val="28"/>
        </w:rPr>
      </w:pPr>
    </w:p>
    <w:p>
      <w:pPr>
        <w:widowControl/>
        <w:spacing w:line="400" w:lineRule="exact"/>
        <w:ind w:firstLine="0" w:firstLineChars="0"/>
        <w:rPr>
          <w:rFonts w:ascii="方正小标宋简体" w:hAnsi="宋体" w:eastAsia="方正小标宋简体" w:cs="Helvetica"/>
          <w:kern w:val="0"/>
          <w:sz w:val="44"/>
          <w:szCs w:val="44"/>
        </w:rPr>
      </w:pPr>
      <w:r>
        <w:rPr>
          <w:rFonts w:ascii="方正小标宋简体" w:hAnsi="宋体" w:eastAsia="方正小标宋简体" w:cs="Helvetica"/>
          <w:kern w:val="0"/>
          <w:sz w:val="44"/>
          <w:szCs w:val="44"/>
        </w:rPr>
        <w:br w:type="page"/>
      </w:r>
    </w:p>
    <w:p>
      <w:pPr>
        <w:pStyle w:val="3"/>
        <w:spacing w:line="520" w:lineRule="exact"/>
        <w:ind w:firstLine="560"/>
        <w:rPr>
          <w:rFonts w:ascii="宋体" w:hAnsi="宋体" w:eastAsia="宋体"/>
          <w:color w:val="000000"/>
          <w:kern w:val="0"/>
          <w:sz w:val="24"/>
          <w:szCs w:val="24"/>
        </w:rPr>
      </w:pPr>
      <w:bookmarkStart w:id="2" w:name="_Toc139013051"/>
      <w:r>
        <w:rPr>
          <w:rFonts w:hint="eastAsia"/>
          <w:kern w:val="0"/>
          <w:shd w:val="clear" w:color="auto" w:fill="FFFFFF"/>
        </w:rPr>
        <w:t>一、基本职能及主要工作</w:t>
      </w:r>
      <w:bookmarkEnd w:id="2"/>
    </w:p>
    <w:p>
      <w:pPr>
        <w:pStyle w:val="4"/>
        <w:spacing w:line="520" w:lineRule="exact"/>
        <w:ind w:firstLine="640"/>
        <w:rPr>
          <w:rFonts w:ascii="宋体" w:eastAsia="宋体"/>
          <w:color w:val="000000"/>
          <w:kern w:val="0"/>
          <w:sz w:val="24"/>
          <w:szCs w:val="24"/>
        </w:rPr>
      </w:pPr>
      <w:bookmarkStart w:id="3" w:name="_Toc139013052"/>
      <w:r>
        <w:rPr>
          <w:rFonts w:hint="eastAsia"/>
          <w:kern w:val="0"/>
          <w:shd w:val="clear" w:color="auto" w:fill="FFFFFF"/>
        </w:rPr>
        <w:t>（一）市交通技工学校职能简介</w:t>
      </w:r>
      <w:bookmarkEnd w:id="3"/>
    </w:p>
    <w:p>
      <w:pPr>
        <w:widowControl/>
        <w:shd w:val="clear" w:color="auto" w:fill="FFFFFF"/>
        <w:spacing w:line="520" w:lineRule="exact"/>
        <w:ind w:firstLine="641" w:firstLineChars="0"/>
        <w:jc w:val="both"/>
        <w:rPr>
          <w:rFonts w:ascii="宋体" w:hAnsi="宋体" w:eastAsia="宋体" w:cs="Helvetica"/>
          <w:color w:val="000000"/>
          <w:kern w:val="0"/>
          <w:sz w:val="24"/>
          <w:szCs w:val="24"/>
        </w:rPr>
      </w:pPr>
      <w:r>
        <w:rPr>
          <w:rFonts w:hint="eastAsia" w:ascii="仿宋_GB2312" w:hAnsi="宋体" w:eastAsia="仿宋_GB2312" w:cs="Helvetica"/>
          <w:color w:val="333333"/>
          <w:kern w:val="0"/>
          <w:szCs w:val="32"/>
          <w:shd w:val="clear" w:color="auto" w:fill="FFFFFF"/>
        </w:rPr>
        <w:t>市交通技校总编制33名，均为其他事业编制。在职人员总数19人，均为其他事业人员；退休人员15人。学校主要从事中职学历教育、大专及以上学历层次函授教育、职业技能鉴定、道路运输从业资格证培训、汽车驾驶员培训、内河船舶船员培训、交通执法人员培训及其他短期培训。</w:t>
      </w:r>
    </w:p>
    <w:p>
      <w:pPr>
        <w:pStyle w:val="4"/>
        <w:spacing w:line="520" w:lineRule="exact"/>
        <w:ind w:firstLine="640"/>
        <w:rPr>
          <w:rFonts w:ascii="宋体" w:eastAsia="宋体"/>
          <w:color w:val="000000"/>
          <w:kern w:val="0"/>
          <w:sz w:val="24"/>
          <w:szCs w:val="24"/>
        </w:rPr>
      </w:pPr>
      <w:bookmarkStart w:id="4" w:name="_Toc139013053"/>
      <w:r>
        <w:rPr>
          <w:rFonts w:hint="eastAsia"/>
          <w:kern w:val="0"/>
          <w:shd w:val="clear" w:color="auto" w:fill="FFFFFF"/>
        </w:rPr>
        <w:t>（二）市交通技工学校2022年重点工作</w:t>
      </w:r>
      <w:bookmarkEnd w:id="4"/>
    </w:p>
    <w:p>
      <w:pPr>
        <w:widowControl/>
        <w:shd w:val="clear" w:color="auto" w:fill="FFFFFF"/>
        <w:spacing w:line="520" w:lineRule="exact"/>
        <w:ind w:firstLine="641" w:firstLineChars="0"/>
        <w:jc w:val="both"/>
        <w:rPr>
          <w:rFonts w:ascii="宋体" w:hAnsi="宋体" w:eastAsia="宋体" w:cs="Helvetica"/>
          <w:color w:val="000000"/>
          <w:kern w:val="0"/>
          <w:sz w:val="24"/>
          <w:szCs w:val="24"/>
        </w:rPr>
      </w:pPr>
      <w:r>
        <w:rPr>
          <w:rFonts w:hint="eastAsia" w:ascii="仿宋_GB2312" w:hAnsi="宋体" w:eastAsia="仿宋_GB2312" w:cs="Helvetica"/>
          <w:color w:val="333333"/>
          <w:kern w:val="0"/>
          <w:szCs w:val="32"/>
          <w:shd w:val="clear" w:color="auto" w:fill="FFFFFF"/>
        </w:rPr>
        <w:t>主要目标：完成事业单位分类改革，理清机构编制宗旨职能范围，建立健全制度职责，提升行业培训公益服务质量，进一步谋划建设交通运输培训考核综合服务中心。</w:t>
      </w:r>
    </w:p>
    <w:p>
      <w:pPr>
        <w:widowControl/>
        <w:shd w:val="clear" w:color="auto" w:fill="FFFFFF"/>
        <w:spacing w:line="520" w:lineRule="exact"/>
        <w:ind w:firstLine="641" w:firstLineChars="0"/>
        <w:jc w:val="both"/>
        <w:rPr>
          <w:rFonts w:ascii="宋体" w:hAnsi="宋体" w:eastAsia="宋体" w:cs="Helvetica"/>
          <w:color w:val="000000"/>
          <w:kern w:val="0"/>
          <w:sz w:val="24"/>
          <w:szCs w:val="24"/>
        </w:rPr>
      </w:pPr>
      <w:r>
        <w:rPr>
          <w:rFonts w:hint="eastAsia" w:ascii="仿宋_GB2312" w:hAnsi="宋体" w:eastAsia="仿宋_GB2312" w:cs="Helvetica"/>
          <w:b/>
          <w:bCs/>
          <w:color w:val="333333"/>
          <w:kern w:val="0"/>
          <w:szCs w:val="32"/>
          <w:shd w:val="clear" w:color="auto" w:fill="FFFFFF"/>
        </w:rPr>
        <w:t>1.推进完成事业单位分类改革。</w:t>
      </w:r>
      <w:r>
        <w:rPr>
          <w:rFonts w:hint="eastAsia" w:ascii="仿宋_GB2312" w:hAnsi="宋体" w:eastAsia="仿宋_GB2312" w:cs="Helvetica"/>
          <w:color w:val="333333"/>
          <w:kern w:val="0"/>
          <w:szCs w:val="32"/>
          <w:shd w:val="clear" w:color="auto" w:fill="FFFFFF"/>
        </w:rPr>
        <w:t>积极稳妥推进经营性国有资产资质移交，争取上级部门研究解决机构编制调整后的单位性质和职能职责交叉问题。一是做好经营性国有资产资质移交工作；二是争取将事业单位分类改革后的单位性质解决为公益一类事业单位；三是争取解决与市公路建设服务中心存在的职能职责交叉问题；四是完善交通行业培训公益服务功能，拓展中高层次学历教育，延伸内河船员培训及就业服务，落实道路运输两类人员安全考核，推进道路运输从业资格考试工作。</w:t>
      </w:r>
    </w:p>
    <w:p>
      <w:pPr>
        <w:widowControl/>
        <w:shd w:val="clear" w:color="auto" w:fill="FFFFFF"/>
        <w:spacing w:line="520" w:lineRule="exact"/>
        <w:ind w:firstLine="641" w:firstLineChars="0"/>
        <w:jc w:val="both"/>
        <w:rPr>
          <w:rFonts w:ascii="宋体" w:hAnsi="宋体" w:eastAsia="宋体" w:cs="Helvetica"/>
          <w:color w:val="000000"/>
          <w:kern w:val="0"/>
          <w:sz w:val="24"/>
          <w:szCs w:val="24"/>
        </w:rPr>
      </w:pPr>
      <w:r>
        <w:rPr>
          <w:rFonts w:hint="eastAsia" w:ascii="仿宋_GB2312" w:hAnsi="宋体" w:eastAsia="仿宋_GB2312" w:cs="Helvetica"/>
          <w:b/>
          <w:bCs/>
          <w:color w:val="333333"/>
          <w:kern w:val="0"/>
          <w:szCs w:val="32"/>
          <w:shd w:val="clear" w:color="auto" w:fill="FFFFFF"/>
        </w:rPr>
        <w:t>2.全力完成年度绩效目标任务。</w:t>
      </w:r>
      <w:r>
        <w:rPr>
          <w:rFonts w:hint="eastAsia" w:ascii="仿宋_GB2312" w:hAnsi="宋体" w:eastAsia="仿宋_GB2312" w:cs="Helvetica"/>
          <w:color w:val="333333"/>
          <w:kern w:val="0"/>
          <w:szCs w:val="32"/>
          <w:shd w:val="clear" w:color="auto" w:fill="FFFFFF"/>
        </w:rPr>
        <w:t>一是增收节支，广开渠道，努力完成</w:t>
      </w:r>
      <w:r>
        <w:rPr>
          <w:rFonts w:hint="eastAsia" w:ascii="仿宋_GB2312" w:hAnsi="宋体" w:eastAsia="仿宋_GB2312" w:cs="Helvetica"/>
          <w:b/>
          <w:bCs/>
          <w:color w:val="333333"/>
          <w:kern w:val="0"/>
          <w:szCs w:val="32"/>
          <w:shd w:val="clear" w:color="auto" w:fill="FFFFFF"/>
        </w:rPr>
        <w:t>年度</w:t>
      </w:r>
      <w:r>
        <w:rPr>
          <w:rFonts w:hint="eastAsia" w:ascii="仿宋_GB2312" w:hAnsi="宋体" w:eastAsia="仿宋_GB2312" w:cs="Helvetica"/>
          <w:color w:val="333333"/>
          <w:kern w:val="0"/>
          <w:szCs w:val="32"/>
          <w:shd w:val="clear" w:color="auto" w:fill="FFFFFF"/>
        </w:rPr>
        <w:t>非税收入任务。二是依托我校原有专业优势，做强做实汽车驾驶、汽车维修、道路养护维护、渠道维护和内河船舶船员等专业培训项目；三是积极拓展网约车从业资格培训、海员海乘劳务输出等新增业务；四是继续争取市人社局技能提升行动培训项目，拓展培训业务种类和范围。</w:t>
      </w:r>
    </w:p>
    <w:p>
      <w:pPr>
        <w:widowControl/>
        <w:shd w:val="clear" w:color="auto" w:fill="FFFFFF"/>
        <w:spacing w:line="520" w:lineRule="exact"/>
        <w:ind w:firstLine="641" w:firstLineChars="0"/>
        <w:jc w:val="both"/>
        <w:rPr>
          <w:rFonts w:ascii="宋体" w:hAnsi="宋体" w:eastAsia="宋体" w:cs="Helvetica"/>
          <w:color w:val="000000"/>
          <w:kern w:val="0"/>
          <w:sz w:val="24"/>
          <w:szCs w:val="24"/>
        </w:rPr>
      </w:pPr>
      <w:r>
        <w:rPr>
          <w:rFonts w:hint="eastAsia" w:ascii="仿宋_GB2312" w:hAnsi="宋体" w:eastAsia="仿宋_GB2312" w:cs="Helvetica"/>
          <w:b/>
          <w:bCs/>
          <w:color w:val="333333"/>
          <w:kern w:val="0"/>
          <w:szCs w:val="32"/>
          <w:shd w:val="clear" w:color="auto" w:fill="FFFFFF"/>
        </w:rPr>
        <w:t>3.加强基层组织建设。</w:t>
      </w:r>
      <w:r>
        <w:rPr>
          <w:rFonts w:hint="eastAsia" w:ascii="仿宋_GB2312" w:hAnsi="宋体" w:eastAsia="仿宋_GB2312" w:cs="Helvetica"/>
          <w:color w:val="333333"/>
          <w:kern w:val="0"/>
          <w:szCs w:val="32"/>
          <w:shd w:val="clear" w:color="auto" w:fill="FFFFFF"/>
        </w:rPr>
        <w:t>一是规范和细化学校各项规章制度，确保各项规章制度符合规范、深入人心，变强制监管到自觉执行；二是持续深化党史学习教育，深入学习贯彻党的十九届六中全会精神，筑牢党员干部理想信念。认真学习贯彻省委历次全会和市第八次党代会精神，坚决推动党中央、省委、市委各项决策部署在我校贯彻执行到位。三是按照中央八项规定、省委“十项规定”和市委“六个带头”要求，扎实开展党风廉政教育，教育广大干部职工严格遵守工作纪律，确保单位纪律严明、风清气正。四是加强岗位职责培训教育，落实“党政同责”、“一岗双责”，实行问题倒查的问责机制，确保学校各项工作责任到位、监督有力、扎实开展。</w:t>
      </w:r>
    </w:p>
    <w:p>
      <w:pPr>
        <w:pStyle w:val="3"/>
        <w:spacing w:line="520" w:lineRule="exact"/>
        <w:ind w:firstLine="560"/>
        <w:rPr>
          <w:rFonts w:ascii="宋体" w:hAnsi="宋体" w:eastAsia="宋体"/>
          <w:color w:val="000000"/>
          <w:kern w:val="0"/>
          <w:sz w:val="24"/>
          <w:szCs w:val="24"/>
        </w:rPr>
      </w:pPr>
      <w:bookmarkStart w:id="5" w:name="_Toc139013054"/>
      <w:r>
        <w:rPr>
          <w:rFonts w:hint="eastAsia"/>
          <w:kern w:val="0"/>
          <w:shd w:val="clear" w:color="auto" w:fill="FFFFFF"/>
        </w:rPr>
        <w:t>二、部门预算单位构成</w:t>
      </w:r>
      <w:bookmarkEnd w:id="5"/>
    </w:p>
    <w:p>
      <w:pPr>
        <w:widowControl/>
        <w:shd w:val="clear" w:color="auto" w:fill="FFFFFF"/>
        <w:spacing w:line="520" w:lineRule="exact"/>
        <w:ind w:firstLine="641" w:firstLineChars="0"/>
        <w:jc w:val="both"/>
        <w:rPr>
          <w:rFonts w:ascii="宋体" w:hAnsi="宋体" w:eastAsia="宋体" w:cs="Helvetica"/>
          <w:color w:val="000000"/>
          <w:kern w:val="0"/>
          <w:szCs w:val="32"/>
        </w:rPr>
      </w:pPr>
      <w:r>
        <w:rPr>
          <w:rFonts w:hint="eastAsia" w:ascii="仿宋_GB2312" w:hAnsi="宋体" w:eastAsia="仿宋_GB2312" w:cs="Helvetica"/>
          <w:color w:val="333333"/>
          <w:kern w:val="0"/>
          <w:szCs w:val="32"/>
          <w:shd w:val="clear" w:color="auto" w:fill="FFFFFF"/>
        </w:rPr>
        <w:t>市</w:t>
      </w:r>
      <w:r>
        <w:rPr>
          <w:rFonts w:hint="eastAsia" w:ascii="仿宋_GB2312" w:hAnsi="宋体" w:eastAsia="仿宋_GB2312" w:cs="Helvetica"/>
          <w:b/>
          <w:bCs/>
          <w:color w:val="333333"/>
          <w:kern w:val="0"/>
          <w:szCs w:val="32"/>
          <w:shd w:val="clear" w:color="auto" w:fill="FFFFFF"/>
        </w:rPr>
        <w:t>交通</w:t>
      </w:r>
      <w:r>
        <w:rPr>
          <w:rFonts w:hint="eastAsia" w:ascii="仿宋_GB2312" w:hAnsi="宋体" w:eastAsia="仿宋_GB2312" w:cs="Helvetica"/>
          <w:color w:val="333333"/>
          <w:kern w:val="0"/>
          <w:szCs w:val="32"/>
          <w:shd w:val="clear" w:color="auto" w:fill="FFFFFF"/>
        </w:rPr>
        <w:t>技工学校单位下属二级预算单位1个，其中行政单位</w:t>
      </w:r>
      <w:r>
        <w:rPr>
          <w:rFonts w:hint="eastAsia" w:ascii="宋体" w:hAnsi="宋体" w:eastAsia="宋体" w:cs="Helvetica"/>
          <w:color w:val="333333"/>
          <w:kern w:val="0"/>
          <w:szCs w:val="32"/>
          <w:shd w:val="clear" w:color="auto" w:fill="FFFFFF"/>
        </w:rPr>
        <w:t>0</w:t>
      </w:r>
      <w:r>
        <w:rPr>
          <w:rFonts w:hint="eastAsia" w:ascii="仿宋_GB2312" w:hAnsi="宋体" w:eastAsia="仿宋_GB2312" w:cs="Helvetica"/>
          <w:color w:val="333333"/>
          <w:kern w:val="0"/>
          <w:szCs w:val="32"/>
          <w:shd w:val="clear" w:color="auto" w:fill="FFFFFF"/>
        </w:rPr>
        <w:t>个，参照公务员法管理的事业单位</w:t>
      </w:r>
      <w:r>
        <w:rPr>
          <w:rFonts w:hint="eastAsia" w:ascii="宋体" w:hAnsi="宋体" w:eastAsia="宋体" w:cs="Helvetica"/>
          <w:color w:val="333333"/>
          <w:kern w:val="0"/>
          <w:szCs w:val="32"/>
          <w:shd w:val="clear" w:color="auto" w:fill="FFFFFF"/>
        </w:rPr>
        <w:t>0</w:t>
      </w:r>
      <w:r>
        <w:rPr>
          <w:rFonts w:hint="eastAsia" w:ascii="仿宋_GB2312" w:hAnsi="宋体" w:eastAsia="仿宋_GB2312" w:cs="Helvetica"/>
          <w:color w:val="333333"/>
          <w:kern w:val="0"/>
          <w:szCs w:val="32"/>
          <w:shd w:val="clear" w:color="auto" w:fill="FFFFFF"/>
        </w:rPr>
        <w:t>个，其他事业单位</w:t>
      </w:r>
      <w:r>
        <w:rPr>
          <w:rFonts w:hint="eastAsia" w:ascii="宋体" w:hAnsi="宋体" w:eastAsia="宋体" w:cs="Helvetica"/>
          <w:color w:val="333333"/>
          <w:kern w:val="0"/>
          <w:szCs w:val="32"/>
          <w:shd w:val="clear" w:color="auto" w:fill="FFFFFF"/>
        </w:rPr>
        <w:t>1</w:t>
      </w:r>
      <w:r>
        <w:rPr>
          <w:rFonts w:hint="eastAsia" w:ascii="仿宋_GB2312" w:hAnsi="宋体" w:eastAsia="仿宋_GB2312" w:cs="Helvetica"/>
          <w:color w:val="333333"/>
          <w:kern w:val="0"/>
          <w:szCs w:val="32"/>
          <w:shd w:val="clear" w:color="auto" w:fill="FFFFFF"/>
        </w:rPr>
        <w:t>个。主要包括：市交通技工学校。</w:t>
      </w:r>
    </w:p>
    <w:p>
      <w:pPr>
        <w:pStyle w:val="3"/>
        <w:spacing w:line="520" w:lineRule="exact"/>
        <w:ind w:firstLine="560"/>
        <w:rPr>
          <w:rFonts w:ascii="宋体" w:hAnsi="宋体" w:eastAsia="宋体"/>
          <w:color w:val="000000"/>
          <w:kern w:val="0"/>
          <w:sz w:val="24"/>
          <w:szCs w:val="24"/>
        </w:rPr>
      </w:pPr>
      <w:bookmarkStart w:id="6" w:name="_Toc139013055"/>
      <w:r>
        <w:rPr>
          <w:rFonts w:hint="eastAsia"/>
          <w:kern w:val="0"/>
          <w:shd w:val="clear" w:color="auto" w:fill="FFFFFF"/>
        </w:rPr>
        <w:t>三、收支预算情况说明</w:t>
      </w:r>
      <w:bookmarkEnd w:id="6"/>
    </w:p>
    <w:p>
      <w:pPr>
        <w:widowControl/>
        <w:shd w:val="clear" w:color="auto" w:fill="FFFFFF"/>
        <w:spacing w:line="520" w:lineRule="exact"/>
        <w:ind w:firstLine="641" w:firstLineChars="0"/>
        <w:jc w:val="both"/>
        <w:rPr>
          <w:rFonts w:ascii="宋体" w:hAnsi="宋体" w:eastAsia="宋体" w:cs="Helvetica"/>
          <w:color w:val="000000"/>
          <w:kern w:val="0"/>
          <w:sz w:val="24"/>
          <w:szCs w:val="24"/>
        </w:rPr>
      </w:pPr>
      <w:r>
        <w:rPr>
          <w:rFonts w:hint="eastAsia" w:ascii="仿宋_GB2312" w:hAnsi="宋体" w:eastAsia="仿宋_GB2312" w:cs="Helvetica"/>
          <w:color w:val="333333"/>
          <w:kern w:val="0"/>
          <w:szCs w:val="32"/>
          <w:shd w:val="clear" w:color="auto" w:fill="FFFFFF"/>
        </w:rPr>
        <w:t>按照</w:t>
      </w:r>
      <w:r>
        <w:rPr>
          <w:rFonts w:hint="eastAsia" w:ascii="仿宋_GB2312" w:hAnsi="宋体" w:eastAsia="仿宋_GB2312" w:cs="Helvetica"/>
          <w:b/>
          <w:bCs/>
          <w:color w:val="333333"/>
          <w:kern w:val="0"/>
          <w:szCs w:val="32"/>
          <w:shd w:val="clear" w:color="auto" w:fill="FFFFFF"/>
        </w:rPr>
        <w:t>综合</w:t>
      </w:r>
      <w:r>
        <w:rPr>
          <w:rFonts w:hint="eastAsia" w:ascii="仿宋_GB2312" w:hAnsi="宋体" w:eastAsia="仿宋_GB2312" w:cs="Helvetica"/>
          <w:color w:val="333333"/>
          <w:kern w:val="0"/>
          <w:szCs w:val="32"/>
          <w:shd w:val="clear" w:color="auto" w:fill="FFFFFF"/>
        </w:rPr>
        <w:t>预算的原则，交通技工学校所有收入和支出均纳入部门预算管理。收入包括：一般公共预算拨款收入、上年结转；支出包括：一般公共服务支出、教育支出、社会保障和就业支出、卫生健康支出、住房保障支出。市交通技工学校2022年收支总预算707.63万元,比2021年收支预算总数减少377.42万元，扣除上年结转资金、一次性安排等因素后，减少111.07万元，主要原因一是压减非刚性支出和部分项目经费，二是财政代管资金56.65万元自2022年起纳入预算管理。</w:t>
      </w:r>
    </w:p>
    <w:p>
      <w:pPr>
        <w:widowControl/>
        <w:shd w:val="clear" w:color="auto" w:fill="FFFFFF"/>
        <w:spacing w:line="520" w:lineRule="exact"/>
        <w:ind w:firstLine="641" w:firstLineChars="0"/>
        <w:jc w:val="both"/>
        <w:rPr>
          <w:rFonts w:ascii="宋体" w:hAnsi="宋体" w:eastAsia="宋体" w:cs="Helvetica"/>
          <w:color w:val="000000"/>
          <w:kern w:val="0"/>
          <w:sz w:val="24"/>
          <w:szCs w:val="24"/>
        </w:rPr>
      </w:pPr>
      <w:bookmarkStart w:id="7" w:name="_Toc139013056"/>
      <w:r>
        <w:rPr>
          <w:rStyle w:val="15"/>
          <w:rFonts w:hint="eastAsia"/>
        </w:rPr>
        <w:t>（一）收入预算情况。</w:t>
      </w:r>
      <w:bookmarkEnd w:id="7"/>
      <w:r>
        <w:rPr>
          <w:rFonts w:hint="eastAsia" w:ascii="仿宋_GB2312" w:hAnsi="宋体" w:eastAsia="仿宋_GB2312" w:cs="Helvetica"/>
          <w:color w:val="333333"/>
          <w:kern w:val="0"/>
          <w:szCs w:val="32"/>
          <w:shd w:val="clear" w:color="auto" w:fill="FFFFFF"/>
        </w:rPr>
        <w:t>市交通技工学校2022年收入预算707.63万元，其中：上年结转44.60万元，占6.3%；一般公共预算拨款收入606.38万元，占85.69%；其他收入56.65万元，占8.01%。</w:t>
      </w:r>
    </w:p>
    <w:p>
      <w:pPr>
        <w:widowControl/>
        <w:shd w:val="clear" w:color="auto" w:fill="FFFFFF"/>
        <w:spacing w:line="520" w:lineRule="exact"/>
        <w:ind w:firstLine="641" w:firstLineChars="0"/>
        <w:jc w:val="both"/>
        <w:rPr>
          <w:rFonts w:ascii="宋体" w:hAnsi="宋体" w:eastAsia="宋体" w:cs="Helvetica"/>
          <w:color w:val="000000"/>
          <w:kern w:val="0"/>
          <w:sz w:val="24"/>
          <w:szCs w:val="24"/>
        </w:rPr>
      </w:pPr>
      <w:r>
        <w:rPr>
          <w:rFonts w:hint="eastAsia" w:ascii="楷体_GB2312" w:hAnsi="宋体" w:eastAsia="楷体_GB2312" w:cs="Helvetica"/>
          <w:color w:val="333333"/>
          <w:kern w:val="0"/>
          <w:szCs w:val="32"/>
          <w:shd w:val="clear" w:color="auto" w:fill="FFFFFF"/>
        </w:rPr>
        <w:t>（二）支出预算情况。</w:t>
      </w:r>
      <w:r>
        <w:rPr>
          <w:rFonts w:hint="eastAsia" w:ascii="仿宋_GB2312" w:hAnsi="宋体" w:eastAsia="仿宋_GB2312" w:cs="Helvetica"/>
          <w:color w:val="333333"/>
          <w:kern w:val="0"/>
          <w:szCs w:val="32"/>
          <w:shd w:val="clear" w:color="auto" w:fill="FFFFFF"/>
        </w:rPr>
        <w:t>市交通技工学校2022年支出预算707.63万元，其中：基本支出328.94万元，占46.48%；项目支出378.69万元，占53.52%。</w:t>
      </w:r>
    </w:p>
    <w:p>
      <w:pPr>
        <w:pStyle w:val="3"/>
        <w:spacing w:line="520" w:lineRule="exact"/>
        <w:ind w:firstLine="560"/>
        <w:rPr>
          <w:rFonts w:ascii="宋体" w:hAnsi="宋体" w:eastAsia="宋体"/>
          <w:color w:val="000000"/>
          <w:kern w:val="0"/>
          <w:sz w:val="24"/>
          <w:szCs w:val="24"/>
        </w:rPr>
      </w:pPr>
      <w:bookmarkStart w:id="8" w:name="_Toc139013057"/>
      <w:r>
        <w:rPr>
          <w:rFonts w:hint="eastAsia"/>
          <w:kern w:val="0"/>
          <w:shd w:val="clear" w:color="auto" w:fill="FFFFFF"/>
        </w:rPr>
        <w:t>四、财政拨款收支预算情况说明</w:t>
      </w:r>
      <w:bookmarkEnd w:id="8"/>
    </w:p>
    <w:p>
      <w:pPr>
        <w:widowControl/>
        <w:shd w:val="clear" w:color="auto" w:fill="FFFFFF"/>
        <w:spacing w:line="520" w:lineRule="exact"/>
        <w:ind w:firstLine="641" w:firstLineChars="0"/>
        <w:jc w:val="both"/>
        <w:rPr>
          <w:rFonts w:ascii="仿宋_GB2312" w:hAnsi="宋体" w:eastAsia="仿宋_GB2312" w:cs="Helvetica"/>
          <w:color w:val="333333"/>
          <w:kern w:val="0"/>
          <w:szCs w:val="32"/>
          <w:shd w:val="clear" w:color="auto" w:fill="FFFFFF"/>
        </w:rPr>
      </w:pPr>
      <w:r>
        <w:rPr>
          <w:rFonts w:hint="eastAsia" w:ascii="仿宋_GB2312" w:hAnsi="宋体" w:eastAsia="仿宋_GB2312" w:cs="Helvetica"/>
          <w:color w:val="333333"/>
          <w:kern w:val="0"/>
          <w:szCs w:val="32"/>
          <w:shd w:val="clear" w:color="auto" w:fill="FFFFFF"/>
        </w:rPr>
        <w:t>市交通技工学校2022年财政拨款收支总预算650.98万元,比2021年财政拨款收支总预算减少434.07万元，扣除上年结转资金、一次性安排等因素后，同口径减少167.72万元，主要原因是压减非刚性支出和部分项目经费。</w:t>
      </w:r>
    </w:p>
    <w:p>
      <w:pPr>
        <w:widowControl/>
        <w:shd w:val="clear" w:color="auto" w:fill="FFFFFF"/>
        <w:spacing w:line="520" w:lineRule="exact"/>
        <w:ind w:firstLine="641" w:firstLineChars="0"/>
        <w:jc w:val="both"/>
        <w:rPr>
          <w:rFonts w:ascii="宋体" w:hAnsi="宋体" w:eastAsia="宋体" w:cs="Helvetica"/>
          <w:color w:val="000000"/>
          <w:kern w:val="0"/>
          <w:sz w:val="24"/>
          <w:szCs w:val="24"/>
        </w:rPr>
      </w:pPr>
      <w:r>
        <w:rPr>
          <w:rFonts w:hint="eastAsia" w:ascii="仿宋_GB2312" w:hAnsi="宋体" w:eastAsia="仿宋_GB2312" w:cs="Helvetica"/>
          <w:color w:val="333333"/>
          <w:kern w:val="0"/>
          <w:szCs w:val="32"/>
          <w:shd w:val="clear" w:color="auto" w:fill="FFFFFF"/>
        </w:rPr>
        <w:t>收入包括：本年一般公共预算拨款收入606.38万元、上年结转一般公共预算拨款收入44.60万元；支出包括：教育支出568.92万元、社会保障和就业支出46.22万元、卫生健康支出11.42万元、住房保障支出24.43万元。</w:t>
      </w:r>
    </w:p>
    <w:p>
      <w:pPr>
        <w:pStyle w:val="3"/>
        <w:spacing w:line="520" w:lineRule="exact"/>
        <w:ind w:firstLine="560"/>
        <w:rPr>
          <w:rFonts w:ascii="宋体" w:hAnsi="宋体" w:eastAsia="宋体"/>
          <w:color w:val="000000"/>
          <w:kern w:val="0"/>
          <w:sz w:val="24"/>
          <w:szCs w:val="24"/>
        </w:rPr>
      </w:pPr>
      <w:bookmarkStart w:id="9" w:name="_Toc139013058"/>
      <w:r>
        <w:rPr>
          <w:rFonts w:hint="eastAsia"/>
          <w:kern w:val="0"/>
          <w:shd w:val="clear" w:color="auto" w:fill="FFFFFF"/>
        </w:rPr>
        <w:t>五、一般公共预算当年拨款情况说明</w:t>
      </w:r>
      <w:bookmarkEnd w:id="9"/>
    </w:p>
    <w:p>
      <w:pPr>
        <w:pStyle w:val="4"/>
        <w:spacing w:line="520" w:lineRule="exact"/>
        <w:ind w:firstLine="640"/>
        <w:rPr>
          <w:rFonts w:ascii="宋体" w:eastAsia="宋体"/>
          <w:color w:val="000000"/>
          <w:kern w:val="0"/>
          <w:sz w:val="24"/>
          <w:szCs w:val="24"/>
        </w:rPr>
      </w:pPr>
      <w:bookmarkStart w:id="10" w:name="_Toc139013059"/>
      <w:r>
        <w:rPr>
          <w:rFonts w:hint="eastAsia"/>
          <w:kern w:val="0"/>
          <w:shd w:val="clear" w:color="auto" w:fill="FFFFFF"/>
        </w:rPr>
        <w:t>（一）一般公共预算当年拨款规模变化情况</w:t>
      </w:r>
      <w:bookmarkEnd w:id="10"/>
    </w:p>
    <w:p>
      <w:pPr>
        <w:widowControl/>
        <w:shd w:val="clear" w:color="auto" w:fill="FFFFFF"/>
        <w:spacing w:line="520" w:lineRule="exact"/>
        <w:ind w:firstLine="641" w:firstLineChars="0"/>
        <w:jc w:val="both"/>
        <w:rPr>
          <w:rFonts w:ascii="宋体" w:hAnsi="宋体" w:eastAsia="宋体" w:cs="Helvetica"/>
          <w:color w:val="000000"/>
          <w:kern w:val="0"/>
          <w:sz w:val="24"/>
          <w:szCs w:val="24"/>
        </w:rPr>
      </w:pPr>
      <w:r>
        <w:rPr>
          <w:rFonts w:hint="eastAsia" w:ascii="仿宋_GB2312" w:hAnsi="宋体" w:eastAsia="仿宋_GB2312" w:cs="Helvetica"/>
          <w:color w:val="333333"/>
          <w:kern w:val="0"/>
          <w:szCs w:val="32"/>
          <w:shd w:val="clear" w:color="auto" w:fill="FFFFFF"/>
        </w:rPr>
        <w:t>市交通技工学校2022年一般公共预算当年拨款606.38万元，比2021年预算减少167.72万元，主要原因响应政府号召“过紧日子”，压减非刚性支出和部分项目经费。</w:t>
      </w:r>
    </w:p>
    <w:p>
      <w:pPr>
        <w:pStyle w:val="4"/>
        <w:spacing w:line="520" w:lineRule="exact"/>
        <w:ind w:firstLine="640"/>
        <w:rPr>
          <w:rFonts w:ascii="宋体" w:eastAsia="宋体"/>
          <w:color w:val="000000"/>
          <w:kern w:val="0"/>
          <w:sz w:val="24"/>
          <w:szCs w:val="24"/>
        </w:rPr>
      </w:pPr>
      <w:bookmarkStart w:id="11" w:name="_Toc139013060"/>
      <w:r>
        <w:rPr>
          <w:rFonts w:hint="eastAsia"/>
          <w:kern w:val="0"/>
          <w:shd w:val="clear" w:color="auto" w:fill="FFFFFF"/>
        </w:rPr>
        <w:t>（二）一般公共预算当年拨款结构情况</w:t>
      </w:r>
      <w:bookmarkEnd w:id="11"/>
    </w:p>
    <w:p>
      <w:pPr>
        <w:widowControl/>
        <w:shd w:val="clear" w:color="auto" w:fill="FFFFFF"/>
        <w:spacing w:line="520" w:lineRule="exact"/>
        <w:ind w:firstLine="641" w:firstLineChars="0"/>
        <w:jc w:val="both"/>
        <w:rPr>
          <w:rFonts w:ascii="宋体" w:hAnsi="宋体" w:eastAsia="宋体" w:cs="Helvetica"/>
          <w:color w:val="000000"/>
          <w:kern w:val="0"/>
          <w:sz w:val="24"/>
          <w:szCs w:val="24"/>
        </w:rPr>
      </w:pPr>
      <w:r>
        <w:rPr>
          <w:rFonts w:hint="eastAsia" w:ascii="仿宋_GB2312" w:hAnsi="宋体" w:eastAsia="仿宋_GB2312" w:cs="Helvetica"/>
          <w:color w:val="333333"/>
          <w:kern w:val="0"/>
          <w:szCs w:val="32"/>
          <w:shd w:val="clear" w:color="auto" w:fill="FFFFFF"/>
        </w:rPr>
        <w:t>教育支出526.23万元，占86.78%；社会保障和就业支出44.31万元，占7.30%；卫生健康支出11.42万元，占1.88%；住房保障支出24.43万元，占4.03%。</w:t>
      </w:r>
    </w:p>
    <w:p>
      <w:pPr>
        <w:pStyle w:val="4"/>
        <w:spacing w:line="520" w:lineRule="exact"/>
        <w:ind w:firstLine="640"/>
        <w:rPr>
          <w:rFonts w:ascii="宋体" w:eastAsia="宋体"/>
          <w:color w:val="000000"/>
          <w:kern w:val="0"/>
          <w:sz w:val="24"/>
          <w:szCs w:val="24"/>
        </w:rPr>
      </w:pPr>
      <w:bookmarkStart w:id="12" w:name="_Toc139013061"/>
      <w:r>
        <w:rPr>
          <w:rFonts w:hint="eastAsia"/>
          <w:kern w:val="0"/>
          <w:shd w:val="clear" w:color="auto" w:fill="FFFFFF"/>
        </w:rPr>
        <w:t>（三）一般公共预算当年拨款具体使用情况</w:t>
      </w:r>
      <w:bookmarkEnd w:id="12"/>
    </w:p>
    <w:p>
      <w:pPr>
        <w:widowControl/>
        <w:shd w:val="clear" w:color="auto" w:fill="FFFFFF"/>
        <w:spacing w:line="520" w:lineRule="exact"/>
        <w:ind w:firstLine="641" w:firstLineChars="0"/>
        <w:jc w:val="both"/>
        <w:rPr>
          <w:rFonts w:ascii="仿宋_GB2312" w:hAnsi="宋体" w:eastAsia="仿宋_GB2312" w:cs="Helvetica"/>
          <w:color w:val="333333"/>
          <w:kern w:val="0"/>
          <w:szCs w:val="32"/>
          <w:shd w:val="clear" w:color="auto" w:fill="FFFFFF"/>
        </w:rPr>
      </w:pPr>
      <w:r>
        <w:rPr>
          <w:rFonts w:hint="eastAsia" w:ascii="仿宋_GB2312" w:hAnsi="宋体" w:eastAsia="仿宋_GB2312" w:cs="Helvetica"/>
          <w:color w:val="333333"/>
          <w:kern w:val="0"/>
          <w:szCs w:val="32"/>
          <w:shd w:val="clear" w:color="auto" w:fill="FFFFFF"/>
        </w:rPr>
        <w:t>1.教育支出（类）职业教育（款）技校教育（项）2022年预算数为526.23万元，主要用于：单位人员及公用经费开支以及开展学员技能培训工作经费。</w:t>
      </w:r>
    </w:p>
    <w:p>
      <w:pPr>
        <w:widowControl/>
        <w:shd w:val="clear" w:color="auto" w:fill="FFFFFF"/>
        <w:spacing w:line="520" w:lineRule="exact"/>
        <w:ind w:firstLine="641" w:firstLineChars="0"/>
        <w:jc w:val="both"/>
        <w:rPr>
          <w:rFonts w:ascii="仿宋_GB2312" w:hAnsi="宋体" w:eastAsia="仿宋_GB2312" w:cs="Helvetica"/>
          <w:color w:val="333333"/>
          <w:kern w:val="0"/>
          <w:szCs w:val="32"/>
          <w:shd w:val="clear" w:color="auto" w:fill="FFFFFF"/>
        </w:rPr>
      </w:pPr>
      <w:r>
        <w:rPr>
          <w:rFonts w:hint="eastAsia" w:ascii="仿宋_GB2312" w:hAnsi="宋体" w:eastAsia="仿宋_GB2312" w:cs="Helvetica"/>
          <w:color w:val="333333"/>
          <w:kern w:val="0"/>
          <w:szCs w:val="32"/>
          <w:shd w:val="clear" w:color="auto" w:fill="FFFFFF"/>
        </w:rPr>
        <w:t>2.社会保障和就业（类）行政事业单位养老支出（款）事业单位离退休（项）2022年预算数为21.47万元，主要用于：事业单位离退休人员经费支出。</w:t>
      </w:r>
    </w:p>
    <w:p>
      <w:pPr>
        <w:widowControl/>
        <w:shd w:val="clear" w:color="auto" w:fill="FFFFFF"/>
        <w:spacing w:line="520" w:lineRule="exact"/>
        <w:ind w:firstLine="641" w:firstLineChars="0"/>
        <w:jc w:val="both"/>
        <w:rPr>
          <w:rFonts w:ascii="宋体" w:hAnsi="宋体" w:eastAsia="宋体" w:cs="Helvetica"/>
          <w:color w:val="000000"/>
          <w:kern w:val="0"/>
          <w:sz w:val="24"/>
          <w:szCs w:val="24"/>
        </w:rPr>
      </w:pPr>
      <w:r>
        <w:rPr>
          <w:rFonts w:hint="eastAsia" w:ascii="仿宋_GB2312" w:hAnsi="宋体" w:eastAsia="仿宋_GB2312" w:cs="Helvetica"/>
          <w:color w:val="333333"/>
          <w:kern w:val="0"/>
          <w:szCs w:val="32"/>
          <w:shd w:val="clear" w:color="auto" w:fill="FFFFFF"/>
        </w:rPr>
        <w:t>3.社会保障和就业（类）行政事业单位养老支出（款）机关事业单位基本养老保险缴费支出（项）2022年预算数为22.84万元，主要用于：实施养老保险制度由单位缴纳的基本养老保险支出。</w:t>
      </w:r>
    </w:p>
    <w:p>
      <w:pPr>
        <w:widowControl/>
        <w:shd w:val="clear" w:color="auto" w:fill="FFFFFF"/>
        <w:spacing w:line="520" w:lineRule="exact"/>
        <w:ind w:firstLine="641" w:firstLineChars="0"/>
        <w:jc w:val="both"/>
        <w:rPr>
          <w:rFonts w:ascii="仿宋_GB2312" w:hAnsi="宋体" w:eastAsia="仿宋_GB2312" w:cs="Helvetica"/>
          <w:color w:val="333333"/>
          <w:kern w:val="0"/>
          <w:szCs w:val="32"/>
          <w:shd w:val="clear" w:color="auto" w:fill="FFFFFF"/>
        </w:rPr>
      </w:pPr>
      <w:r>
        <w:rPr>
          <w:rFonts w:hint="eastAsia" w:ascii="仿宋_GB2312" w:hAnsi="宋体" w:eastAsia="仿宋_GB2312" w:cs="Helvetica"/>
          <w:color w:val="333333"/>
          <w:kern w:val="0"/>
          <w:szCs w:val="32"/>
          <w:shd w:val="clear" w:color="auto" w:fill="FFFFFF"/>
        </w:rPr>
        <w:t>4.卫生健康（类）行政事业单位医疗（款）事业单位医疗（项）2022年预算数为11.42万元，主要用于：事业单位按规定由单位缴纳的基本医疗保险支出。</w:t>
      </w:r>
    </w:p>
    <w:p>
      <w:pPr>
        <w:widowControl/>
        <w:shd w:val="clear" w:color="auto" w:fill="FFFFFF"/>
        <w:spacing w:line="520" w:lineRule="exact"/>
        <w:ind w:firstLine="641" w:firstLineChars="0"/>
        <w:jc w:val="both"/>
        <w:rPr>
          <w:rFonts w:ascii="宋体" w:hAnsi="宋体" w:eastAsia="宋体" w:cs="Helvetica"/>
          <w:color w:val="000000"/>
          <w:kern w:val="0"/>
          <w:sz w:val="24"/>
          <w:szCs w:val="24"/>
        </w:rPr>
      </w:pPr>
      <w:r>
        <w:rPr>
          <w:rFonts w:hint="eastAsia" w:ascii="仿宋_GB2312" w:hAnsi="宋体" w:eastAsia="仿宋_GB2312" w:cs="Helvetica"/>
          <w:color w:val="333333"/>
          <w:kern w:val="0"/>
          <w:szCs w:val="32"/>
          <w:shd w:val="clear" w:color="auto" w:fill="FFFFFF"/>
        </w:rPr>
        <w:t>5.住房保障（类）住房改革支出（款）住房公积金（项）2022年预算数为24.43万元，主要用于：单位按规定为职工缴纳的住房公积金支出。</w:t>
      </w:r>
    </w:p>
    <w:p>
      <w:pPr>
        <w:pStyle w:val="3"/>
        <w:spacing w:line="520" w:lineRule="exact"/>
        <w:ind w:firstLine="560"/>
        <w:rPr>
          <w:rFonts w:ascii="宋体" w:hAnsi="宋体" w:eastAsia="宋体"/>
          <w:color w:val="000000"/>
          <w:kern w:val="0"/>
          <w:sz w:val="24"/>
          <w:szCs w:val="24"/>
        </w:rPr>
      </w:pPr>
      <w:bookmarkStart w:id="13" w:name="_Toc139013062"/>
      <w:r>
        <w:rPr>
          <w:rFonts w:hint="eastAsia"/>
          <w:kern w:val="0"/>
          <w:shd w:val="clear" w:color="auto" w:fill="FFFFFF"/>
        </w:rPr>
        <w:t>六、一般公共预算基本支出情况说明</w:t>
      </w:r>
      <w:bookmarkEnd w:id="13"/>
    </w:p>
    <w:p>
      <w:pPr>
        <w:widowControl/>
        <w:shd w:val="clear" w:color="auto" w:fill="FFFFFF"/>
        <w:spacing w:line="520" w:lineRule="exact"/>
        <w:ind w:firstLine="641" w:firstLineChars="0"/>
        <w:jc w:val="both"/>
        <w:rPr>
          <w:rFonts w:ascii="仿宋_GB2312" w:hAnsi="宋体" w:eastAsia="仿宋_GB2312" w:cs="Helvetica"/>
          <w:color w:val="333333"/>
          <w:kern w:val="0"/>
          <w:szCs w:val="32"/>
          <w:shd w:val="clear" w:color="auto" w:fill="FFFFFF"/>
        </w:rPr>
      </w:pPr>
      <w:r>
        <w:rPr>
          <w:rFonts w:hint="eastAsia" w:ascii="仿宋_GB2312" w:hAnsi="宋体" w:eastAsia="仿宋_GB2312" w:cs="Helvetica"/>
          <w:color w:val="333333"/>
          <w:kern w:val="0"/>
          <w:szCs w:val="32"/>
          <w:shd w:val="clear" w:color="auto" w:fill="FFFFFF"/>
        </w:rPr>
        <w:t>我校2022年一般公共预算基本支出328.94万元，其中：人员经费290.11万元，主要包括：基本工资、津贴补贴、奖金、社会保险缴费、离休费、住房公积金等支出。</w:t>
      </w:r>
    </w:p>
    <w:p>
      <w:pPr>
        <w:widowControl/>
        <w:shd w:val="clear" w:color="auto" w:fill="FFFFFF"/>
        <w:spacing w:line="520" w:lineRule="exact"/>
        <w:ind w:firstLine="641" w:firstLineChars="0"/>
        <w:jc w:val="both"/>
        <w:rPr>
          <w:rFonts w:ascii="宋体" w:hAnsi="宋体" w:eastAsia="宋体" w:cs="Helvetica"/>
          <w:color w:val="000000"/>
          <w:kern w:val="0"/>
          <w:sz w:val="24"/>
          <w:szCs w:val="24"/>
        </w:rPr>
      </w:pPr>
      <w:r>
        <w:rPr>
          <w:rFonts w:hint="eastAsia" w:ascii="仿宋_GB2312" w:hAnsi="宋体" w:eastAsia="仿宋_GB2312" w:cs="Helvetica"/>
          <w:color w:val="333333"/>
          <w:kern w:val="0"/>
          <w:szCs w:val="32"/>
          <w:shd w:val="clear" w:color="auto" w:fill="FFFFFF"/>
        </w:rPr>
        <w:t>公用经费38.83万元，主要包括：办公费、印刷费、水费、电费、邮电费、物业管理费、差旅费、维修（护）费、会议费、培训费、公务接待费、劳务费、工会经费、福利费、公务用车运行维护费、其他交通费用等支出。</w:t>
      </w:r>
    </w:p>
    <w:p>
      <w:pPr>
        <w:pStyle w:val="3"/>
        <w:spacing w:line="520" w:lineRule="exact"/>
        <w:ind w:firstLine="560"/>
        <w:rPr>
          <w:rFonts w:ascii="宋体" w:hAnsi="宋体" w:eastAsia="宋体"/>
          <w:color w:val="000000"/>
          <w:kern w:val="0"/>
          <w:sz w:val="24"/>
          <w:szCs w:val="24"/>
        </w:rPr>
      </w:pPr>
      <w:bookmarkStart w:id="14" w:name="_Toc139013063"/>
      <w:r>
        <w:rPr>
          <w:rFonts w:hint="eastAsia"/>
          <w:kern w:val="0"/>
          <w:shd w:val="clear" w:color="auto" w:fill="FFFFFF"/>
        </w:rPr>
        <w:t>七、“三公”经费财政拨款预算安排情况说明</w:t>
      </w:r>
      <w:bookmarkEnd w:id="14"/>
    </w:p>
    <w:p>
      <w:pPr>
        <w:widowControl/>
        <w:shd w:val="clear" w:color="auto" w:fill="FFFFFF"/>
        <w:spacing w:line="520" w:lineRule="exact"/>
        <w:ind w:firstLine="641" w:firstLineChars="0"/>
        <w:jc w:val="both"/>
        <w:rPr>
          <w:rFonts w:ascii="宋体" w:hAnsi="宋体" w:eastAsia="宋体" w:cs="Helvetica"/>
          <w:color w:val="000000"/>
          <w:kern w:val="0"/>
          <w:sz w:val="24"/>
          <w:szCs w:val="24"/>
        </w:rPr>
      </w:pPr>
      <w:r>
        <w:rPr>
          <w:rFonts w:hint="eastAsia" w:ascii="仿宋_GB2312" w:hAnsi="宋体" w:eastAsia="仿宋_GB2312" w:cs="Helvetica"/>
          <w:color w:val="333333"/>
          <w:kern w:val="0"/>
          <w:szCs w:val="32"/>
          <w:shd w:val="clear" w:color="auto" w:fill="FFFFFF"/>
        </w:rPr>
        <w:t>我校2022年“三公”经费财政拨款预算数1.90万元，其中：公务接待费0.40万元，公务用车购置</w:t>
      </w:r>
      <w:r>
        <w:rPr>
          <w:rFonts w:hint="eastAsia" w:ascii="仿宋_GB2312" w:hAnsi="宋体" w:eastAsia="仿宋_GB2312" w:cs="Helvetica"/>
          <w:color w:val="333333"/>
          <w:kern w:val="0"/>
          <w:szCs w:val="32"/>
          <w:shd w:val="clear" w:color="auto" w:fill="FFFFFF"/>
          <w:lang w:val="en-US" w:eastAsia="zh-CN"/>
        </w:rPr>
        <w:t>及</w:t>
      </w:r>
      <w:r>
        <w:rPr>
          <w:rFonts w:hint="eastAsia" w:ascii="仿宋_GB2312" w:hAnsi="宋体" w:eastAsia="仿宋_GB2312" w:cs="Helvetica"/>
          <w:color w:val="333333"/>
          <w:kern w:val="0"/>
          <w:szCs w:val="32"/>
          <w:shd w:val="clear" w:color="auto" w:fill="FFFFFF"/>
        </w:rPr>
        <w:t>运行维护费1.50万元，</w:t>
      </w:r>
      <w:r>
        <w:rPr>
          <w:rFonts w:hint="eastAsia" w:ascii="仿宋_GB2312" w:eastAsia="仿宋_GB2312"/>
          <w:sz w:val="32"/>
          <w:szCs w:val="32"/>
          <w:highlight w:val="none"/>
        </w:rPr>
        <w:t>无因公出国（境）计划</w:t>
      </w: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w:t>
      </w:r>
    </w:p>
    <w:p>
      <w:pPr>
        <w:widowControl/>
        <w:shd w:val="clear" w:color="auto" w:fill="FFFFFF"/>
        <w:spacing w:line="520" w:lineRule="exact"/>
        <w:ind w:firstLine="641" w:firstLineChars="0"/>
        <w:jc w:val="both"/>
        <w:rPr>
          <w:rFonts w:ascii="宋体" w:hAnsi="宋体" w:eastAsia="宋体" w:cs="Helvetica"/>
          <w:color w:val="000000"/>
          <w:kern w:val="0"/>
          <w:sz w:val="24"/>
          <w:szCs w:val="24"/>
        </w:rPr>
      </w:pPr>
      <w:bookmarkStart w:id="15" w:name="_Toc139013064"/>
      <w:r>
        <w:rPr>
          <w:rStyle w:val="15"/>
          <w:rFonts w:hint="eastAsia"/>
        </w:rPr>
        <w:t>（一）公务接待费：</w:t>
      </w:r>
      <w:bookmarkEnd w:id="15"/>
      <w:r>
        <w:rPr>
          <w:rFonts w:hint="eastAsia" w:ascii="楷体_GB2312" w:hAnsi="宋体" w:eastAsia="楷体_GB2312" w:cs="Helvetica"/>
          <w:color w:val="333333"/>
          <w:kern w:val="0"/>
          <w:szCs w:val="32"/>
          <w:shd w:val="clear" w:color="auto" w:fill="FFFFFF"/>
        </w:rPr>
        <w:t>比</w:t>
      </w:r>
      <w:r>
        <w:rPr>
          <w:rFonts w:hint="eastAsia" w:ascii="仿宋_GB2312" w:hAnsi="宋体" w:eastAsia="仿宋_GB2312" w:cs="Helvetica"/>
          <w:color w:val="333333"/>
          <w:kern w:val="0"/>
          <w:szCs w:val="32"/>
          <w:shd w:val="clear" w:color="auto" w:fill="FFFFFF"/>
        </w:rPr>
        <w:t>2021</w:t>
      </w:r>
      <w:r>
        <w:rPr>
          <w:rFonts w:hint="eastAsia" w:ascii="楷体_GB2312" w:hAnsi="宋体" w:eastAsia="楷体_GB2312" w:cs="Helvetica"/>
          <w:color w:val="333333"/>
          <w:kern w:val="0"/>
          <w:szCs w:val="32"/>
          <w:shd w:val="clear" w:color="auto" w:fill="FFFFFF"/>
        </w:rPr>
        <w:t>年预算增加0.2万元，主要原因是上年结转0.2万元。</w:t>
      </w:r>
      <w:r>
        <w:rPr>
          <w:rFonts w:hint="eastAsia" w:ascii="仿宋_GB2312" w:hAnsi="宋体" w:eastAsia="仿宋_GB2312" w:cs="Helvetica"/>
          <w:color w:val="333333"/>
          <w:kern w:val="0"/>
          <w:szCs w:val="32"/>
          <w:shd w:val="clear" w:color="auto" w:fill="FFFFFF"/>
        </w:rPr>
        <w:t>2022年公务接待费计划用于执行接待考察调研、检查指导等公务活动开支的交通费、住宿费、用餐费等。</w:t>
      </w:r>
    </w:p>
    <w:p>
      <w:pPr>
        <w:widowControl/>
        <w:shd w:val="clear" w:color="auto" w:fill="FFFFFF"/>
        <w:spacing w:line="520" w:lineRule="exact"/>
        <w:ind w:left="640" w:leftChars="200" w:firstLine="0" w:firstLineChars="0"/>
        <w:jc w:val="both"/>
        <w:rPr>
          <w:rFonts w:hint="eastAsia" w:ascii="楷体_GB2312" w:hAnsi="宋体" w:eastAsia="楷体_GB2312" w:cs="Helvetica"/>
          <w:color w:val="333333"/>
          <w:kern w:val="0"/>
          <w:szCs w:val="32"/>
          <w:shd w:val="clear" w:color="auto" w:fill="FFFFFF"/>
        </w:rPr>
      </w:pPr>
      <w:bookmarkStart w:id="16" w:name="_Toc139013065"/>
      <w:r>
        <w:rPr>
          <w:rStyle w:val="15"/>
          <w:rFonts w:hint="eastAsia"/>
        </w:rPr>
        <w:t>（二）公务用车购置及运行维护费：</w:t>
      </w:r>
      <w:bookmarkEnd w:id="16"/>
      <w:r>
        <w:rPr>
          <w:rFonts w:hint="eastAsia" w:ascii="楷体_GB2312" w:hAnsi="宋体" w:eastAsia="楷体_GB2312" w:cs="Helvetica"/>
          <w:color w:val="333333"/>
          <w:kern w:val="0"/>
          <w:szCs w:val="32"/>
          <w:shd w:val="clear" w:color="auto" w:fill="FFFFFF"/>
        </w:rPr>
        <w:t>与2021年预算持平</w:t>
      </w:r>
    </w:p>
    <w:p>
      <w:pPr>
        <w:widowControl/>
        <w:shd w:val="clear" w:color="auto" w:fill="FFFFFF"/>
        <w:spacing w:line="520" w:lineRule="exact"/>
        <w:jc w:val="both"/>
        <w:rPr>
          <w:rFonts w:ascii="宋体" w:hAnsi="宋体" w:eastAsia="宋体" w:cs="Helvetica"/>
          <w:color w:val="000000"/>
          <w:kern w:val="0"/>
          <w:sz w:val="24"/>
          <w:szCs w:val="24"/>
        </w:rPr>
      </w:pPr>
      <w:r>
        <w:rPr>
          <w:rFonts w:hint="eastAsia" w:ascii="楷体_GB2312" w:hAnsi="宋体" w:eastAsia="楷体_GB2312" w:cs="Helvetica"/>
          <w:color w:val="333333"/>
          <w:kern w:val="0"/>
          <w:szCs w:val="32"/>
          <w:shd w:val="clear" w:color="auto" w:fill="FFFFFF"/>
          <w:lang w:val="en-US" w:eastAsia="zh-CN"/>
        </w:rPr>
        <w:t>2022年</w:t>
      </w:r>
      <w:r>
        <w:rPr>
          <w:rFonts w:hint="eastAsia" w:ascii="仿宋_GB2312" w:hAnsi="宋体" w:eastAsia="仿宋_GB2312" w:cs="Helvetica"/>
          <w:color w:val="333333"/>
          <w:kern w:val="0"/>
          <w:szCs w:val="32"/>
          <w:shd w:val="clear" w:color="auto" w:fill="FFFFFF"/>
        </w:rPr>
        <w:t>单位</w:t>
      </w:r>
      <w:r>
        <w:rPr>
          <w:rFonts w:hint="eastAsia" w:ascii="楷体_GB2312" w:hAnsi="宋体" w:eastAsia="楷体_GB2312" w:cs="Helvetica"/>
          <w:color w:val="333333"/>
          <w:kern w:val="0"/>
          <w:szCs w:val="32"/>
          <w:shd w:val="clear" w:color="auto" w:fill="FFFFFF"/>
          <w:lang w:val="en-US" w:eastAsia="zh-CN"/>
        </w:rPr>
        <w:t>无公务用车购置计划，</w:t>
      </w:r>
      <w:r>
        <w:rPr>
          <w:rFonts w:hint="eastAsia" w:ascii="仿宋_GB2312" w:hAnsi="宋体" w:eastAsia="仿宋_GB2312" w:cs="Helvetica"/>
          <w:color w:val="333333"/>
          <w:kern w:val="0"/>
          <w:szCs w:val="32"/>
          <w:shd w:val="clear" w:color="auto" w:fill="FFFFFF"/>
        </w:rPr>
        <w:t>现有公务用车1辆，其中：轿车1辆，旅行车（含商务车）0辆，越野车0辆。</w:t>
      </w:r>
    </w:p>
    <w:p>
      <w:pPr>
        <w:widowControl/>
        <w:shd w:val="clear" w:color="auto" w:fill="FFFFFF"/>
        <w:spacing w:line="520" w:lineRule="exact"/>
        <w:ind w:firstLine="641" w:firstLineChars="0"/>
        <w:jc w:val="both"/>
        <w:rPr>
          <w:rFonts w:ascii="仿宋_GB2312" w:hAnsi="宋体" w:eastAsia="仿宋_GB2312" w:cs="Helvetica"/>
          <w:color w:val="333333"/>
          <w:kern w:val="0"/>
          <w:szCs w:val="32"/>
          <w:shd w:val="clear" w:color="auto" w:fill="FFFFFF"/>
        </w:rPr>
      </w:pPr>
      <w:r>
        <w:rPr>
          <w:rFonts w:hint="eastAsia" w:ascii="仿宋_GB2312" w:hAnsi="宋体" w:eastAsia="仿宋_GB2312" w:cs="Helvetica"/>
          <w:color w:val="333333"/>
          <w:kern w:val="0"/>
          <w:szCs w:val="32"/>
          <w:shd w:val="clear" w:color="auto" w:fill="FFFFFF"/>
        </w:rPr>
        <w:t>2022年安排公务用车运行维护费1.5万元，用于1辆公务用车燃油、过路（桥）、维修、保险等方面支出，主要保障应急事务处理和出差等。</w:t>
      </w:r>
    </w:p>
    <w:p>
      <w:pPr>
        <w:widowControl/>
        <w:shd w:val="clear" w:color="auto" w:fill="FFFFFF"/>
        <w:spacing w:line="520" w:lineRule="exact"/>
        <w:ind w:firstLine="641" w:firstLineChars="0"/>
        <w:jc w:val="both"/>
        <w:rPr>
          <w:rFonts w:ascii="仿宋_GB2312" w:hAnsi="宋体" w:eastAsia="仿宋_GB2312" w:cs="Helvetica"/>
          <w:color w:val="333333"/>
          <w:kern w:val="0"/>
          <w:szCs w:val="32"/>
          <w:shd w:val="clear" w:color="auto" w:fill="FFFFFF"/>
        </w:rPr>
      </w:pPr>
      <w:bookmarkStart w:id="17" w:name="_Toc139013066"/>
      <w:r>
        <w:rPr>
          <w:rFonts w:hint="eastAsia" w:ascii="仿宋_GB2312" w:hAnsi="宋体" w:eastAsia="仿宋_GB2312" w:cs="Helvetica"/>
          <w:bCs/>
          <w:color w:val="333333"/>
          <w:kern w:val="0"/>
          <w:shd w:val="clear" w:color="auto" w:fill="FFFFFF"/>
        </w:rPr>
        <w:t>（三）因公出国（境）经费：</w:t>
      </w:r>
      <w:bookmarkEnd w:id="17"/>
      <w:r>
        <w:rPr>
          <w:rFonts w:hint="eastAsia" w:ascii="仿宋_GB2312" w:hAnsi="宋体" w:eastAsia="仿宋_GB2312" w:cs="Helvetica"/>
          <w:color w:val="333333"/>
          <w:kern w:val="0"/>
          <w:szCs w:val="32"/>
          <w:shd w:val="clear" w:color="auto" w:fill="FFFFFF"/>
        </w:rPr>
        <w:t>与2021年预算持平。</w:t>
      </w:r>
    </w:p>
    <w:p>
      <w:pPr>
        <w:pStyle w:val="17"/>
        <w:ind w:firstLine="640" w:firstLineChars="200"/>
        <w:rPr>
          <w:rFonts w:hint="eastAsia" w:ascii="仿宋_GB2312" w:eastAsia="仿宋_GB2312"/>
          <w:sz w:val="32"/>
          <w:szCs w:val="32"/>
          <w:highlight w:val="none"/>
        </w:rPr>
      </w:pPr>
      <w:bookmarkStart w:id="18" w:name="_Toc139013067"/>
      <w:r>
        <w:rPr>
          <w:rFonts w:hint="eastAsia" w:ascii="仿宋_GB2312" w:eastAsia="仿宋_GB2312"/>
          <w:sz w:val="32"/>
          <w:szCs w:val="32"/>
          <w:highlight w:val="none"/>
          <w:lang w:eastAsia="zh-CN"/>
        </w:rPr>
        <w:t>因公出国（境）经费无预算安排。</w:t>
      </w:r>
      <w:bookmarkStart w:id="26" w:name="_GoBack"/>
      <w:bookmarkEnd w:id="26"/>
    </w:p>
    <w:p>
      <w:pPr>
        <w:pStyle w:val="3"/>
        <w:spacing w:line="520" w:lineRule="exact"/>
        <w:ind w:firstLine="560"/>
        <w:rPr>
          <w:rFonts w:ascii="宋体" w:hAnsi="宋体" w:eastAsia="宋体"/>
          <w:kern w:val="0"/>
          <w:sz w:val="24"/>
          <w:szCs w:val="24"/>
        </w:rPr>
      </w:pPr>
      <w:r>
        <w:rPr>
          <w:rFonts w:hint="eastAsia"/>
          <w:kern w:val="0"/>
        </w:rPr>
        <w:t>八、政府性基金预算支出情况说明</w:t>
      </w:r>
      <w:bookmarkEnd w:id="18"/>
    </w:p>
    <w:p>
      <w:pPr>
        <w:widowControl/>
        <w:shd w:val="clear" w:color="auto" w:fill="FFFFFF"/>
        <w:spacing w:line="520" w:lineRule="exact"/>
        <w:ind w:firstLine="641" w:firstLineChars="0"/>
        <w:jc w:val="both"/>
        <w:rPr>
          <w:rFonts w:ascii="宋体" w:hAnsi="宋体" w:eastAsia="宋体" w:cs="Helvetica"/>
          <w:color w:val="000000"/>
          <w:kern w:val="0"/>
          <w:sz w:val="24"/>
          <w:szCs w:val="24"/>
        </w:rPr>
      </w:pPr>
      <w:r>
        <w:rPr>
          <w:rFonts w:hint="eastAsia" w:ascii="仿宋_GB2312" w:hAnsi="宋体" w:eastAsia="仿宋_GB2312" w:cs="Helvetica"/>
          <w:color w:val="333333"/>
          <w:kern w:val="0"/>
          <w:szCs w:val="32"/>
          <w:shd w:val="clear" w:color="auto" w:fill="FFFFFF"/>
        </w:rPr>
        <w:t>市交通技工学校2022年没有使用政府性基金预算拨款安排的支出。</w:t>
      </w:r>
    </w:p>
    <w:p>
      <w:pPr>
        <w:pStyle w:val="3"/>
        <w:spacing w:line="520" w:lineRule="exact"/>
        <w:ind w:firstLine="560"/>
        <w:rPr>
          <w:rFonts w:ascii="宋体" w:hAnsi="宋体" w:eastAsia="宋体"/>
          <w:color w:val="000000"/>
          <w:kern w:val="0"/>
          <w:sz w:val="24"/>
          <w:szCs w:val="24"/>
        </w:rPr>
      </w:pPr>
      <w:bookmarkStart w:id="19" w:name="_Toc139013068"/>
      <w:r>
        <w:rPr>
          <w:rFonts w:hint="eastAsia"/>
          <w:kern w:val="0"/>
          <w:shd w:val="clear" w:color="auto" w:fill="FFFFFF"/>
        </w:rPr>
        <w:t>九、国有资本经营预算支出情况说明</w:t>
      </w:r>
      <w:bookmarkEnd w:id="19"/>
    </w:p>
    <w:p>
      <w:pPr>
        <w:widowControl/>
        <w:shd w:val="clear" w:color="auto" w:fill="FFFFFF"/>
        <w:spacing w:line="520" w:lineRule="exact"/>
        <w:ind w:firstLine="641" w:firstLineChars="0"/>
        <w:jc w:val="both"/>
        <w:rPr>
          <w:rFonts w:ascii="宋体" w:hAnsi="宋体" w:eastAsia="宋体" w:cs="Helvetica"/>
          <w:color w:val="000000"/>
          <w:kern w:val="0"/>
          <w:sz w:val="24"/>
          <w:szCs w:val="24"/>
        </w:rPr>
      </w:pPr>
      <w:r>
        <w:rPr>
          <w:rFonts w:hint="eastAsia" w:ascii="仿宋_GB2312" w:hAnsi="宋体" w:eastAsia="仿宋_GB2312" w:cs="Helvetica"/>
          <w:color w:val="333333"/>
          <w:kern w:val="0"/>
          <w:szCs w:val="32"/>
          <w:shd w:val="clear" w:color="auto" w:fill="FFFFFF"/>
        </w:rPr>
        <w:t>市交通技工学校2022年没有使用国有资本经营预算拨款安排的支出。</w:t>
      </w:r>
    </w:p>
    <w:p>
      <w:pPr>
        <w:pStyle w:val="3"/>
        <w:spacing w:line="520" w:lineRule="exact"/>
        <w:ind w:firstLine="560"/>
        <w:rPr>
          <w:rFonts w:ascii="宋体" w:hAnsi="宋体" w:eastAsia="宋体"/>
          <w:color w:val="000000"/>
          <w:kern w:val="0"/>
          <w:sz w:val="24"/>
          <w:szCs w:val="24"/>
        </w:rPr>
      </w:pPr>
      <w:bookmarkStart w:id="20" w:name="_Toc139013069"/>
      <w:r>
        <w:rPr>
          <w:rFonts w:hint="eastAsia"/>
          <w:kern w:val="0"/>
          <w:shd w:val="clear" w:color="auto" w:fill="FFFFFF"/>
        </w:rPr>
        <w:t>十、其他重要事项的情况说明</w:t>
      </w:r>
      <w:bookmarkEnd w:id="20"/>
    </w:p>
    <w:p>
      <w:pPr>
        <w:pStyle w:val="4"/>
        <w:spacing w:line="520" w:lineRule="exact"/>
        <w:ind w:firstLine="640"/>
        <w:rPr>
          <w:rFonts w:ascii="宋体" w:eastAsia="宋体"/>
          <w:color w:val="000000"/>
          <w:kern w:val="0"/>
          <w:sz w:val="24"/>
          <w:szCs w:val="24"/>
        </w:rPr>
      </w:pPr>
      <w:bookmarkStart w:id="21" w:name="_Toc139013070"/>
      <w:r>
        <w:rPr>
          <w:rFonts w:hint="eastAsia"/>
          <w:kern w:val="0"/>
          <w:shd w:val="clear" w:color="auto" w:fill="FFFFFF"/>
        </w:rPr>
        <w:t>（一）机关运行经费</w:t>
      </w:r>
      <w:bookmarkEnd w:id="21"/>
    </w:p>
    <w:p>
      <w:pPr>
        <w:widowControl/>
        <w:shd w:val="clear" w:color="auto" w:fill="FFFFFF"/>
        <w:spacing w:line="520" w:lineRule="exact"/>
        <w:ind w:firstLine="641" w:firstLineChars="0"/>
        <w:jc w:val="both"/>
        <w:rPr>
          <w:rFonts w:ascii="宋体" w:hAnsi="宋体" w:eastAsia="宋体" w:cs="Helvetica"/>
          <w:color w:val="000000"/>
          <w:kern w:val="0"/>
          <w:sz w:val="24"/>
          <w:szCs w:val="24"/>
        </w:rPr>
      </w:pPr>
      <w:r>
        <w:rPr>
          <w:rFonts w:hint="eastAsia" w:ascii="仿宋_GB2312" w:hAnsi="宋体" w:eastAsia="仿宋_GB2312" w:cs="Helvetica"/>
          <w:color w:val="333333"/>
          <w:kern w:val="0"/>
          <w:szCs w:val="32"/>
          <w:shd w:val="clear" w:color="auto" w:fill="FFFFFF"/>
        </w:rPr>
        <w:t>2022年，市交通技工学校机关运行经费财政拨款预算为0万元，主要原因是本单位属其他事业单位，无机关运行经费预算。</w:t>
      </w:r>
    </w:p>
    <w:p>
      <w:pPr>
        <w:pStyle w:val="4"/>
        <w:spacing w:line="520" w:lineRule="exact"/>
        <w:ind w:firstLine="640"/>
        <w:rPr>
          <w:rFonts w:ascii="宋体" w:eastAsia="宋体"/>
          <w:color w:val="000000"/>
          <w:kern w:val="0"/>
          <w:sz w:val="24"/>
          <w:szCs w:val="24"/>
        </w:rPr>
      </w:pPr>
      <w:bookmarkStart w:id="22" w:name="_Toc139013071"/>
      <w:r>
        <w:rPr>
          <w:rFonts w:hint="eastAsia"/>
          <w:kern w:val="0"/>
          <w:shd w:val="clear" w:color="auto" w:fill="FFFFFF"/>
        </w:rPr>
        <w:t>（二）政府采购情况</w:t>
      </w:r>
      <w:bookmarkEnd w:id="22"/>
    </w:p>
    <w:p>
      <w:pPr>
        <w:widowControl/>
        <w:shd w:val="clear" w:color="auto" w:fill="FFFFFF"/>
        <w:spacing w:line="520" w:lineRule="exact"/>
        <w:ind w:firstLine="641" w:firstLineChars="0"/>
        <w:jc w:val="both"/>
        <w:rPr>
          <w:rFonts w:ascii="宋体" w:hAnsi="宋体" w:eastAsia="宋体" w:cs="Helvetica"/>
          <w:color w:val="000000"/>
          <w:kern w:val="0"/>
          <w:sz w:val="24"/>
          <w:szCs w:val="24"/>
        </w:rPr>
      </w:pPr>
      <w:r>
        <w:rPr>
          <w:rFonts w:hint="eastAsia" w:ascii="楷体_GB2312" w:hAnsi="宋体" w:eastAsia="楷体_GB2312" w:cs="Helvetica"/>
          <w:color w:val="333333"/>
          <w:kern w:val="0"/>
          <w:szCs w:val="32"/>
          <w:shd w:val="clear" w:color="auto" w:fill="FFFFFF"/>
        </w:rPr>
        <w:t>2022年，市</w:t>
      </w:r>
      <w:r>
        <w:rPr>
          <w:rFonts w:hint="eastAsia" w:ascii="仿宋_GB2312" w:hAnsi="宋体" w:eastAsia="仿宋_GB2312" w:cs="Helvetica"/>
          <w:color w:val="333333"/>
          <w:kern w:val="0"/>
          <w:szCs w:val="32"/>
          <w:shd w:val="clear" w:color="auto" w:fill="FFFFFF"/>
        </w:rPr>
        <w:t>交通</w:t>
      </w:r>
      <w:r>
        <w:rPr>
          <w:rFonts w:hint="eastAsia" w:ascii="楷体_GB2312" w:hAnsi="宋体" w:eastAsia="楷体_GB2312" w:cs="Helvetica"/>
          <w:color w:val="333333"/>
          <w:kern w:val="0"/>
          <w:szCs w:val="32"/>
          <w:shd w:val="clear" w:color="auto" w:fill="FFFFFF"/>
        </w:rPr>
        <w:t>技工学校未安排政府采购预算。</w:t>
      </w:r>
    </w:p>
    <w:p>
      <w:pPr>
        <w:pStyle w:val="4"/>
        <w:spacing w:line="520" w:lineRule="exact"/>
        <w:ind w:firstLine="640"/>
        <w:rPr>
          <w:rFonts w:ascii="宋体" w:eastAsia="宋体"/>
          <w:color w:val="000000"/>
          <w:kern w:val="0"/>
          <w:sz w:val="24"/>
          <w:szCs w:val="24"/>
        </w:rPr>
      </w:pPr>
      <w:bookmarkStart w:id="23" w:name="_Toc139013072"/>
      <w:r>
        <w:rPr>
          <w:rFonts w:hint="eastAsia"/>
          <w:kern w:val="0"/>
          <w:shd w:val="clear" w:color="auto" w:fill="FFFFFF"/>
        </w:rPr>
        <w:t>（三）国有资产占有使用情况</w:t>
      </w:r>
      <w:bookmarkEnd w:id="23"/>
    </w:p>
    <w:p>
      <w:pPr>
        <w:widowControl/>
        <w:shd w:val="clear" w:color="auto" w:fill="FFFFFF"/>
        <w:spacing w:line="520" w:lineRule="exact"/>
        <w:ind w:firstLine="641" w:firstLineChars="0"/>
        <w:jc w:val="both"/>
        <w:rPr>
          <w:rFonts w:ascii="宋体" w:hAnsi="宋体" w:eastAsia="宋体" w:cs="Helvetica"/>
          <w:color w:val="000000"/>
          <w:kern w:val="0"/>
          <w:sz w:val="24"/>
          <w:szCs w:val="24"/>
        </w:rPr>
      </w:pPr>
      <w:r>
        <w:rPr>
          <w:rFonts w:hint="eastAsia" w:ascii="仿宋_GB2312" w:hAnsi="宋体" w:eastAsia="仿宋_GB2312" w:cs="Helvetica"/>
          <w:color w:val="333333"/>
          <w:kern w:val="0"/>
          <w:szCs w:val="32"/>
          <w:shd w:val="clear" w:color="auto" w:fill="FFFFFF"/>
        </w:rPr>
        <w:t>截至2021年底，交通技工学校共有车辆52辆，其中，领导干部用车0辆、定向保障用车3辆、执法执勤用车0辆。大客车1辆，其他车辆48台。单位价值50万元以上大型设备0台（套）。</w:t>
      </w:r>
    </w:p>
    <w:p>
      <w:pPr>
        <w:pStyle w:val="4"/>
        <w:spacing w:line="520" w:lineRule="exact"/>
        <w:ind w:firstLine="640"/>
        <w:rPr>
          <w:rFonts w:ascii="宋体" w:eastAsia="宋体"/>
          <w:color w:val="000000"/>
          <w:kern w:val="0"/>
          <w:sz w:val="24"/>
          <w:szCs w:val="24"/>
        </w:rPr>
      </w:pPr>
      <w:bookmarkStart w:id="24" w:name="_Toc139013073"/>
      <w:r>
        <w:rPr>
          <w:rFonts w:hint="eastAsia"/>
          <w:kern w:val="0"/>
          <w:shd w:val="clear" w:color="auto" w:fill="FFFFFF"/>
        </w:rPr>
        <w:t>（四）绩效目标设置情况</w:t>
      </w:r>
      <w:bookmarkEnd w:id="24"/>
    </w:p>
    <w:p>
      <w:pPr>
        <w:widowControl/>
        <w:shd w:val="clear" w:color="auto" w:fill="FFFFFF"/>
        <w:spacing w:line="520" w:lineRule="exact"/>
        <w:ind w:firstLine="641" w:firstLineChars="0"/>
        <w:jc w:val="both"/>
        <w:rPr>
          <w:rFonts w:ascii="宋体" w:hAnsi="宋体" w:eastAsia="宋体" w:cs="Helvetica"/>
          <w:color w:val="000000"/>
          <w:kern w:val="0"/>
          <w:sz w:val="24"/>
          <w:szCs w:val="24"/>
        </w:rPr>
      </w:pPr>
      <w:r>
        <w:rPr>
          <w:rFonts w:hint="eastAsia" w:ascii="仿宋_GB2312" w:hAnsi="宋体" w:eastAsia="仿宋_GB2312" w:cs="Helvetica"/>
          <w:color w:val="333333"/>
          <w:kern w:val="0"/>
          <w:szCs w:val="32"/>
          <w:shd w:val="clear" w:color="auto" w:fill="FFFFFF"/>
        </w:rPr>
        <w:t>绩效目标是预算编制的前提和基础，2022年市交通技工学校部门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pStyle w:val="3"/>
        <w:spacing w:line="520" w:lineRule="exact"/>
        <w:ind w:firstLine="560"/>
        <w:rPr>
          <w:rFonts w:ascii="宋体" w:hAnsi="宋体" w:eastAsia="宋体"/>
          <w:color w:val="000000"/>
          <w:kern w:val="0"/>
          <w:sz w:val="24"/>
          <w:szCs w:val="24"/>
        </w:rPr>
      </w:pPr>
      <w:bookmarkStart w:id="25" w:name="_Toc139013074"/>
      <w:r>
        <w:rPr>
          <w:rFonts w:hint="eastAsia"/>
          <w:kern w:val="0"/>
          <w:shd w:val="clear" w:color="auto" w:fill="FFFFFF"/>
        </w:rPr>
        <w:t>十一、名词解释</w:t>
      </w:r>
      <w:bookmarkEnd w:id="25"/>
    </w:p>
    <w:p>
      <w:pPr>
        <w:widowControl/>
        <w:shd w:val="clear" w:color="auto" w:fill="FFFFFF"/>
        <w:spacing w:line="520" w:lineRule="exact"/>
        <w:ind w:firstLine="641" w:firstLineChars="0"/>
        <w:jc w:val="both"/>
        <w:rPr>
          <w:rFonts w:ascii="仿宋_GB2312" w:hAnsi="宋体" w:eastAsia="仿宋_GB2312" w:cs="Helvetica"/>
          <w:color w:val="333333"/>
          <w:kern w:val="0"/>
          <w:szCs w:val="32"/>
          <w:shd w:val="clear" w:color="auto" w:fill="FFFFFF"/>
        </w:rPr>
      </w:pPr>
      <w:r>
        <w:rPr>
          <w:rFonts w:hint="eastAsia" w:ascii="楷体_GB2312" w:hAnsi="宋体" w:eastAsia="楷体_GB2312" w:cs="Helvetica"/>
          <w:color w:val="333333"/>
          <w:kern w:val="0"/>
          <w:szCs w:val="32"/>
          <w:shd w:val="clear" w:color="auto" w:fill="FFFFFF"/>
        </w:rPr>
        <w:t>（一）一般公</w:t>
      </w:r>
      <w:r>
        <w:rPr>
          <w:rFonts w:hint="eastAsia" w:ascii="仿宋_GB2312" w:hAnsi="宋体" w:eastAsia="仿宋_GB2312" w:cs="Helvetica"/>
          <w:color w:val="333333"/>
          <w:kern w:val="0"/>
          <w:szCs w:val="32"/>
          <w:shd w:val="clear" w:color="auto" w:fill="FFFFFF"/>
        </w:rPr>
        <w:t>共预算拨款收入：指市级财政当年拨付的资金。</w:t>
      </w:r>
    </w:p>
    <w:p>
      <w:pPr>
        <w:widowControl/>
        <w:shd w:val="clear" w:color="auto" w:fill="FFFFFF"/>
        <w:spacing w:line="520" w:lineRule="exact"/>
        <w:ind w:firstLine="641" w:firstLineChars="0"/>
        <w:jc w:val="both"/>
        <w:rPr>
          <w:rFonts w:ascii="仿宋_GB2312" w:hAnsi="宋体" w:eastAsia="仿宋_GB2312" w:cs="Helvetica"/>
          <w:color w:val="333333"/>
          <w:kern w:val="0"/>
          <w:szCs w:val="32"/>
          <w:shd w:val="clear" w:color="auto" w:fill="FFFFFF"/>
        </w:rPr>
      </w:pPr>
      <w:r>
        <w:rPr>
          <w:rFonts w:hint="eastAsia" w:ascii="仿宋_GB2312" w:hAnsi="宋体" w:eastAsia="仿宋_GB2312" w:cs="Helvetica"/>
          <w:color w:val="333333"/>
          <w:kern w:val="0"/>
          <w:szCs w:val="32"/>
          <w:shd w:val="clear" w:color="auto" w:fill="FFFFFF"/>
        </w:rPr>
        <w:t>（二）上年结转：指以前年度尚未完成，结转到本年仍按原规定用途继续使用的资金。</w:t>
      </w:r>
    </w:p>
    <w:p>
      <w:pPr>
        <w:widowControl/>
        <w:shd w:val="clear" w:color="auto" w:fill="FFFFFF"/>
        <w:spacing w:line="520" w:lineRule="exact"/>
        <w:ind w:firstLine="641" w:firstLineChars="0"/>
        <w:jc w:val="both"/>
        <w:rPr>
          <w:rFonts w:ascii="仿宋_GB2312" w:hAnsi="宋体" w:eastAsia="仿宋_GB2312" w:cs="Helvetica"/>
          <w:color w:val="333333"/>
          <w:kern w:val="0"/>
          <w:szCs w:val="32"/>
          <w:shd w:val="clear" w:color="auto" w:fill="FFFFFF"/>
        </w:rPr>
      </w:pPr>
      <w:r>
        <w:rPr>
          <w:rFonts w:hint="eastAsia" w:ascii="仿宋_GB2312" w:hAnsi="宋体" w:eastAsia="仿宋_GB2312" w:cs="Helvetica"/>
          <w:color w:val="333333"/>
          <w:kern w:val="0"/>
          <w:szCs w:val="32"/>
          <w:shd w:val="clear" w:color="auto" w:fill="FFFFFF"/>
        </w:rPr>
        <w:t>（三）教育支出（类）职业教育（款）技校教育（项）：指单位用于保障机构正常运行、开展日常工作的基本支出。</w:t>
      </w:r>
    </w:p>
    <w:p>
      <w:pPr>
        <w:widowControl/>
        <w:shd w:val="clear" w:color="auto" w:fill="FFFFFF"/>
        <w:spacing w:line="520" w:lineRule="exact"/>
        <w:ind w:firstLine="641" w:firstLineChars="0"/>
        <w:jc w:val="both"/>
        <w:rPr>
          <w:rFonts w:ascii="仿宋_GB2312" w:hAnsi="宋体" w:eastAsia="仿宋_GB2312" w:cs="Helvetica"/>
          <w:color w:val="333333"/>
          <w:kern w:val="0"/>
          <w:szCs w:val="32"/>
          <w:shd w:val="clear" w:color="auto" w:fill="FFFFFF"/>
        </w:rPr>
      </w:pPr>
      <w:r>
        <w:rPr>
          <w:rFonts w:hint="eastAsia" w:ascii="仿宋_GB2312" w:hAnsi="宋体" w:eastAsia="仿宋_GB2312" w:cs="Helvetica"/>
          <w:color w:val="333333"/>
          <w:kern w:val="0"/>
          <w:szCs w:val="32"/>
          <w:shd w:val="clear" w:color="auto" w:fill="FFFFFF"/>
        </w:rPr>
        <w:t>（四）教育支出（类）职业教育（款）技校教育（项）：指单位开展教学工作的项目支出。</w:t>
      </w:r>
    </w:p>
    <w:p>
      <w:pPr>
        <w:widowControl/>
        <w:shd w:val="clear" w:color="auto" w:fill="FFFFFF"/>
        <w:spacing w:line="520" w:lineRule="exact"/>
        <w:ind w:firstLine="641" w:firstLineChars="0"/>
        <w:jc w:val="both"/>
        <w:rPr>
          <w:rFonts w:ascii="仿宋_GB2312" w:hAnsi="宋体" w:eastAsia="仿宋_GB2312" w:cs="Helvetica"/>
          <w:color w:val="333333"/>
          <w:kern w:val="0"/>
          <w:szCs w:val="32"/>
          <w:shd w:val="clear" w:color="auto" w:fill="FFFFFF"/>
        </w:rPr>
      </w:pPr>
      <w:r>
        <w:rPr>
          <w:rFonts w:hint="eastAsia" w:ascii="仿宋_GB2312" w:hAnsi="宋体" w:eastAsia="仿宋_GB2312" w:cs="Helvetica"/>
          <w:color w:val="333333"/>
          <w:kern w:val="0"/>
          <w:szCs w:val="32"/>
          <w:shd w:val="clear" w:color="auto" w:fill="FFFFFF"/>
        </w:rPr>
        <w:t>（五）社会保障和就业（类）行政事业单位养老支出（款）事业单位离退休（项）：指事业单位离退休人员的支出。</w:t>
      </w:r>
    </w:p>
    <w:p>
      <w:pPr>
        <w:widowControl/>
        <w:shd w:val="clear" w:color="auto" w:fill="FFFFFF"/>
        <w:spacing w:line="520" w:lineRule="exact"/>
        <w:ind w:firstLine="641" w:firstLineChars="0"/>
        <w:jc w:val="both"/>
        <w:rPr>
          <w:rFonts w:ascii="仿宋_GB2312" w:hAnsi="宋体" w:eastAsia="仿宋_GB2312" w:cs="Helvetica"/>
          <w:color w:val="333333"/>
          <w:kern w:val="0"/>
          <w:szCs w:val="32"/>
          <w:shd w:val="clear" w:color="auto" w:fill="FFFFFF"/>
        </w:rPr>
      </w:pPr>
      <w:r>
        <w:rPr>
          <w:rFonts w:hint="eastAsia" w:ascii="仿宋_GB2312" w:hAnsi="宋体" w:eastAsia="仿宋_GB2312" w:cs="Helvetica"/>
          <w:color w:val="333333"/>
          <w:kern w:val="0"/>
          <w:szCs w:val="32"/>
          <w:shd w:val="clear" w:color="auto" w:fill="FFFFFF"/>
        </w:rPr>
        <w:t>（六）社会保障和就业（类）行政事业单位养老支出（款）机关事业单位基本养老保险缴费支出（项）：指部门实施养老保险制度由单位缴纳的养老保险的支出。</w:t>
      </w:r>
    </w:p>
    <w:p>
      <w:pPr>
        <w:widowControl/>
        <w:shd w:val="clear" w:color="auto" w:fill="FFFFFF"/>
        <w:spacing w:line="520" w:lineRule="exact"/>
        <w:ind w:firstLine="641" w:firstLineChars="0"/>
        <w:jc w:val="both"/>
        <w:rPr>
          <w:rFonts w:ascii="仿宋_GB2312" w:hAnsi="宋体" w:eastAsia="仿宋_GB2312" w:cs="Helvetica"/>
          <w:color w:val="333333"/>
          <w:kern w:val="0"/>
          <w:szCs w:val="32"/>
          <w:shd w:val="clear" w:color="auto" w:fill="FFFFFF"/>
        </w:rPr>
      </w:pPr>
      <w:r>
        <w:rPr>
          <w:rFonts w:hint="eastAsia" w:ascii="仿宋_GB2312" w:hAnsi="宋体" w:eastAsia="仿宋_GB2312" w:cs="Helvetica"/>
          <w:color w:val="333333"/>
          <w:kern w:val="0"/>
          <w:szCs w:val="32"/>
          <w:shd w:val="clear" w:color="auto" w:fill="FFFFFF"/>
        </w:rPr>
        <w:t>（七）社会保障和就业（类）行政事业单位养老支出（款）机关事业单位职业年金缴费支出（项）：指部门实施养老保险制度由单位缴纳的职业年金的支出。</w:t>
      </w:r>
    </w:p>
    <w:p>
      <w:pPr>
        <w:widowControl/>
        <w:shd w:val="clear" w:color="auto" w:fill="FFFFFF"/>
        <w:spacing w:line="520" w:lineRule="exact"/>
        <w:ind w:firstLine="641" w:firstLineChars="0"/>
        <w:jc w:val="both"/>
        <w:rPr>
          <w:rFonts w:ascii="仿宋_GB2312" w:hAnsi="宋体" w:eastAsia="仿宋_GB2312" w:cs="Helvetica"/>
          <w:color w:val="333333"/>
          <w:kern w:val="0"/>
          <w:szCs w:val="32"/>
          <w:shd w:val="clear" w:color="auto" w:fill="FFFFFF"/>
        </w:rPr>
      </w:pPr>
      <w:r>
        <w:rPr>
          <w:rFonts w:hint="eastAsia" w:ascii="仿宋_GB2312" w:hAnsi="宋体" w:eastAsia="仿宋_GB2312" w:cs="Helvetica"/>
          <w:color w:val="333333"/>
          <w:kern w:val="0"/>
          <w:szCs w:val="32"/>
          <w:shd w:val="clear" w:color="auto" w:fill="FFFFFF"/>
        </w:rPr>
        <w:t>（八）卫生健康（类）行政事业单位医疗（款）事业单位医疗（项）：指事业单位用于单位应缴纳基本医疗保险支出。</w:t>
      </w:r>
    </w:p>
    <w:p>
      <w:pPr>
        <w:widowControl/>
        <w:shd w:val="clear" w:color="auto" w:fill="FFFFFF"/>
        <w:spacing w:line="520" w:lineRule="exact"/>
        <w:ind w:firstLine="641" w:firstLineChars="0"/>
        <w:jc w:val="both"/>
        <w:rPr>
          <w:rFonts w:ascii="仿宋_GB2312" w:hAnsi="宋体" w:eastAsia="仿宋_GB2312" w:cs="Helvetica"/>
          <w:color w:val="333333"/>
          <w:kern w:val="0"/>
          <w:szCs w:val="32"/>
          <w:shd w:val="clear" w:color="auto" w:fill="FFFFFF"/>
        </w:rPr>
      </w:pPr>
      <w:r>
        <w:rPr>
          <w:rFonts w:hint="eastAsia" w:ascii="仿宋_GB2312" w:hAnsi="宋体" w:eastAsia="仿宋_GB2312" w:cs="Helvetica"/>
          <w:color w:val="333333"/>
          <w:kern w:val="0"/>
          <w:szCs w:val="32"/>
          <w:shd w:val="clear" w:color="auto" w:fill="FFFFFF"/>
        </w:rPr>
        <w:t>（九）住房保障（类）住房改革支出（款）住房公积金（项）：指按照《住房公积金管理条例》的规定，由单位及其在职职工缴存的长期住房储金。</w:t>
      </w:r>
    </w:p>
    <w:p>
      <w:pPr>
        <w:widowControl/>
        <w:shd w:val="clear" w:color="auto" w:fill="FFFFFF"/>
        <w:spacing w:line="520" w:lineRule="exact"/>
        <w:ind w:firstLine="641" w:firstLineChars="0"/>
        <w:jc w:val="both"/>
        <w:rPr>
          <w:rFonts w:ascii="仿宋_GB2312" w:hAnsi="宋体" w:eastAsia="仿宋_GB2312" w:cs="Helvetica"/>
          <w:color w:val="333333"/>
          <w:kern w:val="0"/>
          <w:szCs w:val="32"/>
          <w:shd w:val="clear" w:color="auto" w:fill="FFFFFF"/>
        </w:rPr>
      </w:pPr>
      <w:r>
        <w:rPr>
          <w:rFonts w:hint="eastAsia" w:ascii="仿宋_GB2312" w:hAnsi="宋体" w:eastAsia="仿宋_GB2312" w:cs="Helvetica"/>
          <w:color w:val="333333"/>
          <w:kern w:val="0"/>
          <w:szCs w:val="32"/>
          <w:shd w:val="clear" w:color="auto" w:fill="FFFFFF"/>
        </w:rPr>
        <w:t>（十）基本支出：指为保证机构正常运转，完成日常工作任务而发生的人员支出和公用支出。</w:t>
      </w:r>
    </w:p>
    <w:p>
      <w:pPr>
        <w:widowControl/>
        <w:shd w:val="clear" w:color="auto" w:fill="FFFFFF"/>
        <w:spacing w:line="520" w:lineRule="exact"/>
        <w:ind w:firstLine="641" w:firstLineChars="0"/>
        <w:jc w:val="both"/>
        <w:rPr>
          <w:rFonts w:ascii="仿宋_GB2312" w:hAnsi="宋体" w:eastAsia="仿宋_GB2312" w:cs="Helvetica"/>
          <w:color w:val="333333"/>
          <w:kern w:val="0"/>
          <w:szCs w:val="32"/>
          <w:shd w:val="clear" w:color="auto" w:fill="FFFFFF"/>
        </w:rPr>
      </w:pPr>
      <w:r>
        <w:rPr>
          <w:rFonts w:hint="eastAsia" w:ascii="仿宋_GB2312" w:hAnsi="宋体" w:eastAsia="仿宋_GB2312" w:cs="Helvetica"/>
          <w:color w:val="333333"/>
          <w:kern w:val="0"/>
          <w:szCs w:val="32"/>
          <w:shd w:val="clear" w:color="auto" w:fill="FFFFFF"/>
        </w:rPr>
        <w:t>（十一）项目支出：指在基本支出之外为完成特定行政任务和事业发展目标所发生的支出。</w:t>
      </w:r>
    </w:p>
    <w:p>
      <w:pPr>
        <w:widowControl/>
        <w:shd w:val="clear" w:color="auto" w:fill="FFFFFF"/>
        <w:spacing w:line="520" w:lineRule="exact"/>
        <w:ind w:firstLine="641" w:firstLineChars="0"/>
        <w:jc w:val="both"/>
        <w:rPr>
          <w:rFonts w:ascii="仿宋_GB2312" w:hAnsi="宋体" w:eastAsia="仿宋_GB2312" w:cs="Helvetica"/>
          <w:color w:val="333333"/>
          <w:kern w:val="0"/>
          <w:szCs w:val="32"/>
          <w:shd w:val="clear" w:color="auto" w:fill="FFFFFF"/>
        </w:rPr>
      </w:pPr>
      <w:r>
        <w:rPr>
          <w:rFonts w:hint="eastAsia" w:ascii="仿宋_GB2312" w:hAnsi="宋体" w:eastAsia="仿宋_GB2312" w:cs="Helvetica"/>
          <w:color w:val="333333"/>
          <w:kern w:val="0"/>
          <w:szCs w:val="32"/>
          <w:shd w:val="clear" w:color="auto" w:fill="FFFFFF"/>
        </w:rPr>
        <w:t>（十二）“三公”经费：纳入财政厅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widowControl/>
        <w:shd w:val="clear" w:color="auto" w:fill="FFFFFF"/>
        <w:spacing w:line="520" w:lineRule="exact"/>
        <w:ind w:firstLine="641" w:firstLineChars="0"/>
        <w:jc w:val="both"/>
        <w:rPr>
          <w:rFonts w:ascii="仿宋_GB2312" w:hAnsi="宋体" w:eastAsia="仿宋_GB2312" w:cs="Helvetica"/>
          <w:color w:val="333333"/>
          <w:kern w:val="0"/>
          <w:szCs w:val="32"/>
          <w:shd w:val="clear" w:color="auto" w:fill="FFFFFF"/>
        </w:rPr>
      </w:pPr>
      <w:r>
        <w:rPr>
          <w:rFonts w:hint="eastAsia" w:ascii="仿宋_GB2312" w:hAnsi="宋体" w:eastAsia="仿宋_GB2312" w:cs="Helvetica"/>
          <w:color w:val="333333"/>
          <w:kern w:val="0"/>
          <w:szCs w:val="32"/>
          <w:shd w:val="clear" w:color="auto" w:fill="FFFFFF"/>
        </w:rPr>
        <w:t>（十三）商品和服务支出：指单位购买商品和服务的各项支出。包括：办公费、印刷费、水电费、物业管理费、公车运行费、差旅费、公务出国费、维修（护）费、租赁费、会议费、培训费、公务接待费、专用材料费、购置费、劳务费、工会经费、福利费和其他商品和服务支出。</w:t>
      </w:r>
    </w:p>
    <w:p>
      <w:pPr>
        <w:widowControl/>
        <w:shd w:val="clear" w:color="auto" w:fill="FFFFFF"/>
        <w:spacing w:line="520" w:lineRule="exact"/>
        <w:ind w:firstLine="641" w:firstLineChars="0"/>
        <w:jc w:val="both"/>
        <w:rPr>
          <w:rFonts w:ascii="仿宋_GB2312" w:hAnsi="宋体" w:eastAsia="仿宋_GB2312" w:cs="Helvetica"/>
          <w:color w:val="333333"/>
          <w:kern w:val="0"/>
          <w:szCs w:val="32"/>
          <w:shd w:val="clear" w:color="auto" w:fill="FFFFFF"/>
        </w:rPr>
      </w:pPr>
    </w:p>
    <w:p>
      <w:pPr>
        <w:widowControl/>
        <w:shd w:val="clear" w:color="auto" w:fill="FFFFFF"/>
        <w:spacing w:line="520" w:lineRule="exact"/>
        <w:ind w:firstLine="641" w:firstLineChars="0"/>
        <w:jc w:val="both"/>
        <w:rPr>
          <w:rFonts w:ascii="仿宋_GB2312" w:hAnsi="宋体" w:eastAsia="仿宋_GB2312" w:cs="Helvetica"/>
          <w:color w:val="333333"/>
          <w:kern w:val="0"/>
          <w:szCs w:val="32"/>
          <w:shd w:val="clear" w:color="auto" w:fill="FFFFFF"/>
        </w:rPr>
      </w:pPr>
      <w:r>
        <w:rPr>
          <w:rFonts w:hint="eastAsia" w:ascii="仿宋_GB2312" w:hAnsi="宋体" w:eastAsia="仿宋_GB2312" w:cs="Helvetica"/>
          <w:color w:val="333333"/>
          <w:kern w:val="0"/>
          <w:szCs w:val="32"/>
          <w:shd w:val="clear" w:color="auto" w:fill="FFFFFF"/>
        </w:rPr>
        <w:t>附件:1.广元市交通技工学校2022年部门预算公开表</w:t>
      </w:r>
    </w:p>
    <w:p>
      <w:pPr>
        <w:widowControl/>
        <w:shd w:val="clear" w:color="auto" w:fill="FFFFFF"/>
        <w:spacing w:line="520" w:lineRule="exact"/>
        <w:ind w:firstLine="1440" w:firstLineChars="450"/>
        <w:jc w:val="both"/>
        <w:rPr>
          <w:rFonts w:ascii="仿宋_GB2312" w:hAnsi="宋体" w:eastAsia="仿宋_GB2312" w:cs="Helvetica"/>
          <w:color w:val="333333"/>
          <w:kern w:val="0"/>
          <w:szCs w:val="32"/>
          <w:shd w:val="clear" w:color="auto" w:fill="FFFFFF"/>
        </w:rPr>
      </w:pPr>
      <w:r>
        <w:rPr>
          <w:rFonts w:hint="eastAsia" w:ascii="仿宋_GB2312" w:hAnsi="宋体" w:eastAsia="仿宋_GB2312" w:cs="Helvetica"/>
          <w:color w:val="333333"/>
          <w:kern w:val="0"/>
          <w:szCs w:val="32"/>
          <w:shd w:val="clear" w:color="auto" w:fill="FFFFFF"/>
        </w:rPr>
        <w:t>2. 广元市交通技工学校2022年部门预算整体支出绩效目标表</w:t>
      </w:r>
    </w:p>
    <w:p>
      <w:pPr>
        <w:widowControl/>
        <w:shd w:val="clear" w:color="auto" w:fill="FFFFFF"/>
        <w:spacing w:line="520" w:lineRule="exact"/>
        <w:ind w:firstLine="1484" w:firstLineChars="0"/>
        <w:jc w:val="both"/>
        <w:rPr>
          <w:rFonts w:ascii="宋体" w:hAnsi="宋体" w:eastAsia="宋体" w:cs="Helvetica"/>
          <w:color w:val="000000"/>
          <w:kern w:val="0"/>
          <w:sz w:val="24"/>
          <w:szCs w:val="24"/>
        </w:rPr>
      </w:pPr>
      <w:r>
        <w:rPr>
          <w:rFonts w:hint="eastAsia" w:ascii="仿宋_GB2312" w:hAnsi="宋体" w:eastAsia="仿宋_GB2312" w:cs="Helvetica"/>
          <w:color w:val="333333"/>
          <w:kern w:val="0"/>
          <w:szCs w:val="32"/>
          <w:shd w:val="clear" w:color="auto" w:fill="FFFFFF"/>
        </w:rPr>
        <w:t>3. 广元市交通技工学校2022年部门预算项目支出绩效目标表</w:t>
      </w:r>
    </w:p>
    <w:p>
      <w:pPr>
        <w:spacing w:line="520" w:lineRule="exact"/>
        <w:ind w:firstLine="640"/>
      </w:pPr>
    </w:p>
    <w:sectPr>
      <w:pgSz w:w="11906" w:h="16838"/>
      <w:pgMar w:top="2098" w:right="1474" w:bottom="1985" w:left="158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Helvetica">
    <w:panose1 w:val="020B0504020202030204"/>
    <w:charset w:val="00"/>
    <w:family w:val="swiss"/>
    <w:pitch w:val="default"/>
    <w:sig w:usb0="00000007" w:usb1="00000000" w:usb2="00000000" w:usb3="00000000" w:csb0="00000093"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QzMTU5NmIzMTdiYjAyM2ZjZDg3NzBhMmYyNDA5MDUifQ=="/>
  </w:docVars>
  <w:rsids>
    <w:rsidRoot w:val="00A6738D"/>
    <w:rsid w:val="00183CD7"/>
    <w:rsid w:val="00215A6C"/>
    <w:rsid w:val="002B2CD7"/>
    <w:rsid w:val="00467185"/>
    <w:rsid w:val="005848EF"/>
    <w:rsid w:val="00632E6C"/>
    <w:rsid w:val="006C7DDB"/>
    <w:rsid w:val="00711729"/>
    <w:rsid w:val="007A55F6"/>
    <w:rsid w:val="00841837"/>
    <w:rsid w:val="008D7059"/>
    <w:rsid w:val="00986E00"/>
    <w:rsid w:val="00A23B41"/>
    <w:rsid w:val="00A3073C"/>
    <w:rsid w:val="00A6738D"/>
    <w:rsid w:val="00B64B00"/>
    <w:rsid w:val="00C12F7F"/>
    <w:rsid w:val="00C9464D"/>
    <w:rsid w:val="00DD233F"/>
    <w:rsid w:val="00E53DC6"/>
    <w:rsid w:val="00E57F2E"/>
    <w:rsid w:val="4C6E46AB"/>
    <w:rsid w:val="50D769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6" w:lineRule="exact"/>
      <w:ind w:firstLine="200" w:firstLineChars="200"/>
    </w:pPr>
    <w:rPr>
      <w:rFonts w:eastAsia="仿宋" w:asciiTheme="minorHAnsi" w:hAnsiTheme="minorHAnsi" w:cstheme="minorBidi"/>
      <w:kern w:val="2"/>
      <w:sz w:val="32"/>
      <w:szCs w:val="22"/>
      <w:lang w:val="en-US" w:eastAsia="zh-CN" w:bidi="ar-SA"/>
    </w:rPr>
  </w:style>
  <w:style w:type="paragraph" w:styleId="2">
    <w:name w:val="heading 1"/>
    <w:basedOn w:val="1"/>
    <w:next w:val="1"/>
    <w:link w:val="14"/>
    <w:qFormat/>
    <w:uiPriority w:val="9"/>
    <w:pPr>
      <w:keepNext/>
      <w:keepLines/>
      <w:jc w:val="center"/>
      <w:outlineLvl w:val="0"/>
    </w:pPr>
    <w:rPr>
      <w:rFonts w:eastAsia="方正小标宋简体"/>
      <w:bCs/>
      <w:spacing w:val="-20"/>
      <w:kern w:val="44"/>
      <w:sz w:val="44"/>
      <w:szCs w:val="44"/>
    </w:rPr>
  </w:style>
  <w:style w:type="paragraph" w:styleId="3">
    <w:name w:val="heading 2"/>
    <w:basedOn w:val="1"/>
    <w:next w:val="1"/>
    <w:link w:val="13"/>
    <w:unhideWhenUsed/>
    <w:qFormat/>
    <w:uiPriority w:val="9"/>
    <w:pPr>
      <w:outlineLvl w:val="1"/>
    </w:pPr>
    <w:rPr>
      <w:rFonts w:eastAsia="黑体" w:asciiTheme="majorHAnsi" w:hAnsiTheme="majorHAnsi" w:cstheme="majorBidi"/>
      <w:bCs/>
      <w:spacing w:val="-20"/>
      <w:szCs w:val="32"/>
    </w:rPr>
  </w:style>
  <w:style w:type="paragraph" w:styleId="4">
    <w:name w:val="heading 3"/>
    <w:basedOn w:val="1"/>
    <w:next w:val="1"/>
    <w:link w:val="15"/>
    <w:unhideWhenUsed/>
    <w:qFormat/>
    <w:uiPriority w:val="9"/>
    <w:pPr>
      <w:keepNext/>
      <w:keepLines/>
      <w:outlineLvl w:val="2"/>
    </w:pPr>
    <w:rPr>
      <w:rFonts w:eastAsia="楷体_GB2312"/>
      <w:bCs/>
      <w:szCs w:val="32"/>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unhideWhenUsed/>
    <w:uiPriority w:val="39"/>
    <w:pPr>
      <w:tabs>
        <w:tab w:val="right" w:leader="dot" w:pos="8834"/>
      </w:tabs>
      <w:spacing w:line="400" w:lineRule="exact"/>
      <w:ind w:left="282" w:leftChars="88" w:firstLine="0" w:firstLineChars="0"/>
    </w:pPr>
  </w:style>
  <w:style w:type="paragraph" w:styleId="6">
    <w:name w:val="Date"/>
    <w:basedOn w:val="1"/>
    <w:next w:val="1"/>
    <w:link w:val="16"/>
    <w:semiHidden/>
    <w:unhideWhenUsed/>
    <w:uiPriority w:val="99"/>
    <w:pPr>
      <w:ind w:left="100" w:leftChars="2500"/>
    </w:pPr>
  </w:style>
  <w:style w:type="paragraph" w:styleId="7">
    <w:name w:val="toc 1"/>
    <w:basedOn w:val="1"/>
    <w:next w:val="1"/>
    <w:unhideWhenUsed/>
    <w:uiPriority w:val="39"/>
  </w:style>
  <w:style w:type="paragraph" w:styleId="8">
    <w:name w:val="toc 2"/>
    <w:basedOn w:val="1"/>
    <w:next w:val="1"/>
    <w:unhideWhenUsed/>
    <w:uiPriority w:val="39"/>
    <w:pPr>
      <w:tabs>
        <w:tab w:val="right" w:leader="dot" w:pos="8834"/>
      </w:tabs>
      <w:spacing w:line="400" w:lineRule="exact"/>
      <w:ind w:left="141" w:leftChars="44" w:firstLine="0" w:firstLineChars="0"/>
    </w:pPr>
  </w:style>
  <w:style w:type="paragraph" w:styleId="9">
    <w:name w:val="Normal (Web)"/>
    <w:basedOn w:val="1"/>
    <w:semiHidden/>
    <w:unhideWhenUsed/>
    <w:uiPriority w:val="99"/>
    <w:pPr>
      <w:widowControl/>
      <w:spacing w:before="100" w:beforeAutospacing="1" w:after="100" w:afterAutospacing="1" w:line="240" w:lineRule="auto"/>
      <w:ind w:firstLine="0" w:firstLineChars="0"/>
    </w:pPr>
    <w:rPr>
      <w:rFonts w:ascii="宋体" w:hAnsi="宋体" w:eastAsia="宋体" w:cs="宋体"/>
      <w:kern w:val="0"/>
      <w:sz w:val="24"/>
      <w:szCs w:val="24"/>
    </w:rPr>
  </w:style>
  <w:style w:type="character" w:styleId="12">
    <w:name w:val="Hyperlink"/>
    <w:basedOn w:val="11"/>
    <w:unhideWhenUsed/>
    <w:qFormat/>
    <w:uiPriority w:val="99"/>
    <w:rPr>
      <w:color w:val="0000FF" w:themeColor="hyperlink"/>
      <w:u w:val="single"/>
    </w:rPr>
  </w:style>
  <w:style w:type="character" w:customStyle="1" w:styleId="13">
    <w:name w:val="标题 2 Char"/>
    <w:basedOn w:val="11"/>
    <w:link w:val="3"/>
    <w:uiPriority w:val="9"/>
    <w:rPr>
      <w:rFonts w:eastAsia="黑体" w:asciiTheme="majorHAnsi" w:hAnsiTheme="majorHAnsi" w:cstheme="majorBidi"/>
      <w:bCs/>
      <w:spacing w:val="-20"/>
      <w:sz w:val="32"/>
      <w:szCs w:val="32"/>
    </w:rPr>
  </w:style>
  <w:style w:type="character" w:customStyle="1" w:styleId="14">
    <w:name w:val="标题 1 Char"/>
    <w:basedOn w:val="11"/>
    <w:link w:val="2"/>
    <w:uiPriority w:val="9"/>
    <w:rPr>
      <w:rFonts w:eastAsia="方正小标宋简体"/>
      <w:bCs/>
      <w:spacing w:val="-20"/>
      <w:kern w:val="44"/>
      <w:sz w:val="44"/>
      <w:szCs w:val="44"/>
    </w:rPr>
  </w:style>
  <w:style w:type="character" w:customStyle="1" w:styleId="15">
    <w:name w:val="标题 3 Char"/>
    <w:basedOn w:val="11"/>
    <w:link w:val="4"/>
    <w:uiPriority w:val="9"/>
    <w:rPr>
      <w:rFonts w:eastAsia="楷体_GB2312"/>
      <w:bCs/>
      <w:sz w:val="32"/>
      <w:szCs w:val="32"/>
    </w:rPr>
  </w:style>
  <w:style w:type="character" w:customStyle="1" w:styleId="16">
    <w:name w:val="日期 Char"/>
    <w:basedOn w:val="11"/>
    <w:link w:val="6"/>
    <w:semiHidden/>
    <w:uiPriority w:val="99"/>
    <w:rPr>
      <w:rFonts w:eastAsia="仿宋"/>
      <w:sz w:val="32"/>
    </w:rPr>
  </w:style>
  <w:style w:type="paragraph" w:customStyle="1" w:styleId="17">
    <w:name w:val="样式 行距: 固定值 28.9 磅"/>
    <w:basedOn w:val="1"/>
    <w:qFormat/>
    <w:uiPriority w:val="0"/>
    <w:pPr>
      <w:spacing w:line="578" w:lineRule="exact"/>
    </w:pPr>
    <w:rPr>
      <w:rFonts w:cs="宋体"/>
      <w:szCs w:val="20"/>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F6F526-5A21-49E6-A4D0-8A07FA653E8F}">
  <ds:schemaRefs/>
</ds:datastoreItem>
</file>

<file path=docProps/app.xml><?xml version="1.0" encoding="utf-8"?>
<Properties xmlns="http://schemas.openxmlformats.org/officeDocument/2006/extended-properties" xmlns:vt="http://schemas.openxmlformats.org/officeDocument/2006/docPropsVTypes">
  <Template>Normal</Template>
  <Company>http://sdwm.org</Company>
  <Pages>10</Pages>
  <Words>929</Words>
  <Characters>5300</Characters>
  <Lines>44</Lines>
  <Paragraphs>12</Paragraphs>
  <TotalTime>0</TotalTime>
  <ScaleCrop>false</ScaleCrop>
  <LinksUpToDate>false</LinksUpToDate>
  <CharactersWithSpaces>6217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2023-06-30T02:17:00Z</dcterms:created>
  <dc:creator>广元市交通技工学校（收文）:市交通技校</dc:creator>
  <cp:lastModifiedBy>user</cp:lastModifiedBy>
  <dcterms:modified xsi:type="dcterms:W3CDTF">2023-09-11T08:26:43Z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870BE94A66C9479CAA462D47B3766B1D_12</vt:lpwstr>
  </property>
</Properties>
</file>