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96597"/>
      <w:bookmarkStart w:id="2" w:name="_Toc15377425"/>
      <w:bookmarkStart w:id="3" w:name="_Toc15377193"/>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25170"/>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w w:val="90"/>
          <w:sz w:val="72"/>
          <w:szCs w:val="72"/>
        </w:rPr>
      </w:pPr>
      <w:bookmarkStart w:id="7" w:name="_Toc15396598"/>
      <w:bookmarkStart w:id="8" w:name="_Toc22147"/>
      <w:bookmarkStart w:id="9" w:name="_Toc15377426"/>
      <w:bookmarkStart w:id="10" w:name="_Toc15378442"/>
      <w:bookmarkStart w:id="11" w:name="_Toc15377194"/>
      <w:bookmarkStart w:id="12" w:name="_Toc15396476"/>
      <w:r>
        <w:rPr>
          <w:rFonts w:hint="eastAsia" w:ascii="方正小标宋简体" w:hAnsi="方正小标宋简体" w:eastAsia="方正小标宋简体" w:cs="方正小标宋简体"/>
          <w:w w:val="90"/>
          <w:sz w:val="72"/>
          <w:szCs w:val="72"/>
        </w:rPr>
        <w:t>广元市</w:t>
      </w:r>
      <w:bookmarkEnd w:id="5"/>
      <w:bookmarkStart w:id="13" w:name="_Toc15306268"/>
      <w:r>
        <w:rPr>
          <w:rFonts w:hint="eastAsia" w:ascii="方正小标宋简体" w:hAnsi="方正小标宋简体" w:eastAsia="方正小标宋简体" w:cs="方正小标宋简体"/>
          <w:w w:val="90"/>
          <w:sz w:val="72"/>
          <w:szCs w:val="72"/>
        </w:rPr>
        <w:t>农业农村局部门决算</w:t>
      </w:r>
      <w:bookmarkEnd w:id="7"/>
      <w:bookmarkEnd w:id="8"/>
      <w:bookmarkEnd w:id="9"/>
      <w:bookmarkEnd w:id="10"/>
      <w:bookmarkEnd w:id="11"/>
      <w:bookmarkEnd w:id="12"/>
      <w:bookmarkEnd w:id="13"/>
    </w:p>
    <w:p>
      <w:r>
        <w:rPr>
          <w:rFonts w:hint="eastAsia" w:ascii="方正小标宋简体" w:hAnsi="方正小标宋简体" w:eastAsia="方正小标宋简体" w:cs="方正小标宋简体"/>
          <w:w w:val="90"/>
          <w:sz w:val="72"/>
          <w:szCs w:val="72"/>
        </w:rPr>
        <w:br w:type="page"/>
      </w:r>
    </w:p>
    <w:p>
      <w:pPr>
        <w:widowControl/>
        <w:jc w:val="center"/>
        <w:rPr>
          <w:rFonts w:ascii="黑体" w:hAnsi="黑体" w:eastAsia="黑体"/>
          <w:sz w:val="48"/>
          <w:szCs w:val="48"/>
        </w:rPr>
      </w:pPr>
      <w:r>
        <w:rPr>
          <w:rFonts w:hint="eastAsia" w:ascii="黑体" w:hAnsi="黑体" w:eastAsia="黑体"/>
          <w:sz w:val="48"/>
          <w:szCs w:val="48"/>
        </w:rPr>
        <w:t>目  录</w:t>
      </w:r>
    </w:p>
    <w:p>
      <w:pPr>
        <w:widowControl/>
        <w:jc w:val="center"/>
        <w:rPr>
          <w:rFonts w:ascii="黑体" w:hAnsi="黑体" w:eastAsia="黑体" w:cstheme="minorBidi"/>
          <w:sz w:val="28"/>
          <w:szCs w:val="28"/>
        </w:rPr>
      </w:pPr>
    </w:p>
    <w:p>
      <w:pPr>
        <w:pStyle w:val="11"/>
        <w:spacing w:before="0"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公开时间：2022年9月22日</w:t>
      </w:r>
    </w:p>
    <w:p>
      <w:pPr>
        <w:pStyle w:val="11"/>
        <w:spacing w:before="0"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TOC \o "1-2" \h \u </w:instrText>
      </w:r>
      <w:r>
        <w:rPr>
          <w:rFonts w:hint="eastAsia" w:ascii="仿宋_GB2312" w:hAnsi="仿宋_GB2312" w:eastAsia="仿宋_GB2312" w:cs="仿宋_GB2312"/>
          <w:sz w:val="30"/>
          <w:szCs w:val="30"/>
        </w:rPr>
        <w:fldChar w:fldCharType="separate"/>
      </w:r>
    </w:p>
    <w:p>
      <w:pPr>
        <w:pStyle w:val="11"/>
        <w:tabs>
          <w:tab w:val="right" w:leader="dot" w:pos="8845"/>
          <w:tab w:val="clear" w:pos="8296"/>
        </w:tabs>
        <w:spacing w:before="0" w:line="500" w:lineRule="exact"/>
        <w:rPr>
          <w:rFonts w:ascii="仿宋_GB2312" w:hAnsi="仿宋_GB2312" w:eastAsia="仿宋_GB2312" w:cs="仿宋_GB2312"/>
          <w:sz w:val="30"/>
          <w:szCs w:val="30"/>
        </w:rPr>
      </w:pPr>
      <w:r>
        <w:fldChar w:fldCharType="begin"/>
      </w:r>
      <w:r>
        <w:instrText xml:space="preserve"> HYPERLINK \l "_Toc2065" </w:instrText>
      </w:r>
      <w:r>
        <w:fldChar w:fldCharType="separate"/>
      </w:r>
      <w:r>
        <w:rPr>
          <w:rFonts w:hint="eastAsia" w:ascii="仿宋_GB2312" w:hAnsi="仿宋_GB2312" w:eastAsia="仿宋_GB2312" w:cs="仿宋_GB2312"/>
          <w:sz w:val="30"/>
          <w:szCs w:val="30"/>
        </w:rPr>
        <w:t>第一部分 部门概况</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_Toc2065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"_Toc7991" </w:instrText>
      </w:r>
      <w:r>
        <w:fldChar w:fldCharType="separate"/>
      </w:r>
      <w:r>
        <w:rPr>
          <w:rFonts w:hint="eastAsia" w:ascii="仿宋_GB2312" w:hAnsi="仿宋_GB2312" w:eastAsia="仿宋_GB2312" w:cs="仿宋_GB2312"/>
          <w:sz w:val="30"/>
          <w:szCs w:val="30"/>
        </w:rPr>
        <w:t>一、基本职能及主要工作</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_Toc7991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"_Toc5059" </w:instrText>
      </w:r>
      <w:r>
        <w:fldChar w:fldCharType="separate"/>
      </w:r>
      <w:r>
        <w:rPr>
          <w:rFonts w:hint="eastAsia" w:ascii="仿宋_GB2312" w:hAnsi="仿宋_GB2312" w:eastAsia="仿宋_GB2312" w:cs="仿宋_GB2312"/>
          <w:sz w:val="30"/>
          <w:szCs w:val="30"/>
        </w:rPr>
        <w:t>二、机构设置</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_Toc5059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1"/>
        <w:tabs>
          <w:tab w:val="right" w:leader="dot" w:pos="8845"/>
          <w:tab w:val="clear" w:pos="8296"/>
        </w:tabs>
        <w:spacing w:before="0" w:line="500" w:lineRule="exact"/>
        <w:rPr>
          <w:rFonts w:ascii="仿宋_GB2312" w:hAnsi="仿宋_GB2312" w:eastAsia="仿宋_GB2312" w:cs="仿宋_GB2312"/>
          <w:sz w:val="30"/>
          <w:szCs w:val="30"/>
        </w:rPr>
      </w:pPr>
      <w:r>
        <w:fldChar w:fldCharType="begin"/>
      </w:r>
      <w:r>
        <w:instrText xml:space="preserve"> HYPERLINK \l "_Toc4054" </w:instrText>
      </w:r>
      <w:r>
        <w:fldChar w:fldCharType="separate"/>
      </w:r>
      <w:r>
        <w:rPr>
          <w:rFonts w:hint="eastAsia" w:ascii="仿宋_GB2312" w:hAnsi="仿宋_GB2312" w:eastAsia="仿宋_GB2312" w:cs="仿宋_GB2312"/>
          <w:sz w:val="30"/>
          <w:szCs w:val="30"/>
        </w:rPr>
        <w:t>第二部分 2021年度</w:t>
      </w:r>
      <w:r>
        <w:rPr>
          <w:rFonts w:hint="eastAsia" w:ascii="仿宋_GB2312" w:hAnsi="仿宋_GB2312" w:eastAsia="仿宋_GB2312" w:cs="仿宋_GB2312"/>
          <w:bCs/>
          <w:sz w:val="30"/>
          <w:szCs w:val="30"/>
        </w:rPr>
        <w:t>部门决算情况说明</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_Toc4054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"_Toc14189" </w:instrText>
      </w:r>
      <w:r>
        <w:fldChar w:fldCharType="separate"/>
      </w:r>
      <w:r>
        <w:rPr>
          <w:rFonts w:hint="eastAsia" w:ascii="仿宋_GB2312" w:hAnsi="仿宋_GB2312" w:eastAsia="仿宋_GB2312" w:cs="仿宋_GB2312"/>
          <w:sz w:val="30"/>
          <w:szCs w:val="30"/>
        </w:rPr>
        <w:t>一、 收入支出决算总体情况说明</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_Toc14189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"_Toc12904" </w:instrText>
      </w:r>
      <w:r>
        <w:fldChar w:fldCharType="separate"/>
      </w:r>
      <w:r>
        <w:rPr>
          <w:rFonts w:hint="eastAsia" w:ascii="仿宋_GB2312" w:hAnsi="仿宋_GB2312" w:eastAsia="仿宋_GB2312" w:cs="仿宋_GB2312"/>
          <w:sz w:val="30"/>
          <w:szCs w:val="30"/>
        </w:rPr>
        <w:t>二、 收入决算情况说明</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_Toc12904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"_Toc31519" </w:instrText>
      </w:r>
      <w:r>
        <w:fldChar w:fldCharType="separate"/>
      </w:r>
      <w:r>
        <w:rPr>
          <w:rFonts w:hint="eastAsia" w:ascii="仿宋_GB2312" w:hAnsi="仿宋_GB2312" w:eastAsia="仿宋_GB2312" w:cs="仿宋_GB2312"/>
          <w:sz w:val="30"/>
          <w:szCs w:val="30"/>
        </w:rPr>
        <w:t>三、 支出决算情况说明</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_Toc31519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"_Toc2083" </w:instrText>
      </w:r>
      <w:r>
        <w:fldChar w:fldCharType="separate"/>
      </w:r>
      <w:r>
        <w:rPr>
          <w:rFonts w:hint="eastAsia" w:ascii="仿宋_GB2312" w:hAnsi="仿宋_GB2312" w:eastAsia="仿宋_GB2312" w:cs="仿宋_GB2312"/>
          <w:sz w:val="30"/>
          <w:szCs w:val="30"/>
        </w:rPr>
        <w:t>四、财政拨款收入支出决算总体情况说明</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_Toc2083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"_Toc2718" </w:instrText>
      </w:r>
      <w:r>
        <w:fldChar w:fldCharType="separate"/>
      </w:r>
      <w:r>
        <w:rPr>
          <w:rFonts w:hint="eastAsia" w:ascii="仿宋_GB2312" w:hAnsi="仿宋_GB2312" w:eastAsia="仿宋_GB2312" w:cs="仿宋_GB2312"/>
          <w:sz w:val="30"/>
          <w:szCs w:val="30"/>
        </w:rPr>
        <w:t>五、一般公共预算财政拨款支出决算情况说明</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_Toc2718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"_Toc21740" </w:instrText>
      </w:r>
      <w:r>
        <w:fldChar w:fldCharType="separate"/>
      </w:r>
      <w:r>
        <w:rPr>
          <w:rFonts w:hint="eastAsia" w:ascii="仿宋_GB2312" w:hAnsi="仿宋_GB2312" w:eastAsia="仿宋_GB2312" w:cs="仿宋_GB2312"/>
          <w:sz w:val="30"/>
          <w:szCs w:val="30"/>
        </w:rPr>
        <w:t>六、一般公共预算财政拨款基本支出决算情况说明</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_Toc21740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"_Toc12213" </w:instrText>
      </w:r>
      <w:r>
        <w:fldChar w:fldCharType="separate"/>
      </w:r>
      <w:r>
        <w:rPr>
          <w:rFonts w:hint="eastAsia" w:ascii="仿宋_GB2312" w:hAnsi="仿宋_GB2312" w:eastAsia="仿宋_GB2312" w:cs="仿宋_GB2312"/>
          <w:sz w:val="30"/>
          <w:szCs w:val="30"/>
        </w:rPr>
        <w:t>七、“三公”经费财政拨款支出决算情况说明</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_Toc12213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"_Toc9584" </w:instrText>
      </w:r>
      <w:r>
        <w:fldChar w:fldCharType="separate"/>
      </w:r>
      <w:r>
        <w:rPr>
          <w:rFonts w:hint="eastAsia" w:ascii="仿宋_GB2312" w:hAnsi="仿宋_GB2312" w:eastAsia="仿宋_GB2312" w:cs="仿宋_GB2312"/>
          <w:sz w:val="30"/>
          <w:szCs w:val="30"/>
        </w:rPr>
        <w:t>八、政府性基金预算支出决算情况说明</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_Toc9584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"_Toc22636" </w:instrText>
      </w:r>
      <w:r>
        <w:fldChar w:fldCharType="separate"/>
      </w:r>
      <w:r>
        <w:rPr>
          <w:rFonts w:hint="eastAsia" w:ascii="仿宋_GB2312" w:hAnsi="仿宋_GB2312" w:eastAsia="仿宋_GB2312" w:cs="仿宋_GB2312"/>
          <w:sz w:val="30"/>
          <w:szCs w:val="30"/>
        </w:rPr>
        <w:t>九、 国有资本经营预算支出决算情况说明</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_Toc22636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"_Toc20389" </w:instrText>
      </w:r>
      <w:r>
        <w:fldChar w:fldCharType="separate"/>
      </w:r>
      <w:r>
        <w:rPr>
          <w:rFonts w:hint="eastAsia" w:ascii="仿宋_GB2312" w:hAnsi="仿宋_GB2312" w:eastAsia="仿宋_GB2312" w:cs="仿宋_GB2312"/>
          <w:sz w:val="30"/>
          <w:szCs w:val="30"/>
        </w:rPr>
        <w:t>十、 预算绩效管理情况</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_Toc20389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"_Toc32295" </w:instrText>
      </w:r>
      <w:r>
        <w:fldChar w:fldCharType="separate"/>
      </w:r>
      <w:r>
        <w:rPr>
          <w:rFonts w:hint="eastAsia" w:ascii="仿宋_GB2312" w:hAnsi="仿宋_GB2312" w:eastAsia="仿宋_GB2312" w:cs="仿宋_GB2312"/>
          <w:sz w:val="30"/>
          <w:szCs w:val="30"/>
        </w:rPr>
        <w:t>十一、 其他重要事项的情况说明</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_Toc32295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1"/>
        <w:tabs>
          <w:tab w:val="right" w:leader="dot" w:pos="8845"/>
          <w:tab w:val="clear" w:pos="8296"/>
        </w:tabs>
        <w:spacing w:before="0" w:line="500" w:lineRule="exact"/>
        <w:rPr>
          <w:rFonts w:ascii="仿宋_GB2312" w:hAnsi="仿宋_GB2312" w:eastAsia="仿宋_GB2312" w:cs="仿宋_GB2312"/>
          <w:sz w:val="30"/>
          <w:szCs w:val="30"/>
        </w:rPr>
      </w:pPr>
      <w:r>
        <w:fldChar w:fldCharType="begin"/>
      </w:r>
      <w:r>
        <w:instrText xml:space="preserve"> HYPERLINK \l "_Toc17747" </w:instrText>
      </w:r>
      <w:r>
        <w:fldChar w:fldCharType="separate"/>
      </w:r>
      <w:r>
        <w:rPr>
          <w:rFonts w:hint="eastAsia" w:ascii="仿宋_GB2312" w:hAnsi="仿宋_GB2312" w:eastAsia="仿宋_GB2312" w:cs="仿宋_GB2312"/>
          <w:sz w:val="30"/>
          <w:szCs w:val="30"/>
        </w:rPr>
        <w:t>第三部分 名词解释</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_Toc17747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20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1"/>
        <w:tabs>
          <w:tab w:val="right" w:leader="dot" w:pos="8845"/>
          <w:tab w:val="clear" w:pos="8296"/>
        </w:tabs>
        <w:spacing w:before="0" w:line="500" w:lineRule="exact"/>
        <w:rPr>
          <w:rFonts w:ascii="仿宋_GB2312" w:hAnsi="仿宋_GB2312" w:eastAsia="仿宋_GB2312" w:cs="仿宋_GB2312"/>
          <w:sz w:val="30"/>
          <w:szCs w:val="30"/>
        </w:rPr>
      </w:pPr>
      <w:r>
        <w:fldChar w:fldCharType="begin"/>
      </w:r>
      <w:r>
        <w:instrText xml:space="preserve"> HYPERLINK \l "_Toc7430" </w:instrText>
      </w:r>
      <w:r>
        <w:fldChar w:fldCharType="separate"/>
      </w:r>
      <w:r>
        <w:rPr>
          <w:rFonts w:hint="eastAsia" w:ascii="仿宋_GB2312" w:hAnsi="仿宋_GB2312" w:eastAsia="仿宋_GB2312" w:cs="仿宋_GB2312"/>
          <w:sz w:val="30"/>
          <w:szCs w:val="30"/>
        </w:rPr>
        <w:t>第四部分 附件</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_Toc7430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24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1"/>
        <w:tabs>
          <w:tab w:val="right" w:leader="dot" w:pos="8845"/>
          <w:tab w:val="clear" w:pos="8296"/>
        </w:tabs>
        <w:spacing w:before="0" w:line="500" w:lineRule="exact"/>
        <w:rPr>
          <w:rFonts w:ascii="仿宋_GB2312" w:hAnsi="仿宋_GB2312" w:eastAsia="仿宋_GB2312" w:cs="仿宋_GB2312"/>
          <w:sz w:val="30"/>
          <w:szCs w:val="30"/>
        </w:rPr>
      </w:pPr>
      <w:r>
        <w:fldChar w:fldCharType="begin"/>
      </w:r>
      <w:r>
        <w:instrText xml:space="preserve"> HYPERLINK \l "_Toc821" </w:instrText>
      </w:r>
      <w:r>
        <w:fldChar w:fldCharType="separate"/>
      </w:r>
      <w:r>
        <w:rPr>
          <w:rFonts w:hint="eastAsia" w:ascii="仿宋_GB2312" w:hAnsi="仿宋_GB2312" w:eastAsia="仿宋_GB2312" w:cs="仿宋_GB2312"/>
          <w:sz w:val="30"/>
          <w:szCs w:val="30"/>
        </w:rPr>
        <w:t>第五部分 附表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_Toc821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"_Toc27141" </w:instrText>
      </w:r>
      <w:r>
        <w:fldChar w:fldCharType="separate"/>
      </w:r>
      <w:r>
        <w:rPr>
          <w:rFonts w:hint="eastAsia" w:ascii="仿宋_GB2312" w:hAnsi="仿宋_GB2312" w:eastAsia="仿宋_GB2312" w:cs="仿宋_GB2312"/>
          <w:sz w:val="30"/>
          <w:szCs w:val="30"/>
        </w:rPr>
        <w:t>一、收入支出决算总表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_Toc27141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"_Toc1518" </w:instrText>
      </w:r>
      <w:r>
        <w:fldChar w:fldCharType="separate"/>
      </w:r>
      <w:r>
        <w:rPr>
          <w:rFonts w:hint="eastAsia" w:ascii="仿宋_GB2312" w:hAnsi="仿宋_GB2312" w:eastAsia="仿宋_GB2312" w:cs="仿宋_GB2312"/>
          <w:sz w:val="30"/>
          <w:szCs w:val="30"/>
        </w:rPr>
        <w:t>二、收入决算表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_Toc1518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"_Toc11218" </w:instrText>
      </w:r>
      <w:r>
        <w:fldChar w:fldCharType="separate"/>
      </w:r>
      <w:r>
        <w:rPr>
          <w:rFonts w:hint="eastAsia" w:ascii="仿宋_GB2312" w:hAnsi="仿宋_GB2312" w:eastAsia="仿宋_GB2312" w:cs="仿宋_GB2312"/>
          <w:sz w:val="30"/>
          <w:szCs w:val="30"/>
        </w:rPr>
        <w:t>三、支出决算表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_Toc11218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"_Toc19768" </w:instrText>
      </w:r>
      <w:r>
        <w:fldChar w:fldCharType="separate"/>
      </w:r>
      <w:r>
        <w:rPr>
          <w:rFonts w:hint="eastAsia" w:ascii="仿宋_GB2312" w:hAnsi="仿宋_GB2312" w:eastAsia="仿宋_GB2312" w:cs="仿宋_GB2312"/>
          <w:sz w:val="30"/>
          <w:szCs w:val="30"/>
        </w:rPr>
        <w:t>四、财政拨款收入支出决算总表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_Toc19768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"_Toc28672" </w:instrText>
      </w:r>
      <w:r>
        <w:fldChar w:fldCharType="separate"/>
      </w:r>
      <w:r>
        <w:rPr>
          <w:rFonts w:hint="eastAsia" w:ascii="仿宋_GB2312" w:hAnsi="仿宋_GB2312" w:eastAsia="仿宋_GB2312" w:cs="仿宋_GB2312"/>
          <w:sz w:val="30"/>
          <w:szCs w:val="30"/>
        </w:rPr>
        <w:t>五、财政拨款支出决算明细表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_Toc28672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"_Toc29230" </w:instrText>
      </w:r>
      <w:r>
        <w:fldChar w:fldCharType="separate"/>
      </w:r>
      <w:r>
        <w:rPr>
          <w:rFonts w:hint="eastAsia" w:ascii="仿宋_GB2312" w:hAnsi="仿宋_GB2312" w:eastAsia="仿宋_GB2312" w:cs="仿宋_GB2312"/>
          <w:sz w:val="30"/>
          <w:szCs w:val="30"/>
        </w:rPr>
        <w:t>六、一般公共预算财政拨款支出决算表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_Toc29230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"_Toc28102" </w:instrText>
      </w:r>
      <w:r>
        <w:fldChar w:fldCharType="separate"/>
      </w:r>
      <w:r>
        <w:rPr>
          <w:rFonts w:hint="eastAsia" w:ascii="仿宋_GB2312" w:hAnsi="仿宋_GB2312" w:eastAsia="仿宋_GB2312" w:cs="仿宋_GB2312"/>
          <w:sz w:val="30"/>
          <w:szCs w:val="30"/>
        </w:rPr>
        <w:t>七、一般公共预算财政拨款支出决算明细表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_Toc28102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"_Toc28550" </w:instrText>
      </w:r>
      <w:r>
        <w:fldChar w:fldCharType="separate"/>
      </w:r>
      <w:r>
        <w:rPr>
          <w:rFonts w:hint="eastAsia" w:ascii="仿宋_GB2312" w:hAnsi="仿宋_GB2312" w:eastAsia="仿宋_GB2312" w:cs="仿宋_GB2312"/>
          <w:sz w:val="30"/>
          <w:szCs w:val="30"/>
        </w:rPr>
        <w:t>八、一般公共预算财政拨款基本支出决算表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_Toc28550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"_Toc23512" </w:instrText>
      </w:r>
      <w:r>
        <w:fldChar w:fldCharType="separate"/>
      </w:r>
      <w:r>
        <w:rPr>
          <w:rFonts w:hint="eastAsia" w:ascii="仿宋_GB2312" w:hAnsi="仿宋_GB2312" w:eastAsia="仿宋_GB2312" w:cs="仿宋_GB2312"/>
          <w:sz w:val="30"/>
          <w:szCs w:val="30"/>
        </w:rPr>
        <w:t>九、一般公共预算财政拨款项目支出决算表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_Toc23512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"_Toc5278" </w:instrText>
      </w:r>
      <w:r>
        <w:fldChar w:fldCharType="separate"/>
      </w:r>
      <w:r>
        <w:rPr>
          <w:rFonts w:hint="eastAsia" w:ascii="仿宋_GB2312" w:hAnsi="仿宋_GB2312" w:eastAsia="仿宋_GB2312" w:cs="仿宋_GB2312"/>
          <w:sz w:val="30"/>
          <w:szCs w:val="30"/>
        </w:rPr>
        <w:t>十、一般公共预算财政拨款“三公”经费支出决算表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_Toc5278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"_Toc14796" </w:instrText>
      </w:r>
      <w:r>
        <w:fldChar w:fldCharType="separate"/>
      </w:r>
      <w:r>
        <w:rPr>
          <w:rFonts w:hint="eastAsia" w:ascii="仿宋_GB2312" w:hAnsi="仿宋_GB2312" w:eastAsia="仿宋_GB2312" w:cs="仿宋_GB2312"/>
          <w:sz w:val="30"/>
          <w:szCs w:val="30"/>
        </w:rPr>
        <w:t>十一、政府性基金预算财政拨款收入支出决算表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_Toc14796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"_Toc16815" </w:instrText>
      </w:r>
      <w:r>
        <w:fldChar w:fldCharType="separate"/>
      </w:r>
      <w:r>
        <w:rPr>
          <w:rFonts w:hint="eastAsia" w:ascii="仿宋_GB2312" w:hAnsi="仿宋_GB2312" w:eastAsia="仿宋_GB2312" w:cs="仿宋_GB2312"/>
          <w:sz w:val="30"/>
          <w:szCs w:val="30"/>
        </w:rPr>
        <w:t>十二、政府性基金预算财政拨款“三公”经费支出决算表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_Toc16815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"_Toc20975" </w:instrText>
      </w:r>
      <w:r>
        <w:fldChar w:fldCharType="separate"/>
      </w:r>
      <w:r>
        <w:rPr>
          <w:rFonts w:hint="eastAsia" w:ascii="仿宋_GB2312" w:hAnsi="仿宋_GB2312" w:eastAsia="仿宋_GB2312" w:cs="仿宋_GB2312"/>
          <w:sz w:val="30"/>
          <w:szCs w:val="30"/>
        </w:rPr>
        <w:t>十三、国有资本经营预算财政拨款收入支出决算表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_Toc20975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2"/>
        <w:tabs>
          <w:tab w:val="right" w:leader="dot" w:pos="8845"/>
          <w:tab w:val="clear" w:pos="8296"/>
        </w:tabs>
        <w:spacing w:line="500" w:lineRule="exact"/>
        <w:rPr>
          <w:rFonts w:ascii="仿宋_GB2312" w:hAnsi="仿宋_GB2312" w:eastAsia="仿宋_GB2312" w:cs="仿宋_GB2312"/>
          <w:sz w:val="30"/>
          <w:szCs w:val="30"/>
        </w:rPr>
      </w:pPr>
      <w:r>
        <w:fldChar w:fldCharType="begin"/>
      </w:r>
      <w:r>
        <w:instrText xml:space="preserve"> HYPERLINK \l "_Toc16107" </w:instrText>
      </w:r>
      <w:r>
        <w:fldChar w:fldCharType="separate"/>
      </w:r>
      <w:r>
        <w:rPr>
          <w:rFonts w:hint="eastAsia" w:ascii="仿宋_GB2312" w:hAnsi="仿宋_GB2312" w:eastAsia="仿宋_GB2312" w:cs="仿宋_GB2312"/>
          <w:sz w:val="30"/>
          <w:szCs w:val="30"/>
        </w:rPr>
        <w:t>十四、国有资本经营预算财政拨款支出决算表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_Toc16107 \h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68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spacing w:line="500" w:lineRule="exact"/>
      </w:pPr>
      <w:r>
        <w:rPr>
          <w:rFonts w:hint="eastAsia" w:ascii="仿宋_GB2312" w:hAnsi="仿宋_GB2312" w:eastAsia="仿宋_GB2312" w:cs="仿宋_GB2312"/>
          <w:sz w:val="30"/>
          <w:szCs w:val="30"/>
        </w:rPr>
        <w:fldChar w:fldCharType="end"/>
      </w:r>
    </w:p>
    <w:p>
      <w:pPr>
        <w:pStyle w:val="12"/>
        <w:adjustRightInd w:val="0"/>
        <w:snapToGrid w:val="0"/>
        <w:spacing w:line="440" w:lineRule="exact"/>
        <w:jc w:val="left"/>
        <w:rPr>
          <w:rFonts w:asciiTheme="minorEastAsia" w:hAnsiTheme="minorEastAsia" w:eastAsiaTheme="minorEastAsia" w:cstheme="minorEastAsia"/>
          <w:sz w:val="24"/>
        </w:rPr>
      </w:pPr>
    </w:p>
    <w:p>
      <w:pPr>
        <w:pStyle w:val="3"/>
        <w:jc w:val="center"/>
        <w:rPr>
          <w:rFonts w:ascii="黑体" w:hAnsi="黑体" w:eastAsia="黑体"/>
          <w:b w:val="0"/>
        </w:rPr>
        <w:sectPr>
          <w:footerReference r:id="rId5" w:type="first"/>
          <w:headerReference r:id="rId3" w:type="default"/>
          <w:footerReference r:id="rId4" w:type="default"/>
          <w:pgSz w:w="11906" w:h="16838"/>
          <w:pgMar w:top="1701" w:right="1474" w:bottom="1701" w:left="1587" w:header="851" w:footer="1531" w:gutter="0"/>
          <w:pgNumType w:start="1"/>
          <w:cols w:space="0" w:num="1"/>
          <w:docGrid w:type="linesAndChars" w:linePitch="312" w:charSpace="0"/>
        </w:sectPr>
      </w:pPr>
      <w:bookmarkStart w:id="14" w:name="_Toc15377196"/>
      <w:bookmarkStart w:id="15" w:name="_Toc15396599"/>
    </w:p>
    <w:p>
      <w:pPr>
        <w:pStyle w:val="3"/>
        <w:jc w:val="center"/>
        <w:rPr>
          <w:rStyle w:val="19"/>
          <w:rFonts w:ascii="黑体" w:hAnsi="黑体" w:eastAsia="黑体"/>
          <w:b/>
          <w:bCs w:val="0"/>
        </w:rPr>
      </w:pPr>
      <w:bookmarkStart w:id="16" w:name="_Toc2065"/>
      <w:r>
        <w:rPr>
          <w:rFonts w:hint="eastAsia" w:ascii="黑体" w:hAnsi="黑体" w:eastAsia="黑体"/>
          <w:b w:val="0"/>
        </w:rPr>
        <w:t xml:space="preserve">第一部分 </w:t>
      </w:r>
      <w:r>
        <w:rPr>
          <w:rStyle w:val="19"/>
          <w:rFonts w:hint="eastAsia" w:ascii="黑体" w:hAnsi="黑体" w:eastAsia="黑体"/>
          <w:b w:val="0"/>
          <w:bCs w:val="0"/>
        </w:rPr>
        <w:t>部门概况</w:t>
      </w:r>
      <w:bookmarkEnd w:id="14"/>
      <w:bookmarkEnd w:id="15"/>
      <w:bookmarkEnd w:id="16"/>
    </w:p>
    <w:p>
      <w:pPr>
        <w:pStyle w:val="4"/>
        <w:rPr>
          <w:rStyle w:val="20"/>
          <w:rFonts w:ascii="仿宋" w:hAnsi="仿宋" w:eastAsia="仿宋"/>
          <w:b w:val="0"/>
          <w:bCs w:val="0"/>
        </w:rPr>
      </w:pPr>
      <w:bookmarkStart w:id="17" w:name="_Toc15396600"/>
      <w:bookmarkStart w:id="18" w:name="_Toc15377197"/>
      <w:bookmarkStart w:id="19" w:name="_Toc7991"/>
      <w:r>
        <w:rPr>
          <w:rFonts w:hint="eastAsia" w:ascii="黑体" w:hAnsi="黑体" w:eastAsia="黑体"/>
          <w:b w:val="0"/>
        </w:rPr>
        <w:t>一、基</w:t>
      </w:r>
      <w:r>
        <w:rPr>
          <w:rStyle w:val="20"/>
          <w:rFonts w:hint="eastAsia" w:ascii="黑体" w:hAnsi="黑体" w:eastAsia="黑体"/>
          <w:b w:val="0"/>
          <w:bCs w:val="0"/>
        </w:rPr>
        <w:t>本职能及主要工作</w:t>
      </w:r>
      <w:bookmarkEnd w:id="17"/>
      <w:bookmarkEnd w:id="18"/>
      <w:bookmarkEnd w:id="19"/>
    </w:p>
    <w:p>
      <w:pPr>
        <w:pStyle w:val="2"/>
        <w:adjustRightInd w:val="0"/>
        <w:snapToGrid w:val="0"/>
        <w:spacing w:before="93" w:line="580" w:lineRule="exact"/>
        <w:ind w:left="440" w:leftChars="210"/>
        <w:outlineLvl w:val="2"/>
        <w:rPr>
          <w:rFonts w:ascii="仿宋" w:hAnsi="仿宋" w:eastAsia="仿宋"/>
          <w:bCs/>
          <w:color w:val="FF0000"/>
          <w:sz w:val="32"/>
          <w:szCs w:val="32"/>
        </w:rPr>
      </w:pPr>
      <w:bookmarkStart w:id="20" w:name="_Toc15377198"/>
      <w:bookmarkStart w:id="21" w:name="_Toc15378445"/>
      <w:r>
        <w:rPr>
          <w:rFonts w:hint="eastAsia" w:ascii="仿宋" w:hAnsi="仿宋" w:eastAsia="仿宋"/>
          <w:bCs/>
          <w:sz w:val="32"/>
          <w:szCs w:val="32"/>
        </w:rPr>
        <w:t>（一）主要职能。</w:t>
      </w:r>
      <w:bookmarkEnd w:id="20"/>
      <w:bookmarkEnd w:id="21"/>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1.统筹研究和组织实施全市“三农”工作的发展战略、中长期规划、重大政策。组织起草“三农”有关地方性法规、规章草案。贯彻执行国家有关种植业、畜牧业、渔业、农业机械化等农业农村领域工作的法律、法规、政策以及省委省政府、市委市政府关于“三农”方面的决策部署。参与涉农的财税、价格、收储、金融保险、进出口等政策制定。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2.统筹实施乡村振兴战略，牵头组织改善全市农村人居环境。统筹推动发展农村社会事业、农村公共服务、农村文化、农村基础设施和乡村治理。指导农业遗产的保护传承和开发利用。指导农村精神文明和优秀农耕文化建设。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3.拟订深化全市农村经济体制改革和巩固完善农村基本经营制度的政策措施。负责农民承包地、农村宅基地管理和改革有关工作。负责农村集体产权制度改革，指导农村集体经济组织发展、集体资产和财务管理工作。拟订农业产业化经营的发展规划与政策并组织实施，指导农民合作经济组织、农业社会化服务体系、新型农业经营主体建设与发展。指导、监督减轻农民负担工作。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4.指导全市乡村特色产业、农产品加工业（产地初加工）、休闲农业和乡村企业发展工作。指导特色农产品优势区建设和管理工作。组织拟订并实施现代农业园区的政策与规划，负责现代农业园区评定工作。培育、保护和发展农产品品牌，组织协调“菜篮子”工程有关工作。负责农业信息体系建设，推动数字农业发展。发布农业农村经济信息，监测分析农业农村经济运行。承担农业统计工作。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5.负责全市种植业、畜牧业、渔业等农业产业和农业机械化的监督管理。指导粮食等农产品生产。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责渔政渔港、网具监督管理。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6.负责制定全市农业机械化、智能化、数字化发展规划并组织实施。组织开展农业机械技术攻关和技术开发，引进、示范和推广农业机械新技术、新机具。指导全市农业机械基础设施的规划建设和管理工作。指导设施农业、农机库棚、机电提灌、机耕道等基础设施建设。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7.负责全市农产品质量安全监督管理。组织开展农产品质量安全监测、追溯。参与拟订初级农产品质量安全地方标准并会同有关部门组织实施。指导农业检验检测体系建设。依法组织实施符合安全标准的农产品生产基地认定、产品认证、农产品地理标志登记保护和监督管理。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8.组织开展全市农业资源区划和资源保护工作。指导农用地、渔业水域以及农业生物物种资源的保护与管理。负责水生野生动植物保护、耕地及永久基本农田质量保护工作。负责农村能源建设和农业资源环境工作。指导农产品产地环境管理和农业清洁生产，提出划定农产品禁止生产区域的政策建议。指导设施农业、生态循环农业、节水农业发展以及农村可再生能源综合开发利用、农业生物质能产业发展。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9.负责全市有关农业生产资料和农业投入品的监督管理。组织农业生产资料市场体系建设，承担农作物种子（种苗）、食用菌种、蚕种、饲草良种、种畜禽、水产苗种、农药、兽药（渔药）、饲料、饲料添加剂等农业生产资料的监督管理职责。牵头负责“瘦肉精”监督管理。监督管理兽医医疗器械、肥料登记。拟订有关农业生产资料地方标准并监督实施，会同有关部门监督实施农业生产资料国家标准。组织兽医医政、兽药（渔药）药政药检工作，负责执业兽医和畜禽屠宰行业管理。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10.负责全市农业防灾减灾、农作物重大病虫害防治工作。牵头起草动植物防疫和检疫的地方性法规、规章草案，会同有关部门制定动植物防疫检疫政策并指导实施。指导动植物防疫检疫体系建设，组织监督管理市内动植物防疫检疫工作，依法组织扑灭疫情。组织植物检疫性有害生物普查。牵头管理外来农业物种。监测、核查、发布农业灾情，组织种子、种苗、化肥、兽药（渔药）等农业生产救灾物资的储备和调拨，提出生产救灾资金安排建议，指导紧急救灾和灾后生产恢复。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11.负责全市农业投资管理。提出农业投融资体制机制改革建议。参与农村金融、农业保险的政策拟订和改革试点。编制中央、省、市投资安排的农业投资项目建设规划，提出农业投资规模和方向、扶持农业农村发展财政项目的建议。按国务院、省政府、农业农村部、市政府和农业农村厅规定权限审批农业投资项目。负责农业投资项目资金安排和监督管理。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12.负责全市农田建设管理。拟订农田建设发展规划，提出农田建设项目需求建议。负责全市农田建设管理、高标准农田建设和耕地质量管理。编制农业综合开发项目、农田建设项目、农田整治项目、农田水利建设项目，并组织实施和管理。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13.制定全市农业科研、农技推广的规划、计划和有关政策并组织实施。牵头推动农业科技体制改革和农业科技创新体系建设。指导农业产业技术体系和农技推广体系建设。组织农作物、畜禽、水产养殖等新品种育种攻关和农业先进技术引进、试验、转化、示范、推广。负责农业转基因生物安全监督管理和农业植物新品种保护。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14.指导全市农业农村人才工作。制定农业农村人才队伍建设规划并组织实施。指导农业教育和农业职业技能开发。承担新型职业农民培育、农业科技人才培养和农村实用人才培训工作。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15.牵头开展全市农业对外合作工作。承办政府间农业涉外事务，参与拟订农业对外开放政策和外向型农业发展规划，指导外向型农业发展。组织开展农业贸易促进和有关国际交流合作，落实对外援助政策，具体执行有关农业援外项目。组织开展农业投资促进活动，推动农业开放合作。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16.负责全市国有农场土地的保护、利用和管理，指导国有农场的改革与发展。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17.编制全市烟叶种植规划方案，督促检查烟叶种植方案贯彻落实。协调烟草工业、商业做好相关工作。组织实施市级烟草扶持项目。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18.统筹协调和监督指导全市农业综合执法。负责监督指导重大案件查处和跨区域执法的组织协调工作。负责由市本级办理的涉农违法案件。推进农业依法行政。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19.依法依规负责农业安全生产和职业健康监督管理工作。负责农业机械、农（兽）药、饲料、渔业、畜禽屠宰行业安全生产和职业健康的监督管理。负责组织实施农村沼气项目的安全生产和职业健康监督管理。对农业园区的安全生产和职业健康工作实施行业监督管理。负责制定职责范围内的安全生产年度监督检查计划并组织实施。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 xml:space="preserve">20.负责职责范围内的生态环境保护、审批服务便民化等工作。 </w:t>
      </w:r>
    </w:p>
    <w:p>
      <w:pPr>
        <w:pStyle w:val="2"/>
        <w:adjustRightInd w:val="0"/>
        <w:snapToGrid w:val="0"/>
        <w:spacing w:before="93" w:line="580" w:lineRule="exact"/>
        <w:ind w:left="440" w:leftChars="210" w:firstLine="640" w:firstLineChars="200"/>
        <w:outlineLvl w:val="2"/>
        <w:rPr>
          <w:rFonts w:ascii="仿宋" w:hAnsi="仿宋" w:eastAsia="仿宋"/>
          <w:bCs/>
          <w:sz w:val="32"/>
          <w:szCs w:val="32"/>
        </w:rPr>
      </w:pPr>
      <w:r>
        <w:rPr>
          <w:rFonts w:hint="eastAsia" w:ascii="仿宋" w:hAnsi="仿宋" w:eastAsia="仿宋"/>
          <w:bCs/>
          <w:sz w:val="32"/>
          <w:szCs w:val="32"/>
        </w:rPr>
        <w:t>21.完成市委、市政府交办的其他任务。</w:t>
      </w:r>
    </w:p>
    <w:p>
      <w:pPr>
        <w:pStyle w:val="2"/>
        <w:adjustRightInd w:val="0"/>
        <w:snapToGrid w:val="0"/>
        <w:spacing w:before="93" w:line="580" w:lineRule="exact"/>
        <w:ind w:firstLine="640" w:firstLineChars="200"/>
        <w:outlineLvl w:val="2"/>
        <w:rPr>
          <w:rFonts w:ascii="仿宋" w:hAnsi="仿宋" w:eastAsia="仿宋"/>
          <w:bCs/>
          <w:sz w:val="32"/>
          <w:szCs w:val="32"/>
        </w:rPr>
      </w:pPr>
      <w:bookmarkStart w:id="22" w:name="_Toc15378446"/>
      <w:bookmarkStart w:id="23" w:name="_Toc15377199"/>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22"/>
      <w:bookmarkEnd w:id="23"/>
    </w:p>
    <w:p>
      <w:pPr>
        <w:pStyle w:val="2"/>
        <w:adjustRightInd w:val="0"/>
        <w:snapToGrid w:val="0"/>
        <w:spacing w:before="93" w:line="580" w:lineRule="exact"/>
        <w:ind w:firstLine="770" w:firstLineChars="250"/>
        <w:outlineLvl w:val="2"/>
        <w:rPr>
          <w:bCs/>
          <w:color w:val="000000"/>
          <w:sz w:val="34"/>
          <w:szCs w:val="34"/>
          <w:shd w:val="clear" w:color="auto" w:fill="FFFFFF"/>
        </w:rPr>
      </w:pPr>
      <w:r>
        <w:rPr>
          <w:rFonts w:hint="eastAsia" w:cs="仿宋_GB2312"/>
          <w:bCs/>
          <w:color w:val="000000"/>
          <w:spacing w:val="-6"/>
          <w:sz w:val="32"/>
          <w:szCs w:val="32"/>
        </w:rPr>
        <w:t>2021年，在市委、市政府坚强领导下，局党组组织带领全市农业农村系统，深入学习贯彻习近平总书记关于“三农”工作重要论述和对四川工作系列重要指示精神，全面落实中央、省委、市委决策部署，扎实推动乡村全面振兴和农业农村现代化，有力促进农业高质高效、乡村宜居宜业、农民富裕富足，全面完成各项目标任务。</w:t>
      </w:r>
      <w:r>
        <w:rPr>
          <w:rFonts w:hint="eastAsia" w:cs="仿宋_GB2312"/>
          <w:bCs/>
          <w:sz w:val="32"/>
          <w:szCs w:val="32"/>
        </w:rPr>
        <w:t>全市</w:t>
      </w:r>
      <w:r>
        <w:rPr>
          <w:rFonts w:hint="eastAsia"/>
          <w:bCs/>
          <w:color w:val="000000"/>
          <w:sz w:val="32"/>
          <w:szCs w:val="32"/>
          <w:shd w:val="clear" w:color="auto" w:fill="FFFFFF"/>
        </w:rPr>
        <w:t>第一产业增加值198.64亿元，同比增长7.3%；农林牧渔总产值358.8亿元，同比增长8.2%；农村居民人均可支配收入15925元,同比增长10.8%，高于城镇居民1.7个百分点，增速居全省第4位，三项指标增速均高于全省平均水平</w:t>
      </w:r>
      <w:r>
        <w:rPr>
          <w:rFonts w:hint="eastAsia"/>
          <w:bCs/>
          <w:color w:val="000000"/>
          <w:sz w:val="34"/>
          <w:szCs w:val="34"/>
          <w:shd w:val="clear" w:color="auto" w:fill="FFFFFF"/>
        </w:rPr>
        <w:t>。</w:t>
      </w:r>
    </w:p>
    <w:p>
      <w:pPr>
        <w:suppressAutoHyphens/>
        <w:spacing w:line="58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1.加快</w:t>
      </w:r>
      <w:r>
        <w:rPr>
          <w:rFonts w:hint="eastAsia" w:ascii="CESI宋体-GB2312" w:hAnsi="CESI宋体-GB2312" w:eastAsia="楷体_GB2312"/>
          <w:sz w:val="32"/>
          <w:szCs w:val="32"/>
        </w:rPr>
        <w:t>发展优质特色农业。</w:t>
      </w:r>
      <w:r>
        <w:rPr>
          <w:rFonts w:hint="eastAsia" w:ascii="仿宋_GB2312" w:hAnsi="仿宋_GB2312" w:eastAsia="仿宋_GB2312" w:cs="仿宋_GB2312"/>
          <w:sz w:val="32"/>
          <w:szCs w:val="32"/>
        </w:rPr>
        <w:t>稳定粮食生猪生产，大力推进粮经套作，李克强总理来广考察，对我市利用有限土地精耕细作予以肯定。全年粮食播种面积472.2万亩，产量161.3万吨。新建高标准农田22.3万亩。毫不放松抓好非洲猪瘟防控，全面落实支持政策，生猪产能提前恢复，出栏生猪369.59万头。推进特色产业提质增效，巩固提升茶叶、红心猕猴桃、核桃、油橄榄、山地蔬菜（食用菌）、道地中药材和剑门关土鸡、生态渔业等特色产业，突破性发展肉牛羊产业。坚持“三园”联动，全市累计建成万亩现代农业园区122个、国家现代农业产业园1个、省星级园区7个，新建</w:t>
      </w:r>
      <w:r>
        <w:rPr>
          <w:rFonts w:hint="eastAsia" w:ascii="CESI宋体-GB2312" w:hAnsi="CESI宋体-GB2312" w:eastAsia="仿宋_GB2312" w:cs="仿宋_GB2312"/>
          <w:sz w:val="32"/>
          <w:szCs w:val="32"/>
        </w:rPr>
        <w:t>市级园</w:t>
      </w:r>
      <w:r>
        <w:rPr>
          <w:rFonts w:hint="eastAsia" w:ascii="仿宋" w:hAnsi="仿宋" w:eastAsia="仿宋" w:cs="仿宋_GB2312"/>
          <w:sz w:val="32"/>
          <w:szCs w:val="32"/>
        </w:rPr>
        <w:t>区7</w:t>
      </w:r>
      <w:r>
        <w:rPr>
          <w:rFonts w:hint="eastAsia" w:ascii="CESI宋体-GB2312" w:hAnsi="CESI宋体-GB2312" w:eastAsia="仿宋_GB2312" w:cs="仿宋_GB2312"/>
          <w:sz w:val="32"/>
          <w:szCs w:val="32"/>
        </w:rPr>
        <w:t>个、</w:t>
      </w:r>
      <w:r>
        <w:rPr>
          <w:rFonts w:hint="eastAsia" w:ascii="仿宋_GB2312" w:hAnsi="仿宋_GB2312" w:eastAsia="仿宋_GB2312" w:cs="仿宋_GB2312"/>
          <w:sz w:val="32"/>
          <w:szCs w:val="32"/>
        </w:rPr>
        <w:t>改造提升老旧园区33个。坚持全链集群发展。新增农产品初加工点60个，建成8个规模化农产品加工区和川陕甘结合部最大的农产品批发市场。</w:t>
      </w:r>
      <w:r>
        <w:rPr>
          <w:rFonts w:hint="eastAsia" w:ascii="CESI宋体-GB2312" w:hAnsi="CESI宋体-GB2312" w:eastAsia="仿宋_GB2312" w:cs="仿宋_GB2312"/>
          <w:sz w:val="32"/>
          <w:szCs w:val="32"/>
        </w:rPr>
        <w:t>全面开展农业种质资源普查，建成苍溪红心猕猴桃良种繁育基地、旺苍县首</w:t>
      </w:r>
      <w:r>
        <w:rPr>
          <w:rFonts w:hint="eastAsia" w:ascii="仿宋_GB2312" w:hAnsi="仿宋_GB2312" w:eastAsia="仿宋_GB2312" w:cs="仿宋_GB2312"/>
          <w:sz w:val="32"/>
          <w:szCs w:val="32"/>
        </w:rPr>
        <w:t>个省级现代茶种业园区和广元灰鸡省级核心育种场。巩固提升国家农产品质量安全市成果，省级农产品质量安全合格率达到99.6%，绿色、有机、地标农产品达到473个。</w:t>
      </w:r>
    </w:p>
    <w:p>
      <w:pPr>
        <w:suppressAutoHyphens/>
        <w:spacing w:line="58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2.加</w:t>
      </w:r>
      <w:r>
        <w:rPr>
          <w:rFonts w:hint="eastAsia" w:ascii="CESI宋体-GB2312" w:hAnsi="CESI宋体-GB2312" w:eastAsia="楷体_GB2312"/>
          <w:sz w:val="32"/>
          <w:szCs w:val="32"/>
        </w:rPr>
        <w:t>快建设生态宜居美丽乡村。</w:t>
      </w:r>
      <w:r>
        <w:rPr>
          <w:rFonts w:hint="eastAsia" w:ascii="仿宋_GB2312" w:hAnsi="仿宋_GB2312" w:eastAsia="仿宋_GB2312" w:cs="仿宋_GB2312"/>
          <w:sz w:val="32"/>
          <w:szCs w:val="32"/>
        </w:rPr>
        <w:t>全面优化农村人居环境，深入实施五年提升行动，垃圾有效处理、生活污水有效治理率分别达92%、63%，示范村无害化卫生厕所普及率达90%。畜禽粪污资源化利用率、秸秆综合利用率、废弃农膜回收利用率分别达到94.49%、92%、88.32%。全面推进山水林田湖草系统治理，森林覆盖率达到57.63%，主要河流水质优良率100%。巩固长江禁捕退捕成果，牵头开展川陕甘跨省交界水域禁捕联合执法，成功侦破“4·28”跨省市非法捕捞案。加快农村“五网”建设，所有乡镇和建制村通硬化路、通客车，网络光纤通村率95.29%，政务服务一体化平台实现乡镇、村（社区）全覆盖。深入推进乡村治理，健全乡村扫黑除恶常态长效机制和社会治安风险隐患信息化排查处置体系，3个村被评为全国第二批乡村治理示范村。</w:t>
      </w:r>
    </w:p>
    <w:p>
      <w:pPr>
        <w:suppressAutoHyphens/>
        <w:spacing w:line="580" w:lineRule="exact"/>
        <w:ind w:firstLine="640" w:firstLineChars="200"/>
        <w:rPr>
          <w:rFonts w:ascii="仿宋" w:hAnsi="仿宋" w:eastAsia="仿宋"/>
          <w:bCs/>
          <w:sz w:val="32"/>
          <w:szCs w:val="32"/>
        </w:rPr>
      </w:pPr>
      <w:r>
        <w:rPr>
          <w:rFonts w:hint="eastAsia" w:ascii="仿宋" w:hAnsi="仿宋" w:eastAsia="仿宋"/>
          <w:sz w:val="32"/>
          <w:szCs w:val="32"/>
        </w:rPr>
        <w:t>3.持续</w:t>
      </w:r>
      <w:r>
        <w:rPr>
          <w:rFonts w:hint="eastAsia" w:ascii="CESI宋体-GB2312" w:hAnsi="CESI宋体-GB2312" w:eastAsia="楷体_GB2312"/>
          <w:sz w:val="32"/>
          <w:szCs w:val="32"/>
        </w:rPr>
        <w:t>深化农业农村改革。</w:t>
      </w:r>
      <w:r>
        <w:rPr>
          <w:rFonts w:hint="eastAsia" w:ascii="仿宋_GB2312" w:hAnsi="仿宋_GB2312" w:eastAsia="仿宋_GB2312" w:cs="仿宋_GB2312"/>
          <w:sz w:val="32"/>
          <w:szCs w:val="32"/>
        </w:rPr>
        <w:t>创新发展新型集体经济，积极探索自主经营、合作经营、租赁经营、服务创收发展模式，全市年度总收益达到6014.2万元、人均达到24.88元，我市发展模式被纳入全省典型案例推广。深化土地制度改革，大力推行土地入股、土地托管等多元经营方式，引导土地经营权规范有序流转，</w:t>
      </w:r>
      <w:r>
        <w:rPr>
          <w:rFonts w:hint="eastAsia" w:ascii="仿宋_GB2312" w:eastAsia="仿宋_GB2312" w:cs="仿宋_GB2312"/>
          <w:sz w:val="32"/>
          <w:szCs w:val="32"/>
        </w:rPr>
        <w:t>苍溪县顺利</w:t>
      </w:r>
      <w:r>
        <w:rPr>
          <w:rFonts w:hint="eastAsia" w:ascii="仿宋_GB2312" w:hAnsi="仿宋_GB2312" w:eastAsia="仿宋_GB2312" w:cs="仿宋_GB2312"/>
          <w:sz w:val="32"/>
          <w:szCs w:val="32"/>
        </w:rPr>
        <w:t>完成</w:t>
      </w:r>
      <w:r>
        <w:rPr>
          <w:rFonts w:hint="eastAsia" w:ascii="仿宋_GB2312" w:eastAsia="仿宋_GB2312" w:cs="仿宋_GB2312"/>
          <w:sz w:val="32"/>
          <w:szCs w:val="32"/>
        </w:rPr>
        <w:t>第二轮土地承包到期再延长30年省级试点</w:t>
      </w:r>
      <w:r>
        <w:rPr>
          <w:rFonts w:hint="eastAsia" w:ascii="仿宋_GB2312" w:hAnsi="仿宋_GB2312" w:eastAsia="仿宋_GB2312" w:cs="仿宋_GB2312"/>
          <w:sz w:val="32"/>
          <w:szCs w:val="32"/>
        </w:rPr>
        <w:t>。创新农业经营方式，组建市农业发展集团、广元茶业集团，国、省级龙头企业累计达到42家。创新联农带农机制，组建产业化联合体，推进龙头企业、专合社和农户在产业链上分工合作。创新多元投入机制，推出农户小额信贷“整村授信”、园区“整园授信”，全市乡村振兴农业产业发展贷款风险补偿金累计放贷10.78亿元。实施农业招商引资项目79个，到位资金47.1亿元，同比增长20.2%。</w:t>
      </w:r>
    </w:p>
    <w:p>
      <w:pPr>
        <w:pStyle w:val="4"/>
        <w:spacing w:line="580" w:lineRule="exact"/>
        <w:rPr>
          <w:rStyle w:val="20"/>
          <w:b w:val="0"/>
          <w:bCs w:val="0"/>
        </w:rPr>
      </w:pPr>
      <w:bookmarkStart w:id="24" w:name="_Toc15396601"/>
      <w:bookmarkStart w:id="25" w:name="_Toc15377200"/>
      <w:bookmarkStart w:id="26" w:name="_Toc5059"/>
      <w:r>
        <w:rPr>
          <w:rFonts w:hint="eastAsia" w:ascii="黑体" w:eastAsia="黑体"/>
          <w:b w:val="0"/>
        </w:rPr>
        <w:t>二、</w:t>
      </w:r>
      <w:r>
        <w:rPr>
          <w:rFonts w:hint="eastAsia" w:ascii="黑体" w:hAnsi="黑体" w:eastAsia="黑体"/>
          <w:b w:val="0"/>
        </w:rPr>
        <w:t>机</w:t>
      </w:r>
      <w:r>
        <w:rPr>
          <w:rStyle w:val="20"/>
          <w:rFonts w:hint="eastAsia" w:ascii="黑体" w:hAnsi="黑体" w:eastAsia="黑体"/>
          <w:b w:val="0"/>
          <w:bCs w:val="0"/>
        </w:rPr>
        <w:t>构设置</w:t>
      </w:r>
      <w:bookmarkEnd w:id="24"/>
      <w:bookmarkEnd w:id="25"/>
      <w:bookmarkEnd w:id="26"/>
    </w:p>
    <w:p>
      <w:pPr>
        <w:spacing w:line="580" w:lineRule="exact"/>
        <w:ind w:firstLine="800" w:firstLineChars="250"/>
        <w:rPr>
          <w:rFonts w:ascii="仿宋" w:hAnsi="仿宋" w:eastAsia="仿宋"/>
          <w:sz w:val="32"/>
          <w:szCs w:val="32"/>
        </w:rPr>
      </w:pPr>
      <w:r>
        <w:rPr>
          <w:rFonts w:hint="eastAsia" w:ascii="仿宋" w:hAnsi="仿宋" w:eastAsia="仿宋"/>
          <w:sz w:val="32"/>
          <w:szCs w:val="32"/>
        </w:rPr>
        <w:t>市农业农村局下属二级单位18个，其中参照公务员法管理的事业单位</w:t>
      </w:r>
      <w:r>
        <w:rPr>
          <w:rFonts w:hint="eastAsia" w:ascii="仿宋" w:hAnsi="仿宋" w:eastAsia="仿宋"/>
          <w:bCs/>
          <w:sz w:val="32"/>
          <w:szCs w:val="32"/>
        </w:rPr>
        <w:t>3</w:t>
      </w:r>
      <w:r>
        <w:rPr>
          <w:rFonts w:hint="eastAsia" w:ascii="仿宋" w:hAnsi="仿宋" w:eastAsia="仿宋"/>
          <w:sz w:val="32"/>
          <w:szCs w:val="32"/>
        </w:rPr>
        <w:t>个，其他事业单位15个。</w:t>
      </w:r>
    </w:p>
    <w:p>
      <w:pPr>
        <w:pStyle w:val="2"/>
        <w:adjustRightInd w:val="0"/>
        <w:snapToGrid w:val="0"/>
        <w:spacing w:before="93" w:line="580" w:lineRule="exact"/>
        <w:ind w:firstLine="672" w:firstLineChars="210"/>
        <w:rPr>
          <w:rFonts w:ascii="仿宋" w:hAnsi="仿宋" w:eastAsia="仿宋"/>
          <w:sz w:val="32"/>
          <w:szCs w:val="32"/>
        </w:rPr>
      </w:pPr>
      <w:r>
        <w:rPr>
          <w:rFonts w:hint="eastAsia" w:ascii="仿宋" w:hAnsi="仿宋" w:eastAsia="仿宋"/>
          <w:sz w:val="32"/>
          <w:szCs w:val="32"/>
        </w:rPr>
        <w:t>无纳入市农业农村局2021年度部门决算编制范围的二级预算单位</w:t>
      </w:r>
    </w:p>
    <w:p>
      <w:pPr>
        <w:rPr>
          <w:rFonts w:ascii="黑体" w:hAnsi="黑体" w:eastAsia="黑体"/>
        </w:rPr>
      </w:pPr>
      <w:bookmarkStart w:id="27" w:name="_Toc15377204"/>
      <w:bookmarkStart w:id="28" w:name="_Toc15396602"/>
      <w:r>
        <w:rPr>
          <w:rFonts w:hint="eastAsia" w:ascii="黑体" w:hAnsi="黑体" w:eastAsia="黑体"/>
        </w:rPr>
        <w:br w:type="page"/>
      </w:r>
    </w:p>
    <w:p>
      <w:pPr>
        <w:pStyle w:val="3"/>
        <w:ind w:right="440"/>
        <w:jc w:val="center"/>
        <w:rPr>
          <w:rStyle w:val="19"/>
          <w:rFonts w:ascii="黑体" w:hAnsi="黑体" w:eastAsia="黑体"/>
          <w:b w:val="0"/>
          <w:bCs/>
        </w:rPr>
      </w:pPr>
      <w:bookmarkStart w:id="29" w:name="_Toc4054"/>
      <w:r>
        <w:rPr>
          <w:rFonts w:hint="eastAsia" w:ascii="黑体" w:hAnsi="黑体" w:eastAsia="黑体"/>
          <w:b w:val="0"/>
        </w:rPr>
        <w:t>第二部分 2021年度</w:t>
      </w:r>
      <w:r>
        <w:rPr>
          <w:rStyle w:val="19"/>
          <w:rFonts w:hint="eastAsia" w:ascii="黑体" w:hAnsi="黑体" w:eastAsia="黑体"/>
          <w:b w:val="0"/>
          <w:bCs/>
        </w:rPr>
        <w:t>部门决算情况说明</w:t>
      </w:r>
      <w:bookmarkEnd w:id="27"/>
      <w:bookmarkEnd w:id="28"/>
      <w:bookmarkEnd w:id="29"/>
    </w:p>
    <w:p>
      <w:pPr>
        <w:pStyle w:val="29"/>
        <w:numPr>
          <w:ilvl w:val="0"/>
          <w:numId w:val="1"/>
        </w:numPr>
        <w:spacing w:line="600" w:lineRule="exact"/>
        <w:ind w:firstLineChars="0"/>
        <w:outlineLvl w:val="1"/>
        <w:rPr>
          <w:rStyle w:val="20"/>
          <w:rFonts w:ascii="黑体" w:hAnsi="黑体" w:eastAsia="黑体"/>
          <w:b w:val="0"/>
        </w:rPr>
      </w:pPr>
      <w:bookmarkStart w:id="30" w:name="_Toc15396603"/>
      <w:bookmarkStart w:id="31" w:name="_Toc14189"/>
      <w:bookmarkStart w:id="32" w:name="_Toc15377205"/>
      <w:r>
        <w:rPr>
          <w:rFonts w:hint="eastAsia" w:ascii="黑体" w:hAnsi="黑体" w:eastAsia="黑体"/>
          <w:sz w:val="32"/>
          <w:szCs w:val="32"/>
        </w:rPr>
        <w:t>收</w:t>
      </w:r>
      <w:r>
        <w:rPr>
          <w:rStyle w:val="20"/>
          <w:rFonts w:hint="eastAsia" w:ascii="黑体" w:hAnsi="黑体" w:eastAsia="黑体"/>
          <w:b w:val="0"/>
        </w:rPr>
        <w:t>入支出决算总体情况说明</w:t>
      </w:r>
      <w:bookmarkEnd w:id="30"/>
      <w:bookmarkEnd w:id="31"/>
      <w:bookmarkEnd w:id="32"/>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2021年度收、支总计7952.41万元。与2020年相比，收、支总计各减少1087.73万元，下降12.03</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color w:val="000000"/>
          <w:sz w:val="32"/>
          <w:szCs w:val="32"/>
        </w:rPr>
        <w:t>按照中央、省、市关于“过紧日子”有关要求，进一步深化财务改革，加强财务管理，压缩各项开支。</w:t>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
        <w:spacing w:before="93"/>
      </w:pPr>
      <w:r>
        <w:rPr>
          <w:rFonts w:hint="eastAsia"/>
        </w:rP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9"/>
        <w:numPr>
          <w:ilvl w:val="0"/>
          <w:numId w:val="1"/>
        </w:numPr>
        <w:spacing w:line="600" w:lineRule="exact"/>
        <w:ind w:firstLineChars="0"/>
        <w:outlineLvl w:val="1"/>
        <w:rPr>
          <w:rStyle w:val="20"/>
          <w:rFonts w:ascii="黑体" w:hAnsi="黑体" w:eastAsia="黑体"/>
          <w:b w:val="0"/>
        </w:rPr>
      </w:pPr>
      <w:bookmarkStart w:id="33" w:name="_Toc12904"/>
      <w:bookmarkStart w:id="34" w:name="_Toc15396604"/>
      <w:bookmarkStart w:id="35" w:name="_Toc15377206"/>
      <w:r>
        <w:rPr>
          <w:rFonts w:hint="eastAsia" w:ascii="黑体" w:hAnsi="黑体" w:eastAsia="黑体"/>
          <w:sz w:val="32"/>
          <w:szCs w:val="32"/>
        </w:rPr>
        <w:t>收</w:t>
      </w:r>
      <w:r>
        <w:rPr>
          <w:rStyle w:val="20"/>
          <w:rFonts w:hint="eastAsia" w:ascii="黑体" w:hAnsi="黑体" w:eastAsia="黑体"/>
          <w:b w:val="0"/>
        </w:rPr>
        <w:t>入决算情况说明</w:t>
      </w:r>
      <w:bookmarkEnd w:id="33"/>
      <w:bookmarkEnd w:id="34"/>
      <w:bookmarkEnd w:id="35"/>
    </w:p>
    <w:p>
      <w:pPr>
        <w:spacing w:line="600" w:lineRule="exact"/>
        <w:ind w:firstLine="640" w:firstLineChars="200"/>
        <w:outlineLvl w:val="1"/>
        <w:rPr>
          <w:rFonts w:ascii="仿宋" w:hAnsi="仿宋" w:eastAsia="仿宋"/>
          <w:sz w:val="32"/>
          <w:szCs w:val="32"/>
        </w:rPr>
      </w:pPr>
      <w:bookmarkStart w:id="36" w:name="_Toc23715"/>
      <w:r>
        <w:rPr>
          <w:rFonts w:ascii="仿宋" w:hAnsi="仿宋" w:eastAsia="仿宋"/>
          <w:sz w:val="32"/>
          <w:szCs w:val="32"/>
        </w:rPr>
        <w:t>20</w:t>
      </w:r>
      <w:r>
        <w:rPr>
          <w:rFonts w:hint="eastAsia" w:ascii="仿宋" w:hAnsi="仿宋" w:eastAsia="仿宋"/>
          <w:sz w:val="32"/>
          <w:szCs w:val="32"/>
        </w:rPr>
        <w:t>21年本年收入合计6193.79万元，其中：一般公共预算财政拨款收入5900.01万元，占95.26</w:t>
      </w:r>
      <w:r>
        <w:rPr>
          <w:rFonts w:ascii="仿宋" w:hAnsi="仿宋" w:eastAsia="仿宋"/>
          <w:sz w:val="32"/>
          <w:szCs w:val="32"/>
        </w:rPr>
        <w:t>%</w:t>
      </w:r>
      <w:r>
        <w:rPr>
          <w:rFonts w:hint="eastAsia" w:ascii="仿宋" w:hAnsi="仿宋" w:eastAsia="仿宋"/>
          <w:sz w:val="32"/>
          <w:szCs w:val="32"/>
        </w:rPr>
        <w:t>；其他收入293.78万元，占4.74</w:t>
      </w:r>
      <w:r>
        <w:rPr>
          <w:rFonts w:ascii="仿宋" w:hAnsi="仿宋" w:eastAsia="仿宋"/>
          <w:sz w:val="32"/>
          <w:szCs w:val="32"/>
        </w:rPr>
        <w:t>%</w:t>
      </w:r>
      <w:r>
        <w:rPr>
          <w:rFonts w:hint="eastAsia" w:ascii="仿宋" w:hAnsi="仿宋" w:eastAsia="仿宋"/>
          <w:sz w:val="32"/>
          <w:szCs w:val="32"/>
        </w:rPr>
        <w:t>。</w:t>
      </w:r>
      <w:bookmarkEnd w:id="36"/>
    </w:p>
    <w:p>
      <w:pPr>
        <w:spacing w:line="600" w:lineRule="exact"/>
        <w:ind w:firstLine="640" w:firstLineChars="200"/>
        <w:jc w:val="center"/>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w:t>
      </w:r>
    </w:p>
    <w:p>
      <w:pPr>
        <w:pStyle w:val="2"/>
        <w:spacing w:before="93"/>
      </w:pPr>
      <w:r>
        <w:rPr>
          <w:rFonts w:hint="eastAsia"/>
        </w:rP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9"/>
        <w:numPr>
          <w:ilvl w:val="0"/>
          <w:numId w:val="1"/>
        </w:numPr>
        <w:spacing w:line="600" w:lineRule="exact"/>
        <w:ind w:firstLineChars="0"/>
        <w:outlineLvl w:val="1"/>
        <w:rPr>
          <w:rStyle w:val="20"/>
          <w:rFonts w:ascii="黑体" w:hAnsi="黑体" w:eastAsia="黑体"/>
          <w:b w:val="0"/>
        </w:rPr>
      </w:pPr>
      <w:bookmarkStart w:id="37" w:name="_Toc31519"/>
      <w:bookmarkStart w:id="38" w:name="_Toc15396605"/>
      <w:bookmarkStart w:id="39" w:name="_Toc15377207"/>
      <w:r>
        <w:rPr>
          <w:rFonts w:hint="eastAsia" w:ascii="黑体" w:hAnsi="黑体" w:eastAsia="黑体"/>
          <w:sz w:val="32"/>
          <w:szCs w:val="32"/>
        </w:rPr>
        <w:t>支</w:t>
      </w:r>
      <w:r>
        <w:rPr>
          <w:rStyle w:val="20"/>
          <w:rFonts w:hint="eastAsia" w:ascii="黑体" w:hAnsi="黑体" w:eastAsia="黑体"/>
          <w:b w:val="0"/>
        </w:rPr>
        <w:t>出决算情况说明</w:t>
      </w:r>
      <w:bookmarkEnd w:id="37"/>
      <w:bookmarkEnd w:id="38"/>
      <w:bookmarkEnd w:id="39"/>
    </w:p>
    <w:p>
      <w:pPr>
        <w:spacing w:line="600" w:lineRule="exact"/>
        <w:ind w:firstLine="640" w:firstLineChars="200"/>
        <w:outlineLvl w:val="1"/>
        <w:rPr>
          <w:rFonts w:ascii="仿宋" w:hAnsi="仿宋" w:eastAsia="仿宋"/>
          <w:sz w:val="32"/>
          <w:szCs w:val="32"/>
        </w:rPr>
      </w:pPr>
      <w:bookmarkStart w:id="40" w:name="_Toc15381"/>
      <w:r>
        <w:rPr>
          <w:rFonts w:ascii="仿宋" w:hAnsi="仿宋" w:eastAsia="仿宋"/>
          <w:sz w:val="32"/>
          <w:szCs w:val="32"/>
        </w:rPr>
        <w:t>20</w:t>
      </w:r>
      <w:r>
        <w:rPr>
          <w:rFonts w:hint="eastAsia" w:ascii="仿宋" w:hAnsi="仿宋" w:eastAsia="仿宋"/>
          <w:sz w:val="32"/>
          <w:szCs w:val="32"/>
        </w:rPr>
        <w:t>21年本年支出合计6592.93万元，其中：基本支出4719.07万元，占71.58</w:t>
      </w:r>
      <w:r>
        <w:rPr>
          <w:rFonts w:ascii="仿宋" w:hAnsi="仿宋" w:eastAsia="仿宋"/>
          <w:sz w:val="32"/>
          <w:szCs w:val="32"/>
        </w:rPr>
        <w:t>%</w:t>
      </w:r>
      <w:r>
        <w:rPr>
          <w:rFonts w:hint="eastAsia" w:ascii="仿宋" w:hAnsi="仿宋" w:eastAsia="仿宋"/>
          <w:sz w:val="32"/>
          <w:szCs w:val="32"/>
        </w:rPr>
        <w:t>；项目支出1873.86万元，占28.42</w:t>
      </w:r>
      <w:r>
        <w:rPr>
          <w:rFonts w:ascii="仿宋" w:hAnsi="仿宋" w:eastAsia="仿宋"/>
          <w:sz w:val="32"/>
          <w:szCs w:val="32"/>
        </w:rPr>
        <w:t>%</w:t>
      </w:r>
      <w:r>
        <w:rPr>
          <w:rFonts w:hint="eastAsia" w:ascii="仿宋" w:hAnsi="仿宋" w:eastAsia="仿宋"/>
          <w:sz w:val="32"/>
          <w:szCs w:val="32"/>
        </w:rPr>
        <w:t>。</w:t>
      </w:r>
      <w:bookmarkEnd w:id="40"/>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（图3：支出决算结构图）</w:t>
      </w:r>
    </w:p>
    <w:p>
      <w:pPr>
        <w:pStyle w:val="2"/>
        <w:spacing w:before="93"/>
      </w:pPr>
      <w:r>
        <w:rPr>
          <w:rFonts w:hint="eastAsia"/>
        </w:rPr>
        <w:drawing>
          <wp:inline distT="0" distB="0" distL="0" distR="0">
            <wp:extent cx="5274310" cy="307657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spacing w:before="93"/>
      </w:pPr>
    </w:p>
    <w:p>
      <w:pPr>
        <w:spacing w:line="600" w:lineRule="exact"/>
        <w:ind w:firstLine="640" w:firstLineChars="200"/>
        <w:outlineLvl w:val="1"/>
        <w:rPr>
          <w:rStyle w:val="20"/>
          <w:rFonts w:ascii="黑体" w:hAnsi="黑体" w:eastAsia="黑体"/>
          <w:b w:val="0"/>
        </w:rPr>
      </w:pPr>
      <w:bookmarkStart w:id="41" w:name="_Toc15377208"/>
      <w:bookmarkStart w:id="42" w:name="_Toc15396606"/>
      <w:bookmarkStart w:id="43" w:name="_Toc2083"/>
      <w:r>
        <w:rPr>
          <w:rFonts w:hint="eastAsia" w:ascii="黑体" w:hAnsi="黑体" w:eastAsia="黑体"/>
          <w:sz w:val="32"/>
          <w:szCs w:val="32"/>
        </w:rPr>
        <w:t>四、财</w:t>
      </w:r>
      <w:r>
        <w:rPr>
          <w:rStyle w:val="20"/>
          <w:rFonts w:hint="eastAsia" w:ascii="黑体" w:hAnsi="黑体" w:eastAsia="黑体"/>
          <w:b w:val="0"/>
        </w:rPr>
        <w:t>政拨款收入支出决算总体情况说明</w:t>
      </w:r>
      <w:bookmarkEnd w:id="41"/>
      <w:bookmarkEnd w:id="42"/>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21年财政拨款收、支总计6884.10万元。与</w:t>
      </w:r>
      <w:r>
        <w:rPr>
          <w:rFonts w:ascii="仿宋" w:hAnsi="仿宋" w:eastAsia="仿宋"/>
          <w:sz w:val="32"/>
          <w:szCs w:val="32"/>
        </w:rPr>
        <w:t>20</w:t>
      </w:r>
      <w:r>
        <w:rPr>
          <w:rFonts w:hint="eastAsia" w:ascii="仿宋" w:hAnsi="仿宋" w:eastAsia="仿宋"/>
          <w:sz w:val="32"/>
          <w:szCs w:val="32"/>
        </w:rPr>
        <w:t>20年相比，财政拨款收、支总计各减少1115.87万元，下降13.95</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color w:val="000000"/>
          <w:sz w:val="32"/>
          <w:szCs w:val="32"/>
        </w:rPr>
        <w:t>按照中央、省、市关于“过紧日子”有关要求，进一步深化财务改革，加强财务管理，压缩各项开支。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pPr>
        <w:pStyle w:val="2"/>
        <w:spacing w:before="93"/>
      </w:pPr>
      <w:r>
        <w:rPr>
          <w:rFonts w:hint="eastAsia"/>
        </w:rPr>
        <w:drawing>
          <wp:inline distT="0" distB="0" distL="0" distR="0">
            <wp:extent cx="5019675" cy="2800350"/>
            <wp:effectExtent l="19050" t="0" r="9525"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20"/>
          <w:rFonts w:ascii="黑体" w:hAnsi="黑体" w:eastAsia="黑体"/>
          <w:b w:val="0"/>
        </w:rPr>
      </w:pPr>
      <w:bookmarkStart w:id="44" w:name="_Toc15396607"/>
      <w:bookmarkStart w:id="45" w:name="_Toc2718"/>
      <w:bookmarkStart w:id="46" w:name="_Toc15377209"/>
      <w:r>
        <w:rPr>
          <w:rFonts w:hint="eastAsia" w:ascii="黑体" w:hAnsi="黑体" w:eastAsia="黑体"/>
          <w:sz w:val="32"/>
          <w:szCs w:val="32"/>
        </w:rPr>
        <w:t>五、</w:t>
      </w:r>
      <w:r>
        <w:rPr>
          <w:rFonts w:hint="eastAsia" w:ascii="黑体" w:hAnsi="黑体" w:eastAsia="黑体"/>
          <w:b/>
          <w:sz w:val="32"/>
          <w:szCs w:val="32"/>
        </w:rPr>
        <w:t>一</w:t>
      </w:r>
      <w:r>
        <w:rPr>
          <w:rStyle w:val="20"/>
          <w:rFonts w:hint="eastAsia" w:ascii="黑体" w:hAnsi="黑体" w:eastAsia="黑体"/>
          <w:b w:val="0"/>
        </w:rPr>
        <w:t>般公共预算财政拨款支出决算情况说明</w:t>
      </w:r>
      <w:bookmarkEnd w:id="44"/>
      <w:bookmarkEnd w:id="45"/>
      <w:bookmarkEnd w:id="46"/>
    </w:p>
    <w:p>
      <w:pPr>
        <w:spacing w:line="600" w:lineRule="exact"/>
        <w:ind w:firstLine="640" w:firstLineChars="200"/>
        <w:outlineLvl w:val="2"/>
        <w:rPr>
          <w:rFonts w:ascii="仿宋" w:hAnsi="仿宋" w:eastAsia="仿宋"/>
          <w:b/>
          <w:sz w:val="32"/>
          <w:szCs w:val="32"/>
        </w:rPr>
      </w:pPr>
      <w:bookmarkStart w:id="47" w:name="_Toc15377210"/>
      <w:r>
        <w:rPr>
          <w:rFonts w:hint="eastAsia" w:ascii="仿宋" w:hAnsi="仿宋" w:eastAsia="仿宋"/>
          <w:b/>
          <w:sz w:val="32"/>
          <w:szCs w:val="32"/>
        </w:rPr>
        <w:t>（一）一般公共预算财政拨款支出决算总体情况</w:t>
      </w:r>
      <w:bookmarkEnd w:id="47"/>
    </w:p>
    <w:p>
      <w:pPr>
        <w:spacing w:line="600" w:lineRule="exact"/>
        <w:ind w:firstLine="640" w:firstLineChars="200"/>
        <w:rPr>
          <w:rFonts w:ascii="仿宋_GB2312" w:hAnsi="仿宋_GB2312" w:eastAsia="仿宋_GB2312" w:cs="仿宋_GB2312"/>
          <w:color w:val="000000"/>
          <w:sz w:val="32"/>
          <w:szCs w:val="32"/>
        </w:rPr>
      </w:pPr>
      <w:r>
        <w:rPr>
          <w:rFonts w:ascii="仿宋" w:hAnsi="仿宋" w:eastAsia="仿宋"/>
          <w:sz w:val="32"/>
          <w:szCs w:val="32"/>
        </w:rPr>
        <w:t>20</w:t>
      </w:r>
      <w:r>
        <w:rPr>
          <w:rFonts w:hint="eastAsia" w:ascii="仿宋" w:hAnsi="仿宋" w:eastAsia="仿宋"/>
          <w:sz w:val="32"/>
          <w:szCs w:val="32"/>
        </w:rPr>
        <w:t>21年一般公共预算财政拨款支出6283.68万元，占本年支出合计的95.31</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20年相比，一般公共预算财政拨款支出减少710.25万元，下降10.16</w:t>
      </w:r>
      <w:r>
        <w:rPr>
          <w:rFonts w:ascii="仿宋" w:hAnsi="仿宋" w:eastAsia="仿宋"/>
          <w:sz w:val="32"/>
          <w:szCs w:val="32"/>
        </w:rPr>
        <w:t>%</w:t>
      </w:r>
      <w:r>
        <w:rPr>
          <w:rFonts w:hint="eastAsia" w:ascii="仿宋" w:hAnsi="仿宋" w:eastAsia="仿宋"/>
          <w:sz w:val="32"/>
          <w:szCs w:val="32"/>
        </w:rPr>
        <w:t>。主要变动原因是变动原因是</w:t>
      </w:r>
      <w:r>
        <w:rPr>
          <w:rFonts w:hint="eastAsia" w:ascii="仿宋_GB2312" w:hAnsi="仿宋_GB2312" w:eastAsia="仿宋_GB2312" w:cs="仿宋_GB2312"/>
          <w:color w:val="000000"/>
          <w:sz w:val="32"/>
          <w:szCs w:val="32"/>
        </w:rPr>
        <w:t>按照中央、省、市关于“过紧日子”有关要求，进一步深化财务改革，加强财务管理，压缩各项开支，支出减少。</w:t>
      </w:r>
    </w:p>
    <w:p>
      <w:pPr>
        <w:pStyle w:val="2"/>
        <w:spacing w:before="93"/>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pStyle w:val="2"/>
        <w:spacing w:before="93"/>
      </w:pPr>
      <w:r>
        <w:rPr>
          <w:rFonts w:hint="eastAsia"/>
        </w:rPr>
        <w:drawing>
          <wp:inline distT="0" distB="0" distL="0" distR="0">
            <wp:extent cx="5095875" cy="2333625"/>
            <wp:effectExtent l="19050" t="0" r="9525"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outlineLvl w:val="2"/>
        <w:rPr>
          <w:rFonts w:ascii="仿宋" w:hAnsi="仿宋" w:eastAsia="仿宋"/>
          <w:b/>
          <w:sz w:val="32"/>
          <w:szCs w:val="32"/>
        </w:rPr>
      </w:pPr>
      <w:bookmarkStart w:id="48" w:name="_Toc15377211"/>
      <w:r>
        <w:rPr>
          <w:rFonts w:hint="eastAsia" w:ascii="仿宋" w:hAnsi="仿宋" w:eastAsia="仿宋"/>
          <w:b/>
          <w:sz w:val="32"/>
          <w:szCs w:val="32"/>
        </w:rPr>
        <w:t>（二）一般公共预算财政拨款支出决算结构情况</w:t>
      </w:r>
      <w:bookmarkEnd w:id="4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21年一般公共预算财政拨款支出6283.68万元，主要用于以下方面</w:t>
      </w:r>
      <w:r>
        <w:rPr>
          <w:rFonts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支出59.11万元，占0.94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支出408.38万元，占6.50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卫生健康支出（类）</w:t>
      </w:r>
      <w:r>
        <w:rPr>
          <w:rFonts w:hint="eastAsia" w:ascii="仿宋" w:hAnsi="仿宋" w:eastAsia="仿宋"/>
          <w:sz w:val="32"/>
          <w:szCs w:val="32"/>
        </w:rPr>
        <w:t>158.45万元，占2.52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农林水（类）</w:t>
      </w:r>
      <w:r>
        <w:rPr>
          <w:rFonts w:hint="eastAsia" w:ascii="仿宋" w:hAnsi="仿宋" w:eastAsia="仿宋"/>
          <w:sz w:val="32"/>
          <w:szCs w:val="32"/>
        </w:rPr>
        <w:t>支出5254.49万元，占83.62%；</w:t>
      </w:r>
      <w:r>
        <w:rPr>
          <w:rFonts w:hint="eastAsia" w:ascii="仿宋" w:hAnsi="仿宋" w:eastAsia="仿宋"/>
          <w:b/>
          <w:sz w:val="32"/>
          <w:szCs w:val="32"/>
        </w:rPr>
        <w:t>住房保障（类）</w:t>
      </w:r>
      <w:r>
        <w:rPr>
          <w:rFonts w:hint="eastAsia" w:ascii="仿宋" w:hAnsi="仿宋" w:eastAsia="仿宋"/>
          <w:sz w:val="32"/>
          <w:szCs w:val="32"/>
        </w:rPr>
        <w:t>支出373.24万元，占5.94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粮油物资储备（类）</w:t>
      </w:r>
      <w:r>
        <w:rPr>
          <w:rFonts w:hint="eastAsia" w:ascii="仿宋" w:hAnsi="仿宋" w:eastAsia="仿宋"/>
          <w:sz w:val="32"/>
          <w:szCs w:val="32"/>
        </w:rPr>
        <w:t>支出30.00万元，占0.48%。</w:t>
      </w:r>
    </w:p>
    <w:p>
      <w:pPr>
        <w:spacing w:line="600" w:lineRule="exact"/>
        <w:ind w:firstLine="640" w:firstLineChars="200"/>
      </w:pPr>
      <w:r>
        <w:rPr>
          <w:rFonts w:hint="eastAsia" w:ascii="仿宋" w:hAnsi="仿宋" w:eastAsia="仿宋"/>
          <w:sz w:val="32"/>
          <w:szCs w:val="32"/>
        </w:rPr>
        <w:t>（图6：一般公共预算财政拨款支出决算结构）</w:t>
      </w:r>
    </w:p>
    <w:p>
      <w:pPr>
        <w:pStyle w:val="2"/>
        <w:spacing w:before="93"/>
        <w:jc w:val="center"/>
      </w:pPr>
      <w:r>
        <w:rPr>
          <w:rFonts w:hint="eastAsia"/>
        </w:rPr>
        <w:drawing>
          <wp:inline distT="0" distB="0" distL="0" distR="0">
            <wp:extent cx="4664710" cy="2486025"/>
            <wp:effectExtent l="19050" t="0" r="2159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outlineLvl w:val="2"/>
        <w:rPr>
          <w:rFonts w:ascii="仿宋" w:hAnsi="仿宋" w:eastAsia="仿宋"/>
          <w:b/>
          <w:sz w:val="32"/>
          <w:szCs w:val="32"/>
        </w:rPr>
      </w:pPr>
      <w:bookmarkStart w:id="49" w:name="_Toc15377212"/>
      <w:r>
        <w:rPr>
          <w:rFonts w:hint="eastAsia" w:ascii="仿宋" w:hAnsi="仿宋" w:eastAsia="仿宋"/>
          <w:b/>
          <w:sz w:val="32"/>
          <w:szCs w:val="32"/>
        </w:rPr>
        <w:t>（三）一般公共预算财政拨款支出决算具体情况</w:t>
      </w:r>
      <w:bookmarkEnd w:id="49"/>
    </w:p>
    <w:p>
      <w:pPr>
        <w:spacing w:line="600" w:lineRule="exact"/>
        <w:ind w:firstLine="640" w:firstLineChars="200"/>
        <w:outlineLvl w:val="2"/>
        <w:rPr>
          <w:rFonts w:ascii="仿宋" w:hAnsi="仿宋" w:eastAsia="仿宋"/>
          <w:sz w:val="32"/>
          <w:szCs w:val="32"/>
        </w:rPr>
      </w:pPr>
      <w:bookmarkStart w:id="50" w:name="_Toc15378460"/>
      <w:bookmarkStart w:id="51" w:name="_Toc15377444"/>
      <w:bookmarkStart w:id="52" w:name="_Toc15377213"/>
      <w:r>
        <w:rPr>
          <w:rFonts w:hint="eastAsia" w:ascii="仿宋" w:hAnsi="仿宋" w:eastAsia="仿宋"/>
          <w:b/>
          <w:sz w:val="32"/>
          <w:szCs w:val="32"/>
        </w:rPr>
        <w:t>2021年一般公共预算支出决算数为6283.68万元</w:t>
      </w:r>
      <w:r>
        <w:rPr>
          <w:rFonts w:hint="eastAsia" w:ascii="仿宋" w:hAnsi="仿宋" w:eastAsia="仿宋"/>
          <w:sz w:val="32"/>
          <w:szCs w:val="32"/>
        </w:rPr>
        <w:t>，</w:t>
      </w:r>
      <w:r>
        <w:rPr>
          <w:rStyle w:val="17"/>
          <w:rFonts w:hint="eastAsia" w:ascii="仿宋" w:hAnsi="仿宋" w:eastAsia="仿宋"/>
          <w:bCs/>
          <w:sz w:val="32"/>
          <w:szCs w:val="32"/>
        </w:rPr>
        <w:t>完成预算91.28</w:t>
      </w:r>
      <w:r>
        <w:rPr>
          <w:rStyle w:val="17"/>
          <w:rFonts w:ascii="仿宋" w:hAnsi="仿宋" w:eastAsia="仿宋"/>
          <w:bCs/>
          <w:sz w:val="32"/>
          <w:szCs w:val="32"/>
        </w:rPr>
        <w:t>%</w:t>
      </w:r>
      <w:r>
        <w:rPr>
          <w:rStyle w:val="17"/>
          <w:rFonts w:hint="eastAsia" w:ascii="仿宋" w:hAnsi="仿宋" w:eastAsia="仿宋"/>
          <w:bCs/>
          <w:sz w:val="32"/>
          <w:szCs w:val="32"/>
        </w:rPr>
        <w:t>。其中：</w:t>
      </w:r>
      <w:bookmarkEnd w:id="50"/>
      <w:bookmarkEnd w:id="51"/>
      <w:bookmarkEnd w:id="52"/>
    </w:p>
    <w:p>
      <w:pPr>
        <w:ind w:firstLine="640" w:firstLineChars="200"/>
        <w:rPr>
          <w:rStyle w:val="17"/>
          <w:rFonts w:ascii="仿宋_GB2312" w:hAnsi="仿宋_GB2312" w:eastAsia="仿宋_GB2312" w:cs="仿宋_GB2312"/>
          <w:b w:val="0"/>
          <w:color w:val="FF0000"/>
          <w:sz w:val="32"/>
          <w:szCs w:val="32"/>
        </w:rPr>
      </w:pPr>
      <w:r>
        <w:rPr>
          <w:rStyle w:val="17"/>
          <w:rFonts w:hint="eastAsia" w:ascii="仿宋_GB2312" w:hAnsi="仿宋_GB2312" w:eastAsia="仿宋_GB2312" w:cs="仿宋_GB2312"/>
          <w:b w:val="0"/>
          <w:sz w:val="32"/>
          <w:szCs w:val="32"/>
        </w:rPr>
        <w:t>1.科学技术支出（类）科学技术管理事务（款）其他科学技术管理事务支出（项）:支出决算为42.72万元，完成预算62.72 %，决算数小于预算数的主要原因是项目跨年，资金结转。</w:t>
      </w:r>
    </w:p>
    <w:p>
      <w:pPr>
        <w:ind w:firstLine="640" w:firstLineChars="200"/>
        <w:rPr>
          <w:rStyle w:val="17"/>
          <w:rFonts w:ascii="仿宋_GB2312" w:hAnsi="仿宋_GB2312" w:eastAsia="仿宋_GB2312" w:cs="仿宋_GB2312"/>
          <w:b w:val="0"/>
          <w:sz w:val="32"/>
          <w:szCs w:val="32"/>
        </w:rPr>
      </w:pPr>
      <w:r>
        <w:rPr>
          <w:rStyle w:val="17"/>
          <w:rFonts w:hint="eastAsia" w:ascii="仿宋_GB2312" w:hAnsi="仿宋_GB2312" w:eastAsia="仿宋_GB2312" w:cs="仿宋_GB2312"/>
          <w:b w:val="0"/>
          <w:sz w:val="32"/>
          <w:szCs w:val="32"/>
        </w:rPr>
        <w:t>2.科学技术支出（类）其他科学技术支出（款）其他科学技术支出（项）:支出决算为16.39万元，完成预算45.10%，决算数小于预算数的主要原因是项目分三年实施，资金结转下年。</w:t>
      </w:r>
    </w:p>
    <w:p>
      <w:pPr>
        <w:ind w:firstLine="640" w:firstLineChars="200"/>
        <w:rPr>
          <w:rStyle w:val="17"/>
          <w:rFonts w:ascii="仿宋_GB2312" w:hAnsi="仿宋_GB2312" w:eastAsia="仿宋_GB2312" w:cs="仿宋_GB2312"/>
          <w:b w:val="0"/>
          <w:sz w:val="32"/>
          <w:szCs w:val="32"/>
        </w:rPr>
      </w:pPr>
      <w:r>
        <w:rPr>
          <w:rStyle w:val="17"/>
          <w:rFonts w:hint="eastAsia" w:ascii="仿宋_GB2312" w:hAnsi="仿宋_GB2312" w:eastAsia="仿宋_GB2312" w:cs="仿宋_GB2312"/>
          <w:b w:val="0"/>
          <w:sz w:val="32"/>
          <w:szCs w:val="32"/>
        </w:rPr>
        <w:t>3.社会保障和就业支出（类）行政事业单位离退休（款）机关事业单位基本养老保险缴费支出（项）: 支出决算为306.64万元，完成预算100%。</w:t>
      </w:r>
    </w:p>
    <w:p>
      <w:pPr>
        <w:ind w:firstLine="640" w:firstLineChars="200"/>
        <w:rPr>
          <w:rStyle w:val="17"/>
          <w:rFonts w:ascii="仿宋_GB2312" w:hAnsi="仿宋_GB2312" w:eastAsia="仿宋_GB2312" w:cs="仿宋_GB2312"/>
          <w:b w:val="0"/>
          <w:sz w:val="32"/>
          <w:szCs w:val="32"/>
        </w:rPr>
      </w:pPr>
      <w:r>
        <w:rPr>
          <w:rStyle w:val="17"/>
          <w:rFonts w:hint="eastAsia" w:ascii="仿宋_GB2312" w:hAnsi="仿宋_GB2312" w:eastAsia="仿宋_GB2312" w:cs="仿宋_GB2312"/>
          <w:b w:val="0"/>
          <w:sz w:val="32"/>
          <w:szCs w:val="32"/>
        </w:rPr>
        <w:t>4.社会保障和就业支出（类）行政事业单位离退休（款）机关事业单位职业年金缴费支出（项）: 支出决算为71.37万元，完成预算100%。</w:t>
      </w:r>
    </w:p>
    <w:p>
      <w:pPr>
        <w:ind w:firstLine="640" w:firstLineChars="200"/>
        <w:rPr>
          <w:rStyle w:val="17"/>
          <w:rFonts w:ascii="仿宋_GB2312" w:hAnsi="仿宋_GB2312" w:eastAsia="仿宋_GB2312" w:cs="仿宋_GB2312"/>
          <w:b w:val="0"/>
          <w:color w:val="000000"/>
          <w:sz w:val="32"/>
          <w:szCs w:val="32"/>
        </w:rPr>
      </w:pPr>
      <w:r>
        <w:rPr>
          <w:rStyle w:val="17"/>
          <w:rFonts w:hint="eastAsia" w:ascii="仿宋_GB2312" w:hAnsi="仿宋_GB2312" w:eastAsia="仿宋_GB2312" w:cs="仿宋_GB2312"/>
          <w:b w:val="0"/>
          <w:color w:val="000000"/>
          <w:sz w:val="32"/>
          <w:szCs w:val="32"/>
        </w:rPr>
        <w:t>5.社会保障和就业（类）抚恤（款）死亡抚恤（项）: 支出决算为30.37万元，完成预算100%。</w:t>
      </w:r>
    </w:p>
    <w:p>
      <w:pPr>
        <w:ind w:firstLine="640" w:firstLineChars="200"/>
        <w:rPr>
          <w:rFonts w:ascii="仿宋_GB2312" w:hAnsi="仿宋_GB2312" w:eastAsia="仿宋_GB2312" w:cs="仿宋_GB2312"/>
          <w:color w:val="000000"/>
          <w:sz w:val="32"/>
          <w:szCs w:val="32"/>
        </w:rPr>
      </w:pPr>
      <w:r>
        <w:rPr>
          <w:rStyle w:val="17"/>
          <w:rFonts w:hint="eastAsia" w:ascii="仿宋_GB2312" w:hAnsi="仿宋_GB2312" w:eastAsia="仿宋_GB2312" w:cs="仿宋_GB2312"/>
          <w:b w:val="0"/>
          <w:color w:val="000000"/>
          <w:sz w:val="32"/>
          <w:szCs w:val="32"/>
        </w:rPr>
        <w:t>6.卫生健康支出（类）行政事业单位医疗（款）行政单位医疗（项）:支出决算为158.45万元，完成预算100%。</w:t>
      </w:r>
    </w:p>
    <w:p>
      <w:pPr>
        <w:ind w:firstLine="640" w:firstLineChars="200"/>
        <w:rPr>
          <w:rStyle w:val="17"/>
          <w:rFonts w:ascii="仿宋_GB2312" w:hAnsi="仿宋_GB2312" w:eastAsia="仿宋_GB2312" w:cs="仿宋_GB2312"/>
          <w:b w:val="0"/>
          <w:sz w:val="32"/>
          <w:szCs w:val="32"/>
        </w:rPr>
      </w:pPr>
      <w:r>
        <w:rPr>
          <w:rStyle w:val="17"/>
          <w:rFonts w:hint="eastAsia" w:ascii="仿宋_GB2312" w:hAnsi="仿宋_GB2312" w:eastAsia="仿宋_GB2312" w:cs="仿宋_GB2312"/>
          <w:b w:val="0"/>
          <w:sz w:val="32"/>
          <w:szCs w:val="32"/>
        </w:rPr>
        <w:t>7.农林水支出（类）农业农村（款）行政运行（项）: 支出决算为2505.81万元，完成预算90.69%，决算数小于预算数的主要原因是项目跨年，资金结转。</w:t>
      </w:r>
    </w:p>
    <w:p>
      <w:pPr>
        <w:ind w:firstLine="640" w:firstLineChars="200"/>
        <w:rPr>
          <w:rStyle w:val="17"/>
          <w:rFonts w:ascii="仿宋_GB2312" w:hAnsi="仿宋_GB2312" w:eastAsia="仿宋_GB2312" w:cs="仿宋_GB2312"/>
          <w:b w:val="0"/>
          <w:sz w:val="32"/>
          <w:szCs w:val="32"/>
        </w:rPr>
      </w:pPr>
      <w:r>
        <w:rPr>
          <w:rStyle w:val="17"/>
          <w:rFonts w:hint="eastAsia" w:ascii="仿宋_GB2312" w:hAnsi="仿宋_GB2312" w:eastAsia="仿宋_GB2312" w:cs="仿宋_GB2312"/>
          <w:b w:val="0"/>
          <w:sz w:val="32"/>
          <w:szCs w:val="32"/>
        </w:rPr>
        <w:t>8.农林水支出（类）农业农村（款）一般行政管理事务（项）: 支出决算为173.88万元，完成预算91.32%，决算数小于预算数的主要原因是项目跨年，资金结转。</w:t>
      </w:r>
    </w:p>
    <w:p>
      <w:pPr>
        <w:ind w:firstLine="420" w:firstLineChars="200"/>
        <w:rPr>
          <w:rStyle w:val="17"/>
          <w:rFonts w:ascii="仿宋_GB2312" w:hAnsi="仿宋_GB2312" w:eastAsia="仿宋_GB2312" w:cs="仿宋_GB2312"/>
          <w:b w:val="0"/>
          <w:sz w:val="32"/>
          <w:szCs w:val="32"/>
        </w:rPr>
      </w:pPr>
      <w:r>
        <w:rPr>
          <w:rFonts w:hint="eastAsia"/>
        </w:rPr>
        <w:t xml:space="preserve">  </w:t>
      </w:r>
      <w:r>
        <w:rPr>
          <w:rStyle w:val="17"/>
          <w:rFonts w:hint="eastAsia" w:ascii="仿宋_GB2312" w:hAnsi="仿宋_GB2312" w:eastAsia="仿宋_GB2312" w:cs="仿宋_GB2312"/>
          <w:b w:val="0"/>
          <w:sz w:val="32"/>
          <w:szCs w:val="32"/>
        </w:rPr>
        <w:t>9.农林水支出（类）农业农村（款）事业运行（项）: 支出决算为1273.18万元，完成预算100%。</w:t>
      </w:r>
    </w:p>
    <w:p>
      <w:pPr>
        <w:ind w:firstLine="640" w:firstLineChars="200"/>
        <w:rPr>
          <w:rStyle w:val="17"/>
          <w:rFonts w:ascii="仿宋_GB2312" w:hAnsi="仿宋_GB2312" w:eastAsia="仿宋_GB2312" w:cs="仿宋_GB2312"/>
          <w:b w:val="0"/>
          <w:color w:val="000000"/>
          <w:sz w:val="32"/>
          <w:szCs w:val="32"/>
        </w:rPr>
      </w:pPr>
      <w:r>
        <w:rPr>
          <w:rStyle w:val="17"/>
          <w:rFonts w:hint="eastAsia" w:ascii="仿宋_GB2312" w:hAnsi="仿宋_GB2312" w:eastAsia="仿宋_GB2312" w:cs="仿宋_GB2312"/>
          <w:b w:val="0"/>
          <w:color w:val="000000"/>
          <w:sz w:val="32"/>
          <w:szCs w:val="32"/>
        </w:rPr>
        <w:t>10.农林水支出（类）农业农村（款）科技转化与推广服务（项）: 支出决算为17.00万元，</w:t>
      </w:r>
      <w:r>
        <w:rPr>
          <w:rStyle w:val="17"/>
          <w:rFonts w:hint="eastAsia" w:ascii="仿宋_GB2312" w:hAnsi="仿宋_GB2312" w:eastAsia="仿宋_GB2312" w:cs="仿宋_GB2312"/>
          <w:b w:val="0"/>
          <w:sz w:val="32"/>
          <w:szCs w:val="32"/>
        </w:rPr>
        <w:t>完成预算100%。</w:t>
      </w:r>
    </w:p>
    <w:p>
      <w:pPr>
        <w:ind w:firstLine="640" w:firstLineChars="200"/>
        <w:rPr>
          <w:rStyle w:val="17"/>
          <w:rFonts w:ascii="仿宋_GB2312" w:hAnsi="仿宋_GB2312" w:eastAsia="仿宋_GB2312" w:cs="仿宋_GB2312"/>
          <w:b w:val="0"/>
          <w:color w:val="000000"/>
          <w:sz w:val="32"/>
          <w:szCs w:val="32"/>
        </w:rPr>
      </w:pPr>
      <w:r>
        <w:rPr>
          <w:rStyle w:val="17"/>
          <w:rFonts w:hint="eastAsia" w:ascii="仿宋_GB2312" w:hAnsi="仿宋_GB2312" w:eastAsia="仿宋_GB2312" w:cs="仿宋_GB2312"/>
          <w:b w:val="0"/>
          <w:color w:val="000000"/>
          <w:sz w:val="32"/>
          <w:szCs w:val="32"/>
        </w:rPr>
        <w:t>11.农林水支出（类）农业农村（款）病虫害防控（项）: 支出决算为354.94万元，</w:t>
      </w:r>
      <w:r>
        <w:rPr>
          <w:rStyle w:val="17"/>
          <w:rFonts w:hint="eastAsia" w:ascii="仿宋_GB2312" w:hAnsi="仿宋_GB2312" w:eastAsia="仿宋_GB2312" w:cs="仿宋_GB2312"/>
          <w:b w:val="0"/>
          <w:sz w:val="32"/>
          <w:szCs w:val="32"/>
        </w:rPr>
        <w:t>完成预算98.07%，与预算基本持平。</w:t>
      </w:r>
    </w:p>
    <w:p>
      <w:pPr>
        <w:ind w:firstLine="640" w:firstLineChars="200"/>
        <w:rPr>
          <w:rStyle w:val="17"/>
          <w:rFonts w:ascii="仿宋_GB2312" w:hAnsi="仿宋_GB2312" w:eastAsia="仿宋_GB2312" w:cs="仿宋_GB2312"/>
          <w:b w:val="0"/>
          <w:sz w:val="32"/>
          <w:szCs w:val="32"/>
        </w:rPr>
      </w:pPr>
      <w:r>
        <w:rPr>
          <w:rStyle w:val="17"/>
          <w:rFonts w:hint="eastAsia" w:ascii="仿宋_GB2312" w:hAnsi="仿宋_GB2312" w:eastAsia="仿宋_GB2312" w:cs="仿宋_GB2312"/>
          <w:b w:val="0"/>
          <w:color w:val="000000"/>
          <w:sz w:val="32"/>
          <w:szCs w:val="32"/>
        </w:rPr>
        <w:t>12.农林水支出（类）农业农村（款）农产品质量安全（项）: 支出决算为166.24万元，</w:t>
      </w:r>
      <w:r>
        <w:rPr>
          <w:rStyle w:val="17"/>
          <w:rFonts w:hint="eastAsia" w:ascii="仿宋_GB2312" w:hAnsi="仿宋_GB2312" w:eastAsia="仿宋_GB2312" w:cs="仿宋_GB2312"/>
          <w:b w:val="0"/>
          <w:sz w:val="32"/>
          <w:szCs w:val="32"/>
        </w:rPr>
        <w:t>完成预算100 %。</w:t>
      </w:r>
    </w:p>
    <w:p>
      <w:pPr>
        <w:ind w:firstLine="640" w:firstLineChars="200"/>
        <w:rPr>
          <w:rStyle w:val="17"/>
          <w:rFonts w:ascii="仿宋_GB2312" w:hAnsi="仿宋_GB2312" w:eastAsia="仿宋_GB2312" w:cs="仿宋_GB2312"/>
          <w:b w:val="0"/>
          <w:sz w:val="32"/>
          <w:szCs w:val="32"/>
        </w:rPr>
      </w:pPr>
      <w:r>
        <w:rPr>
          <w:rStyle w:val="17"/>
          <w:rFonts w:hint="eastAsia" w:ascii="仿宋_GB2312" w:hAnsi="仿宋_GB2312" w:eastAsia="仿宋_GB2312" w:cs="仿宋_GB2312"/>
          <w:b w:val="0"/>
          <w:color w:val="000000"/>
          <w:sz w:val="32"/>
          <w:szCs w:val="32"/>
        </w:rPr>
        <w:t>13.农林水支出（类）农业农村（款）农业生产发展（项）: 支出决算为17.13万元，</w:t>
      </w:r>
      <w:r>
        <w:rPr>
          <w:rStyle w:val="17"/>
          <w:rFonts w:hint="eastAsia" w:ascii="仿宋_GB2312" w:hAnsi="仿宋_GB2312" w:eastAsia="仿宋_GB2312" w:cs="仿宋_GB2312"/>
          <w:b w:val="0"/>
          <w:sz w:val="32"/>
          <w:szCs w:val="32"/>
        </w:rPr>
        <w:t>完成预算89.81%，决算数小于预算数的主要原因是项目跨年，资金结转。</w:t>
      </w:r>
    </w:p>
    <w:p>
      <w:pPr>
        <w:ind w:firstLine="640" w:firstLineChars="200"/>
        <w:rPr>
          <w:rStyle w:val="17"/>
          <w:rFonts w:ascii="仿宋_GB2312" w:hAnsi="仿宋_GB2312" w:eastAsia="仿宋_GB2312" w:cs="仿宋_GB2312"/>
          <w:b w:val="0"/>
          <w:sz w:val="32"/>
          <w:szCs w:val="32"/>
        </w:rPr>
      </w:pPr>
      <w:r>
        <w:rPr>
          <w:rStyle w:val="17"/>
          <w:rFonts w:hint="eastAsia" w:ascii="仿宋_GB2312" w:hAnsi="仿宋_GB2312" w:eastAsia="仿宋_GB2312" w:cs="仿宋_GB2312"/>
          <w:b w:val="0"/>
          <w:color w:val="000000"/>
          <w:sz w:val="32"/>
          <w:szCs w:val="32"/>
        </w:rPr>
        <w:t>14.农林水支出（类）农业农村（款）农产品加工与促销（项）: 支出决算为27.03万元，</w:t>
      </w:r>
      <w:r>
        <w:rPr>
          <w:rStyle w:val="17"/>
          <w:rFonts w:hint="eastAsia" w:ascii="仿宋_GB2312" w:hAnsi="仿宋_GB2312" w:eastAsia="仿宋_GB2312" w:cs="仿宋_GB2312"/>
          <w:b w:val="0"/>
          <w:sz w:val="32"/>
          <w:szCs w:val="32"/>
        </w:rPr>
        <w:t>完成预算100%。</w:t>
      </w:r>
    </w:p>
    <w:p>
      <w:pPr>
        <w:ind w:firstLine="420" w:firstLineChars="200"/>
      </w:pPr>
      <w:r>
        <w:rPr>
          <w:rFonts w:hint="eastAsia"/>
        </w:rPr>
        <w:t xml:space="preserve">   </w:t>
      </w:r>
      <w:r>
        <w:rPr>
          <w:rStyle w:val="17"/>
          <w:rFonts w:hint="eastAsia" w:ascii="仿宋_GB2312" w:hAnsi="仿宋_GB2312" w:eastAsia="仿宋_GB2312" w:cs="仿宋_GB2312"/>
          <w:b w:val="0"/>
          <w:color w:val="000000"/>
          <w:sz w:val="32"/>
          <w:szCs w:val="32"/>
        </w:rPr>
        <w:t>15.农林水支出（类）农业农村（款）农业资源保护修复与利用（项）: 支出决算为30.90万元，</w:t>
      </w:r>
      <w:r>
        <w:rPr>
          <w:rStyle w:val="17"/>
          <w:rFonts w:hint="eastAsia" w:ascii="仿宋_GB2312" w:hAnsi="仿宋_GB2312" w:eastAsia="仿宋_GB2312" w:cs="仿宋_GB2312"/>
          <w:b w:val="0"/>
          <w:sz w:val="32"/>
          <w:szCs w:val="32"/>
        </w:rPr>
        <w:t>完成预算87.55%，决算数小于预算数的主要原因是项目跨年，资金结转。</w:t>
      </w:r>
    </w:p>
    <w:p>
      <w:pPr>
        <w:ind w:firstLine="640" w:firstLineChars="200"/>
        <w:rPr>
          <w:rStyle w:val="17"/>
          <w:rFonts w:ascii="仿宋_GB2312" w:hAnsi="仿宋_GB2312" w:eastAsia="仿宋_GB2312" w:cs="仿宋_GB2312"/>
          <w:b w:val="0"/>
          <w:sz w:val="32"/>
          <w:szCs w:val="32"/>
        </w:rPr>
      </w:pPr>
      <w:r>
        <w:rPr>
          <w:rStyle w:val="17"/>
          <w:rFonts w:hint="eastAsia" w:ascii="仿宋_GB2312" w:hAnsi="仿宋_GB2312" w:eastAsia="仿宋_GB2312" w:cs="仿宋_GB2312"/>
          <w:b w:val="0"/>
          <w:color w:val="000000"/>
          <w:sz w:val="32"/>
          <w:szCs w:val="32"/>
        </w:rPr>
        <w:t>16.农林水支出（类）农业农村（款）其他农业支出（项）: 支出决算为660.50万元</w:t>
      </w:r>
      <w:r>
        <w:rPr>
          <w:rStyle w:val="17"/>
          <w:rFonts w:hint="eastAsia" w:ascii="仿宋_GB2312" w:hAnsi="仿宋_GB2312" w:eastAsia="仿宋_GB2312" w:cs="仿宋_GB2312"/>
          <w:b w:val="0"/>
          <w:color w:val="FF0000"/>
          <w:sz w:val="32"/>
          <w:szCs w:val="32"/>
        </w:rPr>
        <w:t>，</w:t>
      </w:r>
      <w:r>
        <w:rPr>
          <w:rStyle w:val="17"/>
          <w:rFonts w:hint="eastAsia" w:ascii="仿宋_GB2312" w:hAnsi="仿宋_GB2312" w:eastAsia="仿宋_GB2312" w:cs="仿宋_GB2312"/>
          <w:b w:val="0"/>
          <w:sz w:val="32"/>
          <w:szCs w:val="32"/>
        </w:rPr>
        <w:t>完成预算73.03 %，决算数小于预算数的主要原因是项目跨年，资金结转。</w:t>
      </w:r>
    </w:p>
    <w:p>
      <w:pPr>
        <w:ind w:firstLine="640" w:firstLineChars="200"/>
        <w:rPr>
          <w:rStyle w:val="17"/>
          <w:rFonts w:ascii="仿宋_GB2312" w:hAnsi="仿宋_GB2312" w:eastAsia="仿宋_GB2312" w:cs="仿宋_GB2312"/>
          <w:b w:val="0"/>
          <w:sz w:val="32"/>
          <w:szCs w:val="32"/>
        </w:rPr>
      </w:pPr>
      <w:r>
        <w:rPr>
          <w:rStyle w:val="17"/>
          <w:rFonts w:hint="eastAsia" w:ascii="仿宋_GB2312" w:hAnsi="仿宋_GB2312" w:eastAsia="仿宋_GB2312" w:cs="仿宋_GB2312"/>
          <w:b w:val="0"/>
          <w:color w:val="000000"/>
          <w:sz w:val="32"/>
          <w:szCs w:val="32"/>
        </w:rPr>
        <w:t>17.农林水支出（类）扶贫（款）其他扶贫支出（项）: 支出决算为21.21万元，</w:t>
      </w:r>
      <w:r>
        <w:rPr>
          <w:rStyle w:val="17"/>
          <w:rFonts w:hint="eastAsia" w:ascii="仿宋_GB2312" w:hAnsi="仿宋_GB2312" w:eastAsia="仿宋_GB2312" w:cs="仿宋_GB2312"/>
          <w:b w:val="0"/>
          <w:sz w:val="32"/>
          <w:szCs w:val="32"/>
        </w:rPr>
        <w:t>完成预算100 %。</w:t>
      </w:r>
    </w:p>
    <w:p>
      <w:pPr>
        <w:ind w:firstLine="640" w:firstLineChars="200"/>
        <w:rPr>
          <w:rStyle w:val="17"/>
          <w:rFonts w:ascii="仿宋_GB2312" w:hAnsi="仿宋_GB2312" w:eastAsia="仿宋_GB2312" w:cs="仿宋_GB2312"/>
          <w:b w:val="0"/>
          <w:color w:val="FF0000"/>
          <w:sz w:val="32"/>
          <w:szCs w:val="32"/>
        </w:rPr>
      </w:pPr>
      <w:r>
        <w:rPr>
          <w:rStyle w:val="17"/>
          <w:rFonts w:hint="eastAsia" w:ascii="仿宋_GB2312" w:hAnsi="仿宋_GB2312" w:eastAsia="仿宋_GB2312" w:cs="仿宋_GB2312"/>
          <w:b w:val="0"/>
          <w:color w:val="000000"/>
          <w:sz w:val="32"/>
          <w:szCs w:val="32"/>
        </w:rPr>
        <w:t>18.农林水支出（类）其他农林水支出（款）其他农林水支出（项）: 支出决算为6.67万元，</w:t>
      </w:r>
      <w:r>
        <w:rPr>
          <w:rStyle w:val="17"/>
          <w:rFonts w:hint="eastAsia" w:ascii="仿宋_GB2312" w:hAnsi="仿宋_GB2312" w:eastAsia="仿宋_GB2312" w:cs="仿宋_GB2312"/>
          <w:b w:val="0"/>
          <w:sz w:val="32"/>
          <w:szCs w:val="32"/>
        </w:rPr>
        <w:t>完成预算100 %。</w:t>
      </w:r>
    </w:p>
    <w:p>
      <w:pPr>
        <w:ind w:firstLine="640" w:firstLineChars="200"/>
        <w:outlineLvl w:val="2"/>
        <w:rPr>
          <w:rStyle w:val="17"/>
          <w:rFonts w:ascii="仿宋_GB2312" w:hAnsi="仿宋_GB2312" w:eastAsia="仿宋_GB2312" w:cs="仿宋_GB2312"/>
          <w:b w:val="0"/>
          <w:color w:val="000000"/>
          <w:sz w:val="32"/>
          <w:szCs w:val="32"/>
        </w:rPr>
      </w:pPr>
      <w:r>
        <w:rPr>
          <w:rStyle w:val="17"/>
          <w:rFonts w:hint="eastAsia" w:ascii="仿宋_GB2312" w:hAnsi="仿宋_GB2312" w:eastAsia="仿宋_GB2312" w:cs="仿宋_GB2312"/>
          <w:b w:val="0"/>
          <w:color w:val="000000"/>
          <w:sz w:val="32"/>
          <w:szCs w:val="32"/>
        </w:rPr>
        <w:t>19.住房保障支出（类）住房改革支出（款）住房公积金（项）: 支出决算为373.24万元，完成预算100%。</w:t>
      </w:r>
    </w:p>
    <w:p>
      <w:pPr>
        <w:ind w:firstLine="640" w:firstLineChars="200"/>
        <w:outlineLvl w:val="2"/>
        <w:rPr>
          <w:rFonts w:ascii="仿宋_GB2312" w:hAnsi="仿宋_GB2312" w:eastAsia="仿宋_GB2312" w:cs="仿宋_GB2312"/>
          <w:color w:val="FF0000"/>
          <w:sz w:val="32"/>
          <w:szCs w:val="32"/>
        </w:rPr>
      </w:pPr>
      <w:r>
        <w:rPr>
          <w:rStyle w:val="17"/>
          <w:rFonts w:hint="eastAsia" w:ascii="仿宋_GB2312" w:hAnsi="仿宋_GB2312" w:eastAsia="仿宋_GB2312" w:cs="仿宋_GB2312"/>
          <w:b w:val="0"/>
          <w:color w:val="000000"/>
          <w:sz w:val="32"/>
          <w:szCs w:val="32"/>
        </w:rPr>
        <w:t>20.粮油物资储备支出（类）粮食事务（款）其他粮油事务支出（项）: 支出决算为30万元，完成预算55.56%。年底才下达预算指标，项目跨年实施。</w:t>
      </w:r>
    </w:p>
    <w:p>
      <w:pPr>
        <w:tabs>
          <w:tab w:val="right" w:pos="8306"/>
        </w:tabs>
        <w:spacing w:line="600" w:lineRule="exact"/>
        <w:ind w:firstLine="640"/>
        <w:outlineLvl w:val="1"/>
        <w:rPr>
          <w:rStyle w:val="20"/>
        </w:rPr>
      </w:pPr>
      <w:bookmarkStart w:id="53" w:name="_Toc15396608"/>
      <w:bookmarkStart w:id="54" w:name="_Toc15377214"/>
      <w:bookmarkStart w:id="55" w:name="_Toc21740"/>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0"/>
          <w:rFonts w:hint="eastAsia" w:ascii="黑体" w:hAnsi="黑体" w:eastAsia="黑体"/>
          <w:b w:val="0"/>
        </w:rPr>
        <w:t>般公共预算财政拨款基本支出决算情况说明</w:t>
      </w:r>
      <w:bookmarkEnd w:id="53"/>
      <w:bookmarkEnd w:id="54"/>
      <w:bookmarkEnd w:id="55"/>
      <w:r>
        <w:rPr>
          <w:rStyle w:val="2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21年一般公共预算财政拨款基本支出4719.07万元，其中：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4177.63万元，主要包括：基本工资、津贴补贴、奖金、绩效工资、机关事业单位基本养老保险缴费、职工基本医疗保险缴费、职业年金缴费、其他社会保障缴费、其他工资福利支出、抚恤金、生活补助、奖励金、住房公积金等。</w:t>
      </w:r>
      <w:r>
        <w:rPr>
          <w:rFonts w:ascii="仿宋" w:hAnsi="仿宋" w:eastAsia="仿宋"/>
          <w:sz w:val="32"/>
          <w:szCs w:val="32"/>
        </w:rPr>
        <w:br w:type="textWrapping"/>
      </w:r>
      <w:r>
        <w:rPr>
          <w:rFonts w:hint="eastAsia" w:ascii="仿宋" w:hAnsi="仿宋" w:eastAsia="仿宋"/>
          <w:sz w:val="32"/>
          <w:szCs w:val="32"/>
        </w:rPr>
        <w:t>　　公用经费541.44万元，主要包括：办公费、印刷费、手续费、水费、电费、邮电费、物业管理费、差旅费、维修（护）费、会议费、培训费、公务接待费、劳务费、工会经费、福利费、公务用车运行维护费、其他交通费、其他商品和服务支出等。</w:t>
      </w:r>
    </w:p>
    <w:p>
      <w:pPr>
        <w:spacing w:line="600" w:lineRule="exact"/>
        <w:ind w:firstLine="640"/>
        <w:outlineLvl w:val="1"/>
        <w:rPr>
          <w:rStyle w:val="20"/>
          <w:rFonts w:ascii="黑体" w:hAnsi="黑体" w:eastAsia="黑体"/>
          <w:b w:val="0"/>
        </w:rPr>
      </w:pPr>
      <w:bookmarkStart w:id="56" w:name="_Toc15396609"/>
      <w:bookmarkStart w:id="57" w:name="_Toc12213"/>
      <w:bookmarkStart w:id="58" w:name="_Toc15377215"/>
      <w:r>
        <w:rPr>
          <w:rFonts w:hint="eastAsia" w:ascii="黑体" w:eastAsia="黑体"/>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56"/>
      <w:bookmarkEnd w:id="57"/>
      <w:bookmarkEnd w:id="58"/>
    </w:p>
    <w:p>
      <w:pPr>
        <w:spacing w:line="600" w:lineRule="exact"/>
        <w:ind w:firstLine="640"/>
        <w:outlineLvl w:val="2"/>
        <w:rPr>
          <w:rFonts w:ascii="仿宋" w:hAnsi="仿宋" w:eastAsia="仿宋"/>
          <w:b/>
          <w:sz w:val="32"/>
          <w:szCs w:val="32"/>
        </w:rPr>
      </w:pPr>
      <w:bookmarkStart w:id="59" w:name="_Toc15377216"/>
      <w:r>
        <w:rPr>
          <w:rFonts w:hint="eastAsia" w:ascii="仿宋" w:hAnsi="仿宋" w:eastAsia="仿宋"/>
          <w:b/>
          <w:sz w:val="32"/>
          <w:szCs w:val="32"/>
        </w:rPr>
        <w:t>（一）“三公”经费财政拨款支出决算总体情况说明</w:t>
      </w:r>
      <w:bookmarkEnd w:id="5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21年“三公”经费财政拨款支出决算为58.79万元，完成预算80.73</w:t>
      </w:r>
      <w:r>
        <w:rPr>
          <w:rFonts w:ascii="仿宋" w:hAnsi="仿宋" w:eastAsia="仿宋"/>
          <w:sz w:val="32"/>
          <w:szCs w:val="32"/>
        </w:rPr>
        <w:t>%</w:t>
      </w:r>
      <w:r>
        <w:rPr>
          <w:rFonts w:hint="eastAsia" w:ascii="仿宋" w:hAnsi="仿宋" w:eastAsia="仿宋"/>
          <w:sz w:val="32"/>
          <w:szCs w:val="32"/>
        </w:rPr>
        <w:t>，决算数小于预算数的主要原因是</w:t>
      </w:r>
      <w:r>
        <w:rPr>
          <w:rFonts w:hint="eastAsia" w:ascii="仿宋_GB2312" w:hAnsi="仿宋_GB2312" w:eastAsia="仿宋_GB2312" w:cs="仿宋_GB2312"/>
          <w:color w:val="000000"/>
          <w:sz w:val="32"/>
          <w:szCs w:val="32"/>
        </w:rPr>
        <w:t>严格控制“三公经费”开支范围和压缩“三公”经费开支。</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60" w:name="_Toc15377217"/>
      <w:r>
        <w:rPr>
          <w:rFonts w:hint="eastAsia" w:ascii="仿宋" w:hAnsi="仿宋" w:eastAsia="仿宋"/>
          <w:b/>
          <w:sz w:val="32"/>
          <w:szCs w:val="32"/>
        </w:rPr>
        <w:t>（二）“三公”经费财政拨款支出决算具体情况说明</w:t>
      </w:r>
      <w:bookmarkEnd w:id="6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；公务用车购置及运行维护费支出决算52.66万元，占89.57</w:t>
      </w:r>
      <w:r>
        <w:rPr>
          <w:rFonts w:ascii="仿宋" w:hAnsi="仿宋" w:eastAsia="仿宋"/>
          <w:sz w:val="32"/>
          <w:szCs w:val="32"/>
        </w:rPr>
        <w:t>%</w:t>
      </w:r>
      <w:r>
        <w:rPr>
          <w:rFonts w:hint="eastAsia" w:ascii="仿宋" w:hAnsi="仿宋" w:eastAsia="仿宋"/>
          <w:sz w:val="32"/>
          <w:szCs w:val="32"/>
        </w:rPr>
        <w:t>；公务接待费支出决算6.13万元，占10.43</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pPr>
      <w:r>
        <w:rPr>
          <w:rFonts w:hint="eastAsia" w:ascii="仿宋" w:hAnsi="仿宋" w:eastAsia="仿宋"/>
          <w:sz w:val="32"/>
          <w:szCs w:val="32"/>
        </w:rPr>
        <w:t>（图7：“三公”经费财政拨款支出结构）</w:t>
      </w:r>
    </w:p>
    <w:p>
      <w:pPr>
        <w:pStyle w:val="2"/>
        <w:spacing w:before="93"/>
        <w:jc w:val="center"/>
      </w:pPr>
      <w:r>
        <w:rPr>
          <w:rFonts w:hint="eastAsia"/>
        </w:rPr>
        <w:drawing>
          <wp:inline distT="0" distB="0" distL="0" distR="0">
            <wp:extent cx="5267325" cy="2486025"/>
            <wp:effectExtent l="19050" t="0" r="9525"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ascii="仿宋" w:hAnsi="仿宋" w:eastAsia="仿宋"/>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0万元，年初未安排预算</w:t>
      </w:r>
      <w:r>
        <w:rPr>
          <w:rStyle w:val="17"/>
          <w:rFonts w:hint="eastAsia" w:ascii="仿宋" w:hAnsi="仿宋" w:eastAsia="仿宋"/>
          <w:b w:val="0"/>
          <w:bCs/>
          <w:sz w:val="32"/>
          <w:szCs w:val="32"/>
        </w:rPr>
        <w:t>。</w:t>
      </w:r>
      <w:r>
        <w:rPr>
          <w:rFonts w:hint="eastAsia" w:ascii="仿宋" w:hAnsi="仿宋" w:eastAsia="仿宋"/>
          <w:sz w:val="32"/>
          <w:szCs w:val="32"/>
        </w:rPr>
        <w:t>因公出国</w:t>
      </w:r>
      <w:r>
        <w:rPr>
          <w:rFonts w:hint="eastAsia" w:ascii="仿宋_GB2312" w:eastAsia="仿宋_GB2312"/>
          <w:sz w:val="32"/>
          <w:szCs w:val="32"/>
        </w:rPr>
        <w:t>（境）</w:t>
      </w:r>
      <w:r>
        <w:rPr>
          <w:rFonts w:hint="eastAsia" w:ascii="仿宋" w:hAnsi="仿宋" w:eastAsia="仿宋"/>
          <w:sz w:val="32"/>
          <w:szCs w:val="32"/>
        </w:rPr>
        <w:t>支出决算较2020年无变化</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52.66万元,</w:t>
      </w:r>
      <w:r>
        <w:rPr>
          <w:rStyle w:val="17"/>
          <w:rFonts w:hint="eastAsia" w:ascii="仿宋" w:hAnsi="仿宋" w:eastAsia="仿宋"/>
          <w:b w:val="0"/>
          <w:bCs/>
          <w:sz w:val="32"/>
          <w:szCs w:val="32"/>
        </w:rPr>
        <w:t>完成预算83.83</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20年减少28.20万元，下降34.88</w:t>
      </w:r>
      <w:r>
        <w:rPr>
          <w:rFonts w:ascii="仿宋_GB2312" w:eastAsia="仿宋_GB2312"/>
          <w:sz w:val="32"/>
          <w:szCs w:val="32"/>
        </w:rPr>
        <w:t>%</w:t>
      </w:r>
      <w:r>
        <w:rPr>
          <w:rFonts w:hint="eastAsia" w:ascii="仿宋_GB2312" w:eastAsia="仿宋_GB2312"/>
          <w:sz w:val="32"/>
          <w:szCs w:val="32"/>
        </w:rPr>
        <w:t>。主要原因是202</w:t>
      </w:r>
      <w:r>
        <w:rPr>
          <w:rFonts w:hint="eastAsia" w:ascii="仿宋_GB2312" w:eastAsia="仿宋_GB2312"/>
          <w:sz w:val="32"/>
          <w:szCs w:val="32"/>
          <w:lang w:val="en-US" w:eastAsia="zh-CN"/>
        </w:rPr>
        <w:t>1</w:t>
      </w:r>
      <w:r>
        <w:rPr>
          <w:rFonts w:hint="eastAsia" w:ascii="仿宋_GB2312" w:eastAsia="仿宋_GB2312"/>
          <w:sz w:val="32"/>
          <w:szCs w:val="32"/>
        </w:rPr>
        <w:t>年未新购置公务用车。</w:t>
      </w:r>
      <w:bookmarkStart w:id="111" w:name="_GoBack"/>
      <w:bookmarkEnd w:id="111"/>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0万元。全年按规定更新购置公务用车0辆。截止2021年12月底单位公务用车10辆，其中：轿车1 辆，越野车9 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52.66万元。主要用于</w:t>
      </w:r>
      <w:r>
        <w:rPr>
          <w:rFonts w:hint="eastAsia" w:ascii="仿宋_GB2312" w:hAnsi="仿宋_GB2312" w:eastAsia="仿宋_GB2312" w:cs="仿宋_GB2312"/>
          <w:color w:val="000000"/>
          <w:sz w:val="32"/>
          <w:szCs w:val="32"/>
        </w:rPr>
        <w:t>农业生产、农业执法、农产品质量安全检测、农业支持保护补贴、农产品品牌打造、禁捕退捕、水产品抽样等工作</w:t>
      </w:r>
      <w:r>
        <w:rPr>
          <w:rFonts w:hint="eastAsia" w:ascii="仿宋_GB2312" w:eastAsia="仿宋_GB2312"/>
          <w:sz w:val="32"/>
          <w:szCs w:val="32"/>
        </w:rPr>
        <w:t>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6.13万元，</w:t>
      </w:r>
      <w:r>
        <w:rPr>
          <w:rStyle w:val="17"/>
          <w:rFonts w:hint="eastAsia" w:ascii="仿宋" w:hAnsi="仿宋" w:eastAsia="仿宋"/>
          <w:b w:val="0"/>
          <w:bCs/>
          <w:sz w:val="32"/>
          <w:szCs w:val="32"/>
        </w:rPr>
        <w:t>完成预算61.30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20年减少0.52万元，下降7.82</w:t>
      </w:r>
      <w:r>
        <w:rPr>
          <w:rFonts w:ascii="仿宋_GB2312" w:eastAsia="仿宋_GB2312"/>
          <w:sz w:val="32"/>
          <w:szCs w:val="32"/>
        </w:rPr>
        <w:t>%</w:t>
      </w:r>
      <w:r>
        <w:rPr>
          <w:rFonts w:hint="eastAsia" w:ascii="仿宋_GB2312" w:eastAsia="仿宋_GB2312"/>
          <w:sz w:val="32"/>
          <w:szCs w:val="32"/>
        </w:rPr>
        <w:t>。主要原因是公务接待批次和人数较上年减少。其中：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6.13</w:t>
      </w:r>
      <w:r>
        <w:rPr>
          <w:rFonts w:hint="eastAsia" w:ascii="仿宋_GB2312" w:eastAsia="仿宋_GB2312"/>
          <w:sz w:val="32"/>
          <w:szCs w:val="32"/>
        </w:rPr>
        <w:t>万元，主要用于执行公务、开展业务活动开支的用餐费。国内公务接待56批次，520人次（不包括陪同人员），共计支出6.13万元，</w:t>
      </w:r>
      <w:r>
        <w:rPr>
          <w:rFonts w:hint="eastAsia" w:ascii="仿宋_GB2312" w:hAnsi="仿宋_GB2312" w:eastAsia="仿宋_GB2312" w:cs="仿宋_GB2312"/>
          <w:color w:val="000000"/>
          <w:sz w:val="32"/>
          <w:szCs w:val="32"/>
        </w:rPr>
        <w:t>主要用于招商引资3.4万元、农产品飞行抽样2.73万元等公务接待。</w:t>
      </w:r>
    </w:p>
    <w:p>
      <w:pPr>
        <w:spacing w:line="600" w:lineRule="exact"/>
        <w:ind w:firstLine="640"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bookmarkStart w:id="61" w:name="_Toc15377218"/>
      <w:bookmarkStart w:id="62" w:name="_Toc15396610"/>
    </w:p>
    <w:p>
      <w:pPr>
        <w:spacing w:line="600" w:lineRule="exact"/>
        <w:ind w:firstLine="640"/>
        <w:outlineLvl w:val="1"/>
        <w:rPr>
          <w:rStyle w:val="20"/>
          <w:rFonts w:ascii="黑体" w:hAnsi="黑体" w:eastAsia="黑体"/>
        </w:rPr>
      </w:pPr>
      <w:bookmarkStart w:id="63" w:name="_Toc9584"/>
      <w:r>
        <w:rPr>
          <w:rFonts w:hint="eastAsia" w:ascii="黑体" w:eastAsia="黑体"/>
          <w:sz w:val="32"/>
          <w:szCs w:val="32"/>
        </w:rPr>
        <w:t>八、</w:t>
      </w:r>
      <w:r>
        <w:rPr>
          <w:rStyle w:val="20"/>
          <w:rFonts w:hint="eastAsia" w:ascii="黑体" w:hAnsi="黑体" w:eastAsia="黑体"/>
          <w:b w:val="0"/>
        </w:rPr>
        <w:t>政府性基金预算支出决算情况说明</w:t>
      </w:r>
      <w:bookmarkEnd w:id="61"/>
      <w:bookmarkEnd w:id="62"/>
      <w:bookmarkEnd w:id="63"/>
    </w:p>
    <w:p>
      <w:pPr>
        <w:spacing w:line="600" w:lineRule="exact"/>
        <w:ind w:firstLine="640"/>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2"/>
        </w:numPr>
        <w:spacing w:line="600" w:lineRule="exact"/>
        <w:ind w:firstLine="640"/>
        <w:outlineLvl w:val="1"/>
        <w:rPr>
          <w:rStyle w:val="20"/>
          <w:rFonts w:ascii="黑体" w:hAnsi="黑体" w:eastAsia="黑体"/>
          <w:b w:val="0"/>
        </w:rPr>
      </w:pPr>
      <w:bookmarkStart w:id="64" w:name="_Toc15377219"/>
      <w:bookmarkStart w:id="65" w:name="_Toc15396611"/>
      <w:bookmarkStart w:id="66" w:name="_Toc22636"/>
      <w:r>
        <w:rPr>
          <w:rStyle w:val="20"/>
          <w:rFonts w:hint="eastAsia" w:ascii="黑体" w:hAnsi="黑体" w:eastAsia="黑体"/>
          <w:b w:val="0"/>
        </w:rPr>
        <w:t>国有资本经营预算支出决算情况说明</w:t>
      </w:r>
      <w:bookmarkEnd w:id="64"/>
      <w:bookmarkEnd w:id="65"/>
      <w:bookmarkEnd w:id="66"/>
    </w:p>
    <w:p>
      <w:pPr>
        <w:spacing w:line="600" w:lineRule="exact"/>
        <w:ind w:firstLine="640"/>
      </w:pPr>
      <w:r>
        <w:rPr>
          <w:rFonts w:ascii="仿宋_GB2312" w:eastAsia="仿宋_GB2312"/>
          <w:sz w:val="32"/>
          <w:szCs w:val="32"/>
        </w:rPr>
        <w:t>20</w:t>
      </w:r>
      <w:r>
        <w:rPr>
          <w:rFonts w:hint="eastAsia" w:ascii="仿宋_GB2312" w:eastAsia="仿宋_GB2312"/>
          <w:sz w:val="32"/>
          <w:szCs w:val="32"/>
        </w:rPr>
        <w:t>21年国有资本经营预算财政拨款支出0万元。</w:t>
      </w:r>
      <w:bookmarkStart w:id="67" w:name="_Toc15377221"/>
      <w:bookmarkStart w:id="68" w:name="_Toc15396612"/>
    </w:p>
    <w:p>
      <w:pPr>
        <w:numPr>
          <w:ilvl w:val="0"/>
          <w:numId w:val="2"/>
        </w:numPr>
        <w:spacing w:line="600" w:lineRule="exact"/>
        <w:ind w:firstLine="640"/>
        <w:outlineLvl w:val="1"/>
        <w:rPr>
          <w:rStyle w:val="20"/>
          <w:rFonts w:ascii="黑体" w:hAnsi="黑体" w:eastAsia="黑体"/>
          <w:b w:val="0"/>
        </w:rPr>
      </w:pPr>
      <w:bookmarkStart w:id="69" w:name="_Toc20389"/>
      <w:r>
        <w:rPr>
          <w:rStyle w:val="20"/>
          <w:rFonts w:hint="eastAsia" w:ascii="黑体" w:hAnsi="黑体" w:eastAsia="黑体"/>
          <w:b w:val="0"/>
        </w:rPr>
        <w:t>预算绩效管理情况</w:t>
      </w:r>
      <w:bookmarkEnd w:id="69"/>
    </w:p>
    <w:p>
      <w:pPr>
        <w:spacing w:line="600" w:lineRule="exact"/>
        <w:ind w:firstLine="640" w:firstLineChars="200"/>
        <w:outlineLvl w:val="1"/>
      </w:pPr>
      <w:bookmarkStart w:id="70" w:name="_Toc4961"/>
      <w:r>
        <w:rPr>
          <w:rFonts w:hint="eastAsia" w:ascii="仿宋_GB2312" w:hAnsi="仿宋_GB2312" w:eastAsia="仿宋_GB2312" w:cs="仿宋_GB2312"/>
          <w:sz w:val="32"/>
          <w:szCs w:val="32"/>
        </w:rPr>
        <w:t>根据预算绩效管理要求，本部门在2021年度预算编制阶段，组织对“三农”工作经费项目等7个项目开展了预算事前绩效评估，对7个项目编制了绩效目标，预算执行过程中，选取10个项目开展绩效监控，年终执行完毕后，对12个项目开展了绩效自评。同时，本部门对2021年部门整体开展绩效自评，《2021年农业农村局部门整体绩效评价报告》见附件（第四部分）。</w:t>
      </w:r>
      <w:bookmarkEnd w:id="70"/>
    </w:p>
    <w:p>
      <w:pPr>
        <w:numPr>
          <w:ilvl w:val="0"/>
          <w:numId w:val="2"/>
        </w:numPr>
        <w:spacing w:line="600" w:lineRule="exact"/>
        <w:ind w:firstLine="640"/>
        <w:outlineLvl w:val="1"/>
        <w:rPr>
          <w:rStyle w:val="20"/>
          <w:rFonts w:ascii="黑体" w:hAnsi="黑体" w:eastAsia="黑体"/>
          <w:b w:val="0"/>
        </w:rPr>
      </w:pPr>
      <w:bookmarkStart w:id="71" w:name="_Toc32295"/>
      <w:r>
        <w:rPr>
          <w:rStyle w:val="20"/>
          <w:rFonts w:hint="eastAsia" w:ascii="黑体" w:hAnsi="黑体" w:eastAsia="黑体"/>
          <w:b w:val="0"/>
        </w:rPr>
        <w:t>其他重要事项的情况说明</w:t>
      </w:r>
      <w:bookmarkEnd w:id="67"/>
      <w:bookmarkEnd w:id="68"/>
      <w:bookmarkEnd w:id="71"/>
    </w:p>
    <w:p>
      <w:pPr>
        <w:spacing w:line="600" w:lineRule="exact"/>
        <w:ind w:firstLine="640" w:firstLineChars="200"/>
        <w:outlineLvl w:val="2"/>
        <w:rPr>
          <w:rFonts w:ascii="仿宋" w:hAnsi="仿宋" w:eastAsia="仿宋"/>
          <w:sz w:val="32"/>
          <w:szCs w:val="32"/>
        </w:rPr>
      </w:pPr>
      <w:bookmarkStart w:id="72" w:name="_Toc15377222"/>
      <w:r>
        <w:rPr>
          <w:rFonts w:hint="eastAsia" w:ascii="仿宋" w:hAnsi="仿宋" w:eastAsia="仿宋"/>
          <w:b/>
          <w:sz w:val="32"/>
          <w:szCs w:val="32"/>
        </w:rPr>
        <w:t>（一）机关运行经费支出情况</w:t>
      </w:r>
      <w:bookmarkEnd w:id="7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21年，市农业农村局机关运行经费支出541.44万元，比</w:t>
      </w:r>
      <w:r>
        <w:rPr>
          <w:rFonts w:ascii="仿宋_GB2312" w:eastAsia="仿宋_GB2312"/>
          <w:sz w:val="32"/>
          <w:szCs w:val="32"/>
        </w:rPr>
        <w:t>20</w:t>
      </w:r>
      <w:r>
        <w:rPr>
          <w:rFonts w:hint="eastAsia" w:ascii="仿宋_GB2312" w:eastAsia="仿宋_GB2312"/>
          <w:sz w:val="32"/>
          <w:szCs w:val="32"/>
        </w:rPr>
        <w:t>20年减少28.33万元，下降4.97</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color w:val="000000"/>
          <w:sz w:val="32"/>
          <w:szCs w:val="32"/>
        </w:rPr>
        <w:t>按照中央、省、市关于“过紧日子”有关要求，进一步深化财务改革，加强财务管理，压缩各项开支。</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73" w:name="_Toc15377223"/>
      <w:r>
        <w:rPr>
          <w:rFonts w:hint="eastAsia" w:ascii="仿宋" w:hAnsi="仿宋" w:eastAsia="仿宋"/>
          <w:b/>
          <w:sz w:val="32"/>
          <w:szCs w:val="32"/>
        </w:rPr>
        <w:t>（二）政府采购支出情况</w:t>
      </w:r>
      <w:bookmarkEnd w:id="7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21年，市农业农村局政府采购支出总额399.87万元，其中：政府采购货物支出310.01万元、政府采购服务支出89.86万元。主要用于日常办公、试验室检测、动物疫情防控、参加农业博览会。</w:t>
      </w:r>
      <w:r>
        <w:rPr>
          <w:rFonts w:hint="eastAsia" w:ascii="仿宋_GB2312" w:hAnsi="仿宋_GB2312" w:eastAsia="仿宋_GB2312" w:cs="仿宋_GB2312"/>
          <w:sz w:val="32"/>
          <w:szCs w:val="32"/>
        </w:rPr>
        <w:t>授予中小企业合同金额399.87万元，占政府采购支出总额的100%，其中：授予小微企业合同金额399.87万元，占政府采购支出总额的100%。</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74" w:name="_Toc15377224"/>
      <w:r>
        <w:rPr>
          <w:rFonts w:hint="eastAsia" w:ascii="仿宋" w:hAnsi="仿宋" w:eastAsia="仿宋"/>
          <w:b/>
          <w:sz w:val="32"/>
          <w:szCs w:val="32"/>
        </w:rPr>
        <w:t>（三）国有资产占有使用情况</w:t>
      </w:r>
      <w:bookmarkEnd w:id="7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日，市农业农村局共有车辆10辆，其中：应急保障用车1辆、执法执勤用车3辆，特种专业技术用车3辆，其他公务用车3辆，其他用车主要是</w:t>
      </w:r>
      <w:r>
        <w:rPr>
          <w:rFonts w:hint="eastAsia" w:ascii="仿宋_GB2312" w:hAnsi="仿宋_GB2312" w:eastAsia="仿宋_GB2312" w:cs="仿宋_GB2312"/>
          <w:color w:val="000000"/>
          <w:sz w:val="32"/>
          <w:szCs w:val="32"/>
        </w:rPr>
        <w:t>主要是用于农产品质量安全、植物检测、水产品抽样等工作。</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万元以上通用设备7台（套），单价</w:t>
      </w:r>
      <w:r>
        <w:rPr>
          <w:rFonts w:ascii="仿宋_GB2312" w:eastAsia="仿宋_GB2312"/>
          <w:sz w:val="32"/>
          <w:szCs w:val="32"/>
        </w:rPr>
        <w:t>100</w:t>
      </w:r>
      <w:r>
        <w:rPr>
          <w:rFonts w:hint="eastAsia" w:ascii="仿宋_GB2312" w:eastAsia="仿宋_GB2312"/>
          <w:sz w:val="32"/>
          <w:szCs w:val="32"/>
        </w:rPr>
        <w:t>万元以上专用设备0台（套）。</w:t>
      </w:r>
    </w:p>
    <w:p>
      <w:pPr>
        <w:pStyle w:val="2"/>
        <w:spacing w:before="93"/>
      </w:pPr>
    </w:p>
    <w:p>
      <w:pPr>
        <w:rPr>
          <w:rStyle w:val="19"/>
          <w:rFonts w:ascii="黑体" w:hAnsi="黑体" w:eastAsia="黑体"/>
          <w:b w:val="0"/>
        </w:rPr>
      </w:pPr>
      <w:bookmarkStart w:id="75" w:name="_Toc15396613"/>
      <w:bookmarkStart w:id="76" w:name="_Toc15377225"/>
      <w:r>
        <w:rPr>
          <w:rFonts w:hint="eastAsia" w:ascii="黑体" w:hAnsi="黑体" w:eastAsia="黑体"/>
          <w:sz w:val="44"/>
          <w:szCs w:val="44"/>
        </w:rPr>
        <w:br w:type="page"/>
      </w:r>
    </w:p>
    <w:p>
      <w:pPr>
        <w:numPr>
          <w:ilvl w:val="0"/>
          <w:numId w:val="3"/>
        </w:numPr>
        <w:spacing w:line="600" w:lineRule="exact"/>
        <w:ind w:firstLine="660" w:firstLineChars="150"/>
        <w:jc w:val="center"/>
        <w:outlineLvl w:val="0"/>
        <w:rPr>
          <w:rStyle w:val="19"/>
          <w:rFonts w:ascii="黑体" w:hAnsi="黑体" w:eastAsia="黑体"/>
          <w:b w:val="0"/>
        </w:rPr>
      </w:pPr>
      <w:bookmarkStart w:id="77" w:name="_Toc17747"/>
      <w:r>
        <w:rPr>
          <w:rFonts w:hint="eastAsia" w:ascii="黑体" w:hAnsi="黑体" w:eastAsia="黑体"/>
          <w:sz w:val="44"/>
          <w:szCs w:val="44"/>
        </w:rPr>
        <w:t>名</w:t>
      </w:r>
      <w:r>
        <w:rPr>
          <w:rStyle w:val="19"/>
          <w:rFonts w:hint="eastAsia" w:ascii="黑体" w:hAnsi="黑体" w:eastAsia="黑体"/>
          <w:b w:val="0"/>
        </w:rPr>
        <w:t>词解释</w:t>
      </w:r>
      <w:bookmarkEnd w:id="75"/>
      <w:bookmarkEnd w:id="76"/>
      <w:bookmarkEnd w:id="77"/>
    </w:p>
    <w:p>
      <w:pPr>
        <w:spacing w:line="600" w:lineRule="exact"/>
        <w:jc w:val="left"/>
        <w:rPr>
          <w:rFonts w:ascii="宋体"/>
          <w:b/>
          <w:sz w:val="44"/>
          <w:szCs w:val="44"/>
        </w:rPr>
      </w:pPr>
    </w:p>
    <w:p>
      <w:pPr>
        <w:pStyle w:val="28"/>
        <w:ind w:firstLine="640" w:firstLineChars="200"/>
        <w:rPr>
          <w:rFonts w:ascii="仿宋_GB2312" w:hAnsi="仿宋_GB2312" w:eastAsia="仿宋_GB2312" w:cs="仿宋_GB2312"/>
          <w:sz w:val="32"/>
          <w:szCs w:val="32"/>
        </w:rPr>
      </w:pPr>
      <w:bookmarkStart w:id="78" w:name="_Toc15377226"/>
      <w:r>
        <w:rPr>
          <w:rFonts w:hint="eastAsia" w:ascii="仿宋_GB2312" w:hAnsi="仿宋_GB2312" w:eastAsia="仿宋_GB2312" w:cs="仿宋_GB2312"/>
          <w:sz w:val="32"/>
          <w:szCs w:val="32"/>
        </w:rPr>
        <w:t>1.财政拨款收入：指单位从同级财政部门取得的财政预算资金。</w:t>
      </w:r>
    </w:p>
    <w:p>
      <w:pPr>
        <w:pStyle w:val="28"/>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2.其他收入：指单位取得的除上述收入以外的各项收入。主要是</w:t>
      </w:r>
      <w:r>
        <w:rPr>
          <w:rFonts w:hint="eastAsia" w:ascii="仿宋_GB2312" w:hAnsi="仿宋_GB2312" w:eastAsia="仿宋_GB2312" w:cs="仿宋_GB2312"/>
          <w:color w:val="auto"/>
          <w:sz w:val="32"/>
          <w:szCs w:val="32"/>
        </w:rPr>
        <w:t>省厅拨入项目经费。</w:t>
      </w:r>
      <w:r>
        <w:rPr>
          <w:rFonts w:hint="eastAsia" w:ascii="仿宋_GB2312" w:hAnsi="仿宋_GB2312" w:eastAsia="仿宋_GB2312" w:cs="仿宋_GB2312"/>
          <w:sz w:val="32"/>
          <w:szCs w:val="32"/>
        </w:rPr>
        <w:t>。</w:t>
      </w:r>
    </w:p>
    <w:p>
      <w:pPr>
        <w:pStyle w:val="28"/>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3.年初结转和结余：指以前年度尚未完成、结转到本年按有关规定继续使用的资金。</w:t>
      </w:r>
    </w:p>
    <w:p>
      <w:pPr>
        <w:pStyle w:val="28"/>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4、年末结转和结余：指单位按有关规定结转到下年或以后年度继续使用的资金。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5.科学技术（类）其他科学技术支出（款）其他科学技术支出（项）：指除以上各项外用于科技方面的支出。</w:t>
      </w:r>
    </w:p>
    <w:p>
      <w:pPr>
        <w:pStyle w:val="28"/>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6.社会保障和就业（类）行政事业单位离退休（款）机关事业单位基本养老保险缴费支出（项）：指机关事业单位实施养老保险制度由单位缴纳的基本养老保险费支出。</w:t>
      </w:r>
    </w:p>
    <w:p>
      <w:pPr>
        <w:pStyle w:val="28"/>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7.社会保障和就业（类）抚恤（款）死亡抚恤（项）：指按规定用于烈士和牺牲、病故人员家属的一次性和定期抚恤金以及丧葬补助费。</w:t>
      </w:r>
    </w:p>
    <w:p>
      <w:pPr>
        <w:pStyle w:val="28"/>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医疗卫生与计划生育支出（类）行政事业单位医疗（款）行政单位医疗（项）：指财政部门集中安排的行政单位基本医疗保险缴费经费，未参加医疗保险的行政单位的公费医疗经费，按国家规定享受离休人员、红军战士待遇人员的医疗经费。</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9.社会保障和就业支出（类）行政事业单位养老（款）机关事业单位职业年金缴费支出（项）：指反映机关事业单位实施养老保险制度由单位实际缴纳的职业年金支出。</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sz w:val="32"/>
          <w:szCs w:val="32"/>
        </w:rPr>
        <w:t>农林水支出（类）农业农村（款）行政运行（项）：指行政单位（包括实行公务员管理的事业单位）的基本支出。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sz w:val="32"/>
          <w:szCs w:val="32"/>
        </w:rPr>
        <w:t>农林水支出（类）农业农村（款）一般行政管理事务（项）：指行政单位（包括实行公务员管理的事业单位）未单独设置项级科目的其他项目支出。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12.</w:t>
      </w:r>
      <w:r>
        <w:rPr>
          <w:rFonts w:hint="eastAsia" w:ascii="仿宋_GB2312" w:hAnsi="仿宋_GB2312" w:eastAsia="仿宋_GB2312" w:cs="仿宋_GB2312"/>
          <w:sz w:val="32"/>
          <w:szCs w:val="32"/>
        </w:rPr>
        <w:t>农林水支出（类）农业农村（款）科技转化与推广服务（项）：指用于农业科技成果转化，农业新品种、新机具、新技术引进、试验、示范、推广及服务等方面的支出。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13.</w:t>
      </w:r>
      <w:r>
        <w:rPr>
          <w:rFonts w:hint="eastAsia" w:ascii="仿宋_GB2312" w:hAnsi="仿宋_GB2312" w:eastAsia="仿宋_GB2312" w:cs="仿宋_GB2312"/>
          <w:sz w:val="32"/>
          <w:szCs w:val="32"/>
        </w:rPr>
        <w:t>农林水支出（类）农业农村（款）病虫害控制（项）：指用于病虫鼠害及疫情监测、预报、预防、控制、检疫、防疫所需的仪器、设施、药物、疫苗、种苗，疫畜（禽、鱼、植物）防治、扑杀补偿及劳务补助、菌（毒）种保藏及动植物及其 产品检疫、检测等方面的支出。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14.</w:t>
      </w:r>
      <w:r>
        <w:rPr>
          <w:rFonts w:hint="eastAsia" w:ascii="仿宋_GB2312" w:hAnsi="仿宋_GB2312" w:eastAsia="仿宋_GB2312" w:cs="仿宋_GB2312"/>
          <w:sz w:val="32"/>
          <w:szCs w:val="32"/>
        </w:rPr>
        <w:t>农林水支出（类）农业农村（款）农产品质量安全（项）：指用于农业质量标准制定、实施的监督，投入品监管、残留监控，农产品质量认证、普查、标准化生产示范等方面的支出。</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r>
        <w:rPr>
          <w:rFonts w:hint="eastAsia" w:ascii="仿宋_GB2312" w:hAnsi="仿宋_GB2312" w:eastAsia="仿宋_GB2312" w:cs="仿宋_GB2312"/>
          <w:sz w:val="32"/>
          <w:szCs w:val="32"/>
        </w:rPr>
        <w:t>农林水支出（类）农业农村（款）事业运行（项）：指反映用于农业事业单位基本支出，事业单位设施、系统运行与资产维护等方面的支出。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16.</w:t>
      </w:r>
      <w:r>
        <w:rPr>
          <w:rFonts w:hint="eastAsia" w:ascii="仿宋_GB2312" w:hAnsi="仿宋_GB2312" w:eastAsia="仿宋_GB2312" w:cs="仿宋_GB2312"/>
          <w:sz w:val="32"/>
          <w:szCs w:val="32"/>
        </w:rPr>
        <w:t>农林水支出（类）农业农村（款）农业生产发展（项）：指反映用于耕地地力保护、适度规模经营、农机购置补贴、优势特色主导产业发展、畜牧水产发展、农村一二三产业融合等方面支出。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17.</w:t>
      </w:r>
      <w:r>
        <w:rPr>
          <w:rFonts w:hint="eastAsia" w:ascii="仿宋_GB2312" w:hAnsi="仿宋_GB2312" w:eastAsia="仿宋_GB2312" w:cs="仿宋_GB2312"/>
          <w:sz w:val="32"/>
          <w:szCs w:val="32"/>
        </w:rPr>
        <w:t>农林水支出（类）农业农村（款）农产品加工与促销（项）：指用于促进农产品加工、储藏、运输、国内外大型农产品展示、交易、产销衔接、开拓国内外农产品市场及农业产业化发展等发展的支出。</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w:t>
      </w:r>
      <w:r>
        <w:rPr>
          <w:rFonts w:hint="eastAsia" w:ascii="仿宋_GB2312" w:hAnsi="仿宋_GB2312" w:eastAsia="仿宋_GB2312" w:cs="仿宋_GB2312"/>
          <w:sz w:val="32"/>
          <w:szCs w:val="32"/>
        </w:rPr>
        <w:t>农林水支出（类）农业农村（款）其他农业支出（项）：指除上述项目以外其他用于农业方面的支出。</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19.农林水支出（类）农业农村（款）农业资源保护修复与利用（项）：指反映用于耕地质量保护、草原草场利用，渔业水域资源环境保护，农业品种改良提升，以及农业生物资源调研收集、鉴定评价、保存利用等方面的支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sz w:val="32"/>
          <w:szCs w:val="32"/>
        </w:rPr>
        <w:t>农林水支出（类）其他农林水支出（款）其他农林水支出（项）：指除化解债务支出以外其他用于农林水方面的支出。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sz w:val="32"/>
          <w:szCs w:val="32"/>
        </w:rPr>
        <w:t>住房保障支出（类）住房改革支出（款）购房补贴（项）：指按房改政策规定，行政事业单位向符合条件职工（含离退休人员）、军队（含武警）向转役复员离退休人员发放的用于购买住房的补贴。</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22.基本支出：</w:t>
      </w:r>
      <w:r>
        <w:rPr>
          <w:rFonts w:hint="eastAsia" w:ascii="仿宋_GB2312" w:hAnsi="仿宋_GB2312" w:eastAsia="仿宋_GB2312" w:cs="仿宋_GB2312"/>
          <w:color w:val="000000"/>
          <w:sz w:val="32"/>
          <w:szCs w:val="32"/>
        </w:rPr>
        <w:t>指为保障机构正常运转、完成日常工作任务而发生的人员支出和公用支出。</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23.项目支出：指在基本支出之外为完成特定行政任务和事业发展目标所发生的支出。</w:t>
      </w:r>
    </w:p>
    <w:p>
      <w:pPr>
        <w:pStyle w:val="28"/>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9"/>
          <w:rFonts w:ascii="黑体" w:hAnsi="黑体" w:eastAsia="黑体"/>
          <w:b w:val="0"/>
        </w:rPr>
      </w:pPr>
      <w:r>
        <w:rPr>
          <w:rFonts w:ascii="宋体"/>
          <w:b/>
          <w:sz w:val="44"/>
          <w:szCs w:val="44"/>
        </w:rPr>
        <w:br w:type="page"/>
      </w:r>
      <w:bookmarkStart w:id="79" w:name="_Toc7430"/>
      <w:bookmarkStart w:id="80" w:name="_Toc15396614"/>
      <w:r>
        <w:rPr>
          <w:rFonts w:hint="eastAsia" w:ascii="黑体" w:hAnsi="黑体" w:eastAsia="黑体"/>
          <w:sz w:val="44"/>
          <w:szCs w:val="44"/>
        </w:rPr>
        <w:t>第</w:t>
      </w:r>
      <w:r>
        <w:rPr>
          <w:rStyle w:val="19"/>
          <w:rFonts w:hint="eastAsia" w:ascii="黑体" w:hAnsi="黑体" w:eastAsia="黑体"/>
          <w:b w:val="0"/>
        </w:rPr>
        <w:t>四部分 附件</w:t>
      </w:r>
      <w:bookmarkEnd w:id="79"/>
      <w:bookmarkEnd w:id="80"/>
    </w:p>
    <w:p>
      <w:pPr>
        <w:spacing w:line="572" w:lineRule="exact"/>
        <w:jc w:val="left"/>
        <w:rPr>
          <w:rFonts w:ascii="黑体" w:hAnsi="黑体" w:eastAsia="黑体" w:cs="黑体"/>
          <w:sz w:val="32"/>
          <w:szCs w:val="32"/>
        </w:rPr>
      </w:pPr>
    </w:p>
    <w:p>
      <w:pPr>
        <w:spacing w:line="572" w:lineRule="exact"/>
        <w:jc w:val="left"/>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72" w:lineRule="exact"/>
        <w:jc w:val="center"/>
        <w:rPr>
          <w:rFonts w:ascii="方正小标宋简体" w:hAnsi="宋体" w:eastAsia="方正小标宋简体"/>
          <w:kern w:val="0"/>
          <w:sz w:val="40"/>
          <w:szCs w:val="44"/>
        </w:rPr>
      </w:pPr>
      <w:r>
        <w:rPr>
          <w:rFonts w:hint="eastAsia" w:ascii="方正小标宋简体" w:hAnsi="宋体" w:eastAsia="方正小标宋简体"/>
          <w:kern w:val="0"/>
          <w:sz w:val="40"/>
          <w:szCs w:val="44"/>
        </w:rPr>
        <w:t>广元市农业农村局</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2021年部门整体绩效评价报告</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部门概况</w:t>
      </w:r>
    </w:p>
    <w:p>
      <w:pPr>
        <w:widowControl/>
        <w:adjustRightInd w:val="0"/>
        <w:snapToGrid w:val="0"/>
        <w:spacing w:line="576"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（一）机构组成。</w:t>
      </w:r>
      <w:r>
        <w:rPr>
          <w:rFonts w:hint="eastAsia" w:ascii="仿宋" w:hAnsi="仿宋" w:eastAsia="仿宋"/>
          <w:sz w:val="32"/>
          <w:szCs w:val="32"/>
        </w:rPr>
        <w:t>2021年市农业农村局下属二级预算单位18个，其中参照公务员法管理的事业单位3个，其他事业单位15个。</w:t>
      </w:r>
    </w:p>
    <w:p>
      <w:pPr>
        <w:widowControl/>
        <w:adjustRightInd w:val="0"/>
        <w:snapToGrid w:val="0"/>
        <w:spacing w:line="576"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（二）机构职能。</w:t>
      </w:r>
      <w:r>
        <w:rPr>
          <w:rFonts w:ascii="仿宋" w:hAnsi="仿宋" w:eastAsia="仿宋"/>
          <w:kern w:val="0"/>
          <w:sz w:val="32"/>
          <w:szCs w:val="32"/>
        </w:rPr>
        <w:t>根据</w:t>
      </w:r>
      <w:r>
        <w:rPr>
          <w:rFonts w:hint="eastAsia" w:ascii="仿宋" w:hAnsi="仿宋" w:eastAsia="仿宋"/>
          <w:kern w:val="0"/>
          <w:sz w:val="32"/>
          <w:szCs w:val="32"/>
        </w:rPr>
        <w:t>《中共广元市委办公室广元市人民政府办公室关于印发〈广元市农业农村局职能配置、内设机构和人员编制规定〉的通知》（广委办函〔2019〕</w:t>
      </w:r>
      <w:r>
        <w:rPr>
          <w:rFonts w:ascii="仿宋" w:hAnsi="仿宋" w:eastAsia="仿宋"/>
          <w:kern w:val="0"/>
          <w:sz w:val="32"/>
          <w:szCs w:val="32"/>
        </w:rPr>
        <w:t>43</w:t>
      </w:r>
      <w:r>
        <w:rPr>
          <w:rFonts w:hint="eastAsia" w:ascii="仿宋" w:hAnsi="仿宋" w:eastAsia="仿宋"/>
          <w:kern w:val="0"/>
          <w:sz w:val="32"/>
          <w:szCs w:val="32"/>
        </w:rPr>
        <w:t>号）</w:t>
      </w:r>
      <w:r>
        <w:rPr>
          <w:rFonts w:ascii="仿宋" w:hAnsi="仿宋" w:eastAsia="仿宋"/>
          <w:kern w:val="0"/>
          <w:sz w:val="32"/>
          <w:szCs w:val="32"/>
        </w:rPr>
        <w:t>文件，</w:t>
      </w:r>
      <w:r>
        <w:rPr>
          <w:rFonts w:hint="eastAsia" w:ascii="仿宋" w:hAnsi="仿宋" w:eastAsia="仿宋"/>
          <w:kern w:val="0"/>
          <w:sz w:val="32"/>
          <w:szCs w:val="32"/>
        </w:rPr>
        <w:t>市农业农村局职能是贯彻落实党中央关于“三农”工作的方针政策和省委、市委的决策部署，在履行职责过程中坚持和加强党对“三农”工作的集中统一领导。</w:t>
      </w:r>
    </w:p>
    <w:p>
      <w:pPr>
        <w:widowControl/>
        <w:adjustRightInd w:val="0"/>
        <w:snapToGrid w:val="0"/>
        <w:spacing w:line="572" w:lineRule="exact"/>
        <w:ind w:firstLine="640" w:firstLineChars="200"/>
        <w:contextualSpacing/>
        <w:jc w:val="left"/>
        <w:rPr>
          <w:rFonts w:ascii="仿宋" w:hAnsi="仿宋" w:eastAsia="仿宋"/>
          <w:color w:val="333333"/>
          <w:sz w:val="32"/>
          <w:szCs w:val="32"/>
          <w:shd w:val="clear" w:color="auto" w:fill="FFFFFF"/>
        </w:rPr>
      </w:pPr>
      <w:r>
        <w:rPr>
          <w:rFonts w:hint="eastAsia" w:ascii="仿宋" w:hAnsi="仿宋" w:eastAsia="仿宋" w:cs="宋体"/>
          <w:color w:val="000000"/>
          <w:kern w:val="0"/>
          <w:sz w:val="32"/>
          <w:szCs w:val="32"/>
          <w:shd w:val="clear" w:color="auto" w:fill="FFFFFF"/>
          <w:lang w:val="zh-CN"/>
        </w:rPr>
        <w:t>（三）人员概况。</w:t>
      </w:r>
      <w:r>
        <w:rPr>
          <w:rFonts w:hint="eastAsia" w:ascii="仿宋" w:hAnsi="仿宋" w:eastAsia="仿宋"/>
          <w:sz w:val="32"/>
          <w:szCs w:val="32"/>
        </w:rPr>
        <w:t>2021年市农业农村局</w:t>
      </w:r>
      <w:r>
        <w:rPr>
          <w:rFonts w:hint="eastAsia" w:ascii="仿宋" w:hAnsi="仿宋" w:eastAsia="仿宋"/>
          <w:color w:val="333333"/>
          <w:sz w:val="32"/>
          <w:szCs w:val="32"/>
          <w:shd w:val="clear" w:color="auto" w:fill="FFFFFF"/>
        </w:rPr>
        <w:t>年末实有人数252人，其中：公务员和事业单位参公人员82人，非参公事业人员170人。</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（一）部门财政资金收入情况。</w:t>
      </w:r>
    </w:p>
    <w:p>
      <w:pPr>
        <w:widowControl/>
        <w:adjustRightInd w:val="0"/>
        <w:snapToGrid w:val="0"/>
        <w:spacing w:line="576" w:lineRule="exact"/>
        <w:ind w:firstLine="640" w:firstLineChars="200"/>
        <w:contextualSpacing/>
        <w:jc w:val="left"/>
        <w:rPr>
          <w:lang w:val="zh-CN"/>
        </w:rPr>
      </w:pPr>
      <w:r>
        <w:rPr>
          <w:rFonts w:hint="eastAsia" w:ascii="仿宋" w:hAnsi="仿宋" w:eastAsia="仿宋"/>
          <w:sz w:val="32"/>
          <w:szCs w:val="32"/>
        </w:rPr>
        <w:t>2021年收入预算总额7952.41万元，其中：当年收入总额6193.79万元（一般公共预算财政拨款收入5900.01万元、其他收入293.78万元），年初结转和结余1758.62万元</w:t>
      </w:r>
      <w:r>
        <w:rPr>
          <w:rFonts w:ascii="仿宋" w:hAnsi="仿宋" w:eastAsia="仿宋"/>
          <w:sz w:val="32"/>
          <w:szCs w:val="32"/>
        </w:rPr>
        <w:t>。</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（二）部门财政资金支出情况。</w:t>
      </w:r>
    </w:p>
    <w:p>
      <w:pPr>
        <w:widowControl/>
        <w:adjustRightInd w:val="0"/>
        <w:snapToGrid w:val="0"/>
        <w:spacing w:line="576" w:lineRule="exact"/>
        <w:ind w:firstLine="640" w:firstLineChars="200"/>
        <w:contextualSpacing/>
        <w:jc w:val="left"/>
        <w:rPr>
          <w:lang w:val="zh-CN"/>
        </w:rPr>
      </w:pPr>
      <w:r>
        <w:rPr>
          <w:rFonts w:hint="eastAsia" w:ascii="仿宋" w:hAnsi="仿宋" w:eastAsia="仿宋"/>
          <w:sz w:val="32"/>
          <w:szCs w:val="32"/>
        </w:rPr>
        <w:t>2021年支出决算总额为6592.93万元，其中：基本支出4719.07万元（人员经费4177.63万元、日常公用经费541.44万元），项目支出1873.86万元（财政拨款1564.61万元，其他资金309.25万元）。年末结转结余1359.48万元。</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（一）部门预算项目绩效管理。</w:t>
      </w:r>
    </w:p>
    <w:p>
      <w:pPr>
        <w:widowControl/>
        <w:adjustRightInd w:val="0"/>
        <w:snapToGrid w:val="0"/>
        <w:spacing w:line="576"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1、目标制定</w:t>
      </w:r>
    </w:p>
    <w:p>
      <w:pPr>
        <w:widowControl/>
        <w:adjustRightInd w:val="0"/>
        <w:snapToGrid w:val="0"/>
        <w:spacing w:line="576" w:lineRule="exact"/>
        <w:ind w:firstLine="640" w:firstLineChars="200"/>
        <w:contextualSpacing/>
        <w:jc w:val="left"/>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我局2021年预算编制严格按照市级部门预算编制通知、编制口径及有关要求，依据我局2021年工作任务测算，提前细化专项预算，按时完成了预算基础库、项目库、预算草案的报审工作。同时，按照市财政局的编制口径及要求，在规定时间内，保质保量地完成了我局项目资金绩效目标的编报，</w:t>
      </w:r>
      <w:r>
        <w:rPr>
          <w:rFonts w:hint="eastAsia" w:ascii="仿宋" w:hAnsi="仿宋" w:eastAsia="仿宋"/>
          <w:color w:val="000000"/>
          <w:sz w:val="32"/>
          <w:szCs w:val="32"/>
        </w:rPr>
        <w:t>从数量、质量、成本、时效、效益等方面细化量化绩效目标，</w:t>
      </w:r>
      <w:r>
        <w:rPr>
          <w:rFonts w:hint="eastAsia" w:ascii="仿宋" w:hAnsi="仿宋" w:eastAsia="仿宋"/>
          <w:color w:val="333333"/>
          <w:sz w:val="32"/>
          <w:szCs w:val="32"/>
          <w:shd w:val="clear" w:color="auto" w:fill="FFFFFF"/>
        </w:rPr>
        <w:t>绩效目标要素完整。绩效目标经局集体决策审核后上报。2021年编制部门整体支出绩效目标1个，编制项目支出绩效目标7个。</w:t>
      </w:r>
    </w:p>
    <w:p>
      <w:pPr>
        <w:widowControl/>
        <w:adjustRightInd w:val="0"/>
        <w:snapToGrid w:val="0"/>
        <w:spacing w:line="576" w:lineRule="exact"/>
        <w:ind w:firstLine="640" w:firstLineChars="200"/>
        <w:contextualSpacing/>
        <w:jc w:val="left"/>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2、目标实现</w:t>
      </w:r>
    </w:p>
    <w:p>
      <w:pPr>
        <w:suppressAutoHyphens/>
        <w:spacing w:line="576" w:lineRule="exact"/>
        <w:ind w:firstLine="640" w:firstLineChars="200"/>
        <w:rPr>
          <w:rFonts w:ascii="仿宋" w:hAnsi="仿宋" w:eastAsia="仿宋" w:cs="仿宋_GB2312"/>
          <w:sz w:val="32"/>
          <w:szCs w:val="32"/>
        </w:rPr>
      </w:pPr>
      <w:r>
        <w:rPr>
          <w:rFonts w:hint="eastAsia" w:ascii="仿宋" w:hAnsi="仿宋" w:eastAsia="仿宋"/>
          <w:color w:val="333333"/>
          <w:sz w:val="32"/>
          <w:szCs w:val="32"/>
          <w:shd w:val="clear" w:color="auto" w:fill="FFFFFF"/>
        </w:rPr>
        <w:t>2021年我局圆满完成各项目标任务。一是正常发放了职工工资、按时缴纳了五险一金，确保了职工的正当利益，全年人员经费支出4177.63万元，支付率100%；二是机关运行经费支出541.44万元，确保了机关工作正常运行，保障了职能职责的正常履行；三是</w:t>
      </w:r>
      <w:r>
        <w:rPr>
          <w:rFonts w:hint="eastAsia" w:ascii="仿宋" w:hAnsi="仿宋" w:eastAsia="仿宋"/>
          <w:sz w:val="32"/>
          <w:szCs w:val="32"/>
        </w:rPr>
        <w:t>2021年市农业农村局全面完成市委市政府下达的各项目标任务。</w:t>
      </w:r>
      <w:r>
        <w:rPr>
          <w:rFonts w:hint="eastAsia" w:ascii="仿宋" w:hAnsi="仿宋" w:eastAsia="仿宋" w:cs="仿宋_GB2312"/>
          <w:sz w:val="32"/>
          <w:szCs w:val="32"/>
        </w:rPr>
        <w:t>全年粮食播种面积472.2万亩，产量161.3万吨。新建高标准农田22.3万亩。出栏生猪369.59万头。巩固提升茶叶、红心猕猴桃、核桃、油橄榄、山地蔬菜（食用菌）、道地中药材和剑门关土鸡、生态渔业等特色产业，突破性发展肉牛羊产业。全市累计建成万亩现代农业园区122个、国家现代农业产业园1个、省星级园区7个，新建市级园区7个、改造提升老旧园区33个。新增农产品初加工点60个，建成8个规模化农产品加工区和川陕甘结合部最大的农产品批发市场。全面开展农业种质资源普查，建成苍溪红心猕猴桃良种繁育基地、旺苍县首个省级现代茶种业园区和广元灰鸡省级核心育种场。巩固提升国家农产品质量安全市成果，省级农产品质量安全合格率达到99.6%，绿色、有机、地标农产品达到473个。垃圾有效处理、生活污水有效治理率分别达92%、63%，示范村无害化卫生厕所普及率达90%。畜禽粪污资源化利用率、秸秆综合利用率、废弃农膜回收利用率分别达到94.49%、92%、88.32%。巩固长江禁捕退捕成果，牵头开展川陕甘跨省交界水域禁捕联合执法，成功侦破“4·28”跨省市非法捕捞案。深化土地制度改革，大力推行土地入股、土地托管等多元经营方式，引导土地经营权规范有序流转，苍溪县顺利完成第二轮土地承包到期再延长30年省级试点。</w:t>
      </w:r>
    </w:p>
    <w:p>
      <w:pPr>
        <w:suppressAutoHyphens/>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3、支出控制</w:t>
      </w:r>
    </w:p>
    <w:p>
      <w:pPr>
        <w:suppressAutoHyphens/>
        <w:spacing w:line="576" w:lineRule="exact"/>
        <w:ind w:firstLine="640" w:firstLineChars="20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2021年我</w:t>
      </w:r>
      <w:r>
        <w:rPr>
          <w:rFonts w:hint="eastAsia" w:ascii="仿宋" w:hAnsi="仿宋" w:eastAsia="仿宋"/>
          <w:sz w:val="32"/>
          <w:szCs w:val="32"/>
        </w:rPr>
        <w:t>局基本支出预算4442.72万元，决算4719.07万元，偏差率6.22%，总体偏差率低，但</w:t>
      </w:r>
      <w:r>
        <w:rPr>
          <w:rFonts w:hint="eastAsia" w:ascii="仿宋" w:hAnsi="仿宋" w:eastAsia="仿宋" w:cs="宋体"/>
          <w:color w:val="000000"/>
          <w:kern w:val="0"/>
          <w:sz w:val="32"/>
          <w:szCs w:val="32"/>
          <w:shd w:val="clear" w:color="auto" w:fill="FFFFFF"/>
          <w:lang w:val="zh-CN"/>
        </w:rPr>
        <w:t>日常公用经费支出预算691.40万元，决算541.44万元，偏差率-21.69%，日常公用经费预算准确度需进一步提高。</w:t>
      </w:r>
    </w:p>
    <w:tbl>
      <w:tblPr>
        <w:tblStyle w:val="15"/>
        <w:tblW w:w="8964" w:type="dxa"/>
        <w:tblInd w:w="97" w:type="dxa"/>
        <w:tblLayout w:type="autofit"/>
        <w:tblCellMar>
          <w:top w:w="0" w:type="dxa"/>
          <w:left w:w="108" w:type="dxa"/>
          <w:bottom w:w="0" w:type="dxa"/>
          <w:right w:w="108" w:type="dxa"/>
        </w:tblCellMar>
      </w:tblPr>
      <w:tblGrid>
        <w:gridCol w:w="1124"/>
        <w:gridCol w:w="1166"/>
        <w:gridCol w:w="1674"/>
        <w:gridCol w:w="1188"/>
        <w:gridCol w:w="1277"/>
        <w:gridCol w:w="1397"/>
        <w:gridCol w:w="1056"/>
        <w:gridCol w:w="82"/>
      </w:tblGrid>
      <w:tr>
        <w:tblPrEx>
          <w:tblCellMar>
            <w:top w:w="0" w:type="dxa"/>
            <w:left w:w="108" w:type="dxa"/>
            <w:bottom w:w="0" w:type="dxa"/>
            <w:right w:w="108" w:type="dxa"/>
          </w:tblCellMar>
        </w:tblPrEx>
        <w:trPr>
          <w:trHeight w:val="510" w:hRule="atLeast"/>
        </w:trPr>
        <w:tc>
          <w:tcPr>
            <w:tcW w:w="1124" w:type="dxa"/>
            <w:tcBorders>
              <w:top w:val="single" w:color="auto" w:sz="8" w:space="0"/>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科目编码</w:t>
            </w:r>
          </w:p>
        </w:tc>
        <w:tc>
          <w:tcPr>
            <w:tcW w:w="1166" w:type="dxa"/>
            <w:tcBorders>
              <w:top w:val="single" w:color="auto" w:sz="8" w:space="0"/>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支出性质</w:t>
            </w:r>
          </w:p>
        </w:tc>
        <w:tc>
          <w:tcPr>
            <w:tcW w:w="1674" w:type="dxa"/>
            <w:tcBorders>
              <w:top w:val="single" w:color="auto" w:sz="8" w:space="0"/>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费用类型</w:t>
            </w:r>
          </w:p>
        </w:tc>
        <w:tc>
          <w:tcPr>
            <w:tcW w:w="1188" w:type="dxa"/>
            <w:tcBorders>
              <w:top w:val="single" w:color="auto" w:sz="8" w:space="0"/>
              <w:left w:val="nil"/>
              <w:bottom w:val="dotted" w:color="auto" w:sz="4" w:space="0"/>
              <w:right w:val="dotted"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预算支出金额</w:t>
            </w:r>
          </w:p>
        </w:tc>
        <w:tc>
          <w:tcPr>
            <w:tcW w:w="1277" w:type="dxa"/>
            <w:tcBorders>
              <w:top w:val="single" w:color="auto" w:sz="8" w:space="0"/>
              <w:left w:val="nil"/>
              <w:bottom w:val="dotted" w:color="auto" w:sz="4" w:space="0"/>
              <w:right w:val="dotted"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决算支出金额</w:t>
            </w:r>
          </w:p>
        </w:tc>
        <w:tc>
          <w:tcPr>
            <w:tcW w:w="1397" w:type="dxa"/>
            <w:tcBorders>
              <w:top w:val="single" w:color="auto" w:sz="8" w:space="0"/>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差异</w:t>
            </w:r>
          </w:p>
        </w:tc>
        <w:tc>
          <w:tcPr>
            <w:tcW w:w="1138" w:type="dxa"/>
            <w:gridSpan w:val="2"/>
            <w:tcBorders>
              <w:top w:val="single" w:color="auto" w:sz="8" w:space="0"/>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偏差率</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办公费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23.5</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42.18</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18.68</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79.49%</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印刷费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30</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30.46</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0.46</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1.53%</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手续费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0.3</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0.5</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0.2</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66.67%</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水费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11.34</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7.07</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-4.27</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-37.65%</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电费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30</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23.43</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-6.57</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-21.90%</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邮电费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21.33</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11.33</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113.30%</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物业管理费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35</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31.57</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-3.43</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-9.80%</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差旅费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183.4</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80.81</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-102.59</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-55.94%</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设施设备维修（护）费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25</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21.93</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-3.07</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-12.28%</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会议费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12</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2.08</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-9.92</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-82.67%</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培训费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1.35</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-6.65</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-83.13%</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公务接待费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6.13</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-3.87</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-38.70%</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劳务费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18</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38.07</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20.07</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111.50%</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工会经费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24.03</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30.08</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6.05</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25.18%</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福利费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36.12</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28.64</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-7.48</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-20.71%</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公务用车运行维护费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62.82</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50.81</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-12.01</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-19.12%</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其他交通费</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94.9</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88.44</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-6.46</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-6.81%</w:t>
            </w:r>
          </w:p>
        </w:tc>
      </w:tr>
      <w:tr>
        <w:tblPrEx>
          <w:tblCellMar>
            <w:top w:w="0" w:type="dxa"/>
            <w:left w:w="108" w:type="dxa"/>
            <w:bottom w:w="0" w:type="dxa"/>
            <w:right w:w="108" w:type="dxa"/>
          </w:tblCellMar>
        </w:tblPrEx>
        <w:trPr>
          <w:trHeight w:val="270" w:hRule="atLeast"/>
        </w:trPr>
        <w:tc>
          <w:tcPr>
            <w:tcW w:w="1124"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2130101</w:t>
            </w:r>
          </w:p>
        </w:tc>
        <w:tc>
          <w:tcPr>
            <w:tcW w:w="1166"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公用经费</w:t>
            </w:r>
          </w:p>
        </w:tc>
        <w:tc>
          <w:tcPr>
            <w:tcW w:w="1674" w:type="dxa"/>
            <w:tcBorders>
              <w:top w:val="nil"/>
              <w:left w:val="nil"/>
              <w:bottom w:val="dotted" w:color="auto" w:sz="4" w:space="0"/>
              <w:right w:val="dotted" w:color="auto" w:sz="4" w:space="0"/>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其他商品和服务支出</w:t>
            </w:r>
          </w:p>
        </w:tc>
        <w:tc>
          <w:tcPr>
            <w:tcW w:w="1188"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76.99</w:t>
            </w:r>
          </w:p>
        </w:tc>
        <w:tc>
          <w:tcPr>
            <w:tcW w:w="127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36.56</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-40.43</w:t>
            </w:r>
          </w:p>
        </w:tc>
        <w:tc>
          <w:tcPr>
            <w:tcW w:w="1138" w:type="dxa"/>
            <w:gridSpan w:val="2"/>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-52.51%</w:t>
            </w:r>
          </w:p>
        </w:tc>
      </w:tr>
      <w:tr>
        <w:tblPrEx>
          <w:tblCellMar>
            <w:top w:w="0" w:type="dxa"/>
            <w:left w:w="108" w:type="dxa"/>
            <w:bottom w:w="0" w:type="dxa"/>
            <w:right w:w="108" w:type="dxa"/>
          </w:tblCellMar>
        </w:tblPrEx>
        <w:trPr>
          <w:gridAfter w:val="1"/>
          <w:wAfter w:w="454" w:type="dxa"/>
          <w:trHeight w:val="285" w:hRule="atLeast"/>
        </w:trPr>
        <w:tc>
          <w:tcPr>
            <w:tcW w:w="3964" w:type="dxa"/>
            <w:gridSpan w:val="3"/>
            <w:tcBorders>
              <w:top w:val="dotted" w:color="auto" w:sz="4" w:space="0"/>
              <w:left w:val="nil"/>
              <w:bottom w:val="single" w:color="auto" w:sz="8" w:space="0"/>
              <w:right w:val="dotted" w:color="000000"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xml:space="preserve">                              合计 </w:t>
            </w:r>
          </w:p>
        </w:tc>
        <w:tc>
          <w:tcPr>
            <w:tcW w:w="1188" w:type="dxa"/>
            <w:tcBorders>
              <w:top w:val="nil"/>
              <w:left w:val="nil"/>
              <w:bottom w:val="single" w:color="auto" w:sz="8"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bookmarkStart w:id="81" w:name="RANGE!D20"/>
            <w:r>
              <w:rPr>
                <w:rFonts w:hint="eastAsia" w:ascii="仿宋" w:hAnsi="仿宋" w:eastAsia="仿宋" w:cs="宋体"/>
                <w:color w:val="000000"/>
                <w:kern w:val="0"/>
                <w:sz w:val="24"/>
              </w:rPr>
              <w:t>691.40</w:t>
            </w:r>
            <w:bookmarkEnd w:id="81"/>
          </w:p>
        </w:tc>
        <w:tc>
          <w:tcPr>
            <w:tcW w:w="1277" w:type="dxa"/>
            <w:tcBorders>
              <w:top w:val="nil"/>
              <w:left w:val="nil"/>
              <w:bottom w:val="single" w:color="auto" w:sz="8"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541.44</w:t>
            </w:r>
          </w:p>
        </w:tc>
        <w:tc>
          <w:tcPr>
            <w:tcW w:w="1397" w:type="dxa"/>
            <w:tcBorders>
              <w:top w:val="nil"/>
              <w:left w:val="nil"/>
              <w:bottom w:val="dotted" w:color="auto" w:sz="4" w:space="0"/>
              <w:right w:val="dotted" w:color="auto" w:sz="4" w:space="0"/>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-149.96</w:t>
            </w:r>
          </w:p>
        </w:tc>
        <w:tc>
          <w:tcPr>
            <w:tcW w:w="684" w:type="dxa"/>
            <w:tcBorders>
              <w:top w:val="nil"/>
              <w:left w:val="nil"/>
              <w:bottom w:val="dotted" w:color="auto" w:sz="4" w:space="0"/>
              <w:right w:val="nil"/>
            </w:tcBorders>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-21.69%</w:t>
            </w:r>
          </w:p>
        </w:tc>
      </w:tr>
    </w:tbl>
    <w:p>
      <w:pPr>
        <w:suppressAutoHyphens/>
        <w:spacing w:line="576" w:lineRule="exact"/>
        <w:ind w:firstLine="640" w:firstLineChars="20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4、及时处置</w:t>
      </w:r>
    </w:p>
    <w:p>
      <w:pPr>
        <w:adjustRightInd w:val="0"/>
        <w:snapToGrid w:val="0"/>
        <w:spacing w:line="600" w:lineRule="exact"/>
        <w:ind w:firstLine="640" w:firstLineChars="200"/>
        <w:contextualSpacing/>
        <w:rPr>
          <w:rFonts w:ascii="仿宋" w:hAnsi="仿宋" w:eastAsia="仿宋"/>
          <w:sz w:val="32"/>
          <w:szCs w:val="32"/>
        </w:rPr>
      </w:pPr>
      <w:r>
        <w:rPr>
          <w:rFonts w:hint="eastAsia" w:ascii="仿宋" w:hAnsi="仿宋" w:eastAsia="仿宋"/>
          <w:sz w:val="32"/>
          <w:szCs w:val="32"/>
        </w:rPr>
        <w:t>根据广元市财政局《关于开展2021年预算绩效运行监控的通知》（广财绩</w:t>
      </w:r>
      <w:r>
        <w:rPr>
          <w:rFonts w:hint="eastAsia" w:ascii="仿宋" w:hAnsi="仿宋" w:eastAsia="仿宋" w:cs="微软雅黑"/>
          <w:sz w:val="32"/>
          <w:szCs w:val="32"/>
        </w:rPr>
        <w:t>〔</w:t>
      </w:r>
      <w:r>
        <w:rPr>
          <w:rFonts w:hint="eastAsia" w:ascii="仿宋" w:hAnsi="仿宋" w:eastAsia="仿宋"/>
          <w:sz w:val="32"/>
          <w:szCs w:val="32"/>
        </w:rPr>
        <w:t>2021</w:t>
      </w:r>
      <w:r>
        <w:rPr>
          <w:rFonts w:hint="eastAsia" w:ascii="仿宋" w:hAnsi="仿宋" w:eastAsia="仿宋" w:cs="微软雅黑"/>
          <w:sz w:val="32"/>
          <w:szCs w:val="32"/>
        </w:rPr>
        <w:t>〕</w:t>
      </w:r>
      <w:r>
        <w:rPr>
          <w:rFonts w:hint="eastAsia" w:ascii="仿宋" w:hAnsi="仿宋" w:eastAsia="仿宋"/>
          <w:sz w:val="32"/>
          <w:szCs w:val="32"/>
        </w:rPr>
        <w:t>7号）文件要求，对2021年1-9月的预算执行和项目运行进行跟踪监控，并于2021年10月30日前完成绩效跟踪监控填报工作。我局对照年初设定的预算项目绩效目标，及时开展跟踪监控工作，并于2021年10月29日填报市级项目预算绩效监控分析表，共完成年初预算填报7个项目绩效目标和3个追加项目在内的共10个项目绩效监控。跟踪监控中无预算执行绩效偏离情况。</w:t>
      </w:r>
    </w:p>
    <w:p>
      <w:pPr>
        <w:adjustRightInd w:val="0"/>
        <w:snapToGrid w:val="0"/>
        <w:spacing w:line="600" w:lineRule="exact"/>
        <w:ind w:firstLine="640" w:firstLineChars="200"/>
        <w:contextualSpacing/>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5、执行进度</w:t>
      </w:r>
    </w:p>
    <w:p>
      <w:pPr>
        <w:adjustRightInd w:val="0"/>
        <w:snapToGrid w:val="0"/>
        <w:spacing w:line="600" w:lineRule="exact"/>
        <w:ind w:firstLine="640" w:firstLineChars="200"/>
        <w:contextualSpacing/>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我局2021年严格预算执行管理，虽受疫情影响，仍然实时督促局机关各科室及直属事业单位在合规使用资金的前提下加快预算执行，在6月、9月、11月的预算执行进度分别为82.62%、91.68%、95.81%。</w:t>
      </w:r>
    </w:p>
    <w:p>
      <w:pPr>
        <w:adjustRightInd w:val="0"/>
        <w:snapToGrid w:val="0"/>
        <w:spacing w:line="600" w:lineRule="exact"/>
        <w:ind w:firstLine="640" w:firstLineChars="200"/>
        <w:contextualSpacing/>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6、预算完成</w:t>
      </w:r>
    </w:p>
    <w:p>
      <w:pPr>
        <w:adjustRightInd w:val="0"/>
        <w:snapToGrid w:val="0"/>
        <w:spacing w:line="600" w:lineRule="exact"/>
        <w:ind w:firstLine="640" w:firstLineChars="200"/>
        <w:contextualSpacing/>
        <w:rPr>
          <w:rFonts w:ascii="仿宋" w:hAnsi="仿宋" w:eastAsia="仿宋"/>
          <w:sz w:val="32"/>
          <w:szCs w:val="32"/>
        </w:rPr>
      </w:pPr>
      <w:r>
        <w:rPr>
          <w:rFonts w:hint="eastAsia" w:ascii="仿宋" w:hAnsi="仿宋" w:eastAsia="仿宋"/>
          <w:sz w:val="32"/>
          <w:szCs w:val="32"/>
        </w:rPr>
        <w:t>2021年我局部门收入预算总额7952.41万元，支出决算总额6592.93元，全年预算执行率82.90%。</w:t>
      </w:r>
    </w:p>
    <w:p>
      <w:pPr>
        <w:adjustRightInd w:val="0"/>
        <w:snapToGrid w:val="0"/>
        <w:spacing w:line="600" w:lineRule="exact"/>
        <w:ind w:firstLine="640" w:firstLineChars="200"/>
        <w:contextualSpacing/>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7、资金结余率</w:t>
      </w:r>
    </w:p>
    <w:p>
      <w:pPr>
        <w:adjustRightInd w:val="0"/>
        <w:snapToGrid w:val="0"/>
        <w:spacing w:line="600" w:lineRule="exact"/>
        <w:ind w:firstLine="640" w:firstLineChars="200"/>
        <w:contextualSpacing/>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2021年我局无预算项目资金结余情况。</w:t>
      </w:r>
    </w:p>
    <w:p>
      <w:pPr>
        <w:adjustRightInd w:val="0"/>
        <w:snapToGrid w:val="0"/>
        <w:spacing w:line="600" w:lineRule="exact"/>
        <w:ind w:firstLine="640" w:firstLineChars="200"/>
        <w:contextualSpacing/>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8、违规记录</w:t>
      </w: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ascii="仿宋" w:hAnsi="仿宋" w:eastAsia="仿宋" w:cs="宋体"/>
          <w:color w:val="000000"/>
          <w:kern w:val="0"/>
          <w:sz w:val="32"/>
          <w:szCs w:val="32"/>
          <w:shd w:val="clear" w:color="auto" w:fill="FFFFFF"/>
        </w:rPr>
        <w:t>依据2</w:t>
      </w:r>
      <w:r>
        <w:rPr>
          <w:rFonts w:hint="eastAsia" w:ascii="仿宋" w:hAnsi="仿宋" w:eastAsia="仿宋" w:cs="宋体"/>
          <w:color w:val="000000"/>
          <w:kern w:val="0"/>
          <w:sz w:val="32"/>
          <w:szCs w:val="32"/>
          <w:shd w:val="clear" w:color="auto" w:fill="FFFFFF"/>
        </w:rPr>
        <w:t>021年度审计监督、财政检查结果，无部门预算管理方面违纪违规问题。</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pPr>
        <w:widowControl/>
        <w:adjustRightInd w:val="0"/>
        <w:snapToGrid w:val="0"/>
        <w:spacing w:line="576"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1、内部应用</w:t>
      </w:r>
    </w:p>
    <w:p>
      <w:pPr>
        <w:widowControl/>
        <w:adjustRightInd w:val="0"/>
        <w:snapToGrid w:val="0"/>
        <w:spacing w:line="576"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仿宋_GB2312"/>
          <w:color w:val="000000" w:themeColor="text1"/>
          <w:sz w:val="32"/>
          <w:szCs w:val="32"/>
        </w:rPr>
        <w:t>我局制订的《内部控制制度》对预算管理、预算绩效目标编制、财政支出绩效评价等方面出台了具体的办法、方案细则和操作规程。明确将预算绩效管理纳入对下属相关科室年度绩效考核工作中，并</w:t>
      </w:r>
      <w:r>
        <w:rPr>
          <w:rFonts w:hint="eastAsia" w:ascii="仿宋" w:hAnsi="仿宋" w:eastAsia="仿宋"/>
          <w:color w:val="333333"/>
          <w:sz w:val="32"/>
          <w:szCs w:val="32"/>
          <w:shd w:val="clear" w:color="auto" w:fill="FFFFFF"/>
        </w:rPr>
        <w:t>根据上年度各科室绩效目标完成情况，在安排预算时对相应科室的预算进行相应调整。</w:t>
      </w:r>
    </w:p>
    <w:p>
      <w:pPr>
        <w:widowControl/>
        <w:adjustRightInd w:val="0"/>
        <w:snapToGrid w:val="0"/>
        <w:spacing w:line="576"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2、信息公开</w:t>
      </w:r>
    </w:p>
    <w:p>
      <w:pPr>
        <w:adjustRightInd w:val="0"/>
        <w:snapToGrid w:val="0"/>
        <w:spacing w:line="600" w:lineRule="exact"/>
        <w:ind w:firstLine="640" w:firstLineChars="200"/>
        <w:contextualSpacing/>
        <w:rPr>
          <w:rFonts w:ascii="仿宋" w:hAnsi="仿宋" w:eastAsia="仿宋" w:cs="宋体"/>
          <w:color w:val="000000"/>
          <w:kern w:val="0"/>
          <w:sz w:val="32"/>
          <w:szCs w:val="32"/>
          <w:shd w:val="clear" w:color="auto" w:fill="FFFFFF"/>
          <w:lang w:val="zh-CN"/>
        </w:rPr>
      </w:pPr>
      <w:r>
        <w:rPr>
          <w:rFonts w:hint="eastAsia" w:ascii="仿宋" w:hAnsi="仿宋" w:eastAsia="仿宋"/>
          <w:sz w:val="32"/>
          <w:szCs w:val="32"/>
        </w:rPr>
        <w:t>根据2021年8月30日广元市财政局《关于批复2020年度部门决算的通知》（广财农</w:t>
      </w:r>
      <w:r>
        <w:rPr>
          <w:rFonts w:hint="eastAsia" w:ascii="仿宋" w:hAnsi="仿宋" w:eastAsia="仿宋" w:cs="微软雅黑"/>
          <w:sz w:val="32"/>
          <w:szCs w:val="32"/>
        </w:rPr>
        <w:t>〔</w:t>
      </w:r>
      <w:r>
        <w:rPr>
          <w:rFonts w:hint="eastAsia" w:ascii="仿宋" w:hAnsi="仿宋" w:eastAsia="仿宋"/>
          <w:sz w:val="32"/>
          <w:szCs w:val="32"/>
        </w:rPr>
        <w:t>2021</w:t>
      </w:r>
      <w:r>
        <w:rPr>
          <w:rFonts w:hint="eastAsia" w:ascii="仿宋" w:hAnsi="仿宋" w:eastAsia="仿宋" w:cs="微软雅黑"/>
          <w:sz w:val="32"/>
          <w:szCs w:val="32"/>
        </w:rPr>
        <w:t>〕</w:t>
      </w:r>
      <w:r>
        <w:rPr>
          <w:rFonts w:hint="eastAsia" w:ascii="仿宋" w:hAnsi="仿宋" w:eastAsia="仿宋"/>
          <w:sz w:val="32"/>
          <w:szCs w:val="32"/>
        </w:rPr>
        <w:t>48号）文件要求，我局于2021年9月14日公开了决算批</w:t>
      </w:r>
      <w:r>
        <w:rPr>
          <w:rFonts w:hint="eastAsia" w:ascii="仿宋" w:hAnsi="仿宋" w:eastAsia="仿宋" w:cs="宋体"/>
          <w:sz w:val="32"/>
          <w:szCs w:val="32"/>
        </w:rPr>
        <w:t>复，并</w:t>
      </w:r>
      <w:r>
        <w:rPr>
          <w:rFonts w:hint="eastAsia" w:ascii="仿宋" w:hAnsi="仿宋" w:eastAsia="仿宋"/>
          <w:kern w:val="0"/>
          <w:sz w:val="32"/>
          <w:szCs w:val="32"/>
        </w:rPr>
        <w:t>同步公开了部门整体绩效自评报告和项目绩效目标完成情况</w:t>
      </w:r>
      <w:r>
        <w:rPr>
          <w:rFonts w:hint="eastAsia" w:ascii="仿宋" w:hAnsi="仿宋" w:eastAsia="仿宋"/>
          <w:sz w:val="32"/>
          <w:szCs w:val="32"/>
        </w:rPr>
        <w:t>。符合公开要求。</w:t>
      </w:r>
    </w:p>
    <w:p>
      <w:pPr>
        <w:widowControl/>
        <w:adjustRightInd w:val="0"/>
        <w:snapToGrid w:val="0"/>
        <w:spacing w:line="576"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3、整改反馈。</w:t>
      </w:r>
    </w:p>
    <w:p>
      <w:pPr>
        <w:adjustRightInd w:val="0"/>
        <w:snapToGrid w:val="0"/>
        <w:spacing w:line="600" w:lineRule="exact"/>
        <w:ind w:firstLine="640" w:firstLineChars="200"/>
        <w:contextualSpacing/>
      </w:pPr>
      <w:r>
        <w:rPr>
          <w:rFonts w:hint="eastAsia" w:ascii="仿宋" w:hAnsi="仿宋" w:eastAsia="仿宋"/>
          <w:sz w:val="32"/>
          <w:szCs w:val="32"/>
        </w:rPr>
        <w:t>根据广元市财政局《关于2020年度市级财政支出项目绩效评价结果的通报》（广财绩</w:t>
      </w:r>
      <w:r>
        <w:rPr>
          <w:rFonts w:hint="eastAsia" w:ascii="仿宋" w:hAnsi="仿宋" w:eastAsia="仿宋" w:cs="微软雅黑"/>
          <w:sz w:val="32"/>
          <w:szCs w:val="32"/>
        </w:rPr>
        <w:t>〔</w:t>
      </w:r>
      <w:r>
        <w:rPr>
          <w:rFonts w:hint="eastAsia" w:ascii="仿宋" w:hAnsi="仿宋" w:eastAsia="仿宋"/>
          <w:sz w:val="32"/>
          <w:szCs w:val="32"/>
        </w:rPr>
        <w:t>2021</w:t>
      </w:r>
      <w:r>
        <w:rPr>
          <w:rFonts w:hint="eastAsia" w:ascii="仿宋" w:hAnsi="仿宋" w:eastAsia="仿宋" w:cs="微软雅黑"/>
          <w:sz w:val="32"/>
          <w:szCs w:val="32"/>
        </w:rPr>
        <w:t>〕</w:t>
      </w:r>
      <w:r>
        <w:rPr>
          <w:rFonts w:hint="eastAsia" w:ascii="仿宋" w:hAnsi="仿宋" w:eastAsia="仿宋"/>
          <w:sz w:val="32"/>
          <w:szCs w:val="32"/>
        </w:rPr>
        <w:t>3号）文件要求， 2021年4月10日，我局向市财政局报送了相关项目绩效评价的整改回复，对存在的问题</w:t>
      </w:r>
      <w:r>
        <w:rPr>
          <w:rFonts w:hint="eastAsia" w:ascii="仿宋" w:hAnsi="仿宋" w:eastAsia="仿宋"/>
          <w:color w:val="000000"/>
          <w:sz w:val="32"/>
          <w:szCs w:val="32"/>
        </w:rPr>
        <w:t>逐一进行了整改，并明确了下一步工作措施</w:t>
      </w:r>
      <w:r>
        <w:rPr>
          <w:rFonts w:hint="eastAsia" w:ascii="仿宋" w:hAnsi="仿宋" w:eastAsia="仿宋"/>
          <w:sz w:val="32"/>
          <w:szCs w:val="32"/>
        </w:rPr>
        <w:t>。</w:t>
      </w:r>
    </w:p>
    <w:p>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自评质量</w:t>
      </w:r>
    </w:p>
    <w:p>
      <w:pPr>
        <w:widowControl/>
        <w:adjustRightInd w:val="0"/>
        <w:snapToGrid w:val="0"/>
        <w:spacing w:line="576" w:lineRule="exact"/>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 xml:space="preserve">    </w:t>
      </w:r>
      <w:r>
        <w:rPr>
          <w:rFonts w:hint="eastAsia" w:ascii="仿宋" w:hAnsi="仿宋" w:eastAsia="仿宋"/>
          <w:color w:val="000000"/>
          <w:sz w:val="32"/>
          <w:szCs w:val="32"/>
        </w:rPr>
        <w:t>通过绩效评价，我局2021年度部门预算绩效目标合理可行，预算测算依据充分，绩效目标基本科学合理，专项资金分配及时、绩效监控管理较严格，相关信息公开及时，任务指标完成情况较好。</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76"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（一）评价结论。</w:t>
      </w:r>
    </w:p>
    <w:p>
      <w:pPr>
        <w:widowControl/>
        <w:adjustRightInd w:val="0"/>
        <w:snapToGrid w:val="0"/>
        <w:spacing w:line="576" w:lineRule="exact"/>
        <w:ind w:firstLine="616"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仿宋_GB2312"/>
          <w:bCs/>
          <w:color w:val="000000"/>
          <w:spacing w:val="-6"/>
          <w:kern w:val="0"/>
          <w:sz w:val="32"/>
          <w:szCs w:val="32"/>
        </w:rPr>
        <w:t>2021年，在市委、市政府坚强领导下，局党组组织带领全市农业农村系统，深入学习贯彻习近平总书记关于“三农”工作重要论述和对四川工作系列重要指示精神，全面落实中央、省委、市委决策部署，扎实推动乡村全面振兴和农业农村现代化，有力促进农业高质高效、乡村宜居宜业、农民富裕富足，全面完成各项目标任务。</w:t>
      </w:r>
      <w:r>
        <w:rPr>
          <w:rFonts w:hint="eastAsia" w:ascii="仿宋" w:hAnsi="仿宋" w:eastAsia="仿宋"/>
          <w:color w:val="000000"/>
          <w:sz w:val="32"/>
          <w:szCs w:val="32"/>
        </w:rPr>
        <w:t>部门整体预算绩效总体较好，</w:t>
      </w:r>
      <w:r>
        <w:rPr>
          <w:rFonts w:hint="eastAsia" w:ascii="仿宋" w:hAnsi="仿宋" w:eastAsia="仿宋"/>
          <w:sz w:val="32"/>
          <w:szCs w:val="32"/>
        </w:rPr>
        <w:t>自评为 97.02分。</w:t>
      </w:r>
    </w:p>
    <w:p>
      <w:pPr>
        <w:widowControl/>
        <w:adjustRightInd w:val="0"/>
        <w:snapToGrid w:val="0"/>
        <w:spacing w:line="576"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（二）存在问题。</w:t>
      </w:r>
    </w:p>
    <w:p>
      <w:pPr>
        <w:widowControl/>
        <w:adjustRightInd w:val="0"/>
        <w:snapToGrid w:val="0"/>
        <w:spacing w:line="576" w:lineRule="exact"/>
        <w:ind w:firstLine="640" w:firstLineChars="200"/>
        <w:contextualSpacing/>
        <w:jc w:val="left"/>
        <w:rPr>
          <w:rFonts w:ascii="仿宋" w:hAnsi="仿宋" w:eastAsia="仿宋"/>
          <w:color w:val="333333"/>
          <w:sz w:val="32"/>
          <w:szCs w:val="32"/>
        </w:rPr>
      </w:pPr>
      <w:r>
        <w:rPr>
          <w:rFonts w:hint="eastAsia" w:ascii="仿宋" w:hAnsi="仿宋" w:eastAsia="仿宋"/>
          <w:color w:val="333333"/>
          <w:sz w:val="32"/>
          <w:szCs w:val="32"/>
        </w:rPr>
        <w:t>一是部分农业项目需跨年度实施完成，二是部分项目资金下达时间较晚，导致项目资金支付进度较慢，结转下年资金较多。</w:t>
      </w:r>
    </w:p>
    <w:p>
      <w:pPr>
        <w:pStyle w:val="13"/>
        <w:shd w:val="clear" w:color="auto" w:fill="FFFFFF"/>
        <w:spacing w:before="0" w:beforeAutospacing="0" w:after="0" w:afterAutospacing="0" w:line="398" w:lineRule="atLeast"/>
        <w:ind w:firstLine="480"/>
        <w:rPr>
          <w:rFonts w:ascii="仿宋" w:hAnsi="仿宋" w:eastAsia="仿宋"/>
          <w:color w:val="333333"/>
          <w:sz w:val="32"/>
          <w:szCs w:val="32"/>
        </w:rPr>
      </w:pPr>
      <w:r>
        <w:rPr>
          <w:rFonts w:hint="eastAsia" w:ascii="仿宋" w:hAnsi="Helvetica" w:eastAsia="仿宋"/>
          <w:color w:val="333333"/>
          <w:sz w:val="32"/>
          <w:szCs w:val="32"/>
        </w:rPr>
        <w:t> </w:t>
      </w:r>
      <w:r>
        <w:rPr>
          <w:rFonts w:hint="eastAsia" w:ascii="仿宋" w:hAnsi="仿宋" w:eastAsia="仿宋"/>
          <w:color w:val="333333"/>
          <w:sz w:val="32"/>
          <w:szCs w:val="32"/>
        </w:rPr>
        <w:t>（三）改进建议。</w:t>
      </w:r>
    </w:p>
    <w:p>
      <w:pPr>
        <w:pStyle w:val="13"/>
        <w:shd w:val="clear" w:color="auto" w:fill="FFFFFF"/>
        <w:spacing w:before="0" w:beforeAutospacing="0" w:after="0" w:afterAutospacing="0" w:line="398" w:lineRule="atLeast"/>
        <w:ind w:firstLine="480"/>
        <w:rPr>
          <w:rFonts w:ascii="仿宋" w:hAnsi="仿宋" w:eastAsia="仿宋"/>
          <w:color w:val="333333"/>
          <w:sz w:val="32"/>
          <w:szCs w:val="32"/>
        </w:rPr>
      </w:pPr>
      <w:r>
        <w:rPr>
          <w:rFonts w:hint="eastAsia" w:ascii="仿宋" w:hAnsi="Helvetica" w:eastAsia="仿宋"/>
          <w:color w:val="333333"/>
          <w:sz w:val="32"/>
          <w:szCs w:val="32"/>
        </w:rPr>
        <w:t> </w:t>
      </w:r>
      <w:r>
        <w:rPr>
          <w:rFonts w:hint="eastAsia" w:ascii="仿宋" w:hAnsi="仿宋" w:eastAsia="仿宋"/>
          <w:color w:val="333333"/>
          <w:sz w:val="32"/>
          <w:szCs w:val="32"/>
        </w:rPr>
        <w:t>强化项目管理，加大项目推进力度，提高财政资金使用效益。</w:t>
      </w:r>
    </w:p>
    <w:p>
      <w:pPr>
        <w:rPr>
          <w:rFonts w:hAnsi="宋体" w:cs="宋体"/>
          <w:sz w:val="32"/>
          <w:szCs w:val="32"/>
          <w:shd w:val="clear" w:color="auto" w:fill="FFFFFF"/>
          <w:lang w:val="zh-CN"/>
        </w:rPr>
      </w:pPr>
      <w:r>
        <w:rPr>
          <w:rFonts w:hint="eastAsia" w:hAnsi="宋体" w:cs="宋体"/>
          <w:sz w:val="32"/>
          <w:szCs w:val="32"/>
          <w:shd w:val="clear" w:color="auto" w:fill="FFFFFF"/>
          <w:lang w:val="zh-CN"/>
        </w:rPr>
        <w:br w:type="page"/>
      </w:r>
    </w:p>
    <w:p>
      <w:pPr>
        <w:pStyle w:val="2"/>
        <w:spacing w:before="93"/>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pStyle w:val="34"/>
        <w:spacing w:line="700" w:lineRule="exact"/>
        <w:jc w:val="center"/>
        <w:rPr>
          <w:rFonts w:ascii="方正小标宋简体" w:hAnsi="宋体" w:eastAsia="方正小标宋简体"/>
          <w:sz w:val="44"/>
          <w:szCs w:val="44"/>
          <w:lang w:val="en-US"/>
        </w:rPr>
      </w:pPr>
      <w:r>
        <w:tab/>
      </w:r>
      <w:r>
        <w:rPr>
          <w:rFonts w:hint="eastAsia" w:ascii="方正小标宋简体" w:hAnsi="宋体" w:eastAsia="方正小标宋简体"/>
          <w:sz w:val="44"/>
          <w:szCs w:val="44"/>
          <w:lang w:val="en-US"/>
        </w:rPr>
        <w:t>2021年第十届四川国际茶博会经费</w:t>
      </w:r>
    </w:p>
    <w:p>
      <w:pPr>
        <w:pStyle w:val="34"/>
        <w:spacing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pPr>
        <w:pStyle w:val="34"/>
        <w:spacing w:line="700" w:lineRule="exact"/>
        <w:jc w:val="left"/>
        <w:rPr>
          <w:rFonts w:ascii="仿宋" w:hAnsi="仿宋" w:eastAsia="仿宋"/>
          <w:sz w:val="32"/>
          <w:szCs w:val="32"/>
        </w:rPr>
      </w:pPr>
    </w:p>
    <w:p>
      <w:pPr>
        <w:adjustRightInd w:val="0"/>
        <w:snapToGrid w:val="0"/>
        <w:spacing w:line="576" w:lineRule="exact"/>
        <w:ind w:firstLine="720"/>
        <w:rPr>
          <w:rFonts w:ascii="仿宋" w:hAnsi="仿宋" w:eastAsia="仿宋"/>
          <w:sz w:val="32"/>
          <w:szCs w:val="32"/>
          <w:lang w:val="zh-CN"/>
        </w:rPr>
      </w:pPr>
      <w:r>
        <w:rPr>
          <w:rFonts w:hint="eastAsia" w:ascii="仿宋" w:hAnsi="仿宋" w:eastAsia="仿宋"/>
          <w:sz w:val="32"/>
          <w:szCs w:val="32"/>
        </w:rPr>
        <w:t>一、</w:t>
      </w:r>
      <w:r>
        <w:rPr>
          <w:rFonts w:hint="eastAsia" w:ascii="仿宋" w:hAnsi="仿宋" w:eastAsia="仿宋"/>
          <w:sz w:val="32"/>
          <w:szCs w:val="32"/>
          <w:lang w:val="zh-CN"/>
        </w:rPr>
        <w:t>项目概况</w:t>
      </w:r>
    </w:p>
    <w:p>
      <w:pPr>
        <w:adjustRightInd w:val="0"/>
        <w:snapToGrid w:val="0"/>
        <w:spacing w:line="576" w:lineRule="exact"/>
        <w:ind w:firstLine="720"/>
        <w:rPr>
          <w:rFonts w:ascii="仿宋" w:hAnsi="仿宋" w:eastAsia="仿宋" w:cs="楷体_GB2312"/>
          <w:b/>
          <w:bCs/>
          <w:sz w:val="32"/>
          <w:szCs w:val="32"/>
        </w:rPr>
      </w:pPr>
      <w:r>
        <w:rPr>
          <w:rFonts w:hint="eastAsia" w:ascii="仿宋" w:hAnsi="仿宋" w:eastAsia="仿宋" w:cs="楷体_GB2312"/>
          <w:b/>
          <w:bCs/>
          <w:sz w:val="32"/>
          <w:szCs w:val="32"/>
        </w:rPr>
        <w:t>（一）项目基本情况</w:t>
      </w:r>
    </w:p>
    <w:p>
      <w:pPr>
        <w:pStyle w:val="2"/>
        <w:spacing w:before="93" w:line="576" w:lineRule="exact"/>
        <w:ind w:firstLine="640"/>
        <w:rPr>
          <w:rFonts w:ascii="仿宋" w:hAnsi="仿宋" w:eastAsia="仿宋" w:cs="仿宋_GB2312"/>
          <w:sz w:val="32"/>
          <w:szCs w:val="32"/>
        </w:rPr>
      </w:pPr>
      <w:r>
        <w:rPr>
          <w:rFonts w:hint="eastAsia" w:ascii="仿宋" w:hAnsi="仿宋" w:eastAsia="仿宋" w:cs="仿宋_GB2312"/>
          <w:sz w:val="32"/>
          <w:szCs w:val="32"/>
        </w:rPr>
        <w:t>1.主管部门在项目管理中的职能。根据《广元市参加第十届四川国际茶业博览会工作方案》，市农业农村局</w:t>
      </w:r>
      <w:r>
        <w:rPr>
          <w:rFonts w:hint="eastAsia" w:ascii="仿宋" w:hAnsi="仿宋" w:eastAsia="仿宋" w:cs="宋体"/>
          <w:sz w:val="32"/>
          <w:szCs w:val="32"/>
        </w:rPr>
        <w:t>牵头第十一届四川国际茶博会参展工作，做好与茶博会组委会的联络、协调和对接，制定参展方案，负责广元展馆搭建公司、广元黄茶推介会演艺公司采购，做好展馆布展、宣传片制作，配合组委会做好展馆管理，承办广元黄茶推介会，起草省市领导讲话材料，做好参会人员后勤保障等工作。</w:t>
      </w:r>
    </w:p>
    <w:p>
      <w:pPr>
        <w:adjustRightInd w:val="0"/>
        <w:snapToGrid w:val="0"/>
        <w:spacing w:line="576" w:lineRule="exact"/>
        <w:ind w:firstLine="720"/>
        <w:rPr>
          <w:rFonts w:ascii="仿宋" w:hAnsi="仿宋" w:eastAsia="仿宋"/>
          <w:sz w:val="32"/>
          <w:szCs w:val="32"/>
        </w:rPr>
      </w:pPr>
      <w:r>
        <w:rPr>
          <w:rFonts w:hint="eastAsia" w:ascii="仿宋" w:hAnsi="仿宋" w:eastAsia="仿宋" w:cs="仿宋_GB2312"/>
          <w:sz w:val="32"/>
          <w:szCs w:val="32"/>
        </w:rPr>
        <w:t>2.项目立项、资金申报依据。四川省农业农村厅《关于组织参加第十届四川国际茶业博览会的通知》定于2021年4月29日-5月2日在成都世纪城国际会展中心举行第十届四川国际茶业博览会，我市作为全省茶叶主产市，旺苍县和青川县作为茶产业重点县参加本次茶博会。2021年3月18日，我局向市政府报送《关于审定〈广元市参加第十届四川国际茶业博览会工作方案（送审稿）〉的请示》，经市政府主要领导同意，本次茶博会安排布展费、场地租赁费等经费85万元，其中市财政承担20万元，旺苍县承担28万元，青川县承担28万元，广元市茶业（集团）有限公司承担9万元。我局到位资金85万元。</w:t>
      </w:r>
    </w:p>
    <w:p>
      <w:pPr>
        <w:pStyle w:val="2"/>
        <w:spacing w:before="93" w:line="576" w:lineRule="exact"/>
        <w:ind w:firstLine="640"/>
        <w:rPr>
          <w:rFonts w:ascii="仿宋" w:hAnsi="仿宋" w:eastAsia="仿宋" w:cs="宋体"/>
          <w:sz w:val="32"/>
          <w:szCs w:val="32"/>
        </w:rPr>
      </w:pPr>
      <w:r>
        <w:rPr>
          <w:rFonts w:hint="eastAsia" w:ascii="仿宋" w:hAnsi="仿宋" w:eastAsia="仿宋" w:cs="仿宋_GB2312"/>
          <w:sz w:val="32"/>
          <w:szCs w:val="32"/>
        </w:rPr>
        <w:t>3.资金管理办法制定及资金分配。</w:t>
      </w:r>
      <w:r>
        <w:rPr>
          <w:rFonts w:hint="eastAsia" w:ascii="仿宋" w:hAnsi="仿宋" w:eastAsia="仿宋" w:cs="宋体"/>
          <w:sz w:val="32"/>
          <w:szCs w:val="32"/>
        </w:rPr>
        <w:t>资金管理按照《广元市农业农村局项目资金管理办法》执行，资金根据参照实际情况，分为场地租金、广元展馆搭建、广元黄茶推介会、媒体宣传4部分。</w:t>
      </w:r>
    </w:p>
    <w:p>
      <w:pPr>
        <w:pStyle w:val="2"/>
        <w:spacing w:before="93" w:line="576" w:lineRule="exact"/>
        <w:ind w:firstLine="640"/>
        <w:rPr>
          <w:rFonts w:ascii="仿宋" w:hAnsi="仿宋" w:eastAsia="仿宋"/>
          <w:sz w:val="32"/>
          <w:szCs w:val="32"/>
        </w:rPr>
      </w:pPr>
      <w:r>
        <w:rPr>
          <w:rFonts w:hint="eastAsia" w:ascii="仿宋" w:hAnsi="仿宋" w:eastAsia="仿宋" w:cs="宋体"/>
          <w:sz w:val="32"/>
          <w:szCs w:val="32"/>
        </w:rPr>
        <w:t>4.资金分配原则及考虑因素。资金分配考虑茶叶品牌培育和茶产业宣传由政府主导、企业参与，按照</w:t>
      </w:r>
      <w:r>
        <w:rPr>
          <w:rFonts w:hint="eastAsia" w:ascii="仿宋" w:hAnsi="仿宋" w:eastAsia="仿宋"/>
          <w:sz w:val="32"/>
          <w:szCs w:val="32"/>
        </w:rPr>
        <w:t>市财政、旺苍县、青川县、广茶集团共同承担的原则进行。</w:t>
      </w:r>
    </w:p>
    <w:p>
      <w:pPr>
        <w:pStyle w:val="2"/>
        <w:numPr>
          <w:ilvl w:val="0"/>
          <w:numId w:val="5"/>
        </w:numPr>
        <w:spacing w:beforeLines="0" w:line="576" w:lineRule="exact"/>
        <w:ind w:firstLine="640"/>
        <w:rPr>
          <w:rFonts w:ascii="仿宋" w:hAnsi="仿宋" w:eastAsia="仿宋" w:cs="楷体_GB2312"/>
          <w:b/>
          <w:bCs/>
          <w:sz w:val="32"/>
          <w:szCs w:val="32"/>
        </w:rPr>
      </w:pPr>
      <w:r>
        <w:rPr>
          <w:rFonts w:hint="eastAsia" w:ascii="仿宋" w:hAnsi="仿宋" w:eastAsia="仿宋" w:cs="楷体_GB2312"/>
          <w:b/>
          <w:bCs/>
          <w:sz w:val="32"/>
          <w:szCs w:val="32"/>
        </w:rPr>
        <w:t>项目绩效目标</w:t>
      </w:r>
    </w:p>
    <w:p>
      <w:pPr>
        <w:pStyle w:val="2"/>
        <w:spacing w:before="93" w:line="576" w:lineRule="exact"/>
        <w:ind w:firstLine="640" w:firstLineChars="200"/>
        <w:rPr>
          <w:rFonts w:ascii="仿宋" w:hAnsi="仿宋" w:eastAsia="仿宋"/>
          <w:sz w:val="32"/>
          <w:szCs w:val="32"/>
        </w:rPr>
      </w:pPr>
      <w:r>
        <w:rPr>
          <w:rFonts w:hint="eastAsia" w:ascii="仿宋" w:hAnsi="仿宋" w:eastAsia="仿宋"/>
          <w:sz w:val="32"/>
          <w:szCs w:val="32"/>
        </w:rPr>
        <w:t>1.项目主要内容：搭建广元展馆，组织企业参展，举办广元黄茶推介会，加大宣传力度，扩大广元黄茶、米仓山茶、七佛贡茶、一品剑门等</w:t>
      </w:r>
      <w:r>
        <w:rPr>
          <w:rFonts w:hint="eastAsia" w:ascii="仿宋" w:hAnsi="仿宋" w:eastAsia="仿宋" w:cs="仿宋_GB2312"/>
          <w:sz w:val="32"/>
          <w:szCs w:val="32"/>
          <w:lang w:val="zh-CN"/>
        </w:rPr>
        <w:t>茶产品品牌知名度和美誉度</w:t>
      </w:r>
      <w:r>
        <w:rPr>
          <w:rFonts w:hint="eastAsia" w:ascii="仿宋" w:hAnsi="仿宋" w:eastAsia="仿宋"/>
          <w:sz w:val="32"/>
          <w:szCs w:val="32"/>
        </w:rPr>
        <w:t>。</w:t>
      </w:r>
    </w:p>
    <w:p>
      <w:pPr>
        <w:adjustRightInd w:val="0"/>
        <w:snapToGrid w:val="0"/>
        <w:spacing w:line="576" w:lineRule="exact"/>
        <w:ind w:firstLine="720"/>
        <w:rPr>
          <w:rFonts w:ascii="仿宋" w:hAnsi="仿宋" w:eastAsia="仿宋"/>
          <w:sz w:val="32"/>
          <w:szCs w:val="32"/>
        </w:rPr>
      </w:pPr>
      <w:r>
        <w:rPr>
          <w:rFonts w:hint="eastAsia" w:ascii="仿宋" w:hAnsi="仿宋" w:eastAsia="仿宋"/>
          <w:sz w:val="32"/>
          <w:szCs w:val="32"/>
        </w:rPr>
        <w:t>2.具体绩效目标：</w:t>
      </w:r>
      <w:r>
        <w:rPr>
          <w:rFonts w:hint="eastAsia" w:ascii="仿宋" w:hAnsi="仿宋" w:eastAsia="仿宋" w:cs="仿宋_GB2312"/>
          <w:sz w:val="32"/>
          <w:szCs w:val="32"/>
          <w:lang w:val="zh-CN"/>
        </w:rPr>
        <w:t>以广元展馆为载体，以广元黄茶推介会为抓手，大力宣传展示广元茶产业发展现状，加强对外交流合作，提高广元茶叶品牌知名度和美誉度，提升广元对外开放形象。具体如下：</w:t>
      </w:r>
    </w:p>
    <w:tbl>
      <w:tblPr>
        <w:tblStyle w:val="15"/>
        <w:tblW w:w="892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738"/>
        <w:gridCol w:w="721"/>
        <w:gridCol w:w="2438"/>
        <w:gridCol w:w="1842"/>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80" w:type="dxa"/>
            <w:vMerge w:val="restart"/>
            <w:shd w:val="clear" w:color="auto" w:fill="auto"/>
            <w:vAlign w:val="center"/>
          </w:tcPr>
          <w:p>
            <w:pPr>
              <w:widowControl/>
              <w:spacing w:line="42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绩效</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完成</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情况</w:t>
            </w:r>
          </w:p>
        </w:tc>
        <w:tc>
          <w:tcPr>
            <w:tcW w:w="738" w:type="dxa"/>
            <w:shd w:val="clear" w:color="auto" w:fill="auto"/>
            <w:vAlign w:val="center"/>
          </w:tcPr>
          <w:p>
            <w:pPr>
              <w:widowControl/>
              <w:spacing w:line="42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721" w:type="dxa"/>
            <w:shd w:val="clear" w:color="auto" w:fill="auto"/>
            <w:vAlign w:val="center"/>
          </w:tcPr>
          <w:p>
            <w:pPr>
              <w:widowControl/>
              <w:spacing w:line="42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438" w:type="dxa"/>
            <w:shd w:val="clear" w:color="auto" w:fill="auto"/>
            <w:vAlign w:val="center"/>
          </w:tcPr>
          <w:p>
            <w:pPr>
              <w:widowControl/>
              <w:spacing w:line="44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1842" w:type="dxa"/>
            <w:shd w:val="clear" w:color="auto" w:fill="auto"/>
            <w:vAlign w:val="center"/>
          </w:tcPr>
          <w:p>
            <w:pPr>
              <w:widowControl/>
              <w:spacing w:line="44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p>
        </w:tc>
        <w:tc>
          <w:tcPr>
            <w:tcW w:w="2108" w:type="dxa"/>
            <w:shd w:val="clear" w:color="auto" w:fill="auto"/>
            <w:vAlign w:val="center"/>
          </w:tcPr>
          <w:p>
            <w:pPr>
              <w:widowControl/>
              <w:spacing w:line="440" w:lineRule="exact"/>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实施进度计划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restart"/>
            <w:shd w:val="clear" w:color="auto" w:fill="auto"/>
            <w:vAlign w:val="center"/>
          </w:tcPr>
          <w:p>
            <w:pPr>
              <w:widowControl/>
              <w:spacing w:line="42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721" w:type="dxa"/>
            <w:vMerge w:val="restart"/>
            <w:shd w:val="clear" w:color="auto" w:fill="auto"/>
            <w:vAlign w:val="center"/>
          </w:tcPr>
          <w:p>
            <w:pPr>
              <w:widowControl/>
              <w:spacing w:line="42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数量指标</w:t>
            </w:r>
          </w:p>
        </w:tc>
        <w:tc>
          <w:tcPr>
            <w:tcW w:w="2438" w:type="dxa"/>
            <w:shd w:val="clear" w:color="auto" w:fill="auto"/>
            <w:vAlign w:val="center"/>
          </w:tcPr>
          <w:p>
            <w:pPr>
              <w:widowControl/>
              <w:spacing w:line="4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搭建广元展馆面积</w:t>
            </w:r>
          </w:p>
        </w:tc>
        <w:tc>
          <w:tcPr>
            <w:tcW w:w="1842" w:type="dxa"/>
            <w:shd w:val="clear" w:color="auto" w:fill="auto"/>
            <w:vAlign w:val="center"/>
          </w:tcPr>
          <w:p>
            <w:pPr>
              <w:widowControl/>
              <w:spacing w:line="4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360平方米</w:t>
            </w:r>
          </w:p>
        </w:tc>
        <w:tc>
          <w:tcPr>
            <w:tcW w:w="2108" w:type="dxa"/>
            <w:shd w:val="clear" w:color="auto" w:fill="auto"/>
            <w:vAlign w:val="center"/>
          </w:tcPr>
          <w:p>
            <w:pPr>
              <w:widowControl/>
              <w:spacing w:line="440" w:lineRule="exact"/>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按照通知时间完成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2438" w:type="dxa"/>
            <w:shd w:val="clear" w:color="auto" w:fill="auto"/>
            <w:vAlign w:val="center"/>
          </w:tcPr>
          <w:p>
            <w:pPr>
              <w:widowControl/>
              <w:spacing w:line="4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组织广元黄茶推介会</w:t>
            </w:r>
          </w:p>
        </w:tc>
        <w:tc>
          <w:tcPr>
            <w:tcW w:w="1842" w:type="dxa"/>
            <w:shd w:val="clear" w:color="auto" w:fill="auto"/>
            <w:vAlign w:val="center"/>
          </w:tcPr>
          <w:p>
            <w:pPr>
              <w:widowControl/>
              <w:spacing w:line="4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1次</w:t>
            </w:r>
          </w:p>
        </w:tc>
        <w:tc>
          <w:tcPr>
            <w:tcW w:w="2108" w:type="dxa"/>
            <w:shd w:val="clear" w:color="auto" w:fill="auto"/>
            <w:vAlign w:val="center"/>
          </w:tcPr>
          <w:p>
            <w:pPr>
              <w:widowControl/>
              <w:spacing w:line="440" w:lineRule="exact"/>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4月30日上午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2438" w:type="dxa"/>
            <w:shd w:val="clear" w:color="auto" w:fill="auto"/>
            <w:vAlign w:val="center"/>
          </w:tcPr>
          <w:p>
            <w:pPr>
              <w:widowControl/>
              <w:spacing w:line="4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组织企业参展</w:t>
            </w:r>
          </w:p>
        </w:tc>
        <w:tc>
          <w:tcPr>
            <w:tcW w:w="1842" w:type="dxa"/>
            <w:shd w:val="clear" w:color="auto" w:fill="auto"/>
            <w:vAlign w:val="center"/>
          </w:tcPr>
          <w:p>
            <w:pPr>
              <w:widowControl/>
              <w:spacing w:line="4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10个</w:t>
            </w:r>
          </w:p>
        </w:tc>
        <w:tc>
          <w:tcPr>
            <w:tcW w:w="2108" w:type="dxa"/>
            <w:shd w:val="clear" w:color="auto" w:fill="auto"/>
            <w:vAlign w:val="center"/>
          </w:tcPr>
          <w:p>
            <w:pPr>
              <w:widowControl/>
              <w:spacing w:line="440" w:lineRule="exact"/>
              <w:jc w:val="left"/>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2438" w:type="dxa"/>
            <w:shd w:val="clear" w:color="auto" w:fill="auto"/>
            <w:vAlign w:val="center"/>
          </w:tcPr>
          <w:p>
            <w:pPr>
              <w:widowControl/>
              <w:spacing w:line="4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参展产品</w:t>
            </w:r>
          </w:p>
        </w:tc>
        <w:tc>
          <w:tcPr>
            <w:tcW w:w="1842" w:type="dxa"/>
            <w:shd w:val="clear" w:color="auto" w:fill="auto"/>
            <w:vAlign w:val="center"/>
          </w:tcPr>
          <w:p>
            <w:pPr>
              <w:widowControl/>
              <w:spacing w:line="4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100个</w:t>
            </w:r>
          </w:p>
        </w:tc>
        <w:tc>
          <w:tcPr>
            <w:tcW w:w="2108" w:type="dxa"/>
            <w:shd w:val="clear" w:color="auto" w:fill="auto"/>
            <w:vAlign w:val="center"/>
          </w:tcPr>
          <w:p>
            <w:pPr>
              <w:widowControl/>
              <w:spacing w:line="440" w:lineRule="exact"/>
              <w:jc w:val="left"/>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2438" w:type="dxa"/>
            <w:shd w:val="clear" w:color="auto" w:fill="auto"/>
            <w:vAlign w:val="center"/>
          </w:tcPr>
          <w:p>
            <w:pPr>
              <w:widowControl/>
              <w:spacing w:line="4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媒体宣传</w:t>
            </w:r>
          </w:p>
        </w:tc>
        <w:tc>
          <w:tcPr>
            <w:tcW w:w="1842" w:type="dxa"/>
            <w:shd w:val="clear" w:color="auto" w:fill="auto"/>
            <w:vAlign w:val="center"/>
          </w:tcPr>
          <w:p>
            <w:pPr>
              <w:widowControl/>
              <w:spacing w:line="4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30次</w:t>
            </w:r>
          </w:p>
        </w:tc>
        <w:tc>
          <w:tcPr>
            <w:tcW w:w="2108" w:type="dxa"/>
            <w:shd w:val="clear" w:color="auto" w:fill="auto"/>
            <w:vAlign w:val="center"/>
          </w:tcPr>
          <w:p>
            <w:pPr>
              <w:widowControl/>
              <w:spacing w:line="440" w:lineRule="exact"/>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与茶博会同步实时进行宣传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restart"/>
            <w:shd w:val="clear" w:color="auto" w:fill="auto"/>
            <w:vAlign w:val="center"/>
          </w:tcPr>
          <w:p>
            <w:pPr>
              <w:widowControl/>
              <w:spacing w:line="42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质量指标</w:t>
            </w:r>
          </w:p>
        </w:tc>
        <w:tc>
          <w:tcPr>
            <w:tcW w:w="2438" w:type="dxa"/>
            <w:shd w:val="clear" w:color="auto" w:fill="auto"/>
            <w:vAlign w:val="center"/>
          </w:tcPr>
          <w:p>
            <w:pPr>
              <w:widowControl/>
              <w:spacing w:line="3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广元展馆搭建合格率</w:t>
            </w:r>
          </w:p>
        </w:tc>
        <w:tc>
          <w:tcPr>
            <w:tcW w:w="1842" w:type="dxa"/>
            <w:shd w:val="clear" w:color="auto" w:fill="auto"/>
            <w:vAlign w:val="center"/>
          </w:tcPr>
          <w:p>
            <w:pPr>
              <w:widowControl/>
              <w:spacing w:line="3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100%</w:t>
            </w:r>
          </w:p>
        </w:tc>
        <w:tc>
          <w:tcPr>
            <w:tcW w:w="2108" w:type="dxa"/>
            <w:shd w:val="clear" w:color="auto" w:fill="auto"/>
            <w:vAlign w:val="center"/>
          </w:tcPr>
          <w:p>
            <w:pPr>
              <w:widowControl/>
              <w:spacing w:line="340" w:lineRule="exact"/>
              <w:jc w:val="left"/>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2438" w:type="dxa"/>
            <w:shd w:val="clear" w:color="auto" w:fill="auto"/>
            <w:vAlign w:val="center"/>
          </w:tcPr>
          <w:p>
            <w:pPr>
              <w:widowControl/>
              <w:spacing w:line="3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广元茶产品获奖</w:t>
            </w:r>
          </w:p>
        </w:tc>
        <w:tc>
          <w:tcPr>
            <w:tcW w:w="1842" w:type="dxa"/>
            <w:shd w:val="clear" w:color="auto" w:fill="auto"/>
            <w:vAlign w:val="center"/>
          </w:tcPr>
          <w:p>
            <w:pPr>
              <w:widowControl/>
              <w:spacing w:line="3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1个</w:t>
            </w:r>
          </w:p>
        </w:tc>
        <w:tc>
          <w:tcPr>
            <w:tcW w:w="2108" w:type="dxa"/>
            <w:shd w:val="clear" w:color="auto" w:fill="auto"/>
            <w:vAlign w:val="center"/>
          </w:tcPr>
          <w:p>
            <w:pPr>
              <w:widowControl/>
              <w:spacing w:line="340" w:lineRule="exact"/>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在茶博会期间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restart"/>
            <w:shd w:val="clear" w:color="auto" w:fill="auto"/>
            <w:vAlign w:val="center"/>
          </w:tcPr>
          <w:p>
            <w:pPr>
              <w:widowControl/>
              <w:spacing w:line="42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时效指标</w:t>
            </w:r>
          </w:p>
        </w:tc>
        <w:tc>
          <w:tcPr>
            <w:tcW w:w="2438" w:type="dxa"/>
            <w:shd w:val="clear" w:color="auto" w:fill="auto"/>
            <w:vAlign w:val="center"/>
          </w:tcPr>
          <w:p>
            <w:pPr>
              <w:widowControl/>
              <w:spacing w:line="3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按照茶博会通知及时参展</w:t>
            </w:r>
          </w:p>
        </w:tc>
        <w:tc>
          <w:tcPr>
            <w:tcW w:w="1842" w:type="dxa"/>
            <w:shd w:val="clear" w:color="auto" w:fill="auto"/>
            <w:vAlign w:val="center"/>
          </w:tcPr>
          <w:p>
            <w:pPr>
              <w:widowControl/>
              <w:spacing w:line="3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1次/年</w:t>
            </w:r>
          </w:p>
        </w:tc>
        <w:tc>
          <w:tcPr>
            <w:tcW w:w="2108" w:type="dxa"/>
            <w:shd w:val="clear" w:color="auto" w:fill="auto"/>
            <w:vAlign w:val="center"/>
          </w:tcPr>
          <w:p>
            <w:pPr>
              <w:widowControl/>
              <w:spacing w:line="340" w:lineRule="exact"/>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按照通知及时参展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2438" w:type="dxa"/>
            <w:shd w:val="clear" w:color="auto" w:fill="auto"/>
            <w:vAlign w:val="center"/>
          </w:tcPr>
          <w:p>
            <w:pPr>
              <w:widowControl/>
              <w:spacing w:line="3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在规定时间内完成展馆搭建</w:t>
            </w:r>
          </w:p>
        </w:tc>
        <w:tc>
          <w:tcPr>
            <w:tcW w:w="1842" w:type="dxa"/>
            <w:shd w:val="clear" w:color="auto" w:fill="auto"/>
            <w:vAlign w:val="center"/>
          </w:tcPr>
          <w:p>
            <w:pPr>
              <w:widowControl/>
              <w:spacing w:line="3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1次/年</w:t>
            </w:r>
          </w:p>
        </w:tc>
        <w:tc>
          <w:tcPr>
            <w:tcW w:w="2108" w:type="dxa"/>
            <w:shd w:val="clear" w:color="auto" w:fill="auto"/>
            <w:vAlign w:val="center"/>
          </w:tcPr>
          <w:p>
            <w:pPr>
              <w:widowControl/>
              <w:spacing w:line="340" w:lineRule="exact"/>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2438" w:type="dxa"/>
            <w:shd w:val="clear" w:color="auto" w:fill="auto"/>
            <w:vAlign w:val="center"/>
          </w:tcPr>
          <w:p>
            <w:pPr>
              <w:widowControl/>
              <w:spacing w:line="3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在规定时间内完成广元黄茶推介会</w:t>
            </w:r>
          </w:p>
        </w:tc>
        <w:tc>
          <w:tcPr>
            <w:tcW w:w="1842" w:type="dxa"/>
            <w:shd w:val="clear" w:color="auto" w:fill="auto"/>
            <w:vAlign w:val="center"/>
          </w:tcPr>
          <w:p>
            <w:pPr>
              <w:widowControl/>
              <w:spacing w:line="3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1次/年</w:t>
            </w:r>
          </w:p>
        </w:tc>
        <w:tc>
          <w:tcPr>
            <w:tcW w:w="2108" w:type="dxa"/>
            <w:shd w:val="clear" w:color="auto" w:fill="auto"/>
            <w:vAlign w:val="center"/>
          </w:tcPr>
          <w:p>
            <w:pPr>
              <w:widowControl/>
              <w:spacing w:line="340" w:lineRule="exact"/>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4月30日上午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2438" w:type="dxa"/>
            <w:shd w:val="clear" w:color="auto" w:fill="auto"/>
            <w:vAlign w:val="center"/>
          </w:tcPr>
          <w:p>
            <w:pPr>
              <w:widowControl/>
              <w:spacing w:line="3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资金拨付到位率</w:t>
            </w:r>
          </w:p>
        </w:tc>
        <w:tc>
          <w:tcPr>
            <w:tcW w:w="1842" w:type="dxa"/>
            <w:shd w:val="clear" w:color="auto" w:fill="auto"/>
            <w:vAlign w:val="center"/>
          </w:tcPr>
          <w:p>
            <w:pPr>
              <w:widowControl/>
              <w:spacing w:line="3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100%</w:t>
            </w:r>
          </w:p>
        </w:tc>
        <w:tc>
          <w:tcPr>
            <w:tcW w:w="2108" w:type="dxa"/>
            <w:shd w:val="clear" w:color="auto" w:fill="auto"/>
            <w:vAlign w:val="center"/>
          </w:tcPr>
          <w:p>
            <w:pPr>
              <w:widowControl/>
              <w:spacing w:line="340" w:lineRule="exact"/>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按照合同约定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2438" w:type="dxa"/>
            <w:shd w:val="clear" w:color="auto" w:fill="auto"/>
            <w:vAlign w:val="center"/>
          </w:tcPr>
          <w:p>
            <w:pPr>
              <w:widowControl/>
              <w:spacing w:line="3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媒体宣传完成率</w:t>
            </w:r>
          </w:p>
        </w:tc>
        <w:tc>
          <w:tcPr>
            <w:tcW w:w="1842" w:type="dxa"/>
            <w:shd w:val="clear" w:color="auto" w:fill="auto"/>
            <w:vAlign w:val="center"/>
          </w:tcPr>
          <w:p>
            <w:pPr>
              <w:widowControl/>
              <w:spacing w:line="34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100%</w:t>
            </w:r>
          </w:p>
        </w:tc>
        <w:tc>
          <w:tcPr>
            <w:tcW w:w="2108" w:type="dxa"/>
            <w:shd w:val="clear" w:color="auto" w:fill="auto"/>
            <w:vAlign w:val="center"/>
          </w:tcPr>
          <w:p>
            <w:pPr>
              <w:widowControl/>
              <w:spacing w:line="340" w:lineRule="exact"/>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与茶博会同步实时进行宣传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restart"/>
            <w:shd w:val="clear" w:color="auto" w:fill="auto"/>
            <w:vAlign w:val="center"/>
          </w:tcPr>
          <w:p>
            <w:pPr>
              <w:widowControl/>
              <w:spacing w:line="42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成本指标</w:t>
            </w:r>
          </w:p>
        </w:tc>
        <w:tc>
          <w:tcPr>
            <w:tcW w:w="2438"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展馆搭建</w:t>
            </w:r>
          </w:p>
        </w:tc>
        <w:tc>
          <w:tcPr>
            <w:tcW w:w="1842"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850元/平方米</w:t>
            </w:r>
          </w:p>
        </w:tc>
        <w:tc>
          <w:tcPr>
            <w:tcW w:w="2108" w:type="dxa"/>
            <w:shd w:val="clear" w:color="auto" w:fill="auto"/>
            <w:vAlign w:val="center"/>
          </w:tcPr>
          <w:p>
            <w:pPr>
              <w:widowControl/>
              <w:spacing w:line="440" w:lineRule="exact"/>
              <w:jc w:val="left"/>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2438"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广元黄茶推介会</w:t>
            </w:r>
          </w:p>
        </w:tc>
        <w:tc>
          <w:tcPr>
            <w:tcW w:w="1842"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28万元/场</w:t>
            </w:r>
          </w:p>
        </w:tc>
        <w:tc>
          <w:tcPr>
            <w:tcW w:w="2108" w:type="dxa"/>
            <w:shd w:val="clear" w:color="auto" w:fill="auto"/>
            <w:vAlign w:val="center"/>
          </w:tcPr>
          <w:p>
            <w:pPr>
              <w:widowControl/>
              <w:spacing w:line="440" w:lineRule="exact"/>
              <w:jc w:val="left"/>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2438"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媒体宣传</w:t>
            </w:r>
          </w:p>
        </w:tc>
        <w:tc>
          <w:tcPr>
            <w:tcW w:w="1842"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2.6万元/年</w:t>
            </w:r>
          </w:p>
        </w:tc>
        <w:tc>
          <w:tcPr>
            <w:tcW w:w="2108" w:type="dxa"/>
            <w:shd w:val="clear" w:color="auto" w:fill="auto"/>
            <w:vAlign w:val="center"/>
          </w:tcPr>
          <w:p>
            <w:pPr>
              <w:widowControl/>
              <w:spacing w:line="440" w:lineRule="exact"/>
              <w:jc w:val="left"/>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restart"/>
            <w:shd w:val="clear" w:color="auto" w:fill="auto"/>
            <w:vAlign w:val="center"/>
          </w:tcPr>
          <w:p>
            <w:pPr>
              <w:widowControl/>
              <w:spacing w:line="42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项目效果指标</w:t>
            </w:r>
          </w:p>
        </w:tc>
        <w:tc>
          <w:tcPr>
            <w:tcW w:w="721" w:type="dxa"/>
            <w:shd w:val="clear" w:color="auto" w:fill="auto"/>
            <w:vAlign w:val="center"/>
          </w:tcPr>
          <w:p>
            <w:pPr>
              <w:widowControl/>
              <w:spacing w:line="42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经济效益</w:t>
            </w:r>
          </w:p>
        </w:tc>
        <w:tc>
          <w:tcPr>
            <w:tcW w:w="2438"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茶叶销售额</w:t>
            </w:r>
          </w:p>
        </w:tc>
        <w:tc>
          <w:tcPr>
            <w:tcW w:w="1842"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70万元</w:t>
            </w:r>
          </w:p>
        </w:tc>
        <w:tc>
          <w:tcPr>
            <w:tcW w:w="2108" w:type="dxa"/>
            <w:shd w:val="clear" w:color="auto" w:fill="auto"/>
            <w:vAlign w:val="center"/>
          </w:tcPr>
          <w:p>
            <w:pPr>
              <w:widowControl/>
              <w:spacing w:line="440" w:lineRule="exact"/>
              <w:jc w:val="left"/>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shd w:val="clear" w:color="auto" w:fill="auto"/>
            <w:vAlign w:val="center"/>
          </w:tcPr>
          <w:p>
            <w:pPr>
              <w:widowControl/>
              <w:spacing w:line="42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社会效益</w:t>
            </w:r>
          </w:p>
        </w:tc>
        <w:tc>
          <w:tcPr>
            <w:tcW w:w="2438"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不断提高广元茶知名度</w:t>
            </w:r>
          </w:p>
        </w:tc>
        <w:tc>
          <w:tcPr>
            <w:tcW w:w="1842"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不断提高广元茶知名度</w:t>
            </w:r>
          </w:p>
        </w:tc>
        <w:tc>
          <w:tcPr>
            <w:tcW w:w="2108" w:type="dxa"/>
            <w:shd w:val="clear" w:color="auto" w:fill="auto"/>
            <w:vAlign w:val="center"/>
          </w:tcPr>
          <w:p>
            <w:pPr>
              <w:widowControl/>
              <w:spacing w:line="440" w:lineRule="exact"/>
              <w:jc w:val="left"/>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restart"/>
            <w:shd w:val="clear" w:color="auto" w:fill="auto"/>
            <w:vAlign w:val="center"/>
          </w:tcPr>
          <w:p>
            <w:pPr>
              <w:widowControl/>
              <w:spacing w:line="42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可持续影响</w:t>
            </w:r>
          </w:p>
        </w:tc>
        <w:tc>
          <w:tcPr>
            <w:tcW w:w="2438"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扩大与国内国际茶界合作，增加订单</w:t>
            </w:r>
          </w:p>
        </w:tc>
        <w:tc>
          <w:tcPr>
            <w:tcW w:w="1842" w:type="dxa"/>
            <w:shd w:val="clear" w:color="auto" w:fill="auto"/>
            <w:vAlign w:val="center"/>
          </w:tcPr>
          <w:p>
            <w:pPr>
              <w:widowControl/>
              <w:spacing w:line="320" w:lineRule="exact"/>
              <w:jc w:val="left"/>
              <w:rPr>
                <w:rFonts w:ascii="仿宋" w:hAnsi="仿宋" w:eastAsia="仿宋" w:cs="宋体"/>
                <w:color w:val="000000"/>
                <w:sz w:val="24"/>
              </w:rPr>
            </w:pPr>
            <w:r>
              <w:rPr>
                <w:rFonts w:ascii="仿宋" w:hAnsi="仿宋" w:eastAsia="仿宋" w:cs="宋体"/>
                <w:color w:val="000000"/>
                <w:sz w:val="24"/>
              </w:rPr>
              <w:t>扩大影响</w:t>
            </w:r>
          </w:p>
        </w:tc>
        <w:tc>
          <w:tcPr>
            <w:tcW w:w="2108" w:type="dxa"/>
            <w:shd w:val="clear" w:color="auto" w:fill="auto"/>
            <w:vAlign w:val="center"/>
          </w:tcPr>
          <w:p>
            <w:pPr>
              <w:widowControl/>
              <w:spacing w:line="440" w:lineRule="exact"/>
              <w:jc w:val="left"/>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21"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2438"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开拓思路</w:t>
            </w:r>
          </w:p>
        </w:tc>
        <w:tc>
          <w:tcPr>
            <w:tcW w:w="1842"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开拓参展茶企思路</w:t>
            </w:r>
          </w:p>
        </w:tc>
        <w:tc>
          <w:tcPr>
            <w:tcW w:w="2108" w:type="dxa"/>
            <w:shd w:val="clear" w:color="auto" w:fill="auto"/>
            <w:vAlign w:val="center"/>
          </w:tcPr>
          <w:p>
            <w:pPr>
              <w:widowControl/>
              <w:spacing w:line="440" w:lineRule="exact"/>
              <w:jc w:val="left"/>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20" w:lineRule="exact"/>
              <w:jc w:val="center"/>
              <w:rPr>
                <w:rFonts w:ascii="仿宋" w:hAnsi="仿宋" w:eastAsia="仿宋" w:cs="宋体"/>
                <w:color w:val="000000"/>
                <w:sz w:val="24"/>
              </w:rPr>
            </w:pPr>
          </w:p>
        </w:tc>
        <w:tc>
          <w:tcPr>
            <w:tcW w:w="738" w:type="dxa"/>
            <w:vMerge w:val="restart"/>
            <w:shd w:val="clear" w:color="auto" w:fill="auto"/>
            <w:vAlign w:val="center"/>
          </w:tcPr>
          <w:p>
            <w:pPr>
              <w:widowControl/>
              <w:spacing w:line="42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721" w:type="dxa"/>
            <w:vMerge w:val="restart"/>
            <w:shd w:val="clear" w:color="auto" w:fill="auto"/>
            <w:vAlign w:val="center"/>
          </w:tcPr>
          <w:p>
            <w:pPr>
              <w:widowControl/>
              <w:spacing w:line="42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2438"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参展茶企满意度</w:t>
            </w:r>
          </w:p>
        </w:tc>
        <w:tc>
          <w:tcPr>
            <w:tcW w:w="1842"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≥90%</w:t>
            </w:r>
          </w:p>
        </w:tc>
        <w:tc>
          <w:tcPr>
            <w:tcW w:w="2108" w:type="dxa"/>
            <w:shd w:val="clear" w:color="auto" w:fill="auto"/>
            <w:vAlign w:val="center"/>
          </w:tcPr>
          <w:p>
            <w:pPr>
              <w:widowControl/>
              <w:spacing w:line="440" w:lineRule="exact"/>
              <w:jc w:val="left"/>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shd w:val="clear" w:color="auto" w:fill="auto"/>
            <w:vAlign w:val="center"/>
          </w:tcPr>
          <w:p>
            <w:pPr>
              <w:widowControl/>
              <w:spacing w:line="440" w:lineRule="exact"/>
              <w:jc w:val="center"/>
              <w:rPr>
                <w:rFonts w:ascii="仿宋" w:hAnsi="仿宋" w:eastAsia="仿宋" w:cs="宋体"/>
                <w:color w:val="000000"/>
                <w:sz w:val="24"/>
              </w:rPr>
            </w:pPr>
          </w:p>
        </w:tc>
        <w:tc>
          <w:tcPr>
            <w:tcW w:w="738" w:type="dxa"/>
            <w:vMerge w:val="continue"/>
            <w:shd w:val="clear" w:color="auto" w:fill="auto"/>
            <w:vAlign w:val="center"/>
          </w:tcPr>
          <w:p>
            <w:pPr>
              <w:widowControl/>
              <w:spacing w:line="440" w:lineRule="exact"/>
              <w:jc w:val="center"/>
              <w:rPr>
                <w:rFonts w:ascii="仿宋" w:hAnsi="仿宋" w:eastAsia="仿宋" w:cs="宋体"/>
                <w:color w:val="000000"/>
                <w:sz w:val="24"/>
              </w:rPr>
            </w:pPr>
          </w:p>
        </w:tc>
        <w:tc>
          <w:tcPr>
            <w:tcW w:w="721" w:type="dxa"/>
            <w:vMerge w:val="continue"/>
            <w:shd w:val="clear" w:color="auto" w:fill="auto"/>
            <w:vAlign w:val="center"/>
          </w:tcPr>
          <w:p>
            <w:pPr>
              <w:widowControl/>
              <w:spacing w:line="440" w:lineRule="exact"/>
              <w:jc w:val="center"/>
              <w:rPr>
                <w:rFonts w:ascii="仿宋" w:hAnsi="仿宋" w:eastAsia="仿宋" w:cs="宋体"/>
                <w:color w:val="000000"/>
                <w:sz w:val="24"/>
              </w:rPr>
            </w:pPr>
          </w:p>
        </w:tc>
        <w:tc>
          <w:tcPr>
            <w:tcW w:w="2438"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消费者满意度</w:t>
            </w:r>
          </w:p>
        </w:tc>
        <w:tc>
          <w:tcPr>
            <w:tcW w:w="1842" w:type="dxa"/>
            <w:shd w:val="clear" w:color="auto" w:fill="auto"/>
            <w:vAlign w:val="center"/>
          </w:tcPr>
          <w:p>
            <w:pPr>
              <w:widowControl/>
              <w:spacing w:line="32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≥90%</w:t>
            </w:r>
          </w:p>
        </w:tc>
        <w:tc>
          <w:tcPr>
            <w:tcW w:w="2108" w:type="dxa"/>
            <w:shd w:val="clear" w:color="auto" w:fill="auto"/>
            <w:vAlign w:val="center"/>
          </w:tcPr>
          <w:p>
            <w:pPr>
              <w:widowControl/>
              <w:spacing w:line="360" w:lineRule="exact"/>
              <w:jc w:val="left"/>
              <w:textAlignment w:val="center"/>
              <w:rPr>
                <w:rFonts w:ascii="仿宋" w:hAnsi="仿宋" w:eastAsia="仿宋" w:cs="宋体"/>
                <w:color w:val="000000"/>
                <w:kern w:val="0"/>
                <w:sz w:val="24"/>
              </w:rPr>
            </w:pPr>
          </w:p>
        </w:tc>
      </w:tr>
    </w:tbl>
    <w:p>
      <w:pPr>
        <w:pStyle w:val="2"/>
        <w:spacing w:before="93" w:line="576" w:lineRule="exact"/>
        <w:ind w:left="420" w:leftChars="200"/>
        <w:rPr>
          <w:rFonts w:ascii="仿宋" w:hAnsi="仿宋" w:eastAsia="仿宋"/>
          <w:sz w:val="32"/>
          <w:szCs w:val="32"/>
        </w:rPr>
      </w:pPr>
      <w:r>
        <w:rPr>
          <w:rFonts w:hint="eastAsia" w:ascii="仿宋" w:hAnsi="仿宋" w:eastAsia="仿宋"/>
          <w:sz w:val="32"/>
          <w:szCs w:val="32"/>
        </w:rPr>
        <w:t>3.项目申报内容与实际相符，申报目标合理可行。</w:t>
      </w:r>
    </w:p>
    <w:p>
      <w:pPr>
        <w:adjustRightInd w:val="0"/>
        <w:snapToGrid w:val="0"/>
        <w:spacing w:line="576" w:lineRule="exact"/>
        <w:ind w:firstLine="720"/>
        <w:rPr>
          <w:rFonts w:ascii="仿宋" w:hAnsi="仿宋" w:eastAsia="仿宋" w:cs="楷体_GB2312"/>
          <w:b/>
          <w:bCs/>
          <w:sz w:val="32"/>
          <w:szCs w:val="32"/>
          <w:lang w:val="zh-CN"/>
        </w:rPr>
      </w:pPr>
      <w:r>
        <w:rPr>
          <w:rFonts w:hint="eastAsia" w:ascii="仿宋" w:hAnsi="仿宋" w:eastAsia="仿宋" w:cs="楷体_GB2312"/>
          <w:b/>
          <w:bCs/>
          <w:sz w:val="32"/>
          <w:szCs w:val="32"/>
        </w:rPr>
        <w:t>（三）</w:t>
      </w:r>
      <w:r>
        <w:rPr>
          <w:rFonts w:hint="eastAsia" w:ascii="仿宋" w:hAnsi="仿宋" w:eastAsia="仿宋" w:cs="楷体_GB2312"/>
          <w:b/>
          <w:bCs/>
          <w:sz w:val="32"/>
          <w:szCs w:val="32"/>
          <w:lang w:val="zh-CN"/>
        </w:rPr>
        <w:t>项目自评步骤及方法</w:t>
      </w:r>
    </w:p>
    <w:p>
      <w:pPr>
        <w:adjustRightInd w:val="0"/>
        <w:snapToGrid w:val="0"/>
        <w:spacing w:line="576" w:lineRule="exact"/>
        <w:ind w:firstLine="720"/>
        <w:rPr>
          <w:rFonts w:ascii="仿宋" w:hAnsi="仿宋" w:eastAsia="仿宋"/>
          <w:sz w:val="32"/>
          <w:szCs w:val="32"/>
        </w:rPr>
      </w:pPr>
      <w:r>
        <w:rPr>
          <w:rFonts w:hint="eastAsia" w:ascii="仿宋" w:hAnsi="仿宋" w:eastAsia="仿宋" w:cs="仿宋_GB2312"/>
          <w:sz w:val="32"/>
          <w:szCs w:val="32"/>
        </w:rPr>
        <w:t>根据项目支出绩效评价工作安排。我局严密组织对本项目开展了项目支出绩效自评，部门严格对照年初制定的绩效目标、评价标准开展绩效自评，全面覆盖财政资金的产出和效果。</w:t>
      </w:r>
    </w:p>
    <w:p>
      <w:pPr>
        <w:adjustRightInd w:val="0"/>
        <w:snapToGrid w:val="0"/>
        <w:spacing w:line="576" w:lineRule="exact"/>
        <w:ind w:firstLine="720"/>
        <w:rPr>
          <w:rFonts w:ascii="仿宋" w:hAnsi="仿宋" w:eastAsia="仿宋" w:cs="黑体"/>
          <w:b/>
          <w:sz w:val="32"/>
          <w:szCs w:val="32"/>
          <w:lang w:val="zh-CN"/>
        </w:rPr>
      </w:pPr>
      <w:r>
        <w:rPr>
          <w:rFonts w:hint="eastAsia" w:ascii="仿宋" w:hAnsi="仿宋" w:eastAsia="仿宋" w:cs="黑体"/>
          <w:b/>
          <w:sz w:val="32"/>
          <w:szCs w:val="32"/>
          <w:lang w:val="zh-CN"/>
        </w:rPr>
        <w:t>二、项目资金申报及使用情况</w:t>
      </w:r>
    </w:p>
    <w:p>
      <w:pPr>
        <w:adjustRightInd w:val="0"/>
        <w:snapToGrid w:val="0"/>
        <w:spacing w:line="576" w:lineRule="exact"/>
        <w:ind w:firstLine="720"/>
        <w:rPr>
          <w:rFonts w:ascii="仿宋" w:hAnsi="仿宋" w:eastAsia="仿宋" w:cs="楷体_GB2312"/>
          <w:b/>
          <w:bCs/>
          <w:sz w:val="32"/>
          <w:szCs w:val="32"/>
        </w:rPr>
      </w:pPr>
      <w:r>
        <w:rPr>
          <w:rFonts w:hint="eastAsia" w:ascii="仿宋" w:hAnsi="仿宋" w:eastAsia="仿宋" w:cs="楷体_GB2312"/>
          <w:b/>
          <w:bCs/>
          <w:sz w:val="32"/>
          <w:szCs w:val="32"/>
        </w:rPr>
        <w:t>（一）项目资金申报及批复情况</w:t>
      </w:r>
    </w:p>
    <w:p>
      <w:pPr>
        <w:adjustRightInd w:val="0"/>
        <w:snapToGrid w:val="0"/>
        <w:spacing w:line="576" w:lineRule="exact"/>
        <w:ind w:firstLine="720"/>
        <w:rPr>
          <w:rFonts w:ascii="仿宋" w:hAnsi="仿宋" w:eastAsia="仿宋" w:cs="仿宋_GB2312"/>
          <w:sz w:val="32"/>
          <w:szCs w:val="32"/>
        </w:rPr>
      </w:pPr>
      <w:r>
        <w:rPr>
          <w:rFonts w:hint="eastAsia" w:ascii="仿宋" w:hAnsi="仿宋" w:eastAsia="仿宋" w:cs="仿宋_GB2312"/>
          <w:sz w:val="32"/>
          <w:szCs w:val="32"/>
        </w:rPr>
        <w:t>2021年3月18日，我局向市政府报送《关于审定〈广元市参加第十届四川国际茶业博览会工作方案（送审稿）〉的请示》，经市政府主要领导同意，市财政局以《关于下达参加第十届四川国际茶业博览会经费的通知》（广财农[2021]16号）下达市本级财政资金20万元。</w:t>
      </w:r>
    </w:p>
    <w:p>
      <w:pPr>
        <w:adjustRightInd w:val="0"/>
        <w:snapToGrid w:val="0"/>
        <w:spacing w:line="576" w:lineRule="exact"/>
        <w:ind w:left="640"/>
        <w:rPr>
          <w:rFonts w:ascii="仿宋" w:hAnsi="仿宋" w:eastAsia="仿宋" w:cs="楷体_GB2312"/>
          <w:b/>
          <w:bCs/>
          <w:sz w:val="32"/>
          <w:szCs w:val="32"/>
        </w:rPr>
      </w:pPr>
      <w:r>
        <w:rPr>
          <w:rFonts w:hint="eastAsia" w:ascii="仿宋" w:hAnsi="仿宋" w:eastAsia="仿宋" w:cs="楷体_GB2312"/>
          <w:b/>
          <w:bCs/>
          <w:sz w:val="32"/>
          <w:szCs w:val="32"/>
        </w:rPr>
        <w:t>（二）资金计划、到位及使用情况</w:t>
      </w:r>
    </w:p>
    <w:p>
      <w:pPr>
        <w:pStyle w:val="2"/>
        <w:spacing w:before="93" w:line="576" w:lineRule="exact"/>
        <w:ind w:firstLine="640"/>
        <w:rPr>
          <w:rFonts w:ascii="仿宋" w:hAnsi="仿宋" w:eastAsia="仿宋" w:cs="仿宋_GB2312"/>
          <w:sz w:val="32"/>
          <w:szCs w:val="32"/>
        </w:rPr>
      </w:pPr>
      <w:r>
        <w:rPr>
          <w:rFonts w:hint="eastAsia" w:ascii="仿宋" w:hAnsi="仿宋" w:eastAsia="仿宋" w:cs="仿宋_GB2312"/>
          <w:b/>
          <w:bCs/>
          <w:sz w:val="32"/>
          <w:szCs w:val="32"/>
        </w:rPr>
        <w:t>1.资金计划。</w:t>
      </w:r>
      <w:r>
        <w:rPr>
          <w:rFonts w:hint="eastAsia" w:ascii="仿宋" w:hAnsi="仿宋" w:eastAsia="仿宋" w:cs="仿宋_GB2312"/>
          <w:sz w:val="32"/>
          <w:szCs w:val="32"/>
        </w:rPr>
        <w:t>计划资金85万元,其中市级财政20万元、旺苍县财政28万元、青川县财政28万元、广茶集团9万元。</w:t>
      </w:r>
    </w:p>
    <w:p>
      <w:pPr>
        <w:pStyle w:val="2"/>
        <w:spacing w:before="93" w:line="576" w:lineRule="exact"/>
        <w:ind w:firstLine="640"/>
        <w:rPr>
          <w:rFonts w:ascii="仿宋" w:hAnsi="仿宋" w:eastAsia="仿宋" w:cs="仿宋_GB2312"/>
          <w:sz w:val="32"/>
          <w:szCs w:val="32"/>
        </w:rPr>
      </w:pPr>
      <w:r>
        <w:rPr>
          <w:rFonts w:hint="eastAsia" w:ascii="仿宋" w:hAnsi="仿宋" w:eastAsia="仿宋" w:cs="仿宋_GB2312"/>
          <w:b/>
          <w:bCs/>
          <w:sz w:val="32"/>
          <w:szCs w:val="32"/>
        </w:rPr>
        <w:t>2.资金到位。</w:t>
      </w:r>
      <w:r>
        <w:rPr>
          <w:rFonts w:hint="eastAsia" w:ascii="仿宋" w:hAnsi="仿宋" w:eastAsia="仿宋" w:cs="仿宋_GB2312"/>
          <w:sz w:val="32"/>
          <w:szCs w:val="32"/>
        </w:rPr>
        <w:t>实际到位85万元，资金到位及时，资金到位率100%。</w:t>
      </w:r>
    </w:p>
    <w:p>
      <w:pPr>
        <w:pStyle w:val="2"/>
        <w:spacing w:before="93" w:line="576" w:lineRule="exact"/>
        <w:ind w:firstLine="640"/>
        <w:rPr>
          <w:rFonts w:ascii="仿宋" w:hAnsi="仿宋" w:eastAsia="仿宋" w:cs="仿宋_GB2312"/>
          <w:sz w:val="32"/>
          <w:szCs w:val="32"/>
        </w:rPr>
      </w:pPr>
      <w:r>
        <w:rPr>
          <w:rFonts w:hint="eastAsia" w:ascii="仿宋" w:hAnsi="仿宋" w:eastAsia="仿宋" w:cs="仿宋_GB2312"/>
          <w:b/>
          <w:bCs/>
          <w:sz w:val="32"/>
          <w:szCs w:val="32"/>
        </w:rPr>
        <w:t>3.资金使用。</w:t>
      </w:r>
      <w:r>
        <w:rPr>
          <w:rFonts w:hint="eastAsia" w:ascii="仿宋" w:hAnsi="仿宋" w:eastAsia="仿宋" w:cs="仿宋_GB2312"/>
          <w:sz w:val="32"/>
          <w:szCs w:val="32"/>
        </w:rPr>
        <w:t>实际使用资金84.13万元，资金使用率98.97%（财政资金使用率100%）。在资金使用过程中，支付范围、支付标准、支付进度、支付依据等合规合法、与预算相符。</w:t>
      </w:r>
    </w:p>
    <w:p>
      <w:pPr>
        <w:pStyle w:val="2"/>
        <w:numPr>
          <w:ilvl w:val="0"/>
          <w:numId w:val="5"/>
        </w:numPr>
        <w:spacing w:beforeLines="0" w:line="576" w:lineRule="exact"/>
        <w:ind w:firstLine="640"/>
        <w:rPr>
          <w:rFonts w:ascii="仿宋" w:hAnsi="仿宋" w:eastAsia="仿宋" w:cs="楷体_GB2312"/>
          <w:b/>
          <w:bCs/>
          <w:sz w:val="32"/>
          <w:szCs w:val="32"/>
          <w:lang w:val="zh-CN"/>
        </w:rPr>
      </w:pPr>
      <w:r>
        <w:rPr>
          <w:rFonts w:hint="eastAsia" w:ascii="仿宋" w:hAnsi="仿宋" w:eastAsia="仿宋" w:cs="楷体_GB2312"/>
          <w:b/>
          <w:bCs/>
          <w:sz w:val="32"/>
          <w:szCs w:val="32"/>
          <w:lang w:val="zh-CN"/>
        </w:rPr>
        <w:t>项目财务管理情况</w:t>
      </w:r>
    </w:p>
    <w:p>
      <w:pPr>
        <w:pStyle w:val="2"/>
        <w:spacing w:before="93" w:line="576"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财务管理制度健全，严格执行财务管理制度，账务处理及时，会计核算规范。</w:t>
      </w:r>
    </w:p>
    <w:p>
      <w:pPr>
        <w:adjustRightInd w:val="0"/>
        <w:snapToGrid w:val="0"/>
        <w:spacing w:line="576" w:lineRule="exact"/>
        <w:ind w:firstLine="720"/>
        <w:rPr>
          <w:rFonts w:ascii="仿宋" w:hAnsi="仿宋" w:eastAsia="仿宋"/>
          <w:sz w:val="32"/>
          <w:szCs w:val="32"/>
        </w:rPr>
      </w:pPr>
      <w:r>
        <w:rPr>
          <w:rFonts w:hint="eastAsia" w:ascii="仿宋" w:hAnsi="仿宋" w:eastAsia="仿宋"/>
          <w:sz w:val="32"/>
          <w:szCs w:val="32"/>
        </w:rPr>
        <w:t>三、项目实施及管理情况</w:t>
      </w:r>
    </w:p>
    <w:p>
      <w:pPr>
        <w:adjustRightInd w:val="0"/>
        <w:snapToGrid w:val="0"/>
        <w:spacing w:line="576" w:lineRule="exact"/>
        <w:ind w:firstLine="640" w:firstLineChars="200"/>
        <w:rPr>
          <w:rFonts w:ascii="仿宋" w:hAnsi="仿宋" w:eastAsia="仿宋" w:cs="楷体_GB2312"/>
          <w:b/>
          <w:bCs/>
          <w:sz w:val="32"/>
          <w:szCs w:val="32"/>
          <w:lang w:val="zh-CN"/>
        </w:rPr>
      </w:pPr>
      <w:r>
        <w:rPr>
          <w:rFonts w:hint="eastAsia" w:ascii="仿宋" w:hAnsi="仿宋" w:eastAsia="仿宋" w:cs="楷体_GB2312"/>
          <w:b/>
          <w:bCs/>
          <w:sz w:val="32"/>
          <w:szCs w:val="32"/>
          <w:lang w:val="zh-CN"/>
        </w:rPr>
        <w:t>（一）项目组织框架及实施流程</w:t>
      </w:r>
    </w:p>
    <w:p>
      <w:pPr>
        <w:spacing w:line="576" w:lineRule="exact"/>
        <w:ind w:firstLine="640" w:firstLineChars="200"/>
        <w:rPr>
          <w:rFonts w:ascii="仿宋" w:hAnsi="仿宋" w:eastAsia="仿宋" w:cs="宋体"/>
          <w:sz w:val="32"/>
          <w:szCs w:val="32"/>
        </w:rPr>
      </w:pPr>
      <w:r>
        <w:rPr>
          <w:rFonts w:hint="eastAsia" w:ascii="仿宋" w:hAnsi="仿宋" w:eastAsia="仿宋"/>
          <w:sz w:val="32"/>
          <w:szCs w:val="32"/>
        </w:rPr>
        <w:t xml:space="preserve"> 该项目</w:t>
      </w:r>
      <w:r>
        <w:rPr>
          <w:rFonts w:hint="eastAsia" w:ascii="仿宋" w:hAnsi="仿宋" w:eastAsia="仿宋" w:cs="仿宋_GB2312"/>
          <w:sz w:val="32"/>
          <w:szCs w:val="32"/>
        </w:rPr>
        <w:t>成立了以市领导任组长，市委宣传部、市发展改革委、市财政局、市农业农村局、市商务局、市经济合作局、旺苍县政府、青川县政府、广元市茶业（集团）有限公司、广元市茶文化艺术研究会为成员单位的广元市参加</w:t>
      </w:r>
      <w:r>
        <w:rPr>
          <w:rFonts w:hint="eastAsia" w:ascii="仿宋" w:hAnsi="仿宋" w:eastAsia="仿宋"/>
          <w:sz w:val="32"/>
          <w:szCs w:val="32"/>
        </w:rPr>
        <w:t>第十届四川国际茶业博览会</w:t>
      </w:r>
      <w:r>
        <w:rPr>
          <w:rFonts w:hint="eastAsia" w:ascii="仿宋" w:hAnsi="仿宋" w:eastAsia="仿宋" w:cs="仿宋_GB2312"/>
          <w:sz w:val="32"/>
          <w:szCs w:val="32"/>
        </w:rPr>
        <w:t>领导小组。</w:t>
      </w:r>
      <w:r>
        <w:rPr>
          <w:rFonts w:hint="eastAsia" w:ascii="仿宋" w:hAnsi="仿宋" w:eastAsia="仿宋" w:cs="宋体"/>
          <w:sz w:val="32"/>
          <w:szCs w:val="32"/>
        </w:rPr>
        <w:t>领导小组办公室设在市农业农村局，由市农业农村局主要负责同志任办公室主任。</w:t>
      </w:r>
    </w:p>
    <w:p>
      <w:pPr>
        <w:pStyle w:val="2"/>
        <w:spacing w:before="93" w:line="576" w:lineRule="exact"/>
        <w:rPr>
          <w:rFonts w:ascii="仿宋" w:hAnsi="仿宋" w:eastAsia="仿宋"/>
          <w:sz w:val="32"/>
          <w:szCs w:val="32"/>
        </w:rPr>
      </w:pPr>
      <w:r>
        <w:rPr>
          <w:rFonts w:hint="eastAsia" w:ascii="仿宋" w:hAnsi="仿宋" w:eastAsia="仿宋" w:cs="宋体"/>
          <w:sz w:val="32"/>
          <w:szCs w:val="32"/>
        </w:rPr>
        <w:t xml:space="preserve">    </w:t>
      </w:r>
      <w:r>
        <w:rPr>
          <w:rFonts w:hint="eastAsia" w:ascii="仿宋" w:hAnsi="仿宋" w:eastAsia="仿宋"/>
          <w:sz w:val="32"/>
          <w:szCs w:val="32"/>
        </w:rPr>
        <w:t>该项目由我局下属事业单位广元市经济作物管理站负责实施，负责制定实施方案，按照经局党组会议审议通过的实施内容、资金分配方案等实施。</w:t>
      </w:r>
    </w:p>
    <w:p>
      <w:pPr>
        <w:adjustRightInd w:val="0"/>
        <w:snapToGrid w:val="0"/>
        <w:spacing w:line="576" w:lineRule="exact"/>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（二）项目管理情况</w:t>
      </w:r>
    </w:p>
    <w:p>
      <w:pPr>
        <w:pStyle w:val="14"/>
        <w:spacing w:line="576" w:lineRule="exact"/>
        <w:ind w:left="0" w:leftChars="0" w:firstLine="640"/>
        <w:rPr>
          <w:rFonts w:ascii="仿宋" w:hAnsi="仿宋" w:eastAsia="仿宋"/>
        </w:rPr>
      </w:pPr>
      <w:r>
        <w:rPr>
          <w:rFonts w:hint="eastAsia" w:ascii="仿宋" w:hAnsi="仿宋" w:eastAsia="仿宋"/>
        </w:rPr>
        <w:t>广元展馆搭建和广元黄茶推介会进行了政府采购，涉及资金58.6万元。</w:t>
      </w:r>
    </w:p>
    <w:p>
      <w:pPr>
        <w:spacing w:line="576" w:lineRule="exact"/>
        <w:ind w:left="640"/>
        <w:rPr>
          <w:rFonts w:ascii="仿宋" w:hAnsi="仿宋" w:eastAsia="仿宋" w:cs="楷体_GB2312"/>
          <w:b/>
          <w:bCs/>
          <w:sz w:val="32"/>
          <w:szCs w:val="32"/>
        </w:rPr>
      </w:pPr>
      <w:r>
        <w:rPr>
          <w:rFonts w:hint="eastAsia" w:ascii="仿宋" w:hAnsi="仿宋" w:eastAsia="仿宋" w:cs="楷体_GB2312"/>
          <w:b/>
          <w:bCs/>
          <w:sz w:val="32"/>
          <w:szCs w:val="32"/>
        </w:rPr>
        <w:t>（三）项目监管情况</w:t>
      </w:r>
    </w:p>
    <w:p>
      <w:pPr>
        <w:pStyle w:val="14"/>
        <w:spacing w:line="576" w:lineRule="exact"/>
        <w:ind w:left="0" w:leftChars="0" w:firstLine="640"/>
        <w:rPr>
          <w:rFonts w:ascii="仿宋" w:hAnsi="仿宋" w:eastAsia="仿宋"/>
        </w:rPr>
      </w:pPr>
      <w:r>
        <w:rPr>
          <w:rFonts w:hint="eastAsia" w:ascii="仿宋" w:hAnsi="仿宋" w:eastAsia="仿宋"/>
        </w:rPr>
        <w:t>局党办、局计财科参与监督管理。</w:t>
      </w:r>
      <w:r>
        <w:rPr>
          <w:rFonts w:hint="eastAsia" w:ascii="仿宋" w:hAnsi="仿宋" w:eastAsia="仿宋" w:cs="仿宋_GB2312"/>
        </w:rPr>
        <w:t>严格按照财务管理制度实施、严格执行财务管理制度、财务处理及时、会计核算及账务处理规范。</w:t>
      </w:r>
    </w:p>
    <w:p>
      <w:pPr>
        <w:adjustRightInd w:val="0"/>
        <w:snapToGrid w:val="0"/>
        <w:spacing w:line="576" w:lineRule="exact"/>
        <w:ind w:firstLine="720"/>
        <w:rPr>
          <w:rFonts w:ascii="仿宋" w:hAnsi="仿宋" w:eastAsia="仿宋"/>
          <w:sz w:val="32"/>
          <w:szCs w:val="32"/>
          <w:lang w:val="zh-CN"/>
        </w:rPr>
      </w:pPr>
      <w:r>
        <w:rPr>
          <w:rFonts w:hint="eastAsia" w:ascii="仿宋" w:hAnsi="仿宋" w:eastAsia="仿宋"/>
          <w:sz w:val="32"/>
          <w:szCs w:val="32"/>
        </w:rPr>
        <w:t>四、项目绩效情况</w:t>
      </w:r>
      <w:r>
        <w:rPr>
          <w:rFonts w:hint="eastAsia" w:ascii="仿宋" w:hAnsi="仿宋" w:eastAsia="仿宋"/>
          <w:sz w:val="32"/>
          <w:szCs w:val="32"/>
          <w:lang w:val="zh-CN"/>
        </w:rPr>
        <w:tab/>
      </w:r>
    </w:p>
    <w:p>
      <w:pPr>
        <w:adjustRightInd w:val="0"/>
        <w:snapToGrid w:val="0"/>
        <w:spacing w:line="576" w:lineRule="exact"/>
        <w:ind w:firstLine="720"/>
        <w:rPr>
          <w:rFonts w:ascii="仿宋" w:hAnsi="仿宋" w:eastAsia="仿宋"/>
          <w:b/>
          <w:sz w:val="32"/>
          <w:szCs w:val="32"/>
          <w:lang w:val="zh-CN"/>
        </w:rPr>
      </w:pPr>
      <w:r>
        <w:rPr>
          <w:rFonts w:hint="eastAsia" w:ascii="仿宋" w:hAnsi="仿宋" w:eastAsia="仿宋"/>
          <w:b/>
          <w:sz w:val="32"/>
          <w:szCs w:val="32"/>
          <w:lang w:val="zh-CN"/>
        </w:rPr>
        <w:t>（一）项目完成情况</w:t>
      </w:r>
    </w:p>
    <w:p>
      <w:pPr>
        <w:adjustRightInd w:val="0"/>
        <w:snapToGrid w:val="0"/>
        <w:spacing w:line="576" w:lineRule="exact"/>
        <w:ind w:firstLine="720"/>
        <w:rPr>
          <w:rFonts w:ascii="仿宋" w:hAnsi="仿宋" w:eastAsia="仿宋"/>
          <w:sz w:val="32"/>
          <w:szCs w:val="32"/>
        </w:rPr>
      </w:pPr>
      <w:r>
        <w:rPr>
          <w:rFonts w:hint="eastAsia" w:ascii="仿宋" w:hAnsi="仿宋" w:eastAsia="仿宋"/>
          <w:sz w:val="32"/>
          <w:szCs w:val="32"/>
        </w:rPr>
        <w:t>1.</w:t>
      </w:r>
      <w:r>
        <w:rPr>
          <w:rFonts w:hint="eastAsia" w:ascii="仿宋" w:hAnsi="仿宋" w:eastAsia="仿宋" w:cs="仿宋_GB2312"/>
          <w:sz w:val="32"/>
          <w:szCs w:val="32"/>
        </w:rPr>
        <w:t>广元展馆搭建面积420平方米</w:t>
      </w:r>
      <w:r>
        <w:rPr>
          <w:rFonts w:hint="eastAsia" w:ascii="仿宋" w:hAnsi="仿宋" w:eastAsia="仿宋"/>
          <w:sz w:val="32"/>
          <w:szCs w:val="32"/>
        </w:rPr>
        <w:t>。</w:t>
      </w:r>
    </w:p>
    <w:p>
      <w:pPr>
        <w:adjustRightInd w:val="0"/>
        <w:snapToGrid w:val="0"/>
        <w:spacing w:line="576" w:lineRule="exact"/>
        <w:ind w:firstLine="720"/>
        <w:rPr>
          <w:rFonts w:ascii="仿宋" w:hAnsi="仿宋" w:eastAsia="仿宋"/>
          <w:sz w:val="32"/>
          <w:szCs w:val="32"/>
        </w:rPr>
      </w:pPr>
      <w:r>
        <w:rPr>
          <w:rFonts w:hint="eastAsia" w:ascii="仿宋" w:hAnsi="仿宋" w:eastAsia="仿宋"/>
          <w:sz w:val="32"/>
          <w:szCs w:val="32"/>
        </w:rPr>
        <w:t>2.组织11家企业携200余产品参展。</w:t>
      </w:r>
    </w:p>
    <w:p>
      <w:pPr>
        <w:adjustRightInd w:val="0"/>
        <w:snapToGrid w:val="0"/>
        <w:spacing w:line="576" w:lineRule="exact"/>
        <w:ind w:firstLine="720"/>
        <w:rPr>
          <w:rFonts w:ascii="仿宋" w:hAnsi="仿宋" w:eastAsia="仿宋"/>
          <w:sz w:val="32"/>
          <w:szCs w:val="32"/>
        </w:rPr>
      </w:pPr>
      <w:r>
        <w:rPr>
          <w:rFonts w:hint="eastAsia" w:ascii="仿宋" w:hAnsi="仿宋" w:eastAsia="仿宋"/>
          <w:sz w:val="32"/>
          <w:szCs w:val="32"/>
        </w:rPr>
        <w:t>3.举办广元黄茶推介会和四川茶业十强县（旺苍县）米仓山茶品鉴会。</w:t>
      </w:r>
    </w:p>
    <w:p>
      <w:pPr>
        <w:adjustRightInd w:val="0"/>
        <w:snapToGrid w:val="0"/>
        <w:spacing w:line="576" w:lineRule="exact"/>
        <w:ind w:firstLine="720"/>
        <w:rPr>
          <w:rFonts w:ascii="仿宋" w:hAnsi="仿宋" w:eastAsia="仿宋"/>
          <w:sz w:val="32"/>
          <w:szCs w:val="32"/>
        </w:rPr>
      </w:pPr>
      <w:r>
        <w:rPr>
          <w:rFonts w:hint="eastAsia" w:ascii="仿宋" w:hAnsi="仿宋" w:eastAsia="仿宋"/>
          <w:sz w:val="32"/>
          <w:szCs w:val="32"/>
        </w:rPr>
        <w:t>4.组织茶企参加茶博会“四川十大名茶”、“四川名茶”等评选活动，获奖10个，市农业农村局获茶博会组委会颁发的“优秀组织奖”。</w:t>
      </w:r>
    </w:p>
    <w:p>
      <w:pPr>
        <w:adjustRightInd w:val="0"/>
        <w:snapToGrid w:val="0"/>
        <w:spacing w:line="576" w:lineRule="exact"/>
        <w:ind w:firstLine="720"/>
        <w:rPr>
          <w:rFonts w:ascii="仿宋" w:hAnsi="仿宋" w:eastAsia="仿宋"/>
          <w:sz w:val="32"/>
          <w:szCs w:val="32"/>
        </w:rPr>
      </w:pPr>
      <w:r>
        <w:rPr>
          <w:rFonts w:hint="eastAsia" w:ascii="仿宋" w:hAnsi="仿宋" w:eastAsia="仿宋"/>
          <w:sz w:val="32"/>
          <w:szCs w:val="32"/>
        </w:rPr>
        <w:t>5.人民网、农民日报、新华网等20多家媒体共发布专题报道50余篇。</w:t>
      </w:r>
    </w:p>
    <w:p>
      <w:pPr>
        <w:adjustRightInd w:val="0"/>
        <w:snapToGrid w:val="0"/>
        <w:spacing w:line="576" w:lineRule="exact"/>
        <w:ind w:firstLine="640" w:firstLineChars="200"/>
        <w:rPr>
          <w:rFonts w:ascii="仿宋" w:hAnsi="仿宋" w:eastAsia="仿宋"/>
          <w:sz w:val="32"/>
          <w:szCs w:val="32"/>
        </w:rPr>
      </w:pPr>
      <w:r>
        <w:rPr>
          <w:rFonts w:hint="eastAsia" w:ascii="仿宋" w:hAnsi="仿宋" w:eastAsia="仿宋"/>
          <w:sz w:val="32"/>
          <w:szCs w:val="32"/>
        </w:rPr>
        <w:t>6.展会期间，</w:t>
      </w:r>
      <w:r>
        <w:rPr>
          <w:rFonts w:ascii="仿宋" w:hAnsi="仿宋" w:eastAsia="仿宋"/>
          <w:sz w:val="32"/>
          <w:szCs w:val="32"/>
        </w:rPr>
        <w:t>协议销售订单27笔、销售量18.4吨、销售额800万元。现场销售订单584笔，销售量405kg，销售额70.9万元。在广元黄茶推介会上广元市茶业（集团）有限公司与四川蜀茶实业集团有限公司、江苏骏眉时代茶业有限公司签订了销售订单5吨和渠道合作协议</w:t>
      </w:r>
      <w:r>
        <w:rPr>
          <w:rFonts w:hint="eastAsia" w:ascii="仿宋" w:hAnsi="仿宋" w:eastAsia="仿宋"/>
          <w:sz w:val="32"/>
          <w:szCs w:val="32"/>
        </w:rPr>
        <w:t>。</w:t>
      </w:r>
    </w:p>
    <w:p>
      <w:pPr>
        <w:adjustRightInd w:val="0"/>
        <w:snapToGrid w:val="0"/>
        <w:spacing w:line="576" w:lineRule="exact"/>
        <w:ind w:firstLine="720"/>
        <w:rPr>
          <w:rFonts w:ascii="仿宋" w:hAnsi="仿宋" w:eastAsia="仿宋"/>
          <w:sz w:val="32"/>
          <w:szCs w:val="32"/>
          <w:lang w:val="zh-CN"/>
        </w:rPr>
      </w:pPr>
      <w:r>
        <w:rPr>
          <w:rFonts w:hint="eastAsia" w:ascii="仿宋" w:hAnsi="仿宋" w:eastAsia="仿宋"/>
          <w:sz w:val="32"/>
          <w:szCs w:val="32"/>
        </w:rPr>
        <w:t>综上，按照绩效目标和计划进度全面完成</w:t>
      </w:r>
      <w:r>
        <w:rPr>
          <w:rFonts w:hint="eastAsia" w:ascii="仿宋" w:hAnsi="仿宋" w:eastAsia="仿宋"/>
          <w:sz w:val="32"/>
          <w:szCs w:val="32"/>
          <w:lang w:val="zh-CN"/>
        </w:rPr>
        <w:t>项目计划目标。</w:t>
      </w:r>
    </w:p>
    <w:p>
      <w:pPr>
        <w:adjustRightInd w:val="0"/>
        <w:snapToGrid w:val="0"/>
        <w:spacing w:line="576" w:lineRule="exact"/>
        <w:ind w:firstLine="720"/>
        <w:rPr>
          <w:rFonts w:ascii="仿宋" w:hAnsi="仿宋" w:eastAsia="仿宋"/>
          <w:b/>
          <w:sz w:val="32"/>
          <w:szCs w:val="32"/>
          <w:lang w:val="zh-CN"/>
        </w:rPr>
      </w:pPr>
      <w:r>
        <w:rPr>
          <w:rFonts w:hint="eastAsia" w:ascii="仿宋" w:hAnsi="仿宋" w:eastAsia="仿宋"/>
          <w:b/>
          <w:sz w:val="32"/>
          <w:szCs w:val="32"/>
          <w:lang w:val="zh-CN"/>
        </w:rPr>
        <w:t>（二）项目效益情况</w:t>
      </w:r>
    </w:p>
    <w:tbl>
      <w:tblPr>
        <w:tblStyle w:val="15"/>
        <w:tblW w:w="8651" w:type="dxa"/>
        <w:tblInd w:w="93" w:type="dxa"/>
        <w:tblLayout w:type="autofit"/>
        <w:tblCellMar>
          <w:top w:w="0" w:type="dxa"/>
          <w:left w:w="108" w:type="dxa"/>
          <w:bottom w:w="0" w:type="dxa"/>
          <w:right w:w="108" w:type="dxa"/>
        </w:tblCellMar>
      </w:tblPr>
      <w:tblGrid>
        <w:gridCol w:w="1789"/>
        <w:gridCol w:w="2173"/>
        <w:gridCol w:w="1798"/>
        <w:gridCol w:w="2891"/>
      </w:tblGrid>
      <w:tr>
        <w:tblPrEx>
          <w:tblCellMar>
            <w:top w:w="0" w:type="dxa"/>
            <w:left w:w="108" w:type="dxa"/>
            <w:bottom w:w="0" w:type="dxa"/>
            <w:right w:w="108" w:type="dxa"/>
          </w:tblCellMar>
        </w:tblPrEx>
        <w:trPr>
          <w:trHeight w:val="480" w:hRule="atLeast"/>
        </w:trPr>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绩效目标</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完成情况</w:t>
            </w:r>
          </w:p>
        </w:tc>
      </w:tr>
      <w:tr>
        <w:tblPrEx>
          <w:tblCellMar>
            <w:top w:w="0" w:type="dxa"/>
            <w:left w:w="108" w:type="dxa"/>
            <w:bottom w:w="0" w:type="dxa"/>
            <w:right w:w="108" w:type="dxa"/>
          </w:tblCellMar>
        </w:tblPrEx>
        <w:trPr>
          <w:trHeight w:val="480" w:hRule="atLeast"/>
        </w:trPr>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经济效益</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茶叶销售额</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70万元</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70.9万元</w:t>
            </w:r>
          </w:p>
        </w:tc>
      </w:tr>
      <w:tr>
        <w:tblPrEx>
          <w:tblCellMar>
            <w:top w:w="0" w:type="dxa"/>
            <w:left w:w="108" w:type="dxa"/>
            <w:bottom w:w="0" w:type="dxa"/>
            <w:right w:w="108" w:type="dxa"/>
          </w:tblCellMar>
        </w:tblPrEx>
        <w:trPr>
          <w:trHeight w:val="480" w:hRule="atLeast"/>
        </w:trPr>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社会效益</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不断提高广元茶知名度</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不断提高广元茶知名度</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提高了广元茶知名度</w:t>
            </w:r>
          </w:p>
        </w:tc>
      </w:tr>
      <w:tr>
        <w:tblPrEx>
          <w:tblCellMar>
            <w:top w:w="0" w:type="dxa"/>
            <w:left w:w="108" w:type="dxa"/>
            <w:bottom w:w="0" w:type="dxa"/>
            <w:right w:w="108" w:type="dxa"/>
          </w:tblCellMar>
        </w:tblPrEx>
        <w:trPr>
          <w:trHeight w:val="740" w:hRule="atLeast"/>
        </w:trPr>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可持续影响</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扩大与国内国际茶界合作，增加订单</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color w:val="000000"/>
                <w:sz w:val="24"/>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现场销售584笔，签订合作协议27笔</w:t>
            </w:r>
          </w:p>
        </w:tc>
      </w:tr>
      <w:tr>
        <w:tblPrEx>
          <w:tblCellMar>
            <w:top w:w="0" w:type="dxa"/>
            <w:left w:w="108" w:type="dxa"/>
            <w:bottom w:w="0" w:type="dxa"/>
            <w:right w:w="108" w:type="dxa"/>
          </w:tblCellMar>
        </w:tblPrEx>
        <w:trPr>
          <w:trHeight w:val="800" w:hRule="atLeast"/>
        </w:trPr>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开拓思路</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开拓参展茶企思路</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开拓参展茶企的眼界和思路</w:t>
            </w:r>
          </w:p>
        </w:tc>
      </w:tr>
      <w:tr>
        <w:tblPrEx>
          <w:tblCellMar>
            <w:top w:w="0" w:type="dxa"/>
            <w:left w:w="108" w:type="dxa"/>
            <w:bottom w:w="0" w:type="dxa"/>
            <w:right w:w="108" w:type="dxa"/>
          </w:tblCellMar>
        </w:tblPrEx>
        <w:trPr>
          <w:trHeight w:val="480" w:hRule="atLeast"/>
        </w:trPr>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参展茶企</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≥90%</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100%</w:t>
            </w:r>
          </w:p>
        </w:tc>
      </w:tr>
      <w:tr>
        <w:tblPrEx>
          <w:tblCellMar>
            <w:top w:w="0" w:type="dxa"/>
            <w:left w:w="108" w:type="dxa"/>
            <w:bottom w:w="0" w:type="dxa"/>
            <w:right w:w="108" w:type="dxa"/>
          </w:tblCellMar>
        </w:tblPrEx>
        <w:trPr>
          <w:trHeight w:val="480" w:hRule="atLeast"/>
        </w:trPr>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消费者</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≥90%</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≥90%</w:t>
            </w:r>
          </w:p>
        </w:tc>
      </w:tr>
    </w:tbl>
    <w:p>
      <w:pPr>
        <w:adjustRightInd w:val="0"/>
        <w:snapToGrid w:val="0"/>
        <w:spacing w:line="576" w:lineRule="exact"/>
        <w:ind w:firstLine="640" w:firstLineChars="200"/>
        <w:rPr>
          <w:rFonts w:ascii="仿宋" w:hAnsi="仿宋" w:eastAsia="仿宋"/>
          <w:sz w:val="32"/>
          <w:szCs w:val="32"/>
        </w:rPr>
      </w:pPr>
      <w:r>
        <w:rPr>
          <w:rFonts w:hint="eastAsia" w:ascii="仿宋" w:hAnsi="仿宋" w:eastAsia="仿宋"/>
          <w:sz w:val="32"/>
          <w:szCs w:val="32"/>
        </w:rPr>
        <w:t>五、评价结论及建议</w:t>
      </w:r>
    </w:p>
    <w:p>
      <w:pPr>
        <w:adjustRightInd w:val="0"/>
        <w:snapToGrid w:val="0"/>
        <w:spacing w:line="576" w:lineRule="exact"/>
        <w:ind w:firstLine="640" w:firstLineChars="200"/>
        <w:rPr>
          <w:rFonts w:ascii="仿宋" w:hAnsi="仿宋" w:eastAsia="仿宋"/>
          <w:b/>
          <w:sz w:val="32"/>
          <w:szCs w:val="32"/>
          <w:lang w:val="zh-CN"/>
        </w:rPr>
      </w:pPr>
      <w:r>
        <w:rPr>
          <w:rFonts w:hint="eastAsia" w:ascii="仿宋" w:hAnsi="仿宋" w:eastAsia="仿宋"/>
          <w:b/>
          <w:sz w:val="32"/>
          <w:szCs w:val="32"/>
          <w:lang w:val="zh-CN"/>
        </w:rPr>
        <w:t>（一）评价结论。</w:t>
      </w:r>
    </w:p>
    <w:p>
      <w:pPr>
        <w:adjustRightInd w:val="0"/>
        <w:snapToGrid w:val="0"/>
        <w:spacing w:line="576" w:lineRule="exact"/>
        <w:ind w:firstLine="720"/>
        <w:rPr>
          <w:rFonts w:ascii="仿宋" w:hAnsi="仿宋" w:eastAsia="仿宋" w:cs="仿宋_GB2312"/>
          <w:spacing w:val="-6"/>
          <w:sz w:val="32"/>
          <w:szCs w:val="32"/>
        </w:rPr>
      </w:pPr>
      <w:r>
        <w:rPr>
          <w:rFonts w:hint="eastAsia" w:ascii="仿宋" w:hAnsi="仿宋" w:eastAsia="仿宋" w:cs="仿宋_GB2312"/>
          <w:spacing w:val="-6"/>
          <w:sz w:val="32"/>
          <w:szCs w:val="32"/>
          <w:lang w:val="zh-CN"/>
        </w:rPr>
        <w:t>绩效目标编制时制定了数量指标</w:t>
      </w:r>
      <w:r>
        <w:rPr>
          <w:rFonts w:hint="eastAsia" w:ascii="仿宋" w:hAnsi="仿宋" w:eastAsia="仿宋" w:cs="仿宋_GB2312"/>
          <w:spacing w:val="-6"/>
          <w:sz w:val="32"/>
          <w:szCs w:val="32"/>
        </w:rPr>
        <w:t>5个，质量指标2个，时效指标5个，成本指标3个，经济效益指标1个，社会效益指标1个，可持续影响指标2个，满意度指标2个。</w:t>
      </w:r>
      <w:r>
        <w:rPr>
          <w:rFonts w:hint="eastAsia" w:ascii="仿宋" w:hAnsi="仿宋" w:eastAsia="仿宋" w:cs="仿宋_GB2312"/>
          <w:sz w:val="32"/>
          <w:szCs w:val="32"/>
        </w:rPr>
        <w:t>总体来看项目决策程序严密、规划合理、结果符合规划，项目实施资金分配及时，项目完成质量以及效果较好，全面完成了该项目目标任务，项目绩效目标全面完成。</w:t>
      </w:r>
    </w:p>
    <w:p>
      <w:pPr>
        <w:pStyle w:val="34"/>
        <w:spacing w:line="700" w:lineRule="exact"/>
        <w:ind w:firstLine="640" w:firstLineChars="200"/>
        <w:jc w:val="left"/>
        <w:rPr>
          <w:rFonts w:ascii="仿宋" w:hAnsi="仿宋" w:eastAsia="仿宋"/>
          <w:sz w:val="32"/>
          <w:szCs w:val="32"/>
        </w:rPr>
      </w:pPr>
      <w:r>
        <w:rPr>
          <w:rFonts w:hint="eastAsia" w:ascii="仿宋" w:hAnsi="仿宋" w:eastAsia="仿宋"/>
          <w:b/>
          <w:sz w:val="32"/>
          <w:szCs w:val="32"/>
        </w:rPr>
        <w:t>（二）相关建议。</w:t>
      </w:r>
      <w:r>
        <w:rPr>
          <w:rFonts w:hint="eastAsia" w:ascii="仿宋" w:hAnsi="仿宋" w:eastAsia="仿宋" w:cs="仿宋_GB2312"/>
          <w:spacing w:val="-6"/>
          <w:sz w:val="32"/>
          <w:szCs w:val="32"/>
        </w:rPr>
        <w:t>我市统一组展效果好、成效显著，下一步，将继续按照市委市政府要求，全市统筹组展参展，形成广元展馆固定风格，组织全市茶叶企业抱团，形成合力闯大市场、打造大品牌。</w:t>
      </w:r>
    </w:p>
    <w:p>
      <w:pPr>
        <w:rPr>
          <w:rFonts w:ascii="宋体" w:hAnsi="宋体" w:cs="宋体"/>
          <w:b/>
          <w:sz w:val="32"/>
          <w:szCs w:val="32"/>
        </w:rPr>
      </w:pPr>
      <w:r>
        <w:rPr>
          <w:rFonts w:hint="eastAsia" w:ascii="宋体" w:hAnsi="宋体" w:cs="宋体"/>
          <w:b/>
          <w:sz w:val="32"/>
          <w:szCs w:val="32"/>
        </w:rPr>
        <w:br w:type="page"/>
      </w:r>
    </w:p>
    <w:p>
      <w:pPr>
        <w:pStyle w:val="34"/>
        <w:spacing w:line="700" w:lineRule="exact"/>
        <w:jc w:val="center"/>
        <w:rPr>
          <w:rFonts w:ascii="方正小标宋简体" w:hAnsi="宋体" w:eastAsia="方正小标宋简体"/>
          <w:sz w:val="44"/>
          <w:szCs w:val="44"/>
        </w:rPr>
      </w:pPr>
      <w:r>
        <w:rPr>
          <w:rFonts w:hint="eastAsia" w:ascii="宋体" w:hAnsi="宋体" w:cs="宋体"/>
          <w:b/>
          <w:sz w:val="32"/>
          <w:szCs w:val="32"/>
        </w:rPr>
        <w:t>2021年部门预算项目绩效目标自评</w:t>
      </w:r>
    </w:p>
    <w:tbl>
      <w:tblPr>
        <w:tblStyle w:val="15"/>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992"/>
        <w:gridCol w:w="262"/>
        <w:gridCol w:w="2290"/>
        <w:gridCol w:w="1909"/>
        <w:gridCol w:w="7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3"/>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项目名称</w:t>
            </w:r>
          </w:p>
        </w:tc>
        <w:tc>
          <w:tcPr>
            <w:tcW w:w="6946" w:type="dxa"/>
            <w:gridSpan w:val="5"/>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茶博会参展经费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3"/>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主管单位</w:t>
            </w:r>
          </w:p>
        </w:tc>
        <w:tc>
          <w:tcPr>
            <w:tcW w:w="2552"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广元市农业农村局</w:t>
            </w:r>
          </w:p>
        </w:tc>
        <w:tc>
          <w:tcPr>
            <w:tcW w:w="1909"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实施单位</w:t>
            </w:r>
          </w:p>
        </w:tc>
        <w:tc>
          <w:tcPr>
            <w:tcW w:w="2485"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广元市农业农村局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预算</w:t>
            </w:r>
            <w:r>
              <w:rPr>
                <w:rFonts w:hint="eastAsia" w:ascii="仿宋" w:hAnsi="仿宋" w:eastAsia="仿宋" w:cs="宋体"/>
                <w:kern w:val="0"/>
                <w:sz w:val="24"/>
              </w:rPr>
              <w:br w:type="textWrapping"/>
            </w:r>
            <w:r>
              <w:rPr>
                <w:rFonts w:hint="eastAsia" w:ascii="仿宋" w:hAnsi="仿宋" w:eastAsia="仿宋" w:cs="宋体"/>
                <w:kern w:val="0"/>
                <w:sz w:val="24"/>
              </w:rPr>
              <w:t>执行</w:t>
            </w:r>
            <w:r>
              <w:rPr>
                <w:rFonts w:hint="eastAsia" w:ascii="仿宋" w:hAnsi="仿宋" w:eastAsia="仿宋" w:cs="宋体"/>
                <w:kern w:val="0"/>
                <w:sz w:val="24"/>
              </w:rPr>
              <w:br w:type="textWrapping"/>
            </w:r>
            <w:r>
              <w:rPr>
                <w:rFonts w:hint="eastAsia" w:ascii="仿宋" w:hAnsi="仿宋" w:eastAsia="仿宋" w:cs="宋体"/>
                <w:kern w:val="0"/>
                <w:sz w:val="24"/>
              </w:rPr>
              <w:t>情况</w:t>
            </w:r>
            <w:r>
              <w:rPr>
                <w:rFonts w:hint="eastAsia" w:ascii="仿宋" w:hAnsi="仿宋" w:eastAsia="仿宋" w:cs="宋体"/>
                <w:kern w:val="0"/>
                <w:sz w:val="24"/>
              </w:rPr>
              <w:br w:type="textWrapping"/>
            </w:r>
            <w:r>
              <w:rPr>
                <w:rFonts w:hint="eastAsia" w:ascii="仿宋" w:hAnsi="仿宋" w:eastAsia="仿宋" w:cs="宋体"/>
                <w:kern w:val="0"/>
                <w:sz w:val="24"/>
              </w:rPr>
              <w:t>（万元）</w:t>
            </w:r>
          </w:p>
        </w:tc>
        <w:tc>
          <w:tcPr>
            <w:tcW w:w="2268"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 xml:space="preserve"> 预算数：</w:t>
            </w:r>
          </w:p>
        </w:tc>
        <w:tc>
          <w:tcPr>
            <w:tcW w:w="2552"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85</w:t>
            </w:r>
          </w:p>
        </w:tc>
        <w:tc>
          <w:tcPr>
            <w:tcW w:w="1909"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 xml:space="preserve"> 执行数：</w:t>
            </w:r>
          </w:p>
        </w:tc>
        <w:tc>
          <w:tcPr>
            <w:tcW w:w="2485"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84.13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9" w:type="dxa"/>
            <w:vMerge w:val="continue"/>
            <w:vAlign w:val="center"/>
          </w:tcPr>
          <w:p>
            <w:pPr>
              <w:spacing w:line="300" w:lineRule="exact"/>
              <w:jc w:val="left"/>
              <w:rPr>
                <w:rFonts w:ascii="仿宋" w:hAnsi="仿宋" w:eastAsia="仿宋" w:cs="宋体"/>
                <w:kern w:val="0"/>
                <w:sz w:val="24"/>
              </w:rPr>
            </w:pPr>
          </w:p>
        </w:tc>
        <w:tc>
          <w:tcPr>
            <w:tcW w:w="2268" w:type="dxa"/>
            <w:gridSpan w:val="2"/>
            <w:shd w:val="clear" w:color="auto" w:fill="auto"/>
            <w:vAlign w:val="center"/>
          </w:tcPr>
          <w:p>
            <w:pPr>
              <w:spacing w:line="300" w:lineRule="exact"/>
              <w:jc w:val="right"/>
              <w:rPr>
                <w:rFonts w:ascii="仿宋" w:hAnsi="仿宋" w:eastAsia="仿宋" w:cs="宋体"/>
                <w:kern w:val="0"/>
                <w:sz w:val="24"/>
              </w:rPr>
            </w:pPr>
            <w:r>
              <w:rPr>
                <w:rFonts w:hint="eastAsia" w:ascii="仿宋" w:hAnsi="仿宋" w:eastAsia="仿宋" w:cs="宋体"/>
                <w:kern w:val="0"/>
                <w:sz w:val="24"/>
              </w:rPr>
              <w:t>其中：财政拨款</w:t>
            </w:r>
          </w:p>
        </w:tc>
        <w:tc>
          <w:tcPr>
            <w:tcW w:w="2552"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20</w:t>
            </w:r>
          </w:p>
        </w:tc>
        <w:tc>
          <w:tcPr>
            <w:tcW w:w="1909" w:type="dxa"/>
            <w:shd w:val="clear" w:color="auto" w:fill="auto"/>
            <w:vAlign w:val="center"/>
          </w:tcPr>
          <w:p>
            <w:pPr>
              <w:spacing w:line="300" w:lineRule="exact"/>
              <w:jc w:val="right"/>
              <w:rPr>
                <w:rFonts w:ascii="仿宋" w:hAnsi="仿宋" w:eastAsia="仿宋" w:cs="宋体"/>
                <w:kern w:val="0"/>
                <w:sz w:val="24"/>
              </w:rPr>
            </w:pPr>
            <w:r>
              <w:rPr>
                <w:rFonts w:hint="eastAsia" w:ascii="仿宋" w:hAnsi="仿宋" w:eastAsia="仿宋" w:cs="宋体"/>
                <w:kern w:val="0"/>
                <w:sz w:val="24"/>
              </w:rPr>
              <w:t>其中：财政拨款</w:t>
            </w:r>
          </w:p>
        </w:tc>
        <w:tc>
          <w:tcPr>
            <w:tcW w:w="2485"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vMerge w:val="continue"/>
            <w:vAlign w:val="center"/>
          </w:tcPr>
          <w:p>
            <w:pPr>
              <w:spacing w:line="300" w:lineRule="exact"/>
              <w:jc w:val="left"/>
              <w:rPr>
                <w:rFonts w:ascii="仿宋" w:hAnsi="仿宋" w:eastAsia="仿宋" w:cs="宋体"/>
                <w:kern w:val="0"/>
                <w:sz w:val="24"/>
              </w:rPr>
            </w:pPr>
          </w:p>
        </w:tc>
        <w:tc>
          <w:tcPr>
            <w:tcW w:w="2268" w:type="dxa"/>
            <w:gridSpan w:val="2"/>
            <w:shd w:val="clear" w:color="auto" w:fill="auto"/>
            <w:vAlign w:val="center"/>
          </w:tcPr>
          <w:p>
            <w:pPr>
              <w:spacing w:line="300" w:lineRule="exact"/>
              <w:jc w:val="right"/>
              <w:rPr>
                <w:rFonts w:ascii="仿宋" w:hAnsi="仿宋" w:eastAsia="仿宋" w:cs="宋体"/>
                <w:kern w:val="0"/>
                <w:sz w:val="24"/>
              </w:rPr>
            </w:pPr>
            <w:r>
              <w:rPr>
                <w:rFonts w:hint="eastAsia" w:ascii="仿宋" w:hAnsi="仿宋" w:eastAsia="仿宋" w:cs="宋体"/>
                <w:kern w:val="0"/>
                <w:sz w:val="24"/>
              </w:rPr>
              <w:t>其他资金</w:t>
            </w:r>
          </w:p>
        </w:tc>
        <w:tc>
          <w:tcPr>
            <w:tcW w:w="2552"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65</w:t>
            </w:r>
          </w:p>
        </w:tc>
        <w:tc>
          <w:tcPr>
            <w:tcW w:w="1909" w:type="dxa"/>
            <w:shd w:val="clear" w:color="auto" w:fill="auto"/>
            <w:vAlign w:val="center"/>
          </w:tcPr>
          <w:p>
            <w:pPr>
              <w:spacing w:line="300" w:lineRule="exact"/>
              <w:jc w:val="right"/>
              <w:rPr>
                <w:rFonts w:ascii="仿宋" w:hAnsi="仿宋" w:eastAsia="仿宋" w:cs="宋体"/>
                <w:kern w:val="0"/>
                <w:sz w:val="24"/>
              </w:rPr>
            </w:pPr>
            <w:r>
              <w:rPr>
                <w:rFonts w:hint="eastAsia" w:ascii="仿宋" w:hAnsi="仿宋" w:eastAsia="仿宋" w:cs="宋体"/>
                <w:kern w:val="0"/>
                <w:sz w:val="24"/>
              </w:rPr>
              <w:t>其他资金</w:t>
            </w:r>
          </w:p>
        </w:tc>
        <w:tc>
          <w:tcPr>
            <w:tcW w:w="2485"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09" w:type="dxa"/>
            <w:vMerge w:val="restart"/>
            <w:shd w:val="clear" w:color="auto" w:fill="auto"/>
            <w:vAlign w:val="center"/>
          </w:tcPr>
          <w:p>
            <w:pPr>
              <w:spacing w:line="300" w:lineRule="exact"/>
              <w:rPr>
                <w:rFonts w:ascii="仿宋" w:hAnsi="仿宋" w:eastAsia="仿宋" w:cs="宋体"/>
                <w:kern w:val="0"/>
                <w:sz w:val="24"/>
              </w:rPr>
            </w:pPr>
            <w:r>
              <w:rPr>
                <w:rFonts w:hint="eastAsia" w:ascii="仿宋" w:hAnsi="仿宋" w:eastAsia="仿宋" w:cs="宋体"/>
                <w:kern w:val="0"/>
                <w:sz w:val="24"/>
              </w:rPr>
              <w:t>年度</w:t>
            </w:r>
            <w:r>
              <w:rPr>
                <w:rFonts w:hint="eastAsia" w:ascii="仿宋" w:hAnsi="仿宋" w:eastAsia="仿宋" w:cs="宋体"/>
                <w:kern w:val="0"/>
                <w:sz w:val="24"/>
              </w:rPr>
              <w:br w:type="textWrapping"/>
            </w:r>
            <w:r>
              <w:rPr>
                <w:rFonts w:hint="eastAsia" w:ascii="仿宋" w:hAnsi="仿宋" w:eastAsia="仿宋" w:cs="宋体"/>
                <w:kern w:val="0"/>
                <w:sz w:val="24"/>
              </w:rPr>
              <w:t>目标</w:t>
            </w:r>
            <w:r>
              <w:rPr>
                <w:rFonts w:hint="eastAsia" w:ascii="仿宋" w:hAnsi="仿宋" w:eastAsia="仿宋" w:cs="宋体"/>
                <w:kern w:val="0"/>
                <w:sz w:val="24"/>
              </w:rPr>
              <w:br w:type="textWrapping"/>
            </w:r>
            <w:r>
              <w:rPr>
                <w:rFonts w:hint="eastAsia" w:ascii="仿宋" w:hAnsi="仿宋" w:eastAsia="仿宋" w:cs="宋体"/>
                <w:kern w:val="0"/>
                <w:sz w:val="24"/>
              </w:rPr>
              <w:t>完成</w:t>
            </w:r>
            <w:r>
              <w:rPr>
                <w:rFonts w:hint="eastAsia" w:ascii="仿宋" w:hAnsi="仿宋" w:eastAsia="仿宋" w:cs="宋体"/>
                <w:kern w:val="0"/>
                <w:sz w:val="24"/>
              </w:rPr>
              <w:br w:type="textWrapping"/>
            </w:r>
            <w:r>
              <w:rPr>
                <w:rFonts w:hint="eastAsia" w:ascii="仿宋" w:hAnsi="仿宋" w:eastAsia="仿宋" w:cs="宋体"/>
                <w:kern w:val="0"/>
                <w:sz w:val="24"/>
              </w:rPr>
              <w:t>情况</w:t>
            </w:r>
          </w:p>
        </w:tc>
        <w:tc>
          <w:tcPr>
            <w:tcW w:w="4820" w:type="dxa"/>
            <w:gridSpan w:val="4"/>
            <w:shd w:val="clear" w:color="auto" w:fill="auto"/>
            <w:vAlign w:val="center"/>
          </w:tcPr>
          <w:p>
            <w:pPr>
              <w:spacing w:line="300" w:lineRule="exact"/>
              <w:rPr>
                <w:rFonts w:ascii="仿宋" w:hAnsi="仿宋" w:eastAsia="仿宋" w:cs="宋体"/>
                <w:kern w:val="0"/>
                <w:sz w:val="24"/>
              </w:rPr>
            </w:pPr>
            <w:r>
              <w:rPr>
                <w:rFonts w:hint="eastAsia" w:ascii="仿宋" w:hAnsi="仿宋" w:eastAsia="仿宋" w:cs="宋体"/>
                <w:kern w:val="0"/>
                <w:sz w:val="24"/>
              </w:rPr>
              <w:t>预期目标</w:t>
            </w:r>
          </w:p>
        </w:tc>
        <w:tc>
          <w:tcPr>
            <w:tcW w:w="4394" w:type="dxa"/>
            <w:gridSpan w:val="3"/>
            <w:shd w:val="clear" w:color="auto" w:fill="auto"/>
            <w:vAlign w:val="center"/>
          </w:tcPr>
          <w:p>
            <w:pPr>
              <w:spacing w:line="300" w:lineRule="exact"/>
              <w:rPr>
                <w:rFonts w:ascii="仿宋" w:hAnsi="仿宋" w:eastAsia="仿宋" w:cs="宋体"/>
                <w:kern w:val="0"/>
                <w:sz w:val="24"/>
              </w:rPr>
            </w:pPr>
            <w:r>
              <w:rPr>
                <w:rFonts w:hint="eastAsia" w:ascii="仿宋" w:hAnsi="仿宋" w:eastAsia="仿宋" w:cs="宋体"/>
                <w:kern w:val="0"/>
                <w:sz w:val="24"/>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709" w:type="dxa"/>
            <w:vMerge w:val="continue"/>
            <w:vAlign w:val="center"/>
          </w:tcPr>
          <w:p>
            <w:pPr>
              <w:spacing w:line="300" w:lineRule="exact"/>
              <w:rPr>
                <w:rFonts w:ascii="仿宋" w:hAnsi="仿宋" w:eastAsia="仿宋" w:cs="宋体"/>
                <w:kern w:val="0"/>
                <w:sz w:val="24"/>
              </w:rPr>
            </w:pPr>
          </w:p>
        </w:tc>
        <w:tc>
          <w:tcPr>
            <w:tcW w:w="4820" w:type="dxa"/>
            <w:gridSpan w:val="4"/>
            <w:shd w:val="clear" w:color="auto" w:fill="auto"/>
            <w:vAlign w:val="center"/>
          </w:tcPr>
          <w:p>
            <w:pPr>
              <w:spacing w:line="300" w:lineRule="exact"/>
              <w:rPr>
                <w:rFonts w:ascii="仿宋" w:hAnsi="仿宋" w:eastAsia="仿宋" w:cs="宋体"/>
                <w:kern w:val="0"/>
                <w:sz w:val="24"/>
              </w:rPr>
            </w:pPr>
            <w:r>
              <w:rPr>
                <w:rFonts w:hint="eastAsia" w:ascii="仿宋" w:hAnsi="仿宋" w:eastAsia="仿宋" w:cs="宋体"/>
                <w:kern w:val="0"/>
                <w:sz w:val="24"/>
              </w:rPr>
              <w:t>1、搭建广元展馆2、组织广元黄茶推介会3、宣传广元茶产业4、扩大广元黄茶、米仓山茶、七佛贡茶、一品剑门的知名度5、销售茶叶</w:t>
            </w:r>
          </w:p>
        </w:tc>
        <w:tc>
          <w:tcPr>
            <w:tcW w:w="4394" w:type="dxa"/>
            <w:gridSpan w:val="3"/>
            <w:shd w:val="clear" w:color="auto" w:fill="auto"/>
            <w:vAlign w:val="center"/>
          </w:tcPr>
          <w:p>
            <w:pPr>
              <w:spacing w:line="300" w:lineRule="exact"/>
              <w:rPr>
                <w:rFonts w:ascii="仿宋" w:hAnsi="仿宋" w:eastAsia="仿宋" w:cs="宋体"/>
                <w:kern w:val="0"/>
                <w:sz w:val="24"/>
              </w:rPr>
            </w:pPr>
            <w:r>
              <w:rPr>
                <w:rFonts w:hint="eastAsia" w:ascii="仿宋" w:hAnsi="仿宋" w:eastAsia="仿宋" w:cs="宋体"/>
                <w:kern w:val="0"/>
                <w:sz w:val="24"/>
              </w:rPr>
              <w:t>1、搭建广元展馆2、组织广元黄茶推介会3、宣传广元茶产业4、扩大广元黄茶、米仓山茶、七佛贡茶、一品剑门的知名度5、销售茶叶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年度</w:t>
            </w:r>
            <w:r>
              <w:rPr>
                <w:rFonts w:hint="eastAsia" w:ascii="仿宋" w:hAnsi="仿宋" w:eastAsia="仿宋" w:cs="宋体"/>
                <w:kern w:val="0"/>
                <w:sz w:val="24"/>
              </w:rPr>
              <w:br w:type="textWrapping"/>
            </w:r>
            <w:r>
              <w:rPr>
                <w:rFonts w:hint="eastAsia" w:ascii="仿宋" w:hAnsi="仿宋" w:eastAsia="仿宋" w:cs="宋体"/>
                <w:kern w:val="0"/>
                <w:sz w:val="24"/>
              </w:rPr>
              <w:t>绩效</w:t>
            </w:r>
            <w:r>
              <w:rPr>
                <w:rFonts w:hint="eastAsia" w:ascii="仿宋" w:hAnsi="仿宋" w:eastAsia="仿宋" w:cs="宋体"/>
                <w:kern w:val="0"/>
                <w:sz w:val="24"/>
              </w:rPr>
              <w:br w:type="textWrapping"/>
            </w:r>
            <w:r>
              <w:rPr>
                <w:rFonts w:hint="eastAsia" w:ascii="仿宋" w:hAnsi="仿宋" w:eastAsia="仿宋" w:cs="宋体"/>
                <w:kern w:val="0"/>
                <w:sz w:val="24"/>
              </w:rPr>
              <w:t>指标</w:t>
            </w:r>
            <w:r>
              <w:rPr>
                <w:rFonts w:hint="eastAsia" w:ascii="仿宋" w:hAnsi="仿宋" w:eastAsia="仿宋" w:cs="宋体"/>
                <w:kern w:val="0"/>
                <w:sz w:val="24"/>
              </w:rPr>
              <w:br w:type="textWrapping"/>
            </w:r>
            <w:r>
              <w:rPr>
                <w:rFonts w:hint="eastAsia" w:ascii="仿宋" w:hAnsi="仿宋" w:eastAsia="仿宋" w:cs="宋体"/>
                <w:kern w:val="0"/>
                <w:sz w:val="24"/>
              </w:rPr>
              <w:t>完成</w:t>
            </w:r>
            <w:r>
              <w:rPr>
                <w:rFonts w:hint="eastAsia" w:ascii="仿宋" w:hAnsi="仿宋" w:eastAsia="仿宋" w:cs="宋体"/>
                <w:kern w:val="0"/>
                <w:sz w:val="24"/>
              </w:rPr>
              <w:br w:type="textWrapping"/>
            </w:r>
            <w:r>
              <w:rPr>
                <w:rFonts w:hint="eastAsia" w:ascii="仿宋" w:hAnsi="仿宋" w:eastAsia="仿宋" w:cs="宋体"/>
                <w:kern w:val="0"/>
                <w:sz w:val="24"/>
              </w:rPr>
              <w:t>情况</w:t>
            </w:r>
          </w:p>
        </w:tc>
        <w:tc>
          <w:tcPr>
            <w:tcW w:w="1276"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一级指标</w:t>
            </w:r>
          </w:p>
        </w:tc>
        <w:tc>
          <w:tcPr>
            <w:tcW w:w="1254"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二级指标</w:t>
            </w:r>
          </w:p>
        </w:tc>
        <w:tc>
          <w:tcPr>
            <w:tcW w:w="2290"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三级指标</w:t>
            </w:r>
          </w:p>
        </w:tc>
        <w:tc>
          <w:tcPr>
            <w:tcW w:w="1984"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指标值</w:t>
            </w:r>
          </w:p>
        </w:tc>
        <w:tc>
          <w:tcPr>
            <w:tcW w:w="2410"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实际完成指标值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项目完成指标</w:t>
            </w:r>
          </w:p>
        </w:tc>
        <w:tc>
          <w:tcPr>
            <w:tcW w:w="1254" w:type="dxa"/>
            <w:gridSpan w:val="2"/>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数量指标</w:t>
            </w: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搭建广元展馆面积</w:t>
            </w:r>
          </w:p>
        </w:tc>
        <w:tc>
          <w:tcPr>
            <w:tcW w:w="198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360平方米</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420平方米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continue"/>
            <w:vAlign w:val="center"/>
          </w:tcPr>
          <w:p>
            <w:pPr>
              <w:spacing w:line="300" w:lineRule="exact"/>
              <w:jc w:val="left"/>
              <w:rPr>
                <w:rFonts w:ascii="仿宋" w:hAnsi="仿宋" w:eastAsia="仿宋" w:cs="宋体"/>
                <w:kern w:val="0"/>
                <w:sz w:val="24"/>
              </w:rPr>
            </w:pPr>
          </w:p>
        </w:tc>
        <w:tc>
          <w:tcPr>
            <w:tcW w:w="1254" w:type="dxa"/>
            <w:gridSpan w:val="2"/>
            <w:vMerge w:val="continue"/>
            <w:vAlign w:val="center"/>
          </w:tcPr>
          <w:p>
            <w:pPr>
              <w:spacing w:line="300" w:lineRule="exact"/>
              <w:jc w:val="left"/>
              <w:rPr>
                <w:rFonts w:ascii="仿宋" w:hAnsi="仿宋" w:eastAsia="仿宋" w:cs="宋体"/>
                <w:kern w:val="0"/>
                <w:sz w:val="24"/>
              </w:rPr>
            </w:pP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组织广元黄茶推介会场次</w:t>
            </w:r>
          </w:p>
        </w:tc>
        <w:tc>
          <w:tcPr>
            <w:tcW w:w="198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1次</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continue"/>
            <w:vAlign w:val="center"/>
          </w:tcPr>
          <w:p>
            <w:pPr>
              <w:spacing w:line="300" w:lineRule="exact"/>
              <w:jc w:val="left"/>
              <w:rPr>
                <w:rFonts w:ascii="仿宋" w:hAnsi="仿宋" w:eastAsia="仿宋" w:cs="宋体"/>
                <w:kern w:val="0"/>
                <w:sz w:val="24"/>
              </w:rPr>
            </w:pPr>
          </w:p>
        </w:tc>
        <w:tc>
          <w:tcPr>
            <w:tcW w:w="1254" w:type="dxa"/>
            <w:gridSpan w:val="2"/>
            <w:vMerge w:val="continue"/>
            <w:vAlign w:val="center"/>
          </w:tcPr>
          <w:p>
            <w:pPr>
              <w:spacing w:line="300" w:lineRule="exact"/>
              <w:jc w:val="left"/>
              <w:rPr>
                <w:rFonts w:ascii="仿宋" w:hAnsi="仿宋" w:eastAsia="仿宋" w:cs="宋体"/>
                <w:kern w:val="0"/>
                <w:sz w:val="24"/>
              </w:rPr>
            </w:pP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组织企业参展个数</w:t>
            </w:r>
          </w:p>
        </w:tc>
        <w:tc>
          <w:tcPr>
            <w:tcW w:w="198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10个</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continue"/>
            <w:vAlign w:val="center"/>
          </w:tcPr>
          <w:p>
            <w:pPr>
              <w:spacing w:line="300" w:lineRule="exact"/>
              <w:jc w:val="left"/>
              <w:rPr>
                <w:rFonts w:ascii="仿宋" w:hAnsi="仿宋" w:eastAsia="仿宋" w:cs="宋体"/>
                <w:kern w:val="0"/>
                <w:sz w:val="24"/>
              </w:rPr>
            </w:pPr>
          </w:p>
        </w:tc>
        <w:tc>
          <w:tcPr>
            <w:tcW w:w="1254" w:type="dxa"/>
            <w:gridSpan w:val="2"/>
            <w:vMerge w:val="continue"/>
            <w:vAlign w:val="center"/>
          </w:tcPr>
          <w:p>
            <w:pPr>
              <w:spacing w:line="300" w:lineRule="exact"/>
              <w:jc w:val="left"/>
              <w:rPr>
                <w:rFonts w:ascii="仿宋" w:hAnsi="仿宋" w:eastAsia="仿宋" w:cs="宋体"/>
                <w:kern w:val="0"/>
                <w:sz w:val="24"/>
              </w:rPr>
            </w:pP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参展产品个数</w:t>
            </w:r>
          </w:p>
        </w:tc>
        <w:tc>
          <w:tcPr>
            <w:tcW w:w="198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100个</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200个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continue"/>
            <w:vAlign w:val="center"/>
          </w:tcPr>
          <w:p>
            <w:pPr>
              <w:spacing w:line="300" w:lineRule="exact"/>
              <w:jc w:val="left"/>
              <w:rPr>
                <w:rFonts w:ascii="仿宋" w:hAnsi="仿宋" w:eastAsia="仿宋" w:cs="宋体"/>
                <w:kern w:val="0"/>
                <w:sz w:val="24"/>
              </w:rPr>
            </w:pPr>
          </w:p>
        </w:tc>
        <w:tc>
          <w:tcPr>
            <w:tcW w:w="1254" w:type="dxa"/>
            <w:gridSpan w:val="2"/>
            <w:vMerge w:val="continue"/>
            <w:vAlign w:val="center"/>
          </w:tcPr>
          <w:p>
            <w:pPr>
              <w:spacing w:line="300" w:lineRule="exact"/>
              <w:jc w:val="left"/>
              <w:rPr>
                <w:rFonts w:ascii="仿宋" w:hAnsi="仿宋" w:eastAsia="仿宋" w:cs="宋体"/>
                <w:kern w:val="0"/>
                <w:sz w:val="24"/>
              </w:rPr>
            </w:pP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广元茶产品获奖</w:t>
            </w:r>
          </w:p>
        </w:tc>
        <w:tc>
          <w:tcPr>
            <w:tcW w:w="198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1个</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continue"/>
            <w:vAlign w:val="center"/>
          </w:tcPr>
          <w:p>
            <w:pPr>
              <w:spacing w:line="300" w:lineRule="exact"/>
              <w:jc w:val="left"/>
              <w:rPr>
                <w:rFonts w:ascii="仿宋" w:hAnsi="仿宋" w:eastAsia="仿宋" w:cs="宋体"/>
                <w:kern w:val="0"/>
                <w:sz w:val="24"/>
              </w:rPr>
            </w:pPr>
          </w:p>
        </w:tc>
        <w:tc>
          <w:tcPr>
            <w:tcW w:w="1254" w:type="dxa"/>
            <w:gridSpan w:val="2"/>
            <w:vMerge w:val="continue"/>
            <w:vAlign w:val="center"/>
          </w:tcPr>
          <w:p>
            <w:pPr>
              <w:spacing w:line="300" w:lineRule="exact"/>
              <w:jc w:val="left"/>
              <w:rPr>
                <w:rFonts w:ascii="仿宋" w:hAnsi="仿宋" w:eastAsia="仿宋" w:cs="宋体"/>
                <w:kern w:val="0"/>
                <w:sz w:val="24"/>
              </w:rPr>
            </w:pP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媒体宣传</w:t>
            </w:r>
          </w:p>
        </w:tc>
        <w:tc>
          <w:tcPr>
            <w:tcW w:w="198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30次</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20多家媒体50余篇报道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continue"/>
            <w:vAlign w:val="center"/>
          </w:tcPr>
          <w:p>
            <w:pPr>
              <w:spacing w:line="300" w:lineRule="exact"/>
              <w:jc w:val="left"/>
              <w:rPr>
                <w:rFonts w:ascii="仿宋" w:hAnsi="仿宋" w:eastAsia="仿宋" w:cs="宋体"/>
                <w:kern w:val="0"/>
                <w:sz w:val="24"/>
              </w:rPr>
            </w:pPr>
          </w:p>
        </w:tc>
        <w:tc>
          <w:tcPr>
            <w:tcW w:w="1254"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质量指标</w:t>
            </w: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广元展馆搭建合格率</w:t>
            </w:r>
          </w:p>
        </w:tc>
        <w:tc>
          <w:tcPr>
            <w:tcW w:w="198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100%</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continue"/>
            <w:vAlign w:val="center"/>
          </w:tcPr>
          <w:p>
            <w:pPr>
              <w:spacing w:line="300" w:lineRule="exact"/>
              <w:jc w:val="left"/>
              <w:rPr>
                <w:rFonts w:ascii="仿宋" w:hAnsi="仿宋" w:eastAsia="仿宋" w:cs="宋体"/>
                <w:kern w:val="0"/>
                <w:sz w:val="24"/>
              </w:rPr>
            </w:pPr>
          </w:p>
        </w:tc>
        <w:tc>
          <w:tcPr>
            <w:tcW w:w="1254"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时效指标</w:t>
            </w: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按时完成展馆搭建</w:t>
            </w:r>
          </w:p>
        </w:tc>
        <w:tc>
          <w:tcPr>
            <w:tcW w:w="198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按合同要求时间完成</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按合同要求时间完成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continue"/>
            <w:vAlign w:val="center"/>
          </w:tcPr>
          <w:p>
            <w:pPr>
              <w:spacing w:line="300" w:lineRule="exact"/>
              <w:jc w:val="left"/>
              <w:rPr>
                <w:rFonts w:ascii="仿宋" w:hAnsi="仿宋" w:eastAsia="仿宋" w:cs="宋体"/>
                <w:kern w:val="0"/>
                <w:sz w:val="24"/>
              </w:rPr>
            </w:pPr>
          </w:p>
        </w:tc>
        <w:tc>
          <w:tcPr>
            <w:tcW w:w="1254" w:type="dxa"/>
            <w:gridSpan w:val="2"/>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成本指标</w:t>
            </w: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展馆搭建</w:t>
            </w:r>
          </w:p>
        </w:tc>
        <w:tc>
          <w:tcPr>
            <w:tcW w:w="198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850元/平方米</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714元/平方米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continue"/>
            <w:vAlign w:val="center"/>
          </w:tcPr>
          <w:p>
            <w:pPr>
              <w:spacing w:line="300" w:lineRule="exact"/>
              <w:jc w:val="left"/>
              <w:rPr>
                <w:rFonts w:ascii="仿宋" w:hAnsi="仿宋" w:eastAsia="仿宋" w:cs="宋体"/>
                <w:kern w:val="0"/>
                <w:sz w:val="24"/>
              </w:rPr>
            </w:pPr>
          </w:p>
        </w:tc>
        <w:tc>
          <w:tcPr>
            <w:tcW w:w="1254" w:type="dxa"/>
            <w:gridSpan w:val="2"/>
            <w:vMerge w:val="continue"/>
            <w:vAlign w:val="center"/>
          </w:tcPr>
          <w:p>
            <w:pPr>
              <w:spacing w:line="300" w:lineRule="exact"/>
              <w:jc w:val="left"/>
              <w:rPr>
                <w:rFonts w:ascii="仿宋" w:hAnsi="仿宋" w:eastAsia="仿宋" w:cs="宋体"/>
                <w:kern w:val="0"/>
                <w:sz w:val="24"/>
              </w:rPr>
            </w:pP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广元黄茶推介会</w:t>
            </w:r>
          </w:p>
        </w:tc>
        <w:tc>
          <w:tcPr>
            <w:tcW w:w="198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28万元/场</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27.86万元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continue"/>
            <w:vAlign w:val="center"/>
          </w:tcPr>
          <w:p>
            <w:pPr>
              <w:spacing w:line="300" w:lineRule="exact"/>
              <w:jc w:val="left"/>
              <w:rPr>
                <w:rFonts w:ascii="仿宋" w:hAnsi="仿宋" w:eastAsia="仿宋" w:cs="宋体"/>
                <w:kern w:val="0"/>
                <w:sz w:val="24"/>
              </w:rPr>
            </w:pPr>
          </w:p>
        </w:tc>
        <w:tc>
          <w:tcPr>
            <w:tcW w:w="1254" w:type="dxa"/>
            <w:gridSpan w:val="2"/>
            <w:vMerge w:val="continue"/>
            <w:vAlign w:val="center"/>
          </w:tcPr>
          <w:p>
            <w:pPr>
              <w:spacing w:line="300" w:lineRule="exact"/>
              <w:jc w:val="left"/>
              <w:rPr>
                <w:rFonts w:ascii="仿宋" w:hAnsi="仿宋" w:eastAsia="仿宋" w:cs="宋体"/>
                <w:kern w:val="0"/>
                <w:sz w:val="24"/>
              </w:rPr>
            </w:pP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媒体宣传</w:t>
            </w:r>
          </w:p>
        </w:tc>
        <w:tc>
          <w:tcPr>
            <w:tcW w:w="198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2.6万元/年</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2.6万元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项目效果指标</w:t>
            </w:r>
          </w:p>
        </w:tc>
        <w:tc>
          <w:tcPr>
            <w:tcW w:w="1254" w:type="dxa"/>
            <w:gridSpan w:val="2"/>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经济效益</w:t>
            </w:r>
            <w:r>
              <w:rPr>
                <w:rFonts w:hint="eastAsia" w:ascii="仿宋" w:hAnsi="仿宋" w:eastAsia="仿宋" w:cs="宋体"/>
                <w:kern w:val="0"/>
                <w:sz w:val="24"/>
              </w:rPr>
              <w:br w:type="textWrapping"/>
            </w:r>
            <w:r>
              <w:rPr>
                <w:rFonts w:hint="eastAsia" w:ascii="仿宋" w:hAnsi="仿宋" w:eastAsia="仿宋" w:cs="宋体"/>
                <w:kern w:val="0"/>
                <w:sz w:val="24"/>
              </w:rPr>
              <w:t>指标</w:t>
            </w: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订单销售额</w:t>
            </w:r>
          </w:p>
        </w:tc>
        <w:tc>
          <w:tcPr>
            <w:tcW w:w="198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≥600万元</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continue"/>
            <w:vAlign w:val="center"/>
          </w:tcPr>
          <w:p>
            <w:pPr>
              <w:spacing w:line="300" w:lineRule="exact"/>
              <w:jc w:val="left"/>
              <w:rPr>
                <w:rFonts w:ascii="仿宋" w:hAnsi="仿宋" w:eastAsia="仿宋" w:cs="宋体"/>
                <w:kern w:val="0"/>
                <w:sz w:val="24"/>
              </w:rPr>
            </w:pPr>
          </w:p>
        </w:tc>
        <w:tc>
          <w:tcPr>
            <w:tcW w:w="1254" w:type="dxa"/>
            <w:gridSpan w:val="2"/>
            <w:vMerge w:val="continue"/>
            <w:vAlign w:val="center"/>
          </w:tcPr>
          <w:p>
            <w:pPr>
              <w:spacing w:line="300" w:lineRule="exact"/>
              <w:jc w:val="left"/>
              <w:rPr>
                <w:rFonts w:ascii="仿宋" w:hAnsi="仿宋" w:eastAsia="仿宋" w:cs="宋体"/>
                <w:kern w:val="0"/>
                <w:sz w:val="24"/>
              </w:rPr>
            </w:pP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现场茶叶销售额</w:t>
            </w:r>
          </w:p>
        </w:tc>
        <w:tc>
          <w:tcPr>
            <w:tcW w:w="198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70万元</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70.9万元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continue"/>
            <w:vAlign w:val="center"/>
          </w:tcPr>
          <w:p>
            <w:pPr>
              <w:spacing w:line="300" w:lineRule="exact"/>
              <w:jc w:val="left"/>
              <w:rPr>
                <w:rFonts w:ascii="仿宋" w:hAnsi="仿宋" w:eastAsia="仿宋" w:cs="宋体"/>
                <w:kern w:val="0"/>
                <w:sz w:val="24"/>
              </w:rPr>
            </w:pPr>
          </w:p>
        </w:tc>
        <w:tc>
          <w:tcPr>
            <w:tcW w:w="1254" w:type="dxa"/>
            <w:gridSpan w:val="2"/>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可持续影响</w:t>
            </w:r>
            <w:r>
              <w:rPr>
                <w:rFonts w:hint="eastAsia" w:ascii="仿宋" w:hAnsi="仿宋" w:eastAsia="仿宋" w:cs="宋体"/>
                <w:kern w:val="0"/>
                <w:sz w:val="24"/>
              </w:rPr>
              <w:br w:type="textWrapping"/>
            </w:r>
            <w:r>
              <w:rPr>
                <w:rFonts w:hint="eastAsia" w:ascii="仿宋" w:hAnsi="仿宋" w:eastAsia="仿宋" w:cs="宋体"/>
                <w:kern w:val="0"/>
                <w:sz w:val="24"/>
              </w:rPr>
              <w:t>指标</w:t>
            </w: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不断提高广元茶知名度</w:t>
            </w:r>
          </w:p>
        </w:tc>
        <w:tc>
          <w:tcPr>
            <w:tcW w:w="198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不断提高广元茶知名度</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提高了广元茶知名度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continue"/>
            <w:vAlign w:val="center"/>
          </w:tcPr>
          <w:p>
            <w:pPr>
              <w:spacing w:line="300" w:lineRule="exact"/>
              <w:jc w:val="left"/>
              <w:rPr>
                <w:rFonts w:ascii="仿宋" w:hAnsi="仿宋" w:eastAsia="仿宋" w:cs="宋体"/>
                <w:kern w:val="0"/>
                <w:sz w:val="24"/>
              </w:rPr>
            </w:pPr>
          </w:p>
        </w:tc>
        <w:tc>
          <w:tcPr>
            <w:tcW w:w="1254" w:type="dxa"/>
            <w:gridSpan w:val="2"/>
            <w:vMerge w:val="continue"/>
            <w:vAlign w:val="center"/>
          </w:tcPr>
          <w:p>
            <w:pPr>
              <w:spacing w:line="300" w:lineRule="exact"/>
              <w:jc w:val="left"/>
              <w:rPr>
                <w:rFonts w:ascii="仿宋" w:hAnsi="仿宋" w:eastAsia="仿宋" w:cs="宋体"/>
                <w:kern w:val="0"/>
                <w:sz w:val="24"/>
              </w:rPr>
            </w:pP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开拓思路</w:t>
            </w:r>
          </w:p>
        </w:tc>
        <w:tc>
          <w:tcPr>
            <w:tcW w:w="198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开拓参展茶企思路</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开拓参展茶企的思路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满意度</w:t>
            </w:r>
            <w:r>
              <w:rPr>
                <w:rFonts w:hint="eastAsia" w:ascii="仿宋" w:hAnsi="仿宋" w:eastAsia="仿宋" w:cs="宋体"/>
                <w:kern w:val="0"/>
                <w:sz w:val="24"/>
              </w:rPr>
              <w:br w:type="textWrapping"/>
            </w:r>
            <w:r>
              <w:rPr>
                <w:rFonts w:hint="eastAsia" w:ascii="仿宋" w:hAnsi="仿宋" w:eastAsia="仿宋" w:cs="宋体"/>
                <w:kern w:val="0"/>
                <w:sz w:val="24"/>
              </w:rPr>
              <w:t>指标</w:t>
            </w:r>
          </w:p>
        </w:tc>
        <w:tc>
          <w:tcPr>
            <w:tcW w:w="1254" w:type="dxa"/>
            <w:gridSpan w:val="2"/>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满意度指标</w:t>
            </w: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参展茶企满意度</w:t>
            </w:r>
          </w:p>
        </w:tc>
        <w:tc>
          <w:tcPr>
            <w:tcW w:w="1984"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≥90%</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Merge w:val="continue"/>
            <w:vAlign w:val="center"/>
          </w:tcPr>
          <w:p>
            <w:pPr>
              <w:spacing w:line="300" w:lineRule="exact"/>
              <w:jc w:val="left"/>
              <w:rPr>
                <w:rFonts w:ascii="仿宋" w:hAnsi="仿宋" w:eastAsia="仿宋" w:cs="宋体"/>
                <w:kern w:val="0"/>
                <w:sz w:val="24"/>
              </w:rPr>
            </w:pPr>
          </w:p>
        </w:tc>
        <w:tc>
          <w:tcPr>
            <w:tcW w:w="1276" w:type="dxa"/>
            <w:vMerge w:val="continue"/>
            <w:vAlign w:val="center"/>
          </w:tcPr>
          <w:p>
            <w:pPr>
              <w:spacing w:line="300" w:lineRule="exact"/>
              <w:jc w:val="left"/>
              <w:rPr>
                <w:rFonts w:ascii="仿宋" w:hAnsi="仿宋" w:eastAsia="仿宋" w:cs="宋体"/>
                <w:kern w:val="0"/>
                <w:sz w:val="24"/>
              </w:rPr>
            </w:pPr>
          </w:p>
        </w:tc>
        <w:tc>
          <w:tcPr>
            <w:tcW w:w="1254" w:type="dxa"/>
            <w:gridSpan w:val="2"/>
            <w:vMerge w:val="continue"/>
            <w:vAlign w:val="center"/>
          </w:tcPr>
          <w:p>
            <w:pPr>
              <w:spacing w:line="300" w:lineRule="exact"/>
              <w:jc w:val="left"/>
              <w:rPr>
                <w:rFonts w:ascii="仿宋" w:hAnsi="仿宋" w:eastAsia="仿宋" w:cs="宋体"/>
                <w:kern w:val="0"/>
                <w:sz w:val="24"/>
              </w:rPr>
            </w:pPr>
          </w:p>
        </w:tc>
        <w:tc>
          <w:tcPr>
            <w:tcW w:w="229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消费者满意度</w:t>
            </w:r>
          </w:p>
        </w:tc>
        <w:tc>
          <w:tcPr>
            <w:tcW w:w="1984"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≥90%</w:t>
            </w:r>
          </w:p>
        </w:tc>
        <w:tc>
          <w:tcPr>
            <w:tcW w:w="241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≥90%</w:t>
            </w:r>
          </w:p>
        </w:tc>
      </w:tr>
    </w:tbl>
    <w:p>
      <w:pPr>
        <w:rPr>
          <w:rFonts w:ascii="方正小标宋简体" w:hAnsi="宋体" w:eastAsia="方正小标宋简体"/>
          <w:sz w:val="44"/>
          <w:szCs w:val="44"/>
        </w:rPr>
      </w:pPr>
      <w:r>
        <w:rPr>
          <w:rFonts w:hint="eastAsia" w:ascii="方正小标宋简体" w:hAnsi="宋体" w:eastAsia="方正小标宋简体"/>
          <w:sz w:val="44"/>
          <w:szCs w:val="44"/>
        </w:rPr>
        <w:br w:type="page"/>
      </w:r>
    </w:p>
    <w:p>
      <w:pPr>
        <w:pStyle w:val="34"/>
        <w:spacing w:line="700" w:lineRule="exact"/>
        <w:jc w:val="center"/>
        <w:rPr>
          <w:rFonts w:ascii="方正小标宋简体" w:hAnsi="宋体" w:eastAsia="方正小标宋简体"/>
          <w:sz w:val="44"/>
          <w:szCs w:val="44"/>
          <w:lang w:val="en-US"/>
        </w:rPr>
      </w:pPr>
      <w:r>
        <w:rPr>
          <w:rFonts w:hint="eastAsia" w:ascii="方正小标宋简体" w:hAnsi="宋体" w:eastAsia="方正小标宋简体"/>
          <w:sz w:val="44"/>
          <w:szCs w:val="44"/>
          <w:lang w:val="en-US"/>
        </w:rPr>
        <w:t>2021年“菜篮子”工程建设资金</w:t>
      </w:r>
    </w:p>
    <w:p>
      <w:pPr>
        <w:pStyle w:val="34"/>
        <w:spacing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pPr>
        <w:pStyle w:val="34"/>
        <w:spacing w:line="700" w:lineRule="exact"/>
        <w:jc w:val="center"/>
        <w:rPr>
          <w:rFonts w:ascii="仿宋_GB2312" w:hAnsi="仿宋_GB2312" w:eastAsia="仿宋_GB2312" w:cs="仿宋_GB2312"/>
          <w:sz w:val="32"/>
          <w:szCs w:val="32"/>
        </w:rPr>
      </w:pPr>
    </w:p>
    <w:p>
      <w:pPr>
        <w:spacing w:line="576" w:lineRule="exact"/>
        <w:ind w:firstLine="640" w:firstLineChars="200"/>
        <w:rPr>
          <w:rFonts w:ascii="仿宋" w:hAnsi="仿宋" w:eastAsia="仿宋" w:cs="黑体"/>
          <w:b/>
          <w:sz w:val="32"/>
          <w:szCs w:val="32"/>
        </w:rPr>
      </w:pPr>
      <w:r>
        <w:rPr>
          <w:rFonts w:hint="eastAsia" w:ascii="仿宋" w:hAnsi="仿宋" w:eastAsia="仿宋" w:cs="黑体"/>
          <w:b/>
          <w:sz w:val="32"/>
          <w:szCs w:val="32"/>
        </w:rPr>
        <w:t>一、项目概况</w:t>
      </w:r>
    </w:p>
    <w:p>
      <w:pPr>
        <w:spacing w:line="576" w:lineRule="exact"/>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（一）项目基本情况</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b/>
          <w:bCs/>
          <w:sz w:val="32"/>
          <w:szCs w:val="32"/>
        </w:rPr>
        <w:t>1.主管部门在项目管理中的职能。</w:t>
      </w:r>
      <w:r>
        <w:rPr>
          <w:rFonts w:hint="eastAsia" w:ascii="仿宋" w:hAnsi="仿宋" w:eastAsia="仿宋" w:cs="仿宋_GB2312"/>
          <w:sz w:val="32"/>
          <w:szCs w:val="32"/>
        </w:rPr>
        <w:t>广元市人民政府新一轮“菜篮子”工程领导小组办公室设在市农业农村局，负责“菜篮子”工程实施方案制定和项目实施。</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b/>
          <w:bCs/>
          <w:sz w:val="32"/>
          <w:szCs w:val="32"/>
        </w:rPr>
        <w:t>2.项目立项、资金申报依据。</w:t>
      </w:r>
      <w:r>
        <w:rPr>
          <w:rFonts w:hint="eastAsia" w:ascii="仿宋" w:hAnsi="仿宋" w:eastAsia="仿宋" w:cs="仿宋_GB2312"/>
          <w:sz w:val="32"/>
          <w:szCs w:val="32"/>
        </w:rPr>
        <w:t>根据“菜篮子”市长负责制考核指标责任分工，市农业农村局牵头生产、质量安全监管、生产政策扶持等工作。根据中共广元市委办公室、广元市人民政府办公室《关于印发&lt;广元市2021年十项民生工程及30件民生实事实施方案&gt;的通知》（广委办〔2021〕5号）文件要求，市财政局以《关于下达2021年“菜篮子”工程建设资金的通知》（广财农〔2021〕27号）安排2021年菜篮子工程建设资金50万元。</w:t>
      </w:r>
    </w:p>
    <w:p>
      <w:pPr>
        <w:spacing w:line="576" w:lineRule="exact"/>
        <w:ind w:firstLine="640" w:firstLineChars="200"/>
        <w:rPr>
          <w:rFonts w:ascii="仿宋" w:hAnsi="仿宋" w:eastAsia="仿宋" w:cs="仿宋_GB2312"/>
          <w:b/>
          <w:bCs/>
          <w:sz w:val="32"/>
          <w:szCs w:val="32"/>
        </w:rPr>
      </w:pPr>
      <w:r>
        <w:rPr>
          <w:rFonts w:hint="eastAsia" w:ascii="仿宋" w:hAnsi="仿宋" w:eastAsia="仿宋" w:cs="仿宋_GB2312"/>
          <w:b/>
          <w:bCs/>
          <w:sz w:val="32"/>
          <w:szCs w:val="32"/>
        </w:rPr>
        <w:t>3.资金管理办法制定情况，资金支持具体项目的条件、范围与支持方式概况。</w:t>
      </w:r>
      <w:r>
        <w:rPr>
          <w:rFonts w:hint="eastAsia" w:ascii="仿宋" w:hAnsi="仿宋" w:eastAsia="仿宋" w:cs="仿宋_GB2312"/>
          <w:sz w:val="32"/>
          <w:szCs w:val="32"/>
        </w:rPr>
        <w:t>资金管理办法按照市农业农村局项目资金管理办法执行，《2021年绿叶蔬菜基地建设实施方案》经局党组会议审议通过，对验收合格的种植业主进行生产环节补助，补助标准为375元</w:t>
      </w:r>
      <w:r>
        <w:rPr>
          <w:rFonts w:ascii="仿宋" w:hAnsi="仿宋" w:eastAsia="仿宋" w:cs="仿宋_GB2312"/>
          <w:sz w:val="32"/>
          <w:szCs w:val="32"/>
        </w:rPr>
        <w:t>/</w:t>
      </w:r>
      <w:r>
        <w:rPr>
          <w:rFonts w:hint="eastAsia" w:ascii="仿宋" w:hAnsi="仿宋" w:eastAsia="仿宋" w:cs="仿宋_GB2312"/>
          <w:sz w:val="32"/>
          <w:szCs w:val="32"/>
        </w:rPr>
        <w:t>亩</w:t>
      </w:r>
      <w:r>
        <w:rPr>
          <w:rFonts w:ascii="仿宋" w:hAnsi="仿宋" w:eastAsia="仿宋" w:cs="仿宋_GB2312"/>
          <w:sz w:val="32"/>
          <w:szCs w:val="32"/>
        </w:rPr>
        <w:t>/</w:t>
      </w:r>
      <w:r>
        <w:rPr>
          <w:rFonts w:hint="eastAsia" w:ascii="仿宋" w:hAnsi="仿宋" w:eastAsia="仿宋" w:cs="仿宋_GB2312"/>
          <w:sz w:val="32"/>
          <w:szCs w:val="32"/>
        </w:rPr>
        <w:t>茬。</w:t>
      </w:r>
    </w:p>
    <w:p>
      <w:pPr>
        <w:spacing w:line="576" w:lineRule="exact"/>
        <w:ind w:firstLine="640" w:firstLineChars="200"/>
        <w:rPr>
          <w:rFonts w:ascii="仿宋" w:hAnsi="仿宋" w:eastAsia="仿宋"/>
          <w:sz w:val="32"/>
          <w:szCs w:val="32"/>
        </w:rPr>
      </w:pPr>
      <w:r>
        <w:rPr>
          <w:rFonts w:hint="eastAsia" w:ascii="仿宋" w:hAnsi="仿宋" w:eastAsia="仿宋" w:cs="仿宋_GB2312"/>
          <w:b/>
          <w:bCs/>
          <w:sz w:val="32"/>
          <w:szCs w:val="32"/>
        </w:rPr>
        <w:t>4.资金分配原则及考虑因素。</w:t>
      </w:r>
      <w:r>
        <w:rPr>
          <w:rFonts w:hint="eastAsia" w:ascii="仿宋" w:hAnsi="仿宋" w:eastAsia="仿宋"/>
          <w:sz w:val="32"/>
          <w:szCs w:val="32"/>
        </w:rPr>
        <w:t>根据《2021年绿叶蔬菜基地建设实施方案》内容，“菜篮子”基地建设使用资金50万元，为调动业主种菜积极性，保障城市绿叶蔬菜供应，补助种植业主使用资金45万元；为实现蔬菜生产可持续发展，完成新品种新技术试验、种植技术培训、日常监管等工作使用资金5万元。</w:t>
      </w:r>
    </w:p>
    <w:p>
      <w:pPr>
        <w:spacing w:line="576" w:lineRule="exact"/>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（二）项目绩效目标</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b/>
          <w:bCs/>
          <w:sz w:val="32"/>
          <w:szCs w:val="32"/>
        </w:rPr>
        <w:t>1.项目主要内容。</w:t>
      </w:r>
      <w:r>
        <w:rPr>
          <w:rFonts w:hint="eastAsia" w:ascii="仿宋" w:hAnsi="仿宋" w:eastAsia="仿宋"/>
          <w:sz w:val="32"/>
          <w:szCs w:val="32"/>
        </w:rPr>
        <w:t>建设绿叶蔬菜周年生产基地300亩，种植面积1200亩</w:t>
      </w:r>
      <w:r>
        <w:rPr>
          <w:rFonts w:hint="eastAsia" w:ascii="仿宋" w:hAnsi="仿宋" w:eastAsia="仿宋" w:cs="仿宋_GB2312"/>
          <w:sz w:val="32"/>
          <w:szCs w:val="32"/>
        </w:rPr>
        <w:t>。</w:t>
      </w:r>
    </w:p>
    <w:p>
      <w:pPr>
        <w:pStyle w:val="9"/>
        <w:spacing w:line="600" w:lineRule="exact"/>
        <w:ind w:firstLine="640" w:firstLineChars="200"/>
        <w:rPr>
          <w:rFonts w:ascii="仿宋" w:hAnsi="仿宋" w:eastAsia="仿宋"/>
          <w:sz w:val="32"/>
          <w:szCs w:val="32"/>
        </w:rPr>
      </w:pPr>
      <w:r>
        <w:rPr>
          <w:rFonts w:hint="eastAsia" w:ascii="仿宋" w:hAnsi="仿宋" w:eastAsia="仿宋" w:cs="仿宋_GB2312"/>
          <w:b/>
          <w:bCs/>
          <w:sz w:val="32"/>
          <w:szCs w:val="32"/>
        </w:rPr>
        <w:t>2.具体绩效目标。</w:t>
      </w:r>
      <w:r>
        <w:rPr>
          <w:rFonts w:hint="eastAsia" w:ascii="仿宋" w:hAnsi="仿宋" w:eastAsia="仿宋"/>
          <w:sz w:val="32"/>
          <w:szCs w:val="32"/>
        </w:rPr>
        <w:t>一是增加市城区本地绿叶蔬菜供应。通过在绿叶蔬菜基地种植快菜、小白菜、生菜、菠菜、芹菜、油麦菜、雪里蕻、豌豆尖、韭菜等绿叶蔬菜，直供本地超市和广元城区主要蔬菜市场，达到平抑市场蔬菜价格的目的和不断丰富市城区菜篮子绿叶蔬菜供应的目的。二是种植面积1200亩，按照每亩每茬产量1吨计算，实现绿叶蔬菜产量1200吨，实现生产产值240万元。</w:t>
      </w:r>
    </w:p>
    <w:tbl>
      <w:tblPr>
        <w:tblStyle w:val="15"/>
        <w:tblW w:w="937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2609"/>
        <w:gridCol w:w="249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71" w:type="dxa"/>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609" w:type="dxa"/>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498" w:type="dxa"/>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p>
        </w:tc>
        <w:tc>
          <w:tcPr>
            <w:tcW w:w="2693" w:type="dxa"/>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71" w:type="dxa"/>
            <w:vMerge w:val="restart"/>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数量指标</w:t>
            </w:r>
          </w:p>
        </w:tc>
        <w:tc>
          <w:tcPr>
            <w:tcW w:w="2609"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绿叶蔬菜基地面积</w:t>
            </w:r>
          </w:p>
        </w:tc>
        <w:tc>
          <w:tcPr>
            <w:tcW w:w="2498"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300亩</w:t>
            </w:r>
          </w:p>
        </w:tc>
        <w:tc>
          <w:tcPr>
            <w:tcW w:w="2693"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sz w:val="24"/>
              </w:rPr>
              <w:t>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71" w:type="dxa"/>
            <w:vMerge w:val="continue"/>
            <w:shd w:val="clear" w:color="auto" w:fill="auto"/>
            <w:vAlign w:val="center"/>
          </w:tcPr>
          <w:p>
            <w:pPr>
              <w:jc w:val="center"/>
              <w:rPr>
                <w:rFonts w:ascii="仿宋" w:hAnsi="仿宋" w:eastAsia="仿宋" w:cs="宋体"/>
                <w:color w:val="000000"/>
                <w:sz w:val="24"/>
              </w:rPr>
            </w:pPr>
          </w:p>
        </w:tc>
        <w:tc>
          <w:tcPr>
            <w:tcW w:w="2609"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绿叶蔬菜种植面积</w:t>
            </w:r>
          </w:p>
        </w:tc>
        <w:tc>
          <w:tcPr>
            <w:tcW w:w="2498"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1200亩</w:t>
            </w:r>
          </w:p>
        </w:tc>
        <w:tc>
          <w:tcPr>
            <w:tcW w:w="2693"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71" w:type="dxa"/>
            <w:vMerge w:val="continue"/>
            <w:shd w:val="clear" w:color="auto" w:fill="auto"/>
            <w:vAlign w:val="center"/>
          </w:tcPr>
          <w:p>
            <w:pPr>
              <w:jc w:val="center"/>
              <w:rPr>
                <w:rFonts w:ascii="仿宋" w:hAnsi="仿宋" w:eastAsia="仿宋" w:cs="宋体"/>
                <w:color w:val="000000"/>
                <w:sz w:val="24"/>
              </w:rPr>
            </w:pPr>
          </w:p>
        </w:tc>
        <w:tc>
          <w:tcPr>
            <w:tcW w:w="2609"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产量</w:t>
            </w:r>
          </w:p>
        </w:tc>
        <w:tc>
          <w:tcPr>
            <w:tcW w:w="2498"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1200吨</w:t>
            </w:r>
          </w:p>
        </w:tc>
        <w:tc>
          <w:tcPr>
            <w:tcW w:w="2693"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71" w:type="dxa"/>
            <w:vMerge w:val="continue"/>
            <w:shd w:val="clear" w:color="auto" w:fill="auto"/>
            <w:vAlign w:val="center"/>
          </w:tcPr>
          <w:p>
            <w:pPr>
              <w:jc w:val="center"/>
              <w:rPr>
                <w:rFonts w:ascii="仿宋" w:hAnsi="仿宋" w:eastAsia="仿宋" w:cs="宋体"/>
                <w:color w:val="000000"/>
                <w:sz w:val="24"/>
              </w:rPr>
            </w:pPr>
          </w:p>
        </w:tc>
        <w:tc>
          <w:tcPr>
            <w:tcW w:w="2609"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产值</w:t>
            </w:r>
          </w:p>
        </w:tc>
        <w:tc>
          <w:tcPr>
            <w:tcW w:w="2498"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240万元</w:t>
            </w:r>
          </w:p>
        </w:tc>
        <w:tc>
          <w:tcPr>
            <w:tcW w:w="2693"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71" w:type="dxa"/>
            <w:vMerge w:val="restart"/>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质量指标</w:t>
            </w:r>
          </w:p>
        </w:tc>
        <w:tc>
          <w:tcPr>
            <w:tcW w:w="2609"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蔬菜品质合格率</w:t>
            </w:r>
          </w:p>
        </w:tc>
        <w:tc>
          <w:tcPr>
            <w:tcW w:w="2498"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≥90%</w:t>
            </w:r>
          </w:p>
        </w:tc>
        <w:tc>
          <w:tcPr>
            <w:tcW w:w="2693" w:type="dxa"/>
            <w:shd w:val="clear" w:color="auto" w:fill="auto"/>
            <w:vAlign w:val="center"/>
          </w:tcPr>
          <w:p>
            <w:pPr>
              <w:widowControl/>
              <w:jc w:val="left"/>
              <w:textAlignment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71" w:type="dxa"/>
            <w:vMerge w:val="continue"/>
            <w:shd w:val="clear" w:color="auto" w:fill="auto"/>
            <w:vAlign w:val="center"/>
          </w:tcPr>
          <w:p>
            <w:pPr>
              <w:jc w:val="center"/>
              <w:rPr>
                <w:rFonts w:ascii="仿宋" w:hAnsi="仿宋" w:eastAsia="仿宋" w:cs="宋体"/>
                <w:color w:val="000000"/>
                <w:sz w:val="24"/>
              </w:rPr>
            </w:pPr>
          </w:p>
        </w:tc>
        <w:tc>
          <w:tcPr>
            <w:tcW w:w="2609"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资金拨付准确率</w:t>
            </w:r>
          </w:p>
        </w:tc>
        <w:tc>
          <w:tcPr>
            <w:tcW w:w="2498"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100%</w:t>
            </w:r>
          </w:p>
        </w:tc>
        <w:tc>
          <w:tcPr>
            <w:tcW w:w="2693"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71" w:type="dxa"/>
            <w:vMerge w:val="restart"/>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时效指标</w:t>
            </w:r>
          </w:p>
        </w:tc>
        <w:tc>
          <w:tcPr>
            <w:tcW w:w="2609"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完成时间</w:t>
            </w:r>
          </w:p>
        </w:tc>
        <w:tc>
          <w:tcPr>
            <w:tcW w:w="2498"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2021年12月30日</w:t>
            </w:r>
          </w:p>
        </w:tc>
        <w:tc>
          <w:tcPr>
            <w:tcW w:w="2693"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71" w:type="dxa"/>
            <w:vMerge w:val="continue"/>
            <w:shd w:val="clear" w:color="auto" w:fill="auto"/>
            <w:vAlign w:val="center"/>
          </w:tcPr>
          <w:p>
            <w:pPr>
              <w:jc w:val="center"/>
              <w:rPr>
                <w:rFonts w:ascii="仿宋" w:hAnsi="仿宋" w:eastAsia="仿宋" w:cs="宋体"/>
                <w:color w:val="000000"/>
                <w:sz w:val="24"/>
              </w:rPr>
            </w:pPr>
          </w:p>
        </w:tc>
        <w:tc>
          <w:tcPr>
            <w:tcW w:w="2609"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资金拨付及时率</w:t>
            </w:r>
          </w:p>
        </w:tc>
        <w:tc>
          <w:tcPr>
            <w:tcW w:w="2498"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100%</w:t>
            </w:r>
          </w:p>
        </w:tc>
        <w:tc>
          <w:tcPr>
            <w:tcW w:w="2693" w:type="dxa"/>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sz w:val="24"/>
              </w:rPr>
              <w:t>21021年12月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71" w:type="dxa"/>
            <w:vMerge w:val="restart"/>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成本指标</w:t>
            </w:r>
          </w:p>
        </w:tc>
        <w:tc>
          <w:tcPr>
            <w:tcW w:w="2609"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补助资金</w:t>
            </w:r>
          </w:p>
        </w:tc>
        <w:tc>
          <w:tcPr>
            <w:tcW w:w="2498"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1500元/亩</w:t>
            </w:r>
          </w:p>
        </w:tc>
        <w:tc>
          <w:tcPr>
            <w:tcW w:w="2693" w:type="dxa"/>
            <w:shd w:val="clear" w:color="auto" w:fill="auto"/>
            <w:vAlign w:val="center"/>
          </w:tcPr>
          <w:p>
            <w:pPr>
              <w:widowControl/>
              <w:spacing w:line="280" w:lineRule="exact"/>
              <w:jc w:val="left"/>
              <w:textAlignment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71" w:type="dxa"/>
            <w:vMerge w:val="continue"/>
            <w:shd w:val="clear" w:color="auto" w:fill="auto"/>
            <w:vAlign w:val="center"/>
          </w:tcPr>
          <w:p>
            <w:pPr>
              <w:jc w:val="center"/>
              <w:rPr>
                <w:rFonts w:ascii="仿宋" w:hAnsi="仿宋" w:eastAsia="仿宋" w:cs="宋体"/>
                <w:color w:val="000000"/>
                <w:sz w:val="24"/>
              </w:rPr>
            </w:pPr>
          </w:p>
        </w:tc>
        <w:tc>
          <w:tcPr>
            <w:tcW w:w="2609"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管理成本</w:t>
            </w:r>
          </w:p>
        </w:tc>
        <w:tc>
          <w:tcPr>
            <w:tcW w:w="2498"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5万元</w:t>
            </w:r>
          </w:p>
        </w:tc>
        <w:tc>
          <w:tcPr>
            <w:tcW w:w="2693" w:type="dxa"/>
            <w:shd w:val="clear" w:color="auto" w:fill="auto"/>
            <w:vAlign w:val="center"/>
          </w:tcPr>
          <w:p>
            <w:pPr>
              <w:widowControl/>
              <w:spacing w:line="280" w:lineRule="exact"/>
              <w:jc w:val="left"/>
              <w:textAlignment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71" w:type="dxa"/>
            <w:vMerge w:val="restart"/>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经济效益</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609"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财政投入带动社会资本</w:t>
            </w:r>
          </w:p>
        </w:tc>
        <w:tc>
          <w:tcPr>
            <w:tcW w:w="2498"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120万元</w:t>
            </w:r>
          </w:p>
        </w:tc>
        <w:tc>
          <w:tcPr>
            <w:tcW w:w="2693" w:type="dxa"/>
            <w:shd w:val="clear" w:color="auto" w:fill="auto"/>
            <w:vAlign w:val="center"/>
          </w:tcPr>
          <w:p>
            <w:pPr>
              <w:widowControl/>
              <w:spacing w:line="280" w:lineRule="exact"/>
              <w:jc w:val="left"/>
              <w:textAlignment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71" w:type="dxa"/>
            <w:vMerge w:val="continue"/>
            <w:shd w:val="clear" w:color="auto" w:fill="auto"/>
            <w:vAlign w:val="center"/>
          </w:tcPr>
          <w:p>
            <w:pPr>
              <w:jc w:val="center"/>
              <w:rPr>
                <w:rFonts w:ascii="仿宋" w:hAnsi="仿宋" w:eastAsia="仿宋" w:cs="宋体"/>
                <w:color w:val="000000"/>
                <w:sz w:val="24"/>
              </w:rPr>
            </w:pPr>
          </w:p>
        </w:tc>
        <w:tc>
          <w:tcPr>
            <w:tcW w:w="2609"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按调查数据统计，种植户亩均增收</w:t>
            </w:r>
          </w:p>
        </w:tc>
        <w:tc>
          <w:tcPr>
            <w:tcW w:w="2498"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2000元</w:t>
            </w:r>
          </w:p>
        </w:tc>
        <w:tc>
          <w:tcPr>
            <w:tcW w:w="2693" w:type="dxa"/>
            <w:shd w:val="clear" w:color="auto" w:fill="auto"/>
            <w:vAlign w:val="center"/>
          </w:tcPr>
          <w:p>
            <w:pPr>
              <w:widowControl/>
              <w:spacing w:line="280" w:lineRule="exact"/>
              <w:jc w:val="left"/>
              <w:textAlignment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71" w:type="dxa"/>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社会效益</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609"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增加市场供应</w:t>
            </w:r>
          </w:p>
        </w:tc>
        <w:tc>
          <w:tcPr>
            <w:tcW w:w="2498"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供应城区市场</w:t>
            </w:r>
          </w:p>
        </w:tc>
        <w:tc>
          <w:tcPr>
            <w:tcW w:w="2693"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sz w:val="24"/>
              </w:rPr>
              <w:t>2021年6-12月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71" w:type="dxa"/>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可持续影响</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609"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丰富绿叶蔬菜品种</w:t>
            </w:r>
          </w:p>
        </w:tc>
        <w:tc>
          <w:tcPr>
            <w:tcW w:w="2498"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达到绿叶蔬菜供应丰富的目的</w:t>
            </w:r>
          </w:p>
        </w:tc>
        <w:tc>
          <w:tcPr>
            <w:tcW w:w="2693"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sz w:val="24"/>
              </w:rPr>
              <w:t>2021年6-12月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71" w:type="dxa"/>
            <w:vMerge w:val="restart"/>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2609"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种植农户满意度</w:t>
            </w:r>
          </w:p>
        </w:tc>
        <w:tc>
          <w:tcPr>
            <w:tcW w:w="2498"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≥90%</w:t>
            </w:r>
          </w:p>
        </w:tc>
        <w:tc>
          <w:tcPr>
            <w:tcW w:w="2693"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sz w:val="24"/>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71" w:type="dxa"/>
            <w:vMerge w:val="continue"/>
            <w:shd w:val="clear" w:color="auto" w:fill="auto"/>
            <w:vAlign w:val="center"/>
          </w:tcPr>
          <w:p>
            <w:pPr>
              <w:jc w:val="center"/>
              <w:rPr>
                <w:rFonts w:ascii="仿宋" w:hAnsi="仿宋" w:eastAsia="仿宋" w:cs="宋体"/>
                <w:color w:val="000000"/>
                <w:sz w:val="24"/>
              </w:rPr>
            </w:pPr>
          </w:p>
        </w:tc>
        <w:tc>
          <w:tcPr>
            <w:tcW w:w="2609"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市民对绿叶蔬菜品种丰富满意度</w:t>
            </w:r>
          </w:p>
        </w:tc>
        <w:tc>
          <w:tcPr>
            <w:tcW w:w="2498"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≥90%</w:t>
            </w:r>
          </w:p>
        </w:tc>
        <w:tc>
          <w:tcPr>
            <w:tcW w:w="2693" w:type="dxa"/>
            <w:shd w:val="clear" w:color="auto" w:fill="auto"/>
            <w:vAlign w:val="center"/>
          </w:tcPr>
          <w:p>
            <w:pPr>
              <w:widowControl/>
              <w:spacing w:line="280" w:lineRule="exact"/>
              <w:jc w:val="left"/>
              <w:textAlignment w:val="center"/>
              <w:rPr>
                <w:rFonts w:ascii="仿宋" w:hAnsi="仿宋" w:eastAsia="仿宋" w:cs="宋体"/>
                <w:color w:val="000000"/>
                <w:sz w:val="24"/>
              </w:rPr>
            </w:pPr>
            <w:r>
              <w:rPr>
                <w:rFonts w:hint="eastAsia" w:ascii="仿宋" w:hAnsi="仿宋" w:eastAsia="仿宋" w:cs="宋体"/>
                <w:color w:val="000000"/>
                <w:sz w:val="24"/>
              </w:rPr>
              <w:t>2021年</w:t>
            </w:r>
          </w:p>
        </w:tc>
      </w:tr>
    </w:tbl>
    <w:p>
      <w:pPr>
        <w:pStyle w:val="9"/>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项目实际实施内容与项目实施方案中建设内容相符，</w:t>
      </w:r>
      <w:r>
        <w:rPr>
          <w:rFonts w:hint="eastAsia" w:ascii="仿宋" w:hAnsi="仿宋" w:eastAsia="仿宋" w:cs="仿宋_GB2312"/>
          <w:sz w:val="32"/>
          <w:szCs w:val="32"/>
        </w:rPr>
        <w:t>申报</w:t>
      </w:r>
      <w:r>
        <w:rPr>
          <w:rFonts w:ascii="仿宋" w:hAnsi="仿宋" w:eastAsia="仿宋" w:cs="仿宋_GB2312"/>
          <w:sz w:val="32"/>
          <w:szCs w:val="32"/>
        </w:rPr>
        <w:t>目标合理可行。</w:t>
      </w:r>
    </w:p>
    <w:p>
      <w:pPr>
        <w:spacing w:line="576" w:lineRule="exact"/>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（三）项目自评步骤及方法</w:t>
      </w:r>
    </w:p>
    <w:p>
      <w:pPr>
        <w:adjustRightInd w:val="0"/>
        <w:snapToGrid w:val="0"/>
        <w:spacing w:line="576" w:lineRule="exact"/>
        <w:ind w:firstLine="720"/>
        <w:rPr>
          <w:rFonts w:ascii="仿宋" w:hAnsi="仿宋" w:eastAsia="仿宋"/>
          <w:sz w:val="32"/>
          <w:szCs w:val="32"/>
        </w:rPr>
      </w:pPr>
      <w:r>
        <w:rPr>
          <w:rFonts w:hint="eastAsia" w:ascii="仿宋" w:hAnsi="仿宋" w:eastAsia="仿宋" w:cs="仿宋_GB2312"/>
          <w:sz w:val="32"/>
          <w:szCs w:val="32"/>
        </w:rPr>
        <w:t>根据项目支出绩效评价工作安排。我局严密组织对本项目开展了项目支出绩效自评，部门严格对照年初制定的绩效目标、评价标准开展绩效自评，全面覆盖财政资金的产出和效果。</w:t>
      </w:r>
    </w:p>
    <w:p>
      <w:pPr>
        <w:spacing w:line="576" w:lineRule="exact"/>
        <w:ind w:firstLine="640" w:firstLineChars="200"/>
        <w:rPr>
          <w:rFonts w:ascii="仿宋" w:hAnsi="仿宋" w:eastAsia="仿宋" w:cs="黑体"/>
          <w:sz w:val="32"/>
          <w:szCs w:val="32"/>
        </w:rPr>
      </w:pPr>
      <w:r>
        <w:rPr>
          <w:rFonts w:hint="eastAsia" w:ascii="仿宋" w:hAnsi="仿宋" w:eastAsia="仿宋" w:cs="黑体"/>
          <w:sz w:val="32"/>
          <w:szCs w:val="32"/>
        </w:rPr>
        <w:t>二、项目资金申报及使用情况</w:t>
      </w:r>
    </w:p>
    <w:p>
      <w:pPr>
        <w:spacing w:line="576" w:lineRule="exact"/>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（一）项目资金申报及批复情况</w:t>
      </w:r>
    </w:p>
    <w:p>
      <w:pPr>
        <w:spacing w:line="576" w:lineRule="exact"/>
        <w:ind w:firstLine="640" w:firstLineChars="200"/>
        <w:rPr>
          <w:rFonts w:ascii="仿宋" w:hAnsi="仿宋" w:eastAsia="仿宋" w:cs="仿宋_GB2312"/>
          <w:color w:val="00B0F0"/>
          <w:sz w:val="32"/>
          <w:szCs w:val="32"/>
        </w:rPr>
      </w:pPr>
      <w:r>
        <w:rPr>
          <w:rFonts w:hint="eastAsia" w:ascii="仿宋" w:hAnsi="仿宋" w:eastAsia="仿宋" w:cs="仿宋_GB2312"/>
          <w:sz w:val="32"/>
          <w:szCs w:val="32"/>
        </w:rPr>
        <w:t>根据广元市财政局《关于下达2021年“菜篮子”工程建设资金的通知》（广财农〔2021〕27号），市财政下达用于2021年菜篮子绿叶蔬菜基地建设资金50万元。</w:t>
      </w:r>
    </w:p>
    <w:p>
      <w:pPr>
        <w:spacing w:line="576" w:lineRule="exact"/>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（二）资金计划、到位及使用情况</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b/>
          <w:bCs/>
          <w:sz w:val="32"/>
          <w:szCs w:val="32"/>
        </w:rPr>
        <w:t>1.资金计划。</w:t>
      </w:r>
      <w:r>
        <w:rPr>
          <w:rFonts w:hint="eastAsia" w:ascii="仿宋" w:hAnsi="仿宋" w:eastAsia="仿宋" w:cs="仿宋_GB2312"/>
          <w:sz w:val="32"/>
          <w:szCs w:val="32"/>
        </w:rPr>
        <w:t>计划资金50万元。</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b/>
          <w:bCs/>
          <w:sz w:val="32"/>
          <w:szCs w:val="32"/>
        </w:rPr>
        <w:t>2.资金到位。</w:t>
      </w:r>
      <w:r>
        <w:rPr>
          <w:rFonts w:hint="eastAsia" w:ascii="仿宋" w:hAnsi="仿宋" w:eastAsia="仿宋" w:cs="仿宋_GB2312"/>
          <w:sz w:val="32"/>
          <w:szCs w:val="32"/>
        </w:rPr>
        <w:t>到位资金50万元，资金到位及时，资金到位率100%。</w:t>
      </w:r>
    </w:p>
    <w:p>
      <w:pPr>
        <w:spacing w:line="576" w:lineRule="exact"/>
        <w:ind w:firstLine="640" w:firstLineChars="200"/>
        <w:rPr>
          <w:rFonts w:ascii="仿宋" w:hAnsi="仿宋" w:eastAsia="仿宋" w:cs="仿宋_GB2312"/>
          <w:color w:val="0000FF"/>
          <w:sz w:val="32"/>
          <w:szCs w:val="32"/>
        </w:rPr>
      </w:pPr>
      <w:r>
        <w:rPr>
          <w:rFonts w:hint="eastAsia" w:ascii="仿宋" w:hAnsi="仿宋" w:eastAsia="仿宋" w:cs="仿宋_GB2312"/>
          <w:b/>
          <w:bCs/>
          <w:sz w:val="32"/>
          <w:szCs w:val="32"/>
        </w:rPr>
        <w:t>3.资金使用。</w:t>
      </w:r>
      <w:r>
        <w:rPr>
          <w:rFonts w:hint="eastAsia" w:ascii="仿宋" w:hAnsi="仿宋" w:eastAsia="仿宋" w:cs="仿宋_GB2312"/>
          <w:sz w:val="32"/>
          <w:szCs w:val="32"/>
        </w:rPr>
        <w:t>截止2021年12月31日资金支付46.86万元，资金执行率93.72%。</w:t>
      </w:r>
      <w:r>
        <w:rPr>
          <w:rFonts w:ascii="仿宋" w:hAnsi="仿宋" w:eastAsia="仿宋" w:cs="仿宋_GB2312"/>
          <w:color w:val="0000FF"/>
          <w:sz w:val="32"/>
          <w:szCs w:val="32"/>
        </w:rPr>
        <w:t xml:space="preserve"> </w:t>
      </w:r>
    </w:p>
    <w:p>
      <w:pPr>
        <w:spacing w:line="576" w:lineRule="exact"/>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（三）项目财务管理情况</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财务管理制度健全，严格执行财务管理制度，账务处理及时。会计核算规范</w:t>
      </w:r>
      <w:r>
        <w:rPr>
          <w:rFonts w:ascii="仿宋" w:hAnsi="仿宋" w:eastAsia="仿宋" w:cs="仿宋_GB2312"/>
          <w:sz w:val="32"/>
          <w:szCs w:val="32"/>
        </w:rPr>
        <w:t>。</w:t>
      </w:r>
    </w:p>
    <w:p>
      <w:pPr>
        <w:spacing w:line="576" w:lineRule="exact"/>
        <w:ind w:firstLine="640" w:firstLineChars="200"/>
        <w:rPr>
          <w:rFonts w:ascii="仿宋" w:hAnsi="仿宋" w:eastAsia="仿宋"/>
          <w:sz w:val="32"/>
          <w:szCs w:val="32"/>
        </w:rPr>
      </w:pPr>
      <w:r>
        <w:rPr>
          <w:rFonts w:hint="eastAsia" w:ascii="仿宋" w:hAnsi="仿宋" w:eastAsia="仿宋" w:cs="黑体"/>
          <w:sz w:val="32"/>
          <w:szCs w:val="32"/>
        </w:rPr>
        <w:t>三、项目实施及管理情况</w:t>
      </w:r>
    </w:p>
    <w:p>
      <w:pPr>
        <w:adjustRightInd w:val="0"/>
        <w:snapToGrid w:val="0"/>
        <w:spacing w:line="576" w:lineRule="exact"/>
        <w:ind w:firstLine="640" w:firstLineChars="200"/>
        <w:rPr>
          <w:rFonts w:ascii="仿宋" w:hAnsi="仿宋" w:eastAsia="仿宋" w:cs="楷体_GB2312"/>
          <w:b/>
          <w:bCs/>
          <w:sz w:val="32"/>
          <w:szCs w:val="32"/>
          <w:lang w:val="zh-CN"/>
        </w:rPr>
      </w:pPr>
      <w:r>
        <w:rPr>
          <w:rFonts w:hint="eastAsia" w:ascii="仿宋" w:hAnsi="仿宋" w:eastAsia="仿宋" w:cs="楷体_GB2312"/>
          <w:b/>
          <w:bCs/>
          <w:sz w:val="32"/>
          <w:szCs w:val="32"/>
          <w:lang w:val="zh-CN"/>
        </w:rPr>
        <w:t>（一）项目组织框架及实施流程</w:t>
      </w:r>
    </w:p>
    <w:p>
      <w:pPr>
        <w:pStyle w:val="2"/>
        <w:spacing w:before="93" w:line="576" w:lineRule="exact"/>
        <w:rPr>
          <w:rFonts w:ascii="仿宋" w:hAnsi="仿宋" w:eastAsia="仿宋"/>
          <w:sz w:val="32"/>
          <w:szCs w:val="32"/>
        </w:rPr>
      </w:pPr>
      <w:r>
        <w:rPr>
          <w:rFonts w:hint="eastAsia" w:ascii="仿宋" w:hAnsi="仿宋" w:eastAsia="仿宋"/>
          <w:sz w:val="32"/>
          <w:szCs w:val="32"/>
        </w:rPr>
        <w:t xml:space="preserve">     该项目由市经济作物管理站负责制定实施方案，按照经局党组会议审议通过的建设内容、实施地点和面积、资金来源、资金使用、人员安排、进度安排、验收办法、绩效目标等实施，调整的部分建设内容通过局党组会议审议通过后实施。与种植业主签订《绿叶蔬菜种植协议》以确保实现绩效目标。</w:t>
      </w:r>
    </w:p>
    <w:p>
      <w:pPr>
        <w:adjustRightInd w:val="0"/>
        <w:snapToGrid w:val="0"/>
        <w:spacing w:line="576" w:lineRule="exact"/>
        <w:ind w:firstLine="640" w:firstLineChars="200"/>
        <w:rPr>
          <w:rFonts w:ascii="仿宋" w:hAnsi="仿宋" w:eastAsia="仿宋" w:cs="楷体_GB2312"/>
          <w:b/>
          <w:bCs/>
          <w:sz w:val="32"/>
          <w:szCs w:val="32"/>
        </w:rPr>
      </w:pPr>
      <w:r>
        <w:rPr>
          <w:rFonts w:hint="eastAsia" w:ascii="仿宋" w:hAnsi="仿宋" w:eastAsia="仿宋"/>
          <w:sz w:val="32"/>
          <w:szCs w:val="32"/>
        </w:rPr>
        <w:t xml:space="preserve"> </w:t>
      </w:r>
      <w:r>
        <w:rPr>
          <w:rFonts w:hint="eastAsia" w:ascii="仿宋" w:hAnsi="仿宋" w:eastAsia="仿宋" w:cs="楷体_GB2312"/>
          <w:b/>
          <w:bCs/>
          <w:sz w:val="32"/>
          <w:szCs w:val="32"/>
        </w:rPr>
        <w:t>（二）项目管理情况</w:t>
      </w:r>
    </w:p>
    <w:p>
      <w:pPr>
        <w:pStyle w:val="14"/>
        <w:spacing w:line="576" w:lineRule="exact"/>
        <w:ind w:left="0" w:leftChars="0" w:firstLine="640"/>
        <w:rPr>
          <w:rFonts w:ascii="仿宋" w:hAnsi="仿宋" w:eastAsia="仿宋"/>
        </w:rPr>
      </w:pPr>
      <w:r>
        <w:rPr>
          <w:rFonts w:hint="eastAsia" w:ascii="仿宋" w:hAnsi="仿宋" w:eastAsia="仿宋"/>
        </w:rPr>
        <w:t>该项目生产、试验、技术培训工作由我局下属事业单位市经作站实施，管理工作由局党办、县区农业农村局、市经作站共同实施，财务工作由局计财科负责。</w:t>
      </w:r>
    </w:p>
    <w:p>
      <w:pPr>
        <w:spacing w:line="576" w:lineRule="exact"/>
        <w:ind w:left="640"/>
        <w:rPr>
          <w:rFonts w:ascii="仿宋" w:hAnsi="仿宋" w:eastAsia="仿宋" w:cs="楷体_GB2312"/>
          <w:b/>
          <w:bCs/>
          <w:sz w:val="32"/>
          <w:szCs w:val="32"/>
        </w:rPr>
      </w:pPr>
      <w:r>
        <w:rPr>
          <w:rFonts w:hint="eastAsia" w:ascii="仿宋" w:hAnsi="仿宋" w:eastAsia="仿宋" w:cs="楷体_GB2312"/>
          <w:b/>
          <w:bCs/>
          <w:sz w:val="32"/>
          <w:szCs w:val="32"/>
        </w:rPr>
        <w:t>（三）项目监管情况</w:t>
      </w:r>
    </w:p>
    <w:p>
      <w:pPr>
        <w:pStyle w:val="2"/>
        <w:spacing w:before="93" w:line="576" w:lineRule="exact"/>
        <w:ind w:firstLine="640" w:firstLineChars="200"/>
        <w:rPr>
          <w:rFonts w:ascii="仿宋" w:hAnsi="仿宋" w:eastAsia="仿宋"/>
          <w:sz w:val="32"/>
          <w:szCs w:val="32"/>
        </w:rPr>
      </w:pPr>
      <w:r>
        <w:rPr>
          <w:rFonts w:hint="eastAsia" w:ascii="仿宋" w:hAnsi="仿宋" w:eastAsia="仿宋" w:cs="仿宋_GB2312"/>
          <w:sz w:val="32"/>
          <w:szCs w:val="32"/>
        </w:rPr>
        <w:t>该项目局党办、县区农业农村局、市经作站共同参与日常监督管理，按照种植协议约定，实地验收合格后按照每茬种植品种、面积、质量情况支付补助资金。</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rPr>
        <w:t>四、项目绩效情况</w:t>
      </w:r>
      <w:r>
        <w:rPr>
          <w:rFonts w:hint="eastAsia" w:ascii="仿宋" w:hAnsi="仿宋" w:eastAsia="仿宋"/>
          <w:sz w:val="32"/>
          <w:szCs w:val="32"/>
          <w:lang w:val="zh-CN"/>
        </w:rPr>
        <w:tab/>
      </w:r>
    </w:p>
    <w:p>
      <w:pPr>
        <w:spacing w:line="576" w:lineRule="exact"/>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（一）项目完成情况</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1.数量指标：建设绿叶蔬菜基地面积300亩，完成目标任务100%；种植面积1200亩，完成目标任务100%；生产绿叶蔬菜1434吨，完成目标任务119.5%;产值430万元，完成目标任务179%。</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2.质量指标：蔬菜品质合格率99.7%，资金拨付准确率100%。</w:t>
      </w:r>
    </w:p>
    <w:p>
      <w:pPr>
        <w:spacing w:line="576" w:lineRule="exact"/>
        <w:ind w:firstLine="640" w:firstLineChars="200"/>
        <w:rPr>
          <w:rFonts w:ascii="仿宋" w:hAnsi="仿宋" w:eastAsia="仿宋"/>
          <w:sz w:val="32"/>
          <w:szCs w:val="32"/>
        </w:rPr>
      </w:pPr>
      <w:r>
        <w:rPr>
          <w:rFonts w:hint="eastAsia" w:ascii="仿宋" w:hAnsi="仿宋" w:eastAsia="仿宋" w:cs="仿宋_GB2312"/>
          <w:sz w:val="32"/>
          <w:szCs w:val="32"/>
        </w:rPr>
        <w:t>3.时效指标：在2021年12月30日前完成该项目，资金拨付及时率100%。</w:t>
      </w:r>
    </w:p>
    <w:p>
      <w:pPr>
        <w:spacing w:line="576" w:lineRule="exact"/>
        <w:ind w:firstLine="640" w:firstLineChars="200"/>
        <w:rPr>
          <w:rFonts w:ascii="仿宋" w:hAnsi="仿宋" w:eastAsia="仿宋" w:cs="仿宋_GB2312"/>
          <w:color w:val="C00000"/>
          <w:sz w:val="32"/>
          <w:szCs w:val="32"/>
        </w:rPr>
      </w:pPr>
      <w:r>
        <w:rPr>
          <w:rFonts w:hint="eastAsia" w:ascii="仿宋" w:hAnsi="仿宋" w:eastAsia="仿宋" w:cs="仿宋_GB2312"/>
          <w:sz w:val="32"/>
          <w:szCs w:val="32"/>
        </w:rPr>
        <w:t>4.成本指标：实际补助种植户375元/亩/茬，种植户一年内种植4茬可补助1500元/亩</w:t>
      </w:r>
      <w:r>
        <w:rPr>
          <w:rFonts w:hint="eastAsia" w:ascii="仿宋" w:hAnsi="仿宋" w:eastAsia="仿宋" w:cs="仿宋_GB2312"/>
          <w:color w:val="C00000"/>
          <w:sz w:val="32"/>
          <w:szCs w:val="32"/>
        </w:rPr>
        <w:t>。</w:t>
      </w:r>
    </w:p>
    <w:p>
      <w:pPr>
        <w:pStyle w:val="9"/>
        <w:spacing w:line="576" w:lineRule="exact"/>
        <w:rPr>
          <w:rFonts w:ascii="仿宋" w:hAnsi="仿宋" w:eastAsia="仿宋" w:cs="仿宋_GB2312"/>
          <w:sz w:val="32"/>
          <w:szCs w:val="32"/>
        </w:rPr>
      </w:pPr>
      <w:r>
        <w:rPr>
          <w:rFonts w:hint="eastAsia" w:ascii="仿宋" w:hAnsi="仿宋" w:eastAsia="仿宋" w:cs="仿宋_GB2312"/>
          <w:sz w:val="32"/>
          <w:szCs w:val="32"/>
        </w:rPr>
        <w:t xml:space="preserve">    通过事前调查、与种植业主签订《绿叶蔬菜种植协议》的方式确保种植面积落实，业主临时改变种植品种的，及时调整方案并报局党组会议审议通过实施。加大新品种试验力度，筛选适合广元地区种植的绿叶蔬菜新品种，通过技术培训方式实现大田生产，在技术层面上保障了在2021年12月30日前全面完成各项目标任务。</w:t>
      </w:r>
    </w:p>
    <w:p>
      <w:pPr>
        <w:spacing w:line="576" w:lineRule="exact"/>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（二）项目效益情况</w:t>
      </w:r>
    </w:p>
    <w:tbl>
      <w:tblPr>
        <w:tblStyle w:val="15"/>
        <w:tblW w:w="9020" w:type="dxa"/>
        <w:tblInd w:w="93" w:type="dxa"/>
        <w:tblLayout w:type="autofit"/>
        <w:tblCellMar>
          <w:top w:w="0" w:type="dxa"/>
          <w:left w:w="108" w:type="dxa"/>
          <w:bottom w:w="0" w:type="dxa"/>
          <w:right w:w="108" w:type="dxa"/>
        </w:tblCellMar>
      </w:tblPr>
      <w:tblGrid>
        <w:gridCol w:w="1489"/>
        <w:gridCol w:w="2636"/>
        <w:gridCol w:w="1956"/>
        <w:gridCol w:w="2939"/>
      </w:tblGrid>
      <w:tr>
        <w:tblPrEx>
          <w:tblCellMar>
            <w:top w:w="0" w:type="dxa"/>
            <w:left w:w="108" w:type="dxa"/>
            <w:bottom w:w="0" w:type="dxa"/>
            <w:right w:w="108" w:type="dxa"/>
          </w:tblCellMar>
        </w:tblPrEx>
        <w:trPr>
          <w:trHeight w:val="66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二级指标</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三级指标</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预期指标值</w:t>
            </w:r>
          </w:p>
        </w:tc>
        <w:tc>
          <w:tcPr>
            <w:tcW w:w="2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实际完成指标值</w:t>
            </w:r>
          </w:p>
        </w:tc>
      </w:tr>
      <w:tr>
        <w:tblPrEx>
          <w:tblCellMar>
            <w:top w:w="0" w:type="dxa"/>
            <w:left w:w="108" w:type="dxa"/>
            <w:bottom w:w="0" w:type="dxa"/>
            <w:right w:w="108" w:type="dxa"/>
          </w:tblCellMar>
        </w:tblPrEx>
        <w:trPr>
          <w:trHeight w:val="660" w:hRule="atLeast"/>
        </w:trPr>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经济效益</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财政投入带动社会资本</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120万元</w:t>
            </w:r>
          </w:p>
        </w:tc>
        <w:tc>
          <w:tcPr>
            <w:tcW w:w="2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120万元</w:t>
            </w:r>
          </w:p>
        </w:tc>
      </w:tr>
      <w:tr>
        <w:tblPrEx>
          <w:tblCellMar>
            <w:top w:w="0" w:type="dxa"/>
            <w:left w:w="108" w:type="dxa"/>
            <w:bottom w:w="0" w:type="dxa"/>
            <w:right w:w="108" w:type="dxa"/>
          </w:tblCellMar>
        </w:tblPrEx>
        <w:trPr>
          <w:trHeight w:val="560"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按调查数据统计，种植户亩均增收</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2000元</w:t>
            </w:r>
          </w:p>
        </w:tc>
        <w:tc>
          <w:tcPr>
            <w:tcW w:w="2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3583元</w:t>
            </w:r>
          </w:p>
        </w:tc>
      </w:tr>
      <w:tr>
        <w:tblPrEx>
          <w:tblCellMar>
            <w:top w:w="0" w:type="dxa"/>
            <w:left w:w="108" w:type="dxa"/>
            <w:bottom w:w="0" w:type="dxa"/>
            <w:right w:w="108" w:type="dxa"/>
          </w:tblCellMar>
        </w:tblPrEx>
        <w:trPr>
          <w:trHeight w:val="48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社会效益</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增加市场供应</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供应城区市场</w:t>
            </w:r>
          </w:p>
        </w:tc>
        <w:tc>
          <w:tcPr>
            <w:tcW w:w="2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供应城区市场</w:t>
            </w:r>
          </w:p>
        </w:tc>
      </w:tr>
      <w:tr>
        <w:tblPrEx>
          <w:tblCellMar>
            <w:top w:w="0" w:type="dxa"/>
            <w:left w:w="108" w:type="dxa"/>
            <w:bottom w:w="0" w:type="dxa"/>
            <w:right w:w="108" w:type="dxa"/>
          </w:tblCellMar>
        </w:tblPrEx>
        <w:trPr>
          <w:trHeight w:val="110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可持续影响</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丰富绿叶蔬菜品种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达到绿叶蔬菜供应丰富的目的</w:t>
            </w:r>
          </w:p>
        </w:tc>
        <w:tc>
          <w:tcPr>
            <w:tcW w:w="2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全年共生产10余种绿叶蔬菜，增加了市城区绿叶蔬菜品种供应，丰富了市民菜篮子。</w:t>
            </w:r>
          </w:p>
        </w:tc>
      </w:tr>
      <w:tr>
        <w:tblPrEx>
          <w:tblCellMar>
            <w:top w:w="0" w:type="dxa"/>
            <w:left w:w="108" w:type="dxa"/>
            <w:bottom w:w="0" w:type="dxa"/>
            <w:right w:w="108" w:type="dxa"/>
          </w:tblCellMar>
        </w:tblPrEx>
        <w:trPr>
          <w:trHeight w:val="480" w:hRule="atLeast"/>
        </w:trPr>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种植农户满意度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≥90%</w:t>
            </w:r>
          </w:p>
        </w:tc>
        <w:tc>
          <w:tcPr>
            <w:tcW w:w="2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100%</w:t>
            </w:r>
          </w:p>
        </w:tc>
      </w:tr>
      <w:tr>
        <w:tblPrEx>
          <w:tblCellMar>
            <w:top w:w="0" w:type="dxa"/>
            <w:left w:w="108" w:type="dxa"/>
            <w:bottom w:w="0" w:type="dxa"/>
            <w:right w:w="108" w:type="dxa"/>
          </w:tblCellMar>
        </w:tblPrEx>
        <w:trPr>
          <w:trHeight w:val="660"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市民对绿叶蔬菜品种丰富满意度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≥90%</w:t>
            </w:r>
          </w:p>
        </w:tc>
        <w:tc>
          <w:tcPr>
            <w:tcW w:w="2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≥90%</w:t>
            </w:r>
          </w:p>
        </w:tc>
      </w:tr>
    </w:tbl>
    <w:p>
      <w:pPr>
        <w:spacing w:line="576" w:lineRule="exact"/>
        <w:ind w:firstLine="640" w:firstLineChars="200"/>
        <w:rPr>
          <w:rFonts w:ascii="仿宋" w:hAnsi="仿宋" w:eastAsia="仿宋" w:cs="黑体"/>
          <w:sz w:val="32"/>
          <w:szCs w:val="32"/>
        </w:rPr>
      </w:pPr>
      <w:r>
        <w:rPr>
          <w:rFonts w:hint="eastAsia" w:ascii="仿宋" w:hAnsi="仿宋" w:eastAsia="仿宋" w:cs="黑体"/>
          <w:sz w:val="32"/>
          <w:szCs w:val="32"/>
        </w:rPr>
        <w:t>五、评价结论及建议</w:t>
      </w:r>
    </w:p>
    <w:p>
      <w:pPr>
        <w:spacing w:line="576" w:lineRule="exact"/>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（一）评价结论</w:t>
      </w:r>
    </w:p>
    <w:p>
      <w:pPr>
        <w:snapToGrid w:val="0"/>
        <w:spacing w:line="600" w:lineRule="exact"/>
        <w:ind w:firstLine="616" w:firstLineChars="200"/>
        <w:rPr>
          <w:rFonts w:ascii="仿宋" w:hAnsi="仿宋" w:eastAsia="仿宋" w:cs="仿宋_GB2312"/>
          <w:spacing w:val="-6"/>
          <w:sz w:val="32"/>
          <w:szCs w:val="32"/>
        </w:rPr>
      </w:pPr>
      <w:r>
        <w:rPr>
          <w:rFonts w:hint="eastAsia" w:ascii="仿宋" w:hAnsi="仿宋" w:eastAsia="仿宋" w:cs="仿宋_GB2312"/>
          <w:spacing w:val="-6"/>
          <w:sz w:val="32"/>
          <w:szCs w:val="32"/>
          <w:lang w:val="zh-CN"/>
        </w:rPr>
        <w:t>绩效目标编制时制定了数量指标</w:t>
      </w:r>
      <w:r>
        <w:rPr>
          <w:rFonts w:hint="eastAsia" w:ascii="仿宋" w:hAnsi="仿宋" w:eastAsia="仿宋" w:cs="仿宋_GB2312"/>
          <w:spacing w:val="-6"/>
          <w:sz w:val="32"/>
          <w:szCs w:val="32"/>
        </w:rPr>
        <w:t>4个，质量指标2个，时效指标2个，成本指标2个，经济效益指标2个，社会效益指标1个，可持续影响指标1个，满意度指标2个，绩效指标均完成或超额完成绩效目标。</w:t>
      </w:r>
      <w:r>
        <w:rPr>
          <w:rFonts w:hint="eastAsia" w:ascii="仿宋" w:hAnsi="仿宋" w:eastAsia="仿宋" w:cs="仿宋_GB2312"/>
          <w:sz w:val="32"/>
          <w:szCs w:val="32"/>
        </w:rPr>
        <w:t>总体来看项目决策程序严密、规划合理、结果符合规划，项目实施资金分配及时，项目完成质量以及效果较好，全面完成了该项目目标任务，项目绩效目标全面完成。</w:t>
      </w:r>
    </w:p>
    <w:p>
      <w:pPr>
        <w:adjustRightInd w:val="0"/>
        <w:snapToGrid w:val="0"/>
        <w:spacing w:line="600" w:lineRule="exact"/>
        <w:ind w:firstLine="720"/>
        <w:rPr>
          <w:rFonts w:ascii="仿宋" w:hAnsi="仿宋" w:eastAsia="仿宋" w:cs="仿宋_GB2312"/>
          <w:sz w:val="32"/>
          <w:szCs w:val="32"/>
        </w:rPr>
      </w:pPr>
      <w:r>
        <w:rPr>
          <w:rFonts w:hint="eastAsia" w:ascii="仿宋" w:hAnsi="仿宋" w:eastAsia="仿宋"/>
          <w:b/>
          <w:sz w:val="32"/>
          <w:szCs w:val="32"/>
          <w:lang w:val="zh-CN"/>
        </w:rPr>
        <w:t>（二）存在的问题。</w:t>
      </w:r>
      <w:r>
        <w:rPr>
          <w:rFonts w:ascii="仿宋" w:hAnsi="仿宋" w:eastAsia="仿宋" w:cs="仿宋_GB2312"/>
          <w:sz w:val="32"/>
          <w:szCs w:val="32"/>
        </w:rPr>
        <w:t>财政补助比例偏低</w:t>
      </w:r>
      <w:r>
        <w:rPr>
          <w:rFonts w:hint="eastAsia" w:ascii="仿宋" w:hAnsi="仿宋" w:eastAsia="仿宋" w:cs="仿宋_GB2312"/>
          <w:sz w:val="32"/>
          <w:szCs w:val="32"/>
        </w:rPr>
        <w:t>，资金到位时间晚，导致实施过程前松后紧</w:t>
      </w:r>
      <w:r>
        <w:rPr>
          <w:rFonts w:ascii="仿宋" w:hAnsi="仿宋" w:eastAsia="仿宋" w:cs="仿宋_GB2312"/>
          <w:sz w:val="32"/>
          <w:szCs w:val="32"/>
        </w:rPr>
        <w:t>。</w:t>
      </w:r>
    </w:p>
    <w:p>
      <w:pPr>
        <w:pStyle w:val="2"/>
        <w:spacing w:before="93"/>
        <w:rPr>
          <w:rFonts w:ascii="仿宋" w:hAnsi="仿宋" w:eastAsia="仿宋"/>
          <w:sz w:val="32"/>
          <w:szCs w:val="32"/>
          <w:lang w:val="zh-CN"/>
        </w:rPr>
      </w:pPr>
      <w:r>
        <w:rPr>
          <w:rFonts w:hint="eastAsia" w:ascii="仿宋" w:hAnsi="仿宋" w:eastAsia="仿宋" w:cs="楷体_GB2312"/>
          <w:b/>
          <w:bCs/>
          <w:sz w:val="32"/>
          <w:szCs w:val="32"/>
        </w:rPr>
        <w:t>（三）建议。</w:t>
      </w:r>
      <w:r>
        <w:rPr>
          <w:rFonts w:hint="eastAsia" w:ascii="仿宋" w:hAnsi="仿宋" w:eastAsia="仿宋" w:cs="仿宋_GB2312"/>
          <w:sz w:val="32"/>
          <w:szCs w:val="32"/>
        </w:rPr>
        <w:t>“菜篮子”是民生工程，也是“菜篮子”市长负责制工作有力开展的重要体现之一，具有重大意义。建议将“菜篮子”工程建设资金纳入市财政专项预算，用于持续支持“菜篮子”工程建设。</w:t>
      </w:r>
    </w:p>
    <w:p>
      <w:pPr>
        <w:rPr>
          <w:rFonts w:ascii="宋体" w:hAnsi="宋体" w:cs="宋体"/>
          <w:b/>
          <w:sz w:val="32"/>
          <w:szCs w:val="32"/>
        </w:rPr>
      </w:pPr>
      <w:r>
        <w:rPr>
          <w:rFonts w:hint="eastAsia" w:ascii="宋体" w:hAnsi="宋体" w:cs="宋体"/>
          <w:b/>
          <w:sz w:val="32"/>
          <w:szCs w:val="32"/>
        </w:rPr>
        <w:br w:type="page"/>
      </w:r>
    </w:p>
    <w:p>
      <w:pPr>
        <w:pStyle w:val="2"/>
        <w:spacing w:before="93"/>
        <w:jc w:val="center"/>
        <w:rPr>
          <w:rFonts w:ascii="仿宋" w:hAnsi="仿宋" w:eastAsia="仿宋"/>
          <w:sz w:val="24"/>
          <w:lang w:val="zh-CN"/>
        </w:rPr>
      </w:pPr>
      <w:r>
        <w:rPr>
          <w:rFonts w:hint="eastAsia" w:ascii="宋体" w:hAnsi="宋体" w:cs="宋体"/>
          <w:b/>
          <w:sz w:val="32"/>
          <w:szCs w:val="32"/>
        </w:rPr>
        <w:t>2021年部门预算项目绩效目标自评</w:t>
      </w:r>
    </w:p>
    <w:tbl>
      <w:tblPr>
        <w:tblStyle w:val="15"/>
        <w:tblW w:w="1031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1272"/>
        <w:gridCol w:w="1271"/>
        <w:gridCol w:w="237"/>
        <w:gridCol w:w="2167"/>
        <w:gridCol w:w="1837"/>
        <w:gridCol w:w="424"/>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911" w:type="dxa"/>
            <w:gridSpan w:val="4"/>
            <w:shd w:val="clear" w:color="auto" w:fill="auto"/>
            <w:vAlign w:val="center"/>
          </w:tcPr>
          <w:p>
            <w:pPr>
              <w:spacing w:line="300" w:lineRule="exact"/>
              <w:jc w:val="center"/>
              <w:rPr>
                <w:rFonts w:ascii="宋体" w:hAnsi="宋体" w:cs="宋体"/>
                <w:kern w:val="0"/>
                <w:sz w:val="24"/>
              </w:rPr>
            </w:pPr>
            <w:r>
              <w:rPr>
                <w:rFonts w:hint="eastAsia" w:ascii="宋体" w:hAnsi="宋体" w:cs="宋体"/>
                <w:kern w:val="0"/>
                <w:sz w:val="24"/>
              </w:rPr>
              <w:t>项目名称</w:t>
            </w:r>
          </w:p>
        </w:tc>
        <w:tc>
          <w:tcPr>
            <w:tcW w:w="6408" w:type="dxa"/>
            <w:gridSpan w:val="4"/>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“菜篮子”工程建设奖补资金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911" w:type="dxa"/>
            <w:gridSpan w:val="4"/>
            <w:shd w:val="clear" w:color="auto" w:fill="auto"/>
            <w:vAlign w:val="center"/>
          </w:tcPr>
          <w:p>
            <w:pPr>
              <w:spacing w:line="300" w:lineRule="exact"/>
              <w:jc w:val="center"/>
              <w:rPr>
                <w:rFonts w:ascii="宋体" w:hAnsi="宋体" w:cs="宋体"/>
                <w:kern w:val="0"/>
                <w:sz w:val="24"/>
              </w:rPr>
            </w:pPr>
            <w:r>
              <w:rPr>
                <w:rFonts w:hint="eastAsia" w:ascii="宋体" w:hAnsi="宋体" w:cs="宋体"/>
                <w:kern w:val="0"/>
                <w:sz w:val="24"/>
              </w:rPr>
              <w:t>主管单位</w:t>
            </w:r>
          </w:p>
        </w:tc>
        <w:tc>
          <w:tcPr>
            <w:tcW w:w="2167"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广元市农业农村局</w:t>
            </w:r>
          </w:p>
        </w:tc>
        <w:tc>
          <w:tcPr>
            <w:tcW w:w="1837"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实施单位</w:t>
            </w:r>
          </w:p>
        </w:tc>
        <w:tc>
          <w:tcPr>
            <w:tcW w:w="2404"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广元市农业农村局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131" w:type="dxa"/>
            <w:vMerge w:val="restart"/>
            <w:shd w:val="clear" w:color="auto" w:fill="auto"/>
            <w:vAlign w:val="center"/>
          </w:tcPr>
          <w:p>
            <w:pPr>
              <w:spacing w:line="300" w:lineRule="exact"/>
              <w:jc w:val="center"/>
              <w:rPr>
                <w:rFonts w:ascii="宋体" w:hAnsi="宋体" w:cs="宋体"/>
                <w:kern w:val="0"/>
                <w:sz w:val="24"/>
              </w:rPr>
            </w:pPr>
            <w:r>
              <w:rPr>
                <w:rFonts w:hint="eastAsia" w:ascii="宋体" w:hAnsi="宋体" w:cs="宋体"/>
                <w:kern w:val="0"/>
                <w:sz w:val="24"/>
              </w:rPr>
              <w:t>预算</w:t>
            </w:r>
            <w:r>
              <w:rPr>
                <w:rFonts w:hint="eastAsia" w:ascii="宋体" w:hAnsi="宋体" w:cs="宋体"/>
                <w:kern w:val="0"/>
                <w:sz w:val="24"/>
              </w:rPr>
              <w:br w:type="textWrapping"/>
            </w:r>
            <w:r>
              <w:rPr>
                <w:rFonts w:hint="eastAsia" w:ascii="宋体" w:hAnsi="宋体" w:cs="宋体"/>
                <w:kern w:val="0"/>
                <w:sz w:val="24"/>
              </w:rPr>
              <w:t>执行</w:t>
            </w:r>
            <w:r>
              <w:rPr>
                <w:rFonts w:hint="eastAsia" w:ascii="宋体" w:hAnsi="宋体" w:cs="宋体"/>
                <w:kern w:val="0"/>
                <w:sz w:val="24"/>
              </w:rPr>
              <w:br w:type="textWrapping"/>
            </w:r>
            <w:r>
              <w:rPr>
                <w:rFonts w:hint="eastAsia" w:ascii="宋体" w:hAnsi="宋体" w:cs="宋体"/>
                <w:kern w:val="0"/>
                <w:sz w:val="24"/>
              </w:rPr>
              <w:t>情况（万元）</w:t>
            </w:r>
          </w:p>
        </w:tc>
        <w:tc>
          <w:tcPr>
            <w:tcW w:w="2780" w:type="dxa"/>
            <w:gridSpan w:val="3"/>
            <w:shd w:val="clear" w:color="auto" w:fill="auto"/>
            <w:vAlign w:val="center"/>
          </w:tcPr>
          <w:p>
            <w:pPr>
              <w:spacing w:line="300" w:lineRule="exact"/>
              <w:jc w:val="left"/>
              <w:rPr>
                <w:rFonts w:ascii="宋体" w:hAnsi="宋体" w:cs="宋体"/>
                <w:kern w:val="0"/>
                <w:sz w:val="24"/>
              </w:rPr>
            </w:pPr>
            <w:r>
              <w:rPr>
                <w:rFonts w:hint="eastAsia" w:ascii="宋体" w:hAnsi="宋体" w:cs="宋体"/>
                <w:kern w:val="0"/>
                <w:sz w:val="24"/>
              </w:rPr>
              <w:t xml:space="preserve"> 预算数：</w:t>
            </w:r>
          </w:p>
        </w:tc>
        <w:tc>
          <w:tcPr>
            <w:tcW w:w="2167"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　</w:t>
            </w:r>
          </w:p>
        </w:tc>
        <w:tc>
          <w:tcPr>
            <w:tcW w:w="1837"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 xml:space="preserve"> 执行数：</w:t>
            </w: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31" w:type="dxa"/>
            <w:vMerge w:val="continue"/>
            <w:vAlign w:val="center"/>
          </w:tcPr>
          <w:p>
            <w:pPr>
              <w:spacing w:line="300" w:lineRule="exact"/>
              <w:jc w:val="left"/>
              <w:rPr>
                <w:rFonts w:ascii="宋体" w:hAnsi="宋体" w:cs="宋体"/>
                <w:kern w:val="0"/>
                <w:sz w:val="24"/>
              </w:rPr>
            </w:pPr>
          </w:p>
        </w:tc>
        <w:tc>
          <w:tcPr>
            <w:tcW w:w="2780" w:type="dxa"/>
            <w:gridSpan w:val="3"/>
            <w:shd w:val="clear" w:color="auto" w:fill="auto"/>
            <w:vAlign w:val="center"/>
          </w:tcPr>
          <w:p>
            <w:pPr>
              <w:spacing w:line="300" w:lineRule="exact"/>
              <w:jc w:val="right"/>
              <w:rPr>
                <w:rFonts w:ascii="宋体" w:hAnsi="宋体" w:cs="宋体"/>
                <w:kern w:val="0"/>
                <w:sz w:val="24"/>
              </w:rPr>
            </w:pPr>
            <w:r>
              <w:rPr>
                <w:rFonts w:hint="eastAsia" w:ascii="宋体" w:hAnsi="宋体" w:cs="宋体"/>
                <w:kern w:val="0"/>
                <w:sz w:val="24"/>
              </w:rPr>
              <w:t>其中：财政拨款</w:t>
            </w:r>
          </w:p>
        </w:tc>
        <w:tc>
          <w:tcPr>
            <w:tcW w:w="2167"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50</w:t>
            </w:r>
          </w:p>
        </w:tc>
        <w:tc>
          <w:tcPr>
            <w:tcW w:w="1837" w:type="dxa"/>
            <w:shd w:val="clear" w:color="auto" w:fill="auto"/>
            <w:vAlign w:val="center"/>
          </w:tcPr>
          <w:p>
            <w:pPr>
              <w:spacing w:line="300" w:lineRule="exact"/>
              <w:jc w:val="right"/>
              <w:rPr>
                <w:rFonts w:ascii="仿宋" w:hAnsi="仿宋" w:eastAsia="仿宋" w:cs="宋体"/>
                <w:kern w:val="0"/>
                <w:sz w:val="24"/>
              </w:rPr>
            </w:pPr>
            <w:r>
              <w:rPr>
                <w:rFonts w:hint="eastAsia" w:ascii="仿宋" w:hAnsi="仿宋" w:eastAsia="仿宋" w:cs="宋体"/>
                <w:kern w:val="0"/>
                <w:sz w:val="24"/>
              </w:rPr>
              <w:t>其中：财政拨款</w:t>
            </w:r>
          </w:p>
        </w:tc>
        <w:tc>
          <w:tcPr>
            <w:tcW w:w="2404"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46.86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31" w:type="dxa"/>
            <w:vMerge w:val="continue"/>
            <w:vAlign w:val="center"/>
          </w:tcPr>
          <w:p>
            <w:pPr>
              <w:spacing w:line="300" w:lineRule="exact"/>
              <w:jc w:val="left"/>
              <w:rPr>
                <w:rFonts w:ascii="宋体" w:hAnsi="宋体" w:cs="宋体"/>
                <w:kern w:val="0"/>
                <w:sz w:val="24"/>
              </w:rPr>
            </w:pPr>
          </w:p>
        </w:tc>
        <w:tc>
          <w:tcPr>
            <w:tcW w:w="2780" w:type="dxa"/>
            <w:gridSpan w:val="3"/>
            <w:shd w:val="clear" w:color="auto" w:fill="auto"/>
            <w:vAlign w:val="center"/>
          </w:tcPr>
          <w:p>
            <w:pPr>
              <w:spacing w:line="300" w:lineRule="exact"/>
              <w:jc w:val="right"/>
              <w:rPr>
                <w:rFonts w:ascii="宋体" w:hAnsi="宋体" w:cs="宋体"/>
                <w:kern w:val="0"/>
                <w:sz w:val="24"/>
              </w:rPr>
            </w:pPr>
            <w:r>
              <w:rPr>
                <w:rFonts w:hint="eastAsia" w:ascii="宋体" w:hAnsi="宋体" w:cs="宋体"/>
                <w:kern w:val="0"/>
                <w:sz w:val="24"/>
              </w:rPr>
              <w:t>其他资金</w:t>
            </w:r>
          </w:p>
        </w:tc>
        <w:tc>
          <w:tcPr>
            <w:tcW w:w="2167"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50</w:t>
            </w:r>
          </w:p>
        </w:tc>
        <w:tc>
          <w:tcPr>
            <w:tcW w:w="1837" w:type="dxa"/>
            <w:shd w:val="clear" w:color="auto" w:fill="auto"/>
            <w:vAlign w:val="center"/>
          </w:tcPr>
          <w:p>
            <w:pPr>
              <w:spacing w:line="300" w:lineRule="exact"/>
              <w:jc w:val="right"/>
              <w:rPr>
                <w:rFonts w:ascii="仿宋" w:hAnsi="仿宋" w:eastAsia="仿宋" w:cs="宋体"/>
                <w:kern w:val="0"/>
                <w:sz w:val="24"/>
              </w:rPr>
            </w:pPr>
            <w:r>
              <w:rPr>
                <w:rFonts w:hint="eastAsia" w:ascii="仿宋" w:hAnsi="仿宋" w:eastAsia="仿宋" w:cs="宋体"/>
                <w:kern w:val="0"/>
                <w:sz w:val="24"/>
              </w:rPr>
              <w:t>其他资金</w:t>
            </w:r>
          </w:p>
        </w:tc>
        <w:tc>
          <w:tcPr>
            <w:tcW w:w="2404"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46.86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131" w:type="dxa"/>
            <w:vMerge w:val="restart"/>
            <w:shd w:val="clear" w:color="auto" w:fill="auto"/>
            <w:vAlign w:val="center"/>
          </w:tcPr>
          <w:p>
            <w:pPr>
              <w:spacing w:line="300" w:lineRule="exact"/>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目标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4947" w:type="dxa"/>
            <w:gridSpan w:val="4"/>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预期目标</w:t>
            </w:r>
          </w:p>
        </w:tc>
        <w:tc>
          <w:tcPr>
            <w:tcW w:w="4241" w:type="dxa"/>
            <w:gridSpan w:val="3"/>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31" w:type="dxa"/>
            <w:vMerge w:val="continue"/>
            <w:vAlign w:val="center"/>
          </w:tcPr>
          <w:p>
            <w:pPr>
              <w:spacing w:line="300" w:lineRule="exact"/>
              <w:jc w:val="left"/>
              <w:rPr>
                <w:rFonts w:ascii="宋体" w:hAnsi="宋体" w:cs="宋体"/>
                <w:kern w:val="0"/>
                <w:sz w:val="24"/>
              </w:rPr>
            </w:pPr>
          </w:p>
        </w:tc>
        <w:tc>
          <w:tcPr>
            <w:tcW w:w="4947" w:type="dxa"/>
            <w:gridSpan w:val="4"/>
            <w:shd w:val="clear" w:color="auto" w:fill="auto"/>
          </w:tcPr>
          <w:p>
            <w:pPr>
              <w:spacing w:line="300" w:lineRule="exact"/>
              <w:jc w:val="left"/>
              <w:rPr>
                <w:rFonts w:ascii="仿宋" w:hAnsi="仿宋" w:eastAsia="仿宋" w:cs="宋体"/>
                <w:kern w:val="0"/>
                <w:sz w:val="24"/>
              </w:rPr>
            </w:pPr>
            <w:r>
              <w:rPr>
                <w:rFonts w:hint="eastAsia" w:ascii="仿宋" w:hAnsi="仿宋" w:eastAsia="仿宋" w:cs="宋体"/>
                <w:kern w:val="0"/>
                <w:sz w:val="24"/>
              </w:rPr>
              <w:t>建设300亩绿叶蔬菜基地，实现种植面积1200亩、产量1200吨、产值240万元。产品供应本地城区市场。3.丰富市城区菜篮子绿叶蔬菜供应。</w:t>
            </w:r>
          </w:p>
        </w:tc>
        <w:tc>
          <w:tcPr>
            <w:tcW w:w="4241" w:type="dxa"/>
            <w:gridSpan w:val="3"/>
            <w:shd w:val="clear" w:color="auto" w:fill="auto"/>
          </w:tcPr>
          <w:p>
            <w:pPr>
              <w:spacing w:line="300" w:lineRule="exact"/>
              <w:jc w:val="left"/>
              <w:rPr>
                <w:rFonts w:ascii="仿宋" w:hAnsi="仿宋" w:eastAsia="仿宋" w:cs="宋体"/>
                <w:kern w:val="0"/>
                <w:sz w:val="24"/>
              </w:rPr>
            </w:pPr>
            <w:r>
              <w:rPr>
                <w:rFonts w:hint="eastAsia" w:ascii="仿宋" w:hAnsi="仿宋" w:eastAsia="仿宋" w:cs="宋体"/>
                <w:kern w:val="0"/>
                <w:sz w:val="24"/>
              </w:rPr>
              <w:t>建设300亩绿叶蔬菜基地，实现种植面积1200亩、产量1434吨、产值430万元。产品供应本地城区市场。3.丰富市城区菜篮子绿叶蔬菜供应。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131" w:type="dxa"/>
            <w:vMerge w:val="restart"/>
            <w:shd w:val="clear" w:color="auto" w:fill="auto"/>
            <w:vAlign w:val="center"/>
          </w:tcPr>
          <w:p>
            <w:pPr>
              <w:spacing w:line="300" w:lineRule="exact"/>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绩效</w:t>
            </w:r>
            <w:r>
              <w:rPr>
                <w:rFonts w:hint="eastAsia" w:ascii="宋体" w:hAnsi="宋体" w:cs="宋体"/>
                <w:kern w:val="0"/>
                <w:sz w:val="24"/>
              </w:rPr>
              <w:br w:type="textWrapping"/>
            </w:r>
            <w:r>
              <w:rPr>
                <w:rFonts w:hint="eastAsia" w:ascii="宋体" w:hAnsi="宋体" w:cs="宋体"/>
                <w:kern w:val="0"/>
                <w:sz w:val="24"/>
              </w:rPr>
              <w:t>指标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1272" w:type="dxa"/>
            <w:shd w:val="clear" w:color="auto" w:fill="auto"/>
            <w:vAlign w:val="center"/>
          </w:tcPr>
          <w:p>
            <w:pPr>
              <w:spacing w:line="300" w:lineRule="exact"/>
              <w:jc w:val="center"/>
              <w:rPr>
                <w:rFonts w:ascii="宋体" w:hAnsi="宋体" w:cs="宋体"/>
                <w:kern w:val="0"/>
                <w:sz w:val="24"/>
              </w:rPr>
            </w:pPr>
            <w:r>
              <w:rPr>
                <w:rFonts w:hint="eastAsia" w:ascii="宋体" w:hAnsi="宋体" w:cs="宋体"/>
                <w:kern w:val="0"/>
                <w:sz w:val="24"/>
              </w:rPr>
              <w:t>一级指标</w:t>
            </w:r>
          </w:p>
        </w:tc>
        <w:tc>
          <w:tcPr>
            <w:tcW w:w="1271"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二级指标</w:t>
            </w:r>
          </w:p>
        </w:tc>
        <w:tc>
          <w:tcPr>
            <w:tcW w:w="2404"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三级指标</w:t>
            </w:r>
          </w:p>
        </w:tc>
        <w:tc>
          <w:tcPr>
            <w:tcW w:w="2261"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指标值</w:t>
            </w:r>
          </w:p>
        </w:tc>
        <w:tc>
          <w:tcPr>
            <w:tcW w:w="1980"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实际完成指标值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vMerge w:val="continue"/>
            <w:vAlign w:val="center"/>
          </w:tcPr>
          <w:p>
            <w:pPr>
              <w:spacing w:line="300" w:lineRule="exact"/>
              <w:jc w:val="left"/>
              <w:rPr>
                <w:rFonts w:ascii="宋体" w:hAnsi="宋体" w:cs="宋体"/>
                <w:kern w:val="0"/>
                <w:sz w:val="24"/>
              </w:rPr>
            </w:pPr>
          </w:p>
        </w:tc>
        <w:tc>
          <w:tcPr>
            <w:tcW w:w="1272" w:type="dxa"/>
            <w:vMerge w:val="restart"/>
            <w:shd w:val="clear" w:color="auto" w:fill="auto"/>
            <w:vAlign w:val="center"/>
          </w:tcPr>
          <w:p>
            <w:pPr>
              <w:spacing w:line="300" w:lineRule="exact"/>
              <w:jc w:val="center"/>
              <w:rPr>
                <w:rFonts w:ascii="宋体" w:hAnsi="宋体" w:cs="宋体"/>
                <w:kern w:val="0"/>
                <w:sz w:val="24"/>
              </w:rPr>
            </w:pPr>
            <w:r>
              <w:rPr>
                <w:rFonts w:hint="eastAsia" w:ascii="宋体" w:hAnsi="宋体" w:cs="宋体"/>
                <w:kern w:val="0"/>
                <w:sz w:val="24"/>
              </w:rPr>
              <w:t>项目完成指标</w:t>
            </w:r>
          </w:p>
        </w:tc>
        <w:tc>
          <w:tcPr>
            <w:tcW w:w="1271" w:type="dxa"/>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数量指标</w:t>
            </w: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绿叶蔬菜基地面积</w:t>
            </w:r>
          </w:p>
        </w:tc>
        <w:tc>
          <w:tcPr>
            <w:tcW w:w="2261"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300亩</w:t>
            </w:r>
          </w:p>
        </w:tc>
        <w:tc>
          <w:tcPr>
            <w:tcW w:w="198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300亩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vMerge w:val="continue"/>
            <w:vAlign w:val="center"/>
          </w:tcPr>
          <w:p>
            <w:pPr>
              <w:spacing w:line="300" w:lineRule="exact"/>
              <w:jc w:val="left"/>
              <w:rPr>
                <w:rFonts w:ascii="宋体" w:hAnsi="宋体" w:cs="宋体"/>
                <w:kern w:val="0"/>
                <w:sz w:val="24"/>
              </w:rPr>
            </w:pPr>
          </w:p>
        </w:tc>
        <w:tc>
          <w:tcPr>
            <w:tcW w:w="1272" w:type="dxa"/>
            <w:vMerge w:val="continue"/>
            <w:vAlign w:val="center"/>
          </w:tcPr>
          <w:p>
            <w:pPr>
              <w:spacing w:line="300" w:lineRule="exact"/>
              <w:jc w:val="left"/>
              <w:rPr>
                <w:rFonts w:ascii="宋体" w:hAnsi="宋体" w:cs="宋体"/>
                <w:kern w:val="0"/>
                <w:sz w:val="24"/>
              </w:rPr>
            </w:pPr>
          </w:p>
        </w:tc>
        <w:tc>
          <w:tcPr>
            <w:tcW w:w="1271" w:type="dxa"/>
            <w:vMerge w:val="continue"/>
            <w:vAlign w:val="center"/>
          </w:tcPr>
          <w:p>
            <w:pPr>
              <w:spacing w:line="300" w:lineRule="exact"/>
              <w:jc w:val="left"/>
              <w:rPr>
                <w:rFonts w:ascii="仿宋" w:hAnsi="仿宋" w:eastAsia="仿宋" w:cs="宋体"/>
                <w:kern w:val="0"/>
                <w:sz w:val="24"/>
              </w:rPr>
            </w:pP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绿叶蔬菜种植面积</w:t>
            </w:r>
          </w:p>
        </w:tc>
        <w:tc>
          <w:tcPr>
            <w:tcW w:w="2261"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1200亩</w:t>
            </w:r>
          </w:p>
        </w:tc>
        <w:tc>
          <w:tcPr>
            <w:tcW w:w="198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1200亩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vMerge w:val="continue"/>
            <w:vAlign w:val="center"/>
          </w:tcPr>
          <w:p>
            <w:pPr>
              <w:spacing w:line="300" w:lineRule="exact"/>
              <w:jc w:val="left"/>
              <w:rPr>
                <w:rFonts w:ascii="宋体" w:hAnsi="宋体" w:cs="宋体"/>
                <w:kern w:val="0"/>
                <w:sz w:val="24"/>
              </w:rPr>
            </w:pPr>
          </w:p>
        </w:tc>
        <w:tc>
          <w:tcPr>
            <w:tcW w:w="1272" w:type="dxa"/>
            <w:vMerge w:val="continue"/>
            <w:vAlign w:val="center"/>
          </w:tcPr>
          <w:p>
            <w:pPr>
              <w:spacing w:line="300" w:lineRule="exact"/>
              <w:jc w:val="left"/>
              <w:rPr>
                <w:rFonts w:ascii="宋体" w:hAnsi="宋体" w:cs="宋体"/>
                <w:kern w:val="0"/>
                <w:sz w:val="24"/>
              </w:rPr>
            </w:pPr>
          </w:p>
        </w:tc>
        <w:tc>
          <w:tcPr>
            <w:tcW w:w="1271" w:type="dxa"/>
            <w:vMerge w:val="continue"/>
            <w:vAlign w:val="center"/>
          </w:tcPr>
          <w:p>
            <w:pPr>
              <w:spacing w:line="300" w:lineRule="exact"/>
              <w:jc w:val="left"/>
              <w:rPr>
                <w:rFonts w:ascii="仿宋" w:hAnsi="仿宋" w:eastAsia="仿宋" w:cs="宋体"/>
                <w:kern w:val="0"/>
                <w:sz w:val="24"/>
              </w:rPr>
            </w:pP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蔬菜产量</w:t>
            </w:r>
          </w:p>
        </w:tc>
        <w:tc>
          <w:tcPr>
            <w:tcW w:w="2261"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1200吨</w:t>
            </w:r>
          </w:p>
        </w:tc>
        <w:tc>
          <w:tcPr>
            <w:tcW w:w="198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1434吨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vMerge w:val="continue"/>
            <w:vAlign w:val="center"/>
          </w:tcPr>
          <w:p>
            <w:pPr>
              <w:spacing w:line="300" w:lineRule="exact"/>
              <w:jc w:val="left"/>
              <w:rPr>
                <w:rFonts w:ascii="宋体" w:hAnsi="宋体" w:cs="宋体"/>
                <w:kern w:val="0"/>
                <w:sz w:val="24"/>
              </w:rPr>
            </w:pPr>
          </w:p>
        </w:tc>
        <w:tc>
          <w:tcPr>
            <w:tcW w:w="1272" w:type="dxa"/>
            <w:vMerge w:val="continue"/>
            <w:vAlign w:val="center"/>
          </w:tcPr>
          <w:p>
            <w:pPr>
              <w:spacing w:line="300" w:lineRule="exact"/>
              <w:jc w:val="left"/>
              <w:rPr>
                <w:rFonts w:ascii="宋体" w:hAnsi="宋体" w:cs="宋体"/>
                <w:kern w:val="0"/>
                <w:sz w:val="24"/>
              </w:rPr>
            </w:pPr>
          </w:p>
        </w:tc>
        <w:tc>
          <w:tcPr>
            <w:tcW w:w="1271"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　</w:t>
            </w: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销售蔬菜实现产值</w:t>
            </w:r>
          </w:p>
        </w:tc>
        <w:tc>
          <w:tcPr>
            <w:tcW w:w="2261"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240万元</w:t>
            </w:r>
          </w:p>
        </w:tc>
        <w:tc>
          <w:tcPr>
            <w:tcW w:w="198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430万元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vMerge w:val="continue"/>
            <w:vAlign w:val="center"/>
          </w:tcPr>
          <w:p>
            <w:pPr>
              <w:spacing w:line="300" w:lineRule="exact"/>
              <w:jc w:val="left"/>
              <w:rPr>
                <w:rFonts w:ascii="宋体" w:hAnsi="宋体" w:cs="宋体"/>
                <w:kern w:val="0"/>
                <w:sz w:val="24"/>
              </w:rPr>
            </w:pPr>
          </w:p>
        </w:tc>
        <w:tc>
          <w:tcPr>
            <w:tcW w:w="1272" w:type="dxa"/>
            <w:vMerge w:val="continue"/>
            <w:vAlign w:val="center"/>
          </w:tcPr>
          <w:p>
            <w:pPr>
              <w:spacing w:line="300" w:lineRule="exact"/>
              <w:jc w:val="left"/>
              <w:rPr>
                <w:rFonts w:ascii="宋体" w:hAnsi="宋体" w:cs="宋体"/>
                <w:kern w:val="0"/>
                <w:sz w:val="24"/>
              </w:rPr>
            </w:pPr>
          </w:p>
        </w:tc>
        <w:tc>
          <w:tcPr>
            <w:tcW w:w="1271"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质量指标</w:t>
            </w: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蔬菜品质合格率</w:t>
            </w:r>
          </w:p>
        </w:tc>
        <w:tc>
          <w:tcPr>
            <w:tcW w:w="2261"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≥90%</w:t>
            </w:r>
          </w:p>
        </w:tc>
        <w:tc>
          <w:tcPr>
            <w:tcW w:w="198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99.70%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31" w:type="dxa"/>
            <w:vMerge w:val="continue"/>
            <w:vAlign w:val="center"/>
          </w:tcPr>
          <w:p>
            <w:pPr>
              <w:spacing w:line="300" w:lineRule="exact"/>
              <w:jc w:val="left"/>
              <w:rPr>
                <w:rFonts w:ascii="宋体" w:hAnsi="宋体" w:cs="宋体"/>
                <w:kern w:val="0"/>
                <w:sz w:val="24"/>
              </w:rPr>
            </w:pPr>
          </w:p>
        </w:tc>
        <w:tc>
          <w:tcPr>
            <w:tcW w:w="1272" w:type="dxa"/>
            <w:vMerge w:val="continue"/>
            <w:vAlign w:val="center"/>
          </w:tcPr>
          <w:p>
            <w:pPr>
              <w:spacing w:line="300" w:lineRule="exact"/>
              <w:jc w:val="left"/>
              <w:rPr>
                <w:rFonts w:ascii="宋体" w:hAnsi="宋体" w:cs="宋体"/>
                <w:kern w:val="0"/>
                <w:sz w:val="24"/>
              </w:rPr>
            </w:pPr>
          </w:p>
        </w:tc>
        <w:tc>
          <w:tcPr>
            <w:tcW w:w="1271" w:type="dxa"/>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时效指标</w:t>
            </w: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完成时间</w:t>
            </w:r>
          </w:p>
        </w:tc>
        <w:tc>
          <w:tcPr>
            <w:tcW w:w="2261"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2021年12月30日</w:t>
            </w:r>
          </w:p>
        </w:tc>
        <w:tc>
          <w:tcPr>
            <w:tcW w:w="198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2021年12月30日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31" w:type="dxa"/>
            <w:vMerge w:val="continue"/>
            <w:vAlign w:val="center"/>
          </w:tcPr>
          <w:p>
            <w:pPr>
              <w:spacing w:line="300" w:lineRule="exact"/>
              <w:jc w:val="left"/>
              <w:rPr>
                <w:rFonts w:ascii="宋体" w:hAnsi="宋体" w:cs="宋体"/>
                <w:kern w:val="0"/>
                <w:sz w:val="24"/>
              </w:rPr>
            </w:pPr>
          </w:p>
        </w:tc>
        <w:tc>
          <w:tcPr>
            <w:tcW w:w="1272" w:type="dxa"/>
            <w:vMerge w:val="continue"/>
            <w:vAlign w:val="center"/>
          </w:tcPr>
          <w:p>
            <w:pPr>
              <w:spacing w:line="300" w:lineRule="exact"/>
              <w:jc w:val="left"/>
              <w:rPr>
                <w:rFonts w:ascii="宋体" w:hAnsi="宋体" w:cs="宋体"/>
                <w:kern w:val="0"/>
                <w:sz w:val="24"/>
              </w:rPr>
            </w:pPr>
          </w:p>
        </w:tc>
        <w:tc>
          <w:tcPr>
            <w:tcW w:w="1271" w:type="dxa"/>
            <w:vMerge w:val="continue"/>
            <w:vAlign w:val="center"/>
          </w:tcPr>
          <w:p>
            <w:pPr>
              <w:spacing w:line="300" w:lineRule="exact"/>
              <w:jc w:val="left"/>
              <w:rPr>
                <w:rFonts w:ascii="仿宋" w:hAnsi="仿宋" w:eastAsia="仿宋" w:cs="宋体"/>
                <w:kern w:val="0"/>
                <w:sz w:val="24"/>
              </w:rPr>
            </w:pP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对业主补助资金拨付及时率</w:t>
            </w:r>
          </w:p>
        </w:tc>
        <w:tc>
          <w:tcPr>
            <w:tcW w:w="2261"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100%</w:t>
            </w:r>
          </w:p>
        </w:tc>
        <w:tc>
          <w:tcPr>
            <w:tcW w:w="198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31" w:type="dxa"/>
            <w:vMerge w:val="continue"/>
            <w:vAlign w:val="center"/>
          </w:tcPr>
          <w:p>
            <w:pPr>
              <w:spacing w:line="300" w:lineRule="exact"/>
              <w:jc w:val="left"/>
              <w:rPr>
                <w:rFonts w:ascii="宋体" w:hAnsi="宋体" w:cs="宋体"/>
                <w:kern w:val="0"/>
                <w:sz w:val="24"/>
              </w:rPr>
            </w:pPr>
          </w:p>
        </w:tc>
        <w:tc>
          <w:tcPr>
            <w:tcW w:w="1272" w:type="dxa"/>
            <w:vMerge w:val="continue"/>
            <w:vAlign w:val="center"/>
          </w:tcPr>
          <w:p>
            <w:pPr>
              <w:spacing w:line="300" w:lineRule="exact"/>
              <w:jc w:val="left"/>
              <w:rPr>
                <w:rFonts w:ascii="宋体" w:hAnsi="宋体" w:cs="宋体"/>
                <w:kern w:val="0"/>
                <w:sz w:val="24"/>
              </w:rPr>
            </w:pPr>
          </w:p>
        </w:tc>
        <w:tc>
          <w:tcPr>
            <w:tcW w:w="1271" w:type="dxa"/>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成本指标</w:t>
            </w: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补助资金</w:t>
            </w:r>
          </w:p>
        </w:tc>
        <w:tc>
          <w:tcPr>
            <w:tcW w:w="2261"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1500元/亩</w:t>
            </w:r>
          </w:p>
        </w:tc>
        <w:tc>
          <w:tcPr>
            <w:tcW w:w="198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1500元/亩，375元/茬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vMerge w:val="continue"/>
            <w:vAlign w:val="center"/>
          </w:tcPr>
          <w:p>
            <w:pPr>
              <w:spacing w:line="300" w:lineRule="exact"/>
              <w:jc w:val="left"/>
              <w:rPr>
                <w:rFonts w:ascii="宋体" w:hAnsi="宋体" w:cs="宋体"/>
                <w:kern w:val="0"/>
                <w:sz w:val="24"/>
              </w:rPr>
            </w:pPr>
          </w:p>
        </w:tc>
        <w:tc>
          <w:tcPr>
            <w:tcW w:w="1272" w:type="dxa"/>
            <w:vMerge w:val="continue"/>
            <w:vAlign w:val="center"/>
          </w:tcPr>
          <w:p>
            <w:pPr>
              <w:spacing w:line="300" w:lineRule="exact"/>
              <w:jc w:val="left"/>
              <w:rPr>
                <w:rFonts w:ascii="宋体" w:hAnsi="宋体" w:cs="宋体"/>
                <w:kern w:val="0"/>
                <w:sz w:val="24"/>
              </w:rPr>
            </w:pPr>
          </w:p>
        </w:tc>
        <w:tc>
          <w:tcPr>
            <w:tcW w:w="1271" w:type="dxa"/>
            <w:vMerge w:val="continue"/>
            <w:vAlign w:val="center"/>
          </w:tcPr>
          <w:p>
            <w:pPr>
              <w:spacing w:line="300" w:lineRule="exact"/>
              <w:jc w:val="left"/>
              <w:rPr>
                <w:rFonts w:ascii="仿宋" w:hAnsi="仿宋" w:eastAsia="仿宋" w:cs="宋体"/>
                <w:kern w:val="0"/>
                <w:sz w:val="24"/>
              </w:rPr>
            </w:pP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管理成本</w:t>
            </w:r>
          </w:p>
        </w:tc>
        <w:tc>
          <w:tcPr>
            <w:tcW w:w="2261"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5万元</w:t>
            </w:r>
          </w:p>
        </w:tc>
        <w:tc>
          <w:tcPr>
            <w:tcW w:w="198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31" w:type="dxa"/>
            <w:vMerge w:val="continue"/>
            <w:vAlign w:val="center"/>
          </w:tcPr>
          <w:p>
            <w:pPr>
              <w:spacing w:line="300" w:lineRule="exact"/>
              <w:jc w:val="left"/>
              <w:rPr>
                <w:rFonts w:ascii="宋体" w:hAnsi="宋体" w:cs="宋体"/>
                <w:kern w:val="0"/>
                <w:sz w:val="24"/>
              </w:rPr>
            </w:pPr>
          </w:p>
        </w:tc>
        <w:tc>
          <w:tcPr>
            <w:tcW w:w="1272" w:type="dxa"/>
            <w:vMerge w:val="restart"/>
            <w:shd w:val="clear" w:color="auto" w:fill="auto"/>
            <w:vAlign w:val="center"/>
          </w:tcPr>
          <w:p>
            <w:pPr>
              <w:spacing w:line="300" w:lineRule="exact"/>
              <w:jc w:val="center"/>
              <w:rPr>
                <w:rFonts w:ascii="宋体" w:hAnsi="宋体" w:cs="宋体"/>
                <w:kern w:val="0"/>
                <w:sz w:val="24"/>
              </w:rPr>
            </w:pPr>
            <w:r>
              <w:rPr>
                <w:rFonts w:hint="eastAsia" w:ascii="宋体" w:hAnsi="宋体" w:cs="宋体"/>
                <w:kern w:val="0"/>
                <w:sz w:val="24"/>
              </w:rPr>
              <w:t>项目效果指标</w:t>
            </w:r>
          </w:p>
        </w:tc>
        <w:tc>
          <w:tcPr>
            <w:tcW w:w="1271" w:type="dxa"/>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经济效益</w:t>
            </w:r>
            <w:r>
              <w:rPr>
                <w:rFonts w:hint="eastAsia" w:ascii="仿宋" w:hAnsi="仿宋" w:eastAsia="仿宋" w:cs="宋体"/>
                <w:kern w:val="0"/>
                <w:sz w:val="24"/>
              </w:rPr>
              <w:br w:type="textWrapping"/>
            </w:r>
            <w:r>
              <w:rPr>
                <w:rFonts w:hint="eastAsia" w:ascii="仿宋" w:hAnsi="仿宋" w:eastAsia="仿宋" w:cs="宋体"/>
                <w:kern w:val="0"/>
                <w:sz w:val="24"/>
              </w:rPr>
              <w:t>指标</w:t>
            </w: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财政投入带动社会资本</w:t>
            </w:r>
          </w:p>
        </w:tc>
        <w:tc>
          <w:tcPr>
            <w:tcW w:w="2261"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120万元</w:t>
            </w:r>
          </w:p>
        </w:tc>
        <w:tc>
          <w:tcPr>
            <w:tcW w:w="198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vMerge w:val="continue"/>
            <w:vAlign w:val="center"/>
          </w:tcPr>
          <w:p>
            <w:pPr>
              <w:spacing w:line="300" w:lineRule="exact"/>
              <w:jc w:val="left"/>
              <w:rPr>
                <w:rFonts w:ascii="宋体" w:hAnsi="宋体" w:cs="宋体"/>
                <w:kern w:val="0"/>
                <w:sz w:val="24"/>
              </w:rPr>
            </w:pPr>
          </w:p>
        </w:tc>
        <w:tc>
          <w:tcPr>
            <w:tcW w:w="1272" w:type="dxa"/>
            <w:vMerge w:val="continue"/>
            <w:vAlign w:val="center"/>
          </w:tcPr>
          <w:p>
            <w:pPr>
              <w:spacing w:line="300" w:lineRule="exact"/>
              <w:jc w:val="left"/>
              <w:rPr>
                <w:rFonts w:ascii="宋体" w:hAnsi="宋体" w:cs="宋体"/>
                <w:kern w:val="0"/>
                <w:sz w:val="24"/>
              </w:rPr>
            </w:pPr>
          </w:p>
        </w:tc>
        <w:tc>
          <w:tcPr>
            <w:tcW w:w="1271" w:type="dxa"/>
            <w:vMerge w:val="continue"/>
            <w:vAlign w:val="center"/>
          </w:tcPr>
          <w:p>
            <w:pPr>
              <w:spacing w:line="300" w:lineRule="exact"/>
              <w:jc w:val="left"/>
              <w:rPr>
                <w:rFonts w:ascii="仿宋" w:hAnsi="仿宋" w:eastAsia="仿宋" w:cs="宋体"/>
                <w:kern w:val="0"/>
                <w:sz w:val="24"/>
              </w:rPr>
            </w:pP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种植户亩均增收</w:t>
            </w:r>
          </w:p>
        </w:tc>
        <w:tc>
          <w:tcPr>
            <w:tcW w:w="2261"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2000元</w:t>
            </w:r>
          </w:p>
        </w:tc>
        <w:tc>
          <w:tcPr>
            <w:tcW w:w="198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3583元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1" w:type="dxa"/>
            <w:vMerge w:val="continue"/>
            <w:vAlign w:val="center"/>
          </w:tcPr>
          <w:p>
            <w:pPr>
              <w:spacing w:line="300" w:lineRule="exact"/>
              <w:jc w:val="left"/>
              <w:rPr>
                <w:rFonts w:ascii="宋体" w:hAnsi="宋体" w:cs="宋体"/>
                <w:kern w:val="0"/>
                <w:sz w:val="24"/>
              </w:rPr>
            </w:pPr>
          </w:p>
        </w:tc>
        <w:tc>
          <w:tcPr>
            <w:tcW w:w="1272" w:type="dxa"/>
            <w:vMerge w:val="continue"/>
            <w:vAlign w:val="center"/>
          </w:tcPr>
          <w:p>
            <w:pPr>
              <w:spacing w:line="300" w:lineRule="exact"/>
              <w:jc w:val="left"/>
              <w:rPr>
                <w:rFonts w:ascii="宋体" w:hAnsi="宋体" w:cs="宋体"/>
                <w:kern w:val="0"/>
                <w:sz w:val="24"/>
              </w:rPr>
            </w:pPr>
          </w:p>
        </w:tc>
        <w:tc>
          <w:tcPr>
            <w:tcW w:w="1271"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社会效益</w:t>
            </w:r>
            <w:r>
              <w:rPr>
                <w:rFonts w:hint="eastAsia" w:ascii="仿宋" w:hAnsi="仿宋" w:eastAsia="仿宋" w:cs="宋体"/>
                <w:kern w:val="0"/>
                <w:sz w:val="24"/>
              </w:rPr>
              <w:br w:type="textWrapping"/>
            </w:r>
            <w:r>
              <w:rPr>
                <w:rFonts w:hint="eastAsia" w:ascii="仿宋" w:hAnsi="仿宋" w:eastAsia="仿宋" w:cs="宋体"/>
                <w:kern w:val="0"/>
                <w:sz w:val="24"/>
              </w:rPr>
              <w:t>指标</w:t>
            </w: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增加市场供应，满足消费需求</w:t>
            </w:r>
          </w:p>
        </w:tc>
        <w:tc>
          <w:tcPr>
            <w:tcW w:w="2261"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保障蔬菜市场供应</w:t>
            </w:r>
          </w:p>
        </w:tc>
        <w:tc>
          <w:tcPr>
            <w:tcW w:w="198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保障蔬菜市场供应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131" w:type="dxa"/>
            <w:vMerge w:val="continue"/>
            <w:vAlign w:val="center"/>
          </w:tcPr>
          <w:p>
            <w:pPr>
              <w:spacing w:line="300" w:lineRule="exact"/>
              <w:jc w:val="left"/>
              <w:rPr>
                <w:rFonts w:ascii="宋体" w:hAnsi="宋体" w:cs="宋体"/>
                <w:kern w:val="0"/>
                <w:sz w:val="24"/>
              </w:rPr>
            </w:pPr>
          </w:p>
        </w:tc>
        <w:tc>
          <w:tcPr>
            <w:tcW w:w="1272" w:type="dxa"/>
            <w:vMerge w:val="continue"/>
            <w:vAlign w:val="center"/>
          </w:tcPr>
          <w:p>
            <w:pPr>
              <w:spacing w:line="300" w:lineRule="exact"/>
              <w:jc w:val="left"/>
              <w:rPr>
                <w:rFonts w:ascii="宋体" w:hAnsi="宋体" w:cs="宋体"/>
                <w:kern w:val="0"/>
                <w:sz w:val="24"/>
              </w:rPr>
            </w:pPr>
          </w:p>
        </w:tc>
        <w:tc>
          <w:tcPr>
            <w:tcW w:w="1271"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可持续影响指标</w:t>
            </w: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丰富绿叶蔬菜品种</w:t>
            </w:r>
          </w:p>
        </w:tc>
        <w:tc>
          <w:tcPr>
            <w:tcW w:w="2261"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达到绿叶蔬菜供应丰富的目的</w:t>
            </w:r>
          </w:p>
        </w:tc>
        <w:tc>
          <w:tcPr>
            <w:tcW w:w="198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全年共生产10余种绿叶蔬菜，增加了绿叶蔬菜品种供应，丰富了菜篮子。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vMerge w:val="continue"/>
            <w:vAlign w:val="center"/>
          </w:tcPr>
          <w:p>
            <w:pPr>
              <w:spacing w:line="300" w:lineRule="exact"/>
              <w:jc w:val="left"/>
              <w:rPr>
                <w:rFonts w:ascii="宋体" w:hAnsi="宋体" w:cs="宋体"/>
                <w:kern w:val="0"/>
                <w:sz w:val="24"/>
              </w:rPr>
            </w:pPr>
          </w:p>
        </w:tc>
        <w:tc>
          <w:tcPr>
            <w:tcW w:w="1272" w:type="dxa"/>
            <w:vMerge w:val="restart"/>
            <w:shd w:val="clear" w:color="auto" w:fill="auto"/>
            <w:vAlign w:val="center"/>
          </w:tcPr>
          <w:p>
            <w:pPr>
              <w:spacing w:line="300" w:lineRule="exact"/>
              <w:jc w:val="center"/>
              <w:rPr>
                <w:rFonts w:ascii="宋体" w:hAnsi="宋体" w:cs="宋体"/>
                <w:kern w:val="0"/>
                <w:sz w:val="24"/>
              </w:rPr>
            </w:pPr>
            <w:r>
              <w:rPr>
                <w:rFonts w:hint="eastAsia" w:ascii="宋体" w:hAnsi="宋体" w:cs="宋体"/>
                <w:kern w:val="0"/>
                <w:sz w:val="24"/>
              </w:rPr>
              <w:t>满意度</w:t>
            </w:r>
            <w:r>
              <w:rPr>
                <w:rFonts w:hint="eastAsia" w:ascii="宋体" w:hAnsi="宋体" w:cs="宋体"/>
                <w:kern w:val="0"/>
                <w:sz w:val="24"/>
              </w:rPr>
              <w:br w:type="textWrapping"/>
            </w:r>
            <w:r>
              <w:rPr>
                <w:rFonts w:hint="eastAsia" w:ascii="宋体" w:hAnsi="宋体" w:cs="宋体"/>
                <w:kern w:val="0"/>
                <w:sz w:val="24"/>
              </w:rPr>
              <w:t>指标</w:t>
            </w:r>
          </w:p>
        </w:tc>
        <w:tc>
          <w:tcPr>
            <w:tcW w:w="1271" w:type="dxa"/>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满意度指标</w:t>
            </w: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种植农户满意度</w:t>
            </w:r>
          </w:p>
        </w:tc>
        <w:tc>
          <w:tcPr>
            <w:tcW w:w="2261"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≥90%</w:t>
            </w:r>
          </w:p>
        </w:tc>
        <w:tc>
          <w:tcPr>
            <w:tcW w:w="198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31" w:type="dxa"/>
            <w:vMerge w:val="continue"/>
            <w:vAlign w:val="center"/>
          </w:tcPr>
          <w:p>
            <w:pPr>
              <w:spacing w:line="300" w:lineRule="exact"/>
              <w:jc w:val="left"/>
              <w:rPr>
                <w:rFonts w:ascii="宋体" w:hAnsi="宋体" w:cs="宋体"/>
                <w:kern w:val="0"/>
                <w:sz w:val="24"/>
              </w:rPr>
            </w:pPr>
          </w:p>
        </w:tc>
        <w:tc>
          <w:tcPr>
            <w:tcW w:w="1272" w:type="dxa"/>
            <w:vMerge w:val="continue"/>
            <w:vAlign w:val="center"/>
          </w:tcPr>
          <w:p>
            <w:pPr>
              <w:spacing w:line="300" w:lineRule="exact"/>
              <w:jc w:val="left"/>
              <w:rPr>
                <w:rFonts w:ascii="宋体" w:hAnsi="宋体" w:cs="宋体"/>
                <w:kern w:val="0"/>
                <w:sz w:val="24"/>
              </w:rPr>
            </w:pPr>
          </w:p>
        </w:tc>
        <w:tc>
          <w:tcPr>
            <w:tcW w:w="1271" w:type="dxa"/>
            <w:vMerge w:val="continue"/>
            <w:vAlign w:val="center"/>
          </w:tcPr>
          <w:p>
            <w:pPr>
              <w:spacing w:line="300" w:lineRule="exact"/>
              <w:jc w:val="left"/>
              <w:rPr>
                <w:rFonts w:ascii="仿宋" w:hAnsi="仿宋" w:eastAsia="仿宋" w:cs="宋体"/>
                <w:kern w:val="0"/>
                <w:sz w:val="24"/>
              </w:rPr>
            </w:pPr>
          </w:p>
        </w:tc>
        <w:tc>
          <w:tcPr>
            <w:tcW w:w="240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市民对绿叶蔬菜品种丰富满意度</w:t>
            </w:r>
          </w:p>
        </w:tc>
        <w:tc>
          <w:tcPr>
            <w:tcW w:w="2261"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≥90%</w:t>
            </w:r>
          </w:p>
        </w:tc>
        <w:tc>
          <w:tcPr>
            <w:tcW w:w="1980"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≥90%</w:t>
            </w:r>
          </w:p>
        </w:tc>
      </w:tr>
    </w:tbl>
    <w:p>
      <w:pPr>
        <w:pStyle w:val="2"/>
        <w:spacing w:before="93"/>
        <w:rPr>
          <w:rFonts w:ascii="仿宋" w:hAnsi="仿宋" w:eastAsia="仿宋"/>
          <w:sz w:val="24"/>
          <w:lang w:val="zh-CN"/>
        </w:rPr>
      </w:pPr>
    </w:p>
    <w:p>
      <w:pPr>
        <w:rPr>
          <w:rFonts w:ascii="方正小标宋简体" w:hAnsi="宋体" w:eastAsia="方正小标宋简体"/>
          <w:sz w:val="44"/>
          <w:szCs w:val="44"/>
        </w:rPr>
      </w:pPr>
      <w:r>
        <w:rPr>
          <w:rFonts w:hint="eastAsia" w:ascii="方正小标宋简体" w:hAnsi="宋体" w:eastAsia="方正小标宋简体"/>
          <w:sz w:val="44"/>
          <w:szCs w:val="44"/>
        </w:rPr>
        <w:br w:type="page"/>
      </w:r>
    </w:p>
    <w:p>
      <w:pPr>
        <w:pStyle w:val="34"/>
        <w:spacing w:line="700" w:lineRule="exact"/>
        <w:jc w:val="center"/>
        <w:rPr>
          <w:rFonts w:ascii="方正小标宋简体" w:hAnsi="宋体" w:eastAsia="方正小标宋简体"/>
          <w:sz w:val="44"/>
          <w:szCs w:val="44"/>
          <w:lang w:val="en-US"/>
        </w:rPr>
      </w:pPr>
      <w:r>
        <w:rPr>
          <w:rFonts w:hint="eastAsia" w:ascii="方正小标宋简体" w:hAnsi="宋体" w:eastAsia="方正小标宋简体"/>
          <w:sz w:val="44"/>
          <w:szCs w:val="44"/>
          <w:lang w:val="en-US"/>
        </w:rPr>
        <w:t>烟草产业发展专项（财力激励）资金</w:t>
      </w:r>
    </w:p>
    <w:p>
      <w:pPr>
        <w:pStyle w:val="34"/>
        <w:spacing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pPr>
        <w:pStyle w:val="34"/>
        <w:spacing w:line="700" w:lineRule="exact"/>
        <w:jc w:val="center"/>
        <w:rPr>
          <w:rFonts w:ascii="宋体" w:hAnsi="宋体"/>
          <w:color w:val="auto"/>
          <w:kern w:val="2"/>
          <w:sz w:val="32"/>
          <w:szCs w:val="32"/>
        </w:rPr>
      </w:pP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rPr>
        <w:t>一、</w:t>
      </w:r>
      <w:r>
        <w:rPr>
          <w:rFonts w:hint="eastAsia" w:ascii="仿宋" w:hAnsi="仿宋" w:eastAsia="仿宋"/>
          <w:b/>
          <w:sz w:val="32"/>
          <w:szCs w:val="32"/>
          <w:lang w:val="zh-CN"/>
        </w:rPr>
        <w:t>项目概况</w:t>
      </w:r>
    </w:p>
    <w:p>
      <w:pPr>
        <w:adjustRightInd w:val="0"/>
        <w:snapToGrid w:val="0"/>
        <w:spacing w:line="576" w:lineRule="exact"/>
        <w:ind w:firstLine="720"/>
        <w:rPr>
          <w:rFonts w:ascii="仿宋" w:hAnsi="仿宋" w:eastAsia="仿宋" w:cs="楷体_GB2312"/>
          <w:b/>
          <w:bCs/>
          <w:sz w:val="32"/>
          <w:szCs w:val="32"/>
        </w:rPr>
      </w:pPr>
      <w:r>
        <w:rPr>
          <w:rFonts w:hint="eastAsia" w:ascii="仿宋" w:hAnsi="仿宋" w:eastAsia="仿宋" w:cs="楷体_GB2312"/>
          <w:b/>
          <w:bCs/>
          <w:sz w:val="32"/>
          <w:szCs w:val="32"/>
        </w:rPr>
        <w:t>（一）项目基本情况</w:t>
      </w:r>
    </w:p>
    <w:p>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rPr>
        <w:t>1.主管部门在项目管理中的职能。广元市烟草产业发展工作领导小组主要负责研究制定全市烟草产业发展战略，指导编制发展规划并组织实施，制定烟草产业发展政策；组织协调科技创新、基础设施建设、现代烟草农业建设等专项工作；协调各部门在网络舆情管控、专卖打假打私等工作。领导小组办公室设在市农业农村局。</w:t>
      </w:r>
    </w:p>
    <w:p>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rPr>
        <w:t>2.项目立项、资金申报依据。2020年，省财政厅、省烟草办《关于下达2020年烟草产业发展专项（财力激励）资金的通知》（川财建〔2020〕80号）向我局下达2020年烟草产业发展专项（财力激励）资金45万元。</w:t>
      </w:r>
    </w:p>
    <w:p>
      <w:pPr>
        <w:pStyle w:val="2"/>
        <w:spacing w:before="93" w:line="576" w:lineRule="exact"/>
        <w:ind w:firstLine="640"/>
        <w:rPr>
          <w:rFonts w:ascii="仿宋" w:hAnsi="仿宋" w:eastAsia="仿宋" w:cs="宋体"/>
          <w:sz w:val="32"/>
          <w:szCs w:val="32"/>
        </w:rPr>
      </w:pPr>
      <w:r>
        <w:rPr>
          <w:rFonts w:hint="eastAsia" w:ascii="仿宋" w:hAnsi="仿宋" w:eastAsia="仿宋" w:cs="仿宋_GB2312"/>
          <w:sz w:val="32"/>
          <w:szCs w:val="32"/>
        </w:rPr>
        <w:t>3.资金管理办法制定及资金分配。</w:t>
      </w:r>
      <w:r>
        <w:rPr>
          <w:rFonts w:hint="eastAsia" w:ascii="仿宋" w:hAnsi="仿宋" w:eastAsia="仿宋" w:cs="宋体"/>
          <w:sz w:val="32"/>
          <w:szCs w:val="32"/>
        </w:rPr>
        <w:t>根据《四川省财政厅 四川省农业农村厅 四川省烟草发展工作领导小组办公室关于印发〈四川省烟草发展专项资金管理办法〉的通知》（川财建</w:t>
      </w:r>
      <w:r>
        <w:rPr>
          <w:rFonts w:hint="eastAsia" w:ascii="仿宋" w:hAnsi="仿宋" w:eastAsia="仿宋" w:cs="仿宋_GB2312"/>
          <w:sz w:val="32"/>
          <w:szCs w:val="32"/>
        </w:rPr>
        <w:t>[</w:t>
      </w:r>
      <w:r>
        <w:rPr>
          <w:rFonts w:hint="eastAsia" w:ascii="仿宋" w:hAnsi="仿宋" w:eastAsia="仿宋" w:cs="宋体"/>
          <w:sz w:val="32"/>
          <w:szCs w:val="32"/>
        </w:rPr>
        <w:t>2019</w:t>
      </w:r>
      <w:r>
        <w:rPr>
          <w:rFonts w:hint="eastAsia" w:ascii="仿宋" w:hAnsi="仿宋" w:eastAsia="仿宋" w:cs="仿宋_GB2312"/>
          <w:sz w:val="32"/>
          <w:szCs w:val="32"/>
        </w:rPr>
        <w:t>]</w:t>
      </w:r>
      <w:r>
        <w:rPr>
          <w:rFonts w:hint="eastAsia" w:ascii="仿宋" w:hAnsi="仿宋" w:eastAsia="仿宋" w:cs="宋体"/>
          <w:sz w:val="32"/>
          <w:szCs w:val="32"/>
        </w:rPr>
        <w:t>287号），资金主要用于现代烟草农业发展，资金管理按照专项资金管理办法和《广元市农业农村局项目资金管理办法》执行。</w:t>
      </w:r>
    </w:p>
    <w:p>
      <w:pPr>
        <w:pStyle w:val="2"/>
        <w:spacing w:before="93" w:line="576" w:lineRule="exact"/>
        <w:ind w:firstLine="640"/>
        <w:rPr>
          <w:rFonts w:ascii="仿宋" w:hAnsi="仿宋" w:eastAsia="仿宋"/>
          <w:sz w:val="32"/>
          <w:szCs w:val="32"/>
        </w:rPr>
      </w:pPr>
      <w:r>
        <w:rPr>
          <w:rFonts w:hint="eastAsia" w:ascii="仿宋" w:hAnsi="仿宋" w:eastAsia="仿宋" w:cs="宋体"/>
          <w:sz w:val="32"/>
          <w:szCs w:val="32"/>
        </w:rPr>
        <w:t>4.资金分配原则和考虑因素。资金分配</w:t>
      </w:r>
      <w:r>
        <w:rPr>
          <w:rFonts w:hint="eastAsia" w:ascii="仿宋" w:hAnsi="仿宋" w:eastAsia="仿宋"/>
          <w:sz w:val="32"/>
          <w:szCs w:val="32"/>
        </w:rPr>
        <w:t>主要考虑一是市烟草产业发展工作领导小组在全市烟草工作中的作用，二是通过科技支撑，稳定种烟面积和职业烟农队伍，三是提高烟地和育烟棚综合利用，促农增收三方面因素，</w:t>
      </w:r>
      <w:r>
        <w:rPr>
          <w:rFonts w:hint="eastAsia" w:ascii="仿宋" w:hAnsi="仿宋" w:eastAsia="仿宋" w:cs="宋体"/>
          <w:sz w:val="32"/>
          <w:szCs w:val="32"/>
        </w:rPr>
        <w:t>按照</w:t>
      </w:r>
      <w:r>
        <w:rPr>
          <w:rFonts w:hint="eastAsia" w:ascii="仿宋" w:hAnsi="仿宋" w:eastAsia="仿宋"/>
          <w:sz w:val="32"/>
          <w:szCs w:val="32"/>
        </w:rPr>
        <w:t>各单位职责范围的原则进行分配。</w:t>
      </w:r>
    </w:p>
    <w:p>
      <w:pPr>
        <w:adjustRightInd w:val="0"/>
        <w:snapToGrid w:val="0"/>
        <w:spacing w:line="576" w:lineRule="exact"/>
        <w:ind w:firstLine="720"/>
        <w:rPr>
          <w:rFonts w:ascii="仿宋" w:hAnsi="仿宋" w:eastAsia="仿宋" w:cs="楷体_GB2312"/>
          <w:b/>
          <w:bCs/>
          <w:sz w:val="32"/>
          <w:szCs w:val="32"/>
        </w:rPr>
      </w:pPr>
      <w:r>
        <w:rPr>
          <w:rFonts w:hint="eastAsia" w:ascii="仿宋" w:hAnsi="仿宋" w:eastAsia="仿宋" w:cs="楷体_GB2312"/>
          <w:b/>
          <w:bCs/>
          <w:sz w:val="32"/>
          <w:szCs w:val="32"/>
        </w:rPr>
        <w:t>（二）项目绩效目标</w:t>
      </w:r>
    </w:p>
    <w:p>
      <w:pPr>
        <w:adjustRightInd w:val="0"/>
        <w:snapToGrid w:val="0"/>
        <w:spacing w:line="576" w:lineRule="exact"/>
        <w:ind w:firstLine="720"/>
        <w:rPr>
          <w:rFonts w:ascii="仿宋" w:hAnsi="仿宋" w:eastAsia="仿宋"/>
          <w:sz w:val="32"/>
          <w:szCs w:val="32"/>
        </w:rPr>
      </w:pPr>
      <w:r>
        <w:rPr>
          <w:rFonts w:hint="eastAsia" w:ascii="仿宋" w:hAnsi="仿宋" w:eastAsia="仿宋"/>
          <w:sz w:val="32"/>
          <w:szCs w:val="32"/>
        </w:rPr>
        <w:t>1.项目主要内容：烟叶基地综合试验示范，开展技术培训，召开全市烟草产业发展大会及基地建设推进会，开展市场检查维护工作。</w:t>
      </w:r>
    </w:p>
    <w:p>
      <w:pPr>
        <w:adjustRightInd w:val="0"/>
        <w:snapToGrid w:val="0"/>
        <w:spacing w:line="576" w:lineRule="exact"/>
        <w:ind w:firstLine="720"/>
        <w:rPr>
          <w:rFonts w:ascii="仿宋" w:hAnsi="仿宋" w:eastAsia="仿宋"/>
          <w:sz w:val="32"/>
          <w:szCs w:val="32"/>
        </w:rPr>
      </w:pPr>
      <w:r>
        <w:rPr>
          <w:rFonts w:hint="eastAsia" w:ascii="仿宋" w:hAnsi="仿宋" w:eastAsia="仿宋"/>
          <w:sz w:val="32"/>
          <w:szCs w:val="32"/>
        </w:rPr>
        <w:t>2.具体绩效目标：发挥市烟草产业发展工作领导小组议事协调机构作用，通过制定烟草产业发展政策、科技创新、烟叶市场检查维护、舆情管控等达到促进全市烟草产业健康发展的目的。</w:t>
      </w:r>
    </w:p>
    <w:tbl>
      <w:tblPr>
        <w:tblStyle w:val="15"/>
        <w:tblW w:w="9164" w:type="dxa"/>
        <w:tblInd w:w="93" w:type="dxa"/>
        <w:tblLayout w:type="autofit"/>
        <w:tblCellMar>
          <w:top w:w="0" w:type="dxa"/>
          <w:left w:w="108" w:type="dxa"/>
          <w:bottom w:w="0" w:type="dxa"/>
          <w:right w:w="108" w:type="dxa"/>
        </w:tblCellMar>
      </w:tblPr>
      <w:tblGrid>
        <w:gridCol w:w="1643"/>
        <w:gridCol w:w="2482"/>
        <w:gridCol w:w="2850"/>
        <w:gridCol w:w="2189"/>
      </w:tblGrid>
      <w:tr>
        <w:tblPrEx>
          <w:tblCellMar>
            <w:top w:w="0" w:type="dxa"/>
            <w:left w:w="108" w:type="dxa"/>
            <w:bottom w:w="0" w:type="dxa"/>
            <w:right w:w="108" w:type="dxa"/>
          </w:tblCellMar>
        </w:tblPrEx>
        <w:trPr>
          <w:trHeight w:val="570"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93" w:line="576" w:lineRule="exact"/>
              <w:rPr>
                <w:rFonts w:ascii="仿宋" w:hAnsi="仿宋" w:eastAsia="仿宋" w:cs="宋体"/>
                <w:color w:val="000000"/>
                <w:sz w:val="24"/>
              </w:rPr>
            </w:pPr>
            <w:r>
              <w:rPr>
                <w:rFonts w:hint="eastAsia" w:ascii="仿宋" w:hAnsi="仿宋" w:eastAsia="仿宋" w:cs="宋体"/>
                <w:color w:val="000000"/>
                <w:sz w:val="24"/>
              </w:rPr>
              <w:t>二级指标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进度计划</w:t>
            </w:r>
          </w:p>
        </w:tc>
      </w:tr>
      <w:tr>
        <w:tblPrEx>
          <w:tblCellMar>
            <w:top w:w="0" w:type="dxa"/>
            <w:left w:w="108" w:type="dxa"/>
            <w:bottom w:w="0" w:type="dxa"/>
            <w:right w:w="108" w:type="dxa"/>
          </w:tblCellMar>
        </w:tblPrEx>
        <w:trPr>
          <w:trHeight w:val="480" w:hRule="atLeast"/>
        </w:trPr>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数量指标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ascii="仿宋" w:hAnsi="仿宋" w:eastAsia="仿宋" w:cs="宋体"/>
                <w:color w:val="000000"/>
                <w:sz w:val="24"/>
              </w:rPr>
              <w:t>新技术、新品种推广面积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100亩</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sz w:val="24"/>
              </w:rPr>
              <w:t>2021年10月</w:t>
            </w:r>
          </w:p>
        </w:tc>
      </w:tr>
      <w:tr>
        <w:tblPrEx>
          <w:tblCellMar>
            <w:top w:w="0" w:type="dxa"/>
            <w:left w:w="108" w:type="dxa"/>
            <w:bottom w:w="0" w:type="dxa"/>
            <w:right w:w="108" w:type="dxa"/>
          </w:tblCellMar>
        </w:tblPrEx>
        <w:trPr>
          <w:trHeight w:val="480" w:hRule="atLeast"/>
        </w:trPr>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育烟棚冬季综合利用数量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78棚</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2021年1月</w:t>
            </w:r>
          </w:p>
        </w:tc>
      </w:tr>
      <w:tr>
        <w:tblPrEx>
          <w:tblCellMar>
            <w:top w:w="0" w:type="dxa"/>
            <w:left w:w="108" w:type="dxa"/>
            <w:bottom w:w="0" w:type="dxa"/>
            <w:right w:w="108" w:type="dxa"/>
          </w:tblCellMar>
        </w:tblPrEx>
        <w:trPr>
          <w:trHeight w:val="480" w:hRule="atLeast"/>
        </w:trPr>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烟地冬季综合利用亩数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1200亩</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2021年1月</w:t>
            </w:r>
          </w:p>
        </w:tc>
      </w:tr>
      <w:tr>
        <w:tblPrEx>
          <w:tblCellMar>
            <w:top w:w="0" w:type="dxa"/>
            <w:left w:w="108" w:type="dxa"/>
            <w:bottom w:w="0" w:type="dxa"/>
            <w:right w:w="108" w:type="dxa"/>
          </w:tblCellMar>
        </w:tblPrEx>
        <w:trPr>
          <w:trHeight w:val="480" w:hRule="atLeast"/>
        </w:trPr>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产出原料蔬菜数量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3600吨</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2021年1月</w:t>
            </w:r>
          </w:p>
        </w:tc>
      </w:tr>
      <w:tr>
        <w:tblPrEx>
          <w:tblCellMar>
            <w:top w:w="0" w:type="dxa"/>
            <w:left w:w="108" w:type="dxa"/>
            <w:bottom w:w="0" w:type="dxa"/>
            <w:right w:w="108" w:type="dxa"/>
          </w:tblCellMar>
        </w:tblPrEx>
        <w:trPr>
          <w:trHeight w:val="540" w:hRule="atLeast"/>
        </w:trPr>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培训烟农和烟技人员人数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500人次</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2021年2月-10月</w:t>
            </w:r>
          </w:p>
        </w:tc>
      </w:tr>
      <w:tr>
        <w:tblPrEx>
          <w:tblCellMar>
            <w:top w:w="0" w:type="dxa"/>
            <w:left w:w="108" w:type="dxa"/>
            <w:bottom w:w="0" w:type="dxa"/>
            <w:right w:w="108" w:type="dxa"/>
          </w:tblCellMar>
        </w:tblPrEx>
        <w:trPr>
          <w:trHeight w:val="992" w:hRule="atLeast"/>
        </w:trPr>
        <w:tc>
          <w:tcPr>
            <w:tcW w:w="164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质量指标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加强技术合作</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和四川省农科院土肥所科技合作</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2021年10月</w:t>
            </w:r>
          </w:p>
        </w:tc>
      </w:tr>
      <w:tr>
        <w:tblPrEx>
          <w:tblCellMar>
            <w:top w:w="0" w:type="dxa"/>
            <w:left w:w="108" w:type="dxa"/>
            <w:bottom w:w="0" w:type="dxa"/>
            <w:right w:w="108" w:type="dxa"/>
          </w:tblCellMar>
        </w:tblPrEx>
        <w:trPr>
          <w:trHeight w:val="480" w:hRule="atLeast"/>
        </w:trPr>
        <w:tc>
          <w:tcPr>
            <w:tcW w:w="1643"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时效指标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完成时间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2021年10月30日</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2021年10月</w:t>
            </w:r>
          </w:p>
        </w:tc>
      </w:tr>
      <w:tr>
        <w:tblPrEx>
          <w:tblCellMar>
            <w:top w:w="0" w:type="dxa"/>
            <w:left w:w="108" w:type="dxa"/>
            <w:bottom w:w="0" w:type="dxa"/>
            <w:right w:w="108" w:type="dxa"/>
          </w:tblCellMar>
        </w:tblPrEx>
        <w:trPr>
          <w:trHeight w:val="480" w:hRule="atLeast"/>
        </w:trPr>
        <w:tc>
          <w:tcPr>
            <w:tcW w:w="16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 w:hAnsi="仿宋" w:eastAsia="仿宋" w:cs="宋体"/>
                <w:color w:val="000000"/>
                <w:sz w:val="24"/>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资金拨付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100%</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2021年10月</w:t>
            </w:r>
          </w:p>
        </w:tc>
      </w:tr>
      <w:tr>
        <w:tblPrEx>
          <w:tblCellMar>
            <w:top w:w="0" w:type="dxa"/>
            <w:left w:w="108" w:type="dxa"/>
            <w:bottom w:w="0" w:type="dxa"/>
            <w:right w:w="108" w:type="dxa"/>
          </w:tblCellMar>
        </w:tblPrEx>
        <w:trPr>
          <w:trHeight w:val="480" w:hRule="atLeast"/>
        </w:trPr>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成本指标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试验示范农民工补助</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240元/亩</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p>
        </w:tc>
      </w:tr>
      <w:tr>
        <w:tblPrEx>
          <w:tblCellMar>
            <w:top w:w="0" w:type="dxa"/>
            <w:left w:w="108" w:type="dxa"/>
            <w:bottom w:w="0" w:type="dxa"/>
            <w:right w:w="108" w:type="dxa"/>
          </w:tblCellMar>
        </w:tblPrEx>
        <w:trPr>
          <w:trHeight w:val="480" w:hRule="atLeast"/>
        </w:trPr>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育烟棚综合利用试验农民工补助</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300/棚</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p>
        </w:tc>
      </w:tr>
      <w:tr>
        <w:tblPrEx>
          <w:tblCellMar>
            <w:top w:w="0" w:type="dxa"/>
            <w:left w:w="108" w:type="dxa"/>
            <w:bottom w:w="0" w:type="dxa"/>
            <w:right w:w="108" w:type="dxa"/>
          </w:tblCellMar>
        </w:tblPrEx>
        <w:trPr>
          <w:trHeight w:val="480" w:hRule="atLeast"/>
        </w:trPr>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烟地冬季综合利用示范农民工补助</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50元/亩</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p>
        </w:tc>
      </w:tr>
      <w:tr>
        <w:tblPrEx>
          <w:tblCellMar>
            <w:top w:w="0" w:type="dxa"/>
            <w:left w:w="108" w:type="dxa"/>
            <w:bottom w:w="0" w:type="dxa"/>
            <w:right w:w="108" w:type="dxa"/>
          </w:tblCellMar>
        </w:tblPrEx>
        <w:trPr>
          <w:trHeight w:val="480" w:hRule="atLeast"/>
        </w:trPr>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技术培训</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100元/人</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FF0000"/>
                <w:sz w:val="24"/>
              </w:rPr>
            </w:pPr>
          </w:p>
        </w:tc>
      </w:tr>
      <w:tr>
        <w:tblPrEx>
          <w:tblCellMar>
            <w:top w:w="0" w:type="dxa"/>
            <w:left w:w="108" w:type="dxa"/>
            <w:bottom w:w="0" w:type="dxa"/>
            <w:right w:w="108" w:type="dxa"/>
          </w:tblCellMar>
        </w:tblPrEx>
        <w:trPr>
          <w:trHeight w:val="480" w:hRule="atLeast"/>
        </w:trPr>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管理成本</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0.6万元</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FF0000"/>
                <w:sz w:val="24"/>
              </w:rPr>
            </w:pPr>
          </w:p>
        </w:tc>
      </w:tr>
      <w:tr>
        <w:tblPrEx>
          <w:tblCellMar>
            <w:top w:w="0" w:type="dxa"/>
            <w:left w:w="108" w:type="dxa"/>
            <w:bottom w:w="0" w:type="dxa"/>
            <w:right w:w="108" w:type="dxa"/>
          </w:tblCellMar>
        </w:tblPrEx>
        <w:trPr>
          <w:trHeight w:val="760" w:hRule="atLeast"/>
        </w:trPr>
        <w:tc>
          <w:tcPr>
            <w:tcW w:w="164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经济效益</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烟地冬季综合利用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180万元</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p>
        </w:tc>
      </w:tr>
      <w:tr>
        <w:tblPrEx>
          <w:tblCellMar>
            <w:top w:w="0" w:type="dxa"/>
            <w:left w:w="108" w:type="dxa"/>
            <w:bottom w:w="0" w:type="dxa"/>
            <w:right w:w="108" w:type="dxa"/>
          </w:tblCellMar>
        </w:tblPrEx>
        <w:trPr>
          <w:trHeight w:val="900" w:hRule="atLeast"/>
        </w:trPr>
        <w:tc>
          <w:tcPr>
            <w:tcW w:w="1643"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社会效益</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 xml:space="preserve"> 育烟棚和预留烟地闲置率</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降低闲置率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p>
        </w:tc>
      </w:tr>
      <w:tr>
        <w:tblPrEx>
          <w:tblCellMar>
            <w:top w:w="0" w:type="dxa"/>
            <w:left w:w="108" w:type="dxa"/>
            <w:bottom w:w="0" w:type="dxa"/>
            <w:right w:w="108" w:type="dxa"/>
          </w:tblCellMar>
        </w:tblPrEx>
        <w:trPr>
          <w:trHeight w:val="860" w:hRule="atLeast"/>
        </w:trPr>
        <w:tc>
          <w:tcPr>
            <w:tcW w:w="16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 w:hAnsi="仿宋" w:eastAsia="仿宋" w:cs="宋体"/>
                <w:color w:val="000000"/>
                <w:sz w:val="24"/>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稳定职业烟农队伍</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稳定队伍</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p>
        </w:tc>
      </w:tr>
      <w:tr>
        <w:tblPrEx>
          <w:tblCellMar>
            <w:top w:w="0" w:type="dxa"/>
            <w:left w:w="108" w:type="dxa"/>
            <w:bottom w:w="0" w:type="dxa"/>
            <w:right w:w="108" w:type="dxa"/>
          </w:tblCellMar>
        </w:tblPrEx>
        <w:trPr>
          <w:trHeight w:val="720" w:hRule="atLeast"/>
        </w:trPr>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可持续影响</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职业烟农</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为加工企业提供原料蔬菜</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2021年1月</w:t>
            </w:r>
          </w:p>
        </w:tc>
      </w:tr>
      <w:tr>
        <w:tblPrEx>
          <w:tblCellMar>
            <w:top w:w="0" w:type="dxa"/>
            <w:left w:w="108" w:type="dxa"/>
            <w:bottom w:w="0" w:type="dxa"/>
            <w:right w:w="108" w:type="dxa"/>
          </w:tblCellMar>
        </w:tblPrEx>
        <w:trPr>
          <w:trHeight w:val="840" w:hRule="atLeast"/>
        </w:trPr>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4"/>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 xml:space="preserve"> 施肥技术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为烤烟新品系在广元烟区推广提供一手施肥技术</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sz w:val="24"/>
              </w:rPr>
              <w:t>2021年10月</w:t>
            </w:r>
          </w:p>
        </w:tc>
      </w:tr>
      <w:tr>
        <w:tblPrEx>
          <w:tblCellMar>
            <w:top w:w="0" w:type="dxa"/>
            <w:left w:w="108" w:type="dxa"/>
            <w:bottom w:w="0" w:type="dxa"/>
            <w:right w:w="108" w:type="dxa"/>
          </w:tblCellMar>
        </w:tblPrEx>
        <w:trPr>
          <w:trHeight w:val="480"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烟农</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宋体"/>
                <w:color w:val="000000"/>
                <w:sz w:val="24"/>
              </w:rPr>
            </w:pPr>
          </w:p>
        </w:tc>
      </w:tr>
    </w:tbl>
    <w:p>
      <w:pPr>
        <w:pStyle w:val="2"/>
        <w:spacing w:before="93" w:line="576" w:lineRule="exact"/>
        <w:ind w:left="420" w:leftChars="200"/>
        <w:rPr>
          <w:rFonts w:ascii="仿宋" w:hAnsi="仿宋" w:eastAsia="仿宋" w:cs="楷体_GB2312"/>
          <w:b/>
          <w:bCs/>
          <w:sz w:val="32"/>
          <w:szCs w:val="32"/>
          <w:lang w:val="zh-CN"/>
        </w:rPr>
      </w:pPr>
      <w:r>
        <w:rPr>
          <w:rFonts w:hint="eastAsia" w:ascii="仿宋" w:hAnsi="仿宋" w:eastAsia="仿宋"/>
          <w:sz w:val="32"/>
          <w:szCs w:val="32"/>
        </w:rPr>
        <w:t>3.项目申报内容与实际相符，申报目标合理可行。</w:t>
      </w:r>
    </w:p>
    <w:p>
      <w:pPr>
        <w:pStyle w:val="2"/>
        <w:spacing w:before="93" w:line="576" w:lineRule="exact"/>
        <w:ind w:left="420" w:leftChars="200"/>
        <w:rPr>
          <w:rFonts w:ascii="仿宋" w:hAnsi="仿宋" w:eastAsia="仿宋" w:cs="楷体_GB2312"/>
          <w:b/>
          <w:bCs/>
          <w:sz w:val="32"/>
          <w:szCs w:val="32"/>
          <w:lang w:val="zh-CN"/>
        </w:rPr>
      </w:pPr>
      <w:r>
        <w:rPr>
          <w:rFonts w:hint="eastAsia" w:ascii="仿宋" w:hAnsi="仿宋" w:eastAsia="仿宋" w:cs="楷体_GB2312"/>
          <w:b/>
          <w:bCs/>
          <w:sz w:val="32"/>
          <w:szCs w:val="32"/>
        </w:rPr>
        <w:t>（三）</w:t>
      </w:r>
      <w:r>
        <w:rPr>
          <w:rFonts w:hint="eastAsia" w:ascii="仿宋" w:hAnsi="仿宋" w:eastAsia="仿宋" w:cs="楷体_GB2312"/>
          <w:b/>
          <w:bCs/>
          <w:sz w:val="32"/>
          <w:szCs w:val="32"/>
          <w:lang w:val="zh-CN"/>
        </w:rPr>
        <w:t>项目自评步骤及方法</w:t>
      </w:r>
    </w:p>
    <w:p>
      <w:pPr>
        <w:adjustRightInd w:val="0"/>
        <w:snapToGrid w:val="0"/>
        <w:spacing w:line="576" w:lineRule="exact"/>
        <w:ind w:firstLine="720"/>
        <w:rPr>
          <w:rFonts w:ascii="仿宋" w:hAnsi="仿宋" w:eastAsia="仿宋"/>
          <w:sz w:val="32"/>
          <w:szCs w:val="32"/>
        </w:rPr>
      </w:pPr>
      <w:r>
        <w:rPr>
          <w:rFonts w:hint="eastAsia" w:ascii="仿宋" w:hAnsi="仿宋" w:eastAsia="仿宋" w:cs="仿宋_GB2312"/>
          <w:sz w:val="32"/>
          <w:szCs w:val="32"/>
        </w:rPr>
        <w:t>根据项目支出绩效评价工作安排。我局严密组织对本项目开展了项目支出绩效自评，部门严格对照年初制定的绩效目标、评价标准开展绩效自评，全面覆盖财政资金的产出和效果。</w:t>
      </w:r>
    </w:p>
    <w:p>
      <w:pPr>
        <w:pStyle w:val="2"/>
        <w:numPr>
          <w:ilvl w:val="0"/>
          <w:numId w:val="6"/>
        </w:numPr>
        <w:spacing w:beforeLines="0" w:line="576" w:lineRule="exact"/>
        <w:ind w:left="420" w:leftChars="200"/>
        <w:rPr>
          <w:rFonts w:ascii="仿宋" w:hAnsi="仿宋" w:eastAsia="仿宋" w:cs="黑体"/>
          <w:sz w:val="32"/>
          <w:szCs w:val="32"/>
        </w:rPr>
      </w:pPr>
      <w:r>
        <w:rPr>
          <w:rFonts w:hint="eastAsia" w:ascii="仿宋" w:hAnsi="仿宋" w:eastAsia="仿宋" w:cs="黑体"/>
          <w:sz w:val="32"/>
          <w:szCs w:val="32"/>
        </w:rPr>
        <w:t>项目资金申报及使用情况</w:t>
      </w:r>
    </w:p>
    <w:p>
      <w:pPr>
        <w:pStyle w:val="2"/>
        <w:spacing w:before="93" w:line="576" w:lineRule="exact"/>
        <w:rPr>
          <w:rFonts w:ascii="仿宋" w:hAnsi="仿宋" w:eastAsia="仿宋" w:cs="楷体_GB2312"/>
          <w:b/>
          <w:bCs/>
          <w:sz w:val="32"/>
          <w:szCs w:val="32"/>
        </w:rPr>
      </w:pPr>
      <w:r>
        <w:rPr>
          <w:rFonts w:hint="eastAsia" w:ascii="仿宋" w:hAnsi="仿宋" w:eastAsia="仿宋" w:cs="楷体_GB2312"/>
          <w:b/>
          <w:bCs/>
          <w:sz w:val="32"/>
          <w:szCs w:val="32"/>
        </w:rPr>
        <w:t xml:space="preserve">    （一）项目资金申报及批复情况</w:t>
      </w:r>
    </w:p>
    <w:p>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b/>
          <w:bCs/>
          <w:sz w:val="32"/>
          <w:szCs w:val="32"/>
        </w:rPr>
        <w:t>1.资金计划。</w:t>
      </w:r>
      <w:r>
        <w:rPr>
          <w:rFonts w:hint="eastAsia" w:ascii="仿宋" w:hAnsi="仿宋" w:eastAsia="仿宋" w:cs="仿宋_GB2312"/>
          <w:sz w:val="32"/>
          <w:szCs w:val="32"/>
        </w:rPr>
        <w:t>2020年7月29日，我局向市财政局报送《广元市2020年烟草产业发展专项（财力激励）资金使用方案》，2020年8月14日，市财政局《关于下达2020年烟草产业发展专项（财力激励）资金的通知》（广财建〔2020〕66号）下达资金45万元。</w:t>
      </w:r>
    </w:p>
    <w:p>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b/>
          <w:bCs/>
          <w:sz w:val="32"/>
          <w:szCs w:val="32"/>
        </w:rPr>
        <w:t>2.资金到位。</w:t>
      </w:r>
      <w:r>
        <w:rPr>
          <w:rFonts w:hint="eastAsia" w:ascii="仿宋" w:hAnsi="仿宋" w:eastAsia="仿宋" w:cs="仿宋_GB2312"/>
          <w:sz w:val="32"/>
          <w:szCs w:val="32"/>
        </w:rPr>
        <w:t>我局位资金45万元，资金到位及时，资金到位率100%。</w:t>
      </w:r>
    </w:p>
    <w:p>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b/>
          <w:bCs/>
          <w:sz w:val="32"/>
          <w:szCs w:val="32"/>
        </w:rPr>
        <w:t>3.资金使用。</w:t>
      </w:r>
      <w:r>
        <w:rPr>
          <w:rFonts w:hint="eastAsia" w:ascii="仿宋" w:hAnsi="仿宋" w:eastAsia="仿宋" w:cs="仿宋_GB2312"/>
          <w:sz w:val="32"/>
          <w:szCs w:val="32"/>
        </w:rPr>
        <w:t>实际使用资金45万元，资金使用率100%。其中建立院地合作科技示范点100亩，探索新品系施肥技术使用资金15万元，育烟棚综合利用使用资金22万元，烟农技术培训使用资金4万元，烟草产业发展大会及基地建设推进会使用资金2万元，烟叶收购市场检查维护使用资金2万元。在资金使用过程中，支付范围、支付标准、支付进度、支付依据等合规合法、与预算相符。</w:t>
      </w:r>
    </w:p>
    <w:p>
      <w:pPr>
        <w:pStyle w:val="2"/>
        <w:numPr>
          <w:ilvl w:val="0"/>
          <w:numId w:val="5"/>
        </w:numPr>
        <w:spacing w:beforeLines="0" w:line="576" w:lineRule="exact"/>
        <w:ind w:firstLine="640"/>
        <w:rPr>
          <w:rFonts w:ascii="仿宋" w:hAnsi="仿宋" w:eastAsia="仿宋" w:cs="楷体_GB2312"/>
          <w:b/>
          <w:bCs/>
          <w:sz w:val="32"/>
          <w:szCs w:val="32"/>
          <w:lang w:val="zh-CN"/>
        </w:rPr>
      </w:pPr>
      <w:r>
        <w:rPr>
          <w:rFonts w:hint="eastAsia" w:ascii="仿宋" w:hAnsi="仿宋" w:eastAsia="仿宋" w:cs="楷体_GB2312"/>
          <w:b/>
          <w:bCs/>
          <w:sz w:val="32"/>
          <w:szCs w:val="32"/>
          <w:lang w:val="zh-CN"/>
        </w:rPr>
        <w:t>项目财务管理情况</w:t>
      </w:r>
    </w:p>
    <w:p>
      <w:pPr>
        <w:pStyle w:val="2"/>
        <w:spacing w:before="93" w:line="576"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财务管理制度健全，严格执行财务管理制度，账务处理及时，会计核算规范。</w:t>
      </w:r>
    </w:p>
    <w:p>
      <w:pPr>
        <w:adjustRightInd w:val="0"/>
        <w:snapToGrid w:val="0"/>
        <w:spacing w:line="576" w:lineRule="exact"/>
        <w:ind w:firstLine="720"/>
        <w:rPr>
          <w:rFonts w:ascii="仿宋" w:hAnsi="仿宋" w:eastAsia="仿宋"/>
          <w:sz w:val="32"/>
          <w:szCs w:val="32"/>
        </w:rPr>
      </w:pPr>
      <w:r>
        <w:rPr>
          <w:rFonts w:hint="eastAsia" w:ascii="仿宋" w:hAnsi="仿宋" w:eastAsia="仿宋"/>
          <w:sz w:val="32"/>
          <w:szCs w:val="32"/>
        </w:rPr>
        <w:t>三、项目实施及管理情况</w:t>
      </w:r>
    </w:p>
    <w:p>
      <w:pPr>
        <w:adjustRightInd w:val="0"/>
        <w:snapToGrid w:val="0"/>
        <w:spacing w:line="576" w:lineRule="exact"/>
        <w:ind w:firstLine="640" w:firstLineChars="200"/>
        <w:rPr>
          <w:rFonts w:ascii="仿宋" w:hAnsi="仿宋" w:eastAsia="仿宋" w:cs="楷体_GB2312"/>
          <w:b/>
          <w:bCs/>
          <w:sz w:val="32"/>
          <w:szCs w:val="32"/>
          <w:lang w:val="zh-CN"/>
        </w:rPr>
      </w:pPr>
      <w:r>
        <w:rPr>
          <w:rFonts w:hint="eastAsia" w:ascii="仿宋" w:hAnsi="仿宋" w:eastAsia="仿宋" w:cs="楷体_GB2312"/>
          <w:b/>
          <w:bCs/>
          <w:sz w:val="32"/>
          <w:szCs w:val="32"/>
          <w:lang w:val="zh-CN"/>
        </w:rPr>
        <w:t>（一）项目组织框架及实施流程</w:t>
      </w:r>
    </w:p>
    <w:p>
      <w:pPr>
        <w:pStyle w:val="2"/>
        <w:spacing w:before="93" w:line="576" w:lineRule="exact"/>
        <w:rPr>
          <w:rFonts w:ascii="仿宋" w:hAnsi="仿宋" w:eastAsia="仿宋"/>
          <w:sz w:val="32"/>
          <w:szCs w:val="32"/>
        </w:rPr>
      </w:pPr>
      <w:r>
        <w:rPr>
          <w:rFonts w:hint="eastAsia" w:ascii="仿宋" w:hAnsi="仿宋" w:eastAsia="仿宋"/>
          <w:sz w:val="32"/>
          <w:szCs w:val="32"/>
        </w:rPr>
        <w:t xml:space="preserve">     该项目由市经济作物管理站负责制定实施方案，按照经局党组会议审议通过的实施内容、资金分配方案等实施。</w:t>
      </w:r>
    </w:p>
    <w:p>
      <w:pPr>
        <w:adjustRightInd w:val="0"/>
        <w:snapToGrid w:val="0"/>
        <w:spacing w:line="576" w:lineRule="exact"/>
        <w:ind w:firstLine="640" w:firstLineChars="200"/>
        <w:rPr>
          <w:rFonts w:ascii="仿宋" w:hAnsi="仿宋" w:eastAsia="仿宋" w:cs="楷体_GB2312"/>
          <w:b/>
          <w:bCs/>
          <w:sz w:val="32"/>
          <w:szCs w:val="32"/>
        </w:rPr>
      </w:pPr>
      <w:r>
        <w:rPr>
          <w:rFonts w:hint="eastAsia" w:ascii="仿宋" w:hAnsi="仿宋" w:eastAsia="仿宋"/>
          <w:sz w:val="32"/>
          <w:szCs w:val="32"/>
        </w:rPr>
        <w:t xml:space="preserve"> </w:t>
      </w:r>
      <w:r>
        <w:rPr>
          <w:rFonts w:hint="eastAsia" w:ascii="仿宋" w:hAnsi="仿宋" w:eastAsia="仿宋" w:cs="楷体_GB2312"/>
          <w:b/>
          <w:bCs/>
          <w:sz w:val="32"/>
          <w:szCs w:val="32"/>
        </w:rPr>
        <w:t>（二）项目管理情况</w:t>
      </w:r>
    </w:p>
    <w:p>
      <w:pPr>
        <w:pStyle w:val="14"/>
        <w:spacing w:line="576" w:lineRule="exact"/>
        <w:ind w:left="0" w:leftChars="0" w:firstLine="640"/>
        <w:rPr>
          <w:rFonts w:ascii="仿宋" w:hAnsi="仿宋" w:eastAsia="仿宋"/>
        </w:rPr>
      </w:pPr>
      <w:r>
        <w:rPr>
          <w:rFonts w:hint="eastAsia" w:ascii="仿宋" w:hAnsi="仿宋" w:eastAsia="仿宋"/>
        </w:rPr>
        <w:t>该项目由我局下属事业单位市经济作物管理站具体实施。项</w:t>
      </w:r>
      <w:r>
        <w:rPr>
          <w:rFonts w:hint="eastAsia" w:ascii="仿宋" w:hAnsi="仿宋" w:eastAsia="仿宋"/>
          <w:lang w:val="zh-CN"/>
        </w:rPr>
        <w:t>目</w:t>
      </w:r>
      <w:r>
        <w:rPr>
          <w:rFonts w:hint="eastAsia" w:ascii="仿宋" w:hAnsi="仿宋" w:eastAsia="仿宋"/>
        </w:rPr>
        <w:t>严格按照</w:t>
      </w:r>
      <w:r>
        <w:rPr>
          <w:rFonts w:hint="eastAsia" w:ascii="仿宋" w:hAnsi="仿宋" w:eastAsia="仿宋"/>
          <w:lang w:val="zh-CN"/>
        </w:rPr>
        <w:t>财务管理制度</w:t>
      </w:r>
      <w:r>
        <w:rPr>
          <w:rFonts w:hint="eastAsia" w:ascii="仿宋" w:hAnsi="仿宋" w:eastAsia="仿宋"/>
        </w:rPr>
        <w:t>实施</w:t>
      </w:r>
      <w:r>
        <w:rPr>
          <w:rFonts w:hint="eastAsia" w:ascii="仿宋" w:hAnsi="仿宋" w:eastAsia="仿宋"/>
          <w:lang w:val="zh-CN"/>
        </w:rPr>
        <w:t>、严格执行财务管理制度、财务处理及时、会计核算及账务处理规范。</w:t>
      </w:r>
    </w:p>
    <w:p>
      <w:pPr>
        <w:spacing w:line="576" w:lineRule="exact"/>
        <w:ind w:left="640"/>
        <w:rPr>
          <w:rFonts w:ascii="仿宋" w:hAnsi="仿宋" w:eastAsia="仿宋" w:cs="楷体_GB2312"/>
          <w:b/>
          <w:bCs/>
          <w:sz w:val="32"/>
          <w:szCs w:val="32"/>
        </w:rPr>
      </w:pPr>
      <w:r>
        <w:rPr>
          <w:rFonts w:hint="eastAsia" w:ascii="仿宋" w:hAnsi="仿宋" w:eastAsia="仿宋" w:cs="楷体_GB2312"/>
          <w:b/>
          <w:bCs/>
          <w:sz w:val="32"/>
          <w:szCs w:val="32"/>
        </w:rPr>
        <w:t>（三）项目监管情况</w:t>
      </w:r>
    </w:p>
    <w:p>
      <w:pPr>
        <w:pStyle w:val="2"/>
        <w:spacing w:before="93" w:line="576" w:lineRule="exact"/>
        <w:ind w:firstLine="640" w:firstLineChars="200"/>
        <w:rPr>
          <w:rFonts w:ascii="仿宋" w:hAnsi="仿宋" w:eastAsia="仿宋"/>
          <w:sz w:val="32"/>
          <w:szCs w:val="32"/>
        </w:rPr>
      </w:pPr>
      <w:r>
        <w:rPr>
          <w:rFonts w:hint="eastAsia" w:ascii="仿宋" w:hAnsi="仿宋" w:eastAsia="仿宋" w:cs="仿宋_GB2312"/>
          <w:sz w:val="32"/>
          <w:szCs w:val="32"/>
        </w:rPr>
        <w:t>该项目局办公室、局计财科、局党办、昭化区王家镇人民政府和县区烟草公司参与日常监督管理。</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rPr>
        <w:t>四、项目绩效情况</w:t>
      </w:r>
      <w:r>
        <w:rPr>
          <w:rFonts w:hint="eastAsia" w:ascii="仿宋" w:hAnsi="仿宋" w:eastAsia="仿宋"/>
          <w:sz w:val="32"/>
          <w:szCs w:val="32"/>
          <w:lang w:val="zh-CN"/>
        </w:rPr>
        <w:tab/>
      </w: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（一）项目完成情况</w:t>
      </w:r>
    </w:p>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1.利用昭化区王家镇现有的78个育烟棚开展育苗试验。</w:t>
      </w:r>
    </w:p>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2.种植原料蔬菜3000亩，产量9000吨，产值450万元。</w:t>
      </w:r>
    </w:p>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3.完成烤烟新品系施肥技术集成和提高广元烟株抗逆性关键技术研究。</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rPr>
        <w:t>4.召开</w:t>
      </w:r>
      <w:r>
        <w:rPr>
          <w:rFonts w:hint="eastAsia" w:ascii="仿宋" w:hAnsi="仿宋" w:eastAsia="仿宋" w:cs="仿宋_GB2312"/>
          <w:sz w:val="32"/>
          <w:szCs w:val="32"/>
        </w:rPr>
        <w:t>全市烟叶工作推进视频会和技术培训会</w:t>
      </w:r>
      <w:r>
        <w:rPr>
          <w:rFonts w:hint="eastAsia" w:ascii="仿宋" w:hAnsi="仿宋" w:eastAsia="仿宋"/>
          <w:sz w:val="32"/>
          <w:szCs w:val="32"/>
          <w:lang w:val="zh-CN"/>
        </w:rPr>
        <w:t>。</w:t>
      </w:r>
    </w:p>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5.烟叶收购市场检查维护。</w:t>
      </w:r>
    </w:p>
    <w:p>
      <w:pPr>
        <w:adjustRightInd w:val="0"/>
        <w:snapToGrid w:val="0"/>
        <w:spacing w:line="576" w:lineRule="exact"/>
        <w:ind w:firstLine="720"/>
        <w:rPr>
          <w:rFonts w:ascii="仿宋" w:hAnsi="仿宋" w:eastAsia="仿宋"/>
          <w:sz w:val="32"/>
          <w:szCs w:val="32"/>
        </w:rPr>
      </w:pPr>
      <w:r>
        <w:rPr>
          <w:rFonts w:hint="eastAsia" w:ascii="仿宋" w:hAnsi="仿宋" w:eastAsia="仿宋"/>
          <w:sz w:val="32"/>
          <w:szCs w:val="32"/>
        </w:rPr>
        <w:t>综上，按照绩效目标和计划进度全面完成</w:t>
      </w:r>
      <w:r>
        <w:rPr>
          <w:rFonts w:hint="eastAsia" w:ascii="仿宋" w:hAnsi="仿宋" w:eastAsia="仿宋"/>
          <w:sz w:val="32"/>
          <w:szCs w:val="32"/>
          <w:lang w:val="zh-CN"/>
        </w:rPr>
        <w:t>项目计划目标。</w:t>
      </w: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（二）项目效益情况</w:t>
      </w:r>
    </w:p>
    <w:tbl>
      <w:tblPr>
        <w:tblStyle w:val="15"/>
        <w:tblW w:w="905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2188"/>
        <w:gridCol w:w="1942"/>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756" w:type="dxa"/>
            <w:shd w:val="clear" w:color="auto" w:fill="auto"/>
            <w:vAlign w:val="center"/>
          </w:tcPr>
          <w:p>
            <w:pPr>
              <w:spacing w:line="300" w:lineRule="exact"/>
              <w:jc w:val="left"/>
              <w:textAlignment w:val="center"/>
              <w:rPr>
                <w:rFonts w:ascii="仿宋" w:hAnsi="仿宋" w:eastAsia="仿宋" w:cs="宋体"/>
                <w:color w:val="000000"/>
                <w:kern w:val="0"/>
                <w:sz w:val="24"/>
              </w:rPr>
            </w:pPr>
          </w:p>
        </w:tc>
        <w:tc>
          <w:tcPr>
            <w:tcW w:w="2188" w:type="dxa"/>
            <w:shd w:val="clear" w:color="auto" w:fill="auto"/>
            <w:vAlign w:val="center"/>
          </w:tcPr>
          <w:p>
            <w:pPr>
              <w:spacing w:line="300" w:lineRule="exact"/>
              <w:jc w:val="left"/>
              <w:textAlignment w:val="center"/>
              <w:rPr>
                <w:rFonts w:ascii="仿宋" w:hAnsi="仿宋" w:eastAsia="仿宋" w:cs="宋体"/>
                <w:color w:val="000000"/>
                <w:kern w:val="0"/>
                <w:sz w:val="24"/>
              </w:rPr>
            </w:pPr>
          </w:p>
        </w:tc>
        <w:tc>
          <w:tcPr>
            <w:tcW w:w="1942" w:type="dxa"/>
            <w:shd w:val="clear" w:color="auto" w:fill="auto"/>
            <w:vAlign w:val="center"/>
          </w:tcPr>
          <w:p>
            <w:pPr>
              <w:spacing w:line="300" w:lineRule="exact"/>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绩效目标</w:t>
            </w:r>
          </w:p>
        </w:tc>
        <w:tc>
          <w:tcPr>
            <w:tcW w:w="3165" w:type="dxa"/>
            <w:shd w:val="clear" w:color="auto" w:fill="auto"/>
            <w:vAlign w:val="center"/>
          </w:tcPr>
          <w:p>
            <w:pPr>
              <w:spacing w:line="300" w:lineRule="exact"/>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56"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经济效益指标</w:t>
            </w:r>
          </w:p>
        </w:tc>
        <w:tc>
          <w:tcPr>
            <w:tcW w:w="2188"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烟地冬季综合利用</w:t>
            </w:r>
          </w:p>
        </w:tc>
        <w:tc>
          <w:tcPr>
            <w:tcW w:w="1942"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180万元</w:t>
            </w:r>
          </w:p>
        </w:tc>
        <w:tc>
          <w:tcPr>
            <w:tcW w:w="3165"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450万元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756" w:type="dxa"/>
            <w:vMerge w:val="restart"/>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社会效益</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188"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 xml:space="preserve"> 育烟棚和预留烟地</w:t>
            </w:r>
          </w:p>
        </w:tc>
        <w:tc>
          <w:tcPr>
            <w:tcW w:w="1942"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降低闲置率</w:t>
            </w:r>
          </w:p>
        </w:tc>
        <w:tc>
          <w:tcPr>
            <w:tcW w:w="3165"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利用育烟棚集中育越冬蔬菜苗，提高了育烟棚使用效率，降低了闲置率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756" w:type="dxa"/>
            <w:vMerge w:val="continue"/>
            <w:shd w:val="clear" w:color="auto" w:fill="auto"/>
            <w:vAlign w:val="center"/>
          </w:tcPr>
          <w:p>
            <w:pPr>
              <w:spacing w:line="300" w:lineRule="exact"/>
              <w:jc w:val="left"/>
              <w:rPr>
                <w:rFonts w:ascii="仿宋" w:hAnsi="仿宋" w:eastAsia="仿宋" w:cs="宋体"/>
                <w:color w:val="000000"/>
                <w:sz w:val="24"/>
              </w:rPr>
            </w:pPr>
          </w:p>
        </w:tc>
        <w:tc>
          <w:tcPr>
            <w:tcW w:w="2188"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职业烟农</w:t>
            </w:r>
          </w:p>
        </w:tc>
        <w:tc>
          <w:tcPr>
            <w:tcW w:w="1942"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稳定队伍</w:t>
            </w:r>
          </w:p>
        </w:tc>
        <w:tc>
          <w:tcPr>
            <w:tcW w:w="3165"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通过在烟地种植越冬蔬菜，提高了烟农收入，稳定烟农队伍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56" w:type="dxa"/>
            <w:vMerge w:val="restart"/>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可持续影响</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188"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职业烟农</w:t>
            </w:r>
          </w:p>
        </w:tc>
        <w:tc>
          <w:tcPr>
            <w:tcW w:w="1942"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为加工企业提供原料蔬菜</w:t>
            </w:r>
          </w:p>
        </w:tc>
        <w:tc>
          <w:tcPr>
            <w:tcW w:w="3165"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为吉香居提供加工用原料蔬菜9000吨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56" w:type="dxa"/>
            <w:vMerge w:val="continue"/>
            <w:shd w:val="clear" w:color="auto" w:fill="auto"/>
            <w:vAlign w:val="center"/>
          </w:tcPr>
          <w:p>
            <w:pPr>
              <w:spacing w:line="300" w:lineRule="exact"/>
              <w:jc w:val="left"/>
              <w:rPr>
                <w:rFonts w:ascii="仿宋" w:hAnsi="仿宋" w:eastAsia="仿宋" w:cs="宋体"/>
                <w:color w:val="000000"/>
                <w:sz w:val="24"/>
              </w:rPr>
            </w:pPr>
          </w:p>
        </w:tc>
        <w:tc>
          <w:tcPr>
            <w:tcW w:w="2188"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 xml:space="preserve"> 施肥技术</w:t>
            </w:r>
          </w:p>
        </w:tc>
        <w:tc>
          <w:tcPr>
            <w:tcW w:w="1942"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为烤烟新品系在广元烟区推广提供一手施肥技术</w:t>
            </w:r>
          </w:p>
        </w:tc>
        <w:tc>
          <w:tcPr>
            <w:tcW w:w="3165"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探索了烤烟新品系09011在广元烟区的施肥技术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56"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2188"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烟农</w:t>
            </w:r>
          </w:p>
        </w:tc>
        <w:tc>
          <w:tcPr>
            <w:tcW w:w="1942"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满意</w:t>
            </w:r>
          </w:p>
        </w:tc>
        <w:tc>
          <w:tcPr>
            <w:tcW w:w="3165" w:type="dxa"/>
            <w:shd w:val="clear" w:color="auto" w:fill="auto"/>
            <w:vAlign w:val="center"/>
          </w:tcPr>
          <w:p>
            <w:pPr>
              <w:spacing w:line="300" w:lineRule="exact"/>
              <w:jc w:val="left"/>
              <w:textAlignment w:val="center"/>
              <w:rPr>
                <w:rFonts w:ascii="仿宋" w:hAnsi="仿宋" w:eastAsia="仿宋" w:cs="宋体"/>
                <w:color w:val="000000"/>
                <w:sz w:val="24"/>
              </w:rPr>
            </w:pPr>
            <w:r>
              <w:rPr>
                <w:rFonts w:hint="eastAsia" w:ascii="仿宋" w:hAnsi="仿宋" w:eastAsia="仿宋" w:cs="宋体"/>
                <w:color w:val="000000"/>
                <w:kern w:val="0"/>
                <w:sz w:val="24"/>
              </w:rPr>
              <w:t>满意</w:t>
            </w:r>
          </w:p>
        </w:tc>
      </w:tr>
    </w:tbl>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五、评价结论</w:t>
      </w:r>
    </w:p>
    <w:p>
      <w:pPr>
        <w:snapToGrid w:val="0"/>
        <w:spacing w:line="600" w:lineRule="exact"/>
        <w:ind w:firstLine="616" w:firstLineChars="200"/>
        <w:rPr>
          <w:rFonts w:ascii="仿宋" w:hAnsi="仿宋" w:eastAsia="仿宋" w:cs="仿宋_GB2312"/>
          <w:sz w:val="32"/>
          <w:szCs w:val="32"/>
        </w:rPr>
      </w:pPr>
      <w:r>
        <w:rPr>
          <w:rFonts w:hint="eastAsia" w:ascii="仿宋" w:hAnsi="仿宋" w:eastAsia="仿宋" w:cs="仿宋_GB2312"/>
          <w:spacing w:val="-6"/>
          <w:sz w:val="32"/>
          <w:szCs w:val="32"/>
          <w:lang w:val="zh-CN"/>
        </w:rPr>
        <w:t>项目绩效目标编制时制定了数量指标</w:t>
      </w:r>
      <w:r>
        <w:rPr>
          <w:rFonts w:hint="eastAsia" w:ascii="仿宋" w:hAnsi="仿宋" w:eastAsia="仿宋" w:cs="仿宋_GB2312"/>
          <w:spacing w:val="-6"/>
          <w:sz w:val="32"/>
          <w:szCs w:val="32"/>
        </w:rPr>
        <w:t>5个，质量指标1个，时效指标2个，成本指标5个，经济效益指标1个，社会效益指标2个，可持续影响指标2个，满意度指标1个，绩效指标均完成或超额完成绩效目标。</w:t>
      </w:r>
      <w:r>
        <w:rPr>
          <w:rFonts w:hint="eastAsia" w:ascii="仿宋" w:hAnsi="仿宋" w:eastAsia="仿宋" w:cs="仿宋_GB2312"/>
          <w:sz w:val="32"/>
          <w:szCs w:val="32"/>
        </w:rPr>
        <w:t>总体来看项目决策程序严密、规划合理、结果符合规划，项目实施资金分配及时，项目完成质量以及效果较好，全面完成了该项目目标任务，项目绩效目标全面完成。</w:t>
      </w:r>
    </w:p>
    <w:p>
      <w:pPr>
        <w:rPr>
          <w:rFonts w:ascii="宋体" w:hAnsi="宋体" w:cs="宋体"/>
          <w:b/>
          <w:sz w:val="32"/>
          <w:szCs w:val="32"/>
        </w:rPr>
      </w:pPr>
      <w:r>
        <w:rPr>
          <w:rFonts w:hint="eastAsia" w:ascii="宋体" w:hAnsi="宋体" w:cs="宋体"/>
          <w:b/>
          <w:sz w:val="32"/>
          <w:szCs w:val="32"/>
        </w:rPr>
        <w:br w:type="page"/>
      </w:r>
    </w:p>
    <w:p>
      <w:pPr>
        <w:pStyle w:val="2"/>
        <w:spacing w:before="93"/>
        <w:jc w:val="center"/>
        <w:rPr>
          <w:rFonts w:ascii="仿宋" w:hAnsi="仿宋" w:eastAsia="仿宋"/>
          <w:sz w:val="32"/>
          <w:szCs w:val="32"/>
          <w:lang w:val="zh-CN"/>
        </w:rPr>
      </w:pPr>
      <w:r>
        <w:rPr>
          <w:rFonts w:hint="eastAsia" w:ascii="宋体" w:hAnsi="宋体" w:cs="宋体"/>
          <w:b/>
          <w:sz w:val="32"/>
          <w:szCs w:val="32"/>
        </w:rPr>
        <w:t>2021年部门预算项目绩效目标自评</w:t>
      </w:r>
    </w:p>
    <w:tbl>
      <w:tblPr>
        <w:tblStyle w:val="15"/>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276"/>
        <w:gridCol w:w="993"/>
        <w:gridCol w:w="377"/>
        <w:gridCol w:w="2883"/>
        <w:gridCol w:w="1417"/>
        <w:gridCol w:w="28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20" w:type="dxa"/>
            <w:gridSpan w:val="3"/>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项目名称</w:t>
            </w:r>
          </w:p>
        </w:tc>
        <w:tc>
          <w:tcPr>
            <w:tcW w:w="6945" w:type="dxa"/>
            <w:gridSpan w:val="5"/>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烟草产业发展专项（财力激励）资金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20" w:type="dxa"/>
            <w:gridSpan w:val="3"/>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主管单位</w:t>
            </w:r>
          </w:p>
        </w:tc>
        <w:tc>
          <w:tcPr>
            <w:tcW w:w="3260" w:type="dxa"/>
            <w:gridSpan w:val="2"/>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广元市农业农村局</w:t>
            </w:r>
          </w:p>
        </w:tc>
        <w:tc>
          <w:tcPr>
            <w:tcW w:w="1701" w:type="dxa"/>
            <w:gridSpan w:val="2"/>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实施单位</w:t>
            </w:r>
          </w:p>
        </w:tc>
        <w:tc>
          <w:tcPr>
            <w:tcW w:w="1984" w:type="dxa"/>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广元市农业农村局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1" w:type="dxa"/>
            <w:vMerge w:val="restar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预算</w:t>
            </w:r>
            <w:r>
              <w:rPr>
                <w:rFonts w:hint="eastAsia" w:ascii="仿宋" w:hAnsi="仿宋" w:eastAsia="仿宋" w:cs="宋体"/>
                <w:kern w:val="0"/>
                <w:sz w:val="24"/>
              </w:rPr>
              <w:br w:type="textWrapping"/>
            </w:r>
            <w:r>
              <w:rPr>
                <w:rFonts w:hint="eastAsia" w:ascii="仿宋" w:hAnsi="仿宋" w:eastAsia="仿宋" w:cs="宋体"/>
                <w:kern w:val="0"/>
                <w:sz w:val="24"/>
              </w:rPr>
              <w:t>执行</w:t>
            </w:r>
            <w:r>
              <w:rPr>
                <w:rFonts w:hint="eastAsia" w:ascii="仿宋" w:hAnsi="仿宋" w:eastAsia="仿宋" w:cs="宋体"/>
                <w:kern w:val="0"/>
                <w:sz w:val="24"/>
              </w:rPr>
              <w:br w:type="textWrapping"/>
            </w:r>
            <w:r>
              <w:rPr>
                <w:rFonts w:hint="eastAsia" w:ascii="仿宋" w:hAnsi="仿宋" w:eastAsia="仿宋" w:cs="宋体"/>
                <w:kern w:val="0"/>
                <w:sz w:val="24"/>
              </w:rPr>
              <w:t>情况</w:t>
            </w:r>
            <w:r>
              <w:rPr>
                <w:rFonts w:hint="eastAsia" w:ascii="仿宋" w:hAnsi="仿宋" w:eastAsia="仿宋" w:cs="宋体"/>
                <w:kern w:val="0"/>
                <w:sz w:val="24"/>
              </w:rPr>
              <w:br w:type="textWrapping"/>
            </w:r>
            <w:r>
              <w:rPr>
                <w:rFonts w:hint="eastAsia" w:ascii="仿宋" w:hAnsi="仿宋" w:eastAsia="仿宋" w:cs="宋体"/>
                <w:kern w:val="0"/>
                <w:sz w:val="24"/>
              </w:rPr>
              <w:t>（万元）</w:t>
            </w:r>
          </w:p>
        </w:tc>
        <w:tc>
          <w:tcPr>
            <w:tcW w:w="2269"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 xml:space="preserve"> 预算数：</w:t>
            </w:r>
          </w:p>
        </w:tc>
        <w:tc>
          <w:tcPr>
            <w:tcW w:w="3260" w:type="dxa"/>
            <w:gridSpan w:val="2"/>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45</w:t>
            </w:r>
          </w:p>
        </w:tc>
        <w:tc>
          <w:tcPr>
            <w:tcW w:w="1701"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 xml:space="preserve"> 执行数：</w:t>
            </w:r>
          </w:p>
        </w:tc>
        <w:tc>
          <w:tcPr>
            <w:tcW w:w="1984" w:type="dxa"/>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851" w:type="dxa"/>
            <w:vMerge w:val="continue"/>
            <w:vAlign w:val="center"/>
          </w:tcPr>
          <w:p>
            <w:pPr>
              <w:widowControl/>
              <w:jc w:val="left"/>
              <w:rPr>
                <w:rFonts w:ascii="仿宋" w:hAnsi="仿宋" w:eastAsia="仿宋" w:cs="宋体"/>
                <w:kern w:val="0"/>
                <w:sz w:val="24"/>
              </w:rPr>
            </w:pPr>
          </w:p>
        </w:tc>
        <w:tc>
          <w:tcPr>
            <w:tcW w:w="2269" w:type="dxa"/>
            <w:gridSpan w:val="2"/>
            <w:shd w:val="clear" w:color="auto" w:fill="auto"/>
            <w:vAlign w:val="center"/>
          </w:tcPr>
          <w:p>
            <w:pPr>
              <w:widowControl/>
              <w:jc w:val="right"/>
              <w:rPr>
                <w:rFonts w:ascii="仿宋" w:hAnsi="仿宋" w:eastAsia="仿宋" w:cs="宋体"/>
                <w:kern w:val="0"/>
                <w:sz w:val="24"/>
              </w:rPr>
            </w:pPr>
            <w:r>
              <w:rPr>
                <w:rFonts w:hint="eastAsia" w:ascii="仿宋" w:hAnsi="仿宋" w:eastAsia="仿宋" w:cs="宋体"/>
                <w:kern w:val="0"/>
                <w:sz w:val="24"/>
              </w:rPr>
              <w:t>其中：财政拨款</w:t>
            </w:r>
          </w:p>
        </w:tc>
        <w:tc>
          <w:tcPr>
            <w:tcW w:w="3260" w:type="dxa"/>
            <w:gridSpan w:val="2"/>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45</w:t>
            </w:r>
          </w:p>
        </w:tc>
        <w:tc>
          <w:tcPr>
            <w:tcW w:w="1701" w:type="dxa"/>
            <w:gridSpan w:val="2"/>
            <w:shd w:val="clear" w:color="auto" w:fill="auto"/>
            <w:vAlign w:val="center"/>
          </w:tcPr>
          <w:p>
            <w:pPr>
              <w:widowControl/>
              <w:jc w:val="right"/>
              <w:rPr>
                <w:rFonts w:ascii="仿宋" w:hAnsi="仿宋" w:eastAsia="仿宋" w:cs="宋体"/>
                <w:kern w:val="0"/>
                <w:sz w:val="24"/>
              </w:rPr>
            </w:pPr>
            <w:r>
              <w:rPr>
                <w:rFonts w:hint="eastAsia" w:ascii="仿宋" w:hAnsi="仿宋" w:eastAsia="仿宋" w:cs="宋体"/>
                <w:kern w:val="0"/>
                <w:sz w:val="24"/>
              </w:rPr>
              <w:t>其中：财政拨款</w:t>
            </w:r>
          </w:p>
        </w:tc>
        <w:tc>
          <w:tcPr>
            <w:tcW w:w="1984" w:type="dxa"/>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51" w:type="dxa"/>
            <w:vMerge w:val="continue"/>
            <w:vAlign w:val="center"/>
          </w:tcPr>
          <w:p>
            <w:pPr>
              <w:widowControl/>
              <w:jc w:val="left"/>
              <w:rPr>
                <w:rFonts w:ascii="仿宋" w:hAnsi="仿宋" w:eastAsia="仿宋" w:cs="宋体"/>
                <w:kern w:val="0"/>
                <w:sz w:val="24"/>
              </w:rPr>
            </w:pPr>
          </w:p>
        </w:tc>
        <w:tc>
          <w:tcPr>
            <w:tcW w:w="2269" w:type="dxa"/>
            <w:gridSpan w:val="2"/>
            <w:shd w:val="clear" w:color="auto" w:fill="auto"/>
            <w:vAlign w:val="center"/>
          </w:tcPr>
          <w:p>
            <w:pPr>
              <w:widowControl/>
              <w:jc w:val="right"/>
              <w:rPr>
                <w:rFonts w:ascii="仿宋" w:hAnsi="仿宋" w:eastAsia="仿宋" w:cs="宋体"/>
                <w:kern w:val="0"/>
                <w:sz w:val="24"/>
              </w:rPr>
            </w:pPr>
            <w:r>
              <w:rPr>
                <w:rFonts w:hint="eastAsia" w:ascii="仿宋" w:hAnsi="仿宋" w:eastAsia="仿宋" w:cs="宋体"/>
                <w:kern w:val="0"/>
                <w:sz w:val="24"/>
              </w:rPr>
              <w:t>其他资金</w:t>
            </w:r>
          </w:p>
        </w:tc>
        <w:tc>
          <w:tcPr>
            <w:tcW w:w="3260" w:type="dxa"/>
            <w:gridSpan w:val="2"/>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　</w:t>
            </w:r>
          </w:p>
        </w:tc>
        <w:tc>
          <w:tcPr>
            <w:tcW w:w="1701" w:type="dxa"/>
            <w:gridSpan w:val="2"/>
            <w:shd w:val="clear" w:color="auto" w:fill="auto"/>
            <w:vAlign w:val="center"/>
          </w:tcPr>
          <w:p>
            <w:pPr>
              <w:widowControl/>
              <w:jc w:val="right"/>
              <w:rPr>
                <w:rFonts w:ascii="仿宋" w:hAnsi="仿宋" w:eastAsia="仿宋" w:cs="宋体"/>
                <w:kern w:val="0"/>
                <w:sz w:val="24"/>
              </w:rPr>
            </w:pPr>
            <w:r>
              <w:rPr>
                <w:rFonts w:hint="eastAsia" w:ascii="仿宋" w:hAnsi="仿宋" w:eastAsia="仿宋" w:cs="宋体"/>
                <w:kern w:val="0"/>
                <w:sz w:val="24"/>
              </w:rPr>
              <w:t>其他资金</w:t>
            </w:r>
          </w:p>
        </w:tc>
        <w:tc>
          <w:tcPr>
            <w:tcW w:w="1984" w:type="dxa"/>
            <w:shd w:val="clear" w:color="auto" w:fill="auto"/>
            <w:vAlign w:val="center"/>
          </w:tcPr>
          <w:p>
            <w:pPr>
              <w:widowControl/>
              <w:jc w:val="right"/>
              <w:rPr>
                <w:rFonts w:ascii="仿宋" w:hAnsi="仿宋" w:eastAsia="仿宋" w:cs="宋体"/>
                <w:kern w:val="0"/>
                <w:sz w:val="24"/>
              </w:rPr>
            </w:pPr>
            <w:r>
              <w:rPr>
                <w:rFonts w:hint="eastAsia" w:ascii="仿宋" w:hAnsi="仿宋" w:eastAsia="仿宋"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51" w:type="dxa"/>
            <w:vMerge w:val="restar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年度</w:t>
            </w:r>
            <w:r>
              <w:rPr>
                <w:rFonts w:hint="eastAsia" w:ascii="仿宋" w:hAnsi="仿宋" w:eastAsia="仿宋" w:cs="宋体"/>
                <w:kern w:val="0"/>
                <w:sz w:val="24"/>
              </w:rPr>
              <w:br w:type="textWrapping"/>
            </w:r>
            <w:r>
              <w:rPr>
                <w:rFonts w:hint="eastAsia" w:ascii="仿宋" w:hAnsi="仿宋" w:eastAsia="仿宋" w:cs="宋体"/>
                <w:kern w:val="0"/>
                <w:sz w:val="24"/>
              </w:rPr>
              <w:t>目标</w:t>
            </w:r>
            <w:r>
              <w:rPr>
                <w:rFonts w:hint="eastAsia" w:ascii="仿宋" w:hAnsi="仿宋" w:eastAsia="仿宋" w:cs="宋体"/>
                <w:kern w:val="0"/>
                <w:sz w:val="24"/>
              </w:rPr>
              <w:br w:type="textWrapping"/>
            </w:r>
            <w:r>
              <w:rPr>
                <w:rFonts w:hint="eastAsia" w:ascii="仿宋" w:hAnsi="仿宋" w:eastAsia="仿宋" w:cs="宋体"/>
                <w:kern w:val="0"/>
                <w:sz w:val="24"/>
              </w:rPr>
              <w:t>完成</w:t>
            </w:r>
            <w:r>
              <w:rPr>
                <w:rFonts w:hint="eastAsia" w:ascii="仿宋" w:hAnsi="仿宋" w:eastAsia="仿宋" w:cs="宋体"/>
                <w:kern w:val="0"/>
                <w:sz w:val="24"/>
              </w:rPr>
              <w:br w:type="textWrapping"/>
            </w:r>
            <w:r>
              <w:rPr>
                <w:rFonts w:hint="eastAsia" w:ascii="仿宋" w:hAnsi="仿宋" w:eastAsia="仿宋" w:cs="宋体"/>
                <w:kern w:val="0"/>
                <w:sz w:val="24"/>
              </w:rPr>
              <w:t>情况</w:t>
            </w:r>
          </w:p>
        </w:tc>
        <w:tc>
          <w:tcPr>
            <w:tcW w:w="5529" w:type="dxa"/>
            <w:gridSpan w:val="4"/>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预期目标</w:t>
            </w:r>
          </w:p>
        </w:tc>
        <w:tc>
          <w:tcPr>
            <w:tcW w:w="3685" w:type="dxa"/>
            <w:gridSpan w:val="3"/>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51" w:type="dxa"/>
            <w:vMerge w:val="continue"/>
            <w:vAlign w:val="center"/>
          </w:tcPr>
          <w:p>
            <w:pPr>
              <w:widowControl/>
              <w:jc w:val="left"/>
              <w:rPr>
                <w:rFonts w:ascii="仿宋" w:hAnsi="仿宋" w:eastAsia="仿宋" w:cs="宋体"/>
                <w:kern w:val="0"/>
                <w:sz w:val="24"/>
              </w:rPr>
            </w:pPr>
          </w:p>
        </w:tc>
        <w:tc>
          <w:tcPr>
            <w:tcW w:w="5529" w:type="dxa"/>
            <w:gridSpan w:val="4"/>
            <w:shd w:val="clear" w:color="auto" w:fill="auto"/>
          </w:tcPr>
          <w:p>
            <w:pPr>
              <w:widowControl/>
              <w:jc w:val="left"/>
              <w:rPr>
                <w:rFonts w:ascii="仿宋" w:hAnsi="仿宋" w:eastAsia="仿宋" w:cs="宋体"/>
                <w:kern w:val="0"/>
                <w:sz w:val="24"/>
              </w:rPr>
            </w:pPr>
            <w:r>
              <w:rPr>
                <w:rFonts w:hint="eastAsia" w:ascii="仿宋" w:hAnsi="仿宋" w:eastAsia="仿宋" w:cs="宋体"/>
                <w:kern w:val="0"/>
                <w:sz w:val="24"/>
              </w:rPr>
              <w:t>1.烟叶基地综合试验示范2.开展技术培训3.召开全市烟草产业发展大会及基地建设推进会， 4.开展市场检查维护工作</w:t>
            </w:r>
          </w:p>
        </w:tc>
        <w:tc>
          <w:tcPr>
            <w:tcW w:w="3685" w:type="dxa"/>
            <w:gridSpan w:val="3"/>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1.烟叶基地综合试验示范2.开展技术培训3.召开全市烟草产业发展大会及基地建设推进会，4.开展市场检查维护工作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2" w:hRule="atLeast"/>
        </w:trPr>
        <w:tc>
          <w:tcPr>
            <w:tcW w:w="851" w:type="dxa"/>
            <w:vMerge w:val="restar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年度</w:t>
            </w:r>
            <w:r>
              <w:rPr>
                <w:rFonts w:hint="eastAsia" w:ascii="仿宋" w:hAnsi="仿宋" w:eastAsia="仿宋" w:cs="宋体"/>
                <w:kern w:val="0"/>
                <w:sz w:val="24"/>
              </w:rPr>
              <w:br w:type="textWrapping"/>
            </w:r>
            <w:r>
              <w:rPr>
                <w:rFonts w:hint="eastAsia" w:ascii="仿宋" w:hAnsi="仿宋" w:eastAsia="仿宋" w:cs="宋体"/>
                <w:kern w:val="0"/>
                <w:sz w:val="24"/>
              </w:rPr>
              <w:t>绩效</w:t>
            </w:r>
            <w:r>
              <w:rPr>
                <w:rFonts w:hint="eastAsia" w:ascii="仿宋" w:hAnsi="仿宋" w:eastAsia="仿宋" w:cs="宋体"/>
                <w:kern w:val="0"/>
                <w:sz w:val="24"/>
              </w:rPr>
              <w:br w:type="textWrapping"/>
            </w:r>
            <w:r>
              <w:rPr>
                <w:rFonts w:hint="eastAsia" w:ascii="仿宋" w:hAnsi="仿宋" w:eastAsia="仿宋" w:cs="宋体"/>
                <w:kern w:val="0"/>
                <w:sz w:val="24"/>
              </w:rPr>
              <w:t>指标</w:t>
            </w:r>
            <w:r>
              <w:rPr>
                <w:rFonts w:hint="eastAsia" w:ascii="仿宋" w:hAnsi="仿宋" w:eastAsia="仿宋" w:cs="宋体"/>
                <w:kern w:val="0"/>
                <w:sz w:val="24"/>
              </w:rPr>
              <w:br w:type="textWrapping"/>
            </w:r>
            <w:r>
              <w:rPr>
                <w:rFonts w:hint="eastAsia" w:ascii="仿宋" w:hAnsi="仿宋" w:eastAsia="仿宋" w:cs="宋体"/>
                <w:kern w:val="0"/>
                <w:sz w:val="24"/>
              </w:rPr>
              <w:t>完成</w:t>
            </w:r>
            <w:r>
              <w:rPr>
                <w:rFonts w:hint="eastAsia" w:ascii="仿宋" w:hAnsi="仿宋" w:eastAsia="仿宋" w:cs="宋体"/>
                <w:kern w:val="0"/>
                <w:sz w:val="24"/>
              </w:rPr>
              <w:br w:type="textWrapping"/>
            </w:r>
            <w:r>
              <w:rPr>
                <w:rFonts w:hint="eastAsia" w:ascii="仿宋" w:hAnsi="仿宋" w:eastAsia="仿宋" w:cs="宋体"/>
                <w:kern w:val="0"/>
                <w:sz w:val="24"/>
              </w:rPr>
              <w:t>情况</w:t>
            </w:r>
          </w:p>
        </w:tc>
        <w:tc>
          <w:tcPr>
            <w:tcW w:w="1276" w:type="dxa"/>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一级指标</w:t>
            </w:r>
          </w:p>
        </w:tc>
        <w:tc>
          <w:tcPr>
            <w:tcW w:w="1370" w:type="dxa"/>
            <w:gridSpan w:val="2"/>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二级指标</w:t>
            </w:r>
          </w:p>
        </w:tc>
        <w:tc>
          <w:tcPr>
            <w:tcW w:w="2883" w:type="dxa"/>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三级指标</w:t>
            </w:r>
          </w:p>
        </w:tc>
        <w:tc>
          <w:tcPr>
            <w:tcW w:w="1417" w:type="dxa"/>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指标值</w:t>
            </w:r>
          </w:p>
        </w:tc>
        <w:tc>
          <w:tcPr>
            <w:tcW w:w="2268" w:type="dxa"/>
            <w:gridSpan w:val="2"/>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实际完成指标值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51" w:type="dxa"/>
            <w:vMerge w:val="continue"/>
            <w:vAlign w:val="center"/>
          </w:tcPr>
          <w:p>
            <w:pPr>
              <w:widowControl/>
              <w:jc w:val="left"/>
              <w:rPr>
                <w:rFonts w:ascii="仿宋" w:hAnsi="仿宋" w:eastAsia="仿宋" w:cs="宋体"/>
                <w:kern w:val="0"/>
                <w:sz w:val="24"/>
              </w:rPr>
            </w:pPr>
          </w:p>
        </w:tc>
        <w:tc>
          <w:tcPr>
            <w:tcW w:w="1276" w:type="dxa"/>
            <w:vMerge w:val="restar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项目完成指标</w:t>
            </w:r>
          </w:p>
        </w:tc>
        <w:tc>
          <w:tcPr>
            <w:tcW w:w="1370" w:type="dxa"/>
            <w:gridSpan w:val="2"/>
            <w:vMerge w:val="restar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数量指标</w:t>
            </w: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新技术、新品种推广面积</w:t>
            </w:r>
          </w:p>
        </w:tc>
        <w:tc>
          <w:tcPr>
            <w:tcW w:w="1417"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100亩</w:t>
            </w:r>
          </w:p>
        </w:tc>
        <w:tc>
          <w:tcPr>
            <w:tcW w:w="2268"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100亩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vMerge w:val="continue"/>
            <w:vAlign w:val="center"/>
          </w:tcPr>
          <w:p>
            <w:pPr>
              <w:widowControl/>
              <w:jc w:val="left"/>
              <w:rPr>
                <w:rFonts w:ascii="仿宋" w:hAnsi="仿宋" w:eastAsia="仿宋" w:cs="宋体"/>
                <w:kern w:val="0"/>
                <w:sz w:val="24"/>
              </w:rPr>
            </w:pPr>
          </w:p>
        </w:tc>
        <w:tc>
          <w:tcPr>
            <w:tcW w:w="1276" w:type="dxa"/>
            <w:vMerge w:val="continue"/>
            <w:vAlign w:val="center"/>
          </w:tcPr>
          <w:p>
            <w:pPr>
              <w:widowControl/>
              <w:jc w:val="left"/>
              <w:rPr>
                <w:rFonts w:ascii="仿宋" w:hAnsi="仿宋" w:eastAsia="仿宋" w:cs="宋体"/>
                <w:kern w:val="0"/>
                <w:sz w:val="24"/>
              </w:rPr>
            </w:pPr>
          </w:p>
        </w:tc>
        <w:tc>
          <w:tcPr>
            <w:tcW w:w="1370" w:type="dxa"/>
            <w:gridSpan w:val="2"/>
            <w:vMerge w:val="continue"/>
            <w:vAlign w:val="center"/>
          </w:tcPr>
          <w:p>
            <w:pPr>
              <w:widowControl/>
              <w:jc w:val="left"/>
              <w:rPr>
                <w:rFonts w:ascii="仿宋" w:hAnsi="仿宋" w:eastAsia="仿宋" w:cs="宋体"/>
                <w:kern w:val="0"/>
                <w:sz w:val="24"/>
              </w:rPr>
            </w:pP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育烟棚冬季综合利用数量</w:t>
            </w:r>
          </w:p>
        </w:tc>
        <w:tc>
          <w:tcPr>
            <w:tcW w:w="1417"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78棚</w:t>
            </w:r>
          </w:p>
        </w:tc>
        <w:tc>
          <w:tcPr>
            <w:tcW w:w="2268"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78棚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vMerge w:val="continue"/>
            <w:vAlign w:val="center"/>
          </w:tcPr>
          <w:p>
            <w:pPr>
              <w:widowControl/>
              <w:jc w:val="left"/>
              <w:rPr>
                <w:rFonts w:ascii="仿宋" w:hAnsi="仿宋" w:eastAsia="仿宋" w:cs="宋体"/>
                <w:kern w:val="0"/>
                <w:sz w:val="24"/>
              </w:rPr>
            </w:pPr>
          </w:p>
        </w:tc>
        <w:tc>
          <w:tcPr>
            <w:tcW w:w="1276" w:type="dxa"/>
            <w:vMerge w:val="continue"/>
            <w:vAlign w:val="center"/>
          </w:tcPr>
          <w:p>
            <w:pPr>
              <w:widowControl/>
              <w:jc w:val="left"/>
              <w:rPr>
                <w:rFonts w:ascii="仿宋" w:hAnsi="仿宋" w:eastAsia="仿宋" w:cs="宋体"/>
                <w:kern w:val="0"/>
                <w:sz w:val="24"/>
              </w:rPr>
            </w:pPr>
          </w:p>
        </w:tc>
        <w:tc>
          <w:tcPr>
            <w:tcW w:w="1370" w:type="dxa"/>
            <w:gridSpan w:val="2"/>
            <w:vMerge w:val="continue"/>
            <w:vAlign w:val="center"/>
          </w:tcPr>
          <w:p>
            <w:pPr>
              <w:widowControl/>
              <w:jc w:val="left"/>
              <w:rPr>
                <w:rFonts w:ascii="仿宋" w:hAnsi="仿宋" w:eastAsia="仿宋" w:cs="宋体"/>
                <w:kern w:val="0"/>
                <w:sz w:val="24"/>
              </w:rPr>
            </w:pP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烟地冬季综合利用亩数</w:t>
            </w:r>
          </w:p>
        </w:tc>
        <w:tc>
          <w:tcPr>
            <w:tcW w:w="1417"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1200亩</w:t>
            </w:r>
          </w:p>
        </w:tc>
        <w:tc>
          <w:tcPr>
            <w:tcW w:w="2268"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3000亩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851" w:type="dxa"/>
            <w:vMerge w:val="continue"/>
            <w:vAlign w:val="center"/>
          </w:tcPr>
          <w:p>
            <w:pPr>
              <w:widowControl/>
              <w:jc w:val="left"/>
              <w:rPr>
                <w:rFonts w:ascii="仿宋" w:hAnsi="仿宋" w:eastAsia="仿宋" w:cs="宋体"/>
                <w:kern w:val="0"/>
                <w:sz w:val="24"/>
              </w:rPr>
            </w:pPr>
          </w:p>
        </w:tc>
        <w:tc>
          <w:tcPr>
            <w:tcW w:w="1276" w:type="dxa"/>
            <w:vMerge w:val="continue"/>
            <w:vAlign w:val="center"/>
          </w:tcPr>
          <w:p>
            <w:pPr>
              <w:widowControl/>
              <w:jc w:val="left"/>
              <w:rPr>
                <w:rFonts w:ascii="仿宋" w:hAnsi="仿宋" w:eastAsia="仿宋" w:cs="宋体"/>
                <w:kern w:val="0"/>
                <w:sz w:val="24"/>
              </w:rPr>
            </w:pPr>
          </w:p>
        </w:tc>
        <w:tc>
          <w:tcPr>
            <w:tcW w:w="1370" w:type="dxa"/>
            <w:gridSpan w:val="2"/>
            <w:vMerge w:val="continue"/>
            <w:vAlign w:val="center"/>
          </w:tcPr>
          <w:p>
            <w:pPr>
              <w:widowControl/>
              <w:jc w:val="left"/>
              <w:rPr>
                <w:rFonts w:ascii="仿宋" w:hAnsi="仿宋" w:eastAsia="仿宋" w:cs="宋体"/>
                <w:kern w:val="0"/>
                <w:sz w:val="24"/>
              </w:rPr>
            </w:pP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产出原料蔬菜数量</w:t>
            </w:r>
          </w:p>
        </w:tc>
        <w:tc>
          <w:tcPr>
            <w:tcW w:w="1417"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3600吨</w:t>
            </w:r>
          </w:p>
        </w:tc>
        <w:tc>
          <w:tcPr>
            <w:tcW w:w="2268"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9000吨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vMerge w:val="continue"/>
            <w:vAlign w:val="center"/>
          </w:tcPr>
          <w:p>
            <w:pPr>
              <w:widowControl/>
              <w:jc w:val="left"/>
              <w:rPr>
                <w:rFonts w:ascii="仿宋" w:hAnsi="仿宋" w:eastAsia="仿宋" w:cs="宋体"/>
                <w:kern w:val="0"/>
                <w:sz w:val="24"/>
              </w:rPr>
            </w:pPr>
          </w:p>
        </w:tc>
        <w:tc>
          <w:tcPr>
            <w:tcW w:w="1276" w:type="dxa"/>
            <w:vMerge w:val="continue"/>
            <w:vAlign w:val="center"/>
          </w:tcPr>
          <w:p>
            <w:pPr>
              <w:widowControl/>
              <w:jc w:val="left"/>
              <w:rPr>
                <w:rFonts w:ascii="仿宋" w:hAnsi="仿宋" w:eastAsia="仿宋" w:cs="宋体"/>
                <w:kern w:val="0"/>
                <w:sz w:val="24"/>
              </w:rPr>
            </w:pPr>
          </w:p>
        </w:tc>
        <w:tc>
          <w:tcPr>
            <w:tcW w:w="1370" w:type="dxa"/>
            <w:gridSpan w:val="2"/>
            <w:vMerge w:val="continue"/>
            <w:vAlign w:val="center"/>
          </w:tcPr>
          <w:p>
            <w:pPr>
              <w:widowControl/>
              <w:jc w:val="left"/>
              <w:rPr>
                <w:rFonts w:ascii="仿宋" w:hAnsi="仿宋" w:eastAsia="仿宋" w:cs="宋体"/>
                <w:kern w:val="0"/>
                <w:sz w:val="24"/>
              </w:rPr>
            </w:pP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培训烟农和烟技人数</w:t>
            </w:r>
          </w:p>
        </w:tc>
        <w:tc>
          <w:tcPr>
            <w:tcW w:w="1417"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500人次</w:t>
            </w:r>
          </w:p>
        </w:tc>
        <w:tc>
          <w:tcPr>
            <w:tcW w:w="2268"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534人次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51" w:type="dxa"/>
            <w:vMerge w:val="continue"/>
            <w:vAlign w:val="center"/>
          </w:tcPr>
          <w:p>
            <w:pPr>
              <w:widowControl/>
              <w:jc w:val="left"/>
              <w:rPr>
                <w:rFonts w:ascii="仿宋" w:hAnsi="仿宋" w:eastAsia="仿宋" w:cs="宋体"/>
                <w:kern w:val="0"/>
                <w:sz w:val="24"/>
              </w:rPr>
            </w:pPr>
          </w:p>
        </w:tc>
        <w:tc>
          <w:tcPr>
            <w:tcW w:w="1276" w:type="dxa"/>
            <w:vMerge w:val="continue"/>
            <w:vAlign w:val="center"/>
          </w:tcPr>
          <w:p>
            <w:pPr>
              <w:widowControl/>
              <w:jc w:val="left"/>
              <w:rPr>
                <w:rFonts w:ascii="仿宋" w:hAnsi="仿宋" w:eastAsia="仿宋" w:cs="宋体"/>
                <w:kern w:val="0"/>
                <w:sz w:val="24"/>
              </w:rPr>
            </w:pPr>
          </w:p>
        </w:tc>
        <w:tc>
          <w:tcPr>
            <w:tcW w:w="1370" w:type="dxa"/>
            <w:gridSpan w:val="2"/>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质量指标</w:t>
            </w: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优化烤烟品种和专用配方肥</w:t>
            </w:r>
          </w:p>
        </w:tc>
        <w:tc>
          <w:tcPr>
            <w:tcW w:w="1417"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提升品质</w:t>
            </w:r>
          </w:p>
        </w:tc>
        <w:tc>
          <w:tcPr>
            <w:tcW w:w="2268"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广元烟区烤烟新品系、专用配方肥大田示范。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1" w:type="dxa"/>
            <w:vMerge w:val="continue"/>
            <w:vAlign w:val="center"/>
          </w:tcPr>
          <w:p>
            <w:pPr>
              <w:widowControl/>
              <w:jc w:val="left"/>
              <w:rPr>
                <w:rFonts w:ascii="仿宋" w:hAnsi="仿宋" w:eastAsia="仿宋" w:cs="宋体"/>
                <w:kern w:val="0"/>
                <w:sz w:val="24"/>
              </w:rPr>
            </w:pPr>
          </w:p>
        </w:tc>
        <w:tc>
          <w:tcPr>
            <w:tcW w:w="1276" w:type="dxa"/>
            <w:vMerge w:val="continue"/>
            <w:vAlign w:val="center"/>
          </w:tcPr>
          <w:p>
            <w:pPr>
              <w:widowControl/>
              <w:jc w:val="left"/>
              <w:rPr>
                <w:rFonts w:ascii="仿宋" w:hAnsi="仿宋" w:eastAsia="仿宋" w:cs="宋体"/>
                <w:kern w:val="0"/>
                <w:sz w:val="24"/>
              </w:rPr>
            </w:pPr>
          </w:p>
        </w:tc>
        <w:tc>
          <w:tcPr>
            <w:tcW w:w="1370" w:type="dxa"/>
            <w:gridSpan w:val="2"/>
            <w:vMerge w:val="restar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时效指标</w:t>
            </w: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完成时间</w:t>
            </w:r>
          </w:p>
        </w:tc>
        <w:tc>
          <w:tcPr>
            <w:tcW w:w="1417"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2021年10月30日</w:t>
            </w:r>
          </w:p>
        </w:tc>
        <w:tc>
          <w:tcPr>
            <w:tcW w:w="2268"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2021年10月30日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851" w:type="dxa"/>
            <w:vMerge w:val="continue"/>
            <w:vAlign w:val="center"/>
          </w:tcPr>
          <w:p>
            <w:pPr>
              <w:widowControl/>
              <w:jc w:val="left"/>
              <w:rPr>
                <w:rFonts w:ascii="仿宋" w:hAnsi="仿宋" w:eastAsia="仿宋" w:cs="宋体"/>
                <w:kern w:val="0"/>
                <w:sz w:val="24"/>
              </w:rPr>
            </w:pPr>
          </w:p>
        </w:tc>
        <w:tc>
          <w:tcPr>
            <w:tcW w:w="1276" w:type="dxa"/>
            <w:vMerge w:val="continue"/>
            <w:vAlign w:val="center"/>
          </w:tcPr>
          <w:p>
            <w:pPr>
              <w:widowControl/>
              <w:jc w:val="left"/>
              <w:rPr>
                <w:rFonts w:ascii="仿宋" w:hAnsi="仿宋" w:eastAsia="仿宋" w:cs="宋体"/>
                <w:kern w:val="0"/>
                <w:sz w:val="24"/>
              </w:rPr>
            </w:pPr>
          </w:p>
        </w:tc>
        <w:tc>
          <w:tcPr>
            <w:tcW w:w="1370" w:type="dxa"/>
            <w:gridSpan w:val="2"/>
            <w:vMerge w:val="continue"/>
            <w:vAlign w:val="center"/>
          </w:tcPr>
          <w:p>
            <w:pPr>
              <w:widowControl/>
              <w:jc w:val="left"/>
              <w:rPr>
                <w:rFonts w:ascii="仿宋" w:hAnsi="仿宋" w:eastAsia="仿宋" w:cs="宋体"/>
                <w:kern w:val="0"/>
                <w:sz w:val="24"/>
              </w:rPr>
            </w:pP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资金拨付</w:t>
            </w:r>
          </w:p>
        </w:tc>
        <w:tc>
          <w:tcPr>
            <w:tcW w:w="1417"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100%</w:t>
            </w:r>
          </w:p>
        </w:tc>
        <w:tc>
          <w:tcPr>
            <w:tcW w:w="2268"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vMerge w:val="continue"/>
            <w:vAlign w:val="center"/>
          </w:tcPr>
          <w:p>
            <w:pPr>
              <w:widowControl/>
              <w:jc w:val="left"/>
              <w:rPr>
                <w:rFonts w:ascii="仿宋" w:hAnsi="仿宋" w:eastAsia="仿宋" w:cs="宋体"/>
                <w:kern w:val="0"/>
                <w:sz w:val="24"/>
              </w:rPr>
            </w:pPr>
          </w:p>
        </w:tc>
        <w:tc>
          <w:tcPr>
            <w:tcW w:w="1276" w:type="dxa"/>
            <w:vMerge w:val="continue"/>
            <w:vAlign w:val="center"/>
          </w:tcPr>
          <w:p>
            <w:pPr>
              <w:widowControl/>
              <w:jc w:val="left"/>
              <w:rPr>
                <w:rFonts w:ascii="仿宋" w:hAnsi="仿宋" w:eastAsia="仿宋" w:cs="宋体"/>
                <w:kern w:val="0"/>
                <w:sz w:val="24"/>
              </w:rPr>
            </w:pPr>
          </w:p>
        </w:tc>
        <w:tc>
          <w:tcPr>
            <w:tcW w:w="1370" w:type="dxa"/>
            <w:gridSpan w:val="2"/>
            <w:vMerge w:val="restar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成本指标</w:t>
            </w: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试验示范农民工补助</w:t>
            </w:r>
          </w:p>
        </w:tc>
        <w:tc>
          <w:tcPr>
            <w:tcW w:w="1417"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240元/亩</w:t>
            </w:r>
          </w:p>
        </w:tc>
        <w:tc>
          <w:tcPr>
            <w:tcW w:w="2268"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240元/亩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1" w:type="dxa"/>
            <w:vMerge w:val="continue"/>
            <w:vAlign w:val="center"/>
          </w:tcPr>
          <w:p>
            <w:pPr>
              <w:widowControl/>
              <w:jc w:val="left"/>
              <w:rPr>
                <w:rFonts w:ascii="仿宋" w:hAnsi="仿宋" w:eastAsia="仿宋" w:cs="宋体"/>
                <w:kern w:val="0"/>
                <w:sz w:val="24"/>
              </w:rPr>
            </w:pPr>
          </w:p>
        </w:tc>
        <w:tc>
          <w:tcPr>
            <w:tcW w:w="1276" w:type="dxa"/>
            <w:vMerge w:val="continue"/>
            <w:vAlign w:val="center"/>
          </w:tcPr>
          <w:p>
            <w:pPr>
              <w:widowControl/>
              <w:jc w:val="left"/>
              <w:rPr>
                <w:rFonts w:ascii="仿宋" w:hAnsi="仿宋" w:eastAsia="仿宋" w:cs="宋体"/>
                <w:kern w:val="0"/>
                <w:sz w:val="24"/>
              </w:rPr>
            </w:pPr>
          </w:p>
        </w:tc>
        <w:tc>
          <w:tcPr>
            <w:tcW w:w="1370" w:type="dxa"/>
            <w:gridSpan w:val="2"/>
            <w:vMerge w:val="continue"/>
            <w:vAlign w:val="center"/>
          </w:tcPr>
          <w:p>
            <w:pPr>
              <w:widowControl/>
              <w:jc w:val="left"/>
              <w:rPr>
                <w:rFonts w:ascii="仿宋" w:hAnsi="仿宋" w:eastAsia="仿宋" w:cs="宋体"/>
                <w:kern w:val="0"/>
                <w:sz w:val="24"/>
              </w:rPr>
            </w:pP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育烟棚综合利用试验农民工补助</w:t>
            </w:r>
          </w:p>
        </w:tc>
        <w:tc>
          <w:tcPr>
            <w:tcW w:w="1417"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300/棚</w:t>
            </w:r>
          </w:p>
        </w:tc>
        <w:tc>
          <w:tcPr>
            <w:tcW w:w="2268"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300/棚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1" w:type="dxa"/>
            <w:vMerge w:val="continue"/>
            <w:vAlign w:val="center"/>
          </w:tcPr>
          <w:p>
            <w:pPr>
              <w:widowControl/>
              <w:jc w:val="left"/>
              <w:rPr>
                <w:rFonts w:ascii="仿宋" w:hAnsi="仿宋" w:eastAsia="仿宋" w:cs="宋体"/>
                <w:kern w:val="0"/>
                <w:sz w:val="24"/>
              </w:rPr>
            </w:pPr>
          </w:p>
        </w:tc>
        <w:tc>
          <w:tcPr>
            <w:tcW w:w="1276" w:type="dxa"/>
            <w:vMerge w:val="continue"/>
            <w:vAlign w:val="center"/>
          </w:tcPr>
          <w:p>
            <w:pPr>
              <w:widowControl/>
              <w:jc w:val="left"/>
              <w:rPr>
                <w:rFonts w:ascii="仿宋" w:hAnsi="仿宋" w:eastAsia="仿宋" w:cs="宋体"/>
                <w:kern w:val="0"/>
                <w:sz w:val="24"/>
              </w:rPr>
            </w:pPr>
          </w:p>
        </w:tc>
        <w:tc>
          <w:tcPr>
            <w:tcW w:w="1370" w:type="dxa"/>
            <w:gridSpan w:val="2"/>
            <w:vMerge w:val="continue"/>
            <w:vAlign w:val="center"/>
          </w:tcPr>
          <w:p>
            <w:pPr>
              <w:widowControl/>
              <w:jc w:val="left"/>
              <w:rPr>
                <w:rFonts w:ascii="仿宋" w:hAnsi="仿宋" w:eastAsia="仿宋" w:cs="宋体"/>
                <w:kern w:val="0"/>
                <w:sz w:val="24"/>
              </w:rPr>
            </w:pP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烟地冬季综合利用示范农民工补助</w:t>
            </w:r>
          </w:p>
        </w:tc>
        <w:tc>
          <w:tcPr>
            <w:tcW w:w="1417"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50元/亩</w:t>
            </w:r>
          </w:p>
        </w:tc>
        <w:tc>
          <w:tcPr>
            <w:tcW w:w="2268"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50元/亩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51" w:type="dxa"/>
            <w:vMerge w:val="continue"/>
            <w:vAlign w:val="center"/>
          </w:tcPr>
          <w:p>
            <w:pPr>
              <w:widowControl/>
              <w:jc w:val="left"/>
              <w:rPr>
                <w:rFonts w:ascii="仿宋" w:hAnsi="仿宋" w:eastAsia="仿宋" w:cs="宋体"/>
                <w:kern w:val="0"/>
                <w:sz w:val="24"/>
              </w:rPr>
            </w:pPr>
          </w:p>
        </w:tc>
        <w:tc>
          <w:tcPr>
            <w:tcW w:w="1276" w:type="dxa"/>
            <w:vMerge w:val="restar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项目效果指标</w:t>
            </w:r>
          </w:p>
        </w:tc>
        <w:tc>
          <w:tcPr>
            <w:tcW w:w="1370" w:type="dxa"/>
            <w:gridSpan w:val="2"/>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经济效益</w:t>
            </w: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烟地冬季综合利用</w:t>
            </w:r>
          </w:p>
        </w:tc>
        <w:tc>
          <w:tcPr>
            <w:tcW w:w="1417"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180万元</w:t>
            </w:r>
          </w:p>
        </w:tc>
        <w:tc>
          <w:tcPr>
            <w:tcW w:w="2268"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450万元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51" w:type="dxa"/>
            <w:vMerge w:val="continue"/>
            <w:vAlign w:val="center"/>
          </w:tcPr>
          <w:p>
            <w:pPr>
              <w:widowControl/>
              <w:jc w:val="left"/>
              <w:rPr>
                <w:rFonts w:ascii="仿宋" w:hAnsi="仿宋" w:eastAsia="仿宋" w:cs="宋体"/>
                <w:kern w:val="0"/>
                <w:sz w:val="24"/>
              </w:rPr>
            </w:pPr>
          </w:p>
        </w:tc>
        <w:tc>
          <w:tcPr>
            <w:tcW w:w="1276" w:type="dxa"/>
            <w:vMerge w:val="continue"/>
            <w:vAlign w:val="center"/>
          </w:tcPr>
          <w:p>
            <w:pPr>
              <w:widowControl/>
              <w:jc w:val="left"/>
              <w:rPr>
                <w:rFonts w:ascii="仿宋" w:hAnsi="仿宋" w:eastAsia="仿宋" w:cs="宋体"/>
                <w:kern w:val="0"/>
                <w:sz w:val="24"/>
              </w:rPr>
            </w:pPr>
          </w:p>
        </w:tc>
        <w:tc>
          <w:tcPr>
            <w:tcW w:w="1370" w:type="dxa"/>
            <w:gridSpan w:val="2"/>
            <w:vMerge w:val="restar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社会效益</w:t>
            </w:r>
            <w:r>
              <w:rPr>
                <w:rFonts w:hint="eastAsia" w:ascii="仿宋" w:hAnsi="仿宋" w:eastAsia="仿宋" w:cs="宋体"/>
                <w:kern w:val="0"/>
                <w:sz w:val="24"/>
              </w:rPr>
              <w:br w:type="textWrapping"/>
            </w:r>
            <w:r>
              <w:rPr>
                <w:rFonts w:hint="eastAsia" w:ascii="仿宋" w:hAnsi="仿宋" w:eastAsia="仿宋" w:cs="宋体"/>
                <w:kern w:val="0"/>
                <w:sz w:val="24"/>
              </w:rPr>
              <w:t>指标</w:t>
            </w: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降低育烟棚和预留烟地闲置率</w:t>
            </w:r>
          </w:p>
        </w:tc>
        <w:tc>
          <w:tcPr>
            <w:tcW w:w="1417"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有效降低闲置率</w:t>
            </w:r>
          </w:p>
        </w:tc>
        <w:tc>
          <w:tcPr>
            <w:tcW w:w="2268"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利用育烟棚集中育越冬蔬菜苗，提高了育烟棚使用效率，降低了闲置率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51" w:type="dxa"/>
            <w:vMerge w:val="continue"/>
            <w:vAlign w:val="center"/>
          </w:tcPr>
          <w:p>
            <w:pPr>
              <w:widowControl/>
              <w:jc w:val="left"/>
              <w:rPr>
                <w:rFonts w:ascii="仿宋" w:hAnsi="仿宋" w:eastAsia="仿宋" w:cs="宋体"/>
                <w:kern w:val="0"/>
                <w:sz w:val="24"/>
              </w:rPr>
            </w:pPr>
          </w:p>
        </w:tc>
        <w:tc>
          <w:tcPr>
            <w:tcW w:w="1276" w:type="dxa"/>
            <w:vMerge w:val="continue"/>
            <w:vAlign w:val="center"/>
          </w:tcPr>
          <w:p>
            <w:pPr>
              <w:widowControl/>
              <w:jc w:val="left"/>
              <w:rPr>
                <w:rFonts w:ascii="仿宋" w:hAnsi="仿宋" w:eastAsia="仿宋" w:cs="宋体"/>
                <w:kern w:val="0"/>
                <w:sz w:val="24"/>
              </w:rPr>
            </w:pPr>
          </w:p>
        </w:tc>
        <w:tc>
          <w:tcPr>
            <w:tcW w:w="1370" w:type="dxa"/>
            <w:gridSpan w:val="2"/>
            <w:vMerge w:val="continue"/>
            <w:vAlign w:val="center"/>
          </w:tcPr>
          <w:p>
            <w:pPr>
              <w:widowControl/>
              <w:jc w:val="left"/>
              <w:rPr>
                <w:rFonts w:ascii="仿宋" w:hAnsi="仿宋" w:eastAsia="仿宋" w:cs="宋体"/>
                <w:kern w:val="0"/>
                <w:sz w:val="24"/>
              </w:rPr>
            </w:pP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稳定职业烟农</w:t>
            </w:r>
          </w:p>
        </w:tc>
        <w:tc>
          <w:tcPr>
            <w:tcW w:w="1417"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稳定队伍</w:t>
            </w:r>
          </w:p>
        </w:tc>
        <w:tc>
          <w:tcPr>
            <w:tcW w:w="2268"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通过在烟地种植越冬蔬菜，提高了烟农收入，稳定烟农队伍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51" w:type="dxa"/>
            <w:vMerge w:val="continue"/>
            <w:vAlign w:val="center"/>
          </w:tcPr>
          <w:p>
            <w:pPr>
              <w:widowControl/>
              <w:jc w:val="left"/>
              <w:rPr>
                <w:rFonts w:ascii="仿宋" w:hAnsi="仿宋" w:eastAsia="仿宋" w:cs="宋体"/>
                <w:kern w:val="0"/>
                <w:sz w:val="24"/>
              </w:rPr>
            </w:pPr>
          </w:p>
        </w:tc>
        <w:tc>
          <w:tcPr>
            <w:tcW w:w="1276" w:type="dxa"/>
            <w:vMerge w:val="continue"/>
            <w:vAlign w:val="center"/>
          </w:tcPr>
          <w:p>
            <w:pPr>
              <w:widowControl/>
              <w:jc w:val="left"/>
              <w:rPr>
                <w:rFonts w:ascii="仿宋" w:hAnsi="仿宋" w:eastAsia="仿宋" w:cs="宋体"/>
                <w:kern w:val="0"/>
                <w:sz w:val="24"/>
              </w:rPr>
            </w:pPr>
          </w:p>
        </w:tc>
        <w:tc>
          <w:tcPr>
            <w:tcW w:w="1370" w:type="dxa"/>
            <w:gridSpan w:val="2"/>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可持续影响</w:t>
            </w:r>
            <w:r>
              <w:rPr>
                <w:rFonts w:hint="eastAsia" w:ascii="仿宋" w:hAnsi="仿宋" w:eastAsia="仿宋" w:cs="宋体"/>
                <w:kern w:val="0"/>
                <w:sz w:val="24"/>
              </w:rPr>
              <w:br w:type="textWrapping"/>
            </w:r>
            <w:r>
              <w:rPr>
                <w:rFonts w:hint="eastAsia" w:ascii="仿宋" w:hAnsi="仿宋" w:eastAsia="仿宋" w:cs="宋体"/>
                <w:kern w:val="0"/>
                <w:sz w:val="24"/>
              </w:rPr>
              <w:t>指标</w:t>
            </w: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烟草产业发展</w:t>
            </w:r>
          </w:p>
        </w:tc>
        <w:tc>
          <w:tcPr>
            <w:tcW w:w="1417"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为烤烟新品系在广元烟区推广提供一手施肥技术</w:t>
            </w:r>
          </w:p>
        </w:tc>
        <w:tc>
          <w:tcPr>
            <w:tcW w:w="2268" w:type="dxa"/>
            <w:gridSpan w:val="2"/>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探索了烤烟新品系09011在广元烟区的施肥技术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851" w:type="dxa"/>
            <w:vMerge w:val="continue"/>
            <w:vAlign w:val="center"/>
          </w:tcPr>
          <w:p>
            <w:pPr>
              <w:widowControl/>
              <w:jc w:val="left"/>
              <w:rPr>
                <w:rFonts w:ascii="仿宋" w:hAnsi="仿宋" w:eastAsia="仿宋" w:cs="宋体"/>
                <w:kern w:val="0"/>
                <w:sz w:val="24"/>
              </w:rPr>
            </w:pPr>
          </w:p>
        </w:tc>
        <w:tc>
          <w:tcPr>
            <w:tcW w:w="1276" w:type="dxa"/>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满意度</w:t>
            </w:r>
            <w:r>
              <w:rPr>
                <w:rFonts w:hint="eastAsia" w:ascii="仿宋" w:hAnsi="仿宋" w:eastAsia="仿宋" w:cs="宋体"/>
                <w:kern w:val="0"/>
                <w:sz w:val="24"/>
              </w:rPr>
              <w:br w:type="textWrapping"/>
            </w:r>
            <w:r>
              <w:rPr>
                <w:rFonts w:hint="eastAsia" w:ascii="仿宋" w:hAnsi="仿宋" w:eastAsia="仿宋" w:cs="宋体"/>
                <w:kern w:val="0"/>
                <w:sz w:val="24"/>
              </w:rPr>
              <w:t>指标</w:t>
            </w:r>
          </w:p>
        </w:tc>
        <w:tc>
          <w:tcPr>
            <w:tcW w:w="1370" w:type="dxa"/>
            <w:gridSpan w:val="2"/>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满意度指标</w:t>
            </w:r>
          </w:p>
        </w:tc>
        <w:tc>
          <w:tcPr>
            <w:tcW w:w="288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服务对象满意度</w:t>
            </w:r>
          </w:p>
        </w:tc>
        <w:tc>
          <w:tcPr>
            <w:tcW w:w="1417" w:type="dxa"/>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≥90%</w:t>
            </w:r>
          </w:p>
        </w:tc>
        <w:tc>
          <w:tcPr>
            <w:tcW w:w="2268" w:type="dxa"/>
            <w:gridSpan w:val="2"/>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≥90%</w:t>
            </w:r>
          </w:p>
        </w:tc>
      </w:tr>
    </w:tbl>
    <w:p>
      <w:pPr>
        <w:rPr>
          <w:rFonts w:ascii="仿宋" w:hAnsi="仿宋" w:eastAsia="仿宋"/>
          <w:sz w:val="32"/>
          <w:szCs w:val="32"/>
          <w:lang w:val="zh-CN"/>
        </w:rPr>
      </w:pPr>
      <w:r>
        <w:rPr>
          <w:rFonts w:hint="eastAsia" w:ascii="仿宋" w:hAnsi="仿宋" w:eastAsia="仿宋"/>
          <w:sz w:val="32"/>
          <w:szCs w:val="32"/>
          <w:lang w:val="zh-CN"/>
        </w:rPr>
        <w:br w:type="page"/>
      </w:r>
    </w:p>
    <w:p>
      <w:pPr>
        <w:pStyle w:val="34"/>
        <w:spacing w:line="700" w:lineRule="exact"/>
        <w:jc w:val="center"/>
        <w:rPr>
          <w:rFonts w:ascii="方正小标宋简体" w:hAnsi="宋体" w:eastAsia="方正小标宋简体"/>
          <w:sz w:val="44"/>
          <w:szCs w:val="44"/>
          <w:lang w:val="en-US"/>
        </w:rPr>
      </w:pPr>
      <w:r>
        <w:rPr>
          <w:rFonts w:hint="eastAsia" w:ascii="方正小标宋简体" w:hAnsi="宋体" w:eastAsia="方正小标宋简体"/>
          <w:sz w:val="44"/>
          <w:szCs w:val="44"/>
          <w:lang w:val="en-US"/>
        </w:rPr>
        <w:t>2021年中茶所科技合作经费</w:t>
      </w:r>
    </w:p>
    <w:p>
      <w:pPr>
        <w:pStyle w:val="34"/>
        <w:spacing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rPr>
        <w:t>项目支出</w:t>
      </w:r>
      <w:r>
        <w:rPr>
          <w:rFonts w:hint="eastAsia" w:ascii="方正小标宋简体" w:hAnsi="宋体" w:eastAsia="方正小标宋简体"/>
          <w:sz w:val="44"/>
          <w:szCs w:val="44"/>
        </w:rPr>
        <w:t>绩效自评报告</w:t>
      </w:r>
    </w:p>
    <w:p>
      <w:pPr>
        <w:pStyle w:val="34"/>
        <w:spacing w:line="700" w:lineRule="exact"/>
        <w:jc w:val="center"/>
        <w:rPr>
          <w:rFonts w:ascii="方正小标宋简体" w:hAnsi="宋体" w:eastAsia="方正小标宋简体"/>
          <w:sz w:val="44"/>
          <w:szCs w:val="44"/>
        </w:rPr>
      </w:pP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spacing w:line="576"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（一）项目基本情况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1.主管部门在项目管理中的职能。广元市人民政府与中国农业科学院茶叶研究所2020年签订了《科技合作协议》（2020年-2025年），市农业农村局为联络单位，负责相关工作对接。</w:t>
      </w:r>
    </w:p>
    <w:p>
      <w:pPr>
        <w:spacing w:line="576"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项目立项、资金申报依据。根据《科技合作协议》要求，广元市人民政府每年支付技术服务费人民币伍万元整，承担中国农业科学院茶叶研究所科技人员来往交通、食宿等费用。市财政安排《科技合作协议》项目资金10万元。</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3.资金管理办法制定及资金分配。资金管理办法按照市农业农村局项目资金管理办法执行，其中，支付中茶所科技服务费5万元，技术培训、中茶所专家食宿交通等费用5万元。</w:t>
      </w:r>
    </w:p>
    <w:p>
      <w:pPr>
        <w:spacing w:line="576" w:lineRule="exact"/>
        <w:ind w:firstLine="640" w:firstLineChars="200"/>
      </w:pPr>
      <w:r>
        <w:rPr>
          <w:rFonts w:hint="eastAsia" w:ascii="仿宋_GB2312" w:hAnsi="仿宋_GB2312" w:eastAsia="仿宋_GB2312" w:cs="仿宋_GB2312"/>
          <w:sz w:val="32"/>
          <w:szCs w:val="32"/>
        </w:rPr>
        <w:t>4.资金分配原则和考虑因素。本着茶产业发展，科技先行的原则，科技服务费在市政府与中茶所签订《科技合作协议》后支付，技术培训费按照实施方案和实际工作据实报销。</w:t>
      </w:r>
    </w:p>
    <w:p>
      <w:pPr>
        <w:spacing w:line="576"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（二）项目绩效目标</w:t>
      </w:r>
    </w:p>
    <w:p>
      <w:pPr>
        <w:spacing w:line="576" w:lineRule="exact"/>
        <w:ind w:firstLine="640" w:firstLineChars="200"/>
        <w:rPr>
          <w:rFonts w:ascii="仿宋_GB2312" w:hAnsi="仿宋_GB2312" w:eastAsia="仿宋_GB2312" w:cs="仿宋_GB2312"/>
          <w:sz w:val="32"/>
          <w:szCs w:val="32"/>
        </w:rPr>
      </w:pPr>
      <w:r>
        <w:rPr>
          <w:rFonts w:hint="eastAsia" w:ascii="方正仿宋_GBK" w:hAnsi="方正仿宋_GBK" w:eastAsia="方正仿宋_GBK" w:cs="方正仿宋_GBK"/>
          <w:sz w:val="32"/>
          <w:szCs w:val="32"/>
        </w:rPr>
        <w:t>1.项目主要内容。</w:t>
      </w:r>
      <w:r>
        <w:rPr>
          <w:rFonts w:hint="eastAsia" w:ascii="仿宋_GB2312" w:eastAsia="仿宋_GB2312"/>
          <w:sz w:val="32"/>
          <w:szCs w:val="32"/>
        </w:rPr>
        <w:t>市政府与中茶所签订《科技合作协议》，指导广元市茶产业规划、茶产品开发、技术培训等工作</w:t>
      </w:r>
      <w:r>
        <w:rPr>
          <w:rFonts w:hint="eastAsia" w:ascii="仿宋_GB2312" w:hAnsi="仿宋_GB2312" w:eastAsia="仿宋_GB2312" w:cs="仿宋_GB2312"/>
          <w:sz w:val="32"/>
          <w:szCs w:val="32"/>
        </w:rPr>
        <w:t>。</w:t>
      </w:r>
    </w:p>
    <w:p>
      <w:pPr>
        <w:pStyle w:val="9"/>
        <w:spacing w:line="600" w:lineRule="exact"/>
        <w:ind w:firstLine="640" w:firstLineChars="200"/>
        <w:rPr>
          <w:rFonts w:ascii="仿宋_GB2312" w:hAnsi="仿宋_GB2312" w:eastAsia="仿宋_GB2312" w:cs="仿宋_GB2312"/>
          <w:b/>
          <w:bCs/>
          <w:sz w:val="32"/>
          <w:szCs w:val="32"/>
        </w:rPr>
      </w:pPr>
      <w:r>
        <w:rPr>
          <w:rFonts w:hint="eastAsia" w:ascii="方正仿宋_GBK" w:hAnsi="方正仿宋_GBK" w:eastAsia="方正仿宋_GBK" w:cs="方正仿宋_GBK"/>
          <w:sz w:val="32"/>
          <w:szCs w:val="32"/>
        </w:rPr>
        <w:t>2.具体绩效目标。</w:t>
      </w:r>
      <w:r>
        <w:rPr>
          <w:rFonts w:hint="eastAsia" w:ascii="仿宋_GB2312" w:eastAsia="仿宋_GB2312"/>
          <w:sz w:val="32"/>
          <w:szCs w:val="32"/>
        </w:rPr>
        <w:t>开展科技合作，提升建设旺苍现代种业园区，提升发展青川县“白叶一号”茶产业，推广茶产业发展新品种、新技术，完善广元黄茶标准体系，推广茶叶有机生产，提升打造广元茶叶品牌，积极开展广元茶叶产品推介活动。</w:t>
      </w:r>
    </w:p>
    <w:tbl>
      <w:tblPr>
        <w:tblStyle w:val="15"/>
        <w:tblW w:w="8844" w:type="dxa"/>
        <w:tblInd w:w="93" w:type="dxa"/>
        <w:tblLayout w:type="autofit"/>
        <w:tblCellMar>
          <w:top w:w="0" w:type="dxa"/>
          <w:left w:w="108" w:type="dxa"/>
          <w:bottom w:w="0" w:type="dxa"/>
          <w:right w:w="108" w:type="dxa"/>
        </w:tblCellMar>
      </w:tblPr>
      <w:tblGrid>
        <w:gridCol w:w="1335"/>
        <w:gridCol w:w="2609"/>
        <w:gridCol w:w="2179"/>
        <w:gridCol w:w="2721"/>
      </w:tblGrid>
      <w:tr>
        <w:tblPrEx>
          <w:tblCellMar>
            <w:top w:w="0" w:type="dxa"/>
            <w:left w:w="108" w:type="dxa"/>
            <w:bottom w:w="0" w:type="dxa"/>
            <w:right w:w="108" w:type="dxa"/>
          </w:tblCellMar>
        </w:tblPrEx>
        <w:trPr>
          <w:trHeight w:val="570" w:hRule="atLeast"/>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6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进度计划</w:t>
            </w:r>
          </w:p>
        </w:tc>
      </w:tr>
      <w:tr>
        <w:tblPrEx>
          <w:tblCellMar>
            <w:top w:w="0" w:type="dxa"/>
            <w:left w:w="108" w:type="dxa"/>
            <w:bottom w:w="0" w:type="dxa"/>
            <w:right w:w="108" w:type="dxa"/>
          </w:tblCellMar>
        </w:tblPrEx>
        <w:trPr>
          <w:trHeight w:val="480" w:hRule="atLeast"/>
        </w:trPr>
        <w:tc>
          <w:tcPr>
            <w:tcW w:w="13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数量指标</w:t>
            </w:r>
          </w:p>
        </w:tc>
        <w:tc>
          <w:tcPr>
            <w:tcW w:w="26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 xml:space="preserve"> 技术指导培训</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到企业、茶叶基地开展技术指导培训2次以上</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2021年12月</w:t>
            </w:r>
          </w:p>
        </w:tc>
      </w:tr>
      <w:tr>
        <w:tblPrEx>
          <w:tblCellMar>
            <w:top w:w="0" w:type="dxa"/>
            <w:left w:w="108" w:type="dxa"/>
            <w:bottom w:w="0" w:type="dxa"/>
            <w:right w:w="108" w:type="dxa"/>
          </w:tblCellMar>
        </w:tblPrEx>
        <w:trPr>
          <w:trHeight w:val="480" w:hRule="atLeast"/>
        </w:trPr>
        <w:tc>
          <w:tcPr>
            <w:tcW w:w="13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26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 xml:space="preserve"> 技术咨询服务</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广元市茶产业发展规划建议，技术服务</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sz w:val="24"/>
              </w:rPr>
              <w:t>2021年12月</w:t>
            </w:r>
          </w:p>
        </w:tc>
      </w:tr>
      <w:tr>
        <w:tblPrEx>
          <w:tblCellMar>
            <w:top w:w="0" w:type="dxa"/>
            <w:left w:w="108" w:type="dxa"/>
            <w:bottom w:w="0" w:type="dxa"/>
            <w:right w:w="108" w:type="dxa"/>
          </w:tblCellMar>
        </w:tblPrEx>
        <w:trPr>
          <w:trHeight w:val="480" w:hRule="atLeast"/>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质量指标</w:t>
            </w:r>
          </w:p>
        </w:tc>
        <w:tc>
          <w:tcPr>
            <w:tcW w:w="26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 xml:space="preserve"> 各项指标完成</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100%</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2021年12月</w:t>
            </w:r>
          </w:p>
        </w:tc>
      </w:tr>
      <w:tr>
        <w:tblPrEx>
          <w:tblCellMar>
            <w:top w:w="0" w:type="dxa"/>
            <w:left w:w="108" w:type="dxa"/>
            <w:bottom w:w="0" w:type="dxa"/>
            <w:right w:w="108" w:type="dxa"/>
          </w:tblCellMar>
        </w:tblPrEx>
        <w:trPr>
          <w:trHeight w:val="480" w:hRule="atLeast"/>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时效指标</w:t>
            </w:r>
          </w:p>
        </w:tc>
        <w:tc>
          <w:tcPr>
            <w:tcW w:w="26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调查研究业务培训</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2021年全年</w:t>
            </w:r>
          </w:p>
        </w:tc>
        <w:tc>
          <w:tcPr>
            <w:tcW w:w="272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4"/>
              </w:rPr>
            </w:pPr>
            <w:r>
              <w:rPr>
                <w:rFonts w:hint="eastAsia" w:ascii="仿宋" w:hAnsi="仿宋" w:eastAsia="仿宋" w:cs="宋体"/>
                <w:color w:val="000000"/>
                <w:sz w:val="24"/>
              </w:rPr>
              <w:t>2021年全年</w:t>
            </w:r>
          </w:p>
        </w:tc>
      </w:tr>
      <w:tr>
        <w:tblPrEx>
          <w:tblCellMar>
            <w:top w:w="0" w:type="dxa"/>
            <w:left w:w="108" w:type="dxa"/>
            <w:bottom w:w="0" w:type="dxa"/>
            <w:right w:w="108" w:type="dxa"/>
          </w:tblCellMar>
        </w:tblPrEx>
        <w:trPr>
          <w:trHeight w:val="480" w:hRule="atLeast"/>
        </w:trPr>
        <w:tc>
          <w:tcPr>
            <w:tcW w:w="13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成本指标</w:t>
            </w:r>
          </w:p>
        </w:tc>
        <w:tc>
          <w:tcPr>
            <w:tcW w:w="26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 xml:space="preserve"> 技术服务费</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5万元</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sz w:val="24"/>
              </w:rPr>
              <w:t>5</w:t>
            </w:r>
          </w:p>
        </w:tc>
      </w:tr>
      <w:tr>
        <w:tblPrEx>
          <w:tblCellMar>
            <w:top w:w="0" w:type="dxa"/>
            <w:left w:w="108" w:type="dxa"/>
            <w:bottom w:w="0" w:type="dxa"/>
            <w:right w:w="108" w:type="dxa"/>
          </w:tblCellMar>
        </w:tblPrEx>
        <w:trPr>
          <w:trHeight w:val="480" w:hRule="atLeast"/>
        </w:trPr>
        <w:tc>
          <w:tcPr>
            <w:tcW w:w="13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26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 xml:space="preserve"> 业务指导培训</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5万元</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ascii="仿宋" w:hAnsi="仿宋" w:eastAsia="仿宋" w:cs="宋体"/>
                <w:color w:val="000000"/>
                <w:sz w:val="24"/>
              </w:rPr>
              <w:t>5</w:t>
            </w:r>
          </w:p>
        </w:tc>
      </w:tr>
      <w:tr>
        <w:tblPrEx>
          <w:tblCellMar>
            <w:top w:w="0" w:type="dxa"/>
            <w:left w:w="108" w:type="dxa"/>
            <w:bottom w:w="0" w:type="dxa"/>
            <w:right w:w="108" w:type="dxa"/>
          </w:tblCellMar>
        </w:tblPrEx>
        <w:trPr>
          <w:trHeight w:val="480" w:hRule="atLeast"/>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生态效益</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6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科学制定广元茶产业高质量发展措施</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高质量推进广元茶产业发展，全面完成年度目标任务</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sz w:val="24"/>
              </w:rPr>
              <w:t>2021年全年</w:t>
            </w:r>
          </w:p>
        </w:tc>
      </w:tr>
      <w:tr>
        <w:tblPrEx>
          <w:tblCellMar>
            <w:top w:w="0" w:type="dxa"/>
            <w:left w:w="108" w:type="dxa"/>
            <w:bottom w:w="0" w:type="dxa"/>
            <w:right w:w="108" w:type="dxa"/>
          </w:tblCellMar>
        </w:tblPrEx>
        <w:trPr>
          <w:trHeight w:val="480" w:hRule="atLeast"/>
        </w:trPr>
        <w:tc>
          <w:tcPr>
            <w:tcW w:w="13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26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市委、市政府</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≥95%</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2021年全年</w:t>
            </w:r>
          </w:p>
        </w:tc>
      </w:tr>
      <w:tr>
        <w:tblPrEx>
          <w:tblCellMar>
            <w:top w:w="0" w:type="dxa"/>
            <w:left w:w="108" w:type="dxa"/>
            <w:bottom w:w="0" w:type="dxa"/>
            <w:right w:w="108" w:type="dxa"/>
          </w:tblCellMar>
        </w:tblPrEx>
        <w:trPr>
          <w:trHeight w:val="480" w:hRule="atLeast"/>
        </w:trPr>
        <w:tc>
          <w:tcPr>
            <w:tcW w:w="13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26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服务对象</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≥95%</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p>
        </w:tc>
      </w:tr>
    </w:tbl>
    <w:p>
      <w:pPr>
        <w:pStyle w:val="9"/>
        <w:spacing w:line="600"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rPr>
        <w:t>3.</w:t>
      </w:r>
      <w:r>
        <w:rPr>
          <w:rFonts w:ascii="仿宋_GB2312" w:hAnsi="仿宋_GB2312" w:eastAsia="仿宋_GB2312" w:cs="仿宋_GB2312"/>
          <w:sz w:val="32"/>
          <w:szCs w:val="32"/>
        </w:rPr>
        <w:t>项目实际实施内容与项目实施方案中建设内容相符，</w:t>
      </w:r>
      <w:r>
        <w:rPr>
          <w:rFonts w:hint="eastAsia" w:ascii="仿宋_GB2312" w:hAnsi="仿宋_GB2312" w:eastAsia="仿宋_GB2312" w:cs="仿宋_GB2312"/>
          <w:sz w:val="32"/>
          <w:szCs w:val="32"/>
        </w:rPr>
        <w:t>申报</w:t>
      </w:r>
      <w:r>
        <w:rPr>
          <w:rFonts w:ascii="仿宋_GB2312" w:hAnsi="仿宋_GB2312" w:eastAsia="仿宋_GB2312" w:cs="仿宋_GB2312"/>
          <w:sz w:val="32"/>
          <w:szCs w:val="32"/>
        </w:rPr>
        <w:t>目标合理可行。</w:t>
      </w:r>
    </w:p>
    <w:p>
      <w:pPr>
        <w:spacing w:line="576"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（三）项目自评步骤及方法</w:t>
      </w:r>
    </w:p>
    <w:p>
      <w:pPr>
        <w:adjustRightInd w:val="0"/>
        <w:snapToGrid w:val="0"/>
        <w:spacing w:line="576" w:lineRule="exact"/>
        <w:ind w:firstLine="720"/>
        <w:rPr>
          <w:rFonts w:ascii="仿宋" w:hAnsi="仿宋" w:eastAsia="仿宋"/>
          <w:sz w:val="32"/>
          <w:szCs w:val="32"/>
        </w:rPr>
      </w:pPr>
      <w:r>
        <w:rPr>
          <w:rFonts w:hint="eastAsia" w:ascii="仿宋" w:hAnsi="仿宋" w:eastAsia="仿宋" w:cs="仿宋_GB2312"/>
          <w:sz w:val="32"/>
          <w:szCs w:val="32"/>
        </w:rPr>
        <w:t>根据项目支出绩效评价工作安排。我局严密组织对本项目开展了项目支出绩效自评，部门严格对照年初制定的绩效目标、评价标准开展绩效自评，全面覆盖财政资金的产出和效果。</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76"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（一）项目资金申报及批复情况</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市财政局《关于批</w:t>
      </w:r>
      <w:r>
        <w:rPr>
          <w:rFonts w:hint="eastAsia" w:ascii="仿宋" w:hAnsi="仿宋" w:eastAsia="仿宋" w:cs="宋体"/>
          <w:sz w:val="32"/>
          <w:szCs w:val="32"/>
        </w:rPr>
        <w:t>复2021年市级部门预算的通知》（广财预[2021]1号）</w:t>
      </w:r>
      <w:r>
        <w:rPr>
          <w:rFonts w:hint="eastAsia" w:ascii="仿宋" w:hAnsi="仿宋" w:eastAsia="仿宋"/>
          <w:sz w:val="32"/>
          <w:szCs w:val="32"/>
        </w:rPr>
        <w:t>下达项目资金10万元。</w:t>
      </w:r>
    </w:p>
    <w:p>
      <w:pPr>
        <w:spacing w:line="576" w:lineRule="exact"/>
        <w:ind w:firstLine="640" w:firstLineChars="200"/>
        <w:rPr>
          <w:rFonts w:eastAsia="仿宋_GB2312"/>
          <w:sz w:val="32"/>
          <w:szCs w:val="32"/>
        </w:rPr>
      </w:pPr>
      <w:r>
        <w:rPr>
          <w:rFonts w:hint="eastAsia" w:ascii="楷体_GB2312" w:hAnsi="楷体_GB2312" w:eastAsia="楷体_GB2312" w:cs="楷体_GB2312"/>
          <w:b/>
          <w:bCs/>
          <w:sz w:val="32"/>
          <w:szCs w:val="32"/>
        </w:rPr>
        <w:t>（二）资金计划、到位及使用情况。</w:t>
      </w:r>
    </w:p>
    <w:p>
      <w:pPr>
        <w:spacing w:line="576" w:lineRule="exact"/>
        <w:ind w:firstLine="640" w:firstLineChars="200"/>
        <w:rPr>
          <w:rFonts w:eastAsia="仿宋_GB2312"/>
          <w:sz w:val="32"/>
          <w:szCs w:val="32"/>
        </w:rPr>
      </w:pPr>
      <w:r>
        <w:rPr>
          <w:rFonts w:hint="eastAsia" w:eastAsia="仿宋_GB2312"/>
          <w:sz w:val="32"/>
          <w:szCs w:val="32"/>
        </w:rPr>
        <w:t>1.资金计划。计划资金10万元。</w:t>
      </w:r>
    </w:p>
    <w:p>
      <w:pPr>
        <w:spacing w:line="576" w:lineRule="exact"/>
        <w:ind w:firstLine="640" w:firstLineChars="200"/>
        <w:rPr>
          <w:rFonts w:eastAsia="仿宋_GB2312"/>
          <w:sz w:val="32"/>
          <w:szCs w:val="32"/>
        </w:rPr>
      </w:pPr>
      <w:r>
        <w:rPr>
          <w:rFonts w:hint="eastAsia" w:eastAsia="仿宋_GB2312"/>
          <w:sz w:val="32"/>
          <w:szCs w:val="32"/>
        </w:rPr>
        <w:t>2.资金到位。实际到位资金10万元，资金到位及时，资金到位率100%。</w:t>
      </w:r>
    </w:p>
    <w:p>
      <w:pPr>
        <w:spacing w:line="576" w:lineRule="exact"/>
        <w:ind w:firstLine="640" w:firstLineChars="200"/>
        <w:rPr>
          <w:rFonts w:eastAsia="仿宋_GB2312"/>
          <w:sz w:val="32"/>
          <w:szCs w:val="32"/>
        </w:rPr>
      </w:pPr>
      <w:r>
        <w:rPr>
          <w:rFonts w:hint="eastAsia" w:eastAsia="仿宋_GB2312"/>
          <w:sz w:val="32"/>
          <w:szCs w:val="32"/>
        </w:rPr>
        <w:t>3.资金使用。实际使用资金</w:t>
      </w:r>
      <w:r>
        <w:rPr>
          <w:rFonts w:eastAsia="仿宋_GB2312"/>
          <w:sz w:val="32"/>
          <w:szCs w:val="32"/>
        </w:rPr>
        <w:t>10</w:t>
      </w:r>
      <w:r>
        <w:rPr>
          <w:rFonts w:hint="eastAsia" w:eastAsia="仿宋_GB2312"/>
          <w:sz w:val="32"/>
          <w:szCs w:val="32"/>
        </w:rPr>
        <w:t>万元，资金使用率100%。</w:t>
      </w:r>
    </w:p>
    <w:p>
      <w:pPr>
        <w:spacing w:line="576"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（二）项目财务管理情况</w:t>
      </w:r>
    </w:p>
    <w:p>
      <w:pPr>
        <w:spacing w:line="576" w:lineRule="exact"/>
        <w:ind w:firstLine="640" w:firstLineChars="200"/>
        <w:rPr>
          <w:rFonts w:eastAsia="仿宋_GB2312"/>
          <w:sz w:val="32"/>
          <w:szCs w:val="32"/>
        </w:rPr>
      </w:pPr>
      <w:r>
        <w:rPr>
          <w:rFonts w:hint="eastAsia" w:eastAsia="仿宋_GB2312"/>
          <w:sz w:val="32"/>
          <w:szCs w:val="32"/>
        </w:rPr>
        <w:t>财务管理制度健全，严格执行财务管理制度，账务处理及时。会计核算规范</w:t>
      </w:r>
      <w:r>
        <w:rPr>
          <w:rFonts w:eastAsia="仿宋_GB2312"/>
          <w:sz w:val="32"/>
          <w:szCs w:val="32"/>
        </w:rPr>
        <w:t>。</w:t>
      </w:r>
    </w:p>
    <w:p>
      <w:pPr>
        <w:spacing w:line="576" w:lineRule="exact"/>
        <w:ind w:firstLine="640" w:firstLineChars="200"/>
        <w:rPr>
          <w:rFonts w:ascii="黑体" w:hAnsi="宋体" w:eastAsia="黑体"/>
        </w:rPr>
      </w:pPr>
      <w:r>
        <w:rPr>
          <w:rFonts w:hint="eastAsia" w:ascii="黑体" w:hAnsi="黑体" w:eastAsia="黑体" w:cs="黑体"/>
          <w:sz w:val="32"/>
          <w:szCs w:val="32"/>
        </w:rPr>
        <w:t>三、项目实施及管理情况</w:t>
      </w:r>
    </w:p>
    <w:p>
      <w:pPr>
        <w:spacing w:line="576" w:lineRule="exact"/>
        <w:ind w:firstLine="640"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（一）项目组织框架及实施流程</w:t>
      </w:r>
    </w:p>
    <w:p>
      <w:pPr>
        <w:spacing w:line="576" w:lineRule="exact"/>
        <w:ind w:firstLine="640" w:firstLineChars="200"/>
        <w:rPr>
          <w:rFonts w:eastAsia="仿宋_GB2312"/>
          <w:sz w:val="32"/>
          <w:szCs w:val="32"/>
        </w:rPr>
      </w:pPr>
      <w:r>
        <w:rPr>
          <w:rFonts w:hint="eastAsia" w:eastAsia="仿宋_GB2312"/>
          <w:sz w:val="32"/>
          <w:szCs w:val="32"/>
        </w:rPr>
        <w:t xml:space="preserve"> 该项目由市经济作物管理站负责制定实施方案，按照经局党组会议审议通过的实施内容、资金分配方案等实施。</w:t>
      </w:r>
    </w:p>
    <w:p>
      <w:pPr>
        <w:adjustRightInd w:val="0"/>
        <w:snapToGrid w:val="0"/>
        <w:spacing w:line="576" w:lineRule="exact"/>
        <w:ind w:firstLine="420" w:firstLineChars="200"/>
        <w:rPr>
          <w:rFonts w:ascii="楷体_GB2312" w:hAnsi="楷体_GB2312" w:eastAsia="楷体_GB2312" w:cs="楷体_GB2312"/>
          <w:b/>
          <w:bCs/>
          <w:sz w:val="32"/>
          <w:szCs w:val="32"/>
        </w:rPr>
      </w:pPr>
      <w:r>
        <w:rPr>
          <w:rFonts w:hint="eastAsia"/>
        </w:rPr>
        <w:t xml:space="preserve"> </w:t>
      </w:r>
      <w:r>
        <w:rPr>
          <w:rFonts w:hint="eastAsia" w:ascii="楷体_GB2312" w:hAnsi="楷体_GB2312" w:eastAsia="楷体_GB2312" w:cs="楷体_GB2312"/>
          <w:b/>
          <w:bCs/>
          <w:sz w:val="32"/>
          <w:szCs w:val="32"/>
        </w:rPr>
        <w:t>（二）项目管理情况</w:t>
      </w:r>
    </w:p>
    <w:p>
      <w:pPr>
        <w:pStyle w:val="14"/>
        <w:spacing w:line="576" w:lineRule="exact"/>
        <w:ind w:left="0" w:leftChars="0" w:firstLine="640"/>
        <w:rPr>
          <w:rFonts w:ascii="Times New Roman" w:hAnsi="Times New Roman" w:eastAsia="仿宋_GB2312"/>
        </w:rPr>
      </w:pPr>
      <w:r>
        <w:rPr>
          <w:rFonts w:hint="eastAsia" w:ascii="Times New Roman" w:hAnsi="Times New Roman" w:eastAsia="仿宋_GB2312"/>
        </w:rPr>
        <w:t>该项目由我局下属事业单位市经济作物管理站具体实施。</w:t>
      </w:r>
      <w:r>
        <w:rPr>
          <w:rFonts w:hint="eastAsia" w:ascii="仿宋_GB2312" w:hAnsi="仿宋_GB2312" w:cs="仿宋_GB2312"/>
        </w:rPr>
        <w:t>严格按照财务管理制度实施、严格执行财务管理制度、财务处理及时、会计核算及账务处理规范。</w:t>
      </w:r>
    </w:p>
    <w:p>
      <w:pPr>
        <w:spacing w:line="576" w:lineRule="exact"/>
        <w:ind w:left="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（三）项目监管情况</w:t>
      </w:r>
    </w:p>
    <w:p>
      <w:pPr>
        <w:pStyle w:val="9"/>
      </w:pPr>
      <w:r>
        <w:rPr>
          <w:rFonts w:hint="eastAsia"/>
        </w:rPr>
        <w:t xml:space="preserve">         </w:t>
      </w:r>
      <w:r>
        <w:rPr>
          <w:rFonts w:hint="eastAsia" w:ascii="仿宋" w:hAnsi="仿宋" w:eastAsia="仿宋"/>
          <w:sz w:val="32"/>
          <w:szCs w:val="32"/>
        </w:rPr>
        <w:t>严格按照</w:t>
      </w:r>
      <w:r>
        <w:rPr>
          <w:rFonts w:hint="eastAsia" w:ascii="仿宋" w:hAnsi="仿宋" w:eastAsia="仿宋" w:cs="仿宋_GB2312"/>
          <w:sz w:val="32"/>
          <w:szCs w:val="32"/>
        </w:rPr>
        <w:t>与中国农业科学院茶叶研究所签订的《科技合作协议》履行报帐。</w:t>
      </w:r>
    </w:p>
    <w:p>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spacing w:line="576"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（一）项目完成情况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科技合作，创新“特色黄化茶树品种（中黄1号等）三段式栽培技术”入选“四川省农业农村厅推介发布2022年度农业主推技术”。指导旺苍现代种业园区建设，建成种质资源圃50亩、1000平方米工厂化育苗基地2个、商品化育苗基地150亩、品种对比实验园300亩、品种展示园1700亩、种苗监测站1个和物联网信息化平台1个，持续巩固提升种业园区功能，强力推进茶种业高质量发展。中茶所研究员肖强担任广元市“白叶一号”茶产业技术专家组组长，指导制定技术规程、组织技术培训、开展现场指导和远程服务等工作。推广茶叶有机生产，2021年茶叶有机认证面积达到2.5万亩。支持提升打造广元茶叶品牌，举办广元黄茶推介会，推介信息分别在四川电视台、人民网、央广网、农民日报、四川观察等媒体上专题报道30余篇，极大提升了广元茶叶在国内外的知名度。</w:t>
      </w:r>
    </w:p>
    <w:p>
      <w:pPr>
        <w:spacing w:line="576"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（二）项目效益情况</w:t>
      </w:r>
    </w:p>
    <w:tbl>
      <w:tblPr>
        <w:tblStyle w:val="15"/>
        <w:tblW w:w="9020" w:type="dxa"/>
        <w:tblInd w:w="93" w:type="dxa"/>
        <w:tblLayout w:type="autofit"/>
        <w:tblCellMar>
          <w:top w:w="0" w:type="dxa"/>
          <w:left w:w="108" w:type="dxa"/>
          <w:bottom w:w="0" w:type="dxa"/>
          <w:right w:w="108" w:type="dxa"/>
        </w:tblCellMar>
      </w:tblPr>
      <w:tblGrid>
        <w:gridCol w:w="1489"/>
        <w:gridCol w:w="2636"/>
        <w:gridCol w:w="1956"/>
        <w:gridCol w:w="2939"/>
      </w:tblGrid>
      <w:tr>
        <w:tblPrEx>
          <w:tblCellMar>
            <w:top w:w="0" w:type="dxa"/>
            <w:left w:w="108" w:type="dxa"/>
            <w:bottom w:w="0" w:type="dxa"/>
            <w:right w:w="108" w:type="dxa"/>
          </w:tblCellMar>
        </w:tblPrEx>
        <w:trPr>
          <w:trHeight w:val="660"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生态效益</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指标</w:t>
            </w:r>
          </w:p>
        </w:tc>
        <w:tc>
          <w:tcPr>
            <w:tcW w:w="2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科学制定广元茶产业高质量发展措施</w:t>
            </w:r>
          </w:p>
        </w:tc>
        <w:tc>
          <w:tcPr>
            <w:tcW w:w="19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高质量推进广元茶产业发展，全面完成年度目标任务</w:t>
            </w:r>
          </w:p>
        </w:tc>
        <w:tc>
          <w:tcPr>
            <w:tcW w:w="29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高质量推进广元茶产业发展，2021全市新建茶叶2.61万亩，实现产量1.6万吨，创建市等现代农业园区2个、改造提升老旧园区5个、新增有机产品认证5个、茶叶有机认证面积达到2.5万亩、新培育市级以上农民专业合作社4个，各项目标任务均圆满完成或超额完成。</w:t>
            </w:r>
          </w:p>
        </w:tc>
      </w:tr>
      <w:tr>
        <w:tblPrEx>
          <w:tblCellMar>
            <w:top w:w="0" w:type="dxa"/>
            <w:left w:w="108" w:type="dxa"/>
            <w:bottom w:w="0" w:type="dxa"/>
            <w:right w:w="108" w:type="dxa"/>
          </w:tblCellMar>
        </w:tblPrEx>
        <w:trPr>
          <w:trHeight w:val="560" w:hRule="atLeast"/>
        </w:trPr>
        <w:tc>
          <w:tcPr>
            <w:tcW w:w="14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2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市委、市政府</w:t>
            </w:r>
          </w:p>
        </w:tc>
        <w:tc>
          <w:tcPr>
            <w:tcW w:w="19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≥95%</w:t>
            </w:r>
          </w:p>
        </w:tc>
        <w:tc>
          <w:tcPr>
            <w:tcW w:w="29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100%</w:t>
            </w:r>
          </w:p>
        </w:tc>
      </w:tr>
      <w:tr>
        <w:tblPrEx>
          <w:tblCellMar>
            <w:top w:w="0" w:type="dxa"/>
            <w:left w:w="108" w:type="dxa"/>
            <w:bottom w:w="0" w:type="dxa"/>
            <w:right w:w="108" w:type="dxa"/>
          </w:tblCellMar>
        </w:tblPrEx>
        <w:trPr>
          <w:trHeight w:val="480" w:hRule="atLeast"/>
        </w:trPr>
        <w:tc>
          <w:tcPr>
            <w:tcW w:w="14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2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rPr>
              <w:t>服务对象</w:t>
            </w:r>
          </w:p>
        </w:tc>
        <w:tc>
          <w:tcPr>
            <w:tcW w:w="19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≥95%</w:t>
            </w:r>
          </w:p>
        </w:tc>
        <w:tc>
          <w:tcPr>
            <w:tcW w:w="29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100%</w:t>
            </w:r>
          </w:p>
        </w:tc>
      </w:tr>
    </w:tbl>
    <w:p>
      <w:pPr>
        <w:rPr>
          <w:rFonts w:ascii="黑体" w:hAnsi="黑体" w:eastAsia="黑体" w:cs="黑体"/>
          <w:sz w:val="32"/>
          <w:szCs w:val="32"/>
        </w:rPr>
      </w:pPr>
      <w:r>
        <w:rPr>
          <w:rFonts w:hint="eastAsia" w:ascii="黑体" w:hAnsi="黑体" w:eastAsia="黑体" w:cs="黑体"/>
          <w:sz w:val="32"/>
          <w:szCs w:val="32"/>
        </w:rPr>
        <w:br w:type="page"/>
      </w:r>
    </w:p>
    <w:p>
      <w:pPr>
        <w:spacing w:line="576" w:lineRule="exact"/>
        <w:ind w:firstLine="640" w:firstLineChars="200"/>
        <w:rPr>
          <w:rFonts w:ascii="楷体_GB2312" w:hAnsi="楷体_GB2312" w:eastAsia="楷体_GB2312" w:cs="楷体_GB2312"/>
          <w:b/>
          <w:bCs/>
          <w:sz w:val="32"/>
          <w:szCs w:val="32"/>
        </w:rPr>
      </w:pPr>
      <w:r>
        <w:rPr>
          <w:rFonts w:hint="eastAsia" w:ascii="黑体" w:hAnsi="黑体" w:eastAsia="黑体" w:cs="黑体"/>
          <w:sz w:val="32"/>
          <w:szCs w:val="32"/>
        </w:rPr>
        <w:t>五、评价结论</w:t>
      </w:r>
    </w:p>
    <w:p>
      <w:pPr>
        <w:snapToGrid w:val="0"/>
        <w:spacing w:line="600" w:lineRule="exact"/>
        <w:ind w:firstLine="616" w:firstLineChars="200"/>
        <w:rPr>
          <w:rFonts w:ascii="仿宋" w:hAnsi="仿宋" w:eastAsia="仿宋" w:cs="仿宋_GB2312"/>
          <w:sz w:val="32"/>
          <w:szCs w:val="32"/>
        </w:rPr>
      </w:pPr>
      <w:r>
        <w:rPr>
          <w:rFonts w:hint="eastAsia" w:ascii="仿宋_GB2312" w:hAnsi="仿宋_GB2312" w:eastAsia="仿宋_GB2312" w:cs="仿宋_GB2312"/>
          <w:spacing w:val="-6"/>
          <w:sz w:val="32"/>
          <w:szCs w:val="32"/>
          <w:lang w:val="zh-CN"/>
        </w:rPr>
        <w:t>绩效目标编制时制定了数量指标</w:t>
      </w:r>
      <w:r>
        <w:rPr>
          <w:rFonts w:hint="eastAsia" w:ascii="仿宋_GB2312" w:hAnsi="仿宋_GB2312" w:eastAsia="仿宋_GB2312" w:cs="仿宋_GB2312"/>
          <w:spacing w:val="-6"/>
          <w:sz w:val="32"/>
          <w:szCs w:val="32"/>
        </w:rPr>
        <w:t>2个，质量指标1个，时效指标1个，成本指标2个，生态效益指标1个，满意度指标2个。</w:t>
      </w:r>
      <w:r>
        <w:rPr>
          <w:rFonts w:hint="eastAsia" w:ascii="仿宋" w:hAnsi="仿宋" w:eastAsia="仿宋" w:cs="仿宋_GB2312"/>
          <w:sz w:val="32"/>
          <w:szCs w:val="32"/>
        </w:rPr>
        <w:t>总体来看项目决策程序严密、规划合理、结果符合规划，项目实施资金分配及时，项目完成质量以及效果较好，全面完成了该项目目标任务，项目绩效目标全面完成。</w:t>
      </w:r>
    </w:p>
    <w:p>
      <w:pPr>
        <w:rPr>
          <w:rFonts w:ascii="宋体" w:hAnsi="宋体" w:cs="宋体"/>
          <w:b/>
          <w:sz w:val="32"/>
          <w:szCs w:val="32"/>
        </w:rPr>
      </w:pPr>
      <w:r>
        <w:rPr>
          <w:rFonts w:hint="eastAsia" w:ascii="宋体" w:hAnsi="宋体" w:cs="宋体"/>
          <w:b/>
          <w:sz w:val="32"/>
          <w:szCs w:val="32"/>
        </w:rPr>
        <w:br w:type="page"/>
      </w:r>
    </w:p>
    <w:p>
      <w:pPr>
        <w:pStyle w:val="2"/>
        <w:spacing w:before="93"/>
        <w:jc w:val="center"/>
        <w:rPr>
          <w:lang w:val="zh-CN"/>
        </w:rPr>
      </w:pPr>
      <w:r>
        <w:rPr>
          <w:rFonts w:hint="eastAsia" w:ascii="宋体" w:hAnsi="宋体" w:cs="宋体"/>
          <w:b/>
          <w:sz w:val="32"/>
          <w:szCs w:val="32"/>
        </w:rPr>
        <w:t>2021年部门预算项目绩效目标自评</w:t>
      </w:r>
    </w:p>
    <w:tbl>
      <w:tblPr>
        <w:tblStyle w:val="15"/>
        <w:tblW w:w="974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76"/>
        <w:gridCol w:w="850"/>
        <w:gridCol w:w="284"/>
        <w:gridCol w:w="1984"/>
        <w:gridCol w:w="1559"/>
        <w:gridCol w:w="426"/>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19" w:type="dxa"/>
            <w:gridSpan w:val="3"/>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项目名称</w:t>
            </w:r>
          </w:p>
        </w:tc>
        <w:tc>
          <w:tcPr>
            <w:tcW w:w="6630" w:type="dxa"/>
            <w:gridSpan w:val="5"/>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中茶所科技合作专项经费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19" w:type="dxa"/>
            <w:gridSpan w:val="3"/>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主管单位</w:t>
            </w:r>
          </w:p>
        </w:tc>
        <w:tc>
          <w:tcPr>
            <w:tcW w:w="2268"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市农业农村局</w:t>
            </w:r>
          </w:p>
        </w:tc>
        <w:tc>
          <w:tcPr>
            <w:tcW w:w="1559"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实施单位</w:t>
            </w:r>
          </w:p>
        </w:tc>
        <w:tc>
          <w:tcPr>
            <w:tcW w:w="2803"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93" w:type="dxa"/>
            <w:vMerge w:val="restar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预算</w:t>
            </w:r>
            <w:r>
              <w:rPr>
                <w:rFonts w:hint="eastAsia" w:ascii="仿宋" w:hAnsi="仿宋" w:eastAsia="仿宋" w:cs="宋体"/>
                <w:kern w:val="0"/>
                <w:szCs w:val="21"/>
              </w:rPr>
              <w:br w:type="textWrapping"/>
            </w:r>
            <w:r>
              <w:rPr>
                <w:rFonts w:hint="eastAsia" w:ascii="仿宋" w:hAnsi="仿宋" w:eastAsia="仿宋" w:cs="宋体"/>
                <w:kern w:val="0"/>
                <w:szCs w:val="21"/>
              </w:rPr>
              <w:t>执行</w:t>
            </w:r>
            <w:r>
              <w:rPr>
                <w:rFonts w:hint="eastAsia" w:ascii="仿宋" w:hAnsi="仿宋" w:eastAsia="仿宋" w:cs="宋体"/>
                <w:kern w:val="0"/>
                <w:szCs w:val="21"/>
              </w:rPr>
              <w:br w:type="textWrapping"/>
            </w:r>
            <w:r>
              <w:rPr>
                <w:rFonts w:hint="eastAsia" w:ascii="仿宋" w:hAnsi="仿宋" w:eastAsia="仿宋" w:cs="宋体"/>
                <w:kern w:val="0"/>
                <w:szCs w:val="21"/>
              </w:rPr>
              <w:t>情况</w:t>
            </w:r>
            <w:r>
              <w:rPr>
                <w:rFonts w:hint="eastAsia" w:ascii="仿宋" w:hAnsi="仿宋" w:eastAsia="仿宋" w:cs="宋体"/>
                <w:kern w:val="0"/>
                <w:szCs w:val="21"/>
              </w:rPr>
              <w:br w:type="textWrapping"/>
            </w:r>
            <w:r>
              <w:rPr>
                <w:rFonts w:hint="eastAsia" w:ascii="仿宋" w:hAnsi="仿宋" w:eastAsia="仿宋" w:cs="宋体"/>
                <w:kern w:val="0"/>
                <w:szCs w:val="21"/>
              </w:rPr>
              <w:t>（万元）</w:t>
            </w:r>
          </w:p>
        </w:tc>
        <w:tc>
          <w:tcPr>
            <w:tcW w:w="2126" w:type="dxa"/>
            <w:gridSpan w:val="2"/>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 xml:space="preserve"> 预算数：</w:t>
            </w:r>
          </w:p>
        </w:tc>
        <w:tc>
          <w:tcPr>
            <w:tcW w:w="2268"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10</w:t>
            </w:r>
          </w:p>
        </w:tc>
        <w:tc>
          <w:tcPr>
            <w:tcW w:w="1559"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 xml:space="preserve"> 执行数：</w:t>
            </w:r>
          </w:p>
        </w:tc>
        <w:tc>
          <w:tcPr>
            <w:tcW w:w="2803"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93" w:type="dxa"/>
            <w:vMerge w:val="continue"/>
            <w:vAlign w:val="center"/>
          </w:tcPr>
          <w:p>
            <w:pPr>
              <w:widowControl/>
              <w:jc w:val="left"/>
              <w:rPr>
                <w:rFonts w:ascii="仿宋" w:hAnsi="仿宋" w:eastAsia="仿宋" w:cs="宋体"/>
                <w:kern w:val="0"/>
                <w:szCs w:val="21"/>
              </w:rPr>
            </w:pPr>
          </w:p>
        </w:tc>
        <w:tc>
          <w:tcPr>
            <w:tcW w:w="2126" w:type="dxa"/>
            <w:gridSpan w:val="2"/>
            <w:shd w:val="clear" w:color="auto" w:fill="auto"/>
            <w:vAlign w:val="center"/>
          </w:tcPr>
          <w:p>
            <w:pPr>
              <w:widowControl/>
              <w:jc w:val="right"/>
              <w:rPr>
                <w:rFonts w:ascii="仿宋" w:hAnsi="仿宋" w:eastAsia="仿宋" w:cs="宋体"/>
                <w:kern w:val="0"/>
                <w:szCs w:val="21"/>
              </w:rPr>
            </w:pPr>
            <w:r>
              <w:rPr>
                <w:rFonts w:hint="eastAsia" w:ascii="仿宋" w:hAnsi="仿宋" w:eastAsia="仿宋" w:cs="宋体"/>
                <w:kern w:val="0"/>
                <w:szCs w:val="21"/>
              </w:rPr>
              <w:t>其中：财政拨款</w:t>
            </w:r>
          </w:p>
        </w:tc>
        <w:tc>
          <w:tcPr>
            <w:tcW w:w="2268"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10</w:t>
            </w:r>
          </w:p>
        </w:tc>
        <w:tc>
          <w:tcPr>
            <w:tcW w:w="1559" w:type="dxa"/>
            <w:shd w:val="clear" w:color="auto" w:fill="auto"/>
            <w:vAlign w:val="center"/>
          </w:tcPr>
          <w:p>
            <w:pPr>
              <w:widowControl/>
              <w:jc w:val="right"/>
              <w:rPr>
                <w:rFonts w:ascii="仿宋" w:hAnsi="仿宋" w:eastAsia="仿宋" w:cs="宋体"/>
                <w:kern w:val="0"/>
                <w:szCs w:val="21"/>
              </w:rPr>
            </w:pPr>
            <w:r>
              <w:rPr>
                <w:rFonts w:hint="eastAsia" w:ascii="仿宋" w:hAnsi="仿宋" w:eastAsia="仿宋" w:cs="宋体"/>
                <w:kern w:val="0"/>
                <w:szCs w:val="21"/>
              </w:rPr>
              <w:t>其中：财政拨款</w:t>
            </w:r>
          </w:p>
        </w:tc>
        <w:tc>
          <w:tcPr>
            <w:tcW w:w="2803"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93" w:type="dxa"/>
            <w:vMerge w:val="continue"/>
            <w:vAlign w:val="center"/>
          </w:tcPr>
          <w:p>
            <w:pPr>
              <w:widowControl/>
              <w:jc w:val="left"/>
              <w:rPr>
                <w:rFonts w:ascii="仿宋" w:hAnsi="仿宋" w:eastAsia="仿宋" w:cs="宋体"/>
                <w:kern w:val="0"/>
                <w:szCs w:val="21"/>
              </w:rPr>
            </w:pPr>
          </w:p>
        </w:tc>
        <w:tc>
          <w:tcPr>
            <w:tcW w:w="2126" w:type="dxa"/>
            <w:gridSpan w:val="2"/>
            <w:shd w:val="clear" w:color="auto" w:fill="auto"/>
            <w:vAlign w:val="center"/>
          </w:tcPr>
          <w:p>
            <w:pPr>
              <w:widowControl/>
              <w:jc w:val="right"/>
              <w:rPr>
                <w:rFonts w:ascii="仿宋" w:hAnsi="仿宋" w:eastAsia="仿宋" w:cs="宋体"/>
                <w:kern w:val="0"/>
                <w:szCs w:val="21"/>
              </w:rPr>
            </w:pPr>
            <w:r>
              <w:rPr>
                <w:rFonts w:hint="eastAsia" w:ascii="仿宋" w:hAnsi="仿宋" w:eastAsia="仿宋" w:cs="宋体"/>
                <w:kern w:val="0"/>
                <w:szCs w:val="21"/>
              </w:rPr>
              <w:t>其他资金</w:t>
            </w:r>
          </w:p>
        </w:tc>
        <w:tc>
          <w:tcPr>
            <w:tcW w:w="2268"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559" w:type="dxa"/>
            <w:shd w:val="clear" w:color="auto" w:fill="auto"/>
            <w:vAlign w:val="center"/>
          </w:tcPr>
          <w:p>
            <w:pPr>
              <w:widowControl/>
              <w:jc w:val="right"/>
              <w:rPr>
                <w:rFonts w:ascii="仿宋" w:hAnsi="仿宋" w:eastAsia="仿宋" w:cs="宋体"/>
                <w:kern w:val="0"/>
                <w:szCs w:val="21"/>
              </w:rPr>
            </w:pPr>
            <w:r>
              <w:rPr>
                <w:rFonts w:hint="eastAsia" w:ascii="仿宋" w:hAnsi="仿宋" w:eastAsia="仿宋" w:cs="宋体"/>
                <w:kern w:val="0"/>
                <w:szCs w:val="21"/>
              </w:rPr>
              <w:t>其他资金</w:t>
            </w:r>
          </w:p>
        </w:tc>
        <w:tc>
          <w:tcPr>
            <w:tcW w:w="2803" w:type="dxa"/>
            <w:gridSpan w:val="2"/>
            <w:shd w:val="clear" w:color="auto" w:fill="auto"/>
            <w:vAlign w:val="center"/>
          </w:tcPr>
          <w:p>
            <w:pPr>
              <w:widowControl/>
              <w:jc w:val="right"/>
              <w:rPr>
                <w:rFonts w:ascii="仿宋" w:hAnsi="仿宋" w:eastAsia="仿宋" w:cs="宋体"/>
                <w:kern w:val="0"/>
                <w:szCs w:val="21"/>
              </w:rPr>
            </w:pPr>
            <w:r>
              <w:rPr>
                <w:rFonts w:hint="eastAsia" w:ascii="仿宋" w:hAnsi="仿宋" w:eastAsia="仿宋"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93" w:type="dxa"/>
            <w:vMerge w:val="restar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年度</w:t>
            </w:r>
            <w:r>
              <w:rPr>
                <w:rFonts w:hint="eastAsia" w:ascii="仿宋" w:hAnsi="仿宋" w:eastAsia="仿宋" w:cs="宋体"/>
                <w:kern w:val="0"/>
                <w:szCs w:val="21"/>
              </w:rPr>
              <w:br w:type="textWrapping"/>
            </w:r>
            <w:r>
              <w:rPr>
                <w:rFonts w:hint="eastAsia" w:ascii="仿宋" w:hAnsi="仿宋" w:eastAsia="仿宋" w:cs="宋体"/>
                <w:kern w:val="0"/>
                <w:szCs w:val="21"/>
              </w:rPr>
              <w:t>目标</w:t>
            </w:r>
            <w:r>
              <w:rPr>
                <w:rFonts w:hint="eastAsia" w:ascii="仿宋" w:hAnsi="仿宋" w:eastAsia="仿宋" w:cs="宋体"/>
                <w:kern w:val="0"/>
                <w:szCs w:val="21"/>
              </w:rPr>
              <w:br w:type="textWrapping"/>
            </w:r>
            <w:r>
              <w:rPr>
                <w:rFonts w:hint="eastAsia" w:ascii="仿宋" w:hAnsi="仿宋" w:eastAsia="仿宋" w:cs="宋体"/>
                <w:kern w:val="0"/>
                <w:szCs w:val="21"/>
              </w:rPr>
              <w:t>完成</w:t>
            </w:r>
            <w:r>
              <w:rPr>
                <w:rFonts w:hint="eastAsia" w:ascii="仿宋" w:hAnsi="仿宋" w:eastAsia="仿宋" w:cs="宋体"/>
                <w:kern w:val="0"/>
                <w:szCs w:val="21"/>
              </w:rPr>
              <w:br w:type="textWrapping"/>
            </w:r>
            <w:r>
              <w:rPr>
                <w:rFonts w:hint="eastAsia" w:ascii="仿宋" w:hAnsi="仿宋" w:eastAsia="仿宋" w:cs="宋体"/>
                <w:kern w:val="0"/>
                <w:szCs w:val="21"/>
              </w:rPr>
              <w:t>情况</w:t>
            </w:r>
          </w:p>
        </w:tc>
        <w:tc>
          <w:tcPr>
            <w:tcW w:w="4394" w:type="dxa"/>
            <w:gridSpan w:val="4"/>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预期目标</w:t>
            </w:r>
          </w:p>
        </w:tc>
        <w:tc>
          <w:tcPr>
            <w:tcW w:w="4362" w:type="dxa"/>
            <w:gridSpan w:val="3"/>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trPr>
        <w:tc>
          <w:tcPr>
            <w:tcW w:w="993" w:type="dxa"/>
            <w:vMerge w:val="continue"/>
            <w:vAlign w:val="center"/>
          </w:tcPr>
          <w:p>
            <w:pPr>
              <w:widowControl/>
              <w:jc w:val="left"/>
              <w:rPr>
                <w:rFonts w:ascii="仿宋" w:hAnsi="仿宋" w:eastAsia="仿宋" w:cs="宋体"/>
                <w:kern w:val="0"/>
                <w:szCs w:val="21"/>
              </w:rPr>
            </w:pPr>
          </w:p>
        </w:tc>
        <w:tc>
          <w:tcPr>
            <w:tcW w:w="4394" w:type="dxa"/>
            <w:gridSpan w:val="4"/>
            <w:shd w:val="clear" w:color="auto" w:fill="auto"/>
          </w:tcPr>
          <w:p>
            <w:pPr>
              <w:widowControl/>
              <w:jc w:val="left"/>
              <w:rPr>
                <w:rFonts w:ascii="仿宋" w:hAnsi="仿宋" w:eastAsia="仿宋" w:cs="宋体"/>
                <w:kern w:val="0"/>
                <w:szCs w:val="21"/>
              </w:rPr>
            </w:pPr>
            <w:r>
              <w:rPr>
                <w:rFonts w:hint="eastAsia" w:ascii="仿宋" w:hAnsi="仿宋" w:eastAsia="仿宋" w:cs="宋体"/>
                <w:kern w:val="0"/>
                <w:szCs w:val="21"/>
              </w:rPr>
              <w:t xml:space="preserve"> 履行市政府与中茶所合作协议内容，开展科技合作，提升建设旺苍现代种业园区，提升发展青川县“白叶一号”茶产业，推广茶产业发展新品种、新技术，完善广元黄茶标准体系，推广茶叶有机生产，提升打造广元茶叶品牌，积极开展广元茶叶产品推介活动。</w:t>
            </w:r>
          </w:p>
        </w:tc>
        <w:tc>
          <w:tcPr>
            <w:tcW w:w="4362" w:type="dxa"/>
            <w:gridSpan w:val="3"/>
            <w:shd w:val="clear" w:color="auto" w:fill="auto"/>
          </w:tcPr>
          <w:p>
            <w:pPr>
              <w:widowControl/>
              <w:jc w:val="left"/>
              <w:rPr>
                <w:rFonts w:ascii="仿宋" w:hAnsi="仿宋" w:eastAsia="仿宋" w:cs="宋体"/>
                <w:kern w:val="0"/>
                <w:szCs w:val="21"/>
              </w:rPr>
            </w:pPr>
            <w:r>
              <w:rPr>
                <w:rFonts w:hint="eastAsia" w:ascii="仿宋" w:hAnsi="仿宋" w:eastAsia="仿宋" w:cs="宋体"/>
                <w:kern w:val="0"/>
                <w:szCs w:val="21"/>
              </w:rPr>
              <w:t>创新“特色黄化茶树品种（中黄1号等）三段式栽培技术”入选“四川省农业农村厅推介发布2022年度农业主推技术”。指导旺苍现代种业园区建设，建成种质资源圃50亩、1000平方米工厂化育苗基地2个、商品化育苗基地150亩、品种对比实验园300亩、品种展示园1700亩、种苗监测站1个和物联网信息化平台1个，持续巩固提升种业园区功能，强力推进茶种业高质量发展。中茶所专家指导制定技术规程、组织技术培训、开展现场指导和远程服务等工作，推广茶叶有机生产，2021年茶叶有机认证面积达到2.5万亩。支持提升打造广元茶叶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93" w:type="dxa"/>
            <w:vMerge w:val="restar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年度</w:t>
            </w:r>
            <w:r>
              <w:rPr>
                <w:rFonts w:hint="eastAsia" w:ascii="仿宋" w:hAnsi="仿宋" w:eastAsia="仿宋" w:cs="宋体"/>
                <w:kern w:val="0"/>
                <w:szCs w:val="21"/>
              </w:rPr>
              <w:br w:type="textWrapping"/>
            </w:r>
            <w:r>
              <w:rPr>
                <w:rFonts w:hint="eastAsia" w:ascii="仿宋" w:hAnsi="仿宋" w:eastAsia="仿宋" w:cs="宋体"/>
                <w:kern w:val="0"/>
                <w:szCs w:val="21"/>
              </w:rPr>
              <w:t>绩效</w:t>
            </w:r>
            <w:r>
              <w:rPr>
                <w:rFonts w:hint="eastAsia" w:ascii="仿宋" w:hAnsi="仿宋" w:eastAsia="仿宋" w:cs="宋体"/>
                <w:kern w:val="0"/>
                <w:szCs w:val="21"/>
              </w:rPr>
              <w:br w:type="textWrapping"/>
            </w:r>
            <w:r>
              <w:rPr>
                <w:rFonts w:hint="eastAsia" w:ascii="仿宋" w:hAnsi="仿宋" w:eastAsia="仿宋" w:cs="宋体"/>
                <w:kern w:val="0"/>
                <w:szCs w:val="21"/>
              </w:rPr>
              <w:t>指标</w:t>
            </w:r>
            <w:r>
              <w:rPr>
                <w:rFonts w:hint="eastAsia" w:ascii="仿宋" w:hAnsi="仿宋" w:eastAsia="仿宋" w:cs="宋体"/>
                <w:kern w:val="0"/>
                <w:szCs w:val="21"/>
              </w:rPr>
              <w:br w:type="textWrapping"/>
            </w:r>
            <w:r>
              <w:rPr>
                <w:rFonts w:hint="eastAsia" w:ascii="仿宋" w:hAnsi="仿宋" w:eastAsia="仿宋" w:cs="宋体"/>
                <w:kern w:val="0"/>
                <w:szCs w:val="21"/>
              </w:rPr>
              <w:t>完成</w:t>
            </w:r>
            <w:r>
              <w:rPr>
                <w:rFonts w:hint="eastAsia" w:ascii="仿宋" w:hAnsi="仿宋" w:eastAsia="仿宋" w:cs="宋体"/>
                <w:kern w:val="0"/>
                <w:szCs w:val="21"/>
              </w:rPr>
              <w:br w:type="textWrapping"/>
            </w:r>
            <w:r>
              <w:rPr>
                <w:rFonts w:hint="eastAsia" w:ascii="仿宋" w:hAnsi="仿宋" w:eastAsia="仿宋" w:cs="宋体"/>
                <w:kern w:val="0"/>
                <w:szCs w:val="21"/>
              </w:rPr>
              <w:t>情况</w:t>
            </w:r>
          </w:p>
        </w:tc>
        <w:tc>
          <w:tcPr>
            <w:tcW w:w="1276"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一级指标</w:t>
            </w:r>
          </w:p>
        </w:tc>
        <w:tc>
          <w:tcPr>
            <w:tcW w:w="1134"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二级指标</w:t>
            </w:r>
          </w:p>
        </w:tc>
        <w:tc>
          <w:tcPr>
            <w:tcW w:w="1984"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三级指标</w:t>
            </w:r>
          </w:p>
        </w:tc>
        <w:tc>
          <w:tcPr>
            <w:tcW w:w="1985"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指标值</w:t>
            </w:r>
          </w:p>
        </w:tc>
        <w:tc>
          <w:tcPr>
            <w:tcW w:w="2377"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实际完成指标值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93" w:type="dxa"/>
            <w:vMerge w:val="continue"/>
            <w:vAlign w:val="center"/>
          </w:tcPr>
          <w:p>
            <w:pPr>
              <w:widowControl/>
              <w:jc w:val="left"/>
              <w:rPr>
                <w:rFonts w:ascii="仿宋" w:hAnsi="仿宋" w:eastAsia="仿宋" w:cs="宋体"/>
                <w:kern w:val="0"/>
                <w:szCs w:val="21"/>
              </w:rPr>
            </w:pPr>
          </w:p>
        </w:tc>
        <w:tc>
          <w:tcPr>
            <w:tcW w:w="1276" w:type="dxa"/>
            <w:vMerge w:val="restar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项目完成指标</w:t>
            </w:r>
          </w:p>
        </w:tc>
        <w:tc>
          <w:tcPr>
            <w:tcW w:w="1134" w:type="dxa"/>
            <w:gridSpan w:val="2"/>
            <w:vMerge w:val="restar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数量指标</w:t>
            </w:r>
          </w:p>
        </w:tc>
        <w:tc>
          <w:tcPr>
            <w:tcW w:w="1984"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开展技术指导培训次数</w:t>
            </w:r>
          </w:p>
        </w:tc>
        <w:tc>
          <w:tcPr>
            <w:tcW w:w="1985" w:type="dxa"/>
            <w:gridSpan w:val="2"/>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≥2次</w:t>
            </w:r>
          </w:p>
        </w:tc>
        <w:tc>
          <w:tcPr>
            <w:tcW w:w="2377"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仿宋" w:hAnsi="仿宋" w:eastAsia="仿宋" w:cs="宋体"/>
                <w:kern w:val="0"/>
                <w:szCs w:val="21"/>
              </w:rPr>
            </w:pPr>
          </w:p>
        </w:tc>
        <w:tc>
          <w:tcPr>
            <w:tcW w:w="1276" w:type="dxa"/>
            <w:vMerge w:val="continue"/>
            <w:vAlign w:val="center"/>
          </w:tcPr>
          <w:p>
            <w:pPr>
              <w:widowControl/>
              <w:jc w:val="left"/>
              <w:rPr>
                <w:rFonts w:ascii="仿宋" w:hAnsi="仿宋" w:eastAsia="仿宋" w:cs="宋体"/>
                <w:kern w:val="0"/>
                <w:szCs w:val="21"/>
              </w:rPr>
            </w:pPr>
          </w:p>
        </w:tc>
        <w:tc>
          <w:tcPr>
            <w:tcW w:w="1134" w:type="dxa"/>
            <w:gridSpan w:val="2"/>
            <w:vMerge w:val="continue"/>
            <w:vAlign w:val="center"/>
          </w:tcPr>
          <w:p>
            <w:pPr>
              <w:widowControl/>
              <w:jc w:val="left"/>
              <w:rPr>
                <w:rFonts w:ascii="仿宋" w:hAnsi="仿宋" w:eastAsia="仿宋" w:cs="宋体"/>
                <w:kern w:val="0"/>
                <w:szCs w:val="21"/>
              </w:rPr>
            </w:pPr>
          </w:p>
        </w:tc>
        <w:tc>
          <w:tcPr>
            <w:tcW w:w="1984"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技术咨询服务</w:t>
            </w:r>
          </w:p>
        </w:tc>
        <w:tc>
          <w:tcPr>
            <w:tcW w:w="1985" w:type="dxa"/>
            <w:gridSpan w:val="2"/>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≥2次</w:t>
            </w:r>
          </w:p>
        </w:tc>
        <w:tc>
          <w:tcPr>
            <w:tcW w:w="2377"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3" w:type="dxa"/>
            <w:vMerge w:val="continue"/>
            <w:vAlign w:val="center"/>
          </w:tcPr>
          <w:p>
            <w:pPr>
              <w:widowControl/>
              <w:jc w:val="left"/>
              <w:rPr>
                <w:rFonts w:ascii="仿宋" w:hAnsi="仿宋" w:eastAsia="仿宋" w:cs="宋体"/>
                <w:kern w:val="0"/>
                <w:szCs w:val="21"/>
              </w:rPr>
            </w:pPr>
          </w:p>
        </w:tc>
        <w:tc>
          <w:tcPr>
            <w:tcW w:w="1276" w:type="dxa"/>
            <w:vMerge w:val="continue"/>
            <w:vAlign w:val="center"/>
          </w:tcPr>
          <w:p>
            <w:pPr>
              <w:widowControl/>
              <w:jc w:val="left"/>
              <w:rPr>
                <w:rFonts w:ascii="仿宋" w:hAnsi="仿宋" w:eastAsia="仿宋" w:cs="宋体"/>
                <w:kern w:val="0"/>
                <w:szCs w:val="21"/>
              </w:rPr>
            </w:pPr>
          </w:p>
        </w:tc>
        <w:tc>
          <w:tcPr>
            <w:tcW w:w="1134"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质量指标</w:t>
            </w:r>
          </w:p>
        </w:tc>
        <w:tc>
          <w:tcPr>
            <w:tcW w:w="1984"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提升广元茶产业品质</w:t>
            </w:r>
          </w:p>
        </w:tc>
        <w:tc>
          <w:tcPr>
            <w:tcW w:w="1985" w:type="dxa"/>
            <w:gridSpan w:val="2"/>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有效提升</w:t>
            </w:r>
          </w:p>
        </w:tc>
        <w:tc>
          <w:tcPr>
            <w:tcW w:w="2377"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推广了茶叶有机生产，提升打造了广元茶叶品牌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3" w:type="dxa"/>
            <w:vMerge w:val="continue"/>
            <w:vAlign w:val="center"/>
          </w:tcPr>
          <w:p>
            <w:pPr>
              <w:widowControl/>
              <w:jc w:val="left"/>
              <w:rPr>
                <w:rFonts w:ascii="仿宋" w:hAnsi="仿宋" w:eastAsia="仿宋" w:cs="宋体"/>
                <w:kern w:val="0"/>
                <w:szCs w:val="21"/>
              </w:rPr>
            </w:pPr>
          </w:p>
        </w:tc>
        <w:tc>
          <w:tcPr>
            <w:tcW w:w="1276" w:type="dxa"/>
            <w:vMerge w:val="continue"/>
            <w:vAlign w:val="center"/>
          </w:tcPr>
          <w:p>
            <w:pPr>
              <w:widowControl/>
              <w:jc w:val="left"/>
              <w:rPr>
                <w:rFonts w:ascii="仿宋" w:hAnsi="仿宋" w:eastAsia="仿宋" w:cs="宋体"/>
                <w:kern w:val="0"/>
                <w:szCs w:val="21"/>
              </w:rPr>
            </w:pPr>
          </w:p>
        </w:tc>
        <w:tc>
          <w:tcPr>
            <w:tcW w:w="1134"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时效指标</w:t>
            </w:r>
          </w:p>
        </w:tc>
        <w:tc>
          <w:tcPr>
            <w:tcW w:w="1984"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按茶叶生产季节开展技术指导</w:t>
            </w:r>
          </w:p>
        </w:tc>
        <w:tc>
          <w:tcPr>
            <w:tcW w:w="1985" w:type="dxa"/>
            <w:gridSpan w:val="2"/>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及时指导茶叶生产</w:t>
            </w:r>
          </w:p>
        </w:tc>
        <w:tc>
          <w:tcPr>
            <w:tcW w:w="2377"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及时指导茶叶生产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仿宋" w:hAnsi="仿宋" w:eastAsia="仿宋" w:cs="宋体"/>
                <w:kern w:val="0"/>
                <w:szCs w:val="21"/>
              </w:rPr>
            </w:pPr>
          </w:p>
        </w:tc>
        <w:tc>
          <w:tcPr>
            <w:tcW w:w="1276" w:type="dxa"/>
            <w:vMerge w:val="continue"/>
            <w:vAlign w:val="center"/>
          </w:tcPr>
          <w:p>
            <w:pPr>
              <w:widowControl/>
              <w:jc w:val="left"/>
              <w:rPr>
                <w:rFonts w:ascii="仿宋" w:hAnsi="仿宋" w:eastAsia="仿宋" w:cs="宋体"/>
                <w:kern w:val="0"/>
                <w:szCs w:val="21"/>
              </w:rPr>
            </w:pPr>
          </w:p>
        </w:tc>
        <w:tc>
          <w:tcPr>
            <w:tcW w:w="1134" w:type="dxa"/>
            <w:gridSpan w:val="2"/>
            <w:vMerge w:val="restar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成本指标</w:t>
            </w:r>
          </w:p>
        </w:tc>
        <w:tc>
          <w:tcPr>
            <w:tcW w:w="1984"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技术服务费</w:t>
            </w:r>
          </w:p>
        </w:tc>
        <w:tc>
          <w:tcPr>
            <w:tcW w:w="1985" w:type="dxa"/>
            <w:gridSpan w:val="2"/>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5万元</w:t>
            </w:r>
          </w:p>
        </w:tc>
        <w:tc>
          <w:tcPr>
            <w:tcW w:w="2377"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Merge w:val="continue"/>
            <w:vAlign w:val="center"/>
          </w:tcPr>
          <w:p>
            <w:pPr>
              <w:widowControl/>
              <w:jc w:val="left"/>
              <w:rPr>
                <w:rFonts w:ascii="仿宋" w:hAnsi="仿宋" w:eastAsia="仿宋" w:cs="宋体"/>
                <w:kern w:val="0"/>
                <w:szCs w:val="21"/>
              </w:rPr>
            </w:pPr>
          </w:p>
        </w:tc>
        <w:tc>
          <w:tcPr>
            <w:tcW w:w="1276" w:type="dxa"/>
            <w:vMerge w:val="continue"/>
            <w:vAlign w:val="center"/>
          </w:tcPr>
          <w:p>
            <w:pPr>
              <w:widowControl/>
              <w:jc w:val="left"/>
              <w:rPr>
                <w:rFonts w:ascii="仿宋" w:hAnsi="仿宋" w:eastAsia="仿宋" w:cs="宋体"/>
                <w:kern w:val="0"/>
                <w:szCs w:val="21"/>
              </w:rPr>
            </w:pPr>
          </w:p>
        </w:tc>
        <w:tc>
          <w:tcPr>
            <w:tcW w:w="1134" w:type="dxa"/>
            <w:gridSpan w:val="2"/>
            <w:vMerge w:val="continue"/>
            <w:vAlign w:val="center"/>
          </w:tcPr>
          <w:p>
            <w:pPr>
              <w:widowControl/>
              <w:jc w:val="left"/>
              <w:rPr>
                <w:rFonts w:ascii="仿宋" w:hAnsi="仿宋" w:eastAsia="仿宋" w:cs="宋体"/>
                <w:kern w:val="0"/>
                <w:szCs w:val="21"/>
              </w:rPr>
            </w:pPr>
          </w:p>
        </w:tc>
        <w:tc>
          <w:tcPr>
            <w:tcW w:w="1984"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举办业务指导培训</w:t>
            </w:r>
          </w:p>
        </w:tc>
        <w:tc>
          <w:tcPr>
            <w:tcW w:w="1985" w:type="dxa"/>
            <w:gridSpan w:val="2"/>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5万元</w:t>
            </w:r>
          </w:p>
        </w:tc>
        <w:tc>
          <w:tcPr>
            <w:tcW w:w="2377"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93" w:type="dxa"/>
            <w:vMerge w:val="continue"/>
            <w:vAlign w:val="center"/>
          </w:tcPr>
          <w:p>
            <w:pPr>
              <w:widowControl/>
              <w:jc w:val="left"/>
              <w:rPr>
                <w:rFonts w:ascii="仿宋" w:hAnsi="仿宋" w:eastAsia="仿宋" w:cs="宋体"/>
                <w:kern w:val="0"/>
                <w:szCs w:val="21"/>
              </w:rPr>
            </w:pPr>
          </w:p>
        </w:tc>
        <w:tc>
          <w:tcPr>
            <w:tcW w:w="1276" w:type="dxa"/>
            <w:vMerge w:val="restar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项目效果指标</w:t>
            </w:r>
          </w:p>
        </w:tc>
        <w:tc>
          <w:tcPr>
            <w:tcW w:w="1134"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经济效益</w:t>
            </w:r>
            <w:r>
              <w:rPr>
                <w:rFonts w:hint="eastAsia" w:ascii="仿宋" w:hAnsi="仿宋" w:eastAsia="仿宋" w:cs="宋体"/>
                <w:kern w:val="0"/>
                <w:szCs w:val="21"/>
              </w:rPr>
              <w:br w:type="textWrapping"/>
            </w:r>
            <w:r>
              <w:rPr>
                <w:rFonts w:hint="eastAsia" w:ascii="仿宋" w:hAnsi="仿宋" w:eastAsia="仿宋" w:cs="宋体"/>
                <w:kern w:val="0"/>
                <w:szCs w:val="21"/>
              </w:rPr>
              <w:t>指标</w:t>
            </w:r>
          </w:p>
        </w:tc>
        <w:tc>
          <w:tcPr>
            <w:tcW w:w="1984"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茶园亩均综合产值</w:t>
            </w:r>
          </w:p>
        </w:tc>
        <w:tc>
          <w:tcPr>
            <w:tcW w:w="1985" w:type="dxa"/>
            <w:gridSpan w:val="2"/>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1万元</w:t>
            </w:r>
          </w:p>
        </w:tc>
        <w:tc>
          <w:tcPr>
            <w:tcW w:w="2377"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1.1万元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993" w:type="dxa"/>
            <w:vMerge w:val="continue"/>
            <w:vAlign w:val="center"/>
          </w:tcPr>
          <w:p>
            <w:pPr>
              <w:widowControl/>
              <w:jc w:val="left"/>
              <w:rPr>
                <w:rFonts w:ascii="仿宋" w:hAnsi="仿宋" w:eastAsia="仿宋" w:cs="宋体"/>
                <w:kern w:val="0"/>
                <w:szCs w:val="21"/>
              </w:rPr>
            </w:pPr>
          </w:p>
        </w:tc>
        <w:tc>
          <w:tcPr>
            <w:tcW w:w="1276" w:type="dxa"/>
            <w:vMerge w:val="continue"/>
            <w:vAlign w:val="center"/>
          </w:tcPr>
          <w:p>
            <w:pPr>
              <w:widowControl/>
              <w:jc w:val="left"/>
              <w:rPr>
                <w:rFonts w:ascii="仿宋" w:hAnsi="仿宋" w:eastAsia="仿宋" w:cs="宋体"/>
                <w:kern w:val="0"/>
                <w:szCs w:val="21"/>
              </w:rPr>
            </w:pPr>
          </w:p>
        </w:tc>
        <w:tc>
          <w:tcPr>
            <w:tcW w:w="1134"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社会效益</w:t>
            </w:r>
            <w:r>
              <w:rPr>
                <w:rFonts w:hint="eastAsia" w:ascii="仿宋" w:hAnsi="仿宋" w:eastAsia="仿宋" w:cs="宋体"/>
                <w:kern w:val="0"/>
                <w:szCs w:val="21"/>
              </w:rPr>
              <w:br w:type="textWrapping"/>
            </w:r>
            <w:r>
              <w:rPr>
                <w:rFonts w:hint="eastAsia" w:ascii="仿宋" w:hAnsi="仿宋" w:eastAsia="仿宋" w:cs="宋体"/>
                <w:kern w:val="0"/>
                <w:szCs w:val="21"/>
              </w:rPr>
              <w:t>指标</w:t>
            </w:r>
          </w:p>
        </w:tc>
        <w:tc>
          <w:tcPr>
            <w:tcW w:w="1984"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茶叶经营主体生产技术</w:t>
            </w:r>
          </w:p>
        </w:tc>
        <w:tc>
          <w:tcPr>
            <w:tcW w:w="1985" w:type="dxa"/>
            <w:gridSpan w:val="2"/>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明显提升</w:t>
            </w:r>
          </w:p>
        </w:tc>
        <w:tc>
          <w:tcPr>
            <w:tcW w:w="2377"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通过中茶所专家现场指导，提高了茶农栽培技术，茶叶加工企业加工技术，提升了发展茶产业信心。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93" w:type="dxa"/>
            <w:vMerge w:val="continue"/>
            <w:vAlign w:val="center"/>
          </w:tcPr>
          <w:p>
            <w:pPr>
              <w:widowControl/>
              <w:jc w:val="left"/>
              <w:rPr>
                <w:rFonts w:ascii="仿宋" w:hAnsi="仿宋" w:eastAsia="仿宋" w:cs="宋体"/>
                <w:kern w:val="0"/>
                <w:szCs w:val="21"/>
              </w:rPr>
            </w:pPr>
          </w:p>
        </w:tc>
        <w:tc>
          <w:tcPr>
            <w:tcW w:w="1276" w:type="dxa"/>
            <w:vMerge w:val="continue"/>
            <w:vAlign w:val="center"/>
          </w:tcPr>
          <w:p>
            <w:pPr>
              <w:widowControl/>
              <w:jc w:val="left"/>
              <w:rPr>
                <w:rFonts w:ascii="仿宋" w:hAnsi="仿宋" w:eastAsia="仿宋" w:cs="宋体"/>
                <w:kern w:val="0"/>
                <w:szCs w:val="21"/>
              </w:rPr>
            </w:pPr>
          </w:p>
        </w:tc>
        <w:tc>
          <w:tcPr>
            <w:tcW w:w="1134"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生态效益</w:t>
            </w:r>
            <w:r>
              <w:rPr>
                <w:rFonts w:hint="eastAsia" w:ascii="仿宋" w:hAnsi="仿宋" w:eastAsia="仿宋" w:cs="宋体"/>
                <w:kern w:val="0"/>
                <w:szCs w:val="21"/>
              </w:rPr>
              <w:br w:type="textWrapping"/>
            </w:r>
            <w:r>
              <w:rPr>
                <w:rFonts w:hint="eastAsia" w:ascii="仿宋" w:hAnsi="仿宋" w:eastAsia="仿宋" w:cs="宋体"/>
                <w:kern w:val="0"/>
                <w:szCs w:val="21"/>
              </w:rPr>
              <w:t>指标</w:t>
            </w:r>
          </w:p>
        </w:tc>
        <w:tc>
          <w:tcPr>
            <w:tcW w:w="1984"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 xml:space="preserve"> 推广茶叶有机生产</w:t>
            </w:r>
          </w:p>
        </w:tc>
        <w:tc>
          <w:tcPr>
            <w:tcW w:w="1985" w:type="dxa"/>
            <w:gridSpan w:val="2"/>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有效提高</w:t>
            </w:r>
          </w:p>
        </w:tc>
        <w:tc>
          <w:tcPr>
            <w:tcW w:w="2377"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茶叶有机认证面积达到2.5万亩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93" w:type="dxa"/>
            <w:vMerge w:val="continue"/>
            <w:vAlign w:val="center"/>
          </w:tcPr>
          <w:p>
            <w:pPr>
              <w:widowControl/>
              <w:jc w:val="left"/>
              <w:rPr>
                <w:rFonts w:ascii="仿宋" w:hAnsi="仿宋" w:eastAsia="仿宋" w:cs="宋体"/>
                <w:kern w:val="0"/>
                <w:szCs w:val="21"/>
              </w:rPr>
            </w:pPr>
          </w:p>
        </w:tc>
        <w:tc>
          <w:tcPr>
            <w:tcW w:w="1276" w:type="dxa"/>
            <w:vMerge w:val="continue"/>
            <w:vAlign w:val="center"/>
          </w:tcPr>
          <w:p>
            <w:pPr>
              <w:widowControl/>
              <w:jc w:val="left"/>
              <w:rPr>
                <w:rFonts w:ascii="仿宋" w:hAnsi="仿宋" w:eastAsia="仿宋" w:cs="宋体"/>
                <w:kern w:val="0"/>
                <w:szCs w:val="21"/>
              </w:rPr>
            </w:pPr>
          </w:p>
        </w:tc>
        <w:tc>
          <w:tcPr>
            <w:tcW w:w="1134"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可持续影响</w:t>
            </w:r>
            <w:r>
              <w:rPr>
                <w:rFonts w:hint="eastAsia" w:ascii="仿宋" w:hAnsi="仿宋" w:eastAsia="仿宋" w:cs="宋体"/>
                <w:kern w:val="0"/>
                <w:szCs w:val="21"/>
              </w:rPr>
              <w:br w:type="textWrapping"/>
            </w:r>
            <w:r>
              <w:rPr>
                <w:rFonts w:hint="eastAsia" w:ascii="仿宋" w:hAnsi="仿宋" w:eastAsia="仿宋" w:cs="宋体"/>
                <w:kern w:val="0"/>
                <w:szCs w:val="21"/>
              </w:rPr>
              <w:t>指标</w:t>
            </w:r>
          </w:p>
        </w:tc>
        <w:tc>
          <w:tcPr>
            <w:tcW w:w="1984"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促进广元茶产业持续发展</w:t>
            </w:r>
          </w:p>
        </w:tc>
        <w:tc>
          <w:tcPr>
            <w:tcW w:w="1985" w:type="dxa"/>
            <w:gridSpan w:val="2"/>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高质量推进广元茶产业发展</w:t>
            </w:r>
          </w:p>
        </w:tc>
        <w:tc>
          <w:tcPr>
            <w:tcW w:w="2377"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高质量推进广元茶产业发展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3" w:type="dxa"/>
            <w:vMerge w:val="continue"/>
            <w:vAlign w:val="center"/>
          </w:tcPr>
          <w:p>
            <w:pPr>
              <w:widowControl/>
              <w:jc w:val="left"/>
              <w:rPr>
                <w:rFonts w:ascii="仿宋" w:hAnsi="仿宋" w:eastAsia="仿宋" w:cs="宋体"/>
                <w:kern w:val="0"/>
                <w:szCs w:val="21"/>
              </w:rPr>
            </w:pPr>
          </w:p>
        </w:tc>
        <w:tc>
          <w:tcPr>
            <w:tcW w:w="1276" w:type="dxa"/>
            <w:vMerge w:val="restar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满意度</w:t>
            </w:r>
            <w:r>
              <w:rPr>
                <w:rFonts w:hint="eastAsia" w:ascii="仿宋" w:hAnsi="仿宋" w:eastAsia="仿宋" w:cs="宋体"/>
                <w:kern w:val="0"/>
                <w:szCs w:val="21"/>
              </w:rPr>
              <w:br w:type="textWrapping"/>
            </w:r>
            <w:r>
              <w:rPr>
                <w:rFonts w:hint="eastAsia" w:ascii="仿宋" w:hAnsi="仿宋" w:eastAsia="仿宋" w:cs="宋体"/>
                <w:kern w:val="0"/>
                <w:szCs w:val="21"/>
              </w:rPr>
              <w:t>指标</w:t>
            </w:r>
          </w:p>
        </w:tc>
        <w:tc>
          <w:tcPr>
            <w:tcW w:w="1134" w:type="dxa"/>
            <w:gridSpan w:val="2"/>
            <w:vMerge w:val="restar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满意度指标</w:t>
            </w:r>
          </w:p>
        </w:tc>
        <w:tc>
          <w:tcPr>
            <w:tcW w:w="1984"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上级主管部门满意度</w:t>
            </w:r>
          </w:p>
        </w:tc>
        <w:tc>
          <w:tcPr>
            <w:tcW w:w="1985"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≥95%</w:t>
            </w:r>
          </w:p>
        </w:tc>
        <w:tc>
          <w:tcPr>
            <w:tcW w:w="2377"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3" w:type="dxa"/>
            <w:vMerge w:val="continue"/>
            <w:vAlign w:val="center"/>
          </w:tcPr>
          <w:p>
            <w:pPr>
              <w:widowControl/>
              <w:jc w:val="left"/>
              <w:rPr>
                <w:rFonts w:ascii="仿宋" w:hAnsi="仿宋" w:eastAsia="仿宋" w:cs="宋体"/>
                <w:kern w:val="0"/>
                <w:szCs w:val="21"/>
              </w:rPr>
            </w:pPr>
          </w:p>
        </w:tc>
        <w:tc>
          <w:tcPr>
            <w:tcW w:w="1276" w:type="dxa"/>
            <w:vMerge w:val="continue"/>
            <w:vAlign w:val="center"/>
          </w:tcPr>
          <w:p>
            <w:pPr>
              <w:widowControl/>
              <w:jc w:val="left"/>
              <w:rPr>
                <w:rFonts w:ascii="仿宋" w:hAnsi="仿宋" w:eastAsia="仿宋" w:cs="宋体"/>
                <w:kern w:val="0"/>
                <w:szCs w:val="21"/>
              </w:rPr>
            </w:pPr>
          </w:p>
        </w:tc>
        <w:tc>
          <w:tcPr>
            <w:tcW w:w="1134" w:type="dxa"/>
            <w:gridSpan w:val="2"/>
            <w:vMerge w:val="continue"/>
            <w:vAlign w:val="center"/>
          </w:tcPr>
          <w:p>
            <w:pPr>
              <w:widowControl/>
              <w:jc w:val="left"/>
              <w:rPr>
                <w:rFonts w:ascii="仿宋" w:hAnsi="仿宋" w:eastAsia="仿宋" w:cs="宋体"/>
                <w:kern w:val="0"/>
                <w:szCs w:val="21"/>
              </w:rPr>
            </w:pPr>
          </w:p>
        </w:tc>
        <w:tc>
          <w:tcPr>
            <w:tcW w:w="1984" w:type="dxa"/>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服务对象满意度</w:t>
            </w:r>
          </w:p>
        </w:tc>
        <w:tc>
          <w:tcPr>
            <w:tcW w:w="1985" w:type="dxa"/>
            <w:gridSpan w:val="2"/>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≥95%</w:t>
            </w:r>
          </w:p>
        </w:tc>
        <w:tc>
          <w:tcPr>
            <w:tcW w:w="2377"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100%</w:t>
            </w:r>
          </w:p>
        </w:tc>
      </w:tr>
    </w:tbl>
    <w:p>
      <w:pPr>
        <w:rPr>
          <w:rFonts w:ascii="方正小标宋简体" w:hAnsi="楷体_GB2312" w:eastAsia="方正小标宋简体" w:cs="楷体_GB2312"/>
          <w:sz w:val="44"/>
          <w:szCs w:val="44"/>
        </w:rPr>
      </w:pPr>
      <w:r>
        <w:rPr>
          <w:rFonts w:hint="eastAsia" w:ascii="方正小标宋简体" w:hAnsi="楷体_GB2312" w:eastAsia="方正小标宋简体" w:cs="楷体_GB2312"/>
          <w:sz w:val="44"/>
          <w:szCs w:val="44"/>
        </w:rPr>
        <w:br w:type="page"/>
      </w:r>
    </w:p>
    <w:p>
      <w:pPr>
        <w:spacing w:line="700" w:lineRule="exact"/>
        <w:jc w:val="center"/>
        <w:rPr>
          <w:rFonts w:ascii="方正小标宋简体" w:hAnsi="楷体_GB2312" w:eastAsia="方正小标宋简体" w:cs="楷体_GB2312"/>
          <w:sz w:val="44"/>
          <w:szCs w:val="44"/>
        </w:rPr>
      </w:pPr>
      <w:r>
        <w:rPr>
          <w:rFonts w:hint="eastAsia" w:ascii="方正小标宋简体" w:hAnsi="楷体_GB2312" w:eastAsia="方正小标宋简体" w:cs="楷体_GB2312"/>
          <w:sz w:val="44"/>
          <w:szCs w:val="44"/>
        </w:rPr>
        <w:t>废弃农膜收集和处理经费</w:t>
      </w:r>
    </w:p>
    <w:p>
      <w:pPr>
        <w:spacing w:line="700" w:lineRule="exact"/>
        <w:jc w:val="center"/>
        <w:rPr>
          <w:rFonts w:ascii="方正小标宋简体" w:eastAsia="方正小标宋简体"/>
          <w:sz w:val="44"/>
          <w:szCs w:val="44"/>
        </w:rPr>
      </w:pPr>
      <w:r>
        <w:rPr>
          <w:rFonts w:hint="eastAsia" w:ascii="方正小标宋简体" w:hAnsi="方正小标宋_GBK" w:eastAsia="方正小标宋简体" w:cs="方正小标宋_GBK"/>
          <w:sz w:val="44"/>
          <w:szCs w:val="44"/>
        </w:rPr>
        <w:t>项目支出绩效自评报告</w:t>
      </w:r>
    </w:p>
    <w:p>
      <w:pPr>
        <w:pStyle w:val="34"/>
        <w:spacing w:line="576" w:lineRule="exact"/>
        <w:jc w:val="center"/>
        <w:rPr>
          <w:rFonts w:ascii="方正小标宋简体" w:hAnsi="方正小标宋简体" w:eastAsia="方正小标宋简体" w:cs="方正小标宋简体"/>
          <w:color w:val="auto"/>
          <w:kern w:val="2"/>
          <w:sz w:val="32"/>
          <w:szCs w:val="32"/>
        </w:rPr>
      </w:pPr>
    </w:p>
    <w:p>
      <w:pPr>
        <w:adjustRightInd w:val="0"/>
        <w:snapToGrid w:val="0"/>
        <w:spacing w:line="576" w:lineRule="exact"/>
        <w:ind w:firstLine="640" w:firstLineChars="200"/>
        <w:rPr>
          <w:rFonts w:ascii="仿宋" w:hAnsi="仿宋" w:eastAsia="仿宋"/>
          <w:b/>
          <w:sz w:val="32"/>
          <w:szCs w:val="32"/>
          <w:lang w:val="zh-CN"/>
        </w:rPr>
      </w:pPr>
      <w:r>
        <w:rPr>
          <w:rFonts w:hint="eastAsia" w:ascii="仿宋" w:hAnsi="仿宋" w:eastAsia="仿宋"/>
          <w:b/>
          <w:sz w:val="32"/>
          <w:szCs w:val="32"/>
        </w:rPr>
        <w:t>一、</w:t>
      </w:r>
      <w:r>
        <w:rPr>
          <w:rFonts w:hint="eastAsia" w:ascii="仿宋" w:hAnsi="仿宋" w:eastAsia="仿宋"/>
          <w:b/>
          <w:sz w:val="32"/>
          <w:szCs w:val="32"/>
          <w:lang w:val="zh-CN"/>
        </w:rPr>
        <w:t>项目概况</w:t>
      </w:r>
    </w:p>
    <w:p>
      <w:pPr>
        <w:adjustRightInd w:val="0"/>
        <w:snapToGrid w:val="0"/>
        <w:spacing w:line="576" w:lineRule="exact"/>
        <w:ind w:firstLine="640" w:firstLineChars="200"/>
        <w:rPr>
          <w:rFonts w:ascii="仿宋" w:hAnsi="仿宋" w:eastAsia="仿宋" w:cs="仿宋_GB2312"/>
          <w:sz w:val="32"/>
          <w:szCs w:val="32"/>
          <w:lang w:val="zh-CN"/>
        </w:rPr>
      </w:pPr>
      <w:r>
        <w:rPr>
          <w:rFonts w:hint="eastAsia" w:ascii="仿宋" w:hAnsi="仿宋" w:eastAsia="仿宋"/>
          <w:sz w:val="32"/>
          <w:szCs w:val="32"/>
          <w:lang w:val="zh-CN"/>
        </w:rPr>
        <w:t>（一）项目基本情况。</w:t>
      </w:r>
      <w:r>
        <w:rPr>
          <w:rFonts w:hint="eastAsia" w:ascii="仿宋" w:hAnsi="仿宋" w:eastAsia="仿宋" w:cs="仿宋_GB2312"/>
          <w:sz w:val="32"/>
          <w:szCs w:val="32"/>
          <w:lang w:val="zh-CN"/>
        </w:rPr>
        <w:t>市农业农村局负责市废弃农膜收集和处理体系建设工作领导小组办公室日常工作，负责废弃农膜回收处理工作的指导和监督管理，对试点工作相关项目、资金、政策进行争取，协助环保部门开展农业污染区域的综合治理。按照《广元市废弃农膜加工处理财政资金补贴办法》（广农膜收处领办【2017】4号》要求，与相关部门配合核实对企业的奖补资金。</w:t>
      </w:r>
    </w:p>
    <w:p>
      <w:pPr>
        <w:adjustRightInd w:val="0"/>
        <w:snapToGrid w:val="0"/>
        <w:spacing w:line="576" w:lineRule="exact"/>
        <w:ind w:firstLine="640" w:firstLineChars="200"/>
        <w:rPr>
          <w:rFonts w:ascii="仿宋" w:hAnsi="仿宋" w:eastAsia="仿宋" w:cs="仿宋_GB2312"/>
          <w:sz w:val="32"/>
          <w:szCs w:val="32"/>
          <w:lang w:val="zh-CN"/>
        </w:rPr>
      </w:pPr>
      <w:r>
        <w:rPr>
          <w:rFonts w:hint="eastAsia" w:ascii="仿宋" w:hAnsi="仿宋" w:eastAsia="仿宋"/>
          <w:sz w:val="32"/>
          <w:szCs w:val="32"/>
          <w:lang w:val="zh-CN"/>
        </w:rPr>
        <w:t>（二）项目绩效目标。</w:t>
      </w:r>
      <w:r>
        <w:rPr>
          <w:rFonts w:hint="eastAsia" w:ascii="仿宋" w:hAnsi="仿宋" w:eastAsia="仿宋" w:cs="仿宋_GB2312"/>
          <w:sz w:val="32"/>
          <w:szCs w:val="32"/>
          <w:lang w:val="zh-CN"/>
        </w:rPr>
        <w:t>按照《广元市废弃农膜加工处理财政资金补贴办法》（广农膜收处领办【2017】4号》要求，对废弃农膜回收处理企业2020年实际处理废弃农膜量给予补助。企业对全市回收的废弃农膜进行集中处理，处理率</w:t>
      </w:r>
      <w:r>
        <w:rPr>
          <w:rFonts w:hint="eastAsia" w:ascii="仿宋" w:hAnsi="仿宋" w:eastAsia="仿宋" w:cs="仿宋_GB2312"/>
          <w:sz w:val="32"/>
          <w:szCs w:val="32"/>
        </w:rPr>
        <w:t>100%，实现农业面源污染的有效处理，按照废弃农膜生产的塑料颗粒市场销售价低于5500元/吨时，低多少补多少的原则给予政府奖补，企业满意度90%以上。</w:t>
      </w:r>
      <w:r>
        <w:rPr>
          <w:rFonts w:hint="eastAsia" w:ascii="仿宋" w:hAnsi="仿宋" w:eastAsia="仿宋" w:cs="仿宋_GB2312"/>
          <w:sz w:val="32"/>
          <w:szCs w:val="32"/>
          <w:lang w:val="zh-CN"/>
        </w:rPr>
        <w:t>2020年广元市供联致顺再生资源有限公司共回收废弃农膜399.783吨，加工团膜205.52吨，折合粒料184.97吨。补助企业57.52万元。全市废弃农膜回收率达</w:t>
      </w:r>
      <w:r>
        <w:rPr>
          <w:rFonts w:hint="eastAsia" w:ascii="仿宋" w:hAnsi="仿宋" w:eastAsia="仿宋" w:cs="仿宋_GB2312"/>
          <w:sz w:val="32"/>
          <w:szCs w:val="32"/>
        </w:rPr>
        <w:t>88.32%，企业满意度95%以上。</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（三）项目自评步骤及方法。</w:t>
      </w:r>
    </w:p>
    <w:p>
      <w:pPr>
        <w:adjustRightInd w:val="0"/>
        <w:snapToGrid w:val="0"/>
        <w:spacing w:line="576"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企业提出申请，提供收废弃农膜相关凭证和加工颗粒销售发票，经利州区供销社初核后报市供销社、市农业农村局、市财政局审核后报市政府审批，据实拨付资金补助。</w:t>
      </w:r>
    </w:p>
    <w:p>
      <w:pPr>
        <w:adjustRightInd w:val="0"/>
        <w:snapToGrid w:val="0"/>
        <w:spacing w:line="576" w:lineRule="exact"/>
        <w:ind w:firstLine="640" w:firstLineChars="200"/>
        <w:rPr>
          <w:rFonts w:ascii="仿宋" w:hAnsi="仿宋" w:eastAsia="仿宋"/>
          <w:b/>
          <w:sz w:val="32"/>
          <w:szCs w:val="32"/>
        </w:rPr>
      </w:pPr>
      <w:r>
        <w:rPr>
          <w:rFonts w:hint="eastAsia" w:ascii="仿宋" w:hAnsi="仿宋" w:eastAsia="仿宋"/>
          <w:b/>
          <w:sz w:val="32"/>
          <w:szCs w:val="32"/>
        </w:rPr>
        <w:t>二、项目资金申报及使用情况</w:t>
      </w:r>
    </w:p>
    <w:p>
      <w:pPr>
        <w:adjustRightInd w:val="0"/>
        <w:snapToGrid w:val="0"/>
        <w:spacing w:line="576"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rPr>
        <w:t>2020年11月，按程序申报后，市农业农村局给市财政局去函申请支付企业补助补贴，经市财政局审核后，以《关于下达</w:t>
      </w:r>
      <w:r>
        <w:rPr>
          <w:rFonts w:hint="eastAsia" w:ascii="仿宋" w:hAnsi="仿宋" w:eastAsia="仿宋" w:cs="仿宋_GB2312"/>
          <w:sz w:val="32"/>
          <w:szCs w:val="32"/>
          <w:lang w:val="zh-CN"/>
        </w:rPr>
        <w:t>废弃农膜收集处理补贴资金的通知》（广财农〔2021〕84号）下达</w:t>
      </w:r>
      <w:r>
        <w:rPr>
          <w:rFonts w:hint="eastAsia" w:ascii="仿宋" w:hAnsi="仿宋" w:eastAsia="仿宋" w:cs="仿宋_GB2312"/>
          <w:sz w:val="32"/>
          <w:szCs w:val="32"/>
        </w:rPr>
        <w:t>补贴资金57.52万元，截止2021年12月31日资金使用率为100%。</w:t>
      </w:r>
    </w:p>
    <w:p>
      <w:pPr>
        <w:adjustRightInd w:val="0"/>
        <w:snapToGrid w:val="0"/>
        <w:spacing w:line="576" w:lineRule="exact"/>
        <w:ind w:firstLine="640" w:firstLineChars="200"/>
        <w:rPr>
          <w:rFonts w:ascii="仿宋" w:hAnsi="仿宋" w:eastAsia="仿宋"/>
          <w:b/>
          <w:sz w:val="32"/>
          <w:szCs w:val="32"/>
        </w:rPr>
      </w:pPr>
      <w:r>
        <w:rPr>
          <w:rFonts w:hint="eastAsia" w:ascii="仿宋" w:hAnsi="仿宋" w:eastAsia="仿宋"/>
          <w:b/>
          <w:sz w:val="32"/>
          <w:szCs w:val="32"/>
        </w:rPr>
        <w:t>三、项目实施及管理情况</w:t>
      </w:r>
    </w:p>
    <w:p>
      <w:pPr>
        <w:adjustRightInd w:val="0"/>
        <w:snapToGrid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实施期间市农业农村局、市供销社、市财政局等部门多次深入企业进行了调研检查，该资金补贴的实施符合各方面的要求，企业日常管理，资金使用等情况清楚。调查中发现，企业对收购的废弃农膜要求过严，经商议企业同意改变条件，适应农户实际交售废弃农膜的情况，同时扩大农业废弃物回收范围。</w:t>
      </w:r>
    </w:p>
    <w:p>
      <w:pPr>
        <w:adjustRightInd w:val="0"/>
        <w:snapToGrid w:val="0"/>
        <w:spacing w:line="576" w:lineRule="exact"/>
        <w:ind w:firstLine="640" w:firstLineChars="200"/>
        <w:rPr>
          <w:rFonts w:ascii="仿宋" w:hAnsi="仿宋" w:eastAsia="仿宋"/>
          <w:b/>
          <w:sz w:val="32"/>
          <w:szCs w:val="32"/>
          <w:lang w:val="zh-CN"/>
        </w:rPr>
      </w:pPr>
      <w:r>
        <w:rPr>
          <w:rFonts w:hint="eastAsia" w:ascii="仿宋" w:hAnsi="仿宋" w:eastAsia="仿宋"/>
          <w:b/>
          <w:sz w:val="32"/>
          <w:szCs w:val="32"/>
        </w:rPr>
        <w:t>四、项目绩效情况</w:t>
      </w:r>
      <w:r>
        <w:rPr>
          <w:rFonts w:hint="eastAsia" w:ascii="仿宋" w:hAnsi="仿宋" w:eastAsia="仿宋"/>
          <w:b/>
          <w:sz w:val="32"/>
          <w:szCs w:val="32"/>
          <w:lang w:val="zh-CN"/>
        </w:rPr>
        <w:tab/>
      </w:r>
    </w:p>
    <w:p>
      <w:pPr>
        <w:spacing w:line="58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随着项目的实施，全市废弃农膜回收体系建设逐渐完善壮大，回收范围、回收价格、回收服务、堆码标准、运输要求、交售渠道、处置程序等都得以明确，整合规范建成回收网点1659个，覆盖全市所有乡镇和行政村。通过近几年的规范提升，各乡镇村回收站点回收效果明显提高，广元市废弃农膜集中处理厂近三年回收并加工处理废弃农膜</w:t>
      </w:r>
      <w:r>
        <w:rPr>
          <w:rFonts w:ascii="仿宋" w:hAnsi="仿宋" w:eastAsia="仿宋" w:cs="仿宋_GB2312"/>
          <w:color w:val="000000"/>
          <w:sz w:val="32"/>
          <w:szCs w:val="32"/>
        </w:rPr>
        <w:t>1500</w:t>
      </w:r>
      <w:r>
        <w:rPr>
          <w:rFonts w:hint="eastAsia" w:ascii="仿宋" w:hAnsi="仿宋" w:eastAsia="仿宋" w:cs="仿宋_GB2312"/>
          <w:color w:val="000000"/>
          <w:sz w:val="32"/>
          <w:szCs w:val="32"/>
        </w:rPr>
        <w:t>余吨，处理率</w:t>
      </w:r>
      <w:r>
        <w:rPr>
          <w:rFonts w:ascii="仿宋" w:hAnsi="仿宋" w:eastAsia="仿宋" w:cs="仿宋_GB2312"/>
          <w:color w:val="000000"/>
          <w:sz w:val="32"/>
          <w:szCs w:val="32"/>
        </w:rPr>
        <w:t>100%</w:t>
      </w:r>
      <w:r>
        <w:rPr>
          <w:rFonts w:hint="eastAsia" w:ascii="仿宋" w:hAnsi="仿宋" w:eastAsia="仿宋" w:cs="仿宋_GB2312"/>
          <w:color w:val="000000"/>
          <w:sz w:val="32"/>
          <w:szCs w:val="32"/>
        </w:rPr>
        <w:t>。取得了良好的经济效益、社会效益和生态效益。</w:t>
      </w:r>
    </w:p>
    <w:p>
      <w:pPr>
        <w:adjustRightInd w:val="0"/>
        <w:snapToGrid w:val="0"/>
        <w:spacing w:line="576" w:lineRule="exact"/>
        <w:ind w:firstLine="640" w:firstLineChars="200"/>
        <w:rPr>
          <w:rFonts w:ascii="仿宋" w:hAnsi="仿宋" w:eastAsia="仿宋"/>
          <w:sz w:val="32"/>
          <w:szCs w:val="32"/>
        </w:rPr>
      </w:pPr>
      <w:r>
        <w:rPr>
          <w:rFonts w:hint="eastAsia" w:ascii="仿宋" w:hAnsi="仿宋" w:eastAsia="仿宋"/>
          <w:sz w:val="32"/>
          <w:szCs w:val="32"/>
        </w:rPr>
        <w:t>五、评价结论及建议</w:t>
      </w:r>
    </w:p>
    <w:p>
      <w:pPr>
        <w:pStyle w:val="34"/>
        <w:spacing w:line="7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总体来看项目决策程序严密、规划合理、结果符合规划，项目实施资金分配及时，项目完成质量以及效果较好，全面完成了该项目目标任务，项目绩效目标全面完成。</w:t>
      </w:r>
    </w:p>
    <w:p>
      <w:pPr>
        <w:spacing w:line="560" w:lineRule="exact"/>
        <w:ind w:firstLine="640" w:firstLineChars="200"/>
        <w:jc w:val="left"/>
        <w:rPr>
          <w:rFonts w:ascii="仿宋" w:hAnsi="仿宋" w:eastAsia="仿宋" w:cs="仿宋_GB2312"/>
          <w:color w:val="000000"/>
        </w:rPr>
      </w:pPr>
      <w:r>
        <w:rPr>
          <w:rFonts w:hint="eastAsia" w:ascii="仿宋" w:hAnsi="仿宋" w:eastAsia="仿宋" w:cs="仿宋_GB2312"/>
          <w:color w:val="000000"/>
          <w:sz w:val="32"/>
          <w:szCs w:val="32"/>
        </w:rPr>
        <w:t>废弃农膜回收处理方面虽取得了一定成绩，但同时还存在诸多不足：农膜使用者文化素质不高，环保意识不足，废弃农膜回收捡拾量小、清洗困难、用工量大，群众接受难度大；回收利用企业生产加工成本不断上升，回收成本高，积极性较弱；地方财政资金紧缺，补贴缺口压力巨大；回收网点工作开展不齐。下一步将持续巩固提升现有成果，加强引导，优化回收网点，做好农用废弃物回收工作</w:t>
      </w:r>
      <w:r>
        <w:rPr>
          <w:rFonts w:hint="eastAsia" w:ascii="仿宋" w:hAnsi="仿宋" w:eastAsia="仿宋" w:cs="仿宋_GB2312"/>
          <w:color w:val="000000"/>
        </w:rPr>
        <w:t>。</w:t>
      </w:r>
    </w:p>
    <w:p>
      <w:pPr>
        <w:rPr>
          <w:rFonts w:ascii="宋体" w:hAnsi="宋体" w:cs="宋体"/>
          <w:b/>
          <w:sz w:val="32"/>
          <w:szCs w:val="32"/>
        </w:rPr>
      </w:pPr>
      <w:r>
        <w:rPr>
          <w:rFonts w:hint="eastAsia" w:ascii="宋体" w:hAnsi="宋体" w:cs="宋体"/>
          <w:b/>
          <w:sz w:val="32"/>
          <w:szCs w:val="32"/>
        </w:rPr>
        <w:br w:type="page"/>
      </w:r>
    </w:p>
    <w:p>
      <w:pPr>
        <w:pStyle w:val="2"/>
        <w:spacing w:before="93"/>
        <w:jc w:val="center"/>
        <w:rPr>
          <w:lang w:val="zh-CN"/>
        </w:rPr>
      </w:pPr>
      <w:r>
        <w:rPr>
          <w:rFonts w:hint="eastAsia" w:ascii="宋体" w:hAnsi="宋体" w:cs="宋体"/>
          <w:b/>
          <w:sz w:val="32"/>
          <w:szCs w:val="32"/>
        </w:rPr>
        <w:t>2021年部门预算项目绩效目标自评</w:t>
      </w:r>
    </w:p>
    <w:tbl>
      <w:tblPr>
        <w:tblStyle w:val="15"/>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618"/>
        <w:gridCol w:w="224"/>
        <w:gridCol w:w="993"/>
        <w:gridCol w:w="1701"/>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19" w:type="dxa"/>
            <w:gridSpan w:val="3"/>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项目名称</w:t>
            </w:r>
          </w:p>
        </w:tc>
        <w:tc>
          <w:tcPr>
            <w:tcW w:w="7088" w:type="dxa"/>
            <w:gridSpan w:val="4"/>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废弃农膜收集和处理经费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19" w:type="dxa"/>
            <w:gridSpan w:val="3"/>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主管单位</w:t>
            </w:r>
          </w:p>
        </w:tc>
        <w:tc>
          <w:tcPr>
            <w:tcW w:w="2694"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广元市农业农村局</w:t>
            </w:r>
          </w:p>
        </w:tc>
        <w:tc>
          <w:tcPr>
            <w:tcW w:w="2268"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实施单位</w:t>
            </w:r>
          </w:p>
        </w:tc>
        <w:tc>
          <w:tcPr>
            <w:tcW w:w="2126"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广元市农业农村局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77" w:type="dxa"/>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预算</w:t>
            </w:r>
            <w:r>
              <w:rPr>
                <w:rFonts w:hint="eastAsia" w:ascii="仿宋" w:hAnsi="仿宋" w:eastAsia="仿宋" w:cs="宋体"/>
                <w:kern w:val="0"/>
                <w:sz w:val="24"/>
              </w:rPr>
              <w:br w:type="textWrapping"/>
            </w:r>
            <w:r>
              <w:rPr>
                <w:rFonts w:hint="eastAsia" w:ascii="仿宋" w:hAnsi="仿宋" w:eastAsia="仿宋" w:cs="宋体"/>
                <w:kern w:val="0"/>
                <w:sz w:val="24"/>
              </w:rPr>
              <w:t>执行</w:t>
            </w:r>
            <w:r>
              <w:rPr>
                <w:rFonts w:hint="eastAsia" w:ascii="仿宋" w:hAnsi="仿宋" w:eastAsia="仿宋" w:cs="宋体"/>
                <w:kern w:val="0"/>
                <w:sz w:val="24"/>
              </w:rPr>
              <w:br w:type="textWrapping"/>
            </w:r>
            <w:r>
              <w:rPr>
                <w:rFonts w:hint="eastAsia" w:ascii="仿宋" w:hAnsi="仿宋" w:eastAsia="仿宋" w:cs="宋体"/>
                <w:kern w:val="0"/>
                <w:sz w:val="24"/>
              </w:rPr>
              <w:t>情况</w:t>
            </w:r>
            <w:r>
              <w:rPr>
                <w:rFonts w:hint="eastAsia" w:ascii="仿宋" w:hAnsi="仿宋" w:eastAsia="仿宋" w:cs="宋体"/>
                <w:kern w:val="0"/>
                <w:sz w:val="24"/>
              </w:rPr>
              <w:br w:type="textWrapping"/>
            </w:r>
            <w:r>
              <w:rPr>
                <w:rFonts w:hint="eastAsia" w:ascii="仿宋" w:hAnsi="仿宋" w:eastAsia="仿宋" w:cs="宋体"/>
                <w:kern w:val="0"/>
                <w:sz w:val="16"/>
                <w:szCs w:val="16"/>
              </w:rPr>
              <w:t>（万元）</w:t>
            </w:r>
          </w:p>
        </w:tc>
        <w:tc>
          <w:tcPr>
            <w:tcW w:w="1842"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 xml:space="preserve"> 预算数：</w:t>
            </w:r>
          </w:p>
        </w:tc>
        <w:tc>
          <w:tcPr>
            <w:tcW w:w="2694"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57.52</w:t>
            </w:r>
          </w:p>
        </w:tc>
        <w:tc>
          <w:tcPr>
            <w:tcW w:w="2268"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 xml:space="preserve"> 执行数：</w:t>
            </w:r>
          </w:p>
        </w:tc>
        <w:tc>
          <w:tcPr>
            <w:tcW w:w="2126"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57.52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277" w:type="dxa"/>
            <w:vMerge w:val="continue"/>
            <w:vAlign w:val="center"/>
          </w:tcPr>
          <w:p>
            <w:pPr>
              <w:spacing w:line="300" w:lineRule="exact"/>
              <w:jc w:val="left"/>
              <w:rPr>
                <w:rFonts w:ascii="仿宋" w:hAnsi="仿宋" w:eastAsia="仿宋" w:cs="宋体"/>
                <w:kern w:val="0"/>
                <w:sz w:val="24"/>
              </w:rPr>
            </w:pPr>
          </w:p>
        </w:tc>
        <w:tc>
          <w:tcPr>
            <w:tcW w:w="1842" w:type="dxa"/>
            <w:gridSpan w:val="2"/>
            <w:shd w:val="clear" w:color="auto" w:fill="auto"/>
            <w:vAlign w:val="center"/>
          </w:tcPr>
          <w:p>
            <w:pPr>
              <w:spacing w:line="300" w:lineRule="exact"/>
              <w:jc w:val="right"/>
              <w:rPr>
                <w:rFonts w:ascii="仿宋" w:hAnsi="仿宋" w:eastAsia="仿宋" w:cs="宋体"/>
                <w:kern w:val="0"/>
                <w:sz w:val="22"/>
                <w:szCs w:val="22"/>
              </w:rPr>
            </w:pPr>
            <w:r>
              <w:rPr>
                <w:rFonts w:hint="eastAsia" w:ascii="仿宋" w:hAnsi="仿宋" w:eastAsia="仿宋" w:cs="宋体"/>
                <w:kern w:val="0"/>
                <w:sz w:val="22"/>
                <w:szCs w:val="22"/>
              </w:rPr>
              <w:t>其中：财政拨款</w:t>
            </w:r>
          </w:p>
        </w:tc>
        <w:tc>
          <w:tcPr>
            <w:tcW w:w="2694"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57.52</w:t>
            </w:r>
          </w:p>
        </w:tc>
        <w:tc>
          <w:tcPr>
            <w:tcW w:w="2268" w:type="dxa"/>
            <w:shd w:val="clear" w:color="auto" w:fill="auto"/>
            <w:vAlign w:val="center"/>
          </w:tcPr>
          <w:p>
            <w:pPr>
              <w:spacing w:line="300" w:lineRule="exact"/>
              <w:jc w:val="right"/>
              <w:rPr>
                <w:rFonts w:ascii="仿宋" w:hAnsi="仿宋" w:eastAsia="仿宋" w:cs="宋体"/>
                <w:kern w:val="0"/>
                <w:sz w:val="22"/>
                <w:szCs w:val="22"/>
              </w:rPr>
            </w:pPr>
            <w:r>
              <w:rPr>
                <w:rFonts w:hint="eastAsia" w:ascii="仿宋" w:hAnsi="仿宋" w:eastAsia="仿宋" w:cs="宋体"/>
                <w:kern w:val="0"/>
                <w:sz w:val="22"/>
                <w:szCs w:val="22"/>
              </w:rPr>
              <w:t>其中：财政拨款</w:t>
            </w:r>
          </w:p>
        </w:tc>
        <w:tc>
          <w:tcPr>
            <w:tcW w:w="2126" w:type="dxa"/>
            <w:shd w:val="clear" w:color="auto" w:fill="auto"/>
            <w:vAlign w:val="center"/>
          </w:tcPr>
          <w:p>
            <w:pPr>
              <w:spacing w:line="300" w:lineRule="exact"/>
              <w:jc w:val="center"/>
              <w:rPr>
                <w:rFonts w:ascii="仿宋" w:hAnsi="仿宋" w:eastAsia="仿宋" w:cs="宋体"/>
                <w:kern w:val="0"/>
                <w:sz w:val="22"/>
                <w:szCs w:val="22"/>
              </w:rPr>
            </w:pPr>
            <w:r>
              <w:rPr>
                <w:rFonts w:hint="eastAsia" w:ascii="仿宋" w:hAnsi="仿宋" w:eastAsia="仿宋" w:cs="宋体"/>
                <w:kern w:val="0"/>
                <w:sz w:val="22"/>
                <w:szCs w:val="22"/>
              </w:rPr>
              <w:t>57.52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77" w:type="dxa"/>
            <w:vMerge w:val="continue"/>
            <w:vAlign w:val="center"/>
          </w:tcPr>
          <w:p>
            <w:pPr>
              <w:spacing w:line="300" w:lineRule="exact"/>
              <w:jc w:val="left"/>
              <w:rPr>
                <w:rFonts w:ascii="仿宋" w:hAnsi="仿宋" w:eastAsia="仿宋" w:cs="宋体"/>
                <w:kern w:val="0"/>
                <w:sz w:val="24"/>
              </w:rPr>
            </w:pPr>
          </w:p>
        </w:tc>
        <w:tc>
          <w:tcPr>
            <w:tcW w:w="1842" w:type="dxa"/>
            <w:gridSpan w:val="2"/>
            <w:shd w:val="clear" w:color="auto" w:fill="auto"/>
            <w:vAlign w:val="center"/>
          </w:tcPr>
          <w:p>
            <w:pPr>
              <w:spacing w:line="300" w:lineRule="exact"/>
              <w:jc w:val="right"/>
              <w:rPr>
                <w:rFonts w:ascii="仿宋" w:hAnsi="仿宋" w:eastAsia="仿宋" w:cs="宋体"/>
                <w:kern w:val="0"/>
                <w:sz w:val="22"/>
                <w:szCs w:val="22"/>
              </w:rPr>
            </w:pPr>
            <w:r>
              <w:rPr>
                <w:rFonts w:hint="eastAsia" w:ascii="仿宋" w:hAnsi="仿宋" w:eastAsia="仿宋" w:cs="宋体"/>
                <w:kern w:val="0"/>
                <w:sz w:val="22"/>
                <w:szCs w:val="22"/>
              </w:rPr>
              <w:t>其他资金</w:t>
            </w:r>
          </w:p>
        </w:tc>
        <w:tc>
          <w:tcPr>
            <w:tcW w:w="2694"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　</w:t>
            </w:r>
          </w:p>
        </w:tc>
        <w:tc>
          <w:tcPr>
            <w:tcW w:w="2268" w:type="dxa"/>
            <w:shd w:val="clear" w:color="auto" w:fill="auto"/>
            <w:vAlign w:val="center"/>
          </w:tcPr>
          <w:p>
            <w:pPr>
              <w:spacing w:line="300" w:lineRule="exact"/>
              <w:jc w:val="right"/>
              <w:rPr>
                <w:rFonts w:ascii="仿宋" w:hAnsi="仿宋" w:eastAsia="仿宋" w:cs="宋体"/>
                <w:kern w:val="0"/>
                <w:sz w:val="22"/>
                <w:szCs w:val="22"/>
              </w:rPr>
            </w:pPr>
            <w:r>
              <w:rPr>
                <w:rFonts w:hint="eastAsia" w:ascii="仿宋" w:hAnsi="仿宋" w:eastAsia="仿宋" w:cs="宋体"/>
                <w:kern w:val="0"/>
                <w:sz w:val="22"/>
                <w:szCs w:val="22"/>
              </w:rPr>
              <w:t>其他资金</w:t>
            </w:r>
          </w:p>
        </w:tc>
        <w:tc>
          <w:tcPr>
            <w:tcW w:w="2126" w:type="dxa"/>
            <w:shd w:val="clear" w:color="auto" w:fill="auto"/>
            <w:vAlign w:val="center"/>
          </w:tcPr>
          <w:p>
            <w:pPr>
              <w:spacing w:line="300" w:lineRule="exact"/>
              <w:jc w:val="right"/>
              <w:rPr>
                <w:rFonts w:ascii="仿宋" w:hAnsi="仿宋" w:eastAsia="仿宋" w:cs="宋体"/>
                <w:kern w:val="0"/>
                <w:sz w:val="22"/>
                <w:szCs w:val="22"/>
              </w:rPr>
            </w:pPr>
            <w:r>
              <w:rPr>
                <w:rFonts w:hint="eastAsia" w:ascii="仿宋" w:hAnsi="仿宋" w:eastAsia="仿宋"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277" w:type="dxa"/>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年度</w:t>
            </w:r>
            <w:r>
              <w:rPr>
                <w:rFonts w:hint="eastAsia" w:ascii="仿宋" w:hAnsi="仿宋" w:eastAsia="仿宋" w:cs="宋体"/>
                <w:kern w:val="0"/>
                <w:sz w:val="24"/>
              </w:rPr>
              <w:br w:type="textWrapping"/>
            </w:r>
            <w:r>
              <w:rPr>
                <w:rFonts w:hint="eastAsia" w:ascii="仿宋" w:hAnsi="仿宋" w:eastAsia="仿宋" w:cs="宋体"/>
                <w:kern w:val="0"/>
                <w:sz w:val="24"/>
              </w:rPr>
              <w:t>目标</w:t>
            </w:r>
            <w:r>
              <w:rPr>
                <w:rFonts w:hint="eastAsia" w:ascii="仿宋" w:hAnsi="仿宋" w:eastAsia="仿宋" w:cs="宋体"/>
                <w:kern w:val="0"/>
                <w:sz w:val="24"/>
              </w:rPr>
              <w:br w:type="textWrapping"/>
            </w:r>
            <w:r>
              <w:rPr>
                <w:rFonts w:hint="eastAsia" w:ascii="仿宋" w:hAnsi="仿宋" w:eastAsia="仿宋" w:cs="宋体"/>
                <w:kern w:val="0"/>
                <w:sz w:val="24"/>
              </w:rPr>
              <w:t>完成</w:t>
            </w:r>
            <w:r>
              <w:rPr>
                <w:rFonts w:hint="eastAsia" w:ascii="仿宋" w:hAnsi="仿宋" w:eastAsia="仿宋" w:cs="宋体"/>
                <w:kern w:val="0"/>
                <w:sz w:val="24"/>
              </w:rPr>
              <w:br w:type="textWrapping"/>
            </w:r>
            <w:r>
              <w:rPr>
                <w:rFonts w:hint="eastAsia" w:ascii="仿宋" w:hAnsi="仿宋" w:eastAsia="仿宋" w:cs="宋体"/>
                <w:kern w:val="0"/>
                <w:sz w:val="24"/>
              </w:rPr>
              <w:t>情况</w:t>
            </w:r>
          </w:p>
        </w:tc>
        <w:tc>
          <w:tcPr>
            <w:tcW w:w="4536" w:type="dxa"/>
            <w:gridSpan w:val="4"/>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预期目标</w:t>
            </w:r>
          </w:p>
        </w:tc>
        <w:tc>
          <w:tcPr>
            <w:tcW w:w="4394"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1277" w:type="dxa"/>
            <w:vMerge w:val="continue"/>
            <w:vAlign w:val="center"/>
          </w:tcPr>
          <w:p>
            <w:pPr>
              <w:spacing w:line="300" w:lineRule="exact"/>
              <w:jc w:val="left"/>
              <w:rPr>
                <w:rFonts w:ascii="仿宋" w:hAnsi="仿宋" w:eastAsia="仿宋" w:cs="宋体"/>
                <w:kern w:val="0"/>
                <w:sz w:val="24"/>
              </w:rPr>
            </w:pPr>
          </w:p>
        </w:tc>
        <w:tc>
          <w:tcPr>
            <w:tcW w:w="4536" w:type="dxa"/>
            <w:gridSpan w:val="4"/>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对废弃农膜回收处理企业2020年实际处理废弃农膜量给予补助。标准按照《广元市废弃农膜加工处理财政资金补贴办法》（广农膜收处领办【2017】4号》</w:t>
            </w:r>
          </w:p>
        </w:tc>
        <w:tc>
          <w:tcPr>
            <w:tcW w:w="4394" w:type="dxa"/>
            <w:gridSpan w:val="2"/>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2020年广元市供联致顺再生资源有限公司共回收废弃农膜399.783吨，加工团莫205.52吨，折合粒料184.97吨。按照《广元市废弃农膜加工处理财政资金补贴办法》（广农膜收处领办【2017】4号》标准补助企业57.52万元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77" w:type="dxa"/>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年度</w:t>
            </w:r>
            <w:r>
              <w:rPr>
                <w:rFonts w:hint="eastAsia" w:ascii="仿宋" w:hAnsi="仿宋" w:eastAsia="仿宋" w:cs="宋体"/>
                <w:kern w:val="0"/>
                <w:sz w:val="24"/>
              </w:rPr>
              <w:br w:type="textWrapping"/>
            </w:r>
            <w:r>
              <w:rPr>
                <w:rFonts w:hint="eastAsia" w:ascii="仿宋" w:hAnsi="仿宋" w:eastAsia="仿宋" w:cs="宋体"/>
                <w:kern w:val="0"/>
                <w:sz w:val="24"/>
              </w:rPr>
              <w:t>绩效</w:t>
            </w:r>
            <w:r>
              <w:rPr>
                <w:rFonts w:hint="eastAsia" w:ascii="仿宋" w:hAnsi="仿宋" w:eastAsia="仿宋" w:cs="宋体"/>
                <w:kern w:val="0"/>
                <w:sz w:val="24"/>
              </w:rPr>
              <w:br w:type="textWrapping"/>
            </w:r>
            <w:r>
              <w:rPr>
                <w:rFonts w:hint="eastAsia" w:ascii="仿宋" w:hAnsi="仿宋" w:eastAsia="仿宋" w:cs="宋体"/>
                <w:kern w:val="0"/>
                <w:sz w:val="24"/>
              </w:rPr>
              <w:t>指标</w:t>
            </w:r>
            <w:r>
              <w:rPr>
                <w:rFonts w:hint="eastAsia" w:ascii="仿宋" w:hAnsi="仿宋" w:eastAsia="仿宋" w:cs="宋体"/>
                <w:kern w:val="0"/>
                <w:sz w:val="24"/>
              </w:rPr>
              <w:br w:type="textWrapping"/>
            </w:r>
            <w:r>
              <w:rPr>
                <w:rFonts w:hint="eastAsia" w:ascii="仿宋" w:hAnsi="仿宋" w:eastAsia="仿宋" w:cs="宋体"/>
                <w:kern w:val="0"/>
                <w:sz w:val="24"/>
              </w:rPr>
              <w:t>完成</w:t>
            </w:r>
            <w:r>
              <w:rPr>
                <w:rFonts w:hint="eastAsia" w:ascii="仿宋" w:hAnsi="仿宋" w:eastAsia="仿宋" w:cs="宋体"/>
                <w:kern w:val="0"/>
                <w:sz w:val="24"/>
              </w:rPr>
              <w:br w:type="textWrapping"/>
            </w:r>
            <w:r>
              <w:rPr>
                <w:rFonts w:hint="eastAsia" w:ascii="仿宋" w:hAnsi="仿宋" w:eastAsia="仿宋" w:cs="宋体"/>
                <w:kern w:val="0"/>
                <w:sz w:val="24"/>
              </w:rPr>
              <w:t>情况</w:t>
            </w:r>
          </w:p>
        </w:tc>
        <w:tc>
          <w:tcPr>
            <w:tcW w:w="1618"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一级指标</w:t>
            </w:r>
          </w:p>
        </w:tc>
        <w:tc>
          <w:tcPr>
            <w:tcW w:w="1217"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二级指标</w:t>
            </w:r>
          </w:p>
        </w:tc>
        <w:tc>
          <w:tcPr>
            <w:tcW w:w="1701"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三级指标</w:t>
            </w:r>
          </w:p>
        </w:tc>
        <w:tc>
          <w:tcPr>
            <w:tcW w:w="2268"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指标值</w:t>
            </w:r>
          </w:p>
        </w:tc>
        <w:tc>
          <w:tcPr>
            <w:tcW w:w="2126"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实际完成指标值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277" w:type="dxa"/>
            <w:vMerge w:val="continue"/>
            <w:vAlign w:val="center"/>
          </w:tcPr>
          <w:p>
            <w:pPr>
              <w:spacing w:line="300" w:lineRule="exact"/>
              <w:jc w:val="left"/>
              <w:rPr>
                <w:rFonts w:ascii="仿宋" w:hAnsi="仿宋" w:eastAsia="仿宋" w:cs="宋体"/>
                <w:kern w:val="0"/>
                <w:sz w:val="24"/>
              </w:rPr>
            </w:pPr>
          </w:p>
        </w:tc>
        <w:tc>
          <w:tcPr>
            <w:tcW w:w="1618" w:type="dxa"/>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项目</w:t>
            </w:r>
          </w:p>
          <w:p>
            <w:pPr>
              <w:spacing w:line="300" w:lineRule="exact"/>
              <w:jc w:val="center"/>
              <w:rPr>
                <w:rFonts w:ascii="仿宋" w:hAnsi="仿宋" w:eastAsia="仿宋" w:cs="宋体"/>
                <w:kern w:val="0"/>
                <w:sz w:val="24"/>
              </w:rPr>
            </w:pPr>
            <w:r>
              <w:rPr>
                <w:rFonts w:hint="eastAsia" w:ascii="仿宋" w:hAnsi="仿宋" w:eastAsia="仿宋" w:cs="宋体"/>
                <w:kern w:val="0"/>
                <w:sz w:val="24"/>
              </w:rPr>
              <w:t>完成</w:t>
            </w:r>
          </w:p>
          <w:p>
            <w:pPr>
              <w:spacing w:line="300" w:lineRule="exact"/>
              <w:jc w:val="center"/>
              <w:rPr>
                <w:rFonts w:ascii="仿宋" w:hAnsi="仿宋" w:eastAsia="仿宋" w:cs="宋体"/>
                <w:kern w:val="0"/>
                <w:sz w:val="24"/>
              </w:rPr>
            </w:pPr>
            <w:r>
              <w:rPr>
                <w:rFonts w:hint="eastAsia" w:ascii="仿宋" w:hAnsi="仿宋" w:eastAsia="仿宋" w:cs="宋体"/>
                <w:kern w:val="0"/>
                <w:sz w:val="24"/>
              </w:rPr>
              <w:t>指标</w:t>
            </w:r>
          </w:p>
        </w:tc>
        <w:tc>
          <w:tcPr>
            <w:tcW w:w="1217" w:type="dxa"/>
            <w:gridSpan w:val="2"/>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数量指标</w:t>
            </w:r>
          </w:p>
        </w:tc>
        <w:tc>
          <w:tcPr>
            <w:tcW w:w="1701"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回收废弃农膜处理率</w:t>
            </w:r>
          </w:p>
        </w:tc>
        <w:tc>
          <w:tcPr>
            <w:tcW w:w="2268"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100%</w:t>
            </w:r>
          </w:p>
        </w:tc>
        <w:tc>
          <w:tcPr>
            <w:tcW w:w="2126"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77" w:type="dxa"/>
            <w:vMerge w:val="continue"/>
            <w:vAlign w:val="center"/>
          </w:tcPr>
          <w:p>
            <w:pPr>
              <w:spacing w:line="300" w:lineRule="exact"/>
              <w:jc w:val="left"/>
              <w:rPr>
                <w:rFonts w:ascii="仿宋" w:hAnsi="仿宋" w:eastAsia="仿宋" w:cs="宋体"/>
                <w:kern w:val="0"/>
                <w:sz w:val="24"/>
              </w:rPr>
            </w:pPr>
          </w:p>
        </w:tc>
        <w:tc>
          <w:tcPr>
            <w:tcW w:w="1618" w:type="dxa"/>
            <w:vMerge w:val="continue"/>
            <w:vAlign w:val="center"/>
          </w:tcPr>
          <w:p>
            <w:pPr>
              <w:spacing w:line="300" w:lineRule="exact"/>
              <w:jc w:val="left"/>
              <w:rPr>
                <w:rFonts w:ascii="仿宋" w:hAnsi="仿宋" w:eastAsia="仿宋" w:cs="宋体"/>
                <w:kern w:val="0"/>
                <w:sz w:val="24"/>
              </w:rPr>
            </w:pPr>
          </w:p>
        </w:tc>
        <w:tc>
          <w:tcPr>
            <w:tcW w:w="1217" w:type="dxa"/>
            <w:gridSpan w:val="2"/>
            <w:vMerge w:val="continue"/>
            <w:vAlign w:val="center"/>
          </w:tcPr>
          <w:p>
            <w:pPr>
              <w:spacing w:line="300" w:lineRule="exact"/>
              <w:jc w:val="left"/>
              <w:rPr>
                <w:rFonts w:ascii="仿宋" w:hAnsi="仿宋" w:eastAsia="仿宋" w:cs="宋体"/>
                <w:kern w:val="0"/>
                <w:sz w:val="24"/>
              </w:rPr>
            </w:pPr>
          </w:p>
        </w:tc>
        <w:tc>
          <w:tcPr>
            <w:tcW w:w="1701"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回收处理废弃农膜数量</w:t>
            </w:r>
          </w:p>
        </w:tc>
        <w:tc>
          <w:tcPr>
            <w:tcW w:w="2268"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全市集中统一处理</w:t>
            </w:r>
          </w:p>
        </w:tc>
        <w:tc>
          <w:tcPr>
            <w:tcW w:w="2126"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回收收废弃农膜399.783吨，全部处理，加工成团膜205.52吨。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277" w:type="dxa"/>
            <w:vMerge w:val="continue"/>
            <w:vAlign w:val="center"/>
          </w:tcPr>
          <w:p>
            <w:pPr>
              <w:spacing w:line="300" w:lineRule="exact"/>
              <w:jc w:val="left"/>
              <w:rPr>
                <w:rFonts w:ascii="仿宋" w:hAnsi="仿宋" w:eastAsia="仿宋" w:cs="宋体"/>
                <w:kern w:val="0"/>
                <w:sz w:val="24"/>
              </w:rPr>
            </w:pPr>
          </w:p>
        </w:tc>
        <w:tc>
          <w:tcPr>
            <w:tcW w:w="1618" w:type="dxa"/>
            <w:vMerge w:val="continue"/>
            <w:vAlign w:val="center"/>
          </w:tcPr>
          <w:p>
            <w:pPr>
              <w:spacing w:line="300" w:lineRule="exact"/>
              <w:jc w:val="left"/>
              <w:rPr>
                <w:rFonts w:ascii="仿宋" w:hAnsi="仿宋" w:eastAsia="仿宋" w:cs="宋体"/>
                <w:kern w:val="0"/>
                <w:sz w:val="24"/>
              </w:rPr>
            </w:pPr>
          </w:p>
        </w:tc>
        <w:tc>
          <w:tcPr>
            <w:tcW w:w="1217"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时效指标</w:t>
            </w:r>
          </w:p>
        </w:tc>
        <w:tc>
          <w:tcPr>
            <w:tcW w:w="1701"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补贴申请时间</w:t>
            </w:r>
          </w:p>
        </w:tc>
        <w:tc>
          <w:tcPr>
            <w:tcW w:w="2268"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次年申报上一年补贴</w:t>
            </w:r>
          </w:p>
        </w:tc>
        <w:tc>
          <w:tcPr>
            <w:tcW w:w="2126"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次年申报上一年补贴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277" w:type="dxa"/>
            <w:vMerge w:val="continue"/>
            <w:vAlign w:val="center"/>
          </w:tcPr>
          <w:p>
            <w:pPr>
              <w:spacing w:line="300" w:lineRule="exact"/>
              <w:jc w:val="left"/>
              <w:rPr>
                <w:rFonts w:ascii="仿宋" w:hAnsi="仿宋" w:eastAsia="仿宋" w:cs="宋体"/>
                <w:kern w:val="0"/>
                <w:sz w:val="24"/>
              </w:rPr>
            </w:pPr>
          </w:p>
        </w:tc>
        <w:tc>
          <w:tcPr>
            <w:tcW w:w="1618" w:type="dxa"/>
            <w:vMerge w:val="continue"/>
            <w:vAlign w:val="center"/>
          </w:tcPr>
          <w:p>
            <w:pPr>
              <w:spacing w:line="300" w:lineRule="exact"/>
              <w:jc w:val="left"/>
              <w:rPr>
                <w:rFonts w:ascii="仿宋" w:hAnsi="仿宋" w:eastAsia="仿宋" w:cs="宋体"/>
                <w:kern w:val="0"/>
                <w:sz w:val="24"/>
              </w:rPr>
            </w:pPr>
          </w:p>
        </w:tc>
        <w:tc>
          <w:tcPr>
            <w:tcW w:w="1217"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成本指标</w:t>
            </w:r>
          </w:p>
        </w:tc>
        <w:tc>
          <w:tcPr>
            <w:tcW w:w="1701"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 xml:space="preserve"> 补助标准</w:t>
            </w:r>
          </w:p>
        </w:tc>
        <w:tc>
          <w:tcPr>
            <w:tcW w:w="2268"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当废弃农膜生产的塑料颗粒市场销售价低于5500元/吨时，按低多少补多少。</w:t>
            </w:r>
          </w:p>
        </w:tc>
        <w:tc>
          <w:tcPr>
            <w:tcW w:w="2126"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当废弃农膜生产的塑料颗粒市场销售价低于5500元/吨时，按低多少补多少。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277" w:type="dxa"/>
            <w:vMerge w:val="continue"/>
            <w:vAlign w:val="center"/>
          </w:tcPr>
          <w:p>
            <w:pPr>
              <w:spacing w:line="300" w:lineRule="exact"/>
              <w:jc w:val="left"/>
              <w:rPr>
                <w:rFonts w:ascii="仿宋" w:hAnsi="仿宋" w:eastAsia="仿宋" w:cs="宋体"/>
                <w:kern w:val="0"/>
                <w:sz w:val="24"/>
              </w:rPr>
            </w:pPr>
          </w:p>
        </w:tc>
        <w:tc>
          <w:tcPr>
            <w:tcW w:w="1618" w:type="dxa"/>
            <w:vMerge w:val="restart"/>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　</w:t>
            </w:r>
          </w:p>
        </w:tc>
        <w:tc>
          <w:tcPr>
            <w:tcW w:w="1217"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生态效益</w:t>
            </w:r>
            <w:r>
              <w:rPr>
                <w:rFonts w:hint="eastAsia" w:ascii="仿宋" w:hAnsi="仿宋" w:eastAsia="仿宋" w:cs="宋体"/>
                <w:kern w:val="0"/>
                <w:sz w:val="24"/>
              </w:rPr>
              <w:br w:type="textWrapping"/>
            </w:r>
            <w:r>
              <w:rPr>
                <w:rFonts w:hint="eastAsia" w:ascii="仿宋" w:hAnsi="仿宋" w:eastAsia="仿宋" w:cs="宋体"/>
                <w:kern w:val="0"/>
                <w:sz w:val="24"/>
              </w:rPr>
              <w:t>指标</w:t>
            </w:r>
          </w:p>
        </w:tc>
        <w:tc>
          <w:tcPr>
            <w:tcW w:w="1701"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生态环境保护</w:t>
            </w:r>
          </w:p>
        </w:tc>
        <w:tc>
          <w:tcPr>
            <w:tcW w:w="2268"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减少农业面源污染</w:t>
            </w:r>
          </w:p>
        </w:tc>
        <w:tc>
          <w:tcPr>
            <w:tcW w:w="2126"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废弃农膜回收率达88.32%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277" w:type="dxa"/>
            <w:vMerge w:val="continue"/>
            <w:vAlign w:val="center"/>
          </w:tcPr>
          <w:p>
            <w:pPr>
              <w:spacing w:line="300" w:lineRule="exact"/>
              <w:jc w:val="left"/>
              <w:rPr>
                <w:rFonts w:ascii="仿宋" w:hAnsi="仿宋" w:eastAsia="仿宋" w:cs="宋体"/>
                <w:kern w:val="0"/>
                <w:sz w:val="24"/>
              </w:rPr>
            </w:pPr>
          </w:p>
        </w:tc>
        <w:tc>
          <w:tcPr>
            <w:tcW w:w="1618" w:type="dxa"/>
            <w:vMerge w:val="continue"/>
            <w:vAlign w:val="center"/>
          </w:tcPr>
          <w:p>
            <w:pPr>
              <w:spacing w:line="300" w:lineRule="exact"/>
              <w:jc w:val="left"/>
              <w:rPr>
                <w:rFonts w:ascii="仿宋" w:hAnsi="仿宋" w:eastAsia="仿宋" w:cs="宋体"/>
                <w:kern w:val="0"/>
                <w:sz w:val="24"/>
              </w:rPr>
            </w:pPr>
          </w:p>
        </w:tc>
        <w:tc>
          <w:tcPr>
            <w:tcW w:w="1217"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可持续影响</w:t>
            </w:r>
            <w:r>
              <w:rPr>
                <w:rFonts w:hint="eastAsia" w:ascii="仿宋" w:hAnsi="仿宋" w:eastAsia="仿宋" w:cs="宋体"/>
                <w:kern w:val="0"/>
                <w:sz w:val="24"/>
              </w:rPr>
              <w:br w:type="textWrapping"/>
            </w:r>
            <w:r>
              <w:rPr>
                <w:rFonts w:hint="eastAsia" w:ascii="仿宋" w:hAnsi="仿宋" w:eastAsia="仿宋" w:cs="宋体"/>
                <w:kern w:val="0"/>
                <w:sz w:val="24"/>
              </w:rPr>
              <w:t>指标</w:t>
            </w:r>
          </w:p>
        </w:tc>
        <w:tc>
          <w:tcPr>
            <w:tcW w:w="1701"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有效治理农业污染</w:t>
            </w:r>
          </w:p>
        </w:tc>
        <w:tc>
          <w:tcPr>
            <w:tcW w:w="2268"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促进废弃农膜变废为宝，变害为利、变弃为用</w:t>
            </w:r>
          </w:p>
        </w:tc>
        <w:tc>
          <w:tcPr>
            <w:tcW w:w="2126"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促进废弃农膜变废为宝，变害为利、变弃为用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277" w:type="dxa"/>
            <w:vMerge w:val="continue"/>
            <w:vAlign w:val="center"/>
          </w:tcPr>
          <w:p>
            <w:pPr>
              <w:spacing w:line="300" w:lineRule="exact"/>
              <w:jc w:val="left"/>
              <w:rPr>
                <w:rFonts w:ascii="仿宋" w:hAnsi="仿宋" w:eastAsia="仿宋" w:cs="宋体"/>
                <w:kern w:val="0"/>
                <w:sz w:val="24"/>
              </w:rPr>
            </w:pPr>
          </w:p>
        </w:tc>
        <w:tc>
          <w:tcPr>
            <w:tcW w:w="1618"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满意度</w:t>
            </w:r>
            <w:r>
              <w:rPr>
                <w:rFonts w:hint="eastAsia" w:ascii="仿宋" w:hAnsi="仿宋" w:eastAsia="仿宋" w:cs="宋体"/>
                <w:kern w:val="0"/>
                <w:sz w:val="24"/>
              </w:rPr>
              <w:br w:type="textWrapping"/>
            </w:r>
            <w:r>
              <w:rPr>
                <w:rFonts w:hint="eastAsia" w:ascii="仿宋" w:hAnsi="仿宋" w:eastAsia="仿宋" w:cs="宋体"/>
                <w:kern w:val="0"/>
                <w:sz w:val="24"/>
              </w:rPr>
              <w:t>指标</w:t>
            </w:r>
          </w:p>
        </w:tc>
        <w:tc>
          <w:tcPr>
            <w:tcW w:w="1217" w:type="dxa"/>
            <w:gridSpan w:val="2"/>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满意度指标</w:t>
            </w:r>
          </w:p>
        </w:tc>
        <w:tc>
          <w:tcPr>
            <w:tcW w:w="1701" w:type="dxa"/>
            <w:shd w:val="clear" w:color="auto" w:fill="auto"/>
            <w:vAlign w:val="center"/>
          </w:tcPr>
          <w:p>
            <w:pPr>
              <w:spacing w:line="300" w:lineRule="exact"/>
              <w:jc w:val="left"/>
              <w:rPr>
                <w:rFonts w:ascii="仿宋" w:hAnsi="仿宋" w:eastAsia="仿宋" w:cs="宋体"/>
                <w:kern w:val="0"/>
                <w:sz w:val="24"/>
              </w:rPr>
            </w:pPr>
            <w:r>
              <w:rPr>
                <w:rFonts w:hint="eastAsia" w:ascii="仿宋" w:hAnsi="仿宋" w:eastAsia="仿宋" w:cs="宋体"/>
                <w:kern w:val="0"/>
                <w:sz w:val="24"/>
              </w:rPr>
              <w:t>企业满意度</w:t>
            </w:r>
          </w:p>
        </w:tc>
        <w:tc>
          <w:tcPr>
            <w:tcW w:w="2268"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≥90&amp;</w:t>
            </w:r>
          </w:p>
        </w:tc>
        <w:tc>
          <w:tcPr>
            <w:tcW w:w="2126" w:type="dxa"/>
            <w:shd w:val="clear" w:color="auto" w:fill="auto"/>
            <w:vAlign w:val="center"/>
          </w:tcPr>
          <w:p>
            <w:pPr>
              <w:spacing w:line="300" w:lineRule="exact"/>
              <w:jc w:val="center"/>
              <w:rPr>
                <w:rFonts w:ascii="仿宋" w:hAnsi="仿宋" w:eastAsia="仿宋" w:cs="宋体"/>
                <w:kern w:val="0"/>
                <w:sz w:val="24"/>
              </w:rPr>
            </w:pPr>
            <w:r>
              <w:rPr>
                <w:rFonts w:hint="eastAsia" w:ascii="仿宋" w:hAnsi="仿宋" w:eastAsia="仿宋" w:cs="宋体"/>
                <w:kern w:val="0"/>
                <w:sz w:val="24"/>
              </w:rPr>
              <w:t>≥95%</w:t>
            </w:r>
          </w:p>
        </w:tc>
      </w:tr>
    </w:tbl>
    <w:p>
      <w:pPr>
        <w:rPr>
          <w:rFonts w:ascii="黑体" w:hAnsi="黑体" w:eastAsia="黑体"/>
          <w:sz w:val="44"/>
          <w:szCs w:val="44"/>
        </w:rPr>
      </w:pPr>
      <w:bookmarkStart w:id="82" w:name="_Toc15396618"/>
      <w:r>
        <w:rPr>
          <w:rFonts w:hint="eastAsia" w:ascii="黑体" w:hAnsi="黑体" w:eastAsia="黑体"/>
          <w:sz w:val="44"/>
          <w:szCs w:val="44"/>
        </w:rPr>
        <w:br w:type="page"/>
      </w:r>
    </w:p>
    <w:p>
      <w:pPr>
        <w:spacing w:line="600" w:lineRule="exact"/>
        <w:jc w:val="center"/>
        <w:outlineLvl w:val="0"/>
        <w:rPr>
          <w:rFonts w:ascii="仿宋" w:hAnsi="仿宋" w:eastAsia="仿宋"/>
        </w:rPr>
      </w:pPr>
      <w:bookmarkStart w:id="83" w:name="_Toc821"/>
      <w:r>
        <w:rPr>
          <w:rFonts w:hint="eastAsia" w:ascii="黑体" w:hAnsi="黑体" w:eastAsia="黑体"/>
          <w:sz w:val="44"/>
          <w:szCs w:val="44"/>
        </w:rPr>
        <w:t>第</w:t>
      </w:r>
      <w:r>
        <w:rPr>
          <w:rStyle w:val="19"/>
          <w:rFonts w:hint="eastAsia" w:ascii="黑体" w:hAnsi="黑体" w:eastAsia="黑体"/>
          <w:b w:val="0"/>
        </w:rPr>
        <w:t>五部分 附表</w:t>
      </w:r>
      <w:bookmarkEnd w:id="78"/>
      <w:bookmarkEnd w:id="82"/>
      <w:bookmarkEnd w:id="83"/>
    </w:p>
    <w:p>
      <w:pPr>
        <w:pStyle w:val="4"/>
        <w:keepNext w:val="0"/>
        <w:keepLines w:val="0"/>
        <w:spacing w:before="0" w:after="0" w:line="576" w:lineRule="exact"/>
        <w:rPr>
          <w:rFonts w:ascii="仿宋" w:hAnsi="仿宋" w:eastAsia="仿宋"/>
          <w:b w:val="0"/>
        </w:rPr>
      </w:pPr>
      <w:bookmarkStart w:id="84" w:name="_Toc15396619"/>
    </w:p>
    <w:p>
      <w:pPr>
        <w:pStyle w:val="4"/>
        <w:keepNext w:val="0"/>
        <w:keepLines w:val="0"/>
        <w:spacing w:before="0" w:after="0" w:line="576" w:lineRule="exact"/>
        <w:rPr>
          <w:rFonts w:ascii="仿宋" w:hAnsi="仿宋" w:eastAsia="仿宋"/>
        </w:rPr>
      </w:pPr>
      <w:bookmarkStart w:id="85" w:name="_Toc27141"/>
      <w:r>
        <w:rPr>
          <w:rFonts w:hint="eastAsia" w:ascii="仿宋" w:hAnsi="仿宋" w:eastAsia="仿宋"/>
          <w:b w:val="0"/>
        </w:rPr>
        <w:t>一、收</w:t>
      </w:r>
      <w:r>
        <w:rPr>
          <w:rStyle w:val="20"/>
          <w:rFonts w:hint="eastAsia" w:ascii="仿宋" w:hAnsi="仿宋" w:eastAsia="仿宋"/>
          <w:b w:val="0"/>
          <w:bCs w:val="0"/>
        </w:rPr>
        <w:t>入支出决算总表</w:t>
      </w:r>
      <w:bookmarkEnd w:id="84"/>
      <w:bookmarkEnd w:id="85"/>
    </w:p>
    <w:p>
      <w:pPr>
        <w:pStyle w:val="4"/>
        <w:keepNext w:val="0"/>
        <w:keepLines w:val="0"/>
        <w:spacing w:before="0" w:after="0" w:line="576" w:lineRule="exact"/>
        <w:rPr>
          <w:rFonts w:ascii="仿宋" w:hAnsi="仿宋" w:eastAsia="仿宋"/>
        </w:rPr>
      </w:pPr>
      <w:bookmarkStart w:id="86" w:name="_Toc1518"/>
      <w:bookmarkStart w:id="87" w:name="_Toc15396620"/>
      <w:r>
        <w:rPr>
          <w:rFonts w:hint="eastAsia" w:ascii="仿宋" w:hAnsi="仿宋" w:eastAsia="仿宋"/>
          <w:b w:val="0"/>
        </w:rPr>
        <w:t>二、收</w:t>
      </w:r>
      <w:r>
        <w:rPr>
          <w:rStyle w:val="20"/>
          <w:rFonts w:hint="eastAsia" w:ascii="仿宋" w:hAnsi="仿宋" w:eastAsia="仿宋"/>
          <w:b w:val="0"/>
          <w:bCs w:val="0"/>
        </w:rPr>
        <w:t>入决算表</w:t>
      </w:r>
      <w:bookmarkEnd w:id="86"/>
      <w:bookmarkEnd w:id="87"/>
    </w:p>
    <w:p>
      <w:pPr>
        <w:pStyle w:val="4"/>
        <w:keepNext w:val="0"/>
        <w:keepLines w:val="0"/>
        <w:spacing w:before="0" w:after="0" w:line="576" w:lineRule="exact"/>
        <w:rPr>
          <w:rFonts w:ascii="仿宋" w:hAnsi="仿宋" w:eastAsia="仿宋"/>
        </w:rPr>
      </w:pPr>
      <w:bookmarkStart w:id="88" w:name="_Toc15396621"/>
      <w:bookmarkStart w:id="89" w:name="_Toc11218"/>
      <w:r>
        <w:rPr>
          <w:rStyle w:val="20"/>
          <w:rFonts w:hint="eastAsia" w:ascii="仿宋" w:hAnsi="仿宋" w:eastAsia="仿宋"/>
          <w:b w:val="0"/>
          <w:bCs w:val="0"/>
        </w:rPr>
        <w:t>三、</w:t>
      </w:r>
      <w:r>
        <w:rPr>
          <w:rFonts w:hint="eastAsia" w:ascii="仿宋" w:hAnsi="仿宋" w:eastAsia="仿宋"/>
          <w:b w:val="0"/>
        </w:rPr>
        <w:t>支</w:t>
      </w:r>
      <w:r>
        <w:rPr>
          <w:rStyle w:val="20"/>
          <w:rFonts w:hint="eastAsia" w:ascii="仿宋" w:hAnsi="仿宋" w:eastAsia="仿宋"/>
          <w:b w:val="0"/>
          <w:bCs w:val="0"/>
        </w:rPr>
        <w:t>出决算表</w:t>
      </w:r>
      <w:bookmarkEnd w:id="88"/>
      <w:bookmarkEnd w:id="89"/>
    </w:p>
    <w:p>
      <w:pPr>
        <w:pStyle w:val="4"/>
        <w:keepNext w:val="0"/>
        <w:keepLines w:val="0"/>
        <w:spacing w:before="0" w:after="0" w:line="576" w:lineRule="exact"/>
        <w:rPr>
          <w:rFonts w:ascii="仿宋" w:hAnsi="仿宋" w:eastAsia="仿宋"/>
          <w:b w:val="0"/>
        </w:rPr>
      </w:pPr>
      <w:bookmarkStart w:id="90" w:name="_Toc19768"/>
      <w:bookmarkStart w:id="91" w:name="_Toc15396622"/>
      <w:r>
        <w:rPr>
          <w:rStyle w:val="20"/>
          <w:rFonts w:hint="eastAsia" w:ascii="仿宋" w:hAnsi="仿宋" w:eastAsia="仿宋"/>
          <w:b w:val="0"/>
          <w:bCs w:val="0"/>
        </w:rPr>
        <w:t>四、</w:t>
      </w:r>
      <w:r>
        <w:rPr>
          <w:rFonts w:hint="eastAsia" w:ascii="仿宋" w:hAnsi="仿宋" w:eastAsia="仿宋"/>
          <w:b w:val="0"/>
        </w:rPr>
        <w:t>财</w:t>
      </w:r>
      <w:r>
        <w:rPr>
          <w:rStyle w:val="20"/>
          <w:rFonts w:hint="eastAsia" w:ascii="仿宋" w:hAnsi="仿宋" w:eastAsia="仿宋"/>
          <w:b w:val="0"/>
          <w:bCs w:val="0"/>
        </w:rPr>
        <w:t>政拨款收入支出决算总表</w:t>
      </w:r>
      <w:bookmarkEnd w:id="90"/>
      <w:bookmarkEnd w:id="91"/>
    </w:p>
    <w:p>
      <w:pPr>
        <w:pStyle w:val="4"/>
        <w:keepNext w:val="0"/>
        <w:keepLines w:val="0"/>
        <w:spacing w:before="0" w:after="0" w:line="576" w:lineRule="exact"/>
        <w:rPr>
          <w:rStyle w:val="20"/>
          <w:rFonts w:ascii="仿宋" w:hAnsi="仿宋" w:eastAsia="仿宋"/>
          <w:b w:val="0"/>
          <w:bCs w:val="0"/>
        </w:rPr>
      </w:pPr>
      <w:bookmarkStart w:id="92" w:name="_Toc15396623"/>
      <w:bookmarkStart w:id="93" w:name="_Toc28672"/>
      <w:r>
        <w:rPr>
          <w:rStyle w:val="20"/>
          <w:rFonts w:hint="eastAsia" w:ascii="仿宋" w:hAnsi="仿宋" w:eastAsia="仿宋"/>
          <w:b w:val="0"/>
          <w:bCs w:val="0"/>
        </w:rPr>
        <w:t>五、</w:t>
      </w:r>
      <w:r>
        <w:rPr>
          <w:rFonts w:hint="eastAsia" w:ascii="仿宋" w:hAnsi="仿宋" w:eastAsia="仿宋"/>
          <w:b w:val="0"/>
        </w:rPr>
        <w:t>财</w:t>
      </w:r>
      <w:r>
        <w:rPr>
          <w:rStyle w:val="20"/>
          <w:rFonts w:hint="eastAsia" w:ascii="仿宋" w:hAnsi="仿宋" w:eastAsia="仿宋"/>
          <w:b w:val="0"/>
          <w:bCs w:val="0"/>
        </w:rPr>
        <w:t>政拨款支出决算明细表</w:t>
      </w:r>
      <w:bookmarkEnd w:id="92"/>
      <w:bookmarkEnd w:id="93"/>
      <w:bookmarkStart w:id="94" w:name="_Toc15396624"/>
    </w:p>
    <w:p>
      <w:pPr>
        <w:pStyle w:val="4"/>
        <w:keepNext w:val="0"/>
        <w:keepLines w:val="0"/>
        <w:spacing w:before="0" w:after="0" w:line="576" w:lineRule="exact"/>
        <w:rPr>
          <w:rFonts w:ascii="仿宋" w:hAnsi="仿宋" w:eastAsia="仿宋"/>
        </w:rPr>
      </w:pPr>
      <w:bookmarkStart w:id="95" w:name="_Toc29230"/>
      <w:r>
        <w:rPr>
          <w:rStyle w:val="20"/>
          <w:rFonts w:hint="eastAsia" w:ascii="仿宋" w:hAnsi="仿宋" w:eastAsia="仿宋"/>
          <w:b w:val="0"/>
          <w:bCs w:val="0"/>
        </w:rPr>
        <w:t>六、</w:t>
      </w:r>
      <w:r>
        <w:rPr>
          <w:rFonts w:hint="eastAsia" w:ascii="仿宋" w:hAnsi="仿宋" w:eastAsia="仿宋"/>
          <w:b w:val="0"/>
        </w:rPr>
        <w:t>一</w:t>
      </w:r>
      <w:r>
        <w:rPr>
          <w:rStyle w:val="20"/>
          <w:rFonts w:hint="eastAsia" w:ascii="仿宋" w:hAnsi="仿宋" w:eastAsia="仿宋"/>
          <w:b w:val="0"/>
          <w:bCs w:val="0"/>
        </w:rPr>
        <w:t>般公共预算财政拨款支出决算表</w:t>
      </w:r>
      <w:bookmarkEnd w:id="94"/>
      <w:bookmarkEnd w:id="95"/>
    </w:p>
    <w:p>
      <w:pPr>
        <w:pStyle w:val="4"/>
        <w:keepNext w:val="0"/>
        <w:keepLines w:val="0"/>
        <w:spacing w:before="0" w:after="0" w:line="576" w:lineRule="exact"/>
        <w:rPr>
          <w:rFonts w:ascii="仿宋" w:hAnsi="仿宋" w:eastAsia="仿宋"/>
        </w:rPr>
      </w:pPr>
      <w:bookmarkStart w:id="96" w:name="_Toc15396625"/>
      <w:bookmarkStart w:id="97" w:name="_Toc28102"/>
      <w:r>
        <w:rPr>
          <w:rStyle w:val="20"/>
          <w:rFonts w:hint="eastAsia" w:ascii="仿宋" w:hAnsi="仿宋" w:eastAsia="仿宋"/>
          <w:b w:val="0"/>
          <w:bCs w:val="0"/>
        </w:rPr>
        <w:t>七、</w:t>
      </w:r>
      <w:r>
        <w:rPr>
          <w:rFonts w:hint="eastAsia" w:ascii="仿宋" w:hAnsi="仿宋" w:eastAsia="仿宋"/>
          <w:b w:val="0"/>
        </w:rPr>
        <w:t>一</w:t>
      </w:r>
      <w:r>
        <w:rPr>
          <w:rStyle w:val="20"/>
          <w:rFonts w:hint="eastAsia" w:ascii="仿宋" w:hAnsi="仿宋" w:eastAsia="仿宋"/>
          <w:b w:val="0"/>
          <w:bCs w:val="0"/>
        </w:rPr>
        <w:t>般公共预算财政拨款支出决算明细表</w:t>
      </w:r>
      <w:bookmarkEnd w:id="96"/>
      <w:bookmarkEnd w:id="97"/>
    </w:p>
    <w:p>
      <w:pPr>
        <w:pStyle w:val="4"/>
        <w:keepNext w:val="0"/>
        <w:keepLines w:val="0"/>
        <w:spacing w:before="0" w:after="0" w:line="576" w:lineRule="exact"/>
        <w:rPr>
          <w:rFonts w:ascii="仿宋" w:hAnsi="仿宋" w:eastAsia="仿宋"/>
        </w:rPr>
      </w:pPr>
      <w:bookmarkStart w:id="98" w:name="_Toc28550"/>
      <w:bookmarkStart w:id="99" w:name="_Toc15396626"/>
      <w:r>
        <w:rPr>
          <w:rStyle w:val="20"/>
          <w:rFonts w:hint="eastAsia" w:ascii="仿宋" w:hAnsi="仿宋" w:eastAsia="仿宋"/>
          <w:b w:val="0"/>
          <w:bCs w:val="0"/>
        </w:rPr>
        <w:t>八、</w:t>
      </w:r>
      <w:r>
        <w:rPr>
          <w:rFonts w:hint="eastAsia" w:ascii="仿宋" w:hAnsi="仿宋" w:eastAsia="仿宋"/>
          <w:b w:val="0"/>
        </w:rPr>
        <w:t>一</w:t>
      </w:r>
      <w:r>
        <w:rPr>
          <w:rStyle w:val="20"/>
          <w:rFonts w:hint="eastAsia" w:ascii="仿宋" w:hAnsi="仿宋" w:eastAsia="仿宋"/>
          <w:b w:val="0"/>
          <w:bCs w:val="0"/>
        </w:rPr>
        <w:t>般公共预算财政拨款基本支出决算表</w:t>
      </w:r>
      <w:bookmarkEnd w:id="98"/>
      <w:bookmarkEnd w:id="99"/>
    </w:p>
    <w:p>
      <w:pPr>
        <w:pStyle w:val="4"/>
        <w:keepNext w:val="0"/>
        <w:keepLines w:val="0"/>
        <w:spacing w:before="0" w:after="0" w:line="576" w:lineRule="exact"/>
        <w:rPr>
          <w:rFonts w:ascii="仿宋" w:hAnsi="仿宋" w:eastAsia="仿宋"/>
        </w:rPr>
      </w:pPr>
      <w:bookmarkStart w:id="100" w:name="_Toc23512"/>
      <w:bookmarkStart w:id="101" w:name="_Toc15396627"/>
      <w:r>
        <w:rPr>
          <w:rStyle w:val="20"/>
          <w:rFonts w:hint="eastAsia" w:ascii="仿宋" w:hAnsi="仿宋" w:eastAsia="仿宋"/>
          <w:b w:val="0"/>
          <w:bCs w:val="0"/>
        </w:rPr>
        <w:t>九、</w:t>
      </w:r>
      <w:r>
        <w:rPr>
          <w:rFonts w:hint="eastAsia" w:ascii="仿宋" w:hAnsi="仿宋" w:eastAsia="仿宋"/>
          <w:b w:val="0"/>
        </w:rPr>
        <w:t>一</w:t>
      </w:r>
      <w:r>
        <w:rPr>
          <w:rStyle w:val="20"/>
          <w:rFonts w:hint="eastAsia" w:ascii="仿宋" w:hAnsi="仿宋" w:eastAsia="仿宋"/>
          <w:b w:val="0"/>
          <w:bCs w:val="0"/>
        </w:rPr>
        <w:t>般公共预算财政拨款项目支出决算表</w:t>
      </w:r>
      <w:bookmarkEnd w:id="100"/>
      <w:bookmarkEnd w:id="101"/>
    </w:p>
    <w:p>
      <w:pPr>
        <w:pStyle w:val="4"/>
        <w:keepNext w:val="0"/>
        <w:keepLines w:val="0"/>
        <w:spacing w:before="0" w:after="0" w:line="576" w:lineRule="exact"/>
        <w:rPr>
          <w:rFonts w:ascii="仿宋" w:hAnsi="仿宋" w:eastAsia="仿宋"/>
        </w:rPr>
      </w:pPr>
      <w:bookmarkStart w:id="102" w:name="_Toc15396628"/>
      <w:bookmarkStart w:id="103" w:name="_Toc5278"/>
      <w:r>
        <w:rPr>
          <w:rStyle w:val="20"/>
          <w:rFonts w:hint="eastAsia" w:ascii="仿宋" w:hAnsi="仿宋" w:eastAsia="仿宋"/>
          <w:b w:val="0"/>
          <w:bCs w:val="0"/>
        </w:rPr>
        <w:t>十、</w:t>
      </w:r>
      <w:r>
        <w:rPr>
          <w:rFonts w:hint="eastAsia" w:ascii="仿宋" w:hAnsi="仿宋" w:eastAsia="仿宋"/>
          <w:b w:val="0"/>
        </w:rPr>
        <w:t>一</w:t>
      </w:r>
      <w:r>
        <w:rPr>
          <w:rStyle w:val="20"/>
          <w:rFonts w:hint="eastAsia" w:ascii="仿宋" w:hAnsi="仿宋" w:eastAsia="仿宋"/>
          <w:b w:val="0"/>
          <w:bCs w:val="0"/>
        </w:rPr>
        <w:t>般公共预算财政拨款“三公”经费支出决算表</w:t>
      </w:r>
      <w:bookmarkEnd w:id="102"/>
      <w:bookmarkEnd w:id="103"/>
    </w:p>
    <w:p>
      <w:pPr>
        <w:pStyle w:val="4"/>
        <w:keepNext w:val="0"/>
        <w:keepLines w:val="0"/>
        <w:spacing w:before="0" w:after="0" w:line="576" w:lineRule="exact"/>
        <w:rPr>
          <w:rFonts w:ascii="仿宋" w:hAnsi="仿宋" w:eastAsia="仿宋"/>
        </w:rPr>
      </w:pPr>
      <w:bookmarkStart w:id="104" w:name="_Toc15396629"/>
      <w:bookmarkStart w:id="105" w:name="_Toc14796"/>
      <w:r>
        <w:rPr>
          <w:rStyle w:val="20"/>
          <w:rFonts w:hint="eastAsia" w:ascii="仿宋" w:hAnsi="仿宋" w:eastAsia="仿宋"/>
          <w:b w:val="0"/>
          <w:bCs w:val="0"/>
        </w:rPr>
        <w:t>十一、</w:t>
      </w:r>
      <w:r>
        <w:rPr>
          <w:rFonts w:hint="eastAsia" w:ascii="仿宋" w:hAnsi="仿宋" w:eastAsia="仿宋"/>
          <w:b w:val="0"/>
        </w:rPr>
        <w:t>政</w:t>
      </w:r>
      <w:r>
        <w:rPr>
          <w:rStyle w:val="20"/>
          <w:rFonts w:hint="eastAsia" w:ascii="仿宋" w:hAnsi="仿宋" w:eastAsia="仿宋"/>
          <w:b w:val="0"/>
          <w:bCs w:val="0"/>
        </w:rPr>
        <w:t>府性基金预算财政拨款收入支出决算表</w:t>
      </w:r>
      <w:bookmarkEnd w:id="104"/>
      <w:bookmarkEnd w:id="105"/>
    </w:p>
    <w:p>
      <w:pPr>
        <w:pStyle w:val="4"/>
        <w:keepNext w:val="0"/>
        <w:keepLines w:val="0"/>
        <w:spacing w:before="0" w:after="0" w:line="576" w:lineRule="exact"/>
        <w:rPr>
          <w:rFonts w:ascii="仿宋" w:hAnsi="仿宋" w:eastAsia="仿宋"/>
        </w:rPr>
      </w:pPr>
      <w:bookmarkStart w:id="106" w:name="_Toc15396630"/>
      <w:bookmarkStart w:id="107" w:name="_Toc16815"/>
      <w:r>
        <w:rPr>
          <w:rStyle w:val="20"/>
          <w:rFonts w:hint="eastAsia" w:ascii="仿宋" w:hAnsi="仿宋" w:eastAsia="仿宋"/>
          <w:b w:val="0"/>
          <w:bCs w:val="0"/>
        </w:rPr>
        <w:t>十二、</w:t>
      </w:r>
      <w:r>
        <w:rPr>
          <w:rFonts w:hint="eastAsia" w:ascii="仿宋" w:hAnsi="仿宋" w:eastAsia="仿宋"/>
          <w:b w:val="0"/>
        </w:rPr>
        <w:t>政</w:t>
      </w:r>
      <w:r>
        <w:rPr>
          <w:rStyle w:val="20"/>
          <w:rFonts w:hint="eastAsia" w:ascii="仿宋" w:hAnsi="仿宋" w:eastAsia="仿宋"/>
          <w:b w:val="0"/>
          <w:bCs w:val="0"/>
        </w:rPr>
        <w:t>府性基金预算财政拨款“三公”经费支出决算表</w:t>
      </w:r>
      <w:bookmarkEnd w:id="106"/>
      <w:bookmarkEnd w:id="107"/>
    </w:p>
    <w:p>
      <w:pPr>
        <w:pStyle w:val="4"/>
        <w:keepNext w:val="0"/>
        <w:keepLines w:val="0"/>
        <w:spacing w:before="0" w:after="0" w:line="576" w:lineRule="exact"/>
        <w:rPr>
          <w:rStyle w:val="20"/>
          <w:rFonts w:ascii="仿宋" w:hAnsi="仿宋" w:eastAsia="仿宋"/>
          <w:b w:val="0"/>
          <w:bCs w:val="0"/>
        </w:rPr>
      </w:pPr>
      <w:bookmarkStart w:id="108" w:name="_Toc15396631"/>
      <w:bookmarkStart w:id="109" w:name="_Toc20975"/>
      <w:r>
        <w:rPr>
          <w:rStyle w:val="20"/>
          <w:rFonts w:hint="eastAsia" w:ascii="仿宋" w:hAnsi="仿宋" w:eastAsia="仿宋"/>
          <w:b w:val="0"/>
          <w:bCs w:val="0"/>
        </w:rPr>
        <w:t>十三、</w:t>
      </w:r>
      <w:r>
        <w:rPr>
          <w:rFonts w:hint="eastAsia" w:ascii="仿宋" w:hAnsi="仿宋" w:eastAsia="仿宋"/>
          <w:b w:val="0"/>
        </w:rPr>
        <w:t>国</w:t>
      </w:r>
      <w:r>
        <w:rPr>
          <w:rStyle w:val="20"/>
          <w:rFonts w:hint="eastAsia" w:ascii="仿宋" w:hAnsi="仿宋" w:eastAsia="仿宋"/>
          <w:b w:val="0"/>
          <w:bCs w:val="0"/>
        </w:rPr>
        <w:t>有资本经营预算财政拨款收入支出决算表</w:t>
      </w:r>
      <w:bookmarkEnd w:id="108"/>
      <w:bookmarkEnd w:id="109"/>
    </w:p>
    <w:tbl>
      <w:tblPr>
        <w:tblStyle w:val="15"/>
        <w:tblpPr w:leftFromText="180" w:rightFromText="180" w:vertAnchor="text" w:horzAnchor="margin" w:tblpY="795"/>
        <w:tblOverlap w:val="never"/>
        <w:tblW w:w="3752" w:type="dxa"/>
        <w:tblInd w:w="0" w:type="dxa"/>
        <w:tblLayout w:type="fixed"/>
        <w:tblCellMar>
          <w:top w:w="0" w:type="dxa"/>
          <w:left w:w="108" w:type="dxa"/>
          <w:bottom w:w="0" w:type="dxa"/>
          <w:right w:w="108" w:type="dxa"/>
        </w:tblCellMar>
      </w:tblPr>
      <w:tblGrid>
        <w:gridCol w:w="3516"/>
        <w:gridCol w:w="236"/>
      </w:tblGrid>
      <w:tr>
        <w:tblPrEx>
          <w:tblCellMar>
            <w:top w:w="0" w:type="dxa"/>
            <w:left w:w="108" w:type="dxa"/>
            <w:bottom w:w="0" w:type="dxa"/>
            <w:right w:w="108" w:type="dxa"/>
          </w:tblCellMar>
        </w:tblPrEx>
        <w:trPr>
          <w:trHeight w:val="1487" w:hRule="atLeast"/>
        </w:trPr>
        <w:tc>
          <w:tcPr>
            <w:tcW w:w="3516" w:type="dxa"/>
            <w:tcBorders>
              <w:top w:val="nil"/>
              <w:left w:val="nil"/>
              <w:bottom w:val="nil"/>
              <w:right w:val="nil"/>
            </w:tcBorders>
            <w:shd w:val="clear" w:color="auto" w:fill="auto"/>
            <w:vAlign w:val="center"/>
          </w:tcPr>
          <w:p>
            <w:pPr>
              <w:spacing w:line="576" w:lineRule="exact"/>
              <w:jc w:val="center"/>
              <w:textAlignment w:val="center"/>
              <w:rPr>
                <w:rFonts w:ascii="宋体" w:hAnsi="宋体" w:cs="宋体"/>
                <w:b/>
                <w:sz w:val="32"/>
                <w:szCs w:val="32"/>
              </w:rPr>
            </w:pPr>
          </w:p>
        </w:tc>
        <w:tc>
          <w:tcPr>
            <w:tcW w:w="236" w:type="dxa"/>
            <w:tcBorders>
              <w:top w:val="nil"/>
              <w:left w:val="nil"/>
              <w:bottom w:val="nil"/>
              <w:right w:val="nil"/>
            </w:tcBorders>
            <w:shd w:val="clear" w:color="auto" w:fill="auto"/>
            <w:vAlign w:val="center"/>
          </w:tcPr>
          <w:p>
            <w:pPr>
              <w:spacing w:line="576" w:lineRule="exact"/>
              <w:jc w:val="center"/>
              <w:textAlignment w:val="center"/>
              <w:rPr>
                <w:rFonts w:ascii="宋体" w:hAnsi="宋体" w:cs="宋体"/>
                <w:b/>
                <w:kern w:val="0"/>
                <w:sz w:val="32"/>
                <w:szCs w:val="32"/>
              </w:rPr>
            </w:pPr>
          </w:p>
        </w:tc>
      </w:tr>
    </w:tbl>
    <w:p>
      <w:pPr>
        <w:spacing w:line="576" w:lineRule="exact"/>
        <w:rPr>
          <w:rFonts w:eastAsia="仿宋"/>
        </w:rPr>
      </w:pPr>
      <w:bookmarkStart w:id="110" w:name="_Toc16107"/>
      <w:r>
        <w:rPr>
          <w:rStyle w:val="20"/>
          <w:rFonts w:hint="eastAsia" w:ascii="仿宋" w:hAnsi="仿宋" w:eastAsia="仿宋"/>
          <w:b w:val="0"/>
          <w:bCs w:val="0"/>
        </w:rPr>
        <w:t>十四、国有资本经营预算财政拨款支出决算表</w:t>
      </w:r>
      <w:bookmarkEnd w:id="110"/>
    </w:p>
    <w:sectPr>
      <w:footerReference r:id="rId7" w:type="first"/>
      <w:footerReference r:id="rId6" w:type="default"/>
      <w:pgSz w:w="11906" w:h="16838"/>
      <w:pgMar w:top="1701" w:right="1474" w:bottom="1701" w:left="1587" w:header="851" w:footer="1531"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CESI宋体-GB2312">
    <w:panose1 w:val="02000500000000000000"/>
    <w:charset w:val="86"/>
    <w:family w:val="script"/>
    <w:pitch w:val="default"/>
    <w:sig w:usb0="800002AF" w:usb1="0847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3077" o:spid="_x0000_s3077" o:spt="202" type="#_x0000_t202" style="position:absolute;left:0pt;margin-left:217.6pt;margin-top:0pt;height:39.9pt;width:21.95pt;mso-position-horizontal-relative:margin;z-index:251659264;mso-width-relative:page;mso-height-relative:page;" filled="f" stroked="f" coordsize="21600,21600">
          <v:path/>
          <v:fill on="f" focussize="0,0"/>
          <v:stroke on="f" joinstyle="miter"/>
          <v:imagedata o:title=""/>
          <o:lock v:ext="edit"/>
          <v:textbox inset="0mm,0mm,0mm,0mm">
            <w:txbxContent>
              <w:sdt>
                <w:sdtPr>
                  <w:rPr>
                    <w:rFonts w:hint="eastAsia" w:ascii="宋体" w:hAnsi="宋体" w:cs="宋体"/>
                    <w:sz w:val="28"/>
                    <w:szCs w:val="28"/>
                  </w:rPr>
                  <w:id w:val="467218471"/>
                </w:sdtPr>
                <w:sdtEndPr>
                  <w:rPr>
                    <w:rFonts w:hint="eastAsia" w:ascii="宋体" w:hAnsi="宋体" w:cs="宋体"/>
                    <w:sz w:val="28"/>
                    <w:szCs w:val="28"/>
                  </w:rPr>
                </w:sdtEndPr>
                <w:sdtContent>
                  <w:p>
                    <w:pPr>
                      <w:pStyle w:val="9"/>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16</w:t>
                    </w:r>
                    <w:r>
                      <w:rPr>
                        <w:rFonts w:hint="eastAsia" w:ascii="宋体" w:hAnsi="宋体" w:cs="宋体"/>
                        <w:sz w:val="28"/>
                        <w:szCs w:val="28"/>
                        <w:lang w:val="zh-CN"/>
                      </w:rPr>
                      <w:fldChar w:fldCharType="end"/>
                    </w:r>
                  </w:p>
                </w:sdtContent>
              </w:sdt>
            </w:txbxContent>
          </v:textbox>
        </v:shape>
      </w:pic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F7F795A"/>
    <w:multiLevelType w:val="singleLevel"/>
    <w:tmpl w:val="FF7F795A"/>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E794925"/>
    <w:multiLevelType w:val="singleLevel"/>
    <w:tmpl w:val="3E794925"/>
    <w:lvl w:ilvl="0" w:tentative="0">
      <w:start w:val="3"/>
      <w:numFmt w:val="chineseCounting"/>
      <w:suff w:val="nothing"/>
      <w:lvlText w:val="（%1）"/>
      <w:lvlJc w:val="left"/>
      <w:rPr>
        <w:rFonts w:hint="eastAsia"/>
      </w:rPr>
    </w:lvl>
  </w:abstractNum>
  <w:abstractNum w:abstractNumId="5">
    <w:nsid w:val="55BF93D1"/>
    <w:multiLevelType w:val="singleLevel"/>
    <w:tmpl w:val="55BF93D1"/>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c2ZGZiNzZiNDVlOGViOWVmM2JhOTY0NGJkNjUyYzgifQ=="/>
  </w:docVars>
  <w:rsids>
    <w:rsidRoot w:val="00F1361C"/>
    <w:rsid w:val="0000286E"/>
    <w:rsid w:val="0000667D"/>
    <w:rsid w:val="000222C6"/>
    <w:rsid w:val="0002286D"/>
    <w:rsid w:val="0002549F"/>
    <w:rsid w:val="000468DB"/>
    <w:rsid w:val="0006487A"/>
    <w:rsid w:val="00065F8F"/>
    <w:rsid w:val="00070A43"/>
    <w:rsid w:val="000768F2"/>
    <w:rsid w:val="0009184B"/>
    <w:rsid w:val="00092A2B"/>
    <w:rsid w:val="00094236"/>
    <w:rsid w:val="0009593C"/>
    <w:rsid w:val="00097322"/>
    <w:rsid w:val="000A6A92"/>
    <w:rsid w:val="000B047F"/>
    <w:rsid w:val="000B5923"/>
    <w:rsid w:val="000B5A48"/>
    <w:rsid w:val="000B6EE2"/>
    <w:rsid w:val="000B6FF3"/>
    <w:rsid w:val="000C24D2"/>
    <w:rsid w:val="000C32C3"/>
    <w:rsid w:val="000C3467"/>
    <w:rsid w:val="000C3CA6"/>
    <w:rsid w:val="000D1267"/>
    <w:rsid w:val="000D1D50"/>
    <w:rsid w:val="000D5782"/>
    <w:rsid w:val="000E6613"/>
    <w:rsid w:val="000E7119"/>
    <w:rsid w:val="000F2DC5"/>
    <w:rsid w:val="000F6979"/>
    <w:rsid w:val="000F775E"/>
    <w:rsid w:val="00113D9A"/>
    <w:rsid w:val="00114E9B"/>
    <w:rsid w:val="00142216"/>
    <w:rsid w:val="00144D6A"/>
    <w:rsid w:val="0014729F"/>
    <w:rsid w:val="00157BAB"/>
    <w:rsid w:val="001654D1"/>
    <w:rsid w:val="00174518"/>
    <w:rsid w:val="0018106D"/>
    <w:rsid w:val="001877A7"/>
    <w:rsid w:val="00191536"/>
    <w:rsid w:val="00196687"/>
    <w:rsid w:val="001B1374"/>
    <w:rsid w:val="001B6E90"/>
    <w:rsid w:val="001C0962"/>
    <w:rsid w:val="001D0C89"/>
    <w:rsid w:val="001D7531"/>
    <w:rsid w:val="001E737D"/>
    <w:rsid w:val="001F0592"/>
    <w:rsid w:val="001F47BE"/>
    <w:rsid w:val="001F7506"/>
    <w:rsid w:val="001F7E0D"/>
    <w:rsid w:val="002006CD"/>
    <w:rsid w:val="00202B36"/>
    <w:rsid w:val="00204B7A"/>
    <w:rsid w:val="00204CDE"/>
    <w:rsid w:val="0021101A"/>
    <w:rsid w:val="00220536"/>
    <w:rsid w:val="002317F9"/>
    <w:rsid w:val="002343F2"/>
    <w:rsid w:val="00235629"/>
    <w:rsid w:val="0024445B"/>
    <w:rsid w:val="002573E6"/>
    <w:rsid w:val="00260C38"/>
    <w:rsid w:val="002616C0"/>
    <w:rsid w:val="00263B4D"/>
    <w:rsid w:val="00265372"/>
    <w:rsid w:val="002662AA"/>
    <w:rsid w:val="00280496"/>
    <w:rsid w:val="00294B20"/>
    <w:rsid w:val="00294DC9"/>
    <w:rsid w:val="00295495"/>
    <w:rsid w:val="00295EAD"/>
    <w:rsid w:val="002A31DE"/>
    <w:rsid w:val="002B2613"/>
    <w:rsid w:val="002D6D05"/>
    <w:rsid w:val="002E73AA"/>
    <w:rsid w:val="002F1818"/>
    <w:rsid w:val="002F567B"/>
    <w:rsid w:val="00317FB7"/>
    <w:rsid w:val="003216A9"/>
    <w:rsid w:val="00335A74"/>
    <w:rsid w:val="00343048"/>
    <w:rsid w:val="00364E7C"/>
    <w:rsid w:val="0036561B"/>
    <w:rsid w:val="0037013F"/>
    <w:rsid w:val="003748B9"/>
    <w:rsid w:val="00380C92"/>
    <w:rsid w:val="003823BA"/>
    <w:rsid w:val="00382632"/>
    <w:rsid w:val="00385FB1"/>
    <w:rsid w:val="003A1E87"/>
    <w:rsid w:val="003A484F"/>
    <w:rsid w:val="003A4883"/>
    <w:rsid w:val="003B0BE0"/>
    <w:rsid w:val="003B0C1B"/>
    <w:rsid w:val="003B1142"/>
    <w:rsid w:val="003B688C"/>
    <w:rsid w:val="003C0291"/>
    <w:rsid w:val="003C39AE"/>
    <w:rsid w:val="003C7B60"/>
    <w:rsid w:val="003D0C0F"/>
    <w:rsid w:val="003D1FB2"/>
    <w:rsid w:val="003D66DA"/>
    <w:rsid w:val="003E1310"/>
    <w:rsid w:val="003E6F55"/>
    <w:rsid w:val="003F14E8"/>
    <w:rsid w:val="00403457"/>
    <w:rsid w:val="00406254"/>
    <w:rsid w:val="004062BE"/>
    <w:rsid w:val="004223DE"/>
    <w:rsid w:val="00432FC9"/>
    <w:rsid w:val="00434489"/>
    <w:rsid w:val="00437085"/>
    <w:rsid w:val="00443880"/>
    <w:rsid w:val="004464F4"/>
    <w:rsid w:val="00454CBB"/>
    <w:rsid w:val="0046084D"/>
    <w:rsid w:val="00465AB0"/>
    <w:rsid w:val="00471401"/>
    <w:rsid w:val="00471B7F"/>
    <w:rsid w:val="00473F31"/>
    <w:rsid w:val="0048263A"/>
    <w:rsid w:val="00487E5D"/>
    <w:rsid w:val="004A3358"/>
    <w:rsid w:val="004A711F"/>
    <w:rsid w:val="004B199D"/>
    <w:rsid w:val="004B4481"/>
    <w:rsid w:val="004B4690"/>
    <w:rsid w:val="004C6F16"/>
    <w:rsid w:val="004D7066"/>
    <w:rsid w:val="004E0A2D"/>
    <w:rsid w:val="004E0CF0"/>
    <w:rsid w:val="004E206B"/>
    <w:rsid w:val="004E6DF7"/>
    <w:rsid w:val="004F0FBD"/>
    <w:rsid w:val="004F563F"/>
    <w:rsid w:val="00505A47"/>
    <w:rsid w:val="0051298B"/>
    <w:rsid w:val="00512FDA"/>
    <w:rsid w:val="005164D9"/>
    <w:rsid w:val="00520DA0"/>
    <w:rsid w:val="00541FC7"/>
    <w:rsid w:val="005474E2"/>
    <w:rsid w:val="00564097"/>
    <w:rsid w:val="005664BB"/>
    <w:rsid w:val="00566FFA"/>
    <w:rsid w:val="0057481D"/>
    <w:rsid w:val="0058486E"/>
    <w:rsid w:val="00585B33"/>
    <w:rsid w:val="00587066"/>
    <w:rsid w:val="0059014D"/>
    <w:rsid w:val="005911C5"/>
    <w:rsid w:val="005953B0"/>
    <w:rsid w:val="005B5C64"/>
    <w:rsid w:val="005B616E"/>
    <w:rsid w:val="005C5337"/>
    <w:rsid w:val="005C6BD0"/>
    <w:rsid w:val="005D1C8B"/>
    <w:rsid w:val="005D468D"/>
    <w:rsid w:val="005D5CED"/>
    <w:rsid w:val="005F1A4C"/>
    <w:rsid w:val="0060208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0159"/>
    <w:rsid w:val="006748A4"/>
    <w:rsid w:val="00681A31"/>
    <w:rsid w:val="00683E73"/>
    <w:rsid w:val="006A2ACD"/>
    <w:rsid w:val="006A3141"/>
    <w:rsid w:val="006A5E34"/>
    <w:rsid w:val="006B2422"/>
    <w:rsid w:val="006B2B9A"/>
    <w:rsid w:val="006C1937"/>
    <w:rsid w:val="006D0492"/>
    <w:rsid w:val="006F020C"/>
    <w:rsid w:val="006F0A32"/>
    <w:rsid w:val="006F2066"/>
    <w:rsid w:val="007127B7"/>
    <w:rsid w:val="00716CE2"/>
    <w:rsid w:val="0071798E"/>
    <w:rsid w:val="007416B6"/>
    <w:rsid w:val="00746F48"/>
    <w:rsid w:val="0075404D"/>
    <w:rsid w:val="00760815"/>
    <w:rsid w:val="0076182A"/>
    <w:rsid w:val="00762136"/>
    <w:rsid w:val="00763847"/>
    <w:rsid w:val="00767B7E"/>
    <w:rsid w:val="007770C3"/>
    <w:rsid w:val="00784D24"/>
    <w:rsid w:val="00784F10"/>
    <w:rsid w:val="00785FBA"/>
    <w:rsid w:val="00786E4A"/>
    <w:rsid w:val="007875EB"/>
    <w:rsid w:val="0079426B"/>
    <w:rsid w:val="007B53B8"/>
    <w:rsid w:val="007D0A29"/>
    <w:rsid w:val="007D1682"/>
    <w:rsid w:val="007D312A"/>
    <w:rsid w:val="007D3DF8"/>
    <w:rsid w:val="007D3F19"/>
    <w:rsid w:val="007E23B0"/>
    <w:rsid w:val="007E23E5"/>
    <w:rsid w:val="007F1991"/>
    <w:rsid w:val="007F2C2F"/>
    <w:rsid w:val="007F55FC"/>
    <w:rsid w:val="007F5665"/>
    <w:rsid w:val="00800112"/>
    <w:rsid w:val="00813348"/>
    <w:rsid w:val="008238F9"/>
    <w:rsid w:val="00824B83"/>
    <w:rsid w:val="008253BB"/>
    <w:rsid w:val="00833792"/>
    <w:rsid w:val="0083706E"/>
    <w:rsid w:val="008408F6"/>
    <w:rsid w:val="008423A5"/>
    <w:rsid w:val="00850625"/>
    <w:rsid w:val="00853718"/>
    <w:rsid w:val="00855221"/>
    <w:rsid w:val="00860645"/>
    <w:rsid w:val="008706A9"/>
    <w:rsid w:val="00871F71"/>
    <w:rsid w:val="00872FD8"/>
    <w:rsid w:val="00885AF4"/>
    <w:rsid w:val="008910E1"/>
    <w:rsid w:val="008939CD"/>
    <w:rsid w:val="008B768C"/>
    <w:rsid w:val="008C4DB1"/>
    <w:rsid w:val="008C4EAF"/>
    <w:rsid w:val="008C5176"/>
    <w:rsid w:val="008C7FD0"/>
    <w:rsid w:val="008E1DE7"/>
    <w:rsid w:val="008E490A"/>
    <w:rsid w:val="008E707C"/>
    <w:rsid w:val="008F320A"/>
    <w:rsid w:val="00900B08"/>
    <w:rsid w:val="00902155"/>
    <w:rsid w:val="00902FA3"/>
    <w:rsid w:val="00923564"/>
    <w:rsid w:val="0092392E"/>
    <w:rsid w:val="009309F5"/>
    <w:rsid w:val="009315F9"/>
    <w:rsid w:val="00933499"/>
    <w:rsid w:val="00935C98"/>
    <w:rsid w:val="00946945"/>
    <w:rsid w:val="00951248"/>
    <w:rsid w:val="0095152F"/>
    <w:rsid w:val="00954C49"/>
    <w:rsid w:val="00955E37"/>
    <w:rsid w:val="0097099F"/>
    <w:rsid w:val="00971997"/>
    <w:rsid w:val="00971FFC"/>
    <w:rsid w:val="00977E44"/>
    <w:rsid w:val="009816AB"/>
    <w:rsid w:val="00983801"/>
    <w:rsid w:val="0098660A"/>
    <w:rsid w:val="009931C3"/>
    <w:rsid w:val="009A7824"/>
    <w:rsid w:val="009B2C43"/>
    <w:rsid w:val="009B4EAE"/>
    <w:rsid w:val="009B7573"/>
    <w:rsid w:val="009C22F4"/>
    <w:rsid w:val="009C2A4B"/>
    <w:rsid w:val="009C2E98"/>
    <w:rsid w:val="009D0F53"/>
    <w:rsid w:val="009D3447"/>
    <w:rsid w:val="009D4711"/>
    <w:rsid w:val="009F1185"/>
    <w:rsid w:val="009F18CD"/>
    <w:rsid w:val="009F2A13"/>
    <w:rsid w:val="009F3019"/>
    <w:rsid w:val="009F7527"/>
    <w:rsid w:val="00A04EB0"/>
    <w:rsid w:val="00A05960"/>
    <w:rsid w:val="00A13CC1"/>
    <w:rsid w:val="00A16847"/>
    <w:rsid w:val="00A237D8"/>
    <w:rsid w:val="00A268C4"/>
    <w:rsid w:val="00A307CD"/>
    <w:rsid w:val="00A331C8"/>
    <w:rsid w:val="00A34D33"/>
    <w:rsid w:val="00A36506"/>
    <w:rsid w:val="00A40A00"/>
    <w:rsid w:val="00A4142F"/>
    <w:rsid w:val="00A422EB"/>
    <w:rsid w:val="00A45BB7"/>
    <w:rsid w:val="00A56DF2"/>
    <w:rsid w:val="00A56E6E"/>
    <w:rsid w:val="00A652AE"/>
    <w:rsid w:val="00A67AB5"/>
    <w:rsid w:val="00A733B2"/>
    <w:rsid w:val="00A741C2"/>
    <w:rsid w:val="00A91760"/>
    <w:rsid w:val="00A93B00"/>
    <w:rsid w:val="00A93C21"/>
    <w:rsid w:val="00AB2D04"/>
    <w:rsid w:val="00AB64C9"/>
    <w:rsid w:val="00AB6C99"/>
    <w:rsid w:val="00AC3C6A"/>
    <w:rsid w:val="00AD1E06"/>
    <w:rsid w:val="00AD5620"/>
    <w:rsid w:val="00AD5C36"/>
    <w:rsid w:val="00AD656B"/>
    <w:rsid w:val="00AD7C1B"/>
    <w:rsid w:val="00AE16BA"/>
    <w:rsid w:val="00AE1EBE"/>
    <w:rsid w:val="00B03C9D"/>
    <w:rsid w:val="00B060AE"/>
    <w:rsid w:val="00B10517"/>
    <w:rsid w:val="00B14E76"/>
    <w:rsid w:val="00B161B8"/>
    <w:rsid w:val="00B2048C"/>
    <w:rsid w:val="00B30784"/>
    <w:rsid w:val="00B310B9"/>
    <w:rsid w:val="00B3280A"/>
    <w:rsid w:val="00B344E0"/>
    <w:rsid w:val="00B35F3F"/>
    <w:rsid w:val="00B36CBB"/>
    <w:rsid w:val="00B425E0"/>
    <w:rsid w:val="00B440AA"/>
    <w:rsid w:val="00B44B70"/>
    <w:rsid w:val="00B4613A"/>
    <w:rsid w:val="00B50FA0"/>
    <w:rsid w:val="00B528AD"/>
    <w:rsid w:val="00B53C56"/>
    <w:rsid w:val="00B57DAF"/>
    <w:rsid w:val="00B7452A"/>
    <w:rsid w:val="00B77EA6"/>
    <w:rsid w:val="00B81598"/>
    <w:rsid w:val="00B841F1"/>
    <w:rsid w:val="00B944D6"/>
    <w:rsid w:val="00BA24C0"/>
    <w:rsid w:val="00BB1FE6"/>
    <w:rsid w:val="00BB4DF0"/>
    <w:rsid w:val="00BC289F"/>
    <w:rsid w:val="00BC2D37"/>
    <w:rsid w:val="00BC2D50"/>
    <w:rsid w:val="00BC5361"/>
    <w:rsid w:val="00BC5460"/>
    <w:rsid w:val="00BC6B50"/>
    <w:rsid w:val="00BD0447"/>
    <w:rsid w:val="00BD0E25"/>
    <w:rsid w:val="00BD3965"/>
    <w:rsid w:val="00BF5BD6"/>
    <w:rsid w:val="00C03E31"/>
    <w:rsid w:val="00C33E72"/>
    <w:rsid w:val="00C354B2"/>
    <w:rsid w:val="00C35554"/>
    <w:rsid w:val="00C42709"/>
    <w:rsid w:val="00C47CC5"/>
    <w:rsid w:val="00C533CC"/>
    <w:rsid w:val="00C54B24"/>
    <w:rsid w:val="00C5751C"/>
    <w:rsid w:val="00C603A4"/>
    <w:rsid w:val="00C61BFC"/>
    <w:rsid w:val="00C62B85"/>
    <w:rsid w:val="00C6423D"/>
    <w:rsid w:val="00C65438"/>
    <w:rsid w:val="00C76F7A"/>
    <w:rsid w:val="00C814BE"/>
    <w:rsid w:val="00C84A49"/>
    <w:rsid w:val="00C87FD8"/>
    <w:rsid w:val="00C91381"/>
    <w:rsid w:val="00C91CBB"/>
    <w:rsid w:val="00CB4E70"/>
    <w:rsid w:val="00CC09B6"/>
    <w:rsid w:val="00CC666F"/>
    <w:rsid w:val="00CD1E3F"/>
    <w:rsid w:val="00CE0C50"/>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7EC6"/>
    <w:rsid w:val="00D80046"/>
    <w:rsid w:val="00D82AC6"/>
    <w:rsid w:val="00D94D72"/>
    <w:rsid w:val="00DA4006"/>
    <w:rsid w:val="00DA4038"/>
    <w:rsid w:val="00DA634F"/>
    <w:rsid w:val="00DA65AC"/>
    <w:rsid w:val="00DB1913"/>
    <w:rsid w:val="00DC009F"/>
    <w:rsid w:val="00DC0F4C"/>
    <w:rsid w:val="00DC410D"/>
    <w:rsid w:val="00DC5A81"/>
    <w:rsid w:val="00DC68CA"/>
    <w:rsid w:val="00DC7CBA"/>
    <w:rsid w:val="00DD73B7"/>
    <w:rsid w:val="00DF28BC"/>
    <w:rsid w:val="00DF34B9"/>
    <w:rsid w:val="00DF5652"/>
    <w:rsid w:val="00E01053"/>
    <w:rsid w:val="00E07ACF"/>
    <w:rsid w:val="00E21A42"/>
    <w:rsid w:val="00E331A1"/>
    <w:rsid w:val="00E33202"/>
    <w:rsid w:val="00E336A9"/>
    <w:rsid w:val="00E472B1"/>
    <w:rsid w:val="00E50624"/>
    <w:rsid w:val="00E55EC5"/>
    <w:rsid w:val="00E568DF"/>
    <w:rsid w:val="00E64269"/>
    <w:rsid w:val="00E647AC"/>
    <w:rsid w:val="00E82267"/>
    <w:rsid w:val="00E853CE"/>
    <w:rsid w:val="00E867B6"/>
    <w:rsid w:val="00EA010F"/>
    <w:rsid w:val="00EA0973"/>
    <w:rsid w:val="00EA40E6"/>
    <w:rsid w:val="00EB0165"/>
    <w:rsid w:val="00EB29F5"/>
    <w:rsid w:val="00EB5F5A"/>
    <w:rsid w:val="00EC39CD"/>
    <w:rsid w:val="00ED1B63"/>
    <w:rsid w:val="00ED3C1F"/>
    <w:rsid w:val="00ED4085"/>
    <w:rsid w:val="00ED420E"/>
    <w:rsid w:val="00ED6FBE"/>
    <w:rsid w:val="00EE2F57"/>
    <w:rsid w:val="00EF4C34"/>
    <w:rsid w:val="00EF5B2B"/>
    <w:rsid w:val="00EF77C6"/>
    <w:rsid w:val="00F05438"/>
    <w:rsid w:val="00F1361C"/>
    <w:rsid w:val="00F156F0"/>
    <w:rsid w:val="00F160C7"/>
    <w:rsid w:val="00F2408F"/>
    <w:rsid w:val="00F240E9"/>
    <w:rsid w:val="00F36D8F"/>
    <w:rsid w:val="00F417B1"/>
    <w:rsid w:val="00F43972"/>
    <w:rsid w:val="00F45853"/>
    <w:rsid w:val="00F602DF"/>
    <w:rsid w:val="00F754A1"/>
    <w:rsid w:val="00F81FD9"/>
    <w:rsid w:val="00F841AA"/>
    <w:rsid w:val="00F84A94"/>
    <w:rsid w:val="00F87E96"/>
    <w:rsid w:val="00FA23E8"/>
    <w:rsid w:val="00FB36B6"/>
    <w:rsid w:val="00FC588A"/>
    <w:rsid w:val="00FD3CC1"/>
    <w:rsid w:val="00FE1063"/>
    <w:rsid w:val="00FF1E02"/>
    <w:rsid w:val="00FF30B4"/>
    <w:rsid w:val="00FF34CE"/>
    <w:rsid w:val="066E0107"/>
    <w:rsid w:val="07996F6E"/>
    <w:rsid w:val="0A2032A3"/>
    <w:rsid w:val="0B1F68B0"/>
    <w:rsid w:val="101860EC"/>
    <w:rsid w:val="10740078"/>
    <w:rsid w:val="10C055FF"/>
    <w:rsid w:val="118107EC"/>
    <w:rsid w:val="12557610"/>
    <w:rsid w:val="13D50BC4"/>
    <w:rsid w:val="16BB723D"/>
    <w:rsid w:val="1BE8440E"/>
    <w:rsid w:val="1D155CEE"/>
    <w:rsid w:val="23860B96"/>
    <w:rsid w:val="240371BF"/>
    <w:rsid w:val="29FD04D3"/>
    <w:rsid w:val="2C8A61B5"/>
    <w:rsid w:val="2DF04E50"/>
    <w:rsid w:val="319F7F4E"/>
    <w:rsid w:val="359F7AA1"/>
    <w:rsid w:val="36AA5135"/>
    <w:rsid w:val="37E16F03"/>
    <w:rsid w:val="3D98207C"/>
    <w:rsid w:val="44E268DA"/>
    <w:rsid w:val="466C6A24"/>
    <w:rsid w:val="4A627F82"/>
    <w:rsid w:val="4B4F25DA"/>
    <w:rsid w:val="4BE068DB"/>
    <w:rsid w:val="4D577224"/>
    <w:rsid w:val="4EAB630A"/>
    <w:rsid w:val="4ECE2238"/>
    <w:rsid w:val="5537310F"/>
    <w:rsid w:val="5AF92295"/>
    <w:rsid w:val="5CD71FC4"/>
    <w:rsid w:val="5F2345A8"/>
    <w:rsid w:val="66376316"/>
    <w:rsid w:val="676C2DA7"/>
    <w:rsid w:val="6C4A05C8"/>
    <w:rsid w:val="6E7E3605"/>
    <w:rsid w:val="6FF5CC65"/>
    <w:rsid w:val="715C0E4B"/>
    <w:rsid w:val="72734D90"/>
    <w:rsid w:val="73AD73D5"/>
    <w:rsid w:val="73B6EB34"/>
    <w:rsid w:val="75515A51"/>
    <w:rsid w:val="79E84942"/>
    <w:rsid w:val="79EE5BA4"/>
    <w:rsid w:val="7A894339"/>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Body Text Indent"/>
    <w:basedOn w:val="1"/>
    <w:link w:val="35"/>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6"/>
    <w:next w:val="1"/>
    <w:link w:val="36"/>
    <w:qFormat/>
    <w:uiPriority w:val="0"/>
    <w:pPr>
      <w:ind w:firstLine="420" w:firstLineChars="200"/>
    </w:pPr>
    <w:rPr>
      <w:rFonts w:ascii="Calibri" w:hAnsi="Calibri"/>
      <w:sz w:val="32"/>
      <w:szCs w:val="32"/>
    </w:rPr>
  </w:style>
  <w:style w:type="character" w:styleId="17">
    <w:name w:val="Strong"/>
    <w:basedOn w:val="16"/>
    <w:qFormat/>
    <w:uiPriority w:val="22"/>
    <w:rPr>
      <w:b/>
    </w:rPr>
  </w:style>
  <w:style w:type="character" w:styleId="18">
    <w:name w:val="Hyperlink"/>
    <w:basedOn w:val="16"/>
    <w:unhideWhenUsed/>
    <w:qFormat/>
    <w:uiPriority w:val="99"/>
    <w:rPr>
      <w:color w:val="0000FF" w:themeColor="hyperlink"/>
      <w:u w:val="single"/>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character" w:customStyle="1" w:styleId="22">
    <w:name w:val="Header Char"/>
    <w:basedOn w:val="16"/>
    <w:semiHidden/>
    <w:qFormat/>
    <w:uiPriority w:val="99"/>
    <w:rPr>
      <w:rFonts w:ascii="Times New Roman" w:hAnsi="Times New Roman"/>
      <w:sz w:val="18"/>
      <w:szCs w:val="18"/>
    </w:rPr>
  </w:style>
  <w:style w:type="character" w:customStyle="1" w:styleId="23">
    <w:name w:val="页眉 Char"/>
    <w:link w:val="10"/>
    <w:semiHidden/>
    <w:qFormat/>
    <w:locked/>
    <w:uiPriority w:val="99"/>
    <w:rPr>
      <w:sz w:val="18"/>
    </w:rPr>
  </w:style>
  <w:style w:type="character" w:customStyle="1" w:styleId="24">
    <w:name w:val="Footer Char"/>
    <w:basedOn w:val="16"/>
    <w:semiHidden/>
    <w:qFormat/>
    <w:uiPriority w:val="99"/>
    <w:rPr>
      <w:rFonts w:ascii="Times New Roman" w:hAnsi="Times New Roman"/>
      <w:sz w:val="18"/>
      <w:szCs w:val="18"/>
    </w:rPr>
  </w:style>
  <w:style w:type="character" w:customStyle="1" w:styleId="25">
    <w:name w:val="页脚 Char"/>
    <w:link w:val="9"/>
    <w:qFormat/>
    <w:locked/>
    <w:uiPriority w:val="99"/>
    <w:rPr>
      <w:sz w:val="18"/>
    </w:rPr>
  </w:style>
  <w:style w:type="character" w:customStyle="1" w:styleId="26">
    <w:name w:val="Body Text Char"/>
    <w:basedOn w:val="16"/>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图表目录1"/>
    <w:basedOn w:val="1"/>
    <w:next w:val="1"/>
    <w:qFormat/>
    <w:uiPriority w:val="0"/>
    <w:pPr>
      <w:suppressAutoHyphens/>
      <w:ind w:left="400" w:leftChars="200" w:hanging="200" w:hangingChars="200"/>
    </w:pPr>
    <w:rPr>
      <w:rFonts w:ascii="Calibri" w:hAnsi="Calibri"/>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正文文本缩进 Char"/>
    <w:basedOn w:val="16"/>
    <w:link w:val="6"/>
    <w:semiHidden/>
    <w:qFormat/>
    <w:uiPriority w:val="99"/>
    <w:rPr>
      <w:kern w:val="2"/>
      <w:sz w:val="21"/>
      <w:szCs w:val="24"/>
    </w:rPr>
  </w:style>
  <w:style w:type="character" w:customStyle="1" w:styleId="36">
    <w:name w:val="正文首行缩进 2 Char"/>
    <w:basedOn w:val="35"/>
    <w:link w:val="14"/>
    <w:qFormat/>
    <w:uiPriority w:val="0"/>
    <w:rPr>
      <w:rFonts w:ascii="Calibri" w:hAnsi="Calibri"/>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2020年</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Sheet1!$A$2:$A$5</c:f>
              <c:numCache>
                <c:formatCode>General</c:formatCode>
                <c:ptCount val="4"/>
              </c:numCache>
            </c:numRef>
          </c:cat>
          <c:val>
            <c:numRef>
              <c:f>Sheet1!$B$2:$B$5</c:f>
              <c:numCache>
                <c:formatCode>General</c:formatCode>
                <c:ptCount val="4"/>
                <c:pt idx="0">
                  <c:v>9040.14</c:v>
                </c:pt>
              </c:numCache>
            </c:numRef>
          </c:val>
        </c:ser>
        <c:ser>
          <c:idx val="3"/>
          <c:order val="1"/>
          <c:tx>
            <c:strRef>
              <c:f>Sheet1!$E$1</c:f>
              <c:strCache>
                <c:ptCount val="1"/>
                <c:pt idx="0">
                  <c:v>2021年</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Sheet1!$A$2:$A$5</c:f>
              <c:numCache>
                <c:formatCode>General</c:formatCode>
                <c:ptCount val="4"/>
              </c:numCache>
            </c:numRef>
          </c:cat>
          <c:val>
            <c:numRef>
              <c:f>Sheet1!$E$2:$E$5</c:f>
              <c:numCache>
                <c:formatCode>General</c:formatCode>
                <c:ptCount val="4"/>
                <c:pt idx="0">
                  <c:v>7952.41</c:v>
                </c:pt>
              </c:numCache>
            </c:numRef>
          </c:val>
        </c:ser>
        <c:dLbls>
          <c:showLegendKey val="false"/>
          <c:showVal val="true"/>
          <c:showCatName val="false"/>
          <c:showSerName val="false"/>
          <c:showPercent val="false"/>
          <c:showBubbleSize val="false"/>
        </c:dLbls>
        <c:gapWidth val="75"/>
        <c:axId val="276879616"/>
        <c:axId val="277156224"/>
      </c:barChart>
      <c:catAx>
        <c:axId val="276879616"/>
        <c:scaling>
          <c:orientation val="minMax"/>
        </c:scaling>
        <c:delete val="false"/>
        <c:axPos val="b"/>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77156224"/>
        <c:crosses val="autoZero"/>
        <c:auto val="true"/>
        <c:lblAlgn val="ctr"/>
        <c:lblOffset val="100"/>
        <c:noMultiLvlLbl val="false"/>
      </c:catAx>
      <c:valAx>
        <c:axId val="277156224"/>
        <c:scaling>
          <c:orientation val="minMax"/>
        </c:scaling>
        <c:delete val="false"/>
        <c:axPos val="l"/>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76879616"/>
        <c:crosses val="autoZero"/>
        <c:crossBetween val="between"/>
      </c:valAx>
    </c:plotArea>
    <c:legend>
      <c:legendPos val="b"/>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列1</c:v>
                </c:pt>
              </c:strCache>
            </c:strRef>
          </c:tx>
          <c:explosion val="25"/>
          <c:dPt>
            <c:idx val="0"/>
            <c:bubble3D val="false"/>
          </c:dPt>
          <c:dPt>
            <c:idx val="1"/>
            <c:bubble3D val="false"/>
          </c:dPt>
          <c:dLbls>
            <c:dLbl>
              <c:idx val="0"/>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zh-CN" altLang="en-US"/>
                      <a:t>一般公共预算财政拨款收入</a:t>
                    </a:r>
                    <a:r>
                      <a:rPr lang="en-US" altLang="zh-CN"/>
                      <a:t>, 5900.01</a:t>
                    </a:r>
                    <a:r>
                      <a:rPr lang="zh-CN" altLang="en-US"/>
                      <a:t>万元，占</a:t>
                    </a:r>
                    <a:r>
                      <a:rPr lang="en-US" altLang="zh-CN"/>
                      <a:t>95.26%</a:t>
                    </a:r>
                    <a:endParaRPr lang="en-US" altLang="zh-CN"/>
                  </a:p>
                </c:rich>
              </c:tx>
              <c:dLblPos val="bestFit"/>
              <c:showLegendKey val="false"/>
              <c:showVal val="true"/>
              <c:showCatName val="tru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zh-CN" altLang="en-US"/>
                      <a:t>其他收入</a:t>
                    </a:r>
                    <a:r>
                      <a:rPr lang="en-US" altLang="zh-CN"/>
                      <a:t>, 293.78</a:t>
                    </a:r>
                    <a:r>
                      <a:rPr lang="zh-CN" altLang="en-US"/>
                      <a:t>万元，占</a:t>
                    </a:r>
                    <a:r>
                      <a:rPr lang="en-US" altLang="zh-CN"/>
                      <a:t>4.74%</a:t>
                    </a:r>
                    <a:endParaRPr lang="en-US" altLang="zh-CN"/>
                  </a:p>
                </c:rich>
              </c:tx>
              <c:dLblPos val="bestFit"/>
              <c:showLegendKey val="false"/>
              <c:showVal val="true"/>
              <c:showCatName val="tru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5900.01</c:v>
                </c:pt>
                <c:pt idx="1">
                  <c:v>293.78</c:v>
                </c:pt>
              </c:numCache>
            </c:numRef>
          </c:val>
        </c:ser>
        <c:dLbls>
          <c:showLegendKey val="false"/>
          <c:showVal val="true"/>
          <c:showCatName val="true"/>
          <c:showSerName val="false"/>
          <c:showPercent val="false"/>
          <c:showBubbleSize val="false"/>
          <c:showLeaderLines val="true"/>
        </c:dLbls>
        <c:firstSliceAng val="0"/>
      </c:pieChart>
    </c:plotArea>
    <c:plotVisOnly val="true"/>
    <c:dispBlanksAs val="zero"/>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列1</c:v>
                </c:pt>
              </c:strCache>
            </c:strRef>
          </c:tx>
          <c:explosion val="25"/>
          <c:dPt>
            <c:idx val="0"/>
            <c:bubble3D val="false"/>
          </c:dPt>
          <c:dPt>
            <c:idx val="1"/>
            <c:bubble3D val="false"/>
          </c:dPt>
          <c:dLbls>
            <c:dLbl>
              <c:idx val="0"/>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zh-CN" altLang="en-US"/>
                      <a:t>基本支出</a:t>
                    </a:r>
                    <a:r>
                      <a:rPr lang="en-US" altLang="zh-CN"/>
                      <a:t>, 4719.07</a:t>
                    </a:r>
                    <a:r>
                      <a:rPr lang="zh-CN" altLang="en-US"/>
                      <a:t>万元，占</a:t>
                    </a:r>
                    <a:r>
                      <a:rPr lang="en-US" altLang="zh-CN"/>
                      <a:t>71.58%</a:t>
                    </a:r>
                    <a:endParaRPr lang="zh-CN" altLang="en-US"/>
                  </a:p>
                </c:rich>
              </c:tx>
              <c:dLblPos val="bestFit"/>
              <c:showLegendKey val="false"/>
              <c:showVal val="true"/>
              <c:showCatName val="tru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zh-CN" altLang="en-US"/>
                      <a:t>项目支出</a:t>
                    </a:r>
                    <a:r>
                      <a:rPr lang="en-US" altLang="zh-CN"/>
                      <a:t>, 1873.86</a:t>
                    </a:r>
                    <a:r>
                      <a:rPr lang="zh-CN" altLang="en-US"/>
                      <a:t>万元，占</a:t>
                    </a:r>
                    <a:r>
                      <a:rPr lang="en-US" altLang="zh-CN"/>
                      <a:t>28.42%</a:t>
                    </a:r>
                    <a:endParaRPr lang="en-US" altLang="zh-CN"/>
                  </a:p>
                </c:rich>
              </c:tx>
              <c:dLblPos val="bestFit"/>
              <c:showLegendKey val="false"/>
              <c:showVal val="true"/>
              <c:showCatName val="tru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基本支出</c:v>
                </c:pt>
                <c:pt idx="1">
                  <c:v>项目支出</c:v>
                </c:pt>
              </c:strCache>
            </c:strRef>
          </c:cat>
          <c:val>
            <c:numRef>
              <c:f>Sheet1!$B$2:$B$3</c:f>
              <c:numCache>
                <c:formatCode>General</c:formatCode>
                <c:ptCount val="2"/>
                <c:pt idx="0">
                  <c:v>4719.07</c:v>
                </c:pt>
                <c:pt idx="1">
                  <c:v>1873.86</c:v>
                </c:pt>
              </c:numCache>
            </c:numRef>
          </c:val>
        </c:ser>
        <c:dLbls>
          <c:showLegendKey val="false"/>
          <c:showVal val="true"/>
          <c:showCatName val="true"/>
          <c:showSerName val="false"/>
          <c:showPercent val="false"/>
          <c:showBubbleSize val="false"/>
          <c:showLeaderLines val="true"/>
        </c:dLbls>
        <c:firstSliceAng val="0"/>
      </c:pieChart>
    </c:plotArea>
    <c:plotVisOnly val="true"/>
    <c:dispBlanksAs val="zero"/>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2020年</c:v>
                </c:pt>
              </c:strCache>
            </c:strRef>
          </c:tx>
          <c:invertIfNegative val="false"/>
          <c:dLbls>
            <c:delete val="true"/>
          </c:dLbls>
          <c:cat>
            <c:numRef>
              <c:f>Sheet1!$A$2</c:f>
              <c:numCache>
                <c:formatCode>General</c:formatCode>
                <c:ptCount val="1"/>
              </c:numCache>
            </c:numRef>
          </c:cat>
          <c:val>
            <c:numRef>
              <c:f>Sheet1!$B$2</c:f>
              <c:numCache>
                <c:formatCode>General</c:formatCode>
                <c:ptCount val="1"/>
                <c:pt idx="0">
                  <c:v>7999.97</c:v>
                </c:pt>
              </c:numCache>
            </c:numRef>
          </c:val>
        </c:ser>
        <c:ser>
          <c:idx val="1"/>
          <c:order val="1"/>
          <c:tx>
            <c:strRef>
              <c:f>Sheet1!$C$1</c:f>
              <c:strCache>
                <c:ptCount val="1"/>
                <c:pt idx="0">
                  <c:v>2021年</c:v>
                </c:pt>
              </c:strCache>
            </c:strRef>
          </c:tx>
          <c:invertIfNegative val="false"/>
          <c:dLbls>
            <c:delete val="true"/>
          </c:dLbls>
          <c:cat>
            <c:numRef>
              <c:f>Sheet1!$A$2</c:f>
              <c:numCache>
                <c:formatCode>General</c:formatCode>
                <c:ptCount val="1"/>
              </c:numCache>
            </c:numRef>
          </c:cat>
          <c:val>
            <c:numRef>
              <c:f>Sheet1!$C$2</c:f>
              <c:numCache>
                <c:formatCode>General</c:formatCode>
                <c:ptCount val="1"/>
                <c:pt idx="0">
                  <c:v>6884.1</c:v>
                </c:pt>
              </c:numCache>
            </c:numRef>
          </c:val>
        </c:ser>
        <c:dLbls>
          <c:showLegendKey val="false"/>
          <c:showVal val="false"/>
          <c:showCatName val="false"/>
          <c:showSerName val="false"/>
          <c:showPercent val="false"/>
          <c:showBubbleSize val="false"/>
        </c:dLbls>
        <c:gapWidth val="150"/>
        <c:axId val="277995904"/>
        <c:axId val="277997440"/>
      </c:barChart>
      <c:catAx>
        <c:axId val="277995904"/>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77997440"/>
        <c:crosses val="autoZero"/>
        <c:auto val="true"/>
        <c:lblAlgn val="ctr"/>
        <c:lblOffset val="100"/>
        <c:noMultiLvlLbl val="false"/>
      </c:catAx>
      <c:valAx>
        <c:axId val="27799744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7799590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2020年</c:v>
                </c:pt>
              </c:strCache>
            </c:strRef>
          </c:tx>
          <c:invertIfNegative val="false"/>
          <c:dLbls>
            <c:delete val="true"/>
          </c:dLbls>
          <c:cat>
            <c:numRef>
              <c:f>Sheet1!$A$2</c:f>
              <c:numCache>
                <c:formatCode>General</c:formatCode>
                <c:ptCount val="1"/>
              </c:numCache>
            </c:numRef>
          </c:cat>
          <c:val>
            <c:numRef>
              <c:f>Sheet1!$B$2</c:f>
              <c:numCache>
                <c:formatCode>General</c:formatCode>
                <c:ptCount val="1"/>
                <c:pt idx="0">
                  <c:v>6993.93</c:v>
                </c:pt>
              </c:numCache>
            </c:numRef>
          </c:val>
        </c:ser>
        <c:ser>
          <c:idx val="1"/>
          <c:order val="1"/>
          <c:tx>
            <c:strRef>
              <c:f>Sheet1!$C$1</c:f>
              <c:strCache>
                <c:ptCount val="1"/>
                <c:pt idx="0">
                  <c:v>2021年</c:v>
                </c:pt>
              </c:strCache>
            </c:strRef>
          </c:tx>
          <c:invertIfNegative val="false"/>
          <c:dLbls>
            <c:delete val="true"/>
          </c:dLbls>
          <c:cat>
            <c:numRef>
              <c:f>Sheet1!$A$2</c:f>
              <c:numCache>
                <c:formatCode>General</c:formatCode>
                <c:ptCount val="1"/>
              </c:numCache>
            </c:numRef>
          </c:cat>
          <c:val>
            <c:numRef>
              <c:f>Sheet1!$C$2</c:f>
              <c:numCache>
                <c:formatCode>General</c:formatCode>
                <c:ptCount val="1"/>
                <c:pt idx="0">
                  <c:v>6283.68</c:v>
                </c:pt>
              </c:numCache>
            </c:numRef>
          </c:val>
        </c:ser>
        <c:dLbls>
          <c:showLegendKey val="false"/>
          <c:showVal val="false"/>
          <c:showCatName val="false"/>
          <c:showSerName val="false"/>
          <c:showPercent val="false"/>
          <c:showBubbleSize val="false"/>
        </c:dLbls>
        <c:gapWidth val="150"/>
        <c:axId val="278075264"/>
        <c:axId val="278076800"/>
      </c:barChart>
      <c:catAx>
        <c:axId val="278075264"/>
        <c:scaling>
          <c:orientation val="minMax"/>
        </c:scaling>
        <c:delete val="false"/>
        <c:axPos val="b"/>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78076800"/>
        <c:crosses val="autoZero"/>
        <c:auto val="true"/>
        <c:lblAlgn val="ctr"/>
        <c:lblOffset val="100"/>
        <c:noMultiLvlLbl val="false"/>
      </c:catAx>
      <c:valAx>
        <c:axId val="278076800"/>
        <c:scaling>
          <c:orientation val="minMax"/>
        </c:scaling>
        <c:delete val="false"/>
        <c:axPos val="l"/>
        <c:majorGridlines/>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7807526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25"/>
          <c:dPt>
            <c:idx val="0"/>
            <c:bubble3D val="false"/>
          </c:dPt>
          <c:dPt>
            <c:idx val="1"/>
            <c:bubble3D val="false"/>
          </c:dPt>
          <c:dPt>
            <c:idx val="2"/>
            <c:bubble3D val="false"/>
          </c:dPt>
          <c:dPt>
            <c:idx val="3"/>
            <c:bubble3D val="false"/>
          </c:dPt>
          <c:dPt>
            <c:idx val="4"/>
            <c:bubble3D val="false"/>
          </c:dPt>
          <c:dPt>
            <c:idx val="5"/>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Sheet1!$A$2:$A$7</c:f>
              <c:strCache>
                <c:ptCount val="6"/>
                <c:pt idx="0">
                  <c:v>科学技术类支出</c:v>
                </c:pt>
                <c:pt idx="1">
                  <c:v>社会保障和就业类支出</c:v>
                </c:pt>
                <c:pt idx="2">
                  <c:v>卫生健康类支出</c:v>
                </c:pt>
                <c:pt idx="3">
                  <c:v>农林水类支出</c:v>
                </c:pt>
                <c:pt idx="4">
                  <c:v>住房保障类支出</c:v>
                </c:pt>
                <c:pt idx="5">
                  <c:v>粮油物资储备类支出</c:v>
                </c:pt>
              </c:strCache>
            </c:strRef>
          </c:cat>
          <c:val>
            <c:numRef>
              <c:f>Sheet1!$B$2:$B$7</c:f>
              <c:numCache>
                <c:formatCode>General</c:formatCode>
                <c:ptCount val="6"/>
                <c:pt idx="0">
                  <c:v>59.11</c:v>
                </c:pt>
                <c:pt idx="1">
                  <c:v>408.38</c:v>
                </c:pt>
                <c:pt idx="2">
                  <c:v>158.45</c:v>
                </c:pt>
                <c:pt idx="3">
                  <c:v>5254.49</c:v>
                </c:pt>
                <c:pt idx="4">
                  <c:v>373.24</c:v>
                </c:pt>
                <c:pt idx="5">
                  <c:v>30</c:v>
                </c:pt>
              </c:numCache>
            </c:numRef>
          </c:val>
        </c:ser>
        <c:dLbls>
          <c:showLegendKey val="false"/>
          <c:showVal val="false"/>
          <c:showCatName val="false"/>
          <c:showSerName val="false"/>
          <c:showPercent val="tru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25"/>
          <c:dPt>
            <c:idx val="0"/>
            <c:bubble3D val="false"/>
          </c:dPt>
          <c:dPt>
            <c:idx val="1"/>
            <c:bubble3D val="false"/>
          </c:dPt>
          <c:dPt>
            <c:idx val="2"/>
            <c:bubble3D val="false"/>
          </c:dPt>
          <c:dLbls>
            <c:dLbl>
              <c:idx val="1"/>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zh-CN" altLang="en-US"/>
                      <a:t>公务用车购置及运行维护费支出
</a:t>
                    </a:r>
                    <a:r>
                      <a:rPr lang="en-US" altLang="zh-CN"/>
                      <a:t>89.57%</a:t>
                    </a:r>
                    <a:endParaRPr lang="zh-CN" altLang="en-US"/>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zh-CN" altLang="en-US"/>
                      <a:t>公务接待费支出
</a:t>
                    </a:r>
                    <a:r>
                      <a:rPr lang="en-US" altLang="zh-CN"/>
                      <a:t>10.43%</a:t>
                    </a:r>
                    <a:endParaRPr lang="zh-CN" altLang="en-US"/>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52.66</c:v>
                </c:pt>
                <c:pt idx="2">
                  <c:v>6.13</c:v>
                </c:pt>
              </c:numCache>
            </c:numRef>
          </c:val>
        </c:ser>
        <c:dLbls>
          <c:showLegendKey val="false"/>
          <c:showVal val="false"/>
          <c:showCatName val="true"/>
          <c:showSerName val="false"/>
          <c:showPercent val="true"/>
          <c:showBubbleSize val="false"/>
          <c:showLeaderLines val="true"/>
        </c:dLbls>
        <c:firstSliceAng val="0"/>
      </c:pieChart>
    </c:plotArea>
    <c:plotVisOnly val="true"/>
    <c:dispBlanksAs val="zero"/>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7"/>
    <customShpInfo spid="_x0000_s30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72</Pages>
  <Words>4939</Words>
  <Characters>28155</Characters>
  <Lines>234</Lines>
  <Paragraphs>66</Paragraphs>
  <TotalTime>50</TotalTime>
  <ScaleCrop>false</ScaleCrop>
  <LinksUpToDate>false</LinksUpToDate>
  <CharactersWithSpaces>33028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 </cp:lastModifiedBy>
  <cp:lastPrinted>2022-09-20T15:54:00Z</cp:lastPrinted>
  <dcterms:modified xsi:type="dcterms:W3CDTF">2023-09-12T17:06:08Z</dcterms:modified>
  <dc:title>四川省***</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