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597"/>
      <w:bookmarkStart w:id="1" w:name="_Toc15377425"/>
      <w:bookmarkStart w:id="2" w:name="_Toc15378441"/>
      <w:bookmarkStart w:id="3" w:name="_Toc15396475"/>
      <w:bookmarkStart w:id="4" w:name="_Toc15377193"/>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bookmarkEnd w:id="0"/>
    <w:bookmarkEnd w:id="1"/>
    <w:bookmarkEnd w:id="2"/>
    <w:bookmarkEnd w:id="3"/>
    <w:bookmarkEnd w:id="4"/>
    <w:bookmarkEnd w:id="5"/>
    <w:p>
      <w:pPr>
        <w:adjustRightInd w:val="0"/>
        <w:snapToGrid w:val="0"/>
        <w:spacing w:line="1000" w:lineRule="exact"/>
        <w:jc w:val="center"/>
        <w:outlineLvl w:val="0"/>
        <w:rPr>
          <w:rFonts w:eastAsia="方正小标宋简体"/>
          <w:color w:val="000000"/>
          <w:sz w:val="56"/>
          <w:szCs w:val="56"/>
        </w:rPr>
      </w:pPr>
      <w:r>
        <w:rPr>
          <w:rFonts w:hint="eastAsia" w:eastAsia="黑体"/>
          <w:sz w:val="56"/>
          <w:szCs w:val="56"/>
        </w:rPr>
        <w:t>2021</w:t>
      </w:r>
      <w:r>
        <w:rPr>
          <w:rFonts w:eastAsia="方正小标宋简体"/>
          <w:color w:val="000000"/>
          <w:sz w:val="56"/>
          <w:szCs w:val="56"/>
        </w:rPr>
        <w:t>年度</w:t>
      </w:r>
      <w:bookmarkStart w:id="6" w:name="_Toc15396598"/>
      <w:bookmarkStart w:id="7" w:name="_Toc15378442"/>
      <w:bookmarkStart w:id="8" w:name="_Toc15377426"/>
      <w:bookmarkStart w:id="9" w:name="_Toc15377194"/>
      <w:bookmarkStart w:id="10" w:name="_Toc15396476"/>
      <w:r>
        <w:rPr>
          <w:rFonts w:eastAsia="方正小标宋简体"/>
          <w:color w:val="000000"/>
          <w:sz w:val="56"/>
          <w:szCs w:val="56"/>
        </w:rPr>
        <w:t>广元市</w:t>
      </w:r>
      <w:bookmarkStart w:id="11" w:name="_Toc15306268"/>
      <w:r>
        <w:rPr>
          <w:rFonts w:eastAsia="方正小标宋简体"/>
          <w:color w:val="000000"/>
          <w:sz w:val="56"/>
          <w:szCs w:val="56"/>
        </w:rPr>
        <w:t>妇女联合会</w:t>
      </w:r>
    </w:p>
    <w:p>
      <w:pPr>
        <w:adjustRightInd w:val="0"/>
        <w:snapToGrid w:val="0"/>
        <w:spacing w:line="1000" w:lineRule="exact"/>
        <w:jc w:val="center"/>
        <w:outlineLvl w:val="0"/>
        <w:rPr>
          <w:rFonts w:eastAsia="方正小标宋简体"/>
          <w:color w:val="000000"/>
          <w:sz w:val="56"/>
          <w:szCs w:val="56"/>
        </w:rPr>
      </w:pPr>
      <w:r>
        <w:rPr>
          <w:rFonts w:eastAsia="方正小标宋简体"/>
          <w:color w:val="000000"/>
          <w:sz w:val="56"/>
          <w:szCs w:val="56"/>
        </w:rPr>
        <w:t>部</w:t>
      </w:r>
      <w:r>
        <w:rPr>
          <w:rFonts w:hint="eastAsia" w:eastAsia="方正小标宋简体"/>
          <w:color w:val="000000"/>
          <w:sz w:val="56"/>
          <w:szCs w:val="56"/>
        </w:rPr>
        <w:t xml:space="preserve"> </w:t>
      </w:r>
      <w:r>
        <w:rPr>
          <w:rFonts w:eastAsia="方正小标宋简体"/>
          <w:color w:val="000000"/>
          <w:sz w:val="56"/>
          <w:szCs w:val="56"/>
        </w:rPr>
        <w:t>门</w:t>
      </w:r>
      <w:r>
        <w:rPr>
          <w:rFonts w:hint="eastAsia" w:eastAsia="方正小标宋简体"/>
          <w:color w:val="000000"/>
          <w:sz w:val="56"/>
          <w:szCs w:val="56"/>
        </w:rPr>
        <w:t xml:space="preserve"> </w:t>
      </w:r>
      <w:r>
        <w:rPr>
          <w:rFonts w:eastAsia="方正小标宋简体"/>
          <w:color w:val="000000"/>
          <w:sz w:val="56"/>
          <w:szCs w:val="56"/>
        </w:rPr>
        <w:t>决</w:t>
      </w:r>
      <w:r>
        <w:rPr>
          <w:rFonts w:hint="eastAsia" w:eastAsia="方正小标宋简体"/>
          <w:color w:val="000000"/>
          <w:sz w:val="56"/>
          <w:szCs w:val="56"/>
        </w:rPr>
        <w:t xml:space="preserve"> </w:t>
      </w:r>
      <w:r>
        <w:rPr>
          <w:rFonts w:eastAsia="方正小标宋简体"/>
          <w:color w:val="000000"/>
          <w:sz w:val="56"/>
          <w:szCs w:val="56"/>
        </w:rPr>
        <w:t>算</w:t>
      </w:r>
      <w:bookmarkEnd w:id="6"/>
      <w:bookmarkEnd w:id="7"/>
      <w:bookmarkEnd w:id="8"/>
      <w:bookmarkEnd w:id="9"/>
      <w:bookmarkEnd w:id="10"/>
      <w:bookmarkEnd w:id="11"/>
    </w:p>
    <w:p>
      <w:pPr>
        <w:widowControl/>
        <w:jc w:val="center"/>
        <w:rPr>
          <w:rFonts w:ascii="方正小标宋简体" w:hAnsi="宋体" w:eastAsia="方正小标宋简体"/>
          <w:sz w:val="36"/>
          <w:szCs w:val="36"/>
        </w:rPr>
      </w:pPr>
    </w:p>
    <w:p>
      <w:pPr>
        <w:widowControl/>
        <w:jc w:val="center"/>
        <w:rPr>
          <w:rFonts w:ascii="方正小标宋简体" w:hAnsi="宋体" w:eastAsia="方正小标宋简体"/>
          <w:sz w:val="36"/>
          <w:szCs w:val="36"/>
        </w:rPr>
      </w:pPr>
    </w:p>
    <w:p>
      <w:pPr>
        <w:widowControl/>
        <w:jc w:val="center"/>
        <w:rPr>
          <w:rFonts w:ascii="方正小标宋简体" w:hAnsi="宋体" w:eastAsia="方正小标宋简体"/>
          <w:sz w:val="36"/>
          <w:szCs w:val="36"/>
        </w:rPr>
      </w:pPr>
    </w:p>
    <w:p>
      <w:pPr>
        <w:pStyle w:val="2"/>
        <w:spacing w:before="93"/>
        <w:rPr>
          <w:rFonts w:ascii="方正小标宋简体" w:hAnsi="宋体" w:eastAsia="方正小标宋简体"/>
          <w:sz w:val="36"/>
          <w:szCs w:val="36"/>
        </w:rPr>
      </w:pPr>
    </w:p>
    <w:p>
      <w:pPr>
        <w:rPr>
          <w:rFonts w:ascii="方正小标宋简体" w:hAnsi="宋体" w:eastAsia="方正小标宋简体"/>
          <w:sz w:val="36"/>
          <w:szCs w:val="36"/>
        </w:rPr>
      </w:pPr>
    </w:p>
    <w:p>
      <w:pPr>
        <w:pStyle w:val="2"/>
        <w:spacing w:before="93"/>
      </w:pPr>
    </w:p>
    <w:p>
      <w:pPr>
        <w:widowControl/>
        <w:jc w:val="center"/>
        <w:rPr>
          <w:rFonts w:ascii="方正小标宋简体" w:hAnsi="宋体" w:eastAsia="方正小标宋简体"/>
          <w:sz w:val="36"/>
          <w:szCs w:val="36"/>
        </w:rPr>
      </w:pPr>
    </w:p>
    <w:p>
      <w:pPr>
        <w:widowControl/>
        <w:jc w:val="center"/>
        <w:rPr>
          <w:rFonts w:ascii="方正小标宋简体" w:hAnsi="宋体" w:eastAsia="方正小标宋简体"/>
          <w:sz w:val="36"/>
          <w:szCs w:val="36"/>
        </w:rPr>
      </w:pPr>
    </w:p>
    <w:p>
      <w:pPr>
        <w:widowControl/>
        <w:spacing w:line="576" w:lineRule="exact"/>
        <w:jc w:val="center"/>
        <w:rPr>
          <w:rFonts w:ascii="楷体_GB2312" w:hAnsi="楷体_GB2312" w:eastAsia="楷体_GB2312" w:cs="楷体_GB2312"/>
          <w:b/>
          <w:bCs/>
          <w:sz w:val="36"/>
          <w:szCs w:val="36"/>
        </w:rPr>
      </w:pPr>
    </w:p>
    <w:p>
      <w:pPr>
        <w:pStyle w:val="2"/>
        <w:spacing w:before="93"/>
      </w:pPr>
    </w:p>
    <w:p>
      <w:pPr>
        <w:widowControl/>
        <w:spacing w:line="576" w:lineRule="exact"/>
        <w:jc w:val="center"/>
        <w:rPr>
          <w:rFonts w:ascii="楷体_GB2312" w:hAnsi="楷体_GB2312" w:eastAsia="楷体_GB2312" w:cs="楷体_GB2312"/>
          <w:b/>
          <w:bCs/>
          <w:sz w:val="36"/>
          <w:szCs w:val="36"/>
        </w:rPr>
      </w:pPr>
      <w:r>
        <w:rPr>
          <w:rFonts w:hint="eastAsia" w:ascii="楷体_GB2312" w:hAnsi="楷体_GB2312" w:eastAsia="楷体_GB2312" w:cs="楷体_GB2312"/>
          <w:b/>
          <w:bCs/>
          <w:sz w:val="36"/>
          <w:szCs w:val="36"/>
        </w:rPr>
        <w:t>公开时间：2022年9月27日</w:t>
      </w:r>
    </w:p>
    <w:p>
      <w:pPr>
        <w:pStyle w:val="13"/>
        <w:tabs>
          <w:tab w:val="right" w:leader="dot" w:pos="8845"/>
          <w:tab w:val="clear" w:pos="8296"/>
        </w:tabs>
        <w:rPr>
          <w:rFonts w:ascii="仿宋_GB2312" w:hAnsi="仿宋_GB2312" w:eastAsia="仿宋_GB2312" w:cs="仿宋_GB2312"/>
          <w:sz w:val="32"/>
          <w:szCs w:val="32"/>
        </w:rPr>
      </w:pPr>
      <w:bookmarkStart w:id="12" w:name="_Toc114498323"/>
      <w:bookmarkStart w:id="13" w:name="_Toc15396599"/>
      <w:bookmarkStart w:id="14" w:name="_Toc15377196"/>
      <w:r>
        <w:rPr>
          <w:sz w:val="32"/>
        </w:rPr>
        <w:pict>
          <v:rect id="_x0000_s1026" o:spid="_x0000_s1026" o:spt="1" style="position:absolute;left:0pt;margin-left:330.3pt;margin-top:46.25pt;height:66.4pt;width:156.45pt;z-index:251666432;v-text-anchor:middle;mso-width-relative:page;mso-height-relative:page;" stroked="t" coordsize="21600,21600" o:gfxdata="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CP1rg/bAAAACgEAAA8AAAAAAAAAAQAgAAAAIgAAAGRy&#10;cy9kb3ducmV2LnhtbFBLAQIUABQAAAAIAIdO4kBsz3L4dAIAAPcEAAAOAAAAAAAAAAEAIAAAACoB&#10;AABkcnMvZTJvRG9jLnhtbFBLBQYAAAAABgAGAFkBAAAQBgAAAAA=&#10;">
            <v:path/>
            <v:fill focussize="0,0"/>
            <v:stroke weight="2pt" color="#FFFFFF" joinstyle="round"/>
            <v:imagedata o:title=""/>
            <o:lock v:ext="edit"/>
          </v:rect>
        </w:pict>
      </w:r>
    </w:p>
    <w:p>
      <w:pPr>
        <w:pStyle w:val="13"/>
        <w:tabs>
          <w:tab w:val="right" w:leader="dot" w:pos="8845"/>
          <w:tab w:val="clear" w:pos="8296"/>
        </w:tabs>
        <w:spacing w:before="0" w:line="576" w:lineRule="exact"/>
        <w:jc w:val="both"/>
        <w:rPr>
          <w:rFonts w:ascii="仿宋_GB2312" w:hAnsi="仿宋_GB2312" w:eastAsia="仿宋_GB2312" w:cs="仿宋_GB2312"/>
          <w:sz w:val="32"/>
          <w:szCs w:val="32"/>
        </w:rPr>
      </w:pPr>
    </w:p>
    <w:p>
      <w:pPr>
        <w:pStyle w:val="13"/>
        <w:tabs>
          <w:tab w:val="right" w:leader="dot" w:pos="8845"/>
          <w:tab w:val="clear" w:pos="8296"/>
        </w:tabs>
        <w:spacing w:before="0" w:line="576" w:lineRule="exact"/>
        <w:jc w:val="both"/>
        <w:rPr>
          <w:rFonts w:ascii="方正小标宋简体" w:hAnsi="方正小标宋简体" w:eastAsia="方正小标宋简体" w:cs="方正小标宋简体"/>
          <w:sz w:val="44"/>
          <w:szCs w:val="44"/>
        </w:rPr>
      </w:pPr>
    </w:p>
    <w:p>
      <w:pPr>
        <w:pStyle w:val="13"/>
        <w:tabs>
          <w:tab w:val="right" w:leader="dot" w:pos="8845"/>
          <w:tab w:val="clear" w:pos="8296"/>
        </w:tabs>
        <w:spacing w:before="0" w:line="576" w:lineRule="exac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pStyle w:val="13"/>
        <w:tabs>
          <w:tab w:val="right" w:leader="dot" w:pos="8845"/>
          <w:tab w:val="clear" w:pos="8296"/>
        </w:tabs>
        <w:spacing w:before="0"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"1-2" \h \u </w:instrText>
      </w:r>
      <w:r>
        <w:rPr>
          <w:rFonts w:hint="eastAsia" w:ascii="仿宋_GB2312" w:hAnsi="仿宋_GB2312" w:eastAsia="仿宋_GB2312" w:cs="仿宋_GB2312"/>
          <w:sz w:val="32"/>
          <w:szCs w:val="32"/>
        </w:rPr>
        <w:fldChar w:fldCharType="separate"/>
      </w:r>
    </w:p>
    <w:p>
      <w:pPr>
        <w:pStyle w:val="13"/>
        <w:tabs>
          <w:tab w:val="right" w:leader="dot" w:pos="8845"/>
          <w:tab w:val="clear" w:pos="8296"/>
        </w:tabs>
        <w:spacing w:before="0" w:line="576" w:lineRule="exact"/>
        <w:rPr>
          <w:rFonts w:ascii="仿宋_GB2312" w:hAnsi="仿宋_GB2312" w:eastAsia="仿宋_GB2312" w:cs="仿宋_GB2312"/>
          <w:sz w:val="32"/>
          <w:szCs w:val="32"/>
        </w:rPr>
      </w:pPr>
      <w:r>
        <w:fldChar w:fldCharType="begin"/>
      </w:r>
      <w:r>
        <w:instrText xml:space="preserve"> HYPERLINK \l "_Toc10335" </w:instrText>
      </w:r>
      <w:r>
        <w:fldChar w:fldCharType="separate"/>
      </w:r>
      <w:r>
        <w:rPr>
          <w:rFonts w:hint="eastAsia" w:ascii="仿宋_GB2312" w:hAnsi="仿宋_GB2312" w:eastAsia="仿宋_GB2312" w:cs="仿宋_GB2312"/>
          <w:sz w:val="32"/>
          <w:szCs w:val="32"/>
        </w:rPr>
        <w:t>第一部分  部门概况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_Toc10335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7"/>
        <w:tabs>
          <w:tab w:val="right" w:leader="dot" w:pos="8845"/>
          <w:tab w:val="clear" w:pos="8296"/>
        </w:tabs>
        <w:spacing w:line="576" w:lineRule="exact"/>
        <w:rPr>
          <w:rFonts w:hint="eastAsia"/>
        </w:rPr>
      </w:pPr>
      <w:r>
        <w:fldChar w:fldCharType="begin"/>
      </w:r>
      <w:r>
        <w:instrText xml:space="preserve"> HYPERLINK \l "_Toc25746" </w:instrText>
      </w:r>
      <w:r>
        <w:fldChar w:fldCharType="separate"/>
      </w:r>
      <w:r>
        <w:rPr>
          <w:rFonts w:hint="eastAsia" w:ascii="仿宋_GB2312" w:hAnsi="仿宋_GB2312" w:eastAsia="仿宋_GB2312" w:cs="仿宋_GB2312"/>
          <w:sz w:val="32"/>
          <w:szCs w:val="32"/>
        </w:rPr>
        <w:t>一、基本职能及主要工作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_Toc25746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7"/>
        <w:tabs>
          <w:tab w:val="right" w:leader="dot" w:pos="8845"/>
          <w:tab w:val="clear" w:pos="8296"/>
        </w:tabs>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8</w:t>
      </w:r>
    </w:p>
    <w:p>
      <w:pPr>
        <w:pStyle w:val="13"/>
        <w:tabs>
          <w:tab w:val="right" w:leader="dot" w:pos="8845"/>
          <w:tab w:val="clear" w:pos="8296"/>
        </w:tabs>
        <w:spacing w:before="0" w:line="576" w:lineRule="exact"/>
        <w:rPr>
          <w:rFonts w:ascii="仿宋_GB2312" w:hAnsi="仿宋_GB2312" w:eastAsia="仿宋_GB2312" w:cs="仿宋_GB2312"/>
          <w:sz w:val="32"/>
          <w:szCs w:val="32"/>
        </w:rPr>
      </w:pPr>
      <w:r>
        <w:fldChar w:fldCharType="begin"/>
      </w:r>
      <w:r>
        <w:instrText xml:space="preserve"> HYPERLINK \l "_Toc3441" </w:instrText>
      </w:r>
      <w:r>
        <w:fldChar w:fldCharType="separate"/>
      </w:r>
      <w:r>
        <w:rPr>
          <w:rFonts w:hint="eastAsia" w:ascii="仿宋_GB2312" w:hAnsi="仿宋_GB2312" w:eastAsia="仿宋_GB2312" w:cs="仿宋_GB2312"/>
          <w:sz w:val="32"/>
          <w:szCs w:val="32"/>
        </w:rPr>
        <w:t>第二部分  2021年度部门决算情况说明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_Toc3441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7"/>
        <w:tabs>
          <w:tab w:val="right" w:leader="dot" w:pos="8845"/>
          <w:tab w:val="clear" w:pos="8296"/>
        </w:tabs>
        <w:spacing w:line="576" w:lineRule="exact"/>
        <w:rPr>
          <w:rFonts w:ascii="仿宋_GB2312" w:hAnsi="仿宋_GB2312" w:eastAsia="仿宋_GB2312" w:cs="仿宋_GB2312"/>
          <w:sz w:val="32"/>
          <w:szCs w:val="32"/>
        </w:rPr>
      </w:pPr>
      <w:r>
        <w:fldChar w:fldCharType="begin"/>
      </w:r>
      <w:r>
        <w:instrText xml:space="preserve"> HYPERLINK \l "_Toc20447" </w:instrText>
      </w:r>
      <w:r>
        <w:fldChar w:fldCharType="separate"/>
      </w: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_Toc20447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7"/>
        <w:tabs>
          <w:tab w:val="right" w:leader="dot" w:pos="8845"/>
          <w:tab w:val="clear" w:pos="8296"/>
        </w:tabs>
        <w:spacing w:line="576" w:lineRule="exact"/>
        <w:rPr>
          <w:rFonts w:ascii="仿宋_GB2312" w:hAnsi="仿宋_GB2312" w:eastAsia="仿宋_GB2312" w:cs="仿宋_GB2312"/>
          <w:sz w:val="32"/>
          <w:szCs w:val="32"/>
        </w:rPr>
      </w:pPr>
      <w:r>
        <w:fldChar w:fldCharType="begin"/>
      </w:r>
      <w:r>
        <w:instrText xml:space="preserve"> HYPERLINK \l "_Toc4386" </w:instrText>
      </w:r>
      <w:r>
        <w:fldChar w:fldCharType="separate"/>
      </w:r>
      <w:r>
        <w:rPr>
          <w:rFonts w:hint="eastAsia" w:ascii="仿宋_GB2312" w:hAnsi="仿宋_GB2312" w:eastAsia="仿宋_GB2312" w:cs="仿宋_GB2312"/>
          <w:bCs/>
          <w:sz w:val="32"/>
          <w:szCs w:val="32"/>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_Toc4386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7"/>
        <w:tabs>
          <w:tab w:val="right" w:leader="dot" w:pos="8845"/>
          <w:tab w:val="clear" w:pos="8296"/>
        </w:tabs>
        <w:spacing w:line="576" w:lineRule="exact"/>
        <w:rPr>
          <w:rFonts w:ascii="仿宋_GB2312" w:hAnsi="仿宋_GB2312" w:eastAsia="仿宋_GB2312" w:cs="仿宋_GB2312"/>
          <w:sz w:val="32"/>
          <w:szCs w:val="32"/>
        </w:rPr>
      </w:pPr>
      <w:r>
        <w:fldChar w:fldCharType="begin"/>
      </w:r>
      <w:r>
        <w:instrText xml:space="preserve"> HYPERLINK \l "_Toc28099" </w:instrText>
      </w:r>
      <w:r>
        <w:fldChar w:fldCharType="separate"/>
      </w: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_Toc28099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7"/>
        <w:tabs>
          <w:tab w:val="right" w:leader="dot" w:pos="8845"/>
          <w:tab w:val="clear" w:pos="8296"/>
        </w:tabs>
        <w:spacing w:line="576" w:lineRule="exact"/>
        <w:rPr>
          <w:rFonts w:ascii="仿宋_GB2312" w:hAnsi="仿宋_GB2312" w:eastAsia="仿宋_GB2312" w:cs="仿宋_GB2312"/>
          <w:sz w:val="32"/>
          <w:szCs w:val="32"/>
        </w:rPr>
      </w:pPr>
      <w:r>
        <w:fldChar w:fldCharType="begin"/>
      </w:r>
      <w:r>
        <w:instrText xml:space="preserve"> HYPERLINK \l "_Toc22917" </w:instrText>
      </w:r>
      <w:r>
        <w:fldChar w:fldCharType="separate"/>
      </w: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_Toc22917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7"/>
        <w:tabs>
          <w:tab w:val="right" w:leader="dot" w:pos="8845"/>
          <w:tab w:val="clear" w:pos="8296"/>
        </w:tabs>
        <w:spacing w:line="576" w:lineRule="exact"/>
        <w:rPr>
          <w:rFonts w:ascii="仿宋_GB2312" w:hAnsi="仿宋_GB2312" w:eastAsia="仿宋_GB2312" w:cs="仿宋_GB2312"/>
          <w:sz w:val="32"/>
          <w:szCs w:val="32"/>
        </w:rPr>
      </w:pPr>
      <w:r>
        <w:fldChar w:fldCharType="begin"/>
      </w:r>
      <w:r>
        <w:instrText xml:space="preserve"> HYPERLINK \l "_Toc16863" </w:instrText>
      </w:r>
      <w:r>
        <w:fldChar w:fldCharType="separate"/>
      </w: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_Toc16863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7"/>
        <w:tabs>
          <w:tab w:val="right" w:leader="dot" w:pos="8845"/>
          <w:tab w:val="clear" w:pos="8296"/>
        </w:tabs>
        <w:spacing w:line="576" w:lineRule="exact"/>
        <w:rPr>
          <w:rFonts w:ascii="仿宋_GB2312" w:hAnsi="仿宋_GB2312" w:eastAsia="仿宋_GB2312" w:cs="仿宋_GB2312"/>
          <w:sz w:val="32"/>
          <w:szCs w:val="32"/>
        </w:rPr>
      </w:pPr>
      <w:r>
        <w:fldChar w:fldCharType="begin"/>
      </w:r>
      <w:r>
        <w:instrText xml:space="preserve"> HYPERLINK \l "_Toc31044" </w:instrText>
      </w:r>
      <w:r>
        <w:fldChar w:fldCharType="separate"/>
      </w: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_Toc31044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7"/>
        <w:tabs>
          <w:tab w:val="right" w:leader="dot" w:pos="8845"/>
          <w:tab w:val="clear" w:pos="8296"/>
        </w:tabs>
        <w:spacing w:line="576" w:lineRule="exact"/>
        <w:rPr>
          <w:rFonts w:ascii="仿宋_GB2312" w:hAnsi="仿宋_GB2312" w:eastAsia="仿宋_GB2312" w:cs="仿宋_GB2312"/>
          <w:sz w:val="32"/>
          <w:szCs w:val="32"/>
        </w:rPr>
      </w:pPr>
      <w:r>
        <w:fldChar w:fldCharType="begin"/>
      </w:r>
      <w:r>
        <w:instrText xml:space="preserve"> HYPERLINK \l "_Toc16235" </w:instrText>
      </w:r>
      <w:r>
        <w:fldChar w:fldCharType="separate"/>
      </w: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_Toc16235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7"/>
        <w:tabs>
          <w:tab w:val="right" w:leader="dot" w:pos="8845"/>
          <w:tab w:val="clear" w:pos="8296"/>
        </w:tabs>
        <w:spacing w:line="576" w:lineRule="exact"/>
        <w:rPr>
          <w:rFonts w:ascii="仿宋_GB2312" w:hAnsi="仿宋_GB2312" w:eastAsia="仿宋_GB2312" w:cs="仿宋_GB2312"/>
          <w:sz w:val="32"/>
          <w:szCs w:val="32"/>
        </w:rPr>
      </w:pPr>
      <w:r>
        <w:fldChar w:fldCharType="begin"/>
      </w:r>
      <w:r>
        <w:instrText xml:space="preserve"> HYPERLINK \l "_Toc17870" </w:instrText>
      </w:r>
      <w:r>
        <w:fldChar w:fldCharType="separate"/>
      </w: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_Toc17870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7"/>
        <w:tabs>
          <w:tab w:val="right" w:leader="dot" w:pos="8845"/>
          <w:tab w:val="clear" w:pos="8296"/>
        </w:tabs>
        <w:spacing w:line="576" w:lineRule="exact"/>
        <w:rPr>
          <w:rFonts w:ascii="仿宋_GB2312" w:hAnsi="仿宋_GB2312" w:eastAsia="仿宋_GB2312" w:cs="仿宋_GB2312"/>
          <w:sz w:val="32"/>
          <w:szCs w:val="32"/>
        </w:rPr>
      </w:pPr>
      <w:r>
        <w:fldChar w:fldCharType="begin"/>
      </w:r>
      <w:r>
        <w:instrText xml:space="preserve"> HYPERLINK \l "_Toc3954" </w:instrText>
      </w:r>
      <w:r>
        <w:fldChar w:fldCharType="separate"/>
      </w: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_Toc3954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7"/>
        <w:tabs>
          <w:tab w:val="right" w:leader="dot" w:pos="8845"/>
          <w:tab w:val="clear" w:pos="8296"/>
        </w:tabs>
        <w:spacing w:line="576" w:lineRule="exact"/>
        <w:rPr>
          <w:rFonts w:ascii="仿宋_GB2312" w:hAnsi="仿宋_GB2312" w:eastAsia="仿宋_GB2312" w:cs="仿宋_GB2312"/>
          <w:sz w:val="32"/>
          <w:szCs w:val="32"/>
        </w:rPr>
      </w:pPr>
      <w:r>
        <w:fldChar w:fldCharType="begin"/>
      </w:r>
      <w:r>
        <w:instrText xml:space="preserve"> HYPERLINK \l "_Toc3113" </w:instrText>
      </w:r>
      <w:r>
        <w:fldChar w:fldCharType="separate"/>
      </w:r>
      <w:r>
        <w:rPr>
          <w:rFonts w:hint="eastAsia" w:ascii="仿宋_GB2312" w:hAnsi="仿宋_GB2312" w:eastAsia="仿宋_GB2312" w:cs="仿宋_GB2312"/>
          <w:sz w:val="32"/>
          <w:szCs w:val="32"/>
        </w:rPr>
        <w:t>十、预算绩效管理情况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_Toc3113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7"/>
        <w:tabs>
          <w:tab w:val="right" w:leader="dot" w:pos="8845"/>
          <w:tab w:val="clear" w:pos="8296"/>
        </w:tabs>
        <w:spacing w:line="576" w:lineRule="exact"/>
        <w:rPr>
          <w:rFonts w:ascii="仿宋_GB2312" w:hAnsi="仿宋_GB2312" w:eastAsia="仿宋_GB2312" w:cs="仿宋_GB2312"/>
          <w:sz w:val="32"/>
          <w:szCs w:val="32"/>
        </w:rPr>
      </w:pPr>
      <w:r>
        <w:fldChar w:fldCharType="begin"/>
      </w:r>
      <w:r>
        <w:instrText xml:space="preserve"> HYPERLINK \l "_Toc27019" </w:instrText>
      </w:r>
      <w:r>
        <w:fldChar w:fldCharType="separate"/>
      </w:r>
      <w:r>
        <w:rPr>
          <w:rFonts w:hint="eastAsia" w:ascii="仿宋_GB2312" w:hAnsi="仿宋_GB2312" w:eastAsia="仿宋_GB2312" w:cs="仿宋_GB2312"/>
          <w:sz w:val="32"/>
          <w:szCs w:val="32"/>
        </w:rPr>
        <w:t>十一、其他重要事项的情况说明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_Toc27019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5"/>
          <w:tab w:val="clear" w:pos="8296"/>
        </w:tabs>
        <w:spacing w:before="0" w:line="576" w:lineRule="exact"/>
        <w:rPr>
          <w:rFonts w:ascii="仿宋_GB2312" w:hAnsi="仿宋_GB2312" w:eastAsia="仿宋_GB2312" w:cs="仿宋_GB2312"/>
          <w:sz w:val="32"/>
          <w:szCs w:val="32"/>
        </w:rPr>
      </w:pPr>
      <w:r>
        <w:fldChar w:fldCharType="begin"/>
      </w:r>
      <w:r>
        <w:instrText xml:space="preserve"> HYPERLINK \l "_Toc28176" </w:instrText>
      </w:r>
      <w:r>
        <w:fldChar w:fldCharType="separate"/>
      </w:r>
      <w:r>
        <w:rPr>
          <w:rFonts w:hint="eastAsia" w:ascii="仿宋_GB2312" w:hAnsi="仿宋_GB2312" w:eastAsia="仿宋_GB2312" w:cs="仿宋_GB2312"/>
          <w:sz w:val="32"/>
          <w:szCs w:val="32"/>
        </w:rPr>
        <w:t>第三部分  名词解释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_Toc28176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5"/>
          <w:tab w:val="clear" w:pos="8296"/>
        </w:tabs>
        <w:spacing w:before="0" w:line="576" w:lineRule="exact"/>
        <w:rPr>
          <w:rFonts w:ascii="仿宋_GB2312" w:hAnsi="仿宋_GB2312" w:eastAsia="仿宋_GB2312" w:cs="仿宋_GB2312"/>
          <w:sz w:val="32"/>
          <w:szCs w:val="32"/>
        </w:rPr>
      </w:pPr>
      <w:r>
        <w:fldChar w:fldCharType="begin"/>
      </w:r>
      <w:r>
        <w:instrText xml:space="preserve"> HYPERLINK \l "_Toc11282" </w:instrText>
      </w:r>
      <w:r>
        <w:fldChar w:fldCharType="separate"/>
      </w:r>
      <w:r>
        <w:rPr>
          <w:rFonts w:hint="eastAsia" w:ascii="仿宋_GB2312" w:hAnsi="仿宋_GB2312" w:eastAsia="仿宋_GB2312" w:cs="仿宋_GB2312"/>
          <w:sz w:val="32"/>
          <w:szCs w:val="32"/>
        </w:rPr>
        <w:t>第四部分  附  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_Toc11282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5"/>
          <w:tab w:val="clear" w:pos="8296"/>
        </w:tabs>
        <w:spacing w:before="0" w:line="576" w:lineRule="exact"/>
        <w:rPr>
          <w:rFonts w:ascii="仿宋_GB2312" w:hAnsi="仿宋_GB2312" w:eastAsia="仿宋_GB2312" w:cs="仿宋_GB2312"/>
          <w:sz w:val="32"/>
          <w:szCs w:val="32"/>
        </w:rPr>
      </w:pPr>
      <w:r>
        <w:fldChar w:fldCharType="begin"/>
      </w:r>
      <w:r>
        <w:instrText xml:space="preserve"> HYPERLINK \l "_Toc10072" </w:instrText>
      </w:r>
      <w:r>
        <w:fldChar w:fldCharType="separate"/>
      </w:r>
      <w:r>
        <w:rPr>
          <w:rFonts w:hint="eastAsia" w:ascii="仿宋_GB2312" w:hAnsi="仿宋_GB2312" w:eastAsia="仿宋_GB2312" w:cs="仿宋_GB2312"/>
          <w:sz w:val="32"/>
          <w:szCs w:val="32"/>
        </w:rPr>
        <w:t>第五部分  附  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_Toc10072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5"/>
          <w:tab w:val="clear" w:pos="8296"/>
        </w:tabs>
        <w:spacing w:before="0" w:line="576" w:lineRule="exact"/>
        <w:ind w:left="420" w:leftChars="200"/>
        <w:rPr>
          <w:rFonts w:ascii="仿宋_GB2312" w:hAnsi="仿宋_GB2312" w:eastAsia="仿宋_GB2312" w:cs="仿宋_GB2312"/>
          <w:sz w:val="32"/>
          <w:szCs w:val="32"/>
        </w:rPr>
      </w:pPr>
      <w:r>
        <w:fldChar w:fldCharType="begin"/>
      </w:r>
      <w:r>
        <w:instrText xml:space="preserve"> HYPERLINK \l "_Toc30138" </w:instrText>
      </w:r>
      <w:r>
        <w:fldChar w:fldCharType="separate"/>
      </w: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_Toc30138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845"/>
          <w:tab w:val="clear" w:pos="8296"/>
        </w:tabs>
        <w:spacing w:before="0" w:line="576" w:lineRule="exact"/>
        <w:ind w:left="420" w:leftChars="200"/>
        <w:rPr>
          <w:rFonts w:ascii="仿宋_GB2312" w:hAnsi="仿宋_GB2312" w:eastAsia="仿宋_GB2312" w:cs="仿宋_GB2312"/>
          <w:sz w:val="32"/>
          <w:szCs w:val="32"/>
        </w:rPr>
      </w:pPr>
      <w:r>
        <w:fldChar w:fldCharType="begin"/>
      </w:r>
      <w:r>
        <w:instrText xml:space="preserve"> HYPERLINK \l "_Toc7910" </w:instrText>
      </w:r>
      <w:r>
        <w:fldChar w:fldCharType="separate"/>
      </w: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_Toc7910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7"/>
        <w:tabs>
          <w:tab w:val="right" w:leader="dot" w:pos="8845"/>
          <w:tab w:val="clear" w:pos="8296"/>
        </w:tabs>
        <w:spacing w:line="576" w:lineRule="exact"/>
        <w:rPr>
          <w:rFonts w:ascii="仿宋_GB2312" w:hAnsi="仿宋_GB2312" w:eastAsia="仿宋_GB2312" w:cs="仿宋_GB2312"/>
          <w:sz w:val="32"/>
          <w:szCs w:val="32"/>
        </w:rPr>
      </w:pPr>
      <w:r>
        <w:fldChar w:fldCharType="begin"/>
      </w:r>
      <w:r>
        <w:instrText xml:space="preserve"> HYPERLINK \l "_Toc32603" </w:instrText>
      </w:r>
      <w:r>
        <w:fldChar w:fldCharType="separate"/>
      </w: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_Toc32603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7"/>
        <w:tabs>
          <w:tab w:val="right" w:leader="dot" w:pos="8845"/>
          <w:tab w:val="clear" w:pos="8296"/>
        </w:tabs>
        <w:spacing w:line="576" w:lineRule="exact"/>
        <w:rPr>
          <w:rFonts w:ascii="仿宋_GB2312" w:hAnsi="仿宋_GB2312" w:eastAsia="仿宋_GB2312" w:cs="仿宋_GB2312"/>
          <w:sz w:val="32"/>
          <w:szCs w:val="32"/>
        </w:rPr>
      </w:pPr>
      <w:r>
        <w:fldChar w:fldCharType="begin"/>
      </w:r>
      <w:r>
        <w:instrText xml:space="preserve"> HYPERLINK \l "_Toc16186" </w:instrText>
      </w:r>
      <w:r>
        <w:fldChar w:fldCharType="separate"/>
      </w: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_Toc16186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7"/>
        <w:tabs>
          <w:tab w:val="right" w:leader="dot" w:pos="8845"/>
          <w:tab w:val="clear" w:pos="8296"/>
        </w:tabs>
        <w:spacing w:line="576" w:lineRule="exact"/>
        <w:rPr>
          <w:rFonts w:ascii="仿宋_GB2312" w:hAnsi="仿宋_GB2312" w:eastAsia="仿宋_GB2312" w:cs="仿宋_GB2312"/>
          <w:sz w:val="32"/>
          <w:szCs w:val="32"/>
        </w:rPr>
      </w:pPr>
      <w:r>
        <w:fldChar w:fldCharType="begin"/>
      </w:r>
      <w:r>
        <w:instrText xml:space="preserve"> HYPERLINK \l "_Toc15447" </w:instrText>
      </w:r>
      <w:r>
        <w:fldChar w:fldCharType="separate"/>
      </w: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_Toc15447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7"/>
        <w:tabs>
          <w:tab w:val="right" w:leader="dot" w:pos="8845"/>
          <w:tab w:val="clear" w:pos="8296"/>
        </w:tabs>
        <w:spacing w:line="576" w:lineRule="exact"/>
        <w:rPr>
          <w:rFonts w:ascii="仿宋_GB2312" w:hAnsi="仿宋_GB2312" w:eastAsia="仿宋_GB2312" w:cs="仿宋_GB2312"/>
          <w:sz w:val="32"/>
          <w:szCs w:val="32"/>
        </w:rPr>
      </w:pPr>
      <w:r>
        <w:fldChar w:fldCharType="begin"/>
      </w:r>
      <w:r>
        <w:instrText xml:space="preserve"> HYPERLINK \l "_Toc11654" </w:instrText>
      </w:r>
      <w:r>
        <w:fldChar w:fldCharType="separate"/>
      </w: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_Toc11654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7"/>
        <w:tabs>
          <w:tab w:val="right" w:leader="dot" w:pos="8845"/>
          <w:tab w:val="clear" w:pos="8296"/>
        </w:tabs>
        <w:spacing w:line="576" w:lineRule="exact"/>
        <w:rPr>
          <w:rFonts w:ascii="仿宋_GB2312" w:hAnsi="仿宋_GB2312" w:eastAsia="仿宋_GB2312" w:cs="仿宋_GB2312"/>
          <w:sz w:val="32"/>
          <w:szCs w:val="32"/>
        </w:rPr>
      </w:pPr>
      <w:r>
        <w:fldChar w:fldCharType="begin"/>
      </w:r>
      <w:r>
        <w:instrText xml:space="preserve"> HYPERLINK \l "_Toc1104" </w:instrText>
      </w:r>
      <w:r>
        <w:fldChar w:fldCharType="separate"/>
      </w: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_Toc1104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7"/>
        <w:tabs>
          <w:tab w:val="right" w:leader="dot" w:pos="8845"/>
          <w:tab w:val="clear" w:pos="8296"/>
        </w:tabs>
        <w:spacing w:line="576" w:lineRule="exact"/>
        <w:rPr>
          <w:rFonts w:ascii="仿宋_GB2312" w:hAnsi="仿宋_GB2312" w:eastAsia="仿宋_GB2312" w:cs="仿宋_GB2312"/>
          <w:sz w:val="32"/>
          <w:szCs w:val="32"/>
        </w:rPr>
      </w:pPr>
      <w:r>
        <w:fldChar w:fldCharType="begin"/>
      </w:r>
      <w:r>
        <w:instrText xml:space="preserve"> HYPERLINK \l "_Toc5405" </w:instrText>
      </w:r>
      <w:r>
        <w:fldChar w:fldCharType="separate"/>
      </w:r>
      <w:r>
        <w:rPr>
          <w:rFonts w:hint="eastAsia" w:ascii="仿宋_GB2312" w:hAnsi="仿宋_GB2312" w:eastAsia="仿宋_GB2312" w:cs="仿宋_GB2312"/>
          <w:sz w:val="32"/>
          <w:szCs w:val="32"/>
        </w:rPr>
        <w:t>八、一般公共预算财政拨款基本支出决算表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_Toc5405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7"/>
        <w:tabs>
          <w:tab w:val="right" w:leader="dot" w:pos="8845"/>
          <w:tab w:val="clear" w:pos="8296"/>
        </w:tabs>
        <w:spacing w:line="576" w:lineRule="exact"/>
        <w:rPr>
          <w:rFonts w:ascii="仿宋_GB2312" w:hAnsi="仿宋_GB2312" w:eastAsia="仿宋_GB2312" w:cs="仿宋_GB2312"/>
          <w:sz w:val="32"/>
          <w:szCs w:val="32"/>
        </w:rPr>
      </w:pPr>
      <w:r>
        <w:fldChar w:fldCharType="begin"/>
      </w:r>
      <w:r>
        <w:instrText xml:space="preserve"> HYPERLINK \l "_Toc9896" </w:instrText>
      </w:r>
      <w:r>
        <w:fldChar w:fldCharType="separate"/>
      </w: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_Toc9896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7"/>
        <w:tabs>
          <w:tab w:val="right" w:leader="dot" w:pos="8845"/>
          <w:tab w:val="clear" w:pos="8296"/>
        </w:tabs>
        <w:spacing w:line="576" w:lineRule="exact"/>
        <w:rPr>
          <w:rFonts w:ascii="仿宋_GB2312" w:hAnsi="仿宋_GB2312" w:eastAsia="仿宋_GB2312" w:cs="仿宋_GB2312"/>
          <w:sz w:val="32"/>
          <w:szCs w:val="32"/>
        </w:rPr>
      </w:pPr>
      <w:r>
        <w:fldChar w:fldCharType="begin"/>
      </w:r>
      <w:r>
        <w:instrText xml:space="preserve"> HYPERLINK \l "_Toc23523" </w:instrText>
      </w:r>
      <w:r>
        <w:fldChar w:fldCharType="separate"/>
      </w:r>
      <w:r>
        <w:rPr>
          <w:rFonts w:hint="eastAsia" w:ascii="仿宋_GB2312" w:hAnsi="仿宋_GB2312" w:eastAsia="仿宋_GB2312" w:cs="仿宋_GB2312"/>
          <w:sz w:val="32"/>
          <w:szCs w:val="32"/>
        </w:rPr>
        <w:t>十、一般公共预算财政拨款“三公”经费支出决算表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_Toc23523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7"/>
        <w:tabs>
          <w:tab w:val="right" w:leader="dot" w:pos="8845"/>
          <w:tab w:val="clear" w:pos="8296"/>
        </w:tabs>
        <w:spacing w:line="576" w:lineRule="exact"/>
        <w:rPr>
          <w:rFonts w:ascii="仿宋_GB2312" w:hAnsi="仿宋_GB2312" w:eastAsia="仿宋_GB2312" w:cs="仿宋_GB2312"/>
          <w:sz w:val="32"/>
          <w:szCs w:val="32"/>
        </w:rPr>
      </w:pPr>
      <w:r>
        <w:fldChar w:fldCharType="begin"/>
      </w:r>
      <w:r>
        <w:instrText xml:space="preserve"> HYPERLINK \l "_Toc7567" </w:instrText>
      </w:r>
      <w:r>
        <w:fldChar w:fldCharType="separate"/>
      </w:r>
      <w:r>
        <w:rPr>
          <w:rFonts w:hint="eastAsia" w:ascii="仿宋_GB2312" w:hAnsi="仿宋_GB2312" w:eastAsia="仿宋_GB2312" w:cs="仿宋_GB2312"/>
          <w:sz w:val="32"/>
          <w:szCs w:val="32"/>
        </w:rPr>
        <w:t>十一、政府性基金预算财政拨款收入支出决算表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_Toc7567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7"/>
        <w:tabs>
          <w:tab w:val="right" w:leader="dot" w:pos="8845"/>
          <w:tab w:val="clear" w:pos="8296"/>
        </w:tabs>
        <w:spacing w:line="576" w:lineRule="exact"/>
        <w:rPr>
          <w:rFonts w:ascii="仿宋_GB2312" w:hAnsi="仿宋_GB2312" w:eastAsia="仿宋_GB2312" w:cs="仿宋_GB2312"/>
          <w:sz w:val="32"/>
          <w:szCs w:val="32"/>
        </w:rPr>
      </w:pPr>
      <w:r>
        <w:fldChar w:fldCharType="begin"/>
      </w:r>
      <w:r>
        <w:instrText xml:space="preserve"> HYPERLINK \l "_Toc6047" </w:instrText>
      </w:r>
      <w:r>
        <w:fldChar w:fldCharType="separate"/>
      </w:r>
      <w:r>
        <w:rPr>
          <w:rFonts w:hint="eastAsia" w:ascii="仿宋_GB2312" w:hAnsi="仿宋_GB2312" w:eastAsia="仿宋_GB2312" w:cs="仿宋_GB2312"/>
          <w:sz w:val="32"/>
          <w:szCs w:val="32"/>
        </w:rPr>
        <w:t>十二、政府性基金预算财政拨款“三公”经费支出决算表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_Toc6047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7"/>
        <w:tabs>
          <w:tab w:val="right" w:leader="dot" w:pos="8845"/>
          <w:tab w:val="clear" w:pos="8296"/>
        </w:tabs>
        <w:spacing w:line="576" w:lineRule="exact"/>
        <w:rPr>
          <w:rFonts w:ascii="仿宋_GB2312" w:hAnsi="仿宋_GB2312" w:eastAsia="仿宋_GB2312" w:cs="仿宋_GB2312"/>
          <w:sz w:val="32"/>
          <w:szCs w:val="32"/>
        </w:rPr>
      </w:pPr>
      <w:r>
        <w:fldChar w:fldCharType="begin"/>
      </w:r>
      <w:r>
        <w:instrText xml:space="preserve"> HYPERLINK \l "_Toc678" </w:instrText>
      </w:r>
      <w:r>
        <w:fldChar w:fldCharType="separate"/>
      </w:r>
      <w:r>
        <w:rPr>
          <w:rFonts w:hint="eastAsia" w:ascii="仿宋_GB2312" w:hAnsi="仿宋_GB2312" w:eastAsia="仿宋_GB2312" w:cs="仿宋_GB2312"/>
          <w:sz w:val="32"/>
          <w:szCs w:val="32"/>
        </w:rPr>
        <w:t>十三、国有资本经营预算财政拨款收入支出决算表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_Toc678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7"/>
        <w:tabs>
          <w:tab w:val="right" w:leader="dot" w:pos="8845"/>
          <w:tab w:val="clear" w:pos="8296"/>
        </w:tabs>
        <w:spacing w:line="576" w:lineRule="exact"/>
        <w:rPr>
          <w:rFonts w:ascii="仿宋_GB2312" w:hAnsi="仿宋_GB2312" w:eastAsia="仿宋_GB2312" w:cs="仿宋_GB2312"/>
          <w:sz w:val="32"/>
          <w:szCs w:val="32"/>
        </w:rPr>
      </w:pPr>
      <w:r>
        <w:fldChar w:fldCharType="begin"/>
      </w:r>
      <w:r>
        <w:instrText xml:space="preserve"> HYPERLINK \l "_Toc12955" </w:instrText>
      </w:r>
      <w:r>
        <w:fldChar w:fldCharType="separate"/>
      </w:r>
      <w:r>
        <w:rPr>
          <w:rFonts w:hint="eastAsia" w:ascii="仿宋_GB2312" w:hAnsi="仿宋_GB2312" w:eastAsia="仿宋_GB2312" w:cs="仿宋_GB2312"/>
          <w:sz w:val="32"/>
          <w:szCs w:val="32"/>
        </w:rPr>
        <w:t>十四、国有资本经营预算财政拨款支出决算表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_Toc12955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
        <w:spacing w:before="0" w:after="0" w:line="576" w:lineRule="exact"/>
        <w:jc w:val="center"/>
        <w:rPr>
          <w:rFonts w:ascii="黑体" w:hAnsi="黑体" w:eastAsia="黑体"/>
          <w:b w:val="0"/>
        </w:rPr>
      </w:pPr>
      <w:r>
        <w:rPr>
          <w:rFonts w:hint="eastAsia" w:ascii="仿宋_GB2312" w:hAnsi="仿宋_GB2312" w:eastAsia="仿宋_GB2312" w:cs="仿宋_GB2312"/>
          <w:sz w:val="32"/>
          <w:szCs w:val="32"/>
        </w:rPr>
        <w:fldChar w:fldCharType="end"/>
      </w:r>
    </w:p>
    <w:p>
      <w:bookmarkStart w:id="15" w:name="_Toc23651"/>
    </w:p>
    <w:p/>
    <w:p/>
    <w:p>
      <w:bookmarkStart w:id="16" w:name="_Toc10335"/>
    </w:p>
    <w:p/>
    <w:p>
      <w:pPr>
        <w:pStyle w:val="3"/>
        <w:spacing w:beforeLines="50" w:afterLines="50" w:line="580" w:lineRule="exact"/>
        <w:rPr>
          <w:rFonts w:ascii="方正小标宋简体" w:hAnsi="方正小标宋简体" w:eastAsia="方正小标宋简体" w:cs="方正小标宋简体"/>
          <w:b w:val="0"/>
          <w:bCs w:val="0"/>
          <w:sz w:val="32"/>
          <w:szCs w:val="32"/>
        </w:rPr>
      </w:pPr>
    </w:p>
    <w:p>
      <w:pPr>
        <w:pStyle w:val="3"/>
        <w:spacing w:beforeLines="50" w:afterLines="50" w:line="580" w:lineRule="exact"/>
        <w:jc w:val="center"/>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第一部分  部门概况</w:t>
      </w:r>
      <w:bookmarkEnd w:id="12"/>
      <w:bookmarkEnd w:id="13"/>
      <w:bookmarkEnd w:id="14"/>
      <w:bookmarkEnd w:id="15"/>
      <w:bookmarkEnd w:id="16"/>
    </w:p>
    <w:p>
      <w:pPr>
        <w:pStyle w:val="4"/>
        <w:spacing w:before="0" w:after="0" w:line="580" w:lineRule="exact"/>
        <w:ind w:firstLine="640" w:firstLineChars="200"/>
        <w:jc w:val="left"/>
        <w:rPr>
          <w:rFonts w:ascii="黑体" w:hAnsi="黑体" w:eastAsia="黑体" w:cs="黑体"/>
          <w:b w:val="0"/>
          <w:bCs w:val="0"/>
        </w:rPr>
      </w:pPr>
      <w:bookmarkStart w:id="17" w:name="_Toc15396600"/>
      <w:bookmarkStart w:id="18" w:name="_Toc9035"/>
      <w:bookmarkStart w:id="19" w:name="_Toc15377197"/>
      <w:bookmarkStart w:id="20" w:name="_Toc25746"/>
      <w:bookmarkStart w:id="21" w:name="_Toc114498324"/>
      <w:r>
        <w:rPr>
          <w:rFonts w:hint="eastAsia" w:ascii="黑体" w:hAnsi="黑体" w:eastAsia="黑体" w:cs="黑体"/>
          <w:b w:val="0"/>
          <w:bCs w:val="0"/>
        </w:rPr>
        <w:t>一、基本职能及主要工作</w:t>
      </w:r>
      <w:bookmarkEnd w:id="17"/>
      <w:bookmarkEnd w:id="18"/>
      <w:bookmarkEnd w:id="19"/>
      <w:bookmarkEnd w:id="20"/>
      <w:bookmarkEnd w:id="21"/>
    </w:p>
    <w:p>
      <w:pPr>
        <w:spacing w:line="580" w:lineRule="exact"/>
        <w:ind w:firstLine="640" w:firstLineChars="200"/>
        <w:rPr>
          <w:rFonts w:ascii="楷体_GB2312" w:hAnsi="楷体_GB2312" w:eastAsia="楷体_GB2312" w:cs="楷体_GB2312"/>
          <w:sz w:val="32"/>
          <w:szCs w:val="32"/>
        </w:rPr>
      </w:pPr>
      <w:bookmarkStart w:id="22" w:name="_Toc31420"/>
      <w:bookmarkStart w:id="23" w:name="_Toc114498325"/>
      <w:bookmarkStart w:id="24" w:name="_Toc15378446"/>
      <w:bookmarkStart w:id="25" w:name="_Toc15377199"/>
      <w:r>
        <w:rPr>
          <w:rFonts w:hint="eastAsia" w:ascii="楷体_GB2312" w:hAnsi="楷体_GB2312" w:eastAsia="楷体_GB2312" w:cs="楷体_GB2312"/>
          <w:sz w:val="32"/>
          <w:szCs w:val="32"/>
        </w:rPr>
        <w:t>（一）主要职能</w:t>
      </w:r>
      <w:bookmarkEnd w:id="22"/>
      <w:bookmarkEnd w:id="23"/>
    </w:p>
    <w:p>
      <w:pPr>
        <w:spacing w:line="580" w:lineRule="exact"/>
        <w:ind w:firstLine="640" w:firstLineChars="200"/>
        <w:rPr>
          <w:rFonts w:ascii="仿宋_GB2312" w:hAnsi="仿宋_GB2312" w:eastAsia="仿宋_GB2312" w:cs="仿宋_GB2312"/>
          <w:sz w:val="32"/>
          <w:szCs w:val="32"/>
        </w:rPr>
      </w:pPr>
      <w:bookmarkStart w:id="26" w:name="_Toc114498326"/>
      <w:bookmarkStart w:id="27" w:name="_Toc24158"/>
      <w:r>
        <w:rPr>
          <w:rFonts w:hint="eastAsia" w:ascii="仿宋_GB2312" w:hAnsi="仿宋_GB2312" w:eastAsia="仿宋_GB2312" w:cs="仿宋_GB2312"/>
          <w:sz w:val="32"/>
          <w:szCs w:val="32"/>
        </w:rPr>
        <w:t>（1）根据党的中心任务，指导各级妇联依据《中华全国妇女联合会章程》和妇女代表大会的决议，开展妇女儿童工作；联系团体会员，并给予业务指导。</w:t>
      </w:r>
      <w:bookmarkEnd w:id="26"/>
      <w:bookmarkEnd w:id="27"/>
    </w:p>
    <w:p>
      <w:pPr>
        <w:spacing w:line="580" w:lineRule="exact"/>
        <w:ind w:firstLine="640" w:firstLineChars="200"/>
        <w:rPr>
          <w:rFonts w:ascii="仿宋_GB2312" w:hAnsi="仿宋_GB2312" w:eastAsia="仿宋_GB2312" w:cs="仿宋_GB2312"/>
          <w:sz w:val="32"/>
          <w:szCs w:val="32"/>
        </w:rPr>
      </w:pPr>
      <w:bookmarkStart w:id="28" w:name="_Toc27209"/>
      <w:bookmarkStart w:id="29" w:name="_Toc114498327"/>
      <w:r>
        <w:rPr>
          <w:rFonts w:hint="eastAsia" w:ascii="仿宋_GB2312" w:hAnsi="仿宋_GB2312" w:eastAsia="仿宋_GB2312" w:cs="仿宋_GB2312"/>
          <w:sz w:val="32"/>
          <w:szCs w:val="32"/>
        </w:rPr>
        <w:t>（2）调查研究我市不同地区妇女儿童的情况、问题及时向市委、市政府反映，提出建议。</w:t>
      </w:r>
      <w:bookmarkEnd w:id="28"/>
      <w:bookmarkEnd w:id="29"/>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（3）指导和推动全市农村妇女活动及城镇妇女开展“巾帼建功”活动。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（4）指导各级妇联的宣传舆论工作，教育、引导广大妇女增强自尊、自信、自立、自强的精神，表彰各行各业先进妇女，开展妇女职业技术培训和多层次的妇女干部培训，全面提高素质，促进妇女人才成长。</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（5）代表妇女参与国家和社会事务的民主管理，民主监督，促进妇女参政议政，贯彻执行有关妇女儿童法律、法规，参与制定有关规章制度，维护妇女儿童的合法权益。</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（6）为妇女儿童服务。加强与社会各界的联系，协调和推动社会各界为妇女儿童办好事、办实事。</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（7）建立与各族各界妇女的联系，巩固妇女的大团结。积极开展同港澳台地区及华侨妇女的联谊，促进祖国统一大业，发展同世界各国妇女的友好交往，增进友谊、加强合作。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（8）负责机关和本系统的精神文明建设以及党风廉政建设。</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（9）承担市政府妇女儿童工作委员会的日常工作。承办市委市政府交办的其它事项。</w:t>
      </w:r>
    </w:p>
    <w:p>
      <w:pPr>
        <w:spacing w:line="580" w:lineRule="exact"/>
        <w:ind w:firstLine="640" w:firstLineChars="200"/>
        <w:rPr>
          <w:rFonts w:ascii="楷体_GB2312" w:hAnsi="楷体_GB2312" w:eastAsia="楷体_GB2312" w:cs="楷体_GB2312"/>
          <w:sz w:val="32"/>
          <w:szCs w:val="32"/>
        </w:rPr>
      </w:pPr>
      <w:bookmarkStart w:id="30" w:name="_Toc114498328"/>
      <w:r>
        <w:rPr>
          <w:rFonts w:hint="eastAsia" w:ascii="楷体_GB2312" w:hAnsi="楷体_GB2312" w:eastAsia="楷体_GB2312" w:cs="楷体_GB2312"/>
          <w:sz w:val="32"/>
          <w:szCs w:val="32"/>
        </w:rPr>
        <w:t>（二）2021年重点工作完成情况。</w:t>
      </w:r>
      <w:bookmarkEnd w:id="24"/>
      <w:bookmarkEnd w:id="25"/>
      <w:bookmarkEnd w:id="30"/>
    </w:p>
    <w:p>
      <w:pPr>
        <w:spacing w:line="580" w:lineRule="exact"/>
        <w:ind w:firstLine="640" w:firstLineChars="200"/>
        <w:rPr>
          <w:rFonts w:ascii="仿宋_GB2312" w:hAnsi="仿宋_GB2312" w:eastAsia="仿宋_GB2312" w:cs="仿宋_GB2312"/>
          <w:sz w:val="32"/>
          <w:szCs w:val="32"/>
        </w:rPr>
      </w:pPr>
      <w:bookmarkStart w:id="31" w:name="_Toc114498329"/>
      <w:r>
        <w:rPr>
          <w:rFonts w:hint="eastAsia" w:ascii="仿宋_GB2312" w:hAnsi="仿宋_GB2312" w:eastAsia="仿宋_GB2312" w:cs="仿宋_GB2312"/>
          <w:sz w:val="32"/>
          <w:szCs w:val="32"/>
        </w:rPr>
        <w:t>1.加强思想政治引领。扎实推进政治思想引领工程，在三八节、5.15家庭日、女儿节三大重要节点期间，分层分类推出“巾帼心向党”“家庭心向党”“少年儿童心向党”“巾帼大学习”系列品牌。结合党史学习教育，开展“五学”“五讲”“我为妇女群众办10件实事”实践活动，开展评选100名三八红旗手（集体），推介100名党的好女儿，组织各界妇女集中收看七一庆祝大会直播盛况、开展妇联系统学习宣传贯彻市第八次党代会精神千人大培训等巾帼大宣讲活动220余场次，重点慰问100名困境妇女儿童的“四个一百”活动。充分发挥先进典型的示范引领作用，大力发掘选树疫情防控第一线、乡村振兴最基层、社会服务各领域的优秀女性，受省级以上表扬18名，刘会方荣获全国三八红旗手称号、邓小燕获评为全国巾帼建功标兵，持续讲好“她”故事，引领妇女听党话跟党走。</w:t>
      </w:r>
      <w:bookmarkEnd w:id="31"/>
      <w:r>
        <w:rPr>
          <w:rFonts w:hint="eastAsia" w:ascii="仿宋_GB2312" w:hAnsi="仿宋_GB2312" w:eastAsia="仿宋_GB2312" w:cs="仿宋_GB2312"/>
          <w:sz w:val="32"/>
          <w:szCs w:val="32"/>
        </w:rPr>
        <w:t xml:space="preserve">   </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2.疫情防控展现巾帼担当。疫情发生后，总书记一声令下，在全国省妇联和市委的领导下，全市各级妇联组织闻令而动，全力应战。</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3.全力抓好招商引资和项目争取。招商引资到位资金1023万元，完成年度任务1000万元的102.3%。争取省级贫困妇女“两癌”救助、“安康家园”、国奶扶贫等项目到位</w:t>
      </w:r>
      <w:r>
        <w:rPr>
          <w:rFonts w:hint="eastAsia" w:ascii="仿宋_GB2312" w:hAnsi="仿宋_GB2312" w:eastAsia="仿宋_GB2312" w:cs="仿宋_GB2312"/>
          <w:sz w:val="32"/>
          <w:szCs w:val="32"/>
          <w:lang w:val="zh-TW"/>
        </w:rPr>
        <w:t>资金、</w:t>
      </w:r>
      <w:r>
        <w:rPr>
          <w:rFonts w:hint="eastAsia" w:ascii="仿宋_GB2312" w:hAnsi="仿宋_GB2312" w:eastAsia="仿宋_GB2312" w:cs="仿宋_GB2312"/>
          <w:sz w:val="32"/>
          <w:szCs w:val="32"/>
        </w:rPr>
        <w:t>物资376.16</w:t>
      </w:r>
      <w:r>
        <w:rPr>
          <w:rFonts w:hint="eastAsia" w:ascii="仿宋_GB2312" w:hAnsi="仿宋_GB2312" w:eastAsia="仿宋_GB2312" w:cs="仿宋_GB2312"/>
          <w:sz w:val="32"/>
          <w:szCs w:val="32"/>
          <w:lang w:val="zh-TW"/>
        </w:rPr>
        <w:t>万元，完成年度任务</w:t>
      </w:r>
      <w:r>
        <w:rPr>
          <w:rFonts w:hint="eastAsia" w:ascii="仿宋_GB2312" w:hAnsi="仿宋_GB2312" w:eastAsia="仿宋_GB2312" w:cs="仿宋_GB2312"/>
          <w:sz w:val="32"/>
          <w:szCs w:val="32"/>
        </w:rPr>
        <w:t>354万元的106%。预计年底到位“生命早期1000天营养补充计划”项目88.5万元，项目将惠及困难妇女儿童2500余人，关爱女童健康项目10万元，东西部协作资金96万元，全国“两癌”救助资金149万元，关爱婴幼儿健康成长液态奶项目47万元，全年市本级累计766.66万元。围绕“妇女居家灵活就业项目工程”，进一步统筹协调做好省级妇女居家灵活就业项目建设。</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履职尽责维护妇女儿童合法权益。切实维护妇女儿童合法权益，积极参与省人大和省妇联来广开展的《四川省&lt;中华人民共和国妇女权益保障法&gt;实施办法》立法调研。召开政策法规性别平等评估机制建设工作推进会、婚姻家庭纠纷预防化解暨反家暴妇女儿童维权工作会议。开展各类法治宣讲活动56场次，覆盖妇女儿童5万余人次。积极开展法律援助，为当事人挽回经济损失约32万元，提高妇女儿童幸福感和安全感。</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纵深推进家庭建设。常态化开展“最美家庭”“平安家庭”创建，寻找市级“最美家庭”35户，创建“平安家庭”318户。实施家庭教育支持行动，打造培育家庭教育“四大课堂”，举办专题讲座50余期。联合市教育局等部门组织全民阅读“进家庭”“希拉谷·与爱同行”留守儿童公益研学旅行。组织寒假儿童关爱服务“四送”、暑期儿童安全教育进家庭专题宣讲、“最美家庭”风采展系列活动，深化关爱农民工“回家行动”，推动社会主义核心价值观落实落细到广大家庭。</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6.深化妇联组织改革。坚持党建带妇建，配合市委组织部完成省委组织部“两新组织”党建带群建调研，</w:t>
      </w:r>
      <w:r>
        <w:rPr>
          <w:rFonts w:hint="eastAsia" w:ascii="仿宋_GB2312" w:hAnsi="仿宋_GB2312" w:eastAsia="仿宋_GB2312" w:cs="仿宋_GB2312"/>
          <w:sz w:val="32"/>
          <w:szCs w:val="32"/>
          <w:lang w:val="zh-TW"/>
        </w:rPr>
        <w:t>会同市委组织部</w:t>
      </w:r>
      <w:r>
        <w:rPr>
          <w:rFonts w:hint="eastAsia" w:ascii="仿宋_GB2312" w:hAnsi="仿宋_GB2312" w:eastAsia="仿宋_GB2312" w:cs="仿宋_GB2312"/>
          <w:sz w:val="32"/>
          <w:szCs w:val="32"/>
        </w:rPr>
        <w:t>召开全市党建带妇建暨妇女组织参与基层社会治理现场推进会议。实施基层组织破难行动，完成基层妇联组织换届工作。联合杭州市妇联、中共广元委党校举办基层妇联执委暨妇联干部培训班，全市共组织162名女干部参加省市培训。</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竭力承办2021年第33届中国（广元）女儿节。第33届中国（广元）女儿节历时13天，开幕式现场吸引了4万余名观众观看，2385人报名参加“相约广元·情定昭化”万人相亲大会，亲友团、观摩团等集聚1.1万人参与；横渡嘉陵江游泳比赛现场吸引8200余名观众观看；美食嘉年华活动吸引超过20万人次参与，线上线下销售1100余万元，签订意向协议510余万元；“四天三夜”全球女性免票游广元活动带动游客60余万人次参与，实现旅游综合收入5亿元；播（发）新闻稿件520余篇条，点击率累计300万+，受到省、市领导的充分肯定。</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坚持全面从严治党，加强妇联党的建设。始终坚持党的全面领导，深化妇联政治机关建设，全面落实从严治党主体责任。严格落实意识形态责任制，召开意识形态分析会，举办融媒体时代如何作好网络舆情应对与引导培训和网络安全个人信息保护日活动。作为全市七个单位之一代表全市接受了省委组织的使用正版化软件检查，得分居全市第一、全省前列。扎实开展“四好一强”班子和“五好党支部”创建活动。驰而不息正风肃纪，深入开展干部纪律作风整顿，建立纪律作风突出问题整改台账，认真抓好市委对市妇联党组巡察整改“回头看”反馈问题整改落实，领导班子和干部队伍建设不断加强。</w:t>
      </w:r>
    </w:p>
    <w:p>
      <w:pPr>
        <w:spacing w:line="580" w:lineRule="exact"/>
        <w:ind w:firstLine="640" w:firstLineChars="200"/>
        <w:rPr>
          <w:rFonts w:ascii="黑体" w:hAnsi="黑体" w:eastAsia="黑体" w:cs="黑体"/>
          <w:sz w:val="32"/>
          <w:szCs w:val="32"/>
        </w:rPr>
      </w:pPr>
      <w:bookmarkStart w:id="32" w:name="_Toc114498330"/>
      <w:bookmarkStart w:id="33" w:name="_Toc1033"/>
      <w:bookmarkStart w:id="34" w:name="_Toc15377200"/>
      <w:bookmarkStart w:id="35" w:name="_Toc15396601"/>
      <w:r>
        <w:rPr>
          <w:rFonts w:hint="eastAsia" w:ascii="黑体" w:hAnsi="黑体" w:eastAsia="黑体" w:cs="黑体"/>
          <w:sz w:val="32"/>
          <w:szCs w:val="32"/>
        </w:rPr>
        <w:t>二、机构设置</w:t>
      </w:r>
      <w:bookmarkEnd w:id="32"/>
      <w:bookmarkEnd w:id="33"/>
      <w:bookmarkEnd w:id="34"/>
      <w:bookmarkEnd w:id="35"/>
    </w:p>
    <w:p>
      <w:pPr>
        <w:spacing w:line="580" w:lineRule="exact"/>
        <w:ind w:firstLine="640" w:firstLineChars="200"/>
      </w:pPr>
      <w:bookmarkStart w:id="36" w:name="_Toc114498331"/>
      <w:bookmarkStart w:id="37" w:name="_Toc15377432"/>
      <w:bookmarkStart w:id="38" w:name="_Toc15377201"/>
      <w:bookmarkStart w:id="39" w:name="_Toc15378448"/>
      <w:bookmarkStart w:id="40" w:name="_Toc6262"/>
      <w:bookmarkStart w:id="41" w:name="_Toc15306275"/>
      <w:r>
        <w:rPr>
          <w:rFonts w:hint="eastAsia" w:ascii="仿宋_GB2312" w:hAnsi="仿宋_GB2312" w:eastAsia="仿宋_GB2312" w:cs="仿宋_GB2312"/>
          <w:sz w:val="32"/>
          <w:szCs w:val="32"/>
        </w:rPr>
        <w:t>广元市妇女联合会下属二级单位0个，含单位2个，其中行政单位1个,事业单位1个，分别是广元市妇女联合会机关、广元市妇女培训中心（未独立核算）。市妇联机关现有编制16名，其中行政编制9名，其他事业编制5名，工勤编制2名。在职人员总数15人，其中行政人员9人，其他事业人员4人，工勤人员2人；离休人员0人，退休人员8人。</w:t>
      </w:r>
      <w:bookmarkEnd w:id="36"/>
      <w:bookmarkEnd w:id="37"/>
      <w:bookmarkEnd w:id="38"/>
      <w:bookmarkEnd w:id="39"/>
      <w:bookmarkEnd w:id="40"/>
      <w:bookmarkEnd w:id="41"/>
    </w:p>
    <w:p>
      <w:pPr>
        <w:pStyle w:val="3"/>
        <w:spacing w:beforeLines="50" w:afterLines="50" w:line="580" w:lineRule="exact"/>
        <w:ind w:right="442"/>
        <w:jc w:val="center"/>
      </w:pPr>
      <w:bookmarkStart w:id="42" w:name="_Toc3441"/>
      <w:bookmarkStart w:id="43" w:name="_Toc10132"/>
      <w:bookmarkStart w:id="44" w:name="_Toc15377204"/>
      <w:bookmarkStart w:id="45" w:name="_Toc15396602"/>
      <w:bookmarkStart w:id="46" w:name="_Toc114498334"/>
      <w:r>
        <w:rPr>
          <w:rFonts w:hint="eastAsia" w:ascii="方正小标宋简体" w:hAnsi="方正小标宋简体" w:eastAsia="方正小标宋简体" w:cs="方正小标宋简体"/>
          <w:b w:val="0"/>
          <w:bCs w:val="0"/>
          <w:kern w:val="2"/>
          <w:sz w:val="32"/>
          <w:szCs w:val="32"/>
        </w:rPr>
        <w:t>第二部分  2021年度部门决算情况说明</w:t>
      </w:r>
      <w:bookmarkEnd w:id="42"/>
      <w:bookmarkEnd w:id="43"/>
      <w:bookmarkEnd w:id="44"/>
      <w:bookmarkEnd w:id="45"/>
      <w:bookmarkEnd w:id="46"/>
    </w:p>
    <w:p>
      <w:pPr>
        <w:pStyle w:val="31"/>
        <w:spacing w:line="580" w:lineRule="exact"/>
        <w:ind w:left="640" w:firstLine="0" w:firstLineChars="0"/>
        <w:outlineLvl w:val="1"/>
        <w:rPr>
          <w:rStyle w:val="33"/>
          <w:rFonts w:ascii="黑体" w:hAnsi="黑体" w:eastAsia="黑体" w:cs="黑体"/>
          <w:b w:val="0"/>
        </w:rPr>
      </w:pPr>
      <w:bookmarkStart w:id="47" w:name="_Toc20447"/>
      <w:bookmarkStart w:id="48" w:name="_Toc15377205"/>
      <w:bookmarkStart w:id="49" w:name="_Toc114498335"/>
      <w:bookmarkStart w:id="50" w:name="_Toc181"/>
      <w:bookmarkStart w:id="51" w:name="_Toc15396603"/>
      <w:r>
        <w:rPr>
          <w:rFonts w:hint="eastAsia" w:ascii="黑体" w:hAnsi="黑体" w:eastAsia="黑体" w:cs="黑体"/>
          <w:sz w:val="32"/>
          <w:szCs w:val="32"/>
        </w:rPr>
        <w:t>一、收</w:t>
      </w:r>
      <w:r>
        <w:rPr>
          <w:rStyle w:val="33"/>
          <w:rFonts w:hint="eastAsia" w:ascii="黑体" w:hAnsi="黑体" w:eastAsia="黑体" w:cs="黑体"/>
          <w:b w:val="0"/>
        </w:rPr>
        <w:t>入支出决算总体情况说明</w:t>
      </w:r>
      <w:bookmarkEnd w:id="47"/>
      <w:bookmarkEnd w:id="48"/>
      <w:bookmarkEnd w:id="49"/>
      <w:bookmarkEnd w:id="50"/>
      <w:bookmarkEnd w:id="51"/>
    </w:p>
    <w:p>
      <w:pPr>
        <w:spacing w:line="580"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2021年度收、支总计498.82万元。与2020年相比，收、支总计各减少42.3万元，下降7.8%。主要变动原因是人员减少</w:t>
      </w:r>
      <w:r>
        <w:rPr>
          <w:rFonts w:hint="eastAsia" w:ascii="仿宋_GB2312" w:hAnsi="仿宋_GB2312" w:eastAsia="仿宋_GB2312" w:cs="仿宋_GB2312"/>
          <w:spacing w:val="-6"/>
          <w:sz w:val="32"/>
          <w:szCs w:val="32"/>
        </w:rPr>
        <w:t>一人及疫情情况比2020年有待改善，减少了</w:t>
      </w:r>
      <w:r>
        <w:rPr>
          <w:rFonts w:hint="eastAsia" w:ascii="仿宋_GB2312" w:hAnsi="仿宋_GB2312" w:eastAsia="仿宋_GB2312" w:cs="仿宋_GB2312"/>
          <w:color w:val="000000"/>
          <w:spacing w:val="-6"/>
          <w:sz w:val="32"/>
          <w:szCs w:val="32"/>
        </w:rPr>
        <w:t>疫情防控、慰问支出。</w:t>
      </w:r>
    </w:p>
    <w:p>
      <w:pPr>
        <w:pStyle w:val="2"/>
        <w:spacing w:before="93"/>
      </w:pPr>
      <w:r>
        <w:rPr>
          <w:rFonts w:hint="eastAsia"/>
        </w:rPr>
        <w:drawing>
          <wp:anchor distT="0" distB="0" distL="0" distR="0" simplePos="0" relativeHeight="251659264" behindDoc="1" locked="0" layoutInCell="1" allowOverlap="1">
            <wp:simplePos x="0" y="0"/>
            <wp:positionH relativeFrom="column">
              <wp:posOffset>808990</wp:posOffset>
            </wp:positionH>
            <wp:positionV relativeFrom="paragraph">
              <wp:posOffset>-153670</wp:posOffset>
            </wp:positionV>
            <wp:extent cx="4395470" cy="2624455"/>
            <wp:effectExtent l="0" t="0" r="5080" b="4445"/>
            <wp:wrapNone/>
            <wp:docPr id="10" name="图片 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true" noChangeArrowheads="true"/>
                    </pic:cNvPicPr>
                  </pic:nvPicPr>
                  <pic:blipFill>
                    <a:blip r:embed="rId7"/>
                    <a:srcRect/>
                    <a:stretch>
                      <a:fillRect/>
                    </a:stretch>
                  </pic:blipFill>
                  <pic:spPr>
                    <a:xfrm>
                      <a:off x="0" y="0"/>
                      <a:ext cx="4395470" cy="2624455"/>
                    </a:xfrm>
                    <a:prstGeom prst="rect">
                      <a:avLst/>
                    </a:prstGeom>
                    <a:noFill/>
                    <a:ln w="9525">
                      <a:noFill/>
                      <a:miter lim="800000"/>
                      <a:headEnd/>
                      <a:tailEnd/>
                    </a:ln>
                  </pic:spPr>
                </pic:pic>
              </a:graphicData>
            </a:graphic>
          </wp:anchor>
        </w:drawing>
      </w:r>
      <w:r>
        <w:rPr>
          <w:rFonts w:hint="eastAsia"/>
        </w:rPr>
        <w:t xml:space="preserve">   </w:t>
      </w:r>
    </w:p>
    <w:p>
      <w:pPr>
        <w:pStyle w:val="2"/>
        <w:spacing w:before="93"/>
        <w:jc w:val="center"/>
        <w:outlineLvl w:val="2"/>
        <w:rPr>
          <w:rFonts w:ascii="Times New Roman"/>
          <w:color w:val="000000"/>
          <w:sz w:val="32"/>
          <w:szCs w:val="32"/>
        </w:rPr>
      </w:pPr>
      <w:bookmarkStart w:id="52" w:name="_Toc114498336"/>
    </w:p>
    <w:p>
      <w:pPr>
        <w:pStyle w:val="2"/>
        <w:spacing w:before="93"/>
        <w:jc w:val="center"/>
        <w:outlineLvl w:val="2"/>
        <w:rPr>
          <w:rFonts w:ascii="Times New Roman"/>
          <w:color w:val="000000"/>
          <w:sz w:val="32"/>
          <w:szCs w:val="32"/>
        </w:rPr>
      </w:pPr>
    </w:p>
    <w:p>
      <w:pPr>
        <w:pStyle w:val="2"/>
        <w:spacing w:before="93"/>
        <w:jc w:val="center"/>
        <w:outlineLvl w:val="2"/>
        <w:rPr>
          <w:rFonts w:ascii="Times New Roman"/>
          <w:color w:val="000000"/>
          <w:sz w:val="32"/>
          <w:szCs w:val="32"/>
        </w:rPr>
      </w:pPr>
    </w:p>
    <w:p>
      <w:pPr>
        <w:pStyle w:val="2"/>
        <w:spacing w:before="93"/>
        <w:jc w:val="center"/>
        <w:outlineLvl w:val="2"/>
        <w:rPr>
          <w:rFonts w:ascii="Times New Roman"/>
          <w:color w:val="000000"/>
          <w:sz w:val="32"/>
          <w:szCs w:val="32"/>
        </w:rPr>
      </w:pPr>
    </w:p>
    <w:p>
      <w:pPr>
        <w:pStyle w:val="2"/>
        <w:spacing w:beforeLines="100" w:line="560" w:lineRule="exact"/>
        <w:jc w:val="center"/>
        <w:outlineLvl w:val="2"/>
        <w:rPr>
          <w:rFonts w:hAnsi="仿宋_GB2312" w:cs="仿宋_GB2312"/>
          <w:color w:val="000000"/>
          <w:sz w:val="28"/>
          <w:szCs w:val="28"/>
        </w:rPr>
      </w:pPr>
      <w:r>
        <w:rPr>
          <w:rFonts w:hint="eastAsia" w:hAnsi="仿宋_GB2312" w:cs="仿宋_GB2312"/>
          <w:color w:val="000000"/>
          <w:sz w:val="28"/>
          <w:szCs w:val="28"/>
        </w:rPr>
        <w:t>（图1：收、支决算总计变动情况图）</w:t>
      </w:r>
      <w:bookmarkEnd w:id="52"/>
    </w:p>
    <w:p>
      <w:pPr>
        <w:pStyle w:val="31"/>
        <w:spacing w:line="540" w:lineRule="exact"/>
        <w:ind w:firstLine="640"/>
        <w:outlineLvl w:val="1"/>
        <w:rPr>
          <w:rStyle w:val="33"/>
          <w:rFonts w:ascii="黑体" w:hAnsi="黑体" w:eastAsia="黑体" w:cs="黑体"/>
          <w:b w:val="0"/>
        </w:rPr>
      </w:pPr>
      <w:bookmarkStart w:id="53" w:name="_Toc4386"/>
      <w:bookmarkStart w:id="54" w:name="_Toc15396604"/>
      <w:bookmarkStart w:id="55" w:name="_Toc15377206"/>
      <w:bookmarkStart w:id="56" w:name="_Toc114498337"/>
      <w:bookmarkStart w:id="57" w:name="_Toc24276"/>
      <w:r>
        <w:rPr>
          <w:rFonts w:hint="eastAsia" w:ascii="黑体" w:hAnsi="黑体" w:eastAsia="黑体" w:cs="黑体"/>
          <w:bCs/>
          <w:sz w:val="32"/>
          <w:szCs w:val="32"/>
        </w:rPr>
        <w:t>二、收</w:t>
      </w:r>
      <w:r>
        <w:rPr>
          <w:rStyle w:val="33"/>
          <w:rFonts w:hint="eastAsia" w:ascii="黑体" w:hAnsi="黑体" w:eastAsia="黑体" w:cs="黑体"/>
          <w:b w:val="0"/>
        </w:rPr>
        <w:t>入决算情况说明</w:t>
      </w:r>
      <w:bookmarkEnd w:id="53"/>
      <w:bookmarkEnd w:id="54"/>
      <w:bookmarkEnd w:id="55"/>
      <w:bookmarkEnd w:id="56"/>
      <w:bookmarkEnd w:id="57"/>
    </w:p>
    <w:p>
      <w:pPr>
        <w:spacing w:line="540" w:lineRule="exact"/>
        <w:ind w:firstLine="420" w:firstLineChars="200"/>
        <w:outlineLvl w:val="1"/>
        <w:rPr>
          <w:rFonts w:ascii="仿宋_GB2312" w:hAnsi="仿宋_GB2312" w:eastAsia="仿宋_GB2312" w:cs="仿宋_GB2312"/>
          <w:sz w:val="32"/>
          <w:szCs w:val="32"/>
        </w:rPr>
      </w:pPr>
      <w:bookmarkStart w:id="58" w:name="_Toc13477"/>
      <w:bookmarkStart w:id="59" w:name="_Toc20773"/>
      <w:bookmarkStart w:id="60" w:name="_Toc114498338"/>
      <w:r>
        <w:drawing>
          <wp:anchor distT="0" distB="0" distL="0" distR="0" simplePos="0" relativeHeight="251660288" behindDoc="1" locked="0" layoutInCell="1" allowOverlap="1">
            <wp:simplePos x="0" y="0"/>
            <wp:positionH relativeFrom="column">
              <wp:posOffset>692150</wp:posOffset>
            </wp:positionH>
            <wp:positionV relativeFrom="paragraph">
              <wp:posOffset>967740</wp:posOffset>
            </wp:positionV>
            <wp:extent cx="4356100" cy="2503170"/>
            <wp:effectExtent l="0" t="0" r="6350" b="11430"/>
            <wp:wrapNone/>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noChangeArrowheads="true"/>
                    </pic:cNvPicPr>
                  </pic:nvPicPr>
                  <pic:blipFill>
                    <a:blip r:embed="rId8"/>
                    <a:srcRect/>
                    <a:stretch>
                      <a:fillRect/>
                    </a:stretch>
                  </pic:blipFill>
                  <pic:spPr>
                    <a:xfrm>
                      <a:off x="0" y="0"/>
                      <a:ext cx="4356100" cy="2503170"/>
                    </a:xfrm>
                    <a:prstGeom prst="rect">
                      <a:avLst/>
                    </a:prstGeom>
                    <a:noFill/>
                    <a:ln w="9525">
                      <a:noFill/>
                      <a:miter lim="800000"/>
                      <a:headEnd/>
                      <a:tailEnd/>
                    </a:ln>
                  </pic:spPr>
                </pic:pic>
              </a:graphicData>
            </a:graphic>
          </wp:anchor>
        </w:drawing>
      </w:r>
      <w:r>
        <w:rPr>
          <w:rFonts w:hint="eastAsia" w:ascii="仿宋_GB2312" w:hAnsi="仿宋_GB2312" w:eastAsia="仿宋_GB2312" w:cs="仿宋_GB2312"/>
          <w:sz w:val="32"/>
          <w:szCs w:val="32"/>
        </w:rPr>
        <w:t xml:space="preserve">  2021年本年收入合计484.95万元，其中：一般公共预算财政拨款收入390.17万元，占80.46%；其他收入94.78万元，占19.54%。</w:t>
      </w:r>
      <w:bookmarkEnd w:id="58"/>
      <w:bookmarkEnd w:id="59"/>
      <w:bookmarkEnd w:id="60"/>
    </w:p>
    <w:p>
      <w:pPr>
        <w:pStyle w:val="2"/>
        <w:spacing w:before="93"/>
      </w:pPr>
      <w:r>
        <w:rPr>
          <w:rFonts w:hint="eastAsia"/>
        </w:rPr>
        <w:t xml:space="preserve">   </w:t>
      </w:r>
    </w:p>
    <w:p>
      <w:pPr>
        <w:spacing w:line="600" w:lineRule="exact"/>
        <w:ind w:firstLine="2240" w:firstLineChars="700"/>
        <w:outlineLvl w:val="1"/>
        <w:rPr>
          <w:rFonts w:eastAsia="仿宋_GB2312"/>
          <w:color w:val="000000"/>
          <w:sz w:val="32"/>
          <w:szCs w:val="32"/>
        </w:rPr>
      </w:pPr>
      <w:bookmarkStart w:id="61" w:name="_Toc114498339"/>
      <w:bookmarkStart w:id="62" w:name="_Toc14488"/>
    </w:p>
    <w:p>
      <w:pPr>
        <w:spacing w:line="600" w:lineRule="exact"/>
        <w:ind w:firstLine="2240" w:firstLineChars="700"/>
        <w:outlineLvl w:val="1"/>
        <w:rPr>
          <w:rFonts w:eastAsia="仿宋_GB2312"/>
          <w:color w:val="000000"/>
          <w:sz w:val="32"/>
          <w:szCs w:val="32"/>
        </w:rPr>
      </w:pPr>
    </w:p>
    <w:p>
      <w:pPr>
        <w:spacing w:line="600" w:lineRule="exact"/>
        <w:ind w:firstLine="2240" w:firstLineChars="700"/>
        <w:outlineLvl w:val="1"/>
        <w:rPr>
          <w:rFonts w:eastAsia="仿宋_GB2312"/>
          <w:color w:val="000000"/>
          <w:sz w:val="32"/>
          <w:szCs w:val="32"/>
        </w:rPr>
      </w:pPr>
    </w:p>
    <w:p>
      <w:pPr>
        <w:spacing w:line="600" w:lineRule="exact"/>
        <w:ind w:firstLine="2240" w:firstLineChars="700"/>
        <w:outlineLvl w:val="1"/>
        <w:rPr>
          <w:rFonts w:eastAsia="仿宋_GB2312"/>
          <w:color w:val="000000"/>
          <w:sz w:val="32"/>
          <w:szCs w:val="32"/>
        </w:rPr>
      </w:pPr>
    </w:p>
    <w:p>
      <w:pPr>
        <w:spacing w:line="600" w:lineRule="exact"/>
        <w:ind w:firstLine="2240" w:firstLineChars="700"/>
        <w:outlineLvl w:val="1"/>
        <w:rPr>
          <w:rFonts w:eastAsia="仿宋_GB2312"/>
          <w:color w:val="000000"/>
          <w:sz w:val="32"/>
          <w:szCs w:val="32"/>
        </w:rPr>
      </w:pPr>
    </w:p>
    <w:p>
      <w:pPr>
        <w:spacing w:beforeLines="100" w:line="600" w:lineRule="exact"/>
        <w:jc w:val="center"/>
        <w:outlineLvl w:val="1"/>
        <w:rPr>
          <w:rFonts w:ascii="仿宋_GB2312" w:hAnsi="仿宋_GB2312" w:eastAsia="仿宋_GB2312" w:cs="仿宋_GB2312"/>
          <w:color w:val="FF0000"/>
          <w:sz w:val="28"/>
          <w:szCs w:val="28"/>
        </w:rPr>
      </w:pPr>
      <w:bookmarkStart w:id="63" w:name="_Toc20835"/>
      <w:r>
        <w:rPr>
          <w:rFonts w:hint="eastAsia" w:ascii="仿宋_GB2312" w:hAnsi="仿宋_GB2312" w:eastAsia="仿宋_GB2312" w:cs="仿宋_GB2312"/>
          <w:color w:val="000000"/>
          <w:sz w:val="28"/>
          <w:szCs w:val="28"/>
        </w:rPr>
        <w:t>（图2：收入决算结构图）</w:t>
      </w:r>
      <w:bookmarkEnd w:id="61"/>
      <w:bookmarkEnd w:id="62"/>
      <w:bookmarkEnd w:id="63"/>
    </w:p>
    <w:p>
      <w:pPr>
        <w:pStyle w:val="31"/>
        <w:spacing w:line="576" w:lineRule="exact"/>
        <w:ind w:firstLine="640"/>
        <w:outlineLvl w:val="1"/>
        <w:rPr>
          <w:rStyle w:val="33"/>
          <w:rFonts w:ascii="黑体" w:hAnsi="黑体" w:eastAsia="黑体" w:cs="黑体"/>
          <w:b w:val="0"/>
        </w:rPr>
      </w:pPr>
      <w:bookmarkStart w:id="64" w:name="_Toc22976"/>
      <w:bookmarkStart w:id="65" w:name="_Toc15396605"/>
      <w:bookmarkStart w:id="66" w:name="_Toc28099"/>
      <w:bookmarkStart w:id="67" w:name="_Toc114498340"/>
      <w:bookmarkStart w:id="68" w:name="_Toc15377207"/>
      <w:r>
        <w:rPr>
          <w:rFonts w:hint="eastAsia" w:ascii="黑体" w:hAnsi="黑体" w:eastAsia="黑体" w:cs="黑体"/>
          <w:sz w:val="32"/>
          <w:szCs w:val="32"/>
        </w:rPr>
        <w:t>三、支</w:t>
      </w:r>
      <w:r>
        <w:rPr>
          <w:rStyle w:val="33"/>
          <w:rFonts w:hint="eastAsia" w:ascii="黑体" w:hAnsi="黑体" w:eastAsia="黑体" w:cs="黑体"/>
          <w:b w:val="0"/>
        </w:rPr>
        <w:t>出决算情况说明</w:t>
      </w:r>
      <w:bookmarkEnd w:id="64"/>
      <w:bookmarkEnd w:id="65"/>
      <w:bookmarkEnd w:id="66"/>
      <w:bookmarkEnd w:id="67"/>
      <w:bookmarkEnd w:id="68"/>
    </w:p>
    <w:p>
      <w:pPr>
        <w:spacing w:line="576" w:lineRule="exact"/>
        <w:ind w:firstLine="640" w:firstLineChars="200"/>
        <w:outlineLvl w:val="1"/>
        <w:rPr>
          <w:rFonts w:ascii="仿宋_GB2312" w:hAnsi="仿宋_GB2312" w:eastAsia="仿宋_GB2312" w:cs="仿宋_GB2312"/>
          <w:sz w:val="32"/>
          <w:szCs w:val="32"/>
        </w:rPr>
      </w:pPr>
      <w:bookmarkStart w:id="69" w:name="_Toc26503"/>
      <w:bookmarkStart w:id="70" w:name="_Toc114498341"/>
      <w:bookmarkStart w:id="71" w:name="_Toc30644"/>
      <w:r>
        <w:rPr>
          <w:rFonts w:hint="eastAsia" w:ascii="仿宋_GB2312" w:hAnsi="仿宋_GB2312" w:eastAsia="仿宋_GB2312" w:cs="仿宋_GB2312"/>
          <w:sz w:val="32"/>
          <w:szCs w:val="32"/>
        </w:rPr>
        <w:t>2021年本年支出合计470.79万元，其中：基本支出255.71万元，占54.31%；项目支出215.09万元，占45.69%。</w:t>
      </w:r>
      <w:bookmarkEnd w:id="69"/>
      <w:bookmarkEnd w:id="70"/>
      <w:bookmarkEnd w:id="71"/>
      <w:r>
        <w:rPr>
          <w:rFonts w:hint="eastAsia" w:ascii="仿宋_GB2312" w:hAnsi="仿宋_GB2312" w:eastAsia="仿宋_GB2312" w:cs="仿宋_GB2312"/>
          <w:sz w:val="32"/>
          <w:szCs w:val="32"/>
        </w:rPr>
        <w:t xml:space="preserve"> </w:t>
      </w:r>
    </w:p>
    <w:p>
      <w:pPr>
        <w:pStyle w:val="2"/>
        <w:spacing w:before="93"/>
      </w:pPr>
      <w:r>
        <w:drawing>
          <wp:anchor distT="0" distB="0" distL="0" distR="0" simplePos="0" relativeHeight="251661312" behindDoc="1" locked="0" layoutInCell="1" allowOverlap="1">
            <wp:simplePos x="0" y="0"/>
            <wp:positionH relativeFrom="column">
              <wp:posOffset>617220</wp:posOffset>
            </wp:positionH>
            <wp:positionV relativeFrom="paragraph">
              <wp:posOffset>5080</wp:posOffset>
            </wp:positionV>
            <wp:extent cx="4131310" cy="2510155"/>
            <wp:effectExtent l="0" t="0" r="2540" b="4445"/>
            <wp:wrapNone/>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noChangeArrowheads="true"/>
                    </pic:cNvPicPr>
                  </pic:nvPicPr>
                  <pic:blipFill>
                    <a:blip r:embed="rId9"/>
                    <a:srcRect/>
                    <a:stretch>
                      <a:fillRect/>
                    </a:stretch>
                  </pic:blipFill>
                  <pic:spPr>
                    <a:xfrm>
                      <a:off x="0" y="0"/>
                      <a:ext cx="4131310" cy="2510155"/>
                    </a:xfrm>
                    <a:prstGeom prst="rect">
                      <a:avLst/>
                    </a:prstGeom>
                    <a:noFill/>
                    <a:ln w="9525">
                      <a:noFill/>
                      <a:miter lim="800000"/>
                      <a:headEnd/>
                      <a:tailEnd/>
                    </a:ln>
                  </pic:spPr>
                </pic:pic>
              </a:graphicData>
            </a:graphic>
          </wp:anchor>
        </w:drawing>
      </w:r>
      <w:r>
        <w:rPr>
          <w:rFonts w:hint="eastAsia"/>
        </w:rPr>
        <w:t xml:space="preserve">    </w:t>
      </w:r>
    </w:p>
    <w:p>
      <w:pPr>
        <w:spacing w:line="600" w:lineRule="exact"/>
        <w:ind w:firstLine="2249" w:firstLineChars="703"/>
        <w:rPr>
          <w:rFonts w:eastAsia="仿宋_GB2312"/>
          <w:color w:val="000000"/>
          <w:sz w:val="32"/>
          <w:szCs w:val="32"/>
        </w:rPr>
      </w:pPr>
    </w:p>
    <w:p>
      <w:pPr>
        <w:spacing w:line="600" w:lineRule="exact"/>
        <w:ind w:firstLine="2249" w:firstLineChars="703"/>
        <w:rPr>
          <w:rFonts w:eastAsia="仿宋_GB2312"/>
          <w:color w:val="000000"/>
          <w:sz w:val="32"/>
          <w:szCs w:val="32"/>
        </w:rPr>
      </w:pPr>
    </w:p>
    <w:p>
      <w:pPr>
        <w:spacing w:line="600" w:lineRule="exact"/>
        <w:ind w:firstLine="2249" w:firstLineChars="703"/>
        <w:rPr>
          <w:rFonts w:eastAsia="仿宋_GB2312"/>
          <w:color w:val="000000"/>
          <w:sz w:val="32"/>
          <w:szCs w:val="32"/>
        </w:rPr>
      </w:pPr>
    </w:p>
    <w:p>
      <w:pPr>
        <w:spacing w:line="600" w:lineRule="exact"/>
        <w:ind w:firstLine="2249" w:firstLineChars="703"/>
        <w:rPr>
          <w:rFonts w:eastAsia="仿宋_GB2312"/>
          <w:color w:val="000000"/>
          <w:sz w:val="32"/>
          <w:szCs w:val="32"/>
        </w:rPr>
      </w:pPr>
    </w:p>
    <w:p>
      <w:pPr>
        <w:spacing w:line="600" w:lineRule="exact"/>
        <w:ind w:firstLine="2249" w:firstLineChars="703"/>
        <w:rPr>
          <w:rFonts w:eastAsia="仿宋_GB2312"/>
          <w:color w:val="000000"/>
          <w:sz w:val="32"/>
          <w:szCs w:val="32"/>
        </w:rPr>
      </w:pPr>
    </w:p>
    <w:p>
      <w:pPr>
        <w:spacing w:beforeLines="50" w:line="576" w:lineRule="exact"/>
        <w:jc w:val="center"/>
        <w:rPr>
          <w:rFonts w:ascii="仿宋_GB2312" w:hAnsi="仿宋_GB2312" w:eastAsia="仿宋_GB2312" w:cs="仿宋_GB2312"/>
          <w:color w:val="FF0000"/>
          <w:sz w:val="28"/>
          <w:szCs w:val="28"/>
        </w:rPr>
      </w:pPr>
      <w:r>
        <w:rPr>
          <w:rFonts w:hint="eastAsia" w:ascii="仿宋_GB2312" w:hAnsi="仿宋_GB2312" w:eastAsia="仿宋_GB2312" w:cs="仿宋_GB2312"/>
          <w:color w:val="000000"/>
          <w:sz w:val="28"/>
          <w:szCs w:val="28"/>
        </w:rPr>
        <w:t>（图3：支出决算结构图）</w:t>
      </w:r>
    </w:p>
    <w:p>
      <w:pPr>
        <w:spacing w:line="576" w:lineRule="exact"/>
        <w:ind w:firstLine="640" w:firstLineChars="200"/>
        <w:outlineLvl w:val="1"/>
        <w:rPr>
          <w:rStyle w:val="33"/>
          <w:rFonts w:ascii="黑体" w:hAnsi="黑体" w:eastAsia="黑体" w:cs="黑体"/>
          <w:b w:val="0"/>
        </w:rPr>
      </w:pPr>
      <w:bookmarkStart w:id="72" w:name="_Toc22917"/>
      <w:bookmarkStart w:id="73" w:name="_Toc15396606"/>
      <w:bookmarkStart w:id="74" w:name="_Toc114498342"/>
      <w:bookmarkStart w:id="75" w:name="_Toc15377208"/>
      <w:bookmarkStart w:id="76" w:name="_Toc16834"/>
      <w:r>
        <w:rPr>
          <w:rFonts w:hint="eastAsia" w:ascii="黑体" w:hAnsi="黑体" w:eastAsia="黑体" w:cs="黑体"/>
          <w:sz w:val="32"/>
          <w:szCs w:val="32"/>
        </w:rPr>
        <w:t>四、财</w:t>
      </w:r>
      <w:r>
        <w:rPr>
          <w:rStyle w:val="33"/>
          <w:rFonts w:hint="eastAsia" w:ascii="黑体" w:hAnsi="黑体" w:eastAsia="黑体" w:cs="黑体"/>
          <w:b w:val="0"/>
        </w:rPr>
        <w:t>政拨款收入支出决算总体情况说明</w:t>
      </w:r>
      <w:bookmarkEnd w:id="72"/>
      <w:bookmarkEnd w:id="73"/>
      <w:bookmarkEnd w:id="74"/>
      <w:bookmarkEnd w:id="75"/>
      <w:bookmarkEnd w:id="76"/>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2021年财政拨款收、支总计402.35万元。与2020年相比，财政拨款收、支总计各减少85.38万元，下降17.51%。其变动原因是人员减少一人及疫情情况比2020年有待改善，减少了</w:t>
      </w:r>
      <w:r>
        <w:rPr>
          <w:rFonts w:hint="eastAsia" w:ascii="仿宋_GB2312" w:hAnsi="仿宋_GB2312" w:eastAsia="仿宋_GB2312" w:cs="仿宋_GB2312"/>
          <w:color w:val="000000"/>
          <w:sz w:val="32"/>
          <w:szCs w:val="32"/>
        </w:rPr>
        <w:t>疫情防控、慰问支出。</w:t>
      </w:r>
    </w:p>
    <w:p>
      <w:pPr>
        <w:pStyle w:val="2"/>
        <w:spacing w:before="93"/>
      </w:pPr>
      <w:r>
        <w:drawing>
          <wp:anchor distT="0" distB="0" distL="114300" distR="114300" simplePos="0" relativeHeight="251662336" behindDoc="1" locked="0" layoutInCell="1" allowOverlap="1">
            <wp:simplePos x="0" y="0"/>
            <wp:positionH relativeFrom="column">
              <wp:posOffset>754380</wp:posOffset>
            </wp:positionH>
            <wp:positionV relativeFrom="paragraph">
              <wp:posOffset>20320</wp:posOffset>
            </wp:positionV>
            <wp:extent cx="3916680" cy="2599690"/>
            <wp:effectExtent l="4445" t="4445" r="22225" b="5715"/>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
        <w:spacing w:before="93"/>
      </w:pPr>
      <w:r>
        <w:rPr>
          <w:rFonts w:hint="eastAsia"/>
        </w:rPr>
        <w:t xml:space="preserve">    </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beforeLines="100"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（图4：财政拨款收、支决算总计变动情况）</w:t>
      </w:r>
    </w:p>
    <w:p>
      <w:pPr>
        <w:spacing w:line="576" w:lineRule="exact"/>
        <w:ind w:firstLine="640" w:firstLineChars="200"/>
        <w:outlineLvl w:val="1"/>
        <w:rPr>
          <w:rStyle w:val="33"/>
          <w:rFonts w:ascii="黑体" w:hAnsi="黑体" w:eastAsia="黑体" w:cs="黑体"/>
          <w:b w:val="0"/>
        </w:rPr>
      </w:pPr>
      <w:bookmarkStart w:id="77" w:name="_Toc15396607"/>
      <w:bookmarkStart w:id="78" w:name="_Toc15377209"/>
      <w:bookmarkStart w:id="79" w:name="_Toc16199"/>
      <w:bookmarkStart w:id="80" w:name="_Toc16863"/>
      <w:bookmarkStart w:id="81" w:name="_Toc114498343"/>
      <w:r>
        <w:rPr>
          <w:rFonts w:hint="eastAsia" w:ascii="黑体" w:hAnsi="黑体" w:eastAsia="黑体" w:cs="黑体"/>
          <w:sz w:val="32"/>
          <w:szCs w:val="32"/>
        </w:rPr>
        <w:t>五、</w:t>
      </w:r>
      <w:r>
        <w:rPr>
          <w:rFonts w:hint="eastAsia" w:ascii="黑体" w:hAnsi="黑体" w:eastAsia="黑体" w:cs="黑体"/>
          <w:b/>
          <w:sz w:val="32"/>
          <w:szCs w:val="32"/>
        </w:rPr>
        <w:t>一</w:t>
      </w:r>
      <w:r>
        <w:rPr>
          <w:rStyle w:val="33"/>
          <w:rFonts w:hint="eastAsia" w:ascii="黑体" w:hAnsi="黑体" w:eastAsia="黑体" w:cs="黑体"/>
          <w:b w:val="0"/>
        </w:rPr>
        <w:t>般公共预算财政拨款支出决算情况说明</w:t>
      </w:r>
      <w:bookmarkEnd w:id="77"/>
      <w:bookmarkEnd w:id="78"/>
      <w:bookmarkEnd w:id="79"/>
      <w:bookmarkEnd w:id="80"/>
      <w:bookmarkEnd w:id="81"/>
    </w:p>
    <w:p>
      <w:pPr>
        <w:spacing w:line="576" w:lineRule="exact"/>
        <w:ind w:firstLine="640" w:firstLineChars="200"/>
        <w:outlineLvl w:val="2"/>
        <w:rPr>
          <w:rFonts w:ascii="楷体_GB2312" w:hAnsi="楷体_GB2312" w:eastAsia="楷体_GB2312" w:cs="楷体_GB2312"/>
          <w:bCs/>
          <w:sz w:val="32"/>
          <w:szCs w:val="32"/>
        </w:rPr>
      </w:pPr>
      <w:bookmarkStart w:id="82" w:name="_Toc114498344"/>
      <w:bookmarkStart w:id="83" w:name="_Toc15377210"/>
      <w:r>
        <w:rPr>
          <w:rFonts w:hint="eastAsia" w:ascii="楷体_GB2312" w:hAnsi="楷体_GB2312" w:eastAsia="楷体_GB2312" w:cs="楷体_GB2312"/>
          <w:bCs/>
          <w:sz w:val="32"/>
          <w:szCs w:val="32"/>
        </w:rPr>
        <w:t>（一）一般公共预算财政拨款支出决算总体情况</w:t>
      </w:r>
      <w:bookmarkEnd w:id="82"/>
      <w:bookmarkEnd w:id="83"/>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2021年一般公共预算财政拨款支出374.33万元，占本年支出合计的79.51%。与2020年相比，一般公共预算财政拨款支出减少101.23万元，下降21.29%。其变动原因是人员减少一人及疫情情况比2020年有待改善，减少了</w:t>
      </w:r>
      <w:r>
        <w:rPr>
          <w:rFonts w:hint="eastAsia" w:ascii="仿宋_GB2312" w:hAnsi="仿宋_GB2312" w:eastAsia="仿宋_GB2312" w:cs="仿宋_GB2312"/>
          <w:color w:val="000000"/>
          <w:sz w:val="32"/>
          <w:szCs w:val="32"/>
        </w:rPr>
        <w:t>疫情防控、慰问支出。</w:t>
      </w:r>
    </w:p>
    <w:p>
      <w:pPr>
        <w:pStyle w:val="2"/>
        <w:spacing w:before="93"/>
      </w:pPr>
      <w:r>
        <w:drawing>
          <wp:anchor distT="0" distB="0" distL="114300" distR="114300" simplePos="0" relativeHeight="251663360" behindDoc="1" locked="0" layoutInCell="1" allowOverlap="1">
            <wp:simplePos x="0" y="0"/>
            <wp:positionH relativeFrom="column">
              <wp:posOffset>524510</wp:posOffset>
            </wp:positionH>
            <wp:positionV relativeFrom="paragraph">
              <wp:posOffset>51435</wp:posOffset>
            </wp:positionV>
            <wp:extent cx="4572000" cy="3002280"/>
            <wp:effectExtent l="4445" t="4445" r="14605" b="2222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color w:val="000000"/>
          <w:sz w:val="32"/>
          <w:szCs w:val="32"/>
        </w:rPr>
        <w:t xml:space="preserve">     </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beforeLines="50"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（图5：一般公共预算财政拨款支出决算变动情况）</w:t>
      </w:r>
    </w:p>
    <w:p>
      <w:pPr>
        <w:spacing w:line="600" w:lineRule="exact"/>
        <w:ind w:firstLine="640" w:firstLineChars="200"/>
        <w:outlineLvl w:val="2"/>
        <w:rPr>
          <w:rFonts w:ascii="楷体_GB2312" w:hAnsi="楷体_GB2312" w:eastAsia="楷体_GB2312" w:cs="楷体_GB2312"/>
          <w:bCs/>
          <w:sz w:val="32"/>
          <w:szCs w:val="32"/>
        </w:rPr>
      </w:pPr>
      <w:bookmarkStart w:id="84" w:name="_Toc15377211"/>
      <w:bookmarkStart w:id="85" w:name="_Toc114498345"/>
      <w:r>
        <w:rPr>
          <w:rFonts w:hint="eastAsia" w:ascii="楷体_GB2312" w:hAnsi="楷体_GB2312" w:eastAsia="楷体_GB2312" w:cs="楷体_GB2312"/>
          <w:bCs/>
          <w:sz w:val="32"/>
          <w:szCs w:val="32"/>
        </w:rPr>
        <w:t>（二）一般公共预算财政拨款支出决算结构情况</w:t>
      </w:r>
      <w:bookmarkEnd w:id="84"/>
      <w:bookmarkEnd w:id="85"/>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2021年一般公共预算财政拨款支出374.33万元，主要用于以下方面:</w:t>
      </w:r>
      <w:r>
        <w:rPr>
          <w:rFonts w:hint="eastAsia" w:ascii="仿宋_GB2312" w:hAnsi="仿宋_GB2312" w:eastAsia="仿宋_GB2312" w:cs="仿宋_GB2312"/>
          <w:b/>
          <w:sz w:val="32"/>
          <w:szCs w:val="32"/>
        </w:rPr>
        <w:t>一般公共服务（类）</w:t>
      </w:r>
      <w:r>
        <w:rPr>
          <w:rFonts w:hint="eastAsia" w:ascii="仿宋_GB2312" w:hAnsi="仿宋_GB2312" w:eastAsia="仿宋_GB2312" w:cs="仿宋_GB2312"/>
          <w:sz w:val="32"/>
          <w:szCs w:val="32"/>
        </w:rPr>
        <w:t>支出278.42万元，占74.38%；</w:t>
      </w:r>
      <w:r>
        <w:rPr>
          <w:rFonts w:hint="eastAsia" w:ascii="仿宋_GB2312" w:hAnsi="仿宋_GB2312" w:eastAsia="仿宋_GB2312" w:cs="仿宋_GB2312"/>
          <w:b/>
          <w:bCs/>
          <w:sz w:val="32"/>
          <w:szCs w:val="32"/>
        </w:rPr>
        <w:t>文化旅游体育与传媒（类）支出50.66万元，占13.53%</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社会保障和就业（类）</w:t>
      </w:r>
      <w:r>
        <w:rPr>
          <w:rFonts w:hint="eastAsia" w:ascii="仿宋_GB2312" w:hAnsi="仿宋_GB2312" w:eastAsia="仿宋_GB2312" w:cs="仿宋_GB2312"/>
          <w:sz w:val="32"/>
          <w:szCs w:val="32"/>
        </w:rPr>
        <w:t>支出16.01万元，占4.28%；</w:t>
      </w:r>
      <w:r>
        <w:rPr>
          <w:rFonts w:hint="eastAsia" w:ascii="仿宋_GB2312" w:hAnsi="仿宋_GB2312" w:eastAsia="仿宋_GB2312" w:cs="仿宋_GB2312"/>
          <w:b/>
          <w:bCs/>
          <w:sz w:val="32"/>
          <w:szCs w:val="32"/>
        </w:rPr>
        <w:t>卫生健康支出</w:t>
      </w:r>
      <w:r>
        <w:rPr>
          <w:rFonts w:hint="eastAsia" w:ascii="仿宋_GB2312" w:hAnsi="仿宋_GB2312" w:eastAsia="仿宋_GB2312" w:cs="仿宋_GB2312"/>
          <w:sz w:val="32"/>
          <w:szCs w:val="32"/>
        </w:rPr>
        <w:t>8.49万元，占2.27%；住房保障支出20.75万元，5.54占%。</w:t>
      </w:r>
    </w:p>
    <w:p>
      <w:pPr>
        <w:pStyle w:val="2"/>
        <w:spacing w:before="93"/>
      </w:pPr>
      <w:r>
        <w:drawing>
          <wp:anchor distT="0" distB="0" distL="114300" distR="114300" simplePos="0" relativeHeight="251664384" behindDoc="1" locked="0" layoutInCell="1" allowOverlap="1">
            <wp:simplePos x="0" y="0"/>
            <wp:positionH relativeFrom="column">
              <wp:posOffset>470535</wp:posOffset>
            </wp:positionH>
            <wp:positionV relativeFrom="paragraph">
              <wp:posOffset>20955</wp:posOffset>
            </wp:positionV>
            <wp:extent cx="4572000" cy="3002280"/>
            <wp:effectExtent l="4445" t="4445" r="10795" b="10795"/>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sz w:val="32"/>
          <w:szCs w:val="32"/>
        </w:rPr>
        <w:t xml:space="preserve">    </w:t>
      </w:r>
    </w:p>
    <w:p>
      <w:pPr>
        <w:spacing w:line="600" w:lineRule="exact"/>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beforeLines="30"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（图6：一般公共预算财政拨款支出决算结构）</w:t>
      </w:r>
    </w:p>
    <w:p>
      <w:pPr>
        <w:spacing w:line="576" w:lineRule="exact"/>
        <w:ind w:firstLine="640" w:firstLineChars="200"/>
        <w:outlineLvl w:val="2"/>
        <w:rPr>
          <w:rFonts w:ascii="楷体_GB2312" w:hAnsi="楷体_GB2312" w:eastAsia="楷体_GB2312" w:cs="楷体_GB2312"/>
          <w:bCs/>
          <w:sz w:val="32"/>
          <w:szCs w:val="32"/>
        </w:rPr>
      </w:pPr>
      <w:bookmarkStart w:id="86" w:name="_Toc15377212"/>
      <w:bookmarkStart w:id="87" w:name="_Toc114498346"/>
      <w:r>
        <w:rPr>
          <w:rFonts w:hint="eastAsia" w:ascii="楷体_GB2312" w:hAnsi="楷体_GB2312" w:eastAsia="楷体_GB2312" w:cs="楷体_GB2312"/>
          <w:bCs/>
          <w:sz w:val="32"/>
          <w:szCs w:val="32"/>
        </w:rPr>
        <w:t>（三）一般公共预算财政拨款支出决算具体情况</w:t>
      </w:r>
      <w:bookmarkEnd w:id="86"/>
      <w:bookmarkEnd w:id="87"/>
    </w:p>
    <w:p>
      <w:pPr>
        <w:spacing w:line="576" w:lineRule="exact"/>
        <w:ind w:firstLine="642" w:firstLineChars="200"/>
        <w:outlineLvl w:val="2"/>
        <w:rPr>
          <w:rFonts w:ascii="仿宋_GB2312" w:hAnsi="仿宋_GB2312" w:eastAsia="仿宋_GB2312" w:cs="仿宋_GB2312"/>
          <w:sz w:val="32"/>
          <w:szCs w:val="32"/>
        </w:rPr>
      </w:pPr>
      <w:bookmarkStart w:id="88" w:name="_Toc15377444"/>
      <w:bookmarkStart w:id="89" w:name="_Toc114498347"/>
      <w:bookmarkStart w:id="90" w:name="_Toc15378460"/>
      <w:bookmarkStart w:id="91" w:name="_Toc15377213"/>
      <w:r>
        <w:rPr>
          <w:rFonts w:hint="eastAsia" w:ascii="仿宋_GB2312" w:hAnsi="仿宋_GB2312" w:eastAsia="仿宋_GB2312" w:cs="仿宋_GB2312"/>
          <w:b/>
          <w:sz w:val="32"/>
          <w:szCs w:val="32"/>
        </w:rPr>
        <w:t>2021年一般公共预算支出决算数为374.33万元</w:t>
      </w:r>
      <w:r>
        <w:rPr>
          <w:rFonts w:hint="eastAsia" w:ascii="仿宋_GB2312" w:hAnsi="仿宋_GB2312" w:eastAsia="仿宋_GB2312" w:cs="仿宋_GB2312"/>
          <w:sz w:val="32"/>
          <w:szCs w:val="32"/>
        </w:rPr>
        <w:t>，</w:t>
      </w:r>
      <w:r>
        <w:rPr>
          <w:rStyle w:val="22"/>
          <w:rFonts w:hint="eastAsia" w:ascii="仿宋_GB2312" w:hAnsi="仿宋_GB2312" w:eastAsia="仿宋_GB2312" w:cs="仿宋_GB2312"/>
          <w:bCs/>
          <w:sz w:val="32"/>
          <w:szCs w:val="32"/>
        </w:rPr>
        <w:t>完成预算93.04%。其中：</w:t>
      </w:r>
      <w:bookmarkEnd w:id="88"/>
      <w:bookmarkEnd w:id="89"/>
      <w:bookmarkEnd w:id="90"/>
      <w:bookmarkEnd w:id="91"/>
    </w:p>
    <w:p>
      <w:pPr>
        <w:spacing w:line="576" w:lineRule="exact"/>
        <w:ind w:firstLine="642" w:firstLineChars="200"/>
        <w:rPr>
          <w:rFonts w:ascii="仿宋_GB2312" w:hAnsi="仿宋_GB2312" w:eastAsia="仿宋_GB2312" w:cs="仿宋_GB2312"/>
          <w:sz w:val="32"/>
          <w:szCs w:val="32"/>
        </w:rPr>
      </w:pPr>
      <w:r>
        <w:rPr>
          <w:rStyle w:val="22"/>
          <w:rFonts w:hint="eastAsia" w:ascii="仿宋_GB2312" w:hAnsi="仿宋_GB2312" w:eastAsia="仿宋_GB2312" w:cs="仿宋_GB2312"/>
          <w:bCs/>
          <w:color w:val="000000"/>
          <w:sz w:val="32"/>
          <w:szCs w:val="32"/>
        </w:rPr>
        <w:t>1.一般公共服务（类）群众团体事务（款）行政运行（项）:</w:t>
      </w:r>
      <w:r>
        <w:rPr>
          <w:rStyle w:val="22"/>
          <w:rFonts w:hint="eastAsia" w:ascii="仿宋_GB2312" w:hAnsi="仿宋_GB2312" w:eastAsia="仿宋_GB2312" w:cs="仿宋_GB2312"/>
          <w:b w:val="0"/>
          <w:bCs/>
          <w:sz w:val="32"/>
          <w:szCs w:val="32"/>
        </w:rPr>
        <w:t xml:space="preserve"> 支出决算为180.8</w:t>
      </w:r>
      <w:r>
        <w:rPr>
          <w:rFonts w:hint="eastAsia" w:ascii="仿宋_GB2312" w:hAnsi="仿宋_GB2312" w:eastAsia="仿宋_GB2312" w:cs="仿宋_GB2312"/>
          <w:sz w:val="32"/>
          <w:szCs w:val="32"/>
        </w:rPr>
        <w:t>万元，完成预算99.85%，决算数小于预算数的主要原因是人员减少了一人。</w:t>
      </w:r>
    </w:p>
    <w:p>
      <w:pPr>
        <w:spacing w:line="576" w:lineRule="exact"/>
        <w:ind w:firstLine="642" w:firstLineChars="200"/>
        <w:rPr>
          <w:rFonts w:ascii="仿宋_GB2312" w:hAnsi="仿宋_GB2312" w:eastAsia="仿宋_GB2312" w:cs="仿宋_GB2312"/>
          <w:sz w:val="32"/>
          <w:szCs w:val="32"/>
        </w:rPr>
      </w:pPr>
      <w:r>
        <w:rPr>
          <w:rStyle w:val="22"/>
          <w:rFonts w:hint="eastAsia" w:ascii="仿宋_GB2312" w:hAnsi="仿宋_GB2312" w:eastAsia="仿宋_GB2312" w:cs="仿宋_GB2312"/>
          <w:bCs/>
          <w:color w:val="000000"/>
          <w:sz w:val="32"/>
          <w:szCs w:val="32"/>
        </w:rPr>
        <w:t>2.一般公共服务（类）群众团体</w:t>
      </w:r>
      <w:r>
        <w:rPr>
          <w:rStyle w:val="22"/>
          <w:rFonts w:hint="eastAsia" w:ascii="仿宋_GB2312" w:hAnsi="仿宋_GB2312" w:eastAsia="仿宋_GB2312" w:cs="仿宋_GB2312"/>
          <w:b w:val="0"/>
          <w:bCs/>
          <w:sz w:val="32"/>
          <w:szCs w:val="32"/>
        </w:rPr>
        <w:t>事务</w:t>
      </w:r>
      <w:r>
        <w:rPr>
          <w:rStyle w:val="22"/>
          <w:rFonts w:hint="eastAsia" w:ascii="仿宋_GB2312" w:hAnsi="仿宋_GB2312" w:eastAsia="仿宋_GB2312" w:cs="仿宋_GB2312"/>
          <w:bCs/>
          <w:color w:val="000000"/>
          <w:sz w:val="32"/>
          <w:szCs w:val="32"/>
        </w:rPr>
        <w:t>（款）一般行政管理事务（项）:</w:t>
      </w:r>
      <w:r>
        <w:rPr>
          <w:rStyle w:val="22"/>
          <w:rFonts w:hint="eastAsia" w:ascii="仿宋_GB2312" w:hAnsi="仿宋_GB2312" w:eastAsia="仿宋_GB2312" w:cs="仿宋_GB2312"/>
          <w:b w:val="0"/>
          <w:bCs/>
          <w:sz w:val="32"/>
          <w:szCs w:val="32"/>
        </w:rPr>
        <w:t xml:space="preserve"> 支出决算为68万元，完成预算100%，</w:t>
      </w:r>
      <w:r>
        <w:rPr>
          <w:rFonts w:hint="eastAsia" w:ascii="仿宋_GB2312" w:hAnsi="仿宋_GB2312" w:eastAsia="仿宋_GB2312" w:cs="仿宋_GB2312"/>
          <w:sz w:val="32"/>
          <w:szCs w:val="32"/>
        </w:rPr>
        <w:t xml:space="preserve"> </w:t>
      </w:r>
    </w:p>
    <w:p>
      <w:pPr>
        <w:spacing w:line="576" w:lineRule="exact"/>
        <w:ind w:firstLine="642" w:firstLineChars="200"/>
        <w:rPr>
          <w:rFonts w:ascii="仿宋_GB2312" w:hAnsi="仿宋_GB2312" w:eastAsia="仿宋_GB2312" w:cs="仿宋_GB2312"/>
          <w:sz w:val="32"/>
          <w:szCs w:val="32"/>
        </w:rPr>
      </w:pPr>
      <w:r>
        <w:rPr>
          <w:rStyle w:val="22"/>
          <w:rFonts w:hint="eastAsia" w:ascii="仿宋_GB2312" w:hAnsi="仿宋_GB2312" w:eastAsia="仿宋_GB2312" w:cs="仿宋_GB2312"/>
          <w:bCs/>
          <w:color w:val="000000"/>
          <w:sz w:val="32"/>
          <w:szCs w:val="32"/>
        </w:rPr>
        <w:t>3.一般公共服务（类）群众团体事务（款） 事业运行（项）:</w:t>
      </w:r>
      <w:r>
        <w:rPr>
          <w:rFonts w:hint="eastAsia" w:ascii="仿宋_GB2312" w:hAnsi="仿宋_GB2312" w:eastAsia="仿宋_GB2312" w:cs="仿宋_GB2312"/>
          <w:sz w:val="32"/>
          <w:szCs w:val="32"/>
        </w:rPr>
        <w:t>支出决算为21.2万元，完成预算100%。</w:t>
      </w:r>
    </w:p>
    <w:p>
      <w:pPr>
        <w:spacing w:line="576" w:lineRule="exact"/>
        <w:ind w:firstLine="642" w:firstLineChars="200"/>
        <w:rPr>
          <w:rFonts w:ascii="仿宋_GB2312" w:hAnsi="仿宋_GB2312" w:eastAsia="仿宋_GB2312" w:cs="仿宋_GB2312"/>
          <w:sz w:val="32"/>
          <w:szCs w:val="32"/>
        </w:rPr>
      </w:pPr>
      <w:r>
        <w:rPr>
          <w:rStyle w:val="22"/>
          <w:rFonts w:hint="eastAsia" w:ascii="仿宋_GB2312" w:hAnsi="仿宋_GB2312" w:eastAsia="仿宋_GB2312" w:cs="仿宋_GB2312"/>
          <w:bCs/>
          <w:color w:val="000000"/>
          <w:sz w:val="32"/>
          <w:szCs w:val="32"/>
        </w:rPr>
        <w:t>4.一般公共服务（类）群众团体事务（款）其他群众团体事务支出（项）:</w:t>
      </w:r>
      <w:r>
        <w:rPr>
          <w:rFonts w:hint="eastAsia" w:ascii="仿宋_GB2312" w:hAnsi="仿宋_GB2312" w:eastAsia="仿宋_GB2312" w:cs="仿宋_GB2312"/>
          <w:sz w:val="32"/>
          <w:szCs w:val="32"/>
        </w:rPr>
        <w:t xml:space="preserve">支出决算为8.42万元，完成预算100%， </w:t>
      </w:r>
    </w:p>
    <w:p>
      <w:pPr>
        <w:spacing w:line="576" w:lineRule="exact"/>
        <w:ind w:firstLine="642" w:firstLineChars="200"/>
        <w:rPr>
          <w:rFonts w:ascii="仿宋_GB2312" w:hAnsi="仿宋_GB2312" w:eastAsia="仿宋_GB2312" w:cs="仿宋_GB2312"/>
          <w:sz w:val="32"/>
          <w:szCs w:val="32"/>
        </w:rPr>
      </w:pPr>
      <w:r>
        <w:rPr>
          <w:rStyle w:val="22"/>
          <w:rFonts w:hint="eastAsia" w:ascii="仿宋_GB2312" w:hAnsi="仿宋_GB2312" w:eastAsia="仿宋_GB2312" w:cs="仿宋_GB2312"/>
          <w:bCs/>
          <w:color w:val="000000"/>
          <w:sz w:val="32"/>
          <w:szCs w:val="32"/>
        </w:rPr>
        <w:t>5.文化旅游体育与传媒（类）文化和旅游（款）文化活动（项）:</w:t>
      </w:r>
      <w:r>
        <w:rPr>
          <w:rFonts w:hint="eastAsia" w:ascii="仿宋_GB2312" w:hAnsi="仿宋_GB2312" w:eastAsia="仿宋_GB2312" w:cs="仿宋_GB2312"/>
          <w:sz w:val="32"/>
          <w:szCs w:val="32"/>
        </w:rPr>
        <w:t>支出决算为50.66万元，完成预算64.61%，决算数小于预算数的主要原因是实施的部分项目在2021年支付。</w:t>
      </w:r>
    </w:p>
    <w:p>
      <w:pPr>
        <w:spacing w:line="576" w:lineRule="exact"/>
        <w:ind w:firstLine="642" w:firstLineChars="200"/>
        <w:rPr>
          <w:rFonts w:ascii="仿宋_GB2312" w:hAnsi="仿宋_GB2312" w:eastAsia="仿宋_GB2312" w:cs="仿宋_GB2312"/>
          <w:sz w:val="32"/>
          <w:szCs w:val="32"/>
        </w:rPr>
      </w:pPr>
      <w:r>
        <w:rPr>
          <w:rStyle w:val="22"/>
          <w:rFonts w:hint="eastAsia" w:ascii="仿宋_GB2312" w:hAnsi="仿宋_GB2312" w:eastAsia="仿宋_GB2312" w:cs="仿宋_GB2312"/>
          <w:bCs/>
          <w:sz w:val="32"/>
          <w:szCs w:val="32"/>
        </w:rPr>
        <w:t>6.社会保障和就业（类）行政事业单位养老</w:t>
      </w:r>
      <w:r>
        <w:rPr>
          <w:rStyle w:val="22"/>
          <w:rFonts w:hint="eastAsia" w:ascii="仿宋_GB2312" w:hAnsi="仿宋_GB2312" w:eastAsia="仿宋_GB2312" w:cs="仿宋_GB2312"/>
          <w:bCs/>
          <w:color w:val="000000"/>
          <w:sz w:val="32"/>
          <w:szCs w:val="32"/>
        </w:rPr>
        <w:t>支出（款）机关事业单位基本养老保险缴费支出（项）:</w:t>
      </w:r>
      <w:r>
        <w:rPr>
          <w:rFonts w:hint="eastAsia" w:ascii="仿宋_GB2312" w:hAnsi="仿宋_GB2312" w:eastAsia="仿宋_GB2312" w:cs="仿宋_GB2312"/>
          <w:sz w:val="32"/>
          <w:szCs w:val="32"/>
        </w:rPr>
        <w:t>支出决算为16.01万元，完成预算100%。</w:t>
      </w:r>
    </w:p>
    <w:p>
      <w:pPr>
        <w:spacing w:line="576" w:lineRule="exact"/>
        <w:ind w:firstLine="642" w:firstLineChars="200"/>
        <w:rPr>
          <w:rFonts w:ascii="仿宋_GB2312" w:hAnsi="仿宋_GB2312" w:eastAsia="仿宋_GB2312" w:cs="仿宋_GB2312"/>
          <w:sz w:val="32"/>
          <w:szCs w:val="32"/>
        </w:rPr>
      </w:pPr>
      <w:r>
        <w:rPr>
          <w:rStyle w:val="22"/>
          <w:rFonts w:hint="eastAsia" w:ascii="仿宋_GB2312" w:hAnsi="仿宋_GB2312" w:eastAsia="仿宋_GB2312" w:cs="仿宋_GB2312"/>
          <w:bCs/>
          <w:color w:val="000000"/>
          <w:sz w:val="32"/>
          <w:szCs w:val="32"/>
        </w:rPr>
        <w:t>7</w:t>
      </w:r>
      <w:r>
        <w:rPr>
          <w:rFonts w:hint="eastAsia" w:ascii="仿宋_GB2312" w:hAnsi="仿宋_GB2312" w:eastAsia="仿宋_GB2312" w:cs="仿宋_GB2312"/>
          <w:b/>
          <w:bCs/>
          <w:color w:val="000000"/>
          <w:sz w:val="32"/>
          <w:szCs w:val="32"/>
        </w:rPr>
        <w:t>卫生健</w:t>
      </w:r>
      <w:r>
        <w:rPr>
          <w:rFonts w:hint="eastAsia" w:ascii="仿宋_GB2312" w:hAnsi="仿宋_GB2312" w:eastAsia="仿宋_GB2312" w:cs="仿宋_GB2312"/>
          <w:b/>
          <w:bCs/>
          <w:sz w:val="32"/>
          <w:szCs w:val="32"/>
        </w:rPr>
        <w:t>康</w:t>
      </w:r>
      <w:r>
        <w:rPr>
          <w:rStyle w:val="22"/>
          <w:rFonts w:hint="eastAsia" w:ascii="仿宋_GB2312" w:hAnsi="仿宋_GB2312" w:eastAsia="仿宋_GB2312" w:cs="仿宋_GB2312"/>
          <w:bCs/>
          <w:sz w:val="32"/>
          <w:szCs w:val="32"/>
        </w:rPr>
        <w:t>（类）行政事业单位医疗（款）行政单位医疗（项）:</w:t>
      </w:r>
      <w:r>
        <w:rPr>
          <w:rFonts w:hint="eastAsia" w:ascii="仿宋_GB2312" w:hAnsi="仿宋_GB2312" w:eastAsia="仿宋_GB2312" w:cs="仿宋_GB2312"/>
          <w:sz w:val="32"/>
          <w:szCs w:val="32"/>
        </w:rPr>
        <w:t>支出决算为8.49万元，完成预算100%。</w:t>
      </w:r>
    </w:p>
    <w:p>
      <w:pPr>
        <w:spacing w:line="576" w:lineRule="exact"/>
        <w:ind w:firstLine="642" w:firstLineChars="200"/>
        <w:rPr>
          <w:rFonts w:ascii="仿宋_GB2312" w:hAnsi="仿宋_GB2312" w:eastAsia="仿宋_GB2312" w:cs="仿宋_GB2312"/>
          <w:b/>
          <w:sz w:val="32"/>
          <w:szCs w:val="32"/>
        </w:rPr>
      </w:pPr>
      <w:r>
        <w:rPr>
          <w:rStyle w:val="22"/>
          <w:rFonts w:hint="eastAsia" w:ascii="仿宋_GB2312" w:hAnsi="仿宋_GB2312" w:eastAsia="仿宋_GB2312" w:cs="仿宋_GB2312"/>
          <w:bCs/>
          <w:sz w:val="32"/>
          <w:szCs w:val="32"/>
        </w:rPr>
        <w:t>8.</w:t>
      </w:r>
      <w:r>
        <w:rPr>
          <w:rFonts w:hint="eastAsia" w:ascii="仿宋_GB2312" w:hAnsi="仿宋_GB2312" w:eastAsia="仿宋_GB2312" w:cs="仿宋_GB2312"/>
          <w:b/>
          <w:bCs/>
          <w:sz w:val="32"/>
          <w:szCs w:val="32"/>
        </w:rPr>
        <w:t>住房保障支出</w:t>
      </w:r>
      <w:r>
        <w:rPr>
          <w:rStyle w:val="22"/>
          <w:rFonts w:hint="eastAsia" w:ascii="仿宋_GB2312" w:hAnsi="仿宋_GB2312" w:eastAsia="仿宋_GB2312" w:cs="仿宋_GB2312"/>
          <w:bCs/>
          <w:sz w:val="32"/>
          <w:szCs w:val="32"/>
        </w:rPr>
        <w:t>（类）住房改革支出（款）住房公积金（项）:</w:t>
      </w:r>
      <w:r>
        <w:rPr>
          <w:rFonts w:hint="eastAsia" w:ascii="仿宋_GB2312" w:hAnsi="仿宋_GB2312" w:eastAsia="仿宋_GB2312" w:cs="仿宋_GB2312"/>
          <w:sz w:val="32"/>
          <w:szCs w:val="32"/>
        </w:rPr>
        <w:t>支出决算为20.75万元，完成预算100%。</w:t>
      </w:r>
    </w:p>
    <w:p>
      <w:pPr>
        <w:spacing w:line="576" w:lineRule="exact"/>
        <w:ind w:firstLine="640" w:firstLineChars="200"/>
        <w:outlineLvl w:val="1"/>
        <w:rPr>
          <w:rFonts w:ascii="黑体" w:hAnsi="黑体" w:eastAsia="黑体" w:cs="黑体"/>
          <w:sz w:val="32"/>
          <w:szCs w:val="32"/>
        </w:rPr>
      </w:pPr>
      <w:bookmarkStart w:id="92" w:name="_Toc7516"/>
      <w:bookmarkStart w:id="93" w:name="_Toc31044"/>
      <w:bookmarkStart w:id="94" w:name="_Toc15377214"/>
      <w:bookmarkStart w:id="95" w:name="_Toc114498348"/>
      <w:bookmarkStart w:id="96" w:name="_Toc15396608"/>
      <w:r>
        <w:rPr>
          <w:rFonts w:hint="eastAsia" w:ascii="黑体" w:hAnsi="黑体" w:eastAsia="黑体" w:cs="黑体"/>
          <w:sz w:val="32"/>
          <w:szCs w:val="32"/>
        </w:rPr>
        <w:t>六、一般公共预算财政拨款基本支出决算情况说明</w:t>
      </w:r>
      <w:bookmarkEnd w:id="92"/>
      <w:bookmarkEnd w:id="93"/>
      <w:bookmarkEnd w:id="94"/>
      <w:bookmarkEnd w:id="95"/>
      <w:bookmarkEnd w:id="96"/>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2021年一般公共预算财政拨款基本支出247.24万元，其中：</w:t>
      </w:r>
    </w:p>
    <w:p>
      <w:pPr>
        <w:spacing w:line="57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人员经费210.13万元，主要包括：基本工资、津贴补贴、奖金、绩效工资、机关事业单位基本养老保险缴费、职工基本医疗保险缴费、其他社会保障缴费、其他工资福利支出、生活补助、奖励金、住房公积金、其他对个人和家庭的补助支出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公用经费37.11万元，主要包括：办公费、印刷费、咨询费、</w:t>
      </w:r>
      <w:r>
        <w:rPr>
          <w:rFonts w:hint="eastAsia" w:ascii="仿宋_GB2312" w:hAnsi="仿宋_GB2312" w:eastAsia="仿宋_GB2312" w:cs="仿宋_GB2312"/>
          <w:sz w:val="32"/>
          <w:szCs w:val="32"/>
          <w:lang w:eastAsia="zh-CN"/>
        </w:rPr>
        <w:t>手续费、</w:t>
      </w:r>
      <w:bookmarkStart w:id="305" w:name="_GoBack"/>
      <w:bookmarkEnd w:id="305"/>
      <w:r>
        <w:rPr>
          <w:rFonts w:hint="eastAsia" w:ascii="仿宋_GB2312" w:hAnsi="仿宋_GB2312" w:eastAsia="仿宋_GB2312" w:cs="仿宋_GB2312"/>
          <w:sz w:val="32"/>
          <w:szCs w:val="32"/>
        </w:rPr>
        <w:t>水费、物业管理费、差旅费、培训费、公务接待费、劳务费、工会经费、福利费、公务用车运行维护费、其他交通费、其他商品和服务支出等。</w:t>
      </w:r>
    </w:p>
    <w:p>
      <w:pPr>
        <w:spacing w:line="576" w:lineRule="exact"/>
        <w:ind w:firstLine="640" w:firstLineChars="200"/>
        <w:outlineLvl w:val="1"/>
        <w:rPr>
          <w:rStyle w:val="33"/>
          <w:rFonts w:ascii="黑体" w:hAnsi="黑体" w:eastAsia="黑体" w:cs="黑体"/>
          <w:b w:val="0"/>
        </w:rPr>
      </w:pPr>
      <w:bookmarkStart w:id="97" w:name="_Toc114498349"/>
      <w:bookmarkStart w:id="98" w:name="_Toc545"/>
      <w:bookmarkStart w:id="99" w:name="_Toc16235"/>
      <w:bookmarkStart w:id="100" w:name="_Toc15377215"/>
      <w:bookmarkStart w:id="101" w:name="_Toc15396609"/>
      <w:r>
        <w:rPr>
          <w:rFonts w:hint="eastAsia" w:ascii="黑体" w:hAnsi="黑体" w:eastAsia="黑体" w:cs="黑体"/>
          <w:sz w:val="32"/>
          <w:szCs w:val="32"/>
        </w:rPr>
        <w:t>七、</w:t>
      </w:r>
      <w:r>
        <w:rPr>
          <w:rStyle w:val="33"/>
          <w:rFonts w:hint="eastAsia" w:ascii="黑体" w:hAnsi="黑体" w:eastAsia="黑体" w:cs="黑体"/>
        </w:rPr>
        <w:t>“</w:t>
      </w:r>
      <w:r>
        <w:rPr>
          <w:rStyle w:val="33"/>
          <w:rFonts w:hint="eastAsia" w:ascii="黑体" w:hAnsi="黑体" w:eastAsia="黑体" w:cs="黑体"/>
          <w:b w:val="0"/>
        </w:rPr>
        <w:t>三公”经费财政拨款支出决算情况说明</w:t>
      </w:r>
      <w:bookmarkEnd w:id="97"/>
      <w:bookmarkEnd w:id="98"/>
      <w:bookmarkEnd w:id="99"/>
      <w:bookmarkEnd w:id="100"/>
      <w:bookmarkEnd w:id="101"/>
    </w:p>
    <w:p>
      <w:pPr>
        <w:spacing w:line="576" w:lineRule="exact"/>
        <w:ind w:firstLine="640" w:firstLineChars="200"/>
        <w:outlineLvl w:val="2"/>
        <w:rPr>
          <w:rFonts w:ascii="楷体_GB2312" w:hAnsi="楷体_GB2312" w:eastAsia="楷体_GB2312" w:cs="楷体_GB2312"/>
          <w:bCs/>
          <w:sz w:val="32"/>
          <w:szCs w:val="32"/>
        </w:rPr>
      </w:pPr>
      <w:bookmarkStart w:id="102" w:name="_Toc15377216"/>
      <w:bookmarkStart w:id="103" w:name="_Toc114498350"/>
      <w:r>
        <w:rPr>
          <w:rFonts w:hint="eastAsia" w:ascii="楷体_GB2312" w:hAnsi="楷体_GB2312" w:eastAsia="楷体_GB2312" w:cs="楷体_GB2312"/>
          <w:bCs/>
          <w:sz w:val="32"/>
          <w:szCs w:val="32"/>
        </w:rPr>
        <w:t>（一）“三公”经费财政拨款支出决算总体情况说明</w:t>
      </w:r>
      <w:bookmarkEnd w:id="102"/>
      <w:bookmarkEnd w:id="103"/>
    </w:p>
    <w:p>
      <w:pPr>
        <w:spacing w:line="57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2021年“三公”经费财政拨款支出决算为5.43万元，完成预算93.62%，决算数小于预算数的主要原因是厉行节约。</w:t>
      </w:r>
    </w:p>
    <w:p>
      <w:pPr>
        <w:spacing w:line="576" w:lineRule="exact"/>
        <w:ind w:firstLine="640" w:firstLineChars="200"/>
        <w:outlineLvl w:val="2"/>
        <w:rPr>
          <w:rFonts w:ascii="楷体_GB2312" w:hAnsi="楷体_GB2312" w:eastAsia="楷体_GB2312" w:cs="楷体_GB2312"/>
          <w:bCs/>
          <w:sz w:val="32"/>
          <w:szCs w:val="32"/>
        </w:rPr>
      </w:pPr>
      <w:bookmarkStart w:id="104" w:name="_Toc15377217"/>
      <w:bookmarkStart w:id="105" w:name="_Toc114498351"/>
      <w:r>
        <w:rPr>
          <w:rFonts w:hint="eastAsia" w:ascii="楷体_GB2312" w:hAnsi="楷体_GB2312" w:eastAsia="楷体_GB2312" w:cs="楷体_GB2312"/>
          <w:bCs/>
          <w:sz w:val="32"/>
          <w:szCs w:val="32"/>
        </w:rPr>
        <w:t>（二）“三公”经费财政拨款支出决算具体情况说明</w:t>
      </w:r>
      <w:bookmarkEnd w:id="104"/>
      <w:bookmarkEnd w:id="105"/>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2021年“三公”经费财政拨款支出决算中，因公出国（境）费支出决算0万元，占0%；公务用车购置及运行维护费支出决算3.07万元，占56.35%；公务接待费支出决算2.37万元，占43.65%。具体情况如下：</w:t>
      </w:r>
    </w:p>
    <w:p>
      <w:pPr>
        <w:pStyle w:val="2"/>
        <w:spacing w:before="93"/>
      </w:pPr>
      <w:r>
        <w:drawing>
          <wp:anchor distT="0" distB="0" distL="114300" distR="114300" simplePos="0" relativeHeight="251665408" behindDoc="1" locked="0" layoutInCell="1" allowOverlap="1">
            <wp:simplePos x="0" y="0"/>
            <wp:positionH relativeFrom="column">
              <wp:posOffset>456565</wp:posOffset>
            </wp:positionH>
            <wp:positionV relativeFrom="paragraph">
              <wp:posOffset>1270</wp:posOffset>
            </wp:positionV>
            <wp:extent cx="4572000" cy="3207385"/>
            <wp:effectExtent l="19050" t="0" r="19050" b="0"/>
            <wp:wrapNone/>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rPr>
        <w:t xml:space="preserve">    </w:t>
      </w:r>
    </w:p>
    <w:p>
      <w:pPr>
        <w:pStyle w:val="2"/>
        <w:spacing w:before="93"/>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beforeLines="50"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（图7：“三公”经费财政拨款支出结构）</w:t>
      </w:r>
    </w:p>
    <w:p>
      <w:pPr>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color w:val="000000"/>
          <w:sz w:val="32"/>
          <w:szCs w:val="32"/>
        </w:rPr>
        <w:t>因公出国（境）经费支出</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sz w:val="32"/>
          <w:szCs w:val="32"/>
        </w:rPr>
        <w:t>万元，年初未安排预算，较2020年无变化。</w:t>
      </w:r>
    </w:p>
    <w:p>
      <w:pPr>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2.公务用车购置及运行维护费支出</w:t>
      </w:r>
      <w:r>
        <w:rPr>
          <w:rFonts w:hint="eastAsia" w:ascii="仿宋_GB2312" w:hAnsi="仿宋_GB2312" w:eastAsia="仿宋_GB2312" w:cs="仿宋_GB2312"/>
          <w:sz w:val="32"/>
          <w:szCs w:val="32"/>
        </w:rPr>
        <w:t>3.07万元,完成预算93.03%。公务用车购置及运行维护费支出决算比2020年减少0.89万元，下降22.47%。主要原因是厉行节约。</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其中：</w:t>
      </w:r>
      <w:r>
        <w:rPr>
          <w:rFonts w:hint="eastAsia" w:ascii="仿宋_GB2312" w:hAnsi="仿宋_GB2312" w:eastAsia="仿宋_GB2312" w:cs="仿宋_GB2312"/>
          <w:b/>
          <w:color w:val="000000"/>
          <w:sz w:val="32"/>
          <w:szCs w:val="32"/>
        </w:rPr>
        <w:t>公务用车购置支出</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sz w:val="32"/>
          <w:szCs w:val="32"/>
        </w:rPr>
        <w:t>万元。截至2021年12月底，单位共有公务用车1辆。其中：轿车一辆、金额12.95万元。</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公务用车运行维护费支出3.07万元。主要用于开展妇女儿童各项工作及扶贫工作等所需的公务用车燃料费、维修费、过路过桥费、保险费等支出。</w:t>
      </w:r>
    </w:p>
    <w:p>
      <w:pPr>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3.公务接待费支出</w:t>
      </w:r>
      <w:r>
        <w:rPr>
          <w:rFonts w:hint="eastAsia" w:ascii="仿宋_GB2312" w:hAnsi="仿宋_GB2312" w:eastAsia="仿宋_GB2312" w:cs="仿宋_GB2312"/>
          <w:sz w:val="32"/>
          <w:szCs w:val="32"/>
        </w:rPr>
        <w:t>2.37万元，</w:t>
      </w:r>
      <w:r>
        <w:rPr>
          <w:rStyle w:val="22"/>
          <w:rFonts w:hint="eastAsia" w:ascii="仿宋_GB2312" w:hAnsi="仿宋_GB2312" w:eastAsia="仿宋_GB2312" w:cs="仿宋_GB2312"/>
          <w:b w:val="0"/>
          <w:bCs/>
          <w:sz w:val="32"/>
          <w:szCs w:val="32"/>
        </w:rPr>
        <w:t>完成预算94.8%。</w:t>
      </w:r>
      <w:r>
        <w:rPr>
          <w:rFonts w:hint="eastAsia" w:ascii="仿宋_GB2312" w:hAnsi="仿宋_GB2312" w:eastAsia="仿宋_GB2312" w:cs="仿宋_GB2312"/>
          <w:sz w:val="32"/>
          <w:szCs w:val="32"/>
        </w:rPr>
        <w:t>公务接待费支出决算比2020年增加1.25万元，增长111.6%。主要原因是女儿节等活动，国内公务接待变多。其中：</w:t>
      </w:r>
    </w:p>
    <w:p>
      <w:pPr>
        <w:spacing w:line="576" w:lineRule="exact"/>
        <w:ind w:firstLine="642" w:firstLineChars="200"/>
        <w:rPr>
          <w:rFonts w:ascii="仿宋_GB2312" w:hAnsi="仿宋_GB2312" w:eastAsia="仿宋_GB2312" w:cs="仿宋_GB2312"/>
          <w:sz w:val="32"/>
          <w:szCs w:val="32"/>
          <w:highlight w:val="red"/>
        </w:rPr>
      </w:pPr>
      <w:r>
        <w:rPr>
          <w:rFonts w:hint="eastAsia" w:ascii="仿宋_GB2312" w:hAnsi="仿宋_GB2312" w:eastAsia="仿宋_GB2312" w:cs="仿宋_GB2312"/>
          <w:b/>
          <w:sz w:val="32"/>
          <w:szCs w:val="32"/>
        </w:rPr>
        <w:t>国内公务接待支出</w:t>
      </w:r>
      <w:r>
        <w:rPr>
          <w:rFonts w:hint="eastAsia" w:ascii="仿宋_GB2312" w:hAnsi="仿宋_GB2312" w:eastAsia="仿宋_GB2312" w:cs="仿宋_GB2312"/>
          <w:sz w:val="32"/>
          <w:szCs w:val="32"/>
        </w:rPr>
        <w:t>2.37万元，主要用于公务来广人员的用餐费。国内公务接待20批次，237人次（不包括陪同人员），共计支出2.37万元，具体内容包括：用餐费，金额2.37万元。</w:t>
      </w:r>
    </w:p>
    <w:p>
      <w:pPr>
        <w:spacing w:line="576" w:lineRule="exact"/>
        <w:ind w:firstLine="642" w:firstLineChars="200"/>
        <w:outlineLvl w:val="1"/>
        <w:rPr>
          <w:rFonts w:ascii="仿宋_GB2312" w:hAnsi="仿宋_GB2312" w:eastAsia="仿宋_GB2312" w:cs="仿宋_GB2312"/>
          <w:sz w:val="32"/>
          <w:szCs w:val="32"/>
        </w:rPr>
      </w:pPr>
      <w:bookmarkStart w:id="106" w:name="_Toc12007"/>
      <w:bookmarkStart w:id="107" w:name="_Toc3574"/>
      <w:bookmarkStart w:id="108" w:name="_Toc114498352"/>
      <w:r>
        <w:rPr>
          <w:rFonts w:hint="eastAsia" w:ascii="仿宋_GB2312" w:hAnsi="仿宋_GB2312" w:eastAsia="仿宋_GB2312" w:cs="仿宋_GB2312"/>
          <w:b/>
          <w:sz w:val="32"/>
          <w:szCs w:val="32"/>
        </w:rPr>
        <w:t>外事接待支出</w:t>
      </w:r>
      <w:r>
        <w:rPr>
          <w:rFonts w:hint="eastAsia" w:ascii="仿宋_GB2312" w:hAnsi="仿宋_GB2312" w:eastAsia="仿宋_GB2312" w:cs="仿宋_GB2312"/>
          <w:sz w:val="32"/>
          <w:szCs w:val="32"/>
        </w:rPr>
        <w:t>0万元，外事接待0批次，0人，共计支出0万元</w:t>
      </w:r>
      <w:bookmarkStart w:id="109" w:name="_Toc15377218"/>
      <w:bookmarkStart w:id="110" w:name="_Toc15396610"/>
      <w:r>
        <w:rPr>
          <w:rFonts w:hint="eastAsia" w:ascii="仿宋_GB2312" w:hAnsi="仿宋_GB2312" w:eastAsia="仿宋_GB2312" w:cs="仿宋_GB2312"/>
          <w:sz w:val="32"/>
          <w:szCs w:val="32"/>
        </w:rPr>
        <w:t>0</w:t>
      </w:r>
      <w:bookmarkEnd w:id="106"/>
      <w:bookmarkEnd w:id="107"/>
      <w:bookmarkEnd w:id="108"/>
    </w:p>
    <w:p>
      <w:pPr>
        <w:spacing w:line="576" w:lineRule="exact"/>
        <w:ind w:firstLine="640" w:firstLineChars="200"/>
        <w:outlineLvl w:val="1"/>
        <w:rPr>
          <w:rStyle w:val="33"/>
          <w:rFonts w:ascii="黑体" w:hAnsi="黑体" w:eastAsia="黑体" w:cs="黑体"/>
        </w:rPr>
      </w:pPr>
      <w:bookmarkStart w:id="111" w:name="_Toc114498353"/>
      <w:bookmarkStart w:id="112" w:name="_Toc22140"/>
      <w:bookmarkStart w:id="113" w:name="_Toc17870"/>
      <w:r>
        <w:rPr>
          <w:rFonts w:hint="eastAsia" w:ascii="黑体" w:hAnsi="黑体" w:eastAsia="黑体" w:cs="黑体"/>
          <w:sz w:val="32"/>
          <w:szCs w:val="32"/>
        </w:rPr>
        <w:t>八、</w:t>
      </w:r>
      <w:r>
        <w:rPr>
          <w:rStyle w:val="33"/>
          <w:rFonts w:hint="eastAsia" w:ascii="黑体" w:hAnsi="黑体" w:eastAsia="黑体" w:cs="黑体"/>
          <w:b w:val="0"/>
        </w:rPr>
        <w:t>政府性基金预算支出决算情况说明</w:t>
      </w:r>
      <w:bookmarkEnd w:id="109"/>
      <w:bookmarkEnd w:id="110"/>
      <w:bookmarkEnd w:id="111"/>
      <w:bookmarkEnd w:id="112"/>
      <w:bookmarkEnd w:id="113"/>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2021年政府性基金预算拨款支出0万元。2021年本单位未在政府性基金预算拨款安排“三公经费”支出。</w:t>
      </w:r>
    </w:p>
    <w:p>
      <w:pPr>
        <w:spacing w:line="576" w:lineRule="exact"/>
        <w:ind w:firstLine="640" w:firstLineChars="200"/>
        <w:outlineLvl w:val="1"/>
        <w:rPr>
          <w:rFonts w:ascii="黑体" w:hAnsi="黑体" w:eastAsia="黑体" w:cs="黑体"/>
          <w:sz w:val="32"/>
          <w:szCs w:val="32"/>
        </w:rPr>
      </w:pPr>
      <w:bookmarkStart w:id="114" w:name="_Toc10634"/>
      <w:bookmarkStart w:id="115" w:name="_Toc15396611"/>
      <w:bookmarkStart w:id="116" w:name="_Toc3954"/>
      <w:bookmarkStart w:id="117" w:name="_Toc15377219"/>
      <w:bookmarkStart w:id="118" w:name="_Toc114498354"/>
      <w:r>
        <w:rPr>
          <w:rFonts w:hint="eastAsia" w:ascii="黑体" w:hAnsi="黑体" w:eastAsia="黑体" w:cs="黑体"/>
          <w:sz w:val="32"/>
          <w:szCs w:val="32"/>
        </w:rPr>
        <w:t>九、国有资本经营预算支出决算情况说明</w:t>
      </w:r>
      <w:bookmarkEnd w:id="114"/>
      <w:bookmarkEnd w:id="115"/>
      <w:bookmarkEnd w:id="116"/>
      <w:bookmarkEnd w:id="117"/>
      <w:bookmarkEnd w:id="118"/>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2021年国有资本经营预算财政拨款支出0万元。</w:t>
      </w:r>
      <w:bookmarkStart w:id="119" w:name="_Toc15396612"/>
      <w:bookmarkStart w:id="120" w:name="_Toc15377221"/>
    </w:p>
    <w:p>
      <w:pPr>
        <w:spacing w:line="576" w:lineRule="exact"/>
        <w:ind w:firstLine="640" w:firstLineChars="200"/>
        <w:outlineLvl w:val="1"/>
        <w:rPr>
          <w:rFonts w:ascii="黑体" w:hAnsi="黑体" w:eastAsia="黑体" w:cs="黑体"/>
          <w:sz w:val="32"/>
          <w:szCs w:val="32"/>
        </w:rPr>
      </w:pPr>
      <w:bookmarkStart w:id="121" w:name="_Toc3113"/>
      <w:bookmarkStart w:id="122" w:name="_Toc6248"/>
      <w:bookmarkStart w:id="123" w:name="_Toc114498355"/>
      <w:r>
        <w:rPr>
          <w:rFonts w:hint="eastAsia" w:ascii="黑体" w:hAnsi="黑体" w:eastAsia="黑体" w:cs="黑体"/>
          <w:sz w:val="32"/>
          <w:szCs w:val="32"/>
        </w:rPr>
        <w:t>十、预算绩效管理情况</w:t>
      </w:r>
      <w:bookmarkEnd w:id="121"/>
      <w:bookmarkEnd w:id="122"/>
      <w:bookmarkEnd w:id="123"/>
    </w:p>
    <w:p>
      <w:pPr>
        <w:spacing w:line="576" w:lineRule="exact"/>
        <w:ind w:firstLine="640" w:firstLineChars="200"/>
        <w:outlineLvl w:val="1"/>
        <w:rPr>
          <w:rFonts w:ascii="仿宋_GB2312" w:hAnsi="仿宋_GB2312" w:eastAsia="仿宋_GB2312" w:cs="仿宋_GB2312"/>
          <w:color w:val="000000" w:themeColor="text1"/>
          <w:sz w:val="32"/>
          <w:szCs w:val="32"/>
        </w:rPr>
      </w:pPr>
      <w:bookmarkStart w:id="124" w:name="_Toc15113"/>
      <w:bookmarkStart w:id="125" w:name="_Toc2535"/>
      <w:bookmarkStart w:id="126" w:name="_Toc114498356"/>
      <w:r>
        <w:rPr>
          <w:rFonts w:hint="eastAsia" w:ascii="仿宋_GB2312" w:hAnsi="仿宋_GB2312" w:eastAsia="仿宋_GB2312" w:cs="仿宋_GB2312"/>
          <w:color w:val="000000" w:themeColor="text1"/>
          <w:sz w:val="32"/>
          <w:szCs w:val="32"/>
        </w:rPr>
        <w:t>根据预算绩效管理要求，本部门在2021年度预算编制阶段，组织对妇女儿童业务工作经费、妇女培训中心管理工作、帮村扶贫工作经费、社会活动工作4个项目开展了预算事前绩效评估，对4个项目编制了绩效目标，预算执行过程中，选取4个项目开展绩效监控，年终执行完毕后，对4个项目开展了绩效自评。同时，本部门对2021年部门整体开展绩效自评，《2021年广元市妇女联合会部门整体绩效评价报告》见附件（第四部分）。</w:t>
      </w:r>
      <w:bookmarkEnd w:id="124"/>
      <w:bookmarkEnd w:id="125"/>
      <w:bookmarkEnd w:id="126"/>
    </w:p>
    <w:p>
      <w:pPr>
        <w:spacing w:line="576" w:lineRule="exact"/>
        <w:ind w:firstLine="640" w:firstLineChars="200"/>
        <w:outlineLvl w:val="1"/>
        <w:rPr>
          <w:rFonts w:ascii="黑体" w:hAnsi="黑体" w:eastAsia="黑体" w:cs="黑体"/>
          <w:sz w:val="32"/>
          <w:szCs w:val="32"/>
        </w:rPr>
      </w:pPr>
      <w:bookmarkStart w:id="127" w:name="_Toc114498357"/>
      <w:bookmarkStart w:id="128" w:name="_Toc27019"/>
      <w:bookmarkStart w:id="129" w:name="_Toc22674"/>
      <w:r>
        <w:rPr>
          <w:rFonts w:hint="eastAsia" w:ascii="黑体" w:hAnsi="黑体" w:eastAsia="黑体" w:cs="黑体"/>
          <w:sz w:val="32"/>
          <w:szCs w:val="32"/>
        </w:rPr>
        <w:t>十一、其他重要事项的情况说明</w:t>
      </w:r>
      <w:bookmarkEnd w:id="119"/>
      <w:bookmarkEnd w:id="120"/>
      <w:bookmarkEnd w:id="127"/>
      <w:bookmarkEnd w:id="128"/>
      <w:bookmarkEnd w:id="129"/>
    </w:p>
    <w:p>
      <w:pPr>
        <w:spacing w:line="576" w:lineRule="exact"/>
        <w:ind w:firstLine="640" w:firstLineChars="200"/>
        <w:outlineLvl w:val="2"/>
        <w:rPr>
          <w:rFonts w:ascii="楷体_GB2312" w:hAnsi="楷体_GB2312" w:eastAsia="楷体_GB2312" w:cs="楷体_GB2312"/>
          <w:bCs/>
          <w:sz w:val="32"/>
          <w:szCs w:val="32"/>
        </w:rPr>
      </w:pPr>
      <w:bookmarkStart w:id="130" w:name="_Toc114498358"/>
      <w:bookmarkStart w:id="131" w:name="_Toc15377222"/>
      <w:r>
        <w:rPr>
          <w:rFonts w:hint="eastAsia" w:ascii="楷体_GB2312" w:hAnsi="楷体_GB2312" w:eastAsia="楷体_GB2312" w:cs="楷体_GB2312"/>
          <w:bCs/>
          <w:sz w:val="32"/>
          <w:szCs w:val="32"/>
        </w:rPr>
        <w:t>（一）机关运行经费支出情况</w:t>
      </w:r>
      <w:bookmarkEnd w:id="130"/>
      <w:bookmarkEnd w:id="131"/>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广元市妇女联合会机关运行经费支出37.11万元，比2020年减少0.32万元，下降0.85%。主要原因是经费压减厉行节约。</w:t>
      </w:r>
    </w:p>
    <w:p>
      <w:pPr>
        <w:spacing w:line="576" w:lineRule="exact"/>
        <w:ind w:firstLine="640" w:firstLineChars="200"/>
        <w:outlineLvl w:val="2"/>
        <w:rPr>
          <w:rFonts w:ascii="楷体_GB2312" w:hAnsi="楷体_GB2312" w:eastAsia="楷体_GB2312" w:cs="楷体_GB2312"/>
          <w:bCs/>
          <w:sz w:val="32"/>
          <w:szCs w:val="32"/>
        </w:rPr>
      </w:pPr>
      <w:bookmarkStart w:id="132" w:name="_Toc114498359"/>
      <w:bookmarkStart w:id="133" w:name="_Toc15377223"/>
      <w:r>
        <w:rPr>
          <w:rFonts w:hint="eastAsia" w:ascii="楷体_GB2312" w:hAnsi="楷体_GB2312" w:eastAsia="楷体_GB2312" w:cs="楷体_GB2312"/>
          <w:bCs/>
          <w:sz w:val="32"/>
          <w:szCs w:val="32"/>
        </w:rPr>
        <w:t>（二）政府采购支出情况</w:t>
      </w:r>
      <w:bookmarkEnd w:id="132"/>
      <w:bookmarkEnd w:id="133"/>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2021年，妇联政府采购支出总额0万元。</w:t>
      </w:r>
    </w:p>
    <w:p>
      <w:pPr>
        <w:spacing w:line="576" w:lineRule="exact"/>
        <w:ind w:firstLine="640" w:firstLineChars="200"/>
        <w:outlineLvl w:val="2"/>
        <w:rPr>
          <w:rFonts w:ascii="楷体_GB2312" w:hAnsi="楷体_GB2312" w:eastAsia="楷体_GB2312" w:cs="楷体_GB2312"/>
          <w:bCs/>
          <w:sz w:val="32"/>
          <w:szCs w:val="32"/>
        </w:rPr>
      </w:pPr>
      <w:bookmarkStart w:id="134" w:name="_Toc15377224"/>
      <w:bookmarkStart w:id="135" w:name="_Toc114498360"/>
      <w:r>
        <w:rPr>
          <w:rFonts w:hint="eastAsia" w:ascii="楷体_GB2312" w:hAnsi="楷体_GB2312" w:eastAsia="楷体_GB2312" w:cs="楷体_GB2312"/>
          <w:bCs/>
          <w:sz w:val="32"/>
          <w:szCs w:val="32"/>
        </w:rPr>
        <w:t>（三）国有资产占有使用情况</w:t>
      </w:r>
      <w:bookmarkEnd w:id="134"/>
      <w:bookmarkEnd w:id="135"/>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截至2021年12月31日，广元市妇女联合会共有车辆1辆，其中：其他用车1辆。其他用车主要是用于开展妇女儿童各项工作及扶贫工作等,单价50万元以上通用设备0台（套），单价100万元以上专用设备0台（套）。</w:t>
      </w:r>
    </w:p>
    <w:p>
      <w:pPr>
        <w:spacing w:beforeLines="50" w:afterLines="50" w:line="600" w:lineRule="exact"/>
        <w:jc w:val="center"/>
        <w:outlineLvl w:val="0"/>
        <w:rPr>
          <w:rStyle w:val="32"/>
          <w:rFonts w:eastAsia="方正小标宋简体"/>
          <w:b w:val="0"/>
          <w:sz w:val="32"/>
          <w:szCs w:val="32"/>
        </w:rPr>
      </w:pPr>
      <w:bookmarkStart w:id="136" w:name="_Toc15396613"/>
      <w:bookmarkStart w:id="137" w:name="_Toc10958"/>
      <w:bookmarkStart w:id="138" w:name="_Toc15377225"/>
      <w:bookmarkStart w:id="139" w:name="_Toc114498361"/>
      <w:bookmarkStart w:id="140" w:name="_Toc28176"/>
      <w:bookmarkStart w:id="141" w:name="_Toc15396614"/>
      <w:bookmarkStart w:id="142" w:name="_Toc15377226"/>
      <w:r>
        <w:rPr>
          <w:rFonts w:eastAsia="方正小标宋简体"/>
          <w:color w:val="000000"/>
          <w:sz w:val="32"/>
          <w:szCs w:val="32"/>
        </w:rPr>
        <w:t xml:space="preserve">第三部分 </w:t>
      </w:r>
      <w:r>
        <w:rPr>
          <w:rFonts w:hint="eastAsia" w:eastAsia="方正小标宋简体"/>
          <w:color w:val="000000"/>
          <w:sz w:val="32"/>
          <w:szCs w:val="32"/>
        </w:rPr>
        <w:t xml:space="preserve"> </w:t>
      </w:r>
      <w:r>
        <w:rPr>
          <w:rFonts w:eastAsia="方正小标宋简体"/>
          <w:color w:val="000000"/>
          <w:sz w:val="32"/>
          <w:szCs w:val="32"/>
        </w:rPr>
        <w:t>名</w:t>
      </w:r>
      <w:r>
        <w:rPr>
          <w:rStyle w:val="32"/>
          <w:rFonts w:eastAsia="方正小标宋简体"/>
          <w:b w:val="0"/>
          <w:sz w:val="32"/>
          <w:szCs w:val="32"/>
        </w:rPr>
        <w:t>词解释</w:t>
      </w:r>
      <w:bookmarkEnd w:id="136"/>
      <w:bookmarkEnd w:id="137"/>
      <w:bookmarkEnd w:id="138"/>
      <w:bookmarkEnd w:id="139"/>
      <w:bookmarkEnd w:id="140"/>
    </w:p>
    <w:p>
      <w:pPr>
        <w:pStyle w:val="30"/>
        <w:spacing w:line="576"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1.财政拨款收入：指单位从同级财政部门取得的财政预算资金。</w:t>
      </w:r>
    </w:p>
    <w:p>
      <w:pPr>
        <w:pStyle w:val="30"/>
        <w:spacing w:line="576"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2.其他收入：指单位取得的除上述收入以外的各项收入。</w:t>
      </w:r>
    </w:p>
    <w:p>
      <w:pPr>
        <w:pStyle w:val="30"/>
        <w:spacing w:line="576"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3.年初结转和结余：指以前年度尚未完成、结转到本年按有关规定继续使用的资金。</w:t>
      </w:r>
    </w:p>
    <w:p>
      <w:pPr>
        <w:pStyle w:val="30"/>
        <w:spacing w:line="576"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4.年末结转和结余：指单位按有关规定结转到下年或以后年度继续使用的资金。</w:t>
      </w:r>
    </w:p>
    <w:p>
      <w:pPr>
        <w:spacing w:line="576"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sz w:val="32"/>
          <w:szCs w:val="32"/>
        </w:rPr>
        <w:t>5.一般公共服务（类）群众团体事务（款）行政运行（项）：指反</w:t>
      </w:r>
      <w:r>
        <w:rPr>
          <w:rFonts w:hint="eastAsia" w:ascii="仿宋_GB2312" w:hAnsi="仿宋_GB2312" w:eastAsia="仿宋_GB2312" w:cs="仿宋_GB2312"/>
          <w:color w:val="333333"/>
          <w:sz w:val="32"/>
          <w:szCs w:val="32"/>
          <w:shd w:val="clear" w:color="auto" w:fill="FFFFFF"/>
        </w:rPr>
        <w:t>应单位日常的基本支出。</w:t>
      </w:r>
    </w:p>
    <w:p>
      <w:pPr>
        <w:pStyle w:val="30"/>
        <w:spacing w:line="576"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6.一般公共服务（类）群众团体事务（款）一般行政管理事务（项）:指反应单位日常的基本支出。</w:t>
      </w:r>
    </w:p>
    <w:p>
      <w:pPr>
        <w:pStyle w:val="30"/>
        <w:spacing w:line="576"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7.一般公共服务（类）群众团体事务（款） 事业运行（项）: 指事业单位的基本支出.</w:t>
      </w:r>
    </w:p>
    <w:p>
      <w:pPr>
        <w:pStyle w:val="30"/>
        <w:spacing w:line="576"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8.一般公共服务（类）群众团体事务（款）其他群众团体事务支出（项）:指事业单位的基本支出，不包括行政单位（包括实行公务员管理的事业单位）后勤服务中心、医务室等附属事业单位。</w:t>
      </w:r>
    </w:p>
    <w:p>
      <w:pPr>
        <w:pStyle w:val="30"/>
        <w:spacing w:line="576"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9.文化旅游体育与传媒（类）文化和旅游（款）文化活动（项）:反映举办大型文化艺术活动的支出。</w:t>
      </w:r>
    </w:p>
    <w:p>
      <w:pPr>
        <w:pStyle w:val="30"/>
        <w:spacing w:line="576"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10.社会保障和就业（类）行政事业单位离退休（款）机关事业单位基本养老保险缴费支出（项）：指单位按规定给职工缴纳的养老保险。</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11.医疗卫生与计划生育支出（类）行政事业单位医疗（款）行政单位医疗（项）：指单位按规定给职工缴纳的医疗保险。</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12.住房保障支出</w:t>
      </w:r>
      <w:r>
        <w:rPr>
          <w:rStyle w:val="22"/>
          <w:rFonts w:hint="eastAsia" w:ascii="仿宋_GB2312" w:hAnsi="仿宋_GB2312" w:eastAsia="仿宋_GB2312" w:cs="仿宋_GB2312"/>
          <w:b w:val="0"/>
          <w:sz w:val="32"/>
          <w:szCs w:val="32"/>
        </w:rPr>
        <w:t>（类）住房改革支出（款）住房公积金（项）</w:t>
      </w:r>
      <w:r>
        <w:rPr>
          <w:rFonts w:hint="eastAsia" w:ascii="仿宋_GB2312" w:hAnsi="仿宋_GB2312" w:eastAsia="仿宋_GB2312" w:cs="仿宋_GB2312"/>
          <w:sz w:val="32"/>
          <w:szCs w:val="32"/>
        </w:rPr>
        <w:t>：指行政事业单位按人力资源和社会保障部、财政部规定的基本工资和津贴补贴以及规定比例为职工缴纳的住房公积金。</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13.基本支出：指为保障机构正常运转、完成日常工作任务而发生的人员支出和公用支出。</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14.项目支出：指在基本支出之外为完成特定行政任务和事业发展目标所发生的支出。</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15.经营支出：指事业单位在专业业务活动及其辅助活动之外开展非独立核算经营活动发生的支出。</w:t>
      </w:r>
    </w:p>
    <w:p>
      <w:pPr>
        <w:pStyle w:val="30"/>
        <w:spacing w:line="576"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16.“三公”经费：指部门用财政拨款安排的因公出国（境）费、公务用车购置及运行费和公务接待费。其中，因公出国（境）费反映单位公务出国（境）的国际旅费、国外城市间交通费、住宿费、伙食费、培训费、公杂费等支出；</w:t>
      </w:r>
      <w:r>
        <w:rPr>
          <w:rFonts w:hint="eastAsia" w:ascii="仿宋_GB2312" w:hAnsi="仿宋_GB2312" w:eastAsia="仿宋_GB2312" w:cs="仿宋_GB2312"/>
          <w:color w:val="auto"/>
          <w:spacing w:val="6"/>
          <w:kern w:val="2"/>
          <w:sz w:val="32"/>
          <w:szCs w:val="32"/>
        </w:rPr>
        <w:t>公务用车购置及运行费反</w:t>
      </w:r>
      <w:r>
        <w:rPr>
          <w:rFonts w:hint="eastAsia" w:ascii="仿宋_GB2312" w:hAnsi="仿宋_GB2312" w:eastAsia="仿宋_GB2312" w:cs="仿宋_GB2312"/>
          <w:color w:val="auto"/>
          <w:kern w:val="2"/>
          <w:sz w:val="32"/>
          <w:szCs w:val="32"/>
        </w:rPr>
        <w:t>映单位公务用车车辆购置支出（含车辆购置税）及租用费、燃料费、维修费、过路过桥费、保险费等支出；公务接待费反映单位按规定开支的各类公务接待（含外宾接待）支出。</w:t>
      </w:r>
    </w:p>
    <w:p>
      <w:pPr>
        <w:pStyle w:val="30"/>
        <w:spacing w:line="576"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17.机关运行经费：为保障行政单位（含参照公务员法管理的事业单位）运行用于购买货物和服务的各项资金，包括办公及印刷费、邮电费、差旅费、福利费、日常维修费、办公用房水电费、办公用房物业管理费、公务用车运行维护费以及其他费用。</w:t>
      </w:r>
    </w:p>
    <w:p>
      <w:pPr>
        <w:pStyle w:val="30"/>
        <w:spacing w:line="560" w:lineRule="exact"/>
        <w:ind w:firstLine="640" w:firstLineChars="200"/>
        <w:rPr>
          <w:rFonts w:ascii="Times New Roman" w:hAnsi="Times New Roman" w:eastAsia="仿宋_GB2312" w:cs="Times New Roman"/>
          <w:color w:val="auto"/>
          <w:kern w:val="2"/>
          <w:sz w:val="32"/>
          <w:szCs w:val="32"/>
        </w:rPr>
      </w:pPr>
    </w:p>
    <w:p>
      <w:pPr>
        <w:spacing w:line="600" w:lineRule="exact"/>
        <w:jc w:val="center"/>
        <w:outlineLvl w:val="0"/>
        <w:rPr>
          <w:rFonts w:ascii="黑体" w:hAnsi="黑体" w:eastAsia="黑体"/>
          <w:sz w:val="44"/>
          <w:szCs w:val="44"/>
        </w:rPr>
      </w:pPr>
    </w:p>
    <w:p>
      <w:pPr>
        <w:pStyle w:val="2"/>
        <w:spacing w:before="93"/>
        <w:rPr>
          <w:rFonts w:ascii="黑体" w:hAnsi="黑体" w:eastAsia="黑体"/>
          <w:sz w:val="44"/>
          <w:szCs w:val="44"/>
        </w:rPr>
      </w:pPr>
    </w:p>
    <w:p>
      <w:pPr>
        <w:rPr>
          <w:rFonts w:ascii="黑体" w:hAnsi="黑体" w:eastAsia="黑体"/>
          <w:sz w:val="44"/>
          <w:szCs w:val="44"/>
        </w:rPr>
      </w:pPr>
    </w:p>
    <w:p>
      <w:pPr>
        <w:spacing w:beforeLines="50" w:afterLines="50" w:line="600" w:lineRule="exact"/>
        <w:jc w:val="center"/>
        <w:outlineLvl w:val="0"/>
        <w:rPr>
          <w:rFonts w:hint="eastAsia" w:ascii="方正小标宋简体" w:hAnsi="方正小标宋简体" w:eastAsia="方正小标宋简体" w:cs="方正小标宋简体"/>
          <w:sz w:val="32"/>
          <w:szCs w:val="32"/>
        </w:rPr>
      </w:pPr>
      <w:bookmarkStart w:id="143" w:name="_Toc11282"/>
      <w:bookmarkStart w:id="144" w:name="_Toc16977"/>
      <w:bookmarkStart w:id="145" w:name="_Toc114498362"/>
    </w:p>
    <w:p>
      <w:pPr>
        <w:spacing w:beforeLines="50" w:afterLines="50" w:line="600" w:lineRule="exact"/>
        <w:jc w:val="center"/>
        <w:outlineLvl w:val="0"/>
        <w:rPr>
          <w:rFonts w:hint="eastAsia" w:ascii="方正小标宋简体" w:hAnsi="方正小标宋简体" w:eastAsia="方正小标宋简体" w:cs="方正小标宋简体"/>
          <w:sz w:val="32"/>
          <w:szCs w:val="32"/>
        </w:rPr>
      </w:pPr>
    </w:p>
    <w:p>
      <w:pPr>
        <w:spacing w:beforeLines="50" w:afterLines="50" w:line="600" w:lineRule="exact"/>
        <w:jc w:val="center"/>
        <w:outlineLvl w:val="0"/>
        <w:rPr>
          <w:rStyle w:val="32"/>
          <w:rFonts w:ascii="方正小标宋简体" w:hAnsi="方正小标宋简体" w:eastAsia="方正小标宋简体" w:cs="方正小标宋简体"/>
          <w:b w:val="0"/>
          <w:sz w:val="32"/>
          <w:szCs w:val="32"/>
        </w:rPr>
      </w:pPr>
      <w:r>
        <w:rPr>
          <w:rFonts w:hint="eastAsia" w:ascii="方正小标宋简体" w:hAnsi="方正小标宋简体" w:eastAsia="方正小标宋简体" w:cs="方正小标宋简体"/>
          <w:sz w:val="32"/>
          <w:szCs w:val="32"/>
        </w:rPr>
        <w:t>第</w:t>
      </w:r>
      <w:r>
        <w:rPr>
          <w:rStyle w:val="32"/>
          <w:rFonts w:hint="eastAsia" w:ascii="方正小标宋简体" w:hAnsi="方正小标宋简体" w:eastAsia="方正小标宋简体" w:cs="方正小标宋简体"/>
          <w:b w:val="0"/>
          <w:sz w:val="32"/>
          <w:szCs w:val="32"/>
        </w:rPr>
        <w:t>四部分  附  件</w:t>
      </w:r>
      <w:bookmarkEnd w:id="141"/>
      <w:bookmarkEnd w:id="143"/>
      <w:bookmarkEnd w:id="144"/>
      <w:bookmarkEnd w:id="145"/>
    </w:p>
    <w:p>
      <w:pPr>
        <w:spacing w:line="576" w:lineRule="exact"/>
        <w:jc w:val="left"/>
        <w:outlineLvl w:val="0"/>
        <w:rPr>
          <w:rFonts w:ascii="方正小标宋简体" w:hAnsi="方正小标宋简体" w:eastAsia="方正小标宋简体" w:cs="方正小标宋简体"/>
          <w:sz w:val="32"/>
          <w:szCs w:val="32"/>
        </w:rPr>
      </w:pPr>
      <w:bookmarkStart w:id="146" w:name="_Toc13906"/>
      <w:bookmarkStart w:id="147" w:name="_Toc23633"/>
      <w:bookmarkStart w:id="148" w:name="_Toc114498363"/>
      <w:r>
        <w:rPr>
          <w:rFonts w:hint="eastAsia" w:ascii="黑体" w:hAnsi="黑体" w:eastAsia="黑体" w:cs="黑体"/>
          <w:sz w:val="32"/>
          <w:szCs w:val="32"/>
        </w:rPr>
        <w:t>附件1</w:t>
      </w:r>
      <w:bookmarkEnd w:id="146"/>
      <w:bookmarkEnd w:id="147"/>
      <w:bookmarkEnd w:id="148"/>
    </w:p>
    <w:p>
      <w:pPr>
        <w:adjustRightInd w:val="0"/>
        <w:snapToGrid w:val="0"/>
        <w:spacing w:beforeLines="50" w:line="576"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广元市妇女联合会</w:t>
      </w:r>
    </w:p>
    <w:p>
      <w:pPr>
        <w:adjustRightInd w:val="0"/>
        <w:snapToGrid w:val="0"/>
        <w:spacing w:line="576"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2021年度部门支出绩效评价评估报告</w:t>
      </w:r>
    </w:p>
    <w:p>
      <w:pPr>
        <w:adjustRightInd w:val="0"/>
        <w:snapToGrid w:val="0"/>
        <w:spacing w:line="576" w:lineRule="exact"/>
        <w:ind w:firstLine="453" w:firstLineChars="103"/>
        <w:jc w:val="center"/>
        <w:rPr>
          <w:rFonts w:eastAsia="方正小标宋简体"/>
          <w:bCs/>
          <w:sz w:val="44"/>
          <w:szCs w:val="44"/>
        </w:rPr>
      </w:pP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一、部门概况</w:t>
      </w:r>
    </w:p>
    <w:p>
      <w:pPr>
        <w:spacing w:line="576" w:lineRule="exact"/>
        <w:ind w:firstLine="640" w:firstLineChars="20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（一）机构组成。</w:t>
      </w:r>
    </w:p>
    <w:p>
      <w:pPr>
        <w:spacing w:line="576" w:lineRule="exact"/>
        <w:ind w:firstLine="640" w:firstLineChars="200"/>
        <w:rPr>
          <w:rFonts w:ascii="仿宋_GB2312" w:hAnsi="仿宋_GB2312" w:eastAsia="仿宋_GB2312" w:cs="仿宋_GB2312"/>
          <w:sz w:val="32"/>
          <w:szCs w:val="32"/>
        </w:rPr>
      </w:pPr>
      <w:bookmarkStart w:id="149" w:name="_Toc114498364"/>
      <w:bookmarkStart w:id="150" w:name="_Toc15377198"/>
      <w:bookmarkStart w:id="151" w:name="_Toc15378445"/>
      <w:r>
        <w:rPr>
          <w:rFonts w:hint="eastAsia" w:ascii="仿宋_GB2312" w:hAnsi="仿宋_GB2312" w:eastAsia="仿宋_GB2312" w:cs="仿宋_GB2312"/>
          <w:sz w:val="32"/>
          <w:szCs w:val="32"/>
        </w:rPr>
        <w:t>市妇女联合会内设部室情况：我会属正处级参公群团单位，下设办公室、发展部、权益部、家儿部、妇儿工委办公室、女儿节筹办工作协调组办公室,下属单位1个—广元市妇女培训中心，其中行政单位0个。</w:t>
      </w:r>
      <w:bookmarkEnd w:id="149"/>
    </w:p>
    <w:bookmarkEnd w:id="150"/>
    <w:bookmarkEnd w:id="151"/>
    <w:p>
      <w:pPr>
        <w:spacing w:line="576" w:lineRule="exact"/>
        <w:ind w:firstLine="640" w:firstLineChars="20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（二）机构职能</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1.根据党的中心任务，指导各级妇联依据《中华全国妇女联合会章程》和妇女代表大会的决议，开展妇女儿童工作；联系团体会员，并给予业务指导。</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2.调查研究我市不同地区妇女儿童的情况、问题及时向市委、市政府反映，提出建议。</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3.指导和推动全市农村妇女的“双学双赛”活动及城镇妇女的“巾帼建功”活动。</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4.指导各级妇联的宣传舆论工作，教育、引导广大妇女增强自尊、自信、自立、自强的精神，表彰各行各业先进妇女，开展妇女职业技术培训和多层次的妇女干部培训，全面提高素质，促进妇女人才成长。</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5.代表妇女参与国家和社会事务的民主管理，民主监督，促进妇女参政议政，贯彻执行有关妇女儿童法律、法规，参与制定有关规章制度，维护妇女儿童的合法权益。</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6.为妇女儿童服务。加强与诖会各界的联系，协调和推动社会各界为妇女儿童办好事、办实事。</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7.建立与各族各界妇女的联系，巩固妇女的大团结。积极开展同港澳台地区及华侨妇女的联谊，促进祖国统一大业，发展同世界各国妇女的友好交往，增进友谊、加强合作。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8.负责机关和本系统的精神文明建设以及党风廉政建设。</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9.承担市政府妇女儿童工作委员会的日常工作。承办市委市政府交办的其它事项。</w:t>
      </w:r>
    </w:p>
    <w:p>
      <w:pPr>
        <w:spacing w:line="576" w:lineRule="exact"/>
        <w:ind w:firstLine="640" w:firstLineChars="20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（三）人员概况。</w:t>
      </w:r>
    </w:p>
    <w:p>
      <w:pPr>
        <w:spacing w:line="576" w:lineRule="exact"/>
        <w:ind w:firstLine="640" w:firstLineChars="200"/>
        <w:rPr>
          <w:rFonts w:ascii="仿宋_GB2312" w:hAnsi="仿宋_GB2312" w:eastAsia="仿宋_GB2312" w:cs="仿宋_GB2312"/>
          <w:sz w:val="32"/>
          <w:szCs w:val="32"/>
        </w:rPr>
      </w:pPr>
      <w:bookmarkStart w:id="152" w:name="_Toc114498365"/>
      <w:r>
        <w:rPr>
          <w:rFonts w:hint="eastAsia" w:ascii="仿宋_GB2312" w:hAnsi="仿宋_GB2312" w:eastAsia="仿宋_GB2312" w:cs="仿宋_GB2312"/>
          <w:sz w:val="32"/>
          <w:szCs w:val="32"/>
        </w:rPr>
        <w:t>市妇女联合会人员情况：总编制16名，其中行政编制9名，其他事业编制5名，工勤编制2名。在职人员总数15人，其中行政人员9人，其他事业人员4人，工勤人员2人；离休人员0人，退休人员8人。</w:t>
      </w:r>
      <w:bookmarkEnd w:id="152"/>
    </w:p>
    <w:p>
      <w:pPr>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二、部门财政支出管理情况</w:t>
      </w:r>
    </w:p>
    <w:p>
      <w:pPr>
        <w:spacing w:line="576" w:lineRule="exact"/>
        <w:ind w:firstLine="640" w:firstLineChars="20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（一）部门财政资金收入情况。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2021年，市妇联财政资金当年收入305.41万元，其中：一般公共预算拨款收入293.23万元、上年结转12.18万元。</w:t>
      </w:r>
    </w:p>
    <w:p>
      <w:pPr>
        <w:spacing w:line="576" w:lineRule="exact"/>
        <w:ind w:firstLine="640" w:firstLineChars="20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（二）部门财政资金支出情况。</w:t>
      </w:r>
    </w:p>
    <w:p>
      <w:pPr>
        <w:spacing w:line="576" w:lineRule="exact"/>
        <w:ind w:firstLine="640" w:firstLineChars="200"/>
        <w:rPr>
          <w:rFonts w:ascii="仿宋_GB2312" w:hAnsi="仿宋_GB2312" w:eastAsia="仿宋_GB2312" w:cs="仿宋_GB2312"/>
          <w:sz w:val="32"/>
          <w:szCs w:val="32"/>
        </w:rPr>
      </w:pPr>
      <w:bookmarkStart w:id="153" w:name="_Toc114498366"/>
      <w:bookmarkStart w:id="154" w:name="_Toc15140"/>
      <w:r>
        <w:rPr>
          <w:rFonts w:hint="eastAsia" w:ascii="仿宋_GB2312" w:hAnsi="仿宋_GB2312" w:eastAsia="仿宋_GB2312" w:cs="仿宋_GB2312"/>
          <w:sz w:val="32"/>
          <w:szCs w:val="32"/>
        </w:rPr>
        <w:t>2021年度市妇联在财政资金的使用中严格执行预算，人员支出部分按时间进度执行，项目支出部分按项目实际实施情况执行，在预算的执行中未调整过预算项目，年度预算执行收支平衡，较好的履行了职能职责，按照“3+1”行动，实施巾帼心向党、巾帼建新功、巾帼维权行动和家家幸福安康工程，促进妇女发展、保障妇女儿童合法权益，促进家庭社会和谐，助推男女基本国策落地落实，引领广大妇女听党话跟党走提供资金保障。</w:t>
      </w:r>
      <w:bookmarkEnd w:id="153"/>
      <w:bookmarkEnd w:id="154"/>
    </w:p>
    <w:p>
      <w:pPr>
        <w:spacing w:line="576" w:lineRule="exact"/>
        <w:ind w:firstLine="640" w:firstLineChars="200"/>
        <w:rPr>
          <w:rFonts w:ascii="仿宋_GB2312" w:hAnsi="仿宋_GB2312" w:eastAsia="仿宋_GB2312" w:cs="仿宋_GB2312"/>
          <w:sz w:val="32"/>
          <w:szCs w:val="32"/>
        </w:rPr>
      </w:pPr>
      <w:bookmarkStart w:id="155" w:name="_Toc6368"/>
      <w:bookmarkStart w:id="156" w:name="_Toc114498367"/>
      <w:r>
        <w:rPr>
          <w:rFonts w:hint="eastAsia" w:ascii="仿宋_GB2312" w:hAnsi="仿宋_GB2312" w:eastAsia="仿宋_GB2312" w:cs="仿宋_GB2312"/>
          <w:sz w:val="32"/>
          <w:szCs w:val="32"/>
        </w:rPr>
        <w:t>2021年本年支出合计379.78万元，其中：基本支出236.36万元，占62.24%；项目支出143.42万元，占37.76%；上缴上级支出0万元，占0%；经营支出0万元，占0%；对附属单位补助支出0万元，占0%。</w:t>
      </w:r>
      <w:bookmarkEnd w:id="155"/>
      <w:bookmarkEnd w:id="156"/>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三、部门整体预算绩效管理情况</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（一）部门预算项目绩效管理。</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预算编制情况。我会2021年预算编制严格按照市财政局预算编制口径及有关要求，依据我局2021年工作任务测算细化预算，按时完成了预算草案的报审工作。同时在规定时间内，保质保量地完成了我会项目绩效目标的编报，绩效目标要素完整，指标细化量化，审核通过情况良好。2021年编制绩效目标项目共6个，其中涉及指标数74个，完成指标74个。</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预算执行情况。我会2021年按要求严格预算执行管理，局机关及直属事业单位在合规使用资金的前提下加快预算执行，在6月、9月、11月的预算执行进度达到67%、72%、97%的标准。同时我局按规定开展了绩效监控工作，及时向业务可是报告了监控情况报告。2021年我局财政资金结余0万元。</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3、支出控制情况。2021年，我会部门日常公用经费“办公费、印刷费、水费、电费、物业管理费”等科目年初预算共计39.14万元，决算共计39.14万元。</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4、完成结果情况。2021年我局项目预算执行进度为100%。在审计、财政检查中，主要发现了1个预算管理方面的问题,2022年当年已按要求进行了整改。</w:t>
      </w:r>
    </w:p>
    <w:p>
      <w:pPr>
        <w:spacing w:line="576" w:lineRule="exact"/>
        <w:ind w:firstLine="640" w:firstLineChars="20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（二）结果应用情况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1、信息公开。2021年，我会均按照市财政局统一时间、统一口径、统一格式在广元市政府和局门户网站上向社会公开了2021年部门预算及财政资金安排的“三公”经费预算及其他按要求应公开的绩效信息。</w:t>
      </w:r>
    </w:p>
    <w:p>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2、整改反馈。我局积极应用绩效结果，将绩效管理结果与预算安排进行挂钩。根据上年度单位整体支出绩效目标和项目绩效目标完成情况，在安排预算时对相应单位和项目的预算进行相应调整。</w:t>
      </w:r>
    </w:p>
    <w:p>
      <w:pPr>
        <w:spacing w:line="576" w:lineRule="exact"/>
        <w:ind w:firstLine="640" w:firstLineChars="20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（三）自评质量</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我会严格按照“市级部门整体支出绩效评价指标体系”计分标准逐项对照开展自评，确保了数据准确。</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四、评价结论及建议</w:t>
      </w:r>
    </w:p>
    <w:p>
      <w:pPr>
        <w:spacing w:line="576" w:lineRule="exact"/>
        <w:ind w:firstLine="640" w:firstLineChars="20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（一）评价结论</w:t>
      </w:r>
    </w:p>
    <w:p>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2021年，在市委市政府和省妇联的坚强领导下，市妇联紧紧围绕“四个三、四个一百”重点工作，全力以赴抓细抓实妇联各项工作，超额完成市委市政府和省妇联下达的各项目标任务，自评为99.8分。</w:t>
      </w:r>
    </w:p>
    <w:p>
      <w:pPr>
        <w:spacing w:line="576" w:lineRule="exact"/>
        <w:ind w:firstLine="640" w:firstLineChars="20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（二）存在问题</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因客观原因存在个别支付结算没有使用公务卡结算。</w:t>
      </w:r>
    </w:p>
    <w:p>
      <w:pPr>
        <w:spacing w:line="576" w:lineRule="exact"/>
        <w:ind w:firstLine="640" w:firstLineChars="20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（三）改进建议。</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一是加强对干部职工财经纪律的学习教育；</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二是因公出差必须使用公务卡结算；</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三是加强项目资金绩效管理，按进度使用拔付资金。</w:t>
      </w: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Lines="0" w:line="550" w:lineRule="exact"/>
        <w:jc w:val="left"/>
        <w:rPr>
          <w:rFonts w:ascii="黑体" w:hAnsi="黑体" w:eastAsia="黑体" w:cs="黑体"/>
          <w:sz w:val="32"/>
          <w:szCs w:val="32"/>
          <w:lang w:val="zh-CN"/>
        </w:rPr>
      </w:pPr>
      <w:r>
        <w:rPr>
          <w:rFonts w:hint="eastAsia" w:ascii="黑体" w:hAnsi="黑体" w:eastAsia="黑体" w:cs="黑体"/>
          <w:sz w:val="32"/>
          <w:szCs w:val="32"/>
          <w:shd w:val="clear" w:color="auto" w:fill="FFFFFF"/>
          <w:lang w:val="zh-CN"/>
        </w:rPr>
        <w:t>附件2</w:t>
      </w:r>
    </w:p>
    <w:p>
      <w:pPr>
        <w:spacing w:line="550" w:lineRule="exact"/>
        <w:jc w:val="center"/>
        <w:outlineLvl w:val="0"/>
        <w:rPr>
          <w:rFonts w:ascii="方正小标宋简体" w:hAnsi="方正小标宋简体" w:eastAsia="方正小标宋简体" w:cs="方正小标宋简体"/>
          <w:color w:val="000000"/>
          <w:sz w:val="44"/>
          <w:szCs w:val="44"/>
        </w:rPr>
      </w:pPr>
      <w:bookmarkStart w:id="157" w:name="_Toc20223"/>
      <w:bookmarkStart w:id="158" w:name="_Toc114498368"/>
      <w:bookmarkStart w:id="159" w:name="_Toc26102"/>
      <w:r>
        <w:rPr>
          <w:rFonts w:hint="eastAsia" w:ascii="方正小标宋简体" w:hAnsi="方正小标宋简体" w:eastAsia="方正小标宋简体" w:cs="方正小标宋简体"/>
          <w:color w:val="000000"/>
          <w:sz w:val="44"/>
          <w:szCs w:val="44"/>
        </w:rPr>
        <w:t>广元市妇女联合会</w:t>
      </w:r>
      <w:bookmarkEnd w:id="157"/>
      <w:bookmarkEnd w:id="158"/>
      <w:bookmarkEnd w:id="159"/>
    </w:p>
    <w:p>
      <w:pPr>
        <w:spacing w:line="550" w:lineRule="exact"/>
        <w:jc w:val="center"/>
        <w:outlineLvl w:val="0"/>
        <w:rPr>
          <w:rFonts w:ascii="方正小标宋简体" w:hAnsi="方正小标宋简体" w:eastAsia="方正小标宋简体" w:cs="方正小标宋简体"/>
          <w:color w:val="000000"/>
          <w:spacing w:val="20"/>
          <w:sz w:val="44"/>
          <w:szCs w:val="44"/>
          <w:lang w:val="zh-CN"/>
        </w:rPr>
      </w:pPr>
      <w:bookmarkStart w:id="160" w:name="_Toc114498369"/>
      <w:bookmarkStart w:id="161" w:name="_Toc17114"/>
      <w:bookmarkStart w:id="162" w:name="_Toc11856"/>
      <w:r>
        <w:rPr>
          <w:rFonts w:hint="eastAsia" w:ascii="方正小标宋简体" w:hAnsi="方正小标宋简体" w:eastAsia="方正小标宋简体" w:cs="方正小标宋简体"/>
          <w:color w:val="000000"/>
          <w:spacing w:val="20"/>
          <w:sz w:val="44"/>
          <w:szCs w:val="44"/>
        </w:rPr>
        <w:t>2021年帮村扶贫工作经费</w:t>
      </w:r>
      <w:r>
        <w:rPr>
          <w:rFonts w:hint="eastAsia" w:ascii="方正小标宋简体" w:hAnsi="方正小标宋简体" w:eastAsia="方正小标宋简体" w:cs="方正小标宋简体"/>
          <w:color w:val="000000"/>
          <w:spacing w:val="20"/>
          <w:sz w:val="44"/>
          <w:szCs w:val="44"/>
          <w:lang w:val="zh-CN"/>
        </w:rPr>
        <w:t>项目支出</w:t>
      </w:r>
      <w:bookmarkEnd w:id="160"/>
      <w:bookmarkEnd w:id="161"/>
      <w:bookmarkEnd w:id="162"/>
      <w:bookmarkStart w:id="163" w:name="_Toc22551"/>
      <w:bookmarkStart w:id="164" w:name="_Toc114498370"/>
    </w:p>
    <w:p>
      <w:pPr>
        <w:spacing w:line="550" w:lineRule="exact"/>
        <w:jc w:val="center"/>
        <w:outlineLvl w:val="0"/>
        <w:rPr>
          <w:rFonts w:ascii="方正小标宋简体" w:hAnsi="方正小标宋简体" w:eastAsia="方正小标宋简体" w:cs="方正小标宋简体"/>
          <w:color w:val="000000"/>
          <w:spacing w:val="20"/>
          <w:sz w:val="44"/>
          <w:szCs w:val="44"/>
          <w:lang w:val="zh-CN"/>
        </w:rPr>
      </w:pPr>
      <w:bookmarkStart w:id="165" w:name="_Toc18455"/>
      <w:r>
        <w:rPr>
          <w:rFonts w:hint="eastAsia" w:ascii="方正小标宋简体" w:hAnsi="方正小标宋简体" w:eastAsia="方正小标宋简体" w:cs="方正小标宋简体"/>
          <w:color w:val="000000"/>
          <w:spacing w:val="20"/>
          <w:sz w:val="44"/>
          <w:szCs w:val="44"/>
          <w:lang w:val="zh-CN"/>
        </w:rPr>
        <w:t>绩效自评报告</w:t>
      </w:r>
      <w:bookmarkEnd w:id="163"/>
      <w:bookmarkEnd w:id="164"/>
      <w:bookmarkEnd w:id="165"/>
    </w:p>
    <w:p>
      <w:pPr>
        <w:adjustRightInd w:val="0"/>
        <w:snapToGrid w:val="0"/>
        <w:spacing w:line="550" w:lineRule="exact"/>
        <w:ind w:firstLine="640" w:firstLineChars="200"/>
        <w:rPr>
          <w:rFonts w:ascii="仿宋_GB2312" w:hAnsi="仿宋_GB2312" w:eastAsia="仿宋_GB2312" w:cs="仿宋_GB2312"/>
          <w:sz w:val="32"/>
          <w:szCs w:val="32"/>
        </w:rPr>
      </w:pPr>
    </w:p>
    <w:p>
      <w:pPr>
        <w:adjustRightInd w:val="0"/>
        <w:snapToGrid w:val="0"/>
        <w:spacing w:line="550" w:lineRule="exact"/>
        <w:ind w:firstLine="640" w:firstLineChars="20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spacing w:line="550" w:lineRule="exact"/>
        <w:ind w:firstLine="640" w:firstLineChars="200"/>
        <w:outlineLvl w:val="2"/>
        <w:rPr>
          <w:rFonts w:ascii="楷体_GB2312" w:hAnsi="楷体_GB2312" w:eastAsia="楷体_GB2312" w:cs="楷体_GB2312"/>
          <w:bCs/>
          <w:color w:val="000000"/>
          <w:sz w:val="32"/>
          <w:szCs w:val="32"/>
          <w:lang w:val="zh-CN"/>
        </w:rPr>
      </w:pPr>
      <w:bookmarkStart w:id="166" w:name="_Toc114498371"/>
      <w:r>
        <w:rPr>
          <w:rFonts w:hint="eastAsia" w:ascii="楷体_GB2312" w:hAnsi="楷体_GB2312" w:eastAsia="楷体_GB2312" w:cs="楷体_GB2312"/>
          <w:bCs/>
          <w:color w:val="000000"/>
          <w:sz w:val="32"/>
          <w:szCs w:val="32"/>
          <w:lang w:val="zh-CN"/>
        </w:rPr>
        <w:t>（一）项目基本情况</w:t>
      </w:r>
      <w:bookmarkEnd w:id="166"/>
    </w:p>
    <w:p>
      <w:pPr>
        <w:pStyle w:val="2"/>
        <w:spacing w:beforeLines="0" w:line="550" w:lineRule="exact"/>
        <w:ind w:firstLine="640" w:firstLineChars="200"/>
        <w:rPr>
          <w:rFonts w:hAnsi="仿宋_GB2312" w:cs="仿宋_GB2312"/>
          <w:kern w:val="2"/>
          <w:sz w:val="32"/>
          <w:szCs w:val="32"/>
        </w:rPr>
      </w:pPr>
      <w:r>
        <w:rPr>
          <w:rFonts w:hint="eastAsia" w:hAnsi="仿宋_GB2312" w:cs="仿宋_GB2312"/>
          <w:kern w:val="2"/>
          <w:sz w:val="32"/>
          <w:szCs w:val="32"/>
        </w:rPr>
        <w:t>按照中共四川省委办公厅四川省人民政府办公厅印发的《关于加强贫困村驻村工作队选派管理工作的实施意见》（川委办〔2018〕19 号）规定执行，用于工作调研、规划编制、考察交流、日常工作运转以及在驻村期间因公产生的差旅费等，并按规定规范管理。第一书记、驻村工作队队员驻村期间，原有人事关系、各项待遇不变，派员单位可利用公用经费，参照差旅费中伙食补助费标准给予生活补助（一般地区每个工作日每人补助 50 元，三州地区每个工作日每人补助 60 元），每年按规定为第一书记、驻村工作队队员办理人身意外伤害保险。第一书记、驻村工作队队员驻村期间的医疗费，由派员单位按规定报销。第一书记、驻村工作队队员在艰苦边远地区、乡镇、高海拔乡镇连续工作 6 个月以上的，由派员单位按有关规定参照派驻地同类同级人员标准发放艰苦边远地区津贴、乡镇工作补贴、高海拔乡镇临时岗位补贴；从内地选派到彝区藏区的第一书记、驻村工作队队员，享受援藏援彝特殊补贴（根据艰苦边远程度，二、三、四、五、六类区每人每年分别为 0.5 万元、0.8 万元、1 万元、1.2 万元、1.5 万元）。派员单位要为第一书记、驻村工作队队员发放 2000 元一次性生活补助，用于购置到村生活必需品。</w:t>
      </w:r>
    </w:p>
    <w:p>
      <w:pPr>
        <w:spacing w:line="550" w:lineRule="exact"/>
        <w:ind w:firstLine="640" w:firstLineChars="200"/>
        <w:outlineLvl w:val="2"/>
        <w:rPr>
          <w:rFonts w:ascii="楷体_GB2312" w:hAnsi="楷体_GB2312" w:eastAsia="楷体_GB2312" w:cs="楷体_GB2312"/>
          <w:bCs/>
          <w:color w:val="000000"/>
          <w:sz w:val="32"/>
          <w:szCs w:val="32"/>
          <w:lang w:val="zh-CN"/>
        </w:rPr>
      </w:pPr>
      <w:bookmarkStart w:id="167" w:name="_Toc114498372"/>
      <w:r>
        <w:rPr>
          <w:rFonts w:hint="eastAsia" w:ascii="楷体_GB2312" w:hAnsi="楷体_GB2312" w:eastAsia="楷体_GB2312" w:cs="楷体_GB2312"/>
          <w:bCs/>
          <w:color w:val="000000"/>
          <w:sz w:val="32"/>
          <w:szCs w:val="32"/>
          <w:lang w:val="zh-CN"/>
        </w:rPr>
        <w:t>（二）项目绩效目标</w:t>
      </w:r>
      <w:bookmarkEnd w:id="167"/>
    </w:p>
    <w:p>
      <w:pPr>
        <w:pStyle w:val="2"/>
        <w:spacing w:beforeLines="0" w:line="550" w:lineRule="exact"/>
        <w:ind w:firstLine="640" w:firstLineChars="200"/>
        <w:rPr>
          <w:rFonts w:hAnsi="仿宋_GB2312" w:cs="仿宋_GB2312"/>
          <w:kern w:val="2"/>
          <w:sz w:val="32"/>
          <w:szCs w:val="32"/>
          <w:lang w:val="zh-CN"/>
        </w:rPr>
      </w:pPr>
      <w:r>
        <w:rPr>
          <w:rFonts w:hint="eastAsia" w:hAnsi="仿宋_GB2312" w:cs="仿宋_GB2312"/>
          <w:kern w:val="2"/>
          <w:sz w:val="32"/>
          <w:szCs w:val="32"/>
          <w:lang w:val="zh-CN"/>
        </w:rPr>
        <w:t>保障贫困村整村稳定退出、非贫困村贫困人口全面脱贫，驻村工作队员（含第一书记）脱产驻村，吃住在村开展扶贫工作，第一书记驻村时间（除开会、培训、协调项目资金外），贫困村平均每月达到22天，非贫困村10天以上。</w:t>
      </w:r>
    </w:p>
    <w:p>
      <w:pPr>
        <w:spacing w:line="550" w:lineRule="exact"/>
        <w:ind w:firstLine="640" w:firstLineChars="200"/>
        <w:outlineLvl w:val="2"/>
        <w:rPr>
          <w:rFonts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（三）项目自评步骤及方法</w:t>
      </w:r>
    </w:p>
    <w:p>
      <w:pPr>
        <w:pStyle w:val="2"/>
        <w:spacing w:beforeLines="0" w:line="550" w:lineRule="exact"/>
        <w:ind w:firstLine="640" w:firstLineChars="200"/>
        <w:rPr>
          <w:rFonts w:hAnsi="仿宋_GB2312" w:cs="仿宋_GB2312"/>
          <w:kern w:val="2"/>
          <w:sz w:val="32"/>
          <w:szCs w:val="32"/>
          <w:lang w:val="zh-CN"/>
        </w:rPr>
      </w:pPr>
      <w:r>
        <w:rPr>
          <w:rFonts w:hint="eastAsia" w:hAnsi="仿宋_GB2312" w:cs="仿宋_GB2312"/>
          <w:kern w:val="2"/>
          <w:sz w:val="32"/>
          <w:szCs w:val="32"/>
          <w:lang w:val="zh-CN"/>
        </w:rPr>
        <w:t>为进一步强化财政支出绩效理念，规范财政资金管理，提高资金使用绩效，本项目绩效评价主要使用比较法、因数分析法，参照项目支出绩效目标申报情况，围绕项目内容、实施情况、项</w:t>
      </w:r>
      <w:r>
        <w:rPr>
          <w:rFonts w:hint="eastAsia" w:hAnsi="仿宋_GB2312" w:cs="仿宋_GB2312"/>
          <w:spacing w:val="-6"/>
          <w:kern w:val="2"/>
          <w:sz w:val="32"/>
          <w:szCs w:val="32"/>
          <w:lang w:val="zh-CN"/>
        </w:rPr>
        <w:t>目完成、财务管理、社会效益、满意度等针对性地开展了自我评价。</w:t>
      </w:r>
    </w:p>
    <w:p>
      <w:pPr>
        <w:adjustRightInd w:val="0"/>
        <w:snapToGrid w:val="0"/>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二、项目资金申报及使用情况</w:t>
      </w:r>
    </w:p>
    <w:p>
      <w:pPr>
        <w:spacing w:line="550" w:lineRule="exact"/>
        <w:ind w:firstLine="640" w:firstLineChars="200"/>
        <w:outlineLvl w:val="2"/>
        <w:rPr>
          <w:rFonts w:ascii="楷体_GB2312" w:hAnsi="楷体_GB2312" w:eastAsia="楷体_GB2312" w:cs="楷体_GB2312"/>
          <w:bCs/>
          <w:color w:val="000000"/>
          <w:sz w:val="32"/>
          <w:szCs w:val="32"/>
          <w:lang w:val="zh-CN"/>
        </w:rPr>
      </w:pPr>
      <w:bookmarkStart w:id="168" w:name="_Toc114498373"/>
      <w:r>
        <w:rPr>
          <w:rFonts w:hint="eastAsia" w:ascii="楷体_GB2312" w:hAnsi="楷体_GB2312" w:eastAsia="楷体_GB2312" w:cs="楷体_GB2312"/>
          <w:bCs/>
          <w:color w:val="000000"/>
          <w:sz w:val="32"/>
          <w:szCs w:val="32"/>
          <w:lang w:val="zh-CN"/>
        </w:rPr>
        <w:t>（一）项目资金申报及批复情况</w:t>
      </w:r>
      <w:bookmarkEnd w:id="168"/>
    </w:p>
    <w:p>
      <w:pPr>
        <w:adjustRightInd w:val="0"/>
        <w:snapToGrid w:val="0"/>
        <w:spacing w:line="550" w:lineRule="exact"/>
        <w:ind w:firstLine="640" w:firstLineChars="200"/>
        <w:contextualSpacing/>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按照市财政局预算编制要求，市妇联编制</w:t>
      </w:r>
      <w:r>
        <w:rPr>
          <w:rFonts w:hint="eastAsia" w:ascii="仿宋_GB2312" w:hAnsi="仿宋_GB2312" w:eastAsia="仿宋_GB2312" w:cs="仿宋_GB2312"/>
          <w:sz w:val="32"/>
          <w:szCs w:val="32"/>
        </w:rPr>
        <w:t>2021年度帮村扶贫工作经费预算需求，最终下达批复预算0.5万元。</w:t>
      </w:r>
    </w:p>
    <w:p>
      <w:pPr>
        <w:spacing w:line="550" w:lineRule="exact"/>
        <w:ind w:firstLine="640" w:firstLineChars="200"/>
        <w:outlineLvl w:val="2"/>
        <w:rPr>
          <w:rFonts w:ascii="楷体_GB2312" w:hAnsi="楷体_GB2312" w:eastAsia="楷体_GB2312" w:cs="楷体_GB2312"/>
          <w:bCs/>
          <w:color w:val="000000"/>
          <w:sz w:val="32"/>
          <w:szCs w:val="32"/>
          <w:lang w:val="zh-CN"/>
        </w:rPr>
      </w:pPr>
      <w:bookmarkStart w:id="169" w:name="_Toc114498374"/>
      <w:r>
        <w:rPr>
          <w:rFonts w:hint="eastAsia" w:ascii="楷体_GB2312" w:hAnsi="楷体_GB2312" w:eastAsia="楷体_GB2312" w:cs="楷体_GB2312"/>
          <w:bCs/>
          <w:color w:val="000000"/>
          <w:sz w:val="32"/>
          <w:szCs w:val="32"/>
          <w:lang w:val="zh-CN"/>
        </w:rPr>
        <w:t>（二）资金计划、到位及使用情况</w:t>
      </w:r>
      <w:bookmarkEnd w:id="169"/>
    </w:p>
    <w:p>
      <w:pPr>
        <w:spacing w:line="55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p>
    <w:p>
      <w:pPr>
        <w:spacing w:line="550"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市妇联编制</w:t>
      </w:r>
      <w:r>
        <w:rPr>
          <w:rFonts w:hint="eastAsia" w:ascii="仿宋_GB2312" w:hAnsi="仿宋_GB2312" w:eastAsia="仿宋_GB2312" w:cs="仿宋_GB2312"/>
          <w:sz w:val="32"/>
          <w:szCs w:val="32"/>
        </w:rPr>
        <w:t>2021年度帮村扶贫工作经费0.5万元预算需求。</w:t>
      </w:r>
    </w:p>
    <w:p>
      <w:pPr>
        <w:adjustRightInd w:val="0"/>
        <w:snapToGrid w:val="0"/>
        <w:spacing w:line="55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．资金到位</w:t>
      </w:r>
    </w:p>
    <w:p>
      <w:pPr>
        <w:pStyle w:val="2"/>
        <w:spacing w:beforeLines="0" w:line="550" w:lineRule="exact"/>
        <w:ind w:firstLine="640" w:firstLineChars="200"/>
        <w:rPr>
          <w:rFonts w:hAnsi="仿宋_GB2312" w:cs="仿宋_GB2312"/>
          <w:kern w:val="2"/>
          <w:sz w:val="32"/>
          <w:szCs w:val="32"/>
          <w:lang w:val="zh-CN"/>
        </w:rPr>
      </w:pPr>
      <w:r>
        <w:rPr>
          <w:rFonts w:hint="eastAsia" w:hAnsi="仿宋_GB2312" w:cs="仿宋_GB2312"/>
          <w:kern w:val="2"/>
          <w:sz w:val="32"/>
          <w:szCs w:val="32"/>
        </w:rPr>
        <w:t>市妇联安排2021年度帮村扶贫工作经费0.5万元，已全部拨款到位。</w:t>
      </w:r>
    </w:p>
    <w:p>
      <w:pPr>
        <w:adjustRightInd w:val="0"/>
        <w:snapToGrid w:val="0"/>
        <w:spacing w:line="55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．资金使用</w:t>
      </w:r>
    </w:p>
    <w:p>
      <w:pPr>
        <w:spacing w:line="550" w:lineRule="exact"/>
        <w:ind w:firstLine="640" w:firstLineChars="200"/>
        <w:textAlignment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保障贫困村整村稳定退出、非贫困村贫困人口全面脱贫，驻村工作队员（含第一书记）脱产驻村，吃住在村开展扶贫工作，共支出0.5万元。</w:t>
      </w:r>
    </w:p>
    <w:p>
      <w:pPr>
        <w:spacing w:line="550" w:lineRule="exact"/>
        <w:ind w:firstLine="640" w:firstLineChars="200"/>
        <w:outlineLvl w:val="2"/>
        <w:rPr>
          <w:rFonts w:ascii="楷体_GB2312" w:hAnsi="楷体_GB2312" w:eastAsia="楷体_GB2312" w:cs="楷体_GB2312"/>
          <w:bCs/>
          <w:color w:val="000000"/>
          <w:sz w:val="32"/>
          <w:szCs w:val="32"/>
          <w:lang w:val="zh-CN"/>
        </w:rPr>
      </w:pPr>
      <w:bookmarkStart w:id="170" w:name="_Toc114498375"/>
      <w:r>
        <w:rPr>
          <w:rFonts w:hint="eastAsia" w:ascii="楷体_GB2312" w:hAnsi="楷体_GB2312" w:eastAsia="楷体_GB2312" w:cs="楷体_GB2312"/>
          <w:bCs/>
          <w:color w:val="000000"/>
          <w:sz w:val="32"/>
          <w:szCs w:val="32"/>
          <w:lang w:val="zh-CN"/>
        </w:rPr>
        <w:t>（三）项目财务管理情况</w:t>
      </w:r>
      <w:bookmarkEnd w:id="170"/>
    </w:p>
    <w:p>
      <w:pPr>
        <w:adjustRightInd w:val="0"/>
        <w:snapToGrid w:val="0"/>
        <w:spacing w:line="550" w:lineRule="exact"/>
        <w:ind w:firstLine="640" w:firstLineChars="200"/>
        <w:contextualSpacing/>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市妇联严格按照《专项资金管理使用制度》要求，加强对</w:t>
      </w:r>
      <w:r>
        <w:rPr>
          <w:rFonts w:hint="eastAsia" w:ascii="仿宋_GB2312" w:hAnsi="仿宋_GB2312" w:eastAsia="仿宋_GB2312" w:cs="仿宋_GB2312"/>
          <w:sz w:val="32"/>
          <w:szCs w:val="32"/>
        </w:rPr>
        <w:t>帮村扶贫</w:t>
      </w:r>
      <w:r>
        <w:rPr>
          <w:rFonts w:hint="eastAsia" w:ascii="仿宋_GB2312" w:hAnsi="仿宋_GB2312" w:eastAsia="仿宋_GB2312" w:cs="仿宋_GB2312"/>
          <w:sz w:val="32"/>
          <w:szCs w:val="32"/>
          <w:lang w:val="zh-CN"/>
        </w:rPr>
        <w:t>工作经费的使用管理。在项目资金使用过程中，严格执行财务管理制度，按照专项资金管理办法做好项目实施和监管，财务处理及时，会计核算规范，切实做到专款专用，最大可能发挥专项资金作用。</w:t>
      </w:r>
    </w:p>
    <w:p>
      <w:pPr>
        <w:adjustRightInd w:val="0"/>
        <w:snapToGrid w:val="0"/>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三、项目实施及管理情况</w:t>
      </w:r>
    </w:p>
    <w:p>
      <w:pPr>
        <w:spacing w:line="550" w:lineRule="exact"/>
        <w:ind w:firstLine="640" w:firstLineChars="200"/>
        <w:outlineLvl w:val="2"/>
        <w:rPr>
          <w:rFonts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（一）项目组织架构及实施流程</w:t>
      </w:r>
    </w:p>
    <w:p>
      <w:pPr>
        <w:adjustRightInd w:val="0"/>
        <w:snapToGrid w:val="0"/>
        <w:spacing w:line="550" w:lineRule="exact"/>
        <w:ind w:firstLine="640" w:firstLineChars="200"/>
        <w:contextualSpacing/>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帮村扶贫</w:t>
      </w:r>
      <w:r>
        <w:rPr>
          <w:rFonts w:hint="eastAsia" w:ascii="仿宋_GB2312" w:hAnsi="仿宋_GB2312" w:eastAsia="仿宋_GB2312" w:cs="仿宋_GB2312"/>
          <w:sz w:val="32"/>
          <w:szCs w:val="32"/>
          <w:lang w:val="zh-CN"/>
        </w:rPr>
        <w:t>工作经费项目涉及妇联各部室，在实施过程中以分管副主席牵头、各部室负责组织实施。在项目实施过程中，制订项目方案并编制项目预算，（方案需经分管领导和主要领导审签，</w:t>
      </w:r>
      <w:r>
        <w:rPr>
          <w:rFonts w:hint="eastAsia" w:ascii="仿宋_GB2312" w:hAnsi="仿宋_GB2312" w:eastAsia="仿宋_GB2312" w:cs="仿宋_GB2312"/>
          <w:spacing w:val="-11"/>
          <w:sz w:val="32"/>
          <w:szCs w:val="32"/>
          <w:lang w:val="zh-CN"/>
        </w:rPr>
        <w:t>经费在</w:t>
      </w:r>
      <w:r>
        <w:rPr>
          <w:rFonts w:hint="eastAsia" w:ascii="仿宋_GB2312" w:hAnsi="仿宋_GB2312" w:eastAsia="仿宋_GB2312" w:cs="仿宋_GB2312"/>
          <w:spacing w:val="-11"/>
          <w:sz w:val="32"/>
          <w:szCs w:val="32"/>
        </w:rPr>
        <w:t>2万元以上上党组会研究）</w:t>
      </w:r>
      <w:r>
        <w:rPr>
          <w:rFonts w:hint="eastAsia" w:ascii="仿宋_GB2312" w:hAnsi="仿宋_GB2312" w:eastAsia="仿宋_GB2312" w:cs="仿宋_GB2312"/>
          <w:spacing w:val="-11"/>
          <w:sz w:val="32"/>
          <w:szCs w:val="32"/>
          <w:lang w:val="zh-CN"/>
        </w:rPr>
        <w:t>——组织项目实施（签订合同）——项目实施完毕后报帐结算（经费在</w:t>
      </w:r>
      <w:r>
        <w:rPr>
          <w:rFonts w:hint="eastAsia" w:ascii="仿宋_GB2312" w:hAnsi="仿宋_GB2312" w:eastAsia="仿宋_GB2312" w:cs="仿宋_GB2312"/>
          <w:spacing w:val="-11"/>
          <w:sz w:val="32"/>
          <w:szCs w:val="32"/>
        </w:rPr>
        <w:t>2万元以上上党组会研</w:t>
      </w:r>
      <w:r>
        <w:rPr>
          <w:rFonts w:hint="eastAsia" w:ascii="仿宋_GB2312" w:hAnsi="仿宋_GB2312" w:eastAsia="仿宋_GB2312" w:cs="仿宋_GB2312"/>
          <w:sz w:val="32"/>
          <w:szCs w:val="32"/>
        </w:rPr>
        <w:t>究）</w:t>
      </w:r>
      <w:r>
        <w:rPr>
          <w:rFonts w:hint="eastAsia" w:ascii="仿宋_GB2312" w:hAnsi="仿宋_GB2312" w:eastAsia="仿宋_GB2312" w:cs="仿宋_GB2312"/>
          <w:sz w:val="32"/>
          <w:szCs w:val="32"/>
          <w:lang w:val="zh-CN"/>
        </w:rPr>
        <w:t>。</w:t>
      </w:r>
    </w:p>
    <w:p>
      <w:pPr>
        <w:spacing w:line="550" w:lineRule="exact"/>
        <w:ind w:firstLine="640" w:firstLineChars="200"/>
        <w:outlineLvl w:val="2"/>
        <w:rPr>
          <w:rFonts w:ascii="楷体_GB2312" w:hAnsi="楷体_GB2312" w:eastAsia="楷体_GB2312" w:cs="楷体_GB2312"/>
          <w:bCs/>
          <w:color w:val="000000"/>
          <w:sz w:val="32"/>
          <w:szCs w:val="32"/>
          <w:lang w:val="zh-CN"/>
        </w:rPr>
      </w:pPr>
      <w:bookmarkStart w:id="171" w:name="_Toc114498376"/>
      <w:r>
        <w:rPr>
          <w:rFonts w:hint="eastAsia" w:ascii="楷体_GB2312" w:hAnsi="楷体_GB2312" w:eastAsia="楷体_GB2312" w:cs="楷体_GB2312"/>
          <w:bCs/>
          <w:color w:val="000000"/>
          <w:sz w:val="32"/>
          <w:szCs w:val="32"/>
          <w:lang w:val="zh-CN"/>
        </w:rPr>
        <w:t>（二）项目管理情况</w:t>
      </w:r>
      <w:bookmarkEnd w:id="171"/>
    </w:p>
    <w:p>
      <w:pPr>
        <w:pStyle w:val="2"/>
        <w:spacing w:beforeLines="0" w:line="550" w:lineRule="exact"/>
        <w:ind w:firstLine="640" w:firstLineChars="200"/>
        <w:rPr>
          <w:rFonts w:hAnsi="仿宋_GB2312" w:cs="仿宋_GB2312"/>
          <w:kern w:val="2"/>
          <w:sz w:val="32"/>
          <w:szCs w:val="32"/>
          <w:lang w:val="zh-CN"/>
        </w:rPr>
      </w:pPr>
      <w:r>
        <w:rPr>
          <w:rFonts w:hint="eastAsia" w:hAnsi="仿宋_GB2312" w:cs="仿宋_GB2312"/>
          <w:kern w:val="2"/>
          <w:sz w:val="32"/>
          <w:szCs w:val="32"/>
        </w:rPr>
        <w:t>帮村扶贫</w:t>
      </w:r>
      <w:r>
        <w:rPr>
          <w:rFonts w:hint="eastAsia" w:hAnsi="仿宋_GB2312" w:cs="仿宋_GB2312"/>
          <w:kern w:val="2"/>
          <w:sz w:val="32"/>
          <w:szCs w:val="32"/>
          <w:lang w:val="zh-CN"/>
        </w:rPr>
        <w:t>工作经费项目属运转类涉及妇联各部室，在实施过程中以分管副主席牵头、部室负责人负责的原则，全体干部职工积极配合，通力协作，遇到外包事项需要签到合同等，主动请律师顾问审定，重大事项纳入“三重一大”范围，提交党组会审定。</w:t>
      </w:r>
    </w:p>
    <w:p>
      <w:pPr>
        <w:pStyle w:val="2"/>
        <w:spacing w:beforeLines="0" w:line="550" w:lineRule="exact"/>
        <w:ind w:firstLine="640" w:firstLineChars="200"/>
        <w:rPr>
          <w:rFonts w:ascii="楷体_GB2312" w:hAnsi="楷体_GB2312" w:eastAsia="楷体_GB2312" w:cs="楷体_GB2312"/>
          <w:bCs/>
          <w:color w:val="000000"/>
          <w:kern w:val="2"/>
          <w:sz w:val="32"/>
          <w:szCs w:val="32"/>
          <w:lang w:val="zh-CN"/>
        </w:rPr>
      </w:pPr>
      <w:r>
        <w:rPr>
          <w:rFonts w:hint="eastAsia" w:ascii="楷体_GB2312" w:hAnsi="楷体_GB2312" w:eastAsia="楷体_GB2312" w:cs="楷体_GB2312"/>
          <w:bCs/>
          <w:color w:val="000000"/>
          <w:kern w:val="2"/>
          <w:sz w:val="32"/>
          <w:szCs w:val="32"/>
          <w:lang w:val="zh-CN"/>
        </w:rPr>
        <w:t>（三）项目监管情况</w:t>
      </w:r>
    </w:p>
    <w:p>
      <w:pPr>
        <w:pStyle w:val="2"/>
        <w:spacing w:beforeLines="0" w:line="550" w:lineRule="exact"/>
        <w:ind w:firstLine="640" w:firstLineChars="200"/>
        <w:rPr>
          <w:rFonts w:hAnsi="仿宋_GB2312" w:cs="仿宋_GB2312"/>
          <w:kern w:val="2"/>
          <w:sz w:val="32"/>
          <w:szCs w:val="32"/>
          <w:lang w:val="zh-CN"/>
        </w:rPr>
      </w:pPr>
      <w:r>
        <w:rPr>
          <w:rFonts w:hint="eastAsia" w:hAnsi="仿宋_GB2312" w:cs="仿宋_GB2312"/>
          <w:kern w:val="2"/>
          <w:sz w:val="32"/>
          <w:szCs w:val="32"/>
          <w:lang w:val="zh-CN"/>
        </w:rPr>
        <w:t>市妇联严格按照项目管理有关规定对项目经费进行管理，在支付经费前对项目实施效果进行评估，依据评估结果支付经费。主动邀请单位主要领导、省妇联相关部室进行业务指导，经费管理主动接受市纪委监委驻政协纪检组、市委巡察组以及上级主管部门的监督检查，对预算执行实行动态监控，无违纪违法现象。</w:t>
      </w:r>
    </w:p>
    <w:p>
      <w:pPr>
        <w:adjustRightInd w:val="0"/>
        <w:snapToGrid w:val="0"/>
        <w:spacing w:line="550" w:lineRule="exact"/>
        <w:ind w:firstLine="640" w:firstLineChars="200"/>
        <w:rPr>
          <w:rFonts w:ascii="黑体" w:hAnsi="黑体" w:eastAsia="黑体" w:cs="黑体"/>
          <w:sz w:val="32"/>
          <w:szCs w:val="32"/>
          <w:lang w:val="zh-CN"/>
        </w:rPr>
      </w:pPr>
      <w:r>
        <w:rPr>
          <w:rFonts w:hint="eastAsia" w:ascii="黑体" w:hAnsi="黑体" w:eastAsia="黑体" w:cs="黑体"/>
          <w:sz w:val="32"/>
          <w:szCs w:val="32"/>
        </w:rPr>
        <w:t>四、项目绩效情况</w:t>
      </w:r>
    </w:p>
    <w:p>
      <w:pPr>
        <w:spacing w:line="550" w:lineRule="exact"/>
        <w:ind w:firstLine="640" w:firstLineChars="200"/>
        <w:outlineLvl w:val="2"/>
        <w:rPr>
          <w:rFonts w:ascii="楷体_GB2312" w:hAnsi="楷体_GB2312" w:eastAsia="楷体_GB2312" w:cs="楷体_GB2312"/>
          <w:bCs/>
          <w:color w:val="000000"/>
          <w:sz w:val="32"/>
          <w:szCs w:val="32"/>
          <w:lang w:val="zh-CN"/>
        </w:rPr>
      </w:pPr>
      <w:bookmarkStart w:id="172" w:name="_Toc114498377"/>
      <w:r>
        <w:rPr>
          <w:rFonts w:hint="eastAsia" w:ascii="楷体_GB2312" w:hAnsi="楷体_GB2312" w:eastAsia="楷体_GB2312" w:cs="楷体_GB2312"/>
          <w:bCs/>
          <w:color w:val="000000"/>
          <w:sz w:val="32"/>
          <w:szCs w:val="32"/>
          <w:lang w:val="zh-CN"/>
        </w:rPr>
        <w:t>（一）项目完成情况</w:t>
      </w:r>
      <w:bookmarkEnd w:id="172"/>
    </w:p>
    <w:p>
      <w:pPr>
        <w:adjustRightInd w:val="0"/>
        <w:snapToGrid w:val="0"/>
        <w:spacing w:line="550" w:lineRule="exact"/>
        <w:ind w:firstLine="640" w:firstLineChars="200"/>
        <w:contextualSpacing/>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截止2021年7月21日，项目指标全面完成，项目经济效益、社会效益明显，群体满意度较高。</w:t>
      </w:r>
    </w:p>
    <w:p>
      <w:pPr>
        <w:adjustRightInd w:val="0"/>
        <w:snapToGrid w:val="0"/>
        <w:spacing w:line="550" w:lineRule="exact"/>
        <w:ind w:firstLine="642"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zh-CN"/>
        </w:rPr>
        <w:t>产出数量指标</w:t>
      </w:r>
    </w:p>
    <w:p>
      <w:pPr>
        <w:adjustRightInd w:val="0"/>
        <w:snapToGrid w:val="0"/>
        <w:spacing w:line="550" w:lineRule="exact"/>
        <w:ind w:firstLine="640" w:firstLineChars="200"/>
        <w:contextualSpacing/>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贫困村整村稳定退出、非贫困村贫困人口全面脱贫，驻村工作队员（含第一书记）脱产驻村，吃住在村开展扶贫工作，协调壮岭村脱贫帮扶工作。贫困村平均每月达到22天，非贫困村10天以上。</w:t>
      </w:r>
    </w:p>
    <w:p>
      <w:pPr>
        <w:adjustRightInd w:val="0"/>
        <w:snapToGrid w:val="0"/>
        <w:spacing w:line="550" w:lineRule="exact"/>
        <w:ind w:firstLine="642"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zh-CN"/>
        </w:rPr>
        <w:t>产出质量指标</w:t>
      </w:r>
    </w:p>
    <w:p>
      <w:pPr>
        <w:spacing w:line="550"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全面完成2021年度帮扶工作任务，贫困户稳定脱贫，持续巩固脱贫户脱贫成果。</w:t>
      </w:r>
    </w:p>
    <w:p>
      <w:pPr>
        <w:adjustRightInd w:val="0"/>
        <w:snapToGrid w:val="0"/>
        <w:spacing w:line="550" w:lineRule="exact"/>
        <w:ind w:firstLine="642"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zh-CN"/>
        </w:rPr>
        <w:t>产出时效指标</w:t>
      </w:r>
    </w:p>
    <w:p>
      <w:pPr>
        <w:spacing w:line="550"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2021年7月21日前完成</w:t>
      </w:r>
    </w:p>
    <w:p>
      <w:pPr>
        <w:spacing w:line="550" w:lineRule="exact"/>
        <w:ind w:firstLine="640" w:firstLineChars="200"/>
        <w:outlineLvl w:val="2"/>
        <w:rPr>
          <w:rFonts w:ascii="楷体_GB2312" w:hAnsi="楷体_GB2312" w:eastAsia="楷体_GB2312" w:cs="楷体_GB2312"/>
          <w:bCs/>
          <w:color w:val="000000"/>
          <w:sz w:val="32"/>
          <w:szCs w:val="32"/>
          <w:lang w:val="zh-CN"/>
        </w:rPr>
      </w:pPr>
      <w:bookmarkStart w:id="173" w:name="_Toc114498378"/>
      <w:r>
        <w:rPr>
          <w:rFonts w:hint="eastAsia" w:ascii="楷体_GB2312" w:hAnsi="楷体_GB2312" w:eastAsia="楷体_GB2312" w:cs="楷体_GB2312"/>
          <w:bCs/>
          <w:color w:val="000000"/>
          <w:sz w:val="32"/>
          <w:szCs w:val="32"/>
          <w:lang w:val="zh-CN"/>
        </w:rPr>
        <w:t>（二）项目效益情况</w:t>
      </w:r>
      <w:bookmarkEnd w:id="173"/>
    </w:p>
    <w:p>
      <w:pPr>
        <w:spacing w:line="550"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1.经济效益指标</w:t>
      </w:r>
    </w:p>
    <w:p>
      <w:pPr>
        <w:adjustRightInd w:val="0"/>
        <w:snapToGrid w:val="0"/>
        <w:spacing w:line="550" w:lineRule="exact"/>
        <w:ind w:firstLine="596" w:firstLineChars="200"/>
        <w:rPr>
          <w:rFonts w:ascii="仿宋_GB2312" w:hAnsi="仿宋_GB2312" w:eastAsia="仿宋_GB2312" w:cs="仿宋_GB2312"/>
          <w:color w:val="000000"/>
          <w:sz w:val="32"/>
          <w:szCs w:val="32"/>
        </w:rPr>
      </w:pPr>
      <w:r>
        <w:rPr>
          <w:rFonts w:hint="eastAsia" w:ascii="仿宋_GB2312" w:hAnsi="仿宋_GB2312" w:eastAsia="仿宋_GB2312" w:cs="仿宋_GB2312"/>
          <w:spacing w:val="-11"/>
          <w:sz w:val="32"/>
          <w:szCs w:val="32"/>
        </w:rPr>
        <w:t>2021年项目无资金使用重大违规违纪问题，支出依据合规，无虚列项目支出、无截留挤占挪用、无超标准开支、无超预算等情况。</w:t>
      </w:r>
      <w:r>
        <w:rPr>
          <w:rFonts w:hint="eastAsia" w:ascii="仿宋_GB2312" w:hAnsi="仿宋_GB2312" w:eastAsia="仿宋_GB2312" w:cs="仿宋_GB2312"/>
          <w:color w:val="000000"/>
          <w:sz w:val="32"/>
          <w:szCs w:val="32"/>
        </w:rPr>
        <w:t xml:space="preserve"> </w:t>
      </w:r>
    </w:p>
    <w:p>
      <w:pPr>
        <w:spacing w:line="550"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2.社会效益指标</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宣传政策，促进政策落实，促进干群关系，提高群众满意度，巩固党的执政基础，关爱贫困群众、助力贫困村贫困户脱贫致富奔小康。</w:t>
      </w:r>
    </w:p>
    <w:p>
      <w:pPr>
        <w:spacing w:line="55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3.可持续效益指标</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通过持续引进产业和技术培训，促进产业发展，实现全国同步实现全面小康。</w:t>
      </w:r>
    </w:p>
    <w:p>
      <w:pPr>
        <w:spacing w:line="550"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4.服务对象满意度指标</w:t>
      </w:r>
    </w:p>
    <w:p>
      <w:pPr>
        <w:spacing w:line="550"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设置：不满意、一般、满意、非常满意4个满意度指标。通过对所服务对象征询意见，征询项目在服务方式、服务手段、实施成效等满意度进行调查。满意以上指标达98%以上。</w:t>
      </w:r>
    </w:p>
    <w:p>
      <w:pPr>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五、评价结论及建议</w:t>
      </w:r>
    </w:p>
    <w:p>
      <w:pPr>
        <w:spacing w:line="550" w:lineRule="exact"/>
        <w:ind w:firstLine="640" w:firstLineChars="200"/>
        <w:outlineLvl w:val="2"/>
        <w:rPr>
          <w:rFonts w:ascii="楷体_GB2312" w:hAnsi="楷体_GB2312" w:eastAsia="楷体_GB2312" w:cs="楷体_GB2312"/>
          <w:bCs/>
          <w:color w:val="000000"/>
          <w:sz w:val="32"/>
          <w:szCs w:val="32"/>
          <w:lang w:val="zh-CN"/>
        </w:rPr>
      </w:pPr>
      <w:bookmarkStart w:id="174" w:name="_Toc114498379"/>
      <w:r>
        <w:rPr>
          <w:rFonts w:hint="eastAsia" w:ascii="楷体_GB2312" w:hAnsi="楷体_GB2312" w:eastAsia="楷体_GB2312" w:cs="楷体_GB2312"/>
          <w:bCs/>
          <w:color w:val="000000"/>
          <w:sz w:val="32"/>
          <w:szCs w:val="32"/>
          <w:lang w:val="zh-CN"/>
        </w:rPr>
        <w:t>（一）评价结论</w:t>
      </w:r>
      <w:bookmarkEnd w:id="174"/>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围绕项目数量指标、质量指标、时效指标、成本指标、项目效益和满意指标，结合项目自身特点、目标任务及资金管理办法等要求，我们认为，整个项目</w:t>
      </w:r>
      <w:r>
        <w:rPr>
          <w:rFonts w:hint="eastAsia" w:ascii="仿宋_GB2312" w:hAnsi="仿宋_GB2312" w:eastAsia="仿宋_GB2312" w:cs="仿宋_GB2312"/>
          <w:sz w:val="32"/>
          <w:szCs w:val="32"/>
        </w:rPr>
        <w:t>促进政策落实，促进干群关系，提高群众满意度，巩固党的执政基础，关爱贫困群众、助力贫困村贫困户脱贫致富奔小康,自评得分100分。</w:t>
      </w:r>
    </w:p>
    <w:p>
      <w:pPr>
        <w:adjustRightInd w:val="0"/>
        <w:snapToGrid w:val="0"/>
        <w:spacing w:line="550" w:lineRule="exact"/>
        <w:ind w:firstLine="640" w:firstLineChars="200"/>
        <w:rPr>
          <w:rFonts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（二）存在的问题</w:t>
      </w:r>
    </w:p>
    <w:p>
      <w:pPr>
        <w:spacing w:line="550" w:lineRule="exact"/>
        <w:ind w:firstLine="640" w:firstLineChars="200"/>
        <w:outlineLvl w:val="2"/>
        <w:rPr>
          <w:rFonts w:ascii="仿宋_GB2312" w:hAnsi="仿宋_GB2312" w:eastAsia="仿宋_GB2312" w:cs="仿宋_GB2312"/>
          <w:sz w:val="32"/>
          <w:szCs w:val="32"/>
        </w:rPr>
      </w:pPr>
      <w:bookmarkStart w:id="175" w:name="_Toc114498380"/>
      <w:r>
        <w:rPr>
          <w:rFonts w:hint="eastAsia" w:ascii="仿宋_GB2312" w:hAnsi="仿宋_GB2312" w:eastAsia="仿宋_GB2312" w:cs="仿宋_GB2312"/>
          <w:sz w:val="32"/>
          <w:szCs w:val="32"/>
        </w:rPr>
        <w:t>无</w:t>
      </w:r>
      <w:bookmarkEnd w:id="175"/>
    </w:p>
    <w:p>
      <w:pPr>
        <w:spacing w:line="550" w:lineRule="exact"/>
        <w:ind w:firstLine="640" w:firstLineChars="200"/>
        <w:outlineLvl w:val="2"/>
        <w:rPr>
          <w:rFonts w:ascii="楷体_GB2312" w:hAnsi="楷体_GB2312" w:eastAsia="楷体_GB2312" w:cs="楷体_GB2312"/>
          <w:bCs/>
          <w:color w:val="000000"/>
          <w:sz w:val="32"/>
          <w:szCs w:val="32"/>
          <w:lang w:val="zh-CN"/>
        </w:rPr>
      </w:pPr>
      <w:bookmarkStart w:id="176" w:name="_Toc114498381"/>
      <w:r>
        <w:rPr>
          <w:rFonts w:hint="eastAsia" w:ascii="楷体_GB2312" w:hAnsi="楷体_GB2312" w:eastAsia="楷体_GB2312" w:cs="楷体_GB2312"/>
          <w:bCs/>
          <w:color w:val="000000"/>
          <w:sz w:val="32"/>
          <w:szCs w:val="32"/>
          <w:lang w:val="zh-CN"/>
        </w:rPr>
        <w:t>（三）相关建议</w:t>
      </w:r>
      <w:bookmarkEnd w:id="176"/>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pStyle w:val="2"/>
        <w:spacing w:before="93"/>
      </w:pPr>
    </w:p>
    <w:p>
      <w:pPr>
        <w:widowControl/>
        <w:adjustRightInd w:val="0"/>
        <w:snapToGrid w:val="0"/>
        <w:spacing w:line="580" w:lineRule="exact"/>
        <w:contextualSpacing/>
        <w:jc w:val="left"/>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p>
    <w:tbl>
      <w:tblPr>
        <w:tblStyle w:val="20"/>
        <w:tblW w:w="9106" w:type="dxa"/>
        <w:jc w:val="center"/>
        <w:tblLayout w:type="fixed"/>
        <w:tblCellMar>
          <w:top w:w="0" w:type="dxa"/>
          <w:left w:w="108" w:type="dxa"/>
          <w:bottom w:w="0" w:type="dxa"/>
          <w:right w:w="108" w:type="dxa"/>
        </w:tblCellMar>
      </w:tblPr>
      <w:tblGrid>
        <w:gridCol w:w="951"/>
        <w:gridCol w:w="1237"/>
        <w:gridCol w:w="1238"/>
        <w:gridCol w:w="1743"/>
        <w:gridCol w:w="1292"/>
        <w:gridCol w:w="2233"/>
        <w:gridCol w:w="412"/>
      </w:tblGrid>
      <w:tr>
        <w:tblPrEx>
          <w:tblCellMar>
            <w:top w:w="0" w:type="dxa"/>
            <w:left w:w="108" w:type="dxa"/>
            <w:bottom w:w="0" w:type="dxa"/>
            <w:right w:w="108" w:type="dxa"/>
          </w:tblCellMar>
        </w:tblPrEx>
        <w:trPr>
          <w:trHeight w:val="824" w:hRule="atLeast"/>
          <w:jc w:val="center"/>
        </w:trPr>
        <w:tc>
          <w:tcPr>
            <w:tcW w:w="8694" w:type="dxa"/>
            <w:gridSpan w:val="6"/>
            <w:tcBorders>
              <w:top w:val="nil"/>
              <w:left w:val="nil"/>
              <w:bottom w:val="single" w:color="auto" w:sz="4" w:space="0"/>
              <w:right w:val="nil"/>
            </w:tcBorders>
            <w:shd w:val="clear" w:color="auto" w:fill="auto"/>
            <w:vAlign w:val="center"/>
          </w:tcPr>
          <w:p>
            <w:pPr>
              <w:widowControl/>
              <w:spacing w:line="580" w:lineRule="exact"/>
              <w:jc w:val="center"/>
              <w:textAlignment w:val="center"/>
              <w:rPr>
                <w:rFonts w:ascii="仿宋_GB2312" w:hAnsi="仿宋_GB2312" w:eastAsia="仿宋_GB2312" w:cs="仿宋_GB2312"/>
                <w:b/>
                <w:sz w:val="24"/>
              </w:rPr>
            </w:pPr>
            <w:r>
              <w:rPr>
                <w:rFonts w:hint="eastAsia" w:ascii="方正小标宋简体" w:hAnsi="方正小标宋简体" w:eastAsia="方正小标宋简体" w:cs="方正小标宋简体"/>
                <w:bCs/>
                <w:sz w:val="44"/>
                <w:szCs w:val="44"/>
              </w:rPr>
              <w:t>2021年部门预算项目绩效目标自评</w:t>
            </w:r>
          </w:p>
        </w:tc>
        <w:tc>
          <w:tcPr>
            <w:tcW w:w="412" w:type="dxa"/>
            <w:tcBorders>
              <w:top w:val="nil"/>
              <w:left w:val="nil"/>
              <w:bottom w:val="nil"/>
              <w:right w:val="nil"/>
            </w:tcBorders>
            <w:shd w:val="clear" w:color="auto" w:fill="auto"/>
            <w:vAlign w:val="center"/>
          </w:tcPr>
          <w:p>
            <w:pPr>
              <w:widowControl/>
              <w:spacing w:line="340" w:lineRule="exact"/>
              <w:jc w:val="center"/>
              <w:textAlignment w:val="center"/>
              <w:rPr>
                <w:rFonts w:ascii="仿宋_GB2312" w:hAnsi="仿宋_GB2312" w:eastAsia="仿宋_GB2312" w:cs="仿宋_GB2312"/>
                <w:b/>
                <w:kern w:val="0"/>
                <w:sz w:val="24"/>
              </w:rPr>
            </w:pPr>
          </w:p>
        </w:tc>
      </w:tr>
      <w:tr>
        <w:tblPrEx>
          <w:tblCellMar>
            <w:top w:w="0" w:type="dxa"/>
            <w:left w:w="108" w:type="dxa"/>
            <w:bottom w:w="0" w:type="dxa"/>
            <w:right w:w="108" w:type="dxa"/>
          </w:tblCellMar>
        </w:tblPrEx>
        <w:trPr>
          <w:gridAfter w:val="1"/>
          <w:wAfter w:w="412" w:type="dxa"/>
          <w:jc w:val="center"/>
        </w:trPr>
        <w:tc>
          <w:tcPr>
            <w:tcW w:w="21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主管部门及代码</w:t>
            </w:r>
          </w:p>
        </w:tc>
        <w:tc>
          <w:tcPr>
            <w:tcW w:w="29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仿宋_GB2312" w:hAnsi="仿宋_GB2312" w:eastAsia="仿宋_GB2312" w:cs="仿宋_GB2312"/>
                <w:sz w:val="24"/>
              </w:rPr>
            </w:pPr>
            <w:r>
              <w:rPr>
                <w:rFonts w:hint="eastAsia" w:ascii="仿宋_GB2312" w:hAnsi="仿宋_GB2312" w:eastAsia="仿宋_GB2312" w:cs="仿宋_GB2312"/>
                <w:sz w:val="24"/>
              </w:rPr>
              <w:t>妇女儿童业务</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工作经费-354001</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实施单位</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广元市妇女联合会</w:t>
            </w:r>
          </w:p>
        </w:tc>
      </w:tr>
      <w:tr>
        <w:tblPrEx>
          <w:tblCellMar>
            <w:top w:w="0" w:type="dxa"/>
            <w:left w:w="108" w:type="dxa"/>
            <w:bottom w:w="0" w:type="dxa"/>
            <w:right w:w="108" w:type="dxa"/>
          </w:tblCellMar>
        </w:tblPrEx>
        <w:trPr>
          <w:gridAfter w:val="1"/>
          <w:wAfter w:w="412" w:type="dxa"/>
          <w:trHeight w:val="555" w:hRule="atLeast"/>
          <w:jc w:val="center"/>
        </w:trPr>
        <w:tc>
          <w:tcPr>
            <w:tcW w:w="218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项目预算</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执行情况</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（万元）</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 xml:space="preserve"> 预算数：</w:t>
            </w:r>
          </w:p>
        </w:tc>
        <w:tc>
          <w:tcPr>
            <w:tcW w:w="17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left"/>
              <w:rPr>
                <w:rFonts w:ascii="仿宋_GB2312" w:hAnsi="仿宋_GB2312" w:eastAsia="仿宋_GB2312" w:cs="仿宋_GB2312"/>
                <w:sz w:val="24"/>
              </w:rPr>
            </w:pPr>
            <w:r>
              <w:rPr>
                <w:rFonts w:hint="eastAsia" w:ascii="仿宋_GB2312" w:hAnsi="仿宋_GB2312" w:eastAsia="仿宋_GB2312" w:cs="仿宋_GB2312"/>
                <w:sz w:val="24"/>
              </w:rPr>
              <w:t>0.5</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 xml:space="preserve"> 执行数：</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right"/>
              <w:rPr>
                <w:rFonts w:ascii="仿宋_GB2312" w:hAnsi="仿宋_GB2312" w:eastAsia="仿宋_GB2312" w:cs="仿宋_GB2312"/>
                <w:sz w:val="24"/>
              </w:rPr>
            </w:pPr>
            <w:r>
              <w:rPr>
                <w:rFonts w:hint="eastAsia" w:ascii="仿宋_GB2312" w:hAnsi="仿宋_GB2312" w:eastAsia="仿宋_GB2312" w:cs="仿宋_GB2312"/>
                <w:sz w:val="24"/>
              </w:rPr>
              <w:t>0.5</w:t>
            </w:r>
          </w:p>
        </w:tc>
      </w:tr>
      <w:tr>
        <w:trPr>
          <w:gridAfter w:val="1"/>
          <w:wAfter w:w="412" w:type="dxa"/>
          <w:jc w:val="center"/>
        </w:trPr>
        <w:tc>
          <w:tcPr>
            <w:tcW w:w="218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ascii="仿宋_GB2312" w:hAnsi="仿宋_GB2312" w:eastAsia="仿宋_GB2312" w:cs="仿宋_GB2312"/>
                <w:sz w:val="24"/>
              </w:rPr>
            </w:pP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其中：</w:t>
            </w:r>
          </w:p>
          <w:p>
            <w:pPr>
              <w:widowControl/>
              <w:spacing w:line="34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财政拨款</w:t>
            </w:r>
          </w:p>
        </w:tc>
        <w:tc>
          <w:tcPr>
            <w:tcW w:w="17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0.5</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其中：</w:t>
            </w:r>
          </w:p>
          <w:p>
            <w:pPr>
              <w:widowControl/>
              <w:spacing w:line="34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财政拨款</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0.5</w:t>
            </w:r>
          </w:p>
        </w:tc>
      </w:tr>
      <w:tr>
        <w:tblPrEx>
          <w:tblCellMar>
            <w:top w:w="0" w:type="dxa"/>
            <w:left w:w="108" w:type="dxa"/>
            <w:bottom w:w="0" w:type="dxa"/>
            <w:right w:w="108" w:type="dxa"/>
          </w:tblCellMar>
        </w:tblPrEx>
        <w:trPr>
          <w:gridAfter w:val="1"/>
          <w:wAfter w:w="412" w:type="dxa"/>
          <w:trHeight w:val="499" w:hRule="atLeast"/>
          <w:jc w:val="center"/>
        </w:trPr>
        <w:tc>
          <w:tcPr>
            <w:tcW w:w="218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ascii="仿宋_GB2312" w:hAnsi="仿宋_GB2312" w:eastAsia="仿宋_GB2312" w:cs="仿宋_GB2312"/>
                <w:sz w:val="24"/>
              </w:rPr>
            </w:pP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其他资金</w:t>
            </w:r>
          </w:p>
        </w:tc>
        <w:tc>
          <w:tcPr>
            <w:tcW w:w="17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其他资金</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CellMar>
            <w:top w:w="0" w:type="dxa"/>
            <w:left w:w="108" w:type="dxa"/>
            <w:bottom w:w="0" w:type="dxa"/>
            <w:right w:w="108" w:type="dxa"/>
          </w:tblCellMar>
        </w:tblPrEx>
        <w:trPr>
          <w:gridAfter w:val="1"/>
          <w:wAfter w:w="412" w:type="dxa"/>
          <w:trHeight w:val="499" w:hRule="atLeast"/>
          <w:jc w:val="center"/>
        </w:trPr>
        <w:tc>
          <w:tcPr>
            <w:tcW w:w="9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年度总体目标完成情况</w:t>
            </w:r>
          </w:p>
        </w:tc>
        <w:tc>
          <w:tcPr>
            <w:tcW w:w="42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预期目标</w:t>
            </w:r>
          </w:p>
        </w:tc>
        <w:tc>
          <w:tcPr>
            <w:tcW w:w="35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目标实际完成情况</w:t>
            </w:r>
          </w:p>
        </w:tc>
      </w:tr>
      <w:tr>
        <w:tblPrEx>
          <w:tblCellMar>
            <w:top w:w="0" w:type="dxa"/>
            <w:left w:w="108" w:type="dxa"/>
            <w:bottom w:w="0" w:type="dxa"/>
            <w:right w:w="108" w:type="dxa"/>
          </w:tblCellMar>
        </w:tblPrEx>
        <w:trPr>
          <w:gridAfter w:val="1"/>
          <w:wAfter w:w="412" w:type="dxa"/>
          <w:jc w:val="center"/>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ascii="仿宋_GB2312" w:hAnsi="仿宋_GB2312" w:eastAsia="仿宋_GB2312" w:cs="仿宋_GB2312"/>
                <w:sz w:val="24"/>
              </w:rPr>
            </w:pPr>
          </w:p>
        </w:tc>
        <w:tc>
          <w:tcPr>
            <w:tcW w:w="4218" w:type="dxa"/>
            <w:gridSpan w:val="3"/>
            <w:tcBorders>
              <w:top w:val="single" w:color="auto" w:sz="4" w:space="0"/>
              <w:left w:val="single" w:color="auto" w:sz="4" w:space="0"/>
              <w:bottom w:val="single" w:color="auto" w:sz="4" w:space="0"/>
              <w:right w:val="single" w:color="auto" w:sz="4" w:space="0"/>
            </w:tcBorders>
            <w:shd w:val="clear" w:color="auto" w:fill="auto"/>
          </w:tcPr>
          <w:p>
            <w:pPr>
              <w:widowControl/>
              <w:spacing w:line="340" w:lineRule="exact"/>
              <w:jc w:val="left"/>
              <w:textAlignment w:val="top"/>
              <w:rPr>
                <w:rFonts w:ascii="仿宋_GB2312" w:hAnsi="仿宋_GB2312" w:eastAsia="仿宋_GB2312" w:cs="仿宋_GB2312"/>
                <w:sz w:val="24"/>
              </w:rPr>
            </w:pPr>
            <w:r>
              <w:rPr>
                <w:rFonts w:hint="eastAsia" w:ascii="仿宋_GB2312" w:hAnsi="仿宋_GB2312" w:eastAsia="仿宋_GB2312" w:cs="仿宋_GB2312"/>
                <w:sz w:val="24"/>
              </w:rPr>
              <w:t>前途村驻村工作队员（含第一书记）脱产驻村，吃住在村开展扶贫工作，协调壮岭村脱贫帮扶工作</w:t>
            </w:r>
          </w:p>
        </w:tc>
        <w:tc>
          <w:tcPr>
            <w:tcW w:w="352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line="340" w:lineRule="exact"/>
              <w:jc w:val="left"/>
              <w:textAlignment w:val="top"/>
              <w:rPr>
                <w:rFonts w:ascii="仿宋_GB2312" w:hAnsi="仿宋_GB2312" w:eastAsia="仿宋_GB2312" w:cs="仿宋_GB2312"/>
                <w:sz w:val="24"/>
              </w:rPr>
            </w:pPr>
            <w:r>
              <w:rPr>
                <w:rFonts w:hint="eastAsia" w:ascii="仿宋_GB2312" w:hAnsi="仿宋_GB2312" w:eastAsia="仿宋_GB2312" w:cs="仿宋_GB2312"/>
                <w:sz w:val="24"/>
              </w:rPr>
              <w:t>前途村驻村工作队员（含第一书记）脱产驻村，吃住在村开展扶贫工作，协调壮岭村脱贫帮扶工作</w:t>
            </w:r>
          </w:p>
        </w:tc>
      </w:tr>
      <w:tr>
        <w:tblPrEx>
          <w:tblCellMar>
            <w:top w:w="0" w:type="dxa"/>
            <w:left w:w="108" w:type="dxa"/>
            <w:bottom w:w="0" w:type="dxa"/>
            <w:right w:w="108" w:type="dxa"/>
          </w:tblCellMar>
        </w:tblPrEx>
        <w:trPr>
          <w:gridAfter w:val="1"/>
          <w:wAfter w:w="412" w:type="dxa"/>
          <w:jc w:val="center"/>
        </w:trPr>
        <w:tc>
          <w:tcPr>
            <w:tcW w:w="9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年度绩效指标完成情况</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一级</w:t>
            </w:r>
          </w:p>
          <w:p>
            <w:pPr>
              <w:widowControl/>
              <w:spacing w:line="34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二级</w:t>
            </w:r>
          </w:p>
          <w:p>
            <w:pPr>
              <w:widowControl/>
              <w:spacing w:line="34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7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三级</w:t>
            </w:r>
          </w:p>
          <w:p>
            <w:pPr>
              <w:widowControl/>
              <w:spacing w:line="34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预期</w:t>
            </w:r>
          </w:p>
          <w:p>
            <w:pPr>
              <w:widowControl/>
              <w:spacing w:line="34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指标值</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实际完成指标值</w:t>
            </w:r>
          </w:p>
        </w:tc>
      </w:tr>
      <w:tr>
        <w:tblPrEx>
          <w:tblCellMar>
            <w:top w:w="0" w:type="dxa"/>
            <w:left w:w="108" w:type="dxa"/>
            <w:bottom w:w="0" w:type="dxa"/>
            <w:right w:w="108" w:type="dxa"/>
          </w:tblCellMar>
        </w:tblPrEx>
        <w:trPr>
          <w:gridAfter w:val="1"/>
          <w:wAfter w:w="412" w:type="dxa"/>
          <w:trHeight w:val="2520" w:hRule="atLeast"/>
          <w:jc w:val="center"/>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ascii="仿宋_GB2312" w:hAnsi="仿宋_GB2312" w:eastAsia="仿宋_GB2312" w:cs="仿宋_GB2312"/>
                <w:sz w:val="24"/>
              </w:rPr>
            </w:pPr>
          </w:p>
        </w:tc>
        <w:tc>
          <w:tcPr>
            <w:tcW w:w="12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完成</w:t>
            </w:r>
          </w:p>
          <w:p>
            <w:pPr>
              <w:widowControl/>
              <w:spacing w:line="34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数量指标</w:t>
            </w:r>
          </w:p>
        </w:tc>
        <w:tc>
          <w:tcPr>
            <w:tcW w:w="17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指标1：第一书记及工作队员完成剑阁县白龙镇前途村、韩阳镇壮岭村的帮扶任务。</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驻村工作队员（含第一书记）脱产驻村，吃住在村帮扶工作</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驻村工作队员（含第一书记）脱产驻村，吃住在村帮扶工作</w:t>
            </w:r>
          </w:p>
        </w:tc>
      </w:tr>
      <w:tr>
        <w:tblPrEx>
          <w:tblCellMar>
            <w:top w:w="0" w:type="dxa"/>
            <w:left w:w="108" w:type="dxa"/>
            <w:bottom w:w="0" w:type="dxa"/>
            <w:right w:w="108" w:type="dxa"/>
          </w:tblCellMar>
        </w:tblPrEx>
        <w:trPr>
          <w:gridAfter w:val="1"/>
          <w:wAfter w:w="412" w:type="dxa"/>
          <w:jc w:val="center"/>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ascii="仿宋_GB2312" w:hAnsi="仿宋_GB2312" w:eastAsia="仿宋_GB2312" w:cs="仿宋_GB2312"/>
                <w:sz w:val="24"/>
              </w:rPr>
            </w:pPr>
          </w:p>
        </w:tc>
        <w:tc>
          <w:tcPr>
            <w:tcW w:w="12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ascii="仿宋_GB2312" w:hAnsi="仿宋_GB2312" w:eastAsia="仿宋_GB2312" w:cs="仿宋_GB2312"/>
                <w:sz w:val="24"/>
              </w:rPr>
            </w:pP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质量指标</w:t>
            </w:r>
          </w:p>
        </w:tc>
        <w:tc>
          <w:tcPr>
            <w:tcW w:w="17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指标1：全面完成2021年度帮扶工作任务</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持续巩固脱贫户脱贫成果</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持续巩固脱贫户脱贫成果</w:t>
            </w:r>
          </w:p>
        </w:tc>
      </w:tr>
      <w:tr>
        <w:tblPrEx>
          <w:tblCellMar>
            <w:top w:w="0" w:type="dxa"/>
            <w:left w:w="108" w:type="dxa"/>
            <w:bottom w:w="0" w:type="dxa"/>
            <w:right w:w="108" w:type="dxa"/>
          </w:tblCellMar>
        </w:tblPrEx>
        <w:trPr>
          <w:gridAfter w:val="1"/>
          <w:wAfter w:w="412" w:type="dxa"/>
          <w:trHeight w:val="1123" w:hRule="atLeast"/>
          <w:jc w:val="center"/>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ascii="仿宋_GB2312" w:hAnsi="仿宋_GB2312" w:eastAsia="仿宋_GB2312" w:cs="仿宋_GB2312"/>
                <w:sz w:val="24"/>
              </w:rPr>
            </w:pPr>
          </w:p>
        </w:tc>
        <w:tc>
          <w:tcPr>
            <w:tcW w:w="12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ascii="仿宋_GB2312" w:hAnsi="仿宋_GB2312" w:eastAsia="仿宋_GB2312" w:cs="仿宋_GB2312"/>
                <w:sz w:val="24"/>
              </w:rPr>
            </w:pP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时效指标</w:t>
            </w:r>
          </w:p>
        </w:tc>
        <w:tc>
          <w:tcPr>
            <w:tcW w:w="17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指标1：2021年7月31日前完成</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2021年7月31日前完成</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2021年7月31日</w:t>
            </w:r>
          </w:p>
          <w:p>
            <w:pPr>
              <w:widowControl/>
              <w:spacing w:line="34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前完成</w:t>
            </w:r>
          </w:p>
        </w:tc>
      </w:tr>
      <w:tr>
        <w:tblPrEx>
          <w:tblCellMar>
            <w:top w:w="0" w:type="dxa"/>
            <w:left w:w="108" w:type="dxa"/>
            <w:bottom w:w="0" w:type="dxa"/>
            <w:right w:w="108" w:type="dxa"/>
          </w:tblCellMar>
        </w:tblPrEx>
        <w:trPr>
          <w:gridAfter w:val="1"/>
          <w:wAfter w:w="412" w:type="dxa"/>
          <w:trHeight w:val="1444" w:hRule="atLeast"/>
          <w:jc w:val="center"/>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ascii="仿宋_GB2312" w:hAnsi="仿宋_GB2312" w:eastAsia="仿宋_GB2312" w:cs="仿宋_GB2312"/>
                <w:sz w:val="24"/>
              </w:rPr>
            </w:pPr>
          </w:p>
        </w:tc>
        <w:tc>
          <w:tcPr>
            <w:tcW w:w="12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ascii="仿宋_GB2312" w:hAnsi="仿宋_GB2312" w:eastAsia="仿宋_GB2312" w:cs="仿宋_GB2312"/>
                <w:sz w:val="24"/>
              </w:rPr>
            </w:pP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成本指标</w:t>
            </w:r>
          </w:p>
        </w:tc>
        <w:tc>
          <w:tcPr>
            <w:tcW w:w="17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textAlignment w:val="bottom"/>
              <w:rPr>
                <w:rFonts w:ascii="仿宋_GB2312" w:hAnsi="仿宋_GB2312" w:eastAsia="仿宋_GB2312" w:cs="仿宋_GB2312"/>
                <w:sz w:val="24"/>
              </w:rPr>
            </w:pPr>
            <w:r>
              <w:rPr>
                <w:rFonts w:hint="eastAsia" w:ascii="仿宋_GB2312" w:hAnsi="仿宋_GB2312" w:eastAsia="仿宋_GB2312" w:cs="仿宋_GB2312"/>
                <w:sz w:val="24"/>
              </w:rPr>
              <w:t>指标1：差旅费、慰问费、工作补助及交通费</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textAlignment w:val="bottom"/>
              <w:rPr>
                <w:rFonts w:ascii="仿宋_GB2312" w:hAnsi="仿宋_GB2312" w:eastAsia="仿宋_GB2312" w:cs="仿宋_GB2312"/>
                <w:sz w:val="24"/>
              </w:rPr>
            </w:pPr>
            <w:r>
              <w:rPr>
                <w:rFonts w:hint="eastAsia" w:ascii="仿宋_GB2312" w:hAnsi="仿宋_GB2312" w:eastAsia="仿宋_GB2312" w:cs="仿宋_GB2312"/>
                <w:sz w:val="24"/>
              </w:rPr>
              <w:t>差旅费、慰问费、工作补助及交通费</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textAlignment w:val="bottom"/>
              <w:rPr>
                <w:rFonts w:ascii="仿宋_GB2312" w:hAnsi="仿宋_GB2312" w:eastAsia="仿宋_GB2312" w:cs="仿宋_GB2312"/>
                <w:sz w:val="24"/>
              </w:rPr>
            </w:pPr>
            <w:r>
              <w:rPr>
                <w:rFonts w:hint="eastAsia" w:ascii="仿宋_GB2312" w:hAnsi="仿宋_GB2312" w:eastAsia="仿宋_GB2312" w:cs="仿宋_GB2312"/>
                <w:sz w:val="24"/>
              </w:rPr>
              <w:t>差旅费、慰问费、工作补助及交通费</w:t>
            </w:r>
          </w:p>
        </w:tc>
      </w:tr>
      <w:tr>
        <w:tblPrEx>
          <w:tblCellMar>
            <w:top w:w="0" w:type="dxa"/>
            <w:left w:w="108" w:type="dxa"/>
            <w:bottom w:w="0" w:type="dxa"/>
            <w:right w:w="108" w:type="dxa"/>
          </w:tblCellMar>
        </w:tblPrEx>
        <w:trPr>
          <w:gridAfter w:val="1"/>
          <w:wAfter w:w="412" w:type="dxa"/>
          <w:trHeight w:val="1452" w:hRule="atLeast"/>
          <w:jc w:val="center"/>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仿宋_GB2312" w:hAnsi="仿宋_GB2312" w:eastAsia="仿宋_GB2312" w:cs="仿宋_GB2312"/>
                <w:sz w:val="24"/>
              </w:rPr>
            </w:pPr>
          </w:p>
        </w:tc>
        <w:tc>
          <w:tcPr>
            <w:tcW w:w="12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效益</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指标</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经济效益  指标</w:t>
            </w:r>
          </w:p>
        </w:tc>
        <w:tc>
          <w:tcPr>
            <w:tcW w:w="17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指标1：持续巩固脱贫户脱贫成果</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持续巩固脱贫户脱贫成果</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持续巩固脱贫户脱贫成果，收入达到脱贫标准</w:t>
            </w:r>
          </w:p>
        </w:tc>
      </w:tr>
      <w:tr>
        <w:tblPrEx>
          <w:tblCellMar>
            <w:top w:w="0" w:type="dxa"/>
            <w:left w:w="108" w:type="dxa"/>
            <w:bottom w:w="0" w:type="dxa"/>
            <w:right w:w="108" w:type="dxa"/>
          </w:tblCellMar>
        </w:tblPrEx>
        <w:trPr>
          <w:gridAfter w:val="1"/>
          <w:wAfter w:w="412" w:type="dxa"/>
          <w:trHeight w:val="1396" w:hRule="atLeast"/>
          <w:jc w:val="center"/>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仿宋_GB2312" w:hAnsi="仿宋_GB2312" w:eastAsia="仿宋_GB2312" w:cs="仿宋_GB2312"/>
                <w:sz w:val="24"/>
              </w:rPr>
            </w:pPr>
          </w:p>
        </w:tc>
        <w:tc>
          <w:tcPr>
            <w:tcW w:w="12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仿宋_GB2312" w:hAnsi="仿宋_GB2312" w:eastAsia="仿宋_GB2312" w:cs="仿宋_GB2312"/>
                <w:sz w:val="24"/>
              </w:rPr>
            </w:pP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社会效益  指标</w:t>
            </w:r>
          </w:p>
        </w:tc>
        <w:tc>
          <w:tcPr>
            <w:tcW w:w="17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指标1：持续巩固脱贫户脱贫成果</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持续巩固脱贫户脱贫成果</w:t>
            </w:r>
          </w:p>
        </w:tc>
        <w:tc>
          <w:tcPr>
            <w:tcW w:w="2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持续巩固脱贫户脱贫成果，激发群众内生动力</w:t>
            </w:r>
          </w:p>
        </w:tc>
      </w:tr>
      <w:tr>
        <w:tblPrEx>
          <w:tblCellMar>
            <w:top w:w="0" w:type="dxa"/>
            <w:left w:w="108" w:type="dxa"/>
            <w:bottom w:w="0" w:type="dxa"/>
            <w:right w:w="108" w:type="dxa"/>
          </w:tblCellMar>
        </w:tblPrEx>
        <w:trPr>
          <w:gridAfter w:val="1"/>
          <w:wAfter w:w="412" w:type="dxa"/>
          <w:trHeight w:val="1731" w:hRule="atLeast"/>
          <w:jc w:val="center"/>
        </w:trPr>
        <w:tc>
          <w:tcPr>
            <w:tcW w:w="951" w:type="dxa"/>
            <w:vMerge w:val="continue"/>
            <w:tcBorders>
              <w:top w:val="single" w:color="auto" w:sz="4" w:space="0"/>
              <w:left w:val="single" w:color="auto" w:sz="4" w:space="0"/>
              <w:right w:val="single" w:color="000000" w:sz="4" w:space="0"/>
            </w:tcBorders>
            <w:shd w:val="clear" w:color="auto" w:fill="auto"/>
            <w:vAlign w:val="center"/>
          </w:tcPr>
          <w:p>
            <w:pPr>
              <w:spacing w:line="400" w:lineRule="exact"/>
              <w:jc w:val="center"/>
              <w:rPr>
                <w:rFonts w:ascii="仿宋_GB2312" w:hAnsi="仿宋_GB2312" w:eastAsia="仿宋_GB2312" w:cs="仿宋_GB2312"/>
                <w:sz w:val="24"/>
              </w:rPr>
            </w:pPr>
          </w:p>
        </w:tc>
        <w:tc>
          <w:tcPr>
            <w:tcW w:w="123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仿宋_GB2312" w:hAnsi="仿宋_GB2312" w:eastAsia="仿宋_GB2312" w:cs="仿宋_GB2312"/>
                <w:sz w:val="24"/>
              </w:rPr>
            </w:pPr>
          </w:p>
        </w:tc>
        <w:tc>
          <w:tcPr>
            <w:tcW w:w="123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400" w:lineRule="exact"/>
              <w:ind w:left="240" w:hanging="240" w:hangingChars="100"/>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生态效益  指标</w:t>
            </w:r>
          </w:p>
        </w:tc>
        <w:tc>
          <w:tcPr>
            <w:tcW w:w="174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指标1：督促宣传安全生产、森林防火等</w:t>
            </w:r>
          </w:p>
        </w:tc>
        <w:tc>
          <w:tcPr>
            <w:tcW w:w="129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督促宣传安全生产、森林防火等</w:t>
            </w:r>
          </w:p>
        </w:tc>
        <w:tc>
          <w:tcPr>
            <w:tcW w:w="223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督促宣传安全生产、森林防火等，改善人居环境</w:t>
            </w:r>
          </w:p>
        </w:tc>
      </w:tr>
      <w:tr>
        <w:tblPrEx>
          <w:tblCellMar>
            <w:top w:w="0" w:type="dxa"/>
            <w:left w:w="108" w:type="dxa"/>
            <w:bottom w:w="0" w:type="dxa"/>
            <w:right w:w="108" w:type="dxa"/>
          </w:tblCellMar>
        </w:tblPrEx>
        <w:trPr>
          <w:gridAfter w:val="1"/>
          <w:wAfter w:w="412" w:type="dxa"/>
          <w:jc w:val="center"/>
        </w:trPr>
        <w:tc>
          <w:tcPr>
            <w:tcW w:w="951" w:type="dxa"/>
            <w:vMerge w:val="continue"/>
            <w:tcBorders>
              <w:left w:val="single" w:color="auto" w:sz="4" w:space="0"/>
              <w:right w:val="single" w:color="000000" w:sz="4" w:space="0"/>
            </w:tcBorders>
            <w:shd w:val="clear" w:color="auto" w:fill="auto"/>
            <w:vAlign w:val="center"/>
          </w:tcPr>
          <w:p>
            <w:pPr>
              <w:spacing w:line="400" w:lineRule="exact"/>
              <w:jc w:val="center"/>
              <w:rPr>
                <w:rFonts w:ascii="仿宋_GB2312" w:hAnsi="仿宋_GB2312" w:eastAsia="仿宋_GB2312" w:cs="仿宋_GB2312"/>
                <w:sz w:val="24"/>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仿宋_GB2312" w:hAnsi="仿宋_GB2312" w:eastAsia="仿宋_GB2312" w:cs="仿宋_GB2312"/>
                <w:sz w:val="24"/>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可持续影响 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指标1：稳定脱贫成效，激发内生动力</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稳定脱贫成效，激发内生动力</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稳定脱贫成效，激发内生动力</w:t>
            </w:r>
          </w:p>
        </w:tc>
      </w:tr>
      <w:tr>
        <w:tblPrEx>
          <w:tblCellMar>
            <w:top w:w="0" w:type="dxa"/>
            <w:left w:w="108" w:type="dxa"/>
            <w:bottom w:w="0" w:type="dxa"/>
            <w:right w:w="108" w:type="dxa"/>
          </w:tblCellMar>
        </w:tblPrEx>
        <w:trPr>
          <w:gridAfter w:val="1"/>
          <w:wAfter w:w="412" w:type="dxa"/>
          <w:jc w:val="center"/>
        </w:trPr>
        <w:tc>
          <w:tcPr>
            <w:tcW w:w="951" w:type="dxa"/>
            <w:vMerge w:val="continue"/>
            <w:tcBorders>
              <w:left w:val="single" w:color="auto" w:sz="4" w:space="0"/>
              <w:bottom w:val="single" w:color="000000" w:sz="4" w:space="0"/>
              <w:right w:val="single" w:color="000000" w:sz="4" w:space="0"/>
            </w:tcBorders>
            <w:shd w:val="clear" w:color="auto" w:fill="auto"/>
            <w:vAlign w:val="center"/>
          </w:tcPr>
          <w:p>
            <w:pPr>
              <w:spacing w:line="400" w:lineRule="exact"/>
              <w:jc w:val="center"/>
              <w:rPr>
                <w:rFonts w:ascii="仿宋_GB2312" w:hAnsi="仿宋_GB2312" w:eastAsia="仿宋_GB2312" w:cs="仿宋_GB2312"/>
                <w:sz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满意</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度指标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满意度</w:t>
            </w:r>
          </w:p>
          <w:p>
            <w:pPr>
              <w:widowControl/>
              <w:spacing w:line="4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指标1：达到政府考核要求，不满意、一般、满意、非常满意4个满意度指标。通过对所服务对象征询意见，征询项目在服务方式、服务手段、实施成效等满意度进行调查。</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达到政府考核要求，满意以上指标达95%以上。</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达到政府考核要求，满意以上指标达98%以上。</w:t>
            </w:r>
          </w:p>
        </w:tc>
      </w:tr>
    </w:tbl>
    <w:p>
      <w:pPr>
        <w:widowControl/>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p>
    <w:p>
      <w:pPr>
        <w:spacing w:line="572" w:lineRule="exact"/>
        <w:jc w:val="left"/>
        <w:outlineLvl w:val="0"/>
        <w:rPr>
          <w:rFonts w:ascii="黑体" w:hAnsi="黑体" w:eastAsia="黑体" w:cs="黑体"/>
          <w:sz w:val="32"/>
          <w:szCs w:val="32"/>
        </w:rPr>
      </w:pPr>
      <w:bookmarkStart w:id="177" w:name="_Toc27557"/>
      <w:bookmarkStart w:id="178" w:name="_Toc114498382"/>
    </w:p>
    <w:p>
      <w:pPr>
        <w:spacing w:line="576" w:lineRule="exact"/>
        <w:jc w:val="left"/>
        <w:outlineLvl w:val="0"/>
        <w:rPr>
          <w:rFonts w:ascii="方正小标宋简体" w:hAnsi="方正小标宋简体" w:eastAsia="方正小标宋简体" w:cs="方正小标宋简体"/>
          <w:sz w:val="44"/>
          <w:szCs w:val="44"/>
        </w:rPr>
      </w:pPr>
      <w:bookmarkStart w:id="179" w:name="_Toc31281"/>
      <w:r>
        <w:rPr>
          <w:rFonts w:hint="eastAsia" w:ascii="黑体" w:hAnsi="黑体" w:eastAsia="黑体" w:cs="黑体"/>
          <w:sz w:val="32"/>
          <w:szCs w:val="32"/>
        </w:rPr>
        <w:t>附件3</w:t>
      </w:r>
      <w:bookmarkEnd w:id="177"/>
      <w:bookmarkEnd w:id="178"/>
      <w:bookmarkEnd w:id="179"/>
    </w:p>
    <w:p>
      <w:pPr>
        <w:spacing w:line="576" w:lineRule="exact"/>
        <w:jc w:val="center"/>
        <w:outlineLvl w:val="0"/>
        <w:rPr>
          <w:rFonts w:ascii="方正小标宋简体" w:hAnsi="方正小标宋简体" w:eastAsia="方正小标宋简体" w:cs="方正小标宋简体"/>
          <w:color w:val="000000"/>
          <w:sz w:val="44"/>
          <w:szCs w:val="44"/>
        </w:rPr>
      </w:pPr>
      <w:bookmarkStart w:id="180" w:name="_Toc7620"/>
      <w:bookmarkStart w:id="181" w:name="_Toc114498383"/>
      <w:bookmarkStart w:id="182" w:name="_Toc1559"/>
      <w:r>
        <w:rPr>
          <w:rFonts w:hint="eastAsia" w:ascii="方正小标宋简体" w:hAnsi="方正小标宋简体" w:eastAsia="方正小标宋简体" w:cs="方正小标宋简体"/>
          <w:color w:val="000000"/>
          <w:sz w:val="44"/>
          <w:szCs w:val="44"/>
        </w:rPr>
        <w:t>广元市妇女联合会</w:t>
      </w:r>
      <w:bookmarkEnd w:id="180"/>
      <w:bookmarkEnd w:id="181"/>
      <w:bookmarkEnd w:id="182"/>
    </w:p>
    <w:p>
      <w:pPr>
        <w:spacing w:line="576" w:lineRule="exact"/>
        <w:jc w:val="center"/>
        <w:outlineLvl w:val="0"/>
        <w:rPr>
          <w:rFonts w:ascii="方正小标宋简体" w:hAnsi="方正小标宋简体" w:eastAsia="方正小标宋简体" w:cs="方正小标宋简体"/>
          <w:color w:val="000000"/>
          <w:spacing w:val="20"/>
          <w:sz w:val="44"/>
          <w:szCs w:val="44"/>
        </w:rPr>
      </w:pPr>
      <w:bookmarkStart w:id="183" w:name="_Toc7389"/>
      <w:bookmarkStart w:id="184" w:name="_Toc114498384"/>
      <w:bookmarkStart w:id="185" w:name="_Toc2719"/>
      <w:r>
        <w:rPr>
          <w:rFonts w:hint="eastAsia" w:ascii="方正小标宋简体" w:hAnsi="方正小标宋简体" w:eastAsia="方正小标宋简体" w:cs="方正小标宋简体"/>
          <w:color w:val="000000"/>
          <w:spacing w:val="20"/>
          <w:sz w:val="44"/>
          <w:szCs w:val="44"/>
        </w:rPr>
        <w:t>2021年市妇女培训中心管理工作</w:t>
      </w:r>
      <w:bookmarkEnd w:id="183"/>
      <w:bookmarkEnd w:id="184"/>
      <w:bookmarkEnd w:id="185"/>
    </w:p>
    <w:p>
      <w:pPr>
        <w:spacing w:line="576" w:lineRule="exact"/>
        <w:jc w:val="center"/>
        <w:outlineLvl w:val="0"/>
        <w:rPr>
          <w:rFonts w:ascii="方正小标宋简体" w:hAnsi="方正小标宋简体" w:eastAsia="方正小标宋简体" w:cs="方正小标宋简体"/>
          <w:color w:val="000000"/>
          <w:spacing w:val="20"/>
          <w:sz w:val="44"/>
          <w:szCs w:val="44"/>
          <w:lang w:val="zh-CN"/>
        </w:rPr>
      </w:pPr>
      <w:bookmarkStart w:id="186" w:name="_Toc23497"/>
      <w:bookmarkStart w:id="187" w:name="_Toc18395"/>
      <w:bookmarkStart w:id="188" w:name="_Toc114498385"/>
      <w:r>
        <w:rPr>
          <w:rFonts w:hint="eastAsia" w:ascii="方正小标宋简体" w:hAnsi="方正小标宋简体" w:eastAsia="方正小标宋简体" w:cs="方正小标宋简体"/>
          <w:color w:val="000000"/>
          <w:spacing w:val="20"/>
          <w:sz w:val="44"/>
          <w:szCs w:val="44"/>
          <w:lang w:val="zh-CN"/>
        </w:rPr>
        <w:t>项目支出绩效自评报告</w:t>
      </w:r>
      <w:bookmarkEnd w:id="186"/>
      <w:bookmarkEnd w:id="187"/>
      <w:bookmarkEnd w:id="188"/>
    </w:p>
    <w:p>
      <w:pPr>
        <w:spacing w:line="576" w:lineRule="exact"/>
        <w:ind w:firstLine="640" w:firstLineChars="200"/>
        <w:rPr>
          <w:rFonts w:ascii="仿宋_GB2312" w:hAnsi="仿宋_GB2312" w:eastAsia="仿宋_GB2312" w:cs="仿宋_GB2312"/>
          <w:sz w:val="32"/>
          <w:szCs w:val="32"/>
          <w:lang w:val="zh-CN"/>
        </w:rPr>
      </w:pPr>
    </w:p>
    <w:p>
      <w:pPr>
        <w:adjustRightInd w:val="0"/>
        <w:snapToGrid w:val="0"/>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spacing w:line="576" w:lineRule="exact"/>
        <w:ind w:firstLine="640" w:firstLineChars="200"/>
        <w:outlineLvl w:val="2"/>
        <w:rPr>
          <w:rFonts w:ascii="楷体_GB2312" w:hAnsi="楷体_GB2312" w:eastAsia="楷体_GB2312" w:cs="楷体_GB2312"/>
          <w:bCs/>
          <w:color w:val="000000"/>
          <w:sz w:val="32"/>
          <w:szCs w:val="32"/>
          <w:lang w:val="zh-CN"/>
        </w:rPr>
      </w:pPr>
      <w:bookmarkStart w:id="189" w:name="_Toc114498386"/>
      <w:r>
        <w:rPr>
          <w:rFonts w:hint="eastAsia" w:ascii="楷体_GB2312" w:hAnsi="楷体_GB2312" w:eastAsia="楷体_GB2312" w:cs="楷体_GB2312"/>
          <w:bCs/>
          <w:color w:val="000000"/>
          <w:sz w:val="32"/>
          <w:szCs w:val="32"/>
          <w:lang w:val="zh-CN"/>
        </w:rPr>
        <w:t>（一）项目基本情况</w:t>
      </w:r>
      <w:bookmarkEnd w:id="189"/>
    </w:p>
    <w:p>
      <w:pPr>
        <w:pStyle w:val="2"/>
        <w:spacing w:beforeLines="0" w:line="576" w:lineRule="exact"/>
        <w:ind w:firstLine="640" w:firstLineChars="200"/>
        <w:rPr>
          <w:rFonts w:hAnsi="仿宋_GB2312" w:cs="仿宋_GB2312"/>
          <w:kern w:val="2"/>
          <w:sz w:val="32"/>
          <w:szCs w:val="32"/>
          <w:lang w:val="zh-CN"/>
        </w:rPr>
      </w:pPr>
      <w:r>
        <w:rPr>
          <w:rFonts w:hint="eastAsia" w:hAnsi="仿宋_GB2312" w:cs="仿宋_GB2312"/>
          <w:kern w:val="2"/>
          <w:sz w:val="32"/>
          <w:szCs w:val="32"/>
          <w:lang w:val="zh-CN"/>
        </w:rPr>
        <w:t>在中央党的群团组织工作会议上要求各级党委和政府要为群团组织开展工作创造有利条件，提供必要的人力财力物力保障。市妇联培训中心保障妇女儿童活动阵地正常运转，举办基层妇联干部培训主要包括人员工资、日常运行管理费用含水电、物业、维修、网络、办公费用、清洁费、停车费等。</w:t>
      </w:r>
    </w:p>
    <w:p>
      <w:pPr>
        <w:spacing w:line="576" w:lineRule="exact"/>
        <w:ind w:firstLine="640" w:firstLineChars="200"/>
        <w:outlineLvl w:val="2"/>
        <w:rPr>
          <w:rFonts w:ascii="楷体_GB2312" w:hAnsi="楷体_GB2312" w:eastAsia="楷体_GB2312" w:cs="楷体_GB2312"/>
          <w:bCs/>
          <w:color w:val="000000"/>
          <w:sz w:val="32"/>
          <w:szCs w:val="32"/>
          <w:lang w:val="zh-CN"/>
        </w:rPr>
      </w:pPr>
      <w:bookmarkStart w:id="190" w:name="_Toc114498387"/>
      <w:r>
        <w:rPr>
          <w:rFonts w:hint="eastAsia" w:ascii="楷体_GB2312" w:hAnsi="楷体_GB2312" w:eastAsia="楷体_GB2312" w:cs="楷体_GB2312"/>
          <w:bCs/>
          <w:color w:val="000000"/>
          <w:sz w:val="32"/>
          <w:szCs w:val="32"/>
          <w:lang w:val="zh-CN"/>
        </w:rPr>
        <w:t>（二）项目绩效目标</w:t>
      </w:r>
      <w:bookmarkEnd w:id="190"/>
    </w:p>
    <w:p>
      <w:pPr>
        <w:pStyle w:val="2"/>
        <w:spacing w:beforeLines="0" w:line="576" w:lineRule="exact"/>
        <w:ind w:firstLine="640" w:firstLineChars="200"/>
        <w:rPr>
          <w:rFonts w:hAnsi="仿宋_GB2312" w:cs="仿宋_GB2312"/>
          <w:kern w:val="2"/>
          <w:sz w:val="32"/>
          <w:szCs w:val="32"/>
          <w:lang w:val="zh-CN"/>
        </w:rPr>
      </w:pPr>
      <w:r>
        <w:rPr>
          <w:rFonts w:hint="eastAsia" w:hAnsi="仿宋_GB2312" w:cs="仿宋_GB2312"/>
          <w:kern w:val="2"/>
          <w:sz w:val="32"/>
          <w:szCs w:val="32"/>
          <w:lang w:val="zh-CN"/>
        </w:rPr>
        <w:t>保障市妇女培训中心人员工资、含水电、物业、维修、网络、办公费用、清洁费、停车费等日常运行管理工作。通过核查，项目方案合理、可操作。</w:t>
      </w:r>
    </w:p>
    <w:p>
      <w:pPr>
        <w:spacing w:line="576" w:lineRule="exact"/>
        <w:ind w:firstLine="640" w:firstLineChars="200"/>
        <w:outlineLvl w:val="2"/>
        <w:rPr>
          <w:rFonts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（三）项目自评步骤及方法</w:t>
      </w:r>
    </w:p>
    <w:p>
      <w:pPr>
        <w:pStyle w:val="2"/>
        <w:spacing w:beforeLines="0" w:line="576" w:lineRule="exact"/>
        <w:ind w:firstLine="640" w:firstLineChars="200"/>
        <w:rPr>
          <w:rFonts w:hAnsi="仿宋_GB2312" w:cs="仿宋_GB2312"/>
          <w:kern w:val="2"/>
          <w:sz w:val="32"/>
          <w:szCs w:val="32"/>
          <w:lang w:val="zh-CN"/>
        </w:rPr>
      </w:pPr>
      <w:r>
        <w:rPr>
          <w:rFonts w:hint="eastAsia" w:hAnsi="仿宋_GB2312" w:cs="仿宋_GB2312"/>
          <w:kern w:val="2"/>
          <w:sz w:val="32"/>
          <w:szCs w:val="32"/>
          <w:lang w:val="zh-CN"/>
        </w:rPr>
        <w:t>为进一步强化财政支出绩效理念，规范财政资金管理，提高资金使用绩效，本项目绩效评价主要使用比较法、因数分析法，参照项目支出绩效目标申报情况，围绕项目内容、实施情况、项目完成、财务管理、社会效益、满意度等针对性地开展了自我评价。</w:t>
      </w:r>
    </w:p>
    <w:p>
      <w:pPr>
        <w:adjustRightInd w:val="0"/>
        <w:snapToGrid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二、项目资金申报及使用情况</w:t>
      </w:r>
    </w:p>
    <w:p>
      <w:pPr>
        <w:spacing w:line="576" w:lineRule="exact"/>
        <w:ind w:firstLine="640" w:firstLineChars="200"/>
        <w:outlineLvl w:val="2"/>
        <w:rPr>
          <w:rFonts w:ascii="楷体_GB2312" w:hAnsi="楷体_GB2312" w:eastAsia="楷体_GB2312" w:cs="楷体_GB2312"/>
          <w:bCs/>
          <w:color w:val="000000"/>
          <w:sz w:val="32"/>
          <w:szCs w:val="32"/>
          <w:lang w:val="zh-CN"/>
        </w:rPr>
      </w:pPr>
      <w:bookmarkStart w:id="191" w:name="_Toc114498388"/>
      <w:r>
        <w:rPr>
          <w:rFonts w:hint="eastAsia" w:ascii="楷体_GB2312" w:hAnsi="楷体_GB2312" w:eastAsia="楷体_GB2312" w:cs="楷体_GB2312"/>
          <w:bCs/>
          <w:color w:val="000000"/>
          <w:sz w:val="32"/>
          <w:szCs w:val="32"/>
          <w:lang w:val="zh-CN"/>
        </w:rPr>
        <w:t>（一）项目资金申报及批复情况</w:t>
      </w:r>
      <w:bookmarkEnd w:id="191"/>
    </w:p>
    <w:p>
      <w:pPr>
        <w:widowControl/>
        <w:adjustRightInd w:val="0"/>
        <w:snapToGrid w:val="0"/>
        <w:spacing w:line="576" w:lineRule="exact"/>
        <w:ind w:firstLine="640" w:firstLineChars="200"/>
        <w:contextualSpacing/>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按照市财政局预算编制要求，市妇联及时编制</w:t>
      </w:r>
      <w:r>
        <w:rPr>
          <w:rFonts w:hint="eastAsia" w:ascii="仿宋_GB2312" w:hAnsi="仿宋_GB2312" w:eastAsia="仿宋_GB2312" w:cs="仿宋_GB2312"/>
          <w:sz w:val="32"/>
          <w:szCs w:val="32"/>
        </w:rPr>
        <w:t>2021年度经费预算需求，市财政局批复市妇女培训中心管理工作预算10.35万元。</w:t>
      </w:r>
    </w:p>
    <w:p>
      <w:pPr>
        <w:spacing w:line="576" w:lineRule="exact"/>
        <w:ind w:firstLine="640" w:firstLineChars="200"/>
        <w:outlineLvl w:val="2"/>
        <w:rPr>
          <w:rFonts w:ascii="楷体_GB2312" w:hAnsi="楷体_GB2312" w:eastAsia="楷体_GB2312" w:cs="楷体_GB2312"/>
          <w:bCs/>
          <w:color w:val="000000"/>
          <w:sz w:val="32"/>
          <w:szCs w:val="32"/>
          <w:lang w:val="zh-CN"/>
        </w:rPr>
      </w:pPr>
      <w:bookmarkStart w:id="192" w:name="_Toc114498389"/>
      <w:r>
        <w:rPr>
          <w:rFonts w:hint="eastAsia" w:ascii="楷体_GB2312" w:hAnsi="楷体_GB2312" w:eastAsia="楷体_GB2312" w:cs="楷体_GB2312"/>
          <w:bCs/>
          <w:color w:val="000000"/>
          <w:sz w:val="32"/>
          <w:szCs w:val="32"/>
          <w:lang w:val="zh-CN"/>
        </w:rPr>
        <w:t>（二）资金计划、到位及使用情况</w:t>
      </w:r>
      <w:bookmarkEnd w:id="192"/>
    </w:p>
    <w:p>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p>
    <w:p>
      <w:pPr>
        <w:widowControl/>
        <w:adjustRightInd w:val="0"/>
        <w:snapToGrid w:val="0"/>
        <w:spacing w:line="576" w:lineRule="exact"/>
        <w:ind w:firstLine="640" w:firstLineChars="200"/>
        <w:contextualSpacing/>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市妇联编制</w:t>
      </w:r>
      <w:r>
        <w:rPr>
          <w:rFonts w:hint="eastAsia" w:ascii="仿宋_GB2312" w:hAnsi="仿宋_GB2312" w:eastAsia="仿宋_GB2312" w:cs="仿宋_GB2312"/>
          <w:sz w:val="32"/>
          <w:szCs w:val="32"/>
        </w:rPr>
        <w:t>2021年度市妇女培训中心管理工作经费10.35万元万元。</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．资金到位</w:t>
      </w:r>
    </w:p>
    <w:p>
      <w:pPr>
        <w:widowControl/>
        <w:adjustRightInd w:val="0"/>
        <w:snapToGrid w:val="0"/>
        <w:spacing w:line="576" w:lineRule="exact"/>
        <w:ind w:firstLine="640" w:firstLineChars="200"/>
        <w:contextualSpacing/>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市财政局安排</w:t>
      </w:r>
      <w:r>
        <w:rPr>
          <w:rFonts w:hint="eastAsia" w:ascii="仿宋_GB2312" w:hAnsi="仿宋_GB2312" w:eastAsia="仿宋_GB2312" w:cs="仿宋_GB2312"/>
          <w:sz w:val="32"/>
          <w:szCs w:val="32"/>
        </w:rPr>
        <w:t>2021年度市妇女培训中心管理工作经费10.35万元，</w:t>
      </w:r>
      <w:r>
        <w:rPr>
          <w:rFonts w:hint="eastAsia" w:ascii="仿宋_GB2312" w:hAnsi="仿宋_GB2312" w:eastAsia="仿宋_GB2312" w:cs="仿宋_GB2312"/>
          <w:sz w:val="32"/>
          <w:szCs w:val="32"/>
          <w:lang w:val="zh-CN"/>
        </w:rPr>
        <w:t>已全部拨款到位。</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．资金使用</w:t>
      </w:r>
    </w:p>
    <w:p>
      <w:pPr>
        <w:widowControl/>
        <w:spacing w:line="576" w:lineRule="exact"/>
        <w:ind w:firstLine="640" w:firstLineChars="200"/>
        <w:textAlignment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2021年度市妇联严格按照妇</w:t>
      </w:r>
      <w:r>
        <w:rPr>
          <w:rFonts w:hint="eastAsia" w:ascii="仿宋_GB2312" w:hAnsi="仿宋_GB2312" w:eastAsia="仿宋_GB2312" w:cs="仿宋_GB2312"/>
          <w:sz w:val="32"/>
          <w:szCs w:val="32"/>
        </w:rPr>
        <w:t>市妇女儿童活动中心管理工作</w:t>
      </w:r>
      <w:r>
        <w:rPr>
          <w:rFonts w:hint="eastAsia" w:ascii="仿宋_GB2312" w:hAnsi="仿宋_GB2312" w:eastAsia="仿宋_GB2312" w:cs="仿宋_GB2312"/>
          <w:sz w:val="32"/>
          <w:szCs w:val="32"/>
          <w:lang w:val="zh-CN"/>
        </w:rPr>
        <w:t>经费项目实施要求，开展按照“3+1”行动，促进妇女发展、保障妇女儿童合法权益，促进家庭社会和谐，助推男女基本国策落地落实，引领广大妇女听党话跟党走等相关工作，</w:t>
      </w:r>
      <w:r>
        <w:rPr>
          <w:rFonts w:hint="eastAsia" w:ascii="仿宋_GB2312" w:hAnsi="仿宋_GB2312" w:eastAsia="仿宋_GB2312" w:cs="仿宋_GB2312"/>
          <w:sz w:val="32"/>
          <w:szCs w:val="32"/>
        </w:rPr>
        <w:t>市妇女培训中心管理工作：保障市妇女活动中心人员工资、保险及日常运行管理工作共支出10.35万元。</w:t>
      </w:r>
    </w:p>
    <w:p>
      <w:pPr>
        <w:spacing w:line="576" w:lineRule="exact"/>
        <w:ind w:firstLine="640" w:firstLineChars="200"/>
        <w:outlineLvl w:val="2"/>
        <w:rPr>
          <w:rFonts w:ascii="楷体_GB2312" w:hAnsi="楷体_GB2312" w:eastAsia="楷体_GB2312" w:cs="楷体_GB2312"/>
          <w:bCs/>
          <w:color w:val="000000"/>
          <w:sz w:val="32"/>
          <w:szCs w:val="32"/>
          <w:lang w:val="zh-CN"/>
        </w:rPr>
      </w:pPr>
      <w:bookmarkStart w:id="193" w:name="_Toc114498390"/>
      <w:r>
        <w:rPr>
          <w:rFonts w:hint="eastAsia" w:ascii="楷体_GB2312" w:hAnsi="楷体_GB2312" w:eastAsia="楷体_GB2312" w:cs="楷体_GB2312"/>
          <w:bCs/>
          <w:color w:val="000000"/>
          <w:sz w:val="32"/>
          <w:szCs w:val="32"/>
          <w:lang w:val="zh-CN"/>
        </w:rPr>
        <w:t>（三）项目财务管理情况</w:t>
      </w:r>
      <w:bookmarkEnd w:id="193"/>
    </w:p>
    <w:p>
      <w:pPr>
        <w:widowControl/>
        <w:adjustRightInd w:val="0"/>
        <w:snapToGrid w:val="0"/>
        <w:spacing w:line="576" w:lineRule="exact"/>
        <w:ind w:firstLine="640" w:firstLineChars="200"/>
        <w:contextualSpacing/>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市妇联严格按照《专项资金管理使用制度》要求，加强对</w:t>
      </w:r>
      <w:r>
        <w:rPr>
          <w:rFonts w:hint="eastAsia" w:ascii="仿宋_GB2312" w:hAnsi="仿宋_GB2312" w:eastAsia="仿宋_GB2312" w:cs="仿宋_GB2312"/>
          <w:sz w:val="32"/>
          <w:szCs w:val="32"/>
        </w:rPr>
        <w:t>市妇女培训中心管理</w:t>
      </w:r>
      <w:r>
        <w:rPr>
          <w:rFonts w:hint="eastAsia" w:ascii="仿宋_GB2312" w:hAnsi="仿宋_GB2312" w:eastAsia="仿宋_GB2312" w:cs="仿宋_GB2312"/>
          <w:sz w:val="32"/>
          <w:szCs w:val="32"/>
          <w:lang w:val="zh-CN"/>
        </w:rPr>
        <w:t>工作经费的使用管理。在项目资金使用过程中，严格执行财务管理制度，按照专项资金管理办法做好项目实施和监管，财务处理及时，会计核算规范，切实做到专款专用，最大可能发挥专项资金作用。</w:t>
      </w:r>
    </w:p>
    <w:p>
      <w:pPr>
        <w:adjustRightInd w:val="0"/>
        <w:snapToGrid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三、项目实施及管理情况</w:t>
      </w:r>
    </w:p>
    <w:p>
      <w:pPr>
        <w:spacing w:line="576" w:lineRule="exact"/>
        <w:ind w:firstLine="640" w:firstLineChars="200"/>
        <w:outlineLvl w:val="2"/>
        <w:rPr>
          <w:rFonts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（一）项目组织架构及实施流程</w:t>
      </w:r>
    </w:p>
    <w:p>
      <w:pPr>
        <w:widowControl/>
        <w:adjustRightInd w:val="0"/>
        <w:snapToGrid w:val="0"/>
        <w:spacing w:line="576" w:lineRule="exact"/>
        <w:ind w:firstLine="640" w:firstLineChars="200"/>
        <w:contextualSpacing/>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市妇女培训中心管理</w:t>
      </w:r>
      <w:r>
        <w:rPr>
          <w:rFonts w:hint="eastAsia" w:ascii="仿宋_GB2312" w:hAnsi="仿宋_GB2312" w:eastAsia="仿宋_GB2312" w:cs="仿宋_GB2312"/>
          <w:sz w:val="32"/>
          <w:szCs w:val="32"/>
          <w:lang w:val="zh-CN"/>
        </w:rPr>
        <w:t>工作经费项目涉及妇联各部室，在实施过程中以分管副主席牵头、各部室负责组织实施。在项目实施过程中，制订项目方案并编制项目预算，（方案需经分管领导和主要领导审签，经费在</w:t>
      </w:r>
      <w:r>
        <w:rPr>
          <w:rFonts w:hint="eastAsia" w:ascii="仿宋_GB2312" w:hAnsi="仿宋_GB2312" w:eastAsia="仿宋_GB2312" w:cs="仿宋_GB2312"/>
          <w:sz w:val="32"/>
          <w:szCs w:val="32"/>
        </w:rPr>
        <w:t>2万元以上上党组会研究）</w:t>
      </w:r>
      <w:r>
        <w:rPr>
          <w:rFonts w:hint="eastAsia" w:ascii="仿宋_GB2312" w:hAnsi="仿宋_GB2312" w:eastAsia="仿宋_GB2312" w:cs="仿宋_GB2312"/>
          <w:sz w:val="32"/>
          <w:szCs w:val="32"/>
          <w:lang w:val="zh-CN"/>
        </w:rPr>
        <w:t>——组织项目实施（签订合同）——项目实施完毕后报帐结算（经费在</w:t>
      </w:r>
      <w:r>
        <w:rPr>
          <w:rFonts w:hint="eastAsia" w:ascii="仿宋_GB2312" w:hAnsi="仿宋_GB2312" w:eastAsia="仿宋_GB2312" w:cs="仿宋_GB2312"/>
          <w:sz w:val="32"/>
          <w:szCs w:val="32"/>
        </w:rPr>
        <w:t>2万元以上上党组会研究）</w:t>
      </w:r>
      <w:r>
        <w:rPr>
          <w:rFonts w:hint="eastAsia" w:ascii="仿宋_GB2312" w:hAnsi="仿宋_GB2312" w:eastAsia="仿宋_GB2312" w:cs="仿宋_GB2312"/>
          <w:sz w:val="32"/>
          <w:szCs w:val="32"/>
          <w:lang w:val="zh-CN"/>
        </w:rPr>
        <w:t>。</w:t>
      </w:r>
    </w:p>
    <w:p>
      <w:pPr>
        <w:spacing w:line="576" w:lineRule="exact"/>
        <w:ind w:firstLine="640" w:firstLineChars="200"/>
        <w:outlineLvl w:val="2"/>
        <w:rPr>
          <w:rFonts w:ascii="楷体_GB2312" w:hAnsi="楷体_GB2312" w:eastAsia="楷体_GB2312" w:cs="楷体_GB2312"/>
          <w:bCs/>
          <w:color w:val="000000"/>
          <w:sz w:val="32"/>
          <w:szCs w:val="32"/>
          <w:lang w:val="zh-CN"/>
        </w:rPr>
      </w:pPr>
      <w:bookmarkStart w:id="194" w:name="_Toc114498391"/>
      <w:r>
        <w:rPr>
          <w:rFonts w:hint="eastAsia" w:ascii="楷体_GB2312" w:hAnsi="楷体_GB2312" w:eastAsia="楷体_GB2312" w:cs="楷体_GB2312"/>
          <w:bCs/>
          <w:color w:val="000000"/>
          <w:sz w:val="32"/>
          <w:szCs w:val="32"/>
          <w:lang w:val="zh-CN"/>
        </w:rPr>
        <w:t>（二）项目管理情况</w:t>
      </w:r>
      <w:bookmarkEnd w:id="194"/>
    </w:p>
    <w:p>
      <w:pPr>
        <w:pStyle w:val="2"/>
        <w:spacing w:beforeLines="0" w:line="576" w:lineRule="exact"/>
        <w:ind w:firstLine="640" w:firstLineChars="200"/>
        <w:rPr>
          <w:rFonts w:hAnsi="仿宋_GB2312" w:cs="仿宋_GB2312"/>
          <w:kern w:val="2"/>
          <w:sz w:val="32"/>
          <w:szCs w:val="32"/>
          <w:lang w:val="zh-CN"/>
        </w:rPr>
      </w:pPr>
      <w:r>
        <w:rPr>
          <w:rFonts w:hint="eastAsia" w:hAnsi="仿宋_GB2312" w:cs="仿宋_GB2312"/>
          <w:kern w:val="2"/>
          <w:sz w:val="32"/>
          <w:szCs w:val="32"/>
        </w:rPr>
        <w:t>市妇女培训中心管理</w:t>
      </w:r>
      <w:r>
        <w:rPr>
          <w:rFonts w:hint="eastAsia" w:hAnsi="仿宋_GB2312" w:cs="仿宋_GB2312"/>
          <w:kern w:val="2"/>
          <w:sz w:val="32"/>
          <w:szCs w:val="32"/>
          <w:lang w:val="zh-CN"/>
        </w:rPr>
        <w:t>工作经费项目属运转类涉及妇联各部室，在实施过程中以分管副主席牵头、部室负责人负责的原则，全体干部职工积极配合，通力协作，遇到外包事项需要签到合同等，主动请律师顾问审定，重大事项纳入“三重一大”范围，提交党组会审定。</w:t>
      </w:r>
    </w:p>
    <w:p>
      <w:pPr>
        <w:spacing w:line="576" w:lineRule="exact"/>
        <w:ind w:firstLine="640" w:firstLineChars="200"/>
        <w:outlineLvl w:val="2"/>
        <w:rPr>
          <w:rFonts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（三）项目监管情况</w:t>
      </w:r>
    </w:p>
    <w:p>
      <w:pPr>
        <w:pStyle w:val="2"/>
        <w:spacing w:beforeLines="0" w:line="576" w:lineRule="exact"/>
        <w:ind w:firstLine="640" w:firstLineChars="200"/>
        <w:rPr>
          <w:rFonts w:hAnsi="仿宋_GB2312" w:cs="仿宋_GB2312"/>
          <w:kern w:val="2"/>
          <w:sz w:val="32"/>
          <w:szCs w:val="32"/>
          <w:lang w:val="zh-CN"/>
        </w:rPr>
      </w:pPr>
      <w:r>
        <w:rPr>
          <w:rFonts w:hint="eastAsia" w:hAnsi="仿宋_GB2312" w:cs="仿宋_GB2312"/>
          <w:kern w:val="2"/>
          <w:sz w:val="32"/>
          <w:szCs w:val="32"/>
          <w:lang w:val="zh-CN"/>
        </w:rPr>
        <w:t>市妇联严格按照项目管理有关规定对项目经费进行管理，在支付经费前对项目实施效果进行评估，依据评估结果支付经费。主动邀请单位主要领导、省妇联相关部室进行业务指导，经费管理主动接受市纪委监委驻政协纪检组、市委巡察组以及上级主管部门的监督检查，对预算执行实行动态监控，无违纪违法现象。</w:t>
      </w:r>
    </w:p>
    <w:p>
      <w:pPr>
        <w:adjustRightInd w:val="0"/>
        <w:snapToGrid w:val="0"/>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pPr>
        <w:spacing w:line="576" w:lineRule="exact"/>
        <w:ind w:firstLine="640" w:firstLineChars="200"/>
        <w:outlineLvl w:val="2"/>
        <w:rPr>
          <w:rFonts w:ascii="楷体_GB2312" w:hAnsi="楷体_GB2312" w:eastAsia="楷体_GB2312" w:cs="楷体_GB2312"/>
          <w:bCs/>
          <w:color w:val="000000"/>
          <w:sz w:val="32"/>
          <w:szCs w:val="32"/>
          <w:lang w:val="zh-CN"/>
        </w:rPr>
      </w:pPr>
      <w:bookmarkStart w:id="195" w:name="_Toc114498392"/>
      <w:r>
        <w:rPr>
          <w:rFonts w:hint="eastAsia" w:ascii="楷体_GB2312" w:hAnsi="楷体_GB2312" w:eastAsia="楷体_GB2312" w:cs="楷体_GB2312"/>
          <w:bCs/>
          <w:color w:val="000000"/>
          <w:sz w:val="32"/>
          <w:szCs w:val="32"/>
          <w:lang w:val="zh-CN"/>
        </w:rPr>
        <w:t>（一）项目完成情况</w:t>
      </w:r>
      <w:bookmarkEnd w:id="195"/>
    </w:p>
    <w:p>
      <w:pPr>
        <w:widowControl/>
        <w:adjustRightInd w:val="0"/>
        <w:snapToGrid w:val="0"/>
        <w:spacing w:line="576" w:lineRule="exact"/>
        <w:ind w:firstLine="640" w:firstLineChars="200"/>
        <w:contextualSpacing/>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截止2021年12月31日，项目指标全面完成，项目经济效益、社会效益明显，群体满意度较高。</w:t>
      </w:r>
    </w:p>
    <w:p>
      <w:pPr>
        <w:adjustRightInd w:val="0"/>
        <w:snapToGrid w:val="0"/>
        <w:spacing w:line="576" w:lineRule="exact"/>
        <w:ind w:firstLine="642"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zh-CN"/>
        </w:rPr>
        <w:t>产出数量指标</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2021年度市妇联严格按照妇</w:t>
      </w:r>
      <w:r>
        <w:rPr>
          <w:rFonts w:hint="eastAsia" w:ascii="仿宋_GB2312" w:hAnsi="仿宋_GB2312" w:eastAsia="仿宋_GB2312" w:cs="仿宋_GB2312"/>
          <w:sz w:val="32"/>
          <w:szCs w:val="32"/>
        </w:rPr>
        <w:t>市妇女培训中心管理工作</w:t>
      </w:r>
      <w:r>
        <w:rPr>
          <w:rFonts w:hint="eastAsia" w:ascii="仿宋_GB2312" w:hAnsi="仿宋_GB2312" w:eastAsia="仿宋_GB2312" w:cs="仿宋_GB2312"/>
          <w:sz w:val="32"/>
          <w:szCs w:val="32"/>
          <w:lang w:val="zh-CN"/>
        </w:rPr>
        <w:t>经费项目实施要求，开展按照“3+1”行动，促进妇女发展、保障妇女儿童合法权益，促进家庭社会和谐，助推男女基本国策落地落实，引领广大妇女听党话跟党走等相关工作，</w:t>
      </w:r>
      <w:r>
        <w:rPr>
          <w:rFonts w:hint="eastAsia" w:ascii="仿宋_GB2312" w:hAnsi="仿宋_GB2312" w:eastAsia="仿宋_GB2312" w:cs="仿宋_GB2312"/>
          <w:sz w:val="32"/>
          <w:szCs w:val="32"/>
        </w:rPr>
        <w:t>保障广元市妇女培训中心人员工资、日常运行管理，含水电、物业、维修、网络、办公费用、清洁费、停车费等。</w:t>
      </w:r>
    </w:p>
    <w:p>
      <w:pPr>
        <w:adjustRightInd w:val="0"/>
        <w:snapToGrid w:val="0"/>
        <w:spacing w:line="576" w:lineRule="exact"/>
        <w:ind w:firstLine="642"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zh-CN"/>
        </w:rPr>
        <w:t>产出质量指标</w:t>
      </w:r>
    </w:p>
    <w:p>
      <w:pPr>
        <w:widowControl/>
        <w:spacing w:line="576"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提升妇女思想认识,团结引领广大妇女群众听党话、跟党走，为经济发展作好妇女儿童稳定工作。</w:t>
      </w:r>
    </w:p>
    <w:p>
      <w:pPr>
        <w:adjustRightInd w:val="0"/>
        <w:snapToGrid w:val="0"/>
        <w:spacing w:line="576" w:lineRule="exact"/>
        <w:ind w:firstLine="642"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zh-CN"/>
        </w:rPr>
        <w:t>产出时效指标</w:t>
      </w:r>
    </w:p>
    <w:p>
      <w:pPr>
        <w:widowControl/>
        <w:spacing w:line="576"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2021年12月31日前完成</w:t>
      </w:r>
    </w:p>
    <w:p>
      <w:pPr>
        <w:adjustRightInd w:val="0"/>
        <w:snapToGrid w:val="0"/>
        <w:spacing w:line="576" w:lineRule="exact"/>
        <w:ind w:firstLine="642"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zh-CN"/>
        </w:rPr>
        <w:t>产出成本指标</w:t>
      </w:r>
    </w:p>
    <w:p>
      <w:pPr>
        <w:widowControl/>
        <w:spacing w:line="576" w:lineRule="exact"/>
        <w:ind w:firstLine="640" w:firstLineChars="200"/>
        <w:textAlignment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项目严格按照资金使用方案中资金分类明细使用，</w:t>
      </w:r>
      <w:r>
        <w:rPr>
          <w:rFonts w:hint="eastAsia" w:ascii="仿宋_GB2312" w:hAnsi="仿宋_GB2312" w:eastAsia="仿宋_GB2312" w:cs="仿宋_GB2312"/>
          <w:sz w:val="32"/>
          <w:szCs w:val="32"/>
        </w:rPr>
        <w:t>通过项目实施，按照“3+1”行动，实施巾帼心向党、巾帼建新功、巾帼维权行动和家家幸福安康工程，促进妇女发展、保障妇女儿童合法权益，促进家庭社会和谐，助推男女基本国策落地落实，引领广大妇女听党话跟党走。</w:t>
      </w:r>
    </w:p>
    <w:p>
      <w:pPr>
        <w:spacing w:line="576" w:lineRule="exact"/>
        <w:ind w:firstLine="640" w:firstLineChars="200"/>
        <w:outlineLvl w:val="2"/>
        <w:rPr>
          <w:rFonts w:ascii="楷体_GB2312" w:hAnsi="楷体_GB2312" w:eastAsia="楷体_GB2312" w:cs="楷体_GB2312"/>
          <w:bCs/>
          <w:color w:val="000000"/>
          <w:sz w:val="32"/>
          <w:szCs w:val="32"/>
          <w:lang w:val="zh-CN"/>
        </w:rPr>
      </w:pPr>
      <w:bookmarkStart w:id="196" w:name="_Toc114498393"/>
      <w:r>
        <w:rPr>
          <w:rFonts w:hint="eastAsia" w:ascii="楷体_GB2312" w:hAnsi="楷体_GB2312" w:eastAsia="楷体_GB2312" w:cs="楷体_GB2312"/>
          <w:bCs/>
          <w:color w:val="000000"/>
          <w:sz w:val="32"/>
          <w:szCs w:val="32"/>
          <w:lang w:val="zh-CN"/>
        </w:rPr>
        <w:t>（二）项目效益情况</w:t>
      </w:r>
      <w:bookmarkEnd w:id="196"/>
    </w:p>
    <w:p>
      <w:pPr>
        <w:spacing w:line="576"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1.经济效益指标</w:t>
      </w:r>
    </w:p>
    <w:p>
      <w:pPr>
        <w:adjustRightInd w:val="0"/>
        <w:snapToGrid w:val="0"/>
        <w:spacing w:line="576" w:lineRule="exact"/>
        <w:ind w:firstLine="596" w:firstLineChars="200"/>
        <w:rPr>
          <w:rFonts w:ascii="仿宋_GB2312" w:hAnsi="仿宋_GB2312" w:eastAsia="仿宋_GB2312" w:cs="仿宋_GB2312"/>
          <w:color w:val="000000"/>
          <w:sz w:val="32"/>
          <w:szCs w:val="32"/>
        </w:rPr>
      </w:pPr>
      <w:r>
        <w:rPr>
          <w:rFonts w:hint="eastAsia" w:ascii="仿宋_GB2312" w:hAnsi="仿宋_GB2312" w:eastAsia="仿宋_GB2312" w:cs="仿宋_GB2312"/>
          <w:spacing w:val="-11"/>
          <w:sz w:val="32"/>
          <w:szCs w:val="32"/>
        </w:rPr>
        <w:t>2021年项目无资金使用重大违规违纪问题，支出依据合规，无虚列项目支出、无截留挤占挪用、无超标准开支、无超预算等情况。</w:t>
      </w:r>
      <w:r>
        <w:rPr>
          <w:rFonts w:hint="eastAsia" w:ascii="仿宋_GB2312" w:hAnsi="仿宋_GB2312" w:eastAsia="仿宋_GB2312" w:cs="仿宋_GB2312"/>
          <w:color w:val="000000"/>
          <w:sz w:val="32"/>
          <w:szCs w:val="32"/>
        </w:rPr>
        <w:t xml:space="preserve"> </w:t>
      </w:r>
    </w:p>
    <w:p>
      <w:pPr>
        <w:spacing w:line="576"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2.社会效益指标</w:t>
      </w:r>
    </w:p>
    <w:p>
      <w:pPr>
        <w:pStyle w:val="15"/>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团结引领广大妇女群众听党话、跟党走。全面推进全市家庭儿童工作，普及法律知识、禁毒、安全、防艾知识助推社会和谐，强化党对妇联组织的领导，夯实党建带妇建的基础工作，巩固基层组织建设，为乡村振兴巾帼行动提供组织保障。推进本轮两纲实施，实现全面达标。</w:t>
      </w:r>
    </w:p>
    <w:p>
      <w:pPr>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3.可持续效益指标</w:t>
      </w:r>
    </w:p>
    <w:p>
      <w:pPr>
        <w:widowControl/>
        <w:spacing w:line="576"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通过项目实施提升妇女思想认识，营造家庭和谐，社会和谐的氛围，促进人文生态文明、健康、和谐，促进人居环境改善，巾帼建新功行动，开展乡村振兴巾帼行动、巾帼脱贫行动、创新创业行动。</w:t>
      </w:r>
    </w:p>
    <w:p>
      <w:pPr>
        <w:spacing w:line="576"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4.服务对象满意度指标</w:t>
      </w:r>
    </w:p>
    <w:p>
      <w:pPr>
        <w:widowControl/>
        <w:spacing w:line="576"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设置：不满意、一般、满意、非常满意4个满意度指标。通过对所服务对象征询意见，征询项目在服务方式、服务手段、实施成效等满意度进行调查。满意以上指标达98%以上。</w:t>
      </w:r>
    </w:p>
    <w:p>
      <w:pPr>
        <w:adjustRightInd w:val="0"/>
        <w:snapToGrid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五、评价结论及建议</w:t>
      </w:r>
    </w:p>
    <w:p>
      <w:pPr>
        <w:spacing w:line="576" w:lineRule="exact"/>
        <w:ind w:firstLine="640" w:firstLineChars="200"/>
        <w:outlineLvl w:val="2"/>
        <w:rPr>
          <w:rFonts w:ascii="楷体_GB2312" w:hAnsi="楷体_GB2312" w:eastAsia="楷体_GB2312" w:cs="楷体_GB2312"/>
          <w:bCs/>
          <w:color w:val="000000"/>
          <w:sz w:val="32"/>
          <w:szCs w:val="32"/>
          <w:lang w:val="zh-CN"/>
        </w:rPr>
      </w:pPr>
      <w:bookmarkStart w:id="197" w:name="_Toc114498394"/>
      <w:r>
        <w:rPr>
          <w:rFonts w:hint="eastAsia" w:ascii="楷体_GB2312" w:hAnsi="楷体_GB2312" w:eastAsia="楷体_GB2312" w:cs="楷体_GB2312"/>
          <w:bCs/>
          <w:color w:val="000000"/>
          <w:sz w:val="32"/>
          <w:szCs w:val="32"/>
          <w:lang w:val="zh-CN"/>
        </w:rPr>
        <w:t>（一）评价结论</w:t>
      </w:r>
      <w:bookmarkEnd w:id="197"/>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围绕项目数量指标、质量指标、时效指标、成本指标、项目效益和满意指标，结合项目自身特点、目标任务及资金管理办法等要求，我们认为，整个项目目标任务全面完成、资金管理规范，项目保障市妇女培训中心人员工资、保险及日常运行管理工作，使妇女儿童活动阵在各项业务功能正常运转，更好的服务社会、服务家庭、服务妇女、服务儿童，促进家庭社会和谐，助推男女基本国策落地落实，引领广大妇女听党话跟党走。</w:t>
      </w:r>
      <w:r>
        <w:rPr>
          <w:rFonts w:hint="eastAsia" w:ascii="仿宋_GB2312" w:hAnsi="仿宋_GB2312" w:eastAsia="仿宋_GB2312" w:cs="仿宋_GB2312"/>
          <w:sz w:val="32"/>
          <w:szCs w:val="32"/>
        </w:rPr>
        <w:t>自评得分99分。</w:t>
      </w:r>
    </w:p>
    <w:p>
      <w:pPr>
        <w:spacing w:line="576" w:lineRule="exact"/>
        <w:ind w:firstLine="640" w:firstLineChars="200"/>
        <w:outlineLvl w:val="2"/>
        <w:rPr>
          <w:rFonts w:ascii="楷体_GB2312" w:hAnsi="楷体_GB2312" w:eastAsia="楷体_GB2312" w:cs="楷体_GB2312"/>
          <w:bCs/>
          <w:color w:val="000000"/>
          <w:sz w:val="32"/>
          <w:szCs w:val="32"/>
          <w:lang w:val="zh-CN"/>
        </w:rPr>
      </w:pPr>
      <w:bookmarkStart w:id="198" w:name="_Toc114498395"/>
      <w:r>
        <w:rPr>
          <w:rFonts w:hint="eastAsia" w:ascii="楷体_GB2312" w:hAnsi="楷体_GB2312" w:eastAsia="楷体_GB2312" w:cs="楷体_GB2312"/>
          <w:bCs/>
          <w:color w:val="000000"/>
          <w:sz w:val="32"/>
          <w:szCs w:val="32"/>
          <w:lang w:val="zh-CN"/>
        </w:rPr>
        <w:t>（二）存在的问题</w:t>
      </w:r>
      <w:bookmarkEnd w:id="198"/>
    </w:p>
    <w:p>
      <w:pPr>
        <w:widowControl/>
        <w:spacing w:line="576"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spacing w:line="576" w:lineRule="exact"/>
        <w:ind w:firstLine="640" w:firstLineChars="200"/>
        <w:outlineLvl w:val="2"/>
        <w:rPr>
          <w:rFonts w:ascii="楷体_GB2312" w:hAnsi="楷体_GB2312" w:eastAsia="楷体_GB2312" w:cs="楷体_GB2312"/>
          <w:bCs/>
          <w:color w:val="000000"/>
          <w:sz w:val="32"/>
          <w:szCs w:val="32"/>
          <w:lang w:val="zh-CN"/>
        </w:rPr>
      </w:pPr>
      <w:bookmarkStart w:id="199" w:name="_Toc114498396"/>
      <w:r>
        <w:rPr>
          <w:rFonts w:hint="eastAsia" w:ascii="楷体_GB2312" w:hAnsi="楷体_GB2312" w:eastAsia="楷体_GB2312" w:cs="楷体_GB2312"/>
          <w:bCs/>
          <w:color w:val="000000"/>
          <w:sz w:val="32"/>
          <w:szCs w:val="32"/>
          <w:lang w:val="zh-CN"/>
        </w:rPr>
        <w:t>（三）相关建议</w:t>
      </w:r>
      <w:bookmarkEnd w:id="199"/>
    </w:p>
    <w:p>
      <w:pPr>
        <w:widowControl/>
        <w:spacing w:line="576"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加大对妇女儿童业务工作的财政投入，更好地服务全市经济社会发展大局。</w:t>
      </w: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rPr>
          <w:rFonts w:ascii="黑体" w:hAnsi="黑体" w:eastAsia="黑体" w:cs="黑体"/>
          <w:sz w:val="32"/>
          <w:szCs w:val="32"/>
        </w:rPr>
      </w:pPr>
      <w:r>
        <w:rPr>
          <w:rFonts w:hint="eastAsia" w:ascii="黑体" w:hAnsi="黑体" w:eastAsia="黑体" w:cs="黑体"/>
          <w:sz w:val="32"/>
          <w:szCs w:val="32"/>
        </w:rPr>
        <w:t>附表</w:t>
      </w:r>
    </w:p>
    <w:tbl>
      <w:tblPr>
        <w:tblStyle w:val="20"/>
        <w:tblW w:w="9029" w:type="dxa"/>
        <w:jc w:val="center"/>
        <w:tblLayout w:type="fixed"/>
        <w:tblCellMar>
          <w:top w:w="0" w:type="dxa"/>
          <w:left w:w="108" w:type="dxa"/>
          <w:bottom w:w="0" w:type="dxa"/>
          <w:right w:w="108" w:type="dxa"/>
        </w:tblCellMar>
      </w:tblPr>
      <w:tblGrid>
        <w:gridCol w:w="1194"/>
        <w:gridCol w:w="952"/>
        <w:gridCol w:w="1197"/>
        <w:gridCol w:w="1669"/>
        <w:gridCol w:w="1856"/>
        <w:gridCol w:w="1800"/>
        <w:gridCol w:w="361"/>
      </w:tblGrid>
      <w:tr>
        <w:tblPrEx>
          <w:tblCellMar>
            <w:top w:w="0" w:type="dxa"/>
            <w:left w:w="108" w:type="dxa"/>
            <w:bottom w:w="0" w:type="dxa"/>
            <w:right w:w="108" w:type="dxa"/>
          </w:tblCellMar>
        </w:tblPrEx>
        <w:trPr>
          <w:trHeight w:val="766" w:hRule="atLeast"/>
          <w:jc w:val="center"/>
        </w:trPr>
        <w:tc>
          <w:tcPr>
            <w:tcW w:w="8668" w:type="dxa"/>
            <w:gridSpan w:val="6"/>
            <w:tcBorders>
              <w:top w:val="nil"/>
              <w:left w:val="nil"/>
              <w:bottom w:val="nil"/>
              <w:right w:val="nil"/>
            </w:tcBorders>
            <w:shd w:val="clear" w:color="auto" w:fill="auto"/>
            <w:vAlign w:val="center"/>
          </w:tcPr>
          <w:p>
            <w:pPr>
              <w:widowControl/>
              <w:spacing w:line="560" w:lineRule="exact"/>
              <w:jc w:val="center"/>
              <w:textAlignment w:val="center"/>
              <w:rPr>
                <w:rFonts w:ascii="仿宋_GB2312" w:hAnsi="仿宋_GB2312" w:eastAsia="仿宋_GB2312" w:cs="仿宋_GB2312"/>
                <w:b/>
                <w:sz w:val="24"/>
              </w:rPr>
            </w:pPr>
            <w:bookmarkStart w:id="200" w:name="_Toc15396618"/>
            <w:r>
              <w:rPr>
                <w:rFonts w:hint="eastAsia" w:ascii="方正小标宋简体" w:hAnsi="方正小标宋简体" w:eastAsia="方正小标宋简体" w:cs="方正小标宋简体"/>
                <w:bCs/>
                <w:sz w:val="44"/>
                <w:szCs w:val="44"/>
              </w:rPr>
              <w:t>2021年部门预算项目绩效目标自评</w:t>
            </w:r>
          </w:p>
        </w:tc>
        <w:tc>
          <w:tcPr>
            <w:tcW w:w="361" w:type="dxa"/>
            <w:tcBorders>
              <w:top w:val="nil"/>
              <w:left w:val="nil"/>
              <w:bottom w:val="nil"/>
              <w:right w:val="nil"/>
            </w:tcBorders>
            <w:shd w:val="clear" w:color="auto" w:fill="auto"/>
            <w:vAlign w:val="center"/>
          </w:tcPr>
          <w:p>
            <w:pPr>
              <w:widowControl/>
              <w:spacing w:line="340" w:lineRule="exact"/>
              <w:jc w:val="center"/>
              <w:textAlignment w:val="center"/>
              <w:rPr>
                <w:rFonts w:ascii="仿宋_GB2312" w:hAnsi="仿宋_GB2312" w:eastAsia="仿宋_GB2312" w:cs="仿宋_GB2312"/>
                <w:b/>
                <w:kern w:val="0"/>
                <w:sz w:val="24"/>
              </w:rPr>
            </w:pPr>
          </w:p>
        </w:tc>
      </w:tr>
      <w:tr>
        <w:tblPrEx>
          <w:tblCellMar>
            <w:top w:w="0" w:type="dxa"/>
            <w:left w:w="108" w:type="dxa"/>
            <w:bottom w:w="0" w:type="dxa"/>
            <w:right w:w="108" w:type="dxa"/>
          </w:tblCellMar>
        </w:tblPrEx>
        <w:trPr>
          <w:gridAfter w:val="1"/>
          <w:wAfter w:w="361" w:type="dxa"/>
          <w:jc w:val="center"/>
        </w:trPr>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主管部门及代码</w:t>
            </w:r>
          </w:p>
        </w:tc>
        <w:tc>
          <w:tcPr>
            <w:tcW w:w="2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广元市妇女联合会-354001</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实施单位</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广元市妇女联合会</w:t>
            </w:r>
          </w:p>
        </w:tc>
      </w:tr>
      <w:tr>
        <w:tblPrEx>
          <w:tblCellMar>
            <w:top w:w="0" w:type="dxa"/>
            <w:left w:w="108" w:type="dxa"/>
            <w:bottom w:w="0" w:type="dxa"/>
            <w:right w:w="108" w:type="dxa"/>
          </w:tblCellMar>
        </w:tblPrEx>
        <w:trPr>
          <w:gridAfter w:val="1"/>
          <w:wAfter w:w="361" w:type="dxa"/>
          <w:jc w:val="center"/>
        </w:trPr>
        <w:tc>
          <w:tcPr>
            <w:tcW w:w="21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项目预算</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执行情况</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（万元）</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预算数：</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10.35</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执行数：</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10.35</w:t>
            </w:r>
          </w:p>
        </w:tc>
      </w:tr>
      <w:tr>
        <w:tblPrEx>
          <w:tblCellMar>
            <w:top w:w="0" w:type="dxa"/>
            <w:left w:w="108" w:type="dxa"/>
            <w:bottom w:w="0" w:type="dxa"/>
            <w:right w:w="108" w:type="dxa"/>
          </w:tblCellMar>
        </w:tblPrEx>
        <w:trPr>
          <w:gridAfter w:val="1"/>
          <w:wAfter w:w="361" w:type="dxa"/>
          <w:jc w:val="center"/>
        </w:trPr>
        <w:tc>
          <w:tcPr>
            <w:tcW w:w="21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仿宋_GB2312" w:hAnsi="仿宋_GB2312" w:eastAsia="仿宋_GB2312" w:cs="仿宋_GB2312"/>
                <w:sz w:val="24"/>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其中：</w:t>
            </w:r>
          </w:p>
          <w:p>
            <w:pPr>
              <w:widowControl/>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财政拨款</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10.35</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其中：</w:t>
            </w:r>
          </w:p>
          <w:p>
            <w:pPr>
              <w:widowControl/>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财政拨款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10.35</w:t>
            </w:r>
          </w:p>
        </w:tc>
      </w:tr>
      <w:tr>
        <w:tblPrEx>
          <w:tblCellMar>
            <w:top w:w="0" w:type="dxa"/>
            <w:left w:w="108" w:type="dxa"/>
            <w:bottom w:w="0" w:type="dxa"/>
            <w:right w:w="108" w:type="dxa"/>
          </w:tblCellMar>
        </w:tblPrEx>
        <w:trPr>
          <w:gridAfter w:val="1"/>
          <w:wAfter w:w="361" w:type="dxa"/>
          <w:trHeight w:val="404" w:hRule="atLeast"/>
          <w:jc w:val="center"/>
        </w:trPr>
        <w:tc>
          <w:tcPr>
            <w:tcW w:w="21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仿宋_GB2312" w:hAnsi="仿宋_GB2312" w:eastAsia="仿宋_GB2312" w:cs="仿宋_GB2312"/>
                <w:sz w:val="24"/>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其他资金</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其他资金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CellMar>
            <w:top w:w="0" w:type="dxa"/>
            <w:left w:w="108" w:type="dxa"/>
            <w:bottom w:w="0" w:type="dxa"/>
            <w:right w:w="108" w:type="dxa"/>
          </w:tblCellMar>
        </w:tblPrEx>
        <w:trPr>
          <w:gridAfter w:val="1"/>
          <w:wAfter w:w="361" w:type="dxa"/>
          <w:trHeight w:val="518" w:hRule="atLeast"/>
          <w:jc w:val="center"/>
        </w:trPr>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年度总体目标完成情况</w:t>
            </w:r>
          </w:p>
        </w:tc>
        <w:tc>
          <w:tcPr>
            <w:tcW w:w="38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预期目标</w:t>
            </w:r>
          </w:p>
        </w:tc>
        <w:tc>
          <w:tcPr>
            <w:tcW w:w="3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目标实际完成情况</w:t>
            </w:r>
          </w:p>
        </w:tc>
      </w:tr>
      <w:tr>
        <w:tblPrEx>
          <w:tblCellMar>
            <w:top w:w="0" w:type="dxa"/>
            <w:left w:w="108" w:type="dxa"/>
            <w:bottom w:w="0" w:type="dxa"/>
            <w:right w:w="108" w:type="dxa"/>
          </w:tblCellMar>
        </w:tblPrEx>
        <w:trPr>
          <w:gridAfter w:val="1"/>
          <w:wAfter w:w="361" w:type="dxa"/>
          <w:jc w:val="center"/>
        </w:trPr>
        <w:tc>
          <w:tcPr>
            <w:tcW w:w="119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300" w:lineRule="exact"/>
              <w:jc w:val="center"/>
              <w:rPr>
                <w:rFonts w:ascii="仿宋_GB2312" w:hAnsi="仿宋_GB2312" w:eastAsia="仿宋_GB2312" w:cs="仿宋_GB2312"/>
                <w:sz w:val="24"/>
              </w:rPr>
            </w:pPr>
          </w:p>
        </w:tc>
        <w:tc>
          <w:tcPr>
            <w:tcW w:w="3818"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00" w:lineRule="exact"/>
              <w:jc w:val="left"/>
              <w:textAlignment w:val="top"/>
              <w:rPr>
                <w:rFonts w:ascii="仿宋_GB2312" w:hAnsi="仿宋_GB2312" w:eastAsia="仿宋_GB2312" w:cs="仿宋_GB2312"/>
                <w:sz w:val="24"/>
              </w:rPr>
            </w:pPr>
            <w:r>
              <w:rPr>
                <w:rFonts w:hint="eastAsia" w:ascii="仿宋_GB2312" w:hAnsi="仿宋_GB2312" w:eastAsia="仿宋_GB2312" w:cs="仿宋_GB2312"/>
                <w:sz w:val="24"/>
              </w:rPr>
              <w:t>市妇女儿童活动中心、培训中心管理工作经费</w:t>
            </w:r>
          </w:p>
        </w:tc>
        <w:tc>
          <w:tcPr>
            <w:tcW w:w="3656" w:type="dxa"/>
            <w:gridSpan w:val="2"/>
            <w:tcBorders>
              <w:top w:val="single" w:color="000000" w:sz="4" w:space="0"/>
              <w:left w:val="single" w:color="000000" w:sz="4" w:space="0"/>
              <w:bottom w:val="single" w:color="auto" w:sz="4" w:space="0"/>
              <w:right w:val="single" w:color="000000" w:sz="4" w:space="0"/>
            </w:tcBorders>
            <w:shd w:val="clear" w:color="auto" w:fill="auto"/>
          </w:tcPr>
          <w:p>
            <w:pPr>
              <w:widowControl/>
              <w:spacing w:line="300" w:lineRule="exact"/>
              <w:jc w:val="left"/>
              <w:textAlignment w:val="top"/>
              <w:rPr>
                <w:rFonts w:ascii="仿宋_GB2312" w:hAnsi="仿宋_GB2312" w:eastAsia="仿宋_GB2312" w:cs="仿宋_GB2312"/>
                <w:sz w:val="24"/>
              </w:rPr>
            </w:pPr>
            <w:r>
              <w:rPr>
                <w:rFonts w:hint="eastAsia" w:ascii="仿宋_GB2312" w:hAnsi="仿宋_GB2312" w:eastAsia="仿宋_GB2312" w:cs="仿宋_GB2312"/>
                <w:sz w:val="24"/>
              </w:rPr>
              <w:t>市妇联培训中心保障妇女儿童活动阵地正常运转（国投大厦12楼），主要包括人员工资、日常运行管理费用含水电、物业、维修、网络、通讯费、办公费用、清洁费、停车费等。</w:t>
            </w:r>
          </w:p>
        </w:tc>
      </w:tr>
      <w:tr>
        <w:tblPrEx>
          <w:tblCellMar>
            <w:top w:w="0" w:type="dxa"/>
            <w:left w:w="108" w:type="dxa"/>
            <w:bottom w:w="0" w:type="dxa"/>
            <w:right w:w="108" w:type="dxa"/>
          </w:tblCellMar>
        </w:tblPrEx>
        <w:trPr>
          <w:gridAfter w:val="1"/>
          <w:wAfter w:w="361" w:type="dxa"/>
          <w:jc w:val="center"/>
        </w:trPr>
        <w:tc>
          <w:tcPr>
            <w:tcW w:w="11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年度绩效指标完成情况</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一级</w:t>
            </w:r>
          </w:p>
          <w:p>
            <w:pPr>
              <w:widowControl/>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二级</w:t>
            </w:r>
          </w:p>
          <w:p>
            <w:pPr>
              <w:widowControl/>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三级</w:t>
            </w:r>
          </w:p>
          <w:p>
            <w:pPr>
              <w:widowControl/>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预期</w:t>
            </w:r>
          </w:p>
          <w:p>
            <w:pPr>
              <w:widowControl/>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指标值</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实际完成</w:t>
            </w:r>
          </w:p>
          <w:p>
            <w:pPr>
              <w:widowControl/>
              <w:spacing w:line="3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指标值</w:t>
            </w:r>
          </w:p>
        </w:tc>
      </w:tr>
      <w:tr>
        <w:tblPrEx>
          <w:tblCellMar>
            <w:top w:w="0" w:type="dxa"/>
            <w:left w:w="108" w:type="dxa"/>
            <w:bottom w:w="0" w:type="dxa"/>
            <w:right w:w="108" w:type="dxa"/>
          </w:tblCellMar>
        </w:tblPrEx>
        <w:trPr>
          <w:gridAfter w:val="1"/>
          <w:wAfter w:w="361" w:type="dxa"/>
          <w:trHeight w:val="4604" w:hRule="atLeast"/>
          <w:jc w:val="center"/>
        </w:trPr>
        <w:tc>
          <w:tcPr>
            <w:tcW w:w="11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p>
        </w:tc>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完成</w:t>
            </w:r>
          </w:p>
          <w:p>
            <w:pPr>
              <w:widowControl/>
              <w:spacing w:line="3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数量指标</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指标1：：市妇联培训中心保障妇女儿童活动阵地正常运转（国投大厦12楼），主要包括人员工资、日常运行管理费用含水电、物业、维修、网络、通讯费、办公费用、清洁费、停车费等。</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市妇联培训中心保障妇女儿童活动阵地正常运转（国投大厦12楼），主要包括人员工资、日常运行管理费用含水电、物业、维修、网络、通讯费、办公费用、清洁费、停车费等。</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保障妇女儿童活动阵地正常运转人员工资、日常运行管理，含水电、物业、维修、网络、通讯费、办公费用、清洁费、停车费等。</w:t>
            </w:r>
          </w:p>
        </w:tc>
      </w:tr>
      <w:tr>
        <w:tblPrEx>
          <w:tblCellMar>
            <w:top w:w="0" w:type="dxa"/>
            <w:left w:w="108" w:type="dxa"/>
            <w:bottom w:w="0" w:type="dxa"/>
            <w:right w:w="108" w:type="dxa"/>
          </w:tblCellMar>
        </w:tblPrEx>
        <w:trPr>
          <w:gridAfter w:val="1"/>
          <w:wAfter w:w="361" w:type="dxa"/>
          <w:trHeight w:val="1569" w:hRule="atLeast"/>
          <w:jc w:val="center"/>
        </w:trPr>
        <w:tc>
          <w:tcPr>
            <w:tcW w:w="11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质量指标</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指标1：使妇女儿童活动阵在各项业务功能正常运转</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使妇女儿童活动阵在各项业务功能正常运转</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使妇女儿童活动阵在各项业务功能正常运转</w:t>
            </w:r>
          </w:p>
        </w:tc>
      </w:tr>
      <w:tr>
        <w:tblPrEx>
          <w:tblCellMar>
            <w:top w:w="0" w:type="dxa"/>
            <w:left w:w="108" w:type="dxa"/>
            <w:bottom w:w="0" w:type="dxa"/>
            <w:right w:w="108" w:type="dxa"/>
          </w:tblCellMar>
        </w:tblPrEx>
        <w:trPr>
          <w:gridAfter w:val="1"/>
          <w:wAfter w:w="361" w:type="dxa"/>
          <w:trHeight w:val="1147" w:hRule="atLeast"/>
          <w:jc w:val="center"/>
        </w:trPr>
        <w:tc>
          <w:tcPr>
            <w:tcW w:w="11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时效指标</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指标1：2021年12月31日前完成</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2021年12月31日前完成</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1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2021年12月31日前完成</w:t>
            </w:r>
          </w:p>
        </w:tc>
      </w:tr>
      <w:tr>
        <w:tblPrEx>
          <w:tblCellMar>
            <w:top w:w="0" w:type="dxa"/>
            <w:left w:w="108" w:type="dxa"/>
            <w:bottom w:w="0" w:type="dxa"/>
            <w:right w:w="108" w:type="dxa"/>
          </w:tblCellMar>
        </w:tblPrEx>
        <w:trPr>
          <w:gridAfter w:val="1"/>
          <w:wAfter w:w="361" w:type="dxa"/>
          <w:trHeight w:val="3702" w:hRule="atLeast"/>
          <w:jc w:val="center"/>
        </w:trPr>
        <w:tc>
          <w:tcPr>
            <w:tcW w:w="1194" w:type="dxa"/>
            <w:vMerge w:val="continue"/>
            <w:tcBorders>
              <w:top w:val="single" w:color="auto" w:sz="4" w:space="0"/>
              <w:left w:val="single" w:color="auto" w:sz="4" w:space="0"/>
              <w:right w:val="single" w:color="000000" w:sz="4" w:space="0"/>
            </w:tcBorders>
            <w:shd w:val="clear" w:color="auto" w:fill="auto"/>
            <w:vAlign w:val="center"/>
          </w:tcPr>
          <w:p>
            <w:pPr>
              <w:spacing w:line="300" w:lineRule="exact"/>
              <w:jc w:val="center"/>
              <w:rPr>
                <w:rFonts w:ascii="仿宋_GB2312" w:hAnsi="仿宋_GB2312" w:eastAsia="仿宋_GB2312" w:cs="仿宋_GB2312"/>
                <w:sz w:val="24"/>
              </w:rPr>
            </w:pPr>
          </w:p>
        </w:tc>
        <w:tc>
          <w:tcPr>
            <w:tcW w:w="95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仿宋_GB2312" w:hAnsi="仿宋_GB2312" w:eastAsia="仿宋_GB2312" w:cs="仿宋_GB2312"/>
                <w:sz w:val="24"/>
              </w:rPr>
            </w:pPr>
          </w:p>
        </w:tc>
        <w:tc>
          <w:tcPr>
            <w:tcW w:w="119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成本指标</w:t>
            </w:r>
          </w:p>
        </w:tc>
        <w:tc>
          <w:tcPr>
            <w:tcW w:w="166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1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指标1：广元市妇女儿童活动中心管理费用10.35万元</w:t>
            </w:r>
          </w:p>
        </w:tc>
        <w:tc>
          <w:tcPr>
            <w:tcW w:w="185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1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广元市妇女儿童活动中心管理费用，主要包括人员工资、日常运行管理费用含水电、物业、维修、网络、通讯费、办公费用、清洁费、停车费等10.35万元。</w:t>
            </w:r>
          </w:p>
        </w:tc>
        <w:tc>
          <w:tcPr>
            <w:tcW w:w="180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1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广元市妇女儿童活动中心管理费用，主要包括人员工资、日常运行管理费用含水电、物业、维修、网络、通讯费、办公费用、清洁费、停车费等10.35万元。</w:t>
            </w:r>
          </w:p>
        </w:tc>
      </w:tr>
      <w:tr>
        <w:tblPrEx>
          <w:tblCellMar>
            <w:top w:w="0" w:type="dxa"/>
            <w:left w:w="108" w:type="dxa"/>
            <w:bottom w:w="0" w:type="dxa"/>
            <w:right w:w="108" w:type="dxa"/>
          </w:tblCellMar>
        </w:tblPrEx>
        <w:trPr>
          <w:gridAfter w:val="1"/>
          <w:wAfter w:w="361" w:type="dxa"/>
          <w:trHeight w:val="1747" w:hRule="atLeast"/>
          <w:jc w:val="center"/>
        </w:trPr>
        <w:tc>
          <w:tcPr>
            <w:tcW w:w="1194" w:type="dxa"/>
            <w:vMerge w:val="continue"/>
            <w:tcBorders>
              <w:left w:val="single" w:color="auto" w:sz="4" w:space="0"/>
              <w:right w:val="single" w:color="000000" w:sz="4" w:space="0"/>
            </w:tcBorders>
            <w:shd w:val="clear" w:color="auto" w:fill="auto"/>
            <w:vAlign w:val="center"/>
          </w:tcPr>
          <w:p>
            <w:pPr>
              <w:spacing w:line="300" w:lineRule="exact"/>
              <w:jc w:val="center"/>
              <w:rPr>
                <w:rFonts w:ascii="仿宋_GB2312" w:hAnsi="仿宋_GB2312" w:eastAsia="仿宋_GB2312" w:cs="仿宋_GB2312"/>
                <w:sz w:val="24"/>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仿宋_GB2312" w:hAnsi="仿宋_GB2312" w:eastAsia="仿宋_GB2312" w:cs="仿宋_GB2312"/>
                <w:sz w:val="24"/>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社会效益  指标</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10" w:lineRule="exact"/>
              <w:jc w:val="left"/>
              <w:rPr>
                <w:rFonts w:ascii="仿宋_GB2312" w:hAnsi="仿宋_GB2312" w:eastAsia="仿宋_GB2312" w:cs="仿宋_GB2312"/>
                <w:sz w:val="24"/>
              </w:rPr>
            </w:pPr>
            <w:r>
              <w:rPr>
                <w:rFonts w:hint="eastAsia" w:ascii="仿宋_GB2312" w:hAnsi="仿宋_GB2312" w:eastAsia="仿宋_GB2312" w:cs="仿宋_GB2312"/>
                <w:sz w:val="24"/>
              </w:rPr>
              <w:t>指标1：更好的服务社会、服务家庭、服务妇女、服务儿童</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1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更好的服务社会、服务家庭、服务妇女、服务儿童</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1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更好的服务社会、服务家庭、服务妇女、服务儿童</w:t>
            </w:r>
          </w:p>
        </w:tc>
      </w:tr>
      <w:tr>
        <w:tblPrEx>
          <w:tblCellMar>
            <w:top w:w="0" w:type="dxa"/>
            <w:left w:w="108" w:type="dxa"/>
            <w:bottom w:w="0" w:type="dxa"/>
            <w:right w:w="108" w:type="dxa"/>
          </w:tblCellMar>
        </w:tblPrEx>
        <w:trPr>
          <w:gridAfter w:val="1"/>
          <w:wAfter w:w="361" w:type="dxa"/>
          <w:trHeight w:val="1785" w:hRule="atLeast"/>
          <w:jc w:val="center"/>
        </w:trPr>
        <w:tc>
          <w:tcPr>
            <w:tcW w:w="1194" w:type="dxa"/>
            <w:vMerge w:val="continue"/>
            <w:tcBorders>
              <w:left w:val="single" w:color="auto" w:sz="4" w:space="0"/>
              <w:right w:val="single" w:color="000000" w:sz="4" w:space="0"/>
            </w:tcBorders>
            <w:shd w:val="clear" w:color="auto" w:fill="auto"/>
            <w:vAlign w:val="center"/>
          </w:tcPr>
          <w:p>
            <w:pPr>
              <w:spacing w:line="300" w:lineRule="exact"/>
              <w:jc w:val="center"/>
              <w:rPr>
                <w:rFonts w:ascii="仿宋_GB2312" w:hAnsi="仿宋_GB2312" w:eastAsia="仿宋_GB2312" w:cs="仿宋_GB2312"/>
                <w:sz w:val="24"/>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仿宋_GB2312" w:hAnsi="仿宋_GB2312" w:eastAsia="仿宋_GB2312" w:cs="仿宋_GB2312"/>
                <w:sz w:val="24"/>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可持续影响 指标</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1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指标1：更好的服务社会、服务家庭、服务妇女、服务儿童</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1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更好的服务社会、服务家庭、服务妇女、服务儿童</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1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更好的服务社会、服务家庭、服务妇女、服务儿童</w:t>
            </w:r>
          </w:p>
        </w:tc>
      </w:tr>
      <w:tr>
        <w:tblPrEx>
          <w:tblCellMar>
            <w:top w:w="0" w:type="dxa"/>
            <w:left w:w="108" w:type="dxa"/>
            <w:bottom w:w="0" w:type="dxa"/>
            <w:right w:w="108" w:type="dxa"/>
          </w:tblCellMar>
        </w:tblPrEx>
        <w:trPr>
          <w:gridAfter w:val="1"/>
          <w:wAfter w:w="361" w:type="dxa"/>
          <w:trHeight w:val="4143" w:hRule="atLeast"/>
          <w:jc w:val="center"/>
        </w:trPr>
        <w:tc>
          <w:tcPr>
            <w:tcW w:w="1194" w:type="dxa"/>
            <w:vMerge w:val="continue"/>
            <w:tcBorders>
              <w:left w:val="single" w:color="auto" w:sz="4" w:space="0"/>
              <w:bottom w:val="single" w:color="000000" w:sz="4" w:space="0"/>
              <w:right w:val="single" w:color="000000" w:sz="4" w:space="0"/>
            </w:tcBorders>
            <w:shd w:val="clear" w:color="auto" w:fill="auto"/>
            <w:vAlign w:val="center"/>
          </w:tcPr>
          <w:p>
            <w:pPr>
              <w:spacing w:line="300" w:lineRule="exact"/>
              <w:jc w:val="center"/>
              <w:rPr>
                <w:rFonts w:ascii="仿宋_GB2312" w:hAnsi="仿宋_GB2312" w:eastAsia="仿宋_GB2312" w:cs="仿宋_GB2312"/>
                <w:sz w:val="24"/>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满意</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度指标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满意度</w:t>
            </w:r>
          </w:p>
          <w:p>
            <w:pPr>
              <w:widowControl/>
              <w:spacing w:line="3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1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指标1：达到政府考核要求，不满意、一般、满意、非常满意4个满意度指标。通过对所服务对象征询意见，征询项目在服务方式、服务手段、实施成效等满意度进行调查。</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1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达到政府考核要求，满意以上指标达95%以上。</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10" w:lineRule="exact"/>
              <w:jc w:val="left"/>
              <w:rPr>
                <w:rFonts w:ascii="仿宋_GB2312" w:hAnsi="仿宋_GB2312" w:eastAsia="仿宋_GB2312" w:cs="仿宋_GB2312"/>
                <w:sz w:val="24"/>
              </w:rPr>
            </w:pPr>
            <w:r>
              <w:rPr>
                <w:rFonts w:hint="eastAsia" w:ascii="仿宋_GB2312" w:hAnsi="仿宋_GB2312" w:eastAsia="仿宋_GB2312" w:cs="仿宋_GB2312"/>
                <w:sz w:val="24"/>
              </w:rPr>
              <w:t>达到政府考核要求，满意以上指标达98%以上。</w:t>
            </w:r>
          </w:p>
          <w:p>
            <w:pPr>
              <w:widowControl/>
              <w:spacing w:line="310" w:lineRule="exact"/>
              <w:jc w:val="left"/>
              <w:textAlignment w:val="bottom"/>
              <w:rPr>
                <w:rFonts w:ascii="仿宋_GB2312" w:hAnsi="仿宋_GB2312" w:eastAsia="仿宋_GB2312" w:cs="仿宋_GB2312"/>
                <w:sz w:val="24"/>
              </w:rPr>
            </w:pPr>
          </w:p>
        </w:tc>
      </w:tr>
    </w:tbl>
    <w:p>
      <w:pPr>
        <w:rPr>
          <w:rFonts w:ascii="黑体" w:hAnsi="黑体" w:eastAsia="黑体" w:cs="黑体"/>
          <w:sz w:val="32"/>
          <w:szCs w:val="32"/>
        </w:rPr>
      </w:pPr>
      <w:r>
        <w:rPr>
          <w:rFonts w:hint="eastAsia" w:ascii="黑体" w:hAnsi="黑体" w:eastAsia="黑体" w:cs="黑体"/>
          <w:sz w:val="32"/>
          <w:szCs w:val="32"/>
        </w:rPr>
        <w:t>附件4</w:t>
      </w:r>
    </w:p>
    <w:p>
      <w:pPr>
        <w:spacing w:line="576" w:lineRule="exact"/>
        <w:jc w:val="center"/>
        <w:rPr>
          <w:rFonts w:ascii="方正小标宋简体" w:hAnsi="方正小标宋简体" w:eastAsia="方正小标宋简体" w:cs="方正小标宋简体"/>
          <w:sz w:val="42"/>
          <w:szCs w:val="42"/>
        </w:rPr>
      </w:pPr>
      <w:bookmarkStart w:id="201" w:name="_Toc7261"/>
      <w:bookmarkStart w:id="202" w:name="_Toc114498397"/>
      <w:r>
        <w:rPr>
          <w:rFonts w:hint="eastAsia" w:ascii="方正小标宋简体" w:hAnsi="方正小标宋简体" w:eastAsia="方正小标宋简体" w:cs="方正小标宋简体"/>
          <w:sz w:val="42"/>
          <w:szCs w:val="42"/>
        </w:rPr>
        <w:t>广元市妇女联合会</w:t>
      </w:r>
      <w:bookmarkEnd w:id="201"/>
      <w:bookmarkEnd w:id="202"/>
    </w:p>
    <w:p>
      <w:pPr>
        <w:spacing w:line="576" w:lineRule="exact"/>
        <w:jc w:val="center"/>
        <w:rPr>
          <w:rFonts w:ascii="方正小标宋简体" w:hAnsi="方正小标宋简体" w:eastAsia="方正小标宋简体" w:cs="方正小标宋简体"/>
          <w:sz w:val="42"/>
          <w:szCs w:val="42"/>
          <w:lang w:val="zh-CN"/>
        </w:rPr>
      </w:pPr>
      <w:bookmarkStart w:id="203" w:name="_Toc29733"/>
      <w:bookmarkStart w:id="204" w:name="_Toc114498398"/>
      <w:r>
        <w:rPr>
          <w:rFonts w:hint="eastAsia" w:ascii="方正小标宋简体" w:hAnsi="方正小标宋简体" w:eastAsia="方正小标宋简体" w:cs="方正小标宋简体"/>
          <w:sz w:val="42"/>
          <w:szCs w:val="42"/>
        </w:rPr>
        <w:t>2021年女儿节工作经费</w:t>
      </w:r>
      <w:r>
        <w:rPr>
          <w:rFonts w:hint="eastAsia" w:ascii="方正小标宋简体" w:hAnsi="方正小标宋简体" w:eastAsia="方正小标宋简体" w:cs="方正小标宋简体"/>
          <w:sz w:val="42"/>
          <w:szCs w:val="42"/>
          <w:lang w:val="zh-CN"/>
        </w:rPr>
        <w:t>项目</w:t>
      </w:r>
      <w:bookmarkEnd w:id="203"/>
      <w:bookmarkEnd w:id="204"/>
      <w:bookmarkStart w:id="205" w:name="_Toc16147"/>
      <w:bookmarkStart w:id="206" w:name="_Toc114498399"/>
      <w:r>
        <w:rPr>
          <w:rFonts w:hint="eastAsia" w:ascii="方正小标宋简体" w:hAnsi="方正小标宋简体" w:eastAsia="方正小标宋简体" w:cs="方正小标宋简体"/>
          <w:sz w:val="42"/>
          <w:szCs w:val="42"/>
          <w:lang w:val="zh-CN"/>
        </w:rPr>
        <w:t>支出绩效自评报告</w:t>
      </w:r>
      <w:bookmarkEnd w:id="205"/>
      <w:bookmarkEnd w:id="206"/>
    </w:p>
    <w:p>
      <w:pPr>
        <w:spacing w:line="576" w:lineRule="exact"/>
        <w:ind w:firstLine="640" w:firstLineChars="200"/>
        <w:rPr>
          <w:rFonts w:ascii="仿宋_GB2312" w:hAnsi="仿宋_GB2312" w:eastAsia="仿宋_GB2312" w:cs="仿宋_GB2312"/>
          <w:sz w:val="32"/>
          <w:szCs w:val="32"/>
          <w:lang w:val="zh-CN"/>
        </w:rPr>
      </w:pPr>
    </w:p>
    <w:p>
      <w:pPr>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spacing w:line="576" w:lineRule="exact"/>
        <w:ind w:firstLine="640" w:firstLineChars="200"/>
        <w:rPr>
          <w:rFonts w:ascii="仿宋_GB2312" w:hAnsi="仿宋_GB2312" w:eastAsia="仿宋_GB2312" w:cs="仿宋_GB2312"/>
          <w:sz w:val="32"/>
          <w:szCs w:val="32"/>
          <w:lang w:val="zh-CN"/>
        </w:rPr>
      </w:pPr>
      <w:bookmarkStart w:id="207" w:name="_Toc114498400"/>
      <w:r>
        <w:rPr>
          <w:rFonts w:hint="eastAsia" w:ascii="楷体_GB2312" w:hAnsi="楷体_GB2312" w:eastAsia="楷体_GB2312" w:cs="楷体_GB2312"/>
          <w:sz w:val="32"/>
          <w:szCs w:val="32"/>
          <w:lang w:val="zh-CN"/>
        </w:rPr>
        <w:t>（一）项目基本情况</w:t>
      </w:r>
      <w:bookmarkEnd w:id="207"/>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以举办2021年广元女儿节活动为平台，彰显武则天历史名人文化，助推广元经济高质量发展，提升广元知名度和影响力。</w:t>
      </w:r>
    </w:p>
    <w:p>
      <w:pPr>
        <w:spacing w:line="576" w:lineRule="exact"/>
        <w:ind w:firstLine="640" w:firstLineChars="200"/>
        <w:rPr>
          <w:rFonts w:ascii="楷体_GB2312" w:hAnsi="楷体_GB2312" w:eastAsia="楷体_GB2312" w:cs="楷体_GB2312"/>
          <w:sz w:val="32"/>
          <w:szCs w:val="32"/>
          <w:lang w:val="zh-CN"/>
        </w:rPr>
      </w:pPr>
      <w:bookmarkStart w:id="208" w:name="_Toc114498401"/>
      <w:r>
        <w:rPr>
          <w:rFonts w:hint="eastAsia" w:ascii="楷体_GB2312" w:hAnsi="楷体_GB2312" w:eastAsia="楷体_GB2312" w:cs="楷体_GB2312"/>
          <w:sz w:val="32"/>
          <w:szCs w:val="32"/>
          <w:lang w:val="zh-CN"/>
        </w:rPr>
        <w:t>（二）项目绩效目标</w:t>
      </w:r>
      <w:bookmarkEnd w:id="208"/>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rPr>
        <w:t>坚持“政府引导、市场主体、文旅融合”原则，以举办2022年广元女儿节活动为平台，彰显武则天历史名人文化，助推广元经济高质量发展，提升广元知名度和影响力。</w:t>
      </w:r>
    </w:p>
    <w:p>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助推广元经济高质量发展，提升广元知名度和影响力。</w:t>
      </w:r>
    </w:p>
    <w:p>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项目自评步骤及方法</w:t>
      </w:r>
    </w:p>
    <w:p>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为进一步强化财政支出绩效理念，规范财政资金管理，提高资金使用绩效，本项目绩效评价主要使用比较法、因数分析法，参照项目支出绩效目标申报情况，围绕项目内容、实施情况、项目完成、财务管理、社会效益、满意度等针对性地开展了自我评价。</w:t>
      </w:r>
    </w:p>
    <w:p>
      <w:pPr>
        <w:spacing w:line="576"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二、项目资金申报及使用情况</w:t>
      </w:r>
    </w:p>
    <w:p>
      <w:pPr>
        <w:spacing w:line="576" w:lineRule="exact"/>
        <w:ind w:firstLine="640" w:firstLineChars="200"/>
        <w:rPr>
          <w:rFonts w:ascii="楷体_GB2312" w:hAnsi="楷体_GB2312" w:eastAsia="楷体_GB2312" w:cs="楷体_GB2312"/>
          <w:sz w:val="32"/>
          <w:szCs w:val="32"/>
          <w:lang w:val="zh-CN"/>
        </w:rPr>
      </w:pPr>
      <w:bookmarkStart w:id="209" w:name="_Toc114498402"/>
      <w:r>
        <w:rPr>
          <w:rFonts w:hint="eastAsia" w:ascii="楷体_GB2312" w:hAnsi="楷体_GB2312" w:eastAsia="楷体_GB2312" w:cs="楷体_GB2312"/>
          <w:sz w:val="32"/>
          <w:szCs w:val="32"/>
          <w:lang w:val="zh-CN"/>
        </w:rPr>
        <w:t>（一）项目资金申报及批复情况</w:t>
      </w:r>
      <w:bookmarkEnd w:id="209"/>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按照市财政局预算编制要求，市妇联编制</w:t>
      </w:r>
      <w:r>
        <w:rPr>
          <w:rFonts w:hint="eastAsia" w:ascii="仿宋_GB2312" w:hAnsi="仿宋_GB2312" w:eastAsia="仿宋_GB2312" w:cs="仿宋_GB2312"/>
          <w:sz w:val="32"/>
          <w:szCs w:val="32"/>
        </w:rPr>
        <w:t>2021年度女儿节工作经费预算需求，最终下达批复预算72.63万元。</w:t>
      </w:r>
    </w:p>
    <w:p>
      <w:pPr>
        <w:spacing w:line="576" w:lineRule="exact"/>
        <w:ind w:firstLine="640" w:firstLineChars="200"/>
        <w:rPr>
          <w:rFonts w:ascii="楷体_GB2312" w:hAnsi="楷体_GB2312" w:eastAsia="楷体_GB2312" w:cs="楷体_GB2312"/>
          <w:sz w:val="32"/>
          <w:szCs w:val="32"/>
          <w:lang w:val="zh-CN"/>
        </w:rPr>
      </w:pPr>
      <w:bookmarkStart w:id="210" w:name="_Toc114498403"/>
      <w:r>
        <w:rPr>
          <w:rFonts w:hint="eastAsia" w:ascii="楷体_GB2312" w:hAnsi="楷体_GB2312" w:eastAsia="楷体_GB2312" w:cs="楷体_GB2312"/>
          <w:sz w:val="32"/>
          <w:szCs w:val="32"/>
          <w:lang w:val="zh-CN"/>
        </w:rPr>
        <w:t>（二）资金计划、到位及使用情况</w:t>
      </w:r>
      <w:bookmarkEnd w:id="210"/>
    </w:p>
    <w:p>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市妇联编制</w:t>
      </w:r>
      <w:r>
        <w:rPr>
          <w:rFonts w:hint="eastAsia" w:ascii="仿宋_GB2312" w:hAnsi="仿宋_GB2312" w:eastAsia="仿宋_GB2312" w:cs="仿宋_GB2312"/>
          <w:sz w:val="32"/>
          <w:szCs w:val="32"/>
        </w:rPr>
        <w:t>2021年度女儿节工作经费72.93</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rPr>
        <w:t>预算需求。</w:t>
      </w:r>
    </w:p>
    <w:p>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．资金到位</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市财政局安排</w:t>
      </w:r>
      <w:r>
        <w:rPr>
          <w:rFonts w:hint="eastAsia" w:ascii="仿宋_GB2312" w:hAnsi="仿宋_GB2312" w:eastAsia="仿宋_GB2312" w:cs="仿宋_GB2312"/>
          <w:sz w:val="32"/>
          <w:szCs w:val="32"/>
        </w:rPr>
        <w:t>2021年度女儿节工作经费72.93</w:t>
      </w:r>
      <w:r>
        <w:rPr>
          <w:rFonts w:hint="eastAsia" w:ascii="仿宋_GB2312" w:hAnsi="仿宋_GB2312" w:eastAsia="仿宋_GB2312" w:cs="仿宋_GB2312"/>
          <w:sz w:val="32"/>
          <w:szCs w:val="32"/>
          <w:lang w:val="zh-CN"/>
        </w:rPr>
        <w:t>万元，已全部拨款到位。</w:t>
      </w:r>
    </w:p>
    <w:p>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．资金使用</w:t>
      </w:r>
    </w:p>
    <w:p>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2021年度市妇联严格按照</w:t>
      </w:r>
      <w:r>
        <w:rPr>
          <w:rFonts w:hint="eastAsia" w:ascii="仿宋_GB2312" w:hAnsi="仿宋_GB2312" w:eastAsia="仿宋_GB2312" w:cs="仿宋_GB2312"/>
          <w:sz w:val="32"/>
          <w:szCs w:val="32"/>
        </w:rPr>
        <w:t>女儿节工作</w:t>
      </w:r>
      <w:r>
        <w:rPr>
          <w:rFonts w:hint="eastAsia" w:ascii="仿宋_GB2312" w:hAnsi="仿宋_GB2312" w:eastAsia="仿宋_GB2312" w:cs="仿宋_GB2312"/>
          <w:sz w:val="32"/>
          <w:szCs w:val="32"/>
          <w:lang w:val="zh-CN"/>
        </w:rPr>
        <w:t>经费项目实施要求，共支出</w:t>
      </w:r>
      <w:r>
        <w:rPr>
          <w:rFonts w:hint="eastAsia" w:ascii="仿宋_GB2312" w:hAnsi="仿宋_GB2312" w:eastAsia="仿宋_GB2312" w:cs="仿宋_GB2312"/>
          <w:sz w:val="32"/>
          <w:szCs w:val="32"/>
        </w:rPr>
        <w:t>72.93</w:t>
      </w:r>
      <w:r>
        <w:rPr>
          <w:rFonts w:hint="eastAsia" w:ascii="仿宋_GB2312" w:hAnsi="仿宋_GB2312" w:eastAsia="仿宋_GB2312" w:cs="仿宋_GB2312"/>
          <w:sz w:val="32"/>
          <w:szCs w:val="32"/>
          <w:lang w:val="zh-CN"/>
        </w:rPr>
        <w:t>万元。</w:t>
      </w:r>
    </w:p>
    <w:p>
      <w:pPr>
        <w:spacing w:line="576" w:lineRule="exact"/>
        <w:ind w:firstLine="640" w:firstLineChars="200"/>
        <w:rPr>
          <w:rFonts w:ascii="楷体_GB2312" w:hAnsi="楷体_GB2312" w:eastAsia="楷体_GB2312" w:cs="楷体_GB2312"/>
          <w:sz w:val="32"/>
          <w:szCs w:val="32"/>
          <w:lang w:val="zh-CN"/>
        </w:rPr>
      </w:pPr>
      <w:bookmarkStart w:id="211" w:name="_Toc114498404"/>
      <w:r>
        <w:rPr>
          <w:rFonts w:hint="eastAsia" w:ascii="楷体_GB2312" w:hAnsi="楷体_GB2312" w:eastAsia="楷体_GB2312" w:cs="楷体_GB2312"/>
          <w:sz w:val="32"/>
          <w:szCs w:val="32"/>
          <w:lang w:val="zh-CN"/>
        </w:rPr>
        <w:t>（三）项目财务管理情况</w:t>
      </w:r>
      <w:bookmarkEnd w:id="211"/>
    </w:p>
    <w:p>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妇联严格按照《专项资金管理使用制度》要求，加强对妇女儿童业务工作经费的使用管理。在项目资金使用过程中，严格执行财务管理制度，按照专项资金管理办法做好项目实施和监管，财务处理及时，会计核算规范，切实做到专款专用，最大可能发挥专项资金作用。</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三、项目实施及管理情况</w:t>
      </w:r>
    </w:p>
    <w:p>
      <w:pPr>
        <w:spacing w:line="576" w:lineRule="exact"/>
        <w:ind w:firstLine="640" w:firstLineChars="20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（一）项目组织架构及实施流程</w:t>
      </w:r>
    </w:p>
    <w:p>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妇女儿童业务工作经费项目涉及妇联各部室，在实施过程中以分管副主席牵头、各部室负责组织实施。在项目实施过程中，制订项目方案并编制项目预算，（方案需经分管领导和主要领导审签，经费在</w:t>
      </w:r>
      <w:r>
        <w:rPr>
          <w:rFonts w:hint="eastAsia" w:ascii="仿宋_GB2312" w:hAnsi="仿宋_GB2312" w:eastAsia="仿宋_GB2312" w:cs="仿宋_GB2312"/>
          <w:sz w:val="32"/>
          <w:szCs w:val="32"/>
        </w:rPr>
        <w:t>2万元以上上党组会研究）</w:t>
      </w:r>
      <w:r>
        <w:rPr>
          <w:rFonts w:hint="eastAsia" w:ascii="仿宋_GB2312" w:hAnsi="仿宋_GB2312" w:eastAsia="仿宋_GB2312" w:cs="仿宋_GB2312"/>
          <w:sz w:val="32"/>
          <w:szCs w:val="32"/>
          <w:lang w:val="zh-CN"/>
        </w:rPr>
        <w:t>——组织项目实施（签订合同）——项目实施完毕后报帐结算（经费在</w:t>
      </w:r>
      <w:r>
        <w:rPr>
          <w:rFonts w:hint="eastAsia" w:ascii="仿宋_GB2312" w:hAnsi="仿宋_GB2312" w:eastAsia="仿宋_GB2312" w:cs="仿宋_GB2312"/>
          <w:sz w:val="32"/>
          <w:szCs w:val="32"/>
        </w:rPr>
        <w:t>2万元以上上党组会研究）</w:t>
      </w:r>
      <w:r>
        <w:rPr>
          <w:rFonts w:hint="eastAsia" w:ascii="仿宋_GB2312" w:hAnsi="仿宋_GB2312" w:eastAsia="仿宋_GB2312" w:cs="仿宋_GB2312"/>
          <w:sz w:val="32"/>
          <w:szCs w:val="32"/>
          <w:lang w:val="zh-CN"/>
        </w:rPr>
        <w:t>。</w:t>
      </w:r>
    </w:p>
    <w:p>
      <w:pPr>
        <w:spacing w:line="576" w:lineRule="exact"/>
        <w:ind w:firstLine="640" w:firstLineChars="200"/>
        <w:rPr>
          <w:rFonts w:ascii="楷体_GB2312" w:hAnsi="楷体_GB2312" w:eastAsia="楷体_GB2312" w:cs="楷体_GB2312"/>
          <w:sz w:val="32"/>
          <w:szCs w:val="32"/>
          <w:lang w:val="zh-CN"/>
        </w:rPr>
      </w:pPr>
      <w:bookmarkStart w:id="212" w:name="_Toc114498405"/>
      <w:r>
        <w:rPr>
          <w:rFonts w:hint="eastAsia" w:ascii="楷体_GB2312" w:hAnsi="楷体_GB2312" w:eastAsia="楷体_GB2312" w:cs="楷体_GB2312"/>
          <w:sz w:val="32"/>
          <w:szCs w:val="32"/>
          <w:lang w:val="zh-CN"/>
        </w:rPr>
        <w:t>（二）项目管理情况</w:t>
      </w:r>
      <w:bookmarkEnd w:id="212"/>
    </w:p>
    <w:p>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女儿工作经费项目属运转类涉及女儿节专项办公室，在实施过程中以分管副主席牵头、部室负责人负责的原则，全体干部职工积极配合，通力协作，遇到外包事项需要签到合同等，主动请律师顾问审定，重大事项纳入“三重一大”范围，提交党组会审定。</w:t>
      </w:r>
    </w:p>
    <w:p>
      <w:pPr>
        <w:spacing w:line="576" w:lineRule="exact"/>
        <w:ind w:firstLine="640" w:firstLineChars="20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（三）项目监管情况</w:t>
      </w:r>
    </w:p>
    <w:p>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妇联严格按照项目管理有关规定对项目经费进行管理，在支付经费前对项目实施效果进行评估，依据评估结果支付经费。主动邀请单位主要领导、省妇联相关部室进行业务指导，经费管理主动接受市纪委监委驻政协纪检组、市委巡察组以及上级主管部门的监督检查，对预算执行实行动态监控，无违纪违法现象。</w:t>
      </w:r>
    </w:p>
    <w:p>
      <w:pPr>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pPr>
        <w:spacing w:line="576" w:lineRule="exact"/>
        <w:ind w:firstLine="640" w:firstLineChars="200"/>
        <w:rPr>
          <w:rFonts w:ascii="楷体_GB2312" w:hAnsi="楷体_GB2312" w:eastAsia="楷体_GB2312" w:cs="楷体_GB2312"/>
          <w:sz w:val="32"/>
          <w:szCs w:val="32"/>
          <w:lang w:val="zh-CN"/>
        </w:rPr>
      </w:pPr>
      <w:bookmarkStart w:id="213" w:name="_Toc114498406"/>
      <w:r>
        <w:rPr>
          <w:rFonts w:hint="eastAsia" w:ascii="楷体_GB2312" w:hAnsi="楷体_GB2312" w:eastAsia="楷体_GB2312" w:cs="楷体_GB2312"/>
          <w:sz w:val="32"/>
          <w:szCs w:val="32"/>
          <w:lang w:val="zh-CN"/>
        </w:rPr>
        <w:t>（一）项目完成情况</w:t>
      </w:r>
      <w:bookmarkEnd w:id="213"/>
    </w:p>
    <w:p>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截止2021年12月31日，以举办2021年广元女儿节活动为平台，彰显武则天历史名人文化，助推广元经济高质量发展，提升广元知名度和影响力。</w:t>
      </w:r>
    </w:p>
    <w:p>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产出数量指标</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第33届中国（广元）女儿节历时13天，开幕式现场吸引了4万余名观众观看</w:t>
      </w:r>
    </w:p>
    <w:p>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产出质量指标</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助推广元经济高质量发展，提升广元知名度和影响力。</w:t>
      </w:r>
    </w:p>
    <w:p>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产出时效指标</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2021年9月1日举行开幕式，系列活动12月底前</w:t>
      </w:r>
    </w:p>
    <w:p>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产出成本指标</w:t>
      </w:r>
    </w:p>
    <w:p>
      <w:pPr>
        <w:spacing w:line="576" w:lineRule="exact"/>
        <w:ind w:firstLine="640" w:firstLineChars="200"/>
        <w:rPr>
          <w:rFonts w:ascii="仿宋_GB2312" w:hAnsi="仿宋_GB2312" w:eastAsia="仿宋_GB2312" w:cs="仿宋_GB2312"/>
          <w:sz w:val="32"/>
          <w:szCs w:val="32"/>
          <w:lang w:val="zh-CN"/>
        </w:rPr>
      </w:pPr>
      <w:bookmarkStart w:id="214" w:name="_Toc114498407"/>
      <w:r>
        <w:rPr>
          <w:rFonts w:hint="eastAsia" w:ascii="仿宋_GB2312" w:hAnsi="仿宋_GB2312" w:eastAsia="仿宋_GB2312" w:cs="仿宋_GB2312"/>
          <w:sz w:val="32"/>
          <w:szCs w:val="32"/>
          <w:lang w:val="zh-CN"/>
        </w:rPr>
        <w:t>开幕式及开幕式当天系统活动。</w:t>
      </w:r>
      <w:bookmarkEnd w:id="214"/>
    </w:p>
    <w:p>
      <w:pPr>
        <w:spacing w:line="576" w:lineRule="exact"/>
        <w:ind w:firstLine="640" w:firstLineChars="200"/>
        <w:rPr>
          <w:rFonts w:ascii="楷体_GB2312" w:hAnsi="楷体_GB2312" w:eastAsia="楷体_GB2312" w:cs="楷体_GB2312"/>
          <w:sz w:val="32"/>
          <w:szCs w:val="32"/>
          <w:lang w:val="zh-CN"/>
        </w:rPr>
      </w:pPr>
      <w:bookmarkStart w:id="215" w:name="_Toc114498408"/>
      <w:r>
        <w:rPr>
          <w:rFonts w:hint="eastAsia" w:ascii="楷体_GB2312" w:hAnsi="楷体_GB2312" w:eastAsia="楷体_GB2312" w:cs="楷体_GB2312"/>
          <w:sz w:val="32"/>
          <w:szCs w:val="32"/>
          <w:lang w:val="zh-CN"/>
        </w:rPr>
        <w:t>（二）项目效益情况</w:t>
      </w:r>
      <w:bookmarkEnd w:id="215"/>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1.经济效益指标</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33届中国（广元）女儿节历时13天，开幕式现场吸引了4万余名观众观看，2385人报名参加“相约广元·情定昭化”万人相亲大会，亲友团、观摩团等集聚1.1万人参与；横渡嘉陵江游泳比赛现场吸引8200余名观众观看；美食嘉年华活动吸引超过20万人次参与，线上线下销售1100余万元，签订意向协议510余万元；“四天三夜”全球女性免票游广元活动带动游客60余万人次参与，实现旅游综合收入5亿元；播（发）新闻稿件520余篇条，点击率累计300万+，受到省、市领导的充分肯定。 </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2.社会效益指标</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助推广元经济高质量发展，提升广元知名度和影响力。</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3.可持续效益指标</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以举办2022年广元女儿节活动为平台，彰显武则天历史名人文化，助推广元经济高质量发展，提升广元知名度和影响力。  4.服务对象满意度指标</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设置：不满意、一般、满意、非常满意4个满意度指标。通过对所服务对象征询意见，征询项目在服务方式、服务手段、实施成效等满意度进行调查。满意以上指标达98%以上。</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五、评价结论及建议</w:t>
      </w:r>
    </w:p>
    <w:p>
      <w:pPr>
        <w:spacing w:line="576" w:lineRule="exact"/>
        <w:ind w:firstLine="640" w:firstLineChars="200"/>
        <w:rPr>
          <w:rFonts w:ascii="楷体_GB2312" w:hAnsi="楷体_GB2312" w:eastAsia="楷体_GB2312" w:cs="楷体_GB2312"/>
          <w:sz w:val="32"/>
          <w:szCs w:val="32"/>
          <w:lang w:val="zh-CN"/>
        </w:rPr>
      </w:pPr>
      <w:bookmarkStart w:id="216" w:name="_Toc114498409"/>
      <w:r>
        <w:rPr>
          <w:rFonts w:hint="eastAsia" w:ascii="楷体_GB2312" w:hAnsi="楷体_GB2312" w:eastAsia="楷体_GB2312" w:cs="楷体_GB2312"/>
          <w:sz w:val="32"/>
          <w:szCs w:val="32"/>
          <w:lang w:val="zh-CN"/>
        </w:rPr>
        <w:t>（一）评价结论</w:t>
      </w:r>
      <w:bookmarkEnd w:id="216"/>
    </w:p>
    <w:p>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围绕项目数量指标、质量指标、时效指标、成本指标、项目效益和满意指标，结合项目自身特点、目标任务及资金管理办法等要求，我们认为，整个项目目标任务全面完成、资金管理规范，项目彰显武则天历史名人文化，助推广元经济高质量发展，提升广元知名度和影响力，</w:t>
      </w:r>
      <w:r>
        <w:rPr>
          <w:rFonts w:hint="eastAsia" w:ascii="仿宋_GB2312" w:hAnsi="仿宋_GB2312" w:eastAsia="仿宋_GB2312" w:cs="仿宋_GB2312"/>
          <w:sz w:val="32"/>
          <w:szCs w:val="32"/>
        </w:rPr>
        <w:t>自评得分100分。</w:t>
      </w:r>
    </w:p>
    <w:p>
      <w:pPr>
        <w:spacing w:line="576" w:lineRule="exact"/>
        <w:ind w:firstLine="640" w:firstLineChars="200"/>
        <w:rPr>
          <w:rFonts w:ascii="楷体_GB2312" w:hAnsi="楷体_GB2312" w:eastAsia="楷体_GB2312" w:cs="楷体_GB2312"/>
          <w:sz w:val="32"/>
          <w:szCs w:val="32"/>
          <w:lang w:val="zh-CN"/>
        </w:rPr>
      </w:pPr>
      <w:bookmarkStart w:id="217" w:name="_Toc114498410"/>
      <w:r>
        <w:rPr>
          <w:rFonts w:hint="eastAsia" w:ascii="楷体_GB2312" w:hAnsi="楷体_GB2312" w:eastAsia="楷体_GB2312" w:cs="楷体_GB2312"/>
          <w:sz w:val="32"/>
          <w:szCs w:val="32"/>
          <w:lang w:val="zh-CN"/>
        </w:rPr>
        <w:t>（二）存在的问题</w:t>
      </w:r>
      <w:bookmarkEnd w:id="217"/>
    </w:p>
    <w:p>
      <w:pPr>
        <w:spacing w:line="576" w:lineRule="exact"/>
        <w:ind w:firstLine="640" w:firstLineChars="200"/>
        <w:rPr>
          <w:rFonts w:ascii="仿宋_GB2312" w:hAnsi="仿宋_GB2312" w:eastAsia="仿宋_GB2312" w:cs="仿宋_GB2312"/>
          <w:sz w:val="32"/>
          <w:szCs w:val="32"/>
        </w:rPr>
      </w:pPr>
      <w:bookmarkStart w:id="218" w:name="_Toc114498411"/>
      <w:r>
        <w:rPr>
          <w:rFonts w:hint="eastAsia" w:ascii="仿宋_GB2312" w:hAnsi="仿宋_GB2312" w:eastAsia="仿宋_GB2312" w:cs="仿宋_GB2312"/>
          <w:sz w:val="32"/>
          <w:szCs w:val="32"/>
        </w:rPr>
        <w:t>女儿节活动周期较长及疫情影响个别活动延期开展，加快支付进度。</w:t>
      </w:r>
      <w:bookmarkEnd w:id="218"/>
    </w:p>
    <w:p>
      <w:pPr>
        <w:spacing w:line="576" w:lineRule="exact"/>
        <w:ind w:firstLine="640" w:firstLineChars="200"/>
        <w:rPr>
          <w:rFonts w:ascii="楷体_GB2312" w:hAnsi="楷体_GB2312" w:eastAsia="楷体_GB2312" w:cs="楷体_GB2312"/>
          <w:sz w:val="32"/>
          <w:szCs w:val="32"/>
          <w:lang w:val="zh-CN"/>
        </w:rPr>
      </w:pPr>
      <w:bookmarkStart w:id="219" w:name="_Toc114498412"/>
      <w:r>
        <w:rPr>
          <w:rFonts w:hint="eastAsia" w:ascii="楷体_GB2312" w:hAnsi="楷体_GB2312" w:eastAsia="楷体_GB2312" w:cs="楷体_GB2312"/>
          <w:sz w:val="32"/>
          <w:szCs w:val="32"/>
          <w:lang w:val="zh-CN"/>
        </w:rPr>
        <w:t>（三）相关建议</w:t>
      </w:r>
      <w:bookmarkEnd w:id="219"/>
    </w:p>
    <w:p>
      <w:pPr>
        <w:spacing w:line="576" w:lineRule="exact"/>
        <w:ind w:firstLine="640" w:firstLineChars="200"/>
        <w:rPr>
          <w:rFonts w:ascii="方正小标宋简体" w:hAnsi="方正小标宋简体" w:eastAsia="方正小标宋简体" w:cs="方正小标宋简体"/>
          <w:sz w:val="32"/>
          <w:szCs w:val="32"/>
        </w:rPr>
      </w:pPr>
      <w:r>
        <w:rPr>
          <w:rFonts w:hint="eastAsia" w:ascii="仿宋_GB2312" w:hAnsi="仿宋_GB2312" w:eastAsia="仿宋_GB2312" w:cs="仿宋_GB2312"/>
          <w:sz w:val="32"/>
          <w:szCs w:val="32"/>
        </w:rPr>
        <w:t>加大对女儿节工作的财政投入，更好地</w:t>
      </w:r>
      <w:r>
        <w:rPr>
          <w:rFonts w:hint="eastAsia" w:ascii="仿宋_GB2312" w:hAnsi="仿宋_GB2312" w:eastAsia="仿宋_GB2312" w:cs="仿宋_GB2312"/>
          <w:sz w:val="32"/>
          <w:szCs w:val="32"/>
          <w:lang w:val="zh-CN"/>
        </w:rPr>
        <w:t>彰显武则天历史名人文化，助推广元经济高质量发展，提升广元知名度和影响力。</w:t>
      </w:r>
    </w:p>
    <w:p>
      <w:pPr>
        <w:spacing w:beforeLines="50" w:afterLines="50" w:line="580" w:lineRule="exact"/>
        <w:jc w:val="center"/>
        <w:rPr>
          <w:rFonts w:ascii="方正小标宋简体" w:hAnsi="方正小标宋简体" w:eastAsia="方正小标宋简体" w:cs="方正小标宋简体"/>
          <w:sz w:val="32"/>
          <w:szCs w:val="32"/>
        </w:rPr>
      </w:pPr>
    </w:p>
    <w:p>
      <w:pPr>
        <w:spacing w:beforeLines="50" w:afterLines="50" w:line="580" w:lineRule="exact"/>
        <w:jc w:val="center"/>
        <w:rPr>
          <w:rFonts w:ascii="方正小标宋简体" w:hAnsi="方正小标宋简体" w:eastAsia="方正小标宋简体" w:cs="方正小标宋简体"/>
          <w:sz w:val="32"/>
          <w:szCs w:val="32"/>
        </w:rPr>
      </w:pPr>
    </w:p>
    <w:p>
      <w:pPr>
        <w:spacing w:beforeLines="50" w:afterLines="50" w:line="580" w:lineRule="exact"/>
        <w:jc w:val="center"/>
        <w:rPr>
          <w:rFonts w:ascii="方正小标宋简体" w:hAnsi="方正小标宋简体" w:eastAsia="方正小标宋简体" w:cs="方正小标宋简体"/>
          <w:sz w:val="32"/>
          <w:szCs w:val="32"/>
        </w:rPr>
      </w:pPr>
    </w:p>
    <w:p>
      <w:pPr>
        <w:spacing w:beforeLines="50" w:afterLines="50" w:line="580" w:lineRule="exact"/>
        <w:jc w:val="center"/>
        <w:rPr>
          <w:rFonts w:ascii="方正小标宋简体" w:hAnsi="方正小标宋简体" w:eastAsia="方正小标宋简体" w:cs="方正小标宋简体"/>
          <w:sz w:val="32"/>
          <w:szCs w:val="32"/>
        </w:rPr>
      </w:pPr>
    </w:p>
    <w:p>
      <w:pPr>
        <w:spacing w:beforeLines="50" w:afterLines="50" w:line="580" w:lineRule="exact"/>
        <w:jc w:val="left"/>
        <w:rPr>
          <w:rFonts w:ascii="黑体" w:hAnsi="黑体" w:eastAsia="黑体" w:cs="黑体"/>
          <w:sz w:val="32"/>
          <w:szCs w:val="32"/>
        </w:rPr>
      </w:pPr>
      <w:r>
        <w:rPr>
          <w:rFonts w:hint="eastAsia" w:ascii="黑体" w:hAnsi="黑体" w:eastAsia="黑体" w:cs="黑体"/>
          <w:sz w:val="32"/>
          <w:szCs w:val="32"/>
        </w:rPr>
        <w:t>附表</w:t>
      </w:r>
    </w:p>
    <w:p>
      <w:pPr>
        <w:spacing w:beforeLines="50" w:afterLines="50"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2021年部门预算项目绩效目标自评</w:t>
      </w:r>
    </w:p>
    <w:tbl>
      <w:tblPr>
        <w:tblStyle w:val="20"/>
        <w:tblW w:w="9021" w:type="dxa"/>
        <w:jc w:val="center"/>
        <w:tblLayout w:type="fixed"/>
        <w:tblCellMar>
          <w:top w:w="0" w:type="dxa"/>
          <w:left w:w="108" w:type="dxa"/>
          <w:bottom w:w="0" w:type="dxa"/>
          <w:right w:w="108" w:type="dxa"/>
        </w:tblCellMar>
      </w:tblPr>
      <w:tblGrid>
        <w:gridCol w:w="1264"/>
        <w:gridCol w:w="952"/>
        <w:gridCol w:w="1199"/>
        <w:gridCol w:w="1667"/>
        <w:gridCol w:w="1856"/>
        <w:gridCol w:w="2083"/>
      </w:tblGrid>
      <w:tr>
        <w:tblPrEx>
          <w:tblCellMar>
            <w:top w:w="0" w:type="dxa"/>
            <w:left w:w="108" w:type="dxa"/>
            <w:bottom w:w="0" w:type="dxa"/>
            <w:right w:w="108" w:type="dxa"/>
          </w:tblCellMar>
        </w:tblPrEx>
        <w:trPr>
          <w:trHeight w:val="742" w:hRule="atLeast"/>
          <w:jc w:val="center"/>
        </w:trPr>
        <w:tc>
          <w:tcPr>
            <w:tcW w:w="2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主管部门及代码</w:t>
            </w:r>
          </w:p>
        </w:tc>
        <w:tc>
          <w:tcPr>
            <w:tcW w:w="2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广元市妇女联合会-354001</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实施单位</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广元市妇女联合会</w:t>
            </w:r>
          </w:p>
        </w:tc>
      </w:tr>
      <w:tr>
        <w:tblPrEx>
          <w:tblCellMar>
            <w:top w:w="0" w:type="dxa"/>
            <w:left w:w="108" w:type="dxa"/>
            <w:bottom w:w="0" w:type="dxa"/>
            <w:right w:w="108" w:type="dxa"/>
          </w:tblCellMar>
        </w:tblPrEx>
        <w:trPr>
          <w:trHeight w:val="479" w:hRule="atLeast"/>
          <w:jc w:val="center"/>
        </w:trPr>
        <w:tc>
          <w:tcPr>
            <w:tcW w:w="22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项目预算</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执行情况</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（万元）</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预算数：</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72.63</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执行数：</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55</w:t>
            </w:r>
          </w:p>
        </w:tc>
      </w:tr>
      <w:tr>
        <w:tblPrEx>
          <w:tblCellMar>
            <w:top w:w="0" w:type="dxa"/>
            <w:left w:w="108" w:type="dxa"/>
            <w:bottom w:w="0" w:type="dxa"/>
            <w:right w:w="108" w:type="dxa"/>
          </w:tblCellMar>
        </w:tblPrEx>
        <w:trPr>
          <w:jc w:val="center"/>
        </w:trPr>
        <w:tc>
          <w:tcPr>
            <w:tcW w:w="2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其中：</w:t>
            </w:r>
          </w:p>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财政拨款</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72.63</w:t>
            </w:r>
          </w:p>
          <w:p>
            <w:pPr>
              <w:widowControl/>
              <w:spacing w:line="320" w:lineRule="exact"/>
              <w:jc w:val="center"/>
              <w:textAlignment w:val="center"/>
              <w:rPr>
                <w:rFonts w:ascii="仿宋_GB2312" w:hAnsi="仿宋_GB2312" w:eastAsia="仿宋_GB2312" w:cs="仿宋_GB2312"/>
                <w:sz w:val="24"/>
              </w:rPr>
            </w:pP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其中：</w:t>
            </w:r>
          </w:p>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财政拨款</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55</w:t>
            </w:r>
          </w:p>
        </w:tc>
      </w:tr>
      <w:tr>
        <w:tblPrEx>
          <w:tblCellMar>
            <w:top w:w="0" w:type="dxa"/>
            <w:left w:w="108" w:type="dxa"/>
            <w:bottom w:w="0" w:type="dxa"/>
            <w:right w:w="108" w:type="dxa"/>
          </w:tblCellMar>
        </w:tblPrEx>
        <w:trPr>
          <w:trHeight w:val="600" w:hRule="atLeast"/>
          <w:jc w:val="center"/>
        </w:trPr>
        <w:tc>
          <w:tcPr>
            <w:tcW w:w="2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其他资金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其他资金</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CellMar>
            <w:top w:w="0" w:type="dxa"/>
            <w:left w:w="108" w:type="dxa"/>
            <w:bottom w:w="0" w:type="dxa"/>
            <w:right w:w="108" w:type="dxa"/>
          </w:tblCellMar>
        </w:tblPrEx>
        <w:trPr>
          <w:trHeight w:val="385" w:hRule="atLeast"/>
          <w:jc w:val="center"/>
        </w:trPr>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年度总体目标完成情况</w:t>
            </w:r>
          </w:p>
        </w:tc>
        <w:tc>
          <w:tcPr>
            <w:tcW w:w="38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预期目标</w:t>
            </w:r>
          </w:p>
        </w:tc>
        <w:tc>
          <w:tcPr>
            <w:tcW w:w="3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目标实际完成情况</w:t>
            </w:r>
          </w:p>
        </w:tc>
      </w:tr>
      <w:tr>
        <w:tblPrEx>
          <w:tblCellMar>
            <w:top w:w="0" w:type="dxa"/>
            <w:left w:w="108" w:type="dxa"/>
            <w:bottom w:w="0" w:type="dxa"/>
            <w:right w:w="108" w:type="dxa"/>
          </w:tblCellMar>
        </w:tblPrEx>
        <w:trPr>
          <w:jc w:val="center"/>
        </w:trPr>
        <w:tc>
          <w:tcPr>
            <w:tcW w:w="126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3818" w:type="dxa"/>
            <w:gridSpan w:val="3"/>
            <w:tcBorders>
              <w:top w:val="single" w:color="000000" w:sz="4" w:space="0"/>
              <w:left w:val="single" w:color="000000" w:sz="4" w:space="0"/>
              <w:bottom w:val="single" w:color="auto" w:sz="4" w:space="0"/>
              <w:right w:val="single" w:color="000000" w:sz="4" w:space="0"/>
            </w:tcBorders>
            <w:shd w:val="clear" w:color="auto" w:fill="auto"/>
          </w:tcPr>
          <w:p>
            <w:pPr>
              <w:widowControl/>
              <w:spacing w:line="320" w:lineRule="exact"/>
              <w:jc w:val="left"/>
              <w:textAlignment w:val="top"/>
              <w:rPr>
                <w:rFonts w:ascii="仿宋_GB2312" w:hAnsi="仿宋_GB2312" w:eastAsia="仿宋_GB2312" w:cs="仿宋_GB2312"/>
                <w:sz w:val="24"/>
              </w:rPr>
            </w:pPr>
            <w:r>
              <w:rPr>
                <w:rFonts w:hint="eastAsia" w:ascii="仿宋_GB2312" w:hAnsi="仿宋_GB2312" w:eastAsia="仿宋_GB2312" w:cs="仿宋_GB2312"/>
                <w:sz w:val="24"/>
              </w:rPr>
              <w:t>以举办2021年广元女儿节活动为平台，彰显武则天历史名人文化，助推广元经济高质量发展，提升广元知名度和影响力。</w:t>
            </w:r>
          </w:p>
        </w:tc>
        <w:tc>
          <w:tcPr>
            <w:tcW w:w="3939" w:type="dxa"/>
            <w:gridSpan w:val="2"/>
            <w:tcBorders>
              <w:top w:val="single" w:color="000000" w:sz="4" w:space="0"/>
              <w:left w:val="single" w:color="000000" w:sz="4" w:space="0"/>
              <w:bottom w:val="single" w:color="auto" w:sz="4" w:space="0"/>
              <w:right w:val="single" w:color="000000" w:sz="4" w:space="0"/>
            </w:tcBorders>
            <w:shd w:val="clear" w:color="auto" w:fill="auto"/>
          </w:tcPr>
          <w:p>
            <w:pPr>
              <w:widowControl/>
              <w:spacing w:line="320" w:lineRule="exact"/>
              <w:jc w:val="left"/>
              <w:textAlignment w:val="top"/>
              <w:rPr>
                <w:rFonts w:ascii="仿宋_GB2312" w:hAnsi="仿宋_GB2312" w:eastAsia="仿宋_GB2312" w:cs="仿宋_GB2312"/>
                <w:sz w:val="24"/>
              </w:rPr>
            </w:pPr>
            <w:r>
              <w:rPr>
                <w:rFonts w:hint="eastAsia" w:ascii="仿宋_GB2312" w:hAnsi="仿宋_GB2312" w:eastAsia="仿宋_GB2312" w:cs="仿宋_GB2312"/>
                <w:sz w:val="24"/>
              </w:rPr>
              <w:t>以举办2021年广元女儿节活动为平台，彰显武则天历史名人文化，助推广元经济高质量发展，提升广元知名度和影响力。</w:t>
            </w:r>
          </w:p>
        </w:tc>
      </w:tr>
      <w:tr>
        <w:tblPrEx>
          <w:tblCellMar>
            <w:top w:w="0" w:type="dxa"/>
            <w:left w:w="108" w:type="dxa"/>
            <w:bottom w:w="0" w:type="dxa"/>
            <w:right w:w="108" w:type="dxa"/>
          </w:tblCellMar>
        </w:tblPrEx>
        <w:trPr>
          <w:jc w:val="center"/>
        </w:trPr>
        <w:tc>
          <w:tcPr>
            <w:tcW w:w="12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年度绩效指标完成情况</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一级</w:t>
            </w:r>
          </w:p>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二级</w:t>
            </w:r>
          </w:p>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三级</w:t>
            </w:r>
          </w:p>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预期指标值</w:t>
            </w: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实际完成</w:t>
            </w:r>
          </w:p>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指标值</w:t>
            </w:r>
          </w:p>
        </w:tc>
      </w:tr>
      <w:tr>
        <w:tblPrEx>
          <w:tblCellMar>
            <w:top w:w="0" w:type="dxa"/>
            <w:left w:w="108" w:type="dxa"/>
            <w:bottom w:w="0" w:type="dxa"/>
            <w:right w:w="108" w:type="dxa"/>
          </w:tblCellMar>
        </w:tblPrEx>
        <w:trPr>
          <w:trHeight w:val="4377" w:hRule="atLeast"/>
          <w:jc w:val="center"/>
        </w:trPr>
        <w:tc>
          <w:tcPr>
            <w:tcW w:w="12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完成</w:t>
            </w:r>
          </w:p>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数量指标</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bottom"/>
              <w:rPr>
                <w:rFonts w:ascii="仿宋_GB2312" w:hAnsi="仿宋_GB2312" w:eastAsia="仿宋_GB2312" w:cs="仿宋_GB2312"/>
                <w:sz w:val="24"/>
              </w:rPr>
            </w:pPr>
            <w:r>
              <w:rPr>
                <w:rFonts w:hint="eastAsia" w:ascii="仿宋_GB2312" w:hAnsi="仿宋_GB2312" w:eastAsia="仿宋_GB2312" w:cs="仿宋_GB2312"/>
                <w:sz w:val="24"/>
              </w:rPr>
              <w:t>指标1：坚持“政府引导、市场主体、文旅融合”原则，以举办2022年广元女儿节活动为平台，彰显武则天历史名人文化，助推广元经济高质量发展，提升广元知名度和影响力。</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bottom"/>
              <w:rPr>
                <w:rFonts w:ascii="仿宋_GB2312" w:hAnsi="仿宋_GB2312" w:eastAsia="仿宋_GB2312" w:cs="仿宋_GB2312"/>
                <w:sz w:val="24"/>
              </w:rPr>
            </w:pPr>
            <w:r>
              <w:rPr>
                <w:rFonts w:hint="eastAsia" w:ascii="仿宋_GB2312" w:hAnsi="仿宋_GB2312" w:eastAsia="仿宋_GB2312" w:cs="仿宋_GB2312"/>
                <w:sz w:val="24"/>
              </w:rPr>
              <w:t>坚持“政府引导、市场主体、文旅融合”原则，以举办2022年广元女儿节活动为平台，彰显武则天历史名人文化，助推广元经济高质量发展，提升广元知名度和影响力。</w:t>
            </w: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bottom"/>
              <w:rPr>
                <w:rFonts w:ascii="仿宋_GB2312" w:hAnsi="仿宋_GB2312" w:eastAsia="仿宋_GB2312" w:cs="仿宋_GB2312"/>
                <w:sz w:val="24"/>
              </w:rPr>
            </w:pPr>
            <w:r>
              <w:rPr>
                <w:rFonts w:hint="eastAsia" w:ascii="仿宋_GB2312" w:hAnsi="仿宋_GB2312" w:eastAsia="仿宋_GB2312" w:cs="仿宋_GB2312"/>
                <w:sz w:val="24"/>
              </w:rPr>
              <w:t>第33届中国（广元）女儿节历时13天，开幕式现场吸引了4万余名观众观看</w:t>
            </w:r>
          </w:p>
        </w:tc>
      </w:tr>
      <w:tr>
        <w:tblPrEx>
          <w:tblCellMar>
            <w:top w:w="0" w:type="dxa"/>
            <w:left w:w="108" w:type="dxa"/>
            <w:bottom w:w="0" w:type="dxa"/>
            <w:right w:w="108" w:type="dxa"/>
          </w:tblCellMar>
        </w:tblPrEx>
        <w:trPr>
          <w:trHeight w:val="1722" w:hRule="atLeast"/>
          <w:jc w:val="center"/>
        </w:trPr>
        <w:tc>
          <w:tcPr>
            <w:tcW w:w="12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仿宋_GB2312" w:eastAsia="仿宋_GB2312" w:cs="仿宋_GB2312"/>
                <w:sz w:val="24"/>
              </w:rPr>
            </w:pP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质量指标</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bottom"/>
              <w:rPr>
                <w:rFonts w:ascii="仿宋_GB2312" w:hAnsi="仿宋_GB2312" w:eastAsia="仿宋_GB2312" w:cs="仿宋_GB2312"/>
                <w:sz w:val="24"/>
              </w:rPr>
            </w:pPr>
            <w:r>
              <w:rPr>
                <w:rFonts w:hint="eastAsia" w:ascii="仿宋_GB2312" w:hAnsi="仿宋_GB2312" w:eastAsia="仿宋_GB2312" w:cs="仿宋_GB2312"/>
                <w:sz w:val="24"/>
              </w:rPr>
              <w:t>指标1：助推广元经济高质量发展，提升广元知名度和影响力。</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bottom"/>
              <w:rPr>
                <w:rFonts w:ascii="仿宋_GB2312" w:hAnsi="仿宋_GB2312" w:eastAsia="仿宋_GB2312" w:cs="仿宋_GB2312"/>
                <w:sz w:val="24"/>
              </w:rPr>
            </w:pPr>
            <w:r>
              <w:rPr>
                <w:rFonts w:hint="eastAsia" w:ascii="仿宋_GB2312" w:hAnsi="仿宋_GB2312" w:eastAsia="仿宋_GB2312" w:cs="仿宋_GB2312"/>
                <w:sz w:val="24"/>
              </w:rPr>
              <w:t>助推广元经济高质量发展，提升广元知名度和影响力。</w:t>
            </w: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bottom"/>
              <w:rPr>
                <w:rFonts w:ascii="仿宋_GB2312" w:hAnsi="仿宋_GB2312" w:eastAsia="仿宋_GB2312" w:cs="仿宋_GB2312"/>
                <w:sz w:val="24"/>
              </w:rPr>
            </w:pPr>
            <w:r>
              <w:rPr>
                <w:rFonts w:hint="eastAsia" w:ascii="仿宋_GB2312" w:hAnsi="仿宋_GB2312" w:eastAsia="仿宋_GB2312" w:cs="仿宋_GB2312"/>
                <w:sz w:val="24"/>
              </w:rPr>
              <w:t>助推广元经济高质量发展，提升广元知名度和影响力。</w:t>
            </w:r>
          </w:p>
        </w:tc>
      </w:tr>
      <w:tr>
        <w:tblPrEx>
          <w:tblCellMar>
            <w:top w:w="0" w:type="dxa"/>
            <w:left w:w="108" w:type="dxa"/>
            <w:bottom w:w="0" w:type="dxa"/>
            <w:right w:w="108" w:type="dxa"/>
          </w:tblCellMar>
        </w:tblPrEx>
        <w:trPr>
          <w:jc w:val="center"/>
        </w:trPr>
        <w:tc>
          <w:tcPr>
            <w:tcW w:w="12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仿宋_GB2312" w:eastAsia="仿宋_GB2312" w:cs="仿宋_GB2312"/>
                <w:sz w:val="24"/>
              </w:rPr>
            </w:pP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时效指标</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指标1：2021年9月1日举行开幕式，系列活动12月底前</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2021年12</w:t>
            </w:r>
          </w:p>
          <w:p>
            <w:pPr>
              <w:widowControl/>
              <w:spacing w:line="32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月底前</w:t>
            </w: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2021年9月1日举行开幕式，系列活动12月底前</w:t>
            </w:r>
          </w:p>
        </w:tc>
      </w:tr>
      <w:tr>
        <w:tblPrEx>
          <w:tblCellMar>
            <w:top w:w="0" w:type="dxa"/>
            <w:left w:w="108" w:type="dxa"/>
            <w:bottom w:w="0" w:type="dxa"/>
            <w:right w:w="108" w:type="dxa"/>
          </w:tblCellMar>
        </w:tblPrEx>
        <w:trPr>
          <w:jc w:val="center"/>
        </w:trPr>
        <w:tc>
          <w:tcPr>
            <w:tcW w:w="12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仿宋_GB2312" w:eastAsia="仿宋_GB2312" w:cs="仿宋_GB2312"/>
                <w:sz w:val="24"/>
              </w:rPr>
            </w:pP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成本指标</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指标1：开幕式及开幕式当天系统活动共计72.63万元。</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开幕式及开幕式当天系统活动共计72.63万元。</w:t>
            </w: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textAlignment w:val="bottom"/>
              <w:rPr>
                <w:rFonts w:ascii="仿宋_GB2312" w:hAnsi="仿宋_GB2312" w:eastAsia="仿宋_GB2312" w:cs="仿宋_GB2312"/>
                <w:sz w:val="24"/>
              </w:rPr>
            </w:pPr>
            <w:r>
              <w:rPr>
                <w:rFonts w:hint="eastAsia" w:ascii="仿宋_GB2312" w:hAnsi="仿宋_GB2312" w:eastAsia="仿宋_GB2312" w:cs="仿宋_GB2312"/>
                <w:sz w:val="24"/>
              </w:rPr>
              <w:t>开幕式及开幕式当天系统活动。</w:t>
            </w:r>
          </w:p>
        </w:tc>
      </w:tr>
      <w:tr>
        <w:tblPrEx>
          <w:tblCellMar>
            <w:top w:w="0" w:type="dxa"/>
            <w:left w:w="108" w:type="dxa"/>
            <w:bottom w:w="0" w:type="dxa"/>
            <w:right w:w="108" w:type="dxa"/>
          </w:tblCellMar>
        </w:tblPrEx>
        <w:trPr>
          <w:jc w:val="center"/>
        </w:trPr>
        <w:tc>
          <w:tcPr>
            <w:tcW w:w="12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效益</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指标</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经济效益  指标</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指标1：高质量完成开幕式及开幕式当天活动。</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高质量完成开幕式及开幕式当天活动。</w:t>
            </w: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bottom"/>
              <w:rPr>
                <w:rFonts w:ascii="仿宋_GB2312" w:hAnsi="仿宋_GB2312" w:eastAsia="仿宋_GB2312" w:cs="仿宋_GB2312"/>
                <w:sz w:val="24"/>
              </w:rPr>
            </w:pPr>
            <w:r>
              <w:rPr>
                <w:rFonts w:hint="eastAsia" w:ascii="仿宋_GB2312" w:hAnsi="仿宋_GB2312" w:eastAsia="仿宋_GB2312" w:cs="仿宋_GB2312"/>
                <w:sz w:val="24"/>
              </w:rPr>
              <w:t>第33届中国（广元）女儿节历时13天，开幕式现场吸引了4万余名观众观看，2385人报名参加“相约广元·情定昭化”万人相亲大会，亲友团、观摩团等集聚1.1万人参与；横渡嘉陵江游泳比赛现场吸引8200余名观众观看；美食嘉年华活动吸引超过20万人次参与，线上线下销售1100余万元，签订意向协议510余万元；“四天三夜”全球女性免票游广元活动带动游客60余万人次参与，实现旅游综合收入5亿元；播（发）新闻稿件520余篇条，点击率累计300万+，受到省、市领导的充分肯定。</w:t>
            </w:r>
          </w:p>
        </w:tc>
      </w:tr>
      <w:tr>
        <w:tblPrEx>
          <w:tblCellMar>
            <w:top w:w="0" w:type="dxa"/>
            <w:left w:w="108" w:type="dxa"/>
            <w:bottom w:w="0" w:type="dxa"/>
            <w:right w:w="108" w:type="dxa"/>
          </w:tblCellMar>
        </w:tblPrEx>
        <w:trPr>
          <w:trHeight w:val="1984" w:hRule="atLeast"/>
          <w:jc w:val="center"/>
        </w:trPr>
        <w:tc>
          <w:tcPr>
            <w:tcW w:w="12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仿宋_GB2312" w:eastAsia="仿宋_GB2312" w:cs="仿宋_GB2312"/>
                <w:sz w:val="24"/>
              </w:rPr>
            </w:pP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社会效益  指标</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bottom"/>
              <w:rPr>
                <w:rFonts w:ascii="仿宋_GB2312" w:hAnsi="仿宋_GB2312" w:eastAsia="仿宋_GB2312" w:cs="仿宋_GB2312"/>
                <w:sz w:val="24"/>
              </w:rPr>
            </w:pPr>
            <w:r>
              <w:rPr>
                <w:rFonts w:hint="eastAsia" w:ascii="仿宋_GB2312" w:hAnsi="仿宋_GB2312" w:eastAsia="仿宋_GB2312" w:cs="仿宋_GB2312"/>
                <w:sz w:val="24"/>
              </w:rPr>
              <w:t>指标1：助推广元经济高质量发展，提升广元知名度和影响力。</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bottom"/>
              <w:rPr>
                <w:rFonts w:ascii="仿宋_GB2312" w:hAnsi="仿宋_GB2312" w:eastAsia="仿宋_GB2312" w:cs="仿宋_GB2312"/>
                <w:sz w:val="24"/>
              </w:rPr>
            </w:pPr>
            <w:r>
              <w:rPr>
                <w:rFonts w:hint="eastAsia" w:ascii="仿宋_GB2312" w:hAnsi="仿宋_GB2312" w:eastAsia="仿宋_GB2312" w:cs="仿宋_GB2312"/>
                <w:sz w:val="24"/>
              </w:rPr>
              <w:t>助推广元经济高质量发展，提升广元知名度和影响力。</w:t>
            </w: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bottom"/>
              <w:rPr>
                <w:rFonts w:ascii="仿宋_GB2312" w:hAnsi="仿宋_GB2312" w:eastAsia="仿宋_GB2312" w:cs="仿宋_GB2312"/>
                <w:sz w:val="24"/>
              </w:rPr>
            </w:pPr>
            <w:r>
              <w:rPr>
                <w:rFonts w:hint="eastAsia" w:ascii="仿宋_GB2312" w:hAnsi="仿宋_GB2312" w:eastAsia="仿宋_GB2312" w:cs="仿宋_GB2312"/>
                <w:sz w:val="24"/>
              </w:rPr>
              <w:t>助推广元经济高质量发展，提升广元知名度和影响力。</w:t>
            </w:r>
          </w:p>
        </w:tc>
      </w:tr>
      <w:tr>
        <w:tblPrEx>
          <w:tblCellMar>
            <w:top w:w="0" w:type="dxa"/>
            <w:left w:w="108" w:type="dxa"/>
            <w:bottom w:w="0" w:type="dxa"/>
            <w:right w:w="108" w:type="dxa"/>
          </w:tblCellMar>
        </w:tblPrEx>
        <w:trPr>
          <w:trHeight w:val="3725" w:hRule="atLeast"/>
          <w:jc w:val="center"/>
        </w:trPr>
        <w:tc>
          <w:tcPr>
            <w:tcW w:w="1264" w:type="dxa"/>
            <w:vMerge w:val="continue"/>
            <w:tcBorders>
              <w:top w:val="single" w:color="auto" w:sz="4" w:space="0"/>
              <w:left w:val="single" w:color="auto"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95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仿宋_GB2312" w:eastAsia="仿宋_GB2312" w:cs="仿宋_GB2312"/>
                <w:sz w:val="24"/>
              </w:rPr>
            </w:pPr>
          </w:p>
        </w:tc>
        <w:tc>
          <w:tcPr>
            <w:tcW w:w="119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可持续影响 指标</w:t>
            </w:r>
          </w:p>
        </w:tc>
        <w:tc>
          <w:tcPr>
            <w:tcW w:w="166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4"/>
              </w:rPr>
            </w:pPr>
            <w:r>
              <w:rPr>
                <w:rFonts w:hint="eastAsia" w:ascii="仿宋_GB2312" w:hAnsi="仿宋_GB2312" w:eastAsia="仿宋_GB2312" w:cs="仿宋_GB2312"/>
                <w:sz w:val="24"/>
              </w:rPr>
              <w:t>指标1：以举办2022年广元女儿节活动为平台，彰显武则天历史名人文化，助推广元经济高质量发展，提升广元知名度和影响力。</w:t>
            </w:r>
          </w:p>
        </w:tc>
        <w:tc>
          <w:tcPr>
            <w:tcW w:w="185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4"/>
              </w:rPr>
            </w:pPr>
            <w:r>
              <w:rPr>
                <w:rFonts w:hint="eastAsia" w:ascii="仿宋_GB2312" w:hAnsi="仿宋_GB2312" w:eastAsia="仿宋_GB2312" w:cs="仿宋_GB2312"/>
                <w:sz w:val="24"/>
              </w:rPr>
              <w:t>以举办2022年广元女儿节活动为平台，彰显武则天历史名人文化，助推广元经济高质量发展，提升广元知名度和影响力。</w:t>
            </w:r>
          </w:p>
        </w:tc>
        <w:tc>
          <w:tcPr>
            <w:tcW w:w="208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4"/>
              </w:rPr>
            </w:pPr>
            <w:r>
              <w:rPr>
                <w:rFonts w:hint="eastAsia" w:ascii="仿宋_GB2312" w:hAnsi="仿宋_GB2312" w:eastAsia="仿宋_GB2312" w:cs="仿宋_GB2312"/>
                <w:sz w:val="24"/>
              </w:rPr>
              <w:t>以举办2022年广元女儿节活动为平台，彰显武则天历史名人文化，助推广元经济高质量发展，提升广元知名度和影响力。</w:t>
            </w:r>
          </w:p>
        </w:tc>
      </w:tr>
      <w:tr>
        <w:tblPrEx>
          <w:tblCellMar>
            <w:top w:w="0" w:type="dxa"/>
            <w:left w:w="108" w:type="dxa"/>
            <w:bottom w:w="0" w:type="dxa"/>
            <w:right w:w="108" w:type="dxa"/>
          </w:tblCellMar>
        </w:tblPrEx>
        <w:trPr>
          <w:trHeight w:val="4478" w:hRule="atLeast"/>
          <w:jc w:val="center"/>
        </w:trPr>
        <w:tc>
          <w:tcPr>
            <w:tcW w:w="1264" w:type="dxa"/>
            <w:vMerge w:val="continue"/>
            <w:tcBorders>
              <w:left w:val="single" w:color="auto"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满意</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度指标</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满意度</w:t>
            </w:r>
          </w:p>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4"/>
              </w:rPr>
            </w:pPr>
            <w:r>
              <w:rPr>
                <w:rFonts w:hint="eastAsia" w:ascii="仿宋_GB2312" w:hAnsi="仿宋_GB2312" w:eastAsia="仿宋_GB2312" w:cs="仿宋_GB2312"/>
                <w:sz w:val="24"/>
              </w:rPr>
              <w:t>指标1：达到政府考核要求，不满意、一般、满意、非常满意4个满意度指标。通过对所服务对象征询意见，征询项目在服务方式、服务手段、实施成效等满意度进行调查。</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rPr>
                <w:rFonts w:ascii="仿宋_GB2312" w:hAnsi="仿宋_GB2312" w:eastAsia="仿宋_GB2312" w:cs="仿宋_GB2312"/>
                <w:sz w:val="24"/>
              </w:rPr>
            </w:pPr>
            <w:r>
              <w:rPr>
                <w:rFonts w:hint="eastAsia" w:ascii="仿宋_GB2312" w:hAnsi="仿宋_GB2312" w:eastAsia="仿宋_GB2312" w:cs="仿宋_GB2312"/>
                <w:sz w:val="24"/>
              </w:rPr>
              <w:t>达到政府考核要求，满意以上指标达95%以上。</w:t>
            </w:r>
          </w:p>
          <w:p>
            <w:pPr>
              <w:widowControl/>
              <w:spacing w:line="320" w:lineRule="exact"/>
              <w:textAlignment w:val="bottom"/>
              <w:rPr>
                <w:rFonts w:ascii="仿宋_GB2312" w:hAnsi="仿宋_GB2312" w:eastAsia="仿宋_GB2312" w:cs="仿宋_GB2312"/>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rPr>
                <w:rFonts w:ascii="仿宋_GB2312" w:hAnsi="仿宋_GB2312" w:eastAsia="仿宋_GB2312" w:cs="仿宋_GB2312"/>
                <w:sz w:val="24"/>
              </w:rPr>
            </w:pPr>
            <w:r>
              <w:rPr>
                <w:rFonts w:hint="eastAsia" w:ascii="仿宋_GB2312" w:hAnsi="仿宋_GB2312" w:eastAsia="仿宋_GB2312" w:cs="仿宋_GB2312"/>
                <w:sz w:val="24"/>
              </w:rPr>
              <w:t>达到政府考核要求，满意以上指标达98%以上。</w:t>
            </w:r>
          </w:p>
          <w:p>
            <w:pPr>
              <w:widowControl/>
              <w:spacing w:line="320" w:lineRule="exact"/>
              <w:textAlignment w:val="bottom"/>
              <w:rPr>
                <w:rFonts w:ascii="仿宋_GB2312" w:hAnsi="仿宋_GB2312" w:eastAsia="仿宋_GB2312" w:cs="仿宋_GB2312"/>
                <w:sz w:val="24"/>
              </w:rPr>
            </w:pPr>
          </w:p>
        </w:tc>
      </w:tr>
    </w:tbl>
    <w:p/>
    <w:p>
      <w:pPr>
        <w:pStyle w:val="2"/>
        <w:spacing w:before="93"/>
      </w:pPr>
    </w:p>
    <w:p/>
    <w:p>
      <w:pPr>
        <w:pStyle w:val="2"/>
        <w:spacing w:before="93"/>
      </w:pPr>
    </w:p>
    <w:p/>
    <w:p>
      <w:pPr>
        <w:pStyle w:val="2"/>
        <w:spacing w:beforeLines="0" w:line="576" w:lineRule="exact"/>
        <w:rPr>
          <w:rFonts w:ascii="黑体" w:hAnsi="黑体" w:eastAsia="黑体" w:cs="黑体"/>
          <w:sz w:val="32"/>
          <w:szCs w:val="32"/>
        </w:rPr>
      </w:pPr>
      <w:r>
        <w:rPr>
          <w:rFonts w:hint="eastAsia" w:ascii="黑体" w:hAnsi="黑体" w:eastAsia="黑体" w:cs="黑体"/>
          <w:sz w:val="32"/>
          <w:szCs w:val="32"/>
        </w:rPr>
        <w:t>附件5</w:t>
      </w:r>
    </w:p>
    <w:p>
      <w:pPr>
        <w:spacing w:line="576" w:lineRule="exact"/>
        <w:jc w:val="center"/>
        <w:outlineLvl w:val="0"/>
        <w:rPr>
          <w:rFonts w:ascii="方正小标宋简体" w:hAnsi="方正小标宋简体" w:eastAsia="方正小标宋简体" w:cs="方正小标宋简体"/>
          <w:color w:val="000000"/>
          <w:sz w:val="44"/>
          <w:szCs w:val="44"/>
        </w:rPr>
      </w:pPr>
      <w:bookmarkStart w:id="220" w:name="_Toc12525"/>
      <w:bookmarkStart w:id="221" w:name="_Toc15693"/>
      <w:bookmarkStart w:id="222" w:name="_Toc114498413"/>
      <w:r>
        <w:rPr>
          <w:rFonts w:hint="eastAsia" w:ascii="方正小标宋简体" w:hAnsi="方正小标宋简体" w:eastAsia="方正小标宋简体" w:cs="方正小标宋简体"/>
          <w:color w:val="000000"/>
          <w:sz w:val="44"/>
          <w:szCs w:val="44"/>
        </w:rPr>
        <w:t>广元市妇女联合会</w:t>
      </w:r>
      <w:bookmarkEnd w:id="220"/>
      <w:bookmarkEnd w:id="221"/>
      <w:bookmarkEnd w:id="222"/>
    </w:p>
    <w:p>
      <w:pPr>
        <w:spacing w:line="576" w:lineRule="exact"/>
        <w:jc w:val="center"/>
        <w:outlineLvl w:val="0"/>
        <w:rPr>
          <w:rFonts w:ascii="方正小标宋简体" w:hAnsi="方正小标宋简体" w:eastAsia="方正小标宋简体" w:cs="方正小标宋简体"/>
          <w:color w:val="000000"/>
          <w:sz w:val="44"/>
          <w:szCs w:val="44"/>
          <w:lang w:val="zh-CN"/>
        </w:rPr>
      </w:pPr>
      <w:bookmarkStart w:id="223" w:name="_Toc1305"/>
      <w:bookmarkStart w:id="224" w:name="_Toc18206"/>
      <w:bookmarkStart w:id="225" w:name="_Toc114498414"/>
      <w:r>
        <w:rPr>
          <w:rFonts w:hint="eastAsia" w:ascii="方正小标宋简体" w:hAnsi="方正小标宋简体" w:eastAsia="方正小标宋简体" w:cs="方正小标宋简体"/>
          <w:color w:val="000000"/>
          <w:sz w:val="44"/>
          <w:szCs w:val="44"/>
        </w:rPr>
        <w:t>2021年</w:t>
      </w:r>
      <w:r>
        <w:rPr>
          <w:rFonts w:hint="eastAsia" w:ascii="方正小标宋简体" w:hAnsi="方正小标宋简体" w:eastAsia="方正小标宋简体" w:cs="方正小标宋简体"/>
          <w:color w:val="000000"/>
          <w:sz w:val="44"/>
          <w:szCs w:val="44"/>
          <w:lang w:val="zh-CN"/>
        </w:rPr>
        <w:t>女性领导力提升专题研修班</w:t>
      </w:r>
      <w:bookmarkEnd w:id="223"/>
      <w:bookmarkEnd w:id="224"/>
      <w:bookmarkEnd w:id="225"/>
      <w:bookmarkStart w:id="226" w:name="_Toc114498415"/>
      <w:bookmarkStart w:id="227" w:name="_Toc22075"/>
    </w:p>
    <w:p>
      <w:pPr>
        <w:spacing w:line="576" w:lineRule="exact"/>
        <w:jc w:val="center"/>
        <w:outlineLvl w:val="0"/>
        <w:rPr>
          <w:rFonts w:ascii="方正小标宋简体" w:hAnsi="方正小标宋简体" w:eastAsia="方正小标宋简体" w:cs="方正小标宋简体"/>
          <w:color w:val="000000"/>
          <w:sz w:val="44"/>
          <w:szCs w:val="44"/>
          <w:lang w:val="zh-CN"/>
        </w:rPr>
      </w:pPr>
      <w:bookmarkStart w:id="228" w:name="_Toc21278"/>
      <w:r>
        <w:rPr>
          <w:rFonts w:hint="eastAsia" w:ascii="方正小标宋简体" w:hAnsi="方正小标宋简体" w:eastAsia="方正小标宋简体" w:cs="方正小标宋简体"/>
          <w:color w:val="000000"/>
          <w:spacing w:val="20"/>
          <w:sz w:val="44"/>
          <w:szCs w:val="44"/>
          <w:lang w:val="zh-CN"/>
        </w:rPr>
        <w:t>项目支出绩效自评报告</w:t>
      </w:r>
      <w:bookmarkEnd w:id="226"/>
      <w:bookmarkEnd w:id="227"/>
      <w:bookmarkEnd w:id="228"/>
    </w:p>
    <w:p>
      <w:pPr>
        <w:adjustRightInd w:val="0"/>
        <w:snapToGrid w:val="0"/>
        <w:spacing w:line="576" w:lineRule="exact"/>
        <w:ind w:firstLine="640" w:firstLineChars="200"/>
        <w:rPr>
          <w:rFonts w:ascii="仿宋_GB2312" w:hAnsi="仿宋_GB2312" w:eastAsia="仿宋_GB2312" w:cs="仿宋_GB2312"/>
          <w:sz w:val="32"/>
          <w:szCs w:val="32"/>
        </w:rPr>
      </w:pPr>
    </w:p>
    <w:p>
      <w:pPr>
        <w:adjustRightInd w:val="0"/>
        <w:snapToGrid w:val="0"/>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spacing w:line="576" w:lineRule="exact"/>
        <w:ind w:firstLine="640" w:firstLineChars="200"/>
        <w:outlineLvl w:val="2"/>
        <w:rPr>
          <w:rFonts w:ascii="楷体_GB2312" w:hAnsi="楷体_GB2312" w:eastAsia="楷体_GB2312" w:cs="楷体_GB2312"/>
          <w:bCs/>
          <w:color w:val="000000"/>
          <w:sz w:val="32"/>
          <w:szCs w:val="32"/>
          <w:lang w:val="zh-CN"/>
        </w:rPr>
      </w:pPr>
      <w:bookmarkStart w:id="229" w:name="_Toc114498416"/>
      <w:r>
        <w:rPr>
          <w:rFonts w:hint="eastAsia" w:ascii="楷体_GB2312" w:hAnsi="楷体_GB2312" w:eastAsia="楷体_GB2312" w:cs="楷体_GB2312"/>
          <w:bCs/>
          <w:color w:val="000000"/>
          <w:sz w:val="32"/>
          <w:szCs w:val="32"/>
          <w:lang w:val="zh-CN"/>
        </w:rPr>
        <w:t>（一）项目基本情况</w:t>
      </w:r>
      <w:bookmarkEnd w:id="229"/>
    </w:p>
    <w:p>
      <w:pPr>
        <w:widowControl/>
        <w:spacing w:line="576" w:lineRule="exact"/>
        <w:ind w:firstLine="640" w:firstLineChars="200"/>
        <w:textAlignment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2021年度市委组织部、市妇联将组织市妇联常委、执委，市级部门、县区、乡镇优秀女领导干部代表，基层女性党组织书记等一线代表举办广元市第六期女性领导力提升专题研修班，预计培训学员62人。</w:t>
      </w:r>
    </w:p>
    <w:p>
      <w:pPr>
        <w:spacing w:line="576" w:lineRule="exact"/>
        <w:ind w:firstLine="640" w:firstLineChars="200"/>
        <w:outlineLvl w:val="2"/>
        <w:rPr>
          <w:rFonts w:ascii="楷体_GB2312" w:hAnsi="楷体_GB2312" w:eastAsia="楷体_GB2312" w:cs="楷体_GB2312"/>
          <w:bCs/>
          <w:color w:val="000000"/>
          <w:sz w:val="32"/>
          <w:szCs w:val="32"/>
          <w:lang w:val="zh-CN"/>
        </w:rPr>
      </w:pPr>
      <w:bookmarkStart w:id="230" w:name="_Toc114498417"/>
      <w:r>
        <w:rPr>
          <w:rFonts w:hint="eastAsia" w:ascii="楷体_GB2312" w:hAnsi="楷体_GB2312" w:eastAsia="楷体_GB2312" w:cs="楷体_GB2312"/>
          <w:bCs/>
          <w:color w:val="000000"/>
          <w:sz w:val="32"/>
          <w:szCs w:val="32"/>
          <w:lang w:val="zh-CN"/>
        </w:rPr>
        <w:t>（二）项目绩效目标</w:t>
      </w:r>
      <w:bookmarkEnd w:id="230"/>
    </w:p>
    <w:p>
      <w:pPr>
        <w:widowControl/>
        <w:spacing w:line="576" w:lineRule="exact"/>
        <w:ind w:firstLine="640" w:firstLineChars="200"/>
        <w:textAlignment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rPr>
        <w:t>学习习近平新时代中国特色社会主义思想，全面贯彻落实男女平等基本国策，进一步加强妇女思想引领，学习掌握《民法典》，推进基层组织破难行动，大力弘扬优良家风，增强基层妇联干部的全局意识和忧患意识，全面提高基层妇联干部主动适应新时代妇联工作，不断推动妇联工作改革创新。</w:t>
      </w:r>
    </w:p>
    <w:p>
      <w:pPr>
        <w:widowControl/>
        <w:spacing w:line="576"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2．组织了</w:t>
      </w:r>
      <w:r>
        <w:rPr>
          <w:rFonts w:hint="eastAsia" w:ascii="仿宋_GB2312" w:hAnsi="仿宋_GB2312" w:eastAsia="仿宋_GB2312" w:cs="仿宋_GB2312"/>
          <w:sz w:val="32"/>
          <w:szCs w:val="32"/>
        </w:rPr>
        <w:t>62名基层妇联执委和妇联干部开展为期7天的培训。</w:t>
      </w:r>
    </w:p>
    <w:p>
      <w:pPr>
        <w:widowControl/>
        <w:spacing w:line="576" w:lineRule="exact"/>
        <w:ind w:firstLine="640" w:firstLineChars="200"/>
        <w:textAlignment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3．通过核查，项目方案合理、可操作。</w:t>
      </w:r>
    </w:p>
    <w:p>
      <w:pPr>
        <w:spacing w:line="576" w:lineRule="exact"/>
        <w:ind w:firstLine="640" w:firstLineChars="200"/>
        <w:outlineLvl w:val="2"/>
        <w:rPr>
          <w:rFonts w:ascii="楷体_GB2312" w:hAnsi="楷体_GB2312" w:eastAsia="楷体_GB2312" w:cs="楷体_GB2312"/>
          <w:bCs/>
          <w:color w:val="000000"/>
          <w:sz w:val="32"/>
          <w:szCs w:val="32"/>
          <w:lang w:val="zh-CN"/>
        </w:rPr>
      </w:pPr>
      <w:bookmarkStart w:id="231" w:name="_Toc114498418"/>
      <w:r>
        <w:rPr>
          <w:rFonts w:hint="eastAsia" w:ascii="楷体_GB2312" w:hAnsi="楷体_GB2312" w:eastAsia="楷体_GB2312" w:cs="楷体_GB2312"/>
          <w:bCs/>
          <w:color w:val="000000"/>
          <w:sz w:val="32"/>
          <w:szCs w:val="32"/>
          <w:lang w:val="zh-CN"/>
        </w:rPr>
        <w:t>（三）项目自评步骤及方法</w:t>
      </w:r>
      <w:bookmarkEnd w:id="231"/>
    </w:p>
    <w:p>
      <w:pPr>
        <w:pStyle w:val="2"/>
        <w:spacing w:beforeLines="0" w:line="576" w:lineRule="exact"/>
        <w:ind w:firstLine="640" w:firstLineChars="200"/>
        <w:rPr>
          <w:rFonts w:hAnsi="仿宋_GB2312" w:cs="仿宋_GB2312"/>
          <w:kern w:val="2"/>
          <w:sz w:val="32"/>
          <w:szCs w:val="32"/>
        </w:rPr>
      </w:pPr>
      <w:r>
        <w:rPr>
          <w:rFonts w:hint="eastAsia" w:hAnsi="仿宋_GB2312" w:cs="仿宋_GB2312"/>
          <w:kern w:val="2"/>
          <w:sz w:val="32"/>
          <w:szCs w:val="32"/>
        </w:rPr>
        <w:t>1.形成项目专卷；</w:t>
      </w:r>
    </w:p>
    <w:p>
      <w:pPr>
        <w:pStyle w:val="2"/>
        <w:spacing w:beforeLines="0" w:line="576" w:lineRule="exact"/>
        <w:ind w:firstLine="640" w:firstLineChars="200"/>
        <w:rPr>
          <w:rFonts w:hAnsi="仿宋_GB2312" w:cs="仿宋_GB2312"/>
          <w:kern w:val="2"/>
          <w:sz w:val="32"/>
          <w:szCs w:val="32"/>
        </w:rPr>
      </w:pPr>
      <w:r>
        <w:rPr>
          <w:rFonts w:hint="eastAsia" w:hAnsi="仿宋_GB2312" w:cs="仿宋_GB2312"/>
          <w:kern w:val="2"/>
          <w:sz w:val="32"/>
          <w:szCs w:val="32"/>
        </w:rPr>
        <w:t>2.查阅培训方案、通知、培训信息图片，62名</w:t>
      </w:r>
      <w:r>
        <w:rPr>
          <w:rFonts w:hint="eastAsia" w:hAnsi="仿宋_GB2312" w:cs="仿宋_GB2312"/>
          <w:kern w:val="2"/>
          <w:sz w:val="32"/>
          <w:szCs w:val="32"/>
          <w:lang w:val="zh-CN"/>
        </w:rPr>
        <w:t>培训学员签到情况，</w:t>
      </w:r>
      <w:r>
        <w:rPr>
          <w:rFonts w:hint="eastAsia" w:hAnsi="仿宋_GB2312" w:cs="仿宋_GB2312"/>
          <w:kern w:val="2"/>
          <w:sz w:val="32"/>
          <w:szCs w:val="32"/>
        </w:rPr>
        <w:t>核查培训过程中所产生的项目经费和票据；</w:t>
      </w:r>
    </w:p>
    <w:p>
      <w:pPr>
        <w:widowControl/>
        <w:spacing w:line="576"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3.将培训情况和培训所用经费党组会审定，通过后拨款支付。</w:t>
      </w:r>
    </w:p>
    <w:p>
      <w:pPr>
        <w:adjustRightInd w:val="0"/>
        <w:snapToGrid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二、项目资金申报及使用情况</w:t>
      </w:r>
    </w:p>
    <w:p>
      <w:pPr>
        <w:spacing w:line="576" w:lineRule="exact"/>
        <w:ind w:firstLine="640" w:firstLineChars="200"/>
        <w:outlineLvl w:val="2"/>
        <w:rPr>
          <w:rFonts w:ascii="楷体_GB2312" w:hAnsi="楷体_GB2312" w:eastAsia="楷体_GB2312" w:cs="楷体_GB2312"/>
          <w:bCs/>
          <w:color w:val="000000"/>
          <w:sz w:val="32"/>
          <w:szCs w:val="32"/>
          <w:lang w:val="zh-CN"/>
        </w:rPr>
      </w:pPr>
      <w:bookmarkStart w:id="232" w:name="_Toc114498419"/>
      <w:r>
        <w:rPr>
          <w:rFonts w:hint="eastAsia" w:ascii="楷体_GB2312" w:hAnsi="楷体_GB2312" w:eastAsia="楷体_GB2312" w:cs="楷体_GB2312"/>
          <w:bCs/>
          <w:color w:val="000000"/>
          <w:sz w:val="32"/>
          <w:szCs w:val="32"/>
          <w:lang w:val="zh-CN"/>
        </w:rPr>
        <w:t>（一）项目资金申报及批复情况</w:t>
      </w:r>
      <w:bookmarkEnd w:id="232"/>
    </w:p>
    <w:p>
      <w:pPr>
        <w:widowControl/>
        <w:spacing w:line="576"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按照市财政局预算编制要求，市妇联编制</w:t>
      </w:r>
      <w:r>
        <w:rPr>
          <w:rFonts w:hint="eastAsia" w:ascii="仿宋_GB2312" w:hAnsi="仿宋_GB2312" w:eastAsia="仿宋_GB2312" w:cs="仿宋_GB2312"/>
          <w:sz w:val="32"/>
          <w:szCs w:val="32"/>
        </w:rPr>
        <w:t>2021年度</w:t>
      </w:r>
      <w:r>
        <w:rPr>
          <w:rFonts w:hint="eastAsia" w:ascii="仿宋_GB2312" w:hAnsi="仿宋_GB2312" w:eastAsia="仿宋_GB2312" w:cs="仿宋_GB2312"/>
          <w:sz w:val="32"/>
          <w:szCs w:val="32"/>
          <w:lang w:val="zh-CN"/>
        </w:rPr>
        <w:t>基层妇联执委暨妇联干部培训班</w:t>
      </w:r>
      <w:r>
        <w:rPr>
          <w:rFonts w:hint="eastAsia" w:ascii="仿宋_GB2312" w:hAnsi="仿宋_GB2312" w:eastAsia="仿宋_GB2312" w:cs="仿宋_GB2312"/>
          <w:sz w:val="32"/>
          <w:szCs w:val="32"/>
        </w:rPr>
        <w:t>工作经费预算需求，最终下达批复预算13.92万元。</w:t>
      </w:r>
    </w:p>
    <w:p>
      <w:pPr>
        <w:spacing w:line="576" w:lineRule="exact"/>
        <w:ind w:firstLine="640" w:firstLineChars="200"/>
        <w:outlineLvl w:val="2"/>
        <w:rPr>
          <w:rFonts w:ascii="楷体_GB2312" w:hAnsi="楷体_GB2312" w:eastAsia="楷体_GB2312" w:cs="楷体_GB2312"/>
          <w:bCs/>
          <w:color w:val="000000"/>
          <w:sz w:val="32"/>
          <w:szCs w:val="32"/>
          <w:lang w:val="zh-CN"/>
        </w:rPr>
      </w:pPr>
      <w:bookmarkStart w:id="233" w:name="_Toc114498420"/>
      <w:r>
        <w:rPr>
          <w:rFonts w:hint="eastAsia" w:ascii="楷体_GB2312" w:hAnsi="楷体_GB2312" w:eastAsia="楷体_GB2312" w:cs="楷体_GB2312"/>
          <w:bCs/>
          <w:color w:val="000000"/>
          <w:sz w:val="32"/>
          <w:szCs w:val="32"/>
          <w:lang w:val="zh-CN"/>
        </w:rPr>
        <w:t>（二）资金计划、到位及使用情况</w:t>
      </w:r>
      <w:bookmarkEnd w:id="233"/>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p>
    <w:p>
      <w:pPr>
        <w:widowControl/>
        <w:spacing w:line="576"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市妇联编制</w:t>
      </w:r>
      <w:r>
        <w:rPr>
          <w:rFonts w:hint="eastAsia" w:ascii="仿宋_GB2312" w:hAnsi="仿宋_GB2312" w:eastAsia="仿宋_GB2312" w:cs="仿宋_GB2312"/>
          <w:sz w:val="32"/>
          <w:szCs w:val="32"/>
        </w:rPr>
        <w:t>2021年度</w:t>
      </w:r>
      <w:r>
        <w:rPr>
          <w:rFonts w:hint="eastAsia" w:ascii="仿宋_GB2312" w:hAnsi="仿宋_GB2312" w:eastAsia="仿宋_GB2312" w:cs="仿宋_GB2312"/>
          <w:sz w:val="32"/>
          <w:szCs w:val="32"/>
          <w:lang w:val="zh-CN"/>
        </w:rPr>
        <w:t>基层妇联执委暨妇联干部培训班</w:t>
      </w:r>
      <w:r>
        <w:rPr>
          <w:rFonts w:hint="eastAsia" w:ascii="仿宋_GB2312" w:hAnsi="仿宋_GB2312" w:eastAsia="仿宋_GB2312" w:cs="仿宋_GB2312"/>
          <w:sz w:val="32"/>
          <w:szCs w:val="32"/>
        </w:rPr>
        <w:t>工作经费13.92万元预算需求。</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．资金到位</w:t>
      </w:r>
    </w:p>
    <w:p>
      <w:pPr>
        <w:pStyle w:val="2"/>
        <w:spacing w:beforeLines="0" w:line="576" w:lineRule="exact"/>
        <w:ind w:firstLine="640" w:firstLineChars="200"/>
        <w:rPr>
          <w:rFonts w:hAnsi="仿宋_GB2312" w:cs="仿宋_GB2312"/>
          <w:kern w:val="2"/>
          <w:sz w:val="32"/>
          <w:szCs w:val="32"/>
          <w:lang w:val="zh-CN"/>
        </w:rPr>
      </w:pPr>
      <w:r>
        <w:rPr>
          <w:rFonts w:hint="eastAsia" w:hAnsi="仿宋_GB2312" w:cs="仿宋_GB2312"/>
          <w:kern w:val="2"/>
          <w:sz w:val="32"/>
          <w:szCs w:val="32"/>
        </w:rPr>
        <w:t>市财政局安排2021年度</w:t>
      </w:r>
      <w:r>
        <w:rPr>
          <w:rFonts w:hint="eastAsia" w:hAnsi="仿宋_GB2312" w:cs="仿宋_GB2312"/>
          <w:kern w:val="2"/>
          <w:sz w:val="32"/>
          <w:szCs w:val="32"/>
          <w:lang w:val="zh-CN"/>
        </w:rPr>
        <w:t>基层妇联执委暨妇联干部培训班</w:t>
      </w:r>
      <w:r>
        <w:rPr>
          <w:rFonts w:hint="eastAsia" w:hAnsi="仿宋_GB2312" w:cs="仿宋_GB2312"/>
          <w:kern w:val="2"/>
          <w:sz w:val="32"/>
          <w:szCs w:val="32"/>
        </w:rPr>
        <w:t>工作经费13.92万元，已全部拨款到位。</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．资金使用</w:t>
      </w:r>
    </w:p>
    <w:p>
      <w:pPr>
        <w:widowControl/>
        <w:spacing w:line="576" w:lineRule="exact"/>
        <w:ind w:firstLine="640" w:firstLineChars="200"/>
        <w:textAlignment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2021年度市妇联严格按照基层妇联执委暨妇联干部培训班</w:t>
      </w:r>
      <w:r>
        <w:rPr>
          <w:rFonts w:hint="eastAsia" w:ascii="仿宋_GB2312" w:hAnsi="仿宋_GB2312" w:eastAsia="仿宋_GB2312" w:cs="仿宋_GB2312"/>
          <w:sz w:val="32"/>
          <w:szCs w:val="32"/>
        </w:rPr>
        <w:t>工作经费</w:t>
      </w:r>
      <w:r>
        <w:rPr>
          <w:rFonts w:hint="eastAsia" w:ascii="仿宋_GB2312" w:hAnsi="仿宋_GB2312" w:eastAsia="仿宋_GB2312" w:cs="仿宋_GB2312"/>
          <w:sz w:val="32"/>
          <w:szCs w:val="32"/>
          <w:lang w:val="zh-CN"/>
        </w:rPr>
        <w:t>项目实施要求，</w:t>
      </w:r>
      <w:r>
        <w:rPr>
          <w:rFonts w:hint="eastAsia" w:ascii="仿宋_GB2312" w:hAnsi="仿宋_GB2312" w:eastAsia="仿宋_GB2312" w:cs="仿宋_GB2312"/>
          <w:sz w:val="32"/>
          <w:szCs w:val="32"/>
        </w:rPr>
        <w:t>举办了</w:t>
      </w:r>
      <w:r>
        <w:rPr>
          <w:rFonts w:hint="eastAsia" w:ascii="仿宋_GB2312" w:hAnsi="仿宋_GB2312" w:eastAsia="仿宋_GB2312" w:cs="仿宋_GB2312"/>
          <w:sz w:val="32"/>
          <w:szCs w:val="32"/>
          <w:lang w:val="zh-CN"/>
        </w:rPr>
        <w:t>广元市第六期女性领导力提升专题研修班，基层妇联执委和妇联干部</w:t>
      </w:r>
      <w:r>
        <w:rPr>
          <w:rFonts w:hint="eastAsia" w:ascii="仿宋_GB2312" w:hAnsi="仿宋_GB2312" w:eastAsia="仿宋_GB2312" w:cs="仿宋_GB2312"/>
          <w:sz w:val="32"/>
          <w:szCs w:val="32"/>
        </w:rPr>
        <w:t>62人参加</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培训过程中所产生的项目经费13.92</w:t>
      </w:r>
      <w:r>
        <w:rPr>
          <w:rFonts w:hint="eastAsia" w:ascii="仿宋_GB2312" w:hAnsi="仿宋_GB2312" w:eastAsia="仿宋_GB2312" w:cs="仿宋_GB2312"/>
          <w:sz w:val="32"/>
          <w:szCs w:val="32"/>
          <w:lang w:val="zh-CN"/>
        </w:rPr>
        <w:t>万元。</w:t>
      </w:r>
    </w:p>
    <w:p>
      <w:pPr>
        <w:spacing w:line="576" w:lineRule="exact"/>
        <w:ind w:firstLine="640" w:firstLineChars="200"/>
        <w:outlineLvl w:val="2"/>
        <w:rPr>
          <w:rFonts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（三）项目财务管理情况</w:t>
      </w:r>
    </w:p>
    <w:p>
      <w:pPr>
        <w:widowControl/>
        <w:spacing w:line="576" w:lineRule="exact"/>
        <w:ind w:firstLine="640" w:firstLineChars="200"/>
        <w:textAlignment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妇联严格按照《专项资金管理使用制度》要求，加强对基层妇联执委暨妇联干部培训班工作经费的使用管理。在项目资金使用过程中，严格执行财务管理制度，按照专项资金管理办法做好项目实施和监管，财务处理及时，会计核算规范，切实做到专款专用，最大可能发挥专项资金作用。</w:t>
      </w:r>
    </w:p>
    <w:p>
      <w:pPr>
        <w:adjustRightInd w:val="0"/>
        <w:snapToGrid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三、项目实施及管理情况</w:t>
      </w:r>
    </w:p>
    <w:p>
      <w:pPr>
        <w:spacing w:line="576" w:lineRule="exact"/>
        <w:ind w:firstLine="640" w:firstLineChars="200"/>
        <w:outlineLvl w:val="2"/>
        <w:rPr>
          <w:rFonts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（一）项目组织架构及实施流程</w:t>
      </w:r>
    </w:p>
    <w:p>
      <w:pPr>
        <w:spacing w:line="576"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在项目实施过程中，制订项目方案并编制项目预算（方案经分管领导同意后党组会研究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——培训中心组织项目实施——项目实施完毕后，进行项目结算并经党组会研究同意后进行支付。</w:t>
      </w:r>
    </w:p>
    <w:p>
      <w:pPr>
        <w:spacing w:line="576" w:lineRule="exact"/>
        <w:ind w:firstLine="640" w:firstLineChars="200"/>
        <w:outlineLvl w:val="2"/>
        <w:rPr>
          <w:rFonts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（二）项目管理情况</w:t>
      </w:r>
    </w:p>
    <w:p>
      <w:pPr>
        <w:widowControl/>
        <w:spacing w:line="576" w:lineRule="exact"/>
        <w:ind w:firstLine="640" w:firstLineChars="200"/>
        <w:textAlignment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2021年广元市第六期女性领导力提升专题研修班项目由市妇女培训中心负责组织实施，在实施过程中以分管副主席牵头、培训中心负责人具体负责实施。</w:t>
      </w:r>
    </w:p>
    <w:p>
      <w:pPr>
        <w:spacing w:line="576" w:lineRule="exact"/>
        <w:ind w:firstLine="640" w:firstLineChars="200"/>
        <w:outlineLvl w:val="2"/>
        <w:rPr>
          <w:rFonts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（三）项目监管情况</w:t>
      </w:r>
    </w:p>
    <w:p>
      <w:pPr>
        <w:pStyle w:val="2"/>
        <w:spacing w:beforeLines="0" w:line="576" w:lineRule="exact"/>
        <w:ind w:firstLine="640" w:firstLineChars="200"/>
        <w:rPr>
          <w:rFonts w:hAnsi="仿宋_GB2312" w:cs="仿宋_GB2312"/>
          <w:kern w:val="2"/>
          <w:sz w:val="32"/>
          <w:szCs w:val="32"/>
          <w:lang w:val="zh-CN"/>
        </w:rPr>
      </w:pPr>
      <w:r>
        <w:rPr>
          <w:rFonts w:hint="eastAsia" w:hAnsi="仿宋_GB2312" w:cs="仿宋_GB2312"/>
          <w:kern w:val="2"/>
          <w:sz w:val="32"/>
          <w:szCs w:val="32"/>
          <w:lang w:val="zh-CN"/>
        </w:rPr>
        <w:t>市妇联严格按照项目管理有关规定对项目经费进行管理，在支付经费前对项目实施效果进行评估，依据评估结果支付经费。主动接受市纪委监委驻政协纪检组、市委巡察组以及上级主管部门的监督检查，对预算执行实行动态监控，无违纪违法现象。</w:t>
      </w:r>
    </w:p>
    <w:p>
      <w:pPr>
        <w:adjustRightInd w:val="0"/>
        <w:snapToGrid w:val="0"/>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pPr>
        <w:spacing w:line="576" w:lineRule="exact"/>
        <w:ind w:firstLine="640" w:firstLineChars="200"/>
        <w:outlineLvl w:val="2"/>
        <w:rPr>
          <w:rFonts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（一）项目完成情况</w:t>
      </w:r>
    </w:p>
    <w:p>
      <w:pPr>
        <w:widowControl/>
        <w:spacing w:line="576" w:lineRule="exact"/>
        <w:ind w:firstLine="640" w:firstLineChars="200"/>
        <w:textAlignment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2021年度市委组织部、市妇联将组织市妇联常委、执委，市级部门、县区、乡镇优秀女领导干部代表，基层女性党组织书记等一线代表在省外举办广元市第六期女性领导力提升专题研修班，预计培训学员62人。本次培训采用“课堂+现场”教学方式，全方位生动立体授课，共设置了“不断开创妇联工作新局面”“夯实妇联基层组织 聚焦妇女全面发展 彰显妇女新风采”解读《民法典》等9个课程。课程安排紧而有序，既有理论知识，又有案例分析，既有市委发展规划，又有妇女儿童各项工作，课程设置上主题鲜明，具有很强的针对性、操作性和实用性。</w:t>
      </w:r>
    </w:p>
    <w:p>
      <w:pPr>
        <w:spacing w:line="576" w:lineRule="exact"/>
        <w:ind w:firstLine="640" w:firstLineChars="200"/>
        <w:outlineLvl w:val="2"/>
        <w:rPr>
          <w:rFonts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（二）项目效益情况</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学员们开阔了视野，增长了见识，拓宽了思路，增强了妇联工作的业务水平和领导能力，为广元经济社会发展和妇女儿童事业作出了积极贡献。学员的满意度为100%。</w:t>
      </w:r>
    </w:p>
    <w:p>
      <w:pPr>
        <w:adjustRightInd w:val="0"/>
        <w:snapToGrid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五、评价结论及建议</w:t>
      </w:r>
    </w:p>
    <w:p>
      <w:pPr>
        <w:spacing w:line="576" w:lineRule="exact"/>
        <w:ind w:firstLine="640" w:firstLineChars="200"/>
        <w:outlineLvl w:val="2"/>
        <w:rPr>
          <w:rFonts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（一）评价结论</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围绕项目数量指标、质量指标、时效指标、成本指标、项目效益和满意指标，结合项目自身特点、目标任务及资金管理办法等要求，我们认为，整个项目目标任务全面完成、资金管理规范，</w:t>
      </w:r>
      <w:r>
        <w:rPr>
          <w:rFonts w:hint="eastAsia" w:ascii="仿宋_GB2312" w:hAnsi="仿宋_GB2312" w:eastAsia="仿宋_GB2312" w:cs="仿宋_GB2312"/>
          <w:sz w:val="32"/>
          <w:szCs w:val="32"/>
        </w:rPr>
        <w:t>增强了新时代广元女干部的综合素质和领导能力，提升了妇联干部的业务知识和专业素养，自评得分100分。</w:t>
      </w:r>
    </w:p>
    <w:p>
      <w:pPr>
        <w:spacing w:line="576" w:lineRule="exact"/>
        <w:ind w:firstLine="640" w:firstLineChars="200"/>
        <w:outlineLvl w:val="2"/>
        <w:rPr>
          <w:rFonts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（二）存在的问题</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突如其来的新冠肺炎疫情延缓了项目实施时间，疫情防控增加了项目成本。</w:t>
      </w:r>
    </w:p>
    <w:p>
      <w:pPr>
        <w:spacing w:line="576" w:lineRule="exact"/>
        <w:ind w:firstLine="640" w:firstLineChars="200"/>
        <w:outlineLvl w:val="2"/>
        <w:rPr>
          <w:rFonts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（三）相关建议</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建设加大对妇女干部、妇女群众在提升素质方面的财政投入，提升妇女干部和妇女群众的综合素质和参政能力。</w:t>
      </w:r>
    </w:p>
    <w:p>
      <w:pPr>
        <w:pStyle w:val="2"/>
        <w:spacing w:before="93"/>
        <w:rPr>
          <w:rFonts w:hAnsi="仿宋_GB2312" w:cs="仿宋_GB2312"/>
          <w:b/>
          <w:sz w:val="24"/>
        </w:rPr>
      </w:pPr>
    </w:p>
    <w:p>
      <w:pPr>
        <w:pStyle w:val="2"/>
        <w:spacing w:before="93"/>
        <w:rPr>
          <w:rFonts w:hAnsi="仿宋_GB2312" w:cs="仿宋_GB2312"/>
          <w:b/>
          <w:sz w:val="24"/>
        </w:rPr>
      </w:pPr>
    </w:p>
    <w:p>
      <w:pPr>
        <w:pStyle w:val="2"/>
        <w:spacing w:before="93"/>
        <w:rPr>
          <w:rFonts w:hAnsi="仿宋_GB2312" w:cs="仿宋_GB2312"/>
          <w:b/>
          <w:sz w:val="24"/>
        </w:rPr>
      </w:pPr>
    </w:p>
    <w:p>
      <w:pPr>
        <w:pStyle w:val="2"/>
        <w:spacing w:before="93"/>
        <w:rPr>
          <w:rFonts w:hAnsi="仿宋_GB2312" w:cs="仿宋_GB2312"/>
          <w:b/>
          <w:sz w:val="24"/>
        </w:rPr>
      </w:pPr>
    </w:p>
    <w:p>
      <w:pPr>
        <w:pStyle w:val="2"/>
        <w:spacing w:before="93"/>
        <w:rPr>
          <w:rFonts w:hAnsi="仿宋_GB2312" w:cs="仿宋_GB2312"/>
          <w:b/>
          <w:sz w:val="24"/>
        </w:rPr>
      </w:pPr>
    </w:p>
    <w:p>
      <w:pPr>
        <w:pStyle w:val="2"/>
        <w:spacing w:before="93"/>
        <w:rPr>
          <w:rFonts w:hAnsi="仿宋_GB2312" w:cs="仿宋_GB2312"/>
          <w:b/>
          <w:sz w:val="24"/>
        </w:rPr>
      </w:pPr>
    </w:p>
    <w:p>
      <w:pPr>
        <w:pStyle w:val="2"/>
        <w:spacing w:before="93"/>
        <w:rPr>
          <w:rFonts w:hAnsi="仿宋_GB2312" w:cs="仿宋_GB2312"/>
          <w:b/>
          <w:sz w:val="24"/>
        </w:rPr>
      </w:pPr>
    </w:p>
    <w:p>
      <w:pPr>
        <w:pStyle w:val="2"/>
        <w:spacing w:before="93"/>
        <w:rPr>
          <w:rFonts w:hAnsi="仿宋_GB2312" w:cs="仿宋_GB2312"/>
          <w:b/>
          <w:sz w:val="24"/>
        </w:rPr>
      </w:pPr>
    </w:p>
    <w:p>
      <w:pPr>
        <w:pStyle w:val="2"/>
        <w:spacing w:before="93"/>
        <w:rPr>
          <w:rFonts w:hAnsi="仿宋_GB2312" w:cs="仿宋_GB2312"/>
          <w:b/>
          <w:sz w:val="24"/>
        </w:rPr>
      </w:pPr>
    </w:p>
    <w:p>
      <w:pPr>
        <w:pStyle w:val="2"/>
        <w:spacing w:before="93"/>
        <w:rPr>
          <w:rFonts w:hAnsi="仿宋_GB2312" w:cs="仿宋_GB2312"/>
          <w:b/>
          <w:sz w:val="24"/>
        </w:rPr>
      </w:pPr>
    </w:p>
    <w:p>
      <w:pPr>
        <w:pStyle w:val="2"/>
        <w:spacing w:before="93"/>
        <w:rPr>
          <w:rFonts w:hAnsi="仿宋_GB2312" w:cs="仿宋_GB2312"/>
          <w:b/>
          <w:sz w:val="24"/>
        </w:rPr>
      </w:pPr>
    </w:p>
    <w:p>
      <w:pPr>
        <w:pStyle w:val="2"/>
        <w:spacing w:before="93"/>
        <w:rPr>
          <w:rFonts w:hAnsi="仿宋_GB2312" w:cs="仿宋_GB2312"/>
          <w:b/>
          <w:sz w:val="24"/>
        </w:rPr>
      </w:pPr>
    </w:p>
    <w:p>
      <w:pPr>
        <w:pStyle w:val="2"/>
        <w:spacing w:before="93"/>
        <w:rPr>
          <w:rFonts w:hAnsi="仿宋_GB2312" w:cs="仿宋_GB2312"/>
          <w:b/>
          <w:sz w:val="24"/>
        </w:rPr>
      </w:pPr>
    </w:p>
    <w:p>
      <w:pPr>
        <w:pStyle w:val="2"/>
        <w:spacing w:before="93"/>
        <w:rPr>
          <w:rFonts w:hAnsi="仿宋_GB2312" w:cs="仿宋_GB2312"/>
          <w:b/>
          <w:sz w:val="24"/>
        </w:rPr>
      </w:pPr>
    </w:p>
    <w:p>
      <w:pPr>
        <w:pStyle w:val="2"/>
        <w:spacing w:before="93"/>
        <w:rPr>
          <w:rFonts w:hAnsi="仿宋_GB2312" w:cs="仿宋_GB2312"/>
          <w:b/>
          <w:sz w:val="24"/>
        </w:rPr>
      </w:pPr>
    </w:p>
    <w:p>
      <w:pPr>
        <w:pStyle w:val="2"/>
        <w:spacing w:before="93"/>
        <w:rPr>
          <w:rFonts w:hAnsi="仿宋_GB2312" w:cs="仿宋_GB2312"/>
          <w:b/>
          <w:sz w:val="24"/>
        </w:rPr>
      </w:pPr>
    </w:p>
    <w:p>
      <w:pPr>
        <w:pStyle w:val="2"/>
        <w:spacing w:before="93"/>
        <w:rPr>
          <w:rFonts w:hAnsi="仿宋_GB2312" w:cs="仿宋_GB2312"/>
          <w:b/>
          <w:sz w:val="24"/>
        </w:rPr>
      </w:pPr>
    </w:p>
    <w:p>
      <w:pPr>
        <w:pStyle w:val="2"/>
        <w:spacing w:before="93"/>
        <w:rPr>
          <w:rFonts w:hAnsi="仿宋_GB2312" w:cs="仿宋_GB2312"/>
          <w:b/>
          <w:sz w:val="24"/>
        </w:rPr>
      </w:pPr>
    </w:p>
    <w:p>
      <w:pPr>
        <w:pStyle w:val="2"/>
        <w:spacing w:before="93"/>
        <w:rPr>
          <w:rFonts w:hAnsi="仿宋_GB2312" w:cs="仿宋_GB2312"/>
          <w:b/>
          <w:sz w:val="24"/>
        </w:rPr>
      </w:pPr>
    </w:p>
    <w:p>
      <w:pPr>
        <w:pStyle w:val="2"/>
        <w:spacing w:before="93"/>
        <w:rPr>
          <w:rFonts w:hAnsi="仿宋_GB2312" w:cs="仿宋_GB2312"/>
          <w:b/>
          <w:sz w:val="24"/>
        </w:rPr>
      </w:pPr>
    </w:p>
    <w:p>
      <w:pPr>
        <w:pStyle w:val="2"/>
        <w:spacing w:before="93"/>
        <w:rPr>
          <w:rFonts w:hAnsi="仿宋_GB2312" w:cs="仿宋_GB2312"/>
          <w:b/>
          <w:sz w:val="24"/>
        </w:rPr>
      </w:pPr>
    </w:p>
    <w:p>
      <w:pPr>
        <w:pStyle w:val="2"/>
        <w:spacing w:before="93"/>
        <w:rPr>
          <w:rFonts w:hAnsi="仿宋_GB2312" w:cs="仿宋_GB2312"/>
          <w:b/>
          <w:sz w:val="24"/>
        </w:rPr>
      </w:pPr>
    </w:p>
    <w:p>
      <w:pPr>
        <w:pStyle w:val="2"/>
        <w:spacing w:before="93"/>
        <w:rPr>
          <w:rFonts w:hAnsi="仿宋_GB2312" w:cs="仿宋_GB2312"/>
          <w:b/>
          <w:sz w:val="24"/>
        </w:rPr>
      </w:pPr>
    </w:p>
    <w:p>
      <w:pPr>
        <w:pStyle w:val="2"/>
        <w:spacing w:before="93"/>
        <w:rPr>
          <w:rFonts w:hAnsi="仿宋_GB2312" w:cs="仿宋_GB2312"/>
          <w:b/>
          <w:sz w:val="24"/>
        </w:rPr>
      </w:pPr>
    </w:p>
    <w:p>
      <w:pPr>
        <w:pStyle w:val="2"/>
        <w:spacing w:before="93"/>
        <w:rPr>
          <w:rFonts w:hAnsi="仿宋_GB2312" w:cs="仿宋_GB2312"/>
          <w:b/>
          <w:sz w:val="24"/>
        </w:rPr>
      </w:pPr>
    </w:p>
    <w:p>
      <w:pPr>
        <w:pStyle w:val="2"/>
        <w:spacing w:before="93"/>
        <w:rPr>
          <w:rFonts w:ascii="黑体" w:hAnsi="黑体" w:eastAsia="黑体" w:cs="黑体"/>
          <w:bCs/>
          <w:sz w:val="32"/>
          <w:szCs w:val="32"/>
        </w:rPr>
      </w:pPr>
      <w:r>
        <w:rPr>
          <w:rFonts w:hint="eastAsia" w:ascii="黑体" w:hAnsi="黑体" w:eastAsia="黑体" w:cs="黑体"/>
          <w:bCs/>
          <w:sz w:val="32"/>
          <w:szCs w:val="32"/>
        </w:rPr>
        <w:t>附表</w:t>
      </w:r>
    </w:p>
    <w:p>
      <w:pPr>
        <w:pStyle w:val="2"/>
        <w:spacing w:beforeLines="0" w:afterLines="50" w:line="576"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2021年部门预算项目绩效目标自评</w:t>
      </w:r>
    </w:p>
    <w:tbl>
      <w:tblPr>
        <w:tblStyle w:val="20"/>
        <w:tblW w:w="8940" w:type="dxa"/>
        <w:jc w:val="center"/>
        <w:tblLayout w:type="fixed"/>
        <w:tblCellMar>
          <w:top w:w="0" w:type="dxa"/>
          <w:left w:w="108" w:type="dxa"/>
          <w:bottom w:w="0" w:type="dxa"/>
          <w:right w:w="108" w:type="dxa"/>
        </w:tblCellMar>
      </w:tblPr>
      <w:tblGrid>
        <w:gridCol w:w="1183"/>
        <w:gridCol w:w="952"/>
        <w:gridCol w:w="1199"/>
        <w:gridCol w:w="1667"/>
        <w:gridCol w:w="1621"/>
        <w:gridCol w:w="2318"/>
      </w:tblGrid>
      <w:tr>
        <w:tblPrEx>
          <w:tblCellMar>
            <w:top w:w="0" w:type="dxa"/>
            <w:left w:w="108" w:type="dxa"/>
            <w:bottom w:w="0" w:type="dxa"/>
            <w:right w:w="108" w:type="dxa"/>
          </w:tblCellMar>
        </w:tblPrEx>
        <w:trPr>
          <w:jc w:val="center"/>
        </w:trPr>
        <w:tc>
          <w:tcPr>
            <w:tcW w:w="2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主管部门及代码</w:t>
            </w:r>
          </w:p>
        </w:tc>
        <w:tc>
          <w:tcPr>
            <w:tcW w:w="2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广元市妇女联合会-354001</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实施单位</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广元市妇女联合会</w:t>
            </w:r>
          </w:p>
        </w:tc>
      </w:tr>
      <w:tr>
        <w:tblPrEx>
          <w:tblCellMar>
            <w:top w:w="0" w:type="dxa"/>
            <w:left w:w="108" w:type="dxa"/>
            <w:bottom w:w="0" w:type="dxa"/>
            <w:right w:w="108" w:type="dxa"/>
          </w:tblCellMar>
        </w:tblPrEx>
        <w:trPr>
          <w:jc w:val="center"/>
        </w:trPr>
        <w:tc>
          <w:tcPr>
            <w:tcW w:w="21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项目预算</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执行情况</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（万元）</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 xml:space="preserve"> 预算数：</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13.92</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 xml:space="preserve"> 执行数：</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ascii="仿宋_GB2312" w:hAnsi="仿宋_GB2312" w:eastAsia="仿宋_GB2312" w:cs="仿宋_GB2312"/>
                <w:sz w:val="24"/>
              </w:rPr>
            </w:pPr>
            <w:r>
              <w:rPr>
                <w:rFonts w:hint="eastAsia" w:ascii="仿宋_GB2312" w:hAnsi="仿宋_GB2312" w:eastAsia="仿宋_GB2312" w:cs="仿宋_GB2312"/>
                <w:sz w:val="24"/>
              </w:rPr>
              <w:t>13.92</w:t>
            </w:r>
          </w:p>
        </w:tc>
      </w:tr>
      <w:tr>
        <w:tblPrEx>
          <w:tblCellMar>
            <w:top w:w="0" w:type="dxa"/>
            <w:left w:w="108" w:type="dxa"/>
            <w:bottom w:w="0" w:type="dxa"/>
            <w:right w:w="108" w:type="dxa"/>
          </w:tblCellMar>
        </w:tblPrEx>
        <w:trPr>
          <w:jc w:val="center"/>
        </w:trPr>
        <w:tc>
          <w:tcPr>
            <w:tcW w:w="21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hAnsi="仿宋_GB2312" w:eastAsia="仿宋_GB2312" w:cs="仿宋_GB2312"/>
                <w:sz w:val="24"/>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其中：</w:t>
            </w:r>
          </w:p>
          <w:p>
            <w:pPr>
              <w:widowControl/>
              <w:spacing w:line="36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财政拨款</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13.92</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其中：</w:t>
            </w:r>
          </w:p>
          <w:p>
            <w:pPr>
              <w:widowControl/>
              <w:spacing w:line="36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财政拨款</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13.92</w:t>
            </w:r>
          </w:p>
        </w:tc>
      </w:tr>
      <w:tr>
        <w:trPr>
          <w:jc w:val="center"/>
        </w:trPr>
        <w:tc>
          <w:tcPr>
            <w:tcW w:w="21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hAnsi="仿宋_GB2312" w:eastAsia="仿宋_GB2312" w:cs="仿宋_GB2312"/>
                <w:sz w:val="24"/>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其他资金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其他资金</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CellMar>
            <w:top w:w="0" w:type="dxa"/>
            <w:left w:w="108" w:type="dxa"/>
            <w:bottom w:w="0" w:type="dxa"/>
            <w:right w:w="108" w:type="dxa"/>
          </w:tblCellMar>
        </w:tblPrEx>
        <w:trPr>
          <w:jc w:val="center"/>
        </w:trPr>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年度总体目标完成情况</w:t>
            </w:r>
          </w:p>
        </w:tc>
        <w:tc>
          <w:tcPr>
            <w:tcW w:w="38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预期目标</w:t>
            </w:r>
          </w:p>
        </w:tc>
        <w:tc>
          <w:tcPr>
            <w:tcW w:w="3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目标实际完成情况</w:t>
            </w:r>
          </w:p>
        </w:tc>
      </w:tr>
      <w:tr>
        <w:tblPrEx>
          <w:tblCellMar>
            <w:top w:w="0" w:type="dxa"/>
            <w:left w:w="108" w:type="dxa"/>
            <w:bottom w:w="0" w:type="dxa"/>
            <w:right w:w="108" w:type="dxa"/>
          </w:tblCellMar>
        </w:tblPrEx>
        <w:trPr>
          <w:jc w:val="center"/>
        </w:trPr>
        <w:tc>
          <w:tcPr>
            <w:tcW w:w="11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exact"/>
              <w:jc w:val="center"/>
              <w:rPr>
                <w:rFonts w:ascii="仿宋_GB2312" w:hAnsi="仿宋_GB2312" w:eastAsia="仿宋_GB2312" w:cs="仿宋_GB2312"/>
                <w:sz w:val="24"/>
              </w:rPr>
            </w:pPr>
          </w:p>
        </w:tc>
        <w:tc>
          <w:tcPr>
            <w:tcW w:w="3818" w:type="dxa"/>
            <w:gridSpan w:val="3"/>
            <w:tcBorders>
              <w:top w:val="single" w:color="000000" w:sz="4" w:space="0"/>
              <w:left w:val="single" w:color="000000" w:sz="4" w:space="0"/>
              <w:bottom w:val="single" w:color="auto" w:sz="4" w:space="0"/>
              <w:right w:val="single" w:color="000000" w:sz="4" w:space="0"/>
            </w:tcBorders>
            <w:shd w:val="clear" w:color="auto" w:fill="auto"/>
          </w:tcPr>
          <w:p>
            <w:pPr>
              <w:widowControl/>
              <w:spacing w:line="360" w:lineRule="exact"/>
              <w:jc w:val="left"/>
              <w:textAlignment w:val="top"/>
              <w:rPr>
                <w:rFonts w:ascii="仿宋_GB2312" w:hAnsi="仿宋_GB2312" w:eastAsia="仿宋_GB2312" w:cs="仿宋_GB2312"/>
                <w:sz w:val="24"/>
              </w:rPr>
            </w:pPr>
            <w:r>
              <w:rPr>
                <w:rFonts w:hint="eastAsia" w:ascii="仿宋_GB2312" w:hAnsi="仿宋_GB2312" w:eastAsia="仿宋_GB2312" w:cs="仿宋_GB2312"/>
                <w:spacing w:val="-6"/>
                <w:sz w:val="24"/>
              </w:rPr>
              <w:t>2021年度市委组织部、市妇联将组织市妇联常委、执委，市级部门、县区、乡镇优秀女领导干部代表，基层女性党组织书记等一线代表在省外举办广元市第六期女性领导力提升专题研修班，预计培训学员62人。</w:t>
            </w:r>
          </w:p>
        </w:tc>
        <w:tc>
          <w:tcPr>
            <w:tcW w:w="3939" w:type="dxa"/>
            <w:gridSpan w:val="2"/>
            <w:tcBorders>
              <w:top w:val="single" w:color="000000" w:sz="4" w:space="0"/>
              <w:left w:val="single" w:color="000000" w:sz="4" w:space="0"/>
              <w:bottom w:val="single" w:color="auto" w:sz="4" w:space="0"/>
              <w:right w:val="single" w:color="000000" w:sz="4" w:space="0"/>
            </w:tcBorders>
            <w:shd w:val="clear" w:color="auto" w:fill="auto"/>
          </w:tcPr>
          <w:p>
            <w:pPr>
              <w:widowControl/>
              <w:spacing w:line="360" w:lineRule="exact"/>
              <w:jc w:val="left"/>
              <w:textAlignment w:val="top"/>
              <w:rPr>
                <w:rFonts w:ascii="仿宋_GB2312" w:hAnsi="仿宋_GB2312" w:eastAsia="仿宋_GB2312" w:cs="仿宋_GB2312"/>
                <w:sz w:val="24"/>
              </w:rPr>
            </w:pPr>
            <w:r>
              <w:rPr>
                <w:rFonts w:hint="eastAsia" w:ascii="仿宋_GB2312" w:hAnsi="仿宋_GB2312" w:eastAsia="仿宋_GB2312" w:cs="仿宋_GB2312"/>
                <w:sz w:val="24"/>
              </w:rPr>
              <w:t>2021年度市委组织部、市妇联将组织市妇联常委、执委，市级部门、县区、乡镇优秀女领导干部代表，基层女性党组织书记等一线代表在省外举办广元市第六期女性领导力提升专题研修班，预计培训学员62人。</w:t>
            </w:r>
          </w:p>
        </w:tc>
      </w:tr>
      <w:tr>
        <w:tblPrEx>
          <w:tblCellMar>
            <w:top w:w="0" w:type="dxa"/>
            <w:left w:w="108" w:type="dxa"/>
            <w:bottom w:w="0" w:type="dxa"/>
            <w:right w:w="108" w:type="dxa"/>
          </w:tblCellMar>
        </w:tblPrEx>
        <w:trPr>
          <w:jc w:val="center"/>
        </w:trPr>
        <w:tc>
          <w:tcPr>
            <w:tcW w:w="11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年度绩效指标完成情况</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一级</w:t>
            </w:r>
          </w:p>
          <w:p>
            <w:pPr>
              <w:widowControl/>
              <w:spacing w:line="3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二级</w:t>
            </w:r>
          </w:p>
          <w:p>
            <w:pPr>
              <w:widowControl/>
              <w:spacing w:line="3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三级</w:t>
            </w:r>
          </w:p>
          <w:p>
            <w:pPr>
              <w:widowControl/>
              <w:spacing w:line="3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预期指标值</w:t>
            </w:r>
          </w:p>
        </w:tc>
        <w:tc>
          <w:tcPr>
            <w:tcW w:w="23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实际完成指标值</w:t>
            </w:r>
          </w:p>
        </w:tc>
      </w:tr>
      <w:tr>
        <w:trPr>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p>
        </w:tc>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完成</w:t>
            </w:r>
          </w:p>
          <w:p>
            <w:pPr>
              <w:widowControl/>
              <w:spacing w:line="36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1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数量指标</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指标1：培训班次</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培训班次</w:t>
            </w:r>
          </w:p>
        </w:tc>
        <w:tc>
          <w:tcPr>
            <w:tcW w:w="23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1次</w:t>
            </w:r>
          </w:p>
        </w:tc>
      </w:tr>
      <w:tr>
        <w:tblPrEx>
          <w:tblCellMar>
            <w:top w:w="0" w:type="dxa"/>
            <w:left w:w="108" w:type="dxa"/>
            <w:bottom w:w="0" w:type="dxa"/>
            <w:right w:w="108" w:type="dxa"/>
          </w:tblCellMar>
        </w:tblPrEx>
        <w:trPr>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bottom"/>
              <w:rPr>
                <w:rFonts w:ascii="仿宋_GB2312" w:hAnsi="仿宋_GB2312" w:eastAsia="仿宋_GB2312" w:cs="仿宋_GB2312"/>
                <w:kern w:val="0"/>
                <w:sz w:val="24"/>
              </w:rPr>
            </w:pPr>
          </w:p>
        </w:tc>
        <w:tc>
          <w:tcPr>
            <w:tcW w:w="11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bottom"/>
              <w:rPr>
                <w:rFonts w:ascii="仿宋_GB2312" w:hAnsi="仿宋_GB2312" w:eastAsia="仿宋_GB2312" w:cs="仿宋_GB2312"/>
                <w:kern w:val="0"/>
                <w:sz w:val="24"/>
              </w:rPr>
            </w:pP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指标2：培训人数</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培训人数</w:t>
            </w:r>
          </w:p>
        </w:tc>
        <w:tc>
          <w:tcPr>
            <w:tcW w:w="23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62人</w:t>
            </w:r>
          </w:p>
        </w:tc>
      </w:tr>
      <w:tr>
        <w:tblPrEx>
          <w:tblCellMar>
            <w:top w:w="0" w:type="dxa"/>
            <w:left w:w="108" w:type="dxa"/>
            <w:bottom w:w="0" w:type="dxa"/>
            <w:right w:w="108" w:type="dxa"/>
          </w:tblCellMar>
        </w:tblPrEx>
        <w:trPr>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bottom"/>
              <w:rPr>
                <w:rFonts w:ascii="仿宋_GB2312" w:hAnsi="仿宋_GB2312" w:eastAsia="仿宋_GB2312" w:cs="仿宋_GB2312"/>
                <w:kern w:val="0"/>
                <w:sz w:val="24"/>
              </w:rPr>
            </w:pPr>
          </w:p>
        </w:tc>
        <w:tc>
          <w:tcPr>
            <w:tcW w:w="11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bottom"/>
              <w:rPr>
                <w:rFonts w:ascii="仿宋_GB2312" w:hAnsi="仿宋_GB2312" w:eastAsia="仿宋_GB2312" w:cs="仿宋_GB2312"/>
                <w:kern w:val="0"/>
                <w:sz w:val="24"/>
              </w:rPr>
            </w:pP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指标3：培训天数</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培训天数</w:t>
            </w:r>
          </w:p>
        </w:tc>
        <w:tc>
          <w:tcPr>
            <w:tcW w:w="23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7天</w:t>
            </w:r>
          </w:p>
        </w:tc>
      </w:tr>
      <w:tr>
        <w:tblPrEx>
          <w:tblCellMar>
            <w:top w:w="0" w:type="dxa"/>
            <w:left w:w="108" w:type="dxa"/>
            <w:bottom w:w="0" w:type="dxa"/>
            <w:right w:w="108" w:type="dxa"/>
          </w:tblCellMar>
        </w:tblPrEx>
        <w:trPr>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bottom"/>
              <w:rPr>
                <w:rFonts w:ascii="仿宋_GB2312" w:hAnsi="仿宋_GB2312" w:eastAsia="仿宋_GB2312" w:cs="仿宋_GB2312"/>
                <w:kern w:val="0"/>
                <w:sz w:val="24"/>
              </w:rPr>
            </w:pPr>
          </w:p>
        </w:tc>
        <w:tc>
          <w:tcPr>
            <w:tcW w:w="11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bottom"/>
              <w:rPr>
                <w:rFonts w:ascii="仿宋_GB2312" w:hAnsi="仿宋_GB2312" w:eastAsia="仿宋_GB2312" w:cs="仿宋_GB2312"/>
                <w:kern w:val="0"/>
                <w:sz w:val="24"/>
              </w:rPr>
            </w:pP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指标4：教师聘请人数</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教师聘请人数</w:t>
            </w:r>
          </w:p>
        </w:tc>
        <w:tc>
          <w:tcPr>
            <w:tcW w:w="23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7人</w:t>
            </w:r>
          </w:p>
        </w:tc>
      </w:tr>
      <w:tr>
        <w:trPr>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bottom"/>
              <w:rPr>
                <w:rFonts w:ascii="仿宋_GB2312" w:hAnsi="仿宋_GB2312" w:eastAsia="仿宋_GB2312" w:cs="仿宋_GB2312"/>
                <w:kern w:val="0"/>
                <w:sz w:val="24"/>
              </w:rPr>
            </w:pPr>
          </w:p>
        </w:tc>
        <w:tc>
          <w:tcPr>
            <w:tcW w:w="11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bottom"/>
              <w:rPr>
                <w:rFonts w:ascii="仿宋_GB2312" w:hAnsi="仿宋_GB2312" w:eastAsia="仿宋_GB2312" w:cs="仿宋_GB2312"/>
                <w:kern w:val="0"/>
                <w:sz w:val="24"/>
              </w:rPr>
            </w:pP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指标5：课程数量</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课程数量</w:t>
            </w:r>
          </w:p>
        </w:tc>
        <w:tc>
          <w:tcPr>
            <w:tcW w:w="23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8门</w:t>
            </w:r>
          </w:p>
        </w:tc>
      </w:tr>
      <w:tr>
        <w:tblPrEx>
          <w:tblCellMar>
            <w:top w:w="0" w:type="dxa"/>
            <w:left w:w="108" w:type="dxa"/>
            <w:bottom w:w="0" w:type="dxa"/>
            <w:right w:w="108" w:type="dxa"/>
          </w:tblCellMar>
        </w:tblPrEx>
        <w:trPr>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spacing w:line="360" w:lineRule="exact"/>
              <w:jc w:val="center"/>
              <w:rPr>
                <w:rFonts w:ascii="仿宋_GB2312" w:hAnsi="仿宋_GB2312" w:eastAsia="仿宋_GB2312" w:cs="仿宋_GB2312"/>
                <w:sz w:val="24"/>
              </w:rPr>
            </w:pPr>
          </w:p>
        </w:tc>
        <w:tc>
          <w:tcPr>
            <w:tcW w:w="11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质量指标</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指标1：培训参与率</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培训参与率</w:t>
            </w:r>
          </w:p>
        </w:tc>
        <w:tc>
          <w:tcPr>
            <w:tcW w:w="23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r>
      <w:tr>
        <w:tblPrEx>
          <w:tblCellMar>
            <w:top w:w="0" w:type="dxa"/>
            <w:left w:w="108" w:type="dxa"/>
            <w:bottom w:w="0" w:type="dxa"/>
            <w:right w:w="108" w:type="dxa"/>
          </w:tblCellMar>
        </w:tblPrEx>
        <w:trPr>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spacing w:line="360" w:lineRule="exact"/>
              <w:jc w:val="center"/>
              <w:rPr>
                <w:rFonts w:ascii="仿宋_GB2312" w:hAnsi="仿宋_GB2312" w:eastAsia="仿宋_GB2312" w:cs="仿宋_GB2312"/>
                <w:sz w:val="24"/>
              </w:rPr>
            </w:pPr>
          </w:p>
        </w:tc>
        <w:tc>
          <w:tcPr>
            <w:tcW w:w="11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bottom"/>
              <w:rPr>
                <w:rFonts w:ascii="仿宋_GB2312" w:hAnsi="仿宋_GB2312" w:eastAsia="仿宋_GB2312" w:cs="仿宋_GB2312"/>
                <w:kern w:val="0"/>
                <w:sz w:val="24"/>
              </w:rPr>
            </w:pP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指标2：培训合格率</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培训合格率</w:t>
            </w:r>
          </w:p>
        </w:tc>
        <w:tc>
          <w:tcPr>
            <w:tcW w:w="23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r>
      <w:tr>
        <w:tblPrEx>
          <w:tblCellMar>
            <w:top w:w="0" w:type="dxa"/>
            <w:left w:w="108" w:type="dxa"/>
            <w:bottom w:w="0" w:type="dxa"/>
            <w:right w:w="108" w:type="dxa"/>
          </w:tblCellMar>
        </w:tblPrEx>
        <w:trPr>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spacing w:line="360" w:lineRule="exact"/>
              <w:jc w:val="center"/>
              <w:rPr>
                <w:rFonts w:ascii="仿宋_GB2312" w:hAnsi="仿宋_GB2312" w:eastAsia="仿宋_GB2312" w:cs="仿宋_GB2312"/>
                <w:sz w:val="24"/>
              </w:rPr>
            </w:pPr>
          </w:p>
        </w:tc>
        <w:tc>
          <w:tcPr>
            <w:tcW w:w="11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bottom"/>
              <w:rPr>
                <w:rFonts w:ascii="仿宋_GB2312" w:hAnsi="仿宋_GB2312" w:eastAsia="仿宋_GB2312" w:cs="仿宋_GB2312"/>
                <w:kern w:val="0"/>
                <w:sz w:val="24"/>
              </w:rPr>
            </w:pP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指标3：培训计划完成率</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培训计划完成率</w:t>
            </w:r>
          </w:p>
        </w:tc>
        <w:tc>
          <w:tcPr>
            <w:tcW w:w="23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r>
      <w:tr>
        <w:trPr>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spacing w:line="360" w:lineRule="exact"/>
              <w:jc w:val="center"/>
              <w:rPr>
                <w:rFonts w:ascii="仿宋_GB2312" w:hAnsi="仿宋_GB2312" w:eastAsia="仿宋_GB2312" w:cs="仿宋_GB2312"/>
                <w:sz w:val="24"/>
              </w:rPr>
            </w:pPr>
          </w:p>
        </w:tc>
        <w:tc>
          <w:tcPr>
            <w:tcW w:w="11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时效指标</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指标1：培训计划完成及时率</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培训计划完成及时率</w:t>
            </w:r>
          </w:p>
        </w:tc>
        <w:tc>
          <w:tcPr>
            <w:tcW w:w="23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r>
      <w:tr>
        <w:tblPrEx>
          <w:tblCellMar>
            <w:top w:w="0" w:type="dxa"/>
            <w:left w:w="108" w:type="dxa"/>
            <w:bottom w:w="0" w:type="dxa"/>
            <w:right w:w="108" w:type="dxa"/>
          </w:tblCellMar>
        </w:tblPrEx>
        <w:trPr>
          <w:trHeight w:val="804"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spacing w:line="360" w:lineRule="exact"/>
              <w:jc w:val="center"/>
              <w:rPr>
                <w:rFonts w:ascii="仿宋_GB2312" w:hAnsi="仿宋_GB2312" w:eastAsia="仿宋_GB2312" w:cs="仿宋_GB2312"/>
                <w:sz w:val="24"/>
              </w:rPr>
            </w:pPr>
          </w:p>
        </w:tc>
        <w:tc>
          <w:tcPr>
            <w:tcW w:w="1199"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360" w:lineRule="exact"/>
              <w:jc w:val="center"/>
              <w:textAlignment w:val="bottom"/>
              <w:rPr>
                <w:rFonts w:ascii="仿宋_GB2312" w:hAnsi="仿宋_GB2312" w:eastAsia="仿宋_GB2312" w:cs="仿宋_GB2312"/>
                <w:kern w:val="0"/>
                <w:sz w:val="24"/>
              </w:rPr>
            </w:pP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指标2：培训完成时间</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培训</w:t>
            </w:r>
          </w:p>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完成时间</w:t>
            </w:r>
          </w:p>
        </w:tc>
        <w:tc>
          <w:tcPr>
            <w:tcW w:w="23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2021年12月底前</w:t>
            </w:r>
          </w:p>
        </w:tc>
      </w:tr>
      <w:tr>
        <w:tblPrEx>
          <w:tblCellMar>
            <w:top w:w="0" w:type="dxa"/>
            <w:left w:w="108" w:type="dxa"/>
            <w:bottom w:w="0" w:type="dxa"/>
            <w:right w:w="108" w:type="dxa"/>
          </w:tblCellMar>
        </w:tblPrEx>
        <w:trPr>
          <w:trHeight w:val="4913"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spacing w:line="360" w:lineRule="exact"/>
              <w:jc w:val="center"/>
              <w:rPr>
                <w:rFonts w:ascii="仿宋_GB2312" w:hAnsi="仿宋_GB2312" w:eastAsia="仿宋_GB2312" w:cs="仿宋_GB2312"/>
                <w:sz w:val="24"/>
              </w:rPr>
            </w:pP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成本指标</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场地租用成本2.6万元，资料复印、防疫物资等2.2056万元，师资费2.0529万元，学员餐费2.61万元，现场教学1.9235万元，管理费费等3.32万元。</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场地租用成本2.6万元，资料复印、防疫物资等2.2056万元，师资费2.0529万元，学员餐费2.61万元，现场教学1.9235万元，管理费费等3.32万元。</w:t>
            </w:r>
          </w:p>
        </w:tc>
        <w:tc>
          <w:tcPr>
            <w:tcW w:w="23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场地租用成本2.6万元，资料复印、防疫物资等2.2056万元，师资费2.0529万元，学员餐费2.61万元，现场教学1.9235万元，管理费费等3.32万元。</w:t>
            </w:r>
          </w:p>
        </w:tc>
      </w:tr>
      <w:tr>
        <w:tblPrEx>
          <w:tblCellMar>
            <w:top w:w="0" w:type="dxa"/>
            <w:left w:w="108" w:type="dxa"/>
            <w:bottom w:w="0" w:type="dxa"/>
            <w:right w:w="108" w:type="dxa"/>
          </w:tblCellMar>
        </w:tblPrEx>
        <w:trPr>
          <w:jc w:val="center"/>
        </w:trPr>
        <w:tc>
          <w:tcPr>
            <w:tcW w:w="1183" w:type="dxa"/>
            <w:vMerge w:val="continue"/>
            <w:tcBorders>
              <w:top w:val="single" w:color="auto" w:sz="4" w:space="0"/>
              <w:left w:val="single" w:color="auto" w:sz="4" w:space="0"/>
              <w:right w:val="single" w:color="000000" w:sz="4" w:space="0"/>
            </w:tcBorders>
            <w:shd w:val="clear" w:color="auto" w:fill="auto"/>
            <w:vAlign w:val="center"/>
          </w:tcPr>
          <w:p>
            <w:pPr>
              <w:spacing w:line="360" w:lineRule="exact"/>
              <w:jc w:val="center"/>
              <w:rPr>
                <w:rFonts w:ascii="仿宋_GB2312" w:hAnsi="仿宋_GB2312" w:eastAsia="仿宋_GB2312" w:cs="仿宋_GB2312"/>
                <w:sz w:val="24"/>
              </w:rPr>
            </w:pPr>
          </w:p>
        </w:tc>
        <w:tc>
          <w:tcPr>
            <w:tcW w:w="952" w:type="dxa"/>
            <w:vMerge w:val="continue"/>
            <w:tcBorders>
              <w:top w:val="single" w:color="auto" w:sz="4" w:space="0"/>
              <w:left w:val="single" w:color="000000" w:sz="4" w:space="0"/>
              <w:right w:val="single" w:color="000000" w:sz="4" w:space="0"/>
            </w:tcBorders>
            <w:shd w:val="clear" w:color="auto" w:fill="auto"/>
            <w:vAlign w:val="bottom"/>
          </w:tcPr>
          <w:p>
            <w:pPr>
              <w:spacing w:line="360" w:lineRule="exact"/>
              <w:jc w:val="center"/>
              <w:rPr>
                <w:rFonts w:ascii="仿宋_GB2312" w:hAnsi="仿宋_GB2312" w:eastAsia="仿宋_GB2312" w:cs="仿宋_GB2312"/>
                <w:sz w:val="24"/>
              </w:rPr>
            </w:pPr>
          </w:p>
        </w:tc>
        <w:tc>
          <w:tcPr>
            <w:tcW w:w="119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社会效益  指标</w:t>
            </w:r>
          </w:p>
        </w:tc>
        <w:tc>
          <w:tcPr>
            <w:tcW w:w="1667"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指标1：培训学员参与保持率</w:t>
            </w:r>
          </w:p>
        </w:tc>
        <w:tc>
          <w:tcPr>
            <w:tcW w:w="1621"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2318"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r>
      <w:tr>
        <w:tblPrEx>
          <w:tblCellMar>
            <w:top w:w="0" w:type="dxa"/>
            <w:left w:w="108" w:type="dxa"/>
            <w:bottom w:w="0" w:type="dxa"/>
            <w:right w:w="108" w:type="dxa"/>
          </w:tblCellMar>
        </w:tblPrEx>
        <w:trPr>
          <w:trHeight w:val="993" w:hRule="atLeast"/>
          <w:jc w:val="center"/>
        </w:trPr>
        <w:tc>
          <w:tcPr>
            <w:tcW w:w="1183" w:type="dxa"/>
            <w:vMerge w:val="continue"/>
            <w:tcBorders>
              <w:left w:val="single" w:color="auto" w:sz="4" w:space="0"/>
              <w:right w:val="single" w:color="000000" w:sz="4" w:space="0"/>
            </w:tcBorders>
            <w:shd w:val="clear" w:color="auto" w:fill="auto"/>
            <w:vAlign w:val="center"/>
          </w:tcPr>
          <w:p>
            <w:pPr>
              <w:spacing w:line="360" w:lineRule="exact"/>
              <w:jc w:val="center"/>
              <w:rPr>
                <w:rFonts w:ascii="仿宋_GB2312" w:hAnsi="仿宋_GB2312" w:eastAsia="仿宋_GB2312" w:cs="仿宋_GB2312"/>
                <w:sz w:val="24"/>
              </w:rPr>
            </w:pPr>
          </w:p>
        </w:tc>
        <w:tc>
          <w:tcPr>
            <w:tcW w:w="952" w:type="dxa"/>
            <w:vMerge w:val="continue"/>
            <w:tcBorders>
              <w:left w:val="single" w:color="000000" w:sz="4" w:space="0"/>
              <w:right w:val="single" w:color="000000" w:sz="4" w:space="0"/>
            </w:tcBorders>
            <w:shd w:val="clear" w:color="auto" w:fill="auto"/>
            <w:vAlign w:val="bottom"/>
          </w:tcPr>
          <w:p>
            <w:pPr>
              <w:spacing w:line="360" w:lineRule="exact"/>
              <w:jc w:val="center"/>
              <w:rPr>
                <w:rFonts w:ascii="仿宋_GB2312" w:hAnsi="仿宋_GB2312" w:eastAsia="仿宋_GB2312" w:cs="仿宋_GB2312"/>
                <w:sz w:val="24"/>
              </w:rPr>
            </w:pPr>
          </w:p>
        </w:tc>
        <w:tc>
          <w:tcPr>
            <w:tcW w:w="1199" w:type="dxa"/>
            <w:vMerge w:val="restart"/>
            <w:tcBorders>
              <w:top w:val="single" w:color="000000" w:sz="4" w:space="0"/>
              <w:left w:val="single" w:color="000000" w:sz="4" w:space="0"/>
              <w:right w:val="single" w:color="000000" w:sz="4" w:space="0"/>
            </w:tcBorders>
            <w:shd w:val="clear" w:color="auto" w:fill="auto"/>
            <w:vAlign w:val="center"/>
          </w:tcPr>
          <w:p>
            <w:pPr>
              <w:widowControl/>
              <w:spacing w:line="36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可持续影响 指标</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指标1：培训方案</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培训方案</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制定</w:t>
            </w:r>
          </w:p>
        </w:tc>
      </w:tr>
      <w:tr>
        <w:tblPrEx>
          <w:tblCellMar>
            <w:top w:w="0" w:type="dxa"/>
            <w:left w:w="108" w:type="dxa"/>
            <w:bottom w:w="0" w:type="dxa"/>
            <w:right w:w="108" w:type="dxa"/>
          </w:tblCellMar>
        </w:tblPrEx>
        <w:trPr>
          <w:jc w:val="center"/>
        </w:trPr>
        <w:tc>
          <w:tcPr>
            <w:tcW w:w="1183" w:type="dxa"/>
            <w:vMerge w:val="continue"/>
            <w:tcBorders>
              <w:left w:val="single" w:color="auto" w:sz="4" w:space="0"/>
              <w:right w:val="single" w:color="000000" w:sz="4" w:space="0"/>
            </w:tcBorders>
            <w:shd w:val="clear" w:color="auto" w:fill="auto"/>
            <w:vAlign w:val="center"/>
          </w:tcPr>
          <w:p>
            <w:pPr>
              <w:spacing w:line="360" w:lineRule="exact"/>
              <w:jc w:val="center"/>
              <w:rPr>
                <w:rFonts w:ascii="仿宋_GB2312" w:hAnsi="仿宋_GB2312" w:eastAsia="仿宋_GB2312" w:cs="仿宋_GB2312"/>
                <w:sz w:val="24"/>
              </w:rPr>
            </w:pPr>
          </w:p>
        </w:tc>
        <w:tc>
          <w:tcPr>
            <w:tcW w:w="952" w:type="dxa"/>
            <w:vMerge w:val="continue"/>
            <w:tcBorders>
              <w:left w:val="single" w:color="000000" w:sz="4" w:space="0"/>
              <w:right w:val="single" w:color="000000" w:sz="4" w:space="0"/>
            </w:tcBorders>
            <w:shd w:val="clear" w:color="auto" w:fill="auto"/>
            <w:vAlign w:val="bottom"/>
          </w:tcPr>
          <w:p>
            <w:pPr>
              <w:spacing w:line="360" w:lineRule="exact"/>
              <w:jc w:val="center"/>
              <w:rPr>
                <w:rFonts w:ascii="仿宋_GB2312" w:hAnsi="仿宋_GB2312" w:eastAsia="仿宋_GB2312" w:cs="仿宋_GB2312"/>
                <w:sz w:val="24"/>
              </w:rPr>
            </w:pPr>
          </w:p>
        </w:tc>
        <w:tc>
          <w:tcPr>
            <w:tcW w:w="1199" w:type="dxa"/>
            <w:vMerge w:val="continue"/>
            <w:tcBorders>
              <w:left w:val="single" w:color="000000" w:sz="4" w:space="0"/>
              <w:right w:val="single" w:color="000000" w:sz="4" w:space="0"/>
            </w:tcBorders>
            <w:shd w:val="clear" w:color="auto" w:fill="auto"/>
            <w:vAlign w:val="center"/>
          </w:tcPr>
          <w:p>
            <w:pPr>
              <w:widowControl/>
              <w:spacing w:line="360" w:lineRule="exact"/>
              <w:jc w:val="center"/>
              <w:textAlignment w:val="bottom"/>
              <w:rPr>
                <w:rFonts w:ascii="仿宋_GB2312" w:hAnsi="仿宋_GB2312" w:eastAsia="仿宋_GB2312" w:cs="仿宋_GB2312"/>
                <w:kern w:val="0"/>
                <w:sz w:val="24"/>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指标2：培训总结</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培训总结</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制定</w:t>
            </w:r>
          </w:p>
        </w:tc>
      </w:tr>
      <w:tr>
        <w:tblPrEx>
          <w:tblCellMar>
            <w:top w:w="0" w:type="dxa"/>
            <w:left w:w="108" w:type="dxa"/>
            <w:bottom w:w="0" w:type="dxa"/>
            <w:right w:w="108" w:type="dxa"/>
          </w:tblCellMar>
        </w:tblPrEx>
        <w:trPr>
          <w:trHeight w:val="899" w:hRule="atLeast"/>
          <w:jc w:val="center"/>
        </w:trPr>
        <w:tc>
          <w:tcPr>
            <w:tcW w:w="1183" w:type="dxa"/>
            <w:vMerge w:val="continue"/>
            <w:tcBorders>
              <w:left w:val="single" w:color="auto" w:sz="4" w:space="0"/>
              <w:right w:val="single" w:color="000000" w:sz="4" w:space="0"/>
            </w:tcBorders>
            <w:shd w:val="clear" w:color="auto" w:fill="auto"/>
            <w:vAlign w:val="center"/>
          </w:tcPr>
          <w:p>
            <w:pPr>
              <w:spacing w:line="360" w:lineRule="exact"/>
              <w:jc w:val="center"/>
              <w:rPr>
                <w:rFonts w:ascii="仿宋_GB2312" w:hAnsi="仿宋_GB2312" w:eastAsia="仿宋_GB2312" w:cs="仿宋_GB2312"/>
                <w:sz w:val="24"/>
              </w:rPr>
            </w:pPr>
          </w:p>
        </w:tc>
        <w:tc>
          <w:tcPr>
            <w:tcW w:w="952" w:type="dxa"/>
            <w:vMerge w:val="continue"/>
            <w:tcBorders>
              <w:left w:val="single" w:color="000000" w:sz="4" w:space="0"/>
              <w:bottom w:val="single" w:color="000000" w:sz="4" w:space="0"/>
              <w:right w:val="single" w:color="000000" w:sz="4" w:space="0"/>
            </w:tcBorders>
            <w:shd w:val="clear" w:color="auto" w:fill="auto"/>
            <w:vAlign w:val="bottom"/>
          </w:tcPr>
          <w:p>
            <w:pPr>
              <w:spacing w:line="360" w:lineRule="exact"/>
              <w:jc w:val="center"/>
              <w:rPr>
                <w:rFonts w:ascii="仿宋_GB2312" w:hAnsi="仿宋_GB2312" w:eastAsia="仿宋_GB2312" w:cs="仿宋_GB2312"/>
                <w:sz w:val="24"/>
              </w:rPr>
            </w:pPr>
          </w:p>
        </w:tc>
        <w:tc>
          <w:tcPr>
            <w:tcW w:w="1199"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bottom"/>
              <w:rPr>
                <w:rFonts w:ascii="仿宋_GB2312" w:hAnsi="仿宋_GB2312" w:eastAsia="仿宋_GB2312" w:cs="仿宋_GB2312"/>
                <w:kern w:val="0"/>
                <w:sz w:val="24"/>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指标3：培训结项审批单</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培训结项审批单</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制定</w:t>
            </w:r>
          </w:p>
        </w:tc>
      </w:tr>
      <w:tr>
        <w:tblPrEx>
          <w:tblCellMar>
            <w:top w:w="0" w:type="dxa"/>
            <w:left w:w="108" w:type="dxa"/>
            <w:bottom w:w="0" w:type="dxa"/>
            <w:right w:w="108" w:type="dxa"/>
          </w:tblCellMar>
        </w:tblPrEx>
        <w:trPr>
          <w:trHeight w:val="1058" w:hRule="atLeast"/>
          <w:jc w:val="center"/>
        </w:trPr>
        <w:tc>
          <w:tcPr>
            <w:tcW w:w="1183" w:type="dxa"/>
            <w:vMerge w:val="continue"/>
            <w:tcBorders>
              <w:left w:val="single" w:color="auto" w:sz="4" w:space="0"/>
              <w:bottom w:val="single" w:color="000000" w:sz="4" w:space="0"/>
              <w:right w:val="single" w:color="000000" w:sz="4" w:space="0"/>
            </w:tcBorders>
            <w:shd w:val="clear" w:color="auto" w:fill="auto"/>
            <w:vAlign w:val="center"/>
          </w:tcPr>
          <w:p>
            <w:pPr>
              <w:spacing w:line="360" w:lineRule="exact"/>
              <w:jc w:val="center"/>
              <w:rPr>
                <w:rFonts w:ascii="仿宋_GB2312" w:hAnsi="仿宋_GB2312" w:eastAsia="仿宋_GB2312" w:cs="仿宋_GB2312"/>
                <w:sz w:val="24"/>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满意</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度指标</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满意度</w:t>
            </w:r>
          </w:p>
          <w:p>
            <w:pPr>
              <w:widowControl/>
              <w:spacing w:line="36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指标1：培训学员满意度</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培训学员满意度</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r>
    </w:tbl>
    <w:p/>
    <w:p>
      <w:pPr>
        <w:pStyle w:val="2"/>
        <w:spacing w:before="93"/>
      </w:pPr>
    </w:p>
    <w:p>
      <w:pPr>
        <w:spacing w:line="576" w:lineRule="exact"/>
        <w:rPr>
          <w:rFonts w:ascii="黑体" w:hAnsi="黑体" w:eastAsia="黑体" w:cs="黑体"/>
          <w:sz w:val="42"/>
          <w:szCs w:val="42"/>
        </w:rPr>
      </w:pPr>
      <w:r>
        <w:rPr>
          <w:rFonts w:hint="eastAsia" w:ascii="黑体" w:hAnsi="黑体" w:eastAsia="黑体" w:cs="黑体"/>
          <w:sz w:val="32"/>
          <w:szCs w:val="32"/>
        </w:rPr>
        <w:t>附件6</w:t>
      </w:r>
    </w:p>
    <w:p>
      <w:pPr>
        <w:spacing w:line="576" w:lineRule="exact"/>
        <w:jc w:val="center"/>
        <w:outlineLvl w:val="0"/>
        <w:rPr>
          <w:rFonts w:ascii="方正小标宋简体" w:hAnsi="方正小标宋简体" w:eastAsia="方正小标宋简体" w:cs="方正小标宋简体"/>
          <w:color w:val="000000"/>
          <w:sz w:val="42"/>
          <w:szCs w:val="42"/>
        </w:rPr>
      </w:pPr>
      <w:bookmarkStart w:id="234" w:name="_Toc31108"/>
      <w:bookmarkStart w:id="235" w:name="_Toc114498421"/>
      <w:bookmarkStart w:id="236" w:name="_Toc13577"/>
      <w:r>
        <w:rPr>
          <w:rFonts w:hint="eastAsia" w:ascii="方正小标宋简体" w:hAnsi="方正小标宋简体" w:eastAsia="方正小标宋简体" w:cs="方正小标宋简体"/>
          <w:color w:val="000000"/>
          <w:sz w:val="42"/>
          <w:szCs w:val="42"/>
        </w:rPr>
        <w:t>广元市妇女联合会</w:t>
      </w:r>
      <w:bookmarkEnd w:id="234"/>
      <w:bookmarkEnd w:id="235"/>
      <w:bookmarkEnd w:id="236"/>
    </w:p>
    <w:p>
      <w:pPr>
        <w:spacing w:line="576" w:lineRule="exact"/>
        <w:jc w:val="center"/>
        <w:outlineLvl w:val="0"/>
        <w:rPr>
          <w:rFonts w:ascii="方正小标宋简体" w:hAnsi="方正小标宋简体" w:eastAsia="方正小标宋简体" w:cs="方正小标宋简体"/>
          <w:color w:val="000000"/>
          <w:sz w:val="42"/>
          <w:szCs w:val="42"/>
          <w:lang w:val="zh-CN"/>
        </w:rPr>
      </w:pPr>
      <w:bookmarkStart w:id="237" w:name="_Toc114498422"/>
      <w:bookmarkStart w:id="238" w:name="_Toc12449"/>
      <w:bookmarkStart w:id="239" w:name="_Toc4832"/>
      <w:r>
        <w:rPr>
          <w:rFonts w:hint="eastAsia" w:ascii="方正小标宋简体" w:hAnsi="方正小标宋简体" w:eastAsia="方正小标宋简体" w:cs="方正小标宋简体"/>
          <w:color w:val="000000"/>
          <w:sz w:val="42"/>
          <w:szCs w:val="42"/>
        </w:rPr>
        <w:t>2021年社会活动工作</w:t>
      </w:r>
      <w:r>
        <w:rPr>
          <w:rFonts w:hint="eastAsia" w:ascii="方正小标宋简体" w:hAnsi="方正小标宋简体" w:eastAsia="方正小标宋简体" w:cs="方正小标宋简体"/>
          <w:color w:val="000000"/>
          <w:spacing w:val="20"/>
          <w:sz w:val="42"/>
          <w:szCs w:val="42"/>
          <w:lang w:val="zh-CN"/>
        </w:rPr>
        <w:t>项目</w:t>
      </w:r>
      <w:bookmarkEnd w:id="237"/>
      <w:bookmarkEnd w:id="238"/>
      <w:bookmarkStart w:id="240" w:name="_Toc114498423"/>
      <w:bookmarkStart w:id="241" w:name="_Toc129"/>
      <w:r>
        <w:rPr>
          <w:rFonts w:hint="eastAsia" w:ascii="方正小标宋简体" w:hAnsi="方正小标宋简体" w:eastAsia="方正小标宋简体" w:cs="方正小标宋简体"/>
          <w:color w:val="000000"/>
          <w:spacing w:val="20"/>
          <w:sz w:val="42"/>
          <w:szCs w:val="42"/>
          <w:lang w:val="zh-CN"/>
        </w:rPr>
        <w:t>支出绩效自评报告</w:t>
      </w:r>
      <w:bookmarkEnd w:id="239"/>
      <w:bookmarkEnd w:id="240"/>
      <w:bookmarkEnd w:id="241"/>
    </w:p>
    <w:p>
      <w:pPr>
        <w:adjustRightInd w:val="0"/>
        <w:snapToGrid w:val="0"/>
        <w:spacing w:line="576" w:lineRule="exact"/>
        <w:ind w:firstLine="640" w:firstLineChars="200"/>
        <w:rPr>
          <w:rFonts w:ascii="仿宋_GB2312" w:hAnsi="仿宋_GB2312" w:eastAsia="仿宋_GB2312" w:cs="仿宋_GB2312"/>
          <w:sz w:val="32"/>
          <w:szCs w:val="32"/>
        </w:rPr>
      </w:pPr>
    </w:p>
    <w:p>
      <w:pPr>
        <w:widowControl/>
        <w:adjustRightInd w:val="0"/>
        <w:snapToGrid w:val="0"/>
        <w:spacing w:line="576" w:lineRule="exact"/>
        <w:ind w:firstLine="640" w:firstLineChars="200"/>
        <w:rPr>
          <w:rFonts w:ascii="黑体" w:hAnsi="黑体" w:eastAsia="黑体" w:cs="黑体"/>
          <w:bCs/>
          <w:sz w:val="32"/>
          <w:szCs w:val="32"/>
          <w:lang w:val="zh-CN"/>
        </w:rPr>
      </w:pPr>
      <w:r>
        <w:rPr>
          <w:rFonts w:hint="eastAsia" w:ascii="黑体" w:hAnsi="黑体" w:eastAsia="黑体" w:cs="黑体"/>
          <w:bCs/>
          <w:sz w:val="32"/>
          <w:szCs w:val="32"/>
        </w:rPr>
        <w:t>一、</w:t>
      </w:r>
      <w:r>
        <w:rPr>
          <w:rFonts w:hint="eastAsia" w:ascii="黑体" w:hAnsi="黑体" w:eastAsia="黑体" w:cs="黑体"/>
          <w:bCs/>
          <w:sz w:val="32"/>
          <w:szCs w:val="32"/>
          <w:lang w:val="zh-CN"/>
        </w:rPr>
        <w:t>项目概况</w:t>
      </w:r>
    </w:p>
    <w:p>
      <w:pPr>
        <w:widowControl/>
        <w:spacing w:line="576" w:lineRule="exact"/>
        <w:ind w:firstLine="640" w:firstLineChars="200"/>
        <w:outlineLvl w:val="2"/>
        <w:rPr>
          <w:rFonts w:ascii="楷体_GB2312" w:hAnsi="楷体_GB2312" w:eastAsia="楷体_GB2312" w:cs="楷体_GB2312"/>
          <w:bCs/>
          <w:color w:val="000000"/>
          <w:sz w:val="32"/>
          <w:szCs w:val="32"/>
          <w:lang w:val="zh-CN"/>
        </w:rPr>
      </w:pPr>
      <w:bookmarkStart w:id="242" w:name="_Toc114498424"/>
      <w:r>
        <w:rPr>
          <w:rFonts w:hint="eastAsia" w:ascii="楷体_GB2312" w:hAnsi="楷体_GB2312" w:eastAsia="楷体_GB2312" w:cs="楷体_GB2312"/>
          <w:bCs/>
          <w:color w:val="000000"/>
          <w:sz w:val="32"/>
          <w:szCs w:val="32"/>
          <w:lang w:val="zh-CN"/>
        </w:rPr>
        <w:t>（一）项目基本情况</w:t>
      </w:r>
      <w:bookmarkEnd w:id="242"/>
    </w:p>
    <w:p>
      <w:pPr>
        <w:widowControl/>
        <w:spacing w:line="576" w:lineRule="exact"/>
        <w:ind w:firstLine="640" w:firstLineChars="200"/>
        <w:textAlignment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科学有序开展疫情防控工作，进一步发挥广大妇女、巾帼志愿者在疫情防控各项工作措施；以“中国共产党成立100周年”为主线，开展线上线下群众性宣传教育及巾帼志愿者服务等活动。                           </w:t>
      </w:r>
    </w:p>
    <w:p>
      <w:pPr>
        <w:widowControl/>
        <w:spacing w:line="576" w:lineRule="exact"/>
        <w:ind w:firstLine="640" w:firstLineChars="200"/>
        <w:outlineLvl w:val="2"/>
        <w:rPr>
          <w:rFonts w:ascii="楷体_GB2312" w:hAnsi="楷体_GB2312" w:eastAsia="楷体_GB2312" w:cs="楷体_GB2312"/>
          <w:bCs/>
          <w:color w:val="000000"/>
          <w:sz w:val="32"/>
          <w:szCs w:val="32"/>
          <w:lang w:val="zh-CN"/>
        </w:rPr>
      </w:pPr>
      <w:bookmarkStart w:id="243" w:name="_Toc114498425"/>
      <w:r>
        <w:rPr>
          <w:rFonts w:hint="eastAsia" w:ascii="楷体_GB2312" w:hAnsi="楷体_GB2312" w:eastAsia="楷体_GB2312" w:cs="楷体_GB2312"/>
          <w:bCs/>
          <w:color w:val="000000"/>
          <w:sz w:val="32"/>
          <w:szCs w:val="32"/>
          <w:lang w:val="zh-CN"/>
        </w:rPr>
        <w:t>（二）项目绩效目标</w:t>
      </w:r>
      <w:bookmarkEnd w:id="243"/>
    </w:p>
    <w:p>
      <w:pPr>
        <w:widowControl/>
        <w:spacing w:line="576" w:lineRule="exact"/>
        <w:ind w:firstLine="640" w:firstLineChars="200"/>
        <w:textAlignment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rPr>
        <w:t>完成2021年疫情防控工作；以“中国共产党成立100周年”为主线开展“巾帼心向党”提升行动为统领，群众性宣传教育及巾帼志愿者服务等活动。</w:t>
      </w:r>
    </w:p>
    <w:p>
      <w:pPr>
        <w:widowControl/>
        <w:spacing w:line="576"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2．普及疫情防控知识，坚定广大妇女信心，引导广大妇女和家庭科学防控</w:t>
      </w:r>
      <w:r>
        <w:rPr>
          <w:rFonts w:hint="eastAsia" w:ascii="仿宋_GB2312" w:hAnsi="仿宋_GB2312" w:eastAsia="仿宋_GB2312" w:cs="仿宋_GB2312"/>
          <w:sz w:val="32"/>
          <w:szCs w:val="32"/>
        </w:rPr>
        <w:t>。</w:t>
      </w:r>
    </w:p>
    <w:p>
      <w:pPr>
        <w:widowControl/>
        <w:spacing w:line="576" w:lineRule="exact"/>
        <w:ind w:firstLine="640" w:firstLineChars="200"/>
        <w:textAlignment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3．在社会治理、社区服务中发挥妇联组织、妇女工作的独特作用。</w:t>
      </w:r>
    </w:p>
    <w:p>
      <w:pPr>
        <w:widowControl/>
        <w:spacing w:line="576" w:lineRule="exact"/>
        <w:ind w:firstLine="640" w:firstLineChars="200"/>
        <w:outlineLvl w:val="2"/>
        <w:rPr>
          <w:rFonts w:ascii="楷体_GB2312" w:hAnsi="楷体_GB2312" w:eastAsia="楷体_GB2312" w:cs="楷体_GB2312"/>
          <w:bCs/>
          <w:color w:val="000000"/>
          <w:sz w:val="32"/>
          <w:szCs w:val="32"/>
          <w:lang w:val="zh-CN"/>
        </w:rPr>
      </w:pPr>
      <w:bookmarkStart w:id="244" w:name="_Toc114498426"/>
      <w:r>
        <w:rPr>
          <w:rFonts w:hint="eastAsia" w:ascii="楷体_GB2312" w:hAnsi="楷体_GB2312" w:eastAsia="楷体_GB2312" w:cs="楷体_GB2312"/>
          <w:bCs/>
          <w:color w:val="000000"/>
          <w:sz w:val="32"/>
          <w:szCs w:val="32"/>
          <w:lang w:val="zh-CN"/>
        </w:rPr>
        <w:t>（三）项目自评步骤及方法</w:t>
      </w:r>
      <w:bookmarkEnd w:id="244"/>
    </w:p>
    <w:p>
      <w:pPr>
        <w:widowControl/>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强化财政支出绩效理念，规范财政资金管理，提高资金使用绩效，本项目绩效评价主要使用比较法、因数分析法，参照项目支出绩效目标申报情况，围绕项目内容、实施情况、项目完成、财务管理、社会效益、满意度等针对性地开展了自我评价</w:t>
      </w:r>
    </w:p>
    <w:p>
      <w:pPr>
        <w:widowControl/>
        <w:adjustRightInd w:val="0"/>
        <w:snapToGrid w:val="0"/>
        <w:spacing w:line="576" w:lineRule="exact"/>
        <w:ind w:firstLine="640" w:firstLineChars="200"/>
        <w:rPr>
          <w:rFonts w:ascii="黑体" w:hAnsi="黑体" w:eastAsia="黑体" w:cs="黑体"/>
          <w:bCs/>
          <w:sz w:val="32"/>
          <w:szCs w:val="32"/>
        </w:rPr>
      </w:pPr>
      <w:r>
        <w:rPr>
          <w:rFonts w:hint="eastAsia" w:ascii="黑体" w:hAnsi="黑体" w:eastAsia="黑体" w:cs="黑体"/>
          <w:bCs/>
          <w:sz w:val="32"/>
          <w:szCs w:val="32"/>
        </w:rPr>
        <w:t>二、项目资金申报及使用情况</w:t>
      </w:r>
    </w:p>
    <w:p>
      <w:pPr>
        <w:widowControl/>
        <w:spacing w:line="576" w:lineRule="exact"/>
        <w:ind w:firstLine="640" w:firstLineChars="200"/>
        <w:outlineLvl w:val="2"/>
        <w:rPr>
          <w:rFonts w:ascii="楷体_GB2312" w:hAnsi="楷体_GB2312" w:eastAsia="楷体_GB2312" w:cs="楷体_GB2312"/>
          <w:bCs/>
          <w:color w:val="000000"/>
          <w:sz w:val="32"/>
          <w:szCs w:val="32"/>
          <w:lang w:val="zh-CN"/>
        </w:rPr>
      </w:pPr>
      <w:bookmarkStart w:id="245" w:name="_Toc114498427"/>
      <w:r>
        <w:rPr>
          <w:rFonts w:hint="eastAsia" w:ascii="楷体_GB2312" w:hAnsi="楷体_GB2312" w:eastAsia="楷体_GB2312" w:cs="楷体_GB2312"/>
          <w:bCs/>
          <w:color w:val="000000"/>
          <w:sz w:val="32"/>
          <w:szCs w:val="32"/>
          <w:lang w:val="zh-CN"/>
        </w:rPr>
        <w:t>（一）项目资金申报及批复情况</w:t>
      </w:r>
      <w:bookmarkEnd w:id="245"/>
    </w:p>
    <w:p>
      <w:pPr>
        <w:widowControl/>
        <w:spacing w:line="576"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按照市财政局预算编制要求，市妇联编制</w:t>
      </w:r>
      <w:r>
        <w:rPr>
          <w:rFonts w:hint="eastAsia" w:ascii="仿宋_GB2312" w:hAnsi="仿宋_GB2312" w:eastAsia="仿宋_GB2312" w:cs="仿宋_GB2312"/>
          <w:sz w:val="32"/>
          <w:szCs w:val="32"/>
        </w:rPr>
        <w:t>2021年度</w:t>
      </w:r>
      <w:r>
        <w:rPr>
          <w:rFonts w:hint="eastAsia" w:ascii="仿宋_GB2312" w:hAnsi="仿宋_GB2312" w:eastAsia="仿宋_GB2312" w:cs="仿宋_GB2312"/>
          <w:sz w:val="32"/>
          <w:szCs w:val="32"/>
          <w:lang w:val="zh-CN"/>
        </w:rPr>
        <w:t>基层妇联执委暨妇联干部培训班</w:t>
      </w:r>
      <w:r>
        <w:rPr>
          <w:rFonts w:hint="eastAsia" w:ascii="仿宋_GB2312" w:hAnsi="仿宋_GB2312" w:eastAsia="仿宋_GB2312" w:cs="仿宋_GB2312"/>
          <w:sz w:val="32"/>
          <w:szCs w:val="32"/>
        </w:rPr>
        <w:t>工作经费预算需求，最终下达批复预算10万元。</w:t>
      </w:r>
    </w:p>
    <w:p>
      <w:pPr>
        <w:widowControl/>
        <w:spacing w:line="576" w:lineRule="exact"/>
        <w:ind w:firstLine="640" w:firstLineChars="200"/>
        <w:outlineLvl w:val="2"/>
        <w:rPr>
          <w:rFonts w:ascii="楷体_GB2312" w:hAnsi="楷体_GB2312" w:eastAsia="楷体_GB2312" w:cs="楷体_GB2312"/>
          <w:bCs/>
          <w:color w:val="000000"/>
          <w:sz w:val="32"/>
          <w:szCs w:val="32"/>
          <w:lang w:val="zh-CN"/>
        </w:rPr>
      </w:pPr>
      <w:bookmarkStart w:id="246" w:name="_Toc114498428"/>
      <w:r>
        <w:rPr>
          <w:rFonts w:hint="eastAsia" w:ascii="楷体_GB2312" w:hAnsi="楷体_GB2312" w:eastAsia="楷体_GB2312" w:cs="楷体_GB2312"/>
          <w:bCs/>
          <w:color w:val="000000"/>
          <w:sz w:val="32"/>
          <w:szCs w:val="32"/>
          <w:lang w:val="zh-CN"/>
        </w:rPr>
        <w:t>（二）资金计划、到位及使用情况</w:t>
      </w:r>
      <w:bookmarkEnd w:id="246"/>
    </w:p>
    <w:p>
      <w:pPr>
        <w:widowControl/>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p>
    <w:p>
      <w:pPr>
        <w:widowControl/>
        <w:spacing w:line="576"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市妇联编制</w:t>
      </w:r>
      <w:r>
        <w:rPr>
          <w:rFonts w:hint="eastAsia" w:ascii="仿宋_GB2312" w:hAnsi="仿宋_GB2312" w:eastAsia="仿宋_GB2312" w:cs="仿宋_GB2312"/>
          <w:sz w:val="32"/>
          <w:szCs w:val="32"/>
        </w:rPr>
        <w:t>2021年度</w:t>
      </w:r>
      <w:r>
        <w:rPr>
          <w:rFonts w:hint="eastAsia" w:ascii="仿宋_GB2312" w:hAnsi="仿宋_GB2312" w:eastAsia="仿宋_GB2312" w:cs="仿宋_GB2312"/>
          <w:sz w:val="32"/>
          <w:szCs w:val="32"/>
          <w:lang w:val="zh-CN"/>
        </w:rPr>
        <w:t>社会活动</w:t>
      </w:r>
      <w:r>
        <w:rPr>
          <w:rFonts w:hint="eastAsia" w:ascii="仿宋_GB2312" w:hAnsi="仿宋_GB2312" w:eastAsia="仿宋_GB2312" w:cs="仿宋_GB2312"/>
          <w:sz w:val="32"/>
          <w:szCs w:val="32"/>
        </w:rPr>
        <w:t>工作经费10万元预算需求。</w:t>
      </w:r>
    </w:p>
    <w:p>
      <w:pPr>
        <w:widowControl/>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．资金到位</w:t>
      </w:r>
    </w:p>
    <w:p>
      <w:pPr>
        <w:pStyle w:val="2"/>
        <w:widowControl/>
        <w:spacing w:beforeLines="0" w:line="576" w:lineRule="exact"/>
        <w:ind w:firstLine="640" w:firstLineChars="200"/>
        <w:rPr>
          <w:rFonts w:hAnsi="仿宋_GB2312" w:cs="仿宋_GB2312"/>
          <w:kern w:val="2"/>
          <w:sz w:val="32"/>
          <w:szCs w:val="32"/>
          <w:lang w:val="zh-CN"/>
        </w:rPr>
      </w:pPr>
      <w:r>
        <w:rPr>
          <w:rFonts w:hint="eastAsia" w:hAnsi="仿宋_GB2312" w:cs="仿宋_GB2312"/>
          <w:kern w:val="2"/>
          <w:sz w:val="32"/>
          <w:szCs w:val="32"/>
        </w:rPr>
        <w:t>市财政局安排2021年度</w:t>
      </w:r>
      <w:r>
        <w:rPr>
          <w:rFonts w:hint="eastAsia" w:hAnsi="仿宋_GB2312" w:cs="仿宋_GB2312"/>
          <w:kern w:val="2"/>
          <w:sz w:val="32"/>
          <w:szCs w:val="32"/>
          <w:lang w:val="zh-CN"/>
        </w:rPr>
        <w:t>社会活动</w:t>
      </w:r>
      <w:r>
        <w:rPr>
          <w:rFonts w:hint="eastAsia" w:hAnsi="仿宋_GB2312" w:cs="仿宋_GB2312"/>
          <w:kern w:val="2"/>
          <w:sz w:val="32"/>
          <w:szCs w:val="32"/>
        </w:rPr>
        <w:t>工作经费10万元，已全部拨款到位。</w:t>
      </w:r>
    </w:p>
    <w:p>
      <w:pPr>
        <w:widowControl/>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．资金使用</w:t>
      </w:r>
    </w:p>
    <w:p>
      <w:pPr>
        <w:widowControl/>
        <w:spacing w:line="576" w:lineRule="exact"/>
        <w:ind w:firstLine="640" w:firstLineChars="200"/>
        <w:textAlignment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2021年度市妇联严格按照社会活动</w:t>
      </w:r>
      <w:r>
        <w:rPr>
          <w:rFonts w:hint="eastAsia" w:ascii="仿宋_GB2312" w:hAnsi="仿宋_GB2312" w:eastAsia="仿宋_GB2312" w:cs="仿宋_GB2312"/>
          <w:sz w:val="32"/>
          <w:szCs w:val="32"/>
        </w:rPr>
        <w:t>工作工作经费</w:t>
      </w:r>
      <w:r>
        <w:rPr>
          <w:rFonts w:hint="eastAsia" w:ascii="仿宋_GB2312" w:hAnsi="仿宋_GB2312" w:eastAsia="仿宋_GB2312" w:cs="仿宋_GB2312"/>
          <w:sz w:val="32"/>
          <w:szCs w:val="32"/>
          <w:lang w:val="zh-CN"/>
        </w:rPr>
        <w:t>项目实施要求，</w:t>
      </w:r>
      <w:r>
        <w:rPr>
          <w:rFonts w:hint="eastAsia" w:ascii="仿宋_GB2312" w:hAnsi="仿宋_GB2312" w:eastAsia="仿宋_GB2312" w:cs="仿宋_GB2312"/>
          <w:sz w:val="32"/>
          <w:szCs w:val="32"/>
        </w:rPr>
        <w:t>开展2021年疫情防控工作，以“中国共产党成立100周年”为主线开展“巾帼心向党”提升行动为统领，群众性宣传教育及巾帼志愿者服务等活动。培训过程中所产生的项目经费10</w:t>
      </w:r>
      <w:r>
        <w:rPr>
          <w:rFonts w:hint="eastAsia" w:ascii="仿宋_GB2312" w:hAnsi="仿宋_GB2312" w:eastAsia="仿宋_GB2312" w:cs="仿宋_GB2312"/>
          <w:sz w:val="32"/>
          <w:szCs w:val="32"/>
          <w:lang w:val="zh-CN"/>
        </w:rPr>
        <w:t>万元。</w:t>
      </w:r>
    </w:p>
    <w:p>
      <w:pPr>
        <w:widowControl/>
        <w:spacing w:line="576" w:lineRule="exact"/>
        <w:ind w:firstLine="640" w:firstLineChars="200"/>
        <w:outlineLvl w:val="2"/>
        <w:rPr>
          <w:rFonts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（三）项目财务管理情况</w:t>
      </w:r>
    </w:p>
    <w:p>
      <w:pPr>
        <w:widowControl/>
        <w:spacing w:line="576" w:lineRule="exact"/>
        <w:ind w:firstLine="640" w:firstLineChars="200"/>
        <w:textAlignment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妇联严格按照《专项资金管理使用制度》要求，加强对基层妇联执委暨妇联干部培训班工作经费的使用管理。在项目资金使用过程中，严格执行财务管理制度，按照专项资金管理办法做好项目实施和监管，财务处理及时，会计核算规范，切实做到专款专用，最大可能发挥专项资金作用。</w:t>
      </w:r>
    </w:p>
    <w:p>
      <w:pPr>
        <w:widowControl/>
        <w:adjustRightInd w:val="0"/>
        <w:snapToGrid w:val="0"/>
        <w:spacing w:line="576" w:lineRule="exact"/>
        <w:ind w:firstLine="640" w:firstLineChars="200"/>
        <w:rPr>
          <w:rFonts w:ascii="黑体" w:hAnsi="黑体" w:eastAsia="黑体" w:cs="黑体"/>
          <w:bCs/>
          <w:sz w:val="32"/>
          <w:szCs w:val="32"/>
        </w:rPr>
      </w:pPr>
      <w:r>
        <w:rPr>
          <w:rFonts w:hint="eastAsia" w:ascii="黑体" w:hAnsi="黑体" w:eastAsia="黑体" w:cs="黑体"/>
          <w:bCs/>
          <w:sz w:val="32"/>
          <w:szCs w:val="32"/>
        </w:rPr>
        <w:t>三、项目实施及管理情况</w:t>
      </w:r>
    </w:p>
    <w:p>
      <w:pPr>
        <w:widowControl/>
        <w:spacing w:line="576" w:lineRule="exact"/>
        <w:ind w:firstLine="640" w:firstLineChars="200"/>
        <w:outlineLvl w:val="2"/>
        <w:rPr>
          <w:rFonts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（一）项目组织架构及实施流程</w:t>
      </w:r>
    </w:p>
    <w:p>
      <w:pPr>
        <w:widowControl/>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在项目实施过程中，制订项目方案并编制项目预算（方案经分管领导同意后党组会研究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——培训中心组织项目实施——项目实施完毕后，进行项目结算并经党组会研究同意后进行支付。</w:t>
      </w:r>
    </w:p>
    <w:p>
      <w:pPr>
        <w:widowControl/>
        <w:spacing w:line="576" w:lineRule="exact"/>
        <w:ind w:firstLine="640" w:firstLineChars="200"/>
        <w:outlineLvl w:val="2"/>
        <w:rPr>
          <w:rFonts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（二）项目管理情况</w:t>
      </w:r>
    </w:p>
    <w:p>
      <w:pPr>
        <w:widowControl/>
        <w:spacing w:line="576" w:lineRule="exact"/>
        <w:ind w:firstLine="640" w:firstLineChars="200"/>
        <w:textAlignment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2021年社会活动工作项目以分管副主席牵头、办公室负责人具体负责实施。</w:t>
      </w:r>
    </w:p>
    <w:p>
      <w:pPr>
        <w:widowControl/>
        <w:spacing w:line="576" w:lineRule="exact"/>
        <w:ind w:firstLine="640" w:firstLineChars="200"/>
        <w:outlineLvl w:val="2"/>
        <w:rPr>
          <w:rFonts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（三）项目监管情况</w:t>
      </w:r>
    </w:p>
    <w:p>
      <w:pPr>
        <w:pStyle w:val="2"/>
        <w:widowControl/>
        <w:spacing w:beforeLines="0" w:line="576" w:lineRule="exact"/>
        <w:ind w:firstLine="640" w:firstLineChars="200"/>
        <w:rPr>
          <w:rFonts w:hAnsi="仿宋_GB2312" w:cs="仿宋_GB2312"/>
          <w:kern w:val="2"/>
          <w:sz w:val="32"/>
          <w:szCs w:val="32"/>
          <w:lang w:val="zh-CN"/>
        </w:rPr>
      </w:pPr>
      <w:r>
        <w:rPr>
          <w:rFonts w:hint="eastAsia" w:hAnsi="仿宋_GB2312" w:cs="仿宋_GB2312"/>
          <w:kern w:val="2"/>
          <w:sz w:val="32"/>
          <w:szCs w:val="32"/>
          <w:lang w:val="zh-CN"/>
        </w:rPr>
        <w:t>市妇联严格按照项目管理有关规定对项目经费进行管理，在支付经费前对项目实施效果进行评估，依据评估结果支付经费。主动接受市纪委监委驻政协纪检组、市委巡察组以及上级主管部门的监督检查，对预算执行实行动态监控，无违纪违法现象。</w:t>
      </w:r>
    </w:p>
    <w:p>
      <w:pPr>
        <w:widowControl/>
        <w:adjustRightInd w:val="0"/>
        <w:snapToGrid w:val="0"/>
        <w:spacing w:line="576" w:lineRule="exact"/>
        <w:ind w:firstLine="640" w:firstLineChars="200"/>
        <w:rPr>
          <w:rFonts w:ascii="黑体" w:hAnsi="黑体" w:eastAsia="黑体" w:cs="黑体"/>
          <w:bCs/>
          <w:sz w:val="32"/>
          <w:szCs w:val="32"/>
        </w:rPr>
      </w:pPr>
      <w:r>
        <w:rPr>
          <w:rFonts w:hint="eastAsia" w:ascii="黑体" w:hAnsi="黑体" w:eastAsia="黑体" w:cs="黑体"/>
          <w:bCs/>
          <w:sz w:val="32"/>
          <w:szCs w:val="32"/>
        </w:rPr>
        <w:t>四、项目绩效情况</w:t>
      </w:r>
      <w:r>
        <w:rPr>
          <w:rFonts w:hint="eastAsia" w:ascii="黑体" w:hAnsi="黑体" w:eastAsia="黑体" w:cs="黑体"/>
          <w:bCs/>
          <w:sz w:val="32"/>
          <w:szCs w:val="32"/>
        </w:rPr>
        <w:tab/>
      </w:r>
    </w:p>
    <w:p>
      <w:pPr>
        <w:widowControl/>
        <w:spacing w:line="576" w:lineRule="exact"/>
        <w:ind w:firstLine="640" w:firstLineChars="200"/>
        <w:outlineLvl w:val="2"/>
        <w:rPr>
          <w:rFonts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（一）项目完成情况</w:t>
      </w:r>
    </w:p>
    <w:p>
      <w:pPr>
        <w:widowControl/>
        <w:spacing w:line="576" w:lineRule="exact"/>
        <w:ind w:firstLine="640" w:firstLineChars="200"/>
        <w:textAlignment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完成2021年疫情防控工作；以“中国共产党成立100周年”为主线开展“巾帼心向党”提升行动为统领，群众性宣传教育及巾帼志愿者服务等活动。</w:t>
      </w:r>
    </w:p>
    <w:p>
      <w:pPr>
        <w:widowControl/>
        <w:spacing w:line="576" w:lineRule="exact"/>
        <w:ind w:firstLine="640" w:firstLineChars="200"/>
        <w:outlineLvl w:val="2"/>
        <w:rPr>
          <w:rFonts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（二）项目效益情况</w:t>
      </w:r>
    </w:p>
    <w:p>
      <w:pPr>
        <w:widowControl/>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做好疫情防控，努力确保人身安全；提升妇女思想认识,团结引领广大妇女群众听党话、跟党走，为经济发展作好妇女儿童稳定工作，综合满意度达80%。</w:t>
      </w:r>
    </w:p>
    <w:p>
      <w:pPr>
        <w:widowControl/>
        <w:adjustRightInd w:val="0"/>
        <w:snapToGrid w:val="0"/>
        <w:spacing w:line="576" w:lineRule="exact"/>
        <w:ind w:firstLine="640" w:firstLineChars="200"/>
        <w:rPr>
          <w:rFonts w:ascii="黑体" w:hAnsi="黑体" w:eastAsia="黑体" w:cs="黑体"/>
          <w:bCs/>
          <w:sz w:val="32"/>
          <w:szCs w:val="32"/>
        </w:rPr>
      </w:pPr>
      <w:r>
        <w:rPr>
          <w:rFonts w:hint="eastAsia" w:ascii="黑体" w:hAnsi="黑体" w:eastAsia="黑体" w:cs="黑体"/>
          <w:bCs/>
          <w:sz w:val="32"/>
          <w:szCs w:val="32"/>
        </w:rPr>
        <w:t>五、评价结论及建议</w:t>
      </w:r>
    </w:p>
    <w:p>
      <w:pPr>
        <w:widowControl/>
        <w:adjustRightInd w:val="0"/>
        <w:snapToGrid w:val="0"/>
        <w:spacing w:line="576" w:lineRule="exact"/>
        <w:ind w:firstLine="640" w:firstLineChars="200"/>
        <w:rPr>
          <w:rFonts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（一）评价结论</w:t>
      </w:r>
    </w:p>
    <w:p>
      <w:pPr>
        <w:widowControl/>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围绕项目数量指标、质量指标、时效指标、成本指标、项目效益和满意指标，结合项目自身特点、目标任务及资金管理办法等要求，我们认为，整个项目目标任务全面完成、资金管理规范，</w:t>
      </w:r>
      <w:r>
        <w:rPr>
          <w:rFonts w:hint="eastAsia" w:ascii="仿宋_GB2312" w:hAnsi="仿宋_GB2312" w:eastAsia="仿宋_GB2312" w:cs="仿宋_GB2312"/>
          <w:sz w:val="32"/>
          <w:szCs w:val="32"/>
        </w:rPr>
        <w:t>普及疫情防控知识，坚定广大妇女信心，引导广大妇女和家庭科学防控，自评得分99分。</w:t>
      </w:r>
    </w:p>
    <w:p>
      <w:pPr>
        <w:widowControl/>
        <w:adjustRightInd w:val="0"/>
        <w:snapToGrid w:val="0"/>
        <w:spacing w:line="576" w:lineRule="exact"/>
        <w:ind w:firstLine="640" w:firstLineChars="200"/>
        <w:rPr>
          <w:rFonts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（二）存在的问题</w:t>
      </w:r>
    </w:p>
    <w:p>
      <w:pPr>
        <w:widowControl/>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widowControl/>
        <w:adjustRightInd w:val="0"/>
        <w:snapToGrid w:val="0"/>
        <w:spacing w:line="576" w:lineRule="exact"/>
        <w:ind w:firstLine="640" w:firstLineChars="200"/>
        <w:rPr>
          <w:rFonts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（三）相关建议</w:t>
      </w:r>
    </w:p>
    <w:p>
      <w:pPr>
        <w:widowControl/>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
      <w:pPr>
        <w:pStyle w:val="2"/>
        <w:spacing w:before="93"/>
      </w:pPr>
    </w:p>
    <w:p/>
    <w:p>
      <w:pPr>
        <w:pStyle w:val="2"/>
        <w:spacing w:before="93"/>
      </w:pPr>
    </w:p>
    <w:p/>
    <w:p>
      <w:pPr>
        <w:pStyle w:val="2"/>
        <w:spacing w:before="93"/>
      </w:pPr>
    </w:p>
    <w:p/>
    <w:p>
      <w:pPr>
        <w:pStyle w:val="2"/>
        <w:spacing w:before="93"/>
      </w:pPr>
    </w:p>
    <w:p/>
    <w:p>
      <w:pPr>
        <w:pStyle w:val="2"/>
        <w:spacing w:beforeLines="0" w:line="576" w:lineRule="exact"/>
        <w:rPr>
          <w:rFonts w:ascii="黑体" w:hAnsi="黑体" w:eastAsia="黑体" w:cs="黑体"/>
          <w:sz w:val="32"/>
          <w:szCs w:val="32"/>
        </w:rPr>
      </w:pPr>
      <w:r>
        <w:rPr>
          <w:rFonts w:hint="eastAsia" w:ascii="黑体" w:hAnsi="黑体" w:eastAsia="黑体" w:cs="黑体"/>
          <w:sz w:val="32"/>
          <w:szCs w:val="32"/>
        </w:rPr>
        <w:t>附表</w:t>
      </w:r>
    </w:p>
    <w:p>
      <w:pPr>
        <w:pStyle w:val="2"/>
        <w:spacing w:beforeLines="50" w:afterLines="50" w:line="576"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2021年部门预算项目绩效目标自评</w:t>
      </w:r>
    </w:p>
    <w:tbl>
      <w:tblPr>
        <w:tblStyle w:val="20"/>
        <w:tblW w:w="9055" w:type="dxa"/>
        <w:jc w:val="center"/>
        <w:tblLayout w:type="fixed"/>
        <w:tblCellMar>
          <w:top w:w="0" w:type="dxa"/>
          <w:left w:w="108" w:type="dxa"/>
          <w:bottom w:w="0" w:type="dxa"/>
          <w:right w:w="108" w:type="dxa"/>
        </w:tblCellMar>
      </w:tblPr>
      <w:tblGrid>
        <w:gridCol w:w="1183"/>
        <w:gridCol w:w="952"/>
        <w:gridCol w:w="1220"/>
        <w:gridCol w:w="1646"/>
        <w:gridCol w:w="1261"/>
        <w:gridCol w:w="2793"/>
      </w:tblGrid>
      <w:tr>
        <w:tblPrEx>
          <w:tblCellMar>
            <w:top w:w="0" w:type="dxa"/>
            <w:left w:w="108" w:type="dxa"/>
            <w:bottom w:w="0" w:type="dxa"/>
            <w:right w:w="108" w:type="dxa"/>
          </w:tblCellMar>
        </w:tblPrEx>
        <w:trPr>
          <w:jc w:val="center"/>
        </w:trPr>
        <w:tc>
          <w:tcPr>
            <w:tcW w:w="2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主管部门及代码</w:t>
            </w:r>
          </w:p>
        </w:tc>
        <w:tc>
          <w:tcPr>
            <w:tcW w:w="2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广元市妇女联合会-354001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实施单位</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广元市妇女联合会</w:t>
            </w:r>
          </w:p>
        </w:tc>
      </w:tr>
      <w:tr>
        <w:tblPrEx>
          <w:tblCellMar>
            <w:top w:w="0" w:type="dxa"/>
            <w:left w:w="108" w:type="dxa"/>
            <w:bottom w:w="0" w:type="dxa"/>
            <w:right w:w="108" w:type="dxa"/>
          </w:tblCellMar>
        </w:tblPrEx>
        <w:trPr>
          <w:jc w:val="center"/>
        </w:trPr>
        <w:tc>
          <w:tcPr>
            <w:tcW w:w="21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项目预算</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执行情况</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（万元）</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预算数：</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执行数：</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10</w:t>
            </w:r>
          </w:p>
          <w:p>
            <w:pPr>
              <w:spacing w:line="320" w:lineRule="exact"/>
              <w:jc w:val="center"/>
              <w:rPr>
                <w:rFonts w:ascii="仿宋_GB2312" w:hAnsi="仿宋_GB2312" w:eastAsia="仿宋_GB2312" w:cs="仿宋_GB2312"/>
                <w:sz w:val="24"/>
              </w:rPr>
            </w:pPr>
          </w:p>
        </w:tc>
      </w:tr>
      <w:tr>
        <w:tblPrEx>
          <w:tblCellMar>
            <w:top w:w="0" w:type="dxa"/>
            <w:left w:w="108" w:type="dxa"/>
            <w:bottom w:w="0" w:type="dxa"/>
            <w:right w:w="108" w:type="dxa"/>
          </w:tblCellMar>
        </w:tblPrEx>
        <w:trPr>
          <w:jc w:val="center"/>
        </w:trPr>
        <w:tc>
          <w:tcPr>
            <w:tcW w:w="21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其中：</w:t>
            </w:r>
          </w:p>
          <w:p>
            <w:pPr>
              <w:widowControl/>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财政拨款</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其中：</w:t>
            </w:r>
          </w:p>
          <w:p>
            <w:pPr>
              <w:widowControl/>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财政拨款</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10</w:t>
            </w:r>
          </w:p>
        </w:tc>
      </w:tr>
      <w:tr>
        <w:trPr>
          <w:jc w:val="center"/>
        </w:trPr>
        <w:tc>
          <w:tcPr>
            <w:tcW w:w="21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其他资金</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其他资金</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CellMar>
            <w:top w:w="0" w:type="dxa"/>
            <w:left w:w="108" w:type="dxa"/>
            <w:bottom w:w="0" w:type="dxa"/>
            <w:right w:w="108" w:type="dxa"/>
          </w:tblCellMar>
        </w:tblPrEx>
        <w:trPr>
          <w:jc w:val="center"/>
        </w:trPr>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年度总体目标完成情况</w:t>
            </w:r>
          </w:p>
        </w:tc>
        <w:tc>
          <w:tcPr>
            <w:tcW w:w="38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预期目标</w:t>
            </w:r>
          </w:p>
        </w:tc>
        <w:tc>
          <w:tcPr>
            <w:tcW w:w="4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目标实际完成情况</w:t>
            </w:r>
          </w:p>
        </w:tc>
      </w:tr>
      <w:tr>
        <w:tblPrEx>
          <w:tblCellMar>
            <w:top w:w="0" w:type="dxa"/>
            <w:left w:w="108" w:type="dxa"/>
            <w:bottom w:w="0" w:type="dxa"/>
            <w:right w:w="108" w:type="dxa"/>
          </w:tblCellMar>
        </w:tblPrEx>
        <w:trPr>
          <w:jc w:val="center"/>
        </w:trPr>
        <w:tc>
          <w:tcPr>
            <w:tcW w:w="11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3818" w:type="dxa"/>
            <w:gridSpan w:val="3"/>
            <w:tcBorders>
              <w:top w:val="single" w:color="000000" w:sz="4" w:space="0"/>
              <w:left w:val="single" w:color="000000" w:sz="4" w:space="0"/>
              <w:bottom w:val="single" w:color="auto" w:sz="4" w:space="0"/>
              <w:right w:val="single" w:color="000000" w:sz="4" w:space="0"/>
            </w:tcBorders>
            <w:shd w:val="clear" w:color="auto" w:fill="auto"/>
          </w:tcPr>
          <w:p>
            <w:pPr>
              <w:widowControl/>
              <w:spacing w:line="320" w:lineRule="exact"/>
              <w:jc w:val="left"/>
              <w:textAlignment w:val="top"/>
              <w:rPr>
                <w:rFonts w:ascii="仿宋_GB2312" w:hAnsi="仿宋_GB2312" w:eastAsia="仿宋_GB2312" w:cs="仿宋_GB2312"/>
                <w:sz w:val="24"/>
              </w:rPr>
            </w:pPr>
            <w:r>
              <w:rPr>
                <w:rFonts w:hint="eastAsia" w:ascii="仿宋_GB2312" w:hAnsi="仿宋_GB2312" w:eastAsia="仿宋_GB2312" w:cs="仿宋_GB2312"/>
                <w:sz w:val="24"/>
              </w:rPr>
              <w:t>科学有序开展疫情防控工作，进一步发挥广大妇女、巾帼志愿者在疫情防控各项工作措施；以“中国共产党成立100周年”为主线，开展线上线下群众性宣传教育及巾帼志愿者服务等活动。</w:t>
            </w:r>
          </w:p>
        </w:tc>
        <w:tc>
          <w:tcPr>
            <w:tcW w:w="4054" w:type="dxa"/>
            <w:gridSpan w:val="2"/>
            <w:tcBorders>
              <w:top w:val="single" w:color="000000" w:sz="4" w:space="0"/>
              <w:left w:val="single" w:color="000000" w:sz="4" w:space="0"/>
              <w:bottom w:val="single" w:color="auto" w:sz="4" w:space="0"/>
              <w:right w:val="single" w:color="000000" w:sz="4" w:space="0"/>
            </w:tcBorders>
            <w:shd w:val="clear" w:color="auto" w:fill="auto"/>
          </w:tcPr>
          <w:p>
            <w:pPr>
              <w:widowControl/>
              <w:spacing w:line="320" w:lineRule="exact"/>
              <w:jc w:val="left"/>
              <w:textAlignment w:val="top"/>
              <w:rPr>
                <w:rFonts w:ascii="仿宋_GB2312" w:hAnsi="仿宋_GB2312" w:eastAsia="仿宋_GB2312" w:cs="仿宋_GB2312"/>
                <w:sz w:val="24"/>
              </w:rPr>
            </w:pPr>
            <w:r>
              <w:rPr>
                <w:rFonts w:hint="eastAsia" w:ascii="仿宋_GB2312" w:hAnsi="仿宋_GB2312" w:eastAsia="仿宋_GB2312" w:cs="仿宋_GB2312"/>
                <w:sz w:val="24"/>
              </w:rPr>
              <w:t>科学有序开展疫情防控工作，进一步发挥广大妇女、巾帼志愿者在疫情防控各项工作措施；以“中国共产党成立100周年”为主线，开展线上线下群众性宣传教育及巾帼志愿者服务等活动。</w:t>
            </w:r>
          </w:p>
        </w:tc>
      </w:tr>
      <w:tr>
        <w:tblPrEx>
          <w:tblCellMar>
            <w:top w:w="0" w:type="dxa"/>
            <w:left w:w="108" w:type="dxa"/>
            <w:bottom w:w="0" w:type="dxa"/>
            <w:right w:w="108" w:type="dxa"/>
          </w:tblCellMar>
        </w:tblPrEx>
        <w:trPr>
          <w:jc w:val="center"/>
        </w:trPr>
        <w:tc>
          <w:tcPr>
            <w:tcW w:w="11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年度绩效指标完成情况</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一级</w:t>
            </w:r>
          </w:p>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二级</w:t>
            </w:r>
          </w:p>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三级</w:t>
            </w:r>
          </w:p>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预期</w:t>
            </w:r>
          </w:p>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指标值</w:t>
            </w:r>
          </w:p>
        </w:tc>
        <w:tc>
          <w:tcPr>
            <w:tcW w:w="27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实际完成指标值</w:t>
            </w:r>
          </w:p>
        </w:tc>
      </w:tr>
      <w:tr>
        <w:trPr>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完成</w:t>
            </w:r>
          </w:p>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数量指标</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指标1：持续开展疫情防控工作；面向广大妇女群众及家庭广泛宣传疫情防控的科学方法和健康生活方式，宣传疫情发展的最新动态；以“巾帼心向党”提升行动为统领，深入开展群众性宣传教育及巾帼志愿者服务等活动。</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完成2021年疫情防控工作；以“中国共产党成立100周年”为主线开展“巾帼心向党”提升行动为统领，群众性宣传教育及巾帼志愿者服务等活动。</w:t>
            </w:r>
          </w:p>
        </w:tc>
        <w:tc>
          <w:tcPr>
            <w:tcW w:w="2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在三八节、5.15家庭日、女儿节三大重要节点期间，分层分类推出“巾帼心向党”“家庭心向党”“少年儿童心向党”“巾帼大学习”系列品牌。结合党史学习教育，开展“五学”“五讲”“我为妇女群众办10件实事”实践活动，开展评选100名三八红旗手（集体），推介100名党的好女儿，组织各界妇女、妇联系统学习宣传贯彻市第八次党代会精神千人大培训等巾帼大宣讲活动220余场次，重点慰问100名困境妇女儿童的“四个一百”活动。</w:t>
            </w:r>
          </w:p>
        </w:tc>
      </w:tr>
      <w:tr>
        <w:tblPrEx>
          <w:tblCellMar>
            <w:top w:w="0" w:type="dxa"/>
            <w:left w:w="108" w:type="dxa"/>
            <w:bottom w:w="0" w:type="dxa"/>
            <w:right w:w="108" w:type="dxa"/>
          </w:tblCellMar>
        </w:tblPrEx>
        <w:trPr>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质量指标</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指标1：常态化开展疫情防控，加强正面引导，帮助广大妇女群众及家庭成员提高防范意识、了解防控知识；通过巾帼志愿者服务活动引领广大妇女听党话跟党走。</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普及疫情防控知识，坚定广大妇女信心，引导广大妇女和家庭科学防控。</w:t>
            </w:r>
          </w:p>
        </w:tc>
        <w:tc>
          <w:tcPr>
            <w:tcW w:w="2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开展疫情防控，加强正面引导，帮助广大妇女群众及家庭成员提高防范意识、了解防控知识；通过巾帼志愿者服务活动引领广大妇女听党话跟党走。</w:t>
            </w:r>
          </w:p>
        </w:tc>
      </w:tr>
      <w:tr>
        <w:tblPrEx>
          <w:tblCellMar>
            <w:top w:w="0" w:type="dxa"/>
            <w:left w:w="108" w:type="dxa"/>
            <w:bottom w:w="0" w:type="dxa"/>
            <w:right w:w="108" w:type="dxa"/>
          </w:tblCellMar>
        </w:tblPrEx>
        <w:trPr>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时效指标</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指标1：2021年12月31日前</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2021年12月31日前</w:t>
            </w:r>
          </w:p>
        </w:tc>
        <w:tc>
          <w:tcPr>
            <w:tcW w:w="2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2021年12月31日前</w:t>
            </w:r>
          </w:p>
        </w:tc>
      </w:tr>
      <w:tr>
        <w:tblPrEx>
          <w:tblCellMar>
            <w:top w:w="0" w:type="dxa"/>
            <w:left w:w="108" w:type="dxa"/>
            <w:bottom w:w="0" w:type="dxa"/>
            <w:right w:w="108" w:type="dxa"/>
          </w:tblCellMar>
        </w:tblPrEx>
        <w:trPr>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成本指标</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指标1：疫情防控各项费用；群众性宣传教育及巾帼志愿者服务等活动费用。</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疫情防控各项费用；群众性宣传教育及巾帼志愿者服务等活动费用。</w:t>
            </w:r>
          </w:p>
        </w:tc>
        <w:tc>
          <w:tcPr>
            <w:tcW w:w="2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疫情防控各项费用；群众性宣传教育及巾帼志愿者服务等活动费用。</w:t>
            </w:r>
          </w:p>
        </w:tc>
      </w:tr>
      <w:tr>
        <w:trPr>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效益</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指标</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经济效益  指标</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指标1：做好疫情防控，努力确保人身安全；提升妇女思想认识,团结引领广大妇女群众听党话、跟党走，为经济发展作好妇女儿童稳定工作。</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做好疫情防控，努力确保人身安全；提升妇女思想认识,团结引领广大妇女群众听党话、跟党走，为经济发展作好妇女儿童稳定工作。</w:t>
            </w:r>
          </w:p>
        </w:tc>
        <w:tc>
          <w:tcPr>
            <w:tcW w:w="2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做好疫情防控，努力确保人身安全；提升妇女思想认识,团结引领广大妇女群众听党话、跟党走，为经济发展作好妇女儿童稳定工作。</w:t>
            </w:r>
          </w:p>
        </w:tc>
      </w:tr>
      <w:tr>
        <w:tblPrEx>
          <w:tblCellMar>
            <w:top w:w="0" w:type="dxa"/>
            <w:left w:w="108" w:type="dxa"/>
            <w:bottom w:w="0" w:type="dxa"/>
            <w:right w:w="108" w:type="dxa"/>
          </w:tblCellMar>
        </w:tblPrEx>
        <w:trPr>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社会效益  指标</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指标1：做好疫情防控，努力确保人身安全；提升妇女思想认识,团结引领广大妇女群众听党话、跟党走，为经济发展作好妇女儿童稳定工作。</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做好疫情防控，努力确保人身安全；提升妇女思想认识,团结引领广大妇女群众听党话、跟党走，为经济发展作好妇女儿童稳定工作。</w:t>
            </w:r>
          </w:p>
        </w:tc>
        <w:tc>
          <w:tcPr>
            <w:tcW w:w="2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做好疫情防控，努力确保人身安全；提升妇女思想认识,团结引领广大妇女群众听党话、跟党走，为经济发展作好妇女儿童稳定工作。</w:t>
            </w:r>
          </w:p>
        </w:tc>
      </w:tr>
      <w:tr>
        <w:tblPrEx>
          <w:tblCellMar>
            <w:top w:w="0" w:type="dxa"/>
            <w:left w:w="108" w:type="dxa"/>
            <w:bottom w:w="0" w:type="dxa"/>
            <w:right w:w="108" w:type="dxa"/>
          </w:tblCellMar>
        </w:tblPrEx>
        <w:trPr>
          <w:jc w:val="center"/>
        </w:trPr>
        <w:tc>
          <w:tcPr>
            <w:tcW w:w="1183" w:type="dxa"/>
            <w:vMerge w:val="continue"/>
            <w:tcBorders>
              <w:top w:val="single" w:color="auto" w:sz="4" w:space="0"/>
              <w:left w:val="single" w:color="auto"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95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122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可持续影响 指标</w:t>
            </w:r>
          </w:p>
        </w:tc>
        <w:tc>
          <w:tcPr>
            <w:tcW w:w="1646"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指标1：做好疫情防控，努力确保人身安全；提升妇女思想认识,团结引领广大妇女群众听党话、跟党走，为经济发展作好妇女儿童稳定工作。</w:t>
            </w:r>
          </w:p>
        </w:tc>
        <w:tc>
          <w:tcPr>
            <w:tcW w:w="1261"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做好疫情防控，努力确保人身安全；提升妇女思想认识,团结引领广大妇女群众听党话、跟党走，为经济发展作好妇女儿童稳定工作。</w:t>
            </w:r>
          </w:p>
        </w:tc>
        <w:tc>
          <w:tcPr>
            <w:tcW w:w="2793"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做好疫情防控，努力确保人身安全；提升妇女思想认识,团结引领广大妇女群众听党话、跟党走，为经济发展作好妇女儿童稳定工作。</w:t>
            </w:r>
          </w:p>
        </w:tc>
      </w:tr>
      <w:tr>
        <w:tblPrEx>
          <w:tblCellMar>
            <w:top w:w="0" w:type="dxa"/>
            <w:left w:w="108" w:type="dxa"/>
            <w:bottom w:w="0" w:type="dxa"/>
            <w:right w:w="108" w:type="dxa"/>
          </w:tblCellMar>
        </w:tblPrEx>
        <w:trPr>
          <w:jc w:val="center"/>
        </w:trPr>
        <w:tc>
          <w:tcPr>
            <w:tcW w:w="1183" w:type="dxa"/>
            <w:vMerge w:val="continue"/>
            <w:tcBorders>
              <w:left w:val="single" w:color="auto"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满意</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度指标</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满意度</w:t>
            </w:r>
          </w:p>
          <w:p>
            <w:pPr>
              <w:widowControl/>
              <w:spacing w:line="3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指标1：达到政府考核要求，不满意、一般、满意、非常满意4个满意度指标。通过对所服务对象征询意见，征询项目在服务方式、服务手段、实施成效等满意度进行调查。</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达到政府考核要求，满意以上指标达95%以上。</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达到政府考核要求，满意以上指标达98%以上。</w:t>
            </w:r>
          </w:p>
        </w:tc>
      </w:tr>
    </w:tbl>
    <w:p>
      <w:pPr>
        <w:spacing w:beforeLines="50" w:afterLines="50" w:line="576" w:lineRule="exact"/>
        <w:jc w:val="center"/>
        <w:outlineLvl w:val="0"/>
        <w:rPr>
          <w:rStyle w:val="32"/>
          <w:rFonts w:ascii="方正小标宋简体" w:hAnsi="方正小标宋简体" w:eastAsia="方正小标宋简体" w:cs="方正小标宋简体"/>
          <w:b w:val="0"/>
          <w:sz w:val="32"/>
          <w:szCs w:val="32"/>
        </w:rPr>
      </w:pPr>
      <w:bookmarkStart w:id="247" w:name="_Toc10072"/>
      <w:bookmarkStart w:id="248" w:name="_Toc114498429"/>
      <w:bookmarkStart w:id="249" w:name="_Toc26843"/>
      <w:r>
        <w:rPr>
          <w:rStyle w:val="32"/>
          <w:rFonts w:hint="eastAsia" w:ascii="方正小标宋简体" w:hAnsi="方正小标宋简体" w:eastAsia="方正小标宋简体" w:cs="方正小标宋简体"/>
          <w:b w:val="0"/>
          <w:sz w:val="32"/>
          <w:szCs w:val="32"/>
        </w:rPr>
        <w:t>第五部分  附  表</w:t>
      </w:r>
      <w:bookmarkEnd w:id="142"/>
      <w:bookmarkEnd w:id="200"/>
      <w:bookmarkEnd w:id="247"/>
      <w:bookmarkEnd w:id="248"/>
      <w:bookmarkEnd w:id="249"/>
      <w:bookmarkStart w:id="250" w:name="_Toc15396619"/>
      <w:bookmarkStart w:id="251" w:name="_Toc114498430"/>
      <w:bookmarkStart w:id="252" w:name="_Toc2063"/>
    </w:p>
    <w:p>
      <w:pPr>
        <w:spacing w:line="576" w:lineRule="exact"/>
        <w:ind w:firstLine="640" w:firstLineChars="200"/>
        <w:outlineLvl w:val="0"/>
        <w:rPr>
          <w:rStyle w:val="33"/>
          <w:rFonts w:ascii="仿宋_GB2312" w:hAnsi="仿宋_GB2312" w:eastAsia="仿宋_GB2312" w:cs="仿宋_GB2312"/>
          <w:b w:val="0"/>
          <w:bCs w:val="0"/>
        </w:rPr>
      </w:pPr>
      <w:bookmarkStart w:id="253" w:name="_Toc30138"/>
      <w:r>
        <w:rPr>
          <w:rFonts w:hint="eastAsia" w:ascii="仿宋_GB2312" w:hAnsi="仿宋_GB2312" w:eastAsia="仿宋_GB2312" w:cs="仿宋_GB2312"/>
          <w:sz w:val="32"/>
          <w:szCs w:val="32"/>
        </w:rPr>
        <w:t>一、收</w:t>
      </w:r>
      <w:r>
        <w:rPr>
          <w:rStyle w:val="33"/>
          <w:rFonts w:hint="eastAsia" w:ascii="仿宋_GB2312" w:hAnsi="仿宋_GB2312" w:eastAsia="仿宋_GB2312" w:cs="仿宋_GB2312"/>
          <w:b w:val="0"/>
          <w:bCs w:val="0"/>
        </w:rPr>
        <w:t>入支出决算总表</w:t>
      </w:r>
      <w:bookmarkEnd w:id="250"/>
      <w:bookmarkEnd w:id="251"/>
      <w:bookmarkEnd w:id="252"/>
      <w:bookmarkEnd w:id="253"/>
      <w:bookmarkStart w:id="254" w:name="_Toc16670"/>
      <w:bookmarkStart w:id="255" w:name="_Toc15396620"/>
      <w:bookmarkStart w:id="256" w:name="_Toc114498431"/>
    </w:p>
    <w:p>
      <w:pPr>
        <w:spacing w:line="576" w:lineRule="exact"/>
        <w:ind w:firstLine="640" w:firstLineChars="200"/>
        <w:outlineLvl w:val="0"/>
        <w:rPr>
          <w:rFonts w:ascii="仿宋_GB2312" w:hAnsi="仿宋_GB2312" w:eastAsia="仿宋_GB2312" w:cs="仿宋_GB2312"/>
          <w:sz w:val="32"/>
          <w:szCs w:val="32"/>
        </w:rPr>
      </w:pPr>
      <w:bookmarkStart w:id="257" w:name="_Toc7910"/>
      <w:r>
        <w:rPr>
          <w:rFonts w:hint="eastAsia" w:ascii="仿宋_GB2312" w:hAnsi="仿宋_GB2312" w:eastAsia="仿宋_GB2312" w:cs="仿宋_GB2312"/>
          <w:sz w:val="32"/>
          <w:szCs w:val="32"/>
        </w:rPr>
        <w:t>二、收</w:t>
      </w:r>
      <w:r>
        <w:rPr>
          <w:rStyle w:val="33"/>
          <w:rFonts w:hint="eastAsia" w:ascii="仿宋_GB2312" w:hAnsi="仿宋_GB2312" w:eastAsia="仿宋_GB2312" w:cs="仿宋_GB2312"/>
          <w:b w:val="0"/>
          <w:bCs w:val="0"/>
        </w:rPr>
        <w:t>入决算表</w:t>
      </w:r>
      <w:bookmarkEnd w:id="254"/>
      <w:bookmarkEnd w:id="255"/>
      <w:bookmarkEnd w:id="256"/>
      <w:bookmarkEnd w:id="257"/>
    </w:p>
    <w:p>
      <w:pPr>
        <w:pStyle w:val="4"/>
        <w:spacing w:before="0" w:after="0" w:line="576" w:lineRule="exact"/>
        <w:ind w:firstLine="640" w:firstLineChars="200"/>
        <w:rPr>
          <w:rFonts w:ascii="仿宋_GB2312" w:hAnsi="仿宋_GB2312" w:eastAsia="仿宋_GB2312" w:cs="仿宋_GB2312"/>
        </w:rPr>
      </w:pPr>
      <w:bookmarkStart w:id="258" w:name="_Toc114498432"/>
      <w:bookmarkStart w:id="259" w:name="_Toc15396621"/>
      <w:bookmarkStart w:id="260" w:name="_Toc13211"/>
      <w:bookmarkStart w:id="261" w:name="_Toc32603"/>
      <w:r>
        <w:rPr>
          <w:rStyle w:val="33"/>
          <w:rFonts w:hint="eastAsia" w:ascii="仿宋_GB2312" w:hAnsi="仿宋_GB2312" w:eastAsia="仿宋_GB2312" w:cs="仿宋_GB2312"/>
          <w:b w:val="0"/>
          <w:bCs w:val="0"/>
        </w:rPr>
        <w:t>三、</w:t>
      </w:r>
      <w:r>
        <w:rPr>
          <w:rFonts w:hint="eastAsia" w:ascii="仿宋_GB2312" w:hAnsi="仿宋_GB2312" w:eastAsia="仿宋_GB2312" w:cs="仿宋_GB2312"/>
          <w:b w:val="0"/>
        </w:rPr>
        <w:t>支</w:t>
      </w:r>
      <w:r>
        <w:rPr>
          <w:rStyle w:val="33"/>
          <w:rFonts w:hint="eastAsia" w:ascii="仿宋_GB2312" w:hAnsi="仿宋_GB2312" w:eastAsia="仿宋_GB2312" w:cs="仿宋_GB2312"/>
          <w:b w:val="0"/>
          <w:bCs w:val="0"/>
        </w:rPr>
        <w:t>出决算表</w:t>
      </w:r>
      <w:bookmarkEnd w:id="258"/>
      <w:bookmarkEnd w:id="259"/>
      <w:bookmarkEnd w:id="260"/>
      <w:bookmarkEnd w:id="261"/>
    </w:p>
    <w:p>
      <w:pPr>
        <w:pStyle w:val="4"/>
        <w:spacing w:before="0" w:after="0" w:line="576" w:lineRule="exact"/>
        <w:ind w:firstLine="640" w:firstLineChars="200"/>
        <w:rPr>
          <w:rFonts w:ascii="仿宋_GB2312" w:hAnsi="仿宋_GB2312" w:eastAsia="仿宋_GB2312" w:cs="仿宋_GB2312"/>
          <w:b w:val="0"/>
        </w:rPr>
      </w:pPr>
      <w:bookmarkStart w:id="262" w:name="_Toc114498433"/>
      <w:bookmarkStart w:id="263" w:name="_Toc7702"/>
      <w:bookmarkStart w:id="264" w:name="_Toc16186"/>
      <w:bookmarkStart w:id="265" w:name="_Toc15396622"/>
      <w:r>
        <w:rPr>
          <w:rStyle w:val="33"/>
          <w:rFonts w:hint="eastAsia" w:ascii="仿宋_GB2312" w:hAnsi="仿宋_GB2312" w:eastAsia="仿宋_GB2312" w:cs="仿宋_GB2312"/>
          <w:b w:val="0"/>
          <w:bCs w:val="0"/>
        </w:rPr>
        <w:t>四、</w:t>
      </w:r>
      <w:r>
        <w:rPr>
          <w:rFonts w:hint="eastAsia" w:ascii="仿宋_GB2312" w:hAnsi="仿宋_GB2312" w:eastAsia="仿宋_GB2312" w:cs="仿宋_GB2312"/>
          <w:b w:val="0"/>
        </w:rPr>
        <w:t>财</w:t>
      </w:r>
      <w:r>
        <w:rPr>
          <w:rStyle w:val="33"/>
          <w:rFonts w:hint="eastAsia" w:ascii="仿宋_GB2312" w:hAnsi="仿宋_GB2312" w:eastAsia="仿宋_GB2312" w:cs="仿宋_GB2312"/>
          <w:b w:val="0"/>
          <w:bCs w:val="0"/>
        </w:rPr>
        <w:t>政拨款收入支出决算总表</w:t>
      </w:r>
      <w:bookmarkEnd w:id="262"/>
      <w:bookmarkEnd w:id="263"/>
      <w:bookmarkEnd w:id="264"/>
      <w:bookmarkEnd w:id="265"/>
    </w:p>
    <w:p>
      <w:pPr>
        <w:pStyle w:val="4"/>
        <w:spacing w:before="0" w:after="0" w:line="576" w:lineRule="exact"/>
        <w:ind w:firstLine="640" w:firstLineChars="200"/>
        <w:rPr>
          <w:rStyle w:val="33"/>
          <w:rFonts w:ascii="仿宋_GB2312" w:hAnsi="仿宋_GB2312" w:eastAsia="仿宋_GB2312" w:cs="仿宋_GB2312"/>
          <w:b w:val="0"/>
          <w:bCs w:val="0"/>
        </w:rPr>
      </w:pPr>
      <w:bookmarkStart w:id="266" w:name="_Toc2046"/>
      <w:bookmarkStart w:id="267" w:name="_Toc15447"/>
      <w:bookmarkStart w:id="268" w:name="_Toc114498434"/>
      <w:bookmarkStart w:id="269" w:name="_Toc15396623"/>
      <w:r>
        <w:rPr>
          <w:rStyle w:val="33"/>
          <w:rFonts w:hint="eastAsia" w:ascii="仿宋_GB2312" w:hAnsi="仿宋_GB2312" w:eastAsia="仿宋_GB2312" w:cs="仿宋_GB2312"/>
          <w:b w:val="0"/>
          <w:bCs w:val="0"/>
        </w:rPr>
        <w:t>五、</w:t>
      </w:r>
      <w:r>
        <w:rPr>
          <w:rFonts w:hint="eastAsia" w:ascii="仿宋_GB2312" w:hAnsi="仿宋_GB2312" w:eastAsia="仿宋_GB2312" w:cs="仿宋_GB2312"/>
          <w:b w:val="0"/>
        </w:rPr>
        <w:t>财</w:t>
      </w:r>
      <w:r>
        <w:rPr>
          <w:rStyle w:val="33"/>
          <w:rFonts w:hint="eastAsia" w:ascii="仿宋_GB2312" w:hAnsi="仿宋_GB2312" w:eastAsia="仿宋_GB2312" w:cs="仿宋_GB2312"/>
          <w:b w:val="0"/>
          <w:bCs w:val="0"/>
        </w:rPr>
        <w:t>政拨款支出决算明细表</w:t>
      </w:r>
      <w:bookmarkEnd w:id="266"/>
      <w:bookmarkEnd w:id="267"/>
      <w:bookmarkEnd w:id="268"/>
      <w:bookmarkEnd w:id="269"/>
      <w:bookmarkStart w:id="270" w:name="_Toc15396624"/>
    </w:p>
    <w:p>
      <w:pPr>
        <w:pStyle w:val="4"/>
        <w:spacing w:before="0" w:after="0" w:line="576" w:lineRule="exact"/>
        <w:ind w:firstLine="640" w:firstLineChars="200"/>
        <w:rPr>
          <w:rFonts w:ascii="仿宋_GB2312" w:hAnsi="仿宋_GB2312" w:eastAsia="仿宋_GB2312" w:cs="仿宋_GB2312"/>
        </w:rPr>
      </w:pPr>
      <w:bookmarkStart w:id="271" w:name="_Toc11654"/>
      <w:bookmarkStart w:id="272" w:name="_Toc16554"/>
      <w:bookmarkStart w:id="273" w:name="_Toc114498435"/>
      <w:r>
        <w:rPr>
          <w:rStyle w:val="33"/>
          <w:rFonts w:hint="eastAsia" w:ascii="仿宋_GB2312" w:hAnsi="仿宋_GB2312" w:eastAsia="仿宋_GB2312" w:cs="仿宋_GB2312"/>
          <w:b w:val="0"/>
          <w:bCs w:val="0"/>
        </w:rPr>
        <w:t>六、</w:t>
      </w:r>
      <w:r>
        <w:rPr>
          <w:rFonts w:hint="eastAsia" w:ascii="仿宋_GB2312" w:hAnsi="仿宋_GB2312" w:eastAsia="仿宋_GB2312" w:cs="仿宋_GB2312"/>
          <w:b w:val="0"/>
        </w:rPr>
        <w:t>一</w:t>
      </w:r>
      <w:r>
        <w:rPr>
          <w:rStyle w:val="33"/>
          <w:rFonts w:hint="eastAsia" w:ascii="仿宋_GB2312" w:hAnsi="仿宋_GB2312" w:eastAsia="仿宋_GB2312" w:cs="仿宋_GB2312"/>
          <w:b w:val="0"/>
          <w:bCs w:val="0"/>
        </w:rPr>
        <w:t>般公共预算财政拨款支出决算表</w:t>
      </w:r>
      <w:bookmarkEnd w:id="270"/>
      <w:bookmarkEnd w:id="271"/>
      <w:bookmarkEnd w:id="272"/>
      <w:bookmarkEnd w:id="273"/>
    </w:p>
    <w:p>
      <w:pPr>
        <w:pStyle w:val="4"/>
        <w:spacing w:before="0" w:after="0" w:line="576" w:lineRule="exact"/>
        <w:ind w:firstLine="640" w:firstLineChars="200"/>
        <w:rPr>
          <w:rFonts w:ascii="仿宋_GB2312" w:hAnsi="仿宋_GB2312" w:eastAsia="仿宋_GB2312" w:cs="仿宋_GB2312"/>
        </w:rPr>
      </w:pPr>
      <w:bookmarkStart w:id="274" w:name="_Toc114498436"/>
      <w:bookmarkStart w:id="275" w:name="_Toc15396625"/>
      <w:bookmarkStart w:id="276" w:name="_Toc1104"/>
      <w:bookmarkStart w:id="277" w:name="_Toc7215"/>
      <w:r>
        <w:rPr>
          <w:rStyle w:val="33"/>
          <w:rFonts w:hint="eastAsia" w:ascii="仿宋_GB2312" w:hAnsi="仿宋_GB2312" w:eastAsia="仿宋_GB2312" w:cs="仿宋_GB2312"/>
          <w:b w:val="0"/>
          <w:bCs w:val="0"/>
        </w:rPr>
        <w:t>七、</w:t>
      </w:r>
      <w:r>
        <w:rPr>
          <w:rFonts w:hint="eastAsia" w:ascii="仿宋_GB2312" w:hAnsi="仿宋_GB2312" w:eastAsia="仿宋_GB2312" w:cs="仿宋_GB2312"/>
          <w:b w:val="0"/>
        </w:rPr>
        <w:t>一</w:t>
      </w:r>
      <w:r>
        <w:rPr>
          <w:rStyle w:val="33"/>
          <w:rFonts w:hint="eastAsia" w:ascii="仿宋_GB2312" w:hAnsi="仿宋_GB2312" w:eastAsia="仿宋_GB2312" w:cs="仿宋_GB2312"/>
          <w:b w:val="0"/>
          <w:bCs w:val="0"/>
        </w:rPr>
        <w:t>般公共预算财政拨款支出决算明细表</w:t>
      </w:r>
      <w:bookmarkEnd w:id="274"/>
      <w:bookmarkEnd w:id="275"/>
      <w:bookmarkEnd w:id="276"/>
      <w:bookmarkEnd w:id="277"/>
    </w:p>
    <w:p>
      <w:pPr>
        <w:pStyle w:val="4"/>
        <w:spacing w:before="0" w:after="0" w:line="576" w:lineRule="exact"/>
        <w:ind w:firstLine="640" w:firstLineChars="200"/>
        <w:rPr>
          <w:rFonts w:ascii="仿宋_GB2312" w:hAnsi="仿宋_GB2312" w:eastAsia="仿宋_GB2312" w:cs="仿宋_GB2312"/>
        </w:rPr>
      </w:pPr>
      <w:bookmarkStart w:id="278" w:name="_Toc32502"/>
      <w:bookmarkStart w:id="279" w:name="_Toc5405"/>
      <w:bookmarkStart w:id="280" w:name="_Toc114498437"/>
      <w:bookmarkStart w:id="281" w:name="_Toc15396626"/>
      <w:r>
        <w:rPr>
          <w:rStyle w:val="33"/>
          <w:rFonts w:hint="eastAsia" w:ascii="仿宋_GB2312" w:hAnsi="仿宋_GB2312" w:eastAsia="仿宋_GB2312" w:cs="仿宋_GB2312"/>
          <w:b w:val="0"/>
          <w:bCs w:val="0"/>
        </w:rPr>
        <w:t>八、</w:t>
      </w:r>
      <w:r>
        <w:rPr>
          <w:rFonts w:hint="eastAsia" w:ascii="仿宋_GB2312" w:hAnsi="仿宋_GB2312" w:eastAsia="仿宋_GB2312" w:cs="仿宋_GB2312"/>
          <w:b w:val="0"/>
        </w:rPr>
        <w:t>一</w:t>
      </w:r>
      <w:r>
        <w:rPr>
          <w:rStyle w:val="33"/>
          <w:rFonts w:hint="eastAsia" w:ascii="仿宋_GB2312" w:hAnsi="仿宋_GB2312" w:eastAsia="仿宋_GB2312" w:cs="仿宋_GB2312"/>
          <w:b w:val="0"/>
          <w:bCs w:val="0"/>
        </w:rPr>
        <w:t>般公共预算财政拨款基本支出决算表</w:t>
      </w:r>
      <w:bookmarkEnd w:id="278"/>
      <w:bookmarkEnd w:id="279"/>
      <w:bookmarkEnd w:id="280"/>
      <w:bookmarkEnd w:id="281"/>
    </w:p>
    <w:p>
      <w:pPr>
        <w:pStyle w:val="4"/>
        <w:spacing w:before="0" w:after="0" w:line="576" w:lineRule="exact"/>
        <w:ind w:firstLine="640" w:firstLineChars="200"/>
        <w:rPr>
          <w:rFonts w:ascii="仿宋_GB2312" w:hAnsi="仿宋_GB2312" w:eastAsia="仿宋_GB2312" w:cs="仿宋_GB2312"/>
        </w:rPr>
      </w:pPr>
      <w:bookmarkStart w:id="282" w:name="_Toc9896"/>
      <w:bookmarkStart w:id="283" w:name="_Toc15396627"/>
      <w:bookmarkStart w:id="284" w:name="_Toc114498438"/>
      <w:bookmarkStart w:id="285" w:name="_Toc9423"/>
      <w:r>
        <w:rPr>
          <w:rStyle w:val="33"/>
          <w:rFonts w:hint="eastAsia" w:ascii="仿宋_GB2312" w:hAnsi="仿宋_GB2312" w:eastAsia="仿宋_GB2312" w:cs="仿宋_GB2312"/>
          <w:b w:val="0"/>
          <w:bCs w:val="0"/>
        </w:rPr>
        <w:t>九、</w:t>
      </w:r>
      <w:r>
        <w:rPr>
          <w:rFonts w:hint="eastAsia" w:ascii="仿宋_GB2312" w:hAnsi="仿宋_GB2312" w:eastAsia="仿宋_GB2312" w:cs="仿宋_GB2312"/>
          <w:b w:val="0"/>
        </w:rPr>
        <w:t>一</w:t>
      </w:r>
      <w:r>
        <w:rPr>
          <w:rStyle w:val="33"/>
          <w:rFonts w:hint="eastAsia" w:ascii="仿宋_GB2312" w:hAnsi="仿宋_GB2312" w:eastAsia="仿宋_GB2312" w:cs="仿宋_GB2312"/>
          <w:b w:val="0"/>
          <w:bCs w:val="0"/>
        </w:rPr>
        <w:t>般公共预算财政拨款项目支出决算表</w:t>
      </w:r>
      <w:bookmarkEnd w:id="282"/>
      <w:bookmarkEnd w:id="283"/>
      <w:bookmarkEnd w:id="284"/>
      <w:bookmarkEnd w:id="285"/>
    </w:p>
    <w:p>
      <w:pPr>
        <w:pStyle w:val="4"/>
        <w:spacing w:before="0" w:after="0" w:line="576" w:lineRule="exact"/>
        <w:ind w:firstLine="640" w:firstLineChars="200"/>
        <w:rPr>
          <w:rFonts w:ascii="仿宋_GB2312" w:hAnsi="仿宋_GB2312" w:eastAsia="仿宋_GB2312" w:cs="仿宋_GB2312"/>
        </w:rPr>
      </w:pPr>
      <w:bookmarkStart w:id="286" w:name="_Toc15396628"/>
      <w:bookmarkStart w:id="287" w:name="_Toc114498439"/>
      <w:bookmarkStart w:id="288" w:name="_Toc23523"/>
      <w:bookmarkStart w:id="289" w:name="_Toc32296"/>
      <w:r>
        <w:rPr>
          <w:rStyle w:val="33"/>
          <w:rFonts w:hint="eastAsia" w:ascii="仿宋_GB2312" w:hAnsi="仿宋_GB2312" w:eastAsia="仿宋_GB2312" w:cs="仿宋_GB2312"/>
          <w:b w:val="0"/>
          <w:bCs w:val="0"/>
        </w:rPr>
        <w:t>十、</w:t>
      </w:r>
      <w:r>
        <w:rPr>
          <w:rFonts w:hint="eastAsia" w:ascii="仿宋_GB2312" w:hAnsi="仿宋_GB2312" w:eastAsia="仿宋_GB2312" w:cs="仿宋_GB2312"/>
          <w:b w:val="0"/>
        </w:rPr>
        <w:t>一</w:t>
      </w:r>
      <w:r>
        <w:rPr>
          <w:rStyle w:val="33"/>
          <w:rFonts w:hint="eastAsia" w:ascii="仿宋_GB2312" w:hAnsi="仿宋_GB2312" w:eastAsia="仿宋_GB2312" w:cs="仿宋_GB2312"/>
          <w:b w:val="0"/>
          <w:bCs w:val="0"/>
        </w:rPr>
        <w:t>般公共预算财政拨款“三公”经费支出决算表</w:t>
      </w:r>
      <w:bookmarkEnd w:id="286"/>
      <w:bookmarkEnd w:id="287"/>
      <w:bookmarkEnd w:id="288"/>
      <w:bookmarkEnd w:id="289"/>
    </w:p>
    <w:p>
      <w:pPr>
        <w:pStyle w:val="4"/>
        <w:spacing w:before="0" w:after="0" w:line="576" w:lineRule="exact"/>
        <w:ind w:firstLine="640" w:firstLineChars="200"/>
        <w:rPr>
          <w:rFonts w:ascii="仿宋_GB2312" w:hAnsi="仿宋_GB2312" w:eastAsia="仿宋_GB2312" w:cs="仿宋_GB2312"/>
        </w:rPr>
      </w:pPr>
      <w:bookmarkStart w:id="290" w:name="_Toc7567"/>
      <w:bookmarkStart w:id="291" w:name="_Toc12577"/>
      <w:bookmarkStart w:id="292" w:name="_Toc114498440"/>
      <w:bookmarkStart w:id="293" w:name="_Toc15396629"/>
      <w:r>
        <w:rPr>
          <w:rStyle w:val="33"/>
          <w:rFonts w:hint="eastAsia" w:ascii="仿宋_GB2312" w:hAnsi="仿宋_GB2312" w:eastAsia="仿宋_GB2312" w:cs="仿宋_GB2312"/>
          <w:b w:val="0"/>
          <w:bCs w:val="0"/>
        </w:rPr>
        <w:t>十一、</w:t>
      </w:r>
      <w:r>
        <w:rPr>
          <w:rFonts w:hint="eastAsia" w:ascii="仿宋_GB2312" w:hAnsi="仿宋_GB2312" w:eastAsia="仿宋_GB2312" w:cs="仿宋_GB2312"/>
          <w:b w:val="0"/>
        </w:rPr>
        <w:t>政</w:t>
      </w:r>
      <w:r>
        <w:rPr>
          <w:rStyle w:val="33"/>
          <w:rFonts w:hint="eastAsia" w:ascii="仿宋_GB2312" w:hAnsi="仿宋_GB2312" w:eastAsia="仿宋_GB2312" w:cs="仿宋_GB2312"/>
          <w:b w:val="0"/>
          <w:bCs w:val="0"/>
        </w:rPr>
        <w:t>府性基金预算财政拨款收入支出决算表</w:t>
      </w:r>
      <w:bookmarkEnd w:id="290"/>
      <w:bookmarkEnd w:id="291"/>
      <w:bookmarkEnd w:id="292"/>
      <w:bookmarkEnd w:id="293"/>
    </w:p>
    <w:p>
      <w:pPr>
        <w:pStyle w:val="4"/>
        <w:spacing w:before="0" w:after="0" w:line="576" w:lineRule="exact"/>
        <w:ind w:firstLine="640" w:firstLineChars="200"/>
        <w:rPr>
          <w:rFonts w:ascii="仿宋_GB2312" w:hAnsi="仿宋_GB2312" w:eastAsia="仿宋_GB2312" w:cs="仿宋_GB2312"/>
        </w:rPr>
      </w:pPr>
      <w:bookmarkStart w:id="294" w:name="_Toc6047"/>
      <w:bookmarkStart w:id="295" w:name="_Toc15386"/>
      <w:bookmarkStart w:id="296" w:name="_Toc15396630"/>
      <w:bookmarkStart w:id="297" w:name="_Toc114498441"/>
      <w:r>
        <w:rPr>
          <w:rStyle w:val="33"/>
          <w:rFonts w:hint="eastAsia" w:ascii="仿宋_GB2312" w:hAnsi="仿宋_GB2312" w:eastAsia="仿宋_GB2312" w:cs="仿宋_GB2312"/>
          <w:b w:val="0"/>
          <w:bCs w:val="0"/>
        </w:rPr>
        <w:t>十二、</w:t>
      </w:r>
      <w:r>
        <w:rPr>
          <w:rFonts w:hint="eastAsia" w:ascii="仿宋_GB2312" w:hAnsi="仿宋_GB2312" w:eastAsia="仿宋_GB2312" w:cs="仿宋_GB2312"/>
          <w:b w:val="0"/>
        </w:rPr>
        <w:t>政</w:t>
      </w:r>
      <w:r>
        <w:rPr>
          <w:rStyle w:val="33"/>
          <w:rFonts w:hint="eastAsia" w:ascii="仿宋_GB2312" w:hAnsi="仿宋_GB2312" w:eastAsia="仿宋_GB2312" w:cs="仿宋_GB2312"/>
          <w:b w:val="0"/>
          <w:bCs w:val="0"/>
        </w:rPr>
        <w:t>府性基金预算财政拨款“三公”经费支出决算表</w:t>
      </w:r>
      <w:bookmarkEnd w:id="294"/>
      <w:bookmarkEnd w:id="295"/>
      <w:bookmarkEnd w:id="296"/>
      <w:bookmarkEnd w:id="297"/>
    </w:p>
    <w:p>
      <w:pPr>
        <w:pStyle w:val="4"/>
        <w:spacing w:before="0" w:after="0" w:line="576" w:lineRule="exact"/>
        <w:ind w:firstLine="640" w:firstLineChars="200"/>
        <w:rPr>
          <w:rStyle w:val="33"/>
          <w:rFonts w:ascii="仿宋_GB2312" w:hAnsi="仿宋_GB2312" w:eastAsia="仿宋_GB2312" w:cs="仿宋_GB2312"/>
          <w:b w:val="0"/>
          <w:bCs w:val="0"/>
        </w:rPr>
      </w:pPr>
      <w:bookmarkStart w:id="298" w:name="_Toc19632"/>
      <w:bookmarkStart w:id="299" w:name="_Toc15396631"/>
      <w:bookmarkStart w:id="300" w:name="_Toc678"/>
      <w:bookmarkStart w:id="301" w:name="_Toc114498442"/>
      <w:r>
        <w:rPr>
          <w:rStyle w:val="33"/>
          <w:rFonts w:hint="eastAsia" w:ascii="仿宋_GB2312" w:hAnsi="仿宋_GB2312" w:eastAsia="仿宋_GB2312" w:cs="仿宋_GB2312"/>
          <w:b w:val="0"/>
          <w:bCs w:val="0"/>
        </w:rPr>
        <w:t>十三、</w:t>
      </w:r>
      <w:r>
        <w:rPr>
          <w:rFonts w:hint="eastAsia" w:ascii="仿宋_GB2312" w:hAnsi="仿宋_GB2312" w:eastAsia="仿宋_GB2312" w:cs="仿宋_GB2312"/>
          <w:b w:val="0"/>
        </w:rPr>
        <w:t>国</w:t>
      </w:r>
      <w:r>
        <w:rPr>
          <w:rStyle w:val="33"/>
          <w:rFonts w:hint="eastAsia" w:ascii="仿宋_GB2312" w:hAnsi="仿宋_GB2312" w:eastAsia="仿宋_GB2312" w:cs="仿宋_GB2312"/>
          <w:b w:val="0"/>
          <w:bCs w:val="0"/>
        </w:rPr>
        <w:t>有资本经营预算财政拨款收入支出决算表</w:t>
      </w:r>
      <w:bookmarkEnd w:id="298"/>
      <w:bookmarkEnd w:id="299"/>
      <w:bookmarkEnd w:id="300"/>
      <w:bookmarkEnd w:id="301"/>
    </w:p>
    <w:p>
      <w:pPr>
        <w:spacing w:line="576" w:lineRule="exact"/>
        <w:ind w:firstLine="640" w:firstLineChars="200"/>
        <w:rPr>
          <w:rFonts w:ascii="仿宋_GB2312" w:hAnsi="仿宋_GB2312" w:eastAsia="仿宋_GB2312" w:cs="仿宋_GB2312"/>
          <w:sz w:val="32"/>
          <w:szCs w:val="32"/>
        </w:rPr>
      </w:pPr>
      <w:bookmarkStart w:id="302" w:name="_Toc12955"/>
      <w:bookmarkStart w:id="303" w:name="_Toc28382"/>
      <w:bookmarkStart w:id="304" w:name="_Toc114498443"/>
      <w:r>
        <w:rPr>
          <w:rStyle w:val="33"/>
          <w:rFonts w:hint="eastAsia" w:ascii="仿宋_GB2312" w:hAnsi="仿宋_GB2312" w:eastAsia="仿宋_GB2312" w:cs="仿宋_GB2312"/>
          <w:b w:val="0"/>
          <w:bCs w:val="0"/>
        </w:rPr>
        <w:t>十四、国有资本经营预算财政拨款支出决算表</w:t>
      </w:r>
      <w:bookmarkEnd w:id="302"/>
      <w:bookmarkEnd w:id="303"/>
      <w:bookmarkEnd w:id="304"/>
    </w:p>
    <w:sectPr>
      <w:footerReference r:id="rId5" w:type="first"/>
      <w:headerReference r:id="rId3" w:type="default"/>
      <w:footerReference r:id="rId4" w:type="default"/>
      <w:pgSz w:w="11906" w:h="16838"/>
      <w:pgMar w:top="2098" w:right="1474" w:bottom="1984" w:left="1587" w:header="851" w:footer="1559"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bNrZO5wEAAMcD&#10;AAAOAAAAAAAAAAEAIAAAAB4BAABkcnMvZTJvRG9jLnhtbFBLBQYAAAAABgAGAFkBAAB3BQAAAAA=&#10;">
          <v:path/>
          <v:fill on="f" focussize="0,0"/>
          <v:stroke on="f" joinstyle="miter"/>
          <v:imagedata o:title=""/>
          <o:lock v:ext="edit"/>
          <v:textbox inset="0mm,0mm,0mm,0mm" style="mso-fit-shape-to-text:t;">
            <w:txbxContent>
              <w:p>
                <w:pPr>
                  <w:pStyle w:val="11"/>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FFFFFF" w:themeColor="background1"/>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3074" o:spid="_x0000_s3074"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XS8wj5wEAAMcD&#10;AAAOAAAAAAAAAAEAIAAAAB4BAABkcnMvZTJvRG9jLnhtbFBLBQYAAAAABgAGAFkBAAB3BQAAAAA=&#10;">
          <v:path/>
          <v:fill on="f" focussize="0,0"/>
          <v:stroke on="f" joinstyle="miter"/>
          <v:imagedata o:title=""/>
          <o:lock v:ext="edit"/>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IxMjM4ZTY0YzkzNGMyY2EyMmU2NjVkZWFlZjEwODcifQ=="/>
  </w:docVars>
  <w:rsids>
    <w:rsidRoot w:val="00F1361C"/>
    <w:rsid w:val="000222C6"/>
    <w:rsid w:val="0002549F"/>
    <w:rsid w:val="00043866"/>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4C7E"/>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0D64"/>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2349"/>
    <w:rsid w:val="002D29F5"/>
    <w:rsid w:val="002D6D05"/>
    <w:rsid w:val="002E78C0"/>
    <w:rsid w:val="002F1818"/>
    <w:rsid w:val="002F567B"/>
    <w:rsid w:val="003216A9"/>
    <w:rsid w:val="00322B86"/>
    <w:rsid w:val="00332FE2"/>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51AA"/>
    <w:rsid w:val="00487E5D"/>
    <w:rsid w:val="004A5726"/>
    <w:rsid w:val="004A711F"/>
    <w:rsid w:val="004B199D"/>
    <w:rsid w:val="004B4690"/>
    <w:rsid w:val="004E0A2D"/>
    <w:rsid w:val="004E206B"/>
    <w:rsid w:val="004E6DF7"/>
    <w:rsid w:val="004F0FBD"/>
    <w:rsid w:val="00505A47"/>
    <w:rsid w:val="00512FDA"/>
    <w:rsid w:val="00520DA0"/>
    <w:rsid w:val="00556366"/>
    <w:rsid w:val="005664BB"/>
    <w:rsid w:val="00566FFA"/>
    <w:rsid w:val="00567474"/>
    <w:rsid w:val="00570D17"/>
    <w:rsid w:val="0057481D"/>
    <w:rsid w:val="0058486E"/>
    <w:rsid w:val="00585B33"/>
    <w:rsid w:val="0059014D"/>
    <w:rsid w:val="005B5C64"/>
    <w:rsid w:val="005C5337"/>
    <w:rsid w:val="005C6BD0"/>
    <w:rsid w:val="005C740C"/>
    <w:rsid w:val="005D0468"/>
    <w:rsid w:val="005D0B1A"/>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B4536"/>
    <w:rsid w:val="006C1937"/>
    <w:rsid w:val="006C566B"/>
    <w:rsid w:val="006F020C"/>
    <w:rsid w:val="007127B7"/>
    <w:rsid w:val="0071798E"/>
    <w:rsid w:val="00724F46"/>
    <w:rsid w:val="007416B6"/>
    <w:rsid w:val="00746F48"/>
    <w:rsid w:val="0075404D"/>
    <w:rsid w:val="0076182A"/>
    <w:rsid w:val="00767B7E"/>
    <w:rsid w:val="007770C3"/>
    <w:rsid w:val="00784D24"/>
    <w:rsid w:val="00785FBA"/>
    <w:rsid w:val="00786E4A"/>
    <w:rsid w:val="007875EB"/>
    <w:rsid w:val="0079426B"/>
    <w:rsid w:val="00794D6B"/>
    <w:rsid w:val="007D1682"/>
    <w:rsid w:val="007D312A"/>
    <w:rsid w:val="007D3F19"/>
    <w:rsid w:val="007E23B0"/>
    <w:rsid w:val="007E23E5"/>
    <w:rsid w:val="007E3186"/>
    <w:rsid w:val="007F1991"/>
    <w:rsid w:val="007F2C2F"/>
    <w:rsid w:val="007F55FC"/>
    <w:rsid w:val="007F5665"/>
    <w:rsid w:val="00800112"/>
    <w:rsid w:val="00813348"/>
    <w:rsid w:val="008253BB"/>
    <w:rsid w:val="0083706E"/>
    <w:rsid w:val="008408F6"/>
    <w:rsid w:val="008423A5"/>
    <w:rsid w:val="00846C66"/>
    <w:rsid w:val="00850625"/>
    <w:rsid w:val="00853718"/>
    <w:rsid w:val="00855221"/>
    <w:rsid w:val="00860645"/>
    <w:rsid w:val="00871F71"/>
    <w:rsid w:val="00872FD8"/>
    <w:rsid w:val="0087424D"/>
    <w:rsid w:val="00875B04"/>
    <w:rsid w:val="00885AF4"/>
    <w:rsid w:val="00886CEC"/>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2FC6"/>
    <w:rsid w:val="009B0D48"/>
    <w:rsid w:val="009B2C43"/>
    <w:rsid w:val="009B4EAE"/>
    <w:rsid w:val="009B632B"/>
    <w:rsid w:val="009B7573"/>
    <w:rsid w:val="009C22F4"/>
    <w:rsid w:val="009C2A4B"/>
    <w:rsid w:val="009C2E98"/>
    <w:rsid w:val="009D3447"/>
    <w:rsid w:val="009D4711"/>
    <w:rsid w:val="009F095F"/>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1E5"/>
    <w:rsid w:val="00A85A49"/>
    <w:rsid w:val="00A91760"/>
    <w:rsid w:val="00A93B00"/>
    <w:rsid w:val="00A93C21"/>
    <w:rsid w:val="00AB64C9"/>
    <w:rsid w:val="00AC3C6A"/>
    <w:rsid w:val="00AD22ED"/>
    <w:rsid w:val="00AD378F"/>
    <w:rsid w:val="00AD5620"/>
    <w:rsid w:val="00AD656B"/>
    <w:rsid w:val="00AD7C1B"/>
    <w:rsid w:val="00AE16BA"/>
    <w:rsid w:val="00AE1EBE"/>
    <w:rsid w:val="00B03C9D"/>
    <w:rsid w:val="00B060AE"/>
    <w:rsid w:val="00B10517"/>
    <w:rsid w:val="00B14E76"/>
    <w:rsid w:val="00B161B8"/>
    <w:rsid w:val="00B2048C"/>
    <w:rsid w:val="00B30096"/>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D221C"/>
    <w:rsid w:val="00BF5BD6"/>
    <w:rsid w:val="00C03E31"/>
    <w:rsid w:val="00C07517"/>
    <w:rsid w:val="00C255AF"/>
    <w:rsid w:val="00C33E72"/>
    <w:rsid w:val="00C354B2"/>
    <w:rsid w:val="00C35554"/>
    <w:rsid w:val="00C36FBD"/>
    <w:rsid w:val="00C42709"/>
    <w:rsid w:val="00C531C5"/>
    <w:rsid w:val="00C533CC"/>
    <w:rsid w:val="00C5751C"/>
    <w:rsid w:val="00C61BFC"/>
    <w:rsid w:val="00C62B85"/>
    <w:rsid w:val="00C65438"/>
    <w:rsid w:val="00C87FD8"/>
    <w:rsid w:val="00C91381"/>
    <w:rsid w:val="00C91CBB"/>
    <w:rsid w:val="00C95660"/>
    <w:rsid w:val="00CB4E70"/>
    <w:rsid w:val="00CC09B6"/>
    <w:rsid w:val="00CC666F"/>
    <w:rsid w:val="00CD1E3F"/>
    <w:rsid w:val="00CD3726"/>
    <w:rsid w:val="00CE44F6"/>
    <w:rsid w:val="00CE49DA"/>
    <w:rsid w:val="00CE7B61"/>
    <w:rsid w:val="00CF7689"/>
    <w:rsid w:val="00D00095"/>
    <w:rsid w:val="00D114F0"/>
    <w:rsid w:val="00D20620"/>
    <w:rsid w:val="00D254F7"/>
    <w:rsid w:val="00D26091"/>
    <w:rsid w:val="00D2685C"/>
    <w:rsid w:val="00D32D2C"/>
    <w:rsid w:val="00D34E7C"/>
    <w:rsid w:val="00D35489"/>
    <w:rsid w:val="00D36AFE"/>
    <w:rsid w:val="00D4150B"/>
    <w:rsid w:val="00D51276"/>
    <w:rsid w:val="00D7035F"/>
    <w:rsid w:val="00D73215"/>
    <w:rsid w:val="00DA2B4F"/>
    <w:rsid w:val="00DA634F"/>
    <w:rsid w:val="00DA65AC"/>
    <w:rsid w:val="00DB1913"/>
    <w:rsid w:val="00DC2912"/>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449"/>
    <w:rsid w:val="00E568DF"/>
    <w:rsid w:val="00E64269"/>
    <w:rsid w:val="00E8157B"/>
    <w:rsid w:val="00E82267"/>
    <w:rsid w:val="00E853CE"/>
    <w:rsid w:val="00E867B6"/>
    <w:rsid w:val="00EA010F"/>
    <w:rsid w:val="00EB2BCE"/>
    <w:rsid w:val="00EC7BDA"/>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0EF6"/>
    <w:rsid w:val="00F602DF"/>
    <w:rsid w:val="00F754A1"/>
    <w:rsid w:val="00F81FD9"/>
    <w:rsid w:val="00F841AA"/>
    <w:rsid w:val="00F84A94"/>
    <w:rsid w:val="00F860D7"/>
    <w:rsid w:val="00F87E96"/>
    <w:rsid w:val="00F90884"/>
    <w:rsid w:val="00FA23E8"/>
    <w:rsid w:val="00FD3CC1"/>
    <w:rsid w:val="00FF1E02"/>
    <w:rsid w:val="00FF30B4"/>
    <w:rsid w:val="00FF63EB"/>
    <w:rsid w:val="02A913FE"/>
    <w:rsid w:val="066E0107"/>
    <w:rsid w:val="07996F6E"/>
    <w:rsid w:val="0A2032A3"/>
    <w:rsid w:val="0C192A02"/>
    <w:rsid w:val="0C6D1BAA"/>
    <w:rsid w:val="101860EC"/>
    <w:rsid w:val="104C2847"/>
    <w:rsid w:val="10C055FF"/>
    <w:rsid w:val="1164681C"/>
    <w:rsid w:val="118107EC"/>
    <w:rsid w:val="12557610"/>
    <w:rsid w:val="13D50BC4"/>
    <w:rsid w:val="16BB723D"/>
    <w:rsid w:val="17993341"/>
    <w:rsid w:val="190D086A"/>
    <w:rsid w:val="1B875CF6"/>
    <w:rsid w:val="1BE8440E"/>
    <w:rsid w:val="1D155CEE"/>
    <w:rsid w:val="204F556B"/>
    <w:rsid w:val="23860B96"/>
    <w:rsid w:val="238D4FF7"/>
    <w:rsid w:val="23A44F54"/>
    <w:rsid w:val="240371BF"/>
    <w:rsid w:val="288D4F1B"/>
    <w:rsid w:val="29FD04D3"/>
    <w:rsid w:val="2A141877"/>
    <w:rsid w:val="2C7566AC"/>
    <w:rsid w:val="2C8A61B5"/>
    <w:rsid w:val="2DF04E50"/>
    <w:rsid w:val="2F676BBF"/>
    <w:rsid w:val="304E1723"/>
    <w:rsid w:val="319F7F4E"/>
    <w:rsid w:val="31DF6D91"/>
    <w:rsid w:val="326019C5"/>
    <w:rsid w:val="32BF66A5"/>
    <w:rsid w:val="359F7AA1"/>
    <w:rsid w:val="36AA5135"/>
    <w:rsid w:val="37E16F03"/>
    <w:rsid w:val="38BA3F04"/>
    <w:rsid w:val="3D98207C"/>
    <w:rsid w:val="3FFE9A36"/>
    <w:rsid w:val="43430E5B"/>
    <w:rsid w:val="43612698"/>
    <w:rsid w:val="44E268DA"/>
    <w:rsid w:val="48AA322D"/>
    <w:rsid w:val="4A627F82"/>
    <w:rsid w:val="4B4F25DA"/>
    <w:rsid w:val="4BE068DB"/>
    <w:rsid w:val="4CA8606E"/>
    <w:rsid w:val="4D577224"/>
    <w:rsid w:val="4D6B54B4"/>
    <w:rsid w:val="4DF33282"/>
    <w:rsid w:val="4E1375A0"/>
    <w:rsid w:val="4EAB630A"/>
    <w:rsid w:val="4ECE2238"/>
    <w:rsid w:val="4F430676"/>
    <w:rsid w:val="505306BE"/>
    <w:rsid w:val="50565E5B"/>
    <w:rsid w:val="536D000B"/>
    <w:rsid w:val="53C929E6"/>
    <w:rsid w:val="553718DC"/>
    <w:rsid w:val="554E24FB"/>
    <w:rsid w:val="55FD2906"/>
    <w:rsid w:val="5AF92295"/>
    <w:rsid w:val="5CD71FC4"/>
    <w:rsid w:val="5E8C157F"/>
    <w:rsid w:val="5F2345A8"/>
    <w:rsid w:val="64021672"/>
    <w:rsid w:val="651737E4"/>
    <w:rsid w:val="65C062D1"/>
    <w:rsid w:val="66376316"/>
    <w:rsid w:val="67D1313A"/>
    <w:rsid w:val="69C87D47"/>
    <w:rsid w:val="6AC51A3E"/>
    <w:rsid w:val="6AE61C02"/>
    <w:rsid w:val="6B1F20A0"/>
    <w:rsid w:val="6C4A05C8"/>
    <w:rsid w:val="6C6A55B8"/>
    <w:rsid w:val="6D39473E"/>
    <w:rsid w:val="6E671FF6"/>
    <w:rsid w:val="6E7E3605"/>
    <w:rsid w:val="6FF5CC65"/>
    <w:rsid w:val="71191282"/>
    <w:rsid w:val="715C0E4B"/>
    <w:rsid w:val="72734D90"/>
    <w:rsid w:val="73AD73D5"/>
    <w:rsid w:val="73B6EB34"/>
    <w:rsid w:val="750850DA"/>
    <w:rsid w:val="79EE5BA4"/>
    <w:rsid w:val="7A894339"/>
    <w:rsid w:val="7EE3F23F"/>
    <w:rsid w:val="7EEF11D3"/>
    <w:rsid w:val="7FA30C79"/>
    <w:rsid w:val="7FC96657"/>
    <w:rsid w:val="D8D6DB89"/>
    <w:rsid w:val="DB6F4CAB"/>
    <w:rsid w:val="DBC6106F"/>
    <w:rsid w:val="DF6F9789"/>
    <w:rsid w:val="F3254225"/>
    <w:rsid w:val="F8F95761"/>
    <w:rsid w:val="F9579F5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99"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1">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9"/>
    <w:qFormat/>
    <w:uiPriority w:val="99"/>
    <w:pPr>
      <w:spacing w:beforeLines="30"/>
    </w:pPr>
    <w:rPr>
      <w:rFonts w:ascii="仿宋_GB2312" w:eastAsia="仿宋_GB2312"/>
      <w:kern w:val="0"/>
      <w:sz w:val="30"/>
    </w:rPr>
  </w:style>
  <w:style w:type="paragraph" w:styleId="6">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7">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8">
    <w:name w:val="toc 3"/>
    <w:basedOn w:val="1"/>
    <w:next w:val="1"/>
    <w:unhideWhenUsed/>
    <w:qFormat/>
    <w:uiPriority w:val="39"/>
    <w:pPr>
      <w:tabs>
        <w:tab w:val="right" w:leader="dot" w:pos="8296"/>
      </w:tabs>
      <w:ind w:left="840" w:leftChars="400"/>
    </w:pPr>
  </w:style>
  <w:style w:type="paragraph" w:styleId="9">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0">
    <w:name w:val="Balloon Text"/>
    <w:basedOn w:val="1"/>
    <w:link w:val="35"/>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15">
    <w:name w:val="footnote text"/>
    <w:basedOn w:val="1"/>
    <w:link w:val="39"/>
    <w:qFormat/>
    <w:uiPriority w:val="99"/>
    <w:pPr>
      <w:snapToGrid w:val="0"/>
      <w:jc w:val="left"/>
    </w:pPr>
    <w:rPr>
      <w:sz w:val="18"/>
      <w:szCs w:val="18"/>
    </w:rPr>
  </w:style>
  <w:style w:type="paragraph" w:styleId="16">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17">
    <w:name w:val="toc 2"/>
    <w:basedOn w:val="1"/>
    <w:next w:val="1"/>
    <w:unhideWhenUsed/>
    <w:qFormat/>
    <w:uiPriority w:val="39"/>
    <w:pPr>
      <w:tabs>
        <w:tab w:val="right" w:leader="dot" w:pos="8296"/>
      </w:tabs>
      <w:ind w:left="420" w:leftChars="200"/>
    </w:pPr>
  </w:style>
  <w:style w:type="paragraph" w:styleId="18">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19">
    <w:name w:val="HTML Preformatted"/>
    <w:basedOn w:val="1"/>
    <w:link w:val="3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0"/>
    </w:rPr>
  </w:style>
  <w:style w:type="character" w:styleId="22">
    <w:name w:val="Strong"/>
    <w:basedOn w:val="21"/>
    <w:qFormat/>
    <w:uiPriority w:val="99"/>
    <w:rPr>
      <w:b/>
    </w:rPr>
  </w:style>
  <w:style w:type="character" w:styleId="23">
    <w:name w:val="Hyperlink"/>
    <w:basedOn w:val="21"/>
    <w:unhideWhenUsed/>
    <w:qFormat/>
    <w:uiPriority w:val="99"/>
    <w:rPr>
      <w:color w:val="0000FF" w:themeColor="hyperlink"/>
      <w:u w:val="single"/>
    </w:rPr>
  </w:style>
  <w:style w:type="character" w:customStyle="1" w:styleId="24">
    <w:name w:val="Header Char"/>
    <w:basedOn w:val="21"/>
    <w:semiHidden/>
    <w:qFormat/>
    <w:uiPriority w:val="99"/>
    <w:rPr>
      <w:rFonts w:ascii="Times New Roman" w:hAnsi="Times New Roman"/>
      <w:sz w:val="18"/>
      <w:szCs w:val="18"/>
    </w:rPr>
  </w:style>
  <w:style w:type="character" w:customStyle="1" w:styleId="25">
    <w:name w:val="页眉 Char"/>
    <w:link w:val="12"/>
    <w:semiHidden/>
    <w:qFormat/>
    <w:locked/>
    <w:uiPriority w:val="99"/>
    <w:rPr>
      <w:sz w:val="18"/>
    </w:rPr>
  </w:style>
  <w:style w:type="character" w:customStyle="1" w:styleId="26">
    <w:name w:val="Footer Char"/>
    <w:basedOn w:val="21"/>
    <w:semiHidden/>
    <w:qFormat/>
    <w:uiPriority w:val="99"/>
    <w:rPr>
      <w:rFonts w:ascii="Times New Roman" w:hAnsi="Times New Roman"/>
      <w:sz w:val="18"/>
      <w:szCs w:val="18"/>
    </w:rPr>
  </w:style>
  <w:style w:type="character" w:customStyle="1" w:styleId="27">
    <w:name w:val="页脚 Char"/>
    <w:link w:val="11"/>
    <w:qFormat/>
    <w:locked/>
    <w:uiPriority w:val="99"/>
    <w:rPr>
      <w:sz w:val="18"/>
    </w:rPr>
  </w:style>
  <w:style w:type="character" w:customStyle="1" w:styleId="28">
    <w:name w:val="Body Text Char"/>
    <w:basedOn w:val="21"/>
    <w:semiHidden/>
    <w:qFormat/>
    <w:uiPriority w:val="99"/>
    <w:rPr>
      <w:rFonts w:ascii="Times New Roman" w:hAnsi="Times New Roman"/>
      <w:szCs w:val="24"/>
    </w:rPr>
  </w:style>
  <w:style w:type="character" w:customStyle="1" w:styleId="29">
    <w:name w:val="正文文本 Char"/>
    <w:link w:val="2"/>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21"/>
    <w:link w:val="3"/>
    <w:qFormat/>
    <w:uiPriority w:val="9"/>
    <w:rPr>
      <w:rFonts w:ascii="Times New Roman" w:hAnsi="Times New Roman"/>
      <w:b/>
      <w:bCs/>
      <w:kern w:val="44"/>
      <w:sz w:val="44"/>
      <w:szCs w:val="44"/>
    </w:rPr>
  </w:style>
  <w:style w:type="character" w:customStyle="1" w:styleId="33">
    <w:name w:val="标题 2 Char"/>
    <w:basedOn w:val="21"/>
    <w:link w:val="4"/>
    <w:qFormat/>
    <w:uiPriority w:val="9"/>
    <w:rPr>
      <w:rFonts w:asciiTheme="majorHAnsi" w:hAnsiTheme="majorHAnsi" w:eastAsiaTheme="majorEastAsia" w:cstheme="majorBidi"/>
      <w:b/>
      <w:bCs/>
      <w:kern w:val="2"/>
      <w:sz w:val="32"/>
      <w:szCs w:val="32"/>
    </w:r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21"/>
    <w:link w:val="10"/>
    <w:semiHidden/>
    <w:qFormat/>
    <w:uiPriority w:val="99"/>
    <w:rPr>
      <w:rFonts w:ascii="Times New Roman" w:hAnsi="Times New Roman"/>
      <w:kern w:val="2"/>
      <w:sz w:val="18"/>
      <w:szCs w:val="18"/>
    </w:rPr>
  </w:style>
  <w:style w:type="character" w:customStyle="1" w:styleId="36">
    <w:name w:val="标题 3 Char"/>
    <w:basedOn w:val="21"/>
    <w:link w:val="5"/>
    <w:qFormat/>
    <w:uiPriority w:val="9"/>
    <w:rPr>
      <w:rFonts w:ascii="Times New Roman" w:hAnsi="Times New Roman"/>
      <w:b/>
      <w:bCs/>
      <w:kern w:val="2"/>
      <w:sz w:val="32"/>
      <w:szCs w:val="32"/>
    </w:rPr>
  </w:style>
  <w:style w:type="paragraph" w:customStyle="1" w:styleId="37">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8">
    <w:name w:val="HTML 预设格式 Char"/>
    <w:basedOn w:val="21"/>
    <w:link w:val="19"/>
    <w:qFormat/>
    <w:uiPriority w:val="0"/>
    <w:rPr>
      <w:rFonts w:ascii="宋体" w:hAnsi="宋体"/>
      <w:sz w:val="24"/>
    </w:rPr>
  </w:style>
  <w:style w:type="character" w:customStyle="1" w:styleId="39">
    <w:name w:val="脚注文本 Char"/>
    <w:basedOn w:val="21"/>
    <w:link w:val="15"/>
    <w:qFormat/>
    <w:uiPriority w:val="99"/>
    <w:rPr>
      <w:kern w:val="2"/>
      <w:sz w:val="18"/>
      <w:szCs w:val="18"/>
    </w:rPr>
  </w:style>
  <w:style w:type="paragraph" w:customStyle="1" w:styleId="40">
    <w:name w:val="TOC 标题3"/>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07638888888889"/>
          <c:y val="0.00694444444444445"/>
        </c:manualLayout>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[工作簿1]Sheet1!$F$6</c:f>
              <c:strCache>
                <c:ptCount val="1"/>
                <c:pt idx="0">
                  <c:v>财政拨款收、支总计</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[工作簿1]Sheet1!$G$5:$H$5</c:f>
              <c:strCache>
                <c:ptCount val="2"/>
                <c:pt idx="0">
                  <c:v>2021年度</c:v>
                </c:pt>
                <c:pt idx="1">
                  <c:v>2020年度</c:v>
                </c:pt>
              </c:strCache>
            </c:strRef>
          </c:cat>
          <c:val>
            <c:numRef>
              <c:f>[工作簿1]Sheet1!$G$6:$H$6</c:f>
              <c:numCache>
                <c:formatCode>0.00_ </c:formatCode>
                <c:ptCount val="2"/>
                <c:pt idx="0">
                  <c:v>402.35</c:v>
                </c:pt>
                <c:pt idx="1" c:formatCode="General">
                  <c:v>487.73</c:v>
                </c:pt>
              </c:numCache>
            </c:numRef>
          </c:val>
        </c:ser>
        <c:dLbls>
          <c:showLegendKey val="false"/>
          <c:showVal val="true"/>
          <c:showCatName val="false"/>
          <c:showSerName val="false"/>
          <c:showPercent val="false"/>
          <c:showBubbleSize val="false"/>
        </c:dLbls>
        <c:gapWidth val="219"/>
        <c:overlap val="-27"/>
        <c:axId val="95186944"/>
        <c:axId val="95222016"/>
      </c:barChart>
      <c:catAx>
        <c:axId val="95186944"/>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5222016"/>
        <c:crosses val="autoZero"/>
        <c:auto val="true"/>
        <c:lblAlgn val="ctr"/>
        <c:lblOffset val="100"/>
        <c:noMultiLvlLbl val="false"/>
      </c:catAx>
      <c:valAx>
        <c:axId val="95222016"/>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0.00_ "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5186944"/>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15555555555556"/>
          <c:y val="0.0388888888888889"/>
        </c:manualLayout>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[工作簿1]Sheet1!$F$6</c:f>
              <c:strCache>
                <c:ptCount val="1"/>
                <c:pt idx="0">
                  <c:v>一般公共预算财政拨款支出</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[工作簿1]Sheet1!$G$5:$H$5</c:f>
              <c:strCache>
                <c:ptCount val="2"/>
                <c:pt idx="0">
                  <c:v>2021年度</c:v>
                </c:pt>
                <c:pt idx="1">
                  <c:v>2020年度</c:v>
                </c:pt>
              </c:strCache>
            </c:strRef>
          </c:cat>
          <c:val>
            <c:numRef>
              <c:f>[工作簿1]Sheet1!$G$6:$H$6</c:f>
              <c:numCache>
                <c:formatCode>General</c:formatCode>
                <c:ptCount val="2"/>
                <c:pt idx="0">
                  <c:v>374.33</c:v>
                </c:pt>
                <c:pt idx="1">
                  <c:v>475.56</c:v>
                </c:pt>
              </c:numCache>
            </c:numRef>
          </c:val>
        </c:ser>
        <c:dLbls>
          <c:showLegendKey val="false"/>
          <c:showVal val="true"/>
          <c:showCatName val="false"/>
          <c:showSerName val="false"/>
          <c:showPercent val="false"/>
          <c:showBubbleSize val="false"/>
        </c:dLbls>
        <c:gapWidth val="219"/>
        <c:overlap val="-27"/>
        <c:axId val="143639296"/>
        <c:axId val="143641600"/>
      </c:barChart>
      <c:catAx>
        <c:axId val="143639296"/>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43641600"/>
        <c:crosses val="autoZero"/>
        <c:auto val="true"/>
        <c:lblAlgn val="ctr"/>
        <c:lblOffset val="100"/>
        <c:noMultiLvlLbl val="false"/>
      </c:catAx>
      <c:valAx>
        <c:axId val="143641600"/>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43639296"/>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[工作簿1]Sheet1!$F$6</c:f>
              <c:strCache>
                <c:ptCount val="1"/>
                <c:pt idx="0">
                  <c:v>2021一般公共预算财政拨款支出</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Lbls>
            <c:delete val="true"/>
          </c:dLbls>
          <c:cat>
            <c:strRef>
              <c:f>[工作簿1]Sheet1!$G$5:$K$5</c:f>
              <c:strCache>
                <c:ptCount val="5"/>
                <c:pt idx="0">
                  <c:v>一般公共服务（类）支出</c:v>
                </c:pt>
                <c:pt idx="1">
                  <c:v>文化旅游体育与传媒（类）支出</c:v>
                </c:pt>
                <c:pt idx="2">
                  <c:v>社会保障和就业（类）支出</c:v>
                </c:pt>
                <c:pt idx="3">
                  <c:v>卫生健康支出</c:v>
                </c:pt>
                <c:pt idx="4">
                  <c:v>住房保障支出</c:v>
                </c:pt>
              </c:strCache>
            </c:strRef>
          </c:cat>
          <c:val>
            <c:numRef>
              <c:f>[工作簿1]Sheet1!$G$6:$K$6</c:f>
              <c:numCache>
                <c:formatCode>General</c:formatCode>
                <c:ptCount val="5"/>
                <c:pt idx="0">
                  <c:v>278.42</c:v>
                </c:pt>
                <c:pt idx="1">
                  <c:v>50.66</c:v>
                </c:pt>
                <c:pt idx="2">
                  <c:v>16.01</c:v>
                </c:pt>
                <c:pt idx="3">
                  <c:v>8.49</c:v>
                </c:pt>
                <c:pt idx="4">
                  <c:v>20.75</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[工作簿1]Sheet2!$A$2</c:f>
              <c:strCache>
                <c:ptCount val="1"/>
                <c:pt idx="0">
                  <c:v>2021年“三公”经费财政拨款支出决算</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0"/>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altLang="en-US"/>
                      <a:t>56.</a:t>
                    </a:r>
                    <a:r>
                      <a:rPr lang="en-US" altLang="zh-CN"/>
                      <a:t>35</a:t>
                    </a:r>
                    <a:r>
                      <a:rPr altLang="en-US"/>
                      <a:t>%</a:t>
                    </a:r>
                    <a:endParaRPr altLang="en-US"/>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[工作簿1]Sheet2!$B$1:$D$1</c:f>
              <c:strCache>
                <c:ptCount val="3"/>
                <c:pt idx="0">
                  <c:v>公务用车购置及运行维护费支出决算</c:v>
                </c:pt>
                <c:pt idx="1">
                  <c:v>公务接待费支出决算</c:v>
                </c:pt>
                <c:pt idx="2">
                  <c:v>因公出国（境）费支出决算</c:v>
                </c:pt>
              </c:strCache>
            </c:strRef>
          </c:cat>
          <c:val>
            <c:numRef>
              <c:f>[工作簿1]Sheet2!$B$2:$D$2</c:f>
              <c:numCache>
                <c:formatCode>0.00%</c:formatCode>
                <c:ptCount val="3"/>
                <c:pt idx="0">
                  <c:v>0.5655</c:v>
                </c:pt>
                <c:pt idx="1">
                  <c:v>0.4365</c:v>
                </c:pt>
                <c:pt idx="2" c:formatCode="0%">
                  <c:v>0</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61</Pages>
  <Words>4169</Words>
  <Characters>23768</Characters>
  <Lines>198</Lines>
  <Paragraphs>55</Paragraphs>
  <TotalTime>88</TotalTime>
  <ScaleCrop>false</ScaleCrop>
  <LinksUpToDate>false</LinksUpToDate>
  <CharactersWithSpaces>27882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2022-09-21T04:01:00Z</dcterms:created>
  <dc:creator>曹颖</dc:creator>
  <cp:lastModifiedBy> </cp:lastModifiedBy>
  <cp:lastPrinted>2022-09-21T15:48:00Z</cp:lastPrinted>
  <dcterms:modified xsi:type="dcterms:W3CDTF">2023-09-12T17:27:17Z</dcterms:modified>
  <dc:title>四川省***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71EE4C5B63CC42F888BCD11980679D2B</vt:lpwstr>
  </property>
</Properties>
</file>