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920" w:firstLineChars="600"/>
        <w:jc w:val="center"/>
        <w:rPr>
          <w:rFonts w:ascii="黑体" w:hAnsi="黑体" w:eastAsia="黑体" w:cs="黑体"/>
          <w:b/>
          <w:bCs/>
          <w:color w:val="FF0000"/>
          <w:kern w:val="0"/>
          <w:sz w:val="32"/>
          <w:szCs w:val="32"/>
          <w:shd w:val="clear" w:color="auto" w:fill="FFFFFF"/>
        </w:rPr>
      </w:pPr>
      <w:r>
        <w:rPr>
          <w:rFonts w:hint="eastAsia" w:ascii="黑体" w:hAnsi="黑体" w:eastAsia="黑体" w:cs="黑体"/>
          <w:kern w:val="0"/>
          <w:sz w:val="32"/>
          <w:szCs w:val="32"/>
          <w:shd w:val="clear" w:color="auto" w:fill="FFFFFF"/>
        </w:rPr>
        <w:t>目   录</w:t>
      </w:r>
      <w:r>
        <w:rPr>
          <w:rFonts w:hint="eastAsia" w:ascii="黑体" w:hAnsi="黑体" w:eastAsia="黑体" w:cs="黑体"/>
          <w:color w:val="FF0000"/>
          <w:kern w:val="0"/>
          <w:sz w:val="32"/>
          <w:szCs w:val="32"/>
          <w:shd w:val="clear" w:color="auto" w:fill="FFFFFF"/>
        </w:rPr>
        <w:t>   </w:t>
      </w:r>
    </w:p>
    <w:p>
      <w:pPr>
        <w:ind w:firstLine="640" w:firstLineChars="200"/>
        <w:rPr>
          <w:rFonts w:hint="eastAsia" w:ascii="黑体" w:hAnsi="黑体" w:eastAsia="黑体" w:cs="黑体"/>
          <w:kern w:val="0"/>
          <w:sz w:val="32"/>
          <w:szCs w:val="32"/>
          <w:shd w:val="clear" w:color="auto" w:fill="FFFFFF"/>
        </w:rPr>
      </w:pPr>
      <w:r>
        <w:rPr>
          <w:rFonts w:hint="eastAsia" w:ascii="黑体" w:hAnsi="黑体" w:eastAsia="黑体" w:cs="黑体"/>
          <w:kern w:val="0"/>
          <w:sz w:val="32"/>
          <w:szCs w:val="32"/>
          <w:shd w:val="clear" w:color="auto" w:fill="FFFFFF"/>
        </w:rPr>
        <w:t>一、基本职能及主要工作</w:t>
      </w:r>
    </w:p>
    <w:p>
      <w:pPr>
        <w:ind w:firstLine="1280" w:firstLineChars="400"/>
        <w:rPr>
          <w:rFonts w:hint="eastAsia" w:ascii="黑体" w:hAnsi="黑体" w:eastAsia="黑体" w:cs="黑体"/>
          <w:kern w:val="0"/>
          <w:sz w:val="32"/>
          <w:szCs w:val="32"/>
          <w:shd w:val="clear" w:color="auto" w:fill="FFFFFF"/>
        </w:rPr>
      </w:pPr>
      <w:r>
        <w:rPr>
          <w:rFonts w:hint="eastAsia" w:ascii="黑体" w:hAnsi="黑体" w:eastAsia="黑体" w:cs="黑体"/>
          <w:kern w:val="0"/>
          <w:sz w:val="32"/>
          <w:szCs w:val="32"/>
          <w:shd w:val="clear" w:color="auto" w:fill="FFFFFF"/>
        </w:rPr>
        <w:t>（一）单位职能简介</w:t>
      </w:r>
    </w:p>
    <w:p>
      <w:pPr>
        <w:ind w:firstLine="1280" w:firstLineChars="400"/>
        <w:rPr>
          <w:rFonts w:hint="eastAsia" w:ascii="黑体" w:hAnsi="黑体" w:eastAsia="黑体" w:cs="黑体"/>
          <w:kern w:val="0"/>
          <w:sz w:val="32"/>
          <w:szCs w:val="32"/>
          <w:shd w:val="clear" w:color="auto" w:fill="FFFFFF"/>
        </w:rPr>
      </w:pPr>
      <w:r>
        <w:rPr>
          <w:rFonts w:hint="eastAsia" w:ascii="黑体" w:hAnsi="黑体" w:eastAsia="黑体" w:cs="黑体"/>
          <w:kern w:val="0"/>
          <w:sz w:val="32"/>
          <w:szCs w:val="32"/>
          <w:shd w:val="clear" w:color="auto" w:fill="FFFFFF"/>
        </w:rPr>
        <w:t>（二）单位2022年重点工作</w:t>
      </w:r>
    </w:p>
    <w:p>
      <w:pPr>
        <w:ind w:firstLine="640" w:firstLineChars="200"/>
        <w:rPr>
          <w:rFonts w:ascii="黑体" w:hAnsi="黑体" w:eastAsia="黑体" w:cs="黑体"/>
          <w:kern w:val="0"/>
          <w:sz w:val="32"/>
          <w:szCs w:val="32"/>
          <w:shd w:val="clear" w:color="auto" w:fill="FFFFFF"/>
        </w:rPr>
      </w:pPr>
      <w:r>
        <w:rPr>
          <w:rFonts w:hint="eastAsia" w:ascii="黑体" w:hAnsi="黑体" w:eastAsia="黑体" w:cs="黑体"/>
          <w:kern w:val="0"/>
          <w:sz w:val="32"/>
          <w:szCs w:val="32"/>
          <w:shd w:val="clear" w:color="auto" w:fill="FFFFFF"/>
        </w:rPr>
        <w:t>二、部门预算单位构成</w:t>
      </w:r>
    </w:p>
    <w:p>
      <w:pPr>
        <w:ind w:firstLine="640" w:firstLineChars="200"/>
        <w:rPr>
          <w:rFonts w:ascii="黑体" w:hAnsi="黑体" w:eastAsia="黑体" w:cs="黑体"/>
          <w:kern w:val="0"/>
          <w:sz w:val="32"/>
          <w:szCs w:val="32"/>
          <w:shd w:val="clear" w:color="auto" w:fill="FFFFFF"/>
        </w:rPr>
      </w:pPr>
      <w:r>
        <w:rPr>
          <w:rFonts w:hint="eastAsia" w:ascii="黑体" w:hAnsi="黑体" w:eastAsia="黑体" w:cs="黑体"/>
          <w:kern w:val="0"/>
          <w:sz w:val="32"/>
          <w:szCs w:val="32"/>
          <w:shd w:val="clear" w:color="auto" w:fill="FFFFFF"/>
        </w:rPr>
        <w:t>三、收支预算情况说明</w:t>
      </w:r>
    </w:p>
    <w:p>
      <w:pPr>
        <w:ind w:firstLine="1280" w:firstLineChars="400"/>
        <w:rPr>
          <w:rFonts w:ascii="黑体" w:hAnsi="黑体" w:eastAsia="黑体" w:cs="黑体"/>
          <w:kern w:val="0"/>
          <w:sz w:val="32"/>
          <w:szCs w:val="32"/>
          <w:shd w:val="clear" w:color="auto" w:fill="FFFFFF"/>
        </w:rPr>
      </w:pPr>
      <w:r>
        <w:rPr>
          <w:rFonts w:hint="eastAsia" w:ascii="黑体" w:hAnsi="黑体" w:eastAsia="黑体" w:cs="黑体"/>
          <w:kern w:val="0"/>
          <w:sz w:val="32"/>
          <w:szCs w:val="32"/>
          <w:shd w:val="clear" w:color="auto" w:fill="FFFFFF"/>
        </w:rPr>
        <w:t>（一）收入预算情况</w:t>
      </w:r>
    </w:p>
    <w:p>
      <w:pPr>
        <w:ind w:firstLine="1280" w:firstLineChars="400"/>
        <w:rPr>
          <w:rFonts w:ascii="黑体" w:hAnsi="黑体" w:eastAsia="黑体" w:cs="黑体"/>
          <w:kern w:val="0"/>
          <w:sz w:val="32"/>
          <w:szCs w:val="32"/>
          <w:shd w:val="clear" w:color="auto" w:fill="FFFFFF"/>
        </w:rPr>
      </w:pPr>
      <w:r>
        <w:rPr>
          <w:rFonts w:hint="eastAsia" w:ascii="黑体" w:hAnsi="黑体" w:eastAsia="黑体" w:cs="黑体"/>
          <w:kern w:val="0"/>
          <w:sz w:val="32"/>
          <w:szCs w:val="32"/>
          <w:shd w:val="clear" w:color="auto" w:fill="FFFFFF"/>
        </w:rPr>
        <w:t>（二）支出预算情况</w:t>
      </w:r>
    </w:p>
    <w:p>
      <w:pPr>
        <w:ind w:firstLine="640" w:firstLineChars="200"/>
        <w:rPr>
          <w:rFonts w:ascii="黑体" w:hAnsi="黑体" w:eastAsia="黑体" w:cs="黑体"/>
          <w:kern w:val="0"/>
          <w:sz w:val="32"/>
          <w:szCs w:val="32"/>
          <w:shd w:val="clear" w:color="auto" w:fill="FFFFFF"/>
        </w:rPr>
      </w:pPr>
      <w:r>
        <w:rPr>
          <w:rFonts w:hint="eastAsia" w:ascii="黑体" w:hAnsi="黑体" w:eastAsia="黑体" w:cs="黑体"/>
          <w:kern w:val="0"/>
          <w:sz w:val="32"/>
          <w:szCs w:val="32"/>
          <w:shd w:val="clear" w:color="auto" w:fill="FFFFFF"/>
        </w:rPr>
        <w:t>四、财政拨款收支预算情况说明</w:t>
      </w:r>
    </w:p>
    <w:p>
      <w:pPr>
        <w:ind w:firstLine="640" w:firstLineChars="200"/>
        <w:rPr>
          <w:rFonts w:ascii="黑体" w:hAnsi="黑体" w:eastAsia="黑体" w:cs="黑体"/>
          <w:kern w:val="0"/>
          <w:sz w:val="32"/>
          <w:szCs w:val="32"/>
          <w:shd w:val="clear" w:color="auto" w:fill="FFFFFF"/>
        </w:rPr>
      </w:pPr>
      <w:r>
        <w:rPr>
          <w:rFonts w:hint="eastAsia" w:ascii="黑体" w:hAnsi="黑体" w:eastAsia="黑体" w:cs="黑体"/>
          <w:kern w:val="0"/>
          <w:sz w:val="32"/>
          <w:szCs w:val="32"/>
          <w:shd w:val="clear" w:color="auto" w:fill="FFFFFF"/>
        </w:rPr>
        <w:t>五、一般公共预算当年拨款情况说明</w:t>
      </w:r>
    </w:p>
    <w:p>
      <w:pPr>
        <w:ind w:firstLine="1280" w:firstLineChars="400"/>
        <w:rPr>
          <w:rFonts w:ascii="黑体" w:hAnsi="黑体" w:eastAsia="黑体" w:cs="黑体"/>
          <w:kern w:val="0"/>
          <w:sz w:val="32"/>
          <w:szCs w:val="32"/>
          <w:shd w:val="clear" w:color="auto" w:fill="FFFFFF"/>
        </w:rPr>
      </w:pPr>
      <w:r>
        <w:rPr>
          <w:rFonts w:hint="eastAsia" w:ascii="黑体" w:hAnsi="黑体" w:eastAsia="黑体" w:cs="黑体"/>
          <w:kern w:val="0"/>
          <w:sz w:val="32"/>
          <w:szCs w:val="32"/>
          <w:shd w:val="clear" w:color="auto" w:fill="FFFFFF"/>
        </w:rPr>
        <w:t>（一）一般公共预算当年拨款规模变化情况</w:t>
      </w:r>
    </w:p>
    <w:p>
      <w:pPr>
        <w:ind w:firstLine="1280" w:firstLineChars="400"/>
        <w:rPr>
          <w:rFonts w:ascii="黑体" w:hAnsi="黑体" w:eastAsia="黑体" w:cs="黑体"/>
          <w:kern w:val="0"/>
          <w:sz w:val="32"/>
          <w:szCs w:val="32"/>
          <w:shd w:val="clear" w:color="auto" w:fill="FFFFFF"/>
        </w:rPr>
      </w:pPr>
      <w:r>
        <w:rPr>
          <w:rFonts w:hint="eastAsia" w:ascii="黑体" w:hAnsi="黑体" w:eastAsia="黑体" w:cs="黑体"/>
          <w:kern w:val="0"/>
          <w:sz w:val="32"/>
          <w:szCs w:val="32"/>
          <w:shd w:val="clear" w:color="auto" w:fill="FFFFFF"/>
        </w:rPr>
        <w:t>（二）一般公共预算当年拨款结构情况</w:t>
      </w:r>
    </w:p>
    <w:p>
      <w:pPr>
        <w:ind w:firstLine="1280" w:firstLineChars="400"/>
        <w:rPr>
          <w:rFonts w:ascii="黑体" w:hAnsi="黑体" w:eastAsia="黑体" w:cs="黑体"/>
          <w:kern w:val="0"/>
          <w:sz w:val="32"/>
          <w:szCs w:val="32"/>
          <w:shd w:val="clear" w:color="auto" w:fill="FFFFFF"/>
        </w:rPr>
      </w:pPr>
      <w:r>
        <w:rPr>
          <w:rFonts w:hint="eastAsia" w:ascii="黑体" w:hAnsi="黑体" w:eastAsia="黑体" w:cs="黑体"/>
          <w:kern w:val="0"/>
          <w:sz w:val="32"/>
          <w:szCs w:val="32"/>
          <w:shd w:val="clear" w:color="auto" w:fill="FFFFFF"/>
        </w:rPr>
        <w:t>（三）一般公共预算当年拨款具体使用情况</w:t>
      </w:r>
    </w:p>
    <w:p>
      <w:pPr>
        <w:ind w:firstLine="640" w:firstLineChars="200"/>
        <w:rPr>
          <w:rFonts w:ascii="黑体" w:hAnsi="黑体" w:eastAsia="黑体" w:cs="黑体"/>
          <w:kern w:val="0"/>
          <w:sz w:val="32"/>
          <w:szCs w:val="32"/>
          <w:shd w:val="clear" w:color="auto" w:fill="FFFFFF"/>
        </w:rPr>
      </w:pPr>
      <w:r>
        <w:rPr>
          <w:rFonts w:hint="eastAsia" w:ascii="黑体" w:hAnsi="黑体" w:eastAsia="黑体" w:cs="黑体"/>
          <w:kern w:val="0"/>
          <w:sz w:val="32"/>
          <w:szCs w:val="32"/>
          <w:shd w:val="clear" w:color="auto" w:fill="FFFFFF"/>
        </w:rPr>
        <w:t>六、一般公共预算基本支出情况说明</w:t>
      </w:r>
    </w:p>
    <w:p>
      <w:pPr>
        <w:ind w:firstLine="640" w:firstLineChars="200"/>
        <w:rPr>
          <w:rFonts w:ascii="黑体" w:hAnsi="黑体" w:eastAsia="黑体" w:cs="黑体"/>
          <w:kern w:val="0"/>
          <w:sz w:val="32"/>
          <w:szCs w:val="32"/>
          <w:shd w:val="clear" w:color="auto" w:fill="FFFFFF"/>
        </w:rPr>
      </w:pPr>
      <w:r>
        <w:rPr>
          <w:rFonts w:hint="eastAsia" w:ascii="黑体" w:hAnsi="黑体" w:eastAsia="黑体" w:cs="黑体"/>
          <w:kern w:val="0"/>
          <w:sz w:val="32"/>
          <w:szCs w:val="32"/>
          <w:shd w:val="clear" w:color="auto" w:fill="FFFFFF"/>
        </w:rPr>
        <w:t>七、“三公”经费财政拨款预算安排情况说明</w:t>
      </w:r>
    </w:p>
    <w:p>
      <w:pPr>
        <w:ind w:firstLine="1280" w:firstLineChars="400"/>
        <w:rPr>
          <w:rFonts w:ascii="黑体" w:hAnsi="黑体" w:eastAsia="黑体" w:cs="黑体"/>
          <w:kern w:val="0"/>
          <w:sz w:val="32"/>
          <w:szCs w:val="32"/>
          <w:shd w:val="clear" w:color="auto" w:fill="FFFFFF"/>
        </w:rPr>
      </w:pPr>
      <w:r>
        <w:rPr>
          <w:rFonts w:hint="eastAsia" w:ascii="黑体" w:hAnsi="黑体" w:eastAsia="黑体" w:cs="黑体"/>
          <w:kern w:val="0"/>
          <w:sz w:val="32"/>
          <w:szCs w:val="32"/>
          <w:shd w:val="clear" w:color="auto" w:fill="FFFFFF"/>
        </w:rPr>
        <w:t>（一）公务接待费与2021年预算相比。</w:t>
      </w:r>
    </w:p>
    <w:p>
      <w:pPr>
        <w:ind w:firstLine="1280" w:firstLineChars="400"/>
        <w:rPr>
          <w:rFonts w:ascii="黑体" w:hAnsi="黑体" w:eastAsia="黑体" w:cs="黑体"/>
          <w:kern w:val="0"/>
          <w:sz w:val="32"/>
          <w:szCs w:val="32"/>
          <w:shd w:val="clear" w:color="auto" w:fill="FFFFFF"/>
        </w:rPr>
      </w:pPr>
      <w:r>
        <w:rPr>
          <w:rFonts w:hint="eastAsia" w:ascii="黑体" w:hAnsi="黑体" w:eastAsia="黑体" w:cs="黑体"/>
          <w:kern w:val="0"/>
          <w:sz w:val="32"/>
          <w:szCs w:val="32"/>
          <w:shd w:val="clear" w:color="auto" w:fill="FFFFFF"/>
        </w:rPr>
        <w:t>（二）公务用车购置及运行维护费与2021年预算相比。</w:t>
      </w:r>
    </w:p>
    <w:p>
      <w:pPr>
        <w:ind w:firstLine="1280" w:firstLineChars="400"/>
        <w:rPr>
          <w:rFonts w:ascii="黑体" w:hAnsi="黑体" w:eastAsia="黑体" w:cs="黑体"/>
          <w:kern w:val="0"/>
          <w:sz w:val="32"/>
          <w:szCs w:val="32"/>
          <w:shd w:val="clear" w:color="auto" w:fill="FFFFFF"/>
        </w:rPr>
      </w:pPr>
      <w:r>
        <w:rPr>
          <w:rFonts w:hint="eastAsia" w:ascii="黑体" w:hAnsi="黑体" w:eastAsia="黑体" w:cs="黑体"/>
          <w:kern w:val="0"/>
          <w:sz w:val="32"/>
          <w:szCs w:val="32"/>
          <w:shd w:val="clear" w:color="auto" w:fill="FFFFFF"/>
        </w:rPr>
        <w:t>（三）因公出国（境）经费与2021年预算相比。</w:t>
      </w:r>
    </w:p>
    <w:p>
      <w:pPr>
        <w:ind w:firstLine="640" w:firstLineChars="200"/>
        <w:rPr>
          <w:rFonts w:ascii="黑体" w:hAnsi="黑体" w:eastAsia="黑体" w:cs="黑体"/>
          <w:kern w:val="0"/>
          <w:sz w:val="32"/>
          <w:szCs w:val="32"/>
          <w:shd w:val="clear" w:color="auto" w:fill="FFFFFF"/>
        </w:rPr>
      </w:pPr>
      <w:r>
        <w:rPr>
          <w:rFonts w:hint="eastAsia" w:ascii="黑体" w:hAnsi="黑体" w:eastAsia="黑体" w:cs="黑体"/>
          <w:kern w:val="0"/>
          <w:sz w:val="32"/>
          <w:szCs w:val="32"/>
          <w:shd w:val="clear" w:color="auto" w:fill="FFFFFF"/>
        </w:rPr>
        <w:t>八、政府性基金预算支出情况说明</w:t>
      </w:r>
    </w:p>
    <w:p>
      <w:pPr>
        <w:ind w:firstLine="640" w:firstLineChars="200"/>
        <w:rPr>
          <w:rFonts w:ascii="黑体" w:hAnsi="黑体" w:eastAsia="黑体" w:cs="黑体"/>
          <w:kern w:val="0"/>
          <w:sz w:val="32"/>
          <w:szCs w:val="32"/>
          <w:shd w:val="clear" w:color="auto" w:fill="FFFFFF"/>
        </w:rPr>
      </w:pPr>
      <w:r>
        <w:rPr>
          <w:rFonts w:hint="eastAsia" w:ascii="黑体" w:hAnsi="黑体" w:eastAsia="黑体" w:cs="黑体"/>
          <w:kern w:val="0"/>
          <w:sz w:val="32"/>
          <w:szCs w:val="32"/>
          <w:shd w:val="clear" w:color="auto" w:fill="FFFFFF"/>
        </w:rPr>
        <w:t>九、国有资本经营预算支出情况说明</w:t>
      </w:r>
    </w:p>
    <w:p>
      <w:pPr>
        <w:ind w:firstLine="640" w:firstLineChars="200"/>
        <w:rPr>
          <w:rFonts w:ascii="黑体" w:hAnsi="黑体" w:eastAsia="黑体" w:cs="黑体"/>
          <w:kern w:val="0"/>
          <w:sz w:val="32"/>
          <w:szCs w:val="32"/>
          <w:shd w:val="clear" w:color="auto" w:fill="FFFFFF"/>
        </w:rPr>
      </w:pPr>
      <w:r>
        <w:rPr>
          <w:rFonts w:hint="eastAsia" w:ascii="黑体" w:hAnsi="黑体" w:eastAsia="黑体" w:cs="黑体"/>
          <w:kern w:val="0"/>
          <w:sz w:val="32"/>
          <w:szCs w:val="32"/>
          <w:shd w:val="clear" w:color="auto" w:fill="FFFFFF"/>
        </w:rPr>
        <w:t>十、其他重要事项的情况说明</w:t>
      </w:r>
    </w:p>
    <w:p>
      <w:pPr>
        <w:ind w:firstLine="960" w:firstLineChars="300"/>
        <w:rPr>
          <w:rFonts w:ascii="黑体" w:hAnsi="黑体" w:eastAsia="黑体" w:cs="黑体"/>
          <w:kern w:val="0"/>
          <w:sz w:val="32"/>
          <w:szCs w:val="32"/>
          <w:shd w:val="clear" w:color="auto" w:fill="FFFFFF"/>
        </w:rPr>
      </w:pPr>
      <w:r>
        <w:rPr>
          <w:rFonts w:hint="eastAsia" w:ascii="黑体" w:hAnsi="黑体" w:eastAsia="黑体" w:cs="黑体"/>
          <w:kern w:val="0"/>
          <w:sz w:val="32"/>
          <w:szCs w:val="32"/>
          <w:shd w:val="clear" w:color="auto" w:fill="FFFFFF"/>
        </w:rPr>
        <w:t>（一）机关运行经费</w:t>
      </w:r>
    </w:p>
    <w:p>
      <w:pPr>
        <w:ind w:firstLine="960" w:firstLineChars="300"/>
        <w:rPr>
          <w:rFonts w:ascii="黑体" w:hAnsi="黑体" w:eastAsia="黑体" w:cs="黑体"/>
          <w:kern w:val="0"/>
          <w:sz w:val="32"/>
          <w:szCs w:val="32"/>
          <w:shd w:val="clear" w:color="auto" w:fill="FFFFFF"/>
        </w:rPr>
      </w:pPr>
      <w:r>
        <w:rPr>
          <w:rFonts w:hint="eastAsia" w:ascii="黑体" w:hAnsi="黑体" w:eastAsia="黑体" w:cs="黑体"/>
          <w:kern w:val="0"/>
          <w:sz w:val="32"/>
          <w:szCs w:val="32"/>
          <w:shd w:val="clear" w:color="auto" w:fill="FFFFFF"/>
        </w:rPr>
        <w:t>（二）政府采购情况</w:t>
      </w:r>
    </w:p>
    <w:p>
      <w:pPr>
        <w:ind w:firstLine="960" w:firstLineChars="300"/>
        <w:rPr>
          <w:rFonts w:ascii="黑体" w:hAnsi="黑体" w:eastAsia="黑体" w:cs="黑体"/>
          <w:kern w:val="0"/>
          <w:sz w:val="32"/>
          <w:szCs w:val="32"/>
          <w:shd w:val="clear" w:color="auto" w:fill="FFFFFF"/>
        </w:rPr>
      </w:pPr>
      <w:r>
        <w:rPr>
          <w:rFonts w:hint="eastAsia" w:ascii="黑体" w:hAnsi="黑体" w:eastAsia="黑体" w:cs="黑体"/>
          <w:kern w:val="0"/>
          <w:sz w:val="32"/>
          <w:szCs w:val="32"/>
          <w:shd w:val="clear" w:color="auto" w:fill="FFFFFF"/>
        </w:rPr>
        <w:t>（三）国有资产占有使用情况</w:t>
      </w:r>
    </w:p>
    <w:p>
      <w:pPr>
        <w:ind w:firstLine="960" w:firstLineChars="300"/>
        <w:rPr>
          <w:rFonts w:ascii="黑体" w:hAnsi="黑体" w:eastAsia="黑体" w:cs="黑体"/>
          <w:kern w:val="0"/>
          <w:sz w:val="32"/>
          <w:szCs w:val="32"/>
          <w:shd w:val="clear" w:color="auto" w:fill="FFFFFF"/>
        </w:rPr>
      </w:pPr>
      <w:r>
        <w:rPr>
          <w:rFonts w:hint="eastAsia" w:ascii="黑体" w:hAnsi="黑体" w:eastAsia="黑体" w:cs="黑体"/>
          <w:kern w:val="0"/>
          <w:sz w:val="32"/>
          <w:szCs w:val="32"/>
          <w:shd w:val="clear" w:color="auto" w:fill="FFFFFF"/>
        </w:rPr>
        <w:t>（四）绩效目标设置情况</w:t>
      </w:r>
    </w:p>
    <w:p>
      <w:pPr>
        <w:ind w:firstLine="640" w:firstLineChars="200"/>
        <w:rPr>
          <w:rFonts w:ascii="黑体" w:hAnsi="黑体" w:eastAsia="黑体" w:cs="黑体"/>
          <w:kern w:val="0"/>
          <w:sz w:val="32"/>
          <w:szCs w:val="32"/>
          <w:shd w:val="clear" w:color="auto" w:fill="FFFFFF"/>
        </w:rPr>
      </w:pPr>
      <w:r>
        <w:rPr>
          <w:rFonts w:hint="eastAsia" w:ascii="黑体" w:hAnsi="黑体" w:eastAsia="黑体" w:cs="黑体"/>
          <w:kern w:val="0"/>
          <w:sz w:val="32"/>
          <w:szCs w:val="32"/>
          <w:shd w:val="clear" w:color="auto" w:fill="FFFFFF"/>
        </w:rPr>
        <w:t>十一、名词解释</w:t>
      </w:r>
    </w:p>
    <w:p>
      <w:pPr>
        <w:widowControl/>
        <w:shd w:val="clear" w:color="auto" w:fill="FFFFFF"/>
        <w:spacing w:line="580" w:lineRule="atLeast"/>
        <w:jc w:val="center"/>
        <w:rPr>
          <w:rFonts w:ascii="方正小标宋简体" w:hAnsi="方正小标宋简体" w:eastAsia="方正小标宋简体" w:cs="方正小标宋简体"/>
          <w:color w:val="333333"/>
          <w:kern w:val="0"/>
          <w:sz w:val="44"/>
          <w:szCs w:val="44"/>
          <w:shd w:val="clear" w:color="auto" w:fill="FFFFFF"/>
        </w:rPr>
      </w:pPr>
    </w:p>
    <w:p>
      <w:pPr>
        <w:widowControl/>
        <w:shd w:val="clear" w:color="auto" w:fill="FFFFFF"/>
        <w:spacing w:line="580" w:lineRule="atLeast"/>
        <w:jc w:val="center"/>
        <w:rPr>
          <w:rFonts w:ascii="方正小标宋简体" w:hAnsi="方正小标宋简体" w:eastAsia="方正小标宋简体" w:cs="方正小标宋简体"/>
          <w:color w:val="333333"/>
          <w:kern w:val="0"/>
          <w:sz w:val="44"/>
          <w:szCs w:val="44"/>
          <w:shd w:val="clear" w:color="auto" w:fill="FFFFFF"/>
        </w:rPr>
      </w:pPr>
    </w:p>
    <w:p>
      <w:pPr>
        <w:widowControl/>
        <w:shd w:val="clear" w:color="auto" w:fill="FFFFFF"/>
        <w:spacing w:line="580" w:lineRule="atLeast"/>
        <w:jc w:val="center"/>
        <w:rPr>
          <w:rFonts w:ascii="方正小标宋简体" w:hAnsi="方正小标宋简体" w:eastAsia="方正小标宋简体" w:cs="方正小标宋简体"/>
          <w:color w:val="333333"/>
          <w:kern w:val="0"/>
          <w:sz w:val="44"/>
          <w:szCs w:val="44"/>
          <w:shd w:val="clear" w:color="auto" w:fill="FFFFFF"/>
        </w:rPr>
      </w:pPr>
    </w:p>
    <w:p>
      <w:pPr>
        <w:widowControl/>
        <w:shd w:val="clear" w:color="auto" w:fill="FFFFFF"/>
        <w:spacing w:line="580" w:lineRule="atLeast"/>
        <w:jc w:val="center"/>
        <w:rPr>
          <w:rFonts w:ascii="方正小标宋简体" w:hAnsi="方正小标宋简体" w:eastAsia="方正小标宋简体" w:cs="方正小标宋简体"/>
          <w:color w:val="333333"/>
          <w:kern w:val="0"/>
          <w:sz w:val="44"/>
          <w:szCs w:val="44"/>
          <w:shd w:val="clear" w:color="auto" w:fill="FFFFFF"/>
        </w:rPr>
      </w:pPr>
    </w:p>
    <w:p>
      <w:pPr>
        <w:widowControl/>
        <w:shd w:val="clear" w:color="auto" w:fill="FFFFFF"/>
        <w:spacing w:line="580" w:lineRule="atLeast"/>
        <w:jc w:val="center"/>
        <w:rPr>
          <w:rFonts w:ascii="方正小标宋简体" w:hAnsi="方正小标宋简体" w:eastAsia="方正小标宋简体" w:cs="方正小标宋简体"/>
          <w:color w:val="333333"/>
          <w:kern w:val="0"/>
          <w:sz w:val="44"/>
          <w:szCs w:val="44"/>
          <w:shd w:val="clear" w:color="auto" w:fill="FFFFFF"/>
        </w:rPr>
      </w:pPr>
    </w:p>
    <w:p>
      <w:pPr>
        <w:widowControl/>
        <w:shd w:val="clear" w:color="auto" w:fill="FFFFFF"/>
        <w:spacing w:line="580" w:lineRule="atLeast"/>
        <w:jc w:val="center"/>
        <w:rPr>
          <w:rFonts w:ascii="方正小标宋简体" w:hAnsi="方正小标宋简体" w:eastAsia="方正小标宋简体" w:cs="方正小标宋简体"/>
          <w:color w:val="333333"/>
          <w:kern w:val="0"/>
          <w:sz w:val="44"/>
          <w:szCs w:val="44"/>
          <w:shd w:val="clear" w:color="auto" w:fill="FFFFFF"/>
        </w:rPr>
      </w:pPr>
    </w:p>
    <w:p>
      <w:pPr>
        <w:widowControl/>
        <w:shd w:val="clear" w:color="auto" w:fill="FFFFFF"/>
        <w:spacing w:line="580" w:lineRule="atLeast"/>
        <w:jc w:val="center"/>
        <w:rPr>
          <w:rFonts w:ascii="方正小标宋简体" w:hAnsi="方正小标宋简体" w:eastAsia="方正小标宋简体" w:cs="方正小标宋简体"/>
          <w:color w:val="333333"/>
          <w:kern w:val="0"/>
          <w:sz w:val="44"/>
          <w:szCs w:val="44"/>
          <w:shd w:val="clear" w:color="auto" w:fill="FFFFFF"/>
        </w:rPr>
      </w:pPr>
    </w:p>
    <w:p>
      <w:pPr>
        <w:widowControl/>
        <w:shd w:val="clear" w:color="auto" w:fill="FFFFFF"/>
        <w:spacing w:line="580" w:lineRule="atLeast"/>
        <w:jc w:val="center"/>
        <w:rPr>
          <w:rFonts w:ascii="方正小标宋简体" w:hAnsi="方正小标宋简体" w:eastAsia="方正小标宋简体" w:cs="方正小标宋简体"/>
          <w:color w:val="333333"/>
          <w:kern w:val="0"/>
          <w:sz w:val="44"/>
          <w:szCs w:val="44"/>
          <w:shd w:val="clear" w:color="auto" w:fill="FFFFFF"/>
        </w:rPr>
      </w:pPr>
    </w:p>
    <w:p>
      <w:pPr>
        <w:widowControl/>
        <w:shd w:val="clear" w:color="auto" w:fill="FFFFFF"/>
        <w:spacing w:line="580" w:lineRule="atLeast"/>
        <w:jc w:val="center"/>
        <w:rPr>
          <w:rFonts w:ascii="方正小标宋简体" w:hAnsi="方正小标宋简体" w:eastAsia="方正小标宋简体" w:cs="方正小标宋简体"/>
          <w:color w:val="333333"/>
          <w:kern w:val="0"/>
          <w:sz w:val="44"/>
          <w:szCs w:val="44"/>
          <w:shd w:val="clear" w:color="auto" w:fill="FFFFFF"/>
        </w:rPr>
      </w:pPr>
    </w:p>
    <w:p>
      <w:pPr>
        <w:widowControl/>
        <w:shd w:val="clear" w:color="auto" w:fill="FFFFFF"/>
        <w:spacing w:line="580" w:lineRule="atLeast"/>
        <w:jc w:val="center"/>
        <w:rPr>
          <w:rFonts w:ascii="方正小标宋简体" w:hAnsi="方正小标宋简体" w:eastAsia="方正小标宋简体" w:cs="方正小标宋简体"/>
          <w:color w:val="333333"/>
          <w:kern w:val="0"/>
          <w:sz w:val="44"/>
          <w:szCs w:val="44"/>
          <w:shd w:val="clear" w:color="auto" w:fill="FFFFFF"/>
        </w:rPr>
      </w:pPr>
    </w:p>
    <w:p>
      <w:pPr>
        <w:widowControl/>
        <w:shd w:val="clear" w:color="auto" w:fill="FFFFFF"/>
        <w:spacing w:line="580" w:lineRule="atLeast"/>
        <w:jc w:val="center"/>
        <w:rPr>
          <w:rFonts w:ascii="方正小标宋简体" w:hAnsi="方正小标宋简体" w:eastAsia="方正小标宋简体" w:cs="方正小标宋简体"/>
          <w:color w:val="333333"/>
          <w:kern w:val="0"/>
          <w:sz w:val="44"/>
          <w:szCs w:val="44"/>
          <w:shd w:val="clear" w:color="auto" w:fill="FFFFFF"/>
        </w:rPr>
      </w:pPr>
    </w:p>
    <w:p>
      <w:pPr>
        <w:widowControl/>
        <w:shd w:val="clear" w:color="auto" w:fill="FFFFFF"/>
        <w:spacing w:line="580" w:lineRule="atLeast"/>
        <w:jc w:val="center"/>
        <w:rPr>
          <w:rFonts w:ascii="Times New Roman" w:hAnsi="Times New Roman"/>
          <w:color w:val="333333"/>
          <w:sz w:val="32"/>
          <w:szCs w:val="32"/>
        </w:rPr>
      </w:pPr>
      <w:r>
        <w:rPr>
          <w:rFonts w:hint="eastAsia" w:ascii="方正小标宋简体" w:hAnsi="方正小标宋简体" w:eastAsia="方正小标宋简体" w:cs="方正小标宋简体"/>
          <w:color w:val="333333"/>
          <w:kern w:val="0"/>
          <w:sz w:val="44"/>
          <w:szCs w:val="44"/>
          <w:shd w:val="clear" w:color="auto" w:fill="FFFFFF"/>
        </w:rPr>
        <w:t>广元市农业农村局</w:t>
      </w:r>
    </w:p>
    <w:p>
      <w:pPr>
        <w:widowControl/>
        <w:shd w:val="clear" w:color="auto" w:fill="FFFFFF"/>
        <w:spacing w:line="580" w:lineRule="atLeast"/>
        <w:jc w:val="center"/>
        <w:rPr>
          <w:rFonts w:hint="eastAsia" w:ascii="方正小标宋简体" w:hAnsi="方正小标宋简体" w:eastAsia="方正小标宋简体" w:cs="方正小标宋简体"/>
          <w:color w:val="333333"/>
          <w:kern w:val="0"/>
          <w:sz w:val="44"/>
          <w:szCs w:val="44"/>
          <w:shd w:val="clear" w:color="auto" w:fill="FFFFFF"/>
        </w:rPr>
      </w:pPr>
      <w:r>
        <w:rPr>
          <w:rFonts w:hint="eastAsia" w:ascii="方正小标宋简体" w:hAnsi="方正小标宋简体" w:eastAsia="方正小标宋简体" w:cs="方正小标宋简体"/>
          <w:color w:val="333333"/>
          <w:kern w:val="0"/>
          <w:sz w:val="44"/>
          <w:szCs w:val="44"/>
          <w:shd w:val="clear" w:color="auto" w:fill="FFFFFF"/>
        </w:rPr>
        <w:t>2022年部门预算编制说明</w:t>
      </w:r>
    </w:p>
    <w:p>
      <w:pPr>
        <w:pStyle w:val="9"/>
        <w:widowControl/>
        <w:shd w:val="clear" w:color="auto" w:fill="FFFFFF"/>
        <w:spacing w:line="550" w:lineRule="exact"/>
        <w:ind w:firstLine="640" w:firstLineChars="200"/>
        <w:rPr>
          <w:rFonts w:hint="eastAsia" w:ascii="Times New Roman" w:hAnsi="Times New Roman"/>
          <w:color w:val="333333"/>
          <w:sz w:val="32"/>
          <w:szCs w:val="32"/>
        </w:rPr>
      </w:pPr>
    </w:p>
    <w:p>
      <w:pPr>
        <w:pStyle w:val="9"/>
        <w:widowControl/>
        <w:shd w:val="clear" w:color="auto" w:fill="FFFFFF"/>
        <w:spacing w:line="550" w:lineRule="exact"/>
        <w:ind w:firstLine="640" w:firstLineChars="200"/>
        <w:rPr>
          <w:rFonts w:ascii="黑体" w:hAnsi="黑体" w:eastAsia="黑体" w:cs="黑体"/>
          <w:sz w:val="32"/>
          <w:szCs w:val="32"/>
        </w:rPr>
      </w:pPr>
      <w:r>
        <w:rPr>
          <w:rFonts w:hint="eastAsia" w:ascii="黑体" w:hAnsi="黑体" w:eastAsia="黑体" w:cs="黑体"/>
          <w:kern w:val="0"/>
          <w:sz w:val="32"/>
          <w:szCs w:val="32"/>
          <w:shd w:val="clear" w:color="auto" w:fill="FFFFFF"/>
        </w:rPr>
        <w:t>一、基本职能及主要工作</w:t>
      </w:r>
    </w:p>
    <w:p>
      <w:pPr>
        <w:pStyle w:val="9"/>
        <w:widowControl/>
        <w:shd w:val="clear" w:color="auto" w:fill="FFFFFF"/>
        <w:spacing w:line="550" w:lineRule="exact"/>
        <w:ind w:firstLine="640" w:firstLineChars="200"/>
        <w:rPr>
          <w:rFonts w:ascii="楷体_GB2312" w:hAnsi="楷体_GB2312" w:eastAsia="楷体_GB2312" w:cs="楷体_GB2312"/>
          <w:bCs/>
          <w:sz w:val="32"/>
          <w:szCs w:val="32"/>
          <w:shd w:val="clear" w:color="auto" w:fill="FFFFFF"/>
        </w:rPr>
      </w:pPr>
      <w:r>
        <w:rPr>
          <w:rFonts w:hint="eastAsia" w:ascii="楷体_GB2312" w:hAnsi="楷体_GB2312" w:eastAsia="楷体_GB2312" w:cs="楷体_GB2312"/>
          <w:bCs/>
          <w:sz w:val="32"/>
          <w:szCs w:val="32"/>
          <w:shd w:val="clear" w:color="auto" w:fill="FFFFFF"/>
        </w:rPr>
        <w:t>（一）市农业农村局职能简介</w:t>
      </w:r>
    </w:p>
    <w:p>
      <w:pPr>
        <w:pStyle w:val="9"/>
        <w:widowControl/>
        <w:shd w:val="clear" w:color="auto" w:fill="FFFFFF"/>
        <w:spacing w:line="550" w:lineRule="exact"/>
        <w:ind w:firstLine="640" w:firstLineChars="200"/>
        <w:rPr>
          <w:rFonts w:ascii="仿宋_GB2312" w:hAnsi="仿宋_GB2312" w:eastAsia="仿宋_GB2312" w:cs="仿宋_GB2312"/>
          <w:bCs/>
          <w:sz w:val="32"/>
          <w:szCs w:val="32"/>
          <w:shd w:val="clear" w:color="auto" w:fill="FFFFFF"/>
        </w:rPr>
      </w:pPr>
      <w:r>
        <w:rPr>
          <w:rFonts w:hint="eastAsia" w:ascii="仿宋_GB2312" w:hAnsi="仿宋_GB2312" w:eastAsia="仿宋_GB2312" w:cs="仿宋_GB2312"/>
          <w:bCs/>
          <w:sz w:val="32"/>
          <w:szCs w:val="32"/>
        </w:rPr>
        <w:t xml:space="preserve">1.统筹研究和组织实施全市“三农”工作的发展战略、中长期规划、重大政策。组织起草“三农”有关地方性法规、规章草案。贯彻执行国家有关种植业、畜牧业、渔业、农业机械化等农业农村领域工作的法律、法规、政策以及省委省政府、市委市政府关于“三农”方面的决策部署。参与涉农的财税、价格、收储、金融保险、进出口等政策制定。 </w:t>
      </w:r>
    </w:p>
    <w:p>
      <w:pPr>
        <w:pStyle w:val="3"/>
        <w:adjustRightInd w:val="0"/>
        <w:snapToGrid w:val="0"/>
        <w:spacing w:after="0" w:line="550" w:lineRule="exact"/>
        <w:ind w:firstLine="640" w:firstLineChars="200"/>
        <w:outlineLvl w:val="2"/>
        <w:rPr>
          <w:rFonts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2.统筹实施乡村振兴战略，牵头组织改善全市农村人居环境。统筹推动发展农村社会事业、农村公共服务、农村文化、农村基础设施和乡村治理。指导农业遗产的保护传承和开发利用。指导农村精神文明和优秀农耕文化建设。 </w:t>
      </w:r>
    </w:p>
    <w:p>
      <w:pPr>
        <w:pStyle w:val="3"/>
        <w:adjustRightInd w:val="0"/>
        <w:snapToGrid w:val="0"/>
        <w:spacing w:after="0" w:line="550" w:lineRule="exact"/>
        <w:ind w:firstLine="640" w:firstLineChars="200"/>
        <w:outlineLvl w:val="2"/>
        <w:rPr>
          <w:rFonts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3.拟订深化全市农村经济体制改革和巩固完善农村基本经营制度的政策措施。负责农民承包地、农村宅基地管理和改革有关工作。负责农村集体产权制度改革，指导农村集体经济组织发展、集体资产和财务管理工作。拟订农业产业化经营的发展规划与政策并组织实施，指导农民合作经济组织、农业社会化服务体系、新型农业经营主体建设与发展。指导、监督减轻农民负担工作。 </w:t>
      </w:r>
    </w:p>
    <w:p>
      <w:pPr>
        <w:pStyle w:val="3"/>
        <w:adjustRightInd w:val="0"/>
        <w:snapToGrid w:val="0"/>
        <w:spacing w:after="0" w:line="550" w:lineRule="exact"/>
        <w:ind w:firstLine="640" w:firstLineChars="200"/>
        <w:outlineLvl w:val="2"/>
        <w:rPr>
          <w:rFonts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4.指导全市乡村特色产业、农产品加工业（产地初加工）、休闲农业和乡村企业发展工作。指导特色农产品优势区建设和管理工作。组织拟订并实施现代农业园区的政策与规划，负责现代农业园区评定工作。培育、保护和发展农产品品牌，组织协调“菜篮子”工程有关工作。负责农业信息体系建设，推动数字农业发展。发布农业农村经济信息，监测分析农业农村经济运行。承担农业统计工作。 </w:t>
      </w:r>
    </w:p>
    <w:p>
      <w:pPr>
        <w:pStyle w:val="3"/>
        <w:adjustRightInd w:val="0"/>
        <w:snapToGrid w:val="0"/>
        <w:spacing w:after="0" w:line="550" w:lineRule="exact"/>
        <w:ind w:firstLine="640" w:firstLineChars="200"/>
        <w:outlineLvl w:val="2"/>
        <w:rPr>
          <w:rFonts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5.负责全市种植业、畜牧业、渔业等农业产业和农业机械化的监督管理。指导粮食等农产品生产。指导粮食生产功能区和重要农产品生产保护区建设和管理工作。组织构建现代农业产业体系、生产体系、经营体系，指导农业标准化、规模化生产。落实促进粮油、畜禽、水产等主要农产品生产发展的相关政策措施，引导农业产业结构调整和产品品质改善，促进农业绿色发展。负责渔政渔港、网具监督管理。 </w:t>
      </w:r>
    </w:p>
    <w:p>
      <w:pPr>
        <w:pStyle w:val="3"/>
        <w:adjustRightInd w:val="0"/>
        <w:snapToGrid w:val="0"/>
        <w:spacing w:after="0" w:line="550" w:lineRule="exact"/>
        <w:ind w:firstLine="640" w:firstLineChars="200"/>
        <w:outlineLvl w:val="2"/>
        <w:rPr>
          <w:rFonts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6.负责制定全市农业机械化、智能化、数字化发展规划并组织实施。组织开展农业机械技术攻关和技术开发，引进、示范和推广农业机械新技术、新机具。指导全市农业机械基础设施的规划建设和管理工作。指导设施农业、农机库棚、机电提灌、机耕道等基础设施建设。 </w:t>
      </w:r>
    </w:p>
    <w:p>
      <w:pPr>
        <w:pStyle w:val="3"/>
        <w:adjustRightInd w:val="0"/>
        <w:snapToGrid w:val="0"/>
        <w:spacing w:after="0" w:line="550" w:lineRule="exact"/>
        <w:ind w:firstLine="640" w:firstLineChars="200"/>
        <w:outlineLvl w:val="2"/>
        <w:rPr>
          <w:rFonts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7.负责全市农产品质量安全监督管理。组织开展农产品质量安全监测、追溯。参与拟订初级农产品质量安全地方标准并会同有关部门组织实施。指导农业检验检测体系建设。依法组织实施符合安全标准的农产品生产基地认定、产品认证、农产品地理标志登记保护和监督管理。 </w:t>
      </w:r>
    </w:p>
    <w:p>
      <w:pPr>
        <w:pStyle w:val="3"/>
        <w:adjustRightInd w:val="0"/>
        <w:snapToGrid w:val="0"/>
        <w:spacing w:after="0" w:line="550" w:lineRule="exact"/>
        <w:ind w:firstLine="640" w:firstLineChars="200"/>
        <w:outlineLvl w:val="2"/>
        <w:rPr>
          <w:rFonts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8.组织开展全市农业资源区划和资源保护工作。指导农用地、渔业水域以及农业生物物种资源的保护与管理。负责水生野生动植物保护、耕地及永久基本农田质量保护工作。负责农村能源建设和农业资源环境工作。指导农产品产地环境管理和农业清洁生产，提出划定农产品禁止生产区域的政策建议。指导设施农业、生态循环农业、节水农业发展以及农村可再生能源综合开发利用、农业生物质能产业发展。 </w:t>
      </w:r>
    </w:p>
    <w:p>
      <w:pPr>
        <w:pStyle w:val="3"/>
        <w:adjustRightInd w:val="0"/>
        <w:snapToGrid w:val="0"/>
        <w:spacing w:after="0" w:line="550" w:lineRule="exact"/>
        <w:ind w:firstLine="640" w:firstLineChars="200"/>
        <w:outlineLvl w:val="2"/>
        <w:rPr>
          <w:rFonts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9.负责全市有关农业生产资料和农业投入品的监督管理。组织农业生产资料市场体系建设，承担农作物种子（种苗）、食用菌种、蚕种、饲草良种、种畜禽、水产苗种、农药、兽药（渔药）、饲料、饲料添加剂等农业生产资料的监督管理职责。牵头负责“瘦肉精”监督管理。监督管理兽医医疗器械、肥料登记。拟订有关农业生产资料地方标准并监督实施，会同有关部门监督实施农业生产资料国家标准。组织兽医医政、兽药（渔药）药政药检工作，负责执业兽医和畜禽屠宰行业管理。 </w:t>
      </w:r>
    </w:p>
    <w:p>
      <w:pPr>
        <w:pStyle w:val="3"/>
        <w:adjustRightInd w:val="0"/>
        <w:snapToGrid w:val="0"/>
        <w:spacing w:after="0" w:line="550" w:lineRule="exact"/>
        <w:ind w:firstLine="640" w:firstLineChars="200"/>
        <w:outlineLvl w:val="2"/>
        <w:rPr>
          <w:rFonts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10.负责全市农业防灾减灾、农作物重大病虫害防治工作。牵头起草动植物防疫和检疫的地方性法规、规章草案，会同有关部门制定动植物防疫检疫政策并指导实施。指导动植物防疫检疫体系建设，组织监督管理市内动植物防疫检疫工作，依法组织扑灭疫情。组织植物检疫性有害生物普查。牵头管理外来农业物种。监测、核查、发布农业灾情，组织种子、种苗、化肥、兽药（渔药）等农业生产救灾物资的储备和调拨，提出生产救灾资金安排建议，指导紧急救灾和灾后生产恢复。 </w:t>
      </w:r>
    </w:p>
    <w:p>
      <w:pPr>
        <w:pStyle w:val="3"/>
        <w:adjustRightInd w:val="0"/>
        <w:snapToGrid w:val="0"/>
        <w:spacing w:after="0" w:line="550" w:lineRule="exact"/>
        <w:ind w:firstLine="640" w:firstLineChars="200"/>
        <w:outlineLvl w:val="2"/>
        <w:rPr>
          <w:rFonts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11.负责全市农业投资管理。提出农业投融资体制机制改革建议。参与农村金融、农业保险的政策拟订和改革试点。编制中央、省、市投资安排的农业投资项目建设规划，提出农业投资规模和方向、扶持农业农村发展财政项目的建议。按国务院、省政府、农业农村部、市政府和农业农村厅规定权限审批农业投资项目。负责农业投资项目资金安排和监督管理。 </w:t>
      </w:r>
    </w:p>
    <w:p>
      <w:pPr>
        <w:pStyle w:val="3"/>
        <w:adjustRightInd w:val="0"/>
        <w:snapToGrid w:val="0"/>
        <w:spacing w:after="0" w:line="550" w:lineRule="exact"/>
        <w:ind w:firstLine="640" w:firstLineChars="200"/>
        <w:outlineLvl w:val="2"/>
        <w:rPr>
          <w:rFonts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12.负责全市农田建设管理。拟订农田建设发展规划，提出农田建设项目需求建议。负责全市农田建设管理、高标准农田建设和耕地质量管理。编制农业综合开发项目、农田建设项目、农田整治项目、农田水利建设项目，并组织实施和管理。 </w:t>
      </w:r>
    </w:p>
    <w:p>
      <w:pPr>
        <w:pStyle w:val="3"/>
        <w:adjustRightInd w:val="0"/>
        <w:snapToGrid w:val="0"/>
        <w:spacing w:after="0" w:line="550" w:lineRule="exact"/>
        <w:ind w:firstLine="640" w:firstLineChars="200"/>
        <w:outlineLvl w:val="2"/>
        <w:rPr>
          <w:rFonts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13.制定全市农业科研、农技推广的规划、计划和有关政策并组织实施。牵头推动农业科技体制改革和农业科技创新体系建设。指导农业产业技术体系和农技推广体系建设。组织农作物、畜禽、水产养殖等新品种育种攻关和农业先进技术引进、试验、转化、示范、推广。负责农业转基因生物安全监督管理和农业植物新品种保护。 </w:t>
      </w:r>
    </w:p>
    <w:p>
      <w:pPr>
        <w:pStyle w:val="3"/>
        <w:adjustRightInd w:val="0"/>
        <w:snapToGrid w:val="0"/>
        <w:spacing w:after="0" w:line="550" w:lineRule="exact"/>
        <w:ind w:firstLine="640" w:firstLineChars="200"/>
        <w:outlineLvl w:val="2"/>
        <w:rPr>
          <w:rFonts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14.指导全市农业农村人才工作。制定农业农村人才队伍建设规划并组织实施。指导农业教育和农业职业技能开发。承担新型职业农民培育、农业科技人才培养和农村实用人才培训工作。 </w:t>
      </w:r>
    </w:p>
    <w:p>
      <w:pPr>
        <w:pStyle w:val="3"/>
        <w:adjustRightInd w:val="0"/>
        <w:snapToGrid w:val="0"/>
        <w:spacing w:after="0" w:line="550" w:lineRule="exact"/>
        <w:ind w:firstLine="640" w:firstLineChars="200"/>
        <w:outlineLvl w:val="2"/>
        <w:rPr>
          <w:rFonts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15.牵头开展全市农业对外合作工作。承办政府间农业涉外事务，参与拟订农业对外开放政策和外向型农业发展规划，指导外向型农业发展。组织开展农业贸易促进和有关国际交流合作，落实对外援助政策，具体执行有关农业援外项目。组织开展农业投资促进活动，推动农业开放合作。    </w:t>
      </w:r>
    </w:p>
    <w:p>
      <w:pPr>
        <w:pStyle w:val="3"/>
        <w:adjustRightInd w:val="0"/>
        <w:snapToGrid w:val="0"/>
        <w:spacing w:after="0" w:line="550" w:lineRule="exact"/>
        <w:ind w:firstLine="640" w:firstLineChars="200"/>
        <w:outlineLvl w:val="2"/>
        <w:rPr>
          <w:rFonts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16.负责全市国有农场土地的保护、利用和管理，指导国有农场的改革与发展。 </w:t>
      </w:r>
    </w:p>
    <w:p>
      <w:pPr>
        <w:pStyle w:val="3"/>
        <w:adjustRightInd w:val="0"/>
        <w:snapToGrid w:val="0"/>
        <w:spacing w:after="0" w:line="550" w:lineRule="exact"/>
        <w:ind w:firstLine="640" w:firstLineChars="200"/>
        <w:outlineLvl w:val="2"/>
        <w:rPr>
          <w:rFonts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17.编制全市烟叶种植规划方案，督促检查烟叶种植方案贯彻落实。协调烟草工业、商业做好相关工作。组织实施市级烟草扶持项目。 </w:t>
      </w:r>
    </w:p>
    <w:p>
      <w:pPr>
        <w:pStyle w:val="3"/>
        <w:adjustRightInd w:val="0"/>
        <w:snapToGrid w:val="0"/>
        <w:spacing w:after="0" w:line="550" w:lineRule="exact"/>
        <w:ind w:firstLine="640" w:firstLineChars="200"/>
        <w:outlineLvl w:val="2"/>
        <w:rPr>
          <w:rFonts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18.统筹协调和监督指导全市农业综合执法。负责监督指导重大案件查处和跨区域执法的组织协调工作。负责由市本级办理的涉农违法案件。推进农业依法行政。 </w:t>
      </w:r>
    </w:p>
    <w:p>
      <w:pPr>
        <w:pStyle w:val="3"/>
        <w:adjustRightInd w:val="0"/>
        <w:snapToGrid w:val="0"/>
        <w:spacing w:after="0" w:line="550" w:lineRule="exact"/>
        <w:ind w:firstLine="640" w:firstLineChars="200"/>
        <w:outlineLvl w:val="2"/>
        <w:rPr>
          <w:rFonts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19.依法依规负责农业安全生产和职业健康监督管理工作。负责农业机械、农（兽）药、饲料、渔业、畜禽屠宰行业安全生产和职业健康的监督管理。负责组织实施农村沼气项目的安全生产和职业健康监督管理。对农业园区的安全生产和职业健康工作实施行业监督管理。负责制定职责范围内的安全生产年度监督检查计划并组织实施。 </w:t>
      </w:r>
    </w:p>
    <w:p>
      <w:pPr>
        <w:pStyle w:val="3"/>
        <w:adjustRightInd w:val="0"/>
        <w:snapToGrid w:val="0"/>
        <w:spacing w:after="0" w:line="550" w:lineRule="exact"/>
        <w:ind w:firstLine="640" w:firstLineChars="200"/>
        <w:outlineLvl w:val="2"/>
        <w:rPr>
          <w:rFonts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20.负责职责范围内的生态环境保护、审批服务便民化等工作。 </w:t>
      </w:r>
    </w:p>
    <w:p>
      <w:pPr>
        <w:pStyle w:val="3"/>
        <w:adjustRightInd w:val="0"/>
        <w:snapToGrid w:val="0"/>
        <w:spacing w:after="0" w:line="550" w:lineRule="exact"/>
        <w:ind w:firstLine="640" w:firstLineChars="200"/>
        <w:outlineLvl w:val="2"/>
        <w:rPr>
          <w:rFonts w:ascii="仿宋_GB2312" w:eastAsia="仿宋_GB2312" w:cs="仿宋_GB2312"/>
          <w:color w:val="333333"/>
          <w:sz w:val="30"/>
          <w:szCs w:val="30"/>
        </w:rPr>
      </w:pPr>
      <w:r>
        <w:rPr>
          <w:rFonts w:hint="eastAsia" w:ascii="仿宋_GB2312" w:hAnsi="仿宋_GB2312" w:eastAsia="仿宋_GB2312" w:cs="仿宋_GB2312"/>
          <w:bCs/>
          <w:sz w:val="32"/>
          <w:szCs w:val="32"/>
        </w:rPr>
        <w:t>21.完成市委、市政府交办的其他任务。</w:t>
      </w:r>
    </w:p>
    <w:p>
      <w:pPr>
        <w:widowControl/>
        <w:shd w:val="clear" w:color="auto" w:fill="FFFFFF"/>
        <w:spacing w:line="500" w:lineRule="exact"/>
        <w:ind w:firstLine="640"/>
        <w:rPr>
          <w:rFonts w:ascii="Times New Roman" w:hAnsi="Times New Roman"/>
          <w:color w:val="333333"/>
          <w:sz w:val="32"/>
          <w:szCs w:val="32"/>
        </w:rPr>
      </w:pPr>
      <w:r>
        <w:rPr>
          <w:rFonts w:ascii="黑体" w:hAnsi="宋体" w:eastAsia="黑体" w:cs="黑体"/>
          <w:color w:val="333333"/>
          <w:kern w:val="0"/>
          <w:sz w:val="32"/>
          <w:szCs w:val="32"/>
          <w:shd w:val="clear" w:color="auto" w:fill="FFFFFF"/>
        </w:rPr>
        <w:t>（二）、</w:t>
      </w:r>
      <w:r>
        <w:rPr>
          <w:rFonts w:hint="eastAsia" w:ascii="黑体" w:hAnsi="宋体" w:eastAsia="黑体" w:cs="黑体"/>
          <w:color w:val="333333"/>
          <w:kern w:val="0"/>
          <w:sz w:val="32"/>
          <w:szCs w:val="32"/>
          <w:shd w:val="clear" w:color="auto" w:fill="FFFFFF"/>
        </w:rPr>
        <w:t>2022年重点</w:t>
      </w:r>
      <w:r>
        <w:rPr>
          <w:rFonts w:ascii="黑体" w:hAnsi="宋体" w:eastAsia="黑体" w:cs="黑体"/>
          <w:color w:val="333333"/>
          <w:kern w:val="0"/>
          <w:sz w:val="32"/>
          <w:szCs w:val="32"/>
          <w:shd w:val="clear" w:color="auto" w:fill="FFFFFF"/>
        </w:rPr>
        <w:t>工作</w:t>
      </w:r>
    </w:p>
    <w:p>
      <w:pPr>
        <w:pStyle w:val="10"/>
        <w:spacing w:after="0" w:line="500" w:lineRule="exact"/>
        <w:ind w:left="0" w:leftChars="0" w:firstLine="640"/>
        <w:rPr>
          <w:rFonts w:ascii="黑体" w:hAnsi="黑体" w:eastAsia="黑体" w:cs="黑体"/>
          <w:bCs/>
          <w:sz w:val="32"/>
          <w:szCs w:val="32"/>
        </w:rPr>
      </w:pPr>
      <w:r>
        <w:rPr>
          <w:rFonts w:hint="eastAsia" w:ascii="黑体" w:hAnsi="黑体" w:eastAsia="黑体" w:cs="黑体"/>
          <w:bCs/>
          <w:sz w:val="32"/>
          <w:szCs w:val="32"/>
        </w:rPr>
        <w:t>1.以保障粮食安全为底线，提升重要农产品供给能力</w:t>
      </w:r>
    </w:p>
    <w:p>
      <w:pPr>
        <w:spacing w:line="500" w:lineRule="exact"/>
        <w:ind w:firstLine="640" w:firstLineChars="200"/>
        <w:rPr>
          <w:rFonts w:ascii="仿宋" w:hAnsi="仿宋" w:eastAsia="仿宋" w:cs="宋体"/>
          <w:sz w:val="32"/>
          <w:szCs w:val="32"/>
        </w:rPr>
      </w:pPr>
      <w:r>
        <w:rPr>
          <w:rFonts w:hint="eastAsia" w:ascii="仿宋" w:hAnsi="仿宋" w:eastAsia="仿宋" w:cs="楷体_GB2312"/>
          <w:sz w:val="32"/>
          <w:szCs w:val="32"/>
        </w:rPr>
        <w:t>一是提高粮食面积产量。</w:t>
      </w:r>
      <w:r>
        <w:rPr>
          <w:rFonts w:hint="eastAsia" w:ascii="仿宋" w:hAnsi="仿宋" w:eastAsia="仿宋" w:cs="仿宋_GB2312"/>
          <w:sz w:val="32"/>
          <w:szCs w:val="32"/>
        </w:rPr>
        <w:t>粮食面积稳定在470万亩以上，产量稳定在160万吨以上，确保只增不减。二是</w:t>
      </w:r>
      <w:r>
        <w:rPr>
          <w:rFonts w:hint="eastAsia" w:ascii="仿宋" w:hAnsi="仿宋" w:eastAsia="仿宋" w:cs="楷体_GB2312"/>
          <w:sz w:val="32"/>
          <w:szCs w:val="32"/>
        </w:rPr>
        <w:t>积极扩大油料生产。</w:t>
      </w:r>
      <w:r>
        <w:rPr>
          <w:rFonts w:hint="eastAsia" w:ascii="仿宋" w:hAnsi="仿宋" w:eastAsia="仿宋" w:cs="仿宋_GB2312"/>
          <w:sz w:val="32"/>
          <w:szCs w:val="32"/>
        </w:rPr>
        <w:t>积极扩大油菜、大豆面积，努力提高单产。三是</w:t>
      </w:r>
      <w:r>
        <w:rPr>
          <w:rFonts w:hint="eastAsia" w:ascii="仿宋" w:hAnsi="仿宋" w:eastAsia="仿宋" w:cs="楷体_GB2312"/>
          <w:sz w:val="32"/>
          <w:szCs w:val="32"/>
        </w:rPr>
        <w:t>强化耕地保护和质量提升。</w:t>
      </w:r>
      <w:r>
        <w:rPr>
          <w:rFonts w:hint="eastAsia" w:ascii="仿宋" w:hAnsi="仿宋" w:eastAsia="仿宋" w:cs="仿宋_GB2312"/>
          <w:sz w:val="32"/>
          <w:szCs w:val="32"/>
        </w:rPr>
        <w:t>坚决遏制耕地“非农化”，防止耕地“非粮化”，确保良田粮用。四是</w:t>
      </w:r>
      <w:r>
        <w:rPr>
          <w:rFonts w:hint="eastAsia" w:ascii="仿宋" w:hAnsi="仿宋" w:eastAsia="仿宋" w:cs="楷体_GB2312"/>
          <w:sz w:val="32"/>
          <w:szCs w:val="32"/>
        </w:rPr>
        <w:t>加强高标准农田建设。</w:t>
      </w:r>
      <w:r>
        <w:rPr>
          <w:rFonts w:hint="eastAsia" w:ascii="仿宋" w:hAnsi="仿宋" w:eastAsia="仿宋" w:cs="仿宋_GB2312"/>
          <w:sz w:val="32"/>
          <w:szCs w:val="32"/>
        </w:rPr>
        <w:t>新建高标准农田32.68万亩。五是</w:t>
      </w:r>
      <w:r>
        <w:rPr>
          <w:rFonts w:hint="eastAsia" w:ascii="仿宋" w:hAnsi="仿宋" w:eastAsia="仿宋" w:cs="楷体_GB2312"/>
          <w:sz w:val="32"/>
          <w:szCs w:val="32"/>
        </w:rPr>
        <w:t>稳定生猪等“菜篮子”产品供给。</w:t>
      </w:r>
      <w:r>
        <w:rPr>
          <w:rFonts w:hint="eastAsia" w:ascii="仿宋" w:hAnsi="仿宋" w:eastAsia="仿宋" w:cs="仿宋_GB2312"/>
          <w:sz w:val="32"/>
          <w:szCs w:val="32"/>
        </w:rPr>
        <w:t>严格落实“菜篮子”市长负责制，确保猪肉、蔬菜等农副产品供应充足、价格稳定。</w:t>
      </w:r>
    </w:p>
    <w:p>
      <w:pPr>
        <w:spacing w:line="500" w:lineRule="exact"/>
        <w:ind w:firstLine="640" w:firstLineChars="200"/>
      </w:pPr>
      <w:r>
        <w:rPr>
          <w:rFonts w:hint="eastAsia" w:ascii="黑体" w:hAnsi="黑体" w:eastAsia="黑体" w:cs="黑体"/>
          <w:bCs/>
          <w:sz w:val="32"/>
          <w:szCs w:val="32"/>
        </w:rPr>
        <w:t>2.以发展优质特色农业为核心，加快建设中国西部重要的绿色农产品供给地和特色农业强市</w:t>
      </w:r>
    </w:p>
    <w:p>
      <w:pPr>
        <w:pStyle w:val="5"/>
        <w:spacing w:after="0" w:line="500" w:lineRule="exact"/>
        <w:ind w:left="0" w:leftChars="0" w:firstLine="640" w:firstLineChars="200"/>
        <w:rPr>
          <w:rFonts w:ascii="仿宋" w:hAnsi="仿宋" w:eastAsia="仿宋" w:cs="仿宋_GB2312"/>
          <w:sz w:val="32"/>
          <w:szCs w:val="32"/>
        </w:rPr>
      </w:pPr>
      <w:r>
        <w:rPr>
          <w:rFonts w:hint="eastAsia" w:ascii="仿宋" w:hAnsi="仿宋" w:eastAsia="仿宋" w:cs="楷体_GB2312"/>
          <w:sz w:val="32"/>
          <w:szCs w:val="32"/>
        </w:rPr>
        <w:t>一是建强特色产业基地。</w:t>
      </w:r>
      <w:r>
        <w:rPr>
          <w:rFonts w:hint="eastAsia" w:ascii="仿宋" w:hAnsi="仿宋" w:eastAsia="仿宋" w:cs="仿宋_GB2312"/>
          <w:sz w:val="32"/>
          <w:szCs w:val="32"/>
        </w:rPr>
        <w:t>新建市级园区7个，巩固提升老旧园区22个，创建升级省星级园区2个。</w:t>
      </w:r>
      <w:r>
        <w:rPr>
          <w:rFonts w:hint="eastAsia" w:ascii="仿宋" w:hAnsi="仿宋" w:eastAsia="仿宋"/>
          <w:sz w:val="32"/>
          <w:szCs w:val="32"/>
        </w:rPr>
        <w:t>持续巩固提升优势特色产业，</w:t>
      </w:r>
      <w:r>
        <w:rPr>
          <w:rFonts w:hint="eastAsia" w:ascii="仿宋" w:hAnsi="仿宋" w:eastAsia="仿宋"/>
          <w:color w:val="000000"/>
          <w:sz w:val="32"/>
          <w:szCs w:val="32"/>
        </w:rPr>
        <w:t>建好“白叶一号”茶叶基地</w:t>
      </w:r>
      <w:r>
        <w:rPr>
          <w:rFonts w:hint="eastAsia" w:ascii="仿宋" w:hAnsi="仿宋" w:eastAsia="仿宋" w:cs="仿宋_GB2312"/>
          <w:sz w:val="32"/>
          <w:szCs w:val="32"/>
        </w:rPr>
        <w:t>。</w:t>
      </w:r>
      <w:r>
        <w:rPr>
          <w:rFonts w:hint="eastAsia" w:ascii="仿宋" w:hAnsi="仿宋" w:eastAsia="仿宋" w:cs="仿宋_GB2312"/>
          <w:color w:val="000000"/>
          <w:sz w:val="32"/>
          <w:szCs w:val="32"/>
        </w:rPr>
        <w:t>积极争取广元整市建设脱贫地区特色产业高质量发展引领区。二是</w:t>
      </w:r>
      <w:r>
        <w:rPr>
          <w:rFonts w:hint="eastAsia" w:ascii="仿宋" w:hAnsi="仿宋" w:eastAsia="仿宋" w:cs="楷体_GB2312"/>
          <w:sz w:val="32"/>
          <w:szCs w:val="32"/>
        </w:rPr>
        <w:t>壮大农产品加工业。三是发展乡村新产业新业态。</w:t>
      </w:r>
      <w:r>
        <w:rPr>
          <w:rFonts w:hint="eastAsia" w:ascii="仿宋" w:hAnsi="仿宋" w:eastAsia="仿宋" w:cs="仿宋_GB2312"/>
          <w:sz w:val="32"/>
          <w:szCs w:val="32"/>
        </w:rPr>
        <w:t>新建农业公园7</w:t>
      </w:r>
      <w:r>
        <w:rPr>
          <w:rStyle w:val="22"/>
          <w:rFonts w:hint="eastAsia" w:ascii="仿宋" w:hAnsi="仿宋" w:eastAsia="仿宋" w:cs="仿宋_GB2312"/>
          <w:color w:val="000000"/>
          <w:kern w:val="0"/>
          <w:sz w:val="32"/>
          <w:szCs w:val="32"/>
        </w:rPr>
        <w:t>个、美丽休闲乡村</w:t>
      </w:r>
      <w:r>
        <w:rPr>
          <w:rFonts w:hint="eastAsia" w:ascii="仿宋" w:hAnsi="仿宋" w:eastAsia="仿宋" w:cs="仿宋_GB2312"/>
          <w:sz w:val="32"/>
          <w:szCs w:val="32"/>
        </w:rPr>
        <w:t>7</w:t>
      </w:r>
      <w:r>
        <w:rPr>
          <w:rStyle w:val="22"/>
          <w:rFonts w:hint="eastAsia" w:ascii="仿宋" w:hAnsi="仿宋" w:eastAsia="仿宋" w:cs="仿宋_GB2312"/>
          <w:color w:val="000000"/>
          <w:kern w:val="0"/>
          <w:sz w:val="32"/>
          <w:szCs w:val="32"/>
        </w:rPr>
        <w:t>个、休闲农庄</w:t>
      </w:r>
      <w:r>
        <w:rPr>
          <w:rFonts w:hint="eastAsia" w:ascii="仿宋" w:hAnsi="仿宋" w:eastAsia="仿宋" w:cs="仿宋_GB2312"/>
          <w:sz w:val="32"/>
          <w:szCs w:val="32"/>
        </w:rPr>
        <w:t>10</w:t>
      </w:r>
      <w:r>
        <w:rPr>
          <w:rStyle w:val="22"/>
          <w:rFonts w:hint="eastAsia" w:ascii="仿宋" w:hAnsi="仿宋" w:eastAsia="仿宋" w:cs="仿宋_GB2312"/>
          <w:color w:val="000000"/>
          <w:kern w:val="0"/>
          <w:sz w:val="32"/>
          <w:szCs w:val="32"/>
        </w:rPr>
        <w:t>个</w:t>
      </w:r>
      <w:r>
        <w:rPr>
          <w:rFonts w:hint="eastAsia" w:ascii="仿宋" w:hAnsi="仿宋" w:eastAsia="仿宋" w:cs="仿宋_GB2312"/>
          <w:sz w:val="32"/>
          <w:szCs w:val="32"/>
        </w:rPr>
        <w:t>。四是</w:t>
      </w:r>
      <w:r>
        <w:rPr>
          <w:rFonts w:hint="eastAsia" w:ascii="仿宋" w:hAnsi="仿宋" w:eastAsia="仿宋" w:cs="楷体_GB2312"/>
          <w:sz w:val="32"/>
          <w:szCs w:val="32"/>
        </w:rPr>
        <w:t>加快“有机广元”建设。五是拓展农产品销售市场。</w:t>
      </w:r>
    </w:p>
    <w:p>
      <w:pPr>
        <w:spacing w:line="500" w:lineRule="exact"/>
        <w:ind w:firstLine="640" w:firstLineChars="200"/>
        <w:rPr>
          <w:sz w:val="32"/>
          <w:szCs w:val="32"/>
        </w:rPr>
      </w:pPr>
      <w:r>
        <w:rPr>
          <w:rFonts w:hint="eastAsia" w:ascii="黑体" w:hAnsi="黑体" w:eastAsia="黑体" w:cs="黑体"/>
          <w:bCs/>
          <w:sz w:val="32"/>
          <w:szCs w:val="32"/>
        </w:rPr>
        <w:t>3.</w:t>
      </w:r>
      <w:r>
        <w:rPr>
          <w:rFonts w:hint="eastAsia"/>
          <w:sz w:val="32"/>
          <w:szCs w:val="32"/>
        </w:rPr>
        <w:t>以夯实发展支撑为重点，筑牢现代农业发展基础</w:t>
      </w:r>
    </w:p>
    <w:p>
      <w:pPr>
        <w:pStyle w:val="5"/>
        <w:spacing w:after="0" w:line="500" w:lineRule="exact"/>
        <w:ind w:left="0" w:leftChars="0" w:firstLine="640" w:firstLineChars="200"/>
        <w:rPr>
          <w:rFonts w:ascii="仿宋" w:hAnsi="仿宋" w:eastAsia="仿宋" w:cs="仿宋_GB2312"/>
          <w:sz w:val="32"/>
          <w:szCs w:val="32"/>
        </w:rPr>
      </w:pPr>
      <w:r>
        <w:rPr>
          <w:rFonts w:hint="eastAsia" w:ascii="仿宋" w:hAnsi="仿宋" w:eastAsia="仿宋" w:cs="楷体_GB2312"/>
          <w:sz w:val="32"/>
          <w:szCs w:val="32"/>
        </w:rPr>
        <w:t>一是加强种质资源保护利用。</w:t>
      </w:r>
      <w:r>
        <w:rPr>
          <w:rFonts w:hint="eastAsia" w:ascii="仿宋" w:hAnsi="仿宋" w:eastAsia="仿宋"/>
          <w:sz w:val="32"/>
          <w:szCs w:val="32"/>
        </w:rPr>
        <w:t>推动实现特色产业品种本地化，加强种业市场监管，全面净化种业市场。二是</w:t>
      </w:r>
      <w:r>
        <w:rPr>
          <w:rFonts w:hint="eastAsia" w:ascii="仿宋" w:hAnsi="仿宋" w:eastAsia="仿宋" w:cs="楷体_GB2312"/>
          <w:sz w:val="32"/>
          <w:szCs w:val="32"/>
        </w:rPr>
        <w:t>提升农业机械化和烘干冷链物流装备水平。三是深化农业科技创新。</w:t>
      </w:r>
      <w:r>
        <w:rPr>
          <w:rFonts w:hint="eastAsia" w:ascii="仿宋" w:hAnsi="仿宋" w:eastAsia="仿宋" w:cs="仿宋_GB2312"/>
          <w:sz w:val="32"/>
          <w:szCs w:val="32"/>
        </w:rPr>
        <w:t>持续深化科研院校合作，加强</w:t>
      </w:r>
      <w:r>
        <w:rPr>
          <w:rFonts w:hint="eastAsia" w:ascii="仿宋" w:hAnsi="仿宋" w:eastAsia="仿宋" w:cs="仿宋_GB2312"/>
          <w:bCs/>
          <w:sz w:val="32"/>
          <w:szCs w:val="32"/>
          <w:shd w:val="clear" w:color="auto" w:fill="FFFFFF"/>
        </w:rPr>
        <w:t>蜀道英才·农业大师专家服务团建设，配齐配强乡镇畜牧兽医等工作力量。四是</w:t>
      </w:r>
      <w:r>
        <w:rPr>
          <w:rFonts w:hint="eastAsia" w:ascii="仿宋" w:hAnsi="仿宋" w:eastAsia="仿宋" w:cs="楷体_GB2312"/>
          <w:sz w:val="32"/>
          <w:szCs w:val="32"/>
        </w:rPr>
        <w:t>推动农业绿色发展。</w:t>
      </w:r>
      <w:r>
        <w:rPr>
          <w:rFonts w:hint="eastAsia" w:ascii="仿宋" w:hAnsi="仿宋" w:eastAsia="仿宋" w:cs="仿宋_GB2312"/>
          <w:sz w:val="32"/>
          <w:szCs w:val="32"/>
        </w:rPr>
        <w:t>畜禽粪污综合利用率达到88%以上，秸秆综合利用率稳定在92%以上，废旧农膜回收率稳定在85%以上。持续抓好长江“十年禁渔”。五是</w:t>
      </w:r>
      <w:r>
        <w:rPr>
          <w:rFonts w:hint="eastAsia" w:ascii="仿宋" w:hAnsi="仿宋" w:eastAsia="仿宋" w:cs="楷体_GB2312"/>
          <w:sz w:val="32"/>
          <w:szCs w:val="32"/>
        </w:rPr>
        <w:t>推进数字乡村建设。</w:t>
      </w:r>
      <w:r>
        <w:rPr>
          <w:rFonts w:hint="eastAsia" w:ascii="仿宋" w:hAnsi="仿宋" w:eastAsia="仿宋" w:cs="仿宋_GB2312"/>
          <w:sz w:val="32"/>
          <w:szCs w:val="32"/>
        </w:rPr>
        <w:t>加强农业农村信息基础设施建设，开展乡村5G基站规划布局，大力发展数字农业新业态。</w:t>
      </w:r>
      <w:r>
        <w:rPr>
          <w:rFonts w:ascii="仿宋" w:hAnsi="仿宋" w:eastAsia="仿宋" w:cs="仿宋_GB2312"/>
          <w:sz w:val="32"/>
          <w:szCs w:val="32"/>
        </w:rPr>
        <w:t xml:space="preserve"> </w:t>
      </w:r>
    </w:p>
    <w:p>
      <w:pPr>
        <w:pStyle w:val="5"/>
        <w:spacing w:after="0" w:line="500" w:lineRule="exact"/>
        <w:ind w:left="0" w:leftChars="0" w:firstLine="596" w:firstLineChars="200"/>
        <w:rPr>
          <w:rFonts w:ascii="黑体" w:hAnsi="黑体" w:eastAsia="黑体" w:cs="黑体"/>
          <w:bCs/>
          <w:sz w:val="32"/>
          <w:szCs w:val="32"/>
        </w:rPr>
      </w:pPr>
      <w:r>
        <w:rPr>
          <w:rFonts w:hint="eastAsia" w:ascii="黑体" w:hAnsi="黑体" w:eastAsia="黑体" w:cs="黑体"/>
          <w:bCs/>
          <w:spacing w:val="-11"/>
          <w:sz w:val="32"/>
          <w:szCs w:val="32"/>
        </w:rPr>
        <w:t>4.以深化农业农村改革为突破，</w:t>
      </w:r>
      <w:r>
        <w:rPr>
          <w:rFonts w:hint="eastAsia" w:ascii="黑体" w:hAnsi="黑体" w:eastAsia="黑体"/>
          <w:color w:val="000000"/>
          <w:spacing w:val="-11"/>
          <w:sz w:val="32"/>
          <w:szCs w:val="32"/>
        </w:rPr>
        <w:t>促进农民持续稳定增收</w:t>
      </w:r>
    </w:p>
    <w:p>
      <w:pPr>
        <w:pStyle w:val="5"/>
        <w:spacing w:after="0" w:line="500" w:lineRule="exact"/>
        <w:ind w:left="0" w:leftChars="0" w:firstLine="640" w:firstLineChars="200"/>
        <w:rPr>
          <w:rFonts w:ascii="仿宋" w:hAnsi="仿宋" w:eastAsia="仿宋" w:cs="仿宋_GB2312"/>
          <w:sz w:val="32"/>
          <w:szCs w:val="32"/>
        </w:rPr>
      </w:pPr>
      <w:r>
        <w:rPr>
          <w:rFonts w:hint="eastAsia" w:ascii="仿宋" w:hAnsi="仿宋" w:eastAsia="仿宋" w:cs="楷体_GB2312"/>
          <w:sz w:val="32"/>
          <w:szCs w:val="32"/>
        </w:rPr>
        <w:t>一是发展新型农村集体经济。</w:t>
      </w:r>
      <w:r>
        <w:rPr>
          <w:rFonts w:hint="eastAsia" w:ascii="仿宋" w:hAnsi="仿宋" w:eastAsia="仿宋" w:cs="仿宋_GB2312"/>
          <w:sz w:val="32"/>
          <w:szCs w:val="32"/>
        </w:rPr>
        <w:t>全面落实《四川省农村集体经济组织条例》，巩固农村集体产权制度改革成果，探索农村集体资产股份占有、收益、转让等各项权能有效实现形式。二是深化农村土地制度改革。深入落实承包地“三权分置”，推广土地入股、土地托管、委托代耕等多种形式适度规模经营。扎实做好“两项改革”后半篇文章，</w:t>
      </w:r>
      <w:r>
        <w:rPr>
          <w:rFonts w:hint="eastAsia" w:ascii="仿宋" w:hAnsi="仿宋" w:eastAsia="仿宋" w:cs="Calibri"/>
          <w:sz w:val="32"/>
          <w:szCs w:val="32"/>
        </w:rPr>
        <w:t>稳慎推进农村宅基地改革。三是</w:t>
      </w:r>
      <w:r>
        <w:rPr>
          <w:rFonts w:hint="eastAsia" w:ascii="仿宋" w:hAnsi="仿宋" w:eastAsia="仿宋" w:cs="仿宋_GB2312"/>
          <w:sz w:val="32"/>
          <w:szCs w:val="32"/>
        </w:rPr>
        <w:t>培育新型农业经营主体和社会化服务主体。</w:t>
      </w:r>
      <w:r>
        <w:rPr>
          <w:rFonts w:hint="eastAsia" w:ascii="仿宋" w:hAnsi="仿宋" w:eastAsia="仿宋"/>
          <w:color w:val="000000"/>
          <w:sz w:val="32"/>
          <w:szCs w:val="32"/>
        </w:rPr>
        <w:t>提升家庭农场和农民合作社各100家。</w:t>
      </w:r>
      <w:r>
        <w:rPr>
          <w:rFonts w:hint="eastAsia" w:ascii="仿宋" w:hAnsi="仿宋" w:eastAsia="仿宋" w:cs="仿宋_GB2312"/>
          <w:sz w:val="32"/>
          <w:szCs w:val="32"/>
        </w:rPr>
        <w:t>积极争创省级农民合作社高质量发展示范县和农业生产社会化服务示范县。</w:t>
      </w:r>
      <w:r>
        <w:rPr>
          <w:rFonts w:hint="eastAsia" w:ascii="仿宋" w:hAnsi="仿宋" w:eastAsia="仿宋" w:cs="Calibri"/>
          <w:sz w:val="32"/>
          <w:szCs w:val="32"/>
        </w:rPr>
        <w:t>大力推行订单生产、股份合作等模式，促进农民多渠道增收。四是</w:t>
      </w:r>
      <w:r>
        <w:rPr>
          <w:rFonts w:hint="eastAsia" w:ascii="仿宋" w:hAnsi="仿宋" w:eastAsia="仿宋" w:cs="仿宋_GB2312"/>
          <w:sz w:val="32"/>
          <w:szCs w:val="32"/>
        </w:rPr>
        <w:t>加强农业对外交流合作。主动融入成渝双城经济圈建设，持续深化成广、渝广、西广合作。大力推进东西协作杭广合作。加强川港川澳农业交流合作，深度对接粤港澳大湾区产业资源和创新资源。</w:t>
      </w:r>
    </w:p>
    <w:p>
      <w:pPr>
        <w:pStyle w:val="5"/>
        <w:spacing w:after="0" w:line="500" w:lineRule="exact"/>
        <w:ind w:left="0" w:leftChars="0" w:firstLine="616" w:firstLineChars="200"/>
        <w:rPr>
          <w:rFonts w:ascii="黑体" w:hAnsi="黑体" w:eastAsia="黑体" w:cs="黑体"/>
          <w:bCs/>
          <w:spacing w:val="-6"/>
          <w:sz w:val="32"/>
          <w:szCs w:val="32"/>
        </w:rPr>
      </w:pPr>
      <w:r>
        <w:rPr>
          <w:rFonts w:hint="eastAsia" w:ascii="黑体" w:hAnsi="黑体" w:eastAsia="黑体" w:cs="黑体"/>
          <w:bCs/>
          <w:spacing w:val="-6"/>
          <w:sz w:val="32"/>
          <w:szCs w:val="32"/>
        </w:rPr>
        <w:t>5.以扩大农业项目投资为抓手，增强农业农村发展动能</w:t>
      </w:r>
    </w:p>
    <w:p>
      <w:pPr>
        <w:spacing w:line="500" w:lineRule="exact"/>
        <w:ind w:firstLine="640" w:firstLineChars="200"/>
        <w:rPr>
          <w:rFonts w:ascii="仿宋" w:hAnsi="仿宋" w:eastAsia="仿宋" w:cs="仿宋_GB2312"/>
          <w:sz w:val="32"/>
          <w:szCs w:val="32"/>
        </w:rPr>
      </w:pPr>
      <w:r>
        <w:rPr>
          <w:rFonts w:hint="eastAsia" w:ascii="仿宋" w:hAnsi="仿宋" w:eastAsia="仿宋" w:cs="楷体_GB2312"/>
          <w:sz w:val="32"/>
          <w:szCs w:val="32"/>
        </w:rPr>
        <w:t>一是做好项目储备争取。</w:t>
      </w:r>
      <w:r>
        <w:rPr>
          <w:rFonts w:hint="eastAsia" w:ascii="仿宋" w:hAnsi="仿宋" w:eastAsia="仿宋"/>
          <w:color w:val="000000"/>
          <w:sz w:val="32"/>
          <w:szCs w:val="32"/>
        </w:rPr>
        <w:t>持续抓好项目库建设，储备项目总投资保持在500亿元以上。持续加大向上汇报争取力度，力</w:t>
      </w:r>
      <w:r>
        <w:rPr>
          <w:rFonts w:hint="eastAsia" w:ascii="仿宋" w:hAnsi="仿宋" w:eastAsia="仿宋" w:cs="仿宋_GB2312"/>
          <w:sz w:val="32"/>
          <w:szCs w:val="32"/>
        </w:rPr>
        <w:t>争到位中省资金稳定增长。二是</w:t>
      </w:r>
      <w:r>
        <w:rPr>
          <w:rFonts w:hint="eastAsia" w:ascii="仿宋" w:hAnsi="仿宋" w:eastAsia="仿宋" w:cs="楷体_GB2312"/>
          <w:sz w:val="32"/>
          <w:szCs w:val="32"/>
        </w:rPr>
        <w:t>大力抓好项目投资。</w:t>
      </w:r>
      <w:r>
        <w:rPr>
          <w:rFonts w:hint="eastAsia" w:ascii="仿宋" w:hAnsi="仿宋" w:eastAsia="仿宋" w:cs="仿宋_GB2312"/>
          <w:sz w:val="32"/>
          <w:szCs w:val="32"/>
        </w:rPr>
        <w:t>扎实推进杭广东西协作涉农项目实施，力争使用协作资金达到7000万元以上。三是持续加强招商引资。用好川货全国行和上海、广州、西安食品展等招商推介活动平台，招引一批行业领先、带动力强、符合我市发展需要的领军龙头企业。</w:t>
      </w:r>
    </w:p>
    <w:p>
      <w:pPr>
        <w:pStyle w:val="5"/>
        <w:spacing w:after="0" w:line="500" w:lineRule="exact"/>
        <w:ind w:left="0" w:leftChars="0" w:firstLine="616" w:firstLineChars="200"/>
        <w:rPr>
          <w:rFonts w:ascii="黑体" w:hAnsi="黑体" w:eastAsia="黑体" w:cs="黑体"/>
          <w:bCs/>
          <w:sz w:val="32"/>
          <w:szCs w:val="32"/>
        </w:rPr>
      </w:pPr>
      <w:r>
        <w:rPr>
          <w:rFonts w:hint="eastAsia" w:ascii="黑体" w:hAnsi="黑体" w:eastAsia="黑体" w:cs="黑体"/>
          <w:bCs/>
          <w:spacing w:val="-6"/>
          <w:sz w:val="32"/>
          <w:szCs w:val="32"/>
        </w:rPr>
        <w:t>6.以营造良好发展环境为支撑，保障各项工作高效推进</w:t>
      </w:r>
    </w:p>
    <w:p>
      <w:pPr>
        <w:pStyle w:val="18"/>
        <w:spacing w:line="500" w:lineRule="exact"/>
        <w:ind w:left="0" w:leftChars="0" w:firstLine="640" w:firstLineChars="200"/>
        <w:rPr>
          <w:rFonts w:ascii="仿宋" w:hAnsi="仿宋" w:eastAsia="仿宋" w:cs="仿宋_GB2312"/>
          <w:sz w:val="32"/>
          <w:szCs w:val="32"/>
        </w:rPr>
      </w:pPr>
      <w:r>
        <w:rPr>
          <w:rFonts w:hint="eastAsia" w:ascii="仿宋" w:hAnsi="仿宋" w:eastAsia="仿宋" w:cs="楷体_GB2312"/>
          <w:sz w:val="32"/>
          <w:szCs w:val="32"/>
        </w:rPr>
        <w:t>一是强化农业法治建设。</w:t>
      </w:r>
      <w:r>
        <w:rPr>
          <w:rFonts w:hint="eastAsia" w:ascii="仿宋" w:hAnsi="仿宋" w:eastAsia="仿宋" w:cs="仿宋_GB2312"/>
          <w:sz w:val="32"/>
          <w:szCs w:val="32"/>
        </w:rPr>
        <w:t>深入推进农业“放管服”改革，积极推进“双随机一公开”联合监管。优化涉农领域营商环境，加强涉农招投标领域监管。二是</w:t>
      </w:r>
      <w:r>
        <w:rPr>
          <w:rFonts w:hint="eastAsia" w:ascii="仿宋" w:hAnsi="仿宋" w:eastAsia="仿宋" w:cs="楷体_GB2312"/>
          <w:sz w:val="32"/>
          <w:szCs w:val="32"/>
        </w:rPr>
        <w:t>维护行业安全稳定。</w:t>
      </w:r>
      <w:r>
        <w:rPr>
          <w:rFonts w:hint="eastAsia" w:ascii="仿宋" w:hAnsi="仿宋" w:eastAsia="仿宋" w:cs="仿宋_GB2312"/>
          <w:sz w:val="32"/>
          <w:szCs w:val="32"/>
        </w:rPr>
        <w:t>常态化抓好农村地区新冠肺炎疫情防控。扎实推进农村安全专项整治三年行动巩固提升，深入开展农业机械、农村沼气、渔业船舶等重点领域安全生产专项整治。三是</w:t>
      </w:r>
      <w:r>
        <w:rPr>
          <w:rFonts w:hint="eastAsia" w:ascii="仿宋" w:hAnsi="仿宋" w:eastAsia="仿宋" w:cs="楷体_GB2312"/>
          <w:sz w:val="32"/>
          <w:szCs w:val="32"/>
        </w:rPr>
        <w:t>加强重大动植物疫病防控。</w:t>
      </w:r>
      <w:r>
        <w:rPr>
          <w:rFonts w:hint="eastAsia" w:ascii="仿宋" w:hAnsi="仿宋" w:eastAsia="仿宋" w:cs="仿宋_GB2312"/>
          <w:sz w:val="32"/>
          <w:szCs w:val="32"/>
        </w:rPr>
        <w:t>严格执行非洲猪瘟等重大动物疫病常态化防控措施，大力推进牛羊布病净化，落实国家强制免疫政策，确保重大动物疫病畜禽群体免疫密度常年保持在90%以上。加强红火蚁、猕猴桃溃疡病等重大植物疫病防控，主要农作物病虫害绿色防控覆盖率达到47%。</w:t>
      </w:r>
    </w:p>
    <w:p>
      <w:pPr>
        <w:widowControl/>
        <w:pBdr>
          <w:bottom w:val="single" w:color="FFFFFF" w:sz="8" w:space="31"/>
        </w:pBdr>
        <w:shd w:val="clear" w:color="auto" w:fill="FFFFFF"/>
        <w:spacing w:line="500" w:lineRule="exact"/>
        <w:ind w:firstLine="668"/>
        <w:rPr>
          <w:rFonts w:ascii="黑体" w:hAnsi="宋体" w:eastAsia="黑体" w:cs="黑体"/>
          <w:color w:val="333333"/>
          <w:kern w:val="0"/>
          <w:sz w:val="32"/>
          <w:szCs w:val="32"/>
          <w:shd w:val="clear" w:color="auto" w:fill="FFFFFF"/>
        </w:rPr>
      </w:pPr>
      <w:r>
        <w:rPr>
          <w:rFonts w:hint="eastAsia" w:ascii="黑体" w:hAnsi="宋体" w:eastAsia="黑体" w:cs="黑体"/>
          <w:color w:val="333333"/>
          <w:kern w:val="0"/>
          <w:sz w:val="32"/>
          <w:szCs w:val="32"/>
          <w:shd w:val="clear" w:color="auto" w:fill="FFFFFF"/>
        </w:rPr>
        <w:t>二、部门预算单位构成</w:t>
      </w:r>
    </w:p>
    <w:p>
      <w:pPr>
        <w:widowControl/>
        <w:pBdr>
          <w:bottom w:val="single" w:color="FFFFFF" w:sz="8" w:space="31"/>
        </w:pBdr>
        <w:shd w:val="clear" w:color="auto" w:fill="FFFFFF"/>
        <w:spacing w:line="500" w:lineRule="exact"/>
        <w:ind w:firstLine="668"/>
        <w:rPr>
          <w:rFonts w:ascii="仿宋_GB2312" w:eastAsia="仿宋_GB2312"/>
          <w:sz w:val="32"/>
          <w:szCs w:val="32"/>
        </w:rPr>
      </w:pPr>
      <w:r>
        <w:rPr>
          <w:rFonts w:hint="eastAsia" w:ascii="仿宋_GB2312" w:eastAsia="仿宋_GB2312"/>
          <w:sz w:val="32"/>
          <w:szCs w:val="32"/>
        </w:rPr>
        <w:t>2022年市农业农村局下属二级预算单位18个，其中参照公务员法管理的事业单位3个，其他事业单位15个，主要包括：市农机事务中心、市农村合作经济站、市农村能源工作站、市农产品质量安全中心、市种子站（市种子质量监督检验站）、市经济作物管理站(市蚕业管理站)、市农业项目服务中心（市农场管理站）、市农业信息服务中心、市农业科教服务中心（省农广校广元分校）、市植保植检站、市土壤肥料工作站、市农业技术推广站、市农机技术推广站、市畜牧种业管理站（市蜂业管理站）、市动物疫病预防控制中心、市畜牧生产站、市饲料兽药站、市水产技术推广站（市水生动物防疫检疫站）</w:t>
      </w:r>
    </w:p>
    <w:p>
      <w:pPr>
        <w:widowControl/>
        <w:pBdr>
          <w:bottom w:val="single" w:color="FFFFFF" w:sz="8" w:space="31"/>
        </w:pBdr>
        <w:shd w:val="clear" w:color="auto" w:fill="FFFFFF"/>
        <w:spacing w:line="500" w:lineRule="exact"/>
        <w:ind w:firstLine="668"/>
        <w:rPr>
          <w:rFonts w:ascii="Times New Roman" w:hAnsi="Times New Roman"/>
          <w:color w:val="333333"/>
          <w:sz w:val="32"/>
          <w:szCs w:val="32"/>
        </w:rPr>
      </w:pPr>
      <w:r>
        <w:rPr>
          <w:rFonts w:hint="eastAsia" w:ascii="黑体" w:hAnsi="宋体" w:eastAsia="黑体" w:cs="黑体"/>
          <w:color w:val="333333"/>
          <w:kern w:val="0"/>
          <w:sz w:val="32"/>
          <w:szCs w:val="32"/>
          <w:shd w:val="clear" w:color="auto" w:fill="FFFFFF"/>
        </w:rPr>
        <w:t>三、收支预算情况说明</w:t>
      </w:r>
    </w:p>
    <w:p>
      <w:pPr>
        <w:widowControl/>
        <w:pBdr>
          <w:bottom w:val="single" w:color="FFFFFF" w:sz="8" w:space="31"/>
        </w:pBdr>
        <w:shd w:val="clear" w:color="auto" w:fill="FFFFFF"/>
        <w:spacing w:line="500" w:lineRule="exact"/>
        <w:ind w:firstLine="668"/>
        <w:rPr>
          <w:rFonts w:ascii="Times New Roman" w:hAnsi="Times New Roman"/>
          <w:color w:val="333333"/>
          <w:sz w:val="32"/>
          <w:szCs w:val="32"/>
        </w:rPr>
      </w:pPr>
      <w:r>
        <w:rPr>
          <w:rFonts w:hint="eastAsia" w:ascii="仿宋_GB2312" w:hAnsi="Times New Roman" w:eastAsia="仿宋_GB2312" w:cs="仿宋_GB2312"/>
          <w:color w:val="333333"/>
          <w:kern w:val="0"/>
          <w:sz w:val="32"/>
          <w:szCs w:val="32"/>
          <w:shd w:val="clear" w:color="auto" w:fill="FFFFFF"/>
        </w:rPr>
        <w:t>按照综合预算的原则，市农业农村局所有收入和支出均纳入部门预算管理。收入包括：一般公共预算拨款收入、上年结转、其他收入；支出包括：一般公共服务支出、科技技术支出、社会保障和就业支出、卫生健康支出、住房保障支出、农林水支出、粮油物资储备支出和其他支出。市农业农村局2022年收支总预算</w:t>
      </w:r>
      <w:r>
        <w:rPr>
          <w:rFonts w:hint="eastAsia" w:ascii="Times New Roman" w:hAnsi="Times New Roman" w:eastAsia="仿宋_GB2312"/>
          <w:color w:val="333333"/>
          <w:kern w:val="0"/>
          <w:sz w:val="32"/>
          <w:szCs w:val="32"/>
          <w:shd w:val="clear" w:color="auto" w:fill="FFFFFF"/>
        </w:rPr>
        <w:t>6269.43</w:t>
      </w:r>
      <w:r>
        <w:rPr>
          <w:rFonts w:hint="eastAsia" w:ascii="仿宋_GB2312" w:hAnsi="Times New Roman" w:eastAsia="仿宋_GB2312" w:cs="仿宋_GB2312"/>
          <w:color w:val="333333"/>
          <w:kern w:val="0"/>
          <w:sz w:val="32"/>
          <w:szCs w:val="32"/>
          <w:shd w:val="clear" w:color="auto" w:fill="FFFFFF"/>
        </w:rPr>
        <w:t>万元,比2021年收支预算总数增加1182.24万元，扣除上年结转资金、其他收入等因素后，同口径增加147.20万元，主要原因是专项项目收支增加。</w:t>
      </w:r>
    </w:p>
    <w:p>
      <w:pPr>
        <w:widowControl/>
        <w:pBdr>
          <w:bottom w:val="single" w:color="FFFFFF" w:sz="8" w:space="31"/>
        </w:pBdr>
        <w:shd w:val="clear" w:color="auto" w:fill="FFFFFF"/>
        <w:spacing w:line="500" w:lineRule="exact"/>
        <w:ind w:firstLine="668"/>
        <w:rPr>
          <w:rFonts w:ascii="楷体_GB2312" w:hAnsi="Times New Roman" w:eastAsia="楷体_GB2312" w:cs="楷体_GB2312"/>
          <w:b/>
          <w:color w:val="333333"/>
          <w:kern w:val="0"/>
          <w:sz w:val="32"/>
          <w:szCs w:val="32"/>
          <w:shd w:val="clear" w:color="auto" w:fill="FFFFFF"/>
        </w:rPr>
      </w:pPr>
      <w:r>
        <w:rPr>
          <w:rFonts w:hint="eastAsia" w:ascii="楷体_GB2312" w:hAnsi="Times New Roman" w:eastAsia="楷体_GB2312" w:cs="楷体_GB2312"/>
          <w:b/>
          <w:color w:val="333333"/>
          <w:kern w:val="0"/>
          <w:sz w:val="32"/>
          <w:szCs w:val="32"/>
          <w:shd w:val="clear" w:color="auto" w:fill="FFFFFF"/>
        </w:rPr>
        <w:t>（一）收入预算情况</w:t>
      </w:r>
    </w:p>
    <w:p>
      <w:pPr>
        <w:widowControl/>
        <w:pBdr>
          <w:bottom w:val="single" w:color="FFFFFF" w:sz="8" w:space="31"/>
        </w:pBdr>
        <w:shd w:val="clear" w:color="auto" w:fill="FFFFFF"/>
        <w:spacing w:line="500" w:lineRule="exact"/>
        <w:ind w:firstLine="668"/>
        <w:rPr>
          <w:rFonts w:ascii="仿宋_GB2312" w:hAnsi="Times New Roman" w:eastAsia="仿宋_GB2312" w:cs="仿宋_GB2312"/>
          <w:color w:val="333333"/>
          <w:kern w:val="0"/>
          <w:sz w:val="32"/>
          <w:szCs w:val="32"/>
          <w:shd w:val="clear" w:color="auto" w:fill="FFFFFF"/>
        </w:rPr>
      </w:pPr>
      <w:r>
        <w:rPr>
          <w:rFonts w:hint="eastAsia" w:ascii="仿宋_GB2312" w:hAnsi="Times New Roman" w:eastAsia="仿宋_GB2312" w:cs="仿宋_GB2312"/>
          <w:color w:val="333333"/>
          <w:kern w:val="0"/>
          <w:sz w:val="32"/>
          <w:szCs w:val="32"/>
          <w:shd w:val="clear" w:color="auto" w:fill="FFFFFF"/>
        </w:rPr>
        <w:t>市农业农村局2022年收入预算</w:t>
      </w:r>
      <w:r>
        <w:rPr>
          <w:rFonts w:hint="eastAsia" w:ascii="Times New Roman" w:hAnsi="Times New Roman" w:eastAsia="仿宋_GB2312"/>
          <w:color w:val="333333"/>
          <w:kern w:val="0"/>
          <w:sz w:val="32"/>
          <w:szCs w:val="32"/>
          <w:shd w:val="clear" w:color="auto" w:fill="FFFFFF"/>
        </w:rPr>
        <w:t>6269.43</w:t>
      </w:r>
      <w:r>
        <w:rPr>
          <w:rFonts w:hint="eastAsia" w:ascii="仿宋_GB2312" w:hAnsi="Times New Roman" w:eastAsia="仿宋_GB2312" w:cs="仿宋_GB2312"/>
          <w:color w:val="333333"/>
          <w:kern w:val="0"/>
          <w:sz w:val="32"/>
          <w:szCs w:val="32"/>
          <w:shd w:val="clear" w:color="auto" w:fill="FFFFFF"/>
        </w:rPr>
        <w:t>万元，其中：上年结转</w:t>
      </w:r>
      <w:r>
        <w:rPr>
          <w:rFonts w:hint="eastAsia" w:ascii="Times New Roman" w:hAnsi="Times New Roman" w:eastAsia="仿宋_GB2312"/>
          <w:color w:val="333333"/>
          <w:kern w:val="0"/>
          <w:sz w:val="32"/>
          <w:szCs w:val="32"/>
          <w:shd w:val="clear" w:color="auto" w:fill="FFFFFF"/>
        </w:rPr>
        <w:t>423.59</w:t>
      </w:r>
      <w:r>
        <w:rPr>
          <w:rFonts w:hint="eastAsia" w:ascii="仿宋_GB2312" w:hAnsi="Times New Roman" w:eastAsia="仿宋_GB2312" w:cs="仿宋_GB2312"/>
          <w:color w:val="333333"/>
          <w:kern w:val="0"/>
          <w:sz w:val="32"/>
          <w:szCs w:val="32"/>
          <w:shd w:val="clear" w:color="auto" w:fill="FFFFFF"/>
        </w:rPr>
        <w:t>万元，占</w:t>
      </w:r>
      <w:r>
        <w:rPr>
          <w:rFonts w:hint="eastAsia" w:ascii="Times New Roman" w:hAnsi="Times New Roman" w:eastAsia="仿宋_GB2312"/>
          <w:color w:val="333333"/>
          <w:kern w:val="0"/>
          <w:sz w:val="32"/>
          <w:szCs w:val="32"/>
          <w:shd w:val="clear" w:color="auto" w:fill="FFFFFF"/>
        </w:rPr>
        <w:t>6.76</w:t>
      </w:r>
      <w:r>
        <w:rPr>
          <w:rFonts w:hint="eastAsia" w:ascii="仿宋_GB2312" w:hAnsi="Times New Roman" w:eastAsia="仿宋_GB2312" w:cs="仿宋_GB2312"/>
          <w:color w:val="333333"/>
          <w:kern w:val="0"/>
          <w:sz w:val="32"/>
          <w:szCs w:val="32"/>
          <w:shd w:val="clear" w:color="auto" w:fill="FFFFFF"/>
        </w:rPr>
        <w:t>%；一般公共预算拨款收入</w:t>
      </w:r>
      <w:r>
        <w:rPr>
          <w:rFonts w:hint="eastAsia" w:ascii="Times New Roman" w:hAnsi="Times New Roman" w:eastAsia="仿宋_GB2312"/>
          <w:color w:val="333333"/>
          <w:kern w:val="0"/>
          <w:sz w:val="32"/>
          <w:szCs w:val="32"/>
          <w:shd w:val="clear" w:color="auto" w:fill="FFFFFF"/>
        </w:rPr>
        <w:t>4721.61</w:t>
      </w:r>
      <w:r>
        <w:rPr>
          <w:rFonts w:hint="eastAsia" w:ascii="仿宋_GB2312" w:hAnsi="Times New Roman" w:eastAsia="仿宋_GB2312" w:cs="仿宋_GB2312"/>
          <w:color w:val="333333"/>
          <w:kern w:val="0"/>
          <w:sz w:val="32"/>
          <w:szCs w:val="32"/>
          <w:shd w:val="clear" w:color="auto" w:fill="FFFFFF"/>
        </w:rPr>
        <w:t>万元，占</w:t>
      </w:r>
      <w:r>
        <w:rPr>
          <w:rFonts w:hint="eastAsia" w:ascii="Times New Roman" w:hAnsi="Times New Roman" w:eastAsia="仿宋_GB2312"/>
          <w:color w:val="333333"/>
          <w:kern w:val="0"/>
          <w:sz w:val="32"/>
          <w:szCs w:val="32"/>
          <w:shd w:val="clear" w:color="auto" w:fill="FFFFFF"/>
        </w:rPr>
        <w:t>75.31</w:t>
      </w:r>
      <w:r>
        <w:rPr>
          <w:rFonts w:hint="eastAsia" w:ascii="仿宋_GB2312" w:hAnsi="Times New Roman" w:eastAsia="仿宋_GB2312" w:cs="仿宋_GB2312"/>
          <w:color w:val="333333"/>
          <w:kern w:val="0"/>
          <w:sz w:val="32"/>
          <w:szCs w:val="32"/>
          <w:shd w:val="clear" w:color="auto" w:fill="FFFFFF"/>
        </w:rPr>
        <w:t>%；其他收入1124.24万元，占17.93%。</w:t>
      </w:r>
    </w:p>
    <w:p>
      <w:pPr>
        <w:widowControl/>
        <w:pBdr>
          <w:bottom w:val="single" w:color="FFFFFF" w:sz="8" w:space="31"/>
        </w:pBdr>
        <w:shd w:val="clear" w:color="auto" w:fill="FFFFFF"/>
        <w:spacing w:line="500" w:lineRule="exact"/>
        <w:ind w:firstLine="668"/>
        <w:rPr>
          <w:rFonts w:ascii="楷体_GB2312" w:hAnsi="Times New Roman" w:eastAsia="楷体_GB2312" w:cs="楷体_GB2312"/>
          <w:b/>
          <w:color w:val="333333"/>
          <w:kern w:val="0"/>
          <w:sz w:val="32"/>
          <w:szCs w:val="32"/>
          <w:shd w:val="clear" w:color="auto" w:fill="FFFFFF"/>
        </w:rPr>
      </w:pPr>
      <w:r>
        <w:rPr>
          <w:rFonts w:hint="eastAsia" w:ascii="楷体_GB2312" w:hAnsi="Times New Roman" w:eastAsia="楷体_GB2312" w:cs="楷体_GB2312"/>
          <w:b/>
          <w:color w:val="333333"/>
          <w:kern w:val="0"/>
          <w:sz w:val="32"/>
          <w:szCs w:val="32"/>
          <w:shd w:val="clear" w:color="auto" w:fill="FFFFFF"/>
        </w:rPr>
        <w:t>（二）支出预算情况</w:t>
      </w:r>
    </w:p>
    <w:p>
      <w:pPr>
        <w:widowControl/>
        <w:pBdr>
          <w:bottom w:val="single" w:color="FFFFFF" w:sz="8" w:space="31"/>
        </w:pBdr>
        <w:shd w:val="clear" w:color="auto" w:fill="FFFFFF"/>
        <w:spacing w:line="500" w:lineRule="exact"/>
        <w:ind w:firstLine="668"/>
        <w:rPr>
          <w:rFonts w:ascii="仿宋_GB2312" w:hAnsi="Times New Roman" w:eastAsia="仿宋_GB2312" w:cs="仿宋_GB2312"/>
          <w:color w:val="333333"/>
          <w:kern w:val="0"/>
          <w:sz w:val="32"/>
          <w:szCs w:val="32"/>
          <w:shd w:val="clear" w:color="auto" w:fill="FFFFFF"/>
        </w:rPr>
      </w:pPr>
      <w:r>
        <w:rPr>
          <w:rFonts w:hint="eastAsia" w:ascii="仿宋_GB2312" w:hAnsi="Times New Roman" w:eastAsia="仿宋_GB2312" w:cs="仿宋_GB2312"/>
          <w:color w:val="333333"/>
          <w:kern w:val="0"/>
          <w:sz w:val="32"/>
          <w:szCs w:val="32"/>
          <w:shd w:val="clear" w:color="auto" w:fill="FFFFFF"/>
        </w:rPr>
        <w:t>市农业农村局2022年支出预算6269.43万元，其中：基本支出</w:t>
      </w:r>
      <w:r>
        <w:rPr>
          <w:rFonts w:hint="eastAsia" w:ascii="Times New Roman" w:hAnsi="Times New Roman" w:eastAsia="仿宋_GB2312"/>
          <w:color w:val="333333"/>
          <w:kern w:val="0"/>
          <w:sz w:val="32"/>
          <w:szCs w:val="32"/>
          <w:shd w:val="clear" w:color="auto" w:fill="FFFFFF"/>
        </w:rPr>
        <w:t>4212.78</w:t>
      </w:r>
      <w:r>
        <w:rPr>
          <w:rFonts w:hint="eastAsia" w:ascii="仿宋_GB2312" w:hAnsi="Times New Roman" w:eastAsia="仿宋_GB2312" w:cs="仿宋_GB2312"/>
          <w:color w:val="333333"/>
          <w:kern w:val="0"/>
          <w:sz w:val="32"/>
          <w:szCs w:val="32"/>
          <w:shd w:val="clear" w:color="auto" w:fill="FFFFFF"/>
        </w:rPr>
        <w:t>万元，占</w:t>
      </w:r>
      <w:r>
        <w:rPr>
          <w:rFonts w:hint="eastAsia" w:ascii="Times New Roman" w:hAnsi="Times New Roman" w:eastAsia="仿宋_GB2312"/>
          <w:color w:val="333333"/>
          <w:kern w:val="0"/>
          <w:sz w:val="32"/>
          <w:szCs w:val="32"/>
          <w:shd w:val="clear" w:color="auto" w:fill="FFFFFF"/>
        </w:rPr>
        <w:t>67.20</w:t>
      </w:r>
      <w:r>
        <w:rPr>
          <w:rFonts w:hint="eastAsia" w:ascii="仿宋_GB2312" w:hAnsi="Times New Roman" w:eastAsia="仿宋_GB2312" w:cs="仿宋_GB2312"/>
          <w:color w:val="333333"/>
          <w:kern w:val="0"/>
          <w:sz w:val="32"/>
          <w:szCs w:val="32"/>
          <w:shd w:val="clear" w:color="auto" w:fill="FFFFFF"/>
        </w:rPr>
        <w:t>%；项目支出</w:t>
      </w:r>
      <w:r>
        <w:rPr>
          <w:rFonts w:hint="eastAsia" w:ascii="Times New Roman" w:hAnsi="Times New Roman" w:eastAsia="仿宋_GB2312"/>
          <w:color w:val="333333"/>
          <w:kern w:val="0"/>
          <w:sz w:val="32"/>
          <w:szCs w:val="32"/>
          <w:shd w:val="clear" w:color="auto" w:fill="FFFFFF"/>
        </w:rPr>
        <w:t>2056.65</w:t>
      </w:r>
      <w:r>
        <w:rPr>
          <w:rFonts w:hint="eastAsia" w:ascii="仿宋_GB2312" w:hAnsi="Times New Roman" w:eastAsia="仿宋_GB2312" w:cs="仿宋_GB2312"/>
          <w:color w:val="333333"/>
          <w:kern w:val="0"/>
          <w:sz w:val="32"/>
          <w:szCs w:val="32"/>
          <w:shd w:val="clear" w:color="auto" w:fill="FFFFFF"/>
        </w:rPr>
        <w:t>万元，占</w:t>
      </w:r>
      <w:r>
        <w:rPr>
          <w:rFonts w:hint="eastAsia" w:ascii="Times New Roman" w:hAnsi="Times New Roman" w:eastAsia="仿宋_GB2312"/>
          <w:color w:val="333333"/>
          <w:kern w:val="0"/>
          <w:sz w:val="32"/>
          <w:szCs w:val="32"/>
          <w:shd w:val="clear" w:color="auto" w:fill="FFFFFF"/>
        </w:rPr>
        <w:t>32.80</w:t>
      </w:r>
      <w:r>
        <w:rPr>
          <w:rFonts w:hint="eastAsia" w:ascii="仿宋_GB2312" w:hAnsi="Times New Roman" w:eastAsia="仿宋_GB2312" w:cs="仿宋_GB2312"/>
          <w:color w:val="333333"/>
          <w:kern w:val="0"/>
          <w:sz w:val="32"/>
          <w:szCs w:val="32"/>
          <w:shd w:val="clear" w:color="auto" w:fill="FFFFFF"/>
        </w:rPr>
        <w:t>%。</w:t>
      </w:r>
    </w:p>
    <w:p>
      <w:pPr>
        <w:widowControl/>
        <w:pBdr>
          <w:bottom w:val="single" w:color="FFFFFF" w:sz="8" w:space="31"/>
        </w:pBdr>
        <w:shd w:val="clear" w:color="auto" w:fill="FFFFFF"/>
        <w:spacing w:line="500" w:lineRule="exact"/>
        <w:ind w:firstLine="668"/>
        <w:rPr>
          <w:rFonts w:ascii="黑体" w:hAnsi="宋体" w:eastAsia="黑体" w:cs="黑体"/>
          <w:color w:val="333333"/>
          <w:kern w:val="0"/>
          <w:sz w:val="32"/>
          <w:szCs w:val="32"/>
          <w:shd w:val="clear" w:color="auto" w:fill="FFFFFF"/>
        </w:rPr>
      </w:pPr>
      <w:r>
        <w:rPr>
          <w:rFonts w:hint="eastAsia" w:ascii="黑体" w:hAnsi="宋体" w:eastAsia="黑体" w:cs="黑体"/>
          <w:color w:val="333333"/>
          <w:kern w:val="0"/>
          <w:sz w:val="32"/>
          <w:szCs w:val="32"/>
          <w:shd w:val="clear" w:color="auto" w:fill="FFFFFF"/>
        </w:rPr>
        <w:t>四、财政拨款收支预算情况说明</w:t>
      </w:r>
    </w:p>
    <w:p>
      <w:pPr>
        <w:widowControl/>
        <w:pBdr>
          <w:bottom w:val="single" w:color="FFFFFF" w:sz="8" w:space="31"/>
        </w:pBdr>
        <w:shd w:val="clear" w:color="auto" w:fill="FFFFFF"/>
        <w:spacing w:line="500" w:lineRule="exact"/>
        <w:ind w:firstLine="668"/>
        <w:rPr>
          <w:rFonts w:ascii="仿宋_GB2312" w:hAnsi="Times New Roman" w:eastAsia="仿宋_GB2312" w:cs="仿宋_GB2312"/>
          <w:color w:val="333333"/>
          <w:kern w:val="0"/>
          <w:sz w:val="32"/>
          <w:szCs w:val="32"/>
          <w:shd w:val="clear" w:color="auto" w:fill="FFFFFF"/>
        </w:rPr>
      </w:pPr>
      <w:r>
        <w:rPr>
          <w:rFonts w:hint="eastAsia" w:ascii="仿宋_GB2312" w:hAnsi="Times New Roman" w:eastAsia="仿宋_GB2312" w:cs="仿宋_GB2312"/>
          <w:color w:val="333333"/>
          <w:kern w:val="0"/>
          <w:sz w:val="32"/>
          <w:szCs w:val="32"/>
          <w:shd w:val="clear" w:color="auto" w:fill="FFFFFF"/>
        </w:rPr>
        <w:t>市农业农村局2022年财政拨款收支总预算5145.19万元,比2021年财政拨款收支总预算增加58万元，扣除上年结转资金、一次性安排等因素后，同口径增长147.20万元，主要原因是专项项目收支增加。</w:t>
      </w:r>
    </w:p>
    <w:p>
      <w:pPr>
        <w:widowControl/>
        <w:pBdr>
          <w:bottom w:val="single" w:color="FFFFFF" w:sz="8" w:space="31"/>
        </w:pBdr>
        <w:shd w:val="clear" w:color="auto" w:fill="FFFFFF"/>
        <w:spacing w:line="500" w:lineRule="exact"/>
        <w:ind w:firstLine="668"/>
        <w:rPr>
          <w:rFonts w:ascii="仿宋_GB2312" w:hAnsi="Times New Roman" w:eastAsia="仿宋_GB2312" w:cs="仿宋_GB2312"/>
          <w:color w:val="333333"/>
          <w:kern w:val="0"/>
          <w:sz w:val="32"/>
          <w:szCs w:val="32"/>
          <w:shd w:val="clear" w:color="auto" w:fill="FFFFFF"/>
        </w:rPr>
      </w:pPr>
      <w:r>
        <w:rPr>
          <w:rFonts w:hint="eastAsia" w:ascii="仿宋_GB2312" w:hAnsi="Times New Roman" w:eastAsia="仿宋_GB2312" w:cs="仿宋_GB2312"/>
          <w:color w:val="333333"/>
          <w:kern w:val="0"/>
          <w:sz w:val="32"/>
          <w:szCs w:val="32"/>
          <w:shd w:val="clear" w:color="auto" w:fill="FFFFFF"/>
        </w:rPr>
        <w:t>收入包括：本年一般公共预算拨款收入4721.61万元、上年结转一般公共预算拨款收入423.59万元；支出包括：一般公共服务支出</w:t>
      </w:r>
      <w:r>
        <w:rPr>
          <w:rFonts w:hint="eastAsia" w:ascii="Times New Roman" w:hAnsi="Times New Roman"/>
          <w:color w:val="333333"/>
          <w:kern w:val="0"/>
          <w:sz w:val="32"/>
          <w:szCs w:val="32"/>
          <w:shd w:val="clear" w:color="auto" w:fill="FFFFFF"/>
        </w:rPr>
        <w:t>7.20</w:t>
      </w:r>
      <w:r>
        <w:rPr>
          <w:rFonts w:hint="eastAsia" w:ascii="仿宋_GB2312" w:hAnsi="Times New Roman" w:eastAsia="仿宋_GB2312" w:cs="仿宋_GB2312"/>
          <w:color w:val="333333"/>
          <w:kern w:val="0"/>
          <w:sz w:val="32"/>
          <w:szCs w:val="32"/>
          <w:shd w:val="clear" w:color="auto" w:fill="FFFFFF"/>
        </w:rPr>
        <w:t>万元、科学技术支出15.41万元、社会保障和就业支出332.14万元、卫生健康支出152.73万元、住房保障支出333.17万元、农林水支出4243.65万元、粮油物资储备支出24.00万元、其他支出36.90万元。</w:t>
      </w:r>
    </w:p>
    <w:p>
      <w:pPr>
        <w:widowControl/>
        <w:pBdr>
          <w:bottom w:val="single" w:color="FFFFFF" w:sz="8" w:space="31"/>
        </w:pBdr>
        <w:shd w:val="clear" w:color="auto" w:fill="FFFFFF"/>
        <w:spacing w:line="500" w:lineRule="exact"/>
        <w:ind w:firstLine="668"/>
        <w:rPr>
          <w:rFonts w:ascii="黑体" w:hAnsi="宋体" w:eastAsia="黑体" w:cs="黑体"/>
          <w:color w:val="333333"/>
          <w:kern w:val="0"/>
          <w:sz w:val="32"/>
          <w:szCs w:val="32"/>
          <w:shd w:val="clear" w:color="auto" w:fill="FFFFFF"/>
        </w:rPr>
      </w:pPr>
      <w:r>
        <w:rPr>
          <w:rFonts w:hint="eastAsia" w:ascii="黑体" w:hAnsi="宋体" w:eastAsia="黑体" w:cs="黑体"/>
          <w:color w:val="333333"/>
          <w:kern w:val="0"/>
          <w:sz w:val="32"/>
          <w:szCs w:val="32"/>
          <w:shd w:val="clear" w:color="auto" w:fill="FFFFFF"/>
        </w:rPr>
        <w:t>五、一般公共预算当年拨款情况说明</w:t>
      </w:r>
    </w:p>
    <w:p>
      <w:pPr>
        <w:widowControl/>
        <w:pBdr>
          <w:bottom w:val="single" w:color="FFFFFF" w:sz="8" w:space="31"/>
        </w:pBdr>
        <w:shd w:val="clear" w:color="auto" w:fill="FFFFFF"/>
        <w:spacing w:line="500" w:lineRule="exact"/>
        <w:ind w:firstLine="668"/>
        <w:rPr>
          <w:rFonts w:ascii="楷体_GB2312" w:hAnsi="Times New Roman" w:eastAsia="楷体_GB2312" w:cs="楷体_GB2312"/>
          <w:b/>
          <w:color w:val="333333"/>
          <w:kern w:val="0"/>
          <w:sz w:val="32"/>
          <w:szCs w:val="32"/>
          <w:shd w:val="clear" w:color="auto" w:fill="FFFFFF"/>
        </w:rPr>
      </w:pPr>
      <w:r>
        <w:rPr>
          <w:rFonts w:hint="eastAsia" w:ascii="楷体_GB2312" w:hAnsi="Times New Roman" w:eastAsia="楷体_GB2312" w:cs="楷体_GB2312"/>
          <w:b/>
          <w:color w:val="333333"/>
          <w:kern w:val="0"/>
          <w:sz w:val="32"/>
          <w:szCs w:val="32"/>
          <w:shd w:val="clear" w:color="auto" w:fill="FFFFFF"/>
        </w:rPr>
        <w:t>（一）一般公共预算当年拨款规模变化情况</w:t>
      </w:r>
    </w:p>
    <w:p>
      <w:pPr>
        <w:widowControl/>
        <w:pBdr>
          <w:bottom w:val="single" w:color="FFFFFF" w:sz="8" w:space="31"/>
        </w:pBdr>
        <w:shd w:val="clear" w:color="auto" w:fill="FFFFFF"/>
        <w:spacing w:line="500" w:lineRule="exact"/>
        <w:ind w:firstLine="668"/>
        <w:rPr>
          <w:rFonts w:ascii="仿宋_GB2312" w:hAnsi="Times New Roman" w:eastAsia="仿宋_GB2312" w:cs="仿宋_GB2312"/>
          <w:color w:val="333333"/>
          <w:kern w:val="0"/>
          <w:sz w:val="32"/>
          <w:szCs w:val="32"/>
          <w:shd w:val="clear" w:color="auto" w:fill="FFFFFF"/>
        </w:rPr>
      </w:pPr>
      <w:r>
        <w:rPr>
          <w:rFonts w:hint="eastAsia" w:ascii="仿宋_GB2312" w:hAnsi="Times New Roman" w:eastAsia="仿宋_GB2312" w:cs="仿宋_GB2312"/>
          <w:color w:val="333333"/>
          <w:kern w:val="0"/>
          <w:sz w:val="32"/>
          <w:szCs w:val="32"/>
          <w:shd w:val="clear" w:color="auto" w:fill="FFFFFF"/>
        </w:rPr>
        <w:t>市农业农村局2022年一般公共预算当年拨款</w:t>
      </w:r>
      <w:r>
        <w:rPr>
          <w:rFonts w:hint="eastAsia" w:ascii="Times New Roman" w:hAnsi="Times New Roman" w:eastAsia="仿宋_GB2312"/>
          <w:color w:val="333333"/>
          <w:kern w:val="0"/>
          <w:sz w:val="32"/>
          <w:szCs w:val="32"/>
          <w:shd w:val="clear" w:color="auto" w:fill="FFFFFF"/>
        </w:rPr>
        <w:t>4721.61</w:t>
      </w:r>
      <w:r>
        <w:rPr>
          <w:rFonts w:hint="eastAsia" w:ascii="仿宋_GB2312" w:hAnsi="Times New Roman" w:eastAsia="仿宋_GB2312" w:cs="仿宋_GB2312"/>
          <w:color w:val="333333"/>
          <w:kern w:val="0"/>
          <w:sz w:val="32"/>
          <w:szCs w:val="32"/>
          <w:shd w:val="clear" w:color="auto" w:fill="FFFFFF"/>
        </w:rPr>
        <w:t>万元，比2021年预算数增加147.20万元，主要原因是专项项目收支增加。</w:t>
      </w:r>
    </w:p>
    <w:p>
      <w:pPr>
        <w:widowControl/>
        <w:pBdr>
          <w:bottom w:val="single" w:color="FFFFFF" w:sz="8" w:space="31"/>
        </w:pBdr>
        <w:shd w:val="clear" w:color="auto" w:fill="FFFFFF"/>
        <w:spacing w:line="500" w:lineRule="exact"/>
        <w:ind w:firstLine="668"/>
        <w:rPr>
          <w:rFonts w:ascii="楷体_GB2312" w:hAnsi="Times New Roman" w:eastAsia="楷体_GB2312" w:cs="楷体_GB2312"/>
          <w:b/>
          <w:color w:val="333333"/>
          <w:kern w:val="0"/>
          <w:sz w:val="32"/>
          <w:szCs w:val="32"/>
          <w:shd w:val="clear" w:color="auto" w:fill="FFFFFF"/>
        </w:rPr>
      </w:pPr>
      <w:r>
        <w:rPr>
          <w:rFonts w:hint="eastAsia" w:ascii="楷体_GB2312" w:hAnsi="Times New Roman" w:eastAsia="楷体_GB2312" w:cs="楷体_GB2312"/>
          <w:b/>
          <w:color w:val="333333"/>
          <w:kern w:val="0"/>
          <w:sz w:val="32"/>
          <w:szCs w:val="32"/>
          <w:shd w:val="clear" w:color="auto" w:fill="FFFFFF"/>
        </w:rPr>
        <w:t>（二）一般公共预算当年拨款结构情况</w:t>
      </w:r>
    </w:p>
    <w:p>
      <w:pPr>
        <w:widowControl/>
        <w:pBdr>
          <w:bottom w:val="single" w:color="FFFFFF" w:sz="8" w:space="31"/>
        </w:pBdr>
        <w:shd w:val="clear" w:color="auto" w:fill="FFFFFF"/>
        <w:spacing w:line="500" w:lineRule="exact"/>
        <w:ind w:firstLine="668"/>
        <w:rPr>
          <w:rFonts w:ascii="仿宋_GB2312" w:hAnsi="Times New Roman" w:eastAsia="仿宋_GB2312" w:cs="仿宋_GB2312"/>
          <w:color w:val="333333"/>
          <w:kern w:val="0"/>
          <w:sz w:val="32"/>
          <w:szCs w:val="32"/>
          <w:shd w:val="clear" w:color="auto" w:fill="FFFFFF"/>
        </w:rPr>
      </w:pPr>
      <w:r>
        <w:rPr>
          <w:rFonts w:hint="eastAsia" w:ascii="仿宋_GB2312" w:hAnsi="Times New Roman" w:eastAsia="仿宋_GB2312" w:cs="仿宋_GB2312"/>
          <w:color w:val="333333"/>
          <w:kern w:val="0"/>
          <w:sz w:val="32"/>
          <w:szCs w:val="32"/>
          <w:shd w:val="clear" w:color="auto" w:fill="FFFFFF"/>
        </w:rPr>
        <w:t>社会保障和就业支出</w:t>
      </w:r>
      <w:r>
        <w:rPr>
          <w:rFonts w:hint="eastAsia" w:ascii="Times New Roman" w:hAnsi="Times New Roman"/>
          <w:color w:val="333333"/>
          <w:kern w:val="0"/>
          <w:sz w:val="32"/>
          <w:szCs w:val="32"/>
          <w:shd w:val="clear" w:color="auto" w:fill="FFFFFF"/>
        </w:rPr>
        <w:t>322.54</w:t>
      </w:r>
      <w:r>
        <w:rPr>
          <w:rFonts w:hint="eastAsia" w:ascii="仿宋_GB2312" w:hAnsi="Times New Roman" w:eastAsia="仿宋_GB2312" w:cs="仿宋_GB2312"/>
          <w:color w:val="333333"/>
          <w:kern w:val="0"/>
          <w:sz w:val="32"/>
          <w:szCs w:val="32"/>
          <w:shd w:val="clear" w:color="auto" w:fill="FFFFFF"/>
        </w:rPr>
        <w:t>万元，占</w:t>
      </w:r>
      <w:r>
        <w:rPr>
          <w:rFonts w:hint="eastAsia" w:ascii="Times New Roman" w:hAnsi="Times New Roman"/>
          <w:color w:val="333333"/>
          <w:kern w:val="0"/>
          <w:sz w:val="32"/>
          <w:szCs w:val="32"/>
          <w:shd w:val="clear" w:color="auto" w:fill="FFFFFF"/>
        </w:rPr>
        <w:t>6.83</w:t>
      </w:r>
      <w:r>
        <w:rPr>
          <w:rFonts w:hint="eastAsia" w:ascii="仿宋_GB2312" w:hAnsi="Times New Roman" w:eastAsia="仿宋_GB2312" w:cs="仿宋_GB2312"/>
          <w:color w:val="333333"/>
          <w:kern w:val="0"/>
          <w:sz w:val="32"/>
          <w:szCs w:val="32"/>
          <w:shd w:val="clear" w:color="auto" w:fill="FFFFFF"/>
        </w:rPr>
        <w:t>%；卫生健康支出</w:t>
      </w:r>
      <w:r>
        <w:rPr>
          <w:rFonts w:hint="eastAsia" w:ascii="Times New Roman" w:hAnsi="Times New Roman"/>
          <w:color w:val="333333"/>
          <w:kern w:val="0"/>
          <w:sz w:val="32"/>
          <w:szCs w:val="32"/>
          <w:shd w:val="clear" w:color="auto" w:fill="FFFFFF"/>
        </w:rPr>
        <w:t>152.73</w:t>
      </w:r>
      <w:r>
        <w:rPr>
          <w:rFonts w:hint="eastAsia" w:ascii="仿宋_GB2312" w:hAnsi="Times New Roman" w:eastAsia="仿宋_GB2312" w:cs="仿宋_GB2312"/>
          <w:color w:val="333333"/>
          <w:kern w:val="0"/>
          <w:sz w:val="32"/>
          <w:szCs w:val="32"/>
          <w:shd w:val="clear" w:color="auto" w:fill="FFFFFF"/>
        </w:rPr>
        <w:t>万元，占</w:t>
      </w:r>
      <w:r>
        <w:rPr>
          <w:rFonts w:hint="eastAsia" w:ascii="Times New Roman" w:hAnsi="Times New Roman"/>
          <w:color w:val="333333"/>
          <w:kern w:val="0"/>
          <w:sz w:val="32"/>
          <w:szCs w:val="32"/>
          <w:shd w:val="clear" w:color="auto" w:fill="FFFFFF"/>
        </w:rPr>
        <w:t>3.23</w:t>
      </w:r>
      <w:r>
        <w:rPr>
          <w:rFonts w:hint="eastAsia" w:ascii="仿宋_GB2312" w:hAnsi="Times New Roman" w:eastAsia="仿宋_GB2312" w:cs="仿宋_GB2312"/>
          <w:color w:val="333333"/>
          <w:kern w:val="0"/>
          <w:sz w:val="32"/>
          <w:szCs w:val="32"/>
          <w:shd w:val="clear" w:color="auto" w:fill="FFFFFF"/>
        </w:rPr>
        <w:t>%；农林水支出3913.17万元，占82.88%，住房保障支出</w:t>
      </w:r>
      <w:r>
        <w:rPr>
          <w:rFonts w:hint="eastAsia" w:ascii="Times New Roman" w:hAnsi="Times New Roman"/>
          <w:color w:val="333333"/>
          <w:kern w:val="0"/>
          <w:sz w:val="32"/>
          <w:szCs w:val="32"/>
          <w:shd w:val="clear" w:color="auto" w:fill="FFFFFF"/>
        </w:rPr>
        <w:t>333.17</w:t>
      </w:r>
      <w:r>
        <w:rPr>
          <w:rFonts w:hint="eastAsia" w:ascii="仿宋_GB2312" w:hAnsi="Times New Roman" w:eastAsia="仿宋_GB2312" w:cs="仿宋_GB2312"/>
          <w:color w:val="333333"/>
          <w:kern w:val="0"/>
          <w:sz w:val="32"/>
          <w:szCs w:val="32"/>
          <w:shd w:val="clear" w:color="auto" w:fill="FFFFFF"/>
        </w:rPr>
        <w:t>万元，占</w:t>
      </w:r>
      <w:r>
        <w:rPr>
          <w:rFonts w:hint="eastAsia" w:ascii="Times New Roman" w:hAnsi="Times New Roman"/>
          <w:color w:val="333333"/>
          <w:kern w:val="0"/>
          <w:sz w:val="32"/>
          <w:szCs w:val="32"/>
          <w:shd w:val="clear" w:color="auto" w:fill="FFFFFF"/>
        </w:rPr>
        <w:t>7.06</w:t>
      </w:r>
      <w:r>
        <w:rPr>
          <w:rFonts w:hint="eastAsia" w:ascii="仿宋_GB2312" w:hAnsi="Times New Roman" w:eastAsia="仿宋_GB2312" w:cs="仿宋_GB2312"/>
          <w:color w:val="333333"/>
          <w:kern w:val="0"/>
          <w:sz w:val="32"/>
          <w:szCs w:val="32"/>
          <w:shd w:val="clear" w:color="auto" w:fill="FFFFFF"/>
        </w:rPr>
        <w:t>%。</w:t>
      </w:r>
    </w:p>
    <w:p>
      <w:pPr>
        <w:widowControl/>
        <w:pBdr>
          <w:bottom w:val="single" w:color="FFFFFF" w:sz="8" w:space="31"/>
        </w:pBdr>
        <w:shd w:val="clear" w:color="auto" w:fill="FFFFFF"/>
        <w:spacing w:line="500" w:lineRule="exact"/>
        <w:ind w:firstLine="668"/>
        <w:rPr>
          <w:rFonts w:ascii="楷体_GB2312" w:hAnsi="Times New Roman" w:eastAsia="楷体_GB2312" w:cs="楷体_GB2312"/>
          <w:b/>
          <w:color w:val="333333"/>
          <w:kern w:val="0"/>
          <w:sz w:val="32"/>
          <w:szCs w:val="32"/>
          <w:shd w:val="clear" w:color="auto" w:fill="FFFFFF"/>
        </w:rPr>
      </w:pPr>
      <w:r>
        <w:rPr>
          <w:rFonts w:hint="eastAsia" w:ascii="楷体_GB2312" w:hAnsi="Times New Roman" w:eastAsia="楷体_GB2312" w:cs="楷体_GB2312"/>
          <w:b/>
          <w:color w:val="333333"/>
          <w:kern w:val="0"/>
          <w:sz w:val="32"/>
          <w:szCs w:val="32"/>
          <w:shd w:val="clear" w:color="auto" w:fill="FFFFFF"/>
        </w:rPr>
        <w:t>（三）一般公共预算当年拨款具体使用情况</w:t>
      </w:r>
    </w:p>
    <w:p>
      <w:pPr>
        <w:widowControl/>
        <w:pBdr>
          <w:bottom w:val="single" w:color="FFFFFF" w:sz="8" w:space="31"/>
        </w:pBdr>
        <w:shd w:val="clear" w:color="auto" w:fill="FFFFFF"/>
        <w:spacing w:line="500" w:lineRule="exact"/>
        <w:ind w:firstLine="668"/>
        <w:rPr>
          <w:rFonts w:ascii="仿宋_GB2312" w:hAnsi="Times New Roman" w:eastAsia="仿宋_GB2312" w:cs="仿宋_GB2312"/>
          <w:color w:val="333333"/>
          <w:kern w:val="0"/>
          <w:sz w:val="32"/>
          <w:szCs w:val="32"/>
          <w:shd w:val="clear" w:color="auto" w:fill="FFFFFF"/>
        </w:rPr>
      </w:pPr>
      <w:r>
        <w:rPr>
          <w:rFonts w:hint="eastAsia" w:ascii="仿宋_GB2312" w:hAnsi="Times New Roman" w:eastAsia="仿宋_GB2312" w:cs="仿宋_GB2312"/>
          <w:color w:val="333333"/>
          <w:kern w:val="0"/>
          <w:sz w:val="32"/>
          <w:szCs w:val="32"/>
          <w:shd w:val="clear" w:color="auto" w:fill="FFFFFF"/>
        </w:rPr>
        <w:t>1.社会保障和就业（类）行政事业单位养老支出（款）机关事业单位基本养老保险缴费支出（项）2022年预算数为</w:t>
      </w:r>
      <w:r>
        <w:rPr>
          <w:rFonts w:hint="eastAsia" w:ascii="Times New Roman" w:hAnsi="Times New Roman" w:eastAsia="仿宋_GB2312"/>
          <w:color w:val="333333"/>
          <w:kern w:val="0"/>
          <w:sz w:val="32"/>
          <w:szCs w:val="32"/>
          <w:shd w:val="clear" w:color="auto" w:fill="FFFFFF"/>
        </w:rPr>
        <w:t>305.45</w:t>
      </w:r>
      <w:r>
        <w:rPr>
          <w:rFonts w:hint="eastAsia" w:ascii="仿宋_GB2312" w:hAnsi="Times New Roman" w:eastAsia="仿宋_GB2312" w:cs="仿宋_GB2312"/>
          <w:color w:val="333333"/>
          <w:kern w:val="0"/>
          <w:sz w:val="32"/>
          <w:szCs w:val="32"/>
          <w:shd w:val="clear" w:color="auto" w:fill="FFFFFF"/>
        </w:rPr>
        <w:t>万元，主要用于：实施养老保险制度由单位缴纳的基本养老保险支出。</w:t>
      </w:r>
    </w:p>
    <w:p>
      <w:pPr>
        <w:widowControl/>
        <w:pBdr>
          <w:bottom w:val="single" w:color="FFFFFF" w:sz="8" w:space="31"/>
        </w:pBdr>
        <w:shd w:val="clear" w:color="auto" w:fill="FFFFFF"/>
        <w:spacing w:line="500" w:lineRule="exact"/>
        <w:ind w:firstLine="668"/>
        <w:rPr>
          <w:rFonts w:ascii="仿宋_GB2312" w:hAnsi="Times New Roman" w:eastAsia="仿宋_GB2312" w:cs="仿宋_GB2312"/>
          <w:color w:val="333333"/>
          <w:kern w:val="0"/>
          <w:sz w:val="32"/>
          <w:szCs w:val="32"/>
          <w:shd w:val="clear" w:color="auto" w:fill="FFFFFF"/>
        </w:rPr>
      </w:pPr>
      <w:r>
        <w:rPr>
          <w:rFonts w:hint="eastAsia" w:ascii="仿宋_GB2312" w:hAnsi="Times New Roman" w:eastAsia="仿宋_GB2312" w:cs="仿宋_GB2312"/>
          <w:color w:val="333333"/>
          <w:kern w:val="0"/>
          <w:sz w:val="32"/>
          <w:szCs w:val="32"/>
          <w:shd w:val="clear" w:color="auto" w:fill="FFFFFF"/>
        </w:rPr>
        <w:t>2.社会保障和就业（类）其他社会保障和就业支出（款）其他社会保障和就业支出（项）2022年预算数为</w:t>
      </w:r>
      <w:r>
        <w:rPr>
          <w:rFonts w:hint="eastAsia" w:ascii="Times New Roman" w:hAnsi="Times New Roman" w:eastAsia="仿宋_GB2312"/>
          <w:color w:val="333333"/>
          <w:kern w:val="0"/>
          <w:sz w:val="32"/>
          <w:szCs w:val="32"/>
          <w:shd w:val="clear" w:color="auto" w:fill="FFFFFF"/>
        </w:rPr>
        <w:t>17.09</w:t>
      </w:r>
      <w:r>
        <w:rPr>
          <w:rFonts w:hint="eastAsia" w:ascii="仿宋_GB2312" w:hAnsi="Times New Roman" w:eastAsia="仿宋_GB2312" w:cs="仿宋_GB2312"/>
          <w:color w:val="333333"/>
          <w:kern w:val="0"/>
          <w:sz w:val="32"/>
          <w:szCs w:val="32"/>
          <w:shd w:val="clear" w:color="auto" w:fill="FFFFFF"/>
        </w:rPr>
        <w:t>万元，主要用于：机关事业单位按规定由单位缴纳的失业保险、工伤保险等其他社会保险支出。</w:t>
      </w:r>
    </w:p>
    <w:p>
      <w:pPr>
        <w:widowControl/>
        <w:pBdr>
          <w:bottom w:val="single" w:color="FFFFFF" w:sz="8" w:space="31"/>
        </w:pBdr>
        <w:shd w:val="clear" w:color="auto" w:fill="FFFFFF"/>
        <w:spacing w:line="500" w:lineRule="exact"/>
        <w:ind w:firstLine="668"/>
        <w:rPr>
          <w:rFonts w:ascii="仿宋_GB2312" w:hAnsi="Times New Roman" w:eastAsia="仿宋_GB2312" w:cs="仿宋_GB2312"/>
          <w:color w:val="333333"/>
          <w:kern w:val="0"/>
          <w:sz w:val="32"/>
          <w:szCs w:val="32"/>
          <w:shd w:val="clear" w:color="auto" w:fill="FFFFFF"/>
        </w:rPr>
      </w:pPr>
      <w:r>
        <w:rPr>
          <w:rFonts w:hint="eastAsia" w:ascii="仿宋_GB2312" w:hAnsi="Times New Roman" w:eastAsia="仿宋_GB2312" w:cs="仿宋_GB2312"/>
          <w:color w:val="333333"/>
          <w:kern w:val="0"/>
          <w:sz w:val="32"/>
          <w:szCs w:val="32"/>
          <w:shd w:val="clear" w:color="auto" w:fill="FFFFFF"/>
        </w:rPr>
        <w:t>3.卫生健康（类）行政事业单位医疗（款）行政单位医疗（项）2022年预算数为152.73万元，主要用于：机关事业单位按规定由单位缴纳的基本医疗保险支出。</w:t>
      </w:r>
    </w:p>
    <w:p>
      <w:pPr>
        <w:widowControl/>
        <w:pBdr>
          <w:bottom w:val="single" w:color="FFFFFF" w:sz="8" w:space="31"/>
        </w:pBdr>
        <w:shd w:val="clear" w:color="auto" w:fill="FFFFFF"/>
        <w:spacing w:line="500" w:lineRule="exact"/>
        <w:ind w:firstLine="668"/>
        <w:rPr>
          <w:rFonts w:ascii="仿宋_GB2312" w:eastAsia="仿宋_GB2312"/>
          <w:sz w:val="32"/>
          <w:szCs w:val="32"/>
        </w:rPr>
      </w:pPr>
      <w:r>
        <w:rPr>
          <w:rFonts w:hint="eastAsia" w:ascii="仿宋_GB2312" w:hAnsi="Times New Roman" w:eastAsia="仿宋_GB2312" w:cs="仿宋_GB2312"/>
          <w:color w:val="333333"/>
          <w:kern w:val="0"/>
          <w:sz w:val="32"/>
          <w:szCs w:val="32"/>
          <w:shd w:val="clear" w:color="auto" w:fill="FFFFFF"/>
        </w:rPr>
        <w:t>4.农林水（类）农业农村（款）行政运行（项）2022年预算数为</w:t>
      </w:r>
      <w:r>
        <w:rPr>
          <w:rFonts w:hint="eastAsia" w:ascii="Times New Roman" w:hAnsi="Times New Roman" w:eastAsia="仿宋_GB2312"/>
          <w:color w:val="333333"/>
          <w:kern w:val="0"/>
          <w:sz w:val="32"/>
          <w:szCs w:val="32"/>
          <w:shd w:val="clear" w:color="auto" w:fill="FFFFFF"/>
        </w:rPr>
        <w:t>3404.34</w:t>
      </w:r>
      <w:r>
        <w:rPr>
          <w:rFonts w:hint="eastAsia" w:ascii="仿宋_GB2312" w:hAnsi="Times New Roman" w:eastAsia="仿宋_GB2312" w:cs="仿宋_GB2312"/>
          <w:color w:val="333333"/>
          <w:kern w:val="0"/>
          <w:sz w:val="32"/>
          <w:szCs w:val="32"/>
          <w:shd w:val="clear" w:color="auto" w:fill="FFFFFF"/>
        </w:rPr>
        <w:t>万元，主要用于：机关事业单位</w:t>
      </w:r>
      <w:r>
        <w:rPr>
          <w:rFonts w:hint="eastAsia" w:ascii="仿宋_GB2312" w:eastAsia="仿宋_GB2312"/>
          <w:sz w:val="32"/>
          <w:szCs w:val="32"/>
        </w:rPr>
        <w:t>工资奖金津补贴、其他工资福利支出、办公经费、会议费、培训费、委托业务费、公务接待费、公务用车运行维护费、维修（护）费、其他商品和服务支出、设备购置、社会福利和救助、其他对个人和家庭补助支出。</w:t>
      </w:r>
    </w:p>
    <w:p>
      <w:pPr>
        <w:widowControl/>
        <w:pBdr>
          <w:bottom w:val="single" w:color="FFFFFF" w:sz="8" w:space="31"/>
        </w:pBdr>
        <w:shd w:val="clear" w:color="auto" w:fill="FFFFFF"/>
        <w:spacing w:line="500" w:lineRule="exact"/>
        <w:ind w:firstLine="668"/>
        <w:rPr>
          <w:rFonts w:ascii="仿宋_GB2312" w:eastAsia="仿宋_GB2312"/>
          <w:sz w:val="32"/>
          <w:szCs w:val="32"/>
        </w:rPr>
      </w:pPr>
      <w:r>
        <w:rPr>
          <w:rFonts w:hint="eastAsia" w:ascii="仿宋_GB2312" w:hAnsi="Times New Roman" w:eastAsia="仿宋_GB2312" w:cs="仿宋_GB2312"/>
          <w:color w:val="333333"/>
          <w:kern w:val="0"/>
          <w:sz w:val="32"/>
          <w:szCs w:val="32"/>
          <w:shd w:val="clear" w:color="auto" w:fill="FFFFFF"/>
        </w:rPr>
        <w:t>5.农林水（类）农业农村（款）一般行政管理事务（项）2022年预算数为</w:t>
      </w:r>
      <w:r>
        <w:rPr>
          <w:rFonts w:hint="eastAsia" w:ascii="Times New Roman" w:hAnsi="Times New Roman" w:eastAsia="仿宋_GB2312"/>
          <w:color w:val="333333"/>
          <w:kern w:val="0"/>
          <w:sz w:val="32"/>
          <w:szCs w:val="32"/>
          <w:shd w:val="clear" w:color="auto" w:fill="FFFFFF"/>
        </w:rPr>
        <w:t>202.48</w:t>
      </w:r>
      <w:r>
        <w:rPr>
          <w:rFonts w:hint="eastAsia" w:ascii="仿宋_GB2312" w:hAnsi="Times New Roman" w:eastAsia="仿宋_GB2312" w:cs="仿宋_GB2312"/>
          <w:color w:val="333333"/>
          <w:kern w:val="0"/>
          <w:sz w:val="32"/>
          <w:szCs w:val="32"/>
          <w:shd w:val="clear" w:color="auto" w:fill="FFFFFF"/>
        </w:rPr>
        <w:t>万元，主要用于：</w:t>
      </w:r>
      <w:r>
        <w:rPr>
          <w:rFonts w:hint="eastAsia" w:ascii="仿宋_GB2312" w:eastAsia="仿宋_GB2312"/>
          <w:sz w:val="32"/>
          <w:szCs w:val="32"/>
        </w:rPr>
        <w:t>三农工作、农业公共安全与生态资源保护利用、乡村振兴和农村改革等专项工作经费支出。</w:t>
      </w:r>
    </w:p>
    <w:p>
      <w:pPr>
        <w:widowControl/>
        <w:pBdr>
          <w:bottom w:val="single" w:color="FFFFFF" w:sz="8" w:space="31"/>
        </w:pBdr>
        <w:shd w:val="clear" w:color="auto" w:fill="FFFFFF"/>
        <w:spacing w:line="500" w:lineRule="exact"/>
        <w:ind w:firstLine="668"/>
        <w:rPr>
          <w:rFonts w:ascii="仿宋_GB2312" w:hAnsi="Times New Roman" w:eastAsia="仿宋_GB2312" w:cs="仿宋_GB2312"/>
          <w:color w:val="333333"/>
          <w:kern w:val="0"/>
          <w:sz w:val="32"/>
          <w:szCs w:val="32"/>
          <w:shd w:val="clear" w:color="auto" w:fill="FFFFFF"/>
        </w:rPr>
      </w:pPr>
      <w:r>
        <w:rPr>
          <w:rFonts w:hint="eastAsia" w:ascii="仿宋_GB2312" w:hAnsi="Times New Roman" w:eastAsia="仿宋_GB2312" w:cs="仿宋_GB2312"/>
          <w:color w:val="333333"/>
          <w:kern w:val="0"/>
          <w:sz w:val="32"/>
          <w:szCs w:val="32"/>
          <w:shd w:val="clear" w:color="auto" w:fill="FFFFFF"/>
        </w:rPr>
        <w:t>6.农林水（类）农业农村（款）病虫害控制（项）2022年预算数为</w:t>
      </w:r>
      <w:r>
        <w:rPr>
          <w:rFonts w:hint="eastAsia" w:ascii="Times New Roman" w:hAnsi="Times New Roman" w:eastAsia="仿宋_GB2312"/>
          <w:color w:val="333333"/>
          <w:kern w:val="0"/>
          <w:sz w:val="32"/>
          <w:szCs w:val="32"/>
          <w:shd w:val="clear" w:color="auto" w:fill="FFFFFF"/>
        </w:rPr>
        <w:t>296.35</w:t>
      </w:r>
      <w:r>
        <w:rPr>
          <w:rFonts w:hint="eastAsia" w:ascii="仿宋_GB2312" w:hAnsi="Times New Roman" w:eastAsia="仿宋_GB2312" w:cs="仿宋_GB2312"/>
          <w:color w:val="333333"/>
          <w:kern w:val="0"/>
          <w:sz w:val="32"/>
          <w:szCs w:val="32"/>
          <w:shd w:val="clear" w:color="auto" w:fill="FFFFFF"/>
        </w:rPr>
        <w:t>万元，主要用于：动物防疫工作支出。</w:t>
      </w:r>
    </w:p>
    <w:p>
      <w:pPr>
        <w:widowControl/>
        <w:pBdr>
          <w:bottom w:val="single" w:color="FFFFFF" w:sz="8" w:space="31"/>
        </w:pBdr>
        <w:shd w:val="clear" w:color="auto" w:fill="FFFFFF"/>
        <w:spacing w:line="500" w:lineRule="exact"/>
        <w:ind w:firstLine="668"/>
        <w:rPr>
          <w:rFonts w:ascii="仿宋_GB2312" w:hAnsi="Times New Roman" w:eastAsia="仿宋_GB2312" w:cs="仿宋_GB2312"/>
          <w:color w:val="333333"/>
          <w:kern w:val="0"/>
          <w:sz w:val="32"/>
          <w:szCs w:val="32"/>
          <w:shd w:val="clear" w:color="auto" w:fill="FFFFFF"/>
        </w:rPr>
      </w:pPr>
      <w:r>
        <w:rPr>
          <w:rFonts w:hint="eastAsia" w:ascii="仿宋_GB2312" w:hAnsi="Times New Roman" w:eastAsia="仿宋_GB2312" w:cs="仿宋_GB2312"/>
          <w:color w:val="333333"/>
          <w:kern w:val="0"/>
          <w:sz w:val="32"/>
          <w:szCs w:val="32"/>
          <w:shd w:val="clear" w:color="auto" w:fill="FFFFFF"/>
        </w:rPr>
        <w:t>7.农林水（类）农业农村（款）农业资源保护修复与利用（项）2022年预算数为</w:t>
      </w:r>
      <w:r>
        <w:rPr>
          <w:rFonts w:hint="eastAsia" w:ascii="Times New Roman" w:hAnsi="Times New Roman" w:eastAsia="仿宋_GB2312"/>
          <w:color w:val="333333"/>
          <w:kern w:val="0"/>
          <w:sz w:val="32"/>
          <w:szCs w:val="32"/>
          <w:shd w:val="clear" w:color="auto" w:fill="FFFFFF"/>
        </w:rPr>
        <w:t>10</w:t>
      </w:r>
      <w:r>
        <w:rPr>
          <w:rFonts w:hint="eastAsia" w:ascii="仿宋_GB2312" w:hAnsi="Times New Roman" w:eastAsia="仿宋_GB2312" w:cs="仿宋_GB2312"/>
          <w:color w:val="333333"/>
          <w:kern w:val="0"/>
          <w:sz w:val="32"/>
          <w:szCs w:val="32"/>
          <w:shd w:val="clear" w:color="auto" w:fill="FFFFFF"/>
        </w:rPr>
        <w:t>万元，主要用于：渔业资源保护和增殖放流工作经费支出。</w:t>
      </w:r>
    </w:p>
    <w:p>
      <w:pPr>
        <w:widowControl/>
        <w:pBdr>
          <w:bottom w:val="single" w:color="FFFFFF" w:sz="8" w:space="31"/>
        </w:pBdr>
        <w:shd w:val="clear" w:color="auto" w:fill="FFFFFF"/>
        <w:spacing w:line="500" w:lineRule="exact"/>
        <w:ind w:firstLine="668"/>
        <w:rPr>
          <w:rFonts w:ascii="仿宋_GB2312" w:hAnsi="Times New Roman" w:eastAsia="仿宋_GB2312" w:cs="仿宋_GB2312"/>
          <w:color w:val="333333"/>
          <w:kern w:val="0"/>
          <w:sz w:val="32"/>
          <w:szCs w:val="32"/>
          <w:shd w:val="clear" w:color="auto" w:fill="FFFFFF"/>
        </w:rPr>
      </w:pPr>
      <w:r>
        <w:rPr>
          <w:rFonts w:hint="eastAsia" w:ascii="仿宋_GB2312" w:hAnsi="Times New Roman" w:eastAsia="仿宋_GB2312" w:cs="仿宋_GB2312"/>
          <w:color w:val="333333"/>
          <w:kern w:val="0"/>
          <w:sz w:val="32"/>
          <w:szCs w:val="32"/>
          <w:shd w:val="clear" w:color="auto" w:fill="FFFFFF"/>
        </w:rPr>
        <w:t>8.住房保障（类）住房改革支出（款）住房公积金（项）2022年预算数为</w:t>
      </w:r>
      <w:r>
        <w:rPr>
          <w:rFonts w:hint="eastAsia" w:ascii="Times New Roman" w:hAnsi="Times New Roman" w:eastAsia="仿宋_GB2312"/>
          <w:color w:val="333333"/>
          <w:kern w:val="0"/>
          <w:sz w:val="32"/>
          <w:szCs w:val="32"/>
          <w:shd w:val="clear" w:color="auto" w:fill="FFFFFF"/>
        </w:rPr>
        <w:t>333.17</w:t>
      </w:r>
      <w:r>
        <w:rPr>
          <w:rFonts w:hint="eastAsia" w:ascii="仿宋_GB2312" w:hAnsi="Times New Roman" w:eastAsia="仿宋_GB2312" w:cs="仿宋_GB2312"/>
          <w:color w:val="333333"/>
          <w:kern w:val="0"/>
          <w:sz w:val="32"/>
          <w:szCs w:val="32"/>
          <w:shd w:val="clear" w:color="auto" w:fill="FFFFFF"/>
        </w:rPr>
        <w:t>万元，主要用于：部门按规定为职工缴纳的住房公积金支出。</w:t>
      </w:r>
    </w:p>
    <w:p>
      <w:pPr>
        <w:widowControl/>
        <w:pBdr>
          <w:bottom w:val="single" w:color="FFFFFF" w:sz="8" w:space="31"/>
        </w:pBdr>
        <w:shd w:val="clear" w:color="auto" w:fill="FFFFFF"/>
        <w:spacing w:line="500" w:lineRule="exact"/>
        <w:ind w:firstLine="668"/>
        <w:rPr>
          <w:rFonts w:ascii="黑体" w:hAnsi="宋体" w:eastAsia="黑体" w:cs="黑体"/>
          <w:color w:val="333333"/>
          <w:kern w:val="0"/>
          <w:sz w:val="32"/>
          <w:szCs w:val="32"/>
          <w:shd w:val="clear" w:color="auto" w:fill="FFFFFF"/>
        </w:rPr>
      </w:pPr>
      <w:r>
        <w:rPr>
          <w:rFonts w:hint="eastAsia" w:ascii="黑体" w:hAnsi="宋体" w:eastAsia="黑体" w:cs="黑体"/>
          <w:color w:val="333333"/>
          <w:kern w:val="0"/>
          <w:sz w:val="32"/>
          <w:szCs w:val="32"/>
          <w:shd w:val="clear" w:color="auto" w:fill="FFFFFF"/>
        </w:rPr>
        <w:t>六、一般公共预算基本支出情况说明</w:t>
      </w:r>
    </w:p>
    <w:p>
      <w:pPr>
        <w:widowControl/>
        <w:pBdr>
          <w:bottom w:val="single" w:color="FFFFFF" w:sz="8" w:space="31"/>
        </w:pBdr>
        <w:shd w:val="clear" w:color="auto" w:fill="FFFFFF"/>
        <w:spacing w:line="500" w:lineRule="exact"/>
        <w:ind w:firstLine="668"/>
        <w:rPr>
          <w:rFonts w:ascii="仿宋_GB2312" w:hAnsi="Times New Roman" w:eastAsia="仿宋_GB2312" w:cs="仿宋_GB2312"/>
          <w:color w:val="333333"/>
          <w:kern w:val="0"/>
          <w:sz w:val="32"/>
          <w:szCs w:val="32"/>
          <w:shd w:val="clear" w:color="auto" w:fill="FFFFFF"/>
        </w:rPr>
      </w:pPr>
      <w:r>
        <w:rPr>
          <w:rFonts w:hint="eastAsia" w:ascii="仿宋_GB2312" w:hAnsi="Times New Roman" w:eastAsia="仿宋_GB2312" w:cs="仿宋_GB2312"/>
          <w:color w:val="333333"/>
          <w:kern w:val="0"/>
          <w:sz w:val="32"/>
          <w:szCs w:val="32"/>
          <w:shd w:val="clear" w:color="auto" w:fill="FFFFFF"/>
        </w:rPr>
        <w:t>市农业农村局2022年一般公共预算基本支出</w:t>
      </w:r>
      <w:r>
        <w:rPr>
          <w:rFonts w:hint="eastAsia" w:ascii="Times New Roman" w:hAnsi="Times New Roman" w:eastAsia="仿宋_GB2312"/>
          <w:color w:val="333333"/>
          <w:kern w:val="0"/>
          <w:sz w:val="32"/>
          <w:szCs w:val="32"/>
          <w:shd w:val="clear" w:color="auto" w:fill="FFFFFF"/>
        </w:rPr>
        <w:t>4212.78</w:t>
      </w:r>
      <w:r>
        <w:rPr>
          <w:rFonts w:hint="eastAsia" w:ascii="仿宋_GB2312" w:hAnsi="Times New Roman" w:eastAsia="仿宋_GB2312" w:cs="仿宋_GB2312"/>
          <w:color w:val="333333"/>
          <w:kern w:val="0"/>
          <w:sz w:val="32"/>
          <w:szCs w:val="32"/>
          <w:shd w:val="clear" w:color="auto" w:fill="FFFFFF"/>
        </w:rPr>
        <w:t>万元，其中：人员经费</w:t>
      </w:r>
      <w:r>
        <w:rPr>
          <w:rFonts w:hint="eastAsia" w:ascii="Times New Roman" w:hAnsi="Times New Roman" w:eastAsia="仿宋_GB2312"/>
          <w:color w:val="333333"/>
          <w:kern w:val="0"/>
          <w:sz w:val="32"/>
          <w:szCs w:val="32"/>
          <w:shd w:val="clear" w:color="auto" w:fill="FFFFFF"/>
        </w:rPr>
        <w:t>3559.57</w:t>
      </w:r>
      <w:r>
        <w:rPr>
          <w:rFonts w:hint="eastAsia" w:ascii="仿宋_GB2312" w:hAnsi="Times New Roman" w:eastAsia="仿宋_GB2312" w:cs="仿宋_GB2312"/>
          <w:color w:val="333333"/>
          <w:kern w:val="0"/>
          <w:sz w:val="32"/>
          <w:szCs w:val="32"/>
          <w:shd w:val="clear" w:color="auto" w:fill="FFFFFF"/>
        </w:rPr>
        <w:t>万元，主要包括：基本工资、津贴补贴、奖金、社会保险缴费、住房公积金等支出。</w:t>
      </w:r>
    </w:p>
    <w:p>
      <w:pPr>
        <w:widowControl/>
        <w:pBdr>
          <w:bottom w:val="single" w:color="FFFFFF" w:sz="8" w:space="31"/>
        </w:pBdr>
        <w:shd w:val="clear" w:color="auto" w:fill="FFFFFF"/>
        <w:spacing w:line="500" w:lineRule="exact"/>
        <w:ind w:firstLine="668"/>
        <w:rPr>
          <w:rFonts w:ascii="仿宋_GB2312" w:hAnsi="Times New Roman" w:eastAsia="仿宋_GB2312" w:cs="仿宋_GB2312"/>
          <w:color w:val="333333"/>
          <w:kern w:val="0"/>
          <w:sz w:val="32"/>
          <w:szCs w:val="32"/>
          <w:shd w:val="clear" w:color="auto" w:fill="FFFFFF"/>
        </w:rPr>
      </w:pPr>
      <w:r>
        <w:rPr>
          <w:rFonts w:hint="eastAsia" w:ascii="仿宋_GB2312" w:hAnsi="Times New Roman" w:eastAsia="仿宋_GB2312" w:cs="仿宋_GB2312"/>
          <w:color w:val="333333"/>
          <w:kern w:val="0"/>
          <w:sz w:val="32"/>
          <w:szCs w:val="32"/>
          <w:shd w:val="clear" w:color="auto" w:fill="FFFFFF"/>
        </w:rPr>
        <w:t>公用经费</w:t>
      </w:r>
      <w:r>
        <w:rPr>
          <w:rFonts w:hint="eastAsia" w:ascii="Times New Roman" w:hAnsi="Times New Roman" w:eastAsia="仿宋_GB2312"/>
          <w:color w:val="333333"/>
          <w:kern w:val="0"/>
          <w:sz w:val="32"/>
          <w:szCs w:val="32"/>
          <w:shd w:val="clear" w:color="auto" w:fill="FFFFFF"/>
        </w:rPr>
        <w:t>653.21</w:t>
      </w:r>
      <w:r>
        <w:rPr>
          <w:rFonts w:hint="eastAsia" w:ascii="仿宋_GB2312" w:hAnsi="Times New Roman" w:eastAsia="仿宋_GB2312" w:cs="仿宋_GB2312"/>
          <w:color w:val="333333"/>
          <w:kern w:val="0"/>
          <w:sz w:val="32"/>
          <w:szCs w:val="32"/>
          <w:shd w:val="clear" w:color="auto" w:fill="FFFFFF"/>
        </w:rPr>
        <w:t>万元，主要包括：办公费、印刷费、水费、电费、邮电费、物业管理费、差旅费、维修（护）费、会议费、培训费、公务接待费、劳务费、工会经费、福利费、公务用车运行维护费、其他交通费用等支出。</w:t>
      </w:r>
    </w:p>
    <w:p>
      <w:pPr>
        <w:widowControl/>
        <w:pBdr>
          <w:bottom w:val="single" w:color="FFFFFF" w:sz="8" w:space="31"/>
        </w:pBdr>
        <w:shd w:val="clear" w:color="auto" w:fill="FFFFFF"/>
        <w:spacing w:line="500" w:lineRule="exact"/>
        <w:ind w:firstLine="668"/>
        <w:rPr>
          <w:rFonts w:ascii="黑体" w:hAnsi="宋体" w:eastAsia="黑体" w:cs="黑体"/>
          <w:color w:val="333333"/>
          <w:kern w:val="0"/>
          <w:sz w:val="32"/>
          <w:szCs w:val="32"/>
          <w:shd w:val="clear" w:color="auto" w:fill="FFFFFF"/>
        </w:rPr>
      </w:pPr>
      <w:r>
        <w:rPr>
          <w:rFonts w:hint="eastAsia" w:ascii="黑体" w:hAnsi="宋体" w:eastAsia="黑体" w:cs="黑体"/>
          <w:color w:val="333333"/>
          <w:kern w:val="0"/>
          <w:sz w:val="32"/>
          <w:szCs w:val="32"/>
          <w:shd w:val="clear" w:color="auto" w:fill="FFFFFF"/>
        </w:rPr>
        <w:t>七、“三公”经费财政拨款预算安排情况说明</w:t>
      </w:r>
    </w:p>
    <w:p>
      <w:pPr>
        <w:widowControl/>
        <w:pBdr>
          <w:bottom w:val="single" w:color="FFFFFF" w:sz="8" w:space="31"/>
        </w:pBdr>
        <w:shd w:val="clear" w:color="auto" w:fill="FFFFFF"/>
        <w:spacing w:line="500" w:lineRule="exact"/>
        <w:ind w:firstLine="668"/>
        <w:rPr>
          <w:rFonts w:ascii="仿宋_GB2312" w:hAnsi="Times New Roman" w:eastAsia="仿宋_GB2312" w:cs="仿宋_GB2312"/>
          <w:color w:val="333333"/>
          <w:kern w:val="0"/>
          <w:sz w:val="32"/>
          <w:szCs w:val="32"/>
          <w:shd w:val="clear" w:color="auto" w:fill="FFFFFF"/>
        </w:rPr>
      </w:pPr>
      <w:r>
        <w:rPr>
          <w:rFonts w:hint="eastAsia" w:ascii="仿宋_GB2312" w:hAnsi="Times New Roman" w:eastAsia="仿宋_GB2312" w:cs="仿宋_GB2312"/>
          <w:color w:val="333333"/>
          <w:kern w:val="0"/>
          <w:sz w:val="32"/>
          <w:szCs w:val="32"/>
          <w:shd w:val="clear" w:color="auto" w:fill="FFFFFF"/>
        </w:rPr>
        <w:t>市农业农村局2022年“三公”经费财政拨款预算数</w:t>
      </w:r>
      <w:r>
        <w:rPr>
          <w:rFonts w:hint="eastAsia" w:ascii="Times New Roman" w:hAnsi="Times New Roman" w:eastAsia="仿宋_GB2312"/>
          <w:color w:val="333333"/>
          <w:kern w:val="0"/>
          <w:sz w:val="32"/>
          <w:szCs w:val="32"/>
          <w:shd w:val="clear" w:color="auto" w:fill="FFFFFF"/>
        </w:rPr>
        <w:t>70</w:t>
      </w:r>
      <w:r>
        <w:rPr>
          <w:rFonts w:hint="eastAsia" w:ascii="仿宋_GB2312" w:hAnsi="Times New Roman" w:eastAsia="仿宋_GB2312" w:cs="仿宋_GB2312"/>
          <w:color w:val="333333"/>
          <w:kern w:val="0"/>
          <w:sz w:val="32"/>
          <w:szCs w:val="32"/>
          <w:shd w:val="clear" w:color="auto" w:fill="FFFFFF"/>
        </w:rPr>
        <w:t>万元，其中：公务接待费</w:t>
      </w:r>
      <w:r>
        <w:rPr>
          <w:rFonts w:hint="eastAsia" w:ascii="Times New Roman" w:hAnsi="Times New Roman" w:eastAsia="仿宋_GB2312"/>
          <w:color w:val="333333"/>
          <w:kern w:val="0"/>
          <w:sz w:val="32"/>
          <w:szCs w:val="32"/>
          <w:shd w:val="clear" w:color="auto" w:fill="FFFFFF"/>
        </w:rPr>
        <w:t>10</w:t>
      </w:r>
      <w:r>
        <w:rPr>
          <w:rFonts w:hint="eastAsia" w:ascii="仿宋_GB2312" w:hAnsi="Times New Roman" w:eastAsia="仿宋_GB2312" w:cs="仿宋_GB2312"/>
          <w:color w:val="333333"/>
          <w:kern w:val="0"/>
          <w:sz w:val="32"/>
          <w:szCs w:val="32"/>
          <w:shd w:val="clear" w:color="auto" w:fill="FFFFFF"/>
        </w:rPr>
        <w:t>万元，公务用车购置及运行维护费</w:t>
      </w:r>
      <w:r>
        <w:rPr>
          <w:rFonts w:hint="eastAsia" w:ascii="Times New Roman" w:hAnsi="Times New Roman" w:eastAsia="仿宋_GB2312"/>
          <w:color w:val="333333"/>
          <w:kern w:val="0"/>
          <w:sz w:val="32"/>
          <w:szCs w:val="32"/>
          <w:shd w:val="clear" w:color="auto" w:fill="FFFFFF"/>
        </w:rPr>
        <w:t>60</w:t>
      </w:r>
      <w:r>
        <w:rPr>
          <w:rFonts w:hint="eastAsia" w:ascii="仿宋_GB2312" w:hAnsi="Times New Roman" w:eastAsia="仿宋_GB2312" w:cs="仿宋_GB2312"/>
          <w:color w:val="333333"/>
          <w:kern w:val="0"/>
          <w:sz w:val="32"/>
          <w:szCs w:val="32"/>
          <w:shd w:val="clear" w:color="auto" w:fill="FFFFFF"/>
        </w:rPr>
        <w:t>万元</w:t>
      </w:r>
      <w:r>
        <w:rPr>
          <w:rFonts w:hint="eastAsia" w:ascii="仿宋_GB2312" w:hAnsi="Times New Roman" w:eastAsia="仿宋_GB2312" w:cs="仿宋_GB2312"/>
          <w:color w:val="333333"/>
          <w:kern w:val="0"/>
          <w:sz w:val="32"/>
          <w:szCs w:val="32"/>
          <w:shd w:val="clear" w:color="auto" w:fill="FFFFFF"/>
          <w:lang w:eastAsia="zh-CN"/>
        </w:rPr>
        <w:t>（</w:t>
      </w:r>
      <w:r>
        <w:rPr>
          <w:rFonts w:hint="eastAsia" w:ascii="仿宋_GB2312" w:hAnsi="Times New Roman" w:eastAsia="仿宋_GB2312" w:cs="仿宋_GB2312"/>
          <w:color w:val="333333"/>
          <w:kern w:val="0"/>
          <w:sz w:val="32"/>
          <w:szCs w:val="32"/>
          <w:shd w:val="clear" w:color="auto" w:fill="FFFFFF"/>
          <w:lang w:val="en-US" w:eastAsia="zh-CN"/>
        </w:rPr>
        <w:t>其中：</w:t>
      </w:r>
      <w:r>
        <w:rPr>
          <w:rFonts w:hint="eastAsia" w:ascii="仿宋_GB2312" w:hAnsi="Times New Roman" w:eastAsia="仿宋_GB2312" w:cs="仿宋_GB2312"/>
          <w:color w:val="333333"/>
          <w:kern w:val="0"/>
          <w:sz w:val="32"/>
          <w:szCs w:val="32"/>
          <w:shd w:val="clear" w:color="auto" w:fill="FFFFFF"/>
        </w:rPr>
        <w:t>公务用车购置</w:t>
      </w:r>
      <w:r>
        <w:rPr>
          <w:rFonts w:hint="eastAsia" w:ascii="仿宋_GB2312" w:hAnsi="Times New Roman" w:eastAsia="仿宋_GB2312" w:cs="仿宋_GB2312"/>
          <w:color w:val="333333"/>
          <w:kern w:val="0"/>
          <w:sz w:val="32"/>
          <w:szCs w:val="32"/>
          <w:shd w:val="clear" w:color="auto" w:fill="FFFFFF"/>
          <w:lang w:val="en-US" w:eastAsia="zh-CN"/>
        </w:rPr>
        <w:t>0万元，</w:t>
      </w:r>
      <w:r>
        <w:rPr>
          <w:rFonts w:hint="eastAsia" w:ascii="仿宋_GB2312" w:hAnsi="Times New Roman" w:eastAsia="仿宋_GB2312" w:cs="仿宋_GB2312"/>
          <w:color w:val="333333"/>
          <w:kern w:val="0"/>
          <w:sz w:val="32"/>
          <w:szCs w:val="32"/>
          <w:shd w:val="clear" w:color="auto" w:fill="FFFFFF"/>
        </w:rPr>
        <w:t>运行维护费</w:t>
      </w:r>
      <w:r>
        <w:rPr>
          <w:rFonts w:hint="eastAsia" w:ascii="Times New Roman" w:hAnsi="Times New Roman" w:eastAsia="仿宋_GB2312"/>
          <w:color w:val="333333"/>
          <w:kern w:val="0"/>
          <w:sz w:val="32"/>
          <w:szCs w:val="32"/>
          <w:shd w:val="clear" w:color="auto" w:fill="FFFFFF"/>
        </w:rPr>
        <w:t>60</w:t>
      </w:r>
      <w:r>
        <w:rPr>
          <w:rFonts w:hint="eastAsia" w:ascii="仿宋_GB2312" w:hAnsi="Times New Roman" w:eastAsia="仿宋_GB2312" w:cs="仿宋_GB2312"/>
          <w:color w:val="333333"/>
          <w:kern w:val="0"/>
          <w:sz w:val="32"/>
          <w:szCs w:val="32"/>
          <w:shd w:val="clear" w:color="auto" w:fill="FFFFFF"/>
        </w:rPr>
        <w:t>万元</w:t>
      </w:r>
      <w:r>
        <w:rPr>
          <w:rFonts w:hint="eastAsia" w:ascii="仿宋_GB2312" w:hAnsi="Times New Roman" w:eastAsia="仿宋_GB2312" w:cs="仿宋_GB2312"/>
          <w:color w:val="333333"/>
          <w:kern w:val="0"/>
          <w:sz w:val="32"/>
          <w:szCs w:val="32"/>
          <w:shd w:val="clear" w:color="auto" w:fill="FFFFFF"/>
          <w:lang w:eastAsia="zh-CN"/>
        </w:rPr>
        <w:t>）</w:t>
      </w:r>
      <w:r>
        <w:rPr>
          <w:rFonts w:hint="eastAsia" w:ascii="仿宋_GB2312" w:hAnsi="Times New Roman" w:eastAsia="仿宋_GB2312" w:cs="仿宋_GB2312"/>
          <w:color w:val="333333"/>
          <w:kern w:val="0"/>
          <w:sz w:val="32"/>
          <w:szCs w:val="32"/>
          <w:shd w:val="clear" w:color="auto" w:fill="FFFFFF"/>
        </w:rPr>
        <w:t>，因公出国（境）经费</w:t>
      </w:r>
      <w:r>
        <w:rPr>
          <w:rFonts w:hint="eastAsia" w:ascii="Times New Roman" w:hAnsi="Times New Roman" w:eastAsia="仿宋_GB2312"/>
          <w:color w:val="333333"/>
          <w:kern w:val="0"/>
          <w:sz w:val="32"/>
          <w:szCs w:val="32"/>
          <w:shd w:val="clear" w:color="auto" w:fill="FFFFFF"/>
        </w:rPr>
        <w:t>0</w:t>
      </w:r>
      <w:r>
        <w:rPr>
          <w:rFonts w:hint="eastAsia" w:ascii="仿宋_GB2312" w:hAnsi="Times New Roman" w:eastAsia="仿宋_GB2312" w:cs="仿宋_GB2312"/>
          <w:color w:val="333333"/>
          <w:kern w:val="0"/>
          <w:sz w:val="32"/>
          <w:szCs w:val="32"/>
          <w:shd w:val="clear" w:color="auto" w:fill="FFFFFF"/>
        </w:rPr>
        <w:t>万元。</w:t>
      </w:r>
    </w:p>
    <w:p>
      <w:pPr>
        <w:widowControl/>
        <w:pBdr>
          <w:bottom w:val="single" w:color="FFFFFF" w:sz="8" w:space="31"/>
        </w:pBdr>
        <w:shd w:val="clear" w:color="auto" w:fill="FFFFFF"/>
        <w:spacing w:line="500" w:lineRule="exact"/>
        <w:ind w:firstLine="668"/>
        <w:rPr>
          <w:rFonts w:ascii="楷体_GB2312" w:hAnsi="Times New Roman" w:eastAsia="楷体_GB2312" w:cs="楷体_GB2312"/>
          <w:b/>
          <w:color w:val="333333"/>
          <w:kern w:val="0"/>
          <w:sz w:val="32"/>
          <w:szCs w:val="32"/>
          <w:shd w:val="clear" w:color="auto" w:fill="FFFFFF"/>
        </w:rPr>
      </w:pPr>
      <w:r>
        <w:rPr>
          <w:rFonts w:hint="eastAsia" w:ascii="楷体_GB2312" w:hAnsi="Times New Roman" w:eastAsia="楷体_GB2312" w:cs="楷体_GB2312"/>
          <w:b/>
          <w:color w:val="333333"/>
          <w:kern w:val="0"/>
          <w:sz w:val="32"/>
          <w:szCs w:val="32"/>
          <w:shd w:val="clear" w:color="auto" w:fill="FFFFFF"/>
        </w:rPr>
        <w:t>（一）公务接待费与2021年预算持平。</w:t>
      </w:r>
    </w:p>
    <w:p>
      <w:pPr>
        <w:widowControl/>
        <w:pBdr>
          <w:bottom w:val="single" w:color="FFFFFF" w:sz="8" w:space="31"/>
        </w:pBdr>
        <w:shd w:val="clear" w:color="auto" w:fill="FFFFFF"/>
        <w:spacing w:line="500" w:lineRule="exact"/>
        <w:ind w:firstLine="668"/>
        <w:rPr>
          <w:rFonts w:ascii="仿宋_GB2312" w:hAnsi="Times New Roman" w:eastAsia="仿宋_GB2312" w:cs="仿宋_GB2312"/>
          <w:color w:val="333333"/>
          <w:kern w:val="0"/>
          <w:sz w:val="32"/>
          <w:szCs w:val="32"/>
          <w:shd w:val="clear" w:color="auto" w:fill="FFFFFF"/>
        </w:rPr>
      </w:pPr>
      <w:r>
        <w:rPr>
          <w:rFonts w:hint="eastAsia" w:ascii="仿宋_GB2312" w:hAnsi="Times New Roman" w:eastAsia="仿宋_GB2312" w:cs="仿宋_GB2312"/>
          <w:color w:val="333333"/>
          <w:kern w:val="0"/>
          <w:sz w:val="32"/>
          <w:szCs w:val="32"/>
          <w:shd w:val="clear" w:color="auto" w:fill="FFFFFF"/>
        </w:rPr>
        <w:t>2022年公务接待费计划用于执行接待考察调研、检查指导等公务活动开支的交通费、住宿费、用餐费等。</w:t>
      </w:r>
    </w:p>
    <w:p>
      <w:pPr>
        <w:widowControl/>
        <w:pBdr>
          <w:bottom w:val="single" w:color="FFFFFF" w:sz="8" w:space="31"/>
        </w:pBdr>
        <w:shd w:val="clear" w:color="auto" w:fill="FFFFFF"/>
        <w:spacing w:line="500" w:lineRule="exact"/>
        <w:ind w:firstLine="668"/>
        <w:rPr>
          <w:rFonts w:ascii="楷体_GB2312" w:hAnsi="Times New Roman" w:eastAsia="楷体_GB2312" w:cs="楷体_GB2312"/>
          <w:b/>
          <w:color w:val="333333"/>
          <w:kern w:val="0"/>
          <w:sz w:val="32"/>
          <w:szCs w:val="32"/>
          <w:shd w:val="clear" w:color="auto" w:fill="FFFFFF"/>
        </w:rPr>
      </w:pPr>
      <w:r>
        <w:rPr>
          <w:rFonts w:hint="eastAsia" w:ascii="楷体_GB2312" w:hAnsi="Times New Roman" w:eastAsia="楷体_GB2312" w:cs="楷体_GB2312"/>
          <w:b/>
          <w:color w:val="333333"/>
          <w:kern w:val="0"/>
          <w:sz w:val="32"/>
          <w:szCs w:val="32"/>
          <w:shd w:val="clear" w:color="auto" w:fill="FFFFFF"/>
        </w:rPr>
        <w:t>（二）公务用车购置及运行维护费与2021年预算持平。</w:t>
      </w:r>
    </w:p>
    <w:p>
      <w:pPr>
        <w:widowControl/>
        <w:pBdr>
          <w:bottom w:val="single" w:color="FFFFFF" w:sz="8" w:space="31"/>
        </w:pBdr>
        <w:shd w:val="clear" w:color="auto" w:fill="FFFFFF"/>
        <w:spacing w:line="500" w:lineRule="exact"/>
        <w:ind w:firstLine="668"/>
        <w:rPr>
          <w:rFonts w:hint="eastAsia" w:ascii="仿宋_GB2312" w:hAnsi="Times New Roman" w:eastAsia="仿宋_GB2312" w:cs="仿宋_GB2312"/>
          <w:color w:val="333333"/>
          <w:kern w:val="0"/>
          <w:sz w:val="32"/>
          <w:szCs w:val="32"/>
          <w:shd w:val="clear" w:color="auto" w:fill="FFFFFF"/>
        </w:rPr>
      </w:pPr>
      <w:r>
        <w:rPr>
          <w:rFonts w:hint="eastAsia" w:ascii="仿宋_GB2312" w:hAnsi="Times New Roman" w:eastAsia="仿宋_GB2312" w:cs="仿宋_GB2312"/>
          <w:color w:val="333333"/>
          <w:kern w:val="0"/>
          <w:sz w:val="32"/>
          <w:szCs w:val="32"/>
          <w:shd w:val="clear" w:color="auto" w:fill="FFFFFF"/>
          <w:lang w:val="en-US" w:eastAsia="zh-CN"/>
        </w:rPr>
        <w:t>2022年</w:t>
      </w:r>
      <w:r>
        <w:rPr>
          <w:rFonts w:hint="eastAsia" w:ascii="仿宋_GB2312" w:hAnsi="Times New Roman" w:eastAsia="仿宋_GB2312" w:cs="仿宋_GB2312"/>
          <w:color w:val="333333"/>
          <w:kern w:val="0"/>
          <w:sz w:val="32"/>
          <w:szCs w:val="32"/>
          <w:shd w:val="clear" w:color="auto" w:fill="FFFFFF"/>
        </w:rPr>
        <w:t>单位</w:t>
      </w:r>
      <w:r>
        <w:rPr>
          <w:rFonts w:hint="eastAsia" w:ascii="仿宋_GB2312" w:hAnsi="Times New Roman" w:eastAsia="仿宋_GB2312" w:cs="仿宋_GB2312"/>
          <w:color w:val="333333"/>
          <w:kern w:val="0"/>
          <w:sz w:val="32"/>
          <w:szCs w:val="32"/>
          <w:shd w:val="clear" w:color="auto" w:fill="FFFFFF"/>
          <w:lang w:val="en-US" w:eastAsia="zh-CN"/>
        </w:rPr>
        <w:t>无</w:t>
      </w:r>
      <w:r>
        <w:rPr>
          <w:rFonts w:hint="eastAsia" w:ascii="仿宋_GB2312" w:hAnsi="Times New Roman" w:eastAsia="仿宋_GB2312" w:cs="仿宋_GB2312"/>
          <w:color w:val="333333"/>
          <w:kern w:val="0"/>
          <w:sz w:val="32"/>
          <w:szCs w:val="32"/>
          <w:shd w:val="clear" w:color="auto" w:fill="FFFFFF"/>
        </w:rPr>
        <w:t>公务用车购置</w:t>
      </w:r>
      <w:r>
        <w:rPr>
          <w:rFonts w:hint="eastAsia" w:ascii="仿宋_GB2312" w:hAnsi="Times New Roman" w:eastAsia="仿宋_GB2312" w:cs="仿宋_GB2312"/>
          <w:color w:val="333333"/>
          <w:kern w:val="0"/>
          <w:sz w:val="32"/>
          <w:szCs w:val="32"/>
          <w:shd w:val="clear" w:color="auto" w:fill="FFFFFF"/>
          <w:lang w:val="en-US" w:eastAsia="zh-CN"/>
        </w:rPr>
        <w:t>计划，</w:t>
      </w:r>
      <w:r>
        <w:rPr>
          <w:rFonts w:hint="eastAsia" w:ascii="仿宋_GB2312" w:hAnsi="Times New Roman" w:eastAsia="仿宋_GB2312" w:cs="仿宋_GB2312"/>
          <w:color w:val="333333"/>
          <w:kern w:val="0"/>
          <w:sz w:val="32"/>
          <w:szCs w:val="32"/>
          <w:shd w:val="clear" w:color="auto" w:fill="FFFFFF"/>
        </w:rPr>
        <w:t>现有公务用车</w:t>
      </w:r>
      <w:r>
        <w:rPr>
          <w:rFonts w:hint="eastAsia" w:ascii="Times New Roman" w:hAnsi="Times New Roman" w:eastAsia="仿宋_GB2312"/>
          <w:color w:val="333333"/>
          <w:kern w:val="0"/>
          <w:sz w:val="32"/>
          <w:szCs w:val="32"/>
          <w:shd w:val="clear" w:color="auto" w:fill="FFFFFF"/>
        </w:rPr>
        <w:t>10</w:t>
      </w:r>
      <w:r>
        <w:rPr>
          <w:rFonts w:hint="eastAsia" w:ascii="仿宋_GB2312" w:hAnsi="Times New Roman" w:eastAsia="仿宋_GB2312" w:cs="仿宋_GB2312"/>
          <w:color w:val="333333"/>
          <w:kern w:val="0"/>
          <w:sz w:val="32"/>
          <w:szCs w:val="32"/>
          <w:shd w:val="clear" w:color="auto" w:fill="FFFFFF"/>
        </w:rPr>
        <w:t>辆，其中：轿车3辆，越野车7辆。</w:t>
      </w:r>
    </w:p>
    <w:p>
      <w:pPr>
        <w:widowControl/>
        <w:pBdr>
          <w:bottom w:val="single" w:color="FFFFFF" w:sz="8" w:space="31"/>
        </w:pBdr>
        <w:shd w:val="clear" w:color="auto" w:fill="FFFFFF"/>
        <w:spacing w:line="500" w:lineRule="exact"/>
        <w:ind w:firstLine="668"/>
        <w:rPr>
          <w:rFonts w:hint="default" w:ascii="仿宋_GB2312" w:hAnsi="Times New Roman" w:eastAsia="仿宋_GB2312" w:cs="仿宋_GB2312"/>
          <w:color w:val="333333"/>
          <w:kern w:val="0"/>
          <w:sz w:val="32"/>
          <w:szCs w:val="32"/>
          <w:shd w:val="clear" w:color="auto" w:fill="FFFFFF"/>
          <w:lang w:val="en-US" w:eastAsia="zh-CN"/>
        </w:rPr>
      </w:pPr>
      <w:r>
        <w:rPr>
          <w:rFonts w:hint="eastAsia" w:ascii="仿宋_GB2312" w:hAnsi="Times New Roman" w:eastAsia="仿宋_GB2312" w:cs="仿宋_GB2312"/>
          <w:color w:val="333333"/>
          <w:kern w:val="0"/>
          <w:sz w:val="32"/>
          <w:szCs w:val="32"/>
          <w:shd w:val="clear" w:color="auto" w:fill="FFFFFF"/>
          <w:lang w:val="en-US" w:eastAsia="zh-CN"/>
        </w:rPr>
        <w:t>2022年无公务用车购置计划。</w:t>
      </w:r>
      <w:bookmarkStart w:id="0" w:name="_GoBack"/>
      <w:bookmarkEnd w:id="0"/>
    </w:p>
    <w:p>
      <w:pPr>
        <w:widowControl/>
        <w:pBdr>
          <w:bottom w:val="single" w:color="FFFFFF" w:sz="8" w:space="31"/>
        </w:pBdr>
        <w:shd w:val="clear" w:color="auto" w:fill="FFFFFF"/>
        <w:spacing w:line="500" w:lineRule="exact"/>
        <w:ind w:firstLine="668"/>
        <w:rPr>
          <w:rFonts w:ascii="仿宋_GB2312" w:hAnsi="Times New Roman" w:eastAsia="仿宋_GB2312" w:cs="仿宋_GB2312"/>
          <w:color w:val="333333"/>
          <w:kern w:val="0"/>
          <w:sz w:val="32"/>
          <w:szCs w:val="32"/>
          <w:shd w:val="clear" w:color="auto" w:fill="FFFFFF"/>
        </w:rPr>
      </w:pPr>
      <w:r>
        <w:rPr>
          <w:rFonts w:hint="eastAsia" w:ascii="仿宋_GB2312" w:hAnsi="Times New Roman" w:eastAsia="仿宋_GB2312" w:cs="仿宋_GB2312"/>
          <w:color w:val="333333"/>
          <w:kern w:val="0"/>
          <w:sz w:val="32"/>
          <w:szCs w:val="32"/>
          <w:shd w:val="clear" w:color="auto" w:fill="FFFFFF"/>
        </w:rPr>
        <w:t>2022年安排公务用车运行维护费</w:t>
      </w:r>
      <w:r>
        <w:rPr>
          <w:rFonts w:hint="eastAsia" w:ascii="Times New Roman" w:hAnsi="Times New Roman" w:eastAsia="仿宋_GB2312"/>
          <w:color w:val="333333"/>
          <w:kern w:val="0"/>
          <w:sz w:val="32"/>
          <w:szCs w:val="32"/>
          <w:shd w:val="clear" w:color="auto" w:fill="FFFFFF"/>
        </w:rPr>
        <w:t>60</w:t>
      </w:r>
      <w:r>
        <w:rPr>
          <w:rFonts w:hint="eastAsia" w:ascii="仿宋_GB2312" w:hAnsi="Times New Roman" w:eastAsia="仿宋_GB2312" w:cs="仿宋_GB2312"/>
          <w:color w:val="333333"/>
          <w:kern w:val="0"/>
          <w:sz w:val="32"/>
          <w:szCs w:val="32"/>
          <w:shd w:val="clear" w:color="auto" w:fill="FFFFFF"/>
        </w:rPr>
        <w:t>万元，用于</w:t>
      </w:r>
      <w:r>
        <w:rPr>
          <w:rFonts w:hint="eastAsia" w:ascii="Times New Roman" w:hAnsi="Times New Roman" w:eastAsia="仿宋_GB2312"/>
          <w:color w:val="333333"/>
          <w:kern w:val="0"/>
          <w:sz w:val="32"/>
          <w:szCs w:val="32"/>
          <w:shd w:val="clear" w:color="auto" w:fill="FFFFFF"/>
        </w:rPr>
        <w:t>10</w:t>
      </w:r>
      <w:r>
        <w:rPr>
          <w:rFonts w:hint="eastAsia" w:ascii="仿宋_GB2312" w:hAnsi="Times New Roman" w:eastAsia="仿宋_GB2312" w:cs="仿宋_GB2312"/>
          <w:color w:val="333333"/>
          <w:kern w:val="0"/>
          <w:sz w:val="32"/>
          <w:szCs w:val="32"/>
          <w:shd w:val="clear" w:color="auto" w:fill="FFFFFF"/>
        </w:rPr>
        <w:t>辆公务用车燃油、过路（桥）、维修、保险等方面支出，主要保障农业执法、农产品质量安全检测、渔政管理、三农工作等重点工作。</w:t>
      </w:r>
    </w:p>
    <w:p>
      <w:pPr>
        <w:widowControl/>
        <w:pBdr>
          <w:bottom w:val="single" w:color="FFFFFF" w:sz="8" w:space="31"/>
        </w:pBdr>
        <w:shd w:val="clear" w:color="auto" w:fill="FFFFFF"/>
        <w:spacing w:line="500" w:lineRule="exact"/>
        <w:ind w:firstLine="668"/>
        <w:rPr>
          <w:rFonts w:ascii="楷体" w:hAnsi="楷体" w:eastAsia="楷体" w:cs="仿宋_GB2312"/>
          <w:b/>
          <w:kern w:val="0"/>
          <w:sz w:val="32"/>
          <w:szCs w:val="32"/>
          <w:shd w:val="clear" w:color="auto" w:fill="FFFFFF"/>
        </w:rPr>
      </w:pPr>
      <w:r>
        <w:rPr>
          <w:rFonts w:hint="eastAsia" w:ascii="楷体" w:hAnsi="楷体" w:eastAsia="楷体" w:cs="仿宋_GB2312"/>
          <w:b/>
          <w:kern w:val="0"/>
          <w:sz w:val="32"/>
          <w:szCs w:val="32"/>
          <w:shd w:val="clear" w:color="auto" w:fill="FFFFFF"/>
        </w:rPr>
        <w:t>（三）因公出国（境）经费与2021年预算持平</w:t>
      </w:r>
    </w:p>
    <w:p>
      <w:pPr>
        <w:widowControl/>
        <w:pBdr>
          <w:bottom w:val="single" w:color="FFFFFF" w:sz="8" w:space="31"/>
        </w:pBdr>
        <w:shd w:val="clear" w:color="auto" w:fill="FFFFFF"/>
        <w:spacing w:line="500" w:lineRule="exact"/>
        <w:ind w:firstLine="668"/>
        <w:rPr>
          <w:rFonts w:ascii="仿宋_GB2312" w:hAnsi="Times New Roman" w:eastAsia="仿宋_GB2312" w:cs="仿宋_GB2312"/>
          <w:kern w:val="0"/>
          <w:sz w:val="32"/>
          <w:szCs w:val="32"/>
          <w:shd w:val="clear" w:color="auto" w:fill="FFFFFF"/>
        </w:rPr>
      </w:pPr>
      <w:r>
        <w:rPr>
          <w:rFonts w:hint="eastAsia" w:ascii="仿宋_GB2312" w:hAnsi="Times New Roman" w:eastAsia="仿宋_GB2312" w:cs="仿宋_GB2312"/>
          <w:kern w:val="0"/>
          <w:sz w:val="32"/>
          <w:szCs w:val="32"/>
          <w:shd w:val="clear" w:color="auto" w:fill="FFFFFF"/>
        </w:rPr>
        <w:t xml:space="preserve"> 市农业农村局2022年因公出国（境）经费财政拨款预算数为0万元，与2021年预算持平。</w:t>
      </w:r>
    </w:p>
    <w:p>
      <w:pPr>
        <w:widowControl/>
        <w:pBdr>
          <w:bottom w:val="single" w:color="FFFFFF" w:sz="8" w:space="31"/>
        </w:pBdr>
        <w:shd w:val="clear" w:color="auto" w:fill="FFFFFF"/>
        <w:spacing w:line="500" w:lineRule="exact"/>
        <w:ind w:firstLine="668"/>
        <w:rPr>
          <w:rFonts w:ascii="黑体" w:hAnsi="宋体" w:eastAsia="黑体" w:cs="黑体"/>
          <w:color w:val="333333"/>
          <w:kern w:val="0"/>
          <w:sz w:val="32"/>
          <w:szCs w:val="32"/>
          <w:shd w:val="clear" w:color="auto" w:fill="FFFFFF"/>
        </w:rPr>
      </w:pPr>
      <w:r>
        <w:rPr>
          <w:rFonts w:hint="eastAsia" w:ascii="黑体" w:hAnsi="宋体" w:eastAsia="黑体" w:cs="黑体"/>
          <w:color w:val="333333"/>
          <w:kern w:val="0"/>
          <w:sz w:val="32"/>
          <w:szCs w:val="32"/>
          <w:shd w:val="clear" w:color="auto" w:fill="FFFFFF"/>
        </w:rPr>
        <w:t>八、政府性基金预算支出情况说明</w:t>
      </w:r>
    </w:p>
    <w:p>
      <w:pPr>
        <w:widowControl/>
        <w:pBdr>
          <w:bottom w:val="single" w:color="FFFFFF" w:sz="8" w:space="31"/>
        </w:pBdr>
        <w:shd w:val="clear" w:color="auto" w:fill="FFFFFF"/>
        <w:spacing w:line="500" w:lineRule="exact"/>
        <w:ind w:firstLine="668"/>
        <w:rPr>
          <w:rFonts w:ascii="仿宋_GB2312" w:hAnsi="Times New Roman" w:eastAsia="仿宋_GB2312" w:cs="仿宋_GB2312"/>
          <w:color w:val="333333"/>
          <w:kern w:val="0"/>
          <w:sz w:val="32"/>
          <w:szCs w:val="32"/>
          <w:shd w:val="clear" w:color="auto" w:fill="FFFFFF"/>
        </w:rPr>
      </w:pPr>
      <w:r>
        <w:rPr>
          <w:rFonts w:hint="eastAsia" w:ascii="仿宋_GB2312" w:hAnsi="Times New Roman" w:eastAsia="仿宋_GB2312" w:cs="仿宋_GB2312"/>
          <w:color w:val="333333"/>
          <w:kern w:val="0"/>
          <w:sz w:val="32"/>
          <w:szCs w:val="32"/>
          <w:shd w:val="clear" w:color="auto" w:fill="FFFFFF"/>
        </w:rPr>
        <w:t>市农业农村局2022年没有使用政府性基金预算拨款安排的支出。</w:t>
      </w:r>
    </w:p>
    <w:p>
      <w:pPr>
        <w:widowControl/>
        <w:pBdr>
          <w:bottom w:val="single" w:color="FFFFFF" w:sz="8" w:space="31"/>
        </w:pBdr>
        <w:shd w:val="clear" w:color="auto" w:fill="FFFFFF"/>
        <w:spacing w:line="500" w:lineRule="exact"/>
        <w:ind w:firstLine="668"/>
        <w:rPr>
          <w:rFonts w:ascii="黑体" w:hAnsi="宋体" w:eastAsia="黑体" w:cs="黑体"/>
          <w:color w:val="333333"/>
          <w:kern w:val="0"/>
          <w:sz w:val="32"/>
          <w:szCs w:val="32"/>
          <w:shd w:val="clear" w:color="auto" w:fill="FFFFFF"/>
        </w:rPr>
      </w:pPr>
      <w:r>
        <w:rPr>
          <w:rFonts w:hint="eastAsia" w:ascii="黑体" w:hAnsi="宋体" w:eastAsia="黑体" w:cs="黑体"/>
          <w:color w:val="333333"/>
          <w:kern w:val="0"/>
          <w:sz w:val="32"/>
          <w:szCs w:val="32"/>
          <w:shd w:val="clear" w:color="auto" w:fill="FFFFFF"/>
        </w:rPr>
        <w:t>九、国有资本经营预算支出情况说明</w:t>
      </w:r>
    </w:p>
    <w:p>
      <w:pPr>
        <w:widowControl/>
        <w:pBdr>
          <w:bottom w:val="single" w:color="FFFFFF" w:sz="8" w:space="31"/>
        </w:pBdr>
        <w:shd w:val="clear" w:color="auto" w:fill="FFFFFF"/>
        <w:spacing w:line="500" w:lineRule="exact"/>
        <w:ind w:firstLine="668"/>
        <w:rPr>
          <w:rFonts w:ascii="仿宋_GB2312" w:hAnsi="Times New Roman" w:eastAsia="仿宋_GB2312" w:cs="仿宋_GB2312"/>
          <w:color w:val="333333"/>
          <w:kern w:val="0"/>
          <w:sz w:val="32"/>
          <w:szCs w:val="32"/>
          <w:shd w:val="clear" w:color="auto" w:fill="FFFFFF"/>
        </w:rPr>
      </w:pPr>
      <w:r>
        <w:rPr>
          <w:rFonts w:hint="eastAsia" w:ascii="仿宋_GB2312" w:hAnsi="Times New Roman" w:eastAsia="仿宋_GB2312" w:cs="仿宋_GB2312"/>
          <w:color w:val="333333"/>
          <w:kern w:val="0"/>
          <w:sz w:val="32"/>
          <w:szCs w:val="32"/>
          <w:shd w:val="clear" w:color="auto" w:fill="FFFFFF"/>
        </w:rPr>
        <w:t>市农业农村局2022年没有使用国有资本经营预算拨款安排的支出。</w:t>
      </w:r>
    </w:p>
    <w:p>
      <w:pPr>
        <w:widowControl/>
        <w:pBdr>
          <w:bottom w:val="single" w:color="FFFFFF" w:sz="8" w:space="31"/>
        </w:pBdr>
        <w:shd w:val="clear" w:color="auto" w:fill="FFFFFF"/>
        <w:spacing w:line="500" w:lineRule="exact"/>
        <w:ind w:firstLine="668"/>
        <w:rPr>
          <w:rFonts w:ascii="黑体" w:hAnsi="宋体" w:eastAsia="黑体" w:cs="黑体"/>
          <w:color w:val="333333"/>
          <w:kern w:val="0"/>
          <w:sz w:val="32"/>
          <w:szCs w:val="32"/>
          <w:shd w:val="clear" w:color="auto" w:fill="FFFFFF"/>
        </w:rPr>
      </w:pPr>
      <w:r>
        <w:rPr>
          <w:rFonts w:hint="eastAsia" w:ascii="黑体" w:hAnsi="宋体" w:eastAsia="黑体" w:cs="黑体"/>
          <w:color w:val="333333"/>
          <w:kern w:val="0"/>
          <w:sz w:val="32"/>
          <w:szCs w:val="32"/>
          <w:shd w:val="clear" w:color="auto" w:fill="FFFFFF"/>
        </w:rPr>
        <w:t>十、其他重要事项的情况说明</w:t>
      </w:r>
    </w:p>
    <w:p>
      <w:pPr>
        <w:widowControl/>
        <w:pBdr>
          <w:bottom w:val="single" w:color="FFFFFF" w:sz="8" w:space="31"/>
        </w:pBdr>
        <w:shd w:val="clear" w:color="auto" w:fill="FFFFFF"/>
        <w:spacing w:line="500" w:lineRule="exact"/>
        <w:ind w:firstLine="668"/>
        <w:rPr>
          <w:rFonts w:ascii="楷体_GB2312" w:hAnsi="Times New Roman" w:eastAsia="楷体_GB2312" w:cs="楷体_GB2312"/>
          <w:b/>
          <w:color w:val="333333"/>
          <w:kern w:val="0"/>
          <w:sz w:val="32"/>
          <w:szCs w:val="32"/>
          <w:shd w:val="clear" w:color="auto" w:fill="FFFFFF"/>
        </w:rPr>
      </w:pPr>
      <w:r>
        <w:rPr>
          <w:rFonts w:hint="eastAsia" w:ascii="楷体_GB2312" w:hAnsi="Times New Roman" w:eastAsia="楷体_GB2312" w:cs="楷体_GB2312"/>
          <w:b/>
          <w:color w:val="333333"/>
          <w:kern w:val="0"/>
          <w:sz w:val="32"/>
          <w:szCs w:val="32"/>
          <w:shd w:val="clear" w:color="auto" w:fill="FFFFFF"/>
        </w:rPr>
        <w:t>（一）机关运行经费</w:t>
      </w:r>
    </w:p>
    <w:p>
      <w:pPr>
        <w:widowControl/>
        <w:pBdr>
          <w:bottom w:val="single" w:color="FFFFFF" w:sz="8" w:space="31"/>
        </w:pBdr>
        <w:shd w:val="clear" w:color="auto" w:fill="FFFFFF"/>
        <w:spacing w:line="500" w:lineRule="exact"/>
        <w:ind w:firstLine="668"/>
        <w:rPr>
          <w:rFonts w:ascii="仿宋_GB2312" w:hAnsi="Times New Roman" w:eastAsia="仿宋_GB2312" w:cs="仿宋_GB2312"/>
          <w:color w:val="333333"/>
          <w:kern w:val="0"/>
          <w:sz w:val="32"/>
          <w:szCs w:val="32"/>
          <w:shd w:val="clear" w:color="auto" w:fill="FFFFFF"/>
        </w:rPr>
      </w:pPr>
      <w:r>
        <w:rPr>
          <w:rFonts w:hint="eastAsia" w:ascii="仿宋_GB2312" w:hAnsi="Times New Roman" w:eastAsia="仿宋_GB2312" w:cs="仿宋_GB2312"/>
          <w:color w:val="333333"/>
          <w:kern w:val="0"/>
          <w:sz w:val="32"/>
          <w:szCs w:val="32"/>
          <w:shd w:val="clear" w:color="auto" w:fill="FFFFFF"/>
        </w:rPr>
        <w:t>2022年，市农业农村局下属等18个单位的机关运行经费财政拨款预算为</w:t>
      </w:r>
      <w:r>
        <w:rPr>
          <w:rFonts w:hint="eastAsia" w:ascii="Times New Roman" w:hAnsi="Times New Roman" w:eastAsia="仿宋_GB2312"/>
          <w:color w:val="333333"/>
          <w:kern w:val="0"/>
          <w:sz w:val="32"/>
          <w:szCs w:val="32"/>
          <w:shd w:val="clear" w:color="auto" w:fill="FFFFFF"/>
        </w:rPr>
        <w:t>653.21</w:t>
      </w:r>
      <w:r>
        <w:rPr>
          <w:rFonts w:hint="eastAsia" w:ascii="仿宋_GB2312" w:hAnsi="Times New Roman" w:eastAsia="仿宋_GB2312" w:cs="仿宋_GB2312"/>
          <w:color w:val="333333"/>
          <w:kern w:val="0"/>
          <w:sz w:val="32"/>
          <w:szCs w:val="32"/>
          <w:shd w:val="clear" w:color="auto" w:fill="FFFFFF"/>
        </w:rPr>
        <w:t>万元，比2021年预算减少38.19万元，下降5.52%。主要原因本着厉行节约的原则，压缩机关日常运行经费。</w:t>
      </w:r>
    </w:p>
    <w:p>
      <w:pPr>
        <w:widowControl/>
        <w:pBdr>
          <w:bottom w:val="single" w:color="FFFFFF" w:sz="8" w:space="31"/>
        </w:pBdr>
        <w:shd w:val="clear" w:color="auto" w:fill="FFFFFF"/>
        <w:spacing w:line="500" w:lineRule="exact"/>
        <w:ind w:firstLine="668"/>
        <w:rPr>
          <w:rFonts w:ascii="楷体_GB2312" w:hAnsi="Times New Roman" w:eastAsia="楷体_GB2312" w:cs="楷体_GB2312"/>
          <w:b/>
          <w:color w:val="333333"/>
          <w:kern w:val="0"/>
          <w:sz w:val="32"/>
          <w:szCs w:val="32"/>
          <w:shd w:val="clear" w:color="auto" w:fill="FFFFFF"/>
        </w:rPr>
      </w:pPr>
      <w:r>
        <w:rPr>
          <w:rFonts w:hint="eastAsia" w:ascii="楷体_GB2312" w:hAnsi="Times New Roman" w:eastAsia="楷体_GB2312" w:cs="楷体_GB2312"/>
          <w:b/>
          <w:color w:val="333333"/>
          <w:kern w:val="0"/>
          <w:sz w:val="32"/>
          <w:szCs w:val="32"/>
          <w:shd w:val="clear" w:color="auto" w:fill="FFFFFF"/>
        </w:rPr>
        <w:t>（二）政府采购情况</w:t>
      </w:r>
    </w:p>
    <w:p>
      <w:pPr>
        <w:widowControl/>
        <w:pBdr>
          <w:bottom w:val="single" w:color="FFFFFF" w:sz="8" w:space="31"/>
        </w:pBdr>
        <w:shd w:val="clear" w:color="auto" w:fill="FFFFFF"/>
        <w:spacing w:line="500" w:lineRule="exact"/>
        <w:ind w:firstLine="668"/>
        <w:rPr>
          <w:rFonts w:ascii="仿宋_GB2312" w:hAnsi="Times New Roman" w:eastAsia="仿宋_GB2312" w:cs="仿宋_GB2312"/>
          <w:color w:val="333333"/>
          <w:kern w:val="0"/>
          <w:sz w:val="32"/>
          <w:szCs w:val="32"/>
          <w:shd w:val="clear" w:color="auto" w:fill="FFFFFF"/>
        </w:rPr>
      </w:pPr>
      <w:r>
        <w:rPr>
          <w:rFonts w:hint="eastAsia" w:ascii="仿宋_GB2312" w:hAnsi="Times New Roman" w:eastAsia="仿宋_GB2312" w:cs="仿宋_GB2312"/>
          <w:color w:val="333333"/>
          <w:kern w:val="0"/>
          <w:sz w:val="32"/>
          <w:szCs w:val="32"/>
          <w:shd w:val="clear" w:color="auto" w:fill="FFFFFF"/>
        </w:rPr>
        <w:t>2022年，市农业农村局安排政府采购预算</w:t>
      </w:r>
      <w:r>
        <w:rPr>
          <w:rFonts w:hint="eastAsia" w:ascii="Times New Roman" w:hAnsi="Times New Roman" w:eastAsia="仿宋_GB2312"/>
          <w:color w:val="333333"/>
          <w:kern w:val="0"/>
          <w:sz w:val="32"/>
          <w:szCs w:val="32"/>
          <w:shd w:val="clear" w:color="auto" w:fill="FFFFFF"/>
        </w:rPr>
        <w:t>54.40</w:t>
      </w:r>
      <w:r>
        <w:rPr>
          <w:rFonts w:hint="eastAsia" w:ascii="仿宋_GB2312" w:hAnsi="Times New Roman" w:eastAsia="仿宋_GB2312" w:cs="仿宋_GB2312"/>
          <w:color w:val="333333"/>
          <w:kern w:val="0"/>
          <w:sz w:val="32"/>
          <w:szCs w:val="32"/>
          <w:shd w:val="clear" w:color="auto" w:fill="FFFFFF"/>
        </w:rPr>
        <w:t>万元，主要用于复印纸、办公设备、实验室仪器采购。</w:t>
      </w:r>
    </w:p>
    <w:p>
      <w:pPr>
        <w:widowControl/>
        <w:pBdr>
          <w:bottom w:val="single" w:color="FFFFFF" w:sz="8" w:space="31"/>
        </w:pBdr>
        <w:shd w:val="clear" w:color="auto" w:fill="FFFFFF"/>
        <w:spacing w:line="500" w:lineRule="exact"/>
        <w:ind w:firstLine="668"/>
        <w:rPr>
          <w:rFonts w:ascii="楷体_GB2312" w:hAnsi="Times New Roman" w:eastAsia="楷体_GB2312" w:cs="楷体_GB2312"/>
          <w:b/>
          <w:color w:val="333333"/>
          <w:kern w:val="0"/>
          <w:sz w:val="32"/>
          <w:szCs w:val="32"/>
          <w:shd w:val="clear" w:color="auto" w:fill="FFFFFF"/>
        </w:rPr>
      </w:pPr>
      <w:r>
        <w:rPr>
          <w:rFonts w:hint="eastAsia" w:ascii="楷体_GB2312" w:hAnsi="Times New Roman" w:eastAsia="楷体_GB2312" w:cs="楷体_GB2312"/>
          <w:b/>
          <w:color w:val="333333"/>
          <w:kern w:val="0"/>
          <w:sz w:val="32"/>
          <w:szCs w:val="32"/>
          <w:shd w:val="clear" w:color="auto" w:fill="FFFFFF"/>
        </w:rPr>
        <w:t>（三）国有资产占有使用情况</w:t>
      </w:r>
    </w:p>
    <w:p>
      <w:pPr>
        <w:widowControl/>
        <w:pBdr>
          <w:bottom w:val="single" w:color="FFFFFF" w:sz="8" w:space="31"/>
        </w:pBdr>
        <w:shd w:val="clear" w:color="auto" w:fill="FFFFFF"/>
        <w:spacing w:line="500" w:lineRule="exact"/>
        <w:ind w:firstLine="668"/>
        <w:rPr>
          <w:rFonts w:ascii="楷体_GB2312" w:hAnsi="Times New Roman" w:eastAsia="楷体_GB2312" w:cs="楷体_GB2312"/>
          <w:b/>
          <w:color w:val="333333"/>
          <w:kern w:val="0"/>
          <w:sz w:val="32"/>
          <w:szCs w:val="32"/>
          <w:shd w:val="clear" w:color="auto" w:fill="FFFFFF"/>
        </w:rPr>
      </w:pPr>
      <w:r>
        <w:rPr>
          <w:rFonts w:hint="eastAsia" w:ascii="仿宋_GB2312" w:hAnsi="Times New Roman" w:eastAsia="仿宋_GB2312" w:cs="仿宋_GB2312"/>
          <w:color w:val="333333"/>
          <w:kern w:val="0"/>
          <w:sz w:val="32"/>
          <w:szCs w:val="32"/>
          <w:shd w:val="clear" w:color="auto" w:fill="FFFFFF"/>
        </w:rPr>
        <w:t>截至2021年底，市农业农村局共有车辆10辆，其中，应急保障用车1辆、执法执勤用车3辆、特种专业技术用车3辆，其他用车3辆。单位价值50万元以上大型设备</w:t>
      </w:r>
      <w:r>
        <w:rPr>
          <w:rFonts w:hint="eastAsia" w:ascii="Times New Roman" w:hAnsi="Times New Roman" w:eastAsia="仿宋_GB2312"/>
          <w:color w:val="333333"/>
          <w:kern w:val="0"/>
          <w:sz w:val="32"/>
          <w:szCs w:val="32"/>
          <w:shd w:val="clear" w:color="auto" w:fill="FFFFFF"/>
        </w:rPr>
        <w:t>5</w:t>
      </w:r>
      <w:r>
        <w:rPr>
          <w:rFonts w:hint="eastAsia" w:ascii="仿宋_GB2312" w:hAnsi="Times New Roman" w:eastAsia="仿宋_GB2312" w:cs="仿宋_GB2312"/>
          <w:color w:val="333333"/>
          <w:kern w:val="0"/>
          <w:sz w:val="32"/>
          <w:szCs w:val="32"/>
          <w:shd w:val="clear" w:color="auto" w:fill="FFFFFF"/>
        </w:rPr>
        <w:t>台（套）。</w:t>
      </w:r>
      <w:r>
        <w:rPr>
          <w:rFonts w:hint="eastAsia" w:ascii="楷体_GB2312" w:hAnsi="Times New Roman" w:eastAsia="楷体_GB2312" w:cs="楷体_GB2312"/>
          <w:b/>
          <w:color w:val="333333"/>
          <w:kern w:val="0"/>
          <w:sz w:val="32"/>
          <w:szCs w:val="32"/>
          <w:shd w:val="clear" w:color="auto" w:fill="FFFFFF"/>
        </w:rPr>
        <w:t>（四）绩效目标设置情况</w:t>
      </w:r>
    </w:p>
    <w:p>
      <w:pPr>
        <w:widowControl/>
        <w:pBdr>
          <w:bottom w:val="single" w:color="FFFFFF" w:sz="8" w:space="31"/>
        </w:pBdr>
        <w:shd w:val="clear" w:color="auto" w:fill="FFFFFF"/>
        <w:spacing w:line="500" w:lineRule="exact"/>
        <w:ind w:firstLine="668"/>
        <w:rPr>
          <w:rFonts w:ascii="仿宋_GB2312" w:hAnsi="Times New Roman" w:eastAsia="仿宋_GB2312" w:cs="仿宋_GB2312"/>
          <w:color w:val="333333"/>
          <w:kern w:val="0"/>
          <w:sz w:val="32"/>
          <w:szCs w:val="32"/>
          <w:shd w:val="clear" w:color="auto" w:fill="FFFFFF"/>
        </w:rPr>
      </w:pPr>
      <w:r>
        <w:rPr>
          <w:rFonts w:hint="eastAsia" w:ascii="仿宋_GB2312" w:hAnsi="Times New Roman" w:eastAsia="仿宋_GB2312" w:cs="仿宋_GB2312"/>
          <w:color w:val="333333"/>
          <w:kern w:val="0"/>
          <w:sz w:val="32"/>
          <w:szCs w:val="32"/>
          <w:shd w:val="clear" w:color="auto" w:fill="FFFFFF"/>
        </w:rPr>
        <w:t>绩效目标是预算编制的前提和基础，2022年市农业农村局部门预算项目均按要求编制了绩效目标,从项目完成、项目效益、满意度等方面设置了绩效指标，综合反映项目预期完成的数量、成本、时效、质量，预期达到的社会效益、经济效益、生态效益、可持续影响以及服务对象满意度等情况。</w:t>
      </w:r>
    </w:p>
    <w:p>
      <w:pPr>
        <w:widowControl/>
        <w:pBdr>
          <w:bottom w:val="single" w:color="FFFFFF" w:sz="8" w:space="31"/>
        </w:pBdr>
        <w:shd w:val="clear" w:color="auto" w:fill="FFFFFF"/>
        <w:spacing w:line="500" w:lineRule="exact"/>
        <w:ind w:firstLine="668"/>
        <w:rPr>
          <w:rFonts w:ascii="黑体" w:hAnsi="宋体" w:eastAsia="黑体" w:cs="黑体"/>
          <w:color w:val="333333"/>
          <w:kern w:val="0"/>
          <w:sz w:val="32"/>
          <w:szCs w:val="32"/>
          <w:shd w:val="clear" w:color="auto" w:fill="FFFFFF"/>
        </w:rPr>
      </w:pPr>
      <w:r>
        <w:rPr>
          <w:rFonts w:hint="eastAsia" w:ascii="黑体" w:hAnsi="宋体" w:eastAsia="黑体" w:cs="黑体"/>
          <w:color w:val="333333"/>
          <w:kern w:val="0"/>
          <w:sz w:val="32"/>
          <w:szCs w:val="32"/>
          <w:shd w:val="clear" w:color="auto" w:fill="FFFFFF"/>
        </w:rPr>
        <w:t>十一、名词解释</w:t>
      </w:r>
    </w:p>
    <w:p>
      <w:pPr>
        <w:widowControl/>
        <w:pBdr>
          <w:bottom w:val="single" w:color="FFFFFF" w:sz="8" w:space="31"/>
        </w:pBdr>
        <w:shd w:val="clear" w:color="auto" w:fill="FFFFFF"/>
        <w:spacing w:line="500" w:lineRule="exact"/>
        <w:ind w:firstLine="668"/>
        <w:rPr>
          <w:rFonts w:ascii="仿宋_GB2312" w:hAnsi="Times New Roman" w:eastAsia="仿宋_GB2312" w:cs="仿宋_GB2312"/>
          <w:color w:val="333333"/>
          <w:kern w:val="0"/>
          <w:sz w:val="32"/>
          <w:szCs w:val="32"/>
          <w:shd w:val="clear" w:color="auto" w:fill="FFFFFF"/>
        </w:rPr>
      </w:pPr>
      <w:r>
        <w:rPr>
          <w:rFonts w:hint="eastAsia" w:ascii="仿宋_GB2312" w:hAnsi="Times New Roman" w:eastAsia="仿宋_GB2312" w:cs="仿宋_GB2312"/>
          <w:color w:val="333333"/>
          <w:kern w:val="0"/>
          <w:sz w:val="32"/>
          <w:szCs w:val="32"/>
          <w:shd w:val="clear" w:color="auto" w:fill="FFFFFF"/>
        </w:rPr>
        <w:t>（一）一般公共预算拨款收入：指市级财政当年拨付的资金。</w:t>
      </w:r>
      <w:r>
        <w:rPr>
          <w:rFonts w:hint="eastAsia" w:ascii="仿宋_GB2312" w:hAnsi="Times New Roman" w:eastAsia="仿宋_GB2312" w:cs="仿宋_GB2312"/>
          <w:color w:val="333333"/>
          <w:kern w:val="0"/>
          <w:sz w:val="32"/>
          <w:szCs w:val="32"/>
          <w:shd w:val="clear" w:color="auto" w:fill="FFFFFF"/>
        </w:rPr>
        <w:br w:type="textWrapping"/>
      </w:r>
      <w:r>
        <w:rPr>
          <w:rFonts w:hint="eastAsia" w:ascii="仿宋_GB2312" w:hAnsi="Times New Roman" w:eastAsia="仿宋_GB2312" w:cs="仿宋_GB2312"/>
          <w:color w:val="333333"/>
          <w:kern w:val="0"/>
          <w:sz w:val="32"/>
          <w:szCs w:val="32"/>
          <w:shd w:val="clear" w:color="auto" w:fill="FFFFFF"/>
        </w:rPr>
        <w:t>　　（二）上年结转：指以前年度尚未完成，结转到本年仍按原规定用途继续使用的资金。</w:t>
      </w:r>
      <w:r>
        <w:rPr>
          <w:rFonts w:hint="eastAsia" w:ascii="仿宋_GB2312" w:hAnsi="Times New Roman" w:eastAsia="仿宋_GB2312" w:cs="仿宋_GB2312"/>
          <w:color w:val="333333"/>
          <w:kern w:val="0"/>
          <w:sz w:val="32"/>
          <w:szCs w:val="32"/>
          <w:shd w:val="clear" w:color="auto" w:fill="FFFFFF"/>
        </w:rPr>
        <w:br w:type="textWrapping"/>
      </w:r>
      <w:r>
        <w:rPr>
          <w:rFonts w:hint="eastAsia" w:ascii="仿宋_GB2312" w:hAnsi="Times New Roman" w:eastAsia="仿宋_GB2312" w:cs="仿宋_GB2312"/>
          <w:color w:val="333333"/>
          <w:kern w:val="0"/>
          <w:sz w:val="32"/>
          <w:szCs w:val="32"/>
          <w:shd w:val="clear" w:color="auto" w:fill="FFFFFF"/>
        </w:rPr>
        <w:t>　　（三）社会保障和就业（类）行政事业单位养老支出（款）机关事业单位基本养老保险缴费支出（项）：指部门实施养老保险制度由单位缴纳的养老保险的支出。</w:t>
      </w:r>
      <w:r>
        <w:rPr>
          <w:rFonts w:hint="eastAsia" w:ascii="仿宋_GB2312" w:hAnsi="Times New Roman" w:eastAsia="仿宋_GB2312" w:cs="仿宋_GB2312"/>
          <w:color w:val="333333"/>
          <w:kern w:val="0"/>
          <w:sz w:val="32"/>
          <w:szCs w:val="32"/>
          <w:shd w:val="clear" w:color="auto" w:fill="FFFFFF"/>
        </w:rPr>
        <w:br w:type="textWrapping"/>
      </w:r>
      <w:r>
        <w:rPr>
          <w:rFonts w:hint="eastAsia" w:ascii="仿宋_GB2312" w:hAnsi="Times New Roman" w:eastAsia="仿宋_GB2312" w:cs="仿宋_GB2312"/>
          <w:color w:val="333333"/>
          <w:kern w:val="0"/>
          <w:sz w:val="32"/>
          <w:szCs w:val="32"/>
          <w:shd w:val="clear" w:color="auto" w:fill="FFFFFF"/>
        </w:rPr>
        <w:t>　 （四）卫生健康（类）行政事业单位医疗（款）行政单位医疗（项）：指机关及参公管理事业单位用于单位应缴纳基本医疗保险支出。</w:t>
      </w:r>
      <w:r>
        <w:rPr>
          <w:rFonts w:hint="eastAsia" w:ascii="仿宋_GB2312" w:hAnsi="Times New Roman" w:eastAsia="仿宋_GB2312" w:cs="仿宋_GB2312"/>
          <w:color w:val="333333"/>
          <w:kern w:val="0"/>
          <w:sz w:val="32"/>
          <w:szCs w:val="32"/>
          <w:shd w:val="clear" w:color="auto" w:fill="FFFFFF"/>
        </w:rPr>
        <w:br w:type="textWrapping"/>
      </w:r>
      <w:r>
        <w:rPr>
          <w:rFonts w:hint="eastAsia" w:ascii="仿宋_GB2312" w:hAnsi="Times New Roman" w:eastAsia="仿宋_GB2312" w:cs="仿宋_GB2312"/>
          <w:color w:val="333333"/>
          <w:kern w:val="0"/>
          <w:sz w:val="32"/>
          <w:szCs w:val="32"/>
          <w:shd w:val="clear" w:color="auto" w:fill="FFFFFF"/>
        </w:rPr>
        <w:t>　 （五）住房保障（类）住房改革支出（款）住房公积金（项）：指按照《住房公积金管理条例》的规定，由单位及其在职职工缴存的长期住房储金。</w:t>
      </w:r>
      <w:r>
        <w:rPr>
          <w:rFonts w:hint="eastAsia" w:ascii="仿宋_GB2312" w:hAnsi="Times New Roman" w:eastAsia="仿宋_GB2312" w:cs="仿宋_GB2312"/>
          <w:color w:val="333333"/>
          <w:kern w:val="0"/>
          <w:sz w:val="32"/>
          <w:szCs w:val="32"/>
          <w:shd w:val="clear" w:color="auto" w:fill="FFFFFF"/>
        </w:rPr>
        <w:br w:type="textWrapping"/>
      </w:r>
      <w:r>
        <w:rPr>
          <w:rFonts w:hint="eastAsia" w:ascii="仿宋_GB2312" w:hAnsi="Times New Roman" w:eastAsia="仿宋_GB2312" w:cs="仿宋_GB2312"/>
          <w:color w:val="333333"/>
          <w:kern w:val="0"/>
          <w:sz w:val="32"/>
          <w:szCs w:val="32"/>
          <w:shd w:val="clear" w:color="auto" w:fill="FFFFFF"/>
        </w:rPr>
        <w:t>　 （六）基本支出：指为保证机构正常运转，完成日常工作任务而发生的人员支出和公用支出。</w:t>
      </w:r>
      <w:r>
        <w:rPr>
          <w:rFonts w:hint="eastAsia" w:ascii="仿宋_GB2312" w:hAnsi="Times New Roman" w:eastAsia="仿宋_GB2312" w:cs="仿宋_GB2312"/>
          <w:color w:val="333333"/>
          <w:kern w:val="0"/>
          <w:sz w:val="32"/>
          <w:szCs w:val="32"/>
          <w:shd w:val="clear" w:color="auto" w:fill="FFFFFF"/>
        </w:rPr>
        <w:br w:type="textWrapping"/>
      </w:r>
      <w:r>
        <w:rPr>
          <w:rFonts w:hint="eastAsia" w:ascii="仿宋_GB2312" w:hAnsi="Times New Roman" w:eastAsia="仿宋_GB2312" w:cs="仿宋_GB2312"/>
          <w:color w:val="333333"/>
          <w:kern w:val="0"/>
          <w:sz w:val="32"/>
          <w:szCs w:val="32"/>
          <w:shd w:val="clear" w:color="auto" w:fill="FFFFFF"/>
        </w:rPr>
        <w:t>　　（七）项目支出：指在基本支出之外为完成特定行政任务和事业发展目标所发生的支出。</w:t>
      </w:r>
    </w:p>
    <w:p>
      <w:pPr>
        <w:widowControl/>
        <w:pBdr>
          <w:bottom w:val="single" w:color="FFFFFF" w:sz="8" w:space="31"/>
        </w:pBdr>
        <w:shd w:val="clear" w:color="auto" w:fill="FFFFFF"/>
        <w:spacing w:line="500" w:lineRule="exact"/>
        <w:ind w:firstLine="668"/>
        <w:rPr>
          <w:rFonts w:ascii="仿宋_GB2312" w:hAnsi="Times New Roman" w:eastAsia="仿宋_GB2312" w:cs="仿宋_GB2312"/>
          <w:color w:val="333333"/>
          <w:kern w:val="0"/>
          <w:sz w:val="32"/>
          <w:szCs w:val="32"/>
          <w:shd w:val="clear" w:color="auto" w:fill="FFFFFF"/>
        </w:rPr>
      </w:pPr>
      <w:r>
        <w:rPr>
          <w:rFonts w:hint="eastAsia" w:ascii="仿宋_GB2312" w:hAnsi="Times New Roman" w:eastAsia="仿宋_GB2312" w:cs="仿宋_GB2312"/>
          <w:color w:val="333333"/>
          <w:kern w:val="0"/>
          <w:sz w:val="32"/>
          <w:szCs w:val="32"/>
          <w:shd w:val="clear" w:color="auto" w:fill="FFFFFF"/>
        </w:rPr>
        <w:t>（八）“三公”经费：纳入财政厅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Times New Roman" w:eastAsia="仿宋_GB2312" w:cs="仿宋_GB2312"/>
          <w:color w:val="333333"/>
          <w:kern w:val="0"/>
          <w:sz w:val="32"/>
          <w:szCs w:val="32"/>
          <w:shd w:val="clear" w:color="auto" w:fill="FFFFFF"/>
        </w:rPr>
        <w:br w:type="textWrapping"/>
      </w:r>
      <w:r>
        <w:rPr>
          <w:rFonts w:hint="eastAsia" w:ascii="仿宋_GB2312" w:hAnsi="Times New Roman" w:eastAsia="仿宋_GB2312" w:cs="仿宋_GB2312"/>
          <w:color w:val="333333"/>
          <w:kern w:val="0"/>
          <w:sz w:val="32"/>
          <w:szCs w:val="32"/>
          <w:shd w:val="clear" w:color="auto" w:fill="FFFFFF"/>
        </w:rPr>
        <w:t>　　（九）机关运行经费：为保障行政单位（包括参照公务员法管理的事业单位）运行用于购买货物和服务的各项资金，包括办公及印刷费、邮电费、差旅费、会议费、培训费、福利费、日常维修费、专用材料及一般设备购置费、办公用房水电费、办公用房取暖费、办公用房物业管理费、公务用车运行维护费以及其他费用。</w:t>
      </w:r>
    </w:p>
    <w:p>
      <w:pPr>
        <w:widowControl/>
        <w:shd w:val="clear" w:color="auto" w:fill="FFFFFF"/>
        <w:spacing w:line="500" w:lineRule="exact"/>
        <w:ind w:firstLine="668"/>
        <w:rPr>
          <w:rFonts w:ascii="仿宋_GB2312" w:hAnsi="Times New Roman" w:eastAsia="仿宋_GB2312" w:cs="仿宋_GB2312"/>
          <w:color w:val="333333"/>
          <w:kern w:val="0"/>
          <w:sz w:val="32"/>
          <w:szCs w:val="32"/>
          <w:shd w:val="clear" w:color="auto" w:fill="FFFFFF"/>
        </w:rPr>
      </w:pPr>
      <w:r>
        <w:rPr>
          <w:rFonts w:hint="eastAsia" w:ascii="仿宋_GB2312" w:hAnsi="Times New Roman" w:eastAsia="仿宋_GB2312" w:cs="仿宋_GB2312"/>
          <w:color w:val="333333"/>
          <w:kern w:val="0"/>
          <w:sz w:val="32"/>
          <w:szCs w:val="32"/>
          <w:shd w:val="clear" w:color="auto" w:fill="FFFFFF"/>
        </w:rPr>
        <w:t>附件1：2022年部门预算公开表</w:t>
      </w:r>
    </w:p>
    <w:p>
      <w:pPr>
        <w:widowControl/>
        <w:shd w:val="clear" w:color="auto" w:fill="FFFFFF"/>
        <w:spacing w:line="500" w:lineRule="exact"/>
        <w:ind w:firstLine="668"/>
        <w:rPr>
          <w:rFonts w:ascii="仿宋_GB2312" w:hAnsi="Times New Roman" w:eastAsia="仿宋_GB2312" w:cs="仿宋_GB2312"/>
          <w:color w:val="333333"/>
          <w:kern w:val="0"/>
          <w:sz w:val="32"/>
          <w:szCs w:val="32"/>
          <w:shd w:val="clear" w:color="auto" w:fill="FFFFFF"/>
        </w:rPr>
      </w:pPr>
      <w:r>
        <w:rPr>
          <w:rFonts w:hint="eastAsia" w:ascii="仿宋_GB2312" w:hAnsi="Times New Roman" w:eastAsia="仿宋_GB2312" w:cs="仿宋_GB2312"/>
          <w:color w:val="333333"/>
          <w:kern w:val="0"/>
          <w:sz w:val="32"/>
          <w:szCs w:val="32"/>
          <w:shd w:val="clear" w:color="auto" w:fill="FFFFFF"/>
        </w:rPr>
        <w:t>附件2：2022年部门预算绩效目标表</w:t>
      </w:r>
    </w:p>
    <w:p/>
    <w:sectPr>
      <w:footerReference r:id="rId3" w:type="default"/>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DejaVu Math TeX Gyre">
    <w:panose1 w:val="02000503000000000000"/>
    <w:charset w:val="00"/>
    <w:family w:val="auto"/>
    <w:pitch w:val="default"/>
    <w:sig w:usb0="A10000EF" w:usb1="4201F9EE" w:usb2="02000000" w:usb3="00000000" w:csb0="60000193" w:csb1="0DD40000"/>
  </w:font>
  <w:font w:name="Comic Sans MS">
    <w:panose1 w:val="030F0702030302020204"/>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63731360"/>
      <w:docPartObj>
        <w:docPartGallery w:val="autotext"/>
      </w:docPartObj>
    </w:sdtPr>
    <w:sdtContent>
      <w:p>
        <w:pPr>
          <w:pStyle w:val="6"/>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1"/>
  <w:bordersDoNotSurroundFooter w:val="1"/>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mQzMTU5NmIzMTdiYjAyM2ZjZDg3NzBhMmYyNDA5MDUifQ=="/>
  </w:docVars>
  <w:rsids>
    <w:rsidRoot w:val="00E64C27"/>
    <w:rsid w:val="0001322D"/>
    <w:rsid w:val="00026A35"/>
    <w:rsid w:val="00031B2F"/>
    <w:rsid w:val="0005587A"/>
    <w:rsid w:val="00070332"/>
    <w:rsid w:val="000A21FA"/>
    <w:rsid w:val="0011268B"/>
    <w:rsid w:val="001C6F5A"/>
    <w:rsid w:val="001E3D2F"/>
    <w:rsid w:val="001E53A3"/>
    <w:rsid w:val="002217B2"/>
    <w:rsid w:val="002356DC"/>
    <w:rsid w:val="002365A8"/>
    <w:rsid w:val="002438D0"/>
    <w:rsid w:val="0027443A"/>
    <w:rsid w:val="00295D65"/>
    <w:rsid w:val="002C704F"/>
    <w:rsid w:val="002D66A9"/>
    <w:rsid w:val="002F2946"/>
    <w:rsid w:val="003D7103"/>
    <w:rsid w:val="003E1F2C"/>
    <w:rsid w:val="003F44D7"/>
    <w:rsid w:val="00445F7B"/>
    <w:rsid w:val="00482C77"/>
    <w:rsid w:val="004A334A"/>
    <w:rsid w:val="004D2602"/>
    <w:rsid w:val="004D27D8"/>
    <w:rsid w:val="004D6E20"/>
    <w:rsid w:val="004F2D9B"/>
    <w:rsid w:val="00510DBC"/>
    <w:rsid w:val="00555F87"/>
    <w:rsid w:val="005A4F77"/>
    <w:rsid w:val="00601AF4"/>
    <w:rsid w:val="00603712"/>
    <w:rsid w:val="00606172"/>
    <w:rsid w:val="00617506"/>
    <w:rsid w:val="00680809"/>
    <w:rsid w:val="00684771"/>
    <w:rsid w:val="006934E0"/>
    <w:rsid w:val="006A2DC6"/>
    <w:rsid w:val="006F4D4B"/>
    <w:rsid w:val="007D2FA7"/>
    <w:rsid w:val="00812CFC"/>
    <w:rsid w:val="008144DA"/>
    <w:rsid w:val="0081750C"/>
    <w:rsid w:val="00831CC9"/>
    <w:rsid w:val="0083347B"/>
    <w:rsid w:val="00833796"/>
    <w:rsid w:val="00882203"/>
    <w:rsid w:val="008A13D0"/>
    <w:rsid w:val="008B0C1E"/>
    <w:rsid w:val="008F3BB5"/>
    <w:rsid w:val="009377A2"/>
    <w:rsid w:val="00941E90"/>
    <w:rsid w:val="009469E0"/>
    <w:rsid w:val="00947F54"/>
    <w:rsid w:val="00957E1A"/>
    <w:rsid w:val="00985E03"/>
    <w:rsid w:val="00994845"/>
    <w:rsid w:val="009F0601"/>
    <w:rsid w:val="00A078CA"/>
    <w:rsid w:val="00A13F51"/>
    <w:rsid w:val="00A418ED"/>
    <w:rsid w:val="00A96A64"/>
    <w:rsid w:val="00AB6A36"/>
    <w:rsid w:val="00AC05F2"/>
    <w:rsid w:val="00AE5F21"/>
    <w:rsid w:val="00AF0AA5"/>
    <w:rsid w:val="00B154B5"/>
    <w:rsid w:val="00BB6056"/>
    <w:rsid w:val="00BC5333"/>
    <w:rsid w:val="00BD48CB"/>
    <w:rsid w:val="00BE3DFF"/>
    <w:rsid w:val="00BE6AF1"/>
    <w:rsid w:val="00C1013B"/>
    <w:rsid w:val="00C128E2"/>
    <w:rsid w:val="00C2033C"/>
    <w:rsid w:val="00C25990"/>
    <w:rsid w:val="00C36134"/>
    <w:rsid w:val="00C37BE1"/>
    <w:rsid w:val="00C70611"/>
    <w:rsid w:val="00CA3ECC"/>
    <w:rsid w:val="00CB7515"/>
    <w:rsid w:val="00D37E09"/>
    <w:rsid w:val="00D51C24"/>
    <w:rsid w:val="00D9601D"/>
    <w:rsid w:val="00D96300"/>
    <w:rsid w:val="00DB59DC"/>
    <w:rsid w:val="00E25810"/>
    <w:rsid w:val="00E476AF"/>
    <w:rsid w:val="00E6183A"/>
    <w:rsid w:val="00E64C27"/>
    <w:rsid w:val="00E74FA1"/>
    <w:rsid w:val="00E96B72"/>
    <w:rsid w:val="00E976D0"/>
    <w:rsid w:val="00EC2898"/>
    <w:rsid w:val="00EC77E8"/>
    <w:rsid w:val="00F27099"/>
    <w:rsid w:val="00F32410"/>
    <w:rsid w:val="00F419AD"/>
    <w:rsid w:val="00F707FA"/>
    <w:rsid w:val="00FA3A6D"/>
    <w:rsid w:val="00FB68E5"/>
    <w:rsid w:val="00FC0361"/>
    <w:rsid w:val="00FC1151"/>
    <w:rsid w:val="0F97CE8D"/>
    <w:rsid w:val="10750C06"/>
    <w:rsid w:val="7A9BCC75"/>
    <w:rsid w:val="CDEFB37B"/>
    <w:rsid w:val="DFEF588C"/>
    <w:rsid w:val="EF6443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caption"/>
    <w:basedOn w:val="1"/>
    <w:qFormat/>
    <w:uiPriority w:val="0"/>
    <w:pPr>
      <w:suppressLineNumbers/>
      <w:spacing w:before="120" w:after="120"/>
    </w:pPr>
    <w:rPr>
      <w:i/>
      <w:iCs/>
      <w:sz w:val="24"/>
    </w:rPr>
  </w:style>
  <w:style w:type="paragraph" w:styleId="3">
    <w:name w:val="Body Text"/>
    <w:basedOn w:val="1"/>
    <w:uiPriority w:val="0"/>
    <w:pPr>
      <w:spacing w:after="140" w:line="276" w:lineRule="auto"/>
    </w:pPr>
  </w:style>
  <w:style w:type="paragraph" w:styleId="4">
    <w:name w:val="Body Text Indent"/>
    <w:basedOn w:val="1"/>
    <w:link w:val="20"/>
    <w:uiPriority w:val="0"/>
    <w:pPr>
      <w:spacing w:after="120"/>
      <w:ind w:left="420" w:leftChars="200"/>
    </w:pPr>
  </w:style>
  <w:style w:type="paragraph" w:styleId="5">
    <w:name w:val="Body Text Indent 2"/>
    <w:basedOn w:val="1"/>
    <w:link w:val="19"/>
    <w:qFormat/>
    <w:uiPriority w:val="0"/>
    <w:pPr>
      <w:spacing w:after="120" w:line="480" w:lineRule="auto"/>
      <w:ind w:left="420" w:leftChars="200"/>
    </w:pPr>
  </w:style>
  <w:style w:type="paragraph" w:styleId="6">
    <w:name w:val="footer"/>
    <w:basedOn w:val="1"/>
    <w:link w:val="17"/>
    <w:uiPriority w:val="99"/>
    <w:pPr>
      <w:tabs>
        <w:tab w:val="center" w:pos="4153"/>
        <w:tab w:val="right" w:pos="8306"/>
      </w:tabs>
      <w:snapToGrid w:val="0"/>
      <w:jc w:val="left"/>
    </w:pPr>
    <w:rPr>
      <w:sz w:val="18"/>
      <w:szCs w:val="18"/>
    </w:rPr>
  </w:style>
  <w:style w:type="paragraph" w:styleId="7">
    <w:name w:val="header"/>
    <w:basedOn w:val="1"/>
    <w:link w:val="16"/>
    <w:uiPriority w:val="0"/>
    <w:pPr>
      <w:pBdr>
        <w:bottom w:val="single" w:color="auto" w:sz="6" w:space="1"/>
      </w:pBdr>
      <w:tabs>
        <w:tab w:val="center" w:pos="4153"/>
        <w:tab w:val="right" w:pos="8306"/>
      </w:tabs>
      <w:snapToGrid w:val="0"/>
      <w:jc w:val="center"/>
    </w:pPr>
    <w:rPr>
      <w:sz w:val="18"/>
      <w:szCs w:val="18"/>
    </w:rPr>
  </w:style>
  <w:style w:type="paragraph" w:styleId="8">
    <w:name w:val="List"/>
    <w:basedOn w:val="3"/>
    <w:qFormat/>
    <w:uiPriority w:val="0"/>
  </w:style>
  <w:style w:type="paragraph" w:styleId="9">
    <w:name w:val="Normal (Web)"/>
    <w:basedOn w:val="1"/>
    <w:qFormat/>
    <w:uiPriority w:val="0"/>
    <w:rPr>
      <w:sz w:val="24"/>
    </w:rPr>
  </w:style>
  <w:style w:type="paragraph" w:styleId="10">
    <w:name w:val="Body Text First Indent 2"/>
    <w:basedOn w:val="4"/>
    <w:next w:val="1"/>
    <w:link w:val="21"/>
    <w:qFormat/>
    <w:uiPriority w:val="99"/>
    <w:pPr>
      <w:ind w:firstLine="420" w:firstLineChars="200"/>
    </w:pPr>
  </w:style>
  <w:style w:type="character" w:customStyle="1" w:styleId="13">
    <w:name w:val="默认段落字体1"/>
    <w:qFormat/>
    <w:uiPriority w:val="0"/>
  </w:style>
  <w:style w:type="paragraph" w:customStyle="1" w:styleId="14">
    <w:name w:val="Heading"/>
    <w:basedOn w:val="1"/>
    <w:next w:val="3"/>
    <w:uiPriority w:val="0"/>
    <w:pPr>
      <w:keepNext/>
      <w:spacing w:before="240" w:after="120"/>
    </w:pPr>
    <w:rPr>
      <w:rFonts w:ascii="Liberation Sans" w:hAnsi="Liberation Sans" w:eastAsia="Noto Sans CJK SC Regular" w:cs="Noto Sans CJK SC Regular"/>
      <w:sz w:val="28"/>
      <w:szCs w:val="28"/>
    </w:rPr>
  </w:style>
  <w:style w:type="paragraph" w:customStyle="1" w:styleId="15">
    <w:name w:val="Index"/>
    <w:basedOn w:val="1"/>
    <w:uiPriority w:val="0"/>
    <w:pPr>
      <w:suppressLineNumbers/>
    </w:pPr>
  </w:style>
  <w:style w:type="character" w:customStyle="1" w:styleId="16">
    <w:name w:val="页眉 Char"/>
    <w:basedOn w:val="12"/>
    <w:link w:val="7"/>
    <w:uiPriority w:val="0"/>
    <w:rPr>
      <w:rFonts w:ascii="Calibri" w:hAnsi="Calibri"/>
      <w:kern w:val="2"/>
      <w:sz w:val="18"/>
      <w:szCs w:val="18"/>
    </w:rPr>
  </w:style>
  <w:style w:type="character" w:customStyle="1" w:styleId="17">
    <w:name w:val="页脚 Char"/>
    <w:basedOn w:val="12"/>
    <w:link w:val="6"/>
    <w:qFormat/>
    <w:uiPriority w:val="99"/>
    <w:rPr>
      <w:rFonts w:ascii="Calibri" w:hAnsi="Calibri"/>
      <w:kern w:val="2"/>
      <w:sz w:val="18"/>
      <w:szCs w:val="18"/>
    </w:rPr>
  </w:style>
  <w:style w:type="paragraph" w:customStyle="1" w:styleId="18">
    <w:name w:val="图表目录1"/>
    <w:basedOn w:val="1"/>
    <w:next w:val="1"/>
    <w:qFormat/>
    <w:uiPriority w:val="99"/>
    <w:pPr>
      <w:ind w:left="200" w:leftChars="200" w:hanging="200" w:hangingChars="200"/>
    </w:pPr>
  </w:style>
  <w:style w:type="character" w:customStyle="1" w:styleId="19">
    <w:name w:val="正文文本缩进 2 Char"/>
    <w:basedOn w:val="12"/>
    <w:link w:val="5"/>
    <w:qFormat/>
    <w:uiPriority w:val="0"/>
    <w:rPr>
      <w:rFonts w:ascii="Calibri" w:hAnsi="Calibri"/>
      <w:kern w:val="2"/>
      <w:sz w:val="21"/>
      <w:szCs w:val="24"/>
    </w:rPr>
  </w:style>
  <w:style w:type="character" w:customStyle="1" w:styleId="20">
    <w:name w:val="正文文本缩进 Char"/>
    <w:basedOn w:val="12"/>
    <w:link w:val="4"/>
    <w:uiPriority w:val="0"/>
    <w:rPr>
      <w:rFonts w:ascii="Calibri" w:hAnsi="Calibri"/>
      <w:kern w:val="2"/>
      <w:sz w:val="21"/>
      <w:szCs w:val="24"/>
    </w:rPr>
  </w:style>
  <w:style w:type="character" w:customStyle="1" w:styleId="21">
    <w:name w:val="正文首行缩进 2 Char"/>
    <w:basedOn w:val="20"/>
    <w:link w:val="10"/>
    <w:qFormat/>
    <w:uiPriority w:val="99"/>
  </w:style>
  <w:style w:type="character" w:customStyle="1" w:styleId="22">
    <w:name w:val="NormalCharacter"/>
    <w:semiHidden/>
    <w:qFormat/>
    <w:uiPriority w:val="0"/>
    <w:rPr>
      <w:rFonts w:ascii="Calibri" w:hAnsi="Calibri" w:eastAsia="宋体" w:cs="Times New Roman"/>
      <w:color w:val="auto"/>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1267</Words>
  <Characters>7227</Characters>
  <Lines>60</Lines>
  <Paragraphs>16</Paragraphs>
  <TotalTime>3</TotalTime>
  <ScaleCrop>false</ScaleCrop>
  <LinksUpToDate>false</LinksUpToDate>
  <CharactersWithSpaces>8478</CharactersWithSpaces>
  <Application>WPS Office_11.8.2.1125_F1E327BC-269C-435d-A152-05C5408002CA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2022-02-22T15:31:00Z</dcterms:created>
  <dc:creator>user</dc:creator>
  <cp:lastModifiedBy> </cp:lastModifiedBy>
  <cp:lastPrinted>2022-03-02T17:12:00Z</cp:lastPrinted>
  <dcterms:modified xsi:type="dcterms:W3CDTF">2023-09-12T19:04:48Z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E4E5A81436B94BBDAA11F10DAD581A25_12</vt:lpwstr>
  </property>
</Properties>
</file>