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b w:val="0"/>
          <w:bCs w:val="0"/>
          <w:color w:val="auto"/>
          <w:sz w:val="72"/>
          <w:szCs w:val="72"/>
        </w:rPr>
      </w:pPr>
      <w:bookmarkStart w:id="0" w:name="_Toc15377193"/>
      <w:bookmarkStart w:id="1" w:name="_Toc15378441"/>
      <w:bookmarkStart w:id="2" w:name="_Toc15377425"/>
      <w:bookmarkStart w:id="3" w:name="_Toc15396475"/>
      <w:bookmarkStart w:id="4" w:name="_Toc15396597"/>
      <w:bookmarkStart w:id="5" w:name="_Toc15306267"/>
    </w:p>
    <w:p>
      <w:pPr>
        <w:spacing w:line="600" w:lineRule="exact"/>
        <w:jc w:val="center"/>
        <w:outlineLvl w:val="0"/>
        <w:rPr>
          <w:rFonts w:ascii="方正小标宋简体" w:hAnsi="宋体" w:eastAsia="方正小标宋简体"/>
          <w:b w:val="0"/>
          <w:bCs w:val="0"/>
          <w:color w:val="auto"/>
          <w:sz w:val="72"/>
          <w:szCs w:val="72"/>
        </w:rPr>
      </w:pPr>
    </w:p>
    <w:p>
      <w:pPr>
        <w:spacing w:line="600" w:lineRule="exact"/>
        <w:jc w:val="center"/>
        <w:outlineLvl w:val="0"/>
        <w:rPr>
          <w:rFonts w:ascii="方正小标宋简体" w:hAnsi="宋体" w:eastAsia="方正小标宋简体"/>
          <w:b w:val="0"/>
          <w:bCs w:val="0"/>
          <w:color w:val="auto"/>
          <w:sz w:val="72"/>
          <w:szCs w:val="72"/>
        </w:rPr>
      </w:pPr>
    </w:p>
    <w:p>
      <w:pPr>
        <w:spacing w:line="600" w:lineRule="exact"/>
        <w:jc w:val="center"/>
        <w:outlineLvl w:val="0"/>
        <w:rPr>
          <w:rFonts w:ascii="方正小标宋简体" w:hAnsi="宋体" w:eastAsia="方正小标宋简体"/>
          <w:b w:val="0"/>
          <w:bCs w:val="0"/>
          <w:color w:val="auto"/>
          <w:sz w:val="72"/>
          <w:szCs w:val="72"/>
        </w:rPr>
      </w:pPr>
    </w:p>
    <w:p>
      <w:pPr>
        <w:adjustRightInd w:val="0"/>
        <w:snapToGrid w:val="0"/>
        <w:spacing w:line="360" w:lineRule="auto"/>
        <w:jc w:val="center"/>
        <w:outlineLvl w:val="0"/>
        <w:rPr>
          <w:rFonts w:ascii="方正小标宋简体" w:hAnsi="方正小标宋简体" w:eastAsia="方正小标宋简体" w:cs="方正小标宋简体"/>
          <w:b w:val="0"/>
          <w:bCs w:val="0"/>
          <w:color w:val="auto"/>
          <w:sz w:val="72"/>
          <w:szCs w:val="72"/>
        </w:rPr>
      </w:pPr>
      <w:r>
        <w:rPr>
          <w:rFonts w:hint="eastAsia" w:ascii="方正小标宋简体" w:hAnsi="方正小标宋简体" w:eastAsia="方正小标宋简体" w:cs="方正小标宋简体"/>
          <w:b w:val="0"/>
          <w:bCs w:val="0"/>
          <w:color w:val="auto"/>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b w:val="0"/>
          <w:bCs w:val="0"/>
          <w:color w:val="auto"/>
          <w:sz w:val="72"/>
          <w:szCs w:val="72"/>
        </w:rPr>
      </w:pPr>
      <w:bookmarkStart w:id="6" w:name="_Toc15377426"/>
      <w:bookmarkStart w:id="7" w:name="_Toc15377194"/>
      <w:bookmarkStart w:id="8" w:name="_Toc15396476"/>
      <w:bookmarkStart w:id="9" w:name="_Toc15378442"/>
      <w:bookmarkStart w:id="10" w:name="_Toc15396598"/>
      <w:r>
        <w:rPr>
          <w:rFonts w:hint="eastAsia" w:ascii="方正小标宋简体" w:hAnsi="方正小标宋简体" w:eastAsia="方正小标宋简体" w:cs="方正小标宋简体"/>
          <w:b w:val="0"/>
          <w:bCs w:val="0"/>
          <w:color w:val="auto"/>
          <w:sz w:val="72"/>
          <w:szCs w:val="72"/>
        </w:rPr>
        <w:t>广元市</w:t>
      </w:r>
      <w:bookmarkEnd w:id="5"/>
      <w:bookmarkStart w:id="11" w:name="_Toc15306268"/>
      <w:r>
        <w:rPr>
          <w:rFonts w:hint="eastAsia" w:ascii="方正小标宋简体" w:hAnsi="方正小标宋简体" w:eastAsia="方正小标宋简体" w:cs="方正小标宋简体"/>
          <w:b w:val="0"/>
          <w:bCs w:val="0"/>
          <w:color w:val="auto"/>
          <w:sz w:val="72"/>
          <w:szCs w:val="72"/>
        </w:rPr>
        <w:t>以工代赈事务中心部门决算</w:t>
      </w:r>
      <w:bookmarkEnd w:id="6"/>
      <w:bookmarkEnd w:id="7"/>
      <w:bookmarkEnd w:id="8"/>
      <w:bookmarkEnd w:id="9"/>
      <w:bookmarkEnd w:id="10"/>
      <w:bookmarkEnd w:id="11"/>
    </w:p>
    <w:p>
      <w:pPr>
        <w:widowControl/>
        <w:jc w:val="center"/>
        <w:rPr>
          <w:rFonts w:ascii="黑体" w:hAnsi="黑体" w:eastAsia="黑体"/>
          <w:b w:val="0"/>
          <w:bCs w:val="0"/>
          <w:color w:val="auto"/>
          <w:sz w:val="48"/>
          <w:szCs w:val="48"/>
        </w:rPr>
      </w:pPr>
      <w:r>
        <w:rPr>
          <w:rFonts w:ascii="方正小标宋简体" w:hAnsi="宋体" w:eastAsia="方正小标宋简体"/>
          <w:b w:val="0"/>
          <w:bCs w:val="0"/>
          <w:color w:val="auto"/>
          <w:sz w:val="36"/>
          <w:szCs w:val="36"/>
        </w:rPr>
        <w:br w:type="page"/>
      </w:r>
      <w:r>
        <w:rPr>
          <w:rFonts w:hint="eastAsia" w:ascii="黑体" w:hAnsi="黑体" w:eastAsia="黑体"/>
          <w:b w:val="0"/>
          <w:bCs w:val="0"/>
          <w:color w:val="auto"/>
          <w:sz w:val="48"/>
          <w:szCs w:val="48"/>
        </w:rPr>
        <w:t>目</w:t>
      </w:r>
      <w:r>
        <w:rPr>
          <w:rFonts w:hint="eastAsia" w:ascii="黑体" w:hAnsi="黑体" w:eastAsia="黑体"/>
          <w:b w:val="0"/>
          <w:bCs w:val="0"/>
          <w:color w:val="auto"/>
          <w:sz w:val="48"/>
          <w:szCs w:val="48"/>
          <w:lang w:val="en-US" w:eastAsia="zh-CN"/>
        </w:rPr>
        <w:t xml:space="preserve">  </w:t>
      </w:r>
      <w:r>
        <w:rPr>
          <w:rFonts w:hint="eastAsia" w:ascii="黑体" w:hAnsi="黑体" w:eastAsia="黑体"/>
          <w:b w:val="0"/>
          <w:bCs w:val="0"/>
          <w:color w:val="auto"/>
          <w:sz w:val="48"/>
          <w:szCs w:val="48"/>
        </w:rPr>
        <w:t>录</w:t>
      </w:r>
    </w:p>
    <w:p>
      <w:pPr>
        <w:widowControl/>
        <w:jc w:val="center"/>
        <w:rPr>
          <w:rFonts w:ascii="黑体" w:hAnsi="黑体" w:eastAsia="黑体" w:cstheme="minorBidi"/>
          <w:b w:val="0"/>
          <w:bCs w:val="0"/>
          <w:color w:val="auto"/>
          <w:sz w:val="28"/>
          <w:szCs w:val="28"/>
        </w:rPr>
      </w:pPr>
    </w:p>
    <w:p>
      <w:pPr>
        <w:pStyle w:val="12"/>
        <w:rPr>
          <w:rFonts w:hint="eastAsia" w:ascii="楷体_GB2312" w:hAnsi="楷体_GB2312" w:eastAsia="楷体_GB2312" w:cs="楷体_GB2312"/>
          <w:b w:val="0"/>
          <w:bCs w:val="0"/>
          <w:color w:val="auto"/>
          <w:sz w:val="30"/>
          <w:szCs w:val="30"/>
        </w:rPr>
      </w:pPr>
      <w:r>
        <w:rPr>
          <w:rFonts w:hint="eastAsia" w:ascii="楷体_GB2312" w:hAnsi="楷体_GB2312" w:eastAsia="楷体_GB2312" w:cs="楷体_GB2312"/>
          <w:b w:val="0"/>
          <w:bCs w:val="0"/>
          <w:color w:val="auto"/>
          <w:lang w:val="en-US" w:eastAsia="zh-CN"/>
        </w:rPr>
        <w:t xml:space="preserve">                        </w:t>
      </w:r>
      <w:r>
        <w:rPr>
          <w:rFonts w:hint="eastAsia" w:ascii="楷体_GB2312" w:hAnsi="楷体_GB2312" w:eastAsia="楷体_GB2312" w:cs="楷体_GB2312"/>
          <w:b w:val="0"/>
          <w:bCs w:val="0"/>
          <w:color w:val="auto"/>
          <w:sz w:val="30"/>
          <w:szCs w:val="30"/>
        </w:rPr>
        <w:t>公开时间：2022年9月27日</w:t>
      </w:r>
    </w:p>
    <w:p>
      <w:pPr>
        <w:rPr>
          <w:b w:val="0"/>
          <w:bCs w:val="0"/>
          <w:color w:val="auto"/>
        </w:rPr>
      </w:pPr>
    </w:p>
    <w:p>
      <w:pPr>
        <w:pStyle w:val="12"/>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第一部分 部门概况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before="0" w:line="576" w:lineRule="exact"/>
        <w:ind w:firstLine="320" w:firstLineChars="1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一、基本职能及主要工作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二、机构设置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p>
    <w:p>
      <w:pPr>
        <w:pStyle w:val="12"/>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第二部分 2021年度部门决算情况说明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9</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一、收入支出决算总体情况说明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二、收入决算情况说明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三、支出决算情况说明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四、财政拨款收入支出决算总体情况说明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五、一般公共预算财政拨款支出决算情况说明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六、一般公共预算财政拨款基本支出决算情况说明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七、“三公”经费财政拨款支出决算情况说明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rPr>
        <w:t>八、政府性基金预算支出决算情况说明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Chars="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九、国有资本经营预算支出决算情况说明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p>
    <w:p>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175"/>
        <w:jc w:val="left"/>
        <w:textAlignment w:val="auto"/>
        <w:rPr>
          <w:rFonts w:hint="default" w:ascii="仿宋_GB2312" w:hAnsi="仿宋_GB2312" w:eastAsia="仿宋_GB2312" w:cs="仿宋_GB2312"/>
          <w:b w:val="0"/>
          <w:bCs w:val="0"/>
          <w:color w:val="auto"/>
          <w:sz w:val="32"/>
          <w:szCs w:val="32"/>
          <w:lang w:val="en-US" w:eastAsia="zh-CN"/>
        </w:rPr>
      </w:pPr>
      <w:r>
        <w:rPr>
          <w:rStyle w:val="20"/>
          <w:rFonts w:hint="eastAsia" w:ascii="仿宋_GB2312" w:hAnsi="仿宋_GB2312" w:eastAsia="仿宋_GB2312" w:cs="仿宋_GB2312"/>
          <w:b w:val="0"/>
          <w:bCs w:val="0"/>
          <w:color w:val="auto"/>
          <w:sz w:val="32"/>
          <w:szCs w:val="32"/>
          <w:u w:val="none"/>
        </w:rPr>
        <w:t>十、</w:t>
      </w:r>
      <w:r>
        <w:rPr>
          <w:rFonts w:hint="eastAsia" w:ascii="仿宋_GB2312" w:hAnsi="仿宋_GB2312" w:eastAsia="仿宋_GB2312" w:cs="仿宋_GB2312"/>
          <w:b w:val="0"/>
          <w:bCs w:val="0"/>
          <w:color w:val="auto"/>
          <w:sz w:val="32"/>
          <w:szCs w:val="32"/>
        </w:rPr>
        <w:t>预算绩效管理情况</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p>
    <w:p>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175"/>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十一、其他重要事项的情况说明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17</w:t>
      </w:r>
    </w:p>
    <w:p>
      <w:pPr>
        <w:pStyle w:val="12"/>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第三部分 名词解释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17</w:t>
      </w:r>
    </w:p>
    <w:p>
      <w:pPr>
        <w:pStyle w:val="12"/>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第四部分 附件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w:t>
      </w:r>
    </w:p>
    <w:p>
      <w:pPr>
        <w:pStyle w:val="12"/>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第五部分 附表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八、一般公共预算财政拨款基本支出决算表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十、一般公共预算财政拨款“三公”经费支出决算表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十一、政府性基金预算财政拨款收入支出决算表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十二、政府性基金预算财政拨款“三公”经费支出决算表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十三、国有资本经营预算财政拨款收入支出决算表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十四、国有资本经营预算财政拨款支出决算表</w:t>
      </w:r>
    </w:p>
    <w:p>
      <w:pPr>
        <w:widowControl/>
        <w:spacing w:line="440" w:lineRule="exact"/>
        <w:jc w:val="left"/>
        <w:rPr>
          <w:rFonts w:ascii="仿宋" w:hAnsi="仿宋" w:eastAsia="仿宋"/>
          <w:b w:val="0"/>
          <w:bCs w:val="0"/>
          <w:color w:val="auto"/>
          <w:kern w:val="44"/>
          <w:sz w:val="24"/>
        </w:rPr>
      </w:pPr>
      <w:bookmarkStart w:id="12" w:name="_Toc15396599"/>
      <w:bookmarkStart w:id="13" w:name="_Toc15377196"/>
      <w:r>
        <w:rPr>
          <w:rFonts w:ascii="仿宋" w:hAnsi="仿宋" w:eastAsia="仿宋"/>
          <w:b w:val="0"/>
          <w:bCs w:val="0"/>
          <w:color w:val="auto"/>
          <w:sz w:val="24"/>
        </w:rPr>
        <w:br w:type="page"/>
      </w:r>
    </w:p>
    <w:p>
      <w:pPr>
        <w:pStyle w:val="4"/>
        <w:jc w:val="center"/>
        <w:rPr>
          <w:rFonts w:ascii="黑体" w:eastAsia="黑体"/>
          <w:b w:val="0"/>
          <w:bCs w:val="0"/>
          <w:color w:val="auto"/>
          <w:sz w:val="32"/>
          <w:szCs w:val="32"/>
        </w:rPr>
      </w:pPr>
      <w:r>
        <w:rPr>
          <w:rFonts w:hint="eastAsia" w:ascii="黑体" w:hAnsi="黑体" w:eastAsia="黑体"/>
          <w:b w:val="0"/>
          <w:bCs w:val="0"/>
          <w:color w:val="auto"/>
        </w:rPr>
        <w:t xml:space="preserve">第一部分 </w:t>
      </w:r>
      <w:r>
        <w:rPr>
          <w:rStyle w:val="29"/>
          <w:rFonts w:hint="eastAsia" w:ascii="黑体" w:hAnsi="黑体" w:eastAsia="黑体"/>
          <w:b w:val="0"/>
          <w:bCs w:val="0"/>
          <w:color w:val="auto"/>
        </w:rPr>
        <w:t>部门概况</w:t>
      </w:r>
      <w:bookmarkEnd w:id="12"/>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（一）主要职能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广元市以工代赈事务中心是广元市人民政府直属公益一类事业单位（参公管理）。主要职能是：负责全市以工代赈和易地扶贫搬迁实施意见、管理办法及易地扶贫搬迁后续发展等政策研究的相关事务工作；承担全市以工代赈和易地扶贫搬迁中长期规划及年度计划的编制和上报等相关事务工作；承担全市以工代赈易地扶贫搬迁项目论证、可行性研究，负责项目库管理服务工作；争取以工代赈和易地扶贫搬迁资金，做好与上级部门的项目衔接工作；承担以工代赈和易地扶贫搬迁资金、地方配套资金计划的协调服务工作；负责以工代赈和易地扶贫搬迁项目建设的服务保障工作,推行好以工代赈方式；负责做好以工代赈和易地扶贫搬迁领域深化改革工作，指导县区做好以工代赈和易地扶贫搬迁资产收益扶贫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（二）2021年重点工作完成情况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完成以工代赈“十四五”实施方案。紧盯国家以工代赈政策走向，聚焦易地扶贫搬迁后续扶持、农村中小型公益性基础设施和产业发展配套基础设施，在对全市515个易地扶贫搬迁安置区、乡村振兴重点村和以工代赈项目覆盖的脱贫村进行全覆盖走访调研的基础上,完成了广元市以工代赈“十四五”实施方案，规划以工代赈项目170个，规划总投资5.8亿元,其中拟申请中省资金5.2亿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全力加大资金和项目争取力度。全年先后2次到国家发改委、12次到省以工代赈办对接政策、落实项目。2021年争取到位以工代赈项目6930万元。其中：以工代赈示范工程2000万元，以工代赈巩固脱贫攻坚衔接乡村振兴试点项目790万元，以工代赈中央财政专项资金（衔接资金）项目3540万元，以工代赈省级财政资金项目300万元，省预算内基本建设投资项目300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高质量推进以工代赈项目建设。制定五条硬措施，出台《关于进一步加强以工代赈项目建设管理的通知》，督导各县区严格落实项目建设“四到场”，对工程建设进度严重滞后、项目调度不实、资金拨付缓慢、劳务报酬兑付不到位、工程质量存在隐患等重大问题，进行通报；对在巡察巡视、审计、督导暗访、通报等各类监督检查中整改反馈问题不及时、不到位的，将视情节严重程度，分级约谈；将项目管理与年度考核、次年项目资金安排直接挂钩，并实行严肃追责问责。截至11月底，2020年以工代赈项目已全部完工，2021年以工代赈项目已全部开工，2021年项目已完成投资4227.4万元，已发放劳务报酬681.05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扎实开展审计反馈问题整改。根据国家审计署、省审计厅统一安排，市审计局对全市7个县区易地扶贫搬迁资金项目及后续扶持有关情况进行了全覆盖审计。我中心坚决贯彻落实行业指导责任，分县划片，实地督导县区及相关乡镇问题整改，会同相关行业部门对县区问题整改情况进行集中调度，全面开展我市易地扶贫搬迁大检视大排查大整改活动。截至6月底，全面完成专项审计反馈问题整改131个，顺利通过全覆盖审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健全安置点配套基础设施。开展易地扶贫搬迁安置点“一对一”分析研判，找准配套基础设施短板。落实旺苍县、剑阁县2021年中央财政支持人口较多易地扶贫搬迁集中安置区后续产业扶持资金270万元,统筹安排以工代赈项目4个1661万元用于支持集中安置点公共服务配套基础设施和产业发展的基础设施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推进安置区产业多元化发展。围绕全市现代特色农业产业布局，把易地扶贫搬迁安置区作为产业转型升级的重点区，鼓励搬迁户因地制宜发展适合对路的特色优势产业，确保都能发展1-2个稳定增收的长产业和生猪、土鸡、蔬菜等当年能见效的2-3个短产业。2021年全市扶持易地搬迁群众发展农林产业3.36万人。组织3批次省、市农技专家到易地扶贫搬迁安置区开展蔬菜种植、畜禽养殖、粮油绿色高效栽培技术培训，引导龙头企业、种养大户、农民合作社等新型经营主体在旺苍三江桃红、剑阁开封迎水社区等人口较多安置点因地制宜发展特色种养殖业，休闲农业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拓展安置区搬迁群众就业渠道。大力实施外出务工转移一批、就地就近吸收一批、自主创业带动一批、培训提能巩固一批、公益性岗位兜底一批，分门别类做好就业扶持工作。截至目前，全市组织实施“送岗下乡”等招聘活动83场次，提供就业岗位1.8万余个，累计组织省内省外务工3.78万人。依托各类扶贫基地、现代农业园区，吸纳1.09万人次进园区、进车间务工就业。扶持137名易地搬迁群众创业,落实创业补贴、创业吸纳就业奖励等扶持资金156万元。整合各类公益性岗位资源，优先安排就业困难劳动力，2021年新增公益性岗位289个，累计提供公益性岗位3265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提升安置区基层治理水平。针对人口较多安置点，全面推行有组织、有制度、有服务、有氛围、有队伍的“五有”基层治理模式。截至目前成立集中安置点党支部11个、党小组224个，集中安置点自治管理委员会387个，培育养老、托幼等各类社会组织121个；落实网格员1300余人；选树文明户、致富明星、公益明星等先进典型1332个。全面完成省委常委组织部长联系“我为群众办实事”项目1个“专项推动易地扶贫搬迁集中安置点后续发展治理”工作。11月25日，全市党建引领易地扶贫搬迁集中安置点后续治理推进会在剑阁县圆满召开，现场参观了普安镇水池村、光荣村安置点和木马镇共同村安置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建立部门协调机制。我市成立推广以工代赈方式领导小组，由发改、财政、人社、交通、水利、农业农村等11个市级部门组成，建立协调联络机制，全年先后5次召开工作会议，研究推广以工代赈方式的落实措施、工作流程，调度项目推进实施情况，有效解决推广中遇到的问题和困难。11部门联合出台《在农业农村基础设施建设领域大力推广以工代赈方式二十条措施》和《广元市采用以工代赈方式实施项目的特殊群体劳务报酬指导标准（2021试用版）》等文件，切实发挥了以工代赈的基础性、先导性、示范性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对标政策实施项目。全市以工代赈项目全部采用以工代赈方式实施，在农业农村基础设施建设领域各行业均大力推广以工代赈方式实施项目，严格按照省上关于推广以工代赈方式各项政策要求组织实施，优先吸纳项目区范围内脱贫不稳定户、边缘易致贫户、其他低收入和受疫情灾情等影响的农村群众参与工程建设，直接获取劳务报酬。截至11月底，全市375个涉农项目、3.62亿元项目资金采用以工代赈方式实施，组织群众参与项目建设4532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以工代赈系列工作机制在全国全省推广。我市认真践行习近平总书记关于以工代赈的重要指示精神，不断创新工作机制，形成了坚持“四个结合”精准谋划项目、推进“三级遴选”定向选优项目等系列工作方法。2021年7月，被国家发改委《新时期以工代赈工作指引》（第10期）刊载，并在全国范围推广。《广元市因地制宜出台推广二十条措施》、《广元市率先出台采用以工代赈方式实施项目的特殊群众劳务报酬指导标准》分别被四川省新时期以工代赈典型案例第一期、第五期采用，在全省推广应用。《抓重点求突破，提升以工代赈工作质效》、《采取以工代赈方式建设，让农村群众实现“家门口就业”》在广元日报刊发宣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创新易地扶贫搬迁集中安置区后续治理广元模式。积极推行以“三位一体”建组织、“五个一批”促就业、“三有标准”强服务、“四项行动”助融入为主要内容的集中安置区后续治理“3534”广元模式。2021年6月，被省发改委专刊印发《易地扶贫搬迁后续扶持脱贫发展典型案例之四十三期》，并在全省推广。《广元积极探索小规模集中安置点后续治理模式——让被安置群众“安家”更“安心”》在《四川日报》刊发。《广元市探索易地扶贫搬迁小规模安置点后续治理模式》被省委办公厅《每日要情》第198期采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打造易地扶贫搬迁后续治理示范点。以乡村振兴为统揽，坚持党建引领，聚焦“四化四好”，全面推动易地扶贫搬迁安置点后续治理工作，打造后续治理样本，2021年圆满完成苍溪县白鹤乡古泉村、旺苍县东河镇南凤村等8个易地扶贫搬迁后续治理示范点建设工作，带动集中安置点后续治理体系建设，为乡村全面振兴夯实基础。</w:t>
      </w:r>
    </w:p>
    <w:p>
      <w:pPr>
        <w:spacing w:line="576"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二、机构设置</w:t>
      </w:r>
    </w:p>
    <w:p>
      <w:pPr>
        <w:spacing w:line="576"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市以工代赈事务中心为市级直属部门，无下属二级单位。2021年末，市以工代赈事务中心有参公事业编制10个，实有在职人员10人（县级以上干部3人，科级及以下干部6人，驾驶员1人），退休人员6人。2021年市委组织部从县区统筹易地扶贫搬迁督查人员1人。</w:t>
      </w:r>
      <w:bookmarkStart w:id="14" w:name="_Toc15377204"/>
      <w:bookmarkStart w:id="15" w:name="_Toc15396602"/>
    </w:p>
    <w:p>
      <w:pPr>
        <w:spacing w:line="576" w:lineRule="exact"/>
        <w:ind w:firstLine="640" w:firstLineChars="200"/>
        <w:rPr>
          <w:rFonts w:hint="eastAsia" w:ascii="仿宋_GB2312" w:hAnsi="仿宋_GB2312" w:eastAsia="仿宋_GB2312" w:cs="仿宋_GB2312"/>
          <w:b w:val="0"/>
          <w:bCs w:val="0"/>
          <w:color w:val="auto"/>
          <w:sz w:val="32"/>
          <w:szCs w:val="32"/>
        </w:rPr>
      </w:pPr>
    </w:p>
    <w:p>
      <w:pPr>
        <w:spacing w:line="576" w:lineRule="exact"/>
        <w:ind w:firstLine="880" w:firstLineChars="200"/>
        <w:jc w:val="center"/>
        <w:rPr>
          <w:rStyle w:val="29"/>
          <w:rFonts w:ascii="黑体" w:hAnsi="黑体" w:eastAsia="黑体"/>
          <w:b w:val="0"/>
          <w:bCs w:val="0"/>
          <w:color w:val="auto"/>
          <w:sz w:val="44"/>
          <w:szCs w:val="44"/>
        </w:rPr>
      </w:pPr>
      <w:r>
        <w:rPr>
          <w:rFonts w:hint="eastAsia" w:ascii="黑体" w:hAnsi="黑体" w:eastAsia="黑体"/>
          <w:b w:val="0"/>
          <w:bCs w:val="0"/>
          <w:color w:val="auto"/>
          <w:sz w:val="44"/>
          <w:szCs w:val="44"/>
        </w:rPr>
        <w:t>第二部分 2021年度</w:t>
      </w:r>
      <w:r>
        <w:rPr>
          <w:rStyle w:val="29"/>
          <w:rFonts w:hint="eastAsia" w:ascii="黑体" w:hAnsi="黑体" w:eastAsia="黑体"/>
          <w:b w:val="0"/>
          <w:bCs w:val="0"/>
          <w:color w:val="auto"/>
          <w:sz w:val="44"/>
          <w:szCs w:val="44"/>
        </w:rPr>
        <w:t>部门决算情况说明</w:t>
      </w:r>
      <w:bookmarkEnd w:id="14"/>
      <w:bookmarkEnd w:id="15"/>
    </w:p>
    <w:p>
      <w:pPr>
        <w:rPr>
          <w:b w:val="0"/>
          <w:bCs w:val="0"/>
          <w:color w:val="auto"/>
        </w:rPr>
      </w:pPr>
    </w:p>
    <w:p>
      <w:pPr>
        <w:pStyle w:val="28"/>
        <w:numPr>
          <w:ilvl w:val="0"/>
          <w:numId w:val="1"/>
        </w:numPr>
        <w:spacing w:line="600" w:lineRule="exact"/>
        <w:ind w:firstLineChars="0"/>
        <w:outlineLvl w:val="1"/>
        <w:rPr>
          <w:rStyle w:val="30"/>
          <w:rFonts w:ascii="黑体" w:hAnsi="黑体" w:eastAsia="黑体"/>
          <w:b w:val="0"/>
          <w:bCs w:val="0"/>
          <w:color w:val="auto"/>
        </w:rPr>
      </w:pPr>
      <w:bookmarkStart w:id="16" w:name="_Toc15396603"/>
      <w:bookmarkStart w:id="17" w:name="_Toc15377205"/>
      <w:r>
        <w:rPr>
          <w:rFonts w:hint="eastAsia" w:ascii="黑体" w:hAnsi="黑体" w:eastAsia="黑体"/>
          <w:b w:val="0"/>
          <w:bCs w:val="0"/>
          <w:color w:val="auto"/>
          <w:sz w:val="32"/>
          <w:szCs w:val="32"/>
        </w:rPr>
        <w:t>收</w:t>
      </w:r>
      <w:r>
        <w:rPr>
          <w:rStyle w:val="30"/>
          <w:rFonts w:hint="eastAsia" w:ascii="黑体" w:hAnsi="黑体" w:eastAsia="黑体"/>
          <w:b w:val="0"/>
          <w:bCs w:val="0"/>
          <w:color w:val="auto"/>
        </w:rPr>
        <w:t>入支出决算总体情况说明</w:t>
      </w:r>
      <w:bookmarkEnd w:id="16"/>
      <w:bookmarkEnd w:id="17"/>
    </w:p>
    <w:p>
      <w:pPr>
        <w:spacing w:line="576" w:lineRule="exact"/>
        <w:ind w:firstLine="640" w:firstLineChars="200"/>
        <w:rPr>
          <w:rFonts w:hint="eastAsia" w:ascii="仿宋_GB2312" w:hAnsi="仿宋_GB2312" w:eastAsia="仿宋_GB2312" w:cs="仿宋_GB2312"/>
          <w:b w:val="0"/>
          <w:bCs w:val="0"/>
          <w:color w:val="auto"/>
          <w:sz w:val="32"/>
          <w:szCs w:val="32"/>
        </w:rPr>
      </w:pPr>
      <w:bookmarkStart w:id="18" w:name="_Toc15377206"/>
      <w:bookmarkStart w:id="19" w:name="_Toc15396604"/>
      <w:r>
        <w:rPr>
          <w:rFonts w:hint="eastAsia" w:ascii="仿宋_GB2312" w:hAnsi="仿宋_GB2312" w:eastAsia="仿宋_GB2312" w:cs="仿宋_GB2312"/>
          <w:b w:val="0"/>
          <w:bCs w:val="0"/>
          <w:color w:val="auto"/>
          <w:sz w:val="32"/>
          <w:szCs w:val="32"/>
        </w:rPr>
        <w:t>2021年度收、支总计260.65万元。与2020年相比，收、支总计增加8.83 万元，增长3.5%。主要变动原因是</w:t>
      </w:r>
      <w:r>
        <w:rPr>
          <w:rFonts w:hint="eastAsia" w:ascii="仿宋_GB2312" w:hAnsi="仿宋_GB2312" w:eastAsia="仿宋_GB2312" w:cs="仿宋_GB2312"/>
          <w:b w:val="0"/>
          <w:bCs w:val="0"/>
          <w:color w:val="auto"/>
          <w:sz w:val="32"/>
          <w:szCs w:val="32"/>
          <w:lang w:eastAsia="zh-CN"/>
        </w:rPr>
        <w:t>人员经费增加</w:t>
      </w:r>
      <w:r>
        <w:rPr>
          <w:rFonts w:hint="eastAsia" w:ascii="仿宋_GB2312" w:hAnsi="仿宋_GB2312" w:eastAsia="仿宋_GB2312" w:cs="仿宋_GB2312"/>
          <w:b w:val="0"/>
          <w:bCs w:val="0"/>
          <w:color w:val="auto"/>
          <w:sz w:val="32"/>
          <w:szCs w:val="32"/>
        </w:rPr>
        <w:t>。</w:t>
      </w:r>
    </w:p>
    <w:p>
      <w:pPr>
        <w:spacing w:line="600" w:lineRule="exact"/>
        <w:ind w:firstLine="420" w:firstLineChars="200"/>
        <w:rPr>
          <w:rFonts w:hint="eastAsia" w:ascii="仿宋" w:hAnsi="仿宋" w:eastAsia="仿宋"/>
          <w:b w:val="0"/>
          <w:bCs w:val="0"/>
          <w:color w:val="auto"/>
          <w:sz w:val="32"/>
          <w:szCs w:val="32"/>
        </w:rPr>
      </w:pPr>
      <w:r>
        <w:rPr>
          <w:b w:val="0"/>
          <w:bCs w:val="0"/>
          <w:color w:val="auto"/>
        </w:rPr>
        <w:drawing>
          <wp:anchor distT="0" distB="0" distL="114300" distR="114300" simplePos="0" relativeHeight="251659264" behindDoc="0" locked="0" layoutInCell="1" allowOverlap="1">
            <wp:simplePos x="0" y="0"/>
            <wp:positionH relativeFrom="column">
              <wp:posOffset>614045</wp:posOffset>
            </wp:positionH>
            <wp:positionV relativeFrom="paragraph">
              <wp:posOffset>194945</wp:posOffset>
            </wp:positionV>
            <wp:extent cx="3982085" cy="2647950"/>
            <wp:effectExtent l="4445" t="4445" r="13970" b="146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jc w:val="center"/>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（图1：收、支决算总计变动情况图）</w:t>
      </w:r>
    </w:p>
    <w:p>
      <w:pPr>
        <w:pStyle w:val="28"/>
        <w:numPr>
          <w:ilvl w:val="0"/>
          <w:numId w:val="1"/>
        </w:numPr>
        <w:spacing w:line="600" w:lineRule="exact"/>
        <w:ind w:firstLineChars="0"/>
        <w:outlineLvl w:val="1"/>
        <w:rPr>
          <w:rStyle w:val="30"/>
          <w:rFonts w:ascii="黑体" w:hAnsi="黑体" w:eastAsia="黑体"/>
          <w:b w:val="0"/>
          <w:bCs w:val="0"/>
          <w:color w:val="auto"/>
        </w:rPr>
      </w:pPr>
      <w:r>
        <w:rPr>
          <w:rFonts w:hint="eastAsia" w:ascii="黑体" w:hAnsi="黑体" w:eastAsia="黑体"/>
          <w:b w:val="0"/>
          <w:bCs w:val="0"/>
          <w:color w:val="auto"/>
          <w:sz w:val="32"/>
          <w:szCs w:val="32"/>
        </w:rPr>
        <w:t>收</w:t>
      </w:r>
      <w:r>
        <w:rPr>
          <w:rStyle w:val="30"/>
          <w:rFonts w:hint="eastAsia" w:ascii="黑体" w:hAnsi="黑体" w:eastAsia="黑体"/>
          <w:b w:val="0"/>
          <w:bCs w:val="0"/>
          <w:color w:val="auto"/>
        </w:rPr>
        <w:t>入决算情况说明</w:t>
      </w:r>
      <w:bookmarkEnd w:id="18"/>
      <w:bookmarkEnd w:id="19"/>
    </w:p>
    <w:p>
      <w:pPr>
        <w:spacing w:line="576"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2021年本年收入合计260.65万元，其中：一般公共预算财政拨款收入260.65万元，占100%。</w:t>
      </w:r>
    </w:p>
    <w:p>
      <w:pPr>
        <w:spacing w:line="600" w:lineRule="exact"/>
        <w:ind w:firstLine="420" w:firstLineChars="200"/>
        <w:rPr>
          <w:rFonts w:hint="eastAsia" w:ascii="仿宋" w:hAnsi="仿宋" w:eastAsia="仿宋"/>
          <w:b w:val="0"/>
          <w:bCs w:val="0"/>
          <w:color w:val="auto"/>
          <w:sz w:val="32"/>
          <w:szCs w:val="32"/>
        </w:rPr>
      </w:pPr>
      <w:r>
        <w:rPr>
          <w:b w:val="0"/>
          <w:bCs w:val="0"/>
          <w:color w:val="auto"/>
        </w:rPr>
        <w:drawing>
          <wp:anchor distT="0" distB="0" distL="114300" distR="114300" simplePos="0" relativeHeight="251660288" behindDoc="0" locked="0" layoutInCell="1" allowOverlap="1">
            <wp:simplePos x="0" y="0"/>
            <wp:positionH relativeFrom="column">
              <wp:posOffset>709295</wp:posOffset>
            </wp:positionH>
            <wp:positionV relativeFrom="paragraph">
              <wp:posOffset>147955</wp:posOffset>
            </wp:positionV>
            <wp:extent cx="3904615" cy="2333625"/>
            <wp:effectExtent l="5080" t="5080" r="14605" b="444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jc w:val="center"/>
        <w:rPr>
          <w:rFonts w:hint="eastAsia" w:ascii="楷体_GB2312" w:hAnsi="楷体_GB2312" w:eastAsia="楷体_GB2312" w:cs="楷体_GB2312"/>
          <w:b w:val="0"/>
          <w:bCs w:val="0"/>
          <w:color w:val="auto"/>
          <w:sz w:val="32"/>
          <w:szCs w:val="32"/>
        </w:rPr>
      </w:pPr>
    </w:p>
    <w:p>
      <w:pPr>
        <w:spacing w:line="600" w:lineRule="exact"/>
        <w:jc w:val="center"/>
        <w:rPr>
          <w:rFonts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（图2：收入决算结构图）</w:t>
      </w:r>
    </w:p>
    <w:p>
      <w:pPr>
        <w:pStyle w:val="28"/>
        <w:numPr>
          <w:ilvl w:val="0"/>
          <w:numId w:val="1"/>
        </w:numPr>
        <w:spacing w:line="600" w:lineRule="exact"/>
        <w:ind w:firstLineChars="0"/>
        <w:outlineLvl w:val="1"/>
        <w:rPr>
          <w:rStyle w:val="30"/>
          <w:rFonts w:ascii="黑体" w:hAnsi="黑体" w:eastAsia="黑体"/>
          <w:b w:val="0"/>
          <w:bCs w:val="0"/>
          <w:color w:val="auto"/>
        </w:rPr>
      </w:pPr>
      <w:bookmarkStart w:id="20" w:name="_Toc15396605"/>
      <w:bookmarkStart w:id="21" w:name="_Toc15377207"/>
      <w:r>
        <w:rPr>
          <w:rFonts w:hint="eastAsia" w:ascii="黑体" w:hAnsi="黑体" w:eastAsia="黑体"/>
          <w:b w:val="0"/>
          <w:bCs w:val="0"/>
          <w:color w:val="auto"/>
          <w:sz w:val="32"/>
          <w:szCs w:val="32"/>
        </w:rPr>
        <w:t>支</w:t>
      </w:r>
      <w:r>
        <w:rPr>
          <w:rStyle w:val="30"/>
          <w:rFonts w:hint="eastAsia" w:ascii="黑体" w:hAnsi="黑体" w:eastAsia="黑体"/>
          <w:b w:val="0"/>
          <w:bCs w:val="0"/>
          <w:color w:val="auto"/>
        </w:rPr>
        <w:t>出决算情况说明</w:t>
      </w:r>
      <w:bookmarkEnd w:id="20"/>
      <w:bookmarkEnd w:id="21"/>
    </w:p>
    <w:p>
      <w:pPr>
        <w:spacing w:line="600" w:lineRule="exact"/>
        <w:ind w:firstLine="640" w:firstLineChars="200"/>
        <w:outlineLvl w:val="1"/>
        <w:rPr>
          <w:rFonts w:hint="eastAsia" w:ascii="仿宋" w:hAnsi="仿宋" w:eastAsia="仿宋"/>
          <w:b w:val="0"/>
          <w:bCs w:val="0"/>
          <w:color w:val="auto"/>
          <w:sz w:val="32"/>
          <w:szCs w:val="32"/>
        </w:rPr>
      </w:pPr>
      <w:r>
        <w:rPr>
          <w:rFonts w:ascii="仿宋" w:hAnsi="仿宋" w:eastAsia="仿宋"/>
          <w:b w:val="0"/>
          <w:bCs w:val="0"/>
          <w:color w:val="auto"/>
          <w:sz w:val="32"/>
          <w:szCs w:val="32"/>
        </w:rPr>
        <w:t>20</w:t>
      </w:r>
      <w:r>
        <w:rPr>
          <w:rFonts w:hint="eastAsia" w:ascii="仿宋" w:hAnsi="仿宋" w:eastAsia="仿宋"/>
          <w:b w:val="0"/>
          <w:bCs w:val="0"/>
          <w:color w:val="auto"/>
          <w:sz w:val="32"/>
          <w:szCs w:val="32"/>
        </w:rPr>
        <w:t>21年本年支出合计260.65万元，其中：基本支出220.65万元，占84.65</w:t>
      </w:r>
      <w:r>
        <w:rPr>
          <w:rFonts w:ascii="仿宋" w:hAnsi="仿宋" w:eastAsia="仿宋"/>
          <w:b w:val="0"/>
          <w:bCs w:val="0"/>
          <w:color w:val="auto"/>
          <w:sz w:val="32"/>
          <w:szCs w:val="32"/>
        </w:rPr>
        <w:t>%</w:t>
      </w:r>
      <w:r>
        <w:rPr>
          <w:rFonts w:hint="eastAsia" w:ascii="仿宋" w:hAnsi="仿宋" w:eastAsia="仿宋"/>
          <w:b w:val="0"/>
          <w:bCs w:val="0"/>
          <w:color w:val="auto"/>
          <w:sz w:val="32"/>
          <w:szCs w:val="32"/>
        </w:rPr>
        <w:t>；项目支出40万元，占15.35</w:t>
      </w:r>
      <w:r>
        <w:rPr>
          <w:rFonts w:ascii="仿宋" w:hAnsi="仿宋" w:eastAsia="仿宋"/>
          <w:b w:val="0"/>
          <w:bCs w:val="0"/>
          <w:color w:val="auto"/>
          <w:sz w:val="32"/>
          <w:szCs w:val="32"/>
        </w:rPr>
        <w:t>%</w:t>
      </w:r>
      <w:bookmarkStart w:id="22" w:name="_Toc15377208"/>
      <w:bookmarkStart w:id="23" w:name="_Toc15396606"/>
      <w:r>
        <w:rPr>
          <w:rFonts w:hint="eastAsia" w:ascii="仿宋" w:hAnsi="仿宋" w:eastAsia="仿宋"/>
          <w:b w:val="0"/>
          <w:bCs w:val="0"/>
          <w:color w:val="auto"/>
          <w:sz w:val="32"/>
          <w:szCs w:val="32"/>
        </w:rPr>
        <w:t>。</w:t>
      </w:r>
    </w:p>
    <w:p>
      <w:pPr>
        <w:spacing w:line="600" w:lineRule="exact"/>
        <w:ind w:firstLine="640"/>
        <w:rPr>
          <w:rFonts w:ascii="仿宋" w:hAnsi="仿宋" w:eastAsia="仿宋"/>
          <w:b w:val="0"/>
          <w:bCs w:val="0"/>
          <w:color w:val="auto"/>
          <w:sz w:val="32"/>
          <w:szCs w:val="32"/>
          <w:shd w:val="pct10" w:color="auto" w:fill="FFFFFF"/>
        </w:rPr>
      </w:pPr>
      <w:r>
        <w:rPr>
          <w:b w:val="0"/>
          <w:bCs w:val="0"/>
          <w:color w:val="auto"/>
        </w:rPr>
        <w:drawing>
          <wp:anchor distT="0" distB="0" distL="114300" distR="114300" simplePos="0" relativeHeight="251661312" behindDoc="0" locked="0" layoutInCell="1" allowOverlap="1">
            <wp:simplePos x="0" y="0"/>
            <wp:positionH relativeFrom="column">
              <wp:posOffset>649605</wp:posOffset>
            </wp:positionH>
            <wp:positionV relativeFrom="paragraph">
              <wp:posOffset>80645</wp:posOffset>
            </wp:positionV>
            <wp:extent cx="3972560" cy="2389505"/>
            <wp:effectExtent l="4445" t="4445" r="23495" b="6350"/>
            <wp:wrapNone/>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jc w:val="center"/>
        <w:rPr>
          <w:b w:val="0"/>
          <w:bCs w:val="0"/>
          <w:color w:val="auto"/>
        </w:rPr>
      </w:pPr>
      <w:r>
        <w:rPr>
          <w:rFonts w:hint="eastAsia" w:ascii="楷体_GB2312" w:hAnsi="楷体_GB2312" w:eastAsia="楷体_GB2312" w:cs="楷体_GB2312"/>
          <w:b w:val="0"/>
          <w:bCs w:val="0"/>
          <w:color w:val="auto"/>
          <w:sz w:val="32"/>
          <w:szCs w:val="32"/>
        </w:rPr>
        <w:t>（图3：支出决算结构图）</w:t>
      </w:r>
    </w:p>
    <w:p>
      <w:pPr>
        <w:spacing w:line="600" w:lineRule="exact"/>
        <w:ind w:firstLine="640" w:firstLineChars="200"/>
        <w:outlineLvl w:val="1"/>
        <w:rPr>
          <w:rStyle w:val="30"/>
          <w:rFonts w:ascii="黑体" w:hAnsi="黑体" w:eastAsia="黑体"/>
          <w:b w:val="0"/>
          <w:bCs w:val="0"/>
          <w:color w:val="auto"/>
        </w:rPr>
      </w:pPr>
      <w:r>
        <w:rPr>
          <w:rFonts w:hint="eastAsia" w:ascii="黑体" w:hAnsi="黑体" w:eastAsia="黑体"/>
          <w:b w:val="0"/>
          <w:bCs w:val="0"/>
          <w:color w:val="auto"/>
          <w:sz w:val="32"/>
          <w:szCs w:val="32"/>
        </w:rPr>
        <w:t>四、财</w:t>
      </w:r>
      <w:r>
        <w:rPr>
          <w:rStyle w:val="30"/>
          <w:rFonts w:hint="eastAsia" w:ascii="黑体" w:hAnsi="黑体" w:eastAsia="黑体"/>
          <w:b w:val="0"/>
          <w:bCs w:val="0"/>
          <w:color w:val="auto"/>
        </w:rPr>
        <w:t>政拨款收入支出决算总体情况说明</w:t>
      </w:r>
      <w:bookmarkEnd w:id="22"/>
      <w:bookmarkEnd w:id="23"/>
    </w:p>
    <w:p>
      <w:pPr>
        <w:spacing w:line="576" w:lineRule="exact"/>
        <w:ind w:firstLine="640" w:firstLineChars="200"/>
        <w:rPr>
          <w:rFonts w:hint="eastAsia" w:ascii="仿宋_GB2312" w:hAnsi="仿宋_GB2312" w:eastAsia="仿宋_GB2312" w:cs="仿宋_GB2312"/>
          <w:b w:val="0"/>
          <w:bCs w:val="0"/>
          <w:color w:val="auto"/>
          <w:sz w:val="32"/>
          <w:szCs w:val="32"/>
        </w:rPr>
      </w:pPr>
      <w:r>
        <w:rPr>
          <w:rFonts w:ascii="仿宋" w:hAnsi="仿宋" w:eastAsia="仿宋"/>
          <w:b w:val="0"/>
          <w:bCs w:val="0"/>
          <w:color w:val="auto"/>
          <w:sz w:val="32"/>
          <w:szCs w:val="32"/>
        </w:rPr>
        <w:t>20</w:t>
      </w:r>
      <w:r>
        <w:rPr>
          <w:rFonts w:hint="eastAsia" w:ascii="仿宋" w:hAnsi="仿宋" w:eastAsia="仿宋"/>
          <w:b w:val="0"/>
          <w:bCs w:val="0"/>
          <w:color w:val="auto"/>
          <w:sz w:val="32"/>
          <w:szCs w:val="32"/>
        </w:rPr>
        <w:t>21年财政拨款收、支总计260.65万元。与</w:t>
      </w:r>
      <w:r>
        <w:rPr>
          <w:rFonts w:ascii="仿宋" w:hAnsi="仿宋" w:eastAsia="仿宋"/>
          <w:b w:val="0"/>
          <w:bCs w:val="0"/>
          <w:color w:val="auto"/>
          <w:sz w:val="32"/>
          <w:szCs w:val="32"/>
        </w:rPr>
        <w:t>20</w:t>
      </w:r>
      <w:r>
        <w:rPr>
          <w:rFonts w:hint="eastAsia" w:ascii="仿宋" w:hAnsi="仿宋" w:eastAsia="仿宋"/>
          <w:b w:val="0"/>
          <w:bCs w:val="0"/>
          <w:color w:val="auto"/>
          <w:sz w:val="32"/>
          <w:szCs w:val="32"/>
        </w:rPr>
        <w:t>20年相比，财政拨款收、支总计各增加8.83万元，增长3.5</w:t>
      </w:r>
      <w:r>
        <w:rPr>
          <w:rFonts w:ascii="仿宋" w:hAnsi="仿宋" w:eastAsia="仿宋"/>
          <w:b w:val="0"/>
          <w:bCs w:val="0"/>
          <w:color w:val="auto"/>
          <w:sz w:val="32"/>
          <w:szCs w:val="32"/>
        </w:rPr>
        <w:t>%</w:t>
      </w:r>
      <w:r>
        <w:rPr>
          <w:rFonts w:hint="eastAsia" w:ascii="仿宋" w:hAnsi="仿宋" w:eastAsia="仿宋"/>
          <w:b w:val="0"/>
          <w:bCs w:val="0"/>
          <w:color w:val="auto"/>
          <w:sz w:val="32"/>
          <w:szCs w:val="32"/>
        </w:rPr>
        <w:t>。主要变动原因是</w:t>
      </w:r>
      <w:r>
        <w:rPr>
          <w:rFonts w:hint="eastAsia" w:ascii="仿宋_GB2312" w:hAnsi="仿宋_GB2312" w:eastAsia="仿宋_GB2312" w:cs="仿宋_GB2312"/>
          <w:b w:val="0"/>
          <w:bCs w:val="0"/>
          <w:color w:val="auto"/>
          <w:sz w:val="32"/>
          <w:szCs w:val="32"/>
          <w:lang w:eastAsia="zh-CN"/>
        </w:rPr>
        <w:t>职工工资福利</w:t>
      </w:r>
      <w:r>
        <w:rPr>
          <w:rFonts w:hint="eastAsia" w:ascii="仿宋_GB2312" w:hAnsi="仿宋_GB2312" w:eastAsia="仿宋_GB2312" w:cs="仿宋_GB2312"/>
          <w:b w:val="0"/>
          <w:bCs w:val="0"/>
          <w:color w:val="auto"/>
          <w:sz w:val="32"/>
          <w:szCs w:val="32"/>
        </w:rPr>
        <w:t>增加。</w:t>
      </w:r>
    </w:p>
    <w:p>
      <w:pPr>
        <w:spacing w:line="600" w:lineRule="exact"/>
        <w:rPr>
          <w:rFonts w:ascii="仿宋" w:hAnsi="仿宋" w:eastAsia="仿宋"/>
          <w:b w:val="0"/>
          <w:bCs w:val="0"/>
          <w:color w:val="auto"/>
          <w:sz w:val="32"/>
          <w:szCs w:val="32"/>
        </w:rPr>
      </w:pPr>
      <w:r>
        <w:rPr>
          <w:b w:val="0"/>
          <w:bCs w:val="0"/>
          <w:color w:val="auto"/>
        </w:rPr>
        <w:drawing>
          <wp:anchor distT="0" distB="0" distL="114300" distR="114300" simplePos="0" relativeHeight="251662336" behindDoc="0" locked="0" layoutInCell="1" allowOverlap="1">
            <wp:simplePos x="0" y="0"/>
            <wp:positionH relativeFrom="column">
              <wp:posOffset>642620</wp:posOffset>
            </wp:positionH>
            <wp:positionV relativeFrom="paragraph">
              <wp:posOffset>147955</wp:posOffset>
            </wp:positionV>
            <wp:extent cx="4181475" cy="2686050"/>
            <wp:effectExtent l="4445" t="4445" r="5080" b="14605"/>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spacing w:line="600" w:lineRule="exact"/>
        <w:ind w:firstLine="640" w:firstLineChars="200"/>
        <w:rPr>
          <w:rFonts w:hint="eastAsia" w:ascii="仿宋" w:hAnsi="仿宋" w:eastAsia="仿宋"/>
          <w:b w:val="0"/>
          <w:bCs w:val="0"/>
          <w:color w:val="auto"/>
          <w:sz w:val="32"/>
          <w:szCs w:val="32"/>
        </w:rPr>
      </w:pPr>
    </w:p>
    <w:p>
      <w:pPr>
        <w:pStyle w:val="16"/>
        <w:rPr>
          <w:rFonts w:hint="eastAsia"/>
          <w:b w:val="0"/>
          <w:bCs w:val="0"/>
          <w:color w:val="auto"/>
        </w:rPr>
      </w:pPr>
    </w:p>
    <w:p>
      <w:pPr>
        <w:spacing w:line="600" w:lineRule="exact"/>
        <w:ind w:firstLine="640" w:firstLineChars="200"/>
        <w:jc w:val="center"/>
        <w:rPr>
          <w:b w:val="0"/>
          <w:bCs w:val="0"/>
          <w:color w:val="auto"/>
        </w:rPr>
      </w:pPr>
      <w:r>
        <w:rPr>
          <w:rFonts w:hint="eastAsia" w:ascii="楷体_GB2312" w:hAnsi="楷体_GB2312" w:eastAsia="楷体_GB2312" w:cs="楷体_GB2312"/>
          <w:b w:val="0"/>
          <w:bCs w:val="0"/>
          <w:color w:val="auto"/>
          <w:sz w:val="32"/>
          <w:szCs w:val="32"/>
        </w:rPr>
        <w:t>（图4：财政拨款收、支决算总计变动情况）</w:t>
      </w:r>
    </w:p>
    <w:p>
      <w:pPr>
        <w:spacing w:line="600" w:lineRule="exact"/>
        <w:ind w:firstLine="640" w:firstLineChars="200"/>
        <w:outlineLvl w:val="1"/>
        <w:rPr>
          <w:rStyle w:val="30"/>
          <w:rFonts w:ascii="黑体" w:hAnsi="黑体" w:eastAsia="黑体"/>
          <w:b w:val="0"/>
          <w:bCs w:val="0"/>
          <w:color w:val="auto"/>
        </w:rPr>
      </w:pPr>
      <w:bookmarkStart w:id="24" w:name="_Toc15377209"/>
      <w:bookmarkStart w:id="25" w:name="_Toc15396607"/>
      <w:r>
        <w:rPr>
          <w:rFonts w:hint="eastAsia" w:ascii="黑体" w:hAnsi="黑体" w:eastAsia="黑体"/>
          <w:b w:val="0"/>
          <w:bCs w:val="0"/>
          <w:color w:val="auto"/>
          <w:sz w:val="32"/>
          <w:szCs w:val="32"/>
        </w:rPr>
        <w:t>五、一</w:t>
      </w:r>
      <w:r>
        <w:rPr>
          <w:rStyle w:val="30"/>
          <w:rFonts w:hint="eastAsia" w:ascii="黑体" w:hAnsi="黑体" w:eastAsia="黑体"/>
          <w:b w:val="0"/>
          <w:bCs w:val="0"/>
          <w:color w:val="auto"/>
        </w:rPr>
        <w:t>般公共预算财政拨款支出决算情况说明</w:t>
      </w:r>
      <w:bookmarkEnd w:id="24"/>
      <w:bookmarkEnd w:id="25"/>
    </w:p>
    <w:p>
      <w:pPr>
        <w:spacing w:line="600" w:lineRule="exact"/>
        <w:ind w:firstLine="640" w:firstLineChars="200"/>
        <w:outlineLvl w:val="2"/>
        <w:rPr>
          <w:rFonts w:hint="eastAsia" w:ascii="楷体_GB2312" w:hAnsi="楷体_GB2312" w:eastAsia="楷体_GB2312" w:cs="楷体_GB2312"/>
          <w:b w:val="0"/>
          <w:bCs w:val="0"/>
          <w:color w:val="auto"/>
          <w:sz w:val="32"/>
          <w:szCs w:val="32"/>
        </w:rPr>
      </w:pPr>
      <w:bookmarkStart w:id="26" w:name="_Toc15377210"/>
      <w:r>
        <w:rPr>
          <w:rFonts w:hint="eastAsia" w:ascii="楷体_GB2312" w:hAnsi="楷体_GB2312" w:eastAsia="楷体_GB2312" w:cs="楷体_GB2312"/>
          <w:b w:val="0"/>
          <w:bCs w:val="0"/>
          <w:color w:val="auto"/>
          <w:sz w:val="32"/>
          <w:szCs w:val="32"/>
        </w:rPr>
        <w:t>（一）一般公共预算财政拨款支出决算总体情况</w:t>
      </w:r>
      <w:bookmarkEnd w:id="26"/>
    </w:p>
    <w:p>
      <w:pPr>
        <w:spacing w:line="576" w:lineRule="exact"/>
        <w:ind w:firstLine="420" w:firstLineChars="200"/>
        <w:rPr>
          <w:rFonts w:hint="eastAsia" w:ascii="仿宋_GB2312" w:hAnsi="仿宋_GB2312" w:eastAsia="仿宋_GB2312" w:cs="仿宋_GB2312"/>
          <w:b w:val="0"/>
          <w:bCs w:val="0"/>
          <w:color w:val="auto"/>
          <w:sz w:val="32"/>
          <w:szCs w:val="32"/>
        </w:rPr>
      </w:pPr>
      <w:r>
        <w:rPr>
          <w:b w:val="0"/>
          <w:bCs w:val="0"/>
          <w:color w:val="auto"/>
        </w:rPr>
        <w:drawing>
          <wp:anchor distT="0" distB="0" distL="114300" distR="114300" simplePos="0" relativeHeight="251663360" behindDoc="0" locked="0" layoutInCell="1" allowOverlap="1">
            <wp:simplePos x="0" y="0"/>
            <wp:positionH relativeFrom="column">
              <wp:posOffset>989965</wp:posOffset>
            </wp:positionH>
            <wp:positionV relativeFrom="paragraph">
              <wp:posOffset>1514475</wp:posOffset>
            </wp:positionV>
            <wp:extent cx="3724910" cy="1657985"/>
            <wp:effectExtent l="4445" t="4445" r="23495" b="13970"/>
            <wp:wrapNone/>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b w:val="0"/>
          <w:bCs w:val="0"/>
          <w:color w:val="auto"/>
          <w:sz w:val="32"/>
          <w:szCs w:val="32"/>
        </w:rPr>
        <w:t>20</w:t>
      </w:r>
      <w:r>
        <w:rPr>
          <w:rFonts w:hint="eastAsia" w:ascii="仿宋" w:hAnsi="仿宋" w:eastAsia="仿宋"/>
          <w:b w:val="0"/>
          <w:bCs w:val="0"/>
          <w:color w:val="auto"/>
          <w:sz w:val="32"/>
          <w:szCs w:val="32"/>
        </w:rPr>
        <w:t>21年一般公共预算财政拨款支出260.65万元，占本年支出合计的100</w:t>
      </w:r>
      <w:r>
        <w:rPr>
          <w:rFonts w:ascii="仿宋" w:hAnsi="仿宋" w:eastAsia="仿宋"/>
          <w:b w:val="0"/>
          <w:bCs w:val="0"/>
          <w:color w:val="auto"/>
          <w:sz w:val="32"/>
          <w:szCs w:val="32"/>
        </w:rPr>
        <w:t>%</w:t>
      </w:r>
      <w:r>
        <w:rPr>
          <w:rFonts w:hint="eastAsia" w:ascii="仿宋" w:hAnsi="仿宋" w:eastAsia="仿宋"/>
          <w:b w:val="0"/>
          <w:bCs w:val="0"/>
          <w:color w:val="auto"/>
          <w:sz w:val="32"/>
          <w:szCs w:val="32"/>
        </w:rPr>
        <w:t>。与</w:t>
      </w:r>
      <w:r>
        <w:rPr>
          <w:rFonts w:ascii="仿宋" w:hAnsi="仿宋" w:eastAsia="仿宋"/>
          <w:b w:val="0"/>
          <w:bCs w:val="0"/>
          <w:color w:val="auto"/>
          <w:sz w:val="32"/>
          <w:szCs w:val="32"/>
        </w:rPr>
        <w:t>20</w:t>
      </w:r>
      <w:r>
        <w:rPr>
          <w:rFonts w:hint="eastAsia" w:ascii="仿宋" w:hAnsi="仿宋" w:eastAsia="仿宋"/>
          <w:b w:val="0"/>
          <w:bCs w:val="0"/>
          <w:color w:val="auto"/>
          <w:sz w:val="32"/>
          <w:szCs w:val="32"/>
        </w:rPr>
        <w:t>20年相比，一般公共预算财政拨款支出增加8.83万元，增长3.5</w:t>
      </w:r>
      <w:r>
        <w:rPr>
          <w:rFonts w:ascii="仿宋" w:hAnsi="仿宋" w:eastAsia="仿宋"/>
          <w:b w:val="0"/>
          <w:bCs w:val="0"/>
          <w:color w:val="auto"/>
          <w:sz w:val="32"/>
          <w:szCs w:val="32"/>
        </w:rPr>
        <w:t>%</w:t>
      </w:r>
      <w:r>
        <w:rPr>
          <w:rFonts w:hint="eastAsia" w:ascii="仿宋" w:hAnsi="仿宋" w:eastAsia="仿宋"/>
          <w:b w:val="0"/>
          <w:bCs w:val="0"/>
          <w:color w:val="auto"/>
          <w:sz w:val="32"/>
          <w:szCs w:val="32"/>
        </w:rPr>
        <w:t>。主要变动原因是</w:t>
      </w:r>
      <w:r>
        <w:rPr>
          <w:rFonts w:hint="eastAsia" w:ascii="仿宋_GB2312" w:hAnsi="仿宋_GB2312" w:eastAsia="仿宋_GB2312" w:cs="仿宋_GB2312"/>
          <w:b w:val="0"/>
          <w:bCs w:val="0"/>
          <w:color w:val="auto"/>
          <w:sz w:val="32"/>
          <w:szCs w:val="32"/>
          <w:lang w:eastAsia="zh-CN"/>
        </w:rPr>
        <w:t>职工工资福利</w:t>
      </w:r>
      <w:r>
        <w:rPr>
          <w:rFonts w:hint="eastAsia" w:ascii="仿宋_GB2312" w:hAnsi="仿宋_GB2312" w:eastAsia="仿宋_GB2312" w:cs="仿宋_GB2312"/>
          <w:b w:val="0"/>
          <w:bCs w:val="0"/>
          <w:color w:val="auto"/>
          <w:sz w:val="32"/>
          <w:szCs w:val="32"/>
        </w:rPr>
        <w:t>增加。</w:t>
      </w:r>
    </w:p>
    <w:p>
      <w:pPr>
        <w:spacing w:line="600" w:lineRule="exact"/>
        <w:ind w:firstLine="640" w:firstLineChars="200"/>
        <w:rPr>
          <w:rFonts w:hint="eastAsia" w:ascii="仿宋_GB2312" w:hAnsi="仿宋_GB2312" w:eastAsia="仿宋_GB2312" w:cs="仿宋_GB2312"/>
          <w:b w:val="0"/>
          <w:bCs w:val="0"/>
          <w:color w:val="auto"/>
          <w:sz w:val="32"/>
          <w:szCs w:val="32"/>
        </w:rPr>
      </w:pPr>
    </w:p>
    <w:p>
      <w:pPr>
        <w:pStyle w:val="16"/>
        <w:rPr>
          <w:rFonts w:hint="eastAsia"/>
          <w:b w:val="0"/>
          <w:bCs w:val="0"/>
          <w:color w:val="auto"/>
        </w:rPr>
      </w:pPr>
    </w:p>
    <w:p>
      <w:pPr>
        <w:pStyle w:val="16"/>
        <w:rPr>
          <w:rFonts w:hint="eastAsia" w:ascii="仿宋_GB2312" w:hAnsi="仿宋_GB2312" w:eastAsia="仿宋_GB2312" w:cs="仿宋_GB2312"/>
          <w:b w:val="0"/>
          <w:bCs w:val="0"/>
          <w:color w:val="auto"/>
          <w:sz w:val="32"/>
          <w:szCs w:val="32"/>
        </w:rPr>
      </w:pPr>
    </w:p>
    <w:p>
      <w:pPr>
        <w:pStyle w:val="16"/>
        <w:rPr>
          <w:rFonts w:hint="eastAsia" w:ascii="仿宋_GB2312" w:hAnsi="仿宋_GB2312" w:eastAsia="仿宋_GB2312" w:cs="仿宋_GB2312"/>
          <w:b w:val="0"/>
          <w:bCs w:val="0"/>
          <w:color w:val="auto"/>
          <w:sz w:val="32"/>
          <w:szCs w:val="32"/>
        </w:rPr>
      </w:pPr>
    </w:p>
    <w:p>
      <w:pPr>
        <w:pStyle w:val="16"/>
        <w:rPr>
          <w:rFonts w:hint="eastAsia" w:ascii="仿宋_GB2312" w:hAnsi="仿宋_GB2312" w:eastAsia="仿宋_GB2312" w:cs="仿宋_GB2312"/>
          <w:b w:val="0"/>
          <w:bCs w:val="0"/>
          <w:color w:val="auto"/>
          <w:sz w:val="32"/>
          <w:szCs w:val="32"/>
        </w:rPr>
      </w:pPr>
    </w:p>
    <w:p>
      <w:pPr>
        <w:spacing w:line="600" w:lineRule="exact"/>
        <w:jc w:val="center"/>
        <w:rPr>
          <w:rFonts w:hint="eastAsia" w:ascii="楷体_GB2312" w:hAnsi="楷体_GB2312" w:eastAsia="楷体_GB2312" w:cs="楷体_GB2312"/>
          <w:b w:val="0"/>
          <w:bCs w:val="0"/>
          <w:color w:val="auto"/>
          <w:sz w:val="30"/>
          <w:szCs w:val="30"/>
        </w:rPr>
      </w:pPr>
      <w:r>
        <w:rPr>
          <w:rFonts w:hint="eastAsia" w:ascii="楷体_GB2312" w:hAnsi="楷体_GB2312" w:eastAsia="楷体_GB2312" w:cs="楷体_GB2312"/>
          <w:b w:val="0"/>
          <w:bCs w:val="0"/>
          <w:color w:val="auto"/>
          <w:sz w:val="30"/>
          <w:szCs w:val="30"/>
        </w:rPr>
        <w:t>（图5：一般公共预算财政拨款支出决算变动情况）</w:t>
      </w:r>
    </w:p>
    <w:p>
      <w:pPr>
        <w:spacing w:line="600" w:lineRule="exact"/>
        <w:ind w:firstLine="640" w:firstLineChars="200"/>
        <w:outlineLvl w:val="2"/>
        <w:rPr>
          <w:rFonts w:hint="eastAsia" w:ascii="楷体_GB2312" w:hAnsi="楷体_GB2312" w:eastAsia="楷体_GB2312" w:cs="楷体_GB2312"/>
          <w:b w:val="0"/>
          <w:bCs w:val="0"/>
          <w:color w:val="auto"/>
          <w:sz w:val="32"/>
          <w:szCs w:val="32"/>
        </w:rPr>
      </w:pPr>
      <w:bookmarkStart w:id="27" w:name="_Toc15377211"/>
      <w:r>
        <w:rPr>
          <w:rFonts w:hint="eastAsia" w:ascii="楷体_GB2312" w:hAnsi="楷体_GB2312" w:eastAsia="楷体_GB2312" w:cs="楷体_GB2312"/>
          <w:b w:val="0"/>
          <w:bCs w:val="0"/>
          <w:color w:val="auto"/>
          <w:sz w:val="32"/>
          <w:szCs w:val="32"/>
        </w:rPr>
        <w:t>（二）一般公共预算财政拨款支出决算结构情况</w:t>
      </w:r>
      <w:bookmarkEnd w:id="27"/>
    </w:p>
    <w:p>
      <w:pPr>
        <w:spacing w:line="600" w:lineRule="exact"/>
        <w:ind w:firstLine="640"/>
        <w:rPr>
          <w:rFonts w:hint="eastAsia" w:ascii="仿宋" w:hAnsi="仿宋" w:eastAsia="仿宋"/>
          <w:b w:val="0"/>
          <w:bCs w:val="0"/>
          <w:color w:val="auto"/>
          <w:sz w:val="32"/>
          <w:szCs w:val="32"/>
        </w:rPr>
      </w:pPr>
      <w:r>
        <w:rPr>
          <w:b w:val="0"/>
          <w:bCs w:val="0"/>
          <w:color w:val="auto"/>
        </w:rPr>
        <w:drawing>
          <wp:anchor distT="0" distB="0" distL="114300" distR="114300" simplePos="0" relativeHeight="251664384" behindDoc="0" locked="0" layoutInCell="1" allowOverlap="1">
            <wp:simplePos x="0" y="0"/>
            <wp:positionH relativeFrom="column">
              <wp:posOffset>413385</wp:posOffset>
            </wp:positionH>
            <wp:positionV relativeFrom="paragraph">
              <wp:posOffset>1880870</wp:posOffset>
            </wp:positionV>
            <wp:extent cx="4448810" cy="2402840"/>
            <wp:effectExtent l="4445" t="4445" r="23495" b="12065"/>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b w:val="0"/>
          <w:bCs w:val="0"/>
          <w:color w:val="auto"/>
          <w:sz w:val="32"/>
          <w:szCs w:val="32"/>
        </w:rPr>
        <w:t>20</w:t>
      </w:r>
      <w:r>
        <w:rPr>
          <w:rFonts w:hint="eastAsia" w:ascii="仿宋" w:hAnsi="仿宋" w:eastAsia="仿宋"/>
          <w:b w:val="0"/>
          <w:bCs w:val="0"/>
          <w:color w:val="auto"/>
          <w:sz w:val="32"/>
          <w:szCs w:val="32"/>
        </w:rPr>
        <w:t>21年一般公共预算财政拨款支出260.65万元，主要用于以下方面</w:t>
      </w:r>
      <w:r>
        <w:rPr>
          <w:rFonts w:ascii="仿宋" w:hAnsi="仿宋" w:eastAsia="仿宋"/>
          <w:b w:val="0"/>
          <w:bCs w:val="0"/>
          <w:color w:val="auto"/>
          <w:sz w:val="32"/>
          <w:szCs w:val="32"/>
        </w:rPr>
        <w:t>:</w:t>
      </w:r>
      <w:r>
        <w:rPr>
          <w:rFonts w:hint="eastAsia" w:ascii="仿宋" w:hAnsi="仿宋" w:eastAsia="仿宋"/>
          <w:b w:val="0"/>
          <w:bCs w:val="0"/>
          <w:color w:val="auto"/>
          <w:sz w:val="32"/>
          <w:szCs w:val="32"/>
        </w:rPr>
        <w:t>一般公共服务（类）支出219.04万元，占84.04</w:t>
      </w:r>
      <w:r>
        <w:rPr>
          <w:rFonts w:ascii="仿宋" w:hAnsi="仿宋" w:eastAsia="仿宋"/>
          <w:b w:val="0"/>
          <w:bCs w:val="0"/>
          <w:color w:val="auto"/>
          <w:sz w:val="32"/>
          <w:szCs w:val="32"/>
        </w:rPr>
        <w:t>%</w:t>
      </w:r>
      <w:r>
        <w:rPr>
          <w:rFonts w:hint="eastAsia" w:ascii="仿宋" w:hAnsi="仿宋" w:eastAsia="仿宋"/>
          <w:b w:val="0"/>
          <w:bCs w:val="0"/>
          <w:color w:val="auto"/>
          <w:sz w:val="32"/>
          <w:szCs w:val="32"/>
        </w:rPr>
        <w:t>；社会保障和就业（类）支出18.14万元，占6.96</w:t>
      </w:r>
      <w:r>
        <w:rPr>
          <w:rFonts w:ascii="仿宋" w:hAnsi="仿宋" w:eastAsia="仿宋"/>
          <w:b w:val="0"/>
          <w:bCs w:val="0"/>
          <w:color w:val="auto"/>
          <w:sz w:val="32"/>
          <w:szCs w:val="32"/>
        </w:rPr>
        <w:t>%</w:t>
      </w:r>
      <w:r>
        <w:rPr>
          <w:rFonts w:hint="eastAsia" w:ascii="仿宋" w:hAnsi="仿宋" w:eastAsia="仿宋"/>
          <w:b w:val="0"/>
          <w:bCs w:val="0"/>
          <w:color w:val="auto"/>
          <w:sz w:val="32"/>
          <w:szCs w:val="32"/>
        </w:rPr>
        <w:t>；卫生健康支出9.88万元，占3.79</w:t>
      </w:r>
      <w:r>
        <w:rPr>
          <w:rFonts w:ascii="仿宋" w:hAnsi="仿宋" w:eastAsia="仿宋"/>
          <w:b w:val="0"/>
          <w:bCs w:val="0"/>
          <w:color w:val="auto"/>
          <w:sz w:val="32"/>
          <w:szCs w:val="32"/>
        </w:rPr>
        <w:t>%</w:t>
      </w:r>
      <w:r>
        <w:rPr>
          <w:rFonts w:hint="eastAsia" w:ascii="仿宋" w:hAnsi="仿宋" w:eastAsia="仿宋"/>
          <w:b w:val="0"/>
          <w:bCs w:val="0"/>
          <w:color w:val="auto"/>
          <w:sz w:val="32"/>
          <w:szCs w:val="32"/>
        </w:rPr>
        <w:t>；住房保障支出13.58万元，占5.21</w:t>
      </w:r>
      <w:r>
        <w:rPr>
          <w:rFonts w:ascii="仿宋" w:hAnsi="仿宋" w:eastAsia="仿宋"/>
          <w:b w:val="0"/>
          <w:bCs w:val="0"/>
          <w:color w:val="auto"/>
          <w:sz w:val="32"/>
          <w:szCs w:val="32"/>
        </w:rPr>
        <w:t>%</w:t>
      </w:r>
      <w:r>
        <w:rPr>
          <w:rFonts w:hint="eastAsia" w:ascii="仿宋" w:hAnsi="仿宋" w:eastAsia="仿宋"/>
          <w:b w:val="0"/>
          <w:bCs w:val="0"/>
          <w:color w:val="auto"/>
          <w:sz w:val="32"/>
          <w:szCs w:val="32"/>
        </w:rPr>
        <w:t>。</w:t>
      </w:r>
    </w:p>
    <w:p>
      <w:pPr>
        <w:pStyle w:val="16"/>
        <w:rPr>
          <w:rFonts w:hint="eastAsia"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 xml:space="preserve"> </w:t>
      </w:r>
    </w:p>
    <w:p>
      <w:pPr>
        <w:pStyle w:val="16"/>
        <w:rPr>
          <w:rFonts w:hint="eastAsia" w:ascii="仿宋" w:hAnsi="仿宋" w:eastAsia="仿宋"/>
          <w:b w:val="0"/>
          <w:bCs w:val="0"/>
          <w:color w:val="auto"/>
          <w:sz w:val="32"/>
          <w:szCs w:val="32"/>
        </w:rPr>
      </w:pPr>
    </w:p>
    <w:p>
      <w:pPr>
        <w:pStyle w:val="16"/>
        <w:rPr>
          <w:rFonts w:hint="eastAsia" w:ascii="仿宋" w:hAnsi="仿宋" w:eastAsia="仿宋"/>
          <w:b w:val="0"/>
          <w:bCs w:val="0"/>
          <w:color w:val="auto"/>
          <w:sz w:val="32"/>
          <w:szCs w:val="32"/>
        </w:rPr>
      </w:pPr>
    </w:p>
    <w:p>
      <w:pPr>
        <w:pStyle w:val="16"/>
        <w:rPr>
          <w:rFonts w:hint="eastAsia" w:ascii="仿宋" w:hAnsi="仿宋" w:eastAsia="仿宋"/>
          <w:b w:val="0"/>
          <w:bCs w:val="0"/>
          <w:color w:val="auto"/>
          <w:sz w:val="32"/>
          <w:szCs w:val="32"/>
        </w:rPr>
      </w:pPr>
    </w:p>
    <w:p>
      <w:pPr>
        <w:pStyle w:val="16"/>
        <w:rPr>
          <w:rFonts w:hint="eastAsia" w:ascii="仿宋" w:hAnsi="仿宋" w:eastAsia="仿宋"/>
          <w:b w:val="0"/>
          <w:bCs w:val="0"/>
          <w:color w:val="auto"/>
          <w:sz w:val="32"/>
          <w:szCs w:val="32"/>
        </w:rPr>
      </w:pPr>
    </w:p>
    <w:p>
      <w:pPr>
        <w:pStyle w:val="16"/>
        <w:rPr>
          <w:rFonts w:hint="eastAsia" w:ascii="仿宋" w:hAnsi="仿宋" w:eastAsia="仿宋"/>
          <w:b w:val="0"/>
          <w:bCs w:val="0"/>
          <w:color w:val="auto"/>
          <w:sz w:val="32"/>
          <w:szCs w:val="32"/>
        </w:rPr>
      </w:pPr>
    </w:p>
    <w:p>
      <w:pPr>
        <w:spacing w:line="600" w:lineRule="exact"/>
        <w:jc w:val="center"/>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（图6：一般公共预算财政拨款支出决算结构）</w:t>
      </w:r>
    </w:p>
    <w:p>
      <w:pPr>
        <w:spacing w:line="600" w:lineRule="exact"/>
        <w:ind w:firstLine="640" w:firstLineChars="200"/>
        <w:outlineLvl w:val="2"/>
        <w:rPr>
          <w:rFonts w:hint="eastAsia" w:ascii="楷体_GB2312" w:hAnsi="楷体_GB2312" w:eastAsia="楷体_GB2312" w:cs="楷体_GB2312"/>
          <w:b w:val="0"/>
          <w:bCs w:val="0"/>
          <w:color w:val="auto"/>
          <w:sz w:val="32"/>
          <w:szCs w:val="32"/>
        </w:rPr>
      </w:pPr>
      <w:bookmarkStart w:id="28" w:name="_Toc15377212"/>
      <w:r>
        <w:rPr>
          <w:rFonts w:hint="eastAsia" w:ascii="楷体_GB2312" w:hAnsi="楷体_GB2312" w:eastAsia="楷体_GB2312" w:cs="楷体_GB2312"/>
          <w:b w:val="0"/>
          <w:bCs w:val="0"/>
          <w:color w:val="auto"/>
          <w:sz w:val="32"/>
          <w:szCs w:val="32"/>
        </w:rPr>
        <w:t>（三）一般公共预算财政拨款支出决算具体情况</w:t>
      </w:r>
      <w:bookmarkEnd w:id="28"/>
    </w:p>
    <w:p>
      <w:pPr>
        <w:spacing w:line="600" w:lineRule="exact"/>
        <w:ind w:firstLine="640" w:firstLineChars="200"/>
        <w:outlineLvl w:val="2"/>
        <w:rPr>
          <w:rFonts w:ascii="仿宋" w:hAnsi="仿宋" w:eastAsia="仿宋"/>
          <w:b w:val="0"/>
          <w:bCs w:val="0"/>
          <w:color w:val="auto"/>
          <w:sz w:val="32"/>
          <w:szCs w:val="32"/>
        </w:rPr>
      </w:pPr>
      <w:bookmarkStart w:id="29" w:name="_Toc15377213"/>
      <w:bookmarkStart w:id="30" w:name="_Toc15377444"/>
      <w:bookmarkStart w:id="31" w:name="_Toc15378460"/>
      <w:r>
        <w:rPr>
          <w:rFonts w:hint="eastAsia" w:ascii="仿宋" w:hAnsi="仿宋" w:eastAsia="仿宋"/>
          <w:b w:val="0"/>
          <w:bCs w:val="0"/>
          <w:color w:val="auto"/>
          <w:sz w:val="32"/>
          <w:szCs w:val="32"/>
        </w:rPr>
        <w:t>2021年一般公共预算支出决算数为260.65，</w:t>
      </w:r>
      <w:r>
        <w:rPr>
          <w:rStyle w:val="19"/>
          <w:rFonts w:hint="eastAsia" w:ascii="仿宋" w:hAnsi="仿宋" w:eastAsia="仿宋"/>
          <w:b w:val="0"/>
          <w:bCs w:val="0"/>
          <w:color w:val="auto"/>
          <w:sz w:val="32"/>
          <w:szCs w:val="32"/>
        </w:rPr>
        <w:t>完成预算100</w:t>
      </w:r>
      <w:r>
        <w:rPr>
          <w:rStyle w:val="19"/>
          <w:rFonts w:ascii="仿宋" w:hAnsi="仿宋" w:eastAsia="仿宋"/>
          <w:b w:val="0"/>
          <w:bCs w:val="0"/>
          <w:color w:val="auto"/>
          <w:sz w:val="32"/>
          <w:szCs w:val="32"/>
        </w:rPr>
        <w:t>%</w:t>
      </w:r>
      <w:r>
        <w:rPr>
          <w:rStyle w:val="19"/>
          <w:rFonts w:hint="eastAsia" w:ascii="仿宋" w:hAnsi="仿宋" w:eastAsia="仿宋"/>
          <w:b w:val="0"/>
          <w:bCs w:val="0"/>
          <w:color w:val="auto"/>
          <w:sz w:val="32"/>
          <w:szCs w:val="32"/>
        </w:rPr>
        <w:t>。其中：</w:t>
      </w:r>
      <w:bookmarkEnd w:id="29"/>
      <w:bookmarkEnd w:id="30"/>
      <w:bookmarkEnd w:id="31"/>
    </w:p>
    <w:p>
      <w:pPr>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1.一般公共服务支出（类）政府办公厅（室）及相关机构事务（款）其他政府办公厅（室）及相关机构事务支出（项）:</w:t>
      </w:r>
      <w:r>
        <w:rPr>
          <w:rStyle w:val="19"/>
          <w:rFonts w:hint="eastAsia" w:ascii="仿宋_GB2312" w:hAnsi="仿宋_GB2312" w:eastAsia="仿宋_GB2312" w:cs="仿宋_GB2312"/>
          <w:b w:val="0"/>
          <w:bCs w:val="0"/>
          <w:color w:val="auto"/>
          <w:sz w:val="32"/>
          <w:szCs w:val="32"/>
        </w:rPr>
        <w:t>支出决算为179.04万元，完成预算100%，决算数等于预算数。</w:t>
      </w:r>
    </w:p>
    <w:p>
      <w:pPr>
        <w:spacing w:line="600" w:lineRule="exact"/>
        <w:ind w:firstLine="640" w:firstLineChars="200"/>
        <w:rPr>
          <w:rFonts w:hint="eastAsia" w:ascii="仿宋_GB2312" w:hAnsi="仿宋_GB2312" w:eastAsia="仿宋_GB2312" w:cs="仿宋_GB2312"/>
          <w:b w:val="0"/>
          <w:bCs w:val="0"/>
          <w:color w:val="auto"/>
          <w:sz w:val="32"/>
          <w:szCs w:val="32"/>
        </w:rPr>
      </w:pPr>
      <w:r>
        <w:rPr>
          <w:rStyle w:val="19"/>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rPr>
        <w:t xml:space="preserve"> 一般公共服务（类）其他一般公共服务支出（款）其他一般公共服务支出（项）：</w:t>
      </w:r>
      <w:r>
        <w:rPr>
          <w:rStyle w:val="19"/>
          <w:rFonts w:hint="eastAsia" w:ascii="仿宋_GB2312" w:hAnsi="仿宋_GB2312" w:eastAsia="仿宋_GB2312" w:cs="仿宋_GB2312"/>
          <w:b w:val="0"/>
          <w:bCs w:val="0"/>
          <w:color w:val="auto"/>
          <w:sz w:val="32"/>
          <w:szCs w:val="32"/>
        </w:rPr>
        <w:t>支出决算为40万元，完成预算100%，决算数等于预算数。</w:t>
      </w:r>
    </w:p>
    <w:p>
      <w:pPr>
        <w:spacing w:line="600" w:lineRule="exact"/>
        <w:ind w:firstLine="640" w:firstLineChars="200"/>
        <w:rPr>
          <w:rStyle w:val="19"/>
          <w:rFonts w:hint="eastAsia" w:ascii="仿宋_GB2312" w:hAnsi="仿宋_GB2312" w:eastAsia="仿宋_GB2312" w:cs="仿宋_GB2312"/>
          <w:b w:val="0"/>
          <w:bCs w:val="0"/>
          <w:color w:val="auto"/>
          <w:sz w:val="32"/>
          <w:szCs w:val="32"/>
        </w:rPr>
      </w:pPr>
      <w:r>
        <w:rPr>
          <w:rStyle w:val="19"/>
          <w:rFonts w:hint="eastAsia" w:ascii="仿宋_GB2312" w:hAnsi="仿宋_GB2312" w:eastAsia="仿宋_GB2312" w:cs="仿宋_GB2312"/>
          <w:b w:val="0"/>
          <w:bCs w:val="0"/>
          <w:color w:val="auto"/>
          <w:sz w:val="32"/>
          <w:szCs w:val="32"/>
        </w:rPr>
        <w:t>3.社会保障和就业（类）行政事业单位养老支出（款）机关事业单位基本养老保险缴费支出（项）: 支出决算为13.10万元，完成预算100%，决算数等于预算数。</w:t>
      </w:r>
    </w:p>
    <w:p>
      <w:pPr>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w:t>
      </w:r>
      <w:r>
        <w:rPr>
          <w:rStyle w:val="19"/>
          <w:rFonts w:hint="eastAsia" w:ascii="仿宋_GB2312" w:hAnsi="仿宋_GB2312" w:eastAsia="仿宋_GB2312" w:cs="仿宋_GB2312"/>
          <w:b w:val="0"/>
          <w:bCs w:val="0"/>
          <w:color w:val="auto"/>
          <w:sz w:val="32"/>
          <w:szCs w:val="32"/>
        </w:rPr>
        <w:t xml:space="preserve"> 社会保障和就业（类）行政事业单位养老支出（款）机关事业单位职业年金缴纳支出（项）: 支出决算为5.05万元，完成预算100%，决算数等于预算数。</w:t>
      </w:r>
    </w:p>
    <w:p>
      <w:pPr>
        <w:spacing w:line="600" w:lineRule="exact"/>
        <w:ind w:firstLine="640" w:firstLineChars="200"/>
        <w:rPr>
          <w:rFonts w:hint="eastAsia" w:ascii="仿宋_GB2312" w:hAnsi="仿宋_GB2312" w:eastAsia="仿宋_GB2312" w:cs="仿宋_GB2312"/>
          <w:b w:val="0"/>
          <w:bCs w:val="0"/>
          <w:color w:val="auto"/>
          <w:sz w:val="32"/>
          <w:szCs w:val="32"/>
        </w:rPr>
      </w:pPr>
      <w:r>
        <w:rPr>
          <w:rStyle w:val="19"/>
          <w:rFonts w:hint="eastAsia" w:ascii="仿宋_GB2312" w:hAnsi="仿宋_GB2312" w:eastAsia="仿宋_GB2312" w:cs="仿宋_GB2312"/>
          <w:b w:val="0"/>
          <w:bCs w:val="0"/>
          <w:color w:val="auto"/>
          <w:sz w:val="32"/>
          <w:szCs w:val="32"/>
        </w:rPr>
        <w:t>5.</w:t>
      </w:r>
      <w:r>
        <w:rPr>
          <w:rFonts w:hint="eastAsia" w:ascii="仿宋_GB2312" w:hAnsi="仿宋_GB2312" w:eastAsia="仿宋_GB2312" w:cs="仿宋_GB2312"/>
          <w:b w:val="0"/>
          <w:bCs w:val="0"/>
          <w:color w:val="auto"/>
          <w:sz w:val="32"/>
          <w:szCs w:val="32"/>
        </w:rPr>
        <w:t>卫生健康</w:t>
      </w:r>
      <w:r>
        <w:rPr>
          <w:rStyle w:val="19"/>
          <w:rFonts w:hint="eastAsia" w:ascii="仿宋_GB2312" w:hAnsi="仿宋_GB2312" w:eastAsia="仿宋_GB2312" w:cs="仿宋_GB2312"/>
          <w:b w:val="0"/>
          <w:bCs w:val="0"/>
          <w:color w:val="auto"/>
          <w:sz w:val="32"/>
          <w:szCs w:val="32"/>
        </w:rPr>
        <w:t>（类）行政事业单位医疗（款）行政单位医疗（项）:支出决算为9.88万元，完成预算100%，决算数等于预算数。</w:t>
      </w:r>
    </w:p>
    <w:p>
      <w:pPr>
        <w:spacing w:line="576"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6.住房保障（类）住房改革支出（款）住房公积金（项）:支出决算为13.58万元，完成预算100%。</w:t>
      </w:r>
    </w:p>
    <w:p>
      <w:pPr>
        <w:tabs>
          <w:tab w:val="right" w:pos="8306"/>
        </w:tabs>
        <w:spacing w:line="600" w:lineRule="exact"/>
        <w:ind w:firstLine="640"/>
        <w:outlineLvl w:val="1"/>
        <w:rPr>
          <w:rStyle w:val="30"/>
          <w:b w:val="0"/>
          <w:bCs w:val="0"/>
          <w:color w:val="auto"/>
        </w:rPr>
      </w:pPr>
      <w:bookmarkStart w:id="32" w:name="_Toc15377214"/>
      <w:bookmarkStart w:id="33" w:name="_Toc15396608"/>
      <w:r>
        <w:rPr>
          <w:rFonts w:hint="eastAsia" w:ascii="黑体" w:eastAsia="黑体"/>
          <w:b w:val="0"/>
          <w:bCs w:val="0"/>
          <w:color w:val="auto"/>
          <w:sz w:val="32"/>
          <w:szCs w:val="32"/>
        </w:rPr>
        <w:t>六、</w:t>
      </w:r>
      <w:r>
        <w:rPr>
          <w:rFonts w:hint="eastAsia" w:ascii="黑体" w:hAnsi="黑体" w:eastAsia="黑体"/>
          <w:b w:val="0"/>
          <w:bCs w:val="0"/>
          <w:color w:val="auto"/>
          <w:sz w:val="32"/>
          <w:szCs w:val="32"/>
        </w:rPr>
        <w:t>一</w:t>
      </w:r>
      <w:r>
        <w:rPr>
          <w:rStyle w:val="30"/>
          <w:rFonts w:hint="eastAsia" w:ascii="黑体" w:hAnsi="黑体" w:eastAsia="黑体"/>
          <w:b w:val="0"/>
          <w:bCs w:val="0"/>
          <w:color w:val="auto"/>
        </w:rPr>
        <w:t>般公共预算财政拨款基本支出决算情况说明</w:t>
      </w:r>
      <w:bookmarkEnd w:id="32"/>
      <w:bookmarkEnd w:id="33"/>
      <w:r>
        <w:rPr>
          <w:rStyle w:val="30"/>
          <w:rFonts w:ascii="黑体" w:hAnsi="黑体" w:eastAsia="黑体"/>
          <w:b w:val="0"/>
          <w:bCs w:val="0"/>
          <w:color w:val="auto"/>
        </w:rPr>
        <w:tab/>
      </w:r>
    </w:p>
    <w:p>
      <w:pPr>
        <w:spacing w:line="600" w:lineRule="exact"/>
        <w:ind w:firstLine="645"/>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2021年一般公共预算财政拨款基本支出220.65万元，其中：人员经费195.87万元，主要包括：基本工资、津贴补贴、奖金、机关事业单位基本养老保险缴费、职业年金缴费、</w:t>
      </w:r>
      <w:r>
        <w:rPr>
          <w:rFonts w:hint="eastAsia" w:ascii="仿宋_GB2312" w:hAnsi="仿宋_GB2312" w:eastAsia="仿宋_GB2312" w:cs="仿宋_GB2312"/>
          <w:b w:val="0"/>
          <w:bCs w:val="0"/>
          <w:color w:val="auto"/>
          <w:sz w:val="32"/>
          <w:szCs w:val="32"/>
          <w:lang w:eastAsia="zh-CN"/>
        </w:rPr>
        <w:t>职工基本医疗保险缴费、</w:t>
      </w:r>
      <w:r>
        <w:rPr>
          <w:rFonts w:hint="eastAsia" w:ascii="仿宋_GB2312" w:hAnsi="仿宋_GB2312" w:eastAsia="仿宋_GB2312" w:cs="仿宋_GB2312"/>
          <w:b w:val="0"/>
          <w:bCs w:val="0"/>
          <w:color w:val="auto"/>
          <w:sz w:val="32"/>
          <w:szCs w:val="32"/>
        </w:rPr>
        <w:t>其他社会保障缴费、其他工资福利支出、生活补助、奖励金、住房公积金支出等。</w:t>
      </w:r>
    </w:p>
    <w:p>
      <w:pPr>
        <w:spacing w:line="600" w:lineRule="exact"/>
        <w:ind w:firstLine="645"/>
        <w:rPr>
          <w:rFonts w:hint="eastAsia" w:ascii="仿宋" w:hAnsi="仿宋" w:eastAsia="仿宋"/>
          <w:b w:val="0"/>
          <w:bCs w:val="0"/>
          <w:color w:val="auto"/>
          <w:sz w:val="32"/>
          <w:szCs w:val="32"/>
        </w:rPr>
      </w:pPr>
      <w:r>
        <w:rPr>
          <w:rFonts w:hint="eastAsia" w:ascii="仿宋_GB2312" w:hAnsi="仿宋_GB2312" w:eastAsia="仿宋_GB2312" w:cs="仿宋_GB2312"/>
          <w:b w:val="0"/>
          <w:bCs w:val="0"/>
          <w:color w:val="auto"/>
          <w:sz w:val="32"/>
          <w:szCs w:val="32"/>
        </w:rPr>
        <w:t>公用经费24.78万元，主要包括：</w:t>
      </w:r>
      <w:bookmarkStart w:id="65" w:name="_GoBack"/>
      <w:bookmarkEnd w:id="65"/>
      <w:r>
        <w:rPr>
          <w:rFonts w:hint="eastAsia" w:ascii="仿宋_GB2312" w:hAnsi="仿宋_GB2312" w:eastAsia="仿宋_GB2312" w:cs="仿宋_GB2312"/>
          <w:b w:val="0"/>
          <w:bCs w:val="0"/>
          <w:color w:val="auto"/>
          <w:sz w:val="32"/>
          <w:szCs w:val="32"/>
        </w:rPr>
        <w:t>水费、电费、差旅费、会议费、公务接待费、工会经费、福利费、其他交通费、其他商品和服务支出等。</w:t>
      </w:r>
    </w:p>
    <w:p>
      <w:pPr>
        <w:spacing w:line="600" w:lineRule="exact"/>
        <w:ind w:firstLine="640"/>
        <w:outlineLvl w:val="1"/>
        <w:rPr>
          <w:rStyle w:val="30"/>
          <w:rFonts w:ascii="黑体" w:hAnsi="黑体" w:eastAsia="黑体"/>
          <w:b w:val="0"/>
          <w:bCs w:val="0"/>
          <w:color w:val="auto"/>
        </w:rPr>
      </w:pPr>
      <w:bookmarkStart w:id="34" w:name="_Toc15377215"/>
      <w:bookmarkStart w:id="35" w:name="_Toc15396609"/>
      <w:r>
        <w:rPr>
          <w:rFonts w:hint="eastAsia" w:ascii="黑体" w:eastAsia="黑体"/>
          <w:b w:val="0"/>
          <w:bCs w:val="0"/>
          <w:color w:val="auto"/>
          <w:sz w:val="32"/>
          <w:szCs w:val="32"/>
        </w:rPr>
        <w:t>七、</w:t>
      </w:r>
      <w:r>
        <w:rPr>
          <w:rStyle w:val="30"/>
          <w:rFonts w:hint="eastAsia" w:ascii="黑体" w:hAnsi="黑体" w:eastAsia="黑体"/>
          <w:b w:val="0"/>
          <w:bCs w:val="0"/>
          <w:color w:val="auto"/>
        </w:rPr>
        <w:t>“三公”经费财政拨款支出决算情况说明</w:t>
      </w:r>
      <w:bookmarkEnd w:id="34"/>
      <w:bookmarkEnd w:id="35"/>
    </w:p>
    <w:p>
      <w:pPr>
        <w:spacing w:line="600" w:lineRule="exact"/>
        <w:ind w:firstLine="640"/>
        <w:outlineLvl w:val="2"/>
        <w:rPr>
          <w:rFonts w:hint="eastAsia" w:ascii="楷体_GB2312" w:hAnsi="楷体_GB2312" w:eastAsia="楷体_GB2312" w:cs="楷体_GB2312"/>
          <w:b w:val="0"/>
          <w:bCs w:val="0"/>
          <w:color w:val="auto"/>
          <w:sz w:val="32"/>
          <w:szCs w:val="32"/>
        </w:rPr>
      </w:pPr>
      <w:bookmarkStart w:id="36" w:name="_Toc15377216"/>
      <w:r>
        <w:rPr>
          <w:rFonts w:hint="eastAsia" w:ascii="楷体_GB2312" w:hAnsi="楷体_GB2312" w:eastAsia="楷体_GB2312" w:cs="楷体_GB2312"/>
          <w:b w:val="0"/>
          <w:bCs w:val="0"/>
          <w:color w:val="auto"/>
          <w:sz w:val="32"/>
          <w:szCs w:val="32"/>
        </w:rPr>
        <w:t>（一）“三公”经费财政拨款支出决算总体情况说明</w:t>
      </w:r>
      <w:bookmarkEnd w:id="36"/>
    </w:p>
    <w:p>
      <w:pPr>
        <w:spacing w:line="560" w:lineRule="exact"/>
        <w:ind w:firstLine="640"/>
        <w:rPr>
          <w:rStyle w:val="19"/>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2021年“三公”经费财政拨款支出决算为6.8万元，完成预算60.71%，决算数小于预算数的主要原因是公务用车减少1辆</w:t>
      </w:r>
      <w:r>
        <w:rPr>
          <w:rFonts w:hint="eastAsia" w:ascii="仿宋_GB2312" w:hAnsi="仿宋_GB2312" w:eastAsia="仿宋_GB2312" w:cs="仿宋_GB2312"/>
          <w:b w:val="0"/>
          <w:bCs w:val="0"/>
          <w:color w:val="auto"/>
          <w:sz w:val="32"/>
          <w:szCs w:val="32"/>
          <w:lang w:eastAsia="zh-CN"/>
        </w:rPr>
        <w:t>，</w:t>
      </w:r>
      <w:r>
        <w:rPr>
          <w:rStyle w:val="19"/>
          <w:rFonts w:hint="eastAsia" w:ascii="仿宋_GB2312" w:hAnsi="仿宋_GB2312" w:eastAsia="仿宋_GB2312" w:cs="仿宋_GB2312"/>
          <w:b w:val="0"/>
          <w:bCs w:val="0"/>
          <w:color w:val="auto"/>
          <w:sz w:val="32"/>
          <w:szCs w:val="32"/>
        </w:rPr>
        <w:t>严格执行相关规定，控制标准，限制陪同人数，压缩接待费支出。</w:t>
      </w:r>
    </w:p>
    <w:p>
      <w:pPr>
        <w:spacing w:line="600" w:lineRule="exact"/>
        <w:ind w:firstLine="640"/>
        <w:outlineLvl w:val="2"/>
        <w:rPr>
          <w:rFonts w:hint="eastAsia" w:ascii="楷体_GB2312" w:hAnsi="楷体_GB2312" w:eastAsia="楷体_GB2312" w:cs="楷体_GB2312"/>
          <w:b w:val="0"/>
          <w:bCs w:val="0"/>
          <w:color w:val="auto"/>
          <w:sz w:val="32"/>
          <w:szCs w:val="32"/>
        </w:rPr>
      </w:pPr>
      <w:bookmarkStart w:id="37" w:name="_Toc15377217"/>
      <w:r>
        <w:rPr>
          <w:rFonts w:hint="eastAsia" w:ascii="楷体_GB2312" w:hAnsi="楷体_GB2312" w:eastAsia="楷体_GB2312" w:cs="楷体_GB2312"/>
          <w:b w:val="0"/>
          <w:bCs w:val="0"/>
          <w:color w:val="auto"/>
          <w:sz w:val="32"/>
          <w:szCs w:val="32"/>
        </w:rPr>
        <w:t>（二）“三公”经费财政拨款支出决算具体情况说明</w:t>
      </w:r>
      <w:bookmarkEnd w:id="37"/>
    </w:p>
    <w:p>
      <w:pPr>
        <w:spacing w:line="560" w:lineRule="exac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2021年“三公”经费财政拨款支出决算中，因公出国（境）费支出决算0万元，占0%；公务用车购置及运行维护费支出决算5.85万元，占86.03%；公务接待费支出决算0.95万元，占13.97%。具体情况如下：</w:t>
      </w:r>
    </w:p>
    <w:p>
      <w:pPr>
        <w:pStyle w:val="16"/>
        <w:rPr>
          <w:rFonts w:hint="eastAsia"/>
          <w:b w:val="0"/>
          <w:bCs w:val="0"/>
          <w:color w:val="auto"/>
        </w:rPr>
      </w:pPr>
      <w:r>
        <w:rPr>
          <w:b w:val="0"/>
          <w:bCs w:val="0"/>
          <w:color w:val="auto"/>
        </w:rPr>
        <w:drawing>
          <wp:inline distT="0" distB="0" distL="114300" distR="114300">
            <wp:extent cx="4258945" cy="2334260"/>
            <wp:effectExtent l="5080" t="4445" r="22225" b="2349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16"/>
        <w:rPr>
          <w:b w:val="0"/>
          <w:bCs w:val="0"/>
          <w:color w:val="auto"/>
        </w:rPr>
      </w:pPr>
    </w:p>
    <w:p>
      <w:pPr>
        <w:spacing w:line="600" w:lineRule="exact"/>
        <w:ind w:firstLine="640"/>
        <w:jc w:val="center"/>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（图7：“三公”经费财政拨款支出结构）</w:t>
      </w:r>
    </w:p>
    <w:p>
      <w:pPr>
        <w:spacing w:line="600" w:lineRule="exact"/>
        <w:ind w:firstLine="640"/>
        <w:rPr>
          <w:rFonts w:ascii="仿宋_GB2312" w:eastAsia="仿宋_GB2312"/>
          <w:b w:val="0"/>
          <w:bCs w:val="0"/>
          <w:color w:val="auto"/>
          <w:sz w:val="32"/>
          <w:szCs w:val="32"/>
        </w:rPr>
      </w:pPr>
      <w:r>
        <w:rPr>
          <w:rFonts w:ascii="仿宋_GB2312" w:eastAsia="仿宋_GB2312"/>
          <w:b w:val="0"/>
          <w:bCs w:val="0"/>
          <w:color w:val="auto"/>
          <w:sz w:val="32"/>
          <w:szCs w:val="32"/>
        </w:rPr>
        <w:t>1.</w:t>
      </w:r>
      <w:r>
        <w:rPr>
          <w:rFonts w:hint="eastAsia" w:ascii="仿宋_GB2312" w:eastAsia="仿宋_GB2312"/>
          <w:b w:val="0"/>
          <w:bCs w:val="0"/>
          <w:color w:val="auto"/>
          <w:sz w:val="32"/>
          <w:szCs w:val="32"/>
        </w:rPr>
        <w:t>因公出国（境）经费支出0万元，年初未安排预算</w:t>
      </w:r>
      <w:r>
        <w:rPr>
          <w:rFonts w:hint="eastAsia" w:ascii="仿宋_GB2312" w:eastAsia="仿宋_GB2312"/>
          <w:b w:val="0"/>
          <w:bCs w:val="0"/>
          <w:color w:val="auto"/>
          <w:sz w:val="32"/>
          <w:szCs w:val="32"/>
          <w:lang w:eastAsia="zh-CN"/>
        </w:rPr>
        <w:t>，较</w:t>
      </w:r>
      <w:r>
        <w:rPr>
          <w:rFonts w:hint="eastAsia" w:ascii="仿宋_GB2312" w:eastAsia="仿宋_GB2312"/>
          <w:b w:val="0"/>
          <w:bCs w:val="0"/>
          <w:color w:val="auto"/>
          <w:sz w:val="32"/>
          <w:szCs w:val="32"/>
          <w:lang w:val="en-US" w:eastAsia="zh-CN"/>
        </w:rPr>
        <w:t>2020年无变化</w:t>
      </w:r>
      <w:r>
        <w:rPr>
          <w:rFonts w:hint="eastAsia" w:ascii="仿宋_GB2312" w:eastAsia="仿宋_GB2312"/>
          <w:b w:val="0"/>
          <w:bCs w:val="0"/>
          <w:color w:val="auto"/>
          <w:sz w:val="32"/>
          <w:szCs w:val="32"/>
        </w:rPr>
        <w:t>。</w:t>
      </w:r>
    </w:p>
    <w:p>
      <w:pPr>
        <w:spacing w:line="600" w:lineRule="exact"/>
        <w:ind w:firstLine="640"/>
        <w:rPr>
          <w:rFonts w:ascii="仿宋_GB2312" w:eastAsia="仿宋_GB2312"/>
          <w:b w:val="0"/>
          <w:bCs w:val="0"/>
          <w:color w:val="auto"/>
          <w:sz w:val="32"/>
          <w:szCs w:val="32"/>
        </w:rPr>
      </w:pPr>
      <w:r>
        <w:rPr>
          <w:rFonts w:ascii="仿宋_GB2312" w:eastAsia="仿宋_GB2312"/>
          <w:b w:val="0"/>
          <w:bCs w:val="0"/>
          <w:color w:val="auto"/>
          <w:sz w:val="32"/>
          <w:szCs w:val="32"/>
        </w:rPr>
        <w:t>2.</w:t>
      </w:r>
      <w:r>
        <w:rPr>
          <w:rFonts w:hint="eastAsia" w:ascii="仿宋_GB2312" w:eastAsia="仿宋_GB2312"/>
          <w:b w:val="0"/>
          <w:bCs w:val="0"/>
          <w:color w:val="auto"/>
          <w:sz w:val="32"/>
          <w:szCs w:val="32"/>
        </w:rPr>
        <w:t>公务用车购置及运行维护费支出5.85万元,</w:t>
      </w:r>
      <w:r>
        <w:rPr>
          <w:rStyle w:val="19"/>
          <w:rFonts w:hint="eastAsia" w:ascii="仿宋" w:hAnsi="仿宋" w:eastAsia="仿宋"/>
          <w:b w:val="0"/>
          <w:bCs w:val="0"/>
          <w:color w:val="auto"/>
          <w:sz w:val="32"/>
          <w:szCs w:val="32"/>
        </w:rPr>
        <w:t>完成预算76.97</w:t>
      </w:r>
      <w:r>
        <w:rPr>
          <w:rStyle w:val="19"/>
          <w:rFonts w:ascii="仿宋" w:hAnsi="仿宋" w:eastAsia="仿宋"/>
          <w:b w:val="0"/>
          <w:bCs w:val="0"/>
          <w:color w:val="auto"/>
          <w:sz w:val="32"/>
          <w:szCs w:val="32"/>
        </w:rPr>
        <w:t>%</w:t>
      </w:r>
      <w:r>
        <w:rPr>
          <w:rStyle w:val="19"/>
          <w:rFonts w:hint="eastAsia" w:ascii="仿宋" w:hAnsi="仿宋" w:eastAsia="仿宋"/>
          <w:b w:val="0"/>
          <w:bCs w:val="0"/>
          <w:color w:val="auto"/>
          <w:sz w:val="32"/>
          <w:szCs w:val="32"/>
        </w:rPr>
        <w:t>。</w:t>
      </w:r>
      <w:r>
        <w:rPr>
          <w:rFonts w:hint="eastAsia" w:ascii="仿宋_GB2312" w:eastAsia="仿宋_GB2312"/>
          <w:b w:val="0"/>
          <w:bCs w:val="0"/>
          <w:color w:val="auto"/>
          <w:sz w:val="32"/>
          <w:szCs w:val="32"/>
        </w:rPr>
        <w:t>公务用车购置及运行维护费支出决算比</w:t>
      </w:r>
      <w:r>
        <w:rPr>
          <w:rFonts w:ascii="仿宋_GB2312" w:eastAsia="仿宋_GB2312"/>
          <w:b w:val="0"/>
          <w:bCs w:val="0"/>
          <w:color w:val="auto"/>
          <w:sz w:val="32"/>
          <w:szCs w:val="32"/>
        </w:rPr>
        <w:t>20</w:t>
      </w:r>
      <w:r>
        <w:rPr>
          <w:rFonts w:hint="eastAsia" w:ascii="仿宋_GB2312" w:eastAsia="仿宋_GB2312"/>
          <w:b w:val="0"/>
          <w:bCs w:val="0"/>
          <w:color w:val="auto"/>
          <w:sz w:val="32"/>
          <w:szCs w:val="32"/>
        </w:rPr>
        <w:t>20年减少</w:t>
      </w:r>
      <w:r>
        <w:rPr>
          <w:rFonts w:hint="eastAsia" w:ascii="仿宋_GB2312" w:eastAsia="仿宋_GB2312"/>
          <w:b w:val="0"/>
          <w:bCs w:val="0"/>
          <w:color w:val="auto"/>
          <w:sz w:val="32"/>
          <w:szCs w:val="32"/>
          <w:lang w:val="en-US" w:eastAsia="zh-CN"/>
        </w:rPr>
        <w:t>2.09</w:t>
      </w:r>
      <w:r>
        <w:rPr>
          <w:rFonts w:hint="eastAsia" w:ascii="仿宋_GB2312" w:eastAsia="仿宋_GB2312"/>
          <w:b w:val="0"/>
          <w:bCs w:val="0"/>
          <w:color w:val="auto"/>
          <w:sz w:val="32"/>
          <w:szCs w:val="32"/>
        </w:rPr>
        <w:t>万元，下降</w:t>
      </w:r>
      <w:r>
        <w:rPr>
          <w:rFonts w:hint="eastAsia" w:ascii="仿宋_GB2312" w:eastAsia="仿宋_GB2312"/>
          <w:b w:val="0"/>
          <w:bCs w:val="0"/>
          <w:color w:val="auto"/>
          <w:sz w:val="32"/>
          <w:szCs w:val="32"/>
          <w:lang w:val="en-US" w:eastAsia="zh-CN"/>
        </w:rPr>
        <w:t>26.32</w:t>
      </w:r>
      <w:r>
        <w:rPr>
          <w:rFonts w:ascii="仿宋_GB2312" w:eastAsia="仿宋_GB2312"/>
          <w:b w:val="0"/>
          <w:bCs w:val="0"/>
          <w:color w:val="auto"/>
          <w:sz w:val="32"/>
          <w:szCs w:val="32"/>
        </w:rPr>
        <w:t>%</w:t>
      </w:r>
      <w:r>
        <w:rPr>
          <w:rFonts w:hint="eastAsia" w:ascii="仿宋_GB2312" w:eastAsia="仿宋_GB2312"/>
          <w:b w:val="0"/>
          <w:bCs w:val="0"/>
          <w:color w:val="auto"/>
          <w:sz w:val="32"/>
          <w:szCs w:val="32"/>
        </w:rPr>
        <w:t>。主要原因是减少1辆公务用车。</w:t>
      </w:r>
    </w:p>
    <w:p>
      <w:pPr>
        <w:spacing w:line="600" w:lineRule="exact"/>
        <w:ind w:firstLine="640" w:firstLineChars="200"/>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rPr>
        <w:t>其中：公务用车购置支出0万元。 年初未安排购车计划。</w:t>
      </w:r>
      <w:r>
        <w:rPr>
          <w:rFonts w:hint="eastAsia" w:ascii="仿宋_GB2312" w:eastAsia="仿宋_GB2312"/>
          <w:b w:val="0"/>
          <w:bCs w:val="0"/>
          <w:color w:val="auto"/>
          <w:sz w:val="32"/>
          <w:szCs w:val="32"/>
          <w:lang w:eastAsia="zh-CN"/>
        </w:rPr>
        <w:t>截至</w:t>
      </w:r>
      <w:r>
        <w:rPr>
          <w:rFonts w:hint="eastAsia" w:ascii="仿宋_GB2312" w:eastAsia="仿宋_GB2312"/>
          <w:b w:val="0"/>
          <w:bCs w:val="0"/>
          <w:color w:val="auto"/>
          <w:sz w:val="32"/>
          <w:szCs w:val="32"/>
          <w:lang w:val="en-US" w:eastAsia="zh-CN"/>
        </w:rPr>
        <w:t>2021年12月底，单位共有公务用车1辆，其中：轿车0辆，越野车1辆。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eastAsia="仿宋_GB2312"/>
          <w:b w:val="0"/>
          <w:bCs w:val="0"/>
          <w:color w:val="auto"/>
          <w:sz w:val="32"/>
          <w:szCs w:val="32"/>
        </w:rPr>
        <w:t>公务用车运行维护费支出5.8</w:t>
      </w:r>
      <w:r>
        <w:rPr>
          <w:rFonts w:hint="eastAsia" w:ascii="仿宋_GB2312" w:eastAsia="仿宋_GB2312"/>
          <w:b w:val="0"/>
          <w:bCs w:val="0"/>
          <w:color w:val="auto"/>
          <w:sz w:val="32"/>
          <w:szCs w:val="32"/>
          <w:lang w:val="en-US" w:eastAsia="zh-CN"/>
        </w:rPr>
        <w:t>5</w:t>
      </w:r>
      <w:r>
        <w:rPr>
          <w:rFonts w:hint="eastAsia" w:ascii="仿宋_GB2312" w:eastAsia="仿宋_GB2312"/>
          <w:b w:val="0"/>
          <w:bCs w:val="0"/>
          <w:color w:val="auto"/>
          <w:sz w:val="32"/>
          <w:szCs w:val="32"/>
        </w:rPr>
        <w:t>万元。主要用于</w:t>
      </w:r>
      <w:r>
        <w:rPr>
          <w:rFonts w:hint="eastAsia" w:ascii="仿宋_GB2312" w:hAnsi="仿宋_GB2312" w:eastAsia="仿宋_GB2312" w:cs="仿宋_GB2312"/>
          <w:b w:val="0"/>
          <w:bCs w:val="0"/>
          <w:color w:val="auto"/>
          <w:sz w:val="32"/>
          <w:szCs w:val="32"/>
        </w:rPr>
        <w:t>到省以工代赈办汇报工作、争取项目；规划项目前，到县区乡镇、村组踏勘项目、调研工作；到县区、乡镇、村组进行以工代赈、易地扶贫搬迁项目日常暗访、调研等，不定期到帮扶村进行帮扶等所需的公务用车燃料费、维修费、过路过桥费、保险费、租车费用等支出。</w:t>
      </w:r>
    </w:p>
    <w:p>
      <w:pPr>
        <w:spacing w:line="600" w:lineRule="exact"/>
        <w:ind w:firstLine="640"/>
        <w:rPr>
          <w:rFonts w:hint="eastAsia" w:ascii="仿宋_GB2312" w:hAnsi="仿宋_GB2312" w:eastAsia="仿宋_GB2312" w:cs="仿宋_GB2312"/>
          <w:b w:val="0"/>
          <w:bCs w:val="0"/>
          <w:color w:val="auto"/>
          <w:sz w:val="32"/>
          <w:szCs w:val="32"/>
        </w:rPr>
      </w:pPr>
      <w:r>
        <w:rPr>
          <w:rFonts w:ascii="仿宋_GB2312" w:eastAsia="仿宋_GB2312"/>
          <w:b w:val="0"/>
          <w:bCs w:val="0"/>
          <w:color w:val="auto"/>
          <w:sz w:val="32"/>
          <w:szCs w:val="32"/>
        </w:rPr>
        <w:t>3.</w:t>
      </w:r>
      <w:r>
        <w:rPr>
          <w:rFonts w:hint="eastAsia" w:ascii="仿宋_GB2312" w:eastAsia="仿宋_GB2312"/>
          <w:b w:val="0"/>
          <w:bCs w:val="0"/>
          <w:color w:val="auto"/>
          <w:sz w:val="32"/>
          <w:szCs w:val="32"/>
        </w:rPr>
        <w:t>公务接待费支出0.95万元，</w:t>
      </w:r>
      <w:r>
        <w:rPr>
          <w:rStyle w:val="19"/>
          <w:rFonts w:hint="eastAsia" w:ascii="仿宋" w:hAnsi="仿宋" w:eastAsia="仿宋"/>
          <w:b w:val="0"/>
          <w:bCs w:val="0"/>
          <w:color w:val="auto"/>
          <w:sz w:val="32"/>
          <w:szCs w:val="32"/>
        </w:rPr>
        <w:t>完成预</w:t>
      </w:r>
      <w:r>
        <w:rPr>
          <w:rStyle w:val="19"/>
          <w:rFonts w:hint="eastAsia" w:ascii="仿宋_GB2312" w:hAnsi="仿宋_GB2312" w:eastAsia="仿宋_GB2312" w:cs="仿宋_GB2312"/>
          <w:b w:val="0"/>
          <w:bCs w:val="0"/>
          <w:color w:val="auto"/>
          <w:sz w:val="32"/>
          <w:szCs w:val="32"/>
        </w:rPr>
        <w:t>算26.39%</w:t>
      </w:r>
      <w:r>
        <w:rPr>
          <w:rStyle w:val="19"/>
          <w:rFonts w:hint="eastAsia" w:ascii="仿宋" w:hAnsi="仿宋" w:eastAsia="仿宋"/>
          <w:b w:val="0"/>
          <w:bCs w:val="0"/>
          <w:color w:val="auto"/>
          <w:sz w:val="32"/>
          <w:szCs w:val="32"/>
        </w:rPr>
        <w:t>。</w:t>
      </w:r>
      <w:r>
        <w:rPr>
          <w:rFonts w:hint="eastAsia" w:ascii="仿宋_GB2312" w:eastAsia="仿宋_GB2312"/>
          <w:b w:val="0"/>
          <w:bCs w:val="0"/>
          <w:color w:val="auto"/>
          <w:sz w:val="32"/>
          <w:szCs w:val="32"/>
        </w:rPr>
        <w:t>公务接待费支出决算比</w:t>
      </w:r>
      <w:r>
        <w:rPr>
          <w:rFonts w:ascii="仿宋_GB2312" w:eastAsia="仿宋_GB2312"/>
          <w:b w:val="0"/>
          <w:bCs w:val="0"/>
          <w:color w:val="auto"/>
          <w:sz w:val="32"/>
          <w:szCs w:val="32"/>
        </w:rPr>
        <w:t>20</w:t>
      </w:r>
      <w:r>
        <w:rPr>
          <w:rFonts w:hint="eastAsia" w:ascii="仿宋_GB2312" w:eastAsia="仿宋_GB2312"/>
          <w:b w:val="0"/>
          <w:bCs w:val="0"/>
          <w:color w:val="auto"/>
          <w:sz w:val="32"/>
          <w:szCs w:val="32"/>
        </w:rPr>
        <w:t>20年减少</w:t>
      </w:r>
      <w:r>
        <w:rPr>
          <w:rFonts w:hint="eastAsia" w:ascii="仿宋_GB2312" w:eastAsia="仿宋_GB2312"/>
          <w:b w:val="0"/>
          <w:bCs w:val="0"/>
          <w:color w:val="auto"/>
          <w:sz w:val="32"/>
          <w:szCs w:val="32"/>
          <w:lang w:val="en-US" w:eastAsia="zh-CN"/>
        </w:rPr>
        <w:t>0.06</w:t>
      </w:r>
      <w:r>
        <w:rPr>
          <w:rFonts w:hint="eastAsia" w:ascii="仿宋_GB2312" w:eastAsia="仿宋_GB2312"/>
          <w:b w:val="0"/>
          <w:bCs w:val="0"/>
          <w:color w:val="auto"/>
          <w:sz w:val="32"/>
          <w:szCs w:val="32"/>
        </w:rPr>
        <w:t>万元，下降</w:t>
      </w:r>
      <w:r>
        <w:rPr>
          <w:rFonts w:hint="eastAsia" w:ascii="仿宋_GB2312" w:eastAsia="仿宋_GB2312"/>
          <w:b w:val="0"/>
          <w:bCs w:val="0"/>
          <w:color w:val="auto"/>
          <w:sz w:val="32"/>
          <w:szCs w:val="32"/>
          <w:lang w:val="en-US" w:eastAsia="zh-CN"/>
        </w:rPr>
        <w:t>5.94</w:t>
      </w:r>
      <w:r>
        <w:rPr>
          <w:rFonts w:ascii="仿宋_GB2312" w:eastAsia="仿宋_GB2312"/>
          <w:b w:val="0"/>
          <w:bCs w:val="0"/>
          <w:color w:val="auto"/>
          <w:sz w:val="32"/>
          <w:szCs w:val="32"/>
        </w:rPr>
        <w:t>%</w:t>
      </w:r>
      <w:r>
        <w:rPr>
          <w:rFonts w:hint="eastAsia" w:ascii="仿宋_GB2312" w:eastAsia="仿宋_GB2312"/>
          <w:b w:val="0"/>
          <w:bCs w:val="0"/>
          <w:color w:val="auto"/>
          <w:sz w:val="32"/>
          <w:szCs w:val="32"/>
        </w:rPr>
        <w:t>。主要原因是在接待过程中严格执行中央八项规定、省委省政府</w:t>
      </w:r>
      <w:r>
        <w:rPr>
          <w:rFonts w:hint="eastAsia" w:ascii="仿宋_GB2312" w:hAnsi="仿宋_GB2312" w:eastAsia="仿宋_GB2312" w:cs="仿宋_GB2312"/>
          <w:b w:val="0"/>
          <w:bCs w:val="0"/>
          <w:color w:val="auto"/>
          <w:sz w:val="32"/>
          <w:szCs w:val="32"/>
        </w:rPr>
        <w:t>十项规定、市委“六个带头”及其实施细则精神，控制接待标准，限制陪同人数，接待费开支有所下降。其中：</w:t>
      </w:r>
    </w:p>
    <w:p>
      <w:pPr>
        <w:spacing w:line="600" w:lineRule="exac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国内公务接待支出0.95万元，主要用于开展业务活动开支的用餐费等。国内公务接待</w:t>
      </w:r>
      <w:r>
        <w:rPr>
          <w:rFonts w:hint="eastAsia" w:ascii="仿宋_GB2312" w:hAnsi="仿宋_GB2312" w:eastAsia="仿宋_GB2312" w:cs="仿宋_GB2312"/>
          <w:b w:val="0"/>
          <w:bCs w:val="0"/>
          <w:color w:val="auto"/>
          <w:sz w:val="32"/>
          <w:szCs w:val="32"/>
          <w:lang w:val="en-US" w:eastAsia="zh-CN"/>
        </w:rPr>
        <w:t>16</w:t>
      </w:r>
      <w:r>
        <w:rPr>
          <w:rFonts w:hint="eastAsia" w:ascii="仿宋_GB2312" w:hAnsi="仿宋_GB2312" w:eastAsia="仿宋_GB2312" w:cs="仿宋_GB2312"/>
          <w:b w:val="0"/>
          <w:bCs w:val="0"/>
          <w:color w:val="auto"/>
          <w:sz w:val="32"/>
          <w:szCs w:val="32"/>
        </w:rPr>
        <w:t>批次，</w:t>
      </w:r>
      <w:r>
        <w:rPr>
          <w:rFonts w:hint="eastAsia" w:ascii="仿宋_GB2312" w:hAnsi="仿宋_GB2312" w:eastAsia="仿宋_GB2312" w:cs="仿宋_GB2312"/>
          <w:b w:val="0"/>
          <w:bCs w:val="0"/>
          <w:color w:val="auto"/>
          <w:sz w:val="32"/>
          <w:szCs w:val="32"/>
          <w:lang w:val="en-US" w:eastAsia="zh-CN"/>
        </w:rPr>
        <w:t>126</w:t>
      </w:r>
      <w:r>
        <w:rPr>
          <w:rFonts w:hint="eastAsia" w:ascii="仿宋_GB2312" w:hAnsi="仿宋_GB2312" w:eastAsia="仿宋_GB2312" w:cs="仿宋_GB2312"/>
          <w:b w:val="0"/>
          <w:bCs w:val="0"/>
          <w:color w:val="auto"/>
          <w:sz w:val="32"/>
          <w:szCs w:val="32"/>
        </w:rPr>
        <w:t>人次（不包括陪同人员），共计支出</w:t>
      </w:r>
      <w:r>
        <w:rPr>
          <w:rFonts w:hint="eastAsia" w:ascii="仿宋_GB2312" w:hAnsi="仿宋_GB2312" w:eastAsia="仿宋_GB2312" w:cs="仿宋_GB2312"/>
          <w:b w:val="0"/>
          <w:bCs w:val="0"/>
          <w:color w:val="auto"/>
          <w:sz w:val="32"/>
          <w:szCs w:val="32"/>
          <w:lang w:val="en-US" w:eastAsia="zh-CN"/>
        </w:rPr>
        <w:t>0.95</w:t>
      </w:r>
      <w:r>
        <w:rPr>
          <w:rFonts w:hint="eastAsia" w:ascii="仿宋_GB2312" w:hAnsi="仿宋_GB2312" w:eastAsia="仿宋_GB2312" w:cs="仿宋_GB2312"/>
          <w:b w:val="0"/>
          <w:bCs w:val="0"/>
          <w:color w:val="auto"/>
          <w:sz w:val="32"/>
          <w:szCs w:val="32"/>
        </w:rPr>
        <w:t>万元，具体内容包括：省</w:t>
      </w:r>
      <w:r>
        <w:rPr>
          <w:rFonts w:hint="eastAsia" w:ascii="仿宋_GB2312" w:hAnsi="仿宋_GB2312" w:eastAsia="仿宋_GB2312" w:cs="仿宋_GB2312"/>
          <w:b w:val="0"/>
          <w:bCs w:val="0"/>
          <w:color w:val="auto"/>
          <w:sz w:val="32"/>
          <w:szCs w:val="32"/>
          <w:lang w:eastAsia="zh-CN"/>
        </w:rPr>
        <w:t>以工代赈办</w:t>
      </w:r>
      <w:r>
        <w:rPr>
          <w:rFonts w:hint="eastAsia" w:ascii="仿宋_GB2312" w:hAnsi="仿宋_GB2312" w:eastAsia="仿宋_GB2312" w:cs="仿宋_GB2312"/>
          <w:b w:val="0"/>
          <w:bCs w:val="0"/>
          <w:color w:val="auto"/>
          <w:sz w:val="32"/>
          <w:szCs w:val="32"/>
        </w:rPr>
        <w:t>及上级部门各类检查调研</w:t>
      </w:r>
      <w:r>
        <w:rPr>
          <w:rFonts w:hint="eastAsia" w:ascii="仿宋_GB2312" w:hAnsi="仿宋_GB2312" w:eastAsia="仿宋_GB2312" w:cs="仿宋_GB2312"/>
          <w:b w:val="0"/>
          <w:bCs w:val="0"/>
          <w:color w:val="auto"/>
          <w:sz w:val="32"/>
          <w:szCs w:val="32"/>
          <w:lang w:eastAsia="zh-CN"/>
        </w:rPr>
        <w:t>接待</w:t>
      </w:r>
      <w:r>
        <w:rPr>
          <w:rFonts w:hint="eastAsia" w:ascii="仿宋_GB2312" w:hAnsi="仿宋_GB2312" w:eastAsia="仿宋_GB2312" w:cs="仿宋_GB2312"/>
          <w:b w:val="0"/>
          <w:bCs w:val="0"/>
          <w:color w:val="auto"/>
          <w:sz w:val="32"/>
          <w:szCs w:val="32"/>
          <w:lang w:val="en-US" w:eastAsia="zh-CN"/>
        </w:rPr>
        <w:t>4095元</w:t>
      </w:r>
      <w:r>
        <w:rPr>
          <w:rFonts w:hint="eastAsia" w:ascii="仿宋_GB2312" w:hAnsi="仿宋_GB2312" w:eastAsia="仿宋_GB2312" w:cs="仿宋_GB2312"/>
          <w:b w:val="0"/>
          <w:bCs w:val="0"/>
          <w:color w:val="auto"/>
          <w:sz w:val="32"/>
          <w:szCs w:val="32"/>
        </w:rPr>
        <w:t>、县区</w:t>
      </w:r>
      <w:r>
        <w:rPr>
          <w:rFonts w:hint="eastAsia" w:ascii="仿宋_GB2312" w:hAnsi="仿宋_GB2312" w:eastAsia="仿宋_GB2312" w:cs="仿宋_GB2312"/>
          <w:b w:val="0"/>
          <w:bCs w:val="0"/>
          <w:color w:val="auto"/>
          <w:sz w:val="32"/>
          <w:szCs w:val="32"/>
          <w:lang w:eastAsia="zh-CN"/>
        </w:rPr>
        <w:t>以工代赈部门</w:t>
      </w:r>
      <w:r>
        <w:rPr>
          <w:rFonts w:hint="eastAsia" w:ascii="仿宋_GB2312" w:hAnsi="仿宋_GB2312" w:eastAsia="仿宋_GB2312" w:cs="仿宋_GB2312"/>
          <w:b w:val="0"/>
          <w:bCs w:val="0"/>
          <w:color w:val="auto"/>
          <w:sz w:val="32"/>
          <w:szCs w:val="32"/>
        </w:rPr>
        <w:t>来我</w:t>
      </w:r>
      <w:r>
        <w:rPr>
          <w:rFonts w:hint="eastAsia" w:ascii="仿宋_GB2312" w:hAnsi="仿宋_GB2312" w:eastAsia="仿宋_GB2312" w:cs="仿宋_GB2312"/>
          <w:b w:val="0"/>
          <w:bCs w:val="0"/>
          <w:color w:val="auto"/>
          <w:sz w:val="32"/>
          <w:szCs w:val="32"/>
          <w:lang w:eastAsia="zh-CN"/>
        </w:rPr>
        <w:t>中心</w:t>
      </w:r>
      <w:r>
        <w:rPr>
          <w:rFonts w:hint="eastAsia" w:ascii="仿宋_GB2312" w:hAnsi="仿宋_GB2312" w:eastAsia="仿宋_GB2312" w:cs="仿宋_GB2312"/>
          <w:b w:val="0"/>
          <w:bCs w:val="0"/>
          <w:color w:val="auto"/>
          <w:sz w:val="32"/>
          <w:szCs w:val="32"/>
        </w:rPr>
        <w:t>交流汇报</w:t>
      </w:r>
      <w:r>
        <w:rPr>
          <w:rFonts w:hint="eastAsia" w:ascii="仿宋_GB2312" w:hAnsi="仿宋_GB2312" w:eastAsia="仿宋_GB2312" w:cs="仿宋_GB2312"/>
          <w:b w:val="0"/>
          <w:bCs w:val="0"/>
          <w:color w:val="auto"/>
          <w:sz w:val="32"/>
          <w:szCs w:val="32"/>
          <w:lang w:eastAsia="zh-CN"/>
        </w:rPr>
        <w:t>工作接待</w:t>
      </w:r>
      <w:r>
        <w:rPr>
          <w:rFonts w:hint="eastAsia" w:ascii="仿宋_GB2312" w:hAnsi="仿宋_GB2312" w:eastAsia="仿宋_GB2312" w:cs="仿宋_GB2312"/>
          <w:b w:val="0"/>
          <w:bCs w:val="0"/>
          <w:color w:val="auto"/>
          <w:sz w:val="32"/>
          <w:szCs w:val="32"/>
          <w:lang w:val="en-US" w:eastAsia="zh-CN"/>
        </w:rPr>
        <w:t>5405元</w:t>
      </w:r>
      <w:r>
        <w:rPr>
          <w:rFonts w:hint="eastAsia" w:ascii="仿宋_GB2312" w:hAnsi="仿宋_GB2312" w:eastAsia="仿宋_GB2312" w:cs="仿宋_GB2312"/>
          <w:b w:val="0"/>
          <w:bCs w:val="0"/>
          <w:color w:val="auto"/>
          <w:sz w:val="32"/>
          <w:szCs w:val="32"/>
        </w:rPr>
        <w:t>。</w:t>
      </w:r>
    </w:p>
    <w:p>
      <w:pPr>
        <w:spacing w:line="600" w:lineRule="exac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外事接待支出0万元。</w:t>
      </w:r>
    </w:p>
    <w:p>
      <w:pPr>
        <w:spacing w:line="600" w:lineRule="exact"/>
        <w:ind w:firstLine="640"/>
        <w:outlineLvl w:val="1"/>
        <w:rPr>
          <w:rStyle w:val="30"/>
          <w:rFonts w:ascii="黑体" w:hAnsi="黑体" w:eastAsia="黑体"/>
          <w:b w:val="0"/>
          <w:bCs w:val="0"/>
          <w:color w:val="auto"/>
        </w:rPr>
      </w:pPr>
      <w:bookmarkStart w:id="38" w:name="_Toc15377218"/>
      <w:bookmarkStart w:id="39" w:name="_Toc15396610"/>
      <w:r>
        <w:rPr>
          <w:rFonts w:hint="eastAsia" w:ascii="黑体" w:eastAsia="黑体"/>
          <w:b w:val="0"/>
          <w:bCs w:val="0"/>
          <w:color w:val="auto"/>
          <w:sz w:val="32"/>
          <w:szCs w:val="32"/>
        </w:rPr>
        <w:t>八、</w:t>
      </w:r>
      <w:r>
        <w:rPr>
          <w:rStyle w:val="30"/>
          <w:rFonts w:hint="eastAsia" w:ascii="黑体" w:hAnsi="黑体" w:eastAsia="黑体"/>
          <w:b w:val="0"/>
          <w:bCs w:val="0"/>
          <w:color w:val="auto"/>
        </w:rPr>
        <w:t>政府性基金预算支出决算情况说明</w:t>
      </w:r>
      <w:bookmarkEnd w:id="38"/>
      <w:bookmarkEnd w:id="39"/>
    </w:p>
    <w:p>
      <w:pPr>
        <w:spacing w:line="600" w:lineRule="exact"/>
        <w:ind w:firstLine="640"/>
        <w:rPr>
          <w:rFonts w:ascii="仿宋_GB2312" w:eastAsia="仿宋_GB2312"/>
          <w:b w:val="0"/>
          <w:bCs w:val="0"/>
          <w:color w:val="auto"/>
          <w:sz w:val="32"/>
          <w:szCs w:val="32"/>
        </w:rPr>
      </w:pPr>
      <w:r>
        <w:rPr>
          <w:rFonts w:ascii="仿宋_GB2312" w:eastAsia="仿宋_GB2312"/>
          <w:b w:val="0"/>
          <w:bCs w:val="0"/>
          <w:color w:val="auto"/>
          <w:sz w:val="32"/>
          <w:szCs w:val="32"/>
        </w:rPr>
        <w:t>20</w:t>
      </w:r>
      <w:r>
        <w:rPr>
          <w:rFonts w:hint="eastAsia" w:ascii="仿宋_GB2312" w:eastAsia="仿宋_GB2312"/>
          <w:b w:val="0"/>
          <w:bCs w:val="0"/>
          <w:color w:val="auto"/>
          <w:sz w:val="32"/>
          <w:szCs w:val="32"/>
        </w:rPr>
        <w:t>21年政府性基金预算财政拨款支出0万元。</w:t>
      </w:r>
    </w:p>
    <w:p>
      <w:pPr>
        <w:numPr>
          <w:ilvl w:val="0"/>
          <w:numId w:val="2"/>
        </w:numPr>
        <w:spacing w:line="600" w:lineRule="exact"/>
        <w:ind w:firstLine="640"/>
        <w:outlineLvl w:val="1"/>
        <w:rPr>
          <w:rStyle w:val="30"/>
          <w:rFonts w:ascii="黑体" w:hAnsi="黑体" w:eastAsia="黑体"/>
          <w:b w:val="0"/>
          <w:bCs w:val="0"/>
          <w:color w:val="auto"/>
        </w:rPr>
      </w:pPr>
      <w:bookmarkStart w:id="40" w:name="_Toc15377219"/>
      <w:bookmarkStart w:id="41" w:name="_Toc15396611"/>
      <w:r>
        <w:rPr>
          <w:rStyle w:val="30"/>
          <w:rFonts w:hint="eastAsia" w:ascii="黑体" w:hAnsi="黑体" w:eastAsia="黑体"/>
          <w:b w:val="0"/>
          <w:bCs w:val="0"/>
          <w:color w:val="auto"/>
        </w:rPr>
        <w:t>国有资本经营预算支出决算情况说明</w:t>
      </w:r>
      <w:bookmarkEnd w:id="40"/>
      <w:bookmarkEnd w:id="41"/>
    </w:p>
    <w:p>
      <w:pPr>
        <w:spacing w:line="600" w:lineRule="exact"/>
        <w:ind w:firstLine="640"/>
        <w:rPr>
          <w:rFonts w:ascii="仿宋_GB2312" w:eastAsia="仿宋_GB2312"/>
          <w:b w:val="0"/>
          <w:bCs w:val="0"/>
          <w:color w:val="auto"/>
          <w:sz w:val="32"/>
          <w:szCs w:val="32"/>
        </w:rPr>
      </w:pPr>
      <w:r>
        <w:rPr>
          <w:rFonts w:ascii="仿宋_GB2312" w:eastAsia="仿宋_GB2312"/>
          <w:b w:val="0"/>
          <w:bCs w:val="0"/>
          <w:color w:val="auto"/>
          <w:sz w:val="32"/>
          <w:szCs w:val="32"/>
        </w:rPr>
        <w:t>20</w:t>
      </w:r>
      <w:r>
        <w:rPr>
          <w:rFonts w:hint="eastAsia" w:ascii="仿宋_GB2312" w:eastAsia="仿宋_GB2312"/>
          <w:b w:val="0"/>
          <w:bCs w:val="0"/>
          <w:color w:val="auto"/>
          <w:sz w:val="32"/>
          <w:szCs w:val="32"/>
        </w:rPr>
        <w:t>21年国有资本经营预算财政拨款支出0万元。</w:t>
      </w:r>
      <w:bookmarkStart w:id="42" w:name="_Toc15396612"/>
      <w:bookmarkStart w:id="43" w:name="_Toc15377221"/>
    </w:p>
    <w:p>
      <w:pPr>
        <w:numPr>
          <w:ilvl w:val="0"/>
          <w:numId w:val="2"/>
        </w:numPr>
        <w:spacing w:line="600" w:lineRule="exact"/>
        <w:ind w:firstLine="640"/>
        <w:outlineLvl w:val="1"/>
        <w:rPr>
          <w:rStyle w:val="30"/>
          <w:rFonts w:ascii="黑体" w:hAnsi="黑体" w:eastAsia="黑体"/>
          <w:b w:val="0"/>
          <w:bCs w:val="0"/>
          <w:color w:val="auto"/>
        </w:rPr>
      </w:pPr>
      <w:r>
        <w:rPr>
          <w:rStyle w:val="30"/>
          <w:rFonts w:hint="eastAsia" w:ascii="黑体" w:hAnsi="黑体" w:eastAsia="黑体"/>
          <w:b w:val="0"/>
          <w:bCs w:val="0"/>
          <w:color w:val="auto"/>
        </w:rPr>
        <w:t>预算绩效管理情况</w:t>
      </w:r>
    </w:p>
    <w:p>
      <w:pPr>
        <w:spacing w:line="600" w:lineRule="exact"/>
        <w:ind w:firstLine="640" w:firstLineChars="200"/>
        <w:outlineLvl w:val="1"/>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根据预算绩效管理要求，本部门在2021年度预算编制阶段，组织对</w:t>
      </w:r>
      <w:r>
        <w:rPr>
          <w:rFonts w:hint="eastAsia" w:ascii="仿宋_GB2312" w:hAnsi="仿宋_GB2312" w:eastAsia="仿宋_GB2312" w:cs="仿宋_GB2312"/>
          <w:b w:val="0"/>
          <w:bCs w:val="0"/>
          <w:color w:val="auto"/>
          <w:kern w:val="2"/>
          <w:sz w:val="32"/>
          <w:szCs w:val="32"/>
        </w:rPr>
        <w:t>以工代赈项目工作经费</w:t>
      </w:r>
      <w:r>
        <w:rPr>
          <w:rFonts w:hint="eastAsia" w:ascii="仿宋_GB2312" w:hAnsi="仿宋_GB2312" w:eastAsia="仿宋_GB2312" w:cs="仿宋_GB2312"/>
          <w:b w:val="0"/>
          <w:bCs w:val="0"/>
          <w:color w:val="auto"/>
          <w:kern w:val="2"/>
          <w:sz w:val="32"/>
          <w:szCs w:val="32"/>
          <w:lang w:eastAsia="zh-CN"/>
        </w:rPr>
        <w:t>、</w:t>
      </w:r>
      <w:r>
        <w:rPr>
          <w:rFonts w:hint="eastAsia" w:ascii="仿宋_GB2312" w:hAnsi="仿宋_GB2312" w:eastAsia="仿宋_GB2312" w:cs="仿宋_GB2312"/>
          <w:b w:val="0"/>
          <w:bCs w:val="0"/>
          <w:color w:val="auto"/>
          <w:kern w:val="2"/>
          <w:sz w:val="32"/>
          <w:szCs w:val="32"/>
        </w:rPr>
        <w:t>易地扶贫搬迁后续扶持工作经费</w:t>
      </w:r>
      <w:r>
        <w:rPr>
          <w:rFonts w:hint="eastAsia" w:ascii="仿宋_GB2312" w:hAnsi="仿宋_GB2312" w:eastAsia="仿宋_GB2312" w:cs="仿宋_GB2312"/>
          <w:b w:val="0"/>
          <w:bCs w:val="0"/>
          <w:color w:val="auto"/>
          <w:kern w:val="2"/>
          <w:sz w:val="32"/>
          <w:szCs w:val="32"/>
          <w:lang w:eastAsia="zh-CN"/>
        </w:rPr>
        <w:t>和</w:t>
      </w:r>
      <w:r>
        <w:rPr>
          <w:rFonts w:hint="eastAsia" w:ascii="仿宋_GB2312" w:hAnsi="仿宋_GB2312" w:eastAsia="仿宋_GB2312" w:cs="仿宋_GB2312"/>
          <w:b w:val="0"/>
          <w:bCs w:val="0"/>
          <w:color w:val="auto"/>
          <w:sz w:val="32"/>
          <w:szCs w:val="32"/>
          <w:lang w:eastAsia="zh-CN"/>
        </w:rPr>
        <w:t>扶贫工作专项经费项目</w:t>
      </w:r>
      <w:r>
        <w:rPr>
          <w:rFonts w:hint="eastAsia" w:ascii="仿宋_GB2312" w:hAnsi="仿宋_GB2312" w:eastAsia="仿宋_GB2312" w:cs="仿宋_GB2312"/>
          <w:b w:val="0"/>
          <w:bCs w:val="0"/>
          <w:color w:val="auto"/>
          <w:sz w:val="32"/>
          <w:szCs w:val="32"/>
          <w:lang w:val="en-US" w:eastAsia="zh-CN"/>
        </w:rPr>
        <w:t>3个</w:t>
      </w:r>
      <w:r>
        <w:rPr>
          <w:rFonts w:hint="eastAsia" w:ascii="仿宋_GB2312" w:hAnsi="仿宋_GB2312" w:eastAsia="仿宋_GB2312" w:cs="仿宋_GB2312"/>
          <w:b w:val="0"/>
          <w:bCs w:val="0"/>
          <w:color w:val="auto"/>
          <w:sz w:val="32"/>
          <w:szCs w:val="32"/>
        </w:rPr>
        <w:t>项目开展了预算事前绩效评估，对</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个项目编制了绩效目标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预算执行过程中，选取</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个项目开展绩效监控，年终执行完毕后，对</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个项目开展了绩效自评。同时，本部门对2021年部门整体开展绩效自评，《2021年广元市以工代赈事务中心部门整体绩效评价报告》见附件（第四部分）。</w:t>
      </w:r>
    </w:p>
    <w:p>
      <w:pPr>
        <w:numPr>
          <w:ilvl w:val="0"/>
          <w:numId w:val="2"/>
        </w:numPr>
        <w:spacing w:line="600" w:lineRule="exact"/>
        <w:ind w:firstLine="640"/>
        <w:outlineLvl w:val="1"/>
        <w:rPr>
          <w:rStyle w:val="30"/>
          <w:rFonts w:ascii="黑体" w:hAnsi="黑体" w:eastAsia="黑体"/>
          <w:b w:val="0"/>
          <w:bCs w:val="0"/>
          <w:color w:val="auto"/>
        </w:rPr>
      </w:pPr>
      <w:r>
        <w:rPr>
          <w:rStyle w:val="30"/>
          <w:rFonts w:hint="eastAsia" w:ascii="黑体" w:hAnsi="黑体" w:eastAsia="黑体"/>
          <w:b w:val="0"/>
          <w:bCs w:val="0"/>
          <w:color w:val="auto"/>
        </w:rPr>
        <w:t>其他重要事项的情况说明</w:t>
      </w:r>
      <w:bookmarkEnd w:id="42"/>
      <w:bookmarkEnd w:id="43"/>
    </w:p>
    <w:p>
      <w:pPr>
        <w:spacing w:line="600" w:lineRule="exact"/>
        <w:ind w:firstLine="640" w:firstLineChars="200"/>
        <w:outlineLvl w:val="2"/>
        <w:rPr>
          <w:rFonts w:hint="eastAsia" w:ascii="楷体_GB2312" w:hAnsi="楷体_GB2312" w:eastAsia="楷体_GB2312" w:cs="楷体_GB2312"/>
          <w:b w:val="0"/>
          <w:bCs w:val="0"/>
          <w:color w:val="auto"/>
          <w:sz w:val="32"/>
          <w:szCs w:val="32"/>
        </w:rPr>
      </w:pPr>
      <w:bookmarkStart w:id="44" w:name="_Toc15377222"/>
      <w:r>
        <w:rPr>
          <w:rFonts w:hint="eastAsia" w:ascii="楷体_GB2312" w:hAnsi="楷体_GB2312" w:eastAsia="楷体_GB2312" w:cs="楷体_GB2312"/>
          <w:b w:val="0"/>
          <w:bCs w:val="0"/>
          <w:color w:val="auto"/>
          <w:sz w:val="32"/>
          <w:szCs w:val="32"/>
        </w:rPr>
        <w:t>（一）机关运行经费支出情况</w:t>
      </w:r>
      <w:bookmarkEnd w:id="4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2021年，市以工代赈事务中心机关运行经费支出24.78万元，比2020年减少</w:t>
      </w:r>
      <w:r>
        <w:rPr>
          <w:rFonts w:hint="eastAsia" w:ascii="仿宋_GB2312" w:hAnsi="仿宋_GB2312" w:eastAsia="仿宋_GB2312" w:cs="仿宋_GB2312"/>
          <w:b w:val="0"/>
          <w:bCs w:val="0"/>
          <w:color w:val="auto"/>
          <w:sz w:val="32"/>
          <w:szCs w:val="32"/>
          <w:lang w:val="en-US" w:eastAsia="zh-CN"/>
        </w:rPr>
        <w:t>8.65</w:t>
      </w:r>
      <w:r>
        <w:rPr>
          <w:rFonts w:hint="eastAsia" w:ascii="仿宋_GB2312" w:hAnsi="仿宋_GB2312" w:eastAsia="仿宋_GB2312" w:cs="仿宋_GB2312"/>
          <w:b w:val="0"/>
          <w:bCs w:val="0"/>
          <w:color w:val="auto"/>
          <w:sz w:val="32"/>
          <w:szCs w:val="32"/>
        </w:rPr>
        <w:t>万元，下降</w:t>
      </w:r>
      <w:r>
        <w:rPr>
          <w:rFonts w:hint="eastAsia" w:ascii="仿宋_GB2312" w:hAnsi="仿宋_GB2312" w:eastAsia="仿宋_GB2312" w:cs="仿宋_GB2312"/>
          <w:b w:val="0"/>
          <w:bCs w:val="0"/>
          <w:color w:val="auto"/>
          <w:sz w:val="32"/>
          <w:szCs w:val="32"/>
          <w:lang w:val="en-US" w:eastAsia="zh-CN"/>
        </w:rPr>
        <w:t>25.87</w:t>
      </w:r>
      <w:r>
        <w:rPr>
          <w:rFonts w:hint="eastAsia" w:ascii="仿宋_GB2312" w:hAnsi="仿宋_GB2312" w:eastAsia="仿宋_GB2312" w:cs="仿宋_GB2312"/>
          <w:b w:val="0"/>
          <w:bCs w:val="0"/>
          <w:color w:val="auto"/>
          <w:sz w:val="32"/>
          <w:szCs w:val="32"/>
        </w:rPr>
        <w:t>%。主要原因是压减一般性支出。</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val="0"/>
          <w:color w:val="auto"/>
          <w:sz w:val="32"/>
          <w:szCs w:val="32"/>
        </w:rPr>
      </w:pPr>
      <w:bookmarkStart w:id="45" w:name="_Toc15377223"/>
      <w:r>
        <w:rPr>
          <w:rFonts w:hint="eastAsia" w:ascii="楷体_GB2312" w:hAnsi="楷体_GB2312" w:eastAsia="楷体_GB2312" w:cs="楷体_GB2312"/>
          <w:b w:val="0"/>
          <w:bCs w:val="0"/>
          <w:color w:val="auto"/>
          <w:sz w:val="32"/>
          <w:szCs w:val="32"/>
        </w:rPr>
        <w:t>（二）政府采购支出情况</w:t>
      </w:r>
      <w:bookmarkEnd w:id="45"/>
    </w:p>
    <w:p>
      <w:pPr>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市以工代赈事务中心本年度无政府采购预算。</w:t>
      </w:r>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b w:val="0"/>
          <w:bCs w:val="0"/>
          <w:color w:val="auto"/>
          <w:sz w:val="32"/>
          <w:szCs w:val="32"/>
        </w:rPr>
      </w:pPr>
      <w:bookmarkStart w:id="46" w:name="_Toc15377224"/>
      <w:r>
        <w:rPr>
          <w:rFonts w:hint="eastAsia" w:ascii="楷体_GB2312" w:hAnsi="楷体_GB2312" w:eastAsia="楷体_GB2312" w:cs="楷体_GB2312"/>
          <w:b w:val="0"/>
          <w:bCs w:val="0"/>
          <w:color w:val="auto"/>
          <w:sz w:val="32"/>
          <w:szCs w:val="32"/>
        </w:rPr>
        <w:t>（三）国有资产占有使用情况</w:t>
      </w:r>
      <w:bookmarkEnd w:id="46"/>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b w:val="0"/>
          <w:bCs w:val="0"/>
          <w:color w:val="auto"/>
          <w:sz w:val="32"/>
          <w:szCs w:val="32"/>
        </w:rPr>
        <w:t>截至</w:t>
      </w:r>
      <w:r>
        <w:rPr>
          <w:rFonts w:ascii="仿宋_GB2312" w:eastAsia="仿宋_GB2312"/>
          <w:b w:val="0"/>
          <w:bCs w:val="0"/>
          <w:color w:val="auto"/>
          <w:sz w:val="32"/>
          <w:szCs w:val="32"/>
        </w:rPr>
        <w:t>20</w:t>
      </w:r>
      <w:r>
        <w:rPr>
          <w:rFonts w:hint="eastAsia" w:ascii="仿宋_GB2312" w:eastAsia="仿宋_GB2312"/>
          <w:b w:val="0"/>
          <w:bCs w:val="0"/>
          <w:color w:val="auto"/>
          <w:sz w:val="32"/>
          <w:szCs w:val="32"/>
        </w:rPr>
        <w:t>21年</w:t>
      </w:r>
      <w:r>
        <w:rPr>
          <w:rFonts w:ascii="仿宋_GB2312" w:eastAsia="仿宋_GB2312"/>
          <w:b w:val="0"/>
          <w:bCs w:val="0"/>
          <w:color w:val="auto"/>
          <w:sz w:val="32"/>
          <w:szCs w:val="32"/>
        </w:rPr>
        <w:t>12</w:t>
      </w:r>
      <w:r>
        <w:rPr>
          <w:rFonts w:hint="eastAsia" w:ascii="仿宋_GB2312" w:eastAsia="仿宋_GB2312"/>
          <w:b w:val="0"/>
          <w:bCs w:val="0"/>
          <w:color w:val="auto"/>
          <w:sz w:val="32"/>
          <w:szCs w:val="32"/>
        </w:rPr>
        <w:t>月</w:t>
      </w:r>
      <w:r>
        <w:rPr>
          <w:rFonts w:ascii="仿宋_GB2312" w:eastAsia="仿宋_GB2312"/>
          <w:b w:val="0"/>
          <w:bCs w:val="0"/>
          <w:color w:val="auto"/>
          <w:sz w:val="32"/>
          <w:szCs w:val="32"/>
        </w:rPr>
        <w:t>31</w:t>
      </w:r>
      <w:r>
        <w:rPr>
          <w:rFonts w:hint="eastAsia" w:ascii="仿宋_GB2312" w:eastAsia="仿宋_GB2312"/>
          <w:b w:val="0"/>
          <w:bCs w:val="0"/>
          <w:color w:val="auto"/>
          <w:sz w:val="32"/>
          <w:szCs w:val="32"/>
        </w:rPr>
        <w:t>日，市以工代赈事务中心共有车辆1辆，其中：其他用车1辆。其他用车主要是用于以工代赈和易地扶贫搬迁后续扶持项目争取、项目督导等工作。</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rPr>
          <w:rFonts w:ascii="仿宋_GB2312" w:eastAsia="仿宋_GB2312"/>
          <w:b w:val="0"/>
          <w:bCs w:val="0"/>
          <w:color w:val="auto"/>
          <w:sz w:val="32"/>
          <w:szCs w:val="32"/>
        </w:rPr>
      </w:pPr>
    </w:p>
    <w:p>
      <w:pPr>
        <w:widowControl/>
        <w:jc w:val="left"/>
        <w:rPr>
          <w:rFonts w:ascii="仿宋_GB2312" w:eastAsia="仿宋_GB2312"/>
          <w:b w:val="0"/>
          <w:bCs w:val="0"/>
          <w:color w:val="auto"/>
          <w:sz w:val="32"/>
          <w:szCs w:val="32"/>
        </w:rPr>
      </w:pPr>
    </w:p>
    <w:p>
      <w:pPr>
        <w:numPr>
          <w:ilvl w:val="0"/>
          <w:numId w:val="3"/>
        </w:numPr>
        <w:spacing w:line="600" w:lineRule="exact"/>
        <w:ind w:firstLine="660" w:firstLineChars="150"/>
        <w:jc w:val="center"/>
        <w:outlineLvl w:val="0"/>
        <w:rPr>
          <w:rStyle w:val="29"/>
          <w:rFonts w:ascii="黑体" w:hAnsi="黑体" w:eastAsia="黑体"/>
          <w:b w:val="0"/>
          <w:bCs w:val="0"/>
          <w:color w:val="auto"/>
        </w:rPr>
      </w:pPr>
      <w:bookmarkStart w:id="47" w:name="_Toc15377225"/>
      <w:bookmarkStart w:id="48" w:name="_Toc15396613"/>
      <w:r>
        <w:rPr>
          <w:rFonts w:hint="eastAsia" w:ascii="黑体" w:hAnsi="黑体" w:eastAsia="黑体"/>
          <w:b w:val="0"/>
          <w:bCs w:val="0"/>
          <w:color w:val="auto"/>
          <w:sz w:val="44"/>
          <w:szCs w:val="44"/>
        </w:rPr>
        <w:t>名</w:t>
      </w:r>
      <w:r>
        <w:rPr>
          <w:rStyle w:val="29"/>
          <w:rFonts w:hint="eastAsia" w:ascii="黑体" w:hAnsi="黑体" w:eastAsia="黑体"/>
          <w:b w:val="0"/>
          <w:bCs w:val="0"/>
          <w:color w:val="auto"/>
        </w:rPr>
        <w:t>词解释</w:t>
      </w:r>
      <w:bookmarkEnd w:id="47"/>
      <w:bookmarkEnd w:id="48"/>
    </w:p>
    <w:p>
      <w:pPr>
        <w:spacing w:line="600" w:lineRule="exact"/>
        <w:jc w:val="left"/>
        <w:rPr>
          <w:rFonts w:ascii="宋体"/>
          <w:b w:val="0"/>
          <w:bCs w:val="0"/>
          <w:color w:val="auto"/>
          <w:sz w:val="44"/>
          <w:szCs w:val="44"/>
        </w:rPr>
      </w:pPr>
    </w:p>
    <w:p>
      <w:pPr>
        <w:pStyle w:val="27"/>
        <w:keepNext w:val="0"/>
        <w:keepLines w:val="0"/>
        <w:pageBreakBefore w:val="0"/>
        <w:widowControl w:val="0"/>
        <w:kinsoku/>
        <w:wordWrap/>
        <w:overflowPunct w:val="0"/>
        <w:topLinePunct w:val="0"/>
        <w:autoSpaceDE w:val="0"/>
        <w:autoSpaceDN/>
        <w:bidi w:val="0"/>
        <w:adjustRightInd/>
        <w:snapToGrid/>
        <w:spacing w:line="576" w:lineRule="exact"/>
        <w:ind w:firstLine="640" w:firstLineChars="200"/>
        <w:contextualSpacing/>
        <w:textAlignment w:val="auto"/>
        <w:rPr>
          <w:rFonts w:ascii="仿宋_GB2312" w:eastAsia="仿宋_GB2312"/>
          <w:b w:val="0"/>
          <w:bCs w:val="0"/>
          <w:color w:val="auto"/>
          <w:sz w:val="32"/>
          <w:szCs w:val="32"/>
        </w:rPr>
      </w:pPr>
      <w:r>
        <w:rPr>
          <w:rFonts w:ascii="仿宋_GB2312" w:eastAsia="仿宋_GB2312"/>
          <w:b w:val="0"/>
          <w:bCs w:val="0"/>
          <w:color w:val="auto"/>
          <w:sz w:val="32"/>
          <w:szCs w:val="32"/>
        </w:rPr>
        <w:t>1.</w:t>
      </w:r>
      <w:r>
        <w:rPr>
          <w:rFonts w:hint="eastAsia" w:ascii="仿宋_GB2312" w:eastAsia="仿宋_GB2312"/>
          <w:b w:val="0"/>
          <w:bCs w:val="0"/>
          <w:color w:val="auto"/>
          <w:sz w:val="32"/>
          <w:szCs w:val="32"/>
        </w:rPr>
        <w:t>财政拨款收入：指单位从同级财政部门取得的财政预算资金。</w:t>
      </w:r>
    </w:p>
    <w:p>
      <w:pPr>
        <w:pStyle w:val="27"/>
        <w:keepNext w:val="0"/>
        <w:keepLines w:val="0"/>
        <w:pageBreakBefore w:val="0"/>
        <w:widowControl w:val="0"/>
        <w:kinsoku/>
        <w:wordWrap/>
        <w:overflowPunct w:val="0"/>
        <w:topLinePunct w:val="0"/>
        <w:autoSpaceDE w:val="0"/>
        <w:autoSpaceDN/>
        <w:bidi w:val="0"/>
        <w:adjustRightInd/>
        <w:snapToGrid/>
        <w:spacing w:line="576" w:lineRule="exact"/>
        <w:ind w:firstLine="640" w:firstLineChars="200"/>
        <w:contextualSpacing/>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2</w:t>
      </w:r>
      <w:r>
        <w:rPr>
          <w:rFonts w:ascii="仿宋_GB2312" w:eastAsia="仿宋_GB2312"/>
          <w:b w:val="0"/>
          <w:bCs w:val="0"/>
          <w:color w:val="auto"/>
          <w:sz w:val="32"/>
          <w:szCs w:val="32"/>
        </w:rPr>
        <w:t>.</w:t>
      </w:r>
      <w:r>
        <w:rPr>
          <w:rFonts w:hint="eastAsia" w:ascii="仿宋_GB2312" w:eastAsia="仿宋_GB2312"/>
          <w:b w:val="0"/>
          <w:bCs w:val="0"/>
          <w:color w:val="auto"/>
          <w:sz w:val="32"/>
          <w:szCs w:val="32"/>
        </w:rPr>
        <w:t>年初结转和结余：指以前年度尚未完成、结转到本年按有关规定继续使用的资金。</w:t>
      </w:r>
    </w:p>
    <w:p>
      <w:pPr>
        <w:pStyle w:val="27"/>
        <w:keepNext w:val="0"/>
        <w:keepLines w:val="0"/>
        <w:pageBreakBefore w:val="0"/>
        <w:widowControl w:val="0"/>
        <w:kinsoku/>
        <w:wordWrap/>
        <w:overflowPunct w:val="0"/>
        <w:topLinePunct w:val="0"/>
        <w:autoSpaceDE w:val="0"/>
        <w:autoSpaceDN/>
        <w:bidi w:val="0"/>
        <w:adjustRightInd/>
        <w:snapToGrid/>
        <w:spacing w:line="576" w:lineRule="exact"/>
        <w:ind w:firstLine="640" w:firstLineChars="200"/>
        <w:contextualSpacing/>
        <w:textAlignment w:val="auto"/>
        <w:rPr>
          <w:rFonts w:hint="eastAsia" w:ascii="仿宋_GB2312" w:eastAsia="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一般公共服务支出（类）政府办公厅（室）及相关机构事务（款）其他政府办公厅（室）及相关机构事务支出（项）:</w:t>
      </w:r>
      <w:r>
        <w:rPr>
          <w:rFonts w:hint="eastAsia" w:ascii="仿宋_GB2312" w:hAnsi="仿宋_GB2312" w:eastAsia="仿宋_GB2312" w:cs="仿宋_GB2312"/>
          <w:b w:val="0"/>
          <w:bCs w:val="0"/>
          <w:color w:val="auto"/>
          <w:sz w:val="32"/>
          <w:szCs w:val="32"/>
          <w:lang w:eastAsia="zh-CN"/>
        </w:rPr>
        <w:t>指反映除上述项目以外的其他政府办公厅（室）及相关机构事务支出。</w:t>
      </w:r>
    </w:p>
    <w:p>
      <w:pPr>
        <w:keepNext w:val="0"/>
        <w:keepLines w:val="0"/>
        <w:pageBreakBefore w:val="0"/>
        <w:widowControl w:val="0"/>
        <w:kinsoku/>
        <w:wordWrap/>
        <w:overflowPunct w:val="0"/>
        <w:topLinePunct w:val="0"/>
        <w:autoSpaceDE w:val="0"/>
        <w:autoSpaceDN/>
        <w:bidi w:val="0"/>
        <w:adjustRightInd/>
        <w:snapToGrid/>
        <w:spacing w:line="576" w:lineRule="exact"/>
        <w:ind w:firstLine="640" w:firstLineChars="200"/>
        <w:contextualSpacing/>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4</w:t>
      </w:r>
      <w:r>
        <w:rPr>
          <w:rFonts w:ascii="仿宋_GB2312" w:eastAsia="仿宋_GB2312"/>
          <w:b w:val="0"/>
          <w:bCs w:val="0"/>
          <w:color w:val="auto"/>
          <w:sz w:val="32"/>
          <w:szCs w:val="32"/>
        </w:rPr>
        <w:t>.</w:t>
      </w:r>
      <w:r>
        <w:rPr>
          <w:rFonts w:hint="eastAsia" w:ascii="仿宋_GB2312" w:eastAsia="仿宋_GB2312"/>
          <w:b w:val="0"/>
          <w:bCs w:val="0"/>
          <w:color w:val="auto"/>
          <w:sz w:val="32"/>
          <w:szCs w:val="32"/>
        </w:rPr>
        <w:t>一般公共服务（类）其他一般公共服务支出（款）其他一般公共服务支出（项）：指反映除上述项目以外的其他一般公共服务支出。</w:t>
      </w:r>
    </w:p>
    <w:p>
      <w:pPr>
        <w:keepNext w:val="0"/>
        <w:keepLines w:val="0"/>
        <w:pageBreakBefore w:val="0"/>
        <w:widowControl w:val="0"/>
        <w:kinsoku/>
        <w:wordWrap/>
        <w:overflowPunct w:val="0"/>
        <w:topLinePunct w:val="0"/>
        <w:autoSpaceDE w:val="0"/>
        <w:autoSpaceDN/>
        <w:bidi w:val="0"/>
        <w:adjustRightInd/>
        <w:snapToGrid/>
        <w:spacing w:line="576" w:lineRule="exact"/>
        <w:ind w:firstLine="640" w:firstLineChars="200"/>
        <w:contextualSpacing/>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5</w:t>
      </w:r>
      <w:r>
        <w:rPr>
          <w:rFonts w:hint="eastAsia" w:ascii="仿宋_GB2312" w:eastAsia="仿宋_GB2312"/>
          <w:b w:val="0"/>
          <w:bCs w:val="0"/>
          <w:color w:val="auto"/>
          <w:sz w:val="32"/>
          <w:szCs w:val="32"/>
        </w:rPr>
        <w:t>.社会保障和就业支出（类）行政事业单位</w:t>
      </w:r>
      <w:r>
        <w:rPr>
          <w:rFonts w:hint="eastAsia" w:ascii="仿宋_GB2312" w:eastAsia="仿宋_GB2312"/>
          <w:b w:val="0"/>
          <w:bCs w:val="0"/>
          <w:color w:val="auto"/>
          <w:sz w:val="32"/>
          <w:szCs w:val="32"/>
          <w:lang w:eastAsia="zh-CN"/>
        </w:rPr>
        <w:t>养老支出</w:t>
      </w:r>
      <w:r>
        <w:rPr>
          <w:rFonts w:hint="eastAsia" w:ascii="仿宋_GB2312" w:eastAsia="仿宋_GB2312"/>
          <w:b w:val="0"/>
          <w:bCs w:val="0"/>
          <w:color w:val="auto"/>
          <w:sz w:val="32"/>
          <w:szCs w:val="32"/>
        </w:rPr>
        <w:t>（款）机关事业单位基本养老保险缴费支出（项）：指反映机关事业单位实施养老保险制度由单位缴纳的基本养老保险费支出。</w:t>
      </w:r>
    </w:p>
    <w:p>
      <w:pPr>
        <w:pStyle w:val="16"/>
        <w:ind w:left="0" w:leftChars="0" w:firstLine="640" w:firstLineChars="200"/>
        <w:rPr>
          <w:rFonts w:hint="eastAsia" w:eastAsia="仿宋_GB2312"/>
          <w:b w:val="0"/>
          <w:bCs w:val="0"/>
          <w:color w:val="auto"/>
          <w:lang w:val="en-US" w:eastAsia="zh-CN"/>
        </w:rPr>
      </w:pPr>
      <w:r>
        <w:rPr>
          <w:rFonts w:hint="eastAsia" w:ascii="仿宋_GB2312" w:eastAsia="仿宋_GB2312"/>
          <w:b w:val="0"/>
          <w:bCs w:val="0"/>
          <w:color w:val="auto"/>
          <w:sz w:val="32"/>
          <w:szCs w:val="32"/>
          <w:lang w:val="en-US" w:eastAsia="zh-CN"/>
        </w:rPr>
        <w:t>6.</w:t>
      </w:r>
      <w:r>
        <w:rPr>
          <w:rStyle w:val="19"/>
          <w:rFonts w:hint="eastAsia" w:ascii="仿宋_GB2312" w:hAnsi="仿宋_GB2312" w:eastAsia="仿宋_GB2312" w:cs="仿宋_GB2312"/>
          <w:b w:val="0"/>
          <w:bCs w:val="0"/>
          <w:color w:val="auto"/>
          <w:sz w:val="32"/>
          <w:szCs w:val="32"/>
        </w:rPr>
        <w:t>社会保障和就业（类）行政事业单位养老支出（款）机关事业单位职业年金缴纳支出（项）</w:t>
      </w:r>
      <w:r>
        <w:rPr>
          <w:rStyle w:val="19"/>
          <w:rFonts w:hint="eastAsia" w:ascii="仿宋_GB2312" w:hAnsi="仿宋_GB2312" w:eastAsia="仿宋_GB2312" w:cs="仿宋_GB2312"/>
          <w:b w:val="0"/>
          <w:bCs w:val="0"/>
          <w:color w:val="auto"/>
          <w:sz w:val="32"/>
          <w:szCs w:val="32"/>
          <w:lang w:eastAsia="zh-CN"/>
        </w:rPr>
        <w:t>：指反映机关事业单位实施养老保险制度由单位实际缴纳的职业年金支出。</w:t>
      </w:r>
    </w:p>
    <w:p>
      <w:pPr>
        <w:spacing w:line="60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eastAsia="仿宋_GB2312"/>
          <w:b w:val="0"/>
          <w:bCs w:val="0"/>
          <w:color w:val="auto"/>
          <w:sz w:val="32"/>
          <w:szCs w:val="32"/>
          <w:lang w:val="en-US" w:eastAsia="zh-CN"/>
        </w:rPr>
        <w:t>7</w:t>
      </w:r>
      <w:r>
        <w:rPr>
          <w:rFonts w:hint="eastAsia" w:ascii="仿宋_GB2312" w:eastAsia="仿宋_GB2312"/>
          <w:b w:val="0"/>
          <w:bCs w:val="0"/>
          <w:color w:val="auto"/>
          <w:sz w:val="32"/>
          <w:szCs w:val="32"/>
        </w:rPr>
        <w:t>.</w:t>
      </w:r>
      <w:r>
        <w:rPr>
          <w:rFonts w:hint="eastAsia" w:ascii="仿宋_GB2312" w:hAnsi="仿宋_GB2312" w:eastAsia="仿宋_GB2312" w:cs="仿宋_GB2312"/>
          <w:b w:val="0"/>
          <w:bCs w:val="0"/>
          <w:color w:val="auto"/>
          <w:sz w:val="32"/>
          <w:szCs w:val="32"/>
        </w:rPr>
        <w:t>卫生健康</w:t>
      </w:r>
      <w:r>
        <w:rPr>
          <w:rFonts w:hint="eastAsia" w:ascii="仿宋_GB2312" w:hAnsi="仿宋_GB2312" w:eastAsia="仿宋_GB2312" w:cs="仿宋_GB2312"/>
          <w:b w:val="0"/>
          <w:bCs w:val="0"/>
          <w:color w:val="auto"/>
          <w:sz w:val="32"/>
          <w:szCs w:val="32"/>
          <w:lang w:eastAsia="zh-CN"/>
        </w:rPr>
        <w:t>支出</w:t>
      </w:r>
      <w:r>
        <w:rPr>
          <w:rStyle w:val="19"/>
          <w:rFonts w:hint="eastAsia" w:ascii="仿宋_GB2312" w:hAnsi="仿宋_GB2312" w:eastAsia="仿宋_GB2312" w:cs="仿宋_GB2312"/>
          <w:b w:val="0"/>
          <w:bCs w:val="0"/>
          <w:color w:val="auto"/>
          <w:sz w:val="32"/>
          <w:szCs w:val="32"/>
        </w:rPr>
        <w:t>（类）行政事业单位医疗（款）行政单位医疗（项）:</w:t>
      </w:r>
      <w:r>
        <w:rPr>
          <w:rStyle w:val="19"/>
          <w:rFonts w:hint="eastAsia" w:ascii="仿宋_GB2312" w:hAnsi="仿宋_GB2312" w:eastAsia="仿宋_GB2312" w:cs="仿宋_GB2312"/>
          <w:b w:val="0"/>
          <w:bCs w:val="0"/>
          <w:color w:val="auto"/>
          <w:sz w:val="32"/>
          <w:szCs w:val="32"/>
          <w:lang w:eastAsia="zh-CN"/>
        </w:rPr>
        <w:t>指反映财政部门安排的行政单位（包括实行公务员管理的事业单位，下同）基本医疗保险缴费经费，按国家规定享受离休人员、红军老战士待遇人员的医疗经费。</w:t>
      </w:r>
    </w:p>
    <w:p>
      <w:pPr>
        <w:spacing w:line="576"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.住房保障</w:t>
      </w:r>
      <w:r>
        <w:rPr>
          <w:rFonts w:hint="eastAsia"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b w:val="0"/>
          <w:bCs w:val="0"/>
          <w:color w:val="auto"/>
          <w:sz w:val="32"/>
          <w:szCs w:val="32"/>
        </w:rPr>
        <w:t>（类）住房改革支出（款）住房公积金（项）:</w:t>
      </w:r>
      <w:r>
        <w:rPr>
          <w:rFonts w:hint="eastAsia" w:ascii="仿宋_GB2312" w:hAnsi="仿宋_GB2312" w:eastAsia="仿宋_GB2312" w:cs="仿宋_GB2312"/>
          <w:b w:val="0"/>
          <w:bCs w:val="0"/>
          <w:color w:val="auto"/>
          <w:sz w:val="32"/>
          <w:szCs w:val="32"/>
          <w:lang w:eastAsia="zh-CN"/>
        </w:rPr>
        <w:t>反映行政事业单位按人力资源和社会保障部、财政部规定的基本工资和津贴补贴以及规定比例为职工缴纳的住房公积金。</w:t>
      </w:r>
    </w:p>
    <w:p>
      <w:pPr>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9</w:t>
      </w:r>
      <w:r>
        <w:rPr>
          <w:rFonts w:hint="eastAsia" w:ascii="仿宋_GB2312" w:eastAsia="仿宋_GB2312"/>
          <w:b w:val="0"/>
          <w:bCs w:val="0"/>
          <w:color w:val="auto"/>
          <w:sz w:val="32"/>
          <w:szCs w:val="32"/>
        </w:rPr>
        <w:t>.基本支出：指为保障机构正常运转、完成日常工作任务而发生的人员支出和公用支出。</w:t>
      </w:r>
    </w:p>
    <w:p>
      <w:pPr>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10</w:t>
      </w:r>
      <w:r>
        <w:rPr>
          <w:rFonts w:ascii="仿宋_GB2312" w:eastAsia="仿宋_GB2312"/>
          <w:b w:val="0"/>
          <w:bCs w:val="0"/>
          <w:color w:val="auto"/>
          <w:sz w:val="32"/>
          <w:szCs w:val="32"/>
        </w:rPr>
        <w:t>.</w:t>
      </w:r>
      <w:r>
        <w:rPr>
          <w:rFonts w:hint="eastAsia" w:ascii="仿宋_GB2312" w:eastAsia="仿宋_GB2312"/>
          <w:b w:val="0"/>
          <w:bCs w:val="0"/>
          <w:color w:val="auto"/>
          <w:sz w:val="32"/>
          <w:szCs w:val="32"/>
        </w:rPr>
        <w:t>项目支出：指在基本支出之外为完成特定行政任务和事业发展目标所发生的支出。</w:t>
      </w:r>
      <w:r>
        <w:rPr>
          <w:rFonts w:ascii="仿宋_GB2312" w:eastAsia="仿宋_GB2312"/>
          <w:b w:val="0"/>
          <w:bCs w:val="0"/>
          <w:color w:val="auto"/>
          <w:sz w:val="32"/>
          <w:szCs w:val="32"/>
        </w:rPr>
        <w:t xml:space="preserve"> </w:t>
      </w:r>
    </w:p>
    <w:p>
      <w:pPr>
        <w:pStyle w:val="27"/>
        <w:spacing w:line="56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11</w:t>
      </w:r>
      <w:r>
        <w:rPr>
          <w:rFonts w:ascii="仿宋_GB2312" w:eastAsia="仿宋_GB2312"/>
          <w:b w:val="0"/>
          <w:bCs w:val="0"/>
          <w:color w:val="auto"/>
          <w:sz w:val="32"/>
          <w:szCs w:val="32"/>
        </w:rPr>
        <w:t>.</w:t>
      </w:r>
      <w:r>
        <w:rPr>
          <w:rFonts w:hint="eastAsia" w:ascii="仿宋_GB2312" w:eastAsia="仿宋_GB2312"/>
          <w:b w:val="0"/>
          <w:bCs w:val="0"/>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pPr>
        <w:pStyle w:val="27"/>
        <w:spacing w:line="56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12</w:t>
      </w:r>
      <w:r>
        <w:rPr>
          <w:rFonts w:ascii="仿宋_GB2312" w:eastAsia="仿宋_GB2312"/>
          <w:b w:val="0"/>
          <w:bCs w:val="0"/>
          <w:color w:val="auto"/>
          <w:sz w:val="32"/>
          <w:szCs w:val="32"/>
        </w:rPr>
        <w:t>.</w:t>
      </w:r>
      <w:r>
        <w:rPr>
          <w:rFonts w:hint="eastAsia" w:ascii="仿宋_GB2312" w:eastAsia="仿宋_GB2312"/>
          <w:b w:val="0"/>
          <w:bCs w:val="0"/>
          <w:color w:val="auto"/>
          <w:sz w:val="32"/>
          <w:szCs w:val="32"/>
        </w:rPr>
        <w:t>机关运行经费：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p>
    <w:p>
      <w:pPr>
        <w:spacing w:line="600" w:lineRule="exact"/>
        <w:jc w:val="center"/>
        <w:outlineLvl w:val="0"/>
        <w:rPr>
          <w:rFonts w:hint="eastAsia" w:ascii="黑体" w:hAnsi="黑体" w:eastAsia="黑体"/>
          <w:b w:val="0"/>
          <w:bCs w:val="0"/>
          <w:color w:val="auto"/>
          <w:sz w:val="44"/>
          <w:szCs w:val="44"/>
        </w:rPr>
      </w:pPr>
      <w:bookmarkStart w:id="49" w:name="_Toc15396614"/>
      <w:bookmarkStart w:id="50" w:name="_Toc15377226"/>
    </w:p>
    <w:p>
      <w:pPr>
        <w:spacing w:line="600" w:lineRule="exact"/>
        <w:jc w:val="center"/>
        <w:outlineLvl w:val="0"/>
        <w:rPr>
          <w:rFonts w:hint="eastAsia" w:ascii="黑体" w:hAnsi="黑体" w:eastAsia="黑体"/>
          <w:b w:val="0"/>
          <w:bCs w:val="0"/>
          <w:color w:val="auto"/>
          <w:sz w:val="44"/>
          <w:szCs w:val="44"/>
        </w:rPr>
      </w:pPr>
    </w:p>
    <w:p>
      <w:pPr>
        <w:spacing w:line="600" w:lineRule="exact"/>
        <w:jc w:val="center"/>
        <w:outlineLvl w:val="0"/>
        <w:rPr>
          <w:rStyle w:val="29"/>
          <w:rFonts w:ascii="黑体" w:hAnsi="黑体" w:eastAsia="黑体"/>
          <w:b w:val="0"/>
          <w:bCs w:val="0"/>
          <w:color w:val="auto"/>
        </w:rPr>
      </w:pPr>
      <w:r>
        <w:rPr>
          <w:rFonts w:hint="eastAsia" w:ascii="黑体" w:hAnsi="黑体" w:eastAsia="黑体"/>
          <w:b w:val="0"/>
          <w:bCs w:val="0"/>
          <w:color w:val="auto"/>
          <w:sz w:val="44"/>
          <w:szCs w:val="44"/>
        </w:rPr>
        <w:t>第</w:t>
      </w:r>
      <w:r>
        <w:rPr>
          <w:rStyle w:val="29"/>
          <w:rFonts w:hint="eastAsia" w:ascii="黑体" w:hAnsi="黑体" w:eastAsia="黑体"/>
          <w:b w:val="0"/>
          <w:bCs w:val="0"/>
          <w:color w:val="auto"/>
        </w:rPr>
        <w:t>四部分 附件</w:t>
      </w:r>
      <w:bookmarkEnd w:id="49"/>
    </w:p>
    <w:p>
      <w:pPr>
        <w:spacing w:line="572" w:lineRule="exact"/>
        <w:jc w:val="left"/>
        <w:outlineLvl w:val="0"/>
        <w:rPr>
          <w:rFonts w:hint="eastAsia" w:ascii="黑体" w:hAnsi="黑体" w:eastAsia="黑体" w:cs="黑体"/>
          <w:b w:val="0"/>
          <w:bCs w:val="0"/>
          <w:color w:val="auto"/>
          <w:sz w:val="32"/>
          <w:szCs w:val="32"/>
        </w:rPr>
      </w:pPr>
    </w:p>
    <w:p>
      <w:pPr>
        <w:pStyle w:val="2"/>
        <w:spacing w:before="93"/>
        <w:jc w:val="left"/>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zh-CN"/>
        </w:rPr>
        <w:t>附件</w:t>
      </w:r>
      <w:r>
        <w:rPr>
          <w:rFonts w:hint="eastAsia" w:ascii="黑体" w:hAnsi="黑体" w:eastAsia="黑体" w:cs="黑体"/>
          <w:b w:val="0"/>
          <w:bCs w:val="0"/>
          <w:color w:val="auto"/>
          <w:sz w:val="32"/>
          <w:szCs w:val="32"/>
          <w:shd w:val="clear" w:color="auto" w:fill="FFFFFF"/>
          <w:lang w:val="en-US" w:eastAsia="zh-CN"/>
        </w:rPr>
        <w:t>1</w:t>
      </w:r>
    </w:p>
    <w:p>
      <w:pPr>
        <w:pStyle w:val="2"/>
        <w:keepNext w:val="0"/>
        <w:keepLines w:val="0"/>
        <w:pageBreakBefore w:val="0"/>
        <w:widowControl w:val="0"/>
        <w:kinsoku/>
        <w:wordWrap/>
        <w:overflowPunct/>
        <w:topLinePunct w:val="0"/>
        <w:autoSpaceDE/>
        <w:autoSpaceDN/>
        <w:bidi w:val="0"/>
        <w:adjustRightInd/>
        <w:snapToGrid/>
        <w:spacing w:before="93" w:line="600" w:lineRule="exact"/>
        <w:jc w:val="center"/>
        <w:textAlignment w:val="auto"/>
        <w:rPr>
          <w:rFonts w:hint="eastAsia" w:ascii="方正小标宋简体" w:hAnsi="方正小标宋简体" w:eastAsia="方正小标宋简体" w:cs="方正小标宋简体"/>
          <w:b w:val="0"/>
          <w:bCs w:val="0"/>
          <w:color w:val="auto"/>
          <w:sz w:val="44"/>
          <w:szCs w:val="44"/>
          <w:shd w:val="clear" w:color="auto" w:fill="FFFFFF"/>
          <w:lang w:val="zh-CN"/>
        </w:rPr>
      </w:pPr>
      <w:r>
        <w:rPr>
          <w:rFonts w:hint="eastAsia" w:ascii="方正小标宋简体" w:hAnsi="方正小标宋简体" w:eastAsia="方正小标宋简体" w:cs="方正小标宋简体"/>
          <w:b w:val="0"/>
          <w:bCs w:val="0"/>
          <w:color w:val="auto"/>
          <w:sz w:val="44"/>
          <w:szCs w:val="44"/>
          <w:shd w:val="clear" w:color="auto" w:fill="FFFFFF"/>
          <w:lang w:val="zh-CN"/>
        </w:rPr>
        <w:t>广元市以工代赈事务中心</w:t>
      </w:r>
    </w:p>
    <w:p>
      <w:pPr>
        <w:pStyle w:val="2"/>
        <w:keepNext w:val="0"/>
        <w:keepLines w:val="0"/>
        <w:pageBreakBefore w:val="0"/>
        <w:widowControl w:val="0"/>
        <w:kinsoku/>
        <w:wordWrap/>
        <w:overflowPunct/>
        <w:topLinePunct w:val="0"/>
        <w:autoSpaceDE/>
        <w:autoSpaceDN/>
        <w:bidi w:val="0"/>
        <w:adjustRightInd/>
        <w:snapToGrid/>
        <w:spacing w:before="93" w:line="600" w:lineRule="exact"/>
        <w:jc w:val="center"/>
        <w:textAlignment w:val="auto"/>
        <w:rPr>
          <w:rFonts w:hint="eastAsia" w:ascii="方正小标宋简体" w:hAnsi="方正小标宋简体" w:eastAsia="方正小标宋简体" w:cs="方正小标宋简体"/>
          <w:b w:val="0"/>
          <w:bCs w:val="0"/>
          <w:color w:val="auto"/>
          <w:sz w:val="44"/>
          <w:szCs w:val="44"/>
          <w:shd w:val="clear" w:color="auto" w:fill="FFFFFF"/>
          <w:lang w:val="zh-CN"/>
        </w:rPr>
      </w:pPr>
      <w:r>
        <w:rPr>
          <w:rFonts w:hint="eastAsia" w:ascii="方正小标宋简体" w:hAnsi="方正小标宋简体" w:eastAsia="方正小标宋简体" w:cs="方正小标宋简体"/>
          <w:b w:val="0"/>
          <w:bCs w:val="0"/>
          <w:color w:val="auto"/>
          <w:sz w:val="44"/>
          <w:szCs w:val="44"/>
          <w:shd w:val="clear" w:color="auto" w:fill="FFFFFF"/>
          <w:lang w:val="zh-CN"/>
        </w:rPr>
        <w:t>202</w:t>
      </w:r>
      <w:r>
        <w:rPr>
          <w:rFonts w:hint="default" w:ascii="方正小标宋简体" w:hAnsi="方正小标宋简体" w:eastAsia="方正小标宋简体" w:cs="方正小标宋简体"/>
          <w:b w:val="0"/>
          <w:bCs w:val="0"/>
          <w:color w:val="auto"/>
          <w:sz w:val="44"/>
          <w:szCs w:val="44"/>
          <w:shd w:val="clear" w:color="auto" w:fill="FFFFFF"/>
          <w:lang w:val="en-US"/>
        </w:rPr>
        <w:t>1</w:t>
      </w:r>
      <w:r>
        <w:rPr>
          <w:rFonts w:hint="eastAsia" w:ascii="方正小标宋简体" w:hAnsi="方正小标宋简体" w:eastAsia="方正小标宋简体" w:cs="方正小标宋简体"/>
          <w:b w:val="0"/>
          <w:bCs w:val="0"/>
          <w:color w:val="auto"/>
          <w:sz w:val="44"/>
          <w:szCs w:val="44"/>
          <w:shd w:val="clear" w:color="auto" w:fill="FFFFFF"/>
          <w:lang w:val="zh-CN"/>
        </w:rPr>
        <w:t>年市级部门整体支出绩效评价报告</w:t>
      </w:r>
    </w:p>
    <w:p>
      <w:pPr>
        <w:pStyle w:val="2"/>
        <w:keepNext w:val="0"/>
        <w:keepLines w:val="0"/>
        <w:pageBreakBefore w:val="0"/>
        <w:widowControl w:val="0"/>
        <w:kinsoku/>
        <w:wordWrap/>
        <w:overflowPunct/>
        <w:topLinePunct w:val="0"/>
        <w:autoSpaceDE/>
        <w:autoSpaceDN/>
        <w:bidi w:val="0"/>
        <w:adjustRightInd/>
        <w:snapToGrid/>
        <w:spacing w:before="93" w:line="576" w:lineRule="exact"/>
        <w:ind w:firstLine="640" w:firstLineChars="200"/>
        <w:textAlignment w:val="auto"/>
        <w:rPr>
          <w:rFonts w:hint="eastAsia" w:hAnsi="宋体" w:cs="宋体"/>
          <w:b w:val="0"/>
          <w:bCs w:val="0"/>
          <w:color w:val="auto"/>
          <w:sz w:val="32"/>
          <w:szCs w:val="32"/>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ascii="黑体" w:hAnsi="黑体" w:eastAsia="黑体" w:cs="黑体"/>
          <w:b w:val="0"/>
          <w:bCs w:val="0"/>
          <w:color w:val="auto"/>
          <w:sz w:val="32"/>
          <w:szCs w:val="32"/>
          <w:shd w:val="clear" w:color="auto" w:fill="FFFFFF"/>
          <w:lang w:val="zh-CN"/>
        </w:rPr>
      </w:pPr>
      <w:r>
        <w:rPr>
          <w:rFonts w:hint="eastAsia" w:ascii="黑体" w:hAnsi="黑体" w:eastAsia="黑体" w:cs="黑体"/>
          <w:b w:val="0"/>
          <w:bCs w:val="0"/>
          <w:color w:val="auto"/>
          <w:sz w:val="32"/>
          <w:szCs w:val="32"/>
          <w:shd w:val="clear" w:color="auto" w:fill="FFFFFF"/>
          <w:lang w:val="zh-CN"/>
        </w:rPr>
        <w:t>一、部门慨况</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ascii="楷体_GB2312" w:hAnsi="楷体_GB2312" w:eastAsia="楷体_GB2312" w:cs="楷体_GB2312"/>
          <w:b w:val="0"/>
          <w:bCs w:val="0"/>
          <w:color w:val="auto"/>
          <w:sz w:val="32"/>
          <w:szCs w:val="32"/>
          <w:shd w:val="clear" w:color="auto" w:fill="FFFFFF"/>
          <w:lang w:val="zh-CN"/>
        </w:rPr>
        <w:t>（一）机构组成。</w:t>
      </w:r>
      <w:r>
        <w:rPr>
          <w:rFonts w:hint="eastAsia" w:hAnsi="宋体" w:cs="宋体"/>
          <w:b w:val="0"/>
          <w:bCs w:val="0"/>
          <w:color w:val="auto"/>
          <w:sz w:val="32"/>
          <w:szCs w:val="32"/>
          <w:shd w:val="clear" w:color="auto" w:fill="FFFFFF"/>
          <w:lang w:val="zh-CN"/>
        </w:rPr>
        <w:t>广元市以工代赈事务中心是负责全市以工代赈工作的市政府直属公益一类事业单位（参公管理），正县级，为财政全额一级预算单位。本单位为市级直属部门，无下属二级单位。</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ascii="楷体_GB2312" w:hAnsi="楷体_GB2312" w:eastAsia="楷体_GB2312" w:cs="楷体_GB2312"/>
          <w:b w:val="0"/>
          <w:bCs w:val="0"/>
          <w:color w:val="auto"/>
          <w:sz w:val="32"/>
          <w:szCs w:val="32"/>
          <w:shd w:val="clear" w:color="auto" w:fill="FFFFFF"/>
          <w:lang w:val="zh-CN"/>
        </w:rPr>
        <w:t>（二）机构职能。</w:t>
      </w:r>
      <w:r>
        <w:rPr>
          <w:rFonts w:hint="eastAsia" w:hAnsi="宋体" w:cs="宋体"/>
          <w:b w:val="0"/>
          <w:bCs w:val="0"/>
          <w:color w:val="auto"/>
          <w:sz w:val="32"/>
          <w:szCs w:val="32"/>
          <w:shd w:val="clear" w:color="auto" w:fill="FFFFFF"/>
          <w:lang w:val="zh-CN"/>
        </w:rPr>
        <w:t>市以工代赈事务中心负责全市以工代赈和易地扶贫搬迁实施意见、管理办法及易地扶贫搬迁后续发展等政策研究的相关事务工作；承担全市以工代赈和易地扶贫搬迁中长期规划及年度计划的编制和上报等相关事务工作；承担全市以工代赈易地扶贫搬迁项目论证、可行性研究，负责项目库管理服务工作；争取以工代赈和易地扶贫搬迁资金，做好与上级部门的项目衔接工作；承担以工代赈和易地扶贫搬迁资金、地方配套资金计划的协调服务工作；负责以工代赈和易地扶贫搬迁项目建设的服务保障工作,推行好以工代赈方式；负责做好以工代赈和易地扶贫搬迁领域深化改革工作，指导县区做好以工代赈和易地扶贫搬迁资产收益扶贫项目。</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ascii="楷体_GB2312" w:hAnsi="楷体_GB2312" w:eastAsia="楷体_GB2312" w:cs="楷体_GB2312"/>
          <w:b w:val="0"/>
          <w:bCs w:val="0"/>
          <w:color w:val="auto"/>
          <w:sz w:val="32"/>
          <w:szCs w:val="32"/>
          <w:shd w:val="clear" w:color="auto" w:fill="FFFFFF"/>
          <w:lang w:val="zh-CN"/>
        </w:rPr>
        <w:t>（三）人员概况。</w:t>
      </w:r>
      <w:r>
        <w:rPr>
          <w:rFonts w:hint="eastAsia" w:hAnsi="宋体" w:cs="宋体"/>
          <w:b w:val="0"/>
          <w:bCs w:val="0"/>
          <w:color w:val="auto"/>
          <w:sz w:val="32"/>
          <w:szCs w:val="32"/>
          <w:shd w:val="clear" w:color="auto" w:fill="FFFFFF"/>
          <w:lang w:val="zh-CN"/>
        </w:rPr>
        <w:t>截止2021年12月人员情况，市以工代赈事务中心有参公事业编制10个，实有在职人员10人（县级以上干部3人，科级及以下干部6人，驾驶员1人），退休人员6人。2021年市委组织部从县区统筹易地扶贫搬迁督查人员1人。</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ascii="黑体" w:hAnsi="黑体" w:eastAsia="黑体" w:cs="黑体"/>
          <w:b w:val="0"/>
          <w:bCs w:val="0"/>
          <w:color w:val="auto"/>
          <w:sz w:val="32"/>
          <w:szCs w:val="32"/>
          <w:shd w:val="clear" w:color="auto" w:fill="FFFFFF"/>
          <w:lang w:val="zh-CN"/>
        </w:rPr>
      </w:pPr>
      <w:r>
        <w:rPr>
          <w:rFonts w:hint="eastAsia" w:ascii="黑体" w:hAnsi="黑体" w:eastAsia="黑体" w:cs="黑体"/>
          <w:b w:val="0"/>
          <w:bCs w:val="0"/>
          <w:color w:val="auto"/>
          <w:sz w:val="32"/>
          <w:szCs w:val="32"/>
          <w:shd w:val="clear" w:color="auto" w:fill="FFFFFF"/>
          <w:lang w:val="zh-CN"/>
        </w:rPr>
        <w:t>二、部门财政资金收支情况</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ascii="楷体_GB2312" w:hAnsi="楷体_GB2312" w:eastAsia="楷体_GB2312" w:cs="楷体_GB2312"/>
          <w:b w:val="0"/>
          <w:bCs w:val="0"/>
          <w:color w:val="auto"/>
          <w:sz w:val="32"/>
          <w:szCs w:val="32"/>
          <w:shd w:val="clear" w:color="auto" w:fill="FFFFFF"/>
          <w:lang w:val="zh-CN"/>
        </w:rPr>
        <w:t>（一）部门财政资金收入情况。</w:t>
      </w:r>
      <w:r>
        <w:rPr>
          <w:rFonts w:hint="eastAsia" w:hAnsi="宋体" w:cs="宋体"/>
          <w:b w:val="0"/>
          <w:bCs w:val="0"/>
          <w:color w:val="auto"/>
          <w:sz w:val="32"/>
          <w:szCs w:val="32"/>
          <w:shd w:val="clear" w:color="auto" w:fill="FFFFFF"/>
          <w:lang w:val="zh-CN"/>
        </w:rPr>
        <w:t>市以工代赈事务中心2021年财政拨款收入260.65万元，其中：一般公共预算收入260.65万元。</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ascii="楷体_GB2312" w:hAnsi="楷体_GB2312" w:eastAsia="楷体_GB2312" w:cs="楷体_GB2312"/>
          <w:b w:val="0"/>
          <w:bCs w:val="0"/>
          <w:color w:val="auto"/>
          <w:sz w:val="32"/>
          <w:szCs w:val="32"/>
          <w:shd w:val="clear" w:color="auto" w:fill="FFFFFF"/>
          <w:lang w:val="zh-CN"/>
        </w:rPr>
        <w:t>（二）部门财政资金支出情况。</w:t>
      </w:r>
      <w:r>
        <w:rPr>
          <w:rFonts w:hint="eastAsia" w:hAnsi="宋体" w:cs="宋体"/>
          <w:b w:val="0"/>
          <w:bCs w:val="0"/>
          <w:color w:val="auto"/>
          <w:sz w:val="32"/>
          <w:szCs w:val="32"/>
          <w:shd w:val="clear" w:color="auto" w:fill="FFFFFF"/>
          <w:lang w:val="zh-CN"/>
        </w:rPr>
        <w:t>市以工代赈事务中心2021年财政拨款支出合计260.65万元，其中基本支出220.15万元，占84.46%；项目支出40.5万元，占15.54%。</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ascii="黑体" w:hAnsi="黑体" w:eastAsia="黑体" w:cs="黑体"/>
          <w:b w:val="0"/>
          <w:bCs w:val="0"/>
          <w:color w:val="auto"/>
          <w:sz w:val="32"/>
          <w:szCs w:val="32"/>
          <w:shd w:val="clear" w:color="auto" w:fill="FFFFFF"/>
          <w:lang w:val="zh-CN"/>
        </w:rPr>
      </w:pPr>
      <w:r>
        <w:rPr>
          <w:rFonts w:hint="eastAsia" w:ascii="黑体" w:hAnsi="黑体" w:eastAsia="黑体" w:cs="黑体"/>
          <w:b w:val="0"/>
          <w:bCs w:val="0"/>
          <w:color w:val="auto"/>
          <w:sz w:val="32"/>
          <w:szCs w:val="32"/>
          <w:shd w:val="clear" w:color="auto" w:fill="FFFFFF"/>
          <w:lang w:val="zh-CN"/>
        </w:rPr>
        <w:t>三、部门整体预算绩效管理情况</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ascii="楷体_GB2312" w:hAnsi="楷体_GB2312" w:eastAsia="楷体_GB2312" w:cs="楷体_GB2312"/>
          <w:b w:val="0"/>
          <w:bCs w:val="0"/>
          <w:color w:val="auto"/>
          <w:sz w:val="32"/>
          <w:szCs w:val="32"/>
          <w:shd w:val="clear" w:color="auto" w:fill="FFFFFF"/>
          <w:lang w:val="zh-CN"/>
        </w:rPr>
      </w:pPr>
      <w:r>
        <w:rPr>
          <w:rFonts w:hint="eastAsia" w:ascii="楷体_GB2312" w:hAnsi="楷体_GB2312" w:eastAsia="楷体_GB2312" w:cs="楷体_GB2312"/>
          <w:b w:val="0"/>
          <w:bCs w:val="0"/>
          <w:color w:val="auto"/>
          <w:sz w:val="32"/>
          <w:szCs w:val="32"/>
          <w:shd w:val="clear" w:color="auto" w:fill="FFFFFF"/>
          <w:lang w:val="zh-CN"/>
        </w:rPr>
        <w:t>（一）部门预算项目绩效管理</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hAnsi="宋体" w:cs="宋体"/>
          <w:b w:val="0"/>
          <w:bCs w:val="0"/>
          <w:color w:val="auto"/>
          <w:sz w:val="32"/>
          <w:szCs w:val="32"/>
          <w:shd w:val="clear" w:color="auto" w:fill="FFFFFF"/>
          <w:lang w:val="zh-CN"/>
        </w:rPr>
        <w:t>2021年，我中心严格按照部门预算编制通知和有关要求，按时完成基础资料及项目资料报送工作。基本支出预算实行定员定额管理，人员支出预算按照工资福利标准和编制内实有人员核定；项目支出预算根据相关项目性质编制预算，做到不漏编，不多编，规范管理、绩效引导，在保证项目工作按质按量按时完成的前提下严格将经费控制在预算内。</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hAnsi="宋体" w:cs="宋体"/>
          <w:b w:val="0"/>
          <w:bCs w:val="0"/>
          <w:color w:val="auto"/>
          <w:sz w:val="32"/>
          <w:szCs w:val="32"/>
          <w:shd w:val="clear" w:color="auto" w:fill="FFFFFF"/>
          <w:lang w:val="zh-CN"/>
        </w:rPr>
        <w:t>市以工代赈事务中心2021年按照行政事业单位相关支出标准，合理编制了计划、当年要完成的工作任务和预期要完成的绩效目标。专用项目绩效目标进一步明确和量化，包括数量、质量、成本、时效、社会效益、满意度等能较完整细致地反映部门年度预算执行情况及职责履行情况。项目实施中，加强项目实施监控，通过在6月、9月、11月三个时间节点开展绩效监控，及时掌握单位项目资金使用状况，跟踪查找薄弱环节，有效提高财政资金管理水平。2021年6月、9月、11月我中心执行进度分别为： 47.7%、68.45%、80.66 %。进一步严肃财政纪律，规范财务管理，没有违纪违规情况。</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ascii="楷体_GB2312" w:hAnsi="楷体_GB2312" w:eastAsia="楷体_GB2312" w:cs="楷体_GB2312"/>
          <w:b w:val="0"/>
          <w:bCs w:val="0"/>
          <w:color w:val="auto"/>
          <w:sz w:val="32"/>
          <w:szCs w:val="32"/>
          <w:shd w:val="clear" w:color="auto" w:fill="FFFFFF"/>
          <w:lang w:val="zh-CN"/>
        </w:rPr>
      </w:pPr>
      <w:r>
        <w:rPr>
          <w:rFonts w:hint="eastAsia" w:ascii="楷体_GB2312" w:hAnsi="楷体_GB2312" w:eastAsia="楷体_GB2312" w:cs="楷体_GB2312"/>
          <w:b w:val="0"/>
          <w:bCs w:val="0"/>
          <w:color w:val="auto"/>
          <w:sz w:val="32"/>
          <w:szCs w:val="32"/>
          <w:shd w:val="clear" w:color="auto" w:fill="FFFFFF"/>
          <w:lang w:val="zh-CN"/>
        </w:rPr>
        <w:t>（二）结果应用情况</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hAnsi="宋体" w:cs="宋体"/>
          <w:b w:val="0"/>
          <w:bCs w:val="0"/>
          <w:color w:val="auto"/>
          <w:sz w:val="32"/>
          <w:szCs w:val="32"/>
          <w:shd w:val="clear" w:color="auto" w:fill="FFFFFF"/>
          <w:lang w:val="zh-CN"/>
        </w:rPr>
        <w:t>通过强化预算编制和执行，规范项目实施，市以工代赈事务中心各项工作有序推进，在以工代赈项目资金争取、项目实施和全市易地扶贫搬迁后续扶持工作中取得了一定的成效，各项工作全省名列前茅，2021年被中共中央、国务院表彰为“全国脱贫攻坚先进集体”。</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ascii="楷体_GB2312" w:hAnsi="楷体_GB2312" w:eastAsia="楷体_GB2312" w:cs="楷体_GB2312"/>
          <w:b w:val="0"/>
          <w:bCs w:val="0"/>
          <w:color w:val="auto"/>
          <w:sz w:val="32"/>
          <w:szCs w:val="32"/>
          <w:shd w:val="clear" w:color="auto" w:fill="FFFFFF"/>
          <w:lang w:val="zh-CN"/>
        </w:rPr>
      </w:pPr>
      <w:r>
        <w:rPr>
          <w:rFonts w:hint="eastAsia" w:ascii="楷体_GB2312" w:hAnsi="楷体_GB2312" w:eastAsia="楷体_GB2312" w:cs="楷体_GB2312"/>
          <w:b w:val="0"/>
          <w:bCs w:val="0"/>
          <w:color w:val="auto"/>
          <w:sz w:val="32"/>
          <w:szCs w:val="32"/>
          <w:shd w:val="clear" w:color="auto" w:fill="FFFFFF"/>
          <w:lang w:val="zh-CN"/>
        </w:rPr>
        <w:t>（三）自评质量</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hAnsi="宋体" w:cs="宋体"/>
          <w:b w:val="0"/>
          <w:bCs w:val="0"/>
          <w:color w:val="auto"/>
          <w:sz w:val="32"/>
          <w:szCs w:val="32"/>
          <w:shd w:val="clear" w:color="auto" w:fill="FFFFFF"/>
          <w:lang w:val="zh-CN"/>
        </w:rPr>
        <w:t xml:space="preserve">我中心本次自评得分为97.6分。通过资料收集、绩效评价、工作总结及撰写报告等几个阶段，认真、准确填写自评数据表，形成详实的自评报告，并对所报送自评材料真实性、完整性、一致性、规范性负责。  </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ascii="黑体" w:hAnsi="黑体" w:eastAsia="黑体" w:cs="黑体"/>
          <w:b w:val="0"/>
          <w:bCs w:val="0"/>
          <w:color w:val="auto"/>
          <w:sz w:val="32"/>
          <w:szCs w:val="32"/>
          <w:shd w:val="clear" w:color="auto" w:fill="FFFFFF"/>
          <w:lang w:val="zh-CN"/>
        </w:rPr>
      </w:pPr>
      <w:r>
        <w:rPr>
          <w:rFonts w:hint="eastAsia" w:ascii="黑体" w:hAnsi="黑体" w:eastAsia="黑体" w:cs="黑体"/>
          <w:b w:val="0"/>
          <w:bCs w:val="0"/>
          <w:color w:val="auto"/>
          <w:sz w:val="32"/>
          <w:szCs w:val="32"/>
          <w:shd w:val="clear" w:color="auto" w:fill="FFFFFF"/>
          <w:lang w:val="zh-CN"/>
        </w:rPr>
        <w:t>四、评价结论及建议</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ascii="楷体_GB2312" w:hAnsi="楷体_GB2312" w:eastAsia="楷体_GB2312" w:cs="楷体_GB2312"/>
          <w:b w:val="0"/>
          <w:bCs w:val="0"/>
          <w:color w:val="auto"/>
          <w:sz w:val="32"/>
          <w:szCs w:val="32"/>
          <w:shd w:val="clear" w:color="auto" w:fill="FFFFFF"/>
          <w:lang w:val="zh-CN"/>
        </w:rPr>
      </w:pPr>
      <w:r>
        <w:rPr>
          <w:rFonts w:hint="eastAsia" w:ascii="楷体_GB2312" w:hAnsi="楷体_GB2312" w:eastAsia="楷体_GB2312" w:cs="楷体_GB2312"/>
          <w:b w:val="0"/>
          <w:bCs w:val="0"/>
          <w:color w:val="auto"/>
          <w:sz w:val="32"/>
          <w:szCs w:val="32"/>
          <w:shd w:val="clear" w:color="auto" w:fill="FFFFFF"/>
          <w:lang w:val="zh-CN"/>
        </w:rPr>
        <w:t>（一）评价结论</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hAnsi="宋体" w:cs="宋体"/>
          <w:b w:val="0"/>
          <w:bCs w:val="0"/>
          <w:color w:val="auto"/>
          <w:sz w:val="32"/>
          <w:szCs w:val="32"/>
          <w:shd w:val="clear" w:color="auto" w:fill="FFFFFF"/>
          <w:lang w:val="zh-CN"/>
        </w:rPr>
        <w:t>本部门按要求对2021年部门整体支出开展绩效自评，自评得分97.6分。</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ascii="楷体_GB2312" w:hAnsi="楷体_GB2312" w:eastAsia="楷体_GB2312" w:cs="楷体_GB2312"/>
          <w:b w:val="0"/>
          <w:bCs w:val="0"/>
          <w:color w:val="auto"/>
          <w:sz w:val="32"/>
          <w:szCs w:val="32"/>
          <w:shd w:val="clear" w:color="auto" w:fill="FFFFFF"/>
          <w:lang w:val="zh-CN"/>
        </w:rPr>
      </w:pPr>
      <w:r>
        <w:rPr>
          <w:rFonts w:hint="eastAsia" w:ascii="楷体_GB2312" w:hAnsi="楷体_GB2312" w:eastAsia="楷体_GB2312" w:cs="楷体_GB2312"/>
          <w:b w:val="0"/>
          <w:bCs w:val="0"/>
          <w:color w:val="auto"/>
          <w:sz w:val="32"/>
          <w:szCs w:val="32"/>
          <w:shd w:val="clear" w:color="auto" w:fill="FFFFFF"/>
          <w:lang w:val="zh-CN"/>
        </w:rPr>
        <w:t>（二）存在问题</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hAnsi="宋体" w:cs="宋体"/>
          <w:b w:val="0"/>
          <w:bCs w:val="0"/>
          <w:color w:val="auto"/>
          <w:sz w:val="32"/>
          <w:szCs w:val="32"/>
          <w:shd w:val="clear" w:color="auto" w:fill="FFFFFF"/>
          <w:lang w:val="zh-CN"/>
        </w:rPr>
        <w:t>一是编制预算的先期预见性还不足，编制工作有待细化。二是财务人员业务水平有待提高。</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ascii="楷体_GB2312" w:hAnsi="楷体_GB2312" w:eastAsia="楷体_GB2312" w:cs="楷体_GB2312"/>
          <w:b w:val="0"/>
          <w:bCs w:val="0"/>
          <w:color w:val="auto"/>
          <w:sz w:val="32"/>
          <w:szCs w:val="32"/>
          <w:shd w:val="clear" w:color="auto" w:fill="FFFFFF"/>
          <w:lang w:val="zh-CN"/>
        </w:rPr>
      </w:pPr>
      <w:r>
        <w:rPr>
          <w:rFonts w:hint="eastAsia" w:ascii="楷体_GB2312" w:hAnsi="楷体_GB2312" w:eastAsia="楷体_GB2312" w:cs="楷体_GB2312"/>
          <w:b w:val="0"/>
          <w:bCs w:val="0"/>
          <w:color w:val="auto"/>
          <w:sz w:val="32"/>
          <w:szCs w:val="32"/>
          <w:shd w:val="clear" w:color="auto" w:fill="FFFFFF"/>
          <w:lang w:val="zh-CN"/>
        </w:rPr>
        <w:t>（三）改进建议</w:t>
      </w:r>
    </w:p>
    <w:p>
      <w:pPr>
        <w:pStyle w:val="2"/>
        <w:keepNext w:val="0"/>
        <w:keepLines w:val="0"/>
        <w:pageBreakBefore w:val="0"/>
        <w:widowControl w:val="0"/>
        <w:kinsoku/>
        <w:wordWrap/>
        <w:overflowPunct/>
        <w:topLinePunct w:val="0"/>
        <w:autoSpaceDE/>
        <w:autoSpaceDN/>
        <w:bidi w:val="0"/>
        <w:adjustRightInd/>
        <w:snapToGrid/>
        <w:spacing w:before="93" w:line="556" w:lineRule="exact"/>
        <w:ind w:firstLine="640" w:firstLineChars="200"/>
        <w:textAlignment w:val="auto"/>
        <w:rPr>
          <w:rFonts w:hint="eastAsia" w:hAnsi="宋体" w:cs="宋体"/>
          <w:b w:val="0"/>
          <w:bCs w:val="0"/>
          <w:color w:val="auto"/>
          <w:sz w:val="32"/>
          <w:szCs w:val="32"/>
          <w:shd w:val="clear" w:color="auto" w:fill="FFFFFF"/>
          <w:lang w:val="zh-CN"/>
        </w:rPr>
      </w:pPr>
      <w:r>
        <w:rPr>
          <w:rFonts w:hint="eastAsia" w:hAnsi="宋体" w:cs="宋体"/>
          <w:b w:val="0"/>
          <w:bCs w:val="0"/>
          <w:color w:val="auto"/>
          <w:sz w:val="32"/>
          <w:szCs w:val="32"/>
          <w:shd w:val="clear" w:color="auto" w:fill="FFFFFF"/>
          <w:lang w:val="zh-CN"/>
        </w:rPr>
        <w:t>一是科学合理编制预算，加强预算编制的前瞻性，保障工作顺利推进；二是加强对财务管理人员的培养，强化业务培训和理论研究。</w:t>
      </w:r>
    </w:p>
    <w:p>
      <w:pPr>
        <w:pStyle w:val="3"/>
        <w:rPr>
          <w:rFonts w:hint="eastAsia" w:hAnsi="宋体" w:cs="宋体"/>
          <w:b w:val="0"/>
          <w:bCs w:val="0"/>
          <w:color w:val="auto"/>
          <w:sz w:val="32"/>
          <w:szCs w:val="32"/>
          <w:shd w:val="clear" w:color="auto" w:fill="FFFFFF"/>
          <w:lang w:val="zh-CN"/>
        </w:rPr>
      </w:pPr>
    </w:p>
    <w:p>
      <w:pPr>
        <w:pStyle w:val="3"/>
        <w:rPr>
          <w:rFonts w:hint="eastAsia" w:hAnsi="宋体" w:cs="宋体"/>
          <w:b w:val="0"/>
          <w:bCs w:val="0"/>
          <w:color w:val="auto"/>
          <w:sz w:val="32"/>
          <w:szCs w:val="32"/>
          <w:shd w:val="clear" w:color="auto" w:fill="FFFFFF"/>
          <w:lang w:val="zh-CN"/>
        </w:rPr>
      </w:pPr>
    </w:p>
    <w:tbl>
      <w:tblPr>
        <w:tblStyle w:val="17"/>
        <w:tblW w:w="107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065"/>
        <w:gridCol w:w="360"/>
        <w:gridCol w:w="1140"/>
        <w:gridCol w:w="1022"/>
        <w:gridCol w:w="990"/>
        <w:gridCol w:w="373"/>
        <w:gridCol w:w="692"/>
        <w:gridCol w:w="1050"/>
        <w:gridCol w:w="163"/>
        <w:gridCol w:w="887"/>
        <w:gridCol w:w="1050"/>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0711"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4"/>
                <w:szCs w:val="44"/>
                <w:u w:val="none"/>
              </w:rPr>
            </w:pPr>
            <w:r>
              <w:rPr>
                <w:rFonts w:hint="eastAsia" w:ascii="方正小标宋简体" w:hAnsi="方正小标宋简体" w:eastAsia="方正小标宋简体" w:cs="方正小标宋简体"/>
                <w:i w:val="0"/>
                <w:color w:val="auto"/>
                <w:kern w:val="0"/>
                <w:sz w:val="44"/>
                <w:szCs w:val="44"/>
                <w:u w:val="none"/>
                <w:lang w:val="en-US" w:eastAsia="zh-CN" w:bidi="ar"/>
              </w:rPr>
              <w:t>部门（单位）整体支出绩效目标自评表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711"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38"/>
                <w:color w:val="auto"/>
                <w:lang w:val="en-US" w:eastAsia="zh-CN" w:bidi="ar"/>
              </w:rPr>
              <w:t>（</w:t>
            </w:r>
            <w:r>
              <w:rPr>
                <w:rStyle w:val="39"/>
                <w:rFonts w:eastAsia="宋体"/>
                <w:color w:val="auto"/>
                <w:lang w:val="en-US" w:eastAsia="zh-CN" w:bidi="ar"/>
              </w:rPr>
              <w:t xml:space="preserve">    2021   </w:t>
            </w:r>
            <w:r>
              <w:rPr>
                <w:rStyle w:val="38"/>
                <w:color w:val="auto"/>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部门名称</w:t>
            </w:r>
          </w:p>
        </w:tc>
        <w:tc>
          <w:tcPr>
            <w:tcW w:w="87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广元市以工代赈事务中心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年度</w:t>
            </w:r>
            <w:r>
              <w:rPr>
                <w:rFonts w:hint="eastAsia" w:ascii="仿宋_GB2312" w:hAnsi="宋体" w:eastAsia="仿宋_GB2312" w:cs="仿宋_GB2312"/>
                <w:i w:val="0"/>
                <w:color w:val="auto"/>
                <w:kern w:val="0"/>
                <w:sz w:val="20"/>
                <w:szCs w:val="20"/>
                <w:u w:val="none"/>
                <w:lang w:val="en-US" w:eastAsia="zh-CN" w:bidi="ar"/>
              </w:rPr>
              <w:br w:type="textWrapping"/>
            </w:r>
            <w:r>
              <w:rPr>
                <w:rFonts w:hint="eastAsia" w:ascii="仿宋_GB2312" w:hAnsi="宋体" w:eastAsia="仿宋_GB2312" w:cs="仿宋_GB2312"/>
                <w:i w:val="0"/>
                <w:color w:val="auto"/>
                <w:kern w:val="0"/>
                <w:sz w:val="20"/>
                <w:szCs w:val="20"/>
                <w:u w:val="none"/>
                <w:lang w:val="en-US" w:eastAsia="zh-CN" w:bidi="ar"/>
              </w:rPr>
              <w:t>主要</w:t>
            </w:r>
            <w:r>
              <w:rPr>
                <w:rFonts w:hint="eastAsia" w:ascii="仿宋_GB2312" w:hAnsi="宋体" w:eastAsia="仿宋_GB2312" w:cs="仿宋_GB2312"/>
                <w:i w:val="0"/>
                <w:color w:val="auto"/>
                <w:kern w:val="0"/>
                <w:sz w:val="20"/>
                <w:szCs w:val="20"/>
                <w:u w:val="none"/>
                <w:lang w:val="en-US" w:eastAsia="zh-CN" w:bidi="ar"/>
              </w:rPr>
              <w:br w:type="textWrapping"/>
            </w:r>
            <w:r>
              <w:rPr>
                <w:rFonts w:hint="eastAsia" w:ascii="仿宋_GB2312" w:hAnsi="宋体" w:eastAsia="仿宋_GB2312" w:cs="仿宋_GB2312"/>
                <w:i w:val="0"/>
                <w:color w:val="auto"/>
                <w:kern w:val="0"/>
                <w:sz w:val="20"/>
                <w:szCs w:val="20"/>
                <w:u w:val="none"/>
                <w:lang w:val="en-US" w:eastAsia="zh-CN" w:bidi="ar"/>
              </w:rPr>
              <w:t>任务</w:t>
            </w:r>
          </w:p>
        </w:tc>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任务名称</w:t>
            </w:r>
          </w:p>
        </w:tc>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主要内容</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预算金额（万元）</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总额</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财政拨款</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其他资金</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财政拨款</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任务1：人员支出</w:t>
            </w:r>
          </w:p>
        </w:tc>
        <w:tc>
          <w:tcPr>
            <w:tcW w:w="21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工资、津贴、奖金及养老保险、医疗保险、住房公积金等支出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170.51</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170.51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170.51</w:t>
            </w: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170.51</w:t>
            </w:r>
          </w:p>
        </w:tc>
        <w:tc>
          <w:tcPr>
            <w:tcW w:w="134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425"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任务2：日常公用支出</w:t>
            </w:r>
          </w:p>
        </w:tc>
        <w:tc>
          <w:tcPr>
            <w:tcW w:w="21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 xml:space="preserve">办公经费等支出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44.49</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44.49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44.49</w:t>
            </w: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44.49</w:t>
            </w:r>
          </w:p>
        </w:tc>
        <w:tc>
          <w:tcPr>
            <w:tcW w:w="134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任务3：易地扶贫搬迁后续扶持工作经费</w:t>
            </w:r>
          </w:p>
        </w:tc>
        <w:tc>
          <w:tcPr>
            <w:tcW w:w="21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出台《2021年广元市易地扶贫搬迁后续扶持工作方案》；召开工作会不少于2次，开展督导调研不少于4次；政策培训不少于1次。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20</w:t>
            </w:r>
          </w:p>
        </w:tc>
        <w:tc>
          <w:tcPr>
            <w:tcW w:w="134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任务4：以工代赈项目工作经费</w:t>
            </w:r>
          </w:p>
        </w:tc>
        <w:tc>
          <w:tcPr>
            <w:tcW w:w="21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储备以工代赈项目20个，争取以工代赈资金3000万元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20</w:t>
            </w:r>
          </w:p>
        </w:tc>
        <w:tc>
          <w:tcPr>
            <w:tcW w:w="134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任务5：扶贫工作专项经费</w:t>
            </w:r>
          </w:p>
        </w:tc>
        <w:tc>
          <w:tcPr>
            <w:tcW w:w="21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帮扶干部每月到村差旅费及驻村工作队生活补助费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0.5</w:t>
            </w: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0.5</w:t>
            </w:r>
          </w:p>
        </w:tc>
        <w:tc>
          <w:tcPr>
            <w:tcW w:w="134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358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金额合计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255.5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255.5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255.5</w:t>
            </w: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255.5</w:t>
            </w:r>
          </w:p>
        </w:tc>
        <w:tc>
          <w:tcPr>
            <w:tcW w:w="134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u w:val="none"/>
              </w:rPr>
            </w:pPr>
          </w:p>
        </w:tc>
        <w:tc>
          <w:tcPr>
            <w:tcW w:w="4577"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预期目标</w:t>
            </w:r>
          </w:p>
        </w:tc>
        <w:tc>
          <w:tcPr>
            <w:tcW w:w="55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年度</w:t>
            </w:r>
            <w:r>
              <w:rPr>
                <w:rFonts w:hint="eastAsia" w:ascii="仿宋_GB2312" w:hAnsi="宋体" w:eastAsia="仿宋_GB2312" w:cs="仿宋_GB2312"/>
                <w:i w:val="0"/>
                <w:color w:val="auto"/>
                <w:kern w:val="0"/>
                <w:sz w:val="20"/>
                <w:szCs w:val="20"/>
                <w:u w:val="none"/>
                <w:lang w:val="en-US" w:eastAsia="zh-CN" w:bidi="ar"/>
              </w:rPr>
              <w:br w:type="textWrapping"/>
            </w:r>
            <w:r>
              <w:rPr>
                <w:rFonts w:hint="eastAsia" w:ascii="仿宋_GB2312" w:hAnsi="宋体" w:eastAsia="仿宋_GB2312" w:cs="仿宋_GB2312"/>
                <w:i w:val="0"/>
                <w:color w:val="auto"/>
                <w:kern w:val="0"/>
                <w:sz w:val="20"/>
                <w:szCs w:val="20"/>
                <w:u w:val="none"/>
                <w:lang w:val="en-US" w:eastAsia="zh-CN" w:bidi="ar"/>
              </w:rPr>
              <w:t>总体</w:t>
            </w:r>
            <w:r>
              <w:rPr>
                <w:rFonts w:hint="eastAsia" w:ascii="仿宋_GB2312" w:hAnsi="宋体" w:eastAsia="仿宋_GB2312" w:cs="仿宋_GB2312"/>
                <w:i w:val="0"/>
                <w:color w:val="auto"/>
                <w:kern w:val="0"/>
                <w:sz w:val="20"/>
                <w:szCs w:val="20"/>
                <w:u w:val="none"/>
                <w:lang w:val="en-US" w:eastAsia="zh-CN" w:bidi="ar"/>
              </w:rPr>
              <w:br w:type="textWrapping"/>
            </w:r>
            <w:r>
              <w:rPr>
                <w:rFonts w:hint="eastAsia" w:ascii="仿宋_GB2312" w:hAnsi="宋体" w:eastAsia="仿宋_GB2312" w:cs="仿宋_GB2312"/>
                <w:i w:val="0"/>
                <w:color w:val="auto"/>
                <w:kern w:val="0"/>
                <w:sz w:val="20"/>
                <w:szCs w:val="20"/>
                <w:u w:val="none"/>
                <w:lang w:val="en-US" w:eastAsia="zh-CN" w:bidi="ar"/>
              </w:rPr>
              <w:t>目标</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 xml:space="preserve">  目标1：针对全市3.3万户、10.9万易地扶贫搬迁贫困人口，全面实施产业培育，夯实奔康基础；促进就业发展，拓宽致富渠道；保障公共服务，共享发展平台；实施机制创新，盘活土地资源；提升基层治理，激发内生动力。2021年储备以工代赈项目20个，争取2个以上国家以工代赈示范工程大项目，争取国、省以工代赈资金支持3000万元以上。提前编制2022年度项目计划，争取省对我市以工代赈资金倾斜力度，始终保持在全省领先地位。大力推行以工代赈方式，落实劳务报酬发放，全面推行公示、公告制度，主动接受社会监督，实行阳光操作。进一步强化以工代赈项目监管，规范建设流程，加强巡查监管，坚持以工代赈示范项目规划、开工、建设、竣工“四到场”，根据建设进度按月进行项目调度，落实项目竣工分级验收制。                                                                                                                                                                                            </w:t>
            </w:r>
            <w:r>
              <w:rPr>
                <w:rFonts w:hint="eastAsia" w:ascii="仿宋_GB2312" w:hAnsi="宋体" w:eastAsia="仿宋_GB2312" w:cs="仿宋_GB2312"/>
                <w:i w:val="0"/>
                <w:color w:val="auto"/>
                <w:kern w:val="0"/>
                <w:sz w:val="20"/>
                <w:szCs w:val="20"/>
                <w:u w:val="none"/>
                <w:lang w:val="en-US" w:eastAsia="zh-CN" w:bidi="ar"/>
              </w:rPr>
              <w:br w:type="textWrapping"/>
            </w:r>
            <w:r>
              <w:rPr>
                <w:rFonts w:hint="eastAsia" w:ascii="仿宋_GB2312" w:hAnsi="宋体" w:eastAsia="仿宋_GB2312" w:cs="仿宋_GB2312"/>
                <w:i w:val="0"/>
                <w:color w:val="auto"/>
                <w:kern w:val="0"/>
                <w:sz w:val="20"/>
                <w:szCs w:val="20"/>
                <w:u w:val="none"/>
                <w:lang w:val="en-US" w:eastAsia="zh-CN" w:bidi="ar"/>
              </w:rPr>
              <w:t xml:space="preserve">  目标2：帮扶苍溪县贫困村1个，剑阁县非贫困村1个。2021年全面完成精准扶贫年度帮扶工作任务</w:t>
            </w:r>
          </w:p>
        </w:tc>
        <w:tc>
          <w:tcPr>
            <w:tcW w:w="55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 xml:space="preserve">    1.落实后续产业扶持资金270万元,2021年扶持易地搬迁群众发展农林产业3.36万人。组织实施“送岗下乡”等招聘活动83场次，提供就业岗位1.8万余个，累计组织省内省外务工3.78万人。吸纳1.09万人次进园区、进车间务工就业。扶持137名易地搬迁群众创业,落实创业补贴、创业吸纳就业奖励等扶持资金156万元。2021年新增公益性岗位289个，累计提供公益性岗位3265个。成立集中安置点党支部11个，完成8个全市易地扶贫搬迁后续治理示范点创建。2.完成了广元市以工代赈“十四五”实施方案，规划总投资5.8亿元,其中规划中省资金5.2亿元。2021年争取到位以工代赈项目6930万元。其中：以工代赈示范工程2000万元，以工代赈巩固脱贫攻坚衔接乡村振兴试点项目790万元，以工代赈中央财政专项资金（衔接资金）项目3540万元，以工代赈省级财政资金项目300万元，省预算内基本建设投资项目300万元。高质量推进以工代赈项目建设。2020年以工代赈项目已全部完工，2021年以工代赈项目已全部开工，2021年项目完成投资4227.4万元，已发放劳务报酬681.05万元。在涉农项目中大力推广以工代赈方式。全市375个涉农项目、3.62亿元项目资金采用以工代赈方式实施，组织群众参与项目建设4532人。3.全面完成帮扶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年</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度</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绩</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效</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指</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一级指标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二级指标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三级指标</w:t>
            </w:r>
          </w:p>
        </w:tc>
        <w:tc>
          <w:tcPr>
            <w:tcW w:w="190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指标值</w:t>
            </w:r>
          </w:p>
        </w:tc>
        <w:tc>
          <w:tcPr>
            <w:tcW w:w="3278"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完成指标</w:t>
            </w:r>
          </w:p>
        </w:tc>
        <w:tc>
          <w:tcPr>
            <w:tcW w:w="1500" w:type="dxa"/>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数量指标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指标1：易地扶贫搬迁</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出台《2021年广元市易地扶贫搬迁后续扶持工作方案》</w:t>
            </w:r>
          </w:p>
        </w:tc>
        <w:tc>
          <w:tcPr>
            <w:tcW w:w="3278"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已出台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指标2：全年召开易地扶贫搬迁后续扶持工作会</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3278"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指标3：开展政策培训</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指标4：全年开展专题督导调研</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指标5：资金争取</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储备以工代赈项目20个，争取以工代赈资金3000万元</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储备项目35个；2021年争取到位以工代赈项目6930万元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6"/>
                <w:szCs w:val="16"/>
                <w:u w:val="none"/>
                <w:lang w:val="en-US" w:eastAsia="zh-CN" w:bidi="ar"/>
              </w:rPr>
              <w:t xml:space="preserve"> 指标6：扶贫工作专项经费</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帮扶干部每月到村差旅费及驻村工作队生活补助费</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帮扶干部每月到村开展工作，并按月发放工作补助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质量指标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指标1：动态监测</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建立《易地扶贫搬迁后续扶持台账》，动态监测，确保无人返贫</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建立易地扶贫搬迁月报表，全年12次调度，没有搬迁户返贫情况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指标2：资金争取</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高质量完成项目储备和争取</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储备项目35个；2021年争取到位以工代赈项目资金6930万元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6"/>
                <w:szCs w:val="16"/>
                <w:u w:val="none"/>
                <w:lang w:val="en-US" w:eastAsia="zh-CN" w:bidi="ar"/>
              </w:rPr>
              <w:t xml:space="preserve"> 指标3：扶贫工作专项经费</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巩固脱贫成果，确保贫困户不返贫并持续稳定增收</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已脱贫的48户贫困户无一户返贫并实现持续稳定增收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时效指标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指标1：易地扶贫搬迁</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2020年12月底完成</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指标2：资金到位</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2021年9月之前资金到位</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指标3：完成脱贫任务</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2021年1月至12月</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2021年1月至12月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成本指标</w:t>
            </w:r>
          </w:p>
        </w:tc>
        <w:tc>
          <w:tcPr>
            <w:tcW w:w="238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指标1：项目经费</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20万元，主要用于督导差旅费、会议培训、督查检查、迎检等工作</w:t>
            </w:r>
          </w:p>
        </w:tc>
        <w:tc>
          <w:tcPr>
            <w:tcW w:w="3278" w:type="dxa"/>
            <w:gridSpan w:val="3"/>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全年支出20万元，包括差旅费7万余元，会议培训1万余元，督导检查8000余元、开展专项审计3万余元，迎接督导检查2万余元等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指标2：项目经费</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20万元，用于项目争取、会议培训、项目督导、检查等相关费用</w:t>
            </w:r>
          </w:p>
        </w:tc>
        <w:tc>
          <w:tcPr>
            <w:tcW w:w="3278"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全年支出20万元，包括争取项目资金费6万余元，差旅费8万元，会议、培训费1.5万余元等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指标3：公用经费</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0.5万元，主要用于驻村干部差旅补助、慰问等</w:t>
            </w:r>
          </w:p>
        </w:tc>
        <w:tc>
          <w:tcPr>
            <w:tcW w:w="3278" w:type="dxa"/>
            <w:gridSpan w:val="3"/>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0.5万元，支付驻村队员差旅补助、慰问、保险等费用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效果指标</w:t>
            </w:r>
          </w:p>
        </w:tc>
        <w:tc>
          <w:tcPr>
            <w:tcW w:w="150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经济效益</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指标1：易地扶贫搬迁</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争取易地扶贫搬迁安置区项目资金</w:t>
            </w:r>
          </w:p>
        </w:tc>
        <w:tc>
          <w:tcPr>
            <w:tcW w:w="3278"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落实集中安置区后续产业扶持资金270万元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指标2：资金争取</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资金争取</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2021年争取到位以工代赈项目资金6930万元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6"/>
                <w:szCs w:val="16"/>
                <w:u w:val="none"/>
                <w:lang w:val="en-US" w:eastAsia="zh-CN" w:bidi="ar"/>
              </w:rPr>
              <w:t xml:space="preserve"> 指标3：贫困群众稳定增收</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巩固脱贫成效，脱贫户人均收入6500元以上</w:t>
            </w:r>
          </w:p>
        </w:tc>
        <w:tc>
          <w:tcPr>
            <w:tcW w:w="3278" w:type="dxa"/>
            <w:gridSpan w:val="3"/>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巩固脱贫成效，脱贫户人均收入9000元以上。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社会效益</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指标1：易地扶贫搬迁</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搬迁群众收入稳定，公共服务保障到位，幸福指数提升</w:t>
            </w:r>
          </w:p>
        </w:tc>
        <w:tc>
          <w:tcPr>
            <w:tcW w:w="3278"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扶持易地搬迁群众发展农林产业3.36万人。组织实施“送岗下乡”等招聘活动83场次，提供就业岗位1.8万余个，累计组织省内省外务工3.78万人。吸纳1.09万人次进园区、进车间务工就业，扶持137名易地搬迁群众创业,落实创业补贴、创业吸纳就业奖励等扶持资金156万元。2021年新增公益性岗位289个，累计提供公益性岗位3265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指标2：以工代赈项目</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加强巡查监管，强化以工代赈项目监管</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出台了《关于进一步加强以工代赈项目建设管理的通知》，督导各县区严格落实项目建设“四到场”2021年项目已完成投资4227.4万元，发放劳务报酬681.05万元。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指标3：以工代赈项目</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群众了解政策、积极配合，政策推进顺利</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全年开展政策培训3次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指标3：村民基本生活、娱乐、文化需求能够得到保障。</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村民基本生活得到保障，提升幸福感</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全村家庭通电率100%，通天然气率80%，网路信号覆盖率100%，有线电视使用率100%。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生态效益</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指标</w:t>
            </w:r>
          </w:p>
        </w:tc>
        <w:tc>
          <w:tcPr>
            <w:tcW w:w="238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指标1：以工代赈项目</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谋划以工代赈项目充分考虑生态环境因素，每个项目可研内有环境影响登记备案表</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每个项目都有环境影响登记备案表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指标2： 扶贫工作专项经费</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人居环境有所改善，有垃圾集中点，村民养成爱卫生的好习惯</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村落清洁卫生好，有垃圾集中点，有垃圾清运车定点清运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可持续影响</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指标</w:t>
            </w:r>
          </w:p>
        </w:tc>
        <w:tc>
          <w:tcPr>
            <w:tcW w:w="238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指标1：易地扶贫搬迁</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提高安置区基层治理水平</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完成苍溪县白鹤乡古泉村、旺苍县东河镇南凤村等8个全市易地扶贫搬迁后续治理示范点创建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指标2：易地扶贫搬迁</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提升安置区基础设施建设</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统筹安排以工代赈项目4个1661万元用于支持集中安置点公共服务配套基础设施和产业发展的基础设施建设。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指标3：易地扶贫搬迁</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改善农村居住环境，促进群众就业增收</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改善路、水、土等农村小型基础设施建设和产业发展，有意愿的搬迁户都发展1个稳定增收的长产业和生猪、土鸡、蔬菜等当年能见效的短产业。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指标4： 贫困村产业持续发展</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拓宽产业发展渠道，新发展产业增收</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新增35亩猕猴桃种植园，改造40亩猕猴桃低效园，养殖100头肉羊。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满意度</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指标</w:t>
            </w:r>
          </w:p>
        </w:tc>
        <w:tc>
          <w:tcPr>
            <w:tcW w:w="150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满意度指标</w:t>
            </w:r>
          </w:p>
        </w:tc>
        <w:tc>
          <w:tcPr>
            <w:tcW w:w="238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指标1：搬迁群众满意度</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u w:val="none"/>
              </w:rPr>
            </w:pPr>
            <w:r>
              <w:rPr>
                <w:rStyle w:val="40"/>
                <w:color w:val="auto"/>
                <w:lang w:val="en-US" w:eastAsia="zh-CN" w:bidi="ar"/>
              </w:rPr>
              <w:t>≧</w:t>
            </w:r>
            <w:r>
              <w:rPr>
                <w:rStyle w:val="41"/>
                <w:rFonts w:hAnsi="宋体"/>
                <w:color w:val="auto"/>
                <w:lang w:val="en-US" w:eastAsia="zh-CN" w:bidi="ar"/>
              </w:rPr>
              <w:t>95%</w:t>
            </w:r>
          </w:p>
        </w:tc>
        <w:tc>
          <w:tcPr>
            <w:tcW w:w="3278" w:type="dxa"/>
            <w:gridSpan w:val="3"/>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Style w:val="40"/>
                <w:color w:val="auto"/>
                <w:lang w:val="en-US" w:eastAsia="zh-CN" w:bidi="ar"/>
              </w:rPr>
              <w:t>≧</w:t>
            </w:r>
            <w:r>
              <w:rPr>
                <w:rStyle w:val="41"/>
                <w:rFonts w:hAnsi="宋体"/>
                <w:color w:val="auto"/>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指标1：资金争取满意率</w:t>
            </w:r>
          </w:p>
        </w:tc>
        <w:tc>
          <w:tcPr>
            <w:tcW w:w="190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u w:val="none"/>
              </w:rPr>
            </w:pPr>
            <w:r>
              <w:rPr>
                <w:rStyle w:val="40"/>
                <w:color w:val="auto"/>
                <w:lang w:val="en-US" w:eastAsia="zh-CN" w:bidi="ar"/>
              </w:rPr>
              <w:t>≧</w:t>
            </w:r>
            <w:r>
              <w:rPr>
                <w:rStyle w:val="41"/>
                <w:rFonts w:hAnsi="宋体"/>
                <w:color w:val="auto"/>
                <w:lang w:val="en-US" w:eastAsia="zh-CN" w:bidi="ar"/>
              </w:rPr>
              <w:t>98%</w:t>
            </w:r>
          </w:p>
        </w:tc>
        <w:tc>
          <w:tcPr>
            <w:tcW w:w="3278"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Style w:val="40"/>
                <w:color w:val="auto"/>
                <w:lang w:val="en-US" w:eastAsia="zh-CN" w:bidi="ar"/>
              </w:rPr>
              <w:t>≧</w:t>
            </w:r>
            <w:r>
              <w:rPr>
                <w:rStyle w:val="41"/>
                <w:rFonts w:hAnsi="宋体"/>
                <w:color w:val="auto"/>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6"/>
                <w:szCs w:val="16"/>
                <w:u w:val="none"/>
                <w:lang w:val="en-US" w:eastAsia="zh-CN" w:bidi="ar"/>
              </w:rPr>
              <w:t>指标2：项目区群众满意率</w:t>
            </w:r>
          </w:p>
        </w:tc>
        <w:tc>
          <w:tcPr>
            <w:tcW w:w="190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u w:val="none"/>
              </w:rPr>
            </w:pPr>
            <w:r>
              <w:rPr>
                <w:rStyle w:val="40"/>
                <w:color w:val="auto"/>
                <w:lang w:val="en-US" w:eastAsia="zh-CN" w:bidi="ar"/>
              </w:rPr>
              <w:t>≧</w:t>
            </w:r>
            <w:r>
              <w:rPr>
                <w:rStyle w:val="41"/>
                <w:rFonts w:hAnsi="宋体"/>
                <w:color w:val="auto"/>
                <w:lang w:val="en-US" w:eastAsia="zh-CN" w:bidi="ar"/>
              </w:rPr>
              <w:t>90%</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Style w:val="40"/>
                <w:color w:val="auto"/>
                <w:lang w:val="en-US" w:eastAsia="zh-CN" w:bidi="ar"/>
              </w:rPr>
              <w:t>≧</w:t>
            </w:r>
            <w:r>
              <w:rPr>
                <w:rStyle w:val="41"/>
                <w:rFonts w:hAnsi="宋体"/>
                <w:color w:val="auto"/>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50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 xml:space="preserve"> 指标1：帮扶群众满意率</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≧95%</w:t>
            </w:r>
          </w:p>
        </w:tc>
        <w:tc>
          <w:tcPr>
            <w:tcW w:w="32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711" w:type="dxa"/>
            <w:gridSpan w:val="13"/>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注：部门整体支出绩效目标自评表在年度预算执行完毕后填报。</w:t>
            </w:r>
          </w:p>
        </w:tc>
      </w:tr>
    </w:tbl>
    <w:p>
      <w:pPr>
        <w:pStyle w:val="3"/>
        <w:rPr>
          <w:rFonts w:hint="eastAsia" w:hAnsi="宋体" w:cs="宋体"/>
          <w:b w:val="0"/>
          <w:bCs w:val="0"/>
          <w:color w:val="auto"/>
          <w:sz w:val="32"/>
          <w:szCs w:val="32"/>
          <w:shd w:val="clear" w:color="auto" w:fill="FFFFFF"/>
          <w:lang w:val="zh-CN"/>
        </w:rPr>
      </w:pPr>
    </w:p>
    <w:p>
      <w:pPr>
        <w:pStyle w:val="3"/>
        <w:rPr>
          <w:rFonts w:hint="eastAsia" w:hAnsi="宋体" w:cs="宋体"/>
          <w:b w:val="0"/>
          <w:bCs w:val="0"/>
          <w:color w:val="auto"/>
          <w:sz w:val="32"/>
          <w:szCs w:val="32"/>
          <w:shd w:val="clear" w:color="auto" w:fill="FFFFFF"/>
          <w:lang w:val="zh-CN"/>
        </w:rPr>
      </w:pPr>
    </w:p>
    <w:p>
      <w:pPr>
        <w:pStyle w:val="3"/>
        <w:rPr>
          <w:rFonts w:hint="eastAsia" w:hAnsi="宋体" w:cs="宋体"/>
          <w:b w:val="0"/>
          <w:bCs w:val="0"/>
          <w:color w:val="auto"/>
          <w:sz w:val="32"/>
          <w:szCs w:val="32"/>
          <w:shd w:val="clear" w:color="auto" w:fill="FFFFFF"/>
          <w:lang w:val="zh-CN"/>
        </w:rPr>
      </w:pPr>
    </w:p>
    <w:p>
      <w:pPr>
        <w:pStyle w:val="2"/>
        <w:spacing w:before="93"/>
        <w:rPr>
          <w:rFonts w:hint="eastAsia" w:ascii="黑体" w:hAnsi="黑体" w:eastAsia="黑体" w:cs="黑体"/>
          <w:b w:val="0"/>
          <w:bCs w:val="0"/>
          <w:color w:val="auto"/>
          <w:lang w:val="en-US" w:eastAsia="zh-CN"/>
        </w:rPr>
      </w:pPr>
      <w:r>
        <w:rPr>
          <w:rFonts w:hint="eastAsia" w:ascii="黑体" w:hAnsi="黑体" w:eastAsia="黑体" w:cs="黑体"/>
          <w:b w:val="0"/>
          <w:bCs w:val="0"/>
          <w:color w:val="auto"/>
          <w:sz w:val="32"/>
          <w:szCs w:val="32"/>
          <w:shd w:val="clear" w:color="auto" w:fill="FFFFFF"/>
          <w:lang w:val="zh-CN"/>
        </w:rPr>
        <w:t>附件</w:t>
      </w:r>
      <w:r>
        <w:rPr>
          <w:rFonts w:hint="eastAsia" w:ascii="黑体" w:hAnsi="黑体" w:eastAsia="黑体" w:cs="黑体"/>
          <w:b w:val="0"/>
          <w:bCs w:val="0"/>
          <w:color w:val="auto"/>
          <w:sz w:val="32"/>
          <w:szCs w:val="32"/>
          <w:shd w:val="clear" w:color="auto" w:fill="FFFFFF"/>
          <w:lang w:val="en-US" w:eastAsia="zh-CN"/>
        </w:rPr>
        <w:t>2</w:t>
      </w:r>
    </w:p>
    <w:p>
      <w:pPr>
        <w:pStyle w:val="2"/>
        <w:keepNext w:val="0"/>
        <w:keepLines w:val="0"/>
        <w:pageBreakBefore w:val="0"/>
        <w:widowControl w:val="0"/>
        <w:kinsoku/>
        <w:wordWrap/>
        <w:overflowPunct/>
        <w:topLinePunct w:val="0"/>
        <w:autoSpaceDE/>
        <w:autoSpaceDN/>
        <w:bidi w:val="0"/>
        <w:adjustRightInd/>
        <w:snapToGrid/>
        <w:spacing w:before="93" w:line="600" w:lineRule="exact"/>
        <w:jc w:val="center"/>
        <w:textAlignment w:val="auto"/>
        <w:rPr>
          <w:rFonts w:hint="eastAsia" w:ascii="方正小标宋简体" w:hAnsi="方正小标宋简体" w:eastAsia="方正小标宋简体" w:cs="方正小标宋简体"/>
          <w:b w:val="0"/>
          <w:bCs w:val="0"/>
          <w:color w:val="auto"/>
          <w:sz w:val="44"/>
          <w:szCs w:val="44"/>
          <w:lang w:val="zh-CN"/>
        </w:rPr>
      </w:pPr>
      <w:r>
        <w:rPr>
          <w:rFonts w:hint="eastAsia" w:ascii="方正小标宋简体" w:hAnsi="方正小标宋简体" w:eastAsia="方正小标宋简体" w:cs="方正小标宋简体"/>
          <w:b w:val="0"/>
          <w:bCs w:val="0"/>
          <w:color w:val="auto"/>
          <w:sz w:val="44"/>
          <w:szCs w:val="44"/>
          <w:lang w:val="zh-CN"/>
        </w:rPr>
        <w:t>广元市以工代赈事务中心</w:t>
      </w:r>
    </w:p>
    <w:p>
      <w:pPr>
        <w:pStyle w:val="2"/>
        <w:spacing w:before="93"/>
        <w:jc w:val="center"/>
        <w:rPr>
          <w:rFonts w:hint="eastAsia"/>
          <w:b w:val="0"/>
          <w:bCs w:val="0"/>
          <w:color w:val="auto"/>
          <w:lang w:val="zh-CN"/>
        </w:rPr>
      </w:pPr>
      <w:r>
        <w:rPr>
          <w:rFonts w:hint="eastAsia" w:ascii="方正小标宋简体" w:hAnsi="方正小标宋简体" w:eastAsia="方正小标宋简体" w:cs="方正小标宋简体"/>
          <w:b w:val="0"/>
          <w:bCs w:val="0"/>
          <w:color w:val="auto"/>
          <w:sz w:val="44"/>
          <w:szCs w:val="44"/>
          <w:lang w:val="zh-CN"/>
        </w:rPr>
        <w:t>202</w:t>
      </w:r>
      <w:r>
        <w:rPr>
          <w:rFonts w:hint="default" w:ascii="方正小标宋简体" w:hAnsi="方正小标宋简体" w:eastAsia="方正小标宋简体" w:cs="方正小标宋简体"/>
          <w:b w:val="0"/>
          <w:bCs w:val="0"/>
          <w:color w:val="auto"/>
          <w:sz w:val="44"/>
          <w:szCs w:val="44"/>
          <w:lang w:val="en-US"/>
        </w:rPr>
        <w:t>1</w:t>
      </w:r>
      <w:r>
        <w:rPr>
          <w:rFonts w:hint="eastAsia" w:ascii="方正小标宋简体" w:hAnsi="方正小标宋简体" w:eastAsia="方正小标宋简体" w:cs="方正小标宋简体"/>
          <w:b w:val="0"/>
          <w:bCs w:val="0"/>
          <w:color w:val="auto"/>
          <w:sz w:val="44"/>
          <w:szCs w:val="44"/>
          <w:lang w:val="zh-CN"/>
        </w:rPr>
        <w:t>年专项预算项目支出绩效自评报告</w:t>
      </w:r>
    </w:p>
    <w:p>
      <w:pPr>
        <w:pStyle w:val="2"/>
        <w:spacing w:before="93"/>
        <w:jc w:val="center"/>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（以工代赈项目工作经费）</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黑体" w:hAnsi="黑体" w:eastAsia="黑体" w:cs="黑体"/>
          <w:b w:val="0"/>
          <w:bCs w:val="0"/>
          <w:color w:val="auto"/>
          <w:lang w:val="zh-CN"/>
        </w:rPr>
      </w:pPr>
      <w:r>
        <w:rPr>
          <w:rFonts w:hint="eastAsia" w:ascii="黑体" w:hAnsi="黑体" w:eastAsia="黑体" w:cs="黑体"/>
          <w:b w:val="0"/>
          <w:bCs w:val="0"/>
          <w:color w:val="auto"/>
          <w:lang w:val="zh-CN"/>
        </w:rPr>
        <w:t>一、项目概况</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（一）项目基本情况</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1.项目主管部门在该项目管理中的职能。市以工代赈事务中心为该项目的主管部门，在该项目管理中的职能主要是编制研究全市以工代赈实施意见、管理办法和中长期规划及年度计划、负责全市以工代赈项目论证、可行性研究，项目库管理；做好与上级部门的项目衔接工作，争取以工代赈项目资金；负责推行好以工代赈方式；指导县区做好以工代赈项目建设和管理工作。</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2.项目立项、资金申报的依据。根据国家发展改革委《关于进一步发挥以工代赈政策作用助力打赢脱贫攻坚的指导意见》、国家发展改革委《关于在农业农村基础设施建设领域积极推广以工代赈方式的意见》进行项目申报。</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3．资金管理办法制定情况，资金支持具体项目的条件、范围与支持方式概况。以工代赈项目工作经费是用于补充我中心的办公经费，在项目管理上，我中心严格按照广元市以工代赈事务中心机关财务管理办法（试行）执行，管理规范，制度健全。资金支持具体项目的条件是向上对接、争取以工代赈项目资金、开展项目督导、管理，大力推广以工代赈方式等。</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4.资金分配的原则及考虑因素。资金分配原则在预算资金内进行分配，科学合理安排资金预算支出，使资金落到实处。主要考虑向上对接、争取以工代赈项目资金、做好以工代赈项目建设和项目管理、推广以工代赈方式和工作中督导、检查宣传工作等费用。</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（二）项目绩效目标</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 xml:space="preserve">1.项目主要内容。2021年储备以工代赈项目20个，争取2个以上国家以工代赈示范工程大项目，争取国、省以工代赈资金支持3000万元以上。提前编制2022年度项目计划，争取省对我市以工代赈资金倾斜力度，始终保持在全省领先地位。大力推行以工代赈方式，落实劳务报酬发放，全面推行公示、公告制度，主动接受社会监督，实行阳光操作。进一步强化以工代赈项目监管，规范建设流程，加强巡查监管，坚持以工代赈示范项目规划、开工、建设、竣工“四到场”，根据建设进度按月进行项目调度，落实项目竣工分级验收制。 </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2.项目应实现的具体绩效目标。该项目应实现的具体绩效目标为：2021年储备以工代赈项目20个；争取2个以上国家以工代赈示范工程大项目，争取以工代赈资金3000万元；2021年9月之前资金全部到位。大力推广以工代赈方式，发放劳务报酬不低于财政投入的10%；加强巡查监管，强化以工代赈项目监管，资金争取满意率达到98%以上，项目区群众满意率达到90%以上。</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3.分析评价申报内容是否与实际相符，申报目标是否合理可行。2021年，申报内容与实际相符，申报目标合理可行。</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（三）项目自评步骤及方法</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我中心成立了由党组书记、主任任组长，2名副主任任副组长，各科室负责人为成员的项目自评工作领导小组，负责全面组织实施项目自评并全过程监督。工作组从项目申报、实施、使用情况开展自评，重点对项目经费申报是否合理、使用是否合规、程序是规范，制度是否健全等方面开展评价，并形成自评报告。</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黑体" w:hAnsi="黑体" w:eastAsia="黑体" w:cs="黑体"/>
          <w:b w:val="0"/>
          <w:bCs w:val="0"/>
          <w:color w:val="auto"/>
          <w:lang w:val="zh-CN"/>
        </w:rPr>
      </w:pPr>
      <w:r>
        <w:rPr>
          <w:rFonts w:hint="eastAsia" w:ascii="黑体" w:hAnsi="黑体" w:eastAsia="黑体" w:cs="黑体"/>
          <w:b w:val="0"/>
          <w:bCs w:val="0"/>
          <w:color w:val="auto"/>
          <w:lang w:val="zh-CN"/>
        </w:rPr>
        <w:t>二、项目资金申报及使用情况</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（一）项目资金申报及批复情况</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2021年我中心申报以工代赈项目工作经费20万元，财政批复20万元，预算与批复相等。</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（二）资金计划、到位及使用情况</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1．资金计划。此资金计划为财政下达的专项资金。</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2．资金到位。以工代赈项目工作经费计划20万元，实际到位资金20万元，该资金由财政直接下达单位，到位率100%，到位及时性100%，到位情况与资金计划一致。</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3．资金使用。截止评价时点该项目资已经全部支出。该项目资金为补充办公经费资金，按照资金使用规定在规定的时间内通过规定的途径拨付，达到资金管理要求。该资金支付范围、支付标准、支付进度、支付依据等是否合规合法、与预算相符。</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（三）项目财务管理情况</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我单位有健全的财务管理制度，资金严格执行财务管理制度进行使用。资金支付由财务人员按照财务制度进行审核、支付和核算，所有支出均以转账方式进行，在具体支付时，手续完善，不存在虚假会计凭证，会计严格执行财务管理制度，账务处理及时，会计核算规范。</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黑体" w:hAnsi="黑体" w:eastAsia="黑体" w:cs="黑体"/>
          <w:b w:val="0"/>
          <w:bCs w:val="0"/>
          <w:color w:val="auto"/>
          <w:lang w:val="zh-CN"/>
        </w:rPr>
      </w:pPr>
      <w:r>
        <w:rPr>
          <w:rFonts w:hint="eastAsia" w:ascii="黑体" w:hAnsi="黑体" w:eastAsia="黑体" w:cs="黑体"/>
          <w:b w:val="0"/>
          <w:bCs w:val="0"/>
          <w:color w:val="auto"/>
          <w:lang w:val="zh-CN"/>
        </w:rPr>
        <w:t>三、项目实施及管理情况</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ascii="楷体_GB2312" w:hAnsi="楷体_GB2312" w:eastAsia="楷体_GB2312" w:cs="楷体_GB2312"/>
          <w:b w:val="0"/>
          <w:bCs w:val="0"/>
          <w:color w:val="auto"/>
          <w:lang w:val="zh-CN"/>
        </w:rPr>
        <w:t>（一）项目组织架构及实施流程。</w:t>
      </w:r>
      <w:r>
        <w:rPr>
          <w:rFonts w:hint="eastAsia"/>
          <w:b w:val="0"/>
          <w:bCs w:val="0"/>
          <w:color w:val="auto"/>
          <w:lang w:val="zh-CN"/>
        </w:rPr>
        <w:t>为加强财政经费管理，我中心成立了项目管理工作领导小组，负责对以工代赈项目工作经费预算编制和使用全过程监督，领导小组下设办公室，由综合科科长任办公室主任，负责项目预算申报和具体实施。年初，由综合科会同相关科室提出项目支出内容，通过中心党组会研究确定，确保经费使用效率。</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ascii="楷体_GB2312" w:hAnsi="楷体_GB2312" w:eastAsia="楷体_GB2312" w:cs="楷体_GB2312"/>
          <w:b w:val="0"/>
          <w:bCs w:val="0"/>
          <w:color w:val="auto"/>
          <w:lang w:val="zh-CN"/>
        </w:rPr>
        <w:t>（二）项目管理情况。</w:t>
      </w:r>
      <w:r>
        <w:rPr>
          <w:rFonts w:hint="eastAsia"/>
          <w:b w:val="0"/>
          <w:bCs w:val="0"/>
          <w:color w:val="auto"/>
          <w:lang w:val="zh-CN"/>
        </w:rPr>
        <w:t>市以工代赈事务中心严格按照项目管理有关规定对专项经费进行管理，综合科负责协调相关工作、项目实施及资金管理。</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ascii="楷体_GB2312" w:hAnsi="楷体_GB2312" w:eastAsia="楷体_GB2312" w:cs="楷体_GB2312"/>
          <w:b w:val="0"/>
          <w:bCs w:val="0"/>
          <w:color w:val="auto"/>
          <w:lang w:val="zh-CN"/>
        </w:rPr>
        <w:t>（三）项目监管情况。</w:t>
      </w:r>
      <w:r>
        <w:rPr>
          <w:rFonts w:hint="eastAsia"/>
          <w:b w:val="0"/>
          <w:bCs w:val="0"/>
          <w:color w:val="auto"/>
          <w:lang w:val="zh-CN"/>
        </w:rPr>
        <w:t>项目经费严格按照经费程序和审批流程进行，经费支出必须通过财务人员审核、综合科审批、分管领导审签后支出，大额金额必须通过党组会议议定后支出。同时经费管理主动接受驻纪检监察组和审计部门的监督检查，对预算执行实行动态监控，无违纪违法现象。</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黑体" w:hAnsi="黑体" w:eastAsia="黑体" w:cs="黑体"/>
          <w:b w:val="0"/>
          <w:bCs w:val="0"/>
          <w:color w:val="auto"/>
          <w:lang w:val="zh-CN"/>
        </w:rPr>
      </w:pPr>
      <w:r>
        <w:rPr>
          <w:rFonts w:hint="eastAsia" w:ascii="黑体" w:hAnsi="黑体" w:eastAsia="黑体" w:cs="黑体"/>
          <w:b w:val="0"/>
          <w:bCs w:val="0"/>
          <w:color w:val="auto"/>
          <w:lang w:val="zh-CN"/>
        </w:rPr>
        <w:t>四、项目绩效情况</w:t>
      </w:r>
      <w:r>
        <w:rPr>
          <w:rFonts w:hint="eastAsia" w:ascii="黑体" w:hAnsi="黑体" w:eastAsia="黑体" w:cs="黑体"/>
          <w:b w:val="0"/>
          <w:bCs w:val="0"/>
          <w:color w:val="auto"/>
          <w:lang w:val="zh-CN"/>
        </w:rPr>
        <w:tab/>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（一）项目完成情况</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 xml:space="preserve"> 通过项目实施，2021年我市储备以工代赈项目35个，争取到位以工代赈项目6930万元，其中：以工代赈示范工程2000万元，以工代赈巩固脱贫攻坚衔接乡村振兴试点项目790万元，以工代赈中央财政专项资金（衔接资金）项目3540万元，以工代赈省级财政资金项目300万元，省预算内基本建设投资项目300万元。出台了《关于进一步加强以工代赈项目建设管理的通知》，督导各县区严格落实项目建设“四到场”，2021年以工代赈项目已完成投资4227.4万元，发放劳务报酬681.05万元。全年开展政策培训3次，有效改善路、水、土等农村小型基础设施建设和产业发展。2021年全市在涉农项目建设中共有334个项目采用以工代赈方式，财政总投资近3.45亿元，已组织7193人参与务工，向群众发放报酬4521.1万元，占财政资金的13.1%。从督查、调研反馈情况看，资金争取满意率达到98%，项目区群众满意率达到95%以上。</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（二）项目效益情况。</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从项目各项效益指标看，2021年以工代赈项目工作经费按照既定目标完成各项效益指标，项目完成质量较好，资金争取满意率达到98%，项目区群众满意率达到95%以上。</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黑体" w:hAnsi="黑体" w:eastAsia="黑体" w:cs="黑体"/>
          <w:b w:val="0"/>
          <w:bCs w:val="0"/>
          <w:color w:val="auto"/>
          <w:lang w:val="zh-CN"/>
        </w:rPr>
      </w:pPr>
      <w:r>
        <w:rPr>
          <w:rFonts w:hint="eastAsia" w:ascii="黑体" w:hAnsi="黑体" w:eastAsia="黑体" w:cs="黑体"/>
          <w:b w:val="0"/>
          <w:bCs w:val="0"/>
          <w:color w:val="auto"/>
          <w:lang w:val="zh-CN"/>
        </w:rPr>
        <w:t>五、评价结论及建议</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（一）评价结论</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以工代赈项目工作经费是用于补充我中心办公经费，通过此次绩效评价，我中心项目管理规范精细、项目督察督办落实到位、项目责任落实到位。从督查、调研反馈情况汇总，资金争取满意率达到98%，项目区群众满意率达到95%以上，项目总体绩效评价好。</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（二）存在的问题</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项目测算标准有待细化，测算准确率有待提高。</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（三）相关建议</w:t>
      </w:r>
    </w:p>
    <w:p>
      <w:pPr>
        <w:pStyle w:val="2"/>
        <w:keepNext w:val="0"/>
        <w:keepLines w:val="0"/>
        <w:pageBreakBefore w:val="0"/>
        <w:widowControl w:val="0"/>
        <w:kinsoku/>
        <w:wordWrap/>
        <w:overflowPunct/>
        <w:topLinePunct w:val="0"/>
        <w:autoSpaceDE/>
        <w:autoSpaceDN/>
        <w:bidi w:val="0"/>
        <w:adjustRightInd/>
        <w:snapToGrid/>
        <w:spacing w:before="93" w:line="536" w:lineRule="exact"/>
        <w:ind w:firstLine="600" w:firstLineChars="200"/>
        <w:textAlignment w:val="auto"/>
        <w:rPr>
          <w:rFonts w:hint="eastAsia"/>
          <w:b w:val="0"/>
          <w:bCs w:val="0"/>
          <w:color w:val="auto"/>
          <w:lang w:val="zh-CN"/>
        </w:rPr>
      </w:pPr>
      <w:r>
        <w:rPr>
          <w:rFonts w:hint="eastAsia"/>
          <w:b w:val="0"/>
          <w:bCs w:val="0"/>
          <w:color w:val="auto"/>
          <w:lang w:val="zh-CN"/>
        </w:rPr>
        <w:t>建议加大对绩效管理工作的指导和业务培训，进一步提高工作质效。</w:t>
      </w:r>
    </w:p>
    <w:p>
      <w:pPr>
        <w:pStyle w:val="3"/>
        <w:rPr>
          <w:rFonts w:hint="eastAsia"/>
          <w:color w:val="auto"/>
          <w:lang w:val="zh-CN"/>
        </w:rPr>
      </w:pPr>
    </w:p>
    <w:p>
      <w:pPr>
        <w:pStyle w:val="3"/>
        <w:rPr>
          <w:rFonts w:hint="eastAsia"/>
          <w:color w:val="auto"/>
          <w:lang w:val="zh-CN"/>
        </w:rPr>
      </w:pPr>
    </w:p>
    <w:tbl>
      <w:tblPr>
        <w:tblStyle w:val="17"/>
        <w:tblW w:w="10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1237"/>
        <w:gridCol w:w="1178"/>
        <w:gridCol w:w="2055"/>
        <w:gridCol w:w="2362"/>
        <w:gridCol w:w="2242"/>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516"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4"/>
                <w:szCs w:val="44"/>
                <w:u w:val="none"/>
              </w:rPr>
            </w:pPr>
            <w:r>
              <w:rPr>
                <w:rFonts w:hint="eastAsia" w:ascii="方正小标宋简体" w:hAnsi="方正小标宋简体" w:eastAsia="方正小标宋简体" w:cs="方正小标宋简体"/>
                <w:i w:val="0"/>
                <w:color w:val="auto"/>
                <w:kern w:val="0"/>
                <w:sz w:val="44"/>
                <w:szCs w:val="44"/>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16"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r>
              <w:rPr>
                <w:rFonts w:hint="default" w:ascii="Times New Roman" w:hAnsi="Times New Roman" w:eastAsia="宋体" w:cs="Times New Roman"/>
                <w:i w:val="0"/>
                <w:color w:val="auto"/>
                <w:kern w:val="0"/>
                <w:sz w:val="24"/>
                <w:szCs w:val="24"/>
                <w:u w:val="none"/>
                <w:lang w:val="en-US" w:eastAsia="zh-CN" w:bidi="ar"/>
              </w:rPr>
              <w:t xml:space="preserve"> 2021 </w:t>
            </w:r>
            <w:r>
              <w:rPr>
                <w:rFonts w:hint="eastAsia" w:ascii="宋体" w:hAnsi="宋体" w:eastAsia="宋体" w:cs="宋体"/>
                <w:i w:val="0"/>
                <w:color w:val="auto"/>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8" w:type="dxa"/>
            <w:gridSpan w:val="6"/>
            <w:tcBorders>
              <w:top w:val="nil"/>
              <w:left w:val="nil"/>
              <w:bottom w:val="single" w:color="000000" w:sz="4" w:space="0"/>
              <w:right w:val="nil"/>
            </w:tcBorders>
            <w:shd w:val="clear" w:color="auto" w:fill="auto"/>
            <w:noWrap/>
            <w:vAlign w:val="center"/>
          </w:tcPr>
          <w:p>
            <w:pP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注：项目支出包括部门预算支出和专项预算支出</w:t>
            </w:r>
          </w:p>
        </w:tc>
        <w:tc>
          <w:tcPr>
            <w:tcW w:w="60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7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以工代赈项目工作经费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主管单位</w:t>
            </w:r>
          </w:p>
        </w:tc>
        <w:tc>
          <w:tcPr>
            <w:tcW w:w="20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市以工代赈事务中心</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85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市以工代赈事务中心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16"/>
                <w:szCs w:val="16"/>
                <w:u w:val="none"/>
                <w:lang w:val="en-US" w:eastAsia="zh-CN" w:bidi="ar"/>
              </w:rPr>
              <w:t>（万元）</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20万元</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20万元</w:t>
            </w:r>
          </w:p>
        </w:tc>
        <w:tc>
          <w:tcPr>
            <w:tcW w:w="2362"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2362"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其他资金</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目标</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完成</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5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2021年储备以工代赈项目20个，争取2个以上国家以工代赈示范工程大项目，争取国、省以工代赈资金支持3000万元以上。提前编制2022年度项目计划，争取省对我市以工代赈资金倾斜力度，始终保持在全省领先地位。大力推行以工代赈方式，落实劳务报酬发放，全面推行公示、公告制度，主动接受社会监督，实行阳光操作。进一步强化以工代赈项目监管，规范建设流程，加强巡查监管，坚持以工代赈示范项目规划、开工、建设、竣工“四到场”，根据建设进度按月进行项目调度，落实项目竣工分级验收制。 </w:t>
            </w:r>
          </w:p>
        </w:tc>
        <w:tc>
          <w:tcPr>
            <w:tcW w:w="52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完成了广元市以工代赈“十四五”实施方案，规划总投资5.8亿元,其中规划中省资金5.2亿元。2021年储备以工代赈项目35个，争取到位以工代赈项目6930万元。其中：以工代赈示范工程2000万元，以工代赈巩固脱贫攻坚衔接乡村振兴试点项目790万元，以工代赈中央财政专项资金（衔接资金）项目3540万元，以工代赈省级财政资金项目300万元，省预算内基本建设投资项目300万元。出台《关于进一步加强以工代赈项目建设管理的通知》，督导各县区严格落实项目建设“四到场”。2021年项目已完成投资以工代赈项目4227.4万元，已发放劳务报酬681.05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3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绩效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完成</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情况</w:t>
            </w:r>
          </w:p>
        </w:tc>
        <w:tc>
          <w:tcPr>
            <w:tcW w:w="12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三级指标</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指标值</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项目完成指标</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指标1：资金争取</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储备以工代赈项目20个，争取以工代赈资金3000万元</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储备项目35个；2021年争取到位以工代赈项目6930万元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指标1：资金争取</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高质量完成项目储备和争取</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储备项目35个；2021年争取到位以工代赈项目6930万元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时效指标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指标1：资金到位</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2021年9月之前资金到位</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1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成本指标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指标1：项目经费</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20万元，用于项目争取、会议培训、项目督导、检查等相关费用</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全年支出20万元，包括争取项目资金费6万余元，差旅费8万元，会议、培训费1.5万余元等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项目效果指标</w:t>
            </w:r>
          </w:p>
        </w:tc>
        <w:tc>
          <w:tcPr>
            <w:tcW w:w="117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经济效益</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指标1：资金争取</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资金争取</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2021年争取到位以工代赈项目资金6930万元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17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社会效益</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指标1：以工代赈项目</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加强巡查监管，强化以工代赈项目监管</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出台了《关于进一步加强以工代赈项目建设管理的通知》，督导各县区严格落实项目建设“四到场”2021年项目已完成以工代赈投资4227.4万元，发放劳务报酬681.05万元。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17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指标2：推广以工代赈方式</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大力推广以工代赈方式，组织群众务工，发放劳务报酬不低于财政投入的10%</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2021年全市在涉农项目建设中共有334个项目采用以工代赈方式，财政总投资近3.45亿元，已组织7193人参与务工，向群众发放报酬4521.1万元，占财政资金的13.1%。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17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指标3：全覆盖政策培训</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群众了解政策、积极配合，政策推进顺利</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全年开展政策培训3次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17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生态效益</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指标1：以工代赈项目</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谋划以工代赈项目充分考虑生态环境因素，每个项目可研内有环境影响登记备案表</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每个项目都有环境影响登记备案表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可持续影响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指标1：以工代赈项目</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改善农村居住环境，促进群众就业增收</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改善路、水、土等农村小型基础设施建设和产业发展，促进群众就业增收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满意度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p>
        </w:tc>
        <w:tc>
          <w:tcPr>
            <w:tcW w:w="117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满意度指标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指标1：资金争取满意率</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≧98%</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2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17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指标2：项目区群众满意率</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从督查、调研反馈情况看，项目区群众满意率95%以上。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516" w:type="dxa"/>
            <w:gridSpan w:val="7"/>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注：项目支出绩效目标自评表在项目执行完毕后填报。</w:t>
            </w:r>
          </w:p>
        </w:tc>
      </w:tr>
    </w:tbl>
    <w:p>
      <w:pPr>
        <w:pStyle w:val="3"/>
        <w:rPr>
          <w:rFonts w:hint="eastAsia"/>
          <w:color w:val="auto"/>
          <w:lang w:val="zh-CN"/>
        </w:rPr>
      </w:pPr>
    </w:p>
    <w:p>
      <w:pPr>
        <w:pStyle w:val="3"/>
        <w:rPr>
          <w:rFonts w:hint="eastAsia"/>
          <w:color w:val="auto"/>
          <w:lang w:val="zh-CN"/>
        </w:rPr>
      </w:pPr>
    </w:p>
    <w:p>
      <w:pPr>
        <w:pStyle w:val="3"/>
        <w:rPr>
          <w:rFonts w:hint="eastAsia"/>
          <w:color w:val="auto"/>
          <w:lang w:val="zh-CN"/>
        </w:rPr>
      </w:pPr>
    </w:p>
    <w:p>
      <w:pPr>
        <w:pStyle w:val="3"/>
        <w:rPr>
          <w:rFonts w:hint="eastAsia"/>
          <w:color w:val="auto"/>
          <w:lang w:val="zh-CN"/>
        </w:rPr>
      </w:pPr>
    </w:p>
    <w:p>
      <w:pPr>
        <w:pStyle w:val="3"/>
        <w:rPr>
          <w:rFonts w:hint="eastAsia"/>
          <w:color w:val="auto"/>
          <w:lang w:val="zh-CN"/>
        </w:rPr>
      </w:pPr>
    </w:p>
    <w:p>
      <w:pPr>
        <w:pStyle w:val="3"/>
        <w:rPr>
          <w:rFonts w:hint="eastAsia"/>
          <w:color w:val="auto"/>
          <w:lang w:val="zh-CN"/>
        </w:rPr>
      </w:pPr>
    </w:p>
    <w:p>
      <w:pPr>
        <w:pStyle w:val="3"/>
        <w:rPr>
          <w:rFonts w:hint="eastAsia"/>
          <w:b w:val="0"/>
          <w:bCs w:val="0"/>
          <w:color w:val="auto"/>
          <w:lang w:val="zh-CN"/>
        </w:rPr>
      </w:pPr>
    </w:p>
    <w:p>
      <w:pPr>
        <w:pStyle w:val="3"/>
        <w:rPr>
          <w:rFonts w:hint="eastAsia"/>
          <w:b w:val="0"/>
          <w:bCs w:val="0"/>
          <w:color w:val="auto"/>
          <w:lang w:val="zh-CN"/>
        </w:rPr>
      </w:pPr>
    </w:p>
    <w:p>
      <w:pPr>
        <w:pStyle w:val="2"/>
        <w:spacing w:before="93"/>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zh-CN"/>
        </w:rPr>
        <w:t>附件</w:t>
      </w:r>
      <w:r>
        <w:rPr>
          <w:rFonts w:hint="eastAsia" w:ascii="黑体" w:hAnsi="黑体" w:eastAsia="黑体" w:cs="黑体"/>
          <w:b w:val="0"/>
          <w:bCs w:val="0"/>
          <w:color w:val="auto"/>
          <w:sz w:val="32"/>
          <w:szCs w:val="32"/>
          <w:lang w:val="en-US" w:eastAsia="zh-CN"/>
        </w:rPr>
        <w:t>3</w:t>
      </w:r>
    </w:p>
    <w:p>
      <w:pPr>
        <w:pStyle w:val="2"/>
        <w:keepNext w:val="0"/>
        <w:keepLines w:val="0"/>
        <w:pageBreakBefore w:val="0"/>
        <w:widowControl w:val="0"/>
        <w:kinsoku/>
        <w:wordWrap/>
        <w:overflowPunct/>
        <w:topLinePunct w:val="0"/>
        <w:autoSpaceDE/>
        <w:autoSpaceDN/>
        <w:bidi w:val="0"/>
        <w:adjustRightInd/>
        <w:snapToGrid/>
        <w:spacing w:before="93" w:line="600" w:lineRule="exact"/>
        <w:jc w:val="center"/>
        <w:textAlignment w:val="auto"/>
        <w:rPr>
          <w:rFonts w:hint="eastAsia" w:ascii="方正小标宋简体" w:hAnsi="方正小标宋简体" w:eastAsia="方正小标宋简体" w:cs="方正小标宋简体"/>
          <w:b w:val="0"/>
          <w:bCs w:val="0"/>
          <w:color w:val="auto"/>
          <w:sz w:val="44"/>
          <w:szCs w:val="44"/>
          <w:lang w:val="zh-CN"/>
        </w:rPr>
      </w:pPr>
      <w:r>
        <w:rPr>
          <w:rFonts w:hint="eastAsia" w:ascii="方正小标宋简体" w:hAnsi="方正小标宋简体" w:eastAsia="方正小标宋简体" w:cs="方正小标宋简体"/>
          <w:b w:val="0"/>
          <w:bCs w:val="0"/>
          <w:color w:val="auto"/>
          <w:sz w:val="44"/>
          <w:szCs w:val="44"/>
          <w:lang w:val="zh-CN"/>
        </w:rPr>
        <w:t>广元市以工代赈事务中心</w:t>
      </w:r>
    </w:p>
    <w:p>
      <w:pPr>
        <w:pStyle w:val="2"/>
        <w:keepNext w:val="0"/>
        <w:keepLines w:val="0"/>
        <w:pageBreakBefore w:val="0"/>
        <w:widowControl w:val="0"/>
        <w:kinsoku/>
        <w:wordWrap/>
        <w:overflowPunct/>
        <w:topLinePunct w:val="0"/>
        <w:autoSpaceDE/>
        <w:autoSpaceDN/>
        <w:bidi w:val="0"/>
        <w:adjustRightInd/>
        <w:snapToGrid/>
        <w:spacing w:before="93" w:line="600" w:lineRule="exact"/>
        <w:jc w:val="center"/>
        <w:textAlignment w:val="auto"/>
        <w:rPr>
          <w:rFonts w:hint="eastAsia"/>
          <w:b w:val="0"/>
          <w:bCs w:val="0"/>
          <w:color w:val="auto"/>
          <w:lang w:val="zh-CN"/>
        </w:rPr>
      </w:pPr>
      <w:r>
        <w:rPr>
          <w:rFonts w:hint="eastAsia" w:ascii="方正小标宋简体" w:hAnsi="方正小标宋简体" w:eastAsia="方正小标宋简体" w:cs="方正小标宋简体"/>
          <w:b w:val="0"/>
          <w:bCs w:val="0"/>
          <w:color w:val="auto"/>
          <w:sz w:val="44"/>
          <w:szCs w:val="44"/>
          <w:lang w:val="zh-CN"/>
        </w:rPr>
        <w:t>202</w:t>
      </w:r>
      <w:r>
        <w:rPr>
          <w:rFonts w:hint="default" w:ascii="方正小标宋简体" w:hAnsi="方正小标宋简体" w:eastAsia="方正小标宋简体" w:cs="方正小标宋简体"/>
          <w:b w:val="0"/>
          <w:bCs w:val="0"/>
          <w:color w:val="auto"/>
          <w:sz w:val="44"/>
          <w:szCs w:val="44"/>
          <w:lang w:val="en-US"/>
        </w:rPr>
        <w:t>1</w:t>
      </w:r>
      <w:r>
        <w:rPr>
          <w:rFonts w:hint="eastAsia" w:ascii="方正小标宋简体" w:hAnsi="方正小标宋简体" w:eastAsia="方正小标宋简体" w:cs="方正小标宋简体"/>
          <w:b w:val="0"/>
          <w:bCs w:val="0"/>
          <w:color w:val="auto"/>
          <w:sz w:val="44"/>
          <w:szCs w:val="44"/>
          <w:lang w:val="zh-CN"/>
        </w:rPr>
        <w:t>年专项预算项目支出绩效自评报告</w:t>
      </w:r>
    </w:p>
    <w:p>
      <w:pPr>
        <w:pStyle w:val="2"/>
        <w:keepNext w:val="0"/>
        <w:keepLines w:val="0"/>
        <w:pageBreakBefore w:val="0"/>
        <w:widowControl w:val="0"/>
        <w:kinsoku/>
        <w:wordWrap/>
        <w:overflowPunct/>
        <w:topLinePunct w:val="0"/>
        <w:autoSpaceDE/>
        <w:autoSpaceDN/>
        <w:bidi w:val="0"/>
        <w:adjustRightInd/>
        <w:snapToGrid/>
        <w:spacing w:before="93" w:line="550" w:lineRule="exact"/>
        <w:jc w:val="center"/>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（易地扶贫搬迁后续扶持工作经费）</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黑体" w:hAnsi="黑体" w:eastAsia="黑体" w:cs="黑体"/>
          <w:b w:val="0"/>
          <w:bCs w:val="0"/>
          <w:color w:val="auto"/>
          <w:lang w:val="zh-CN"/>
        </w:rPr>
      </w:pPr>
      <w:r>
        <w:rPr>
          <w:rFonts w:hint="eastAsia" w:ascii="黑体" w:hAnsi="黑体" w:eastAsia="黑体" w:cs="黑体"/>
          <w:b w:val="0"/>
          <w:bCs w:val="0"/>
          <w:color w:val="auto"/>
          <w:lang w:val="zh-CN"/>
        </w:rPr>
        <w:t>一、项目概况</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（一）项目基本情况</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1.项目主管部门在该项目管理中的职能。市以工代赈事务中心为该项目的主管部门，在该项目管理中的职能主要是负责对接落实国家、省关于易地扶贫搬迁后续扶持部署要求，统筹全市易地扶贫搬迁后续扶持工作，研究提出实施方案、配套措施及相关文件，对易地扶贫搬迁后续扶持有关重大问题进行调查研究，对相关工作开展情况进行督查考核。</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2.项目立项、资金申报的依据。根据四川省发展和改革委员会等13部门转发《国家发展改革委、国务院扶贫办等13部门&lt;关于印发2020年易地扶贫搬迁后续扶持若干政策措施的通知&gt;》的通知进行项目申报。</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3．资金管理办法制定情况，资金支持具体项目的条件、范围与支持方式概况。易地扶贫搬迁后续扶持工作经费是用于补充我中心的办公经费，在项目管理上，我中心严格按照广元市以工代赈事务中心机关财务管理办法（试行）执行，管理规范，制度健全。资金主要用于广元市易地扶贫搬迁后续扶持相关工作，推进全市3.3万户、10.9万人易地搬迁群众产业发展、就业促进、社区治理、基础设施补短等。</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4.资金分配的原则及考虑因素。资金分配原则在预算资金内进行分配，主要考虑向上争取项目资金、推动全市易地扶贫搬迁后扶持工作、检查督导和宣传工作等费用。</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（二）项目绩效目标</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1.项目主要内容。认真研判易地扶贫搬迁广元后续扶贫，逐一制定巩固易地搬迁脱贫成果实施方案,统筹谋划实施后续扶持举措,针对全市3.3万户、10.9万易地扶贫搬迁贫困人口，全面实施产业培育，夯实奔康基础；促进就业发展，拓宽致富渠道；保障公共服务，共享发展平台；提升基层治理，激发内生动力。</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2.项目应实现的具体绩效目标。该项目应实现的具体绩效目标为：研究出台《2021年广元市易地扶贫搬迁后续扶持工作方案》，全年召开易地扶贫搬迁后续扶持工作会不少于2次，开展专题督导调研不少于4次，开展政策培训不少于1次。建立《易地扶贫搬迁后续扶持台账》，动态监测，确保无人返贫；实现每个集中安置点所在村至少发展1个特色产业，每户至少有1人实现就业，搬迁群众满意度达95%以上。</w:t>
      </w:r>
      <w:r>
        <w:rPr>
          <w:rFonts w:hint="eastAsia"/>
          <w:b w:val="0"/>
          <w:bCs w:val="0"/>
          <w:color w:val="auto"/>
          <w:lang w:val="zh-CN"/>
        </w:rPr>
        <w:tab/>
      </w:r>
      <w:r>
        <w:rPr>
          <w:rFonts w:hint="eastAsia"/>
          <w:b w:val="0"/>
          <w:bCs w:val="0"/>
          <w:color w:val="auto"/>
          <w:lang w:val="zh-CN"/>
        </w:rPr>
        <w:tab/>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3.分析评价申报内容是否与实际相符，申报目标是否合理可行。项目实施后，将有效促进全市3.3万户、10.9万易地扶贫搬迁群众实现稳得住、有就业、逐步能致富的目标。2021年，申报内容与实际相符，申报目标合理可行。</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（三）项目自评步骤及方法</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我中心成立了由党组书记、主任任组长，2名副主任任副组长，各科室负责人为成员的项目自评工作领导小组，负责全面组织实施项目自评并全过程监督。工作组从项目申报、实施、使用情况开展自评，重点对项目经费申报是否合理、使用是否合规、程序是规范，制度是否健全等方面开展评价，并形成自评报告。</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黑体" w:hAnsi="黑体" w:eastAsia="黑体" w:cs="黑体"/>
          <w:b w:val="0"/>
          <w:bCs w:val="0"/>
          <w:color w:val="auto"/>
          <w:lang w:val="zh-CN"/>
        </w:rPr>
      </w:pPr>
      <w:r>
        <w:rPr>
          <w:rFonts w:hint="eastAsia" w:ascii="黑体" w:hAnsi="黑体" w:eastAsia="黑体" w:cs="黑体"/>
          <w:b w:val="0"/>
          <w:bCs w:val="0"/>
          <w:color w:val="auto"/>
          <w:lang w:val="zh-CN"/>
        </w:rPr>
        <w:t>二、项目资金申报及使用情况</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（一）项目资金申报及批复情况</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2021年我中心申报易地扶贫搬迁后续扶持工作经费20万元，财政批复20万元，预算与批复相等。</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（二）资金计划、到位及使用情况</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1．资金计划。此资金计划为财政下达的专项资金。</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2．资金到位。易地扶贫搬迁后续扶持工作经费计划20万元，实际到位资金20万元，该资金由财政直接下达单位，到位率100%，到位及时性100%，到位情况与资金计划一致。</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3．资金使用。截止评价时点该项目资已经全部支出。该项目资金为补充办公经费资金，按照资金使用规定在规定的时间内通过规定的途径拨付，达到资金管理要求。该资金支付范围、支付标准、支付进度、支付依据等是否合规合法、与预算相符。</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（三）项目财务管理情况</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我单位有健全的财务管理制度，资金严格执行财务管理制度进行使用。资金支付由财务人员按照财务制度进行审核、支付和核算，所有支出均以转账方式进行，在具体支付时，手续完善，不存在虚假会计凭证，会计严格执行财务管理制度，账务处理及时，会计核算规范。</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黑体" w:hAnsi="黑体" w:eastAsia="黑体" w:cs="黑体"/>
          <w:b w:val="0"/>
          <w:bCs w:val="0"/>
          <w:color w:val="auto"/>
          <w:lang w:val="zh-CN"/>
        </w:rPr>
      </w:pPr>
      <w:r>
        <w:rPr>
          <w:rFonts w:hint="eastAsia" w:ascii="黑体" w:hAnsi="黑体" w:eastAsia="黑体" w:cs="黑体"/>
          <w:b w:val="0"/>
          <w:bCs w:val="0"/>
          <w:color w:val="auto"/>
          <w:lang w:val="zh-CN"/>
        </w:rPr>
        <w:t>三、项目实施及管理情况</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ascii="楷体_GB2312" w:hAnsi="楷体_GB2312" w:eastAsia="楷体_GB2312" w:cs="楷体_GB2312"/>
          <w:b w:val="0"/>
          <w:bCs w:val="0"/>
          <w:color w:val="auto"/>
          <w:lang w:val="zh-CN"/>
        </w:rPr>
        <w:t>（一）项目组织架构及实施流程。</w:t>
      </w:r>
      <w:r>
        <w:rPr>
          <w:rFonts w:hint="eastAsia"/>
          <w:b w:val="0"/>
          <w:bCs w:val="0"/>
          <w:color w:val="auto"/>
          <w:lang w:val="zh-CN"/>
        </w:rPr>
        <w:t>为加强财政经费管理，我中心成立了项目管理工作领导小组，负责对易地扶贫搬迁后续扶持工作经费项目预算编制和使用全过程监督，领导小组下设办公室，由综合科科长任办公室主任，负责项目预算申报和具体实施。年初，由综合科会同相关科室提出项目支出内容，通过中心党组会研究确定，确保经费使用效率。</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ascii="楷体_GB2312" w:hAnsi="楷体_GB2312" w:eastAsia="楷体_GB2312" w:cs="楷体_GB2312"/>
          <w:b w:val="0"/>
          <w:bCs w:val="0"/>
          <w:color w:val="auto"/>
          <w:lang w:val="zh-CN"/>
        </w:rPr>
        <w:t>（二）项目管理情况。</w:t>
      </w:r>
      <w:r>
        <w:rPr>
          <w:rFonts w:hint="eastAsia"/>
          <w:b w:val="0"/>
          <w:bCs w:val="0"/>
          <w:color w:val="auto"/>
          <w:lang w:val="zh-CN"/>
        </w:rPr>
        <w:t>市以工代赈事务中心严格按照项目管理有关规定对专项经费进行管理，综合科负责协调相关工作、项目实施及资金管理。</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ascii="楷体_GB2312" w:hAnsi="楷体_GB2312" w:eastAsia="楷体_GB2312" w:cs="楷体_GB2312"/>
          <w:b w:val="0"/>
          <w:bCs w:val="0"/>
          <w:color w:val="auto"/>
          <w:lang w:val="zh-CN"/>
        </w:rPr>
        <w:t>（三）项目监管情况。</w:t>
      </w:r>
      <w:r>
        <w:rPr>
          <w:rFonts w:hint="eastAsia"/>
          <w:b w:val="0"/>
          <w:bCs w:val="0"/>
          <w:color w:val="auto"/>
          <w:lang w:val="zh-CN"/>
        </w:rPr>
        <w:t>项目经费严格按照经费程序和审批流程进行，经费支出必须通过财务人员审核、综合科审批、分管领导审签后支出，大额金额必须通过党组会议议定后支出。同时经费管理主动接受驻纪检监察组和审计部门的监督检查，对预算执行实行动态监控，无违纪违法现象。</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黑体" w:hAnsi="黑体" w:eastAsia="黑体" w:cs="黑体"/>
          <w:b w:val="0"/>
          <w:bCs w:val="0"/>
          <w:color w:val="auto"/>
          <w:lang w:val="zh-CN"/>
        </w:rPr>
      </w:pPr>
      <w:r>
        <w:rPr>
          <w:rFonts w:hint="eastAsia" w:ascii="黑体" w:hAnsi="黑体" w:eastAsia="黑体" w:cs="黑体"/>
          <w:b w:val="0"/>
          <w:bCs w:val="0"/>
          <w:color w:val="auto"/>
          <w:lang w:val="zh-CN"/>
        </w:rPr>
        <w:t>四、项目绩效情况</w:t>
      </w:r>
      <w:r>
        <w:rPr>
          <w:rFonts w:hint="eastAsia" w:ascii="黑体" w:hAnsi="黑体" w:eastAsia="黑体" w:cs="黑体"/>
          <w:b w:val="0"/>
          <w:bCs w:val="0"/>
          <w:color w:val="auto"/>
          <w:lang w:val="zh-CN"/>
        </w:rPr>
        <w:tab/>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（一）项目完成情况</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 xml:space="preserve"> 通过项目实施，2021年我市落实旺苍县、剑阁县2021年中央财政支持人口较多易地扶贫搬迁集中安置区后续产业扶持资金270万元,统筹安排以工代赈项目4个1661万元用于支持集中安置点公共服务配套基础设施和产业发展的基础设施建设。出台《2021年广元市易地扶贫搬迁后续扶持工作方案》，全年召开易地扶贫搬迁后续扶持工作会</w:t>
      </w:r>
      <w:r>
        <w:rPr>
          <w:rFonts w:hint="eastAsia"/>
          <w:b w:val="0"/>
          <w:bCs w:val="0"/>
          <w:color w:val="auto"/>
          <w:lang w:val="zh-CN"/>
        </w:rPr>
        <w:tab/>
      </w:r>
      <w:r>
        <w:rPr>
          <w:rFonts w:hint="eastAsia"/>
          <w:b w:val="0"/>
          <w:bCs w:val="0"/>
          <w:color w:val="auto"/>
          <w:lang w:val="zh-CN"/>
        </w:rPr>
        <w:t>3次，开展政策培训2次，开展专题督导调研4次。全年开展12次调度，没有搬迁户返贫情况。扶持易地搬迁群众发展农林产业3.36万人。组织实施“送岗下乡”等招聘活动83场次，提供就业岗位1.8万余个，累计组织省内省外务工3.78万人。吸纳1.09万人次进园区、进车间务工就业，扶持137名易地搬迁群众创业,落实创业补贴、创业吸纳就业奖励等扶持资金156万元。2021年新增公益性岗位289个，累计提供公益性岗位3265个。创新推行3534易地扶贫搬迁后续治理模式，完成苍溪县白鹤乡古泉村、旺苍县东河镇南凤村等8个全市易地扶贫搬迁后续治理示范点创建。</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（二）项目效益情况</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从项目各项效益指标看，2021年易地扶贫搬迁后续扶持工作项目经费按照既定目标完成各项效益指标，项目完成质量较好，搬迁群众满意度达到95%以上。</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黑体" w:hAnsi="黑体" w:eastAsia="黑体" w:cs="黑体"/>
          <w:b w:val="0"/>
          <w:bCs w:val="0"/>
          <w:color w:val="auto"/>
          <w:lang w:val="zh-CN"/>
        </w:rPr>
      </w:pPr>
      <w:r>
        <w:rPr>
          <w:rFonts w:hint="eastAsia" w:ascii="黑体" w:hAnsi="黑体" w:eastAsia="黑体" w:cs="黑体"/>
          <w:b w:val="0"/>
          <w:bCs w:val="0"/>
          <w:color w:val="auto"/>
          <w:lang w:val="zh-CN"/>
        </w:rPr>
        <w:t>五、评价结论及建议</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（一）评价结论</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易地扶贫搬迁后续扶持工作经费是用于补充我中心的办公经费，通过此次绩效评价，我中心项目管理规范精细、流程符合规定，按照要求完成项目建设内容。从督查、调研反馈情况汇总，搬迁群众满意率在95%以上，项目总体绩效评价好。</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（二）存在的问题</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b w:val="0"/>
          <w:bCs w:val="0"/>
          <w:color w:val="auto"/>
          <w:lang w:val="zh-CN"/>
        </w:rPr>
      </w:pPr>
      <w:r>
        <w:rPr>
          <w:rFonts w:hint="eastAsia"/>
          <w:b w:val="0"/>
          <w:bCs w:val="0"/>
          <w:color w:val="auto"/>
          <w:lang w:val="zh-CN"/>
        </w:rPr>
        <w:t>项目测算标准有待细化，测算准确率有待提高。</w:t>
      </w:r>
      <w:r>
        <w:rPr>
          <w:rFonts w:hint="eastAsia"/>
          <w:b w:val="0"/>
          <w:bCs w:val="0"/>
          <w:color w:val="auto"/>
          <w:lang w:val="zh-CN"/>
        </w:rPr>
        <w:tab/>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rFonts w:hint="eastAsia" w:ascii="楷体_GB2312" w:hAnsi="楷体_GB2312" w:eastAsia="楷体_GB2312" w:cs="楷体_GB2312"/>
          <w:b w:val="0"/>
          <w:bCs w:val="0"/>
          <w:color w:val="auto"/>
          <w:lang w:val="zh-CN"/>
        </w:rPr>
      </w:pPr>
      <w:r>
        <w:rPr>
          <w:rFonts w:hint="eastAsia" w:ascii="楷体_GB2312" w:hAnsi="楷体_GB2312" w:eastAsia="楷体_GB2312" w:cs="楷体_GB2312"/>
          <w:b w:val="0"/>
          <w:bCs w:val="0"/>
          <w:color w:val="auto"/>
          <w:lang w:val="zh-CN"/>
        </w:rPr>
        <w:t>（三）相关建议</w:t>
      </w:r>
    </w:p>
    <w:p>
      <w:pPr>
        <w:pStyle w:val="2"/>
        <w:keepNext w:val="0"/>
        <w:keepLines w:val="0"/>
        <w:pageBreakBefore w:val="0"/>
        <w:widowControl w:val="0"/>
        <w:kinsoku/>
        <w:wordWrap/>
        <w:overflowPunct/>
        <w:topLinePunct w:val="0"/>
        <w:autoSpaceDE/>
        <w:autoSpaceDN/>
        <w:bidi w:val="0"/>
        <w:adjustRightInd/>
        <w:snapToGrid/>
        <w:spacing w:before="93" w:line="550" w:lineRule="exact"/>
        <w:ind w:firstLine="600" w:firstLineChars="200"/>
        <w:textAlignment w:val="auto"/>
        <w:rPr>
          <w:b w:val="0"/>
          <w:bCs w:val="0"/>
          <w:color w:val="auto"/>
          <w:lang w:val="zh-CN"/>
        </w:rPr>
      </w:pPr>
      <w:r>
        <w:rPr>
          <w:rFonts w:hint="eastAsia"/>
          <w:b w:val="0"/>
          <w:bCs w:val="0"/>
          <w:color w:val="auto"/>
          <w:lang w:val="zh-CN"/>
        </w:rPr>
        <w:t>建议加大对绩效管理工作的指导和业务培训，进一步提高工作质效。</w:t>
      </w:r>
    </w:p>
    <w:p>
      <w:pPr>
        <w:pStyle w:val="2"/>
        <w:spacing w:before="93"/>
        <w:rPr>
          <w:b w:val="0"/>
          <w:bCs w:val="0"/>
          <w:color w:val="auto"/>
          <w:lang w:val="zh-CN"/>
        </w:rPr>
      </w:pPr>
    </w:p>
    <w:tbl>
      <w:tblPr>
        <w:tblStyle w:val="17"/>
        <w:tblpPr w:leftFromText="180" w:rightFromText="180" w:vertAnchor="text" w:horzAnchor="page" w:tblpXSpec="center" w:tblpY="660"/>
        <w:tblOverlap w:val="never"/>
        <w:tblW w:w="11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020"/>
        <w:gridCol w:w="1665"/>
        <w:gridCol w:w="2070"/>
        <w:gridCol w:w="2640"/>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1019"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val="0"/>
                <w:color w:val="auto"/>
                <w:kern w:val="0"/>
                <w:sz w:val="44"/>
                <w:szCs w:val="44"/>
                <w:lang w:val="en-US" w:eastAsia="zh-CN" w:bidi="ar-SA"/>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主管部门及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代码</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rPr>
              <w:t>广元市以工代赈事务中心</w:t>
            </w:r>
            <w:r>
              <w:rPr>
                <w:rFonts w:hint="eastAsia" w:ascii="宋体" w:hAnsi="宋体" w:cs="宋体"/>
                <w:i w:val="0"/>
                <w:color w:val="auto"/>
                <w:sz w:val="24"/>
                <w:szCs w:val="24"/>
                <w:highlight w:val="none"/>
                <w:u w:val="none"/>
                <w:lang w:val="en-US" w:eastAsia="zh-CN"/>
              </w:rPr>
              <w:t>626001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市以工代赈事务中心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7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项目预算</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执行情况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1"/>
                <w:szCs w:val="21"/>
                <w:highlight w:val="none"/>
                <w:u w:val="none"/>
                <w:lang w:val="en-US" w:eastAsia="zh-CN" w:bidi="ar"/>
              </w:rPr>
              <w:t>其中：财政拨款</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其中：财政拨款</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年度总体目标完成情况</w:t>
            </w:r>
          </w:p>
        </w:tc>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5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认真研判易地扶贫搬迁广元后续扶贫，围绕以工代赈支持贫困地区经济发展和农民脱贫致富相关的基本农田建设、农田水利建设、乡村道路建设、小流域治理、片区综合开发、村容村貌整治等基础设施建设，拓宽思路，谋划对接项目，逐一制定巩固易地搬迁脱贫成果实施方案,统筹谋划实施后续扶持举措,针对全市3.3万户、10.9万易地扶贫搬迁贫困人口，全面实施产业培育，夯实奔康基础；促进就业发展，拓宽致富渠道；保障公共服务，共享发展平台；实施机制创新，盘活土地资源；提升基层治理，激发内生动力。</w:t>
            </w:r>
          </w:p>
        </w:tc>
        <w:tc>
          <w:tcPr>
            <w:tcW w:w="55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落实旺苍县、剑阁县2021年易地扶贫搬迁集中安置区后续产业扶持资金270万元,统筹安排以工代赈项目4个1661万元用于支持集中安置点公共服务配套基础设施和产业发展的基础设施建设。扶持易地搬迁群众发展农林产业3.36万人。组织实施“送岗下乡”等招聘活动83场次，提供就业岗位1.8万余个，累计组织省内省外务工3.78万人。吸纳1.09万人次进园区、进车间务工就业，扶持137名易地搬迁群众创业,落实创业补贴、创业吸纳就业奖励等扶持资金156万元。2021年新增公益性岗位289个，累计提供公益性岗位3265个。成立集中安置点党支部11个，创新推行3534易地扶贫搬迁后续治理模式，完成8个全市易地扶贫搬迁后续治理示范点创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指标1：易地扶贫搬迁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出台《2021年广元市易地扶贫搬迁后续扶持工作方案》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已出台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指标2：全年召开易地扶贫搬迁后续扶持工作会</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highlight w:val="none"/>
                <w:u w:val="no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指标3：开展政策培训</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highlight w:val="none"/>
                <w:u w:val="no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指标4：全年开展专题督导调研</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 xml:space="preserve"> 指标1：动态监测</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建立《易地扶贫搬迁后续扶持台账》，动态监测，确保无人返贫</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已建立，开展12次调度，无人返贫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指标1：易地扶贫搬迁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预计2020年12月底完成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 xml:space="preserve"> 指标1：项目经费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20万元，主要用于督导差旅费、会议培训、督查检查、迎检等工作</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全年支出20万元，包括差旅费7万余元，会议培训1万余元，督导检查8000余元、开展专项审计3万余元，迎接督导检查2万余元等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jc w:val="center"/>
        </w:trPr>
        <w:tc>
          <w:tcPr>
            <w:tcW w:w="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效益</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经济效益  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color w:val="auto"/>
                <w:kern w:val="0"/>
                <w:sz w:val="18"/>
                <w:szCs w:val="18"/>
                <w:u w:val="none"/>
                <w:lang w:val="en-US" w:eastAsia="zh-CN" w:bidi="ar"/>
              </w:rPr>
              <w:t xml:space="preserve"> 指标1：易地扶贫搬迁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争取易地扶贫搬迁安置区项目资金</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落实集中安置区后续产业扶持资金270万元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社会效益  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color w:val="auto"/>
                <w:kern w:val="0"/>
                <w:sz w:val="18"/>
                <w:szCs w:val="18"/>
                <w:u w:val="none"/>
                <w:lang w:val="en-US" w:eastAsia="zh-CN" w:bidi="ar"/>
              </w:rPr>
              <w:t xml:space="preserve"> 指标1：易地扶贫搬迁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搬迁群众收入稳定，公共服务保障到位，幸福指数提升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扶持易地搬迁群众发展农林产业3.36万人。组织实施“送岗下乡”等招聘活动83场次，提供就业岗位1.8万余个，累计组织省内省外务工3.78万人。吸纳1.09万人次进园区、进车间务工就业，扶持137名易地搬迁群众创业,落实创业补贴、创业吸纳就业奖励等扶持资金156万元。2021年新增公益性岗位289个，累计提供公益性岗位3265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可持续</w:t>
            </w:r>
          </w:p>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影响指标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 xml:space="preserve"> 指标1：易地扶贫搬迁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提高安置区基层治理水平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完成8个全市易地扶贫搬迁后续治理示范点创建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jc w:val="center"/>
        </w:trPr>
        <w:tc>
          <w:tcPr>
            <w:tcW w:w="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可持续影响 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 xml:space="preserve"> 指标2：易地扶贫搬迁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提升安置区基础设施建设</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安排4个1661万元用于支持集中安置点公共服务配套基础设施和产业发展的基础设施建设。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jc w:val="center"/>
        </w:trPr>
        <w:tc>
          <w:tcPr>
            <w:tcW w:w="68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满意</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 xml:space="preserve"> 指标1：搬迁群众满意度</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≧95%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auto"/>
                <w:kern w:val="0"/>
                <w:sz w:val="20"/>
                <w:szCs w:val="20"/>
                <w:u w:val="none"/>
                <w:lang w:val="en-US" w:eastAsia="zh-CN" w:bidi="ar"/>
              </w:rPr>
              <w:t>≧95%</w:t>
            </w:r>
          </w:p>
        </w:tc>
      </w:tr>
    </w:tbl>
    <w:p>
      <w:pPr>
        <w:pStyle w:val="3"/>
        <w:rPr>
          <w:b w:val="0"/>
          <w:bCs w:val="0"/>
          <w:color w:val="auto"/>
          <w:lang w:val="zh-CN"/>
        </w:rPr>
      </w:pPr>
    </w:p>
    <w:p>
      <w:pPr>
        <w:pStyle w:val="2"/>
        <w:spacing w:before="93"/>
        <w:jc w:val="left"/>
        <w:rPr>
          <w:rFonts w:hint="eastAsia" w:ascii="黑体" w:hAnsi="黑体" w:eastAsia="黑体" w:cs="黑体"/>
          <w:b w:val="0"/>
          <w:bCs w:val="0"/>
          <w:color w:val="auto"/>
          <w:sz w:val="32"/>
          <w:szCs w:val="32"/>
          <w:lang w:val="zh-CN"/>
        </w:rPr>
      </w:pPr>
    </w:p>
    <w:p>
      <w:pPr>
        <w:pStyle w:val="2"/>
        <w:spacing w:before="93"/>
        <w:jc w:val="left"/>
        <w:rPr>
          <w:rFonts w:hint="eastAsia" w:ascii="黑体" w:hAnsi="黑体" w:eastAsia="黑体" w:cs="黑体"/>
          <w:b w:val="0"/>
          <w:bCs w:val="0"/>
          <w:color w:val="auto"/>
          <w:sz w:val="32"/>
          <w:szCs w:val="32"/>
          <w:lang w:val="zh-CN"/>
        </w:rPr>
      </w:pPr>
    </w:p>
    <w:p>
      <w:pPr>
        <w:pStyle w:val="2"/>
        <w:spacing w:before="93"/>
        <w:jc w:val="left"/>
        <w:rPr>
          <w:rFonts w:hint="eastAsia" w:ascii="黑体" w:hAnsi="黑体" w:eastAsia="黑体" w:cs="黑体"/>
          <w:b w:val="0"/>
          <w:bCs w:val="0"/>
          <w:color w:val="auto"/>
          <w:sz w:val="32"/>
          <w:szCs w:val="32"/>
          <w:lang w:val="zh-CN"/>
        </w:rPr>
      </w:pPr>
    </w:p>
    <w:p>
      <w:pPr>
        <w:pStyle w:val="2"/>
        <w:spacing w:before="93"/>
        <w:jc w:val="left"/>
        <w:rPr>
          <w:rFonts w:hint="eastAsia" w:ascii="黑体" w:hAnsi="黑体" w:eastAsia="黑体" w:cs="黑体"/>
          <w:b w:val="0"/>
          <w:bCs w:val="0"/>
          <w:color w:val="auto"/>
          <w:sz w:val="32"/>
          <w:szCs w:val="32"/>
          <w:lang w:val="zh-CN"/>
        </w:rPr>
      </w:pPr>
    </w:p>
    <w:p>
      <w:pPr>
        <w:pStyle w:val="2"/>
        <w:spacing w:before="93"/>
        <w:jc w:val="left"/>
        <w:rPr>
          <w:rFonts w:hint="eastAsia" w:ascii="黑体" w:hAnsi="黑体" w:eastAsia="黑体" w:cs="黑体"/>
          <w:b w:val="0"/>
          <w:bCs w:val="0"/>
          <w:color w:val="auto"/>
          <w:sz w:val="32"/>
          <w:szCs w:val="32"/>
          <w:lang w:val="zh-CN"/>
        </w:rPr>
      </w:pPr>
    </w:p>
    <w:p>
      <w:pPr>
        <w:pStyle w:val="2"/>
        <w:spacing w:before="93"/>
        <w:jc w:val="left"/>
        <w:rPr>
          <w:rFonts w:hint="eastAsia" w:ascii="黑体" w:hAnsi="黑体" w:eastAsia="黑体" w:cs="黑体"/>
          <w:b w:val="0"/>
          <w:bCs w:val="0"/>
          <w:color w:val="auto"/>
          <w:sz w:val="32"/>
          <w:szCs w:val="32"/>
          <w:lang w:val="zh-CN"/>
        </w:rPr>
      </w:pPr>
    </w:p>
    <w:p>
      <w:pPr>
        <w:pStyle w:val="2"/>
        <w:spacing w:before="93"/>
        <w:jc w:val="left"/>
        <w:rPr>
          <w:rFonts w:hint="eastAsia" w:ascii="黑体" w:hAnsi="黑体" w:eastAsia="黑体" w:cs="黑体"/>
          <w:b w:val="0"/>
          <w:bCs w:val="0"/>
          <w:color w:val="auto"/>
          <w:sz w:val="32"/>
          <w:szCs w:val="32"/>
          <w:lang w:val="zh-CN"/>
        </w:rPr>
      </w:pPr>
    </w:p>
    <w:p>
      <w:pPr>
        <w:pStyle w:val="2"/>
        <w:spacing w:before="93"/>
        <w:jc w:val="left"/>
        <w:rPr>
          <w:rFonts w:hint="eastAsia" w:ascii="方正小标宋简体" w:hAnsi="宋体" w:eastAsia="方正小标宋简体" w:cs="宋体"/>
          <w:b w:val="0"/>
          <w:bCs w:val="0"/>
          <w:color w:val="auto"/>
          <w:kern w:val="0"/>
          <w:sz w:val="44"/>
          <w:szCs w:val="44"/>
        </w:rPr>
      </w:pPr>
      <w:r>
        <w:rPr>
          <w:rFonts w:hint="eastAsia" w:ascii="黑体" w:hAnsi="黑体" w:eastAsia="黑体" w:cs="黑体"/>
          <w:b w:val="0"/>
          <w:bCs w:val="0"/>
          <w:color w:val="auto"/>
          <w:sz w:val="32"/>
          <w:szCs w:val="32"/>
          <w:lang w:val="zh-CN"/>
        </w:rPr>
        <w:t>附件</w:t>
      </w:r>
      <w:r>
        <w:rPr>
          <w:rFonts w:hint="eastAsia" w:ascii="黑体" w:hAnsi="黑体" w:eastAsia="黑体" w:cs="黑体"/>
          <w:b w:val="0"/>
          <w:bCs w:val="0"/>
          <w:color w:val="auto"/>
          <w:sz w:val="32"/>
          <w:szCs w:val="32"/>
          <w:lang w:val="en-US" w:eastAsia="zh-CN"/>
        </w:rPr>
        <w:t>4</w:t>
      </w:r>
    </w:p>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eastAsia" w:ascii="方正小标宋简体" w:hAnsi="宋体" w:eastAsia="方正小标宋简体" w:cs="宋体"/>
          <w:b w:val="0"/>
          <w:bCs w:val="0"/>
          <w:color w:val="auto"/>
          <w:kern w:val="0"/>
          <w:sz w:val="44"/>
          <w:szCs w:val="44"/>
        </w:rPr>
      </w:pPr>
      <w:r>
        <w:rPr>
          <w:rFonts w:hint="eastAsia" w:ascii="方正小标宋简体" w:hAnsi="宋体" w:eastAsia="方正小标宋简体" w:cs="宋体"/>
          <w:b w:val="0"/>
          <w:bCs w:val="0"/>
          <w:color w:val="auto"/>
          <w:kern w:val="0"/>
          <w:sz w:val="44"/>
          <w:szCs w:val="44"/>
        </w:rPr>
        <w:t>广元市以工代赈事务中心</w:t>
      </w:r>
    </w:p>
    <w:p>
      <w:pPr>
        <w:pStyle w:val="36"/>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rPr>
      </w:pPr>
      <w:r>
        <w:rPr>
          <w:rFonts w:hint="eastAsia" w:ascii="方正小标宋简体" w:hAnsi="方正小标宋简体" w:eastAsia="方正小标宋简体" w:cs="方正小标宋简体"/>
          <w:b w:val="0"/>
          <w:bCs w:val="0"/>
          <w:color w:val="auto"/>
          <w:kern w:val="2"/>
          <w:sz w:val="44"/>
          <w:szCs w:val="44"/>
          <w:lang w:val="en-US" w:eastAsia="zh-CN"/>
        </w:rPr>
        <w:t>202</w:t>
      </w:r>
      <w:r>
        <w:rPr>
          <w:rFonts w:hint="default" w:ascii="方正小标宋简体" w:hAnsi="方正小标宋简体" w:eastAsia="方正小标宋简体" w:cs="方正小标宋简体"/>
          <w:b w:val="0"/>
          <w:bCs w:val="0"/>
          <w:color w:val="auto"/>
          <w:kern w:val="2"/>
          <w:sz w:val="44"/>
          <w:szCs w:val="44"/>
          <w:lang w:val="en-US" w:eastAsia="zh-CN"/>
        </w:rPr>
        <w:t>1</w:t>
      </w:r>
      <w:r>
        <w:rPr>
          <w:rFonts w:hint="eastAsia" w:ascii="方正小标宋简体" w:hAnsi="方正小标宋简体" w:eastAsia="方正小标宋简体" w:cs="方正小标宋简体"/>
          <w:b w:val="0"/>
          <w:bCs w:val="0"/>
          <w:color w:val="auto"/>
          <w:kern w:val="2"/>
          <w:sz w:val="44"/>
          <w:szCs w:val="44"/>
          <w:lang w:val="en-US" w:eastAsia="zh-CN"/>
        </w:rPr>
        <w:t>年</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绩效自评报告</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楷体_GB2312" w:hAnsi="楷体_GB2312" w:eastAsia="楷体_GB2312" w:cs="楷体_GB2312"/>
          <w:b w:val="0"/>
          <w:bCs w:val="0"/>
          <w:color w:val="auto"/>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扶贫工作专项经费项目</w:t>
      </w:r>
      <w:r>
        <w:rPr>
          <w:rFonts w:hint="eastAsia" w:ascii="楷体_GB2312" w:hAnsi="楷体_GB2312" w:eastAsia="楷体_GB2312" w:cs="楷体_GB2312"/>
          <w:b w:val="0"/>
          <w:bCs w:val="0"/>
          <w:color w:val="auto"/>
          <w:sz w:val="32"/>
          <w:szCs w:val="32"/>
        </w:rPr>
        <w:t>）</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楷体_GB2312" w:hAnsi="楷体_GB2312" w:eastAsia="楷体_GB2312" w:cs="楷体_GB2312"/>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b w:val="0"/>
          <w:bCs w:val="0"/>
          <w:color w:val="auto"/>
          <w:sz w:val="32"/>
          <w:szCs w:val="32"/>
          <w:lang w:val="zh-CN"/>
        </w:rPr>
      </w:pPr>
      <w:r>
        <w:rPr>
          <w:rFonts w:hint="eastAsia" w:ascii="仿宋_GB2312" w:hAnsi="仿宋_GB2312" w:eastAsia="仿宋_GB2312" w:cs="仿宋_GB2312"/>
          <w:b w:val="0"/>
          <w:bCs w:val="0"/>
          <w:color w:val="auto"/>
          <w:sz w:val="32"/>
          <w:szCs w:val="32"/>
          <w:lang w:val="zh-CN"/>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zh-CN"/>
        </w:rPr>
        <w:t>项目主管部门在该项目管理中的职能。市以工代赈事务中心为该项目的主管部门，在该项目管理中的职能主要是负责</w:t>
      </w:r>
      <w:r>
        <w:rPr>
          <w:rFonts w:hint="eastAsia" w:ascii="仿宋_GB2312" w:hAnsi="仿宋_GB2312" w:eastAsia="仿宋_GB2312" w:cs="仿宋_GB2312"/>
          <w:b w:val="0"/>
          <w:bCs w:val="0"/>
          <w:color w:val="auto"/>
          <w:sz w:val="32"/>
          <w:szCs w:val="32"/>
          <w:lang w:val="zh-CN" w:eastAsia="zh-CN"/>
        </w:rPr>
        <w:t>帮扶苍溪县、剑阁县</w:t>
      </w:r>
      <w:r>
        <w:rPr>
          <w:rFonts w:hint="eastAsia" w:ascii="仿宋_GB2312" w:hAnsi="仿宋_GB2312" w:eastAsia="仿宋_GB2312" w:cs="仿宋_GB2312"/>
          <w:b w:val="0"/>
          <w:bCs w:val="0"/>
          <w:color w:val="auto"/>
          <w:sz w:val="32"/>
          <w:szCs w:val="32"/>
          <w:lang w:val="en-US" w:eastAsia="zh-CN"/>
        </w:rPr>
        <w:t>2个村</w:t>
      </w:r>
      <w:r>
        <w:rPr>
          <w:rFonts w:hint="eastAsia" w:ascii="仿宋_GB2312" w:hAnsi="仿宋_GB2312" w:eastAsia="仿宋_GB2312" w:cs="仿宋_GB2312"/>
          <w:b w:val="0"/>
          <w:bCs w:val="0"/>
          <w:color w:val="auto"/>
          <w:sz w:val="32"/>
          <w:szCs w:val="32"/>
          <w:lang w:val="zh-CN" w:eastAsia="zh-CN"/>
        </w:rPr>
        <w:t>完成2021年帮扶工作任务，并做好</w:t>
      </w:r>
      <w:r>
        <w:rPr>
          <w:rFonts w:hint="eastAsia" w:ascii="仿宋_GB2312" w:hAnsi="宋体" w:eastAsia="仿宋_GB2312" w:cs="Times New Roman"/>
          <w:b w:val="0"/>
          <w:bCs w:val="0"/>
          <w:color w:val="auto"/>
          <w:sz w:val="32"/>
          <w:szCs w:val="32"/>
          <w:lang w:val="zh-CN"/>
        </w:rPr>
        <w:t>第一书记和工作队员生活保障。</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rPr>
        <w:t>2</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zh-CN"/>
        </w:rPr>
        <w:t>项目立项、资金申报的依据。根据</w:t>
      </w:r>
      <w:r>
        <w:rPr>
          <w:rFonts w:hint="eastAsia" w:ascii="仿宋_GB2312" w:hAnsi="仿宋_GB2312" w:eastAsia="仿宋_GB2312" w:cs="仿宋_GB2312"/>
          <w:b w:val="0"/>
          <w:bCs w:val="0"/>
          <w:color w:val="auto"/>
          <w:sz w:val="32"/>
          <w:szCs w:val="32"/>
          <w:lang w:val="zh-CN" w:eastAsia="zh-CN"/>
        </w:rPr>
        <w:t>四川省委组织部、省财政厅《关于切实做好建档立卡贫困村第一书记生活工作保障的通知》（川组通〔</w:t>
      </w:r>
      <w:r>
        <w:rPr>
          <w:rFonts w:hint="eastAsia" w:ascii="仿宋_GB2312" w:hAnsi="仿宋_GB2312" w:eastAsia="仿宋_GB2312" w:cs="仿宋_GB2312"/>
          <w:b w:val="0"/>
          <w:bCs w:val="0"/>
          <w:color w:val="auto"/>
          <w:sz w:val="32"/>
          <w:szCs w:val="32"/>
          <w:lang w:val="en-US" w:eastAsia="zh-CN"/>
        </w:rPr>
        <w:t>2015</w:t>
      </w:r>
      <w:r>
        <w:rPr>
          <w:rFonts w:hint="eastAsia" w:ascii="仿宋_GB2312" w:hAnsi="仿宋_GB2312" w:eastAsia="仿宋_GB2312" w:cs="仿宋_GB2312"/>
          <w:b w:val="0"/>
          <w:bCs w:val="0"/>
          <w:color w:val="auto"/>
          <w:sz w:val="32"/>
          <w:szCs w:val="32"/>
          <w:lang w:val="zh-CN" w:eastAsia="zh-CN"/>
        </w:rPr>
        <w:t>〕</w:t>
      </w:r>
      <w:r>
        <w:rPr>
          <w:rFonts w:hint="eastAsia" w:ascii="仿宋_GB2312" w:hAnsi="仿宋_GB2312" w:eastAsia="仿宋_GB2312" w:cs="仿宋_GB2312"/>
          <w:b w:val="0"/>
          <w:bCs w:val="0"/>
          <w:color w:val="auto"/>
          <w:sz w:val="32"/>
          <w:szCs w:val="32"/>
          <w:lang w:val="en-US" w:eastAsia="zh-CN"/>
        </w:rPr>
        <w:t>69号</w:t>
      </w:r>
      <w:r>
        <w:rPr>
          <w:rFonts w:hint="eastAsia" w:ascii="仿宋_GB2312" w:hAnsi="仿宋_GB2312" w:eastAsia="仿宋_GB2312" w:cs="仿宋_GB2312"/>
          <w:b w:val="0"/>
          <w:bCs w:val="0"/>
          <w:color w:val="auto"/>
          <w:sz w:val="32"/>
          <w:szCs w:val="32"/>
          <w:lang w:val="zh-CN" w:eastAsia="zh-CN"/>
        </w:rPr>
        <w:t>）、广元市委组织部、市财政局《关于进一步加强贫困村党组织第一书记生活保障的通知》（广组通〔</w:t>
      </w:r>
      <w:r>
        <w:rPr>
          <w:rFonts w:hint="eastAsia" w:ascii="仿宋_GB2312" w:hAnsi="仿宋_GB2312" w:eastAsia="仿宋_GB2312" w:cs="仿宋_GB2312"/>
          <w:b w:val="0"/>
          <w:bCs w:val="0"/>
          <w:color w:val="auto"/>
          <w:sz w:val="32"/>
          <w:szCs w:val="32"/>
          <w:lang w:val="en-US" w:eastAsia="zh-CN"/>
        </w:rPr>
        <w:t>2015</w:t>
      </w:r>
      <w:r>
        <w:rPr>
          <w:rFonts w:hint="eastAsia" w:ascii="仿宋_GB2312" w:hAnsi="仿宋_GB2312" w:eastAsia="仿宋_GB2312" w:cs="仿宋_GB2312"/>
          <w:b w:val="0"/>
          <w:bCs w:val="0"/>
          <w:color w:val="auto"/>
          <w:sz w:val="32"/>
          <w:szCs w:val="32"/>
          <w:lang w:val="zh-CN" w:eastAsia="zh-CN"/>
        </w:rPr>
        <w:t>〕</w:t>
      </w:r>
      <w:r>
        <w:rPr>
          <w:rFonts w:hint="eastAsia" w:ascii="仿宋_GB2312" w:hAnsi="仿宋_GB2312" w:eastAsia="仿宋_GB2312" w:cs="仿宋_GB2312"/>
          <w:b w:val="0"/>
          <w:bCs w:val="0"/>
          <w:color w:val="auto"/>
          <w:sz w:val="32"/>
          <w:szCs w:val="32"/>
          <w:lang w:val="en-US" w:eastAsia="zh-CN"/>
        </w:rPr>
        <w:t>93号</w:t>
      </w:r>
      <w:r>
        <w:rPr>
          <w:rFonts w:hint="eastAsia" w:ascii="仿宋_GB2312" w:hAnsi="仿宋_GB2312" w:eastAsia="仿宋_GB2312" w:cs="仿宋_GB2312"/>
          <w:b w:val="0"/>
          <w:bCs w:val="0"/>
          <w:color w:val="auto"/>
          <w:sz w:val="32"/>
          <w:szCs w:val="32"/>
          <w:lang w:val="zh-CN" w:eastAsia="zh-CN"/>
        </w:rPr>
        <w:t>）进行项目申报。</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b w:val="0"/>
          <w:bCs w:val="0"/>
          <w:color w:val="auto"/>
          <w:sz w:val="32"/>
          <w:szCs w:val="32"/>
          <w:lang w:val="zh-CN"/>
        </w:rPr>
      </w:pPr>
      <w:r>
        <w:rPr>
          <w:rFonts w:hint="eastAsia" w:ascii="仿宋_GB2312" w:hAnsi="仿宋_GB2312" w:eastAsia="仿宋_GB2312" w:cs="仿宋_GB2312"/>
          <w:b w:val="0"/>
          <w:bCs w:val="0"/>
          <w:color w:val="auto"/>
          <w:sz w:val="32"/>
          <w:szCs w:val="32"/>
          <w:lang w:val="zh-CN" w:eastAsia="zh-CN"/>
        </w:rPr>
        <w:t>3．资金管理办法制定情况，资金支持具体项目的条件、范围与支持方式概况。根据广元市委组织部、市财政局《关于进一步加强贫困村党组织第一书记生活保障的通知》</w:t>
      </w:r>
      <w:r>
        <w:rPr>
          <w:rFonts w:hint="eastAsia" w:ascii="仿宋_GB2312" w:hAnsi="宋体" w:eastAsia="仿宋_GB2312" w:cs="Times New Roman"/>
          <w:b w:val="0"/>
          <w:bCs w:val="0"/>
          <w:color w:val="auto"/>
          <w:sz w:val="32"/>
          <w:szCs w:val="32"/>
          <w:lang w:val="zh-CN"/>
        </w:rPr>
        <w:t>，我中心严格按照财务管理规定，</w:t>
      </w:r>
      <w:r>
        <w:rPr>
          <w:rFonts w:hint="eastAsia" w:ascii="仿宋_GB2312" w:hAnsi="仿宋_GB2312" w:eastAsia="仿宋_GB2312" w:cs="仿宋_GB2312"/>
          <w:b w:val="0"/>
          <w:bCs w:val="0"/>
          <w:color w:val="auto"/>
          <w:sz w:val="32"/>
          <w:szCs w:val="32"/>
          <w:shd w:val="clear" w:color="auto" w:fill="FFFFFF"/>
          <w:lang w:eastAsia="zh-CN"/>
        </w:rPr>
        <w:t>做好帮扶村驻村工作，全力保障驻村第一书记和驻村工作队生活保障</w:t>
      </w:r>
      <w:r>
        <w:rPr>
          <w:rFonts w:hint="eastAsia" w:ascii="仿宋_GB2312" w:hAnsi="宋体" w:eastAsia="仿宋_GB2312" w:cs="Times New Roman"/>
          <w:b w:val="0"/>
          <w:bCs w:val="0"/>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 xml:space="preserve"> 4</w:t>
      </w:r>
      <w:r>
        <w:rPr>
          <w:rFonts w:hint="eastAsia" w:ascii="仿宋_GB2312" w:hAnsi="宋体" w:eastAsia="仿宋_GB2312" w:cs="Times New Roman"/>
          <w:b w:val="0"/>
          <w:bCs w:val="0"/>
          <w:color w:val="auto"/>
          <w:sz w:val="32"/>
          <w:szCs w:val="32"/>
          <w:lang w:val="en-US" w:eastAsia="zh-CN"/>
        </w:rPr>
        <w:t>.</w:t>
      </w:r>
      <w:r>
        <w:rPr>
          <w:rFonts w:hint="eastAsia" w:ascii="仿宋_GB2312" w:hAnsi="宋体" w:eastAsia="仿宋_GB2312" w:cs="Times New Roman"/>
          <w:b w:val="0"/>
          <w:bCs w:val="0"/>
          <w:color w:val="auto"/>
          <w:sz w:val="32"/>
          <w:szCs w:val="32"/>
          <w:lang w:val="zh-CN"/>
        </w:rPr>
        <w:t>资金分配的原则及考虑因素。资金分配主要涉及第一书记和工作队员生活保障等费用。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color w:val="auto"/>
          <w:sz w:val="32"/>
          <w:szCs w:val="32"/>
          <w:lang w:val="zh-CN"/>
        </w:rPr>
      </w:pPr>
      <w:r>
        <w:rPr>
          <w:rFonts w:hint="eastAsia" w:ascii="仿宋_GB2312" w:hAnsi="宋体" w:eastAsia="仿宋_GB2312"/>
          <w:b w:val="0"/>
          <w:bCs w:val="0"/>
          <w:color w:val="auto"/>
          <w:sz w:val="32"/>
          <w:szCs w:val="32"/>
          <w:lang w:val="zh-CN"/>
        </w:rPr>
        <w:t>1</w:t>
      </w:r>
      <w:r>
        <w:rPr>
          <w:rFonts w:hint="eastAsia" w:ascii="仿宋_GB2312" w:hAnsi="宋体" w:eastAsia="仿宋_GB2312"/>
          <w:b w:val="0"/>
          <w:bCs w:val="0"/>
          <w:color w:val="auto"/>
          <w:sz w:val="32"/>
          <w:szCs w:val="32"/>
          <w:lang w:val="en-US" w:eastAsia="zh-CN"/>
        </w:rPr>
        <w:t>.</w:t>
      </w:r>
      <w:r>
        <w:rPr>
          <w:rFonts w:hint="eastAsia" w:ascii="仿宋_GB2312" w:hAnsi="宋体" w:eastAsia="仿宋_GB2312"/>
          <w:b w:val="0"/>
          <w:bCs w:val="0"/>
          <w:color w:val="auto"/>
          <w:sz w:val="32"/>
          <w:szCs w:val="32"/>
          <w:lang w:val="zh-CN"/>
        </w:rPr>
        <w:t>项目主要内容。全力做好</w:t>
      </w:r>
      <w:r>
        <w:rPr>
          <w:rFonts w:hint="eastAsia" w:ascii="仿宋_GB2312" w:hAnsi="宋体" w:eastAsia="仿宋_GB2312" w:cs="Times New Roman"/>
          <w:b w:val="0"/>
          <w:bCs w:val="0"/>
          <w:color w:val="auto"/>
          <w:sz w:val="32"/>
          <w:szCs w:val="32"/>
          <w:lang w:val="zh-CN"/>
        </w:rPr>
        <w:t>苍溪县松光村、剑阁县金星村驻村帮扶工作，保障帮扶工作正常开展所需经费。</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b w:val="0"/>
          <w:bCs w:val="0"/>
          <w:color w:val="auto"/>
          <w:sz w:val="32"/>
          <w:szCs w:val="32"/>
          <w:lang w:val="zh-CN"/>
        </w:rPr>
      </w:pPr>
      <w:r>
        <w:rPr>
          <w:rFonts w:hint="eastAsia" w:ascii="仿宋_GB2312" w:hAnsi="宋体" w:eastAsia="仿宋_GB2312"/>
          <w:b w:val="0"/>
          <w:bCs w:val="0"/>
          <w:color w:val="auto"/>
          <w:sz w:val="32"/>
          <w:szCs w:val="32"/>
          <w:lang w:val="zh-CN"/>
        </w:rPr>
        <w:t>2</w:t>
      </w:r>
      <w:r>
        <w:rPr>
          <w:rFonts w:hint="eastAsia" w:ascii="仿宋_GB2312" w:hAnsi="宋体" w:eastAsia="仿宋_GB2312"/>
          <w:b w:val="0"/>
          <w:bCs w:val="0"/>
          <w:color w:val="auto"/>
          <w:sz w:val="32"/>
          <w:szCs w:val="32"/>
          <w:lang w:val="en-US" w:eastAsia="zh-CN"/>
        </w:rPr>
        <w:t>.</w:t>
      </w:r>
      <w:r>
        <w:rPr>
          <w:rFonts w:hint="eastAsia" w:ascii="仿宋_GB2312" w:hAnsi="宋体" w:eastAsia="仿宋_GB2312"/>
          <w:b w:val="0"/>
          <w:bCs w:val="0"/>
          <w:color w:val="auto"/>
          <w:sz w:val="32"/>
          <w:szCs w:val="32"/>
          <w:lang w:val="zh-CN"/>
        </w:rPr>
        <w:t>项目应实现的具体绩效目标。</w:t>
      </w:r>
      <w:r>
        <w:rPr>
          <w:rFonts w:hint="eastAsia" w:ascii="仿宋_GB2312" w:hAnsi="宋体" w:eastAsia="仿宋_GB2312" w:cs="Times New Roman"/>
          <w:b w:val="0"/>
          <w:bCs w:val="0"/>
          <w:color w:val="auto"/>
          <w:sz w:val="32"/>
          <w:szCs w:val="32"/>
          <w:lang w:val="zh-CN"/>
        </w:rPr>
        <w:t>按照市委市政府的总体要求，全力开展驻村帮扶工作，为保障帮扶工作正常开展提供所需经费</w:t>
      </w:r>
      <w:r>
        <w:rPr>
          <w:rFonts w:hint="eastAsia" w:ascii="仿宋_GB2312" w:hAnsi="宋体" w:eastAsia="仿宋_GB2312" w:cs="Times New Roman"/>
          <w:b w:val="0"/>
          <w:bCs w:val="0"/>
          <w:color w:val="auto"/>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color w:val="auto"/>
          <w:sz w:val="32"/>
          <w:szCs w:val="32"/>
          <w:lang w:val="zh-CN"/>
        </w:rPr>
      </w:pPr>
      <w:r>
        <w:rPr>
          <w:rFonts w:hint="eastAsia" w:ascii="仿宋_GB2312" w:hAnsi="宋体" w:eastAsia="仿宋_GB2312"/>
          <w:b w:val="0"/>
          <w:bCs w:val="0"/>
          <w:color w:val="auto"/>
          <w:sz w:val="32"/>
          <w:szCs w:val="32"/>
          <w:lang w:val="zh-CN"/>
        </w:rPr>
        <w:t>3</w:t>
      </w:r>
      <w:r>
        <w:rPr>
          <w:rFonts w:hint="eastAsia" w:ascii="仿宋_GB2312" w:hAnsi="宋体" w:eastAsia="仿宋_GB2312"/>
          <w:b w:val="0"/>
          <w:bCs w:val="0"/>
          <w:color w:val="auto"/>
          <w:sz w:val="32"/>
          <w:szCs w:val="32"/>
          <w:lang w:val="en-US" w:eastAsia="zh-CN"/>
        </w:rPr>
        <w:t>.</w:t>
      </w:r>
      <w:r>
        <w:rPr>
          <w:rFonts w:hint="eastAsia" w:ascii="仿宋_GB2312" w:hAnsi="宋体" w:eastAsia="仿宋_GB2312"/>
          <w:b w:val="0"/>
          <w:bCs w:val="0"/>
          <w:color w:val="auto"/>
          <w:sz w:val="32"/>
          <w:szCs w:val="32"/>
          <w:lang w:val="zh-CN"/>
        </w:rPr>
        <w:t>分析评价申报内容是</w:t>
      </w:r>
      <w:r>
        <w:rPr>
          <w:rFonts w:hint="eastAsia" w:ascii="仿宋_GB2312" w:hAnsi="宋体" w:eastAsia="仿宋_GB2312" w:cs="Times New Roman"/>
          <w:b w:val="0"/>
          <w:bCs w:val="0"/>
          <w:color w:val="auto"/>
          <w:sz w:val="32"/>
          <w:szCs w:val="32"/>
          <w:lang w:val="zh-CN" w:eastAsia="zh-CN"/>
        </w:rPr>
        <w:t>否与实际相符，申报目标是否合理可行。根据市委市政府总体部署，</w:t>
      </w:r>
      <w:r>
        <w:rPr>
          <w:rFonts w:hint="eastAsia" w:ascii="仿宋_GB2312" w:hAnsi="宋体" w:eastAsia="仿宋_GB2312" w:cs="Times New Roman"/>
          <w:b w:val="0"/>
          <w:bCs w:val="0"/>
          <w:color w:val="auto"/>
          <w:sz w:val="32"/>
          <w:szCs w:val="32"/>
          <w:lang w:val="en-US" w:eastAsia="zh-CN"/>
        </w:rPr>
        <w:t>2021年我中心</w:t>
      </w:r>
      <w:r>
        <w:rPr>
          <w:rFonts w:hint="eastAsia" w:ascii="仿宋_GB2312" w:hAnsi="宋体" w:eastAsia="仿宋_GB2312" w:cs="Times New Roman"/>
          <w:b w:val="0"/>
          <w:bCs w:val="0"/>
          <w:color w:val="auto"/>
          <w:sz w:val="32"/>
          <w:szCs w:val="32"/>
          <w:lang w:val="zh-CN" w:eastAsia="zh-CN"/>
        </w:rPr>
        <w:t>帮扶苍溪县贫困村1个，剑阁县非贫困村1个，派出第一书记</w:t>
      </w:r>
      <w:r>
        <w:rPr>
          <w:rFonts w:hint="eastAsia" w:ascii="仿宋_GB2312" w:hAnsi="宋体" w:eastAsia="仿宋_GB2312" w:cs="Times New Roman"/>
          <w:b w:val="0"/>
          <w:bCs w:val="0"/>
          <w:color w:val="auto"/>
          <w:sz w:val="32"/>
          <w:szCs w:val="32"/>
          <w:lang w:val="en-US" w:eastAsia="zh-CN"/>
        </w:rPr>
        <w:t>和</w:t>
      </w:r>
      <w:r>
        <w:rPr>
          <w:rFonts w:hint="eastAsia" w:ascii="仿宋_GB2312" w:hAnsi="宋体" w:eastAsia="仿宋_GB2312" w:cs="Times New Roman"/>
          <w:b w:val="0"/>
          <w:bCs w:val="0"/>
          <w:color w:val="auto"/>
          <w:sz w:val="32"/>
          <w:szCs w:val="32"/>
          <w:lang w:val="zh-CN" w:eastAsia="zh-CN"/>
        </w:rPr>
        <w:t>驻村工作队员</w:t>
      </w:r>
      <w:r>
        <w:rPr>
          <w:rFonts w:hint="eastAsia" w:ascii="仿宋_GB2312" w:hAnsi="宋体" w:eastAsia="仿宋_GB2312"/>
          <w:b w:val="0"/>
          <w:bCs w:val="0"/>
          <w:color w:val="auto"/>
          <w:sz w:val="32"/>
          <w:szCs w:val="32"/>
          <w:lang w:val="zh-CN"/>
        </w:rPr>
        <w:t>全力做好</w:t>
      </w:r>
      <w:r>
        <w:rPr>
          <w:rFonts w:hint="eastAsia" w:ascii="仿宋_GB2312" w:hAnsi="宋体" w:eastAsia="仿宋_GB2312"/>
          <w:b w:val="0"/>
          <w:bCs w:val="0"/>
          <w:color w:val="auto"/>
          <w:sz w:val="32"/>
          <w:szCs w:val="32"/>
          <w:lang w:val="en-US" w:eastAsia="zh-CN"/>
        </w:rPr>
        <w:t>2个村</w:t>
      </w:r>
      <w:r>
        <w:rPr>
          <w:rFonts w:hint="eastAsia" w:ascii="仿宋_GB2312" w:hAnsi="宋体" w:eastAsia="仿宋_GB2312"/>
          <w:b w:val="0"/>
          <w:bCs w:val="0"/>
          <w:color w:val="auto"/>
          <w:sz w:val="32"/>
          <w:szCs w:val="32"/>
          <w:lang w:val="zh-CN"/>
        </w:rPr>
        <w:t>66户贫困户不返贫并持续稳定增收，申报内容与实际相符，申报目标合理可行。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zh-CN"/>
        </w:rPr>
        <w:t>我中心成立了由党组书记、主任任组长，</w:t>
      </w:r>
      <w:r>
        <w:rPr>
          <w:rFonts w:hint="eastAsia" w:ascii="仿宋_GB2312" w:hAnsi="宋体" w:eastAsia="仿宋_GB2312"/>
          <w:b w:val="0"/>
          <w:bCs w:val="0"/>
          <w:color w:val="auto"/>
          <w:sz w:val="32"/>
          <w:szCs w:val="32"/>
          <w:lang w:val="en-US" w:eastAsia="zh-CN"/>
        </w:rPr>
        <w:t>2名副主任任副组长，各科室负责人为成员的</w:t>
      </w:r>
      <w:r>
        <w:rPr>
          <w:rFonts w:hint="eastAsia" w:ascii="仿宋_GB2312" w:hAnsi="宋体" w:eastAsia="仿宋_GB2312"/>
          <w:b w:val="0"/>
          <w:bCs w:val="0"/>
          <w:color w:val="auto"/>
          <w:sz w:val="32"/>
          <w:szCs w:val="32"/>
          <w:lang w:val="zh-CN"/>
        </w:rPr>
        <w:t>项目自评工作领导小组，负责全面组织实施项目自评并全过程监督。工作组从项目申报、实施、使用情况开展自评，重点对项目经费申报是否合理、使用是否合规、程序是规范，制度是否健全等方面开展评价，并形成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2021年我中心申报</w:t>
      </w:r>
      <w:r>
        <w:rPr>
          <w:rFonts w:hint="eastAsia" w:ascii="仿宋_GB2312" w:hAnsi="仿宋_GB2312" w:eastAsia="仿宋_GB2312" w:cs="仿宋_GB2312"/>
          <w:b w:val="0"/>
          <w:bCs w:val="0"/>
          <w:color w:val="auto"/>
          <w:sz w:val="32"/>
          <w:szCs w:val="32"/>
        </w:rPr>
        <w:t>扶贫工作专项经费</w:t>
      </w:r>
      <w:r>
        <w:rPr>
          <w:rFonts w:hint="eastAsia" w:ascii="仿宋_GB2312" w:hAnsi="仿宋_GB2312" w:eastAsia="仿宋_GB2312" w:cs="仿宋_GB2312"/>
          <w:b w:val="0"/>
          <w:bCs w:val="0"/>
          <w:color w:val="auto"/>
          <w:sz w:val="32"/>
          <w:szCs w:val="32"/>
          <w:lang w:val="en-US" w:eastAsia="zh-CN"/>
        </w:rPr>
        <w:t>0.5万元，财政批复0.5万元，预算与批复相等。</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资金计划、到位及使用情况</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color w:val="auto"/>
          <w:sz w:val="32"/>
          <w:szCs w:val="32"/>
          <w:lang w:val="zh-CN"/>
        </w:rPr>
      </w:pPr>
      <w:r>
        <w:rPr>
          <w:rFonts w:hint="eastAsia" w:ascii="仿宋_GB2312" w:hAnsi="宋体" w:eastAsia="仿宋_GB2312"/>
          <w:b w:val="0"/>
          <w:bCs w:val="0"/>
          <w:color w:val="auto"/>
          <w:sz w:val="32"/>
          <w:szCs w:val="32"/>
          <w:lang w:val="zh-CN"/>
        </w:rPr>
        <w:t>资金计划。</w:t>
      </w:r>
      <w:r>
        <w:rPr>
          <w:rFonts w:hint="eastAsia" w:ascii="仿宋_GB2312" w:hAnsi="仿宋_GB2312" w:eastAsia="仿宋_GB2312" w:cs="仿宋_GB2312"/>
          <w:b w:val="0"/>
          <w:bCs w:val="0"/>
          <w:color w:val="auto"/>
          <w:sz w:val="32"/>
          <w:szCs w:val="32"/>
        </w:rPr>
        <w:t>扶贫工作专项经费</w:t>
      </w:r>
      <w:r>
        <w:rPr>
          <w:rFonts w:hint="eastAsia" w:ascii="仿宋_GB2312" w:hAnsi="仿宋_GB2312" w:eastAsia="仿宋_GB2312" w:cs="仿宋_GB2312"/>
          <w:b w:val="0"/>
          <w:bCs w:val="0"/>
          <w:color w:val="auto"/>
          <w:sz w:val="32"/>
          <w:szCs w:val="32"/>
          <w:lang w:eastAsia="zh-CN"/>
        </w:rPr>
        <w:t>计划</w:t>
      </w:r>
      <w:r>
        <w:rPr>
          <w:rFonts w:hint="eastAsia" w:ascii="仿宋_GB2312" w:hAnsi="仿宋_GB2312" w:eastAsia="仿宋_GB2312" w:cs="仿宋_GB2312"/>
          <w:b w:val="0"/>
          <w:bCs w:val="0"/>
          <w:color w:val="auto"/>
          <w:sz w:val="32"/>
          <w:szCs w:val="32"/>
          <w:lang w:val="en-US" w:eastAsia="zh-CN"/>
        </w:rPr>
        <w:t>0.5万元，实际到位资金0.5万元，到位率100%，到位时间及时，到位情况与资金计划一致。</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2</w:t>
      </w:r>
      <w:r>
        <w:rPr>
          <w:rFonts w:hint="eastAsia" w:ascii="仿宋_GB2312" w:hAnsi="宋体" w:eastAsia="仿宋_GB2312"/>
          <w:b w:val="0"/>
          <w:bCs w:val="0"/>
          <w:color w:val="auto"/>
          <w:sz w:val="32"/>
          <w:szCs w:val="32"/>
          <w:lang w:val="zh-CN"/>
        </w:rPr>
        <w:t>．资金使用。实际使用资金</w:t>
      </w:r>
      <w:r>
        <w:rPr>
          <w:rFonts w:hint="eastAsia" w:ascii="仿宋_GB2312" w:hAnsi="宋体" w:eastAsia="仿宋_GB2312"/>
          <w:b w:val="0"/>
          <w:bCs w:val="0"/>
          <w:color w:val="auto"/>
          <w:sz w:val="32"/>
          <w:szCs w:val="32"/>
          <w:lang w:val="en-US" w:eastAsia="zh-CN"/>
        </w:rPr>
        <w:t>0.5万元，资金开支范围、标准、支付进度、支付依据等合规合法。</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zh-CN" w:eastAsia="zh-CN"/>
        </w:rPr>
        <w:t>我中心按照相关规定，严格管理使用</w:t>
      </w:r>
      <w:r>
        <w:rPr>
          <w:rFonts w:hint="eastAsia" w:ascii="仿宋_GB2312" w:hAnsi="仿宋_GB2312" w:eastAsia="仿宋_GB2312" w:cs="仿宋_GB2312"/>
          <w:b w:val="0"/>
          <w:bCs w:val="0"/>
          <w:color w:val="auto"/>
          <w:sz w:val="32"/>
          <w:szCs w:val="32"/>
          <w:lang w:eastAsia="zh-CN"/>
        </w:rPr>
        <w:t>扶贫工作专项经费，单位财务管理制度健全，严格执行财务管理制度，所有支出都按照财务管理办法和项目实施办法使用经费，财务处理及时，会计核算规范，报账凭证完整，没有违规现象。</w:t>
      </w: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zh-CN"/>
        </w:rPr>
        <w:t>（一）项目组织架构及实施流程。</w:t>
      </w:r>
      <w:r>
        <w:rPr>
          <w:rFonts w:hint="eastAsia" w:ascii="仿宋_GB2312" w:hAnsi="仿宋_GB2312" w:eastAsia="仿宋_GB2312" w:cs="仿宋_GB2312"/>
          <w:b w:val="0"/>
          <w:bCs w:val="0"/>
          <w:color w:val="auto"/>
          <w:sz w:val="32"/>
          <w:szCs w:val="32"/>
          <w:lang w:val="zh-CN" w:eastAsia="zh-CN"/>
        </w:rPr>
        <w:t>为加强财政经费管理，我中心成立了项目管理工作领导小组，负责对易地扶贫搬迁后续扶持工作经费项目预算编制和使用全过程监督，领导小组下设办公室，由综合科科长任办公室主任，负责项目预算申报和具体实施。年初，由综合科会同相关科室提出项目支出内容，通过中心党组会研究确定，确保经费使用效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zh-CN"/>
        </w:rPr>
        <w:t>（二）项目管理情况。</w:t>
      </w:r>
      <w:r>
        <w:rPr>
          <w:rFonts w:hint="eastAsia" w:ascii="仿宋_GB2312" w:hAnsi="仿宋_GB2312" w:eastAsia="仿宋_GB2312" w:cs="仿宋_GB2312"/>
          <w:b w:val="0"/>
          <w:bCs w:val="0"/>
          <w:color w:val="auto"/>
          <w:sz w:val="32"/>
          <w:szCs w:val="32"/>
          <w:lang w:val="zh-CN" w:eastAsia="zh-CN"/>
        </w:rPr>
        <w:t>市以工代赈事务中心严格按照项目管理有关规定对专项经费进行管理，综合科负责协调相关工作、项目实施及资金管理。</w:t>
      </w:r>
    </w:p>
    <w:p>
      <w:pPr>
        <w:spacing w:line="576" w:lineRule="exact"/>
        <w:ind w:firstLine="640" w:firstLineChars="200"/>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zh-CN"/>
        </w:rPr>
        <w:t>（三）项目监管情况。</w:t>
      </w:r>
      <w:r>
        <w:rPr>
          <w:rFonts w:hint="eastAsia" w:ascii="仿宋_GB2312" w:hAnsi="仿宋_GB2312" w:eastAsia="仿宋_GB2312" w:cs="仿宋_GB2312"/>
          <w:b w:val="0"/>
          <w:bCs w:val="0"/>
          <w:color w:val="auto"/>
          <w:sz w:val="32"/>
          <w:szCs w:val="32"/>
          <w:lang w:val="zh-CN" w:eastAsia="zh-CN"/>
        </w:rPr>
        <w:t>项目经费严格按照经费程序和审批流程进行，经费支出必须通过财务人员审核、综合科审批、分管领导审签后支出，</w:t>
      </w:r>
      <w:r>
        <w:rPr>
          <w:rFonts w:hint="eastAsia" w:ascii="仿宋_GB2312" w:hAnsi="仿宋_GB2312" w:eastAsia="仿宋_GB2312" w:cs="仿宋_GB2312"/>
          <w:b w:val="0"/>
          <w:bCs w:val="0"/>
          <w:color w:val="auto"/>
          <w:sz w:val="32"/>
          <w:szCs w:val="32"/>
          <w:lang w:val="en-US" w:eastAsia="zh-CN"/>
        </w:rPr>
        <w:t>大额金额必须通过党组会议议定后支出</w:t>
      </w:r>
      <w:r>
        <w:rPr>
          <w:rFonts w:hint="eastAsia" w:ascii="仿宋_GB2312" w:hAnsi="仿宋_GB2312" w:eastAsia="仿宋_GB2312" w:cs="仿宋_GB2312"/>
          <w:b w:val="0"/>
          <w:bCs w:val="0"/>
          <w:color w:val="auto"/>
          <w:sz w:val="32"/>
          <w:szCs w:val="32"/>
          <w:lang w:val="zh-CN" w:eastAsia="zh-CN"/>
        </w:rPr>
        <w:t>。同时经费管理主动接受驻纪检监察组和审计部门的监督检查，对预算执行实行动态监控，无违纪违法现象。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四、项目绩效情况</w:t>
      </w:r>
      <w:r>
        <w:rPr>
          <w:rFonts w:hint="eastAsia" w:ascii="黑体" w:hAnsi="黑体" w:eastAsia="黑体" w:cs="黑体"/>
          <w:b w:val="0"/>
          <w:bCs w:val="0"/>
          <w:color w:val="auto"/>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r>
        <w:rPr>
          <w:rFonts w:hint="eastAsia" w:ascii="仿宋_GB2312" w:hAnsi="仿宋_GB2312" w:eastAsia="仿宋_GB2312" w:cs="仿宋_GB2312"/>
          <w:b w:val="0"/>
          <w:bCs w:val="0"/>
          <w:color w:val="auto"/>
          <w:sz w:val="32"/>
          <w:szCs w:val="32"/>
          <w:lang w:val="zh-CN"/>
        </w:rPr>
        <w:t>通过项目实施，帮扶干部每月到村开展工作，并按月发放工作补助，松光村已脱贫的48户贫困户无一户返贫并实现持续稳定增收，巩固脱贫成效，脱贫户人均收入9000元以上。全村家庭通电率100%，通天然气率80%，网路信号覆盖率100%，有线电视使用率100%。村落清洁卫生好，有垃圾集中点，有垃圾清运车定点清运。新增35亩猕猴桃种植园，改造40亩猕猴桃低效园，养殖100头肉羊。</w:t>
      </w:r>
      <w:r>
        <w:rPr>
          <w:rFonts w:hint="eastAsia" w:ascii="仿宋_GB2312" w:hAnsi="宋体" w:eastAsia="仿宋_GB2312" w:cs="Times New Roman"/>
          <w:b w:val="0"/>
          <w:bCs w:val="0"/>
          <w:color w:val="auto"/>
          <w:sz w:val="32"/>
          <w:szCs w:val="32"/>
          <w:lang w:val="zh-CN"/>
        </w:rPr>
        <w:t>搬迁群众满意度达95%以上。</w:t>
      </w:r>
      <w:r>
        <w:rPr>
          <w:rFonts w:hint="eastAsia" w:ascii="仿宋_GB2312" w:hAnsi="宋体" w:eastAsia="仿宋_GB2312" w:cs="Times New Roman"/>
          <w:b w:val="0"/>
          <w:bCs w:val="0"/>
          <w:color w:val="auto"/>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（二）项目效益情况。</w:t>
      </w:r>
      <w:r>
        <w:rPr>
          <w:rFonts w:hint="eastAsia" w:ascii="仿宋_GB2312" w:hAnsi="宋体" w:eastAsia="仿宋_GB2312"/>
          <w:b w:val="0"/>
          <w:bCs w:val="0"/>
          <w:color w:val="auto"/>
          <w:sz w:val="32"/>
          <w:szCs w:val="32"/>
          <w:lang w:val="zh-CN"/>
        </w:rPr>
        <w:t>从项目各项效益指标看，</w:t>
      </w:r>
      <w:r>
        <w:rPr>
          <w:rFonts w:hint="eastAsia" w:ascii="仿宋_GB2312" w:hAnsi="宋体" w:eastAsia="仿宋_GB2312"/>
          <w:b w:val="0"/>
          <w:bCs w:val="0"/>
          <w:color w:val="auto"/>
          <w:sz w:val="32"/>
          <w:szCs w:val="32"/>
          <w:lang w:val="en-US" w:eastAsia="zh-CN"/>
        </w:rPr>
        <w:t>2021年</w:t>
      </w:r>
      <w:r>
        <w:rPr>
          <w:rFonts w:hint="eastAsia" w:ascii="仿宋_GB2312" w:hAnsi="仿宋_GB2312" w:eastAsia="仿宋_GB2312" w:cs="仿宋_GB2312"/>
          <w:b w:val="0"/>
          <w:bCs w:val="0"/>
          <w:color w:val="auto"/>
          <w:sz w:val="32"/>
          <w:szCs w:val="32"/>
          <w:lang w:eastAsia="zh-CN"/>
        </w:rPr>
        <w:t>扶贫工作专项</w:t>
      </w:r>
      <w:r>
        <w:rPr>
          <w:rFonts w:hint="eastAsia" w:ascii="仿宋_GB2312" w:hAnsi="仿宋_GB2312" w:eastAsia="仿宋_GB2312" w:cs="仿宋_GB2312"/>
          <w:b w:val="0"/>
          <w:bCs w:val="0"/>
          <w:color w:val="auto"/>
          <w:sz w:val="32"/>
          <w:szCs w:val="32"/>
        </w:rPr>
        <w:t>经费</w:t>
      </w:r>
      <w:r>
        <w:rPr>
          <w:rFonts w:hint="eastAsia" w:ascii="仿宋_GB2312" w:hAnsi="仿宋_GB2312" w:eastAsia="仿宋_GB2312" w:cs="仿宋_GB2312"/>
          <w:b w:val="0"/>
          <w:bCs w:val="0"/>
          <w:color w:val="auto"/>
          <w:sz w:val="32"/>
          <w:szCs w:val="32"/>
          <w:lang w:eastAsia="zh-CN"/>
        </w:rPr>
        <w:t>按照既定目标完成各项效益指标，项目完成质量较好，帮扶群众</w:t>
      </w:r>
      <w:r>
        <w:rPr>
          <w:rFonts w:hint="eastAsia" w:ascii="仿宋_GB2312" w:hAnsi="宋体" w:eastAsia="仿宋_GB2312"/>
          <w:b w:val="0"/>
          <w:bCs w:val="0"/>
          <w:color w:val="auto"/>
          <w:sz w:val="32"/>
          <w:szCs w:val="32"/>
          <w:lang w:val="zh-CN"/>
        </w:rPr>
        <w:t>满意度达到</w:t>
      </w:r>
      <w:r>
        <w:rPr>
          <w:rFonts w:hint="eastAsia" w:ascii="仿宋_GB2312" w:hAnsi="宋体" w:eastAsia="仿宋_GB2312"/>
          <w:b w:val="0"/>
          <w:bCs w:val="0"/>
          <w:color w:val="auto"/>
          <w:sz w:val="32"/>
          <w:szCs w:val="32"/>
          <w:lang w:val="en-US" w:eastAsia="zh-CN"/>
        </w:rPr>
        <w:t>95%以上。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zh-CN" w:eastAsia="zh-CN"/>
        </w:rPr>
        <w:t>（一）评价结论</w:t>
      </w:r>
    </w:p>
    <w:p>
      <w:pPr>
        <w:spacing w:line="576" w:lineRule="exact"/>
        <w:ind w:firstLine="640" w:firstLineChars="200"/>
        <w:rPr>
          <w:rFonts w:hint="eastAsia"/>
          <w:b w:val="0"/>
          <w:bCs w:val="0"/>
          <w:color w:val="auto"/>
          <w:lang w:eastAsia="zh-CN"/>
        </w:rPr>
      </w:pPr>
      <w:r>
        <w:rPr>
          <w:rFonts w:hint="eastAsia" w:ascii="仿宋_GB2312" w:hAnsi="仿宋_GB2312" w:eastAsia="仿宋_GB2312" w:cs="仿宋_GB2312"/>
          <w:b w:val="0"/>
          <w:bCs w:val="0"/>
          <w:color w:val="auto"/>
          <w:sz w:val="32"/>
          <w:szCs w:val="32"/>
          <w:lang w:eastAsia="zh-CN"/>
        </w:rPr>
        <w:t>本项目符合脱贫攻坚管理的政策，具有明确的绩效目标，项目实施过程中严格按照实际需要实施，有力保障了脱贫攻坚帮扶各项工作顺利开展，项目总体绩效评价好。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项目测算标准有待细化，测算准确率有待提高。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zh-CN" w:eastAsia="zh-CN"/>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建议财政部门加大对绩效管理工作的指导和业务培训，进一步提高工作质效。</w:t>
      </w:r>
    </w:p>
    <w:p>
      <w:pPr>
        <w:pStyle w:val="2"/>
        <w:spacing w:before="93"/>
        <w:rPr>
          <w:b w:val="0"/>
          <w:bCs w:val="0"/>
          <w:color w:val="auto"/>
          <w:lang w:val="zh-CN"/>
        </w:rPr>
      </w:pPr>
    </w:p>
    <w:tbl>
      <w:tblPr>
        <w:tblStyle w:val="17"/>
        <w:tblW w:w="107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072"/>
        <w:gridCol w:w="1020"/>
        <w:gridCol w:w="2208"/>
        <w:gridCol w:w="2655"/>
        <w:gridCol w:w="2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0714"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4"/>
                <w:szCs w:val="44"/>
                <w:u w:val="none"/>
              </w:rPr>
            </w:pPr>
            <w:r>
              <w:rPr>
                <w:rFonts w:hint="eastAsia" w:ascii="方正小标宋简体" w:hAnsi="方正小标宋简体" w:eastAsia="方正小标宋简体" w:cs="方正小标宋简体"/>
                <w:i w:val="0"/>
                <w:color w:val="auto"/>
                <w:kern w:val="0"/>
                <w:sz w:val="44"/>
                <w:szCs w:val="44"/>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714"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r>
              <w:rPr>
                <w:rFonts w:hint="default" w:ascii="Times New Roman" w:hAnsi="Times New Roman" w:eastAsia="宋体" w:cs="Times New Roman"/>
                <w:i w:val="0"/>
                <w:color w:val="auto"/>
                <w:kern w:val="0"/>
                <w:sz w:val="24"/>
                <w:szCs w:val="24"/>
                <w:u w:val="none"/>
                <w:lang w:val="en-US" w:eastAsia="zh-CN" w:bidi="ar"/>
              </w:rPr>
              <w:t xml:space="preserve">    2021</w:t>
            </w:r>
            <w:r>
              <w:rPr>
                <w:rFonts w:hint="eastAsia" w:ascii="宋体" w:hAnsi="宋体" w:eastAsia="宋体" w:cs="宋体"/>
                <w:i w:val="0"/>
                <w:color w:val="auto"/>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714" w:type="dxa"/>
            <w:gridSpan w:val="6"/>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注：项目支出包括部门预算支出和专项预算支出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7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扶贫工作专项经费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2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主管单位</w:t>
            </w:r>
          </w:p>
        </w:tc>
        <w:tc>
          <w:tcPr>
            <w:tcW w:w="22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市以工代赈事务中心</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8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市以工代赈事务中心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16"/>
                <w:szCs w:val="16"/>
                <w:u w:val="none"/>
                <w:lang w:val="en-US" w:eastAsia="zh-CN" w:bidi="ar"/>
              </w:rPr>
              <w:t>（万元）</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0.5万元</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0.5万元</w:t>
            </w:r>
          </w:p>
        </w:tc>
        <w:tc>
          <w:tcPr>
            <w:tcW w:w="265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其他资金</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265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其他资金</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目标</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完成</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情况</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5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根据市委市政府脱贫攻坚任务安排，帮扶苍溪县贫困村1个，剑阁县非贫困村1个。2021年全面完成精准扶贫年度帮扶工作任务。</w:t>
            </w:r>
          </w:p>
        </w:tc>
        <w:tc>
          <w:tcPr>
            <w:tcW w:w="5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根据市委市政府脱贫攻坚任务安排，帮扶苍溪县贫困村1个，剑阁县非贫困村1个。2021年全面完成精准扶贫年度帮扶工作任务。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9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绩效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完成</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情况</w:t>
            </w:r>
          </w:p>
        </w:tc>
        <w:tc>
          <w:tcPr>
            <w:tcW w:w="10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二级指标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三级指标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指标值</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项目完成指标</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数量指标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指标1：扶贫工作专项经费</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帮扶干部每月到村差旅费及驻村工作队生活补助费</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帮扶干部每月到村开展工作，并按月发放工作补助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0"/>
                <w:szCs w:val="20"/>
                <w:u w:val="none"/>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质量指标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指标1：扶贫工作专项经费</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巩固脱贫成果，确保贫困户不返贫并持续稳定增收</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已脱贫的48户贫困户无一户返贫并实现持续稳定增收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0"/>
                <w:szCs w:val="20"/>
                <w:u w:val="none"/>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时效指标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指标1：完成脱贫任务</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2021年1月至2021年12月</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2021年1月至2021年12月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8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0"/>
                <w:szCs w:val="20"/>
                <w:u w:val="none"/>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成本指标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指标1：公用经费</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0.5万元，主要用于驻村干部差旅补助、慰问等</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0.5万元，支付驻村队员差旅补助、慰问、保险等费用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项目效果指标</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经济效益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指标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指标1：贫困群众稳定增收</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巩固脱贫成效，脱贫户人均收入6500元以上。</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巩固脱贫成效，脱贫户人均收入9000元以上。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8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0"/>
                <w:szCs w:val="20"/>
                <w:u w:val="none"/>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社会效益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指标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指标1：村民基本生活、娱乐、文化需求能够得到保障。</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村民基本生活得到保障，提升幸福感</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全村家庭通电率100%，通天然气率80%，网路信号覆盖率100%，有线电视使用率100%。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0"/>
                <w:szCs w:val="20"/>
                <w:u w:val="none"/>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生态效益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指标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指标1：扶贫工作专项经费</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人居环境有所改善，有垃圾集中点，村民养成爱卫生的好习惯</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村落清洁卫生好，有垃圾集中点，有垃圾清运车定点清运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0"/>
                <w:szCs w:val="20"/>
                <w:u w:val="none"/>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可持续影响指标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指标1：贫困村产业持续发展</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拓宽产业发展渠道，新发展产业增收</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新增35亩猕猴桃种植园，改造40亩猕猴桃低效园，养殖100头肉羊。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0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满意度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指标</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指标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指标1：满意率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群众满意率95%以上</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14" w:type="dxa"/>
            <w:gridSpan w:val="6"/>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注：项目支出绩效目标自评表在项目执行完毕后填报。</w:t>
            </w:r>
          </w:p>
        </w:tc>
      </w:tr>
    </w:tbl>
    <w:p>
      <w:pPr>
        <w:pStyle w:val="2"/>
        <w:spacing w:before="93"/>
        <w:rPr>
          <w:b w:val="0"/>
          <w:bCs w:val="0"/>
          <w:color w:val="auto"/>
          <w:lang w:val="zh-CN"/>
        </w:rPr>
      </w:pPr>
    </w:p>
    <w:p>
      <w:pPr>
        <w:pStyle w:val="2"/>
        <w:spacing w:before="93"/>
        <w:rPr>
          <w:b w:val="0"/>
          <w:bCs w:val="0"/>
          <w:color w:val="auto"/>
          <w:lang w:val="zh-CN"/>
        </w:rPr>
      </w:pPr>
    </w:p>
    <w:p>
      <w:pPr>
        <w:spacing w:line="600" w:lineRule="exact"/>
        <w:jc w:val="center"/>
        <w:outlineLvl w:val="0"/>
        <w:rPr>
          <w:rFonts w:ascii="仿宋" w:hAnsi="仿宋" w:eastAsia="仿宋"/>
          <w:b w:val="0"/>
          <w:bCs w:val="0"/>
          <w:color w:val="auto"/>
        </w:rPr>
      </w:pPr>
      <w:bookmarkStart w:id="51" w:name="_Toc15396618"/>
      <w:r>
        <w:rPr>
          <w:rFonts w:hint="eastAsia" w:ascii="黑体" w:hAnsi="黑体" w:eastAsia="黑体"/>
          <w:b w:val="0"/>
          <w:bCs w:val="0"/>
          <w:color w:val="auto"/>
          <w:sz w:val="44"/>
          <w:szCs w:val="44"/>
        </w:rPr>
        <w:t>第</w:t>
      </w:r>
      <w:r>
        <w:rPr>
          <w:rStyle w:val="29"/>
          <w:rFonts w:hint="eastAsia" w:ascii="黑体" w:hAnsi="黑体" w:eastAsia="黑体"/>
          <w:b w:val="0"/>
          <w:bCs w:val="0"/>
          <w:color w:val="auto"/>
        </w:rPr>
        <w:t>五部分 附表</w:t>
      </w:r>
      <w:bookmarkEnd w:id="50"/>
      <w:bookmarkEnd w:id="51"/>
      <w:bookmarkStart w:id="52" w:name="_Toc15396619"/>
    </w:p>
    <w:p>
      <w:pPr>
        <w:pStyle w:val="5"/>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一、收</w:t>
      </w:r>
      <w:r>
        <w:rPr>
          <w:rStyle w:val="30"/>
          <w:rFonts w:hint="eastAsia" w:ascii="仿宋_GB2312" w:hAnsi="仿宋_GB2312" w:eastAsia="仿宋_GB2312" w:cs="仿宋_GB2312"/>
          <w:b w:val="0"/>
          <w:bCs w:val="0"/>
          <w:color w:val="auto"/>
          <w:sz w:val="32"/>
          <w:szCs w:val="32"/>
        </w:rPr>
        <w:t>入支出决算总表</w:t>
      </w:r>
      <w:bookmarkEnd w:id="52"/>
    </w:p>
    <w:p>
      <w:pPr>
        <w:pStyle w:val="5"/>
        <w:rPr>
          <w:rFonts w:hint="eastAsia" w:ascii="仿宋_GB2312" w:hAnsi="仿宋_GB2312" w:eastAsia="仿宋_GB2312" w:cs="仿宋_GB2312"/>
          <w:b w:val="0"/>
          <w:bCs w:val="0"/>
          <w:color w:val="auto"/>
          <w:sz w:val="32"/>
          <w:szCs w:val="32"/>
        </w:rPr>
      </w:pPr>
      <w:bookmarkStart w:id="53" w:name="_Toc15396620"/>
      <w:r>
        <w:rPr>
          <w:rFonts w:hint="eastAsia" w:ascii="仿宋_GB2312" w:hAnsi="仿宋_GB2312" w:eastAsia="仿宋_GB2312" w:cs="仿宋_GB2312"/>
          <w:b w:val="0"/>
          <w:bCs w:val="0"/>
          <w:color w:val="auto"/>
          <w:sz w:val="32"/>
          <w:szCs w:val="32"/>
        </w:rPr>
        <w:t>二、收</w:t>
      </w:r>
      <w:r>
        <w:rPr>
          <w:rStyle w:val="30"/>
          <w:rFonts w:hint="eastAsia" w:ascii="仿宋_GB2312" w:hAnsi="仿宋_GB2312" w:eastAsia="仿宋_GB2312" w:cs="仿宋_GB2312"/>
          <w:b w:val="0"/>
          <w:bCs w:val="0"/>
          <w:color w:val="auto"/>
          <w:sz w:val="32"/>
          <w:szCs w:val="32"/>
        </w:rPr>
        <w:t>入决算表</w:t>
      </w:r>
      <w:bookmarkEnd w:id="53"/>
    </w:p>
    <w:p>
      <w:pPr>
        <w:pStyle w:val="5"/>
        <w:rPr>
          <w:rFonts w:hint="eastAsia" w:ascii="仿宋_GB2312" w:hAnsi="仿宋_GB2312" w:eastAsia="仿宋_GB2312" w:cs="仿宋_GB2312"/>
          <w:b w:val="0"/>
          <w:bCs w:val="0"/>
          <w:color w:val="auto"/>
          <w:sz w:val="32"/>
          <w:szCs w:val="32"/>
        </w:rPr>
      </w:pPr>
      <w:bookmarkStart w:id="54" w:name="_Toc15396621"/>
      <w:r>
        <w:rPr>
          <w:rStyle w:val="30"/>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rPr>
        <w:t>支</w:t>
      </w:r>
      <w:r>
        <w:rPr>
          <w:rStyle w:val="30"/>
          <w:rFonts w:hint="eastAsia" w:ascii="仿宋_GB2312" w:hAnsi="仿宋_GB2312" w:eastAsia="仿宋_GB2312" w:cs="仿宋_GB2312"/>
          <w:b w:val="0"/>
          <w:bCs w:val="0"/>
          <w:color w:val="auto"/>
          <w:sz w:val="32"/>
          <w:szCs w:val="32"/>
        </w:rPr>
        <w:t>出决算表</w:t>
      </w:r>
      <w:bookmarkEnd w:id="54"/>
    </w:p>
    <w:p>
      <w:pPr>
        <w:pStyle w:val="5"/>
        <w:rPr>
          <w:rFonts w:hint="eastAsia" w:ascii="仿宋_GB2312" w:hAnsi="仿宋_GB2312" w:eastAsia="仿宋_GB2312" w:cs="仿宋_GB2312"/>
          <w:b w:val="0"/>
          <w:bCs w:val="0"/>
          <w:color w:val="auto"/>
          <w:sz w:val="32"/>
          <w:szCs w:val="32"/>
        </w:rPr>
      </w:pPr>
      <w:bookmarkStart w:id="55" w:name="_Toc15396622"/>
      <w:r>
        <w:rPr>
          <w:rStyle w:val="30"/>
          <w:rFonts w:hint="eastAsia" w:ascii="仿宋_GB2312" w:hAnsi="仿宋_GB2312" w:eastAsia="仿宋_GB2312" w:cs="仿宋_GB2312"/>
          <w:b w:val="0"/>
          <w:bCs w:val="0"/>
          <w:color w:val="auto"/>
          <w:sz w:val="32"/>
          <w:szCs w:val="32"/>
        </w:rPr>
        <w:t>四、</w:t>
      </w:r>
      <w:r>
        <w:rPr>
          <w:rFonts w:hint="eastAsia" w:ascii="仿宋_GB2312" w:hAnsi="仿宋_GB2312" w:eastAsia="仿宋_GB2312" w:cs="仿宋_GB2312"/>
          <w:b w:val="0"/>
          <w:bCs w:val="0"/>
          <w:color w:val="auto"/>
          <w:sz w:val="32"/>
          <w:szCs w:val="32"/>
        </w:rPr>
        <w:t>财</w:t>
      </w:r>
      <w:r>
        <w:rPr>
          <w:rStyle w:val="30"/>
          <w:rFonts w:hint="eastAsia" w:ascii="仿宋_GB2312" w:hAnsi="仿宋_GB2312" w:eastAsia="仿宋_GB2312" w:cs="仿宋_GB2312"/>
          <w:b w:val="0"/>
          <w:bCs w:val="0"/>
          <w:color w:val="auto"/>
          <w:sz w:val="32"/>
          <w:szCs w:val="32"/>
        </w:rPr>
        <w:t>政拨款收入支出决算总表</w:t>
      </w:r>
      <w:bookmarkEnd w:id="55"/>
    </w:p>
    <w:p>
      <w:pPr>
        <w:pStyle w:val="5"/>
        <w:rPr>
          <w:rStyle w:val="30"/>
          <w:rFonts w:hint="eastAsia" w:ascii="仿宋_GB2312" w:hAnsi="仿宋_GB2312" w:eastAsia="仿宋_GB2312" w:cs="仿宋_GB2312"/>
          <w:b w:val="0"/>
          <w:bCs w:val="0"/>
          <w:color w:val="auto"/>
          <w:sz w:val="32"/>
          <w:szCs w:val="32"/>
        </w:rPr>
      </w:pPr>
      <w:bookmarkStart w:id="56" w:name="_Toc15396623"/>
      <w:r>
        <w:rPr>
          <w:rStyle w:val="30"/>
          <w:rFonts w:hint="eastAsia" w:ascii="仿宋_GB2312" w:hAnsi="仿宋_GB2312" w:eastAsia="仿宋_GB2312" w:cs="仿宋_GB2312"/>
          <w:b w:val="0"/>
          <w:bCs w:val="0"/>
          <w:color w:val="auto"/>
          <w:sz w:val="32"/>
          <w:szCs w:val="32"/>
        </w:rPr>
        <w:t>五、</w:t>
      </w:r>
      <w:r>
        <w:rPr>
          <w:rFonts w:hint="eastAsia" w:ascii="仿宋_GB2312" w:hAnsi="仿宋_GB2312" w:eastAsia="仿宋_GB2312" w:cs="仿宋_GB2312"/>
          <w:b w:val="0"/>
          <w:bCs w:val="0"/>
          <w:color w:val="auto"/>
          <w:sz w:val="32"/>
          <w:szCs w:val="32"/>
        </w:rPr>
        <w:t>财</w:t>
      </w:r>
      <w:r>
        <w:rPr>
          <w:rStyle w:val="30"/>
          <w:rFonts w:hint="eastAsia" w:ascii="仿宋_GB2312" w:hAnsi="仿宋_GB2312" w:eastAsia="仿宋_GB2312" w:cs="仿宋_GB2312"/>
          <w:b w:val="0"/>
          <w:bCs w:val="0"/>
          <w:color w:val="auto"/>
          <w:sz w:val="32"/>
          <w:szCs w:val="32"/>
        </w:rPr>
        <w:t>政拨款支出决算明细表</w:t>
      </w:r>
      <w:bookmarkEnd w:id="56"/>
      <w:bookmarkStart w:id="57" w:name="_Toc15396624"/>
    </w:p>
    <w:p>
      <w:pPr>
        <w:pStyle w:val="5"/>
        <w:rPr>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六、</w:t>
      </w:r>
      <w:r>
        <w:rPr>
          <w:rFonts w:hint="eastAsia" w:ascii="仿宋_GB2312" w:hAnsi="仿宋_GB2312" w:eastAsia="仿宋_GB2312" w:cs="仿宋_GB2312"/>
          <w:b w:val="0"/>
          <w:bCs w:val="0"/>
          <w:color w:val="auto"/>
          <w:sz w:val="32"/>
          <w:szCs w:val="32"/>
        </w:rPr>
        <w:t>一</w:t>
      </w:r>
      <w:r>
        <w:rPr>
          <w:rStyle w:val="30"/>
          <w:rFonts w:hint="eastAsia" w:ascii="仿宋_GB2312" w:hAnsi="仿宋_GB2312" w:eastAsia="仿宋_GB2312" w:cs="仿宋_GB2312"/>
          <w:b w:val="0"/>
          <w:bCs w:val="0"/>
          <w:color w:val="auto"/>
          <w:sz w:val="32"/>
          <w:szCs w:val="32"/>
        </w:rPr>
        <w:t>般公共预算财政拨款支出决算表</w:t>
      </w:r>
      <w:bookmarkEnd w:id="57"/>
    </w:p>
    <w:p>
      <w:pPr>
        <w:pStyle w:val="5"/>
        <w:rPr>
          <w:rFonts w:hint="eastAsia" w:ascii="仿宋_GB2312" w:hAnsi="仿宋_GB2312" w:eastAsia="仿宋_GB2312" w:cs="仿宋_GB2312"/>
          <w:b w:val="0"/>
          <w:bCs w:val="0"/>
          <w:color w:val="auto"/>
          <w:sz w:val="32"/>
          <w:szCs w:val="32"/>
        </w:rPr>
      </w:pPr>
      <w:bookmarkStart w:id="58" w:name="_Toc15396625"/>
      <w:r>
        <w:rPr>
          <w:rStyle w:val="30"/>
          <w:rFonts w:hint="eastAsia" w:ascii="仿宋_GB2312" w:hAnsi="仿宋_GB2312" w:eastAsia="仿宋_GB2312" w:cs="仿宋_GB2312"/>
          <w:b w:val="0"/>
          <w:bCs w:val="0"/>
          <w:color w:val="auto"/>
          <w:sz w:val="32"/>
          <w:szCs w:val="32"/>
        </w:rPr>
        <w:t>七、</w:t>
      </w:r>
      <w:r>
        <w:rPr>
          <w:rFonts w:hint="eastAsia" w:ascii="仿宋_GB2312" w:hAnsi="仿宋_GB2312" w:eastAsia="仿宋_GB2312" w:cs="仿宋_GB2312"/>
          <w:b w:val="0"/>
          <w:bCs w:val="0"/>
          <w:color w:val="auto"/>
          <w:sz w:val="32"/>
          <w:szCs w:val="32"/>
        </w:rPr>
        <w:t>一</w:t>
      </w:r>
      <w:r>
        <w:rPr>
          <w:rStyle w:val="30"/>
          <w:rFonts w:hint="eastAsia" w:ascii="仿宋_GB2312" w:hAnsi="仿宋_GB2312" w:eastAsia="仿宋_GB2312" w:cs="仿宋_GB2312"/>
          <w:b w:val="0"/>
          <w:bCs w:val="0"/>
          <w:color w:val="auto"/>
          <w:sz w:val="32"/>
          <w:szCs w:val="32"/>
        </w:rPr>
        <w:t>般公共预算财政拨款支出决算明细表</w:t>
      </w:r>
      <w:bookmarkEnd w:id="58"/>
    </w:p>
    <w:p>
      <w:pPr>
        <w:pStyle w:val="5"/>
        <w:rPr>
          <w:rFonts w:hint="eastAsia" w:ascii="仿宋_GB2312" w:hAnsi="仿宋_GB2312" w:eastAsia="仿宋_GB2312" w:cs="仿宋_GB2312"/>
          <w:b w:val="0"/>
          <w:bCs w:val="0"/>
          <w:color w:val="auto"/>
          <w:sz w:val="32"/>
          <w:szCs w:val="32"/>
        </w:rPr>
      </w:pPr>
      <w:bookmarkStart w:id="59" w:name="_Toc15396626"/>
      <w:r>
        <w:rPr>
          <w:rStyle w:val="30"/>
          <w:rFonts w:hint="eastAsia" w:ascii="仿宋_GB2312" w:hAnsi="仿宋_GB2312" w:eastAsia="仿宋_GB2312" w:cs="仿宋_GB2312"/>
          <w:b w:val="0"/>
          <w:bCs w:val="0"/>
          <w:color w:val="auto"/>
          <w:sz w:val="32"/>
          <w:szCs w:val="32"/>
        </w:rPr>
        <w:t>八、</w:t>
      </w:r>
      <w:r>
        <w:rPr>
          <w:rFonts w:hint="eastAsia" w:ascii="仿宋_GB2312" w:hAnsi="仿宋_GB2312" w:eastAsia="仿宋_GB2312" w:cs="仿宋_GB2312"/>
          <w:b w:val="0"/>
          <w:bCs w:val="0"/>
          <w:color w:val="auto"/>
          <w:sz w:val="32"/>
          <w:szCs w:val="32"/>
        </w:rPr>
        <w:t>一</w:t>
      </w:r>
      <w:r>
        <w:rPr>
          <w:rStyle w:val="30"/>
          <w:rFonts w:hint="eastAsia" w:ascii="仿宋_GB2312" w:hAnsi="仿宋_GB2312" w:eastAsia="仿宋_GB2312" w:cs="仿宋_GB2312"/>
          <w:b w:val="0"/>
          <w:bCs w:val="0"/>
          <w:color w:val="auto"/>
          <w:sz w:val="32"/>
          <w:szCs w:val="32"/>
        </w:rPr>
        <w:t>般公共预算财政拨款基本支出决算表</w:t>
      </w:r>
      <w:bookmarkEnd w:id="59"/>
    </w:p>
    <w:p>
      <w:pPr>
        <w:pStyle w:val="5"/>
        <w:rPr>
          <w:rFonts w:hint="eastAsia" w:ascii="仿宋_GB2312" w:hAnsi="仿宋_GB2312" w:eastAsia="仿宋_GB2312" w:cs="仿宋_GB2312"/>
          <w:b w:val="0"/>
          <w:bCs w:val="0"/>
          <w:color w:val="auto"/>
          <w:sz w:val="32"/>
          <w:szCs w:val="32"/>
        </w:rPr>
      </w:pPr>
      <w:bookmarkStart w:id="60" w:name="_Toc15396627"/>
      <w:r>
        <w:rPr>
          <w:rStyle w:val="30"/>
          <w:rFonts w:hint="eastAsia" w:ascii="仿宋_GB2312" w:hAnsi="仿宋_GB2312" w:eastAsia="仿宋_GB2312" w:cs="仿宋_GB2312"/>
          <w:b w:val="0"/>
          <w:bCs w:val="0"/>
          <w:color w:val="auto"/>
          <w:sz w:val="32"/>
          <w:szCs w:val="32"/>
        </w:rPr>
        <w:t>九、</w:t>
      </w:r>
      <w:r>
        <w:rPr>
          <w:rFonts w:hint="eastAsia" w:ascii="仿宋_GB2312" w:hAnsi="仿宋_GB2312" w:eastAsia="仿宋_GB2312" w:cs="仿宋_GB2312"/>
          <w:b w:val="0"/>
          <w:bCs w:val="0"/>
          <w:color w:val="auto"/>
          <w:sz w:val="32"/>
          <w:szCs w:val="32"/>
        </w:rPr>
        <w:t>一</w:t>
      </w:r>
      <w:r>
        <w:rPr>
          <w:rStyle w:val="30"/>
          <w:rFonts w:hint="eastAsia" w:ascii="仿宋_GB2312" w:hAnsi="仿宋_GB2312" w:eastAsia="仿宋_GB2312" w:cs="仿宋_GB2312"/>
          <w:b w:val="0"/>
          <w:bCs w:val="0"/>
          <w:color w:val="auto"/>
          <w:sz w:val="32"/>
          <w:szCs w:val="32"/>
        </w:rPr>
        <w:t>般公共预算财政拨款项目支出决算表</w:t>
      </w:r>
      <w:bookmarkEnd w:id="60"/>
    </w:p>
    <w:p>
      <w:pPr>
        <w:pStyle w:val="5"/>
        <w:rPr>
          <w:rFonts w:hint="eastAsia" w:ascii="仿宋_GB2312" w:hAnsi="仿宋_GB2312" w:eastAsia="仿宋_GB2312" w:cs="仿宋_GB2312"/>
          <w:b w:val="0"/>
          <w:bCs w:val="0"/>
          <w:color w:val="auto"/>
          <w:sz w:val="32"/>
          <w:szCs w:val="32"/>
        </w:rPr>
      </w:pPr>
      <w:bookmarkStart w:id="61" w:name="_Toc15396628"/>
      <w:r>
        <w:rPr>
          <w:rStyle w:val="30"/>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rPr>
        <w:t>一</w:t>
      </w:r>
      <w:r>
        <w:rPr>
          <w:rStyle w:val="30"/>
          <w:rFonts w:hint="eastAsia" w:ascii="仿宋_GB2312" w:hAnsi="仿宋_GB2312" w:eastAsia="仿宋_GB2312" w:cs="仿宋_GB2312"/>
          <w:b w:val="0"/>
          <w:bCs w:val="0"/>
          <w:color w:val="auto"/>
          <w:sz w:val="32"/>
          <w:szCs w:val="32"/>
        </w:rPr>
        <w:t>般公共预算财政拨款“三公”经费支出决算表</w:t>
      </w:r>
      <w:bookmarkEnd w:id="61"/>
    </w:p>
    <w:p>
      <w:pPr>
        <w:pStyle w:val="5"/>
        <w:rPr>
          <w:rFonts w:hint="eastAsia" w:ascii="仿宋_GB2312" w:hAnsi="仿宋_GB2312" w:eastAsia="仿宋_GB2312" w:cs="仿宋_GB2312"/>
          <w:b w:val="0"/>
          <w:bCs w:val="0"/>
          <w:color w:val="auto"/>
          <w:sz w:val="32"/>
          <w:szCs w:val="32"/>
        </w:rPr>
      </w:pPr>
      <w:bookmarkStart w:id="62" w:name="_Toc15396629"/>
      <w:r>
        <w:rPr>
          <w:rStyle w:val="30"/>
          <w:rFonts w:hint="eastAsia" w:ascii="仿宋_GB2312" w:hAnsi="仿宋_GB2312" w:eastAsia="仿宋_GB2312" w:cs="仿宋_GB2312"/>
          <w:b w:val="0"/>
          <w:bCs w:val="0"/>
          <w:color w:val="auto"/>
          <w:sz w:val="32"/>
          <w:szCs w:val="32"/>
        </w:rPr>
        <w:t>十一、</w:t>
      </w:r>
      <w:r>
        <w:rPr>
          <w:rFonts w:hint="eastAsia" w:ascii="仿宋_GB2312" w:hAnsi="仿宋_GB2312" w:eastAsia="仿宋_GB2312" w:cs="仿宋_GB2312"/>
          <w:b w:val="0"/>
          <w:bCs w:val="0"/>
          <w:color w:val="auto"/>
          <w:sz w:val="32"/>
          <w:szCs w:val="32"/>
        </w:rPr>
        <w:t>政</w:t>
      </w:r>
      <w:r>
        <w:rPr>
          <w:rStyle w:val="30"/>
          <w:rFonts w:hint="eastAsia" w:ascii="仿宋_GB2312" w:hAnsi="仿宋_GB2312" w:eastAsia="仿宋_GB2312" w:cs="仿宋_GB2312"/>
          <w:b w:val="0"/>
          <w:bCs w:val="0"/>
          <w:color w:val="auto"/>
          <w:sz w:val="32"/>
          <w:szCs w:val="32"/>
        </w:rPr>
        <w:t>府性基金预算财政拨款收入支出决算表</w:t>
      </w:r>
      <w:bookmarkEnd w:id="62"/>
    </w:p>
    <w:p>
      <w:pPr>
        <w:pStyle w:val="5"/>
        <w:rPr>
          <w:rFonts w:hint="eastAsia" w:ascii="仿宋_GB2312" w:hAnsi="仿宋_GB2312" w:eastAsia="仿宋_GB2312" w:cs="仿宋_GB2312"/>
          <w:b w:val="0"/>
          <w:bCs w:val="0"/>
          <w:color w:val="auto"/>
          <w:sz w:val="32"/>
          <w:szCs w:val="32"/>
        </w:rPr>
      </w:pPr>
      <w:bookmarkStart w:id="63" w:name="_Toc15396630"/>
      <w:r>
        <w:rPr>
          <w:rStyle w:val="30"/>
          <w:rFonts w:hint="eastAsia" w:ascii="仿宋_GB2312" w:hAnsi="仿宋_GB2312" w:eastAsia="仿宋_GB2312" w:cs="仿宋_GB2312"/>
          <w:b w:val="0"/>
          <w:bCs w:val="0"/>
          <w:color w:val="auto"/>
          <w:sz w:val="32"/>
          <w:szCs w:val="32"/>
        </w:rPr>
        <w:t>十二、</w:t>
      </w:r>
      <w:r>
        <w:rPr>
          <w:rFonts w:hint="eastAsia" w:ascii="仿宋_GB2312" w:hAnsi="仿宋_GB2312" w:eastAsia="仿宋_GB2312" w:cs="仿宋_GB2312"/>
          <w:b w:val="0"/>
          <w:bCs w:val="0"/>
          <w:color w:val="auto"/>
          <w:sz w:val="32"/>
          <w:szCs w:val="32"/>
        </w:rPr>
        <w:t>政</w:t>
      </w:r>
      <w:r>
        <w:rPr>
          <w:rStyle w:val="30"/>
          <w:rFonts w:hint="eastAsia" w:ascii="仿宋_GB2312" w:hAnsi="仿宋_GB2312" w:eastAsia="仿宋_GB2312" w:cs="仿宋_GB2312"/>
          <w:b w:val="0"/>
          <w:bCs w:val="0"/>
          <w:color w:val="auto"/>
          <w:sz w:val="32"/>
          <w:szCs w:val="32"/>
        </w:rPr>
        <w:t>府性基金预算财政拨款“三公”经费支出决算表</w:t>
      </w:r>
      <w:bookmarkEnd w:id="63"/>
    </w:p>
    <w:p>
      <w:pPr>
        <w:pStyle w:val="5"/>
        <w:rPr>
          <w:rStyle w:val="30"/>
          <w:rFonts w:hint="eastAsia" w:ascii="仿宋_GB2312" w:hAnsi="仿宋_GB2312" w:eastAsia="仿宋_GB2312" w:cs="仿宋_GB2312"/>
          <w:b w:val="0"/>
          <w:bCs w:val="0"/>
          <w:color w:val="auto"/>
          <w:sz w:val="32"/>
          <w:szCs w:val="32"/>
        </w:rPr>
      </w:pPr>
      <w:bookmarkStart w:id="64" w:name="_Toc15396631"/>
      <w:r>
        <w:rPr>
          <w:rStyle w:val="30"/>
          <w:rFonts w:hint="eastAsia" w:ascii="仿宋_GB2312" w:hAnsi="仿宋_GB2312" w:eastAsia="仿宋_GB2312" w:cs="仿宋_GB2312"/>
          <w:b w:val="0"/>
          <w:bCs w:val="0"/>
          <w:color w:val="auto"/>
          <w:sz w:val="32"/>
          <w:szCs w:val="32"/>
        </w:rPr>
        <w:t>十三、</w:t>
      </w:r>
      <w:r>
        <w:rPr>
          <w:rFonts w:hint="eastAsia" w:ascii="仿宋_GB2312" w:hAnsi="仿宋_GB2312" w:eastAsia="仿宋_GB2312" w:cs="仿宋_GB2312"/>
          <w:b w:val="0"/>
          <w:bCs w:val="0"/>
          <w:color w:val="auto"/>
          <w:sz w:val="32"/>
          <w:szCs w:val="32"/>
        </w:rPr>
        <w:t>国</w:t>
      </w:r>
      <w:r>
        <w:rPr>
          <w:rStyle w:val="30"/>
          <w:rFonts w:hint="eastAsia" w:ascii="仿宋_GB2312" w:hAnsi="仿宋_GB2312" w:eastAsia="仿宋_GB2312" w:cs="仿宋_GB2312"/>
          <w:b w:val="0"/>
          <w:bCs w:val="0"/>
          <w:color w:val="auto"/>
          <w:sz w:val="32"/>
          <w:szCs w:val="32"/>
        </w:rPr>
        <w:t>有资本经营预算财政拨款收入支出决算表</w:t>
      </w:r>
      <w:bookmarkEnd w:id="64"/>
    </w:p>
    <w:p>
      <w:pPr>
        <w:rPr>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十四、国有资本经营预算财政拨款支出决算表</w:t>
      </w:r>
    </w:p>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3073" o:spid="_x0000_s3073"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3074" o:spid="_x0000_s3074"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CF9A1"/>
    <w:multiLevelType w:val="singleLevel"/>
    <w:tmpl w:val="A0DCF9A1"/>
    <w:lvl w:ilvl="0" w:tentative="0">
      <w:start w:val="1"/>
      <w:numFmt w:val="decimal"/>
      <w:suff w:val="nothing"/>
      <w:lvlText w:val="%1．"/>
      <w:lvlJc w:val="left"/>
    </w:lvl>
  </w:abstractNum>
  <w:abstractNum w:abstractNumId="1">
    <w:nsid w:val="AA9D884E"/>
    <w:multiLevelType w:val="singleLevel"/>
    <w:tmpl w:val="AA9D884E"/>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4YjNlMmI2ZjlkZDI3YmRkNWFlOWViODI5MzhhY2MifQ=="/>
  </w:docVars>
  <w:rsids>
    <w:rsidRoot w:val="00F1361C"/>
    <w:rsid w:val="00011CA6"/>
    <w:rsid w:val="000222C6"/>
    <w:rsid w:val="0002549F"/>
    <w:rsid w:val="000468DB"/>
    <w:rsid w:val="0006487A"/>
    <w:rsid w:val="00065F8F"/>
    <w:rsid w:val="00070A43"/>
    <w:rsid w:val="000768F2"/>
    <w:rsid w:val="00087479"/>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6208"/>
    <w:rsid w:val="001C0962"/>
    <w:rsid w:val="001D7531"/>
    <w:rsid w:val="001E737D"/>
    <w:rsid w:val="001F0592"/>
    <w:rsid w:val="001F7506"/>
    <w:rsid w:val="002006CD"/>
    <w:rsid w:val="00202B36"/>
    <w:rsid w:val="00204B7A"/>
    <w:rsid w:val="00204CDE"/>
    <w:rsid w:val="0021101A"/>
    <w:rsid w:val="00217653"/>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7A32"/>
    <w:rsid w:val="004223DE"/>
    <w:rsid w:val="00434489"/>
    <w:rsid w:val="00437085"/>
    <w:rsid w:val="00443880"/>
    <w:rsid w:val="004464F4"/>
    <w:rsid w:val="00446977"/>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5F558D"/>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74D8"/>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2466"/>
    <w:rsid w:val="007C6786"/>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3934"/>
    <w:rsid w:val="009315F9"/>
    <w:rsid w:val="00933499"/>
    <w:rsid w:val="00935C98"/>
    <w:rsid w:val="00946945"/>
    <w:rsid w:val="00951248"/>
    <w:rsid w:val="0095152F"/>
    <w:rsid w:val="00954C49"/>
    <w:rsid w:val="00955E37"/>
    <w:rsid w:val="0097099F"/>
    <w:rsid w:val="00971997"/>
    <w:rsid w:val="00971FFC"/>
    <w:rsid w:val="0098660A"/>
    <w:rsid w:val="009919C6"/>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2938"/>
    <w:rsid w:val="00F1361C"/>
    <w:rsid w:val="00F13B41"/>
    <w:rsid w:val="00F156F0"/>
    <w:rsid w:val="00F160C7"/>
    <w:rsid w:val="00F2408F"/>
    <w:rsid w:val="00F240E9"/>
    <w:rsid w:val="00F30B52"/>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0DD6AA56"/>
    <w:rsid w:val="101860EC"/>
    <w:rsid w:val="10C055FF"/>
    <w:rsid w:val="118107EC"/>
    <w:rsid w:val="12557610"/>
    <w:rsid w:val="13D50BC4"/>
    <w:rsid w:val="16BB723D"/>
    <w:rsid w:val="1BE8440E"/>
    <w:rsid w:val="1D155CEE"/>
    <w:rsid w:val="1D4A5428"/>
    <w:rsid w:val="1DDBE131"/>
    <w:rsid w:val="1FEF6E18"/>
    <w:rsid w:val="23860B96"/>
    <w:rsid w:val="240371BF"/>
    <w:rsid w:val="252F06B4"/>
    <w:rsid w:val="27FDF51C"/>
    <w:rsid w:val="29FD04D3"/>
    <w:rsid w:val="2C8A61B5"/>
    <w:rsid w:val="2DF04E50"/>
    <w:rsid w:val="2F9FDC75"/>
    <w:rsid w:val="319F7F4E"/>
    <w:rsid w:val="359F7AA1"/>
    <w:rsid w:val="36AA5135"/>
    <w:rsid w:val="37E16F03"/>
    <w:rsid w:val="3BF39E93"/>
    <w:rsid w:val="3D98207C"/>
    <w:rsid w:val="3ED3D331"/>
    <w:rsid w:val="3FBBE2F5"/>
    <w:rsid w:val="3FDF3424"/>
    <w:rsid w:val="3FFD66BB"/>
    <w:rsid w:val="42FD9A7C"/>
    <w:rsid w:val="44E268DA"/>
    <w:rsid w:val="49EFEA27"/>
    <w:rsid w:val="4A627F82"/>
    <w:rsid w:val="4B4F25DA"/>
    <w:rsid w:val="4BE068DB"/>
    <w:rsid w:val="4D577224"/>
    <w:rsid w:val="4EAB630A"/>
    <w:rsid w:val="4ECE2238"/>
    <w:rsid w:val="4FBF36E5"/>
    <w:rsid w:val="557B7C7F"/>
    <w:rsid w:val="57B7470C"/>
    <w:rsid w:val="5AF92295"/>
    <w:rsid w:val="5CBDAF62"/>
    <w:rsid w:val="5CD71FC4"/>
    <w:rsid w:val="5D5C81C9"/>
    <w:rsid w:val="5EEBC5F5"/>
    <w:rsid w:val="5F2345A8"/>
    <w:rsid w:val="5F7E29E8"/>
    <w:rsid w:val="5F7FDC14"/>
    <w:rsid w:val="66376316"/>
    <w:rsid w:val="67B704E3"/>
    <w:rsid w:val="67D14C7D"/>
    <w:rsid w:val="67FDA89A"/>
    <w:rsid w:val="69D80BF6"/>
    <w:rsid w:val="6BFB343D"/>
    <w:rsid w:val="6C4A05C8"/>
    <w:rsid w:val="6DFCC951"/>
    <w:rsid w:val="6E7E3605"/>
    <w:rsid w:val="6EF58BE7"/>
    <w:rsid w:val="6F3B3015"/>
    <w:rsid w:val="6F7FBC29"/>
    <w:rsid w:val="6FDF1BC9"/>
    <w:rsid w:val="6FF5CC65"/>
    <w:rsid w:val="6FF87C0A"/>
    <w:rsid w:val="705FB58A"/>
    <w:rsid w:val="715C0E4B"/>
    <w:rsid w:val="72734D90"/>
    <w:rsid w:val="73AD73D5"/>
    <w:rsid w:val="73B6EB34"/>
    <w:rsid w:val="75E63C58"/>
    <w:rsid w:val="77139D5C"/>
    <w:rsid w:val="78ED110D"/>
    <w:rsid w:val="796F4234"/>
    <w:rsid w:val="79EE5BA4"/>
    <w:rsid w:val="7A894339"/>
    <w:rsid w:val="7CEEAC69"/>
    <w:rsid w:val="7DDC4861"/>
    <w:rsid w:val="7DFFBB3D"/>
    <w:rsid w:val="7EA7EF01"/>
    <w:rsid w:val="7EBD5D67"/>
    <w:rsid w:val="7EBF4232"/>
    <w:rsid w:val="7ED78760"/>
    <w:rsid w:val="7EEF11D3"/>
    <w:rsid w:val="7EF35522"/>
    <w:rsid w:val="7FA30C79"/>
    <w:rsid w:val="7FBD527D"/>
    <w:rsid w:val="7FC96657"/>
    <w:rsid w:val="7FEF2C64"/>
    <w:rsid w:val="7FF69E76"/>
    <w:rsid w:val="7FFB7254"/>
    <w:rsid w:val="96AFA938"/>
    <w:rsid w:val="9BBE6008"/>
    <w:rsid w:val="A77F0423"/>
    <w:rsid w:val="A7EB4C98"/>
    <w:rsid w:val="AFF831BE"/>
    <w:rsid w:val="B7DF6338"/>
    <w:rsid w:val="B7F1789B"/>
    <w:rsid w:val="B7FECE00"/>
    <w:rsid w:val="BBDF125E"/>
    <w:rsid w:val="BBED8D66"/>
    <w:rsid w:val="BEFF51BB"/>
    <w:rsid w:val="BFB2EDA4"/>
    <w:rsid w:val="BFBF59A2"/>
    <w:rsid w:val="D3DE2FF2"/>
    <w:rsid w:val="D76F48C7"/>
    <w:rsid w:val="D8D6DB89"/>
    <w:rsid w:val="DA7D38C2"/>
    <w:rsid w:val="DAC67E3D"/>
    <w:rsid w:val="DB6F4CAB"/>
    <w:rsid w:val="DC5B7C1B"/>
    <w:rsid w:val="DDCDEB3A"/>
    <w:rsid w:val="DDCF90C1"/>
    <w:rsid w:val="DF6F9789"/>
    <w:rsid w:val="DFC18850"/>
    <w:rsid w:val="DFFB9A02"/>
    <w:rsid w:val="E6532311"/>
    <w:rsid w:val="EDFFD516"/>
    <w:rsid w:val="EE3FD68C"/>
    <w:rsid w:val="EE77532B"/>
    <w:rsid w:val="EEA3C979"/>
    <w:rsid w:val="EFFCB80E"/>
    <w:rsid w:val="F4FB0D17"/>
    <w:rsid w:val="F5FDDB34"/>
    <w:rsid w:val="F63F46A3"/>
    <w:rsid w:val="F74F05A2"/>
    <w:rsid w:val="FEEE138F"/>
    <w:rsid w:val="FF3EFC39"/>
    <w:rsid w:val="FFD6B344"/>
    <w:rsid w:val="FFF710E6"/>
    <w:rsid w:val="FFF895A6"/>
    <w:rsid w:val="FFFD1B94"/>
    <w:rsid w:val="FFFF59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styleId="3">
    <w:name w:val="Body Text 2"/>
    <w:basedOn w:val="1"/>
    <w:qFormat/>
    <w:uiPriority w:val="99"/>
    <w:pPr>
      <w:spacing w:after="120" w:line="480" w:lineRule="auto"/>
    </w:pPr>
  </w:style>
  <w:style w:type="paragraph" w:styleId="7">
    <w:name w:val="Body Text Indent"/>
    <w:basedOn w:val="1"/>
    <w:qFormat/>
    <w:uiPriority w:val="0"/>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2"/>
    <w:basedOn w:val="7"/>
    <w:next w:val="1"/>
    <w:qFormat/>
    <w:uiPriority w:val="0"/>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4"/>
    <w:qFormat/>
    <w:uiPriority w:val="9"/>
    <w:rPr>
      <w:rFonts w:ascii="Times New Roman" w:hAnsi="Times New Roman"/>
      <w:b/>
      <w:bCs/>
      <w:kern w:val="44"/>
      <w:sz w:val="44"/>
      <w:szCs w:val="44"/>
    </w:rPr>
  </w:style>
  <w:style w:type="character" w:customStyle="1" w:styleId="30">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8"/>
    <w:link w:val="9"/>
    <w:semiHidden/>
    <w:qFormat/>
    <w:uiPriority w:val="99"/>
    <w:rPr>
      <w:rFonts w:ascii="Times New Roman" w:hAnsi="Times New Roman"/>
      <w:kern w:val="2"/>
      <w:sz w:val="18"/>
      <w:szCs w:val="18"/>
    </w:rPr>
  </w:style>
  <w:style w:type="character" w:customStyle="1" w:styleId="33">
    <w:name w:val="标题 3 Char"/>
    <w:basedOn w:val="18"/>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NormalCharacter"/>
    <w:qFormat/>
    <w:uiPriority w:val="0"/>
    <w:rPr>
      <w:rFonts w:ascii="Times New Roman" w:hAnsi="Times New Roman" w:eastAsia="宋体" w:cs="Times New Roman"/>
      <w:kern w:val="2"/>
      <w:sz w:val="21"/>
      <w:szCs w:val="24"/>
      <w:lang w:val="en-US" w:eastAsia="zh-CN" w:bidi="ar-SA"/>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样式 行距: 固定值 28.9 磅"/>
    <w:basedOn w:val="1"/>
    <w:qFormat/>
    <w:uiPriority w:val="0"/>
    <w:pPr>
      <w:spacing w:line="578" w:lineRule="exact"/>
    </w:pPr>
    <w:rPr>
      <w:rFonts w:cs="宋体"/>
      <w:szCs w:val="20"/>
    </w:rPr>
  </w:style>
  <w:style w:type="character" w:customStyle="1" w:styleId="38">
    <w:name w:val="font71"/>
    <w:basedOn w:val="18"/>
    <w:qFormat/>
    <w:uiPriority w:val="0"/>
    <w:rPr>
      <w:rFonts w:hint="eastAsia" w:ascii="宋体" w:hAnsi="宋体" w:eastAsia="宋体" w:cs="宋体"/>
      <w:color w:val="000000"/>
      <w:sz w:val="24"/>
      <w:szCs w:val="24"/>
      <w:u w:val="none"/>
    </w:rPr>
  </w:style>
  <w:style w:type="character" w:customStyle="1" w:styleId="39">
    <w:name w:val="font21"/>
    <w:basedOn w:val="18"/>
    <w:qFormat/>
    <w:uiPriority w:val="0"/>
    <w:rPr>
      <w:rFonts w:hint="default" w:ascii="Times New Roman" w:hAnsi="Times New Roman" w:cs="Times New Roman"/>
      <w:color w:val="000000"/>
      <w:sz w:val="24"/>
      <w:szCs w:val="24"/>
      <w:u w:val="none"/>
    </w:rPr>
  </w:style>
  <w:style w:type="character" w:customStyle="1" w:styleId="40">
    <w:name w:val="font12"/>
    <w:basedOn w:val="18"/>
    <w:qFormat/>
    <w:uiPriority w:val="0"/>
    <w:rPr>
      <w:rFonts w:hint="eastAsia" w:ascii="宋体" w:hAnsi="宋体" w:eastAsia="宋体" w:cs="宋体"/>
      <w:color w:val="000000"/>
      <w:sz w:val="18"/>
      <w:szCs w:val="18"/>
      <w:u w:val="none"/>
    </w:rPr>
  </w:style>
  <w:style w:type="character" w:customStyle="1" w:styleId="41">
    <w:name w:val="font111"/>
    <w:basedOn w:val="18"/>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user/Desktop/&#20915;&#31639;%20%20&#22270;&#26631;.et"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user/Desktop/&#20915;&#31639;%20%20&#22270;&#26631;.et"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home/user/Desktop/&#20915;&#31639;%20%201&#22270;&#26631;.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ser/Desktop/&#20915;&#31639;%20%201&#22270;&#266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22372827300271"/>
          <c:y val="0.039568345323741"/>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[工作簿1]Sheet1!$A$1:$A$2</c:f>
              <c:strCache>
                <c:ptCount val="2"/>
                <c:pt idx="0">
                  <c:v>2020年收支总计</c:v>
                </c:pt>
                <c:pt idx="1">
                  <c:v>2021年收支总计</c:v>
                </c:pt>
              </c:strCache>
            </c:strRef>
          </c:cat>
          <c:val>
            <c:numRef>
              <c:f>[工作簿1]Sheet1!$B$1:$B$2</c:f>
              <c:numCache>
                <c:formatCode>General</c:formatCode>
                <c:ptCount val="2"/>
                <c:pt idx="0">
                  <c:v>251.82</c:v>
                </c:pt>
                <c:pt idx="1">
                  <c:v>260.65</c:v>
                </c:pt>
              </c:numCache>
            </c:numRef>
          </c:val>
        </c:ser>
        <c:dLbls>
          <c:showLegendKey val="false"/>
          <c:showVal val="false"/>
          <c:showCatName val="false"/>
          <c:showSerName val="false"/>
          <c:showPercent val="false"/>
          <c:showBubbleSize val="false"/>
        </c:dLbls>
        <c:gapWidth val="219"/>
        <c:overlap val="-27"/>
        <c:axId val="500674946"/>
        <c:axId val="171738933"/>
      </c:barChart>
      <c:catAx>
        <c:axId val="50067494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71738933"/>
        <c:crosses val="autoZero"/>
        <c:auto val="true"/>
        <c:lblAlgn val="ctr"/>
        <c:lblOffset val="100"/>
        <c:noMultiLvlLbl val="false"/>
      </c:catAx>
      <c:valAx>
        <c:axId val="17173893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0067494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manualLayout>
                  <c:x val="0.00252482909230969"/>
                  <c:y val="-0.21356097560923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[工作簿1]Sheet1!$A$22:$A$23</c:f>
              <c:strCache>
                <c:ptCount val="2"/>
                <c:pt idx="0">
                  <c:v>2021年收入合计</c:v>
                </c:pt>
                <c:pt idx="1">
                  <c:v>其中：一般公共预算财政拨款收入</c:v>
                </c:pt>
              </c:strCache>
            </c:strRef>
          </c:cat>
          <c:val>
            <c:numRef>
              <c:f>[工作簿1]Sheet1!$B$22:$B$23</c:f>
              <c:numCache>
                <c:formatCode>General</c:formatCode>
                <c:ptCount val="2"/>
                <c:pt idx="1">
                  <c:v>260.65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1"/>
              <c:layout>
                <c:manualLayout>
                  <c:x val="-0.0722592371870836"/>
                  <c:y val="-0.192574997331837"/>
                </c:manualLayout>
              </c:layout>
              <c:dLblPos val="bestFit"/>
              <c:showLegendKey val="false"/>
              <c:showVal val="true"/>
              <c:showCatName val="false"/>
              <c:showSerName val="false"/>
              <c:showPercent val="true"/>
              <c:showBubbleSize val="false"/>
              <c:separator>
</c:separator>
              <c:extLst>
                <c:ext xmlns:c15="http://schemas.microsoft.com/office/drawing/2012/chart" uri="{CE6537A1-D6FC-4f65-9D91-7224C49458BB}">
                  <c15:layout/>
                </c:ext>
              </c:extLst>
            </c:dLbl>
            <c:dLbl>
              <c:idx val="2"/>
              <c:layout>
                <c:manualLayout>
                  <c:x val="0.0580068106258151"/>
                  <c:y val="0.168269448637862"/>
                </c:manualLayout>
              </c:layout>
              <c:dLblPos val="bestFit"/>
              <c:showLegendKey val="false"/>
              <c:showVal val="true"/>
              <c:showCatName val="false"/>
              <c:showSerName val="false"/>
              <c:showPercent val="true"/>
              <c:showBubbleSize val="false"/>
              <c:separator>
</c:separator>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[工作簿1]Sheet1!$A$36:$A$38</c:f>
              <c:strCache>
                <c:ptCount val="3"/>
                <c:pt idx="0">
                  <c:v>2021年支出</c:v>
                </c:pt>
                <c:pt idx="1">
                  <c:v>其中：基本支出</c:v>
                </c:pt>
                <c:pt idx="2">
                  <c:v>      项目支出</c:v>
                </c:pt>
              </c:strCache>
            </c:strRef>
          </c:cat>
          <c:val>
            <c:numRef>
              <c:f>[工作簿1]Sheet1!$B$36:$B$38</c:f>
              <c:numCache>
                <c:formatCode>General</c:formatCode>
                <c:ptCount val="3"/>
                <c:pt idx="1">
                  <c:v>220.65</c:v>
                </c:pt>
                <c:pt idx="2">
                  <c:v>40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66507936507937"/>
          <c:y val="0.0354609929078014"/>
        </c:manualLayout>
      </c:layout>
      <c:overlay val="false"/>
      <c:spPr>
        <a:noFill/>
        <a:ln>
          <a:noFill/>
        </a:ln>
        <a:effectLst/>
      </c:spPr>
    </c:title>
    <c:autoTitleDeleted val="false"/>
    <c:plotArea>
      <c:layout>
        <c:manualLayout>
          <c:layoutTarget val="inner"/>
          <c:xMode val="edge"/>
          <c:yMode val="edge"/>
          <c:x val="0.058"/>
          <c:y val="0.22037037037037"/>
          <c:w val="0.885055555555555"/>
          <c:h val="0.71212962962963"/>
        </c:manualLayout>
      </c:layout>
      <c:barChart>
        <c:barDir val="col"/>
        <c:grouping val="clustered"/>
        <c:varyColors val="false"/>
        <c:ser>
          <c:idx val="0"/>
          <c:order val="0"/>
          <c:spPr>
            <a:solidFill>
              <a:schemeClr val="accent1"/>
            </a:solidFill>
            <a:ln>
              <a:noFill/>
            </a:ln>
            <a:effectLst/>
          </c:spPr>
          <c:invertIfNegative val="false"/>
          <c:dLbls>
            <c:delete val="true"/>
          </c:dLbls>
          <c:cat>
            <c:strRef>
              <c:f>'[决算  图标.et]Sheet1'!$A$48:$A$49</c:f>
              <c:strCache>
                <c:ptCount val="2"/>
                <c:pt idx="0">
                  <c:v>2021年财政拨款收、支总计</c:v>
                </c:pt>
                <c:pt idx="1">
                  <c:v>2020年财政拨款收、支总计</c:v>
                </c:pt>
              </c:strCache>
            </c:strRef>
          </c:cat>
          <c:val>
            <c:numRef>
              <c:f>'[决算  图标.et]Sheet1'!$B$48:$B$49</c:f>
              <c:numCache>
                <c:formatCode>General</c:formatCode>
                <c:ptCount val="2"/>
                <c:pt idx="0">
                  <c:v>260.65</c:v>
                </c:pt>
                <c:pt idx="1">
                  <c:v>251.82</c:v>
                </c:pt>
              </c:numCache>
            </c:numRef>
          </c:val>
        </c:ser>
        <c:dLbls>
          <c:showLegendKey val="false"/>
          <c:showVal val="false"/>
          <c:showCatName val="false"/>
          <c:showSerName val="false"/>
          <c:showPercent val="false"/>
          <c:showBubbleSize val="false"/>
        </c:dLbls>
        <c:gapWidth val="219"/>
        <c:overlap val="-27"/>
        <c:axId val="659029058"/>
        <c:axId val="719615634"/>
      </c:barChart>
      <c:catAx>
        <c:axId val="65902905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19615634"/>
        <c:crosses val="autoZero"/>
        <c:auto val="true"/>
        <c:lblAlgn val="ctr"/>
        <c:lblOffset val="100"/>
        <c:noMultiLvlLbl val="false"/>
      </c:catAx>
      <c:valAx>
        <c:axId val="71961563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902905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368951802437"/>
          <c:y val="0.0354609929078014"/>
        </c:manualLayout>
      </c:layout>
      <c:overlay val="false"/>
      <c:spPr>
        <a:noFill/>
        <a:ln>
          <a:noFill/>
        </a:ln>
        <a:effectLst/>
      </c:spPr>
    </c:title>
    <c:autoTitleDeleted val="false"/>
    <c:plotArea>
      <c:layout>
        <c:manualLayout>
          <c:layoutTarget val="inner"/>
          <c:xMode val="edge"/>
          <c:yMode val="edge"/>
          <c:x val="0.058"/>
          <c:y val="0.22037037037037"/>
          <c:w val="0.885055555555555"/>
          <c:h val="0.71212962962963"/>
        </c:manualLayout>
      </c:layout>
      <c:barChart>
        <c:barDir val="col"/>
        <c:grouping val="clustered"/>
        <c:varyColors val="false"/>
        <c:ser>
          <c:idx val="0"/>
          <c:order val="0"/>
          <c:spPr>
            <a:solidFill>
              <a:schemeClr val="accent1"/>
            </a:solidFill>
            <a:ln>
              <a:noFill/>
            </a:ln>
            <a:effectLst/>
          </c:spPr>
          <c:invertIfNegative val="false"/>
          <c:dLbls>
            <c:delete val="true"/>
          </c:dLbls>
          <c:cat>
            <c:strRef>
              <c:f>'[决算  图标.et]Sheet1'!$A$48:$A$49</c:f>
              <c:strCache>
                <c:ptCount val="2"/>
                <c:pt idx="0">
                  <c:v>2021年财政拨款收、支总计</c:v>
                </c:pt>
                <c:pt idx="1">
                  <c:v>2020年财政拨款收、支总计</c:v>
                </c:pt>
              </c:strCache>
            </c:strRef>
          </c:cat>
          <c:val>
            <c:numRef>
              <c:f>'[决算  图标.et]Sheet1'!$B$48:$B$49</c:f>
              <c:numCache>
                <c:formatCode>General</c:formatCode>
                <c:ptCount val="2"/>
                <c:pt idx="0">
                  <c:v>260.65</c:v>
                </c:pt>
                <c:pt idx="1">
                  <c:v>251.82</c:v>
                </c:pt>
              </c:numCache>
            </c:numRef>
          </c:val>
        </c:ser>
        <c:dLbls>
          <c:showLegendKey val="false"/>
          <c:showVal val="false"/>
          <c:showCatName val="false"/>
          <c:showSerName val="false"/>
          <c:showPercent val="false"/>
          <c:showBubbleSize val="false"/>
        </c:dLbls>
        <c:gapWidth val="219"/>
        <c:overlap val="-27"/>
        <c:axId val="659029058"/>
        <c:axId val="719615634"/>
      </c:barChart>
      <c:catAx>
        <c:axId val="65902905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19615634"/>
        <c:crosses val="autoZero"/>
        <c:auto val="true"/>
        <c:lblAlgn val="ctr"/>
        <c:lblOffset val="100"/>
        <c:noMultiLvlLbl val="false"/>
      </c:catAx>
      <c:valAx>
        <c:axId val="71961563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902905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50" b="0" i="0" u="none" strike="noStrike" kern="1200" spc="0" baseline="0">
                <a:solidFill>
                  <a:schemeClr val="tx1">
                    <a:lumMod val="65000"/>
                    <a:lumOff val="35000"/>
                  </a:schemeClr>
                </a:solidFill>
                <a:latin typeface="+mn-lt"/>
                <a:ea typeface="+mn-ea"/>
                <a:cs typeface="+mn-cs"/>
              </a:defRPr>
            </a:pPr>
            <a:r>
              <a:rPr sz="1050"/>
              <a:t>一般公公预算财政拨款支出决算结构</a:t>
            </a:r>
            <a:endParaRPr sz="1050"/>
          </a:p>
        </c:rich>
      </c:tx>
      <c:layout>
        <c:manualLayout>
          <c:xMode val="edge"/>
          <c:yMode val="edge"/>
          <c:x val="0.245552366240913"/>
          <c:y val="0.0296615839321925"/>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Lbl>
              <c:idx val="1"/>
              <c:layout>
                <c:manualLayout>
                  <c:x val="-0.0578075934912932"/>
                  <c:y val="-0.170454545454545"/>
                </c:manualLayout>
              </c:layout>
              <c:dLblPos val="bestFit"/>
              <c:showLegendKey val="false"/>
              <c:showVal val="true"/>
              <c:showCatName val="false"/>
              <c:showSerName val="false"/>
              <c:showPercent val="true"/>
              <c:showBubbleSize val="false"/>
              <c:separator>
</c:separator>
              <c:extLst>
                <c:ext xmlns:c15="http://schemas.microsoft.com/office/drawing/2012/chart" uri="{CE6537A1-D6FC-4f65-9D91-7224C49458BB}">
                  <c15:layout/>
                </c:ext>
              </c:extLst>
            </c:dLbl>
            <c:dLbl>
              <c:idx val="2"/>
              <c:layout>
                <c:manualLayout>
                  <c:x val="0.00788044544678681"/>
                  <c:y val="0.0838357113385241"/>
                </c:manualLayout>
              </c:layout>
              <c:dLblPos val="bestFit"/>
              <c:showLegendKey val="false"/>
              <c:showVal val="true"/>
              <c:showCatName val="false"/>
              <c:showSerName val="false"/>
              <c:showPercent val="true"/>
              <c:showBubbleSize val="false"/>
              <c:separator>
</c:separator>
              <c:extLst>
                <c:ext xmlns:c15="http://schemas.microsoft.com/office/drawing/2012/chart" uri="{CE6537A1-D6FC-4f65-9D91-7224C49458BB}">
                  <c15:layout/>
                </c:ext>
              </c:extLst>
            </c:dLbl>
            <c:dLbl>
              <c:idx val="4"/>
              <c:layout>
                <c:manualLayout>
                  <c:x val="0.0539006998755591"/>
                  <c:y val="0.0293457432847411"/>
                </c:manualLayout>
              </c:layout>
              <c:dLblPos val="bestFit"/>
              <c:showLegendKey val="false"/>
              <c:showVal val="true"/>
              <c:showCatName val="false"/>
              <c:showSerName val="false"/>
              <c:showPercent val="true"/>
              <c:showBubbleSize val="false"/>
              <c:separator>
</c:separator>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  1图标.xls]Sheet1'!$A$73:$A$77</c:f>
              <c:strCache>
                <c:ptCount val="5"/>
                <c:pt idx="0">
                  <c:v>2021年一般公共预算财政拨款支出</c:v>
                </c:pt>
                <c:pt idx="1">
                  <c:v>一般公共服务（类）支出</c:v>
                </c:pt>
                <c:pt idx="2">
                  <c:v>社会保障和就业（类）支出</c:v>
                </c:pt>
                <c:pt idx="3">
                  <c:v>卫生健康支出</c:v>
                </c:pt>
                <c:pt idx="4">
                  <c:v>住房保障支出</c:v>
                </c:pt>
              </c:strCache>
            </c:strRef>
          </c:cat>
          <c:val>
            <c:numRef>
              <c:f>'[决算  1图标.xls]Sheet1'!$B$73:$B$77</c:f>
              <c:numCache>
                <c:formatCode>General</c:formatCode>
                <c:ptCount val="5"/>
                <c:pt idx="1">
                  <c:v>219.04</c:v>
                </c:pt>
                <c:pt idx="2">
                  <c:v>18.14</c:v>
                </c:pt>
                <c:pt idx="3">
                  <c:v>9.88</c:v>
                </c:pt>
                <c:pt idx="4">
                  <c:v>13.58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0" i="0" u="none" strike="noStrike" kern="1200" spc="0" baseline="0">
                <a:solidFill>
                  <a:schemeClr val="tx1">
                    <a:lumMod val="65000"/>
                    <a:lumOff val="35000"/>
                  </a:schemeClr>
                </a:solidFill>
                <a:latin typeface="+mn-lt"/>
                <a:ea typeface="+mn-ea"/>
                <a:cs typeface="+mn-cs"/>
              </a:defRPr>
            </a:pPr>
            <a:r>
              <a:rPr sz="1200"/>
              <a:t>图三公经费财政拨款支出结构</a:t>
            </a:r>
            <a:endParaRPr sz="120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numFmt formatCode="0.00%" sourceLinked="false"/>
              <c:spPr>
                <a:noFill/>
                <a:ln>
                  <a:noFill/>
                </a:ln>
                <a:effectLst/>
              </c:spPr>
              <c:txPr>
                <a:bodyPr rot="0" spcFirstLastPara="0"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eparator>
</c:separator>
              <c:extLst>
                <c:ext xmlns:c15="http://schemas.microsoft.com/office/drawing/2012/chart" uri="{CE6537A1-D6FC-4f65-9D91-7224C49458BB}"/>
              </c:extLst>
            </c:dLbl>
            <c:dLbl>
              <c:idx val="1"/>
              <c:layout>
                <c:manualLayout>
                  <c:x val="-0.0656890194660223"/>
                  <c:y val="-0.231661412327674"/>
                </c:manualLayout>
              </c:layout>
              <c:dLblPos val="bestFit"/>
              <c:showLegendKey val="false"/>
              <c:showVal val="true"/>
              <c:showCatName val="false"/>
              <c:showSerName val="false"/>
              <c:showPercent val="true"/>
              <c:showBubbleSize val="false"/>
              <c:separator>
</c:separator>
              <c:extLst>
                <c:ext xmlns:c15="http://schemas.microsoft.com/office/drawing/2012/chart" uri="{CE6537A1-D6FC-4f65-9D91-7224C49458BB}">
                  <c15:layout/>
                </c:ext>
              </c:extLst>
            </c:dLbl>
            <c:dLbl>
              <c:idx val="2"/>
              <c:layout>
                <c:manualLayout>
                  <c:x val="-0.0120874518539701"/>
                  <c:y val="0.151796952223527"/>
                </c:manualLayout>
              </c:layout>
              <c:numFmt formatCode="0.00%" sourceLinked="false"/>
              <c:spPr>
                <a:noFill/>
                <a:ln>
                  <a:noFill/>
                </a:ln>
                <a:effectLst/>
              </c:spPr>
              <c:txPr>
                <a:bodyPr rot="0" spcFirstLastPara="0"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true"/>
              <c:showBubbleSize val="false"/>
              <c:separator>
</c:separator>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  1图标.xls]Sheet1'!$A$86:$A$88</c:f>
              <c:strCache>
                <c:ptCount val="3"/>
                <c:pt idx="0">
                  <c:v>因公出国（境）费支出</c:v>
                </c:pt>
                <c:pt idx="1">
                  <c:v>公务用车购置及运行维护费支出</c:v>
                </c:pt>
                <c:pt idx="2">
                  <c:v>公务接待费支出</c:v>
                </c:pt>
              </c:strCache>
            </c:strRef>
          </c:cat>
          <c:val>
            <c:numRef>
              <c:f>'[决算  1图标.xls]Sheet1'!$B$86:$B$88</c:f>
              <c:numCache>
                <c:formatCode>General</c:formatCode>
                <c:ptCount val="3"/>
                <c:pt idx="0">
                  <c:v>0</c:v>
                </c:pt>
                <c:pt idx="1">
                  <c:v>5.85</c:v>
                </c:pt>
                <c:pt idx="2">
                  <c:v>0.95</c:v>
                </c:pt>
              </c:numCache>
            </c:numRef>
          </c:val>
        </c:ser>
        <c:dLbls>
          <c:showLegendKey val="false"/>
          <c:showVal val="tru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Pages>
  <Words>1645</Words>
  <Characters>9382</Characters>
  <Lines>78</Lines>
  <Paragraphs>22</Paragraphs>
  <TotalTime>34</TotalTime>
  <ScaleCrop>false</ScaleCrop>
  <LinksUpToDate>false</LinksUpToDate>
  <CharactersWithSpaces>11005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 </cp:lastModifiedBy>
  <cp:lastPrinted>2022-08-12T01:11:00Z</cp:lastPrinted>
  <dcterms:modified xsi:type="dcterms:W3CDTF">2023-09-12T18:01:31Z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