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b w:val="0"/>
          <w:bCs w:val="0"/>
          <w:color w:val="auto"/>
          <w:spacing w:val="0"/>
          <w:sz w:val="72"/>
          <w:szCs w:val="72"/>
          <w:highlight w:val="none"/>
        </w:rPr>
      </w:pPr>
      <w:bookmarkStart w:id="0" w:name="_Toc15396597"/>
      <w:bookmarkStart w:id="1" w:name="_Toc15378441"/>
      <w:bookmarkStart w:id="2" w:name="_Toc15306267"/>
      <w:bookmarkStart w:id="3" w:name="_Toc15377425"/>
      <w:bookmarkStart w:id="4" w:name="_Toc15396475"/>
      <w:bookmarkStart w:id="5" w:name="_Toc15377193"/>
    </w:p>
    <w:p>
      <w:pPr>
        <w:spacing w:line="600" w:lineRule="exact"/>
        <w:jc w:val="center"/>
        <w:outlineLvl w:val="0"/>
        <w:rPr>
          <w:rFonts w:ascii="方正小标宋简体" w:hAnsi="宋体" w:eastAsia="方正小标宋简体"/>
          <w:b w:val="0"/>
          <w:bCs w:val="0"/>
          <w:color w:val="auto"/>
          <w:spacing w:val="0"/>
          <w:sz w:val="72"/>
          <w:szCs w:val="72"/>
          <w:highlight w:val="none"/>
        </w:rPr>
      </w:pPr>
    </w:p>
    <w:p>
      <w:pPr>
        <w:spacing w:line="600" w:lineRule="exact"/>
        <w:jc w:val="center"/>
        <w:outlineLvl w:val="0"/>
        <w:rPr>
          <w:rFonts w:ascii="方正小标宋简体" w:hAnsi="宋体" w:eastAsia="方正小标宋简体"/>
          <w:b w:val="0"/>
          <w:bCs w:val="0"/>
          <w:color w:val="auto"/>
          <w:spacing w:val="0"/>
          <w:sz w:val="72"/>
          <w:szCs w:val="72"/>
          <w:highlight w:val="none"/>
        </w:rPr>
      </w:pPr>
    </w:p>
    <w:bookmarkEnd w:id="0"/>
    <w:bookmarkEnd w:id="1"/>
    <w:bookmarkEnd w:id="2"/>
    <w:bookmarkEnd w:id="3"/>
    <w:bookmarkEnd w:id="4"/>
    <w:bookmarkEnd w:id="5"/>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b w:val="0"/>
          <w:bCs w:val="0"/>
          <w:color w:val="auto"/>
          <w:spacing w:val="0"/>
          <w:sz w:val="52"/>
          <w:szCs w:val="52"/>
          <w:highlight w:val="none"/>
        </w:rPr>
      </w:pPr>
      <w:r>
        <w:rPr>
          <w:rFonts w:hint="eastAsia" w:ascii="方正小标宋简体" w:hAnsi="方正小标宋简体" w:eastAsia="方正小标宋简体" w:cs="方正小标宋简体"/>
          <w:b w:val="0"/>
          <w:bCs w:val="0"/>
          <w:color w:val="auto"/>
          <w:spacing w:val="0"/>
          <w:sz w:val="52"/>
          <w:szCs w:val="52"/>
          <w:highlight w:val="none"/>
        </w:rPr>
        <w:t>2021年度</w:t>
      </w:r>
      <w:bookmarkStart w:id="6" w:name="_Toc15378442"/>
      <w:bookmarkStart w:id="7" w:name="_Toc15377194"/>
      <w:bookmarkStart w:id="8" w:name="_Toc15396476"/>
      <w:bookmarkStart w:id="9" w:name="_Toc15377426"/>
      <w:bookmarkStart w:id="10" w:name="_Toc15396598"/>
      <w:r>
        <w:rPr>
          <w:rFonts w:hint="eastAsia" w:ascii="方正小标宋简体" w:hAnsi="方正小标宋简体" w:eastAsia="方正小标宋简体" w:cs="方正小标宋简体"/>
          <w:b w:val="0"/>
          <w:bCs w:val="0"/>
          <w:color w:val="auto"/>
          <w:spacing w:val="0"/>
          <w:sz w:val="52"/>
          <w:szCs w:val="52"/>
          <w:highlight w:val="none"/>
        </w:rPr>
        <w:t>广元市</w:t>
      </w:r>
      <w:bookmarkStart w:id="11" w:name="_Toc15306268"/>
      <w:r>
        <w:rPr>
          <w:rFonts w:hint="eastAsia" w:ascii="方正小标宋简体" w:hAnsi="方正小标宋简体" w:eastAsia="方正小标宋简体" w:cs="方正小标宋简体"/>
          <w:b w:val="0"/>
          <w:bCs w:val="0"/>
          <w:color w:val="auto"/>
          <w:spacing w:val="0"/>
          <w:sz w:val="52"/>
          <w:szCs w:val="52"/>
          <w:highlight w:val="none"/>
        </w:rPr>
        <w:t>城市管理行政执法局</w:t>
      </w:r>
    </w:p>
    <w:p>
      <w:pPr>
        <w:pStyle w:val="2"/>
        <w:ind w:left="0" w:leftChars="0" w:right="0" w:rightChars="0" w:firstLine="0" w:firstLineChars="0"/>
        <w:jc w:val="center"/>
        <w:rPr>
          <w:rFonts w:hint="eastAsia" w:ascii="方正小标宋简体" w:hAnsi="方正小标宋简体" w:eastAsia="方正小标宋简体" w:cs="方正小标宋简体"/>
          <w:b w:val="0"/>
          <w:bCs w:val="0"/>
          <w:color w:val="auto"/>
          <w:spacing w:val="0"/>
          <w:sz w:val="52"/>
          <w:szCs w:val="52"/>
          <w:highlight w:val="none"/>
        </w:rPr>
      </w:pPr>
      <w:r>
        <w:rPr>
          <w:rFonts w:hint="eastAsia" w:ascii="方正小标宋简体" w:hAnsi="方正小标宋简体" w:eastAsia="方正小标宋简体" w:cs="方正小标宋简体"/>
          <w:b w:val="0"/>
          <w:bCs w:val="0"/>
          <w:color w:val="auto"/>
          <w:spacing w:val="0"/>
          <w:sz w:val="52"/>
          <w:szCs w:val="52"/>
          <w:highlight w:val="none"/>
        </w:rPr>
        <w:t>部门决算</w:t>
      </w:r>
      <w:bookmarkEnd w:id="6"/>
      <w:bookmarkEnd w:id="7"/>
      <w:bookmarkEnd w:id="8"/>
      <w:bookmarkEnd w:id="9"/>
      <w:bookmarkEnd w:id="10"/>
      <w:bookmarkEnd w:id="11"/>
    </w:p>
    <w:p>
      <w:pPr>
        <w:pStyle w:val="2"/>
        <w:rPr>
          <w:rFonts w:hint="eastAsia" w:ascii="方正小标宋简体" w:hAnsi="方正小标宋简体" w:eastAsia="方正小标宋简体" w:cs="方正小标宋简体"/>
          <w:b w:val="0"/>
          <w:bCs w:val="0"/>
          <w:color w:val="auto"/>
          <w:spacing w:val="0"/>
          <w:sz w:val="52"/>
          <w:szCs w:val="52"/>
          <w:highlight w:val="none"/>
        </w:rPr>
      </w:pPr>
    </w:p>
    <w:p>
      <w:pPr>
        <w:pStyle w:val="2"/>
        <w:ind w:left="0" w:leftChars="0" w:right="0" w:rightChars="0" w:firstLine="0" w:firstLineChars="0"/>
        <w:jc w:val="center"/>
        <w:rPr>
          <w:rFonts w:hint="eastAsia" w:ascii="方正魏碑简体" w:hAnsi="方正魏碑简体" w:eastAsia="方正魏碑简体" w:cs="方正魏碑简体"/>
          <w:color w:val="auto"/>
          <w:sz w:val="110"/>
          <w:szCs w:val="110"/>
          <w:lang w:eastAsia="zh-CN"/>
        </w:rPr>
      </w:pPr>
      <w:r>
        <w:rPr>
          <w:rFonts w:hint="eastAsia" w:ascii="方正魏碑简体" w:hAnsi="方正魏碑简体" w:eastAsia="方正魏碑简体" w:cs="方正魏碑简体"/>
          <w:color w:val="auto"/>
          <w:sz w:val="110"/>
          <w:szCs w:val="110"/>
          <w:lang w:eastAsia="zh-CN"/>
        </w:rPr>
        <w:t>编</w:t>
      </w:r>
    </w:p>
    <w:p>
      <w:pPr>
        <w:pStyle w:val="2"/>
        <w:ind w:left="0" w:leftChars="0" w:right="0" w:rightChars="0" w:firstLine="0" w:firstLineChars="0"/>
        <w:jc w:val="center"/>
        <w:rPr>
          <w:rFonts w:hint="eastAsia" w:ascii="方正魏碑简体" w:hAnsi="方正魏碑简体" w:eastAsia="方正魏碑简体" w:cs="方正魏碑简体"/>
          <w:color w:val="auto"/>
          <w:sz w:val="110"/>
          <w:szCs w:val="110"/>
          <w:lang w:eastAsia="zh-CN"/>
        </w:rPr>
      </w:pPr>
      <w:r>
        <w:rPr>
          <w:rFonts w:hint="eastAsia" w:ascii="方正魏碑简体" w:hAnsi="方正魏碑简体" w:eastAsia="方正魏碑简体" w:cs="方正魏碑简体"/>
          <w:color w:val="auto"/>
          <w:sz w:val="110"/>
          <w:szCs w:val="110"/>
          <w:lang w:eastAsia="zh-CN"/>
        </w:rPr>
        <w:t>制</w:t>
      </w:r>
    </w:p>
    <w:p>
      <w:pPr>
        <w:pStyle w:val="2"/>
        <w:ind w:left="0" w:leftChars="0" w:right="0" w:rightChars="0" w:firstLine="0" w:firstLineChars="0"/>
        <w:jc w:val="center"/>
        <w:rPr>
          <w:rFonts w:hint="eastAsia" w:ascii="方正魏碑简体" w:hAnsi="方正魏碑简体" w:eastAsia="方正魏碑简体" w:cs="方正魏碑简体"/>
          <w:color w:val="auto"/>
          <w:sz w:val="110"/>
          <w:szCs w:val="110"/>
          <w:lang w:eastAsia="zh-CN"/>
        </w:rPr>
      </w:pPr>
      <w:r>
        <w:rPr>
          <w:rFonts w:hint="eastAsia" w:ascii="方正魏碑简体" w:hAnsi="方正魏碑简体" w:eastAsia="方正魏碑简体" w:cs="方正魏碑简体"/>
          <w:color w:val="auto"/>
          <w:sz w:val="110"/>
          <w:szCs w:val="110"/>
          <w:lang w:eastAsia="zh-CN"/>
        </w:rPr>
        <w:t>说</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b w:val="0"/>
          <w:bCs w:val="0"/>
          <w:color w:val="auto"/>
          <w:spacing w:val="0"/>
          <w:sz w:val="52"/>
          <w:szCs w:val="52"/>
          <w:highlight w:val="none"/>
        </w:rPr>
      </w:pPr>
      <w:r>
        <w:rPr>
          <w:rFonts w:hint="eastAsia" w:ascii="方正魏碑简体" w:hAnsi="方正魏碑简体" w:eastAsia="方正魏碑简体" w:cs="方正魏碑简体"/>
          <w:color w:val="auto"/>
          <w:sz w:val="110"/>
          <w:szCs w:val="110"/>
          <w:lang w:eastAsia="zh-CN"/>
        </w:rPr>
        <w:t>明</w:t>
      </w:r>
    </w:p>
    <w:p>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ascii="方正小标宋简体" w:hAnsi="宋体" w:eastAsia="方正小标宋简体"/>
          <w:b w:val="0"/>
          <w:bCs w:val="0"/>
          <w:color w:val="auto"/>
          <w:spacing w:val="0"/>
          <w:sz w:val="36"/>
          <w:szCs w:val="36"/>
          <w:highlight w:val="none"/>
        </w:rPr>
        <w:sectPr>
          <w:footerReference r:id="rId3" w:type="first"/>
          <w:pgSz w:w="11906" w:h="16838"/>
          <w:pgMar w:top="2098" w:right="1474" w:bottom="1984" w:left="1587" w:header="851" w:footer="283" w:gutter="0"/>
          <w:pgNumType w:fmt="decimal"/>
          <w:cols w:space="720" w:num="1"/>
          <w:docGrid w:type="lines" w:linePitch="312" w:charSpace="0"/>
        </w:sectPr>
      </w:pPr>
    </w:p>
    <w:p>
      <w:pPr>
        <w:pStyle w:val="2"/>
      </w:pPr>
    </w:p>
    <w:p>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r>
        <w:rPr>
          <w:rFonts w:hint="eastAsia" w:ascii="方正小标宋简体" w:hAnsi="方正小标宋简体" w:eastAsia="方正小标宋简体" w:cs="方正小标宋简体"/>
          <w:b w:val="0"/>
          <w:bCs w:val="0"/>
          <w:color w:val="auto"/>
          <w:spacing w:val="0"/>
          <w:sz w:val="44"/>
          <w:szCs w:val="44"/>
          <w:highlight w:val="none"/>
        </w:rPr>
        <w:t>目</w:t>
      </w:r>
      <w:r>
        <w:rPr>
          <w:rFonts w:hint="eastAsia" w:ascii="方正小标宋简体" w:hAnsi="方正小标宋简体" w:eastAsia="方正小标宋简体" w:cs="方正小标宋简体"/>
          <w:b w:val="0"/>
          <w:bCs w:val="0"/>
          <w:color w:val="auto"/>
          <w:spacing w:val="0"/>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spacing w:val="0"/>
          <w:sz w:val="44"/>
          <w:szCs w:val="44"/>
          <w:highlight w:val="none"/>
        </w:rPr>
        <w:t>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楷体简体" w:hAnsi="方正楷体简体" w:eastAsia="方正楷体简体" w:cs="方正楷体简体"/>
          <w:b w:val="0"/>
          <w:bCs w:val="0"/>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楷体简体" w:hAnsi="方正楷体简体" w:eastAsia="方正楷体简体" w:cs="方正楷体简体"/>
          <w:b w:val="0"/>
          <w:bCs w:val="0"/>
          <w:color w:val="auto"/>
          <w:spacing w:val="0"/>
          <w:sz w:val="32"/>
          <w:szCs w:val="32"/>
          <w:highlight w:val="none"/>
        </w:rPr>
      </w:pPr>
      <w:r>
        <w:rPr>
          <w:rFonts w:hint="eastAsia" w:ascii="方正楷体简体" w:hAnsi="方正楷体简体" w:eastAsia="方正楷体简体" w:cs="方正楷体简体"/>
          <w:b w:val="0"/>
          <w:bCs w:val="0"/>
          <w:color w:val="auto"/>
          <w:spacing w:val="0"/>
          <w:sz w:val="32"/>
          <w:szCs w:val="32"/>
          <w:highlight w:val="none"/>
        </w:rPr>
        <w:t>公开时间：2022年9月2</w:t>
      </w:r>
      <w:r>
        <w:rPr>
          <w:rFonts w:hint="eastAsia" w:ascii="方正楷体简体" w:hAnsi="方正楷体简体" w:eastAsia="方正楷体简体" w:cs="方正楷体简体"/>
          <w:b w:val="0"/>
          <w:bCs w:val="0"/>
          <w:color w:val="auto"/>
          <w:spacing w:val="0"/>
          <w:sz w:val="32"/>
          <w:szCs w:val="32"/>
          <w:highlight w:val="none"/>
          <w:lang w:val="en-US" w:eastAsia="zh-CN"/>
        </w:rPr>
        <w:t>6</w:t>
      </w:r>
      <w:r>
        <w:rPr>
          <w:rFonts w:hint="eastAsia" w:ascii="方正楷体简体" w:hAnsi="方正楷体简体" w:eastAsia="方正楷体简体" w:cs="方正楷体简体"/>
          <w:b w:val="0"/>
          <w:bCs w:val="0"/>
          <w:color w:val="auto"/>
          <w:spacing w:val="0"/>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方正黑体简体" w:hAnsi="方正黑体简体" w:eastAsia="方正黑体简体" w:cs="方正黑体简体"/>
          <w:b w:val="0"/>
          <w:bCs w:val="0"/>
          <w:color w:val="auto"/>
          <w:spacing w:val="0"/>
          <w:sz w:val="32"/>
          <w:szCs w:val="32"/>
          <w:highlight w:val="none"/>
          <w:lang w:val="en-US"/>
        </w:rPr>
      </w:pPr>
      <w:r>
        <w:rPr>
          <w:rFonts w:hint="eastAsia" w:ascii="方正黑体简体" w:hAnsi="方正黑体简体" w:eastAsia="方正黑体简体" w:cs="方正黑体简体"/>
          <w:b w:val="0"/>
          <w:bCs w:val="0"/>
          <w:color w:val="auto"/>
          <w:spacing w:val="0"/>
          <w:sz w:val="32"/>
          <w:szCs w:val="32"/>
          <w:highlight w:val="none"/>
        </w:rPr>
        <w:t>第一部分</w:t>
      </w:r>
      <w:r>
        <w:rPr>
          <w:rFonts w:hint="eastAsia" w:ascii="方正黑体简体" w:hAnsi="方正黑体简体" w:eastAsia="方正黑体简体" w:cs="方正黑体简体"/>
          <w:b w:val="0"/>
          <w:bCs w:val="0"/>
          <w:color w:val="auto"/>
          <w:spacing w:val="0"/>
          <w:sz w:val="32"/>
          <w:szCs w:val="32"/>
          <w:highlight w:val="none"/>
          <w:lang w:val="en-US" w:eastAsia="zh-CN"/>
        </w:rPr>
        <w:t xml:space="preserve">  </w:t>
      </w:r>
      <w:r>
        <w:rPr>
          <w:rFonts w:hint="eastAsia" w:ascii="方正黑体简体" w:hAnsi="方正黑体简体" w:eastAsia="方正黑体简体" w:cs="方正黑体简体"/>
          <w:b w:val="0"/>
          <w:bCs w:val="0"/>
          <w:color w:val="auto"/>
          <w:spacing w:val="0"/>
          <w:sz w:val="32"/>
          <w:szCs w:val="32"/>
          <w:highlight w:val="none"/>
        </w:rPr>
        <w:t>部门概况</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一、基本职能及主要工作</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ascii="仿宋_GB2312" w:hAnsi="仿宋_GB2312" w:eastAsia="仿宋_GB2312" w:cs="仿宋_GB2312"/>
          <w:b w:val="0"/>
          <w:bCs w:val="0"/>
          <w:color w:val="auto"/>
          <w:spacing w:val="0"/>
          <w:sz w:val="32"/>
          <w:szCs w:val="32"/>
          <w:highlight w:val="none"/>
          <w:lang w:val="en-US" w:eastAsia="zh-CN"/>
        </w:rPr>
        <w:t>1</w:t>
      </w:r>
      <w:r>
        <w:rPr>
          <w:rFonts w:hint="eastAsia" w:ascii="仿宋_GB2312" w:hAnsi="仿宋_GB2312" w:eastAsia="仿宋_GB2312" w:cs="仿宋_GB2312"/>
          <w:b w:val="0"/>
          <w:bCs w:val="0"/>
          <w:color w:val="auto"/>
          <w:spacing w:val="0"/>
          <w:sz w:val="32"/>
          <w:szCs w:val="32"/>
          <w:highlight w:val="none"/>
        </w:rPr>
        <w:t>二、机构设置</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方正黑体简体" w:hAnsi="方正黑体简体" w:eastAsia="方正黑体简体" w:cs="方正黑体简体"/>
          <w:b w:val="0"/>
          <w:bCs w:val="0"/>
          <w:color w:val="auto"/>
          <w:spacing w:val="0"/>
          <w:sz w:val="32"/>
          <w:szCs w:val="32"/>
          <w:highlight w:val="none"/>
          <w:lang w:val="en-US"/>
        </w:rPr>
      </w:pPr>
      <w:r>
        <w:rPr>
          <w:rFonts w:hint="eastAsia" w:ascii="方正黑体简体" w:hAnsi="方正黑体简体" w:eastAsia="方正黑体简体" w:cs="方正黑体简体"/>
          <w:b w:val="0"/>
          <w:bCs w:val="0"/>
          <w:color w:val="auto"/>
          <w:spacing w:val="0"/>
          <w:sz w:val="32"/>
          <w:szCs w:val="32"/>
          <w:highlight w:val="none"/>
        </w:rPr>
        <w:t xml:space="preserve">第二部分 </w:t>
      </w:r>
      <w:r>
        <w:rPr>
          <w:rFonts w:hint="eastAsia" w:ascii="方正黑体简体" w:hAnsi="方正黑体简体" w:eastAsia="方正黑体简体" w:cs="方正黑体简体"/>
          <w:b w:val="0"/>
          <w:bCs w:val="0"/>
          <w:color w:val="auto"/>
          <w:spacing w:val="0"/>
          <w:sz w:val="32"/>
          <w:szCs w:val="32"/>
          <w:highlight w:val="none"/>
          <w:lang w:val="en-US" w:eastAsia="zh-CN"/>
        </w:rPr>
        <w:t xml:space="preserve"> </w:t>
      </w:r>
      <w:r>
        <w:rPr>
          <w:rFonts w:hint="eastAsia" w:ascii="方正黑体简体" w:hAnsi="方正黑体简体" w:eastAsia="方正黑体简体" w:cs="方正黑体简体"/>
          <w:b w:val="0"/>
          <w:bCs w:val="0"/>
          <w:color w:val="auto"/>
          <w:spacing w:val="0"/>
          <w:sz w:val="32"/>
          <w:szCs w:val="32"/>
          <w:highlight w:val="none"/>
        </w:rPr>
        <w:t>2021年度部门决算情况说明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 xml:space="preserve"> 7</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一、收入支出决算总体情况说明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7</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二、收入决算情况说明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7</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三、支出决算情况说明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8</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四、财政拨款收入支出决算总体情况说明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8</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五、一般公共预算财政拨款支出决算情况说明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9</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六、一般公共预算财政拨款基本支出决算情况说明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七、“三公”经费财政拨款支出决算情况说明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12</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八、政府性基金预算支出决算情况说明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14</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九、国有资本经营预算支出决算情况说明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14</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Style w:val="16"/>
          <w:rFonts w:hint="eastAsia" w:ascii="仿宋_GB2312" w:hAnsi="仿宋_GB2312" w:eastAsia="仿宋_GB2312" w:cs="仿宋_GB2312"/>
          <w:b w:val="0"/>
          <w:bCs w:val="0"/>
          <w:color w:val="auto"/>
          <w:spacing w:val="0"/>
          <w:sz w:val="32"/>
          <w:szCs w:val="32"/>
          <w:highlight w:val="none"/>
          <w:u w:val="none"/>
        </w:rPr>
        <w:t>十、</w:t>
      </w:r>
      <w:r>
        <w:rPr>
          <w:rFonts w:hint="eastAsia" w:ascii="仿宋_GB2312" w:hAnsi="仿宋_GB2312" w:eastAsia="仿宋_GB2312" w:cs="仿宋_GB2312"/>
          <w:b w:val="0"/>
          <w:bCs w:val="0"/>
          <w:color w:val="auto"/>
          <w:spacing w:val="0"/>
          <w:sz w:val="32"/>
          <w:szCs w:val="32"/>
          <w:highlight w:val="none"/>
        </w:rPr>
        <w:t>预算绩效管理情况</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14</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十一、其他重要事项的情况说明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14</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方正黑体简体" w:hAnsi="方正黑体简体" w:eastAsia="方正黑体简体" w:cs="方正黑体简体"/>
          <w:b w:val="0"/>
          <w:bCs w:val="0"/>
          <w:color w:val="auto"/>
          <w:spacing w:val="0"/>
          <w:sz w:val="32"/>
          <w:szCs w:val="32"/>
          <w:highlight w:val="none"/>
          <w:lang w:val="en-US"/>
        </w:rPr>
      </w:pPr>
      <w:r>
        <w:rPr>
          <w:rFonts w:hint="eastAsia" w:ascii="方正黑体简体" w:hAnsi="方正黑体简体" w:eastAsia="方正黑体简体" w:cs="方正黑体简体"/>
          <w:b w:val="0"/>
          <w:bCs w:val="0"/>
          <w:color w:val="auto"/>
          <w:spacing w:val="0"/>
          <w:sz w:val="32"/>
          <w:szCs w:val="32"/>
          <w:highlight w:val="none"/>
        </w:rPr>
        <w:t>第三部</w:t>
      </w:r>
      <w:r>
        <w:rPr>
          <w:rFonts w:hint="eastAsia" w:ascii="方正黑体简体" w:hAnsi="方正黑体简体" w:eastAsia="方正黑体简体" w:cs="方正黑体简体"/>
          <w:b w:val="0"/>
          <w:bCs w:val="0"/>
          <w:color w:val="auto"/>
          <w:spacing w:val="0"/>
          <w:sz w:val="32"/>
          <w:szCs w:val="32"/>
          <w:highlight w:val="none"/>
          <w:lang w:val="en-US" w:eastAsia="zh-CN"/>
        </w:rPr>
        <w:t xml:space="preserve">  </w:t>
      </w:r>
      <w:r>
        <w:rPr>
          <w:rFonts w:hint="eastAsia" w:ascii="方正黑体简体" w:hAnsi="方正黑体简体" w:eastAsia="方正黑体简体" w:cs="方正黑体简体"/>
          <w:b w:val="0"/>
          <w:bCs w:val="0"/>
          <w:color w:val="auto"/>
          <w:spacing w:val="0"/>
          <w:sz w:val="32"/>
          <w:szCs w:val="32"/>
          <w:highlight w:val="none"/>
        </w:rPr>
        <w:t>分名词解释</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 xml:space="preserve"> 16</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方正黑体简体" w:hAnsi="方正黑体简体" w:eastAsia="方正黑体简体" w:cs="方正黑体简体"/>
          <w:b w:val="0"/>
          <w:bCs w:val="0"/>
          <w:color w:val="auto"/>
          <w:spacing w:val="0"/>
          <w:sz w:val="32"/>
          <w:szCs w:val="32"/>
          <w:highlight w:val="none"/>
          <w:lang w:val="en-US"/>
        </w:rPr>
      </w:pPr>
      <w:r>
        <w:rPr>
          <w:rFonts w:hint="eastAsia" w:ascii="方正黑体简体" w:hAnsi="方正黑体简体" w:eastAsia="方正黑体简体" w:cs="方正黑体简体"/>
          <w:b w:val="0"/>
          <w:bCs w:val="0"/>
          <w:color w:val="auto"/>
          <w:spacing w:val="0"/>
          <w:sz w:val="32"/>
          <w:szCs w:val="32"/>
          <w:highlight w:val="none"/>
        </w:rPr>
        <w:t>第四部分</w:t>
      </w:r>
      <w:r>
        <w:rPr>
          <w:rFonts w:hint="eastAsia" w:ascii="方正黑体简体" w:hAnsi="方正黑体简体" w:eastAsia="方正黑体简体" w:cs="方正黑体简体"/>
          <w:b w:val="0"/>
          <w:bCs w:val="0"/>
          <w:color w:val="auto"/>
          <w:spacing w:val="0"/>
          <w:sz w:val="32"/>
          <w:szCs w:val="32"/>
          <w:highlight w:val="none"/>
          <w:lang w:val="en-US" w:eastAsia="zh-CN"/>
        </w:rPr>
        <w:t xml:space="preserve">  </w:t>
      </w:r>
      <w:r>
        <w:rPr>
          <w:rFonts w:hint="eastAsia" w:ascii="方正黑体简体" w:hAnsi="方正黑体简体" w:eastAsia="方正黑体简体" w:cs="方正黑体简体"/>
          <w:b w:val="0"/>
          <w:bCs w:val="0"/>
          <w:color w:val="auto"/>
          <w:spacing w:val="0"/>
          <w:sz w:val="32"/>
          <w:szCs w:val="32"/>
          <w:highlight w:val="none"/>
        </w:rPr>
        <w:t>附件</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 xml:space="preserve"> 19</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黑体简体" w:hAnsi="方正黑体简体" w:eastAsia="方正黑体简体" w:cs="方正黑体简体"/>
          <w:b w:val="0"/>
          <w:bCs w:val="0"/>
          <w:color w:val="auto"/>
          <w:spacing w:val="0"/>
          <w:sz w:val="32"/>
          <w:szCs w:val="32"/>
          <w:highlight w:val="none"/>
        </w:rPr>
        <w:sectPr>
          <w:footerReference r:id="rId4" w:type="default"/>
          <w:pgSz w:w="11906" w:h="16838"/>
          <w:pgMar w:top="2098" w:right="1474" w:bottom="1984" w:left="1587" w:header="851" w:footer="283"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方正黑体简体" w:hAnsi="方正黑体简体" w:eastAsia="方正黑体简体" w:cs="方正黑体简体"/>
          <w:b w:val="0"/>
          <w:bCs w:val="0"/>
          <w:color w:val="auto"/>
          <w:spacing w:val="0"/>
          <w:sz w:val="32"/>
          <w:szCs w:val="32"/>
          <w:highlight w:val="none"/>
          <w:lang w:val="en-US"/>
        </w:rPr>
      </w:pPr>
      <w:r>
        <w:rPr>
          <w:rFonts w:hint="eastAsia" w:ascii="方正黑体简体" w:hAnsi="方正黑体简体" w:eastAsia="方正黑体简体" w:cs="方正黑体简体"/>
          <w:b w:val="0"/>
          <w:bCs w:val="0"/>
          <w:color w:val="auto"/>
          <w:spacing w:val="0"/>
          <w:sz w:val="32"/>
          <w:szCs w:val="32"/>
          <w:highlight w:val="none"/>
        </w:rPr>
        <w:t>第五部分</w:t>
      </w:r>
      <w:r>
        <w:rPr>
          <w:rFonts w:hint="eastAsia" w:ascii="方正黑体简体" w:hAnsi="方正黑体简体" w:eastAsia="方正黑体简体" w:cs="方正黑体简体"/>
          <w:b w:val="0"/>
          <w:bCs w:val="0"/>
          <w:color w:val="auto"/>
          <w:spacing w:val="0"/>
          <w:sz w:val="32"/>
          <w:szCs w:val="32"/>
          <w:highlight w:val="none"/>
          <w:lang w:val="en-US" w:eastAsia="zh-CN"/>
        </w:rPr>
        <w:t xml:space="preserve">  </w:t>
      </w:r>
      <w:r>
        <w:rPr>
          <w:rFonts w:hint="eastAsia" w:ascii="方正黑体简体" w:hAnsi="方正黑体简体" w:eastAsia="方正黑体简体" w:cs="方正黑体简体"/>
          <w:b w:val="0"/>
          <w:bCs w:val="0"/>
          <w:color w:val="auto"/>
          <w:spacing w:val="0"/>
          <w:sz w:val="32"/>
          <w:szCs w:val="32"/>
          <w:highlight w:val="none"/>
        </w:rPr>
        <w:t>附表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 xml:space="preserve"> 50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一、收入支出决算总表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50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二、收入决算表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50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三、支出决算表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50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四、财政拨款收入支出决算总表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50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五、财政拨款支出决算明细表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50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六、一般公共预算财政拨款支出决算表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50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七、一般公共预算财政拨款支出决算明细表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50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八、一般公共预算财政拨款基本支出决算表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50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九、一般公共预算财政拨款项目支出决算表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50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十、一般公共预算财政拨款“三公”经费支出决算表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50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十一、政府性基金预算财政拨款收入支出决算表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50</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6"/>
          <w:sz w:val="32"/>
          <w:szCs w:val="32"/>
          <w:highlight w:val="none"/>
        </w:rPr>
        <w:t>十二、政府性基金预算财政拨款“三公”经费支出决算</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50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十三、国有资本经营预算财政拨款收入支出决算表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50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十四、国有资本经营预算财政拨款支出决算表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50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sectPr>
          <w:footerReference r:id="rId5" w:type="default"/>
          <w:pgSz w:w="11906" w:h="16838"/>
          <w:pgMar w:top="2098" w:right="1474" w:bottom="1984" w:left="1587" w:header="851" w:footer="283" w:gutter="0"/>
          <w:pgNumType w:fmt="decimal" w:start="1"/>
          <w:cols w:space="720" w:num="1"/>
          <w:docGrid w:type="lines" w:linePitch="312" w:charSpace="0"/>
        </w:sectPr>
      </w:pPr>
      <w:bookmarkStart w:id="12" w:name="_Toc15377196"/>
      <w:bookmarkStart w:id="13" w:name="_Toc15396599"/>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r>
        <w:rPr>
          <w:rFonts w:hint="eastAsia" w:ascii="方正小标宋简体" w:hAnsi="方正小标宋简体" w:eastAsia="方正小标宋简体" w:cs="方正小标宋简体"/>
          <w:b w:val="0"/>
          <w:bCs w:val="0"/>
          <w:color w:val="auto"/>
          <w:spacing w:val="0"/>
          <w:sz w:val="44"/>
          <w:szCs w:val="44"/>
          <w:highlight w:val="none"/>
        </w:rPr>
        <w:t>第一部分</w:t>
      </w:r>
      <w:r>
        <w:rPr>
          <w:rFonts w:hint="eastAsia" w:ascii="方正小标宋简体" w:hAnsi="方正小标宋简体" w:eastAsia="方正小标宋简体" w:cs="方正小标宋简体"/>
          <w:b w:val="0"/>
          <w:bCs w:val="0"/>
          <w:color w:val="auto"/>
          <w:spacing w:val="0"/>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spacing w:val="0"/>
          <w:sz w:val="44"/>
          <w:szCs w:val="44"/>
          <w:highlight w:val="none"/>
        </w:rPr>
        <w:t>部门概况</w:t>
      </w:r>
      <w:bookmarkEnd w:id="12"/>
      <w:bookmarkEnd w:id="13"/>
    </w:p>
    <w:p>
      <w:pPr>
        <w:keepNext w:val="0"/>
        <w:keepLines w:val="0"/>
        <w:pageBreakBefore w:val="0"/>
        <w:widowControl w:val="0"/>
        <w:kinsoku/>
        <w:wordWrap/>
        <w:overflowPunct/>
        <w:topLinePunct w:val="0"/>
        <w:autoSpaceDE/>
        <w:autoSpaceDN/>
        <w:bidi w:val="0"/>
        <w:spacing w:line="600" w:lineRule="exact"/>
        <w:ind w:firstLine="420" w:firstLineChars="200"/>
        <w:textAlignment w:val="auto"/>
        <w:rPr>
          <w:b w:val="0"/>
          <w:bCs w:val="0"/>
          <w:color w:val="auto"/>
          <w:spacing w:val="0"/>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bookmarkStart w:id="14" w:name="_Toc15377197"/>
      <w:bookmarkStart w:id="15" w:name="_Toc15396600"/>
      <w:r>
        <w:rPr>
          <w:rFonts w:hint="eastAsia" w:ascii="方正黑体简体" w:hAnsi="方正黑体简体" w:eastAsia="方正黑体简体" w:cs="方正黑体简体"/>
          <w:b w:val="0"/>
          <w:bCs w:val="0"/>
          <w:color w:val="auto"/>
          <w:spacing w:val="0"/>
          <w:sz w:val="32"/>
          <w:szCs w:val="32"/>
          <w:highlight w:val="none"/>
        </w:rPr>
        <w:t>一、基本职能及主要工作</w:t>
      </w:r>
      <w:bookmarkEnd w:id="14"/>
      <w:bookmarkEnd w:id="15"/>
    </w:p>
    <w:p>
      <w:pPr>
        <w:pStyle w:val="7"/>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ascii="仿宋" w:hAnsi="仿宋" w:eastAsia="仿宋"/>
          <w:b w:val="0"/>
          <w:bCs w:val="0"/>
          <w:color w:val="auto"/>
          <w:spacing w:val="0"/>
          <w:sz w:val="32"/>
          <w:szCs w:val="32"/>
          <w:highlight w:val="none"/>
        </w:rPr>
      </w:pPr>
      <w:bookmarkStart w:id="16" w:name="_Toc15378445"/>
      <w:bookmarkStart w:id="17" w:name="_Toc15377198"/>
      <w:r>
        <w:rPr>
          <w:rFonts w:hint="eastAsia" w:ascii="方正楷体简体" w:hAnsi="方正楷体简体" w:eastAsia="方正楷体简体" w:cs="方正楷体简体"/>
          <w:b w:val="0"/>
          <w:bCs w:val="0"/>
          <w:color w:val="auto"/>
          <w:spacing w:val="0"/>
          <w:sz w:val="32"/>
          <w:szCs w:val="32"/>
          <w:highlight w:val="none"/>
        </w:rPr>
        <w:t>（一）主要职能。</w:t>
      </w:r>
      <w:bookmarkEnd w:id="16"/>
      <w:bookmarkEnd w:id="17"/>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1.</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贯彻执行国家有关城市管理和爱国卫生工作的方针政策和法律、法规、规章；起草有关规范性文件。</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2.</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拟订城市管理和爱国卫生工作发展战略、中长期发展规划、年度计划并组织实施；制订城市管理、城市管理行政执法行业制度和规范并组织实施；会同有关部门监督管理城市行政事业性收费；负责推进数字化城市管理和信息化建设。</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3.</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统筹协调、监督管理全市城市管理工作；负责市城区临时摊点的综合管理；负责路标路牌、报刊电话亭、公交站牌、非机动车停放点等市政设施设置的许可管理；负责户外广告和店招店牌的设置、宣传品张贴悬挂、临时占用城市道路的许可管理；负责机动车辆清洗保洁（含修车、汽车美容）活动的监督管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4.</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负责城市市容环境卫生管理，依法对城市市容环境卫生实施监督检查；参与大、中型市容环卫设施项目的规划、建设和项目审核、管理；参与城市新建、改扩建项目中市容环卫配套设施建设方案的审核，监督管理相关项目运营；监督管理生活垃圾、餐厨垃圾、建筑垃圾的收运处置及处置场地运营管理；会同有关部门监督管理医疗废物、工业垃圾、有毒有害垃圾处置；负责公共场所（门前五包）环境卫生的监督管理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5.</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负责指导、协调、监督检查全市爱国卫生工作；承担城乡社会性公共卫生管理工作，组织群众性的社会卫生监督活动。</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6.</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集中行使下列城市管理行政处罚权：</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w:t>
      </w:r>
      <w:r>
        <w:rPr>
          <w:rFonts w:eastAsia="仿宋_GB2312"/>
          <w:b w:val="0"/>
          <w:bCs w:val="0"/>
          <w:color w:val="auto"/>
          <w:spacing w:val="0"/>
          <w:sz w:val="32"/>
          <w:szCs w:val="32"/>
          <w:highlight w:val="none"/>
        </w:rPr>
        <w:t>1</w:t>
      </w:r>
      <w:r>
        <w:rPr>
          <w:rFonts w:hint="eastAsia" w:eastAsia="仿宋_GB2312"/>
          <w:b w:val="0"/>
          <w:bCs w:val="0"/>
          <w:color w:val="auto"/>
          <w:spacing w:val="0"/>
          <w:sz w:val="32"/>
          <w:szCs w:val="32"/>
          <w:highlight w:val="none"/>
        </w:rPr>
        <w:t>）行使住房城乡建设领域法律、法规、规章规定的全部行政处罚权。</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w:t>
      </w:r>
      <w:r>
        <w:rPr>
          <w:rFonts w:eastAsia="仿宋_GB2312"/>
          <w:b w:val="0"/>
          <w:bCs w:val="0"/>
          <w:color w:val="auto"/>
          <w:spacing w:val="0"/>
          <w:sz w:val="32"/>
          <w:szCs w:val="32"/>
          <w:highlight w:val="none"/>
        </w:rPr>
        <w:t>2</w:t>
      </w:r>
      <w:r>
        <w:rPr>
          <w:rFonts w:hint="eastAsia" w:eastAsia="仿宋_GB2312"/>
          <w:b w:val="0"/>
          <w:bCs w:val="0"/>
          <w:color w:val="auto"/>
          <w:spacing w:val="0"/>
          <w:sz w:val="32"/>
          <w:szCs w:val="32"/>
          <w:highlight w:val="none"/>
        </w:rPr>
        <w:t>）行使环境保护管理方面法律、法规、规章规定的部分行政处罚权。具体对以下违法行为行使行政处罚权：社会生活噪声污染和建筑施工噪声污染；建筑施工扬尘污染，向大气排放有毒有害气体和烟尘、饮食服务业油烟污染，在公共场所烧烤食品，散烧原煤、焚烧杂物，不按规定排放生活污水，未采取防燃、防尘措施在城市人口集中地区存放煤炭、煤矸石、煤渣、砂石、灰土等物料；不按规定倾倒、堆放、贮存、清运、处置城市生活垃圾，不按规定随意堆放、倾倒工业固体废物或者随意丢弃、倾倒畜禽饲料、屠宰加工过程中产生的固体废物，施工单位不及时清运、处置建筑施工过程中产生的垃圾以及运输过程中沿途丢弃、遗撒固体废物；拒绝环境噪声现场检查或者在被检查时弄虚作假的行为。</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w:t>
      </w:r>
      <w:r>
        <w:rPr>
          <w:rFonts w:eastAsia="仿宋_GB2312"/>
          <w:b w:val="0"/>
          <w:bCs w:val="0"/>
          <w:color w:val="auto"/>
          <w:spacing w:val="0"/>
          <w:sz w:val="32"/>
          <w:szCs w:val="32"/>
          <w:highlight w:val="none"/>
        </w:rPr>
        <w:t>3</w:t>
      </w:r>
      <w:r>
        <w:rPr>
          <w:rFonts w:hint="eastAsia" w:eastAsia="仿宋_GB2312"/>
          <w:b w:val="0"/>
          <w:bCs w:val="0"/>
          <w:color w:val="auto"/>
          <w:spacing w:val="0"/>
          <w:sz w:val="32"/>
          <w:szCs w:val="32"/>
          <w:highlight w:val="none"/>
        </w:rPr>
        <w:t>）行使市场监督管理方面法律、法规、规章规定的对无固定经营场所的无照商贩、场外（店外）无证饮食摊点的行政处罚权。</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w:t>
      </w:r>
      <w:r>
        <w:rPr>
          <w:rFonts w:eastAsia="仿宋_GB2312"/>
          <w:b w:val="0"/>
          <w:bCs w:val="0"/>
          <w:color w:val="auto"/>
          <w:spacing w:val="0"/>
          <w:sz w:val="32"/>
          <w:szCs w:val="32"/>
          <w:highlight w:val="none"/>
        </w:rPr>
        <w:t>4</w:t>
      </w:r>
      <w:r>
        <w:rPr>
          <w:rFonts w:hint="eastAsia" w:eastAsia="仿宋_GB2312"/>
          <w:b w:val="0"/>
          <w:bCs w:val="0"/>
          <w:color w:val="auto"/>
          <w:spacing w:val="0"/>
          <w:sz w:val="32"/>
          <w:szCs w:val="32"/>
          <w:highlight w:val="none"/>
        </w:rPr>
        <w:t>）行使公安交通管理方面法律、法规、规章规定的对违法停放车辆、侵占城市道路行为的行政处罚权。</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w:t>
      </w:r>
      <w:r>
        <w:rPr>
          <w:rFonts w:eastAsia="仿宋_GB2312"/>
          <w:b w:val="0"/>
          <w:bCs w:val="0"/>
          <w:color w:val="auto"/>
          <w:spacing w:val="0"/>
          <w:sz w:val="32"/>
          <w:szCs w:val="32"/>
          <w:highlight w:val="none"/>
        </w:rPr>
        <w:t>5</w:t>
      </w:r>
      <w:r>
        <w:rPr>
          <w:rFonts w:hint="eastAsia" w:eastAsia="仿宋_GB2312"/>
          <w:b w:val="0"/>
          <w:bCs w:val="0"/>
          <w:color w:val="auto"/>
          <w:spacing w:val="0"/>
          <w:sz w:val="32"/>
          <w:szCs w:val="32"/>
          <w:highlight w:val="none"/>
        </w:rPr>
        <w:t>）行使公安治安管理方面法律、法规、规章规定的对违反犬只管理的行政处罚权。</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w:t>
      </w:r>
      <w:r>
        <w:rPr>
          <w:rFonts w:eastAsia="仿宋_GB2312"/>
          <w:b w:val="0"/>
          <w:bCs w:val="0"/>
          <w:color w:val="auto"/>
          <w:spacing w:val="0"/>
          <w:sz w:val="32"/>
          <w:szCs w:val="32"/>
          <w:highlight w:val="none"/>
        </w:rPr>
        <w:t>6</w:t>
      </w:r>
      <w:r>
        <w:rPr>
          <w:rFonts w:hint="eastAsia" w:eastAsia="仿宋_GB2312"/>
          <w:b w:val="0"/>
          <w:bCs w:val="0"/>
          <w:color w:val="auto"/>
          <w:spacing w:val="0"/>
          <w:sz w:val="32"/>
          <w:szCs w:val="32"/>
          <w:highlight w:val="none"/>
        </w:rPr>
        <w:t>）行使市人民政府认为需要相对集中并报经省人民政府决定的城市管理领域的其他行政处罚权。</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7.</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负责全市城市管理行政执法的组织、协调、监督和检查工作；负责对城市管理执法人员行使职权情况实施督察；牵头组织全市性城市管理重大执法活动和专项执法活动。</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8.</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负责城市管理的对外交流工作；负责城市管理的科学研究和社会宣传教育工作。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9.</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负责全市城乡环境综合治理和监督管理工作；负责处置城市管理相关应急突发事件；指导县区城市管理工作。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10.</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承办市政府公布的有关行政审批事项。</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b w:val="0"/>
          <w:bCs w:val="0"/>
          <w:color w:val="auto"/>
          <w:spacing w:val="0"/>
          <w:highlight w:val="none"/>
        </w:rPr>
      </w:pPr>
      <w:r>
        <w:rPr>
          <w:rFonts w:eastAsia="仿宋_GB2312"/>
          <w:b w:val="0"/>
          <w:bCs w:val="0"/>
          <w:color w:val="auto"/>
          <w:spacing w:val="0"/>
          <w:sz w:val="32"/>
          <w:szCs w:val="32"/>
          <w:highlight w:val="none"/>
        </w:rPr>
        <w:t>11.</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承办市政府交办的其他事项。</w:t>
      </w:r>
    </w:p>
    <w:p>
      <w:pPr>
        <w:pStyle w:val="7"/>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rPr>
      </w:pPr>
      <w:bookmarkStart w:id="18" w:name="_Toc15378446"/>
      <w:bookmarkStart w:id="19" w:name="_Toc15377199"/>
      <w:r>
        <w:rPr>
          <w:rFonts w:hint="eastAsia" w:ascii="方正楷体简体" w:hAnsi="方正楷体简体" w:eastAsia="方正楷体简体" w:cs="方正楷体简体"/>
          <w:b w:val="0"/>
          <w:bCs w:val="0"/>
          <w:color w:val="auto"/>
          <w:spacing w:val="0"/>
          <w:sz w:val="32"/>
          <w:szCs w:val="32"/>
          <w:highlight w:val="none"/>
        </w:rPr>
        <w:t>（二）2021年重点工作完成情况。</w:t>
      </w:r>
      <w:bookmarkEnd w:id="18"/>
      <w:bookmarkEnd w:id="1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简体" w:hAnsi="方正楷体简体" w:eastAsia="方正楷体简体" w:cs="方正楷体简体"/>
          <w:i w:val="0"/>
          <w:iCs w:val="0"/>
          <w:caps w:val="0"/>
          <w:color w:val="343434"/>
          <w:spacing w:val="0"/>
          <w:kern w:val="0"/>
          <w:sz w:val="32"/>
          <w:szCs w:val="32"/>
          <w:shd w:val="clear" w:color="auto" w:fill="FFFFFF"/>
          <w:lang w:val="en-US" w:eastAsia="zh-CN" w:bidi="ar"/>
        </w:rPr>
      </w:pPr>
      <w:bookmarkStart w:id="20" w:name="_Toc15377200"/>
      <w:bookmarkStart w:id="21" w:name="_Toc15396601"/>
      <w:r>
        <w:rPr>
          <w:rFonts w:hint="eastAsia" w:ascii="方正楷体简体" w:hAnsi="方正楷体简体" w:eastAsia="方正楷体简体" w:cs="方正楷体简体"/>
          <w:i w:val="0"/>
          <w:iCs w:val="0"/>
          <w:caps w:val="0"/>
          <w:color w:val="343434"/>
          <w:spacing w:val="0"/>
          <w:kern w:val="0"/>
          <w:sz w:val="32"/>
          <w:szCs w:val="32"/>
          <w:shd w:val="clear" w:color="auto" w:fill="FFFFFF"/>
          <w:lang w:val="en-US" w:eastAsia="zh-CN" w:bidi="ar"/>
        </w:rPr>
        <w:t>聚力精细管理，城市颜值实现新提升。</w:t>
      </w:r>
      <w:r>
        <w:rPr>
          <w:rFonts w:hint="eastAsia" w:ascii="方正黑体简体" w:hAnsi="方正黑体简体" w:eastAsia="方正黑体简体" w:cs="方正黑体简体"/>
          <w:sz w:val="32"/>
          <w:szCs w:val="32"/>
          <w:lang w:val="en-US" w:eastAsia="zh-CN"/>
        </w:rPr>
        <w:t>一是</w:t>
      </w:r>
      <w:r>
        <w:rPr>
          <w:rFonts w:hint="eastAsia" w:ascii="Times New Roman" w:hAnsi="Times New Roman" w:eastAsia="仿宋_GB2312" w:cs="Times New Roman"/>
          <w:sz w:val="32"/>
          <w:szCs w:val="32"/>
          <w:lang w:val="en-US" w:eastAsia="zh-CN"/>
        </w:rPr>
        <w:t>强化市容秩序管控。结合国家卫生城市巩固、文明城市城市创建，深入开展</w:t>
      </w:r>
      <w:r>
        <w:rPr>
          <w:rFonts w:hint="eastAsia" w:ascii="Times New Roman" w:hAnsi="Times New Roman" w:eastAsia="仿宋_GB2312" w:cs="Times New Roman"/>
          <w:b w:val="0"/>
          <w:bCs w:val="0"/>
          <w:sz w:val="32"/>
          <w:szCs w:val="32"/>
        </w:rPr>
        <w:t>城市家具排查</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lang w:eastAsia="zh-CN"/>
        </w:rPr>
        <w:t>建筑物外立面整治</w:t>
      </w:r>
      <w:r>
        <w:rPr>
          <w:rFonts w:hint="eastAsia"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lang w:val="en-US" w:eastAsia="zh-CN"/>
        </w:rPr>
        <w:t>市容环境规范整治行动，</w:t>
      </w:r>
      <w:r>
        <w:rPr>
          <w:rFonts w:hint="default" w:ascii="Times New Roman" w:hAnsi="Times New Roman" w:eastAsia="仿宋_GB2312" w:cs="Times New Roman"/>
          <w:sz w:val="32"/>
          <w:szCs w:val="32"/>
          <w:lang w:eastAsia="zh-CN"/>
        </w:rPr>
        <w:t>严管重罚出店经营、</w:t>
      </w:r>
      <w:r>
        <w:rPr>
          <w:rFonts w:hint="eastAsia" w:ascii="Times New Roman" w:hAnsi="Times New Roman" w:eastAsia="仿宋_GB2312" w:cs="Times New Roman"/>
          <w:sz w:val="32"/>
          <w:szCs w:val="32"/>
          <w:lang w:eastAsia="zh-CN"/>
        </w:rPr>
        <w:t>水果车占道</w:t>
      </w:r>
      <w:r>
        <w:rPr>
          <w:rFonts w:hint="default" w:ascii="Times New Roman" w:hAnsi="Times New Roman" w:eastAsia="仿宋_GB2312" w:cs="Times New Roman"/>
          <w:sz w:val="32"/>
          <w:szCs w:val="32"/>
          <w:lang w:eastAsia="zh-CN"/>
        </w:rPr>
        <w:t>等违法行为</w:t>
      </w:r>
      <w:r>
        <w:rPr>
          <w:rFonts w:hint="eastAsia" w:ascii="Times New Roman" w:hAnsi="Times New Roman" w:eastAsia="仿宋_GB2312" w:cs="Times New Roman"/>
          <w:sz w:val="32"/>
          <w:szCs w:val="32"/>
          <w:lang w:eastAsia="zh-CN"/>
        </w:rPr>
        <w:t>。</w:t>
      </w:r>
      <w:r>
        <w:rPr>
          <w:rFonts w:hint="eastAsia" w:ascii="方正黑体简体" w:hAnsi="方正黑体简体" w:eastAsia="方正黑体简体" w:cs="方正黑体简体"/>
          <w:sz w:val="32"/>
          <w:szCs w:val="32"/>
          <w:lang w:val="en-US" w:eastAsia="zh-CN"/>
        </w:rPr>
        <w:t>二是</w:t>
      </w:r>
      <w:r>
        <w:rPr>
          <w:rFonts w:hint="eastAsia" w:ascii="Times New Roman" w:hAnsi="Times New Roman" w:eastAsia="仿宋_GB2312" w:cs="Times New Roman"/>
          <w:sz w:val="32"/>
          <w:szCs w:val="32"/>
          <w:lang w:val="en-US" w:eastAsia="zh-CN"/>
        </w:rPr>
        <w:t>抓实</w:t>
      </w:r>
      <w:r>
        <w:rPr>
          <w:rFonts w:hint="default" w:ascii="Times New Roman" w:hAnsi="Times New Roman" w:eastAsia="仿宋_GB2312" w:cs="Times New Roman"/>
          <w:sz w:val="32"/>
          <w:szCs w:val="32"/>
          <w:lang w:eastAsia="zh-CN"/>
        </w:rPr>
        <w:t>大气污染</w:t>
      </w:r>
      <w:r>
        <w:rPr>
          <w:rFonts w:hint="eastAsia" w:ascii="Times New Roman" w:hAnsi="Times New Roman" w:eastAsia="仿宋_GB2312" w:cs="Times New Roman"/>
          <w:sz w:val="32"/>
          <w:szCs w:val="32"/>
          <w:lang w:eastAsia="zh-CN"/>
        </w:rPr>
        <w:t>防治</w:t>
      </w:r>
      <w:r>
        <w:rPr>
          <w:rFonts w:hint="default" w:ascii="Times New Roman" w:hAnsi="Times New Roman" w:eastAsia="仿宋_GB2312" w:cs="Times New Roman"/>
          <w:sz w:val="32"/>
          <w:szCs w:val="32"/>
          <w:lang w:eastAsia="zh-CN"/>
        </w:rPr>
        <w:t>。督促建筑施工企业严格落实“六必须、六不准、六个100%”要求。</w:t>
      </w:r>
      <w:r>
        <w:rPr>
          <w:rFonts w:hint="eastAsia" w:ascii="Times New Roman" w:hAnsi="Times New Roman" w:eastAsia="仿宋_GB2312" w:cs="Times New Roman"/>
          <w:b w:val="0"/>
          <w:bCs w:val="0"/>
          <w:sz w:val="32"/>
          <w:szCs w:val="32"/>
        </w:rPr>
        <w:t>增加</w:t>
      </w:r>
      <w:r>
        <w:rPr>
          <w:rFonts w:hint="eastAsia" w:ascii="Times New Roman" w:hAnsi="Times New Roman" w:eastAsia="仿宋_GB2312" w:cs="Times New Roman"/>
          <w:b w:val="0"/>
          <w:bCs w:val="0"/>
          <w:sz w:val="32"/>
          <w:szCs w:val="32"/>
          <w:lang w:eastAsia="zh-CN"/>
        </w:rPr>
        <w:t>重点</w:t>
      </w:r>
      <w:r>
        <w:rPr>
          <w:rFonts w:hint="eastAsia" w:ascii="Times New Roman" w:hAnsi="Times New Roman" w:eastAsia="仿宋_GB2312" w:cs="Times New Roman"/>
          <w:b w:val="0"/>
          <w:bCs w:val="0"/>
          <w:sz w:val="32"/>
          <w:szCs w:val="32"/>
        </w:rPr>
        <w:t>时段洒水降尘频次，督导环卫部门不定期清洗市政设施。</w:t>
      </w:r>
      <w:r>
        <w:rPr>
          <w:rFonts w:hint="eastAsia" w:ascii="Times New Roman" w:hAnsi="Times New Roman" w:eastAsia="仿宋_GB2312" w:cs="Times New Roman"/>
          <w:sz w:val="32"/>
          <w:szCs w:val="32"/>
          <w:lang w:eastAsia="zh-CN"/>
        </w:rPr>
        <w:t>抓好餐饮油烟噪音、</w:t>
      </w:r>
      <w:r>
        <w:rPr>
          <w:rFonts w:hint="default" w:ascii="Times New Roman" w:hAnsi="Times New Roman" w:eastAsia="仿宋_GB2312" w:cs="Times New Roman"/>
          <w:sz w:val="32"/>
          <w:szCs w:val="32"/>
          <w:lang w:eastAsia="zh-CN"/>
        </w:rPr>
        <w:t>露天焚烧垃圾杂物</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lang w:eastAsia="zh-CN"/>
        </w:rPr>
        <w:t>专项治理，严格市城区烟花爆竹禁放</w:t>
      </w:r>
      <w:r>
        <w:rPr>
          <w:rFonts w:hint="eastAsia" w:ascii="Times New Roman" w:hAnsi="Times New Roman" w:eastAsia="仿宋_GB2312" w:cs="Times New Roman"/>
          <w:sz w:val="32"/>
          <w:szCs w:val="32"/>
          <w:lang w:eastAsia="zh-CN"/>
        </w:rPr>
        <w:t>。</w:t>
      </w:r>
      <w:r>
        <w:rPr>
          <w:rFonts w:hint="eastAsia" w:ascii="方正黑体简体" w:hAnsi="方正黑体简体" w:eastAsia="方正黑体简体" w:cs="方正黑体简体"/>
          <w:sz w:val="32"/>
          <w:szCs w:val="32"/>
          <w:lang w:val="en-US" w:eastAsia="zh-CN"/>
        </w:rPr>
        <w:t>三是</w:t>
      </w:r>
      <w:r>
        <w:rPr>
          <w:rFonts w:hint="eastAsia" w:ascii="Times New Roman" w:hAnsi="Times New Roman" w:eastAsia="仿宋_GB2312" w:cs="Times New Roman"/>
          <w:sz w:val="32"/>
          <w:szCs w:val="32"/>
          <w:lang w:eastAsia="zh-CN"/>
        </w:rPr>
        <w:t>持续实施</w:t>
      </w:r>
      <w:r>
        <w:rPr>
          <w:rFonts w:hint="default" w:ascii="Times New Roman" w:hAnsi="Times New Roman" w:eastAsia="仿宋_GB2312" w:cs="Times New Roman"/>
          <w:sz w:val="32"/>
          <w:szCs w:val="32"/>
          <w:lang w:eastAsia="zh-CN"/>
        </w:rPr>
        <w:t>缓堵保畅停车归位行动</w:t>
      </w:r>
      <w:r>
        <w:rPr>
          <w:rFonts w:hint="eastAsia" w:ascii="Times New Roman" w:hAnsi="Times New Roman" w:eastAsia="仿宋_GB2312" w:cs="Times New Roman"/>
          <w:sz w:val="32"/>
          <w:szCs w:val="32"/>
          <w:lang w:eastAsia="zh-CN"/>
        </w:rPr>
        <w:t>。按照“因地制宜、应划尽划”的原则，</w:t>
      </w:r>
      <w:r>
        <w:rPr>
          <w:rFonts w:hint="eastAsia" w:ascii="Times New Roman" w:hAnsi="Times New Roman" w:eastAsia="仿宋_GB2312" w:cs="Times New Roman"/>
          <w:color w:val="000000"/>
          <w:kern w:val="2"/>
          <w:sz w:val="32"/>
          <w:szCs w:val="32"/>
          <w:lang w:val="en-US" w:eastAsia="zh-CN" w:bidi="ar-SA"/>
        </w:rPr>
        <w:t>配合市发改委加快研究出台差异化停车收费标准。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sz w:val="32"/>
          <w:szCs w:val="32"/>
          <w:lang w:val="en-US" w:eastAsia="zh-CN"/>
        </w:rPr>
      </w:pPr>
      <w:r>
        <w:rPr>
          <w:rFonts w:hint="eastAsia" w:ascii="方正楷体简体" w:hAnsi="方正楷体简体" w:eastAsia="方正楷体简体" w:cs="方正楷体简体"/>
          <w:i w:val="0"/>
          <w:iCs w:val="0"/>
          <w:caps w:val="0"/>
          <w:color w:val="343434"/>
          <w:spacing w:val="0"/>
          <w:kern w:val="0"/>
          <w:sz w:val="32"/>
          <w:szCs w:val="32"/>
          <w:shd w:val="clear" w:color="auto" w:fill="FFFFFF"/>
          <w:lang w:val="en-US" w:eastAsia="zh-CN" w:bidi="ar"/>
        </w:rPr>
        <w:t>聚力绿色发展，城乡环境取得新突破。</w:t>
      </w:r>
      <w:r>
        <w:rPr>
          <w:rFonts w:hint="eastAsia" w:ascii="方正黑体简体" w:hAnsi="方正黑体简体" w:eastAsia="方正黑体简体" w:cs="方正黑体简体"/>
          <w:sz w:val="32"/>
          <w:szCs w:val="32"/>
          <w:lang w:val="en-US" w:eastAsia="zh-CN"/>
        </w:rPr>
        <w:t>一是</w:t>
      </w:r>
      <w:r>
        <w:rPr>
          <w:rFonts w:hint="eastAsia" w:ascii="Times New Roman" w:hAnsi="Times New Roman" w:eastAsia="仿宋_GB2312" w:cs="Times New Roman"/>
          <w:sz w:val="32"/>
          <w:szCs w:val="32"/>
        </w:rPr>
        <w:t>生活垃圾分类</w:t>
      </w:r>
      <w:r>
        <w:rPr>
          <w:rFonts w:hint="eastAsia" w:ascii="Times New Roman" w:hAnsi="Times New Roman" w:eastAsia="仿宋_GB2312" w:cs="Times New Roman"/>
          <w:sz w:val="32"/>
          <w:szCs w:val="32"/>
          <w:lang w:eastAsia="zh-CN"/>
        </w:rPr>
        <w:t>效益初显</w:t>
      </w:r>
      <w:r>
        <w:rPr>
          <w:rFonts w:hint="eastAsia" w:ascii="Times New Roman" w:hAnsi="Times New Roman" w:eastAsia="仿宋_GB2312" w:cs="Times New Roman"/>
          <w:sz w:val="32"/>
          <w:szCs w:val="32"/>
        </w:rPr>
        <w:t>。印发生活垃圾分类工作评估办法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物业小区生活垃圾分类实施意见</w:t>
      </w:r>
      <w:r>
        <w:rPr>
          <w:rFonts w:hint="eastAsia"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加快生活垃圾分类示范片区建设</w:t>
      </w:r>
      <w:r>
        <w:rPr>
          <w:rFonts w:hint="eastAsia" w:ascii="Times New Roman" w:hAnsi="Times New Roman" w:eastAsia="仿宋_GB2312" w:cs="Times New Roman"/>
          <w:sz w:val="32"/>
          <w:szCs w:val="32"/>
        </w:rPr>
        <w:t>。</w:t>
      </w:r>
      <w:r>
        <w:rPr>
          <w:rFonts w:hint="eastAsia" w:ascii="方正黑体简体" w:hAnsi="方正黑体简体" w:eastAsia="方正黑体简体" w:cs="方正黑体简体"/>
          <w:b/>
          <w:bCs/>
          <w:sz w:val="32"/>
          <w:szCs w:val="32"/>
          <w:lang w:val="en-US" w:eastAsia="zh-CN"/>
        </w:rPr>
        <w:t>二是</w:t>
      </w:r>
      <w:r>
        <w:rPr>
          <w:rFonts w:hint="eastAsia" w:ascii="Times New Roman" w:hAnsi="Times New Roman" w:eastAsia="仿宋_GB2312" w:cs="Times New Roman"/>
          <w:sz w:val="32"/>
          <w:szCs w:val="32"/>
          <w:lang w:val="en-US" w:eastAsia="zh-CN"/>
        </w:rPr>
        <w:t>爱国卫生运动广泛开展。</w:t>
      </w:r>
      <w:r>
        <w:rPr>
          <w:rFonts w:hint="eastAsia" w:ascii="Times New Roman" w:hAnsi="Times New Roman" w:eastAsia="仿宋_GB2312" w:cs="Times New Roman"/>
          <w:sz w:val="32"/>
          <w:szCs w:val="32"/>
          <w:lang w:eastAsia="zh-CN"/>
        </w:rPr>
        <w:t>结合疫情防控，开展</w:t>
      </w:r>
      <w:r>
        <w:rPr>
          <w:rFonts w:hint="eastAsia" w:ascii="Times New Roman" w:hAnsi="Times New Roman" w:eastAsia="仿宋_GB2312" w:cs="Times New Roman"/>
          <w:sz w:val="32"/>
          <w:szCs w:val="32"/>
          <w:lang w:val="en-US" w:eastAsia="zh-CN"/>
        </w:rPr>
        <w:t>“战疫情、迎五一”、</w:t>
      </w:r>
      <w:r>
        <w:rPr>
          <w:rFonts w:hint="default" w:ascii="Times New Roman" w:hAnsi="Times New Roman" w:eastAsia="仿宋_GB2312" w:cs="Times New Roman"/>
          <w:sz w:val="32"/>
          <w:szCs w:val="32"/>
          <w:lang w:val="en-US" w:eastAsia="zh-CN"/>
        </w:rPr>
        <w:t>周</w:t>
      </w:r>
      <w:r>
        <w:rPr>
          <w:rFonts w:hint="default" w:ascii="Times New Roman" w:hAnsi="Times New Roman" w:eastAsia="仿宋_GB2312" w:cs="Times New Roman"/>
          <w:sz w:val="32"/>
          <w:szCs w:val="32"/>
          <w:lang w:eastAsia="zh-CN"/>
        </w:rPr>
        <w:t>末卫生大扫除</w:t>
      </w:r>
      <w:r>
        <w:rPr>
          <w:rFonts w:hint="eastAsia" w:ascii="Times New Roman" w:hAnsi="Times New Roman" w:eastAsia="仿宋_GB2312" w:cs="Times New Roman"/>
          <w:sz w:val="32"/>
          <w:szCs w:val="32"/>
          <w:lang w:eastAsia="zh-CN"/>
        </w:rPr>
        <w:t>等活动，抓好病媒生物防制，督促指导县区、市级相关部门完善市政基础设施、强化行业卫生监管，国卫巩固工作顺利通过国家暗访复审。苍溪县、旺苍县国家卫生县城创建稳步推进。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仿宋_GB2312" w:eastAsia="仿宋_GB2312" w:cs="仿宋_GB2312"/>
          <w:sz w:val="32"/>
          <w:szCs w:val="32"/>
        </w:rPr>
      </w:pPr>
      <w:r>
        <w:rPr>
          <w:rFonts w:hint="eastAsia" w:ascii="方正楷体简体" w:hAnsi="方正楷体简体" w:eastAsia="方正楷体简体" w:cs="方正楷体简体"/>
          <w:i w:val="0"/>
          <w:iCs w:val="0"/>
          <w:caps w:val="0"/>
          <w:color w:val="343434"/>
          <w:spacing w:val="0"/>
          <w:kern w:val="0"/>
          <w:sz w:val="32"/>
          <w:szCs w:val="32"/>
          <w:shd w:val="clear" w:color="auto" w:fill="FFFFFF"/>
          <w:lang w:val="en-US" w:eastAsia="zh-CN" w:bidi="ar"/>
        </w:rPr>
        <w:t>聚力行业监管，城市安全进入新常态。</w:t>
      </w:r>
      <w:r>
        <w:rPr>
          <w:rFonts w:hint="eastAsia" w:ascii="方正黑体简体" w:hAnsi="方正黑体简体" w:eastAsia="方正黑体简体" w:cs="方正黑体简体"/>
          <w:sz w:val="32"/>
          <w:szCs w:val="32"/>
          <w:lang w:val="en-US" w:eastAsia="zh-CN"/>
        </w:rPr>
        <w:t>一是</w:t>
      </w:r>
      <w:r>
        <w:rPr>
          <w:rFonts w:hint="eastAsia" w:ascii="仿宋_GB2312" w:hAnsi="仿宋_GB2312" w:eastAsia="仿宋_GB2312" w:cs="仿宋_GB2312"/>
          <w:sz w:val="32"/>
          <w:szCs w:val="32"/>
          <w:lang w:val="en-US" w:eastAsia="zh-CN"/>
        </w:rPr>
        <w:t>疫情防控常态推进。加快推</w:t>
      </w:r>
      <w:r>
        <w:rPr>
          <w:rFonts w:hint="eastAsia" w:ascii="仿宋_GB2312" w:hAnsi="仿宋_GB2312" w:eastAsia="仿宋_GB2312" w:cs="仿宋_GB2312"/>
          <w:sz w:val="32"/>
          <w:szCs w:val="32"/>
        </w:rPr>
        <w:t>进新冠病毒疫苗接种，做到应接尽接。</w:t>
      </w:r>
      <w:r>
        <w:rPr>
          <w:rFonts w:hint="eastAsia" w:ascii="仿宋_GB2312" w:hAnsi="仿宋_GB2312" w:eastAsia="仿宋_GB2312" w:cs="仿宋_GB2312"/>
          <w:sz w:val="32"/>
          <w:szCs w:val="32"/>
          <w:lang w:val="en-US" w:eastAsia="zh-CN"/>
        </w:rPr>
        <w:t>按照“配发专袋、设置专桶、收集专人、运输专车、处理专门”要求，规范收运处置社会源废弃口罩及集中（居家）隔离点等特殊有害生活垃圾。</w:t>
      </w:r>
      <w:r>
        <w:rPr>
          <w:rFonts w:hint="eastAsia" w:ascii="方正黑体简体" w:hAnsi="方正黑体简体" w:eastAsia="方正黑体简体" w:cs="方正黑体简体"/>
          <w:sz w:val="32"/>
          <w:szCs w:val="32"/>
          <w:lang w:val="en-US" w:eastAsia="zh-CN"/>
        </w:rPr>
        <w:t>二是</w:t>
      </w:r>
      <w:r>
        <w:rPr>
          <w:rFonts w:hint="eastAsia" w:ascii="仿宋_GB2312" w:hAnsi="仿宋_GB2312" w:eastAsia="仿宋_GB2312" w:cs="仿宋_GB2312"/>
          <w:sz w:val="32"/>
          <w:szCs w:val="32"/>
          <w:lang w:val="en-US" w:eastAsia="zh-CN"/>
        </w:rPr>
        <w:t>安全生产常态长效。</w:t>
      </w:r>
      <w:r>
        <w:rPr>
          <w:rFonts w:hint="eastAsia" w:ascii="仿宋_GB2312" w:hAnsi="仿宋_GB2312" w:eastAsia="仿宋_GB2312" w:cs="仿宋_GB2312"/>
          <w:sz w:val="32"/>
          <w:szCs w:val="32"/>
        </w:rPr>
        <w:t>严格落实安全生产“一岗双责”，深化城管领域安全专项整治，</w:t>
      </w:r>
      <w:r>
        <w:rPr>
          <w:rFonts w:hint="eastAsia" w:ascii="仿宋_GB2312" w:hAnsi="仿宋_GB2312" w:eastAsia="仿宋_GB2312" w:cs="仿宋_GB2312"/>
          <w:sz w:val="32"/>
          <w:szCs w:val="32"/>
          <w:lang w:val="en-US" w:eastAsia="zh-CN"/>
        </w:rPr>
        <w:t>联合住建、燃气协会等部门开展燃气安全执法督导检查。强化防火安全管理，制止违规焚烧冥纸冥币、沿街生火等行为130余起。加强</w:t>
      </w:r>
      <w:r>
        <w:rPr>
          <w:rFonts w:ascii="Times New Roman" w:hAnsi="Times New Roman" w:eastAsia="仿宋_GB2312" w:cs="Times New Roman"/>
          <w:sz w:val="32"/>
          <w:szCs w:val="32"/>
        </w:rPr>
        <w:t>在建工地</w:t>
      </w:r>
      <w:r>
        <w:rPr>
          <w:rFonts w:hint="eastAsia" w:ascii="Times New Roman" w:hAnsi="Times New Roman" w:eastAsia="仿宋_GB2312" w:cs="Times New Roman"/>
          <w:sz w:val="32"/>
          <w:szCs w:val="32"/>
        </w:rPr>
        <w:t>巡查，</w:t>
      </w:r>
      <w:r>
        <w:rPr>
          <w:rFonts w:hint="eastAsia" w:ascii="仿宋_GB2312" w:hAnsi="仿宋_GB2312" w:eastAsia="仿宋_GB2312" w:cs="仿宋_GB2312"/>
          <w:sz w:val="32"/>
          <w:szCs w:val="32"/>
          <w:lang w:val="en-US" w:eastAsia="zh-CN"/>
        </w:rPr>
        <w:t>食品、市政设施等</w:t>
      </w:r>
      <w:r>
        <w:rPr>
          <w:rFonts w:hint="eastAsia" w:ascii="仿宋_GB2312" w:hAnsi="仿宋_GB2312" w:eastAsia="仿宋_GB2312" w:cs="仿宋_GB2312"/>
          <w:sz w:val="32"/>
          <w:szCs w:val="32"/>
          <w:lang w:eastAsia="zh-CN"/>
        </w:rPr>
        <w:t>方面</w:t>
      </w:r>
      <w:r>
        <w:rPr>
          <w:rFonts w:hint="eastAsia" w:ascii="仿宋_GB2312" w:hAnsi="仿宋_GB2312" w:eastAsia="仿宋_GB2312" w:cs="仿宋_GB2312"/>
          <w:sz w:val="32"/>
          <w:szCs w:val="32"/>
        </w:rPr>
        <w:t>隐患</w:t>
      </w:r>
      <w:r>
        <w:rPr>
          <w:rFonts w:hint="eastAsia" w:ascii="仿宋_GB2312" w:hAnsi="仿宋_GB2312" w:eastAsia="仿宋_GB2312" w:cs="仿宋_GB2312"/>
          <w:sz w:val="32"/>
          <w:szCs w:val="32"/>
          <w:lang w:eastAsia="zh-CN"/>
        </w:rPr>
        <w:t>排查</w:t>
      </w:r>
      <w:r>
        <w:rPr>
          <w:rFonts w:hint="eastAsia" w:ascii="仿宋_GB2312" w:hAnsi="仿宋_GB2312" w:eastAsia="仿宋_GB2312" w:cs="仿宋_GB2312"/>
          <w:sz w:val="32"/>
          <w:szCs w:val="32"/>
        </w:rPr>
        <w:t>并落实整改，坚决筑牢安全生产底线</w:t>
      </w:r>
      <w:r>
        <w:rPr>
          <w:rFonts w:hint="eastAsia" w:ascii="仿宋_GB2312" w:hAnsi="仿宋_GB2312" w:eastAsia="仿宋_GB2312" w:cs="仿宋_GB2312"/>
          <w:sz w:val="32"/>
          <w:szCs w:val="32"/>
          <w:lang w:eastAsia="zh-CN"/>
        </w:rPr>
        <w:t>，全年</w:t>
      </w:r>
      <w:r>
        <w:rPr>
          <w:rFonts w:hint="eastAsia" w:ascii="仿宋_GB2312" w:hAnsi="仿宋_GB2312" w:eastAsia="仿宋_GB2312" w:cs="仿宋_GB2312"/>
          <w:sz w:val="32"/>
          <w:szCs w:val="32"/>
        </w:rPr>
        <w:t>无安全事故发生。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方正楷体简体" w:hAnsi="方正楷体简体" w:eastAsia="方正楷体简体" w:cs="方正楷体简体"/>
          <w:i w:val="0"/>
          <w:iCs w:val="0"/>
          <w:caps w:val="0"/>
          <w:color w:val="343434"/>
          <w:spacing w:val="0"/>
          <w:kern w:val="0"/>
          <w:sz w:val="32"/>
          <w:szCs w:val="32"/>
          <w:shd w:val="clear" w:color="auto" w:fill="FFFFFF"/>
          <w:lang w:val="en-US" w:eastAsia="zh-CN" w:bidi="ar"/>
        </w:rPr>
        <w:t>聚力改革创新，城管服务取得新成效。</w:t>
      </w:r>
      <w:r>
        <w:rPr>
          <w:rFonts w:hint="eastAsia" w:ascii="方正黑体简体" w:hAnsi="方正黑体简体" w:eastAsia="方正黑体简体" w:cs="方正黑体简体"/>
          <w:sz w:val="32"/>
          <w:szCs w:val="32"/>
          <w:lang w:val="en-US" w:eastAsia="zh-CN"/>
        </w:rPr>
        <w:t>一是</w:t>
      </w:r>
      <w:r>
        <w:rPr>
          <w:rFonts w:hint="eastAsia" w:ascii="仿宋_GB2312" w:hAnsi="仿宋_GB2312" w:eastAsia="仿宋_GB2312" w:cs="仿宋_GB2312"/>
          <w:sz w:val="32"/>
          <w:szCs w:val="32"/>
          <w:lang w:val="en-US" w:eastAsia="zh-CN"/>
        </w:rPr>
        <w:t>加强城市管理法制化建设。</w:t>
      </w:r>
      <w:r>
        <w:rPr>
          <w:rFonts w:hint="eastAsia" w:ascii="仿宋_GB2312" w:hAnsi="仿宋_GB2312" w:eastAsia="仿宋_GB2312" w:cs="仿宋_GB2312"/>
          <w:sz w:val="32"/>
          <w:szCs w:val="32"/>
        </w:rPr>
        <w:t>落实重大行政决策程序相关规定，</w:t>
      </w:r>
      <w:r>
        <w:rPr>
          <w:rFonts w:hint="eastAsia" w:ascii="仿宋_GB2312" w:hAnsi="仿宋_GB2312" w:eastAsia="仿宋_GB2312" w:cs="仿宋_GB2312"/>
          <w:b w:val="0"/>
          <w:bCs w:val="0"/>
          <w:sz w:val="32"/>
          <w:szCs w:val="32"/>
        </w:rPr>
        <w:t>聘请律师担任法律顾问，</w:t>
      </w:r>
      <w:r>
        <w:rPr>
          <w:rFonts w:hint="eastAsia" w:ascii="仿宋_GB2312" w:hAnsi="仿宋_GB2312" w:eastAsia="仿宋_GB2312" w:cs="仿宋_GB2312"/>
          <w:sz w:val="32"/>
          <w:szCs w:val="32"/>
          <w:lang w:eastAsia="zh-CN"/>
        </w:rPr>
        <w:t>修订完善局党委会议事决策规则，</w:t>
      </w:r>
      <w:r>
        <w:rPr>
          <w:rFonts w:hint="eastAsia" w:ascii="仿宋_GB2312" w:hAnsi="仿宋_GB2312" w:eastAsia="仿宋_GB2312" w:cs="仿宋_GB2312"/>
          <w:sz w:val="32"/>
          <w:szCs w:val="32"/>
          <w:lang w:val="en-US" w:eastAsia="zh-CN"/>
        </w:rPr>
        <w:t>代市政府起草《广元市城市生活垃圾处理收费管理办法》</w:t>
      </w:r>
      <w:r>
        <w:rPr>
          <w:rFonts w:hint="default" w:ascii="Times New Roman" w:hAnsi="Times New Roman" w:eastAsia="仿宋_GB2312" w:cs="Times New Roman"/>
          <w:color w:val="auto"/>
          <w:sz w:val="32"/>
          <w:szCs w:val="32"/>
          <w:lang w:val="en-US" w:eastAsia="zh-CN"/>
        </w:rPr>
        <w:t>。</w:t>
      </w:r>
      <w:r>
        <w:rPr>
          <w:rFonts w:hint="eastAsia" w:ascii="方正黑体简体" w:hAnsi="方正黑体简体" w:eastAsia="方正黑体简体" w:cs="方正黑体简体"/>
          <w:sz w:val="32"/>
          <w:szCs w:val="32"/>
          <w:lang w:val="en-US" w:eastAsia="zh-CN"/>
        </w:rPr>
        <w:t>二是</w:t>
      </w:r>
      <w:r>
        <w:rPr>
          <w:rFonts w:hint="eastAsia" w:ascii="Times New Roman" w:hAnsi="Times New Roman" w:eastAsia="仿宋_GB2312" w:cs="Times New Roman"/>
          <w:color w:val="auto"/>
          <w:sz w:val="32"/>
          <w:szCs w:val="32"/>
          <w:lang w:val="en-US" w:eastAsia="zh-CN"/>
        </w:rPr>
        <w:t>提升政务服务水平。</w:t>
      </w:r>
      <w:r>
        <w:rPr>
          <w:rFonts w:hint="default" w:ascii="Times New Roman" w:hAnsi="Times New Roman" w:eastAsia="仿宋_GB2312" w:cs="Times New Roman"/>
          <w:color w:val="auto"/>
          <w:sz w:val="32"/>
          <w:szCs w:val="32"/>
          <w:lang w:val="en-US" w:eastAsia="zh-CN"/>
        </w:rPr>
        <w:t>规范管理执法行为，清理不符</w:t>
      </w:r>
      <w:r>
        <w:rPr>
          <w:rFonts w:hint="default" w:ascii="Times New Roman" w:hAnsi="Times New Roman" w:eastAsia="仿宋_GB2312" w:cs="Times New Roman"/>
          <w:color w:val="auto"/>
          <w:sz w:val="32"/>
          <w:szCs w:val="32"/>
        </w:rPr>
        <w:t>合现行法律法规的政策规定</w:t>
      </w:r>
      <w:r>
        <w:rPr>
          <w:rFonts w:hint="eastAsia" w:ascii="Times New Roman" w:hAnsi="Times New Roman" w:eastAsia="仿宋_GB2312" w:cs="Times New Roman"/>
          <w:color w:val="auto"/>
          <w:sz w:val="32"/>
          <w:szCs w:val="32"/>
          <w:lang w:eastAsia="zh-CN"/>
        </w:rPr>
        <w:t>。推进</w:t>
      </w:r>
      <w:r>
        <w:rPr>
          <w:rFonts w:hint="eastAsia" w:ascii="Times New Roman" w:hAnsi="Times New Roman" w:eastAsia="仿宋_GB2312" w:cs="Times New Roman"/>
          <w:color w:val="auto"/>
          <w:sz w:val="32"/>
          <w:szCs w:val="32"/>
        </w:rPr>
        <w:t>“一网通办”</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实现一个窗口受理、一站式服务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全程网办</w:t>
      </w:r>
      <w:r>
        <w:rPr>
          <w:rFonts w:hint="eastAsia" w:ascii="Times New Roman" w:hAnsi="Times New Roman" w:eastAsia="仿宋_GB2312" w:cs="Times New Roman"/>
          <w:sz w:val="32"/>
          <w:szCs w:val="32"/>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eastAsia="仿宋_GB2312" w:cs="Times New Roman"/>
          <w:sz w:val="32"/>
          <w:szCs w:val="32"/>
          <w:lang w:val="en-US" w:eastAsia="zh-CN"/>
        </w:rPr>
      </w:pPr>
      <w:r>
        <w:rPr>
          <w:rFonts w:hint="eastAsia" w:ascii="方正楷体简体" w:hAnsi="方正楷体简体" w:eastAsia="方正楷体简体" w:cs="方正楷体简体"/>
          <w:i w:val="0"/>
          <w:iCs w:val="0"/>
          <w:caps w:val="0"/>
          <w:color w:val="343434"/>
          <w:spacing w:val="0"/>
          <w:kern w:val="0"/>
          <w:sz w:val="32"/>
          <w:szCs w:val="32"/>
          <w:shd w:val="clear" w:color="auto" w:fill="FFFFFF"/>
          <w:lang w:val="en-US" w:eastAsia="zh-CN" w:bidi="ar"/>
        </w:rPr>
        <w:t>聚力队伍建设，为民城管展示新形象。</w:t>
      </w:r>
      <w:r>
        <w:rPr>
          <w:rFonts w:hint="eastAsia" w:ascii="方正黑体简体" w:hAnsi="方正黑体简体" w:eastAsia="方正黑体简体" w:cs="方正黑体简体"/>
          <w:sz w:val="32"/>
          <w:szCs w:val="32"/>
          <w:lang w:val="en-US" w:eastAsia="zh-CN"/>
        </w:rPr>
        <w:t>一是</w:t>
      </w:r>
      <w:r>
        <w:rPr>
          <w:rFonts w:hint="eastAsia" w:ascii="仿宋_GB2312" w:hAnsi="仿宋_GB2312" w:eastAsia="仿宋_GB2312" w:cs="仿宋_GB2312"/>
          <w:sz w:val="32"/>
          <w:szCs w:val="32"/>
          <w:lang w:val="en-US" w:eastAsia="zh-CN"/>
        </w:rPr>
        <w:t>思想政治根基逐步夯实。结合党史学习教育，通过局党委会、中心组理论学习等方式深入学</w:t>
      </w:r>
      <w:r>
        <w:rPr>
          <w:rFonts w:hint="eastAsia" w:ascii="仿宋_GB2312" w:eastAsia="仿宋_GB2312"/>
          <w:sz w:val="32"/>
          <w:szCs w:val="32"/>
          <w:lang w:val="en-US" w:eastAsia="zh-CN"/>
        </w:rPr>
        <w:t>习贯彻党的新理论、新政策，抓实</w:t>
      </w:r>
      <w:r>
        <w:rPr>
          <w:rFonts w:hint="eastAsia" w:eastAsia="仿宋_GB2312"/>
          <w:sz w:val="32"/>
          <w:szCs w:val="32"/>
        </w:rPr>
        <w:t>思想宣传和意识形态工作</w:t>
      </w:r>
      <w:r>
        <w:rPr>
          <w:rFonts w:hint="eastAsia" w:eastAsia="仿宋_GB2312"/>
          <w:sz w:val="32"/>
          <w:szCs w:val="32"/>
          <w:lang w:eastAsia="zh-CN"/>
        </w:rPr>
        <w:t>，</w:t>
      </w:r>
      <w:r>
        <w:rPr>
          <w:rFonts w:hint="eastAsia" w:eastAsia="仿宋_GB2312"/>
          <w:sz w:val="32"/>
          <w:szCs w:val="32"/>
        </w:rPr>
        <w:t>始终树牢“四个意识”，坚定“四个自信”，做到“两个维护”。</w:t>
      </w:r>
      <w:r>
        <w:rPr>
          <w:rFonts w:hint="eastAsia" w:ascii="方正黑体简体" w:hAnsi="方正黑体简体" w:eastAsia="方正黑体简体" w:cs="方正黑体简体"/>
          <w:sz w:val="32"/>
          <w:szCs w:val="32"/>
          <w:lang w:val="en-US" w:eastAsia="zh-CN"/>
        </w:rPr>
        <w:t>二是</w:t>
      </w:r>
      <w:r>
        <w:rPr>
          <w:rFonts w:hint="eastAsia" w:ascii="仿宋_GB2312" w:eastAsia="仿宋_GB2312"/>
          <w:sz w:val="32"/>
          <w:szCs w:val="32"/>
          <w:lang w:val="en-US" w:eastAsia="zh-CN"/>
        </w:rPr>
        <w:t>廉政风险防线逐步筑牢。制发党风廉政建设和反腐败工作意见，全面梳理排查廉政风险点，严格落实</w:t>
      </w:r>
      <w:r>
        <w:rPr>
          <w:rFonts w:hint="eastAsia" w:ascii="Times New Roman" w:hAnsi="Times New Roman" w:eastAsia="仿宋_GB2312" w:cs="Times New Roman"/>
          <w:color w:val="auto"/>
          <w:sz w:val="32"/>
          <w:szCs w:val="32"/>
          <w:lang w:val="en-US" w:eastAsia="zh-CN"/>
        </w:rPr>
        <w:t>《党委主体责任清单》《岗位风险防控清单》</w:t>
      </w:r>
      <w:r>
        <w:rPr>
          <w:rFonts w:hint="eastAsia" w:ascii="仿宋_GB2312" w:eastAsia="仿宋_GB2312"/>
          <w:sz w:val="32"/>
          <w:szCs w:val="32"/>
          <w:lang w:val="en-US" w:eastAsia="zh-CN"/>
        </w:rPr>
        <w:t>管理制度</w:t>
      </w:r>
      <w:r>
        <w:rPr>
          <w:rFonts w:hint="eastAsia" w:ascii="Times New Roman" w:hAnsi="Times New Roman" w:eastAsia="仿宋_GB2312" w:cs="Times New Roman"/>
          <w:color w:val="auto"/>
          <w:sz w:val="32"/>
          <w:szCs w:val="32"/>
          <w:lang w:val="en-US" w:eastAsia="zh-CN"/>
        </w:rPr>
        <w:t>。</w:t>
      </w:r>
      <w:r>
        <w:rPr>
          <w:rFonts w:hint="eastAsia" w:ascii="仿宋_GB2312" w:eastAsia="仿宋_GB2312"/>
          <w:sz w:val="32"/>
          <w:szCs w:val="32"/>
          <w:lang w:val="en-US" w:eastAsia="zh-CN"/>
        </w:rPr>
        <w:t>深入开展廉政警示教育。</w:t>
      </w:r>
      <w:r>
        <w:rPr>
          <w:rFonts w:hint="eastAsia" w:ascii="方正黑体简体" w:hAnsi="方正黑体简体" w:eastAsia="方正黑体简体" w:cs="方正黑体简体"/>
          <w:sz w:val="32"/>
          <w:szCs w:val="32"/>
          <w:lang w:val="en-US" w:eastAsia="zh-CN"/>
        </w:rPr>
        <w:t>三是</w:t>
      </w:r>
      <w:r>
        <w:rPr>
          <w:rFonts w:hint="eastAsia" w:ascii="仿宋_GB2312" w:eastAsia="仿宋_GB2312"/>
          <w:sz w:val="32"/>
          <w:szCs w:val="32"/>
          <w:lang w:val="en-US" w:eastAsia="zh-CN"/>
        </w:rPr>
        <w:t>队伍能力素质逐步提升。分层分类开展干</w:t>
      </w:r>
      <w:r>
        <w:rPr>
          <w:rFonts w:hint="eastAsia" w:ascii="仿宋_GB2312" w:eastAsia="仿宋_GB2312" w:cs="Times New Roman"/>
          <w:sz w:val="32"/>
          <w:szCs w:val="32"/>
          <w:lang w:val="en-US" w:eastAsia="zh-CN"/>
        </w:rPr>
        <w:t>部教育培训，全年组织干部职工参加省市轮训、专题研讨班、网络培训320余人次。深入开展教育整顿，制发《巩固深化“强基础、转作风、树形象”专项行动方案》《纪律作风整顿实施方案》等，队伍形象进一步提升。</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二、机构设置</w:t>
      </w:r>
      <w:bookmarkEnd w:id="20"/>
      <w:bookmarkEnd w:id="21"/>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bookmarkStart w:id="22" w:name="_Toc31576"/>
      <w:r>
        <w:rPr>
          <w:rFonts w:hint="eastAsia" w:ascii="仿宋_GB2312" w:hAnsi="仿宋_GB2312" w:eastAsia="仿宋_GB2312" w:cs="仿宋_GB2312"/>
          <w:sz w:val="32"/>
          <w:szCs w:val="32"/>
        </w:rPr>
        <w:t>市城管执法局下属二级单位4个，其中：参照公务员法管理的事业单位1个，其他事业单位3个。</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纳入市城管执法局本级202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年度部门决算编制范围的非独立预算单位包括：市城管执法局机关、广元市城市管理行政执法支队、广元市城市管理宣传监测中心、火车站站前管理事务中心；</w:t>
      </w:r>
    </w:p>
    <w:p>
      <w:pPr>
        <w:pStyle w:val="7"/>
        <w:keepNext w:val="0"/>
        <w:keepLines w:val="0"/>
        <w:pageBreakBefore w:val="0"/>
        <w:kinsoku/>
        <w:wordWrap/>
        <w:overflowPunct/>
        <w:topLinePunct w:val="0"/>
        <w:autoSpaceDE/>
        <w:autoSpaceDN/>
        <w:bidi w:val="0"/>
        <w:adjustRightInd w:val="0"/>
        <w:snapToGrid w:val="0"/>
        <w:spacing w:before="93" w:line="600" w:lineRule="exact"/>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 w:hAnsi="仿宋" w:eastAsia="仿宋"/>
          <w:color w:val="auto"/>
          <w:sz w:val="32"/>
          <w:szCs w:val="32"/>
          <w:highlight w:val="none"/>
        </w:rPr>
        <w:t>纳入</w:t>
      </w:r>
      <w:r>
        <w:rPr>
          <w:rFonts w:hint="eastAsia" w:ascii="仿宋_GB2312" w:hAnsi="仿宋_GB2312" w:eastAsia="仿宋_GB2312" w:cs="仿宋_GB2312"/>
          <w:sz w:val="32"/>
          <w:szCs w:val="32"/>
        </w:rPr>
        <w:t>市城管执法局202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w:t>
      </w:r>
      <w:r>
        <w:rPr>
          <w:rFonts w:hint="eastAsia" w:ascii="仿宋" w:hAnsi="仿宋" w:eastAsia="仿宋"/>
          <w:color w:val="auto"/>
          <w:sz w:val="32"/>
          <w:szCs w:val="32"/>
          <w:highlight w:val="none"/>
        </w:rPr>
        <w:t>部门决算编制范围的二级</w:t>
      </w:r>
      <w:r>
        <w:rPr>
          <w:rFonts w:hint="eastAsia" w:ascii="仿宋" w:hAnsi="仿宋" w:eastAsia="仿宋"/>
          <w:color w:val="auto"/>
          <w:sz w:val="32"/>
          <w:szCs w:val="32"/>
          <w:highlight w:val="none"/>
          <w:lang w:val="en-US" w:eastAsia="zh-CN"/>
        </w:rPr>
        <w:t>独立</w:t>
      </w:r>
      <w:r>
        <w:rPr>
          <w:rFonts w:hint="eastAsia" w:ascii="仿宋" w:hAnsi="仿宋" w:eastAsia="仿宋"/>
          <w:color w:val="auto"/>
          <w:sz w:val="32"/>
          <w:szCs w:val="32"/>
          <w:highlight w:val="none"/>
        </w:rPr>
        <w:t>预算单位包括：</w:t>
      </w:r>
      <w:r>
        <w:rPr>
          <w:rFonts w:hint="eastAsia" w:ascii="仿宋" w:hAnsi="仿宋" w:eastAsia="仿宋"/>
          <w:color w:val="auto"/>
          <w:sz w:val="32"/>
          <w:szCs w:val="32"/>
          <w:highlight w:val="none"/>
          <w:lang w:val="en-US" w:eastAsia="zh-CN"/>
        </w:rPr>
        <w:t>市生活垃圾分类中心（原</w:t>
      </w:r>
      <w:r>
        <w:rPr>
          <w:rFonts w:hint="eastAsia" w:ascii="仿宋_GB2312" w:hAnsi="仿宋_GB2312" w:eastAsia="仿宋_GB2312" w:cs="仿宋_GB2312"/>
          <w:sz w:val="32"/>
          <w:szCs w:val="32"/>
        </w:rPr>
        <w:t>市城区广场服务中心</w:t>
      </w:r>
      <w:r>
        <w:rPr>
          <w:rFonts w:hint="eastAsia" w:ascii="仿宋" w:hAnsi="仿宋" w:eastAsia="仿宋"/>
          <w:color w:val="auto"/>
          <w:sz w:val="32"/>
          <w:szCs w:val="32"/>
          <w:highlight w:val="none"/>
          <w:lang w:val="en-US" w:eastAsia="zh-CN"/>
        </w:rPr>
        <w:t>）。</w:t>
      </w:r>
    </w:p>
    <w:bookmarkEnd w:id="22"/>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bookmarkStart w:id="23" w:name="_Toc15396602"/>
      <w:bookmarkStart w:id="24" w:name="_Toc15377204"/>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r>
        <w:rPr>
          <w:rFonts w:hint="eastAsia" w:ascii="方正小标宋简体" w:hAnsi="方正小标宋简体" w:eastAsia="方正小标宋简体" w:cs="方正小标宋简体"/>
          <w:b w:val="0"/>
          <w:bCs w:val="0"/>
          <w:color w:val="auto"/>
          <w:spacing w:val="0"/>
          <w:sz w:val="44"/>
          <w:szCs w:val="44"/>
          <w:highlight w:val="none"/>
        </w:rPr>
        <w:t>第二部分</w:t>
      </w:r>
      <w:r>
        <w:rPr>
          <w:rFonts w:hint="eastAsia" w:ascii="方正小标宋简体" w:hAnsi="方正小标宋简体" w:eastAsia="方正小标宋简体" w:cs="方正小标宋简体"/>
          <w:b w:val="0"/>
          <w:bCs w:val="0"/>
          <w:color w:val="auto"/>
          <w:spacing w:val="0"/>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spacing w:val="0"/>
          <w:sz w:val="44"/>
          <w:szCs w:val="44"/>
          <w:highlight w:val="none"/>
        </w:rPr>
        <w:t xml:space="preserve"> 2021年度部门决算情况说明</w:t>
      </w:r>
      <w:bookmarkEnd w:id="23"/>
      <w:bookmarkEnd w:id="24"/>
    </w:p>
    <w:p>
      <w:pPr>
        <w:rPr>
          <w:b w:val="0"/>
          <w:bCs w:val="0"/>
          <w:color w:val="auto"/>
          <w:spacing w:val="0"/>
          <w:highlight w:val="none"/>
        </w:rPr>
      </w:pPr>
    </w:p>
    <w:p>
      <w:pPr>
        <w:keepNext w:val="0"/>
        <w:keepLines w:val="0"/>
        <w:pageBreakBefore w:val="0"/>
        <w:widowControl w:val="0"/>
        <w:kinsoku/>
        <w:wordWrap/>
        <w:overflowPunct/>
        <w:topLinePunct w:val="0"/>
        <w:autoSpaceDE/>
        <w:autoSpaceDN/>
        <w:bidi w:val="0"/>
        <w:adjustRightInd/>
        <w:snapToGrid/>
        <w:spacing w:line="530" w:lineRule="exact"/>
        <w:ind w:left="0" w:leftChars="0"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bookmarkStart w:id="25" w:name="_Toc15377205"/>
      <w:bookmarkStart w:id="26" w:name="_Toc15396603"/>
      <w:r>
        <w:rPr>
          <w:rFonts w:hint="eastAsia" w:ascii="方正黑体简体" w:hAnsi="方正黑体简体" w:eastAsia="方正黑体简体" w:cs="方正黑体简体"/>
          <w:b w:val="0"/>
          <w:bCs w:val="0"/>
          <w:color w:val="auto"/>
          <w:spacing w:val="0"/>
          <w:sz w:val="32"/>
          <w:szCs w:val="32"/>
          <w:highlight w:val="none"/>
          <w:lang w:eastAsia="zh-CN"/>
        </w:rPr>
        <w:t>一、</w:t>
      </w:r>
      <w:r>
        <w:rPr>
          <w:rFonts w:hint="eastAsia" w:ascii="方正黑体简体" w:hAnsi="方正黑体简体" w:eastAsia="方正黑体简体" w:cs="方正黑体简体"/>
          <w:b w:val="0"/>
          <w:bCs w:val="0"/>
          <w:color w:val="auto"/>
          <w:spacing w:val="0"/>
          <w:sz w:val="32"/>
          <w:szCs w:val="32"/>
          <w:highlight w:val="none"/>
        </w:rPr>
        <w:t>收入支出决算总体情况说明</w:t>
      </w:r>
      <w:bookmarkEnd w:id="25"/>
      <w:bookmarkEnd w:id="26"/>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szCs w:val="32"/>
          <w:highlight w:val="none"/>
        </w:rPr>
        <w:t>2021年度收、支总计5709.87万元。与2020年相比，收、支总计各增加928.69万元，增长19.42%。主要变动原因是原城监大队人员划入，</w:t>
      </w:r>
      <w:r>
        <w:rPr>
          <w:rFonts w:hint="eastAsia" w:eastAsia="仿宋_GB2312" w:cs="Times New Roman"/>
          <w:b w:val="0"/>
          <w:bCs w:val="0"/>
          <w:color w:val="auto"/>
          <w:spacing w:val="0"/>
          <w:sz w:val="32"/>
          <w:szCs w:val="32"/>
          <w:highlight w:val="none"/>
          <w:lang w:val="en-US" w:eastAsia="zh-CN"/>
        </w:rPr>
        <w:t>人员经费</w:t>
      </w:r>
      <w:r>
        <w:rPr>
          <w:rFonts w:hint="default" w:ascii="Times New Roman" w:hAnsi="Times New Roman" w:eastAsia="仿宋_GB2312" w:cs="Times New Roman"/>
          <w:b w:val="0"/>
          <w:bCs w:val="0"/>
          <w:color w:val="auto"/>
          <w:spacing w:val="0"/>
          <w:sz w:val="32"/>
          <w:szCs w:val="32"/>
          <w:highlight w:val="none"/>
        </w:rPr>
        <w:t>增加。</w:t>
      </w:r>
    </w:p>
    <w:p>
      <w:pPr>
        <w:pStyle w:val="2"/>
        <w:rPr>
          <w:b w:val="0"/>
          <w:bCs w:val="0"/>
          <w:color w:val="auto"/>
          <w:spacing w:val="0"/>
          <w:sz w:val="32"/>
          <w:highlight w:val="none"/>
        </w:rPr>
      </w:pPr>
      <w:r>
        <w:rPr>
          <w:b w:val="0"/>
          <w:bCs w:val="0"/>
          <w:color w:val="auto"/>
          <w:spacing w:val="0"/>
          <w:highlight w:val="none"/>
        </w:rPr>
        <mc:AlternateContent>
          <mc:Choice Requires="wps">
            <w:drawing>
              <wp:anchor distT="0" distB="0" distL="114300" distR="114300" simplePos="0" relativeHeight="251659264" behindDoc="0" locked="0" layoutInCell="1" allowOverlap="1">
                <wp:simplePos x="0" y="0"/>
                <wp:positionH relativeFrom="column">
                  <wp:posOffset>4054475</wp:posOffset>
                </wp:positionH>
                <wp:positionV relativeFrom="paragraph">
                  <wp:posOffset>73660</wp:posOffset>
                </wp:positionV>
                <wp:extent cx="798195" cy="366395"/>
                <wp:effectExtent l="0" t="0" r="1905" b="14605"/>
                <wp:wrapNone/>
                <wp:docPr id="1" name="文本框 2"/>
                <wp:cNvGraphicFramePr/>
                <a:graphic xmlns:a="http://schemas.openxmlformats.org/drawingml/2006/main">
                  <a:graphicData uri="http://schemas.microsoft.com/office/word/2010/wordprocessingShape">
                    <wps:wsp>
                      <wps:cNvSpPr txBox="true"/>
                      <wps:spPr>
                        <a:xfrm>
                          <a:off x="5285740" y="3551555"/>
                          <a:ext cx="798195" cy="366395"/>
                        </a:xfrm>
                        <a:prstGeom prst="rect">
                          <a:avLst/>
                        </a:prstGeom>
                        <a:solidFill>
                          <a:srgbClr val="FFFFFF"/>
                        </a:solidFill>
                        <a:ln w="6350">
                          <a:noFill/>
                        </a:ln>
                        <a:effectLst/>
                      </wps:spPr>
                      <wps:txbx>
                        <w:txbxContent>
                          <w:p>
                            <w:pPr>
                              <w:rPr>
                                <w:sz w:val="18"/>
                                <w:szCs w:val="18"/>
                              </w:rPr>
                            </w:pPr>
                            <w:r>
                              <w:rPr>
                                <w:rFonts w:hint="eastAsia"/>
                                <w:szCs w:val="18"/>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2" o:spid="_x0000_s1026" o:spt="202" type="#_x0000_t202" style="position:absolute;left:0pt;margin-left:319.25pt;margin-top:5.8pt;height:28.85pt;width:62.85pt;z-index:251659264;mso-width-relative:page;mso-height-relative:page;" fillcolor="#FFFFFF" filled="t" stroked="f" coordsize="21600,21600" o:gfxdata="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hd1rOdUAAAAJAQAADwAAAAAAAAABACAAAAA4AAAAZHJzL2Rvd25yZXYueG1sUEsBAhQAFAAAAAgA&#10;h07iQCe9gjJLAgAAbAQAAA4AAAAAAAAAAQAgAAAAOgEAAGRycy9lMm9Eb2MueG1sUEsFBgAAAAAG&#10;AAYAWQEAAPcFAAAAAA==&#10;">
                <v:fill on="t" focussize="0,0"/>
                <v:stroke on="f" weight="0.5pt"/>
                <v:imagedata o:title=""/>
                <o:lock v:ext="edit" aspectratio="f"/>
                <v:textbox>
                  <w:txbxContent>
                    <w:p>
                      <w:pPr>
                        <w:rPr>
                          <w:sz w:val="18"/>
                          <w:szCs w:val="18"/>
                        </w:rPr>
                      </w:pPr>
                      <w:r>
                        <w:rPr>
                          <w:rFonts w:hint="eastAsia"/>
                          <w:szCs w:val="18"/>
                        </w:rPr>
                        <w:t>单位：万元</w:t>
                      </w:r>
                    </w:p>
                  </w:txbxContent>
                </v:textbox>
              </v:shape>
            </w:pict>
          </mc:Fallback>
        </mc:AlternateContent>
      </w:r>
      <w:r>
        <w:rPr>
          <w:rFonts w:hint="eastAsia" w:eastAsia="宋体"/>
          <w:b w:val="0"/>
          <w:bCs w:val="0"/>
          <w:color w:val="auto"/>
          <w:spacing w:val="0"/>
          <w:sz w:val="32"/>
          <w:highlight w:val="none"/>
          <w:lang w:eastAsia="zh-CN"/>
        </w:rPr>
        <w:drawing>
          <wp:inline distT="0" distB="0" distL="114300" distR="114300">
            <wp:extent cx="5538470" cy="2501900"/>
            <wp:effectExtent l="4445" t="4445" r="19685" b="825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autoSpaceDE/>
        <w:autoSpaceDN/>
        <w:bidi w:val="0"/>
        <w:adjustRightInd/>
        <w:snapToGrid/>
        <w:spacing w:line="530" w:lineRule="exact"/>
        <w:ind w:left="0" w:leftChars="0"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bookmarkStart w:id="27" w:name="_Toc15396604"/>
      <w:bookmarkStart w:id="28" w:name="_Toc15377206"/>
      <w:r>
        <w:rPr>
          <w:rFonts w:hint="eastAsia" w:ascii="方正黑体简体" w:hAnsi="方正黑体简体" w:eastAsia="方正黑体简体" w:cs="方正黑体简体"/>
          <w:b w:val="0"/>
          <w:bCs w:val="0"/>
          <w:color w:val="auto"/>
          <w:spacing w:val="0"/>
          <w:sz w:val="32"/>
          <w:szCs w:val="32"/>
          <w:highlight w:val="none"/>
          <w:lang w:eastAsia="zh-CN"/>
        </w:rPr>
        <w:t>二、</w:t>
      </w:r>
      <w:r>
        <w:rPr>
          <w:rFonts w:hint="eastAsia" w:ascii="方正黑体简体" w:hAnsi="方正黑体简体" w:eastAsia="方正黑体简体" w:cs="方正黑体简体"/>
          <w:b w:val="0"/>
          <w:bCs w:val="0"/>
          <w:color w:val="auto"/>
          <w:spacing w:val="0"/>
          <w:sz w:val="32"/>
          <w:szCs w:val="32"/>
          <w:highlight w:val="none"/>
        </w:rPr>
        <w:t>收入决算情况说明</w:t>
      </w:r>
      <w:bookmarkEnd w:id="27"/>
      <w:bookmarkEnd w:id="28"/>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仿宋_GB2312" w:cs="Times New Roman"/>
          <w:b w:val="0"/>
          <w:bCs w:val="0"/>
          <w:color w:val="auto"/>
          <w:spacing w:val="0"/>
          <w:sz w:val="32"/>
          <w:szCs w:val="32"/>
          <w:highlight w:val="none"/>
        </w:rPr>
      </w:pPr>
      <w:r>
        <w:rPr>
          <w:rFonts w:hint="default" w:ascii="Times New Roman" w:hAnsi="Times New Roman" w:eastAsia="仿宋_GB2312" w:cs="Times New Roman"/>
          <w:b w:val="0"/>
          <w:bCs w:val="0"/>
          <w:color w:val="auto"/>
          <w:spacing w:val="0"/>
          <w:sz w:val="32"/>
          <w:szCs w:val="32"/>
          <w:highlight w:val="none"/>
        </w:rPr>
        <w:t>2021</w:t>
      </w:r>
      <w:r>
        <w:rPr>
          <w:rFonts w:hint="eastAsia" w:ascii="Times New Roman" w:hAnsi="Times New Roman" w:eastAsia="仿宋_GB2312" w:cs="Times New Roman"/>
          <w:b w:val="0"/>
          <w:bCs w:val="0"/>
          <w:color w:val="auto"/>
          <w:spacing w:val="0"/>
          <w:sz w:val="32"/>
          <w:szCs w:val="32"/>
          <w:highlight w:val="none"/>
        </w:rPr>
        <w:t>年本年收入合计</w:t>
      </w:r>
      <w:r>
        <w:rPr>
          <w:rFonts w:hint="default" w:ascii="Times New Roman" w:hAnsi="Times New Roman" w:eastAsia="仿宋_GB2312" w:cs="Times New Roman"/>
          <w:b w:val="0"/>
          <w:bCs w:val="0"/>
          <w:color w:val="auto"/>
          <w:spacing w:val="0"/>
          <w:sz w:val="32"/>
          <w:szCs w:val="32"/>
          <w:highlight w:val="none"/>
        </w:rPr>
        <w:t>5328.09</w:t>
      </w:r>
      <w:r>
        <w:rPr>
          <w:rFonts w:hint="eastAsia" w:ascii="Times New Roman" w:hAnsi="Times New Roman" w:eastAsia="仿宋_GB2312" w:cs="Times New Roman"/>
          <w:b w:val="0"/>
          <w:bCs w:val="0"/>
          <w:color w:val="auto"/>
          <w:spacing w:val="0"/>
          <w:sz w:val="32"/>
          <w:szCs w:val="32"/>
          <w:highlight w:val="none"/>
        </w:rPr>
        <w:t>万元，其中：一般公共预算财政拨款收入</w:t>
      </w:r>
      <w:r>
        <w:rPr>
          <w:rFonts w:hint="default" w:ascii="Times New Roman" w:hAnsi="Times New Roman" w:eastAsia="仿宋_GB2312" w:cs="Times New Roman"/>
          <w:b w:val="0"/>
          <w:bCs w:val="0"/>
          <w:color w:val="auto"/>
          <w:spacing w:val="0"/>
          <w:sz w:val="32"/>
          <w:szCs w:val="32"/>
          <w:highlight w:val="none"/>
        </w:rPr>
        <w:t>5083.15</w:t>
      </w:r>
      <w:r>
        <w:rPr>
          <w:rFonts w:hint="eastAsia" w:ascii="Times New Roman" w:hAnsi="Times New Roman" w:eastAsia="仿宋_GB2312" w:cs="Times New Roman"/>
          <w:b w:val="0"/>
          <w:bCs w:val="0"/>
          <w:color w:val="auto"/>
          <w:spacing w:val="0"/>
          <w:sz w:val="32"/>
          <w:szCs w:val="32"/>
          <w:highlight w:val="none"/>
        </w:rPr>
        <w:t>万元，占</w:t>
      </w:r>
      <w:r>
        <w:rPr>
          <w:rFonts w:hint="default" w:ascii="Times New Roman" w:hAnsi="Times New Roman" w:eastAsia="仿宋_GB2312" w:cs="Times New Roman"/>
          <w:b w:val="0"/>
          <w:bCs w:val="0"/>
          <w:color w:val="auto"/>
          <w:spacing w:val="0"/>
          <w:sz w:val="32"/>
          <w:szCs w:val="32"/>
          <w:highlight w:val="none"/>
        </w:rPr>
        <w:t>95.40%</w:t>
      </w:r>
      <w:r>
        <w:rPr>
          <w:rFonts w:hint="eastAsia" w:ascii="Times New Roman" w:hAnsi="Times New Roman" w:eastAsia="仿宋_GB2312" w:cs="Times New Roman"/>
          <w:b w:val="0"/>
          <w:bCs w:val="0"/>
          <w:color w:val="auto"/>
          <w:spacing w:val="0"/>
          <w:sz w:val="32"/>
          <w:szCs w:val="32"/>
          <w:highlight w:val="none"/>
        </w:rPr>
        <w:t>；政府性基金预算财政拨款收入</w:t>
      </w:r>
      <w:r>
        <w:rPr>
          <w:rFonts w:hint="default" w:ascii="Times New Roman" w:hAnsi="Times New Roman" w:eastAsia="仿宋_GB2312" w:cs="Times New Roman"/>
          <w:b w:val="0"/>
          <w:bCs w:val="0"/>
          <w:color w:val="auto"/>
          <w:spacing w:val="0"/>
          <w:sz w:val="32"/>
          <w:szCs w:val="32"/>
          <w:highlight w:val="none"/>
        </w:rPr>
        <w:t>227.13</w:t>
      </w:r>
      <w:r>
        <w:rPr>
          <w:rFonts w:hint="eastAsia" w:ascii="Times New Roman" w:hAnsi="Times New Roman" w:eastAsia="仿宋_GB2312" w:cs="Times New Roman"/>
          <w:b w:val="0"/>
          <w:bCs w:val="0"/>
          <w:color w:val="auto"/>
          <w:spacing w:val="0"/>
          <w:sz w:val="32"/>
          <w:szCs w:val="32"/>
          <w:highlight w:val="none"/>
        </w:rPr>
        <w:t>万元，占</w:t>
      </w:r>
      <w:r>
        <w:rPr>
          <w:rFonts w:hint="default" w:ascii="Times New Roman" w:hAnsi="Times New Roman" w:eastAsia="仿宋_GB2312" w:cs="Times New Roman"/>
          <w:b w:val="0"/>
          <w:bCs w:val="0"/>
          <w:color w:val="auto"/>
          <w:spacing w:val="0"/>
          <w:sz w:val="32"/>
          <w:szCs w:val="32"/>
          <w:highlight w:val="none"/>
        </w:rPr>
        <w:t>4.26%</w:t>
      </w:r>
      <w:r>
        <w:rPr>
          <w:rFonts w:hint="eastAsia" w:ascii="Times New Roman" w:hAnsi="Times New Roman" w:eastAsia="仿宋_GB2312" w:cs="Times New Roman"/>
          <w:b w:val="0"/>
          <w:bCs w:val="0"/>
          <w:color w:val="auto"/>
          <w:spacing w:val="0"/>
          <w:sz w:val="32"/>
          <w:szCs w:val="32"/>
          <w:highlight w:val="none"/>
        </w:rPr>
        <w:t>；其他收入</w:t>
      </w:r>
      <w:r>
        <w:rPr>
          <w:rFonts w:hint="default" w:ascii="Times New Roman" w:hAnsi="Times New Roman" w:eastAsia="仿宋_GB2312" w:cs="Times New Roman"/>
          <w:b w:val="0"/>
          <w:bCs w:val="0"/>
          <w:color w:val="auto"/>
          <w:spacing w:val="0"/>
          <w:sz w:val="32"/>
          <w:szCs w:val="32"/>
          <w:highlight w:val="none"/>
        </w:rPr>
        <w:t>17.81</w:t>
      </w:r>
      <w:r>
        <w:rPr>
          <w:rFonts w:hint="eastAsia" w:ascii="Times New Roman" w:hAnsi="Times New Roman" w:eastAsia="仿宋_GB2312" w:cs="Times New Roman"/>
          <w:b w:val="0"/>
          <w:bCs w:val="0"/>
          <w:color w:val="auto"/>
          <w:spacing w:val="0"/>
          <w:sz w:val="32"/>
          <w:szCs w:val="32"/>
          <w:highlight w:val="none"/>
        </w:rPr>
        <w:t>万元，占</w:t>
      </w:r>
      <w:r>
        <w:rPr>
          <w:rFonts w:hint="default" w:ascii="Times New Roman" w:hAnsi="Times New Roman" w:eastAsia="仿宋_GB2312" w:cs="Times New Roman"/>
          <w:b w:val="0"/>
          <w:bCs w:val="0"/>
          <w:color w:val="auto"/>
          <w:spacing w:val="0"/>
          <w:sz w:val="32"/>
          <w:szCs w:val="32"/>
          <w:highlight w:val="none"/>
        </w:rPr>
        <w:t>0.34%</w:t>
      </w:r>
      <w:r>
        <w:rPr>
          <w:rFonts w:hint="eastAsia" w:ascii="Times New Roman" w:hAnsi="Times New Roman" w:eastAsia="仿宋_GB2312" w:cs="Times New Roman"/>
          <w:b w:val="0"/>
          <w:bCs w:val="0"/>
          <w:color w:val="auto"/>
          <w:spacing w:val="0"/>
          <w:sz w:val="32"/>
          <w:szCs w:val="32"/>
          <w:highlight w:val="none"/>
        </w:rPr>
        <w:t>。</w:t>
      </w:r>
    </w:p>
    <w:p>
      <w:pPr>
        <w:pStyle w:val="2"/>
        <w:ind w:left="0" w:leftChars="0" w:right="0" w:rightChars="0" w:firstLine="0" w:firstLineChars="0"/>
        <w:jc w:val="center"/>
        <w:rPr>
          <w:b w:val="0"/>
          <w:bCs w:val="0"/>
          <w:color w:val="auto"/>
          <w:spacing w:val="0"/>
          <w:highlight w:val="none"/>
        </w:rPr>
      </w:pPr>
      <w:r>
        <w:rPr>
          <w:b w:val="0"/>
          <w:bCs w:val="0"/>
          <w:color w:val="auto"/>
          <w:spacing w:val="0"/>
          <w:highlight w:val="none"/>
        </w:rPr>
        <mc:AlternateContent>
          <mc:Choice Requires="wps">
            <w:drawing>
              <wp:anchor distT="0" distB="0" distL="114300" distR="114300" simplePos="0" relativeHeight="251660288" behindDoc="0" locked="0" layoutInCell="1" allowOverlap="1">
                <wp:simplePos x="0" y="0"/>
                <wp:positionH relativeFrom="column">
                  <wp:posOffset>3937635</wp:posOffset>
                </wp:positionH>
                <wp:positionV relativeFrom="paragraph">
                  <wp:posOffset>335915</wp:posOffset>
                </wp:positionV>
                <wp:extent cx="952500" cy="315595"/>
                <wp:effectExtent l="0" t="0" r="0" b="8255"/>
                <wp:wrapNone/>
                <wp:docPr id="8" name="文本框 8"/>
                <wp:cNvGraphicFramePr/>
                <a:graphic xmlns:a="http://schemas.openxmlformats.org/drawingml/2006/main">
                  <a:graphicData uri="http://schemas.microsoft.com/office/word/2010/wordprocessingShape">
                    <wps:wsp>
                      <wps:cNvSpPr txBox="true"/>
                      <wps:spPr>
                        <a:xfrm>
                          <a:off x="5080635" y="1250315"/>
                          <a:ext cx="952500" cy="315595"/>
                        </a:xfrm>
                        <a:prstGeom prst="rect">
                          <a:avLst/>
                        </a:prstGeom>
                        <a:solidFill>
                          <a:srgbClr val="FFFFFF"/>
                        </a:solidFill>
                        <a:ln w="6350">
                          <a:noFill/>
                        </a:ln>
                        <a:effectLst/>
                      </wps:spPr>
                      <wps:txbx>
                        <w:txbxContent>
                          <w:p>
                            <w:pPr>
                              <w:rPr>
                                <w:sz w:val="18"/>
                                <w:szCs w:val="18"/>
                              </w:rPr>
                            </w:pPr>
                            <w:r>
                              <w:rPr>
                                <w:rFonts w:hint="eastAsia"/>
                                <w:sz w:val="18"/>
                                <w:szCs w:val="18"/>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10.05pt;margin-top:26.45pt;height:24.85pt;width:75pt;z-index:251660288;mso-width-relative:page;mso-height-relative:page;" fillcolor="#FFFFFF" filled="t" stroked="f" coordsize="21600,21600" o:gfxdata="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XHAbTdUAAAAKAQAADwAAAAAAAAABACAAAAA4AAAAZHJzL2Rvd25yZXYueG1sUEsBAhQAFAAAAAgA&#10;h07iQGFD4wdLAgAAbAQAAA4AAAAAAAAAAQAgAAAAOgEAAGRycy9lMm9Eb2MueG1sUEsFBgAAAAAG&#10;AAYAWQEAAPcFAAAAAA==&#10;">
                <v:fill on="t" focussize="0,0"/>
                <v:stroke on="f" weight="0.5pt"/>
                <v:imagedata o:title=""/>
                <o:lock v:ext="edit" aspectratio="f"/>
                <v:textbox>
                  <w:txbxContent>
                    <w:p>
                      <w:pPr>
                        <w:rPr>
                          <w:sz w:val="18"/>
                          <w:szCs w:val="18"/>
                        </w:rPr>
                      </w:pPr>
                      <w:r>
                        <w:rPr>
                          <w:rFonts w:hint="eastAsia"/>
                          <w:sz w:val="18"/>
                          <w:szCs w:val="18"/>
                        </w:rPr>
                        <w:t>单位：万元</w:t>
                      </w:r>
                    </w:p>
                  </w:txbxContent>
                </v:textbox>
              </v:shape>
            </w:pict>
          </mc:Fallback>
        </mc:AlternateContent>
      </w:r>
      <w:r>
        <w:rPr>
          <w:b w:val="0"/>
          <w:bCs w:val="0"/>
          <w:color w:val="auto"/>
          <w:spacing w:val="0"/>
          <w:highlight w:val="none"/>
        </w:rPr>
        <w:object>
          <v:shape id="_x0000_i1025" o:spt="75" type="#_x0000_t75" style="height:209.3pt;width:396.75pt;" o:ole="t" filled="f" o:preferrelative="t" stroked="f" coordsize="21600,21600">
            <v:path/>
            <v:fill on="f" focussize="0,0"/>
            <v:stroke on="f"/>
            <v:imagedata r:id="rId13" o:title=""/>
            <o:lock v:ext="edit" aspectratio="f"/>
            <w10:wrap type="none"/>
            <w10:anchorlock/>
          </v:shape>
          <o:OLEObject Type="Embed" ProgID="Excel.Sheet.8" ShapeID="_x0000_i1025" DrawAspect="Content" ObjectID="_1468075725" r:id="rId12">
            <o:LockedField>false</o:LockedField>
          </o:OLEObject>
        </w:objec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bookmarkStart w:id="29" w:name="_Toc15377207"/>
      <w:bookmarkStart w:id="30" w:name="_Toc15396605"/>
      <w:r>
        <w:rPr>
          <w:rFonts w:hint="eastAsia" w:ascii="方正黑体简体" w:hAnsi="方正黑体简体" w:eastAsia="方正黑体简体" w:cs="方正黑体简体"/>
          <w:b w:val="0"/>
          <w:bCs w:val="0"/>
          <w:color w:val="auto"/>
          <w:spacing w:val="0"/>
          <w:sz w:val="32"/>
          <w:szCs w:val="32"/>
          <w:highlight w:val="none"/>
          <w:lang w:eastAsia="zh-CN"/>
        </w:rPr>
        <w:t>三、</w:t>
      </w:r>
      <w:r>
        <w:rPr>
          <w:rFonts w:hint="eastAsia" w:ascii="方正黑体简体" w:hAnsi="方正黑体简体" w:eastAsia="方正黑体简体" w:cs="方正黑体简体"/>
          <w:b w:val="0"/>
          <w:bCs w:val="0"/>
          <w:color w:val="auto"/>
          <w:spacing w:val="0"/>
          <w:sz w:val="32"/>
          <w:szCs w:val="32"/>
          <w:highlight w:val="none"/>
        </w:rPr>
        <w:t>支出决算情况说明</w:t>
      </w:r>
      <w:bookmarkEnd w:id="29"/>
      <w:bookmarkEnd w:id="30"/>
    </w:p>
    <w:p>
      <w:pPr>
        <w:spacing w:line="576" w:lineRule="exact"/>
        <w:ind w:firstLine="640" w:firstLineChars="200"/>
        <w:rPr>
          <w:rFonts w:hint="default" w:ascii="Times New Roman" w:hAnsi="Times New Roman" w:eastAsia="仿宋_GB2312" w:cs="Times New Roman"/>
          <w:b w:val="0"/>
          <w:bCs w:val="0"/>
          <w:color w:val="auto"/>
          <w:spacing w:val="0"/>
          <w:sz w:val="32"/>
          <w:szCs w:val="32"/>
          <w:highlight w:val="none"/>
        </w:rPr>
      </w:pPr>
      <w:r>
        <w:rPr>
          <w:rFonts w:hint="default" w:ascii="Times New Roman" w:hAnsi="Times New Roman" w:eastAsia="仿宋_GB2312" w:cs="Times New Roman"/>
          <w:b w:val="0"/>
          <w:bCs w:val="0"/>
          <w:color w:val="auto"/>
          <w:spacing w:val="0"/>
          <w:sz w:val="32"/>
          <w:szCs w:val="32"/>
          <w:highlight w:val="none"/>
        </w:rPr>
        <w:t>2021</w:t>
      </w:r>
      <w:r>
        <w:rPr>
          <w:rFonts w:hint="eastAsia" w:ascii="Times New Roman" w:hAnsi="Times New Roman" w:eastAsia="仿宋_GB2312" w:cs="Times New Roman"/>
          <w:b w:val="0"/>
          <w:bCs w:val="0"/>
          <w:color w:val="auto"/>
          <w:spacing w:val="0"/>
          <w:sz w:val="32"/>
          <w:szCs w:val="32"/>
          <w:highlight w:val="none"/>
        </w:rPr>
        <w:t>年本年支出合计</w:t>
      </w:r>
      <w:r>
        <w:rPr>
          <w:rFonts w:hint="default" w:ascii="Times New Roman" w:hAnsi="Times New Roman" w:eastAsia="仿宋_GB2312" w:cs="Times New Roman"/>
          <w:b w:val="0"/>
          <w:bCs w:val="0"/>
          <w:color w:val="auto"/>
          <w:spacing w:val="0"/>
          <w:sz w:val="32"/>
          <w:szCs w:val="32"/>
          <w:highlight w:val="none"/>
        </w:rPr>
        <w:t>4012.1</w:t>
      </w:r>
      <w:r>
        <w:rPr>
          <w:rFonts w:hint="eastAsia" w:ascii="Times New Roman" w:hAnsi="Times New Roman" w:eastAsia="仿宋_GB2312" w:cs="Times New Roman"/>
          <w:b w:val="0"/>
          <w:bCs w:val="0"/>
          <w:color w:val="auto"/>
          <w:spacing w:val="0"/>
          <w:sz w:val="32"/>
          <w:szCs w:val="32"/>
          <w:highlight w:val="none"/>
        </w:rPr>
        <w:t>万元，其中：基本支出</w:t>
      </w:r>
      <w:r>
        <w:rPr>
          <w:rFonts w:hint="default" w:ascii="Times New Roman" w:hAnsi="Times New Roman" w:eastAsia="仿宋_GB2312" w:cs="Times New Roman"/>
          <w:b w:val="0"/>
          <w:bCs w:val="0"/>
          <w:color w:val="auto"/>
          <w:spacing w:val="0"/>
          <w:sz w:val="32"/>
          <w:szCs w:val="32"/>
          <w:highlight w:val="none"/>
        </w:rPr>
        <w:t>2537.81</w:t>
      </w:r>
      <w:r>
        <w:rPr>
          <w:rFonts w:hint="eastAsia" w:ascii="Times New Roman" w:hAnsi="Times New Roman" w:eastAsia="仿宋_GB2312" w:cs="Times New Roman"/>
          <w:b w:val="0"/>
          <w:bCs w:val="0"/>
          <w:color w:val="auto"/>
          <w:spacing w:val="0"/>
          <w:sz w:val="32"/>
          <w:szCs w:val="32"/>
          <w:highlight w:val="none"/>
        </w:rPr>
        <w:t>万元，占</w:t>
      </w:r>
      <w:r>
        <w:rPr>
          <w:rFonts w:hint="default" w:ascii="Times New Roman" w:hAnsi="Times New Roman" w:eastAsia="仿宋_GB2312" w:cs="Times New Roman"/>
          <w:b w:val="0"/>
          <w:bCs w:val="0"/>
          <w:color w:val="auto"/>
          <w:spacing w:val="0"/>
          <w:sz w:val="32"/>
          <w:szCs w:val="32"/>
          <w:highlight w:val="none"/>
        </w:rPr>
        <w:t>63.25%</w:t>
      </w:r>
      <w:r>
        <w:rPr>
          <w:rFonts w:hint="eastAsia" w:ascii="Times New Roman" w:hAnsi="Times New Roman" w:eastAsia="仿宋_GB2312" w:cs="Times New Roman"/>
          <w:b w:val="0"/>
          <w:bCs w:val="0"/>
          <w:color w:val="auto"/>
          <w:spacing w:val="0"/>
          <w:sz w:val="32"/>
          <w:szCs w:val="32"/>
          <w:highlight w:val="none"/>
        </w:rPr>
        <w:t>；项目支出</w:t>
      </w:r>
      <w:r>
        <w:rPr>
          <w:rFonts w:hint="default" w:ascii="Times New Roman" w:hAnsi="Times New Roman" w:eastAsia="仿宋_GB2312" w:cs="Times New Roman"/>
          <w:b w:val="0"/>
          <w:bCs w:val="0"/>
          <w:color w:val="auto"/>
          <w:spacing w:val="0"/>
          <w:sz w:val="32"/>
          <w:szCs w:val="32"/>
          <w:highlight w:val="none"/>
        </w:rPr>
        <w:t>1474.29</w:t>
      </w:r>
      <w:r>
        <w:rPr>
          <w:rFonts w:hint="eastAsia" w:ascii="Times New Roman" w:hAnsi="Times New Roman" w:eastAsia="仿宋_GB2312" w:cs="Times New Roman"/>
          <w:b w:val="0"/>
          <w:bCs w:val="0"/>
          <w:color w:val="auto"/>
          <w:spacing w:val="0"/>
          <w:sz w:val="32"/>
          <w:szCs w:val="32"/>
          <w:highlight w:val="none"/>
        </w:rPr>
        <w:t>万元，占</w:t>
      </w:r>
      <w:r>
        <w:rPr>
          <w:rFonts w:hint="default" w:ascii="Times New Roman" w:hAnsi="Times New Roman" w:eastAsia="仿宋_GB2312" w:cs="Times New Roman"/>
          <w:b w:val="0"/>
          <w:bCs w:val="0"/>
          <w:color w:val="auto"/>
          <w:spacing w:val="0"/>
          <w:sz w:val="32"/>
          <w:szCs w:val="32"/>
          <w:highlight w:val="none"/>
        </w:rPr>
        <w:t>36.75%</w:t>
      </w:r>
      <w:r>
        <w:rPr>
          <w:rFonts w:hint="eastAsia" w:ascii="Times New Roman" w:hAnsi="Times New Roman" w:eastAsia="仿宋_GB2312" w:cs="Times New Roman"/>
          <w:b w:val="0"/>
          <w:bCs w:val="0"/>
          <w:color w:val="auto"/>
          <w:spacing w:val="0"/>
          <w:sz w:val="32"/>
          <w:szCs w:val="32"/>
          <w:highlight w:val="none"/>
        </w:rPr>
        <w:t>；</w:t>
      </w:r>
    </w:p>
    <w:p>
      <w:pPr>
        <w:pStyle w:val="2"/>
        <w:ind w:left="0" w:leftChars="0" w:right="0" w:rightChars="0" w:firstLine="0" w:firstLineChars="0"/>
        <w:jc w:val="center"/>
        <w:rPr>
          <w:rFonts w:ascii="仿宋_GB2312" w:eastAsia="仿宋_GB2312"/>
          <w:b w:val="0"/>
          <w:bCs w:val="0"/>
          <w:color w:val="auto"/>
          <w:spacing w:val="0"/>
          <w:sz w:val="32"/>
          <w:szCs w:val="32"/>
          <w:highlight w:val="none"/>
        </w:rPr>
      </w:pPr>
      <w:r>
        <w:rPr>
          <w:b w:val="0"/>
          <w:bCs w:val="0"/>
          <w:color w:val="auto"/>
          <w:spacing w:val="0"/>
          <w:highlight w:val="none"/>
        </w:rPr>
        <mc:AlternateContent>
          <mc:Choice Requires="wps">
            <w:drawing>
              <wp:anchor distT="0" distB="0" distL="114300" distR="114300" simplePos="0" relativeHeight="251661312" behindDoc="0" locked="0" layoutInCell="1" allowOverlap="1">
                <wp:simplePos x="0" y="0"/>
                <wp:positionH relativeFrom="column">
                  <wp:posOffset>3996055</wp:posOffset>
                </wp:positionH>
                <wp:positionV relativeFrom="paragraph">
                  <wp:posOffset>356870</wp:posOffset>
                </wp:positionV>
                <wp:extent cx="937260" cy="271780"/>
                <wp:effectExtent l="0" t="0" r="15240" b="13970"/>
                <wp:wrapNone/>
                <wp:docPr id="10" name="文本框 10"/>
                <wp:cNvGraphicFramePr/>
                <a:graphic xmlns:a="http://schemas.openxmlformats.org/drawingml/2006/main">
                  <a:graphicData uri="http://schemas.microsoft.com/office/word/2010/wordprocessingShape">
                    <wps:wsp>
                      <wps:cNvSpPr txBox="true"/>
                      <wps:spPr>
                        <a:xfrm>
                          <a:off x="4926965" y="5800725"/>
                          <a:ext cx="937260" cy="271780"/>
                        </a:xfrm>
                        <a:prstGeom prst="rect">
                          <a:avLst/>
                        </a:prstGeom>
                        <a:solidFill>
                          <a:srgbClr val="FFFFFF"/>
                        </a:solidFill>
                        <a:ln w="6350">
                          <a:noFill/>
                        </a:ln>
                        <a:effectLst/>
                      </wps:spPr>
                      <wps:txbx>
                        <w:txbxContent>
                          <w:p>
                            <w:pPr>
                              <w:rPr>
                                <w:sz w:val="18"/>
                                <w:szCs w:val="18"/>
                              </w:rPr>
                            </w:pPr>
                            <w:r>
                              <w:rPr>
                                <w:rFonts w:hint="eastAsia"/>
                                <w:sz w:val="18"/>
                                <w:szCs w:val="18"/>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14.65pt;margin-top:28.1pt;height:21.4pt;width:73.8pt;z-index:251661312;mso-width-relative:page;mso-height-relative:page;" fillcolor="#FFFFFF" filled="t" stroked="f" coordsize="21600,21600" o:gfxdata="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xeIvsNUAAAAJAQAADwAAAAAAAAABACAAAAA4AAAAZHJzL2Rvd25yZXYueG1sUEsBAhQAFAAA&#10;AAgAh07iQJbM1slOAgAAbgQAAA4AAAAAAAAAAQAgAAAAOgEAAGRycy9lMm9Eb2MueG1sUEsFBgAA&#10;AAAGAAYAWQEAAPoFAAAAAA==&#10;">
                <v:fill on="t" focussize="0,0"/>
                <v:stroke on="f" weight="0.5pt"/>
                <v:imagedata o:title=""/>
                <o:lock v:ext="edit" aspectratio="f"/>
                <v:textbox>
                  <w:txbxContent>
                    <w:p>
                      <w:pPr>
                        <w:rPr>
                          <w:sz w:val="18"/>
                          <w:szCs w:val="18"/>
                        </w:rPr>
                      </w:pPr>
                      <w:r>
                        <w:rPr>
                          <w:rFonts w:hint="eastAsia"/>
                          <w:sz w:val="18"/>
                          <w:szCs w:val="18"/>
                        </w:rPr>
                        <w:t>单位：万元</w:t>
                      </w:r>
                    </w:p>
                  </w:txbxContent>
                </v:textbox>
              </v:shape>
            </w:pict>
          </mc:Fallback>
        </mc:AlternateContent>
      </w:r>
      <w:r>
        <w:rPr>
          <w:rFonts w:ascii="仿宋_GB2312" w:eastAsia="仿宋_GB2312"/>
          <w:b w:val="0"/>
          <w:bCs w:val="0"/>
          <w:color w:val="auto"/>
          <w:spacing w:val="0"/>
          <w:sz w:val="32"/>
          <w:szCs w:val="32"/>
          <w:highlight w:val="none"/>
        </w:rPr>
        <w:object>
          <v:shape id="_x0000_i1026" o:spt="75" type="#_x0000_t75" style="height:230.25pt;width:409.5pt;" o:ole="t" filled="f" o:preferrelative="t" stroked="f" coordsize="21600,21600">
            <v:path/>
            <v:fill on="f" focussize="0,0"/>
            <v:stroke on="f" joinstyle="miter"/>
            <v:imagedata r:id="rId15" cropbottom="-43f" o:title=""/>
            <o:lock v:ext="edit" aspectratio="f"/>
            <w10:wrap type="none"/>
            <w10:anchorlock/>
          </v:shape>
          <o:OLEObject Type="Embed" ProgID="Excel.Sheet.8" ShapeID="_x0000_i1026" DrawAspect="Content" ObjectID="_1468075726" r:id="rId14">
            <o:LockedField>false</o:LockedField>
          </o:OLEObject>
        </w:objec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bookmarkStart w:id="31" w:name="_Toc15396606"/>
      <w:bookmarkStart w:id="32" w:name="_Toc15377208"/>
      <w:r>
        <w:rPr>
          <w:rFonts w:hint="eastAsia" w:ascii="方正黑体简体" w:hAnsi="方正黑体简体" w:eastAsia="方正黑体简体" w:cs="方正黑体简体"/>
          <w:b w:val="0"/>
          <w:bCs w:val="0"/>
          <w:color w:val="auto"/>
          <w:spacing w:val="0"/>
          <w:sz w:val="32"/>
          <w:szCs w:val="32"/>
          <w:highlight w:val="none"/>
        </w:rPr>
        <w:t>四、财政拨款收入支出决算总体情况说明</w:t>
      </w:r>
      <w:bookmarkEnd w:id="31"/>
      <w:bookmarkEnd w:id="32"/>
    </w:p>
    <w:p>
      <w:pPr>
        <w:spacing w:line="600" w:lineRule="exact"/>
        <w:ind w:firstLine="640" w:firstLineChars="200"/>
        <w:rPr>
          <w:rFonts w:ascii="仿宋" w:hAnsi="仿宋" w:eastAsia="仿宋"/>
          <w:b w:val="0"/>
          <w:bCs w:val="0"/>
          <w:color w:val="auto"/>
          <w:spacing w:val="0"/>
          <w:sz w:val="32"/>
          <w:szCs w:val="32"/>
          <w:highlight w:val="none"/>
        </w:rPr>
      </w:pPr>
      <w:r>
        <w:rPr>
          <w:rFonts w:hint="default" w:ascii="Times New Roman" w:hAnsi="Times New Roman" w:eastAsia="仿宋_GB2312" w:cs="Times New Roman"/>
          <w:b w:val="0"/>
          <w:bCs w:val="0"/>
          <w:color w:val="auto"/>
          <w:spacing w:val="0"/>
          <w:sz w:val="32"/>
          <w:szCs w:val="32"/>
          <w:highlight w:val="none"/>
        </w:rPr>
        <w:t>2021</w:t>
      </w:r>
      <w:r>
        <w:rPr>
          <w:rFonts w:hint="eastAsia" w:ascii="Times New Roman" w:hAnsi="Times New Roman" w:eastAsia="仿宋_GB2312" w:cs="Times New Roman"/>
          <w:b w:val="0"/>
          <w:bCs w:val="0"/>
          <w:color w:val="auto"/>
          <w:spacing w:val="0"/>
          <w:sz w:val="32"/>
          <w:szCs w:val="32"/>
          <w:highlight w:val="none"/>
        </w:rPr>
        <w:t>年财政拨款收、支总计</w:t>
      </w:r>
      <w:r>
        <w:rPr>
          <w:rFonts w:hint="default" w:ascii="Times New Roman" w:hAnsi="Times New Roman" w:eastAsia="仿宋_GB2312" w:cs="Times New Roman"/>
          <w:b w:val="0"/>
          <w:bCs w:val="0"/>
          <w:color w:val="auto"/>
          <w:spacing w:val="0"/>
          <w:sz w:val="32"/>
          <w:szCs w:val="32"/>
          <w:highlight w:val="none"/>
        </w:rPr>
        <w:t>5690.07</w:t>
      </w:r>
      <w:r>
        <w:rPr>
          <w:rFonts w:hint="eastAsia" w:ascii="Times New Roman" w:hAnsi="Times New Roman" w:eastAsia="仿宋_GB2312" w:cs="Times New Roman"/>
          <w:b w:val="0"/>
          <w:bCs w:val="0"/>
          <w:color w:val="auto"/>
          <w:spacing w:val="0"/>
          <w:sz w:val="32"/>
          <w:szCs w:val="32"/>
          <w:highlight w:val="none"/>
        </w:rPr>
        <w:t>万元。与</w:t>
      </w:r>
      <w:r>
        <w:rPr>
          <w:rFonts w:hint="default" w:ascii="Times New Roman" w:hAnsi="Times New Roman" w:eastAsia="仿宋_GB2312" w:cs="Times New Roman"/>
          <w:b w:val="0"/>
          <w:bCs w:val="0"/>
          <w:color w:val="auto"/>
          <w:spacing w:val="0"/>
          <w:sz w:val="32"/>
          <w:szCs w:val="32"/>
          <w:highlight w:val="none"/>
        </w:rPr>
        <w:t>2020</w:t>
      </w:r>
      <w:r>
        <w:rPr>
          <w:rFonts w:hint="eastAsia" w:ascii="Times New Roman" w:hAnsi="Times New Roman" w:eastAsia="仿宋_GB2312" w:cs="Times New Roman"/>
          <w:b w:val="0"/>
          <w:bCs w:val="0"/>
          <w:color w:val="auto"/>
          <w:spacing w:val="0"/>
          <w:sz w:val="32"/>
          <w:szCs w:val="32"/>
          <w:highlight w:val="none"/>
        </w:rPr>
        <w:t>年相比，财政拨款收、支总计各增加</w:t>
      </w:r>
      <w:r>
        <w:rPr>
          <w:rFonts w:hint="default" w:ascii="Times New Roman" w:hAnsi="Times New Roman" w:eastAsia="仿宋_GB2312" w:cs="Times New Roman"/>
          <w:b w:val="0"/>
          <w:bCs w:val="0"/>
          <w:color w:val="auto"/>
          <w:spacing w:val="0"/>
          <w:sz w:val="32"/>
          <w:szCs w:val="32"/>
          <w:highlight w:val="none"/>
        </w:rPr>
        <w:t>980.71</w:t>
      </w:r>
      <w:r>
        <w:rPr>
          <w:rFonts w:hint="eastAsia" w:ascii="Times New Roman" w:hAnsi="Times New Roman" w:eastAsia="仿宋_GB2312" w:cs="Times New Roman"/>
          <w:b w:val="0"/>
          <w:bCs w:val="0"/>
          <w:color w:val="auto"/>
          <w:spacing w:val="0"/>
          <w:sz w:val="32"/>
          <w:szCs w:val="32"/>
          <w:highlight w:val="none"/>
        </w:rPr>
        <w:t>万元，增长</w:t>
      </w:r>
      <w:r>
        <w:rPr>
          <w:rFonts w:hint="default" w:ascii="Times New Roman" w:hAnsi="Times New Roman" w:eastAsia="仿宋_GB2312" w:cs="Times New Roman"/>
          <w:b w:val="0"/>
          <w:bCs w:val="0"/>
          <w:color w:val="auto"/>
          <w:spacing w:val="0"/>
          <w:sz w:val="32"/>
          <w:szCs w:val="32"/>
          <w:highlight w:val="none"/>
        </w:rPr>
        <w:t>20.82%</w:t>
      </w:r>
      <w:r>
        <w:rPr>
          <w:rFonts w:hint="eastAsia" w:ascii="Times New Roman" w:hAnsi="Times New Roman" w:eastAsia="仿宋_GB2312" w:cs="Times New Roman"/>
          <w:b w:val="0"/>
          <w:bCs w:val="0"/>
          <w:color w:val="auto"/>
          <w:spacing w:val="0"/>
          <w:sz w:val="32"/>
          <w:szCs w:val="32"/>
          <w:highlight w:val="none"/>
        </w:rPr>
        <w:t>。主要变动原因是原城监大队人员划入，</w:t>
      </w:r>
      <w:r>
        <w:rPr>
          <w:rFonts w:hint="eastAsia" w:eastAsia="仿宋_GB2312" w:cs="Times New Roman"/>
          <w:b w:val="0"/>
          <w:bCs w:val="0"/>
          <w:color w:val="auto"/>
          <w:spacing w:val="0"/>
          <w:sz w:val="32"/>
          <w:szCs w:val="32"/>
          <w:highlight w:val="none"/>
          <w:lang w:val="en-US" w:eastAsia="zh-CN"/>
        </w:rPr>
        <w:t>人员经费</w:t>
      </w:r>
      <w:r>
        <w:rPr>
          <w:rFonts w:hint="default" w:ascii="Times New Roman" w:hAnsi="Times New Roman" w:eastAsia="仿宋_GB2312" w:cs="Times New Roman"/>
          <w:b w:val="0"/>
          <w:bCs w:val="0"/>
          <w:color w:val="auto"/>
          <w:spacing w:val="0"/>
          <w:sz w:val="32"/>
          <w:szCs w:val="32"/>
          <w:highlight w:val="none"/>
        </w:rPr>
        <w:t>增加。</w:t>
      </w:r>
    </w:p>
    <w:p>
      <w:pPr>
        <w:pStyle w:val="2"/>
        <w:tabs>
          <w:tab w:val="center" w:pos="4420"/>
          <w:tab w:val="clear" w:pos="4153"/>
        </w:tabs>
        <w:rPr>
          <w:rFonts w:hint="eastAsia" w:ascii="仿宋" w:hAnsi="仿宋" w:eastAsia="仿宋"/>
          <w:b w:val="0"/>
          <w:bCs w:val="0"/>
          <w:color w:val="auto"/>
          <w:spacing w:val="0"/>
          <w:sz w:val="32"/>
          <w:szCs w:val="32"/>
          <w:highlight w:val="none"/>
          <w:lang w:eastAsia="zh-CN"/>
        </w:rPr>
        <w:sectPr>
          <w:footerReference r:id="rId6" w:type="default"/>
          <w:pgSz w:w="11906" w:h="16838"/>
          <w:pgMar w:top="1984" w:right="1474" w:bottom="1417" w:left="1587" w:header="851" w:footer="0" w:gutter="0"/>
          <w:pgNumType w:fmt="decimal" w:start="1"/>
          <w:cols w:space="720" w:num="1"/>
          <w:docGrid w:type="lines" w:linePitch="312" w:charSpace="0"/>
        </w:sectPr>
      </w:pPr>
      <w:r>
        <w:rPr>
          <w:b w:val="0"/>
          <w:bCs w:val="0"/>
          <w:color w:val="auto"/>
          <w:spacing w:val="0"/>
          <w:highlight w:val="none"/>
        </w:rPr>
        <mc:AlternateContent>
          <mc:Choice Requires="wps">
            <w:drawing>
              <wp:anchor distT="0" distB="0" distL="114300" distR="114300" simplePos="0" relativeHeight="251662336" behindDoc="0" locked="0" layoutInCell="1" allowOverlap="1">
                <wp:simplePos x="0" y="0"/>
                <wp:positionH relativeFrom="column">
                  <wp:posOffset>4356100</wp:posOffset>
                </wp:positionH>
                <wp:positionV relativeFrom="paragraph">
                  <wp:posOffset>129540</wp:posOffset>
                </wp:positionV>
                <wp:extent cx="762000" cy="359410"/>
                <wp:effectExtent l="0" t="0" r="0" b="2540"/>
                <wp:wrapNone/>
                <wp:docPr id="7" name="文本框 1"/>
                <wp:cNvGraphicFramePr/>
                <a:graphic xmlns:a="http://schemas.openxmlformats.org/drawingml/2006/main">
                  <a:graphicData uri="http://schemas.microsoft.com/office/word/2010/wordprocessingShape">
                    <wps:wsp>
                      <wps:cNvSpPr txBox="true"/>
                      <wps:spPr>
                        <a:xfrm>
                          <a:off x="5499100" y="1043940"/>
                          <a:ext cx="762000" cy="359410"/>
                        </a:xfrm>
                        <a:prstGeom prst="rect">
                          <a:avLst/>
                        </a:prstGeom>
                        <a:solidFill>
                          <a:srgbClr val="FFFFFF"/>
                        </a:solidFill>
                        <a:ln w="6350">
                          <a:noFill/>
                        </a:ln>
                        <a:effectLst/>
                      </wps:spPr>
                      <wps:txbx>
                        <w:txbxContent>
                          <w:p>
                            <w:pPr>
                              <w:rPr>
                                <w:sz w:val="18"/>
                                <w:szCs w:val="18"/>
                              </w:rPr>
                            </w:pPr>
                            <w:r>
                              <w:rPr>
                                <w:rFonts w:hint="eastAsia"/>
                                <w:sz w:val="18"/>
                                <w:szCs w:val="18"/>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1" o:spid="_x0000_s1026" o:spt="202" type="#_x0000_t202" style="position:absolute;left:0pt;margin-left:343pt;margin-top:10.2pt;height:28.3pt;width:60pt;z-index:251662336;mso-width-relative:page;mso-height-relative:page;" fillcolor="#FFFFFF" filled="t" stroked="f" coordsize="21600,21600" o:gfxdata="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Fondy9QAAAAJAQAADwAAAAAAAAABACAAAAA4AAAAZHJzL2Rvd25yZXYueG1sUEsBAhQAFAAAAAgA&#10;h07iQIXgGe1MAgAAbAQAAA4AAAAAAAAAAQAgAAAAOQEAAGRycy9lMm9Eb2MueG1sUEsFBgAAAAAG&#10;AAYAWQEAAPcFAAAAAA==&#10;">
                <v:fill on="t" focussize="0,0"/>
                <v:stroke on="f" weight="0.5pt"/>
                <v:imagedata o:title=""/>
                <o:lock v:ext="edit" aspectratio="f"/>
                <v:textbox>
                  <w:txbxContent>
                    <w:p>
                      <w:pPr>
                        <w:rPr>
                          <w:sz w:val="18"/>
                          <w:szCs w:val="18"/>
                        </w:rPr>
                      </w:pPr>
                      <w:r>
                        <w:rPr>
                          <w:rFonts w:hint="eastAsia"/>
                          <w:sz w:val="18"/>
                          <w:szCs w:val="18"/>
                        </w:rPr>
                        <w:t>单位：万元</w:t>
                      </w:r>
                    </w:p>
                  </w:txbxContent>
                </v:textbox>
              </v:shape>
            </w:pict>
          </mc:Fallback>
        </mc:AlternateContent>
      </w:r>
      <w:r>
        <w:rPr>
          <w:rFonts w:hint="eastAsia" w:ascii="仿宋" w:hAnsi="仿宋" w:eastAsia="仿宋"/>
          <w:b w:val="0"/>
          <w:bCs w:val="0"/>
          <w:color w:val="auto"/>
          <w:spacing w:val="0"/>
          <w:sz w:val="32"/>
          <w:szCs w:val="32"/>
          <w:highlight w:val="none"/>
          <w:lang w:eastAsia="zh-CN"/>
        </w:rPr>
        <w:drawing>
          <wp:inline distT="0" distB="0" distL="114300" distR="114300">
            <wp:extent cx="5276850" cy="2694940"/>
            <wp:effectExtent l="4445" t="4445" r="14605" b="571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bookmarkStart w:id="33" w:name="_Toc15396607"/>
      <w:bookmarkStart w:id="34" w:name="_Toc15377209"/>
      <w:r>
        <w:rPr>
          <w:rFonts w:hint="eastAsia" w:ascii="方正黑体简体" w:hAnsi="方正黑体简体" w:eastAsia="方正黑体简体" w:cs="方正黑体简体"/>
          <w:b w:val="0"/>
          <w:bCs w:val="0"/>
          <w:color w:val="auto"/>
          <w:spacing w:val="0"/>
          <w:sz w:val="32"/>
          <w:szCs w:val="32"/>
          <w:highlight w:val="none"/>
        </w:rPr>
        <w:t>五、一般公共预算财政拨款支出决算情况说明</w:t>
      </w:r>
      <w:bookmarkEnd w:id="33"/>
      <w:bookmarkEnd w:id="34"/>
    </w:p>
    <w:p>
      <w:pPr>
        <w:pStyle w:val="7"/>
        <w:keepNext w:val="0"/>
        <w:keepLines w:val="0"/>
        <w:pageBreakBefore w:val="0"/>
        <w:widowControl w:val="0"/>
        <w:kinsoku/>
        <w:wordWrap/>
        <w:overflowPunct/>
        <w:topLinePunct w:val="0"/>
        <w:autoSpaceDE/>
        <w:autoSpaceDN/>
        <w:bidi w:val="0"/>
        <w:adjustRightInd w:val="0"/>
        <w:snapToGrid w:val="0"/>
        <w:spacing w:beforeLines="0" w:line="590"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rPr>
      </w:pPr>
      <w:bookmarkStart w:id="35" w:name="_Toc15377210"/>
      <w:r>
        <w:rPr>
          <w:rFonts w:hint="eastAsia" w:ascii="方正楷体简体" w:hAnsi="方正楷体简体" w:eastAsia="方正楷体简体" w:cs="方正楷体简体"/>
          <w:b w:val="0"/>
          <w:bCs w:val="0"/>
          <w:color w:val="auto"/>
          <w:spacing w:val="0"/>
          <w:sz w:val="32"/>
          <w:szCs w:val="32"/>
          <w:highlight w:val="none"/>
        </w:rPr>
        <w:t>（一）一般公共预算财政拨款支出决算总体情况</w:t>
      </w:r>
      <w:bookmarkEnd w:id="35"/>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b w:val="0"/>
          <w:bCs w:val="0"/>
          <w:color w:val="auto"/>
          <w:spacing w:val="0"/>
          <w:sz w:val="32"/>
          <w:szCs w:val="32"/>
          <w:highlight w:val="none"/>
        </w:rPr>
      </w:pPr>
      <w:r>
        <w:rPr>
          <w:rFonts w:hint="default" w:ascii="Times New Roman" w:hAnsi="Times New Roman" w:eastAsia="仿宋_GB2312" w:cs="Times New Roman"/>
          <w:b w:val="0"/>
          <w:bCs w:val="0"/>
          <w:color w:val="auto"/>
          <w:spacing w:val="0"/>
          <w:sz w:val="32"/>
          <w:szCs w:val="32"/>
          <w:highlight w:val="none"/>
        </w:rPr>
        <w:t>2021</w:t>
      </w:r>
      <w:r>
        <w:rPr>
          <w:rFonts w:hint="eastAsia" w:ascii="Times New Roman" w:hAnsi="Times New Roman" w:eastAsia="仿宋_GB2312" w:cs="Times New Roman"/>
          <w:b w:val="0"/>
          <w:bCs w:val="0"/>
          <w:color w:val="auto"/>
          <w:spacing w:val="0"/>
          <w:sz w:val="32"/>
          <w:szCs w:val="32"/>
          <w:highlight w:val="none"/>
        </w:rPr>
        <w:t>年一般公共预算财政拨款支出</w:t>
      </w:r>
      <w:r>
        <w:rPr>
          <w:rFonts w:hint="default" w:ascii="Times New Roman" w:hAnsi="Times New Roman" w:eastAsia="仿宋_GB2312" w:cs="Times New Roman"/>
          <w:b w:val="0"/>
          <w:bCs w:val="0"/>
          <w:color w:val="auto"/>
          <w:spacing w:val="0"/>
          <w:sz w:val="32"/>
          <w:szCs w:val="32"/>
          <w:highlight w:val="none"/>
        </w:rPr>
        <w:t>3781.23</w:t>
      </w:r>
      <w:r>
        <w:rPr>
          <w:rFonts w:hint="eastAsia" w:ascii="Times New Roman" w:hAnsi="Times New Roman" w:eastAsia="仿宋_GB2312" w:cs="Times New Roman"/>
          <w:b w:val="0"/>
          <w:bCs w:val="0"/>
          <w:color w:val="auto"/>
          <w:spacing w:val="0"/>
          <w:sz w:val="32"/>
          <w:szCs w:val="32"/>
          <w:highlight w:val="none"/>
        </w:rPr>
        <w:t>万元，占本年支出合计的</w:t>
      </w:r>
      <w:r>
        <w:rPr>
          <w:rFonts w:hint="default" w:ascii="Times New Roman" w:hAnsi="Times New Roman" w:eastAsia="仿宋_GB2312" w:cs="Times New Roman"/>
          <w:b w:val="0"/>
          <w:bCs w:val="0"/>
          <w:color w:val="auto"/>
          <w:spacing w:val="0"/>
          <w:sz w:val="32"/>
          <w:szCs w:val="32"/>
          <w:highlight w:val="none"/>
        </w:rPr>
        <w:t>100%</w:t>
      </w:r>
      <w:r>
        <w:rPr>
          <w:rFonts w:hint="eastAsia" w:ascii="Times New Roman" w:hAnsi="Times New Roman" w:eastAsia="仿宋_GB2312" w:cs="Times New Roman"/>
          <w:b w:val="0"/>
          <w:bCs w:val="0"/>
          <w:color w:val="auto"/>
          <w:spacing w:val="0"/>
          <w:sz w:val="32"/>
          <w:szCs w:val="32"/>
          <w:highlight w:val="none"/>
        </w:rPr>
        <w:t>。与</w:t>
      </w:r>
      <w:r>
        <w:rPr>
          <w:rFonts w:hint="default" w:ascii="Times New Roman" w:hAnsi="Times New Roman" w:eastAsia="仿宋_GB2312" w:cs="Times New Roman"/>
          <w:b w:val="0"/>
          <w:bCs w:val="0"/>
          <w:color w:val="auto"/>
          <w:spacing w:val="0"/>
          <w:sz w:val="32"/>
          <w:szCs w:val="32"/>
          <w:highlight w:val="none"/>
        </w:rPr>
        <w:t>2020</w:t>
      </w:r>
      <w:r>
        <w:rPr>
          <w:rFonts w:hint="eastAsia" w:ascii="Times New Roman" w:hAnsi="Times New Roman" w:eastAsia="仿宋_GB2312" w:cs="Times New Roman"/>
          <w:b w:val="0"/>
          <w:bCs w:val="0"/>
          <w:color w:val="auto"/>
          <w:spacing w:val="0"/>
          <w:sz w:val="32"/>
          <w:szCs w:val="32"/>
          <w:highlight w:val="none"/>
        </w:rPr>
        <w:t>年相比，一般公共预算财政拨款支出减少</w:t>
      </w:r>
      <w:r>
        <w:rPr>
          <w:rFonts w:hint="default" w:ascii="Times New Roman" w:hAnsi="Times New Roman" w:eastAsia="仿宋_GB2312" w:cs="Times New Roman"/>
          <w:b w:val="0"/>
          <w:bCs w:val="0"/>
          <w:color w:val="auto"/>
          <w:spacing w:val="0"/>
          <w:sz w:val="32"/>
          <w:szCs w:val="32"/>
          <w:highlight w:val="none"/>
        </w:rPr>
        <w:t>140.89</w:t>
      </w:r>
      <w:r>
        <w:rPr>
          <w:rFonts w:hint="eastAsia" w:ascii="Times New Roman" w:hAnsi="Times New Roman" w:eastAsia="仿宋_GB2312" w:cs="Times New Roman"/>
          <w:b w:val="0"/>
          <w:bCs w:val="0"/>
          <w:color w:val="auto"/>
          <w:spacing w:val="0"/>
          <w:sz w:val="32"/>
          <w:szCs w:val="32"/>
          <w:highlight w:val="none"/>
        </w:rPr>
        <w:t>万元，下降</w:t>
      </w:r>
      <w:r>
        <w:rPr>
          <w:rFonts w:hint="default" w:ascii="Times New Roman" w:hAnsi="Times New Roman" w:eastAsia="仿宋_GB2312" w:cs="Times New Roman"/>
          <w:b w:val="0"/>
          <w:bCs w:val="0"/>
          <w:color w:val="auto"/>
          <w:spacing w:val="0"/>
          <w:sz w:val="32"/>
          <w:szCs w:val="32"/>
          <w:highlight w:val="none"/>
        </w:rPr>
        <w:t>3.59%</w:t>
      </w:r>
      <w:r>
        <w:rPr>
          <w:rFonts w:hint="eastAsia" w:ascii="Times New Roman" w:hAnsi="Times New Roman" w:eastAsia="仿宋_GB2312" w:cs="Times New Roman"/>
          <w:b w:val="0"/>
          <w:bCs w:val="0"/>
          <w:color w:val="auto"/>
          <w:spacing w:val="0"/>
          <w:sz w:val="32"/>
          <w:szCs w:val="32"/>
          <w:highlight w:val="none"/>
        </w:rPr>
        <w:t>。主要变动原因是</w:t>
      </w:r>
      <w:r>
        <w:rPr>
          <w:rFonts w:hint="default" w:ascii="Times New Roman" w:hAnsi="Times New Roman" w:eastAsia="仿宋_GB2312" w:cs="Times New Roman"/>
          <w:b w:val="0"/>
          <w:bCs w:val="0"/>
          <w:color w:val="auto"/>
          <w:spacing w:val="0"/>
          <w:sz w:val="32"/>
          <w:szCs w:val="32"/>
          <w:highlight w:val="none"/>
        </w:rPr>
        <w:t>2021</w:t>
      </w:r>
      <w:r>
        <w:rPr>
          <w:rFonts w:hint="eastAsia" w:ascii="Times New Roman" w:hAnsi="Times New Roman" w:eastAsia="仿宋_GB2312" w:cs="Times New Roman"/>
          <w:b w:val="0"/>
          <w:bCs w:val="0"/>
          <w:color w:val="auto"/>
          <w:spacing w:val="0"/>
          <w:sz w:val="32"/>
          <w:szCs w:val="32"/>
          <w:highlight w:val="none"/>
        </w:rPr>
        <w:t>年严格控制经费，压缩各项支出。</w:t>
      </w:r>
    </w:p>
    <w:p>
      <w:pPr>
        <w:pStyle w:val="2"/>
        <w:rPr>
          <w:rFonts w:hint="eastAsia" w:ascii="仿宋" w:hAnsi="仿宋" w:eastAsia="仿宋"/>
          <w:b w:val="0"/>
          <w:bCs w:val="0"/>
          <w:color w:val="auto"/>
          <w:spacing w:val="0"/>
          <w:sz w:val="32"/>
          <w:szCs w:val="32"/>
          <w:highlight w:val="none"/>
          <w:lang w:eastAsia="zh-CN"/>
        </w:rPr>
      </w:pPr>
      <w:r>
        <w:rPr>
          <w:b w:val="0"/>
          <w:bCs w:val="0"/>
          <w:color w:val="auto"/>
          <w:spacing w:val="0"/>
          <w:sz w:val="32"/>
          <w:highlight w:val="none"/>
        </w:rPr>
        <mc:AlternateContent>
          <mc:Choice Requires="wps">
            <w:drawing>
              <wp:anchor distT="0" distB="0" distL="114300" distR="114300" simplePos="0" relativeHeight="251663360" behindDoc="0" locked="0" layoutInCell="1" allowOverlap="1">
                <wp:simplePos x="0" y="0"/>
                <wp:positionH relativeFrom="column">
                  <wp:posOffset>4240530</wp:posOffset>
                </wp:positionH>
                <wp:positionV relativeFrom="paragraph">
                  <wp:posOffset>86360</wp:posOffset>
                </wp:positionV>
                <wp:extent cx="734060" cy="381000"/>
                <wp:effectExtent l="0" t="0" r="8890" b="0"/>
                <wp:wrapNone/>
                <wp:docPr id="9" name="文本框 6"/>
                <wp:cNvGraphicFramePr/>
                <a:graphic xmlns:a="http://schemas.openxmlformats.org/drawingml/2006/main">
                  <a:graphicData uri="http://schemas.microsoft.com/office/word/2010/wordprocessingShape">
                    <wps:wsp>
                      <wps:cNvSpPr txBox="true"/>
                      <wps:spPr>
                        <a:xfrm>
                          <a:off x="0" y="0"/>
                          <a:ext cx="734060" cy="381000"/>
                        </a:xfrm>
                        <a:prstGeom prst="rect">
                          <a:avLst/>
                        </a:prstGeom>
                        <a:solidFill>
                          <a:srgbClr val="FFFFFF"/>
                        </a:solidFill>
                        <a:ln>
                          <a:noFill/>
                        </a:ln>
                      </wps:spPr>
                      <wps:txbx>
                        <w:txbxContent>
                          <w:p>
                            <w:pPr>
                              <w:rPr>
                                <w:rFonts w:hint="default" w:eastAsia="宋体"/>
                                <w:sz w:val="18"/>
                                <w:szCs w:val="18"/>
                                <w:lang w:val="en-US" w:eastAsia="zh-CN"/>
                              </w:rPr>
                            </w:pPr>
                            <w:r>
                              <w:rPr>
                                <w:rFonts w:hint="eastAsia"/>
                                <w:sz w:val="18"/>
                                <w:szCs w:val="18"/>
                                <w:lang w:val="en-US" w:eastAsia="zh-CN"/>
                              </w:rPr>
                              <w:t>单位：万元</w:t>
                            </w:r>
                          </w:p>
                        </w:txbxContent>
                      </wps:txbx>
                      <wps:bodyPr upright="true"/>
                    </wps:wsp>
                  </a:graphicData>
                </a:graphic>
              </wp:anchor>
            </w:drawing>
          </mc:Choice>
          <mc:Fallback>
            <w:pict>
              <v:shape id="文本框 6" o:spid="_x0000_s1026" o:spt="202" type="#_x0000_t202" style="position:absolute;left:0pt;margin-left:333.9pt;margin-top:6.8pt;height:30pt;width:57.8pt;z-index:251663360;mso-width-relative:page;mso-height-relative:page;" fillcolor="#FFFFFF" filled="t" stroked="f" coordsize="21600,21600" o:gfxdata="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HcU963XAAAACQEAAA8AAAAAAAAAAQAgAAAAOAAAAGRycy9kb3ducmV2LnhtbFBL&#10;AQIUABQAAAAIAIdO4kBJg7M/qAEAAC4DAAAOAAAAAAAAAAEAIAAAADwBAABkcnMvZTJvRG9jLnht&#10;bFBLBQYAAAAABgAGAFkBAABWBQAAAAA=&#10;">
                <v:fill on="t" focussize="0,0"/>
                <v:stroke on="f"/>
                <v:imagedata o:title=""/>
                <o:lock v:ext="edit" aspectratio="f"/>
                <v:textbox>
                  <w:txbxContent>
                    <w:p>
                      <w:pPr>
                        <w:rPr>
                          <w:rFonts w:hint="default" w:eastAsia="宋体"/>
                          <w:sz w:val="18"/>
                          <w:szCs w:val="18"/>
                          <w:lang w:val="en-US" w:eastAsia="zh-CN"/>
                        </w:rPr>
                      </w:pPr>
                      <w:r>
                        <w:rPr>
                          <w:rFonts w:hint="eastAsia"/>
                          <w:sz w:val="18"/>
                          <w:szCs w:val="18"/>
                          <w:lang w:val="en-US" w:eastAsia="zh-CN"/>
                        </w:rPr>
                        <w:t>单位：万元</w:t>
                      </w:r>
                    </w:p>
                  </w:txbxContent>
                </v:textbox>
              </v:shape>
            </w:pict>
          </mc:Fallback>
        </mc:AlternateContent>
      </w:r>
      <w:r>
        <w:rPr>
          <w:rFonts w:hint="eastAsia" w:ascii="仿宋" w:hAnsi="仿宋" w:eastAsia="仿宋"/>
          <w:b w:val="0"/>
          <w:bCs w:val="0"/>
          <w:color w:val="auto"/>
          <w:spacing w:val="0"/>
          <w:sz w:val="32"/>
          <w:szCs w:val="32"/>
          <w:highlight w:val="none"/>
          <w:lang w:eastAsia="zh-CN"/>
        </w:rPr>
        <w:drawing>
          <wp:inline distT="0" distB="0" distL="114300" distR="114300">
            <wp:extent cx="5080000" cy="2694940"/>
            <wp:effectExtent l="4445" t="4445" r="20955" b="571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7"/>
        <w:keepNext w:val="0"/>
        <w:keepLines w:val="0"/>
        <w:pageBreakBefore w:val="0"/>
        <w:widowControl w:val="0"/>
        <w:kinsoku/>
        <w:wordWrap/>
        <w:overflowPunct/>
        <w:topLinePunct w:val="0"/>
        <w:autoSpaceDE/>
        <w:autoSpaceDN/>
        <w:bidi w:val="0"/>
        <w:adjustRightInd w:val="0"/>
        <w:snapToGrid w:val="0"/>
        <w:spacing w:beforeLines="0" w:line="590"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rPr>
      </w:pPr>
      <w:bookmarkStart w:id="36" w:name="_Toc15377211"/>
      <w:r>
        <w:rPr>
          <w:rFonts w:hint="eastAsia" w:ascii="方正楷体简体" w:hAnsi="方正楷体简体" w:eastAsia="方正楷体简体" w:cs="方正楷体简体"/>
          <w:b w:val="0"/>
          <w:bCs w:val="0"/>
          <w:color w:val="auto"/>
          <w:spacing w:val="0"/>
          <w:sz w:val="32"/>
          <w:szCs w:val="32"/>
          <w:highlight w:val="none"/>
        </w:rPr>
        <w:t>（二）一般公共预算财政拨款支出决算结构情况</w:t>
      </w:r>
      <w:bookmarkEnd w:id="36"/>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2021年一般公共预算财政拨款支出3781.23万元，主要用于以下方面</w:t>
      </w:r>
      <w:r>
        <w:rPr>
          <w:rFonts w:hint="eastAsia"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rPr>
        <w:t>社会保障和就业支出193.1万元，占5.11%；卫生健康支出81.84万元，占2.16%；住房保障支出202.21万元，占5.35%</w:t>
      </w:r>
      <w:r>
        <w:rPr>
          <w:rFonts w:hint="eastAsia" w:ascii="仿宋_GB2312" w:hAnsi="仿宋_GB2312" w:eastAsia="仿宋_GB2312" w:cs="仿宋_GB2312"/>
          <w:b w:val="0"/>
          <w:bCs w:val="0"/>
          <w:color w:val="auto"/>
          <w:spacing w:val="0"/>
          <w:sz w:val="32"/>
          <w:szCs w:val="32"/>
          <w:highlight w:val="none"/>
          <w:lang w:eastAsia="zh-CN"/>
        </w:rPr>
        <w:t>；</w:t>
      </w:r>
      <w:r>
        <w:rPr>
          <w:rFonts w:hint="eastAsia" w:ascii="仿宋_GB2312" w:hAnsi="仿宋_GB2312" w:eastAsia="仿宋_GB2312" w:cs="仿宋_GB2312"/>
          <w:b w:val="0"/>
          <w:bCs w:val="0"/>
          <w:color w:val="auto"/>
          <w:spacing w:val="0"/>
          <w:sz w:val="32"/>
          <w:szCs w:val="32"/>
          <w:highlight w:val="none"/>
        </w:rPr>
        <w:t>节能环保支出</w:t>
      </w:r>
      <w:r>
        <w:rPr>
          <w:rFonts w:hint="eastAsia" w:ascii="Times New Roman" w:hAnsi="Times New Roman" w:eastAsia="仿宋_GB2312" w:cs="Times New Roman"/>
          <w:b w:val="0"/>
          <w:bCs w:val="0"/>
          <w:color w:val="auto"/>
          <w:spacing w:val="0"/>
          <w:sz w:val="32"/>
          <w:szCs w:val="32"/>
          <w:highlight w:val="none"/>
        </w:rPr>
        <w:t>79.59万元，占2.1%；城乡社区支出3224.49万元，占85.28%；；除以上数据外其余科目类支出的数据均为零。</w:t>
      </w:r>
    </w:p>
    <w:p>
      <w:pPr>
        <w:pStyle w:val="2"/>
        <w:rPr>
          <w:rFonts w:hint="eastAsia" w:ascii="仿宋" w:hAnsi="仿宋" w:eastAsia="仿宋"/>
          <w:b w:val="0"/>
          <w:bCs w:val="0"/>
          <w:color w:val="auto"/>
          <w:spacing w:val="0"/>
          <w:sz w:val="32"/>
          <w:szCs w:val="32"/>
          <w:highlight w:val="none"/>
        </w:rPr>
      </w:pPr>
      <w:r>
        <w:rPr>
          <w:b w:val="0"/>
          <w:bCs w:val="0"/>
          <w:color w:val="auto"/>
          <w:spacing w:val="0"/>
          <w:sz w:val="32"/>
          <w:highlight w:val="none"/>
        </w:rPr>
        <mc:AlternateContent>
          <mc:Choice Requires="wps">
            <w:drawing>
              <wp:anchor distT="0" distB="0" distL="114300" distR="114300" simplePos="0" relativeHeight="251664384" behindDoc="0" locked="0" layoutInCell="1" allowOverlap="1">
                <wp:simplePos x="0" y="0"/>
                <wp:positionH relativeFrom="column">
                  <wp:posOffset>4099560</wp:posOffset>
                </wp:positionH>
                <wp:positionV relativeFrom="paragraph">
                  <wp:posOffset>143510</wp:posOffset>
                </wp:positionV>
                <wp:extent cx="932180" cy="482600"/>
                <wp:effectExtent l="0" t="0" r="1270" b="12700"/>
                <wp:wrapNone/>
                <wp:docPr id="11" name="文本框 7"/>
                <wp:cNvGraphicFramePr/>
                <a:graphic xmlns:a="http://schemas.openxmlformats.org/drawingml/2006/main">
                  <a:graphicData uri="http://schemas.microsoft.com/office/word/2010/wordprocessingShape">
                    <wps:wsp>
                      <wps:cNvSpPr txBox="true"/>
                      <wps:spPr>
                        <a:xfrm>
                          <a:off x="0" y="0"/>
                          <a:ext cx="932180" cy="482600"/>
                        </a:xfrm>
                        <a:prstGeom prst="rect">
                          <a:avLst/>
                        </a:prstGeom>
                        <a:solidFill>
                          <a:srgbClr val="FFFFFF"/>
                        </a:solidFill>
                        <a:ln>
                          <a:noFill/>
                        </a:ln>
                      </wps:spPr>
                      <wps:txbx>
                        <w:txbxContent>
                          <w:p>
                            <w:pPr>
                              <w:rPr>
                                <w:rFonts w:hint="default" w:eastAsia="宋体"/>
                                <w:sz w:val="18"/>
                                <w:szCs w:val="18"/>
                                <w:lang w:val="en-US" w:eastAsia="zh-CN"/>
                              </w:rPr>
                            </w:pPr>
                            <w:r>
                              <w:rPr>
                                <w:rFonts w:hint="eastAsia"/>
                                <w:sz w:val="18"/>
                                <w:szCs w:val="18"/>
                                <w:lang w:val="en-US" w:eastAsia="zh-CN"/>
                              </w:rPr>
                              <w:t>单位：万元</w:t>
                            </w:r>
                          </w:p>
                        </w:txbxContent>
                      </wps:txbx>
                      <wps:bodyPr upright="true"/>
                    </wps:wsp>
                  </a:graphicData>
                </a:graphic>
              </wp:anchor>
            </w:drawing>
          </mc:Choice>
          <mc:Fallback>
            <w:pict>
              <v:shape id="文本框 7" o:spid="_x0000_s1026" o:spt="202" type="#_x0000_t202" style="position:absolute;left:0pt;margin-left:322.8pt;margin-top:11.3pt;height:38pt;width:73.4pt;z-index:251664384;mso-width-relative:page;mso-height-relative:page;" fillcolor="#FFFFFF" filled="t" stroked="f" coordsize="21600,21600" o:gfxdata="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Ache722AAAAAkBAAAPAAAAAAAAAAEAIAAAADgAAABkcnMvZG93bnJldi54bWxQ&#10;SwECFAAUAAAACACHTuJAFDosC6gBAAAvAwAADgAAAAAAAAABACAAAAA9AQAAZHJzL2Uyb0RvYy54&#10;bWxQSwUGAAAAAAYABgBZAQAAVwUAAAAA&#10;">
                <v:fill on="t" focussize="0,0"/>
                <v:stroke on="f"/>
                <v:imagedata o:title=""/>
                <o:lock v:ext="edit" aspectratio="f"/>
                <v:textbox>
                  <w:txbxContent>
                    <w:p>
                      <w:pPr>
                        <w:rPr>
                          <w:rFonts w:hint="default" w:eastAsia="宋体"/>
                          <w:sz w:val="18"/>
                          <w:szCs w:val="18"/>
                          <w:lang w:val="en-US" w:eastAsia="zh-CN"/>
                        </w:rPr>
                      </w:pPr>
                      <w:r>
                        <w:rPr>
                          <w:rFonts w:hint="eastAsia"/>
                          <w:sz w:val="18"/>
                          <w:szCs w:val="18"/>
                          <w:lang w:val="en-US" w:eastAsia="zh-CN"/>
                        </w:rPr>
                        <w:t>单位：万元</w:t>
                      </w:r>
                    </w:p>
                  </w:txbxContent>
                </v:textbox>
              </v:shape>
            </w:pict>
          </mc:Fallback>
        </mc:AlternateContent>
      </w:r>
      <w:r>
        <w:rPr>
          <w:rFonts w:hint="eastAsia" w:ascii="仿宋" w:hAnsi="仿宋" w:eastAsia="仿宋"/>
          <w:b w:val="0"/>
          <w:bCs w:val="0"/>
          <w:color w:val="auto"/>
          <w:spacing w:val="0"/>
          <w:sz w:val="32"/>
          <w:szCs w:val="32"/>
          <w:highlight w:val="none"/>
          <w:lang w:eastAsia="zh-CN"/>
        </w:rPr>
        <w:drawing>
          <wp:inline distT="0" distB="0" distL="114300" distR="114300">
            <wp:extent cx="5080000" cy="2776220"/>
            <wp:effectExtent l="4445" t="4445" r="20955" b="1968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7"/>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rPr>
      </w:pPr>
      <w:bookmarkStart w:id="37" w:name="_Toc15377212"/>
      <w:r>
        <w:rPr>
          <w:rFonts w:hint="eastAsia" w:ascii="方正楷体简体" w:hAnsi="方正楷体简体" w:eastAsia="方正楷体简体" w:cs="方正楷体简体"/>
          <w:b w:val="0"/>
          <w:bCs w:val="0"/>
          <w:color w:val="auto"/>
          <w:spacing w:val="0"/>
          <w:sz w:val="32"/>
          <w:szCs w:val="32"/>
          <w:highlight w:val="none"/>
        </w:rPr>
        <w:t>（三）一般公共预算财政拨款支出决算具体情况</w:t>
      </w:r>
      <w:bookmarkEnd w:id="37"/>
    </w:p>
    <w:p>
      <w:pPr>
        <w:pStyle w:val="7"/>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outlineLvl w:val="2"/>
        <w:rPr>
          <w:rFonts w:hint="eastAsia" w:ascii="Times New Roman" w:hAnsi="Times New Roman" w:eastAsia="仿宋_GB2312" w:cs="Times New Roman"/>
          <w:b w:val="0"/>
          <w:bCs w:val="0"/>
          <w:color w:val="auto"/>
          <w:spacing w:val="0"/>
          <w:kern w:val="2"/>
          <w:sz w:val="32"/>
          <w:szCs w:val="32"/>
          <w:highlight w:val="none"/>
          <w:lang w:val="en-US" w:eastAsia="zh-CN" w:bidi="ar-SA"/>
        </w:rPr>
      </w:pPr>
      <w:bookmarkStart w:id="38" w:name="_Toc15377213"/>
      <w:bookmarkStart w:id="39" w:name="_Toc15377444"/>
      <w:bookmarkStart w:id="40" w:name="_Toc15378460"/>
      <w:r>
        <w:rPr>
          <w:rFonts w:hint="eastAsia" w:ascii="Times New Roman" w:hAnsi="Times New Roman" w:eastAsia="仿宋_GB2312" w:cs="Times New Roman"/>
          <w:b w:val="0"/>
          <w:bCs w:val="0"/>
          <w:color w:val="auto"/>
          <w:spacing w:val="0"/>
          <w:kern w:val="2"/>
          <w:sz w:val="32"/>
          <w:szCs w:val="32"/>
          <w:highlight w:val="none"/>
          <w:lang w:val="en-US" w:eastAsia="zh-CN" w:bidi="ar-SA"/>
        </w:rPr>
        <w:t>2021年一般公共预算支出决算数为3781.23万元，完成预算69.4%。其中：</w:t>
      </w:r>
      <w:bookmarkEnd w:id="38"/>
      <w:bookmarkEnd w:id="39"/>
      <w:bookmarkEnd w:id="40"/>
    </w:p>
    <w:p>
      <w:pPr>
        <w:spacing w:line="576" w:lineRule="exact"/>
        <w:ind w:firstLine="640" w:firstLineChars="200"/>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ascii="Times New Roman" w:hAnsi="Times New Roman" w:eastAsia="仿宋_GB2312" w:cs="Times New Roman"/>
          <w:b w:val="0"/>
          <w:bCs w:val="0"/>
          <w:color w:val="auto"/>
          <w:spacing w:val="0"/>
          <w:kern w:val="2"/>
          <w:sz w:val="32"/>
          <w:szCs w:val="32"/>
          <w:highlight w:val="none"/>
          <w:lang w:val="en-US" w:eastAsia="zh-CN" w:bidi="ar-SA"/>
        </w:rPr>
        <w:t>1. 社会保障和就业支出（类）行政事业单位养老支出（款）机关事业单位基本养老保险缴费支出（项）</w:t>
      </w:r>
      <w:r>
        <w:rPr>
          <w:rFonts w:hint="eastAsia" w:eastAsia="仿宋_GB2312" w:cs="Times New Roman"/>
          <w:b w:val="0"/>
          <w:bCs w:val="0"/>
          <w:color w:val="auto"/>
          <w:spacing w:val="0"/>
          <w:kern w:val="2"/>
          <w:sz w:val="32"/>
          <w:szCs w:val="32"/>
          <w:highlight w:val="none"/>
          <w:lang w:val="en-US" w:eastAsia="zh-CN" w:bidi="ar-SA"/>
        </w:rPr>
        <w:t>：</w:t>
      </w:r>
      <w:r>
        <w:rPr>
          <w:rFonts w:hint="eastAsia" w:ascii="Times New Roman" w:hAnsi="Times New Roman" w:eastAsia="仿宋_GB2312" w:cs="Times New Roman"/>
          <w:b w:val="0"/>
          <w:bCs w:val="0"/>
          <w:color w:val="auto"/>
          <w:spacing w:val="0"/>
          <w:kern w:val="2"/>
          <w:sz w:val="32"/>
          <w:szCs w:val="32"/>
          <w:highlight w:val="none"/>
          <w:lang w:val="en-US" w:eastAsia="zh-CN" w:bidi="ar-SA"/>
        </w:rPr>
        <w:t xml:space="preserve"> 支出决算为174.45万元，完成预算100%，决算数与预算数持平。</w:t>
      </w:r>
    </w:p>
    <w:p>
      <w:pPr>
        <w:spacing w:line="576" w:lineRule="exact"/>
        <w:ind w:firstLine="640" w:firstLineChars="200"/>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eastAsia="仿宋_GB2312" w:cs="Times New Roman"/>
          <w:b w:val="0"/>
          <w:bCs w:val="0"/>
          <w:color w:val="auto"/>
          <w:spacing w:val="0"/>
          <w:kern w:val="2"/>
          <w:sz w:val="32"/>
          <w:szCs w:val="32"/>
          <w:highlight w:val="none"/>
          <w:lang w:val="en-US" w:eastAsia="zh-CN" w:bidi="ar-SA"/>
        </w:rPr>
        <w:t xml:space="preserve">2. </w:t>
      </w:r>
      <w:r>
        <w:rPr>
          <w:rFonts w:hint="eastAsia" w:ascii="Times New Roman" w:hAnsi="Times New Roman" w:eastAsia="仿宋_GB2312" w:cs="Times New Roman"/>
          <w:b w:val="0"/>
          <w:bCs w:val="0"/>
          <w:color w:val="auto"/>
          <w:spacing w:val="0"/>
          <w:kern w:val="2"/>
          <w:sz w:val="32"/>
          <w:szCs w:val="32"/>
          <w:highlight w:val="none"/>
          <w:lang w:val="en-US" w:eastAsia="zh-CN" w:bidi="ar-SA"/>
        </w:rPr>
        <w:t>社会保障和就业支出（类）行政事业单位养老支出（款）机关事业单位职业年金缴费支出（项）</w:t>
      </w:r>
      <w:r>
        <w:rPr>
          <w:rFonts w:hint="eastAsia" w:eastAsia="仿宋_GB2312" w:cs="Times New Roman"/>
          <w:b w:val="0"/>
          <w:bCs w:val="0"/>
          <w:color w:val="auto"/>
          <w:spacing w:val="0"/>
          <w:kern w:val="2"/>
          <w:sz w:val="32"/>
          <w:szCs w:val="32"/>
          <w:highlight w:val="none"/>
          <w:lang w:val="en-US" w:eastAsia="zh-CN" w:bidi="ar-SA"/>
        </w:rPr>
        <w:t>:</w:t>
      </w:r>
      <w:r>
        <w:rPr>
          <w:rFonts w:hint="eastAsia" w:ascii="Times New Roman" w:hAnsi="Times New Roman" w:eastAsia="仿宋_GB2312" w:cs="Times New Roman"/>
          <w:b w:val="0"/>
          <w:bCs w:val="0"/>
          <w:color w:val="auto"/>
          <w:spacing w:val="0"/>
          <w:kern w:val="2"/>
          <w:sz w:val="32"/>
          <w:szCs w:val="32"/>
          <w:highlight w:val="none"/>
          <w:lang w:val="en-US" w:eastAsia="zh-CN" w:bidi="ar-SA"/>
        </w:rPr>
        <w:t xml:space="preserve"> 支出决算为18.65万元，完成预算100%，决算数与预算数持平。</w:t>
      </w:r>
    </w:p>
    <w:p>
      <w:pPr>
        <w:spacing w:line="576" w:lineRule="exact"/>
        <w:ind w:firstLine="640" w:firstLineChars="200"/>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eastAsia="仿宋_GB2312" w:cs="Times New Roman"/>
          <w:b w:val="0"/>
          <w:bCs w:val="0"/>
          <w:color w:val="auto"/>
          <w:spacing w:val="0"/>
          <w:kern w:val="2"/>
          <w:sz w:val="32"/>
          <w:szCs w:val="32"/>
          <w:highlight w:val="none"/>
          <w:lang w:val="en-US" w:eastAsia="zh-CN" w:bidi="ar-SA"/>
        </w:rPr>
        <w:t>3</w:t>
      </w:r>
      <w:r>
        <w:rPr>
          <w:rFonts w:hint="eastAsia" w:ascii="Times New Roman" w:hAnsi="Times New Roman" w:eastAsia="仿宋_GB2312" w:cs="Times New Roman"/>
          <w:b w:val="0"/>
          <w:bCs w:val="0"/>
          <w:color w:val="auto"/>
          <w:spacing w:val="0"/>
          <w:kern w:val="2"/>
          <w:sz w:val="32"/>
          <w:szCs w:val="32"/>
          <w:highlight w:val="none"/>
          <w:lang w:val="en-US" w:eastAsia="zh-CN" w:bidi="ar-SA"/>
        </w:rPr>
        <w:t>. 卫生健康支出（类）公共卫生（款）基本公共卫生服务（项）：支出决算数为3万元，完成预算100%，决算数与预算数持平。</w:t>
      </w:r>
    </w:p>
    <w:p>
      <w:pPr>
        <w:spacing w:line="576" w:lineRule="exact"/>
        <w:ind w:firstLine="640" w:firstLineChars="200"/>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eastAsia="仿宋_GB2312" w:cs="Times New Roman"/>
          <w:b w:val="0"/>
          <w:bCs w:val="0"/>
          <w:color w:val="auto"/>
          <w:spacing w:val="0"/>
          <w:kern w:val="2"/>
          <w:sz w:val="32"/>
          <w:szCs w:val="32"/>
          <w:highlight w:val="none"/>
          <w:lang w:val="en-US" w:eastAsia="zh-CN" w:bidi="ar-SA"/>
        </w:rPr>
        <w:t>4</w:t>
      </w:r>
      <w:r>
        <w:rPr>
          <w:rFonts w:hint="eastAsia" w:ascii="Times New Roman" w:hAnsi="Times New Roman" w:eastAsia="仿宋_GB2312" w:cs="Times New Roman"/>
          <w:b w:val="0"/>
          <w:bCs w:val="0"/>
          <w:color w:val="auto"/>
          <w:spacing w:val="0"/>
          <w:kern w:val="2"/>
          <w:sz w:val="32"/>
          <w:szCs w:val="32"/>
          <w:highlight w:val="none"/>
          <w:lang w:val="en-US" w:eastAsia="zh-CN" w:bidi="ar-SA"/>
        </w:rPr>
        <w:t>. 卫生健康支出（类）行政事业单位医疗（款）行政单位医疗（项）：支出决算数为71.45万元，完成预算100%，决算数与预算数持平。</w:t>
      </w:r>
    </w:p>
    <w:p>
      <w:pPr>
        <w:spacing w:line="576" w:lineRule="exact"/>
        <w:ind w:firstLine="640" w:firstLineChars="200"/>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eastAsia="仿宋_GB2312" w:cs="Times New Roman"/>
          <w:b w:val="0"/>
          <w:bCs w:val="0"/>
          <w:color w:val="auto"/>
          <w:spacing w:val="0"/>
          <w:kern w:val="2"/>
          <w:sz w:val="32"/>
          <w:szCs w:val="32"/>
          <w:highlight w:val="none"/>
          <w:lang w:val="en-US" w:eastAsia="zh-CN" w:bidi="ar-SA"/>
        </w:rPr>
        <w:t xml:space="preserve">5. </w:t>
      </w:r>
      <w:r>
        <w:rPr>
          <w:rFonts w:hint="eastAsia" w:ascii="Times New Roman" w:hAnsi="Times New Roman" w:eastAsia="仿宋_GB2312" w:cs="Times New Roman"/>
          <w:b w:val="0"/>
          <w:bCs w:val="0"/>
          <w:color w:val="auto"/>
          <w:spacing w:val="0"/>
          <w:kern w:val="2"/>
          <w:sz w:val="32"/>
          <w:szCs w:val="32"/>
          <w:highlight w:val="none"/>
          <w:lang w:val="en-US" w:eastAsia="zh-CN" w:bidi="ar-SA"/>
        </w:rPr>
        <w:t>卫生健康支出（类）行政事业单位医疗（款）事业单位医疗（项）：支出决算数为7.38万元，完成预算100%，决算数与预算数持平。</w:t>
      </w:r>
    </w:p>
    <w:p>
      <w:pPr>
        <w:spacing w:line="576" w:lineRule="exact"/>
        <w:ind w:firstLine="640" w:firstLineChars="200"/>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eastAsia="仿宋_GB2312" w:cs="Times New Roman"/>
          <w:b w:val="0"/>
          <w:bCs w:val="0"/>
          <w:color w:val="auto"/>
          <w:spacing w:val="0"/>
          <w:kern w:val="2"/>
          <w:sz w:val="32"/>
          <w:szCs w:val="32"/>
          <w:highlight w:val="none"/>
          <w:lang w:val="en-US" w:eastAsia="zh-CN" w:bidi="ar-SA"/>
        </w:rPr>
        <w:t>6</w:t>
      </w:r>
      <w:r>
        <w:rPr>
          <w:rFonts w:hint="eastAsia" w:ascii="Times New Roman" w:hAnsi="Times New Roman" w:eastAsia="仿宋_GB2312" w:cs="Times New Roman"/>
          <w:b w:val="0"/>
          <w:bCs w:val="0"/>
          <w:color w:val="auto"/>
          <w:spacing w:val="0"/>
          <w:kern w:val="2"/>
          <w:sz w:val="32"/>
          <w:szCs w:val="32"/>
          <w:highlight w:val="none"/>
          <w:lang w:val="en-US" w:eastAsia="zh-CN" w:bidi="ar-SA"/>
        </w:rPr>
        <w:t>. 节能环保支出（类）污染防治（款）大气（项）</w:t>
      </w:r>
      <w:r>
        <w:rPr>
          <w:rFonts w:hint="eastAsia" w:eastAsia="仿宋_GB2312" w:cs="Times New Roman"/>
          <w:b w:val="0"/>
          <w:bCs w:val="0"/>
          <w:color w:val="auto"/>
          <w:spacing w:val="0"/>
          <w:kern w:val="2"/>
          <w:sz w:val="32"/>
          <w:szCs w:val="32"/>
          <w:highlight w:val="none"/>
          <w:lang w:val="en-US" w:eastAsia="zh-CN" w:bidi="ar-SA"/>
        </w:rPr>
        <w:t>：</w:t>
      </w:r>
      <w:r>
        <w:rPr>
          <w:rFonts w:hint="eastAsia" w:ascii="Times New Roman" w:hAnsi="Times New Roman" w:eastAsia="仿宋_GB2312" w:cs="Times New Roman"/>
          <w:b w:val="0"/>
          <w:bCs w:val="0"/>
          <w:color w:val="auto"/>
          <w:spacing w:val="0"/>
          <w:kern w:val="2"/>
          <w:sz w:val="32"/>
          <w:szCs w:val="32"/>
          <w:highlight w:val="none"/>
          <w:lang w:val="en-US" w:eastAsia="zh-CN" w:bidi="ar-SA"/>
        </w:rPr>
        <w:t>支出决算数为79.59万元，完成预算90.87%，决算数小于预算数的主要原因是由于疫情原因，项目未实施。</w:t>
      </w:r>
    </w:p>
    <w:p>
      <w:pPr>
        <w:spacing w:line="576" w:lineRule="exact"/>
        <w:ind w:firstLine="640" w:firstLineChars="200"/>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eastAsia="仿宋_GB2312" w:cs="Times New Roman"/>
          <w:b w:val="0"/>
          <w:bCs w:val="0"/>
          <w:color w:val="auto"/>
          <w:spacing w:val="0"/>
          <w:kern w:val="2"/>
          <w:sz w:val="32"/>
          <w:szCs w:val="32"/>
          <w:highlight w:val="none"/>
          <w:lang w:val="en-US" w:eastAsia="zh-CN" w:bidi="ar-SA"/>
        </w:rPr>
        <w:t>7</w:t>
      </w:r>
      <w:r>
        <w:rPr>
          <w:rFonts w:hint="eastAsia" w:ascii="Times New Roman" w:hAnsi="Times New Roman" w:eastAsia="仿宋_GB2312" w:cs="Times New Roman"/>
          <w:b w:val="0"/>
          <w:bCs w:val="0"/>
          <w:color w:val="auto"/>
          <w:spacing w:val="0"/>
          <w:kern w:val="2"/>
          <w:sz w:val="32"/>
          <w:szCs w:val="32"/>
          <w:highlight w:val="none"/>
          <w:lang w:val="en-US" w:eastAsia="zh-CN" w:bidi="ar-SA"/>
        </w:rPr>
        <w:t>. 城乡社区支出（类）城乡社区管理事务（款）城管执法（项）</w:t>
      </w:r>
      <w:r>
        <w:rPr>
          <w:rFonts w:hint="eastAsia" w:eastAsia="仿宋_GB2312" w:cs="Times New Roman"/>
          <w:b w:val="0"/>
          <w:bCs w:val="0"/>
          <w:color w:val="auto"/>
          <w:spacing w:val="0"/>
          <w:kern w:val="2"/>
          <w:sz w:val="32"/>
          <w:szCs w:val="32"/>
          <w:highlight w:val="none"/>
          <w:lang w:val="en-US" w:eastAsia="zh-CN" w:bidi="ar-SA"/>
        </w:rPr>
        <w:t>：</w:t>
      </w:r>
      <w:r>
        <w:rPr>
          <w:rFonts w:hint="eastAsia" w:ascii="Times New Roman" w:hAnsi="Times New Roman" w:eastAsia="仿宋_GB2312" w:cs="Times New Roman"/>
          <w:b w:val="0"/>
          <w:bCs w:val="0"/>
          <w:color w:val="auto"/>
          <w:spacing w:val="0"/>
          <w:kern w:val="2"/>
          <w:sz w:val="32"/>
          <w:szCs w:val="32"/>
          <w:highlight w:val="none"/>
          <w:lang w:val="en-US" w:eastAsia="zh-CN" w:bidi="ar-SA"/>
        </w:rPr>
        <w:t>支出决算数3056.35万元，完成预算64.81%，决算数小于预算数的主要原因是项目跨年还在实施中，未验收按照合同约定未能支付。</w:t>
      </w:r>
    </w:p>
    <w:p>
      <w:pPr>
        <w:spacing w:line="576" w:lineRule="exact"/>
        <w:ind w:firstLine="640" w:firstLineChars="200"/>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eastAsia="仿宋_GB2312" w:cs="Times New Roman"/>
          <w:b w:val="0"/>
          <w:bCs w:val="0"/>
          <w:color w:val="auto"/>
          <w:spacing w:val="0"/>
          <w:kern w:val="2"/>
          <w:sz w:val="32"/>
          <w:szCs w:val="32"/>
          <w:highlight w:val="none"/>
          <w:lang w:val="en-US" w:eastAsia="zh-CN" w:bidi="ar-SA"/>
        </w:rPr>
        <w:t xml:space="preserve">8. </w:t>
      </w:r>
      <w:r>
        <w:rPr>
          <w:rFonts w:hint="eastAsia" w:ascii="Times New Roman" w:hAnsi="Times New Roman" w:eastAsia="仿宋_GB2312" w:cs="Times New Roman"/>
          <w:b w:val="0"/>
          <w:bCs w:val="0"/>
          <w:color w:val="auto"/>
          <w:spacing w:val="0"/>
          <w:kern w:val="2"/>
          <w:sz w:val="32"/>
          <w:szCs w:val="32"/>
          <w:highlight w:val="none"/>
          <w:lang w:val="en-US" w:eastAsia="zh-CN" w:bidi="ar-SA"/>
        </w:rPr>
        <w:t>城乡社区支出（类）城乡社区管理事务（款）其他城乡社区管理事务支出（项）</w:t>
      </w:r>
      <w:r>
        <w:rPr>
          <w:rFonts w:hint="eastAsia" w:eastAsia="仿宋_GB2312" w:cs="Times New Roman"/>
          <w:b w:val="0"/>
          <w:bCs w:val="0"/>
          <w:color w:val="auto"/>
          <w:spacing w:val="0"/>
          <w:kern w:val="2"/>
          <w:sz w:val="32"/>
          <w:szCs w:val="32"/>
          <w:highlight w:val="none"/>
          <w:lang w:val="en-US" w:eastAsia="zh-CN" w:bidi="ar-SA"/>
        </w:rPr>
        <w:t>:</w:t>
      </w:r>
      <w:r>
        <w:rPr>
          <w:rFonts w:hint="eastAsia" w:ascii="Times New Roman" w:hAnsi="Times New Roman" w:eastAsia="仿宋_GB2312" w:cs="Times New Roman"/>
          <w:b w:val="0"/>
          <w:bCs w:val="0"/>
          <w:color w:val="auto"/>
          <w:spacing w:val="0"/>
          <w:kern w:val="2"/>
          <w:sz w:val="32"/>
          <w:szCs w:val="32"/>
          <w:highlight w:val="none"/>
          <w:lang w:val="en-US" w:eastAsia="zh-CN" w:bidi="ar-SA"/>
        </w:rPr>
        <w:t>支出决算数为168.14万元，完成预算</w:t>
      </w:r>
      <w:r>
        <w:rPr>
          <w:rFonts w:hint="eastAsia" w:eastAsia="仿宋_GB2312" w:cs="Times New Roman"/>
          <w:b w:val="0"/>
          <w:bCs w:val="0"/>
          <w:color w:val="auto"/>
          <w:spacing w:val="0"/>
          <w:kern w:val="2"/>
          <w:sz w:val="32"/>
          <w:szCs w:val="32"/>
          <w:highlight w:val="none"/>
          <w:lang w:val="en-US" w:eastAsia="zh-CN" w:bidi="ar-SA"/>
        </w:rPr>
        <w:t>100</w:t>
      </w:r>
      <w:r>
        <w:rPr>
          <w:rFonts w:hint="eastAsia" w:ascii="Times New Roman" w:hAnsi="Times New Roman" w:eastAsia="仿宋_GB2312" w:cs="Times New Roman"/>
          <w:b w:val="0"/>
          <w:bCs w:val="0"/>
          <w:color w:val="auto"/>
          <w:spacing w:val="0"/>
          <w:kern w:val="2"/>
          <w:sz w:val="32"/>
          <w:szCs w:val="32"/>
          <w:highlight w:val="none"/>
          <w:lang w:val="en-US" w:eastAsia="zh-CN" w:bidi="ar-SA"/>
        </w:rPr>
        <w:t>%，决算数与预算数持平。</w:t>
      </w:r>
    </w:p>
    <w:p>
      <w:pPr>
        <w:spacing w:line="576" w:lineRule="exact"/>
        <w:ind w:firstLine="640" w:firstLineChars="200"/>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eastAsia="仿宋_GB2312" w:cs="Times New Roman"/>
          <w:b w:val="0"/>
          <w:bCs w:val="0"/>
          <w:color w:val="auto"/>
          <w:spacing w:val="0"/>
          <w:kern w:val="2"/>
          <w:sz w:val="32"/>
          <w:szCs w:val="32"/>
          <w:highlight w:val="none"/>
          <w:lang w:val="en-US" w:eastAsia="zh-CN" w:bidi="ar-SA"/>
        </w:rPr>
        <w:t>9</w:t>
      </w:r>
      <w:r>
        <w:rPr>
          <w:rFonts w:hint="eastAsia" w:ascii="Times New Roman" w:hAnsi="Times New Roman" w:eastAsia="仿宋_GB2312" w:cs="Times New Roman"/>
          <w:b w:val="0"/>
          <w:bCs w:val="0"/>
          <w:color w:val="auto"/>
          <w:spacing w:val="0"/>
          <w:kern w:val="2"/>
          <w:sz w:val="32"/>
          <w:szCs w:val="32"/>
          <w:highlight w:val="none"/>
          <w:lang w:val="en-US" w:eastAsia="zh-CN" w:bidi="ar-SA"/>
        </w:rPr>
        <w:t>.</w:t>
      </w:r>
      <w:r>
        <w:rPr>
          <w:rFonts w:hint="eastAsia" w:eastAsia="仿宋_GB2312" w:cs="Times New Roman"/>
          <w:b w:val="0"/>
          <w:bCs w:val="0"/>
          <w:color w:val="auto"/>
          <w:spacing w:val="0"/>
          <w:kern w:val="2"/>
          <w:sz w:val="32"/>
          <w:szCs w:val="32"/>
          <w:highlight w:val="none"/>
          <w:lang w:val="en-US" w:eastAsia="zh-CN" w:bidi="ar-SA"/>
        </w:rPr>
        <w:t xml:space="preserve"> </w:t>
      </w:r>
      <w:r>
        <w:rPr>
          <w:rFonts w:hint="eastAsia" w:ascii="Times New Roman" w:hAnsi="Times New Roman" w:eastAsia="仿宋_GB2312" w:cs="Times New Roman"/>
          <w:b w:val="0"/>
          <w:bCs w:val="0"/>
          <w:color w:val="auto"/>
          <w:spacing w:val="0"/>
          <w:kern w:val="2"/>
          <w:sz w:val="32"/>
          <w:szCs w:val="32"/>
          <w:highlight w:val="none"/>
          <w:lang w:val="en-US" w:eastAsia="zh-CN" w:bidi="ar-SA"/>
        </w:rPr>
        <w:t>住房保障支出（类）住房改革支出（款）住房公积金（项）：支出决算数为202.21万元，完成预算100%</w:t>
      </w:r>
      <w:r>
        <w:rPr>
          <w:rFonts w:hint="eastAsia" w:eastAsia="仿宋_GB2312" w:cs="Times New Roman"/>
          <w:b w:val="0"/>
          <w:bCs w:val="0"/>
          <w:color w:val="auto"/>
          <w:spacing w:val="0"/>
          <w:kern w:val="2"/>
          <w:sz w:val="32"/>
          <w:szCs w:val="32"/>
          <w:highlight w:val="none"/>
          <w:lang w:val="en-US" w:eastAsia="zh-CN" w:bidi="ar-SA"/>
        </w:rPr>
        <w:t>，</w:t>
      </w:r>
      <w:r>
        <w:rPr>
          <w:rFonts w:hint="eastAsia" w:ascii="Times New Roman" w:hAnsi="Times New Roman" w:eastAsia="仿宋_GB2312" w:cs="Times New Roman"/>
          <w:b w:val="0"/>
          <w:bCs w:val="0"/>
          <w:color w:val="auto"/>
          <w:spacing w:val="0"/>
          <w:kern w:val="2"/>
          <w:sz w:val="32"/>
          <w:szCs w:val="32"/>
          <w:highlight w:val="none"/>
          <w:lang w:val="en-US" w:eastAsia="zh-CN" w:bidi="ar-SA"/>
        </w:rPr>
        <w:t>决算数与预算数持平。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bookmarkStart w:id="41" w:name="_Toc15396608"/>
      <w:bookmarkStart w:id="42" w:name="_Toc15377214"/>
      <w:r>
        <w:rPr>
          <w:rFonts w:hint="eastAsia" w:ascii="方正黑体简体" w:hAnsi="方正黑体简体" w:eastAsia="方正黑体简体" w:cs="方正黑体简体"/>
          <w:b w:val="0"/>
          <w:bCs w:val="0"/>
          <w:color w:val="auto"/>
          <w:spacing w:val="0"/>
          <w:sz w:val="32"/>
          <w:szCs w:val="32"/>
          <w:highlight w:val="none"/>
        </w:rPr>
        <w:t>六、一般公共预算财政拨款基本支出决算情况说明</w:t>
      </w:r>
      <w:bookmarkEnd w:id="41"/>
      <w:bookmarkEnd w:id="42"/>
      <w:r>
        <w:rPr>
          <w:rFonts w:hint="eastAsia" w:ascii="方正黑体简体" w:hAnsi="方正黑体简体" w:eastAsia="方正黑体简体" w:cs="方正黑体简体"/>
          <w:b w:val="0"/>
          <w:bCs w:val="0"/>
          <w:color w:val="auto"/>
          <w:spacing w:val="0"/>
          <w:sz w:val="32"/>
          <w:szCs w:val="32"/>
          <w:highlight w:val="none"/>
        </w:rPr>
        <w:tab/>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2021年一般公共预算财政拨款基本支出2536.7万元，其中：</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人员经费2166.78万元，主要包括：基本工资、津贴补贴、奖金、绩效工资、机关事业单位基本养老保险缴费、职业年金缴费、职工基本医疗保险缴费、其他社会保障缴费、其他工资福利支出、生活补助、奖励金、住房公积金、其他对个人和家庭的补助支出等。</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公用经费369.92万元，主要包括：办公费、印刷费、咨询费、手续费、</w:t>
      </w:r>
      <w:bookmarkStart w:id="74" w:name="_GoBack"/>
      <w:bookmarkEnd w:id="74"/>
      <w:r>
        <w:rPr>
          <w:rFonts w:hint="eastAsia" w:ascii="Times New Roman" w:hAnsi="Times New Roman" w:eastAsia="仿宋_GB2312" w:cs="Times New Roman"/>
          <w:b w:val="0"/>
          <w:bCs w:val="0"/>
          <w:color w:val="auto"/>
          <w:spacing w:val="0"/>
          <w:sz w:val="32"/>
          <w:szCs w:val="32"/>
          <w:highlight w:val="none"/>
        </w:rPr>
        <w:t>水费、电费、邮电费、物业管理费、差旅费、维修（护）费、租赁费、培训费、专业材料费、公务接待费、劳务费、委托业务费、工会经费、福利费、公务用车运行维护费、其他交通费、其他商品和服务支出等。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bookmarkStart w:id="43" w:name="_Toc15377215"/>
      <w:bookmarkStart w:id="44" w:name="_Toc15396609"/>
      <w:r>
        <w:rPr>
          <w:rFonts w:hint="eastAsia" w:ascii="方正黑体简体" w:hAnsi="方正黑体简体" w:eastAsia="方正黑体简体" w:cs="方正黑体简体"/>
          <w:b w:val="0"/>
          <w:bCs w:val="0"/>
          <w:color w:val="auto"/>
          <w:spacing w:val="0"/>
          <w:sz w:val="32"/>
          <w:szCs w:val="32"/>
          <w:highlight w:val="none"/>
        </w:rPr>
        <w:t>七、“三公”经费财政拨款支出决算情况说明</w:t>
      </w:r>
      <w:bookmarkEnd w:id="43"/>
      <w:bookmarkEnd w:id="44"/>
    </w:p>
    <w:p>
      <w:pPr>
        <w:pStyle w:val="7"/>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rPr>
      </w:pPr>
      <w:bookmarkStart w:id="45" w:name="_Toc15377216"/>
      <w:r>
        <w:rPr>
          <w:rFonts w:hint="eastAsia" w:ascii="方正楷体简体" w:hAnsi="方正楷体简体" w:eastAsia="方正楷体简体" w:cs="方正楷体简体"/>
          <w:b w:val="0"/>
          <w:bCs w:val="0"/>
          <w:color w:val="auto"/>
          <w:spacing w:val="0"/>
          <w:sz w:val="32"/>
          <w:szCs w:val="32"/>
          <w:highlight w:val="none"/>
        </w:rPr>
        <w:t>（一）“三公”经费财政拨款支出决算总体情况说明</w:t>
      </w:r>
      <w:bookmarkEnd w:id="45"/>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2021年“三公”经费财政拨款支出决算为14.42万元，完成预算84.18%，决算数小于预算数的主要原因是倡导厉</w:t>
      </w:r>
      <w:r>
        <w:rPr>
          <w:rFonts w:hint="eastAsia" w:ascii="仿宋_GB2312" w:hAnsi="仿宋_GB2312" w:eastAsia="仿宋_GB2312" w:cs="仿宋_GB2312"/>
          <w:b w:val="0"/>
          <w:bCs w:val="0"/>
          <w:color w:val="auto"/>
          <w:spacing w:val="0"/>
          <w:sz w:val="32"/>
          <w:szCs w:val="32"/>
          <w:highlight w:val="none"/>
        </w:rPr>
        <w:t>行</w:t>
      </w:r>
      <w:r>
        <w:rPr>
          <w:rFonts w:hint="eastAsia" w:ascii="Times New Roman" w:hAnsi="Times New Roman" w:eastAsia="仿宋_GB2312" w:cs="Times New Roman"/>
          <w:b w:val="0"/>
          <w:bCs w:val="0"/>
          <w:color w:val="auto"/>
          <w:spacing w:val="0"/>
          <w:sz w:val="32"/>
          <w:szCs w:val="32"/>
          <w:highlight w:val="none"/>
        </w:rPr>
        <w:t>节约，精简开支，规范公务接待，严格控制公务接待标准和陪餐人数。</w:t>
      </w:r>
    </w:p>
    <w:p>
      <w:pPr>
        <w:pStyle w:val="7"/>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rPr>
      </w:pPr>
      <w:bookmarkStart w:id="46" w:name="_Toc15377217"/>
      <w:r>
        <w:rPr>
          <w:rFonts w:hint="eastAsia" w:ascii="方正楷体简体" w:hAnsi="方正楷体简体" w:eastAsia="方正楷体简体" w:cs="方正楷体简体"/>
          <w:b w:val="0"/>
          <w:bCs w:val="0"/>
          <w:color w:val="auto"/>
          <w:spacing w:val="0"/>
          <w:sz w:val="32"/>
          <w:szCs w:val="32"/>
          <w:highlight w:val="none"/>
        </w:rPr>
        <w:t>（二）“三公”经费财政拨款支出决算具体情况说明</w:t>
      </w:r>
      <w:bookmarkEnd w:id="46"/>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2021年“三公”经费财政拨款支出决算中，因公出国（境）费支出决算0万元，占0%；公务用车购置及运行维护费支出决算13.02万元，占90.29%；公务接待费支出决算1.4万元，占9.71%。具体情况如下：</w:t>
      </w:r>
    </w:p>
    <w:p>
      <w:pPr>
        <w:pStyle w:val="2"/>
        <w:rPr>
          <w:rFonts w:hint="eastAsia" w:ascii="仿宋" w:hAnsi="仿宋" w:eastAsia="仿宋"/>
          <w:b w:val="0"/>
          <w:bCs w:val="0"/>
          <w:color w:val="auto"/>
          <w:spacing w:val="0"/>
          <w:sz w:val="32"/>
          <w:szCs w:val="32"/>
          <w:highlight w:val="none"/>
        </w:rPr>
      </w:pPr>
      <w:r>
        <w:rPr>
          <w:b w:val="0"/>
          <w:bCs w:val="0"/>
          <w:color w:val="auto"/>
          <w:spacing w:val="0"/>
          <w:sz w:val="32"/>
          <w:highlight w:val="none"/>
        </w:rPr>
        <mc:AlternateContent>
          <mc:Choice Requires="wps">
            <w:drawing>
              <wp:anchor distT="0" distB="0" distL="114300" distR="114300" simplePos="0" relativeHeight="251665408" behindDoc="0" locked="0" layoutInCell="1" allowOverlap="1">
                <wp:simplePos x="0" y="0"/>
                <wp:positionH relativeFrom="column">
                  <wp:posOffset>4044315</wp:posOffset>
                </wp:positionH>
                <wp:positionV relativeFrom="paragraph">
                  <wp:posOffset>261620</wp:posOffset>
                </wp:positionV>
                <wp:extent cx="925830" cy="401320"/>
                <wp:effectExtent l="0" t="0" r="7620" b="17780"/>
                <wp:wrapNone/>
                <wp:docPr id="12" name="文本框 8"/>
                <wp:cNvGraphicFramePr/>
                <a:graphic xmlns:a="http://schemas.openxmlformats.org/drawingml/2006/main">
                  <a:graphicData uri="http://schemas.microsoft.com/office/word/2010/wordprocessingShape">
                    <wps:wsp>
                      <wps:cNvSpPr txBox="true"/>
                      <wps:spPr>
                        <a:xfrm>
                          <a:off x="0" y="0"/>
                          <a:ext cx="925830" cy="401320"/>
                        </a:xfrm>
                        <a:prstGeom prst="rect">
                          <a:avLst/>
                        </a:prstGeom>
                        <a:solidFill>
                          <a:srgbClr val="FFFFFF"/>
                        </a:solidFill>
                        <a:ln>
                          <a:noFill/>
                        </a:ln>
                      </wps:spPr>
                      <wps:txbx>
                        <w:txbxContent>
                          <w:p>
                            <w:pPr>
                              <w:rPr>
                                <w:rFonts w:hint="default" w:eastAsia="宋体"/>
                                <w:sz w:val="18"/>
                                <w:szCs w:val="18"/>
                                <w:lang w:val="en-US" w:eastAsia="zh-CN"/>
                              </w:rPr>
                            </w:pPr>
                            <w:r>
                              <w:rPr>
                                <w:rFonts w:hint="eastAsia"/>
                                <w:sz w:val="18"/>
                                <w:szCs w:val="18"/>
                                <w:lang w:val="en-US" w:eastAsia="zh-CN"/>
                              </w:rPr>
                              <w:t>单位：万元</w:t>
                            </w:r>
                          </w:p>
                        </w:txbxContent>
                      </wps:txbx>
                      <wps:bodyPr upright="true"/>
                    </wps:wsp>
                  </a:graphicData>
                </a:graphic>
              </wp:anchor>
            </w:drawing>
          </mc:Choice>
          <mc:Fallback>
            <w:pict>
              <v:shape id="文本框 8" o:spid="_x0000_s1026" o:spt="202" type="#_x0000_t202" style="position:absolute;left:0pt;margin-left:318.45pt;margin-top:20.6pt;height:31.6pt;width:72.9pt;z-index:251665408;mso-width-relative:page;mso-height-relative:page;" fillcolor="#FFFFFF" filled="t" stroked="f" coordsize="21600,21600" o:gfxdata="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HodfV9gAAAAKAQAADwAAAAAAAAABACAAAAA4AAAAZHJzL2Rvd25yZXYueG1s&#10;UEsBAhQAFAAAAAgAh07iQAsnz2upAQAALwMAAA4AAAAAAAAAAQAgAAAAPQEAAGRycy9lMm9Eb2Mu&#10;eG1sUEsFBgAAAAAGAAYAWQEAAFgFAAAAAA==&#10;">
                <v:fill on="t" focussize="0,0"/>
                <v:stroke on="f"/>
                <v:imagedata o:title=""/>
                <o:lock v:ext="edit" aspectratio="f"/>
                <v:textbox>
                  <w:txbxContent>
                    <w:p>
                      <w:pPr>
                        <w:rPr>
                          <w:rFonts w:hint="default" w:eastAsia="宋体"/>
                          <w:sz w:val="18"/>
                          <w:szCs w:val="18"/>
                          <w:lang w:val="en-US" w:eastAsia="zh-CN"/>
                        </w:rPr>
                      </w:pPr>
                      <w:r>
                        <w:rPr>
                          <w:rFonts w:hint="eastAsia"/>
                          <w:sz w:val="18"/>
                          <w:szCs w:val="18"/>
                          <w:lang w:val="en-US" w:eastAsia="zh-CN"/>
                        </w:rPr>
                        <w:t>单位：万元</w:t>
                      </w:r>
                    </w:p>
                  </w:txbxContent>
                </v:textbox>
              </v:shape>
            </w:pict>
          </mc:Fallback>
        </mc:AlternateContent>
      </w:r>
      <w:r>
        <w:rPr>
          <w:rFonts w:hint="eastAsia" w:ascii="仿宋" w:hAnsi="仿宋" w:eastAsia="仿宋"/>
          <w:b w:val="0"/>
          <w:bCs w:val="0"/>
          <w:color w:val="auto"/>
          <w:spacing w:val="0"/>
          <w:sz w:val="32"/>
          <w:szCs w:val="32"/>
          <w:highlight w:val="none"/>
          <w:lang w:eastAsia="zh-CN"/>
        </w:rPr>
        <w:drawing>
          <wp:inline distT="0" distB="0" distL="114300" distR="114300">
            <wp:extent cx="5149215" cy="2726690"/>
            <wp:effectExtent l="4445" t="4445" r="8890" b="1206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1.</w:t>
      </w:r>
      <w:r>
        <w:rPr>
          <w:rFonts w:hint="eastAsia"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rPr>
        <w:t>因公出国（境）经费支出0万元，年初未安排预算。因公出国（境）支出决算较2020年无变化。</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eastAsia" w:ascii="Times New Roman" w:hAnsi="Times New Roman" w:eastAsia="仿宋_GB2312" w:cs="Times New Roman"/>
          <w:b w:val="0"/>
          <w:bCs w:val="0"/>
          <w:color w:val="auto"/>
          <w:spacing w:val="0"/>
          <w:sz w:val="32"/>
          <w:szCs w:val="32"/>
          <w:highlight w:val="none"/>
        </w:rPr>
        <w:t>2.</w:t>
      </w:r>
      <w:r>
        <w:rPr>
          <w:rFonts w:hint="eastAsia"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rPr>
        <w:t>公务用车购置及运行维护费支出13.02万元,完成预算94.14%。公务用车购置及运行维护费支出决算比2020年减少17.21万元，下降56.93%。主要原因是</w:t>
      </w:r>
      <w:r>
        <w:rPr>
          <w:rFonts w:hint="eastAsia" w:ascii="Times New Roman" w:hAnsi="Times New Roman" w:eastAsia="仿宋_GB2312" w:cs="Times New Roman"/>
          <w:b w:val="0"/>
          <w:bCs w:val="0"/>
          <w:color w:val="auto"/>
          <w:spacing w:val="0"/>
          <w:sz w:val="32"/>
          <w:szCs w:val="32"/>
          <w:highlight w:val="none"/>
          <w:lang w:val="en-US" w:eastAsia="zh-CN"/>
        </w:rPr>
        <w:t>厉行节约，压缩公务用车开支。</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其中：公务用车购置支出0万元。全年按规定更新购置公务用车0辆。截至2021年12月底，单位共有公务用车</w:t>
      </w:r>
      <w:r>
        <w:rPr>
          <w:rFonts w:hint="eastAsia" w:eastAsia="仿宋_GB2312" w:cs="Times New Roman"/>
          <w:b w:val="0"/>
          <w:bCs w:val="0"/>
          <w:color w:val="auto"/>
          <w:spacing w:val="0"/>
          <w:sz w:val="32"/>
          <w:szCs w:val="32"/>
          <w:highlight w:val="none"/>
          <w:lang w:val="en-US" w:eastAsia="zh-CN"/>
        </w:rPr>
        <w:t>29</w:t>
      </w:r>
      <w:r>
        <w:rPr>
          <w:rFonts w:hint="eastAsia" w:ascii="Times New Roman" w:hAnsi="Times New Roman" w:eastAsia="仿宋_GB2312" w:cs="Times New Roman"/>
          <w:b w:val="0"/>
          <w:bCs w:val="0"/>
          <w:color w:val="auto"/>
          <w:spacing w:val="0"/>
          <w:sz w:val="32"/>
          <w:szCs w:val="32"/>
          <w:highlight w:val="none"/>
        </w:rPr>
        <w:t>辆，其中：轿车1辆、越野车1辆、载客汽车1辆、</w:t>
      </w:r>
      <w:r>
        <w:rPr>
          <w:rFonts w:hint="eastAsia" w:eastAsia="仿宋_GB2312" w:cs="Times New Roman"/>
          <w:b w:val="0"/>
          <w:bCs w:val="0"/>
          <w:color w:val="auto"/>
          <w:spacing w:val="0"/>
          <w:sz w:val="32"/>
          <w:szCs w:val="32"/>
          <w:highlight w:val="none"/>
          <w:lang w:val="en-US" w:eastAsia="zh-CN"/>
        </w:rPr>
        <w:t>特种专业技术用车26辆</w:t>
      </w:r>
      <w:r>
        <w:rPr>
          <w:rFonts w:hint="eastAsia" w:ascii="Times New Roman" w:hAnsi="Times New Roman" w:eastAsia="仿宋_GB2312" w:cs="Times New Roman"/>
          <w:b w:val="0"/>
          <w:bCs w:val="0"/>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公务用车运行维护费支出13.02万元。主要用于城市管理工作、城乡环境综合治理、爱国卫生等检查暗访、调研等所需的公务用车燃料费、维修费、过路过桥费、保险费等支出。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3.公务接待费支出1.4万元，完成预算42.42%。公务接待费支出决算比2020年增加0.09万元，增长6.87%。主要原因是2021年创国卫复审，公务接待增多，费用增加。其中：</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国内公务接待支出1.4万元，主要用于其他地市州到我局来执行公务、开展业务活动开支的用餐费用。国内公务接待14批次，120人次（不包括陪同人员），共计支出1.4万元，具体内容包括：省内外城管系统来访考察接待用餐费用。</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外事接待支出0万元。</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bookmarkStart w:id="47" w:name="_Toc15377218"/>
      <w:bookmarkStart w:id="48" w:name="_Toc15396610"/>
      <w:r>
        <w:rPr>
          <w:rFonts w:hint="eastAsia" w:ascii="方正黑体简体" w:hAnsi="方正黑体简体" w:eastAsia="方正黑体简体" w:cs="方正黑体简体"/>
          <w:b w:val="0"/>
          <w:bCs w:val="0"/>
          <w:color w:val="auto"/>
          <w:spacing w:val="0"/>
          <w:sz w:val="32"/>
          <w:szCs w:val="32"/>
          <w:highlight w:val="none"/>
        </w:rPr>
        <w:t>八、政府性基金预算支出决算情况说明</w:t>
      </w:r>
      <w:bookmarkEnd w:id="47"/>
      <w:bookmarkEnd w:id="48"/>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2021年政府性基金预算财政拨款支出211.06万元，未在政府性基金预算拨款安排“三公经费”支出。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bookmarkStart w:id="49" w:name="_Toc15377219"/>
      <w:bookmarkStart w:id="50" w:name="_Toc15396611"/>
      <w:r>
        <w:rPr>
          <w:rFonts w:hint="eastAsia" w:ascii="方正黑体简体" w:hAnsi="方正黑体简体" w:eastAsia="方正黑体简体" w:cs="方正黑体简体"/>
          <w:b w:val="0"/>
          <w:bCs w:val="0"/>
          <w:color w:val="auto"/>
          <w:spacing w:val="0"/>
          <w:sz w:val="32"/>
          <w:szCs w:val="32"/>
          <w:highlight w:val="none"/>
          <w:lang w:eastAsia="zh-CN"/>
        </w:rPr>
        <w:t>九、</w:t>
      </w:r>
      <w:r>
        <w:rPr>
          <w:rFonts w:hint="eastAsia" w:ascii="方正黑体简体" w:hAnsi="方正黑体简体" w:eastAsia="方正黑体简体" w:cs="方正黑体简体"/>
          <w:b w:val="0"/>
          <w:bCs w:val="0"/>
          <w:color w:val="auto"/>
          <w:spacing w:val="0"/>
          <w:sz w:val="32"/>
          <w:szCs w:val="32"/>
          <w:highlight w:val="none"/>
        </w:rPr>
        <w:t>国有资本经营预算支出决算情况说明</w:t>
      </w:r>
      <w:bookmarkEnd w:id="49"/>
      <w:bookmarkEnd w:id="50"/>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2021年国有资本经营预算财政拨款支出0万元。</w:t>
      </w:r>
      <w:bookmarkStart w:id="51" w:name="_Toc15377221"/>
      <w:bookmarkStart w:id="52" w:name="_Toc15396612"/>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lang w:eastAsia="zh-CN"/>
        </w:rPr>
        <w:t>十、</w:t>
      </w:r>
      <w:r>
        <w:rPr>
          <w:rFonts w:hint="eastAsia" w:ascii="方正黑体简体" w:hAnsi="方正黑体简体" w:eastAsia="方正黑体简体" w:cs="方正黑体简体"/>
          <w:b w:val="0"/>
          <w:bCs w:val="0"/>
          <w:color w:val="auto"/>
          <w:spacing w:val="0"/>
          <w:sz w:val="32"/>
          <w:szCs w:val="32"/>
          <w:highlight w:val="none"/>
        </w:rPr>
        <w:t>预算绩效管理情况</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根据预算绩效管理要求，本部门在2021年度预算编制阶段，组织城管协管员经费</w:t>
      </w:r>
      <w:r>
        <w:rPr>
          <w:rFonts w:hint="eastAsia" w:ascii="Times New Roman" w:hAnsi="Times New Roman" w:eastAsia="仿宋_GB2312" w:cs="Times New Roman"/>
          <w:b w:val="0"/>
          <w:bCs w:val="0"/>
          <w:color w:val="auto"/>
          <w:spacing w:val="0"/>
          <w:sz w:val="32"/>
          <w:szCs w:val="32"/>
          <w:highlight w:val="none"/>
          <w:lang w:eastAsia="zh-CN"/>
        </w:rPr>
        <w:t>、城市管理执法专项经费、扶贫工作经费、火车站站前广场管理经费、市城区流浪犬只收养中心运行经费、数字化城管信息系统运行经费、广场维护管理项目、2021年春节氛围营造项目等</w:t>
      </w:r>
      <w:r>
        <w:rPr>
          <w:rFonts w:hint="eastAsia" w:ascii="Times New Roman" w:hAnsi="Times New Roman" w:eastAsia="仿宋_GB2312" w:cs="Times New Roman"/>
          <w:b w:val="0"/>
          <w:bCs w:val="0"/>
          <w:color w:val="auto"/>
          <w:spacing w:val="0"/>
          <w:sz w:val="32"/>
          <w:szCs w:val="32"/>
          <w:highlight w:val="none"/>
          <w:lang w:val="en-US" w:eastAsia="zh-CN"/>
        </w:rPr>
        <w:t>8个项目</w:t>
      </w:r>
      <w:r>
        <w:rPr>
          <w:rFonts w:hint="eastAsia" w:ascii="Times New Roman" w:hAnsi="Times New Roman" w:eastAsia="仿宋_GB2312" w:cs="Times New Roman"/>
          <w:b w:val="0"/>
          <w:bCs w:val="0"/>
          <w:color w:val="auto"/>
          <w:spacing w:val="0"/>
          <w:sz w:val="32"/>
          <w:szCs w:val="32"/>
          <w:highlight w:val="none"/>
        </w:rPr>
        <w:t>开展预算事前绩效评估，对</w:t>
      </w:r>
      <w:r>
        <w:rPr>
          <w:rFonts w:hint="eastAsia" w:eastAsia="仿宋_GB2312" w:cs="Times New Roman"/>
          <w:b w:val="0"/>
          <w:bCs w:val="0"/>
          <w:color w:val="auto"/>
          <w:spacing w:val="0"/>
          <w:sz w:val="32"/>
          <w:szCs w:val="32"/>
          <w:highlight w:val="none"/>
          <w:lang w:val="en-US" w:eastAsia="zh-CN"/>
        </w:rPr>
        <w:t>9</w:t>
      </w:r>
      <w:r>
        <w:rPr>
          <w:rFonts w:hint="eastAsia" w:ascii="Times New Roman" w:hAnsi="Times New Roman" w:eastAsia="仿宋_GB2312" w:cs="Times New Roman"/>
          <w:b w:val="0"/>
          <w:bCs w:val="0"/>
          <w:color w:val="auto"/>
          <w:spacing w:val="0"/>
          <w:sz w:val="32"/>
          <w:szCs w:val="32"/>
          <w:highlight w:val="none"/>
        </w:rPr>
        <w:t>个项目编制了绩效目标，预算执行过程中，选取</w:t>
      </w:r>
      <w:r>
        <w:rPr>
          <w:rFonts w:hint="eastAsia" w:ascii="Times New Roman" w:hAnsi="Times New Roman" w:eastAsia="仿宋_GB2312" w:cs="Times New Roman"/>
          <w:b w:val="0"/>
          <w:bCs w:val="0"/>
          <w:color w:val="auto"/>
          <w:spacing w:val="0"/>
          <w:sz w:val="32"/>
          <w:szCs w:val="32"/>
          <w:highlight w:val="none"/>
          <w:lang w:val="en-US" w:eastAsia="zh-CN"/>
        </w:rPr>
        <w:t>6</w:t>
      </w:r>
      <w:r>
        <w:rPr>
          <w:rFonts w:hint="eastAsia" w:ascii="Times New Roman" w:hAnsi="Times New Roman" w:eastAsia="仿宋_GB2312" w:cs="Times New Roman"/>
          <w:b w:val="0"/>
          <w:bCs w:val="0"/>
          <w:color w:val="auto"/>
          <w:spacing w:val="0"/>
          <w:sz w:val="32"/>
          <w:szCs w:val="32"/>
          <w:highlight w:val="none"/>
        </w:rPr>
        <w:t>个项目开展绩效监控，年终执行完毕后，对</w:t>
      </w:r>
      <w:r>
        <w:rPr>
          <w:rFonts w:hint="eastAsia" w:ascii="Times New Roman" w:hAnsi="Times New Roman" w:eastAsia="仿宋_GB2312" w:cs="Times New Roman"/>
          <w:b w:val="0"/>
          <w:bCs w:val="0"/>
          <w:color w:val="auto"/>
          <w:spacing w:val="0"/>
          <w:sz w:val="32"/>
          <w:szCs w:val="32"/>
          <w:highlight w:val="none"/>
          <w:lang w:val="en-US" w:eastAsia="zh-CN"/>
        </w:rPr>
        <w:t>12</w:t>
      </w:r>
      <w:r>
        <w:rPr>
          <w:rFonts w:hint="eastAsia" w:ascii="Times New Roman" w:hAnsi="Times New Roman" w:eastAsia="仿宋_GB2312" w:cs="Times New Roman"/>
          <w:b w:val="0"/>
          <w:bCs w:val="0"/>
          <w:color w:val="auto"/>
          <w:spacing w:val="0"/>
          <w:sz w:val="32"/>
          <w:szCs w:val="32"/>
          <w:highlight w:val="none"/>
        </w:rPr>
        <w:t>个项目开展了绩效自评。同时，本部门对2021年部门整体开展绩效自评，</w:t>
      </w:r>
      <w:r>
        <w:rPr>
          <w:rFonts w:hint="eastAsia" w:ascii="Times New Roman" w:hAnsi="Times New Roman" w:eastAsia="仿宋_GB2312" w:cs="Times New Roman"/>
          <w:b w:val="0"/>
          <w:bCs w:val="0"/>
          <w:color w:val="auto"/>
          <w:spacing w:val="0"/>
          <w:sz w:val="32"/>
          <w:szCs w:val="32"/>
          <w:highlight w:val="none"/>
          <w:lang w:val="en-US" w:eastAsia="zh-CN"/>
        </w:rPr>
        <w:t>2021年部门预算项目绩效目标自评表见附件（第四部分）</w:t>
      </w:r>
      <w:r>
        <w:rPr>
          <w:rFonts w:hint="eastAsia" w:ascii="Times New Roman" w:hAnsi="Times New Roman" w:eastAsia="仿宋_GB2312" w:cs="Times New Roman"/>
          <w:b w:val="0"/>
          <w:bCs w:val="0"/>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lang w:eastAsia="zh-CN"/>
        </w:rPr>
        <w:t>十一、</w:t>
      </w:r>
      <w:r>
        <w:rPr>
          <w:rFonts w:hint="eastAsia" w:ascii="方正黑体简体" w:hAnsi="方正黑体简体" w:eastAsia="方正黑体简体" w:cs="方正黑体简体"/>
          <w:b w:val="0"/>
          <w:bCs w:val="0"/>
          <w:color w:val="auto"/>
          <w:spacing w:val="0"/>
          <w:sz w:val="32"/>
          <w:szCs w:val="32"/>
          <w:highlight w:val="none"/>
        </w:rPr>
        <w:t>其他重要事项的情况说明</w:t>
      </w:r>
      <w:bookmarkEnd w:id="51"/>
      <w:bookmarkEnd w:id="52"/>
    </w:p>
    <w:p>
      <w:pPr>
        <w:pStyle w:val="7"/>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rPr>
      </w:pPr>
      <w:bookmarkStart w:id="53" w:name="_Toc15377222"/>
      <w:r>
        <w:rPr>
          <w:rFonts w:hint="eastAsia" w:ascii="方正楷体简体" w:hAnsi="方正楷体简体" w:eastAsia="方正楷体简体" w:cs="方正楷体简体"/>
          <w:b w:val="0"/>
          <w:bCs w:val="0"/>
          <w:color w:val="auto"/>
          <w:spacing w:val="0"/>
          <w:sz w:val="32"/>
          <w:szCs w:val="32"/>
          <w:highlight w:val="none"/>
        </w:rPr>
        <w:t>（一）机关运行经费支出情况</w:t>
      </w:r>
      <w:bookmarkEnd w:id="53"/>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bookmarkStart w:id="54" w:name="_Toc15377223"/>
      <w:r>
        <w:rPr>
          <w:rFonts w:hint="eastAsia" w:ascii="Times New Roman" w:hAnsi="Times New Roman" w:eastAsia="仿宋_GB2312" w:cs="Times New Roman"/>
          <w:b w:val="0"/>
          <w:bCs w:val="0"/>
          <w:color w:val="auto"/>
          <w:spacing w:val="0"/>
          <w:sz w:val="32"/>
          <w:szCs w:val="32"/>
          <w:highlight w:val="none"/>
        </w:rPr>
        <w:t>2021年，市城管执法局机关运行经费支出348.15万元，比2020年增加25.15万元，增长7.79%。主要原因是原城监大队及市生活垃圾分类中心人员划入，机关运行成本增加。</w:t>
      </w:r>
    </w:p>
    <w:p>
      <w:pPr>
        <w:pStyle w:val="7"/>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rPr>
      </w:pPr>
      <w:r>
        <w:rPr>
          <w:rFonts w:hint="eastAsia" w:ascii="方正楷体简体" w:hAnsi="方正楷体简体" w:eastAsia="方正楷体简体" w:cs="方正楷体简体"/>
          <w:b w:val="0"/>
          <w:bCs w:val="0"/>
          <w:color w:val="auto"/>
          <w:spacing w:val="0"/>
          <w:sz w:val="32"/>
          <w:szCs w:val="32"/>
          <w:highlight w:val="none"/>
        </w:rPr>
        <w:t>（二）政府采购支出情况</w:t>
      </w:r>
      <w:bookmarkEnd w:id="54"/>
    </w:p>
    <w:p>
      <w:pPr>
        <w:pStyle w:val="7"/>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outlineLvl w:val="2"/>
        <w:rPr>
          <w:rFonts w:hint="eastAsia" w:ascii="仿宋_GB2312" w:eastAsia="仿宋_GB2312"/>
          <w:color w:val="000000" w:themeColor="text1"/>
          <w:sz w:val="32"/>
          <w:szCs w:val="32"/>
          <w:highlight w:val="none"/>
          <w14:textFill>
            <w14:solidFill>
              <w14:schemeClr w14:val="tx1"/>
            </w14:solidFill>
          </w14:textFill>
        </w:rPr>
      </w:pPr>
      <w:bookmarkStart w:id="55" w:name="_Toc15377224"/>
      <w:r>
        <w:rPr>
          <w:rFonts w:ascii="仿宋_GB2312" w:eastAsia="仿宋_GB2312"/>
          <w:color w:val="000000" w:themeColor="text1"/>
          <w:sz w:val="32"/>
          <w:szCs w:val="32"/>
          <w:highlight w:val="none"/>
          <w14:textFill>
            <w14:solidFill>
              <w14:schemeClr w14:val="tx1"/>
            </w14:solidFill>
          </w14:textFill>
        </w:rPr>
        <w:t>20</w:t>
      </w:r>
      <w:r>
        <w:rPr>
          <w:rFonts w:hint="eastAsia" w:ascii="仿宋_GB2312" w:eastAsia="仿宋_GB2312"/>
          <w:color w:val="000000" w:themeColor="text1"/>
          <w:sz w:val="32"/>
          <w:szCs w:val="32"/>
          <w:highlight w:val="none"/>
          <w:lang w:val="en-US" w:eastAsia="zh-CN"/>
          <w14:textFill>
            <w14:solidFill>
              <w14:schemeClr w14:val="tx1"/>
            </w14:solidFill>
          </w14:textFill>
        </w:rPr>
        <w:t>21</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14:textFill>
            <w14:solidFill>
              <w14:schemeClr w14:val="tx1"/>
            </w14:solidFill>
          </w14:textFill>
        </w:rPr>
        <w:t>市城管执法局</w:t>
      </w:r>
      <w:r>
        <w:rPr>
          <w:rFonts w:hint="eastAsia" w:ascii="仿宋_GB2312" w:eastAsia="仿宋_GB2312"/>
          <w:color w:val="000000" w:themeColor="text1"/>
          <w:sz w:val="32"/>
          <w:szCs w:val="32"/>
          <w:highlight w:val="none"/>
          <w14:textFill>
            <w14:solidFill>
              <w14:schemeClr w14:val="tx1"/>
            </w14:solidFill>
          </w14:textFill>
        </w:rPr>
        <w:t>政府采购支出总额</w:t>
      </w:r>
      <w:r>
        <w:rPr>
          <w:rFonts w:hint="eastAsia" w:ascii="仿宋_GB2312" w:eastAsia="仿宋_GB2312"/>
          <w:color w:val="000000" w:themeColor="text1"/>
          <w:sz w:val="32"/>
          <w:szCs w:val="32"/>
          <w:highlight w:val="none"/>
          <w:lang w:val="en-US" w:eastAsia="zh-CN"/>
          <w14:textFill>
            <w14:solidFill>
              <w14:schemeClr w14:val="tx1"/>
            </w14:solidFill>
          </w14:textFill>
        </w:rPr>
        <w:t>32.55</w:t>
      </w:r>
      <w:r>
        <w:rPr>
          <w:rFonts w:hint="eastAsia" w:ascii="仿宋_GB2312" w:eastAsia="仿宋_GB2312"/>
          <w:color w:val="000000" w:themeColor="text1"/>
          <w:sz w:val="32"/>
          <w:szCs w:val="32"/>
          <w:highlight w:val="none"/>
          <w14:textFill>
            <w14:solidFill>
              <w14:schemeClr w14:val="tx1"/>
            </w14:solidFill>
          </w14:textFill>
        </w:rPr>
        <w:t>万元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其中：政府采购货物支出</w:t>
      </w:r>
      <w:r>
        <w:rPr>
          <w:rFonts w:hint="eastAsia" w:ascii="仿宋_GB2312" w:eastAsia="仿宋_GB2312"/>
          <w:color w:val="000000" w:themeColor="text1"/>
          <w:sz w:val="32"/>
          <w:szCs w:val="32"/>
          <w:highlight w:val="none"/>
          <w:lang w:val="en-US" w:eastAsia="zh-CN"/>
          <w14:textFill>
            <w14:solidFill>
              <w14:schemeClr w14:val="tx1"/>
            </w14:solidFill>
          </w14:textFill>
        </w:rPr>
        <w:t>3.95</w:t>
      </w:r>
      <w:r>
        <w:rPr>
          <w:rFonts w:hint="eastAsia" w:ascii="仿宋_GB2312" w:eastAsia="仿宋_GB2312"/>
          <w:color w:val="000000" w:themeColor="text1"/>
          <w:sz w:val="32"/>
          <w:szCs w:val="32"/>
          <w:highlight w:val="none"/>
          <w14:textFill>
            <w14:solidFill>
              <w14:schemeClr w14:val="tx1"/>
            </w14:solidFill>
          </w14:textFill>
        </w:rPr>
        <w:t>万元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政府采购服务支出</w:t>
      </w:r>
      <w:r>
        <w:rPr>
          <w:rFonts w:hint="eastAsia" w:ascii="仿宋_GB2312" w:eastAsia="仿宋_GB2312"/>
          <w:color w:val="000000" w:themeColor="text1"/>
          <w:sz w:val="32"/>
          <w:szCs w:val="32"/>
          <w:highlight w:val="none"/>
          <w:lang w:val="en-US" w:eastAsia="zh-CN"/>
          <w14:textFill>
            <w14:solidFill>
              <w14:schemeClr w14:val="tx1"/>
            </w14:solidFill>
          </w14:textFill>
        </w:rPr>
        <w:t>28.6</w:t>
      </w:r>
      <w:r>
        <w:rPr>
          <w:rFonts w:hint="eastAsia" w:ascii="仿宋_GB2312" w:eastAsia="仿宋_GB2312"/>
          <w:color w:val="000000" w:themeColor="text1"/>
          <w:sz w:val="32"/>
          <w:szCs w:val="32"/>
          <w:highlight w:val="none"/>
          <w14:textFill>
            <w14:solidFill>
              <w14:schemeClr w14:val="tx1"/>
            </w14:solidFill>
          </w14:textFill>
        </w:rPr>
        <w:t>万元。主要用于</w:t>
      </w:r>
      <w:r>
        <w:rPr>
          <w:rFonts w:hint="eastAsia" w:ascii="仿宋_GB2312" w:eastAsia="仿宋_GB2312"/>
          <w:color w:val="000000" w:themeColor="text1"/>
          <w:sz w:val="32"/>
          <w:szCs w:val="32"/>
          <w:highlight w:val="none"/>
          <w:lang w:val="en-US" w:eastAsia="zh-CN"/>
          <w14:textFill>
            <w14:solidFill>
              <w14:schemeClr w14:val="tx1"/>
            </w14:solidFill>
          </w14:textFill>
        </w:rPr>
        <w:t>采购复印纸和病媒生物防制服务</w:t>
      </w:r>
      <w:r>
        <w:rPr>
          <w:rFonts w:hint="eastAsia" w:ascii="仿宋_GB2312" w:eastAsia="仿宋_GB2312"/>
          <w:color w:val="000000" w:themeColor="text1"/>
          <w:sz w:val="32"/>
          <w:szCs w:val="32"/>
          <w:highlight w:val="none"/>
          <w14:textFill>
            <w14:solidFill>
              <w14:schemeClr w14:val="tx1"/>
            </w14:solidFill>
          </w14:textFill>
        </w:rPr>
        <w:t>。授予中小企业合同金额</w:t>
      </w:r>
      <w:r>
        <w:rPr>
          <w:rFonts w:hint="eastAsia" w:ascii="仿宋_GB2312" w:eastAsia="仿宋_GB2312"/>
          <w:color w:val="000000" w:themeColor="text1"/>
          <w:sz w:val="32"/>
          <w:szCs w:val="32"/>
          <w:highlight w:val="none"/>
          <w:lang w:val="en-US" w:eastAsia="zh-CN"/>
          <w14:textFill>
            <w14:solidFill>
              <w14:schemeClr w14:val="tx1"/>
            </w14:solidFill>
          </w14:textFill>
        </w:rPr>
        <w:t>32.55</w:t>
      </w:r>
      <w:r>
        <w:rPr>
          <w:rFonts w:hint="eastAsia" w:ascii="仿宋_GB2312" w:eastAsia="仿宋_GB2312"/>
          <w:color w:val="000000" w:themeColor="text1"/>
          <w:sz w:val="32"/>
          <w:szCs w:val="32"/>
          <w:highlight w:val="none"/>
          <w14:textFill>
            <w14:solidFill>
              <w14:schemeClr w14:val="tx1"/>
            </w14:solidFill>
          </w14:textFill>
        </w:rPr>
        <w:t>万元，占政府采购支出总额的</w:t>
      </w:r>
      <w:r>
        <w:rPr>
          <w:rFonts w:hint="eastAsia" w:ascii="仿宋_GB2312" w:eastAsia="仿宋_GB2312"/>
          <w:color w:val="000000" w:themeColor="text1"/>
          <w:sz w:val="32"/>
          <w:szCs w:val="32"/>
          <w:highlight w:val="none"/>
          <w:lang w:val="en-US" w:eastAsia="zh-CN"/>
          <w14:textFill>
            <w14:solidFill>
              <w14:schemeClr w14:val="tx1"/>
            </w14:solidFill>
          </w14:textFill>
        </w:rPr>
        <w:t>100</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，其中：授予小微企业合同金额</w:t>
      </w:r>
      <w:r>
        <w:rPr>
          <w:rFonts w:hint="eastAsia" w:ascii="仿宋_GB2312" w:eastAsia="仿宋_GB2312"/>
          <w:color w:val="000000" w:themeColor="text1"/>
          <w:sz w:val="32"/>
          <w:szCs w:val="32"/>
          <w:highlight w:val="none"/>
          <w:lang w:val="en-US" w:eastAsia="zh-CN"/>
          <w14:textFill>
            <w14:solidFill>
              <w14:schemeClr w14:val="tx1"/>
            </w14:solidFill>
          </w14:textFill>
        </w:rPr>
        <w:t>32.55</w:t>
      </w:r>
      <w:r>
        <w:rPr>
          <w:rFonts w:hint="eastAsia" w:ascii="仿宋_GB2312" w:eastAsia="仿宋_GB2312"/>
          <w:color w:val="000000" w:themeColor="text1"/>
          <w:sz w:val="32"/>
          <w:szCs w:val="32"/>
          <w:highlight w:val="none"/>
          <w14:textFill>
            <w14:solidFill>
              <w14:schemeClr w14:val="tx1"/>
            </w14:solidFill>
          </w14:textFill>
        </w:rPr>
        <w:t>万元，占政府采购支出总额的</w:t>
      </w:r>
      <w:r>
        <w:rPr>
          <w:rFonts w:hint="eastAsia" w:ascii="仿宋_GB2312" w:eastAsia="仿宋_GB2312"/>
          <w:color w:val="000000" w:themeColor="text1"/>
          <w:sz w:val="32"/>
          <w:szCs w:val="32"/>
          <w:highlight w:val="none"/>
          <w:lang w:val="en-US" w:eastAsia="zh-CN"/>
          <w14:textFill>
            <w14:solidFill>
              <w14:schemeClr w14:val="tx1"/>
            </w14:solidFill>
          </w14:textFill>
        </w:rPr>
        <w:t>100</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w:t>
      </w:r>
    </w:p>
    <w:p>
      <w:pPr>
        <w:pStyle w:val="7"/>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rPr>
      </w:pPr>
      <w:r>
        <w:rPr>
          <w:rFonts w:hint="eastAsia" w:ascii="方正楷体简体" w:hAnsi="方正楷体简体" w:eastAsia="方正楷体简体" w:cs="方正楷体简体"/>
          <w:b w:val="0"/>
          <w:bCs w:val="0"/>
          <w:color w:val="auto"/>
          <w:spacing w:val="0"/>
          <w:sz w:val="32"/>
          <w:szCs w:val="32"/>
          <w:highlight w:val="none"/>
        </w:rPr>
        <w:t>（三）国有资产占有使用情况</w:t>
      </w:r>
      <w:bookmarkEnd w:id="55"/>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截至2020年12月31日，市城管执法局共有车辆</w:t>
      </w:r>
      <w:r>
        <w:rPr>
          <w:rFonts w:hint="eastAsia" w:eastAsia="仿宋_GB2312" w:cs="Times New Roman"/>
          <w:b w:val="0"/>
          <w:bCs w:val="0"/>
          <w:color w:val="auto"/>
          <w:spacing w:val="0"/>
          <w:sz w:val="32"/>
          <w:szCs w:val="32"/>
          <w:highlight w:val="none"/>
          <w:lang w:val="en-US" w:eastAsia="zh-CN"/>
        </w:rPr>
        <w:t>34</w:t>
      </w:r>
      <w:r>
        <w:rPr>
          <w:rFonts w:hint="eastAsia" w:ascii="Times New Roman" w:hAnsi="Times New Roman" w:eastAsia="仿宋_GB2312" w:cs="Times New Roman"/>
          <w:b w:val="0"/>
          <w:bCs w:val="0"/>
          <w:color w:val="auto"/>
          <w:spacing w:val="0"/>
          <w:sz w:val="32"/>
          <w:szCs w:val="32"/>
          <w:highlight w:val="none"/>
        </w:rPr>
        <w:t>辆，其中：</w:t>
      </w:r>
      <w:r>
        <w:rPr>
          <w:rFonts w:hint="eastAsia" w:eastAsia="仿宋_GB2312" w:cs="Times New Roman"/>
          <w:b w:val="0"/>
          <w:bCs w:val="0"/>
          <w:color w:val="auto"/>
          <w:spacing w:val="0"/>
          <w:sz w:val="32"/>
          <w:szCs w:val="32"/>
          <w:highlight w:val="none"/>
          <w:lang w:val="en-US" w:eastAsia="zh-CN"/>
        </w:rPr>
        <w:t>特种专业技术用车26辆、</w:t>
      </w:r>
      <w:r>
        <w:rPr>
          <w:rFonts w:hint="eastAsia" w:ascii="Times New Roman" w:hAnsi="Times New Roman" w:eastAsia="仿宋_GB2312" w:cs="Times New Roman"/>
          <w:b w:val="0"/>
          <w:bCs w:val="0"/>
          <w:color w:val="auto"/>
          <w:spacing w:val="0"/>
          <w:sz w:val="32"/>
          <w:szCs w:val="32"/>
          <w:highlight w:val="none"/>
        </w:rPr>
        <w:t>其他用车</w:t>
      </w:r>
      <w:r>
        <w:rPr>
          <w:rFonts w:hint="eastAsia" w:eastAsia="仿宋_GB2312" w:cs="Times New Roman"/>
          <w:b w:val="0"/>
          <w:bCs w:val="0"/>
          <w:color w:val="auto"/>
          <w:spacing w:val="0"/>
          <w:sz w:val="32"/>
          <w:szCs w:val="32"/>
          <w:highlight w:val="none"/>
          <w:lang w:val="en-US" w:eastAsia="zh-CN"/>
        </w:rPr>
        <w:t>8</w:t>
      </w:r>
      <w:r>
        <w:rPr>
          <w:rFonts w:hint="eastAsia" w:ascii="Times New Roman" w:hAnsi="Times New Roman" w:eastAsia="仿宋_GB2312" w:cs="Times New Roman"/>
          <w:b w:val="0"/>
          <w:bCs w:val="0"/>
          <w:color w:val="auto"/>
          <w:spacing w:val="0"/>
          <w:sz w:val="32"/>
          <w:szCs w:val="32"/>
          <w:highlight w:val="none"/>
        </w:rPr>
        <w:t>辆。主要是用于主要是用于城市管理方面的执法用车及</w:t>
      </w:r>
      <w:r>
        <w:rPr>
          <w:rFonts w:hint="eastAsia" w:eastAsia="仿宋_GB2312" w:cs="Times New Roman"/>
          <w:b w:val="0"/>
          <w:bCs w:val="0"/>
          <w:color w:val="auto"/>
          <w:spacing w:val="0"/>
          <w:sz w:val="32"/>
          <w:szCs w:val="32"/>
          <w:highlight w:val="none"/>
          <w:lang w:val="en-US" w:eastAsia="zh-CN"/>
        </w:rPr>
        <w:t>原广场服务中心</w:t>
      </w:r>
      <w:r>
        <w:rPr>
          <w:rFonts w:hint="eastAsia" w:ascii="Times New Roman" w:hAnsi="Times New Roman" w:eastAsia="仿宋_GB2312" w:cs="Times New Roman"/>
          <w:b w:val="0"/>
          <w:bCs w:val="0"/>
          <w:color w:val="auto"/>
          <w:spacing w:val="0"/>
          <w:sz w:val="32"/>
          <w:szCs w:val="32"/>
          <w:highlight w:val="none"/>
        </w:rPr>
        <w:t>管理日常维护方面用车。单价50万元以上通用设备1台（套），单价100万元以上专用设备0台（套）。</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both"/>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lang w:eastAsia="zh-CN"/>
        </w:rPr>
      </w:pPr>
      <w:bookmarkStart w:id="56" w:name="_Toc15396613"/>
      <w:bookmarkStart w:id="57" w:name="_Toc15377225"/>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both"/>
        <w:textAlignment w:val="auto"/>
        <w:rPr>
          <w:rFonts w:hint="eastAsia" w:ascii="方正小标宋简体" w:hAnsi="方正小标宋简体" w:eastAsia="方正小标宋简体" w:cs="方正小标宋简体"/>
          <w:b w:val="0"/>
          <w:bCs w:val="0"/>
          <w:color w:val="auto"/>
          <w:spacing w:val="0"/>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r>
        <w:rPr>
          <w:rFonts w:hint="eastAsia" w:ascii="方正小标宋简体" w:hAnsi="方正小标宋简体" w:eastAsia="方正小标宋简体" w:cs="方正小标宋简体"/>
          <w:b w:val="0"/>
          <w:bCs w:val="0"/>
          <w:color w:val="auto"/>
          <w:spacing w:val="0"/>
          <w:sz w:val="44"/>
          <w:szCs w:val="44"/>
          <w:highlight w:val="none"/>
          <w:lang w:eastAsia="zh-CN"/>
        </w:rPr>
        <w:t>第三部分</w:t>
      </w:r>
      <w:r>
        <w:rPr>
          <w:rFonts w:hint="eastAsia" w:ascii="方正小标宋简体" w:hAnsi="方正小标宋简体" w:eastAsia="方正小标宋简体" w:cs="方正小标宋简体"/>
          <w:b w:val="0"/>
          <w:bCs w:val="0"/>
          <w:color w:val="auto"/>
          <w:spacing w:val="0"/>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spacing w:val="0"/>
          <w:sz w:val="44"/>
          <w:szCs w:val="44"/>
          <w:highlight w:val="none"/>
        </w:rPr>
        <w:t>名词解释</w:t>
      </w:r>
      <w:bookmarkEnd w:id="56"/>
      <w:bookmarkEnd w:id="57"/>
    </w:p>
    <w:p>
      <w:pPr>
        <w:spacing w:line="600" w:lineRule="exact"/>
        <w:jc w:val="left"/>
        <w:rPr>
          <w:rFonts w:ascii="宋体"/>
          <w:b w:val="0"/>
          <w:bCs w:val="0"/>
          <w:color w:val="auto"/>
          <w:spacing w:val="0"/>
          <w:sz w:val="44"/>
          <w:szCs w:val="44"/>
          <w:highlight w:val="none"/>
        </w:rPr>
      </w:pP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bookmarkStart w:id="58" w:name="_Toc15377226"/>
      <w:r>
        <w:rPr>
          <w:rFonts w:hint="eastAsia" w:ascii="Times New Roman" w:hAnsi="Times New Roman" w:eastAsia="仿宋_GB2312" w:cs="Times New Roman"/>
          <w:b w:val="0"/>
          <w:bCs w:val="0"/>
          <w:color w:val="auto"/>
          <w:spacing w:val="0"/>
          <w:sz w:val="32"/>
          <w:szCs w:val="32"/>
          <w:highlight w:val="none"/>
        </w:rPr>
        <w:t>1. 财政拨款收入：指单位从同级财政部门取得的财政预算资金。</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2. 其他收入：指单位取得的除上述收入以外的各项收入。主要是指单位取得的除上述收入以外的各项收入。主要是利息、上级部门拨款、财政拨入暂存代管资金等。</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3. 年初结转和结余：指以前年度尚未完成、结转到本年按有关规定继续使用的资金。</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4. 年末结转和结余：指单位按有关规定结转到下年或以后年度继续使用的资金。</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5. 社会保障和就业（类）行政事业单位养老支出（款）机关事业单位基本养老保险缴费支出（项）：指反映部门实施养老保险制度由单位缴纳的养老保险费的支出。</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6. 社会保障和就业（类）行政事业单位养老支出（款）机关事业单位职业年金缴费支出（项）：指反映部门实施职业年金制度由单位缴纳的职业年金的支出。</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7. 卫生健康支出（类）行政事业单位医疗（款）行政单位医疗（项）：指反映行政机关及参公管理事业单位用于缴纳单位基本医疗保险经费支出。</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8. 卫生健康支出（类）行政事业单位医疗（款）事业单位医疗（项）：指反映事业单位用于缴纳单位基本医疗保险经费支出。</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9. 节能环保支出（类）污染防治（款）大气（项）：指反映政府在空气污染防治等方面的支出。</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10. 城乡社区支出（类）城乡社区管理事务（款）城管执法（项）：指反映城市管理综合行政执法、加强城市市容和环境卫生管理等方面的支出。</w:t>
      </w:r>
    </w:p>
    <w:p>
      <w:pPr>
        <w:spacing w:line="560"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11. 城乡社区支出（类）城乡社区管理事务（款）其他城乡社区支出（项）：指反映</w:t>
      </w:r>
      <w:r>
        <w:rPr>
          <w:rFonts w:hint="eastAsia" w:ascii="仿宋_GB2312" w:hAnsi="仿宋_GB2312" w:eastAsia="仿宋_GB2312" w:cs="仿宋_GB2312"/>
          <w:sz w:val="32"/>
          <w:szCs w:val="32"/>
        </w:rPr>
        <w:t>用于其他城乡社区管理事务方面的支出。</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12. 住房保障支出（类）住房改革支出（款）住房公积金（项）：指反映行政事业单位按人力资源和社会保障部、财政部规定的基本工资和津补贴以及规定比例为职工缴纳的住房公积金。</w:t>
      </w:r>
    </w:p>
    <w:p>
      <w:pPr>
        <w:spacing w:line="560"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 xml:space="preserve">13. </w:t>
      </w:r>
      <w:r>
        <w:rPr>
          <w:rFonts w:hint="eastAsia" w:ascii="仿宋_GB2312" w:hAnsi="仿宋_GB2312" w:eastAsia="仿宋_GB2312" w:cs="仿宋_GB2312"/>
          <w:sz w:val="32"/>
          <w:szCs w:val="32"/>
        </w:rPr>
        <w:t>城乡社区支出（类）城市基础设施配套费安排的支出（款）城市环境卫生（项）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指反映城区各广场清扫保洁、垃圾清运、设施设备维护、园林绿化等方面的支出。</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14. 基本支出：指为保障机构正常运转、完成日常工作任务而发生的人员支出和公用支出。</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15. 项目支出：指除基本支出之外，按照法定职责，用于城市管理方面经费支出。包括城乡环境综合治理、市容环境卫生整治、流浪犬只管理、垃圾收运处置及处置场地运营管理，数字化城市管理和信息化建设、广元火车站站前服务中心管理以及机动车违法停放、社会生活噪声污染、建筑施工扬尘污染、饮食服务业油烟污染执法等支出。</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16. “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 xml:space="preserve">17. </w:t>
      </w:r>
      <w:r>
        <w:rPr>
          <w:rFonts w:hint="eastAsia" w:eastAsia="仿宋_GB2312"/>
          <w:b w:val="0"/>
          <w:bCs w:val="0"/>
          <w:color w:val="auto"/>
          <w:spacing w:val="0"/>
          <w:sz w:val="32"/>
          <w:szCs w:val="32"/>
          <w:highlight w:val="none"/>
        </w:rPr>
        <w:t>机关运行经费：为保障行政单位（含参照公务员法管理的事业单位）运行用于购买货物和服务的各项资金，包括办公及印刷费、邮电费、咨询费</w:t>
      </w:r>
      <w:r>
        <w:rPr>
          <w:rFonts w:hint="eastAsia" w:eastAsia="仿宋_GB2312"/>
          <w:b w:val="0"/>
          <w:bCs w:val="0"/>
          <w:color w:val="auto"/>
          <w:spacing w:val="0"/>
          <w:sz w:val="32"/>
          <w:szCs w:val="32"/>
          <w:highlight w:val="none"/>
          <w:lang w:eastAsia="zh-CN"/>
        </w:rPr>
        <w:t>、手续费、</w:t>
      </w:r>
      <w:r>
        <w:rPr>
          <w:rFonts w:hint="eastAsia" w:eastAsia="仿宋_GB2312"/>
          <w:b w:val="0"/>
          <w:bCs w:val="0"/>
          <w:color w:val="auto"/>
          <w:spacing w:val="0"/>
          <w:sz w:val="32"/>
          <w:szCs w:val="32"/>
          <w:highlight w:val="none"/>
        </w:rPr>
        <w:t>差旅费、会议费、工会经费、福利费、公务接待费、租赁费、培训费、日常维修费、劳务费、委托业务费</w:t>
      </w:r>
      <w:r>
        <w:rPr>
          <w:rFonts w:hint="eastAsia" w:eastAsia="仿宋_GB2312"/>
          <w:b w:val="0"/>
          <w:bCs w:val="0"/>
          <w:color w:val="auto"/>
          <w:spacing w:val="0"/>
          <w:sz w:val="32"/>
          <w:szCs w:val="32"/>
          <w:highlight w:val="none"/>
          <w:lang w:eastAsia="zh-CN"/>
        </w:rPr>
        <w:t>、</w:t>
      </w:r>
      <w:r>
        <w:rPr>
          <w:rFonts w:hint="eastAsia" w:eastAsia="仿宋_GB2312"/>
          <w:b w:val="0"/>
          <w:bCs w:val="0"/>
          <w:color w:val="auto"/>
          <w:spacing w:val="0"/>
          <w:sz w:val="32"/>
          <w:szCs w:val="32"/>
          <w:highlight w:val="none"/>
        </w:rPr>
        <w:t>专用材料及办公用房水电费、办公用房物业管理费、公务用车运行维护费</w:t>
      </w:r>
      <w:r>
        <w:rPr>
          <w:rFonts w:hint="eastAsia" w:eastAsia="仿宋_GB2312"/>
          <w:b w:val="0"/>
          <w:bCs w:val="0"/>
          <w:color w:val="auto"/>
          <w:spacing w:val="0"/>
          <w:sz w:val="32"/>
          <w:szCs w:val="32"/>
          <w:highlight w:val="none"/>
          <w:lang w:eastAsia="zh-CN"/>
        </w:rPr>
        <w:t>、</w:t>
      </w:r>
      <w:r>
        <w:rPr>
          <w:rFonts w:hint="eastAsia" w:eastAsia="仿宋_GB2312"/>
          <w:b w:val="0"/>
          <w:bCs w:val="0"/>
          <w:color w:val="auto"/>
          <w:spacing w:val="0"/>
          <w:sz w:val="32"/>
          <w:szCs w:val="32"/>
          <w:highlight w:val="none"/>
        </w:rPr>
        <w:t>其他交通以及其他商品和服务费用。</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ascii="宋体"/>
          <w:b w:val="0"/>
          <w:bCs w:val="0"/>
          <w:color w:val="auto"/>
          <w:spacing w:val="0"/>
          <w:sz w:val="44"/>
          <w:szCs w:val="44"/>
          <w:highlight w:val="none"/>
        </w:rPr>
      </w:pPr>
      <w:r>
        <w:rPr>
          <w:rFonts w:ascii="宋体"/>
          <w:b w:val="0"/>
          <w:bCs w:val="0"/>
          <w:color w:val="auto"/>
          <w:spacing w:val="0"/>
          <w:sz w:val="44"/>
          <w:szCs w:val="44"/>
          <w:highlight w:val="none"/>
        </w:rPr>
        <w:br w:type="page"/>
      </w:r>
      <w:bookmarkStart w:id="59" w:name="_Toc15396614"/>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b w:val="0"/>
          <w:bCs w:val="0"/>
          <w:color w:val="auto"/>
          <w:spacing w:val="0"/>
          <w:sz w:val="44"/>
          <w:szCs w:val="44"/>
          <w:highlight w:val="none"/>
          <w:lang w:eastAsia="zh-CN"/>
        </w:rPr>
      </w:pPr>
      <w:r>
        <w:rPr>
          <w:rFonts w:hint="eastAsia" w:ascii="方正小标宋简体" w:hAnsi="方正小标宋简体" w:eastAsia="方正小标宋简体" w:cs="方正小标宋简体"/>
          <w:b w:val="0"/>
          <w:bCs w:val="0"/>
          <w:color w:val="auto"/>
          <w:spacing w:val="0"/>
          <w:sz w:val="44"/>
          <w:szCs w:val="44"/>
          <w:highlight w:val="none"/>
          <w:lang w:eastAsia="zh-CN"/>
        </w:rPr>
        <w:t>第四部分</w:t>
      </w:r>
      <w:r>
        <w:rPr>
          <w:rFonts w:hint="eastAsia" w:ascii="方正小标宋简体" w:hAnsi="方正小标宋简体" w:eastAsia="方正小标宋简体" w:cs="方正小标宋简体"/>
          <w:b w:val="0"/>
          <w:bCs w:val="0"/>
          <w:color w:val="auto"/>
          <w:spacing w:val="0"/>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spacing w:val="0"/>
          <w:sz w:val="44"/>
          <w:szCs w:val="44"/>
          <w:highlight w:val="none"/>
          <w:lang w:eastAsia="zh-CN"/>
        </w:rPr>
        <w:t>附</w:t>
      </w:r>
      <w:r>
        <w:rPr>
          <w:rFonts w:hint="eastAsia" w:ascii="方正小标宋简体" w:hAnsi="方正小标宋简体" w:eastAsia="方正小标宋简体" w:cs="方正小标宋简体"/>
          <w:b w:val="0"/>
          <w:bCs w:val="0"/>
          <w:color w:val="auto"/>
          <w:spacing w:val="0"/>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spacing w:val="0"/>
          <w:sz w:val="44"/>
          <w:szCs w:val="44"/>
          <w:highlight w:val="none"/>
          <w:lang w:eastAsia="zh-CN"/>
        </w:rPr>
        <w:t>件</w:t>
      </w:r>
      <w:bookmarkEnd w:id="59"/>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lang w:eastAsia="zh-CN"/>
        </w:rPr>
      </w:pPr>
      <w:r>
        <w:rPr>
          <w:rFonts w:hint="eastAsia" w:ascii="方正小标宋简体" w:hAnsi="方正小标宋简体" w:eastAsia="方正小标宋简体" w:cs="方正小标宋简体"/>
          <w:b w:val="0"/>
          <w:bCs w:val="0"/>
          <w:color w:val="auto"/>
          <w:spacing w:val="0"/>
          <w:sz w:val="44"/>
          <w:szCs w:val="44"/>
          <w:highlight w:val="none"/>
          <w:lang w:eastAsia="zh-CN"/>
        </w:rPr>
        <w:t>广元市城市管理行政执法局</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lang w:eastAsia="zh-CN"/>
        </w:rPr>
      </w:pPr>
      <w:r>
        <w:rPr>
          <w:rFonts w:hint="eastAsia" w:ascii="方正小标宋简体" w:hAnsi="方正小标宋简体" w:eastAsia="方正小标宋简体" w:cs="方正小标宋简体"/>
          <w:b w:val="0"/>
          <w:bCs w:val="0"/>
          <w:color w:val="auto"/>
          <w:spacing w:val="0"/>
          <w:sz w:val="44"/>
          <w:szCs w:val="44"/>
          <w:highlight w:val="none"/>
        </w:rPr>
        <w:t>202</w:t>
      </w:r>
      <w:r>
        <w:rPr>
          <w:rFonts w:hint="eastAsia" w:ascii="方正小标宋简体" w:hAnsi="方正小标宋简体" w:eastAsia="方正小标宋简体" w:cs="方正小标宋简体"/>
          <w:b w:val="0"/>
          <w:bCs w:val="0"/>
          <w:color w:val="auto"/>
          <w:spacing w:val="0"/>
          <w:sz w:val="44"/>
          <w:szCs w:val="44"/>
          <w:highlight w:val="none"/>
          <w:lang w:val="en-US" w:eastAsia="zh-CN"/>
        </w:rPr>
        <w:t>1</w:t>
      </w:r>
      <w:r>
        <w:rPr>
          <w:rFonts w:hint="eastAsia" w:ascii="方正小标宋简体" w:hAnsi="方正小标宋简体" w:eastAsia="方正小标宋简体" w:cs="方正小标宋简体"/>
          <w:b w:val="0"/>
          <w:bCs w:val="0"/>
          <w:color w:val="auto"/>
          <w:spacing w:val="0"/>
          <w:sz w:val="44"/>
          <w:szCs w:val="44"/>
          <w:highlight w:val="none"/>
        </w:rPr>
        <w:t>年市级部门整体支出绩效评价</w:t>
      </w:r>
      <w:r>
        <w:rPr>
          <w:rFonts w:hint="eastAsia" w:ascii="方正小标宋简体" w:hAnsi="方正小标宋简体" w:eastAsia="方正小标宋简体" w:cs="方正小标宋简体"/>
          <w:b w:val="0"/>
          <w:bCs w:val="0"/>
          <w:color w:val="auto"/>
          <w:spacing w:val="0"/>
          <w:sz w:val="44"/>
          <w:szCs w:val="44"/>
          <w:highlight w:val="none"/>
          <w:lang w:eastAsia="zh-CN"/>
        </w:rPr>
        <w:t>报告</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p>
    <w:p>
      <w:pPr>
        <w:spacing w:line="576" w:lineRule="exact"/>
        <w:rPr>
          <w:rFonts w:hint="eastAsia" w:ascii="Times New Roman" w:hAnsi="Times New Roman" w:eastAsia="仿宋_GB2312" w:cs="Times New Roman"/>
          <w:b w:val="0"/>
          <w:bCs w:val="0"/>
          <w:color w:val="auto"/>
          <w:spacing w:val="0"/>
          <w:sz w:val="32"/>
          <w:szCs w:val="32"/>
          <w:highlight w:val="none"/>
          <w:lang w:eastAsia="zh-CN"/>
        </w:rPr>
      </w:pPr>
      <w:r>
        <w:rPr>
          <w:rFonts w:hint="eastAsia" w:ascii="Times New Roman" w:hAnsi="Times New Roman" w:eastAsia="仿宋_GB2312" w:cs="Times New Roman"/>
          <w:b w:val="0"/>
          <w:bCs w:val="0"/>
          <w:color w:val="auto"/>
          <w:spacing w:val="0"/>
          <w:sz w:val="32"/>
          <w:szCs w:val="32"/>
          <w:highlight w:val="none"/>
          <w:lang w:eastAsia="zh-CN"/>
        </w:rPr>
        <w:t>市财政局：</w:t>
      </w:r>
    </w:p>
    <w:p>
      <w:pPr>
        <w:spacing w:line="576" w:lineRule="exact"/>
        <w:ind w:firstLine="640" w:firstLineChars="200"/>
        <w:rPr>
          <w:rFonts w:hint="default" w:ascii="Times New Roman" w:hAnsi="Times New Roman" w:eastAsia="仿宋_GB2312" w:cs="Times New Roman"/>
          <w:b w:val="0"/>
          <w:bCs w:val="0"/>
          <w:color w:val="auto"/>
          <w:spacing w:val="0"/>
          <w:sz w:val="32"/>
          <w:szCs w:val="32"/>
          <w:highlight w:val="none"/>
          <w:lang w:val="en-US" w:eastAsia="zh-CN"/>
        </w:rPr>
      </w:pPr>
      <w:r>
        <w:rPr>
          <w:rFonts w:hint="eastAsia" w:ascii="Times New Roman" w:hAnsi="Times New Roman" w:eastAsia="仿宋_GB2312" w:cs="Times New Roman"/>
          <w:b w:val="0"/>
          <w:bCs w:val="0"/>
          <w:color w:val="auto"/>
          <w:spacing w:val="0"/>
          <w:sz w:val="32"/>
          <w:szCs w:val="32"/>
          <w:highlight w:val="none"/>
          <w:lang w:eastAsia="zh-CN"/>
        </w:rPr>
        <w:t>根据广财</w:t>
      </w:r>
      <w:r>
        <w:rPr>
          <w:rFonts w:hint="eastAsia" w:ascii="Times New Roman" w:hAnsi="Times New Roman" w:eastAsia="仿宋_GB2312" w:cs="Times New Roman"/>
          <w:b w:val="0"/>
          <w:bCs w:val="0"/>
          <w:color w:val="auto"/>
          <w:spacing w:val="0"/>
          <w:sz w:val="32"/>
          <w:szCs w:val="32"/>
          <w:highlight w:val="none"/>
          <w:lang w:val="en-US" w:eastAsia="zh-CN"/>
        </w:rPr>
        <w:t>绩〔2022〕8号文件，现将我局部门、政策和项目支出绩效自评工作情况报送如下。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lang w:eastAsia="zh-CN"/>
        </w:rPr>
        <w:t>一、</w:t>
      </w:r>
      <w:r>
        <w:rPr>
          <w:rFonts w:hint="eastAsia" w:ascii="方正黑体简体" w:hAnsi="方正黑体简体" w:eastAsia="方正黑体简体" w:cs="方正黑体简体"/>
          <w:b w:val="0"/>
          <w:bCs w:val="0"/>
          <w:color w:val="auto"/>
          <w:spacing w:val="0"/>
          <w:sz w:val="32"/>
          <w:szCs w:val="32"/>
          <w:highlight w:val="none"/>
        </w:rPr>
        <w:t>部门（单位）概况</w:t>
      </w:r>
    </w:p>
    <w:p>
      <w:pPr>
        <w:pStyle w:val="7"/>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rPr>
      </w:pPr>
      <w:r>
        <w:rPr>
          <w:rFonts w:hint="eastAsia" w:ascii="方正楷体简体" w:hAnsi="方正楷体简体" w:eastAsia="方正楷体简体" w:cs="方正楷体简体"/>
          <w:b w:val="0"/>
          <w:bCs w:val="0"/>
          <w:color w:val="auto"/>
          <w:spacing w:val="0"/>
          <w:sz w:val="32"/>
          <w:szCs w:val="32"/>
          <w:highlight w:val="none"/>
          <w:lang w:eastAsia="zh-CN"/>
        </w:rPr>
        <w:t>（一）</w:t>
      </w:r>
      <w:r>
        <w:rPr>
          <w:rFonts w:hint="eastAsia" w:ascii="方正楷体简体" w:hAnsi="方正楷体简体" w:eastAsia="方正楷体简体" w:cs="方正楷体简体"/>
          <w:b w:val="0"/>
          <w:bCs w:val="0"/>
          <w:color w:val="auto"/>
          <w:spacing w:val="0"/>
          <w:sz w:val="32"/>
          <w:szCs w:val="32"/>
          <w:highlight w:val="none"/>
        </w:rPr>
        <w:t>机构组成</w:t>
      </w:r>
    </w:p>
    <w:p>
      <w:pPr>
        <w:pStyle w:val="2"/>
        <w:keepNext w:val="0"/>
        <w:keepLines w:val="0"/>
        <w:pageBreakBefore w:val="0"/>
        <w:widowControl w:val="0"/>
        <w:kinsoku/>
        <w:wordWrap/>
        <w:overflowPunct/>
        <w:topLinePunct w:val="0"/>
        <w:bidi w:val="0"/>
        <w:spacing w:line="552" w:lineRule="exact"/>
        <w:ind w:firstLine="640" w:firstLineChars="200"/>
        <w:textAlignment w:val="auto"/>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ascii="Times New Roman" w:hAnsi="Times New Roman" w:eastAsia="仿宋_GB2312" w:cs="Times New Roman"/>
          <w:b w:val="0"/>
          <w:bCs w:val="0"/>
          <w:color w:val="auto"/>
          <w:spacing w:val="0"/>
          <w:kern w:val="2"/>
          <w:sz w:val="32"/>
          <w:szCs w:val="32"/>
          <w:highlight w:val="none"/>
          <w:lang w:val="en-US" w:eastAsia="zh-CN" w:bidi="ar-SA"/>
        </w:rPr>
        <w:t>广元市城市管理行政执法局包括行政单位（本级）（包含：广元市城市管理行政执法支队、广元市城市管理宣传监测中心、火车站站前管理事务中心）和其他事业单位（广元市生活垃圾分类中心）。</w:t>
      </w:r>
    </w:p>
    <w:p>
      <w:pPr>
        <w:pStyle w:val="7"/>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lang w:eastAsia="zh-CN"/>
        </w:rPr>
      </w:pPr>
      <w:r>
        <w:rPr>
          <w:rFonts w:hint="eastAsia" w:ascii="方正楷体简体" w:hAnsi="方正楷体简体" w:eastAsia="方正楷体简体" w:cs="方正楷体简体"/>
          <w:b w:val="0"/>
          <w:bCs w:val="0"/>
          <w:color w:val="auto"/>
          <w:spacing w:val="0"/>
          <w:sz w:val="32"/>
          <w:szCs w:val="32"/>
          <w:highlight w:val="none"/>
          <w:lang w:eastAsia="zh-CN"/>
        </w:rPr>
        <w:t>（二）机构职能</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1.</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rPr>
        <w:t>贯彻执行国家有关城市管理和爱国卫生工作的方针政策和法律、法规、规章；起草有关规范性文件。</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2.</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rPr>
        <w:t>拟订城市管理和爱国卫生工作发展战略、中长期发展规划、年度计划并组织实施；制订城市管理、城市管理行政执法行业制度和规范并组织实施；会同有关部门监督管理城市行政事业性收费；负责推进数字化城市管理和信息化建设。</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3.</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rPr>
        <w:t>统筹协调、监督管理全市城市管理工作；负责市城区临时摊点的综合管理；负责路标路牌、报刊电话亭、公交站牌、非机动车停放点等市政设施设置的许可管理；负责户外广告和店招店牌的设置、宣传品张贴悬挂、临时占用城市道路的许可管理；负责机动车辆清洗保洁（含修车、汽车美容）活动的监督管理。</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4.</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rPr>
        <w:t>负责城市市容环境卫生管理，依法对城市市容环境卫生实施监督检查；参与大、中型市容环卫设施项目的规划、建设和项目审核、管理；参与城市新建、改扩建项目中市容环卫配套设施建设方案的审核，监督管理相关项目运营；监督管理生活垃圾、餐厨垃圾、建筑垃圾的收运处置及处置场地运营管理；会同有关部门监督管理医疗废物、工业垃圾、有毒有害垃圾处置；负责公共场所（门前五包）环境卫生的监督管理工作。</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5.</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rPr>
        <w:t>负责指导、协调、监督检查全市爱国卫生工作；承担城乡社会性公共卫生管理工作，组织群众性的社会卫生监督活动。</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6.</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rPr>
        <w:t>集中行使下列城市管理行政处罚权：</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（1）行使住房城乡建设领域法律、法规、规章规定的全部行政处罚权。</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2）行使环境保护管理方面法律、法规、规章规定的部分行政处罚权。具体对以下违法行为行使行政处罚权：社会生活噪声污染和建筑施工噪声污染；建筑施工扬尘污染，向大气排放有毒有害气体和烟尘、饮食服务业油烟污染，在公共场所烧烤食品，散烧原煤、焚烧杂物，不按规定排放生活污水，未采取防燃、防尘措施在城市人口集中地区存放煤炭、煤矸石、煤渣、砂石、灰土等物料；不按规定倾倒、堆放、贮存、清运、处置城市生活垃圾，不按规定随意堆放、倾倒工业固体废物或者随意丢弃、倾倒畜禽饲料、屠宰加工过程中产生的固体废物，施工单位不及时清运、处置建筑施工过程中产生的垃圾以及运输过程中沿途丢弃、遗撒固体废物；拒绝环境噪声现场检查或者在被检查时弄虚作假的行为。</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（3）行使市场监督管理方面法律、法规、规章规定的对无固定经营场所的无照商贩、场外（店外）无证饮食摊点的行政处罚权。</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（4）行使公安交通管理方面法律、法规、规章规定的对违法停放车辆、侵占城市道路行为的行政处罚权。</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（5）行使公安治安管理方面法律、法规、规章规定的对违反犬只管理的行政处罚权。</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（6）行使市人民政府认为需要相对集中并报经省人民政府决定的城市管理领域的其他行政处罚权。</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7.</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rPr>
        <w:t>负责全市城市管理行政执法的组织、协调、监督和检查工作；负责对城市管理执法人员行使职权情况实施督察；牵头组织全市性城市管理重大执法活动和专项执法活动。</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8.</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rPr>
        <w:t>负责城市管理的对外交流工作；负责城市管理的科学研究和社会宣传教育工作。</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9.</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rPr>
        <w:t>负责全市城乡环境综合治理和监督管理工作；负责处置城市管理相关应急突发事件；指导县区城市管理工作。</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10.</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rPr>
        <w:t>承办市政府公布的有关行政审批事项。</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11.</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rPr>
        <w:t>承办市政府交办的其他事项。</w:t>
      </w:r>
    </w:p>
    <w:p>
      <w:pPr>
        <w:pStyle w:val="7"/>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lang w:val="en-US" w:eastAsia="zh-CN"/>
        </w:rPr>
      </w:pPr>
      <w:r>
        <w:rPr>
          <w:rFonts w:hint="eastAsia" w:ascii="方正楷体简体" w:hAnsi="方正楷体简体" w:eastAsia="方正楷体简体" w:cs="方正楷体简体"/>
          <w:b w:val="0"/>
          <w:bCs w:val="0"/>
          <w:color w:val="auto"/>
          <w:spacing w:val="0"/>
          <w:sz w:val="32"/>
          <w:szCs w:val="32"/>
          <w:highlight w:val="none"/>
          <w:lang w:val="en-US" w:eastAsia="zh-CN"/>
        </w:rPr>
        <w:t>（三）人员概况</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lang w:val="en-US" w:eastAsia="zh-CN"/>
        </w:rPr>
        <w:t>1. 局本级</w:t>
      </w:r>
      <w:r>
        <w:rPr>
          <w:rFonts w:hint="eastAsia" w:ascii="Times New Roman" w:hAnsi="Times New Roman" w:eastAsia="仿宋_GB2312" w:cs="Times New Roman"/>
          <w:b w:val="0"/>
          <w:bCs w:val="0"/>
          <w:color w:val="auto"/>
          <w:spacing w:val="0"/>
          <w:sz w:val="32"/>
          <w:szCs w:val="32"/>
          <w:highlight w:val="none"/>
        </w:rPr>
        <w:t>现有编制14</w:t>
      </w:r>
      <w:r>
        <w:rPr>
          <w:rFonts w:hint="eastAsia" w:ascii="Times New Roman" w:hAnsi="Times New Roman" w:eastAsia="仿宋_GB2312" w:cs="Times New Roman"/>
          <w:b w:val="0"/>
          <w:bCs w:val="0"/>
          <w:color w:val="auto"/>
          <w:spacing w:val="0"/>
          <w:sz w:val="32"/>
          <w:szCs w:val="32"/>
          <w:highlight w:val="none"/>
          <w:lang w:val="en-US" w:eastAsia="zh-CN"/>
        </w:rPr>
        <w:t>1</w:t>
      </w:r>
      <w:r>
        <w:rPr>
          <w:rFonts w:hint="eastAsia" w:ascii="Times New Roman" w:hAnsi="Times New Roman" w:eastAsia="仿宋_GB2312" w:cs="Times New Roman"/>
          <w:b w:val="0"/>
          <w:bCs w:val="0"/>
          <w:color w:val="auto"/>
          <w:spacing w:val="0"/>
          <w:sz w:val="32"/>
          <w:szCs w:val="32"/>
          <w:highlight w:val="none"/>
        </w:rPr>
        <w:t>名，其中：市编委核定市城管执法局行政编制19名、工勤编制2名，事业编制</w:t>
      </w:r>
      <w:r>
        <w:rPr>
          <w:rFonts w:hint="eastAsia"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rPr>
        <w:t>含参公</w:t>
      </w:r>
      <w:r>
        <w:rPr>
          <w:rFonts w:hint="eastAsia"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rPr>
        <w:t>1</w:t>
      </w:r>
      <w:r>
        <w:rPr>
          <w:rFonts w:hint="eastAsia" w:ascii="Times New Roman" w:hAnsi="Times New Roman" w:eastAsia="仿宋_GB2312" w:cs="Times New Roman"/>
          <w:b w:val="0"/>
          <w:bCs w:val="0"/>
          <w:color w:val="auto"/>
          <w:spacing w:val="0"/>
          <w:sz w:val="32"/>
          <w:szCs w:val="32"/>
          <w:highlight w:val="none"/>
          <w:lang w:val="en-US" w:eastAsia="zh-CN"/>
        </w:rPr>
        <w:t>20</w:t>
      </w:r>
      <w:r>
        <w:rPr>
          <w:rFonts w:hint="eastAsia" w:ascii="Times New Roman" w:hAnsi="Times New Roman" w:eastAsia="仿宋_GB2312" w:cs="Times New Roman"/>
          <w:b w:val="0"/>
          <w:bCs w:val="0"/>
          <w:color w:val="auto"/>
          <w:spacing w:val="0"/>
          <w:sz w:val="32"/>
          <w:szCs w:val="32"/>
          <w:highlight w:val="none"/>
        </w:rPr>
        <w:t>名，核定协管员编制220</w:t>
      </w:r>
      <w:r>
        <w:rPr>
          <w:rFonts w:hint="eastAsia" w:ascii="Times New Roman" w:hAnsi="Times New Roman" w:eastAsia="仿宋_GB2312" w:cs="Times New Roman"/>
          <w:b w:val="0"/>
          <w:bCs w:val="0"/>
          <w:color w:val="auto"/>
          <w:spacing w:val="0"/>
          <w:sz w:val="32"/>
          <w:szCs w:val="32"/>
          <w:highlight w:val="none"/>
          <w:lang w:eastAsia="zh-CN"/>
        </w:rPr>
        <w:t>名</w:t>
      </w:r>
      <w:r>
        <w:rPr>
          <w:rFonts w:hint="eastAsia" w:ascii="Times New Roman" w:hAnsi="Times New Roman" w:eastAsia="仿宋_GB2312" w:cs="Times New Roman"/>
          <w:b w:val="0"/>
          <w:bCs w:val="0"/>
          <w:color w:val="auto"/>
          <w:spacing w:val="0"/>
          <w:sz w:val="32"/>
          <w:szCs w:val="32"/>
          <w:highlight w:val="none"/>
        </w:rPr>
        <w:t>。</w:t>
      </w:r>
    </w:p>
    <w:p>
      <w:pPr>
        <w:spacing w:line="576" w:lineRule="exact"/>
        <w:ind w:firstLine="640" w:firstLineChars="200"/>
        <w:rPr>
          <w:rFonts w:hint="default" w:ascii="Times New Roman" w:hAnsi="Times New Roman" w:eastAsia="仿宋_GB2312" w:cs="Times New Roman"/>
          <w:b w:val="0"/>
          <w:bCs w:val="0"/>
          <w:color w:val="auto"/>
          <w:spacing w:val="0"/>
          <w:sz w:val="32"/>
          <w:szCs w:val="32"/>
          <w:highlight w:val="none"/>
          <w:lang w:val="en-US" w:eastAsia="zh-CN"/>
        </w:rPr>
      </w:pPr>
      <w:r>
        <w:rPr>
          <w:rFonts w:hint="eastAsia" w:ascii="Times New Roman" w:hAnsi="Times New Roman" w:eastAsia="仿宋_GB2312" w:cs="Times New Roman"/>
          <w:b w:val="0"/>
          <w:bCs w:val="0"/>
          <w:color w:val="auto"/>
          <w:spacing w:val="0"/>
          <w:sz w:val="32"/>
          <w:szCs w:val="32"/>
          <w:highlight w:val="none"/>
          <w:lang w:val="en-US" w:eastAsia="zh-CN"/>
        </w:rPr>
        <w:t>2. 独立预算二级单位市生活垃圾分类中心（原市城区广场服务中心）编制6名。</w:t>
      </w:r>
    </w:p>
    <w:p>
      <w:pPr>
        <w:keepNext w:val="0"/>
        <w:keepLines w:val="0"/>
        <w:pageBreakBefore w:val="0"/>
        <w:widowControl w:val="0"/>
        <w:numPr>
          <w:ilvl w:val="0"/>
          <w:numId w:val="0"/>
        </w:numPr>
        <w:kinsoku/>
        <w:wordWrap/>
        <w:overflowPunct/>
        <w:topLinePunct w:val="0"/>
        <w:bidi w:val="0"/>
        <w:spacing w:line="552"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二、部门财政资金收支情况</w:t>
      </w:r>
    </w:p>
    <w:p>
      <w:pPr>
        <w:pStyle w:val="7"/>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lang w:eastAsia="zh-CN"/>
        </w:rPr>
      </w:pPr>
      <w:r>
        <w:rPr>
          <w:rFonts w:hint="eastAsia" w:ascii="方正楷体简体" w:hAnsi="方正楷体简体" w:eastAsia="方正楷体简体" w:cs="方正楷体简体"/>
          <w:b w:val="0"/>
          <w:bCs w:val="0"/>
          <w:color w:val="auto"/>
          <w:spacing w:val="0"/>
          <w:sz w:val="32"/>
          <w:szCs w:val="32"/>
          <w:highlight w:val="none"/>
          <w:lang w:eastAsia="zh-CN"/>
        </w:rPr>
        <w:t>（一）部门财政资金收入情况</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全年财政收入</w:t>
      </w:r>
      <w:r>
        <w:rPr>
          <w:rFonts w:hint="eastAsia" w:ascii="Times New Roman" w:hAnsi="Times New Roman" w:eastAsia="仿宋_GB2312" w:cs="Times New Roman"/>
          <w:b w:val="0"/>
          <w:bCs w:val="0"/>
          <w:color w:val="auto"/>
          <w:spacing w:val="0"/>
          <w:sz w:val="32"/>
          <w:szCs w:val="32"/>
          <w:highlight w:val="none"/>
          <w:lang w:val="en-US" w:eastAsia="zh-CN"/>
        </w:rPr>
        <w:t>5328.09</w:t>
      </w:r>
      <w:r>
        <w:rPr>
          <w:rFonts w:hint="eastAsia" w:ascii="Times New Roman" w:hAnsi="Times New Roman" w:eastAsia="仿宋_GB2312" w:cs="Times New Roman"/>
          <w:b w:val="0"/>
          <w:bCs w:val="0"/>
          <w:color w:val="auto"/>
          <w:spacing w:val="0"/>
          <w:sz w:val="32"/>
          <w:szCs w:val="32"/>
          <w:highlight w:val="none"/>
        </w:rPr>
        <w:t>万元</w:t>
      </w:r>
      <w:r>
        <w:rPr>
          <w:rFonts w:hint="eastAsia"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rPr>
        <w:t>财政一般公共预算财政拨款</w:t>
      </w:r>
      <w:r>
        <w:rPr>
          <w:rFonts w:hint="eastAsia" w:ascii="Times New Roman" w:hAnsi="Times New Roman" w:eastAsia="仿宋_GB2312" w:cs="Times New Roman"/>
          <w:b w:val="0"/>
          <w:bCs w:val="0"/>
          <w:color w:val="auto"/>
          <w:spacing w:val="0"/>
          <w:sz w:val="32"/>
          <w:szCs w:val="32"/>
          <w:highlight w:val="none"/>
          <w:lang w:val="en-US" w:eastAsia="zh-CN"/>
        </w:rPr>
        <w:t>5083.15</w:t>
      </w:r>
      <w:r>
        <w:rPr>
          <w:rFonts w:hint="eastAsia" w:ascii="Times New Roman" w:hAnsi="Times New Roman" w:eastAsia="仿宋_GB2312" w:cs="Times New Roman"/>
          <w:b w:val="0"/>
          <w:bCs w:val="0"/>
          <w:color w:val="auto"/>
          <w:spacing w:val="0"/>
          <w:sz w:val="32"/>
          <w:szCs w:val="32"/>
          <w:highlight w:val="none"/>
        </w:rPr>
        <w:t>万元，政府性基金预算财政拨款</w:t>
      </w:r>
      <w:r>
        <w:rPr>
          <w:rFonts w:hint="eastAsia" w:ascii="Times New Roman" w:hAnsi="Times New Roman" w:eastAsia="仿宋_GB2312" w:cs="Times New Roman"/>
          <w:b w:val="0"/>
          <w:bCs w:val="0"/>
          <w:color w:val="auto"/>
          <w:spacing w:val="0"/>
          <w:sz w:val="32"/>
          <w:szCs w:val="32"/>
          <w:highlight w:val="none"/>
          <w:lang w:val="en-US" w:eastAsia="zh-CN"/>
        </w:rPr>
        <w:t>227.13</w:t>
      </w:r>
      <w:r>
        <w:rPr>
          <w:rFonts w:hint="eastAsia" w:ascii="Times New Roman" w:hAnsi="Times New Roman" w:eastAsia="仿宋_GB2312" w:cs="Times New Roman"/>
          <w:b w:val="0"/>
          <w:bCs w:val="0"/>
          <w:color w:val="auto"/>
          <w:spacing w:val="0"/>
          <w:sz w:val="32"/>
          <w:szCs w:val="32"/>
          <w:highlight w:val="none"/>
        </w:rPr>
        <w:t>万元</w:t>
      </w:r>
      <w:r>
        <w:rPr>
          <w:rFonts w:hint="eastAsia"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rPr>
        <w:t>其他收入</w:t>
      </w:r>
      <w:r>
        <w:rPr>
          <w:rFonts w:hint="eastAsia" w:ascii="Times New Roman" w:hAnsi="Times New Roman" w:eastAsia="仿宋_GB2312" w:cs="Times New Roman"/>
          <w:b w:val="0"/>
          <w:bCs w:val="0"/>
          <w:color w:val="auto"/>
          <w:spacing w:val="0"/>
          <w:sz w:val="32"/>
          <w:szCs w:val="32"/>
          <w:highlight w:val="none"/>
          <w:lang w:val="en-US" w:eastAsia="zh-CN"/>
        </w:rPr>
        <w:t>17.81</w:t>
      </w:r>
      <w:r>
        <w:rPr>
          <w:rFonts w:hint="eastAsia" w:ascii="Times New Roman" w:hAnsi="Times New Roman" w:eastAsia="仿宋_GB2312" w:cs="Times New Roman"/>
          <w:b w:val="0"/>
          <w:bCs w:val="0"/>
          <w:color w:val="auto"/>
          <w:spacing w:val="0"/>
          <w:sz w:val="32"/>
          <w:szCs w:val="32"/>
          <w:highlight w:val="none"/>
        </w:rPr>
        <w:t>万元</w:t>
      </w:r>
      <w:r>
        <w:rPr>
          <w:rFonts w:hint="eastAsia"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rPr>
        <w:t>。</w:t>
      </w:r>
    </w:p>
    <w:p>
      <w:pPr>
        <w:pStyle w:val="7"/>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lang w:eastAsia="zh-CN"/>
        </w:rPr>
      </w:pPr>
      <w:r>
        <w:rPr>
          <w:rFonts w:hint="eastAsia" w:ascii="方正楷体简体" w:hAnsi="方正楷体简体" w:eastAsia="方正楷体简体" w:cs="方正楷体简体"/>
          <w:b w:val="0"/>
          <w:bCs w:val="0"/>
          <w:color w:val="auto"/>
          <w:spacing w:val="0"/>
          <w:sz w:val="32"/>
          <w:szCs w:val="32"/>
          <w:highlight w:val="none"/>
          <w:lang w:eastAsia="zh-CN"/>
        </w:rPr>
        <w:t>（二）部门财政资金支出情况</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全年共支出</w:t>
      </w:r>
      <w:r>
        <w:rPr>
          <w:rFonts w:hint="eastAsia" w:ascii="Times New Roman" w:hAnsi="Times New Roman" w:eastAsia="仿宋_GB2312" w:cs="Times New Roman"/>
          <w:b w:val="0"/>
          <w:bCs w:val="0"/>
          <w:color w:val="auto"/>
          <w:spacing w:val="0"/>
          <w:sz w:val="32"/>
          <w:szCs w:val="32"/>
          <w:highlight w:val="none"/>
          <w:lang w:val="en-US" w:eastAsia="zh-CN"/>
        </w:rPr>
        <w:t>4012.1</w:t>
      </w:r>
      <w:r>
        <w:rPr>
          <w:rFonts w:hint="eastAsia" w:ascii="Times New Roman" w:hAnsi="Times New Roman" w:eastAsia="仿宋_GB2312" w:cs="Times New Roman"/>
          <w:b w:val="0"/>
          <w:bCs w:val="0"/>
          <w:color w:val="auto"/>
          <w:spacing w:val="0"/>
          <w:sz w:val="32"/>
          <w:szCs w:val="32"/>
          <w:highlight w:val="none"/>
        </w:rPr>
        <w:t>万元</w:t>
      </w:r>
      <w:r>
        <w:rPr>
          <w:rFonts w:hint="eastAsia"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rPr>
        <w:t>其中基本支出</w:t>
      </w:r>
      <w:r>
        <w:rPr>
          <w:rFonts w:hint="eastAsia" w:ascii="Times New Roman" w:hAnsi="Times New Roman" w:eastAsia="仿宋_GB2312" w:cs="Times New Roman"/>
          <w:b w:val="0"/>
          <w:bCs w:val="0"/>
          <w:color w:val="auto"/>
          <w:spacing w:val="0"/>
          <w:sz w:val="32"/>
          <w:szCs w:val="32"/>
          <w:highlight w:val="none"/>
          <w:lang w:val="en-US" w:eastAsia="zh-CN"/>
        </w:rPr>
        <w:t>2537.81</w:t>
      </w:r>
      <w:r>
        <w:rPr>
          <w:rFonts w:hint="eastAsia" w:ascii="Times New Roman" w:hAnsi="Times New Roman" w:eastAsia="仿宋_GB2312" w:cs="Times New Roman"/>
          <w:b w:val="0"/>
          <w:bCs w:val="0"/>
          <w:color w:val="auto"/>
          <w:spacing w:val="0"/>
          <w:sz w:val="32"/>
          <w:szCs w:val="32"/>
          <w:highlight w:val="none"/>
        </w:rPr>
        <w:t>万元</w:t>
      </w:r>
      <w:r>
        <w:rPr>
          <w:rFonts w:hint="eastAsia"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rPr>
        <w:t>项目支出</w:t>
      </w:r>
      <w:r>
        <w:rPr>
          <w:rFonts w:hint="eastAsia" w:ascii="Times New Roman" w:hAnsi="Times New Roman" w:eastAsia="仿宋_GB2312" w:cs="Times New Roman"/>
          <w:b w:val="0"/>
          <w:bCs w:val="0"/>
          <w:color w:val="auto"/>
          <w:spacing w:val="0"/>
          <w:sz w:val="32"/>
          <w:szCs w:val="32"/>
          <w:highlight w:val="none"/>
          <w:lang w:val="en-US" w:eastAsia="zh-CN"/>
        </w:rPr>
        <w:t>1474.29</w:t>
      </w:r>
      <w:r>
        <w:rPr>
          <w:rFonts w:hint="eastAsia" w:ascii="Times New Roman" w:hAnsi="Times New Roman" w:eastAsia="仿宋_GB2312" w:cs="Times New Roman"/>
          <w:b w:val="0"/>
          <w:bCs w:val="0"/>
          <w:color w:val="auto"/>
          <w:spacing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val="en-US" w:eastAsia="zh-CN"/>
        </w:rPr>
      </w:pPr>
      <w:r>
        <w:rPr>
          <w:rFonts w:hint="eastAsia" w:ascii="方正黑体简体" w:hAnsi="方正黑体简体" w:eastAsia="方正黑体简体" w:cs="方正黑体简体"/>
          <w:b w:val="0"/>
          <w:bCs w:val="0"/>
          <w:color w:val="auto"/>
          <w:spacing w:val="0"/>
          <w:sz w:val="32"/>
          <w:szCs w:val="32"/>
          <w:highlight w:val="none"/>
          <w:lang w:val="en-US" w:eastAsia="zh-CN"/>
        </w:rPr>
        <w:t>三、部门整体预算绩效管理情况</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部门整体绩效管理以提高部门资金使用效益为目标，将绩效管理贯穿目标管理、动态调整、内部应用、信息公开等环节。</w:t>
      </w:r>
    </w:p>
    <w:p>
      <w:pPr>
        <w:pStyle w:val="7"/>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lang w:eastAsia="zh-CN"/>
        </w:rPr>
      </w:pPr>
      <w:r>
        <w:rPr>
          <w:rFonts w:hint="eastAsia" w:ascii="方正楷体简体" w:hAnsi="方正楷体简体" w:eastAsia="方正楷体简体" w:cs="方正楷体简体"/>
          <w:b w:val="0"/>
          <w:bCs w:val="0"/>
          <w:color w:val="auto"/>
          <w:spacing w:val="0"/>
          <w:sz w:val="32"/>
          <w:szCs w:val="32"/>
          <w:highlight w:val="none"/>
          <w:lang w:eastAsia="zh-CN"/>
        </w:rPr>
        <w:t>（一）部门预算项目绩效管理（自评得分</w:t>
      </w:r>
      <w:r>
        <w:rPr>
          <w:rFonts w:hint="eastAsia" w:ascii="方正楷体简体" w:hAnsi="方正楷体简体" w:eastAsia="方正楷体简体" w:cs="方正楷体简体"/>
          <w:b w:val="0"/>
          <w:bCs w:val="0"/>
          <w:color w:val="auto"/>
          <w:spacing w:val="0"/>
          <w:sz w:val="32"/>
          <w:szCs w:val="32"/>
          <w:highlight w:val="none"/>
          <w:lang w:val="en-US" w:eastAsia="zh-CN"/>
        </w:rPr>
        <w:t>36分</w:t>
      </w:r>
      <w:r>
        <w:rPr>
          <w:rFonts w:hint="eastAsia" w:ascii="方正楷体简体" w:hAnsi="方正楷体简体" w:eastAsia="方正楷体简体" w:cs="方正楷体简体"/>
          <w:b w:val="0"/>
          <w:bCs w:val="0"/>
          <w:color w:val="auto"/>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lang w:val="en-US" w:eastAsia="zh-CN"/>
        </w:rPr>
        <w:t xml:space="preserve">1. </w:t>
      </w:r>
      <w:r>
        <w:rPr>
          <w:rFonts w:hint="eastAsia" w:ascii="Times New Roman" w:hAnsi="Times New Roman" w:eastAsia="仿宋_GB2312" w:cs="Times New Roman"/>
          <w:b w:val="0"/>
          <w:bCs w:val="0"/>
          <w:color w:val="auto"/>
          <w:spacing w:val="0"/>
          <w:sz w:val="32"/>
          <w:szCs w:val="32"/>
          <w:highlight w:val="none"/>
        </w:rPr>
        <w:t>目标管理</w:t>
      </w:r>
      <w:r>
        <w:rPr>
          <w:rFonts w:hint="eastAsia" w:ascii="Times New Roman" w:hAnsi="Times New Roman" w:eastAsia="仿宋_GB2312" w:cs="Times New Roman"/>
          <w:b w:val="0"/>
          <w:bCs w:val="0"/>
          <w:color w:val="auto"/>
          <w:spacing w:val="0"/>
          <w:sz w:val="32"/>
          <w:szCs w:val="32"/>
          <w:highlight w:val="none"/>
          <w:lang w:val="en-US" w:eastAsia="zh-CN"/>
        </w:rPr>
        <w:t>（14分）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绩效目标编制要素完整，绩效指标细化量化并纳入</w:t>
      </w:r>
      <w:r>
        <w:rPr>
          <w:rFonts w:hint="eastAsia" w:ascii="Times New Roman" w:hAnsi="Times New Roman" w:eastAsia="仿宋_GB2312" w:cs="Times New Roman"/>
          <w:b w:val="0"/>
          <w:bCs w:val="0"/>
          <w:color w:val="auto"/>
          <w:spacing w:val="0"/>
          <w:sz w:val="32"/>
          <w:szCs w:val="32"/>
          <w:highlight w:val="none"/>
          <w:lang w:eastAsia="zh-CN"/>
        </w:rPr>
        <w:t>局</w:t>
      </w:r>
      <w:r>
        <w:rPr>
          <w:rFonts w:hint="eastAsia" w:ascii="Times New Roman" w:hAnsi="Times New Roman" w:eastAsia="仿宋_GB2312" w:cs="Times New Roman"/>
          <w:b w:val="0"/>
          <w:bCs w:val="0"/>
          <w:color w:val="auto"/>
          <w:spacing w:val="0"/>
          <w:sz w:val="32"/>
          <w:szCs w:val="32"/>
          <w:highlight w:val="none"/>
        </w:rPr>
        <w:t>党委会集体决策范围；以项目完成为核心，严格控制项目完成情况与预期绩效目标偏离度。基本支出按人员编制和定额标准，项目支出按照本单位职能职责和根据上级业务主管部门、市委市政府下达的工作目标任务进行编制，做到资料完整、依据充分；全面实施预算项目绩效管理，规范项目预算编制，严格预算项目审查，完善项目资金测算及立项依据、实施周期、年度预算等绩效目标。严格落实项目支出绩效管理责任，对可量化支出的项目，核定统一支出标准，以基础支撑作为扩大“因素法”编审范围，并按照财政部门批复下达预算绩效目标，明确预算执行主体，确保绩效目标落实。</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lang w:val="en-US" w:eastAsia="zh-CN"/>
        </w:rPr>
        <w:t xml:space="preserve">2. </w:t>
      </w:r>
      <w:r>
        <w:rPr>
          <w:rFonts w:hint="eastAsia" w:ascii="Times New Roman" w:hAnsi="Times New Roman" w:eastAsia="仿宋_GB2312" w:cs="Times New Roman"/>
          <w:b w:val="0"/>
          <w:bCs w:val="0"/>
          <w:color w:val="auto"/>
          <w:spacing w:val="0"/>
          <w:sz w:val="32"/>
          <w:szCs w:val="32"/>
          <w:highlight w:val="none"/>
        </w:rPr>
        <w:t>动态调整</w:t>
      </w:r>
      <w:r>
        <w:rPr>
          <w:rFonts w:hint="eastAsia"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lang w:val="en-US" w:eastAsia="zh-CN"/>
        </w:rPr>
        <w:t>8分</w:t>
      </w:r>
      <w:r>
        <w:rPr>
          <w:rFonts w:hint="eastAsia" w:ascii="Times New Roman" w:hAnsi="Times New Roman" w:eastAsia="仿宋_GB2312" w:cs="Times New Roman"/>
          <w:b w:val="0"/>
          <w:bCs w:val="0"/>
          <w:color w:val="auto"/>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严格支出控制，在预算执行过程中严格按照预算批复执行，年初制定资金使用计划，强化预算执行的刚性约束，不随意改变财政预算资金使用范围；及时开展部门绩效运行监控，严控预算执行进度和经费支出，无执行过程中调整预算项目等行为，提高资金使用效益。定期对支出指标进行汇总分析，建立起经费管理内部监测机制，对偏离绩效目标、预期无效项目及时提出纠正或调整意见。牢固树立“讲绩效、重绩效、用绩效”的绩效管理理念，进一步增强支出责任和效率意识，全面加强预算管理、优化资源配置，提高财政资金使用绩效和科学化精细化管理水平，提升政府执行力和公信力。</w:t>
      </w:r>
    </w:p>
    <w:p>
      <w:pPr>
        <w:keepNext w:val="0"/>
        <w:keepLines w:val="0"/>
        <w:pageBreakBefore w:val="0"/>
        <w:widowControl w:val="0"/>
        <w:kinsoku/>
        <w:wordWrap/>
        <w:overflowPunct/>
        <w:topLinePunct w:val="0"/>
        <w:bidi w:val="0"/>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lang w:eastAsia="zh-CN"/>
        </w:rPr>
      </w:pPr>
      <w:r>
        <w:rPr>
          <w:rFonts w:hint="eastAsia" w:ascii="Times New Roman" w:hAnsi="Times New Roman" w:eastAsia="仿宋_GB2312" w:cs="Times New Roman"/>
          <w:b w:val="0"/>
          <w:bCs w:val="0"/>
          <w:color w:val="auto"/>
          <w:spacing w:val="0"/>
          <w:sz w:val="32"/>
          <w:szCs w:val="32"/>
          <w:highlight w:val="none"/>
        </w:rPr>
        <w:t>3.</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rPr>
        <w:t>完成效率</w:t>
      </w:r>
      <w:r>
        <w:rPr>
          <w:rFonts w:hint="eastAsia"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lang w:val="en-US" w:eastAsia="zh-CN"/>
        </w:rPr>
        <w:t>14分</w:t>
      </w:r>
      <w:r>
        <w:rPr>
          <w:rFonts w:hint="eastAsia" w:ascii="Times New Roman" w:hAnsi="Times New Roman" w:eastAsia="仿宋_GB2312" w:cs="Times New Roman"/>
          <w:b w:val="0"/>
          <w:bCs w:val="0"/>
          <w:color w:val="auto"/>
          <w:spacing w:val="0"/>
          <w:sz w:val="32"/>
          <w:szCs w:val="32"/>
          <w:highlight w:val="none"/>
          <w:lang w:eastAsia="zh-CN"/>
        </w:rPr>
        <w:t>）</w:t>
      </w:r>
    </w:p>
    <w:p>
      <w:pPr>
        <w:keepNext w:val="0"/>
        <w:keepLines w:val="0"/>
        <w:pageBreakBefore w:val="0"/>
        <w:widowControl w:val="0"/>
        <w:kinsoku/>
        <w:wordWrap/>
        <w:overflowPunct/>
        <w:topLinePunct w:val="0"/>
        <w:bidi w:val="0"/>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严格执行预算，执行中不调整项目，年度预算执行收支平衡。所有收支均通过财政大平台实行动态监控，资金管理较规范，财政国库动态监控预警无违规支付行为。</w:t>
      </w:r>
    </w:p>
    <w:p>
      <w:pPr>
        <w:pStyle w:val="7"/>
        <w:keepNext w:val="0"/>
        <w:keepLines w:val="0"/>
        <w:pageBreakBefore w:val="0"/>
        <w:widowControl w:val="0"/>
        <w:kinsoku/>
        <w:wordWrap/>
        <w:overflowPunct/>
        <w:topLinePunct w:val="0"/>
        <w:autoSpaceDE/>
        <w:autoSpaceDN/>
        <w:bidi w:val="0"/>
        <w:adjustRightInd w:val="0"/>
        <w:snapToGrid w:val="0"/>
        <w:spacing w:beforeLines="0" w:line="550"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lang w:eastAsia="zh-CN"/>
        </w:rPr>
      </w:pPr>
      <w:r>
        <w:rPr>
          <w:rFonts w:hint="eastAsia" w:ascii="方正楷体简体" w:hAnsi="方正楷体简体" w:eastAsia="方正楷体简体" w:cs="方正楷体简体"/>
          <w:b w:val="0"/>
          <w:bCs w:val="0"/>
          <w:color w:val="auto"/>
          <w:spacing w:val="0"/>
          <w:sz w:val="32"/>
          <w:szCs w:val="32"/>
          <w:highlight w:val="none"/>
          <w:lang w:eastAsia="zh-CN"/>
        </w:rPr>
        <w:t>（二）专项预算项目绩效管理（自评得分</w:t>
      </w:r>
      <w:r>
        <w:rPr>
          <w:rFonts w:hint="eastAsia" w:ascii="方正楷体简体" w:hAnsi="方正楷体简体" w:eastAsia="方正楷体简体" w:cs="方正楷体简体"/>
          <w:b w:val="0"/>
          <w:bCs w:val="0"/>
          <w:color w:val="auto"/>
          <w:spacing w:val="0"/>
          <w:sz w:val="32"/>
          <w:szCs w:val="32"/>
          <w:highlight w:val="none"/>
          <w:lang w:val="en-US" w:eastAsia="zh-CN"/>
        </w:rPr>
        <w:t>39分</w:t>
      </w:r>
      <w:r>
        <w:rPr>
          <w:rFonts w:hint="eastAsia" w:ascii="方正楷体简体" w:hAnsi="方正楷体简体" w:eastAsia="方正楷体简体" w:cs="方正楷体简体"/>
          <w:b w:val="0"/>
          <w:bCs w:val="0"/>
          <w:color w:val="auto"/>
          <w:spacing w:val="0"/>
          <w:sz w:val="32"/>
          <w:szCs w:val="32"/>
          <w:highlight w:val="none"/>
          <w:lang w:eastAsia="zh-CN"/>
        </w:rPr>
        <w:t>）</w:t>
      </w:r>
    </w:p>
    <w:p>
      <w:pPr>
        <w:keepNext w:val="0"/>
        <w:keepLines w:val="0"/>
        <w:pageBreakBefore w:val="0"/>
        <w:widowControl w:val="0"/>
        <w:kinsoku/>
        <w:wordWrap/>
        <w:overflowPunct/>
        <w:topLinePunct w:val="0"/>
        <w:bidi w:val="0"/>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按照专项预算项目自评工作要求对本部门管理的专项预算项已进行自评。</w:t>
      </w:r>
    </w:p>
    <w:p>
      <w:pPr>
        <w:pStyle w:val="7"/>
        <w:keepNext w:val="0"/>
        <w:keepLines w:val="0"/>
        <w:pageBreakBefore w:val="0"/>
        <w:widowControl w:val="0"/>
        <w:kinsoku/>
        <w:wordWrap/>
        <w:overflowPunct/>
        <w:topLinePunct w:val="0"/>
        <w:autoSpaceDE/>
        <w:autoSpaceDN/>
        <w:bidi w:val="0"/>
        <w:adjustRightInd w:val="0"/>
        <w:snapToGrid w:val="0"/>
        <w:spacing w:beforeLines="0" w:line="550" w:lineRule="exact"/>
        <w:ind w:firstLine="640" w:firstLineChars="200"/>
        <w:textAlignment w:val="auto"/>
        <w:outlineLvl w:val="2"/>
        <w:rPr>
          <w:rFonts w:hint="default" w:ascii="方正楷体简体" w:hAnsi="方正楷体简体" w:eastAsia="方正楷体简体" w:cs="方正楷体简体"/>
          <w:b w:val="0"/>
          <w:bCs w:val="0"/>
          <w:color w:val="auto"/>
          <w:spacing w:val="0"/>
          <w:sz w:val="32"/>
          <w:szCs w:val="32"/>
          <w:highlight w:val="none"/>
          <w:lang w:val="en-US" w:eastAsia="zh-CN"/>
        </w:rPr>
      </w:pPr>
      <w:r>
        <w:rPr>
          <w:rFonts w:hint="eastAsia" w:ascii="方正楷体简体" w:hAnsi="方正楷体简体" w:eastAsia="方正楷体简体" w:cs="方正楷体简体"/>
          <w:b w:val="0"/>
          <w:bCs w:val="0"/>
          <w:color w:val="auto"/>
          <w:spacing w:val="0"/>
          <w:sz w:val="32"/>
          <w:szCs w:val="32"/>
          <w:highlight w:val="none"/>
          <w:lang w:eastAsia="zh-CN"/>
        </w:rPr>
        <w:t>（三）绩效结果应用</w:t>
      </w:r>
      <w:r>
        <w:rPr>
          <w:rFonts w:hint="eastAsia" w:ascii="方正楷体简体" w:hAnsi="方正楷体简体" w:eastAsia="方正楷体简体" w:cs="方正楷体简体"/>
          <w:b w:val="0"/>
          <w:bCs w:val="0"/>
          <w:color w:val="auto"/>
          <w:spacing w:val="0"/>
          <w:sz w:val="32"/>
          <w:szCs w:val="32"/>
          <w:highlight w:val="none"/>
          <w:lang w:val="en-US" w:eastAsia="zh-CN"/>
        </w:rPr>
        <w:t>（自评得分10分）</w:t>
      </w:r>
    </w:p>
    <w:p>
      <w:pPr>
        <w:pStyle w:val="27"/>
        <w:keepNext w:val="0"/>
        <w:keepLines w:val="0"/>
        <w:pageBreakBefore w:val="0"/>
        <w:widowControl w:val="0"/>
        <w:numPr>
          <w:ilvl w:val="0"/>
          <w:numId w:val="0"/>
        </w:numPr>
        <w:kinsoku/>
        <w:wordWrap/>
        <w:overflowPunct/>
        <w:topLinePunct w:val="0"/>
        <w:bidi w:val="0"/>
        <w:spacing w:line="550" w:lineRule="exact"/>
        <w:ind w:firstLine="640" w:firstLineChars="200"/>
        <w:textAlignment w:val="auto"/>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ascii="Times New Roman" w:hAnsi="Times New Roman" w:eastAsia="仿宋_GB2312" w:cs="Times New Roman"/>
          <w:b w:val="0"/>
          <w:bCs w:val="0"/>
          <w:color w:val="auto"/>
          <w:spacing w:val="0"/>
          <w:kern w:val="2"/>
          <w:sz w:val="32"/>
          <w:szCs w:val="32"/>
          <w:highlight w:val="none"/>
          <w:lang w:val="en-US" w:eastAsia="zh-CN" w:bidi="ar-SA"/>
        </w:rPr>
        <w:t>1. 内部应用（4分）</w:t>
      </w:r>
    </w:p>
    <w:p>
      <w:pPr>
        <w:keepNext w:val="0"/>
        <w:keepLines w:val="0"/>
        <w:pageBreakBefore w:val="0"/>
        <w:widowControl w:val="0"/>
        <w:kinsoku/>
        <w:wordWrap/>
        <w:overflowPunct/>
        <w:topLinePunct w:val="0"/>
        <w:bidi w:val="0"/>
        <w:spacing w:line="550" w:lineRule="exact"/>
        <w:ind w:firstLine="640" w:firstLineChars="200"/>
        <w:textAlignment w:val="auto"/>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ascii="Times New Roman" w:hAnsi="Times New Roman" w:eastAsia="仿宋_GB2312" w:cs="Times New Roman"/>
          <w:b w:val="0"/>
          <w:bCs w:val="0"/>
          <w:color w:val="auto"/>
          <w:spacing w:val="0"/>
          <w:kern w:val="2"/>
          <w:sz w:val="32"/>
          <w:szCs w:val="32"/>
          <w:highlight w:val="none"/>
          <w:lang w:val="en-US" w:eastAsia="zh-CN" w:bidi="ar-SA"/>
        </w:rPr>
        <w:t>一是按照2021年项目预算执行情况对2022年预算项目的资金规模、支出方向进行调整；二是根据绩效目标审核结果，对绩效目标、项目内容等进行优化调整，深入开展财政支出绩效评价，对人员、公用和项目资金开展绩效自评和专项检查，通过自评发现的问题不断建立健全绩效管理工作机制，明确责任分工，提高部门绩效管理工作水平；三是通过绩效监控进行政策优化、改进管理、预算调整、结余处理，并将评价结果作为次年政策优化、改进管理、预算调整。</w:t>
      </w:r>
    </w:p>
    <w:p>
      <w:pPr>
        <w:keepNext w:val="0"/>
        <w:keepLines w:val="0"/>
        <w:pageBreakBefore w:val="0"/>
        <w:widowControl w:val="0"/>
        <w:kinsoku/>
        <w:wordWrap/>
        <w:overflowPunct/>
        <w:topLinePunct w:val="0"/>
        <w:bidi w:val="0"/>
        <w:spacing w:line="550" w:lineRule="exact"/>
        <w:ind w:firstLine="640" w:firstLineChars="200"/>
        <w:textAlignment w:val="auto"/>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ascii="Times New Roman" w:hAnsi="Times New Roman" w:eastAsia="仿宋_GB2312" w:cs="Times New Roman"/>
          <w:b w:val="0"/>
          <w:bCs w:val="0"/>
          <w:color w:val="auto"/>
          <w:spacing w:val="0"/>
          <w:kern w:val="2"/>
          <w:sz w:val="32"/>
          <w:szCs w:val="32"/>
          <w:highlight w:val="none"/>
          <w:lang w:val="en-US" w:eastAsia="zh-CN" w:bidi="ar-SA"/>
        </w:rPr>
        <w:t>2. 信息公开（2分）</w:t>
      </w:r>
    </w:p>
    <w:p>
      <w:pPr>
        <w:keepNext w:val="0"/>
        <w:keepLines w:val="0"/>
        <w:pageBreakBefore w:val="0"/>
        <w:widowControl w:val="0"/>
        <w:kinsoku/>
        <w:wordWrap/>
        <w:overflowPunct/>
        <w:topLinePunct w:val="0"/>
        <w:bidi w:val="0"/>
        <w:spacing w:line="550" w:lineRule="exact"/>
        <w:ind w:firstLine="640" w:firstLineChars="200"/>
        <w:textAlignment w:val="auto"/>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ascii="Times New Roman" w:hAnsi="Times New Roman" w:eastAsia="仿宋_GB2312" w:cs="Times New Roman"/>
          <w:b w:val="0"/>
          <w:bCs w:val="0"/>
          <w:color w:val="auto"/>
          <w:spacing w:val="0"/>
          <w:kern w:val="2"/>
          <w:sz w:val="32"/>
          <w:szCs w:val="32"/>
          <w:highlight w:val="none"/>
          <w:lang w:val="en-US" w:eastAsia="zh-CN" w:bidi="ar-SA"/>
        </w:rPr>
        <w:t>2021年3月，在部门网站上公布2021年城管局绩效目标批复表，有效树立“花钱求效”的理念，进一步强化支出责任意识，同时提高预算绩效信息的透明度和社会监督度。</w:t>
      </w:r>
    </w:p>
    <w:p>
      <w:pPr>
        <w:keepNext w:val="0"/>
        <w:keepLines w:val="0"/>
        <w:pageBreakBefore w:val="0"/>
        <w:widowControl w:val="0"/>
        <w:kinsoku/>
        <w:wordWrap/>
        <w:overflowPunct/>
        <w:topLinePunct w:val="0"/>
        <w:bidi w:val="0"/>
        <w:spacing w:line="550" w:lineRule="exact"/>
        <w:ind w:firstLine="640" w:firstLineChars="200"/>
        <w:textAlignment w:val="auto"/>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ascii="Times New Roman" w:hAnsi="Times New Roman" w:eastAsia="仿宋_GB2312" w:cs="Times New Roman"/>
          <w:b w:val="0"/>
          <w:bCs w:val="0"/>
          <w:color w:val="auto"/>
          <w:spacing w:val="0"/>
          <w:kern w:val="2"/>
          <w:sz w:val="32"/>
          <w:szCs w:val="32"/>
          <w:highlight w:val="none"/>
          <w:lang w:val="en-US" w:eastAsia="zh-CN" w:bidi="ar-SA"/>
        </w:rPr>
        <w:t>3. 整改反馈（4分）</w:t>
      </w:r>
    </w:p>
    <w:p>
      <w:pPr>
        <w:keepNext w:val="0"/>
        <w:keepLines w:val="0"/>
        <w:pageBreakBefore w:val="0"/>
        <w:widowControl w:val="0"/>
        <w:kinsoku/>
        <w:wordWrap/>
        <w:overflowPunct/>
        <w:topLinePunct w:val="0"/>
        <w:bidi w:val="0"/>
        <w:spacing w:line="550" w:lineRule="exact"/>
        <w:ind w:firstLine="640" w:firstLineChars="200"/>
        <w:textAlignment w:val="auto"/>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ascii="Times New Roman" w:hAnsi="Times New Roman" w:eastAsia="仿宋_GB2312" w:cs="Times New Roman"/>
          <w:b w:val="0"/>
          <w:bCs w:val="0"/>
          <w:color w:val="auto"/>
          <w:spacing w:val="0"/>
          <w:kern w:val="2"/>
          <w:sz w:val="32"/>
          <w:szCs w:val="32"/>
          <w:highlight w:val="none"/>
          <w:lang w:val="en-US" w:eastAsia="zh-CN" w:bidi="ar-SA"/>
        </w:rPr>
        <w:t>严格跟进资金执行进度，根据执行要求，每季度汇总数据后，提醒各项目、中心及用款科室，督促各科室提高谋划意识，确保资金支付时点，同时通过细化经济科目，保障资金使用的合法合规，并及时向财政部门反馈结果应用情况。</w:t>
      </w:r>
    </w:p>
    <w:p>
      <w:pPr>
        <w:pStyle w:val="7"/>
        <w:keepNext w:val="0"/>
        <w:keepLines w:val="0"/>
        <w:pageBreakBefore w:val="0"/>
        <w:widowControl w:val="0"/>
        <w:kinsoku/>
        <w:wordWrap/>
        <w:overflowPunct/>
        <w:topLinePunct w:val="0"/>
        <w:autoSpaceDE/>
        <w:autoSpaceDN/>
        <w:bidi w:val="0"/>
        <w:adjustRightInd w:val="0"/>
        <w:snapToGrid w:val="0"/>
        <w:spacing w:beforeLines="0" w:line="550"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lang w:eastAsia="zh-CN"/>
        </w:rPr>
      </w:pPr>
      <w:r>
        <w:rPr>
          <w:rFonts w:hint="eastAsia" w:ascii="方正楷体简体" w:hAnsi="方正楷体简体" w:eastAsia="方正楷体简体" w:cs="方正楷体简体"/>
          <w:b w:val="0"/>
          <w:bCs w:val="0"/>
          <w:color w:val="auto"/>
          <w:spacing w:val="0"/>
          <w:sz w:val="32"/>
          <w:szCs w:val="32"/>
          <w:highlight w:val="none"/>
          <w:lang w:eastAsia="zh-CN"/>
        </w:rPr>
        <w:t>（四）自评质量（自评得分</w:t>
      </w:r>
      <w:r>
        <w:rPr>
          <w:rFonts w:hint="eastAsia" w:ascii="方正楷体简体" w:hAnsi="方正楷体简体" w:eastAsia="方正楷体简体" w:cs="方正楷体简体"/>
          <w:b w:val="0"/>
          <w:bCs w:val="0"/>
          <w:color w:val="auto"/>
          <w:spacing w:val="0"/>
          <w:sz w:val="32"/>
          <w:szCs w:val="32"/>
          <w:highlight w:val="none"/>
          <w:lang w:val="en-US" w:eastAsia="zh-CN"/>
        </w:rPr>
        <w:t>10分</w:t>
      </w:r>
      <w:r>
        <w:rPr>
          <w:rFonts w:hint="eastAsia" w:ascii="方正楷体简体" w:hAnsi="方正楷体简体" w:eastAsia="方正楷体简体" w:cs="方正楷体简体"/>
          <w:b w:val="0"/>
          <w:bCs w:val="0"/>
          <w:color w:val="auto"/>
          <w:spacing w:val="0"/>
          <w:sz w:val="32"/>
          <w:szCs w:val="32"/>
          <w:highlight w:val="none"/>
          <w:lang w:eastAsia="zh-CN"/>
        </w:rPr>
        <w:t>）</w:t>
      </w:r>
    </w:p>
    <w:p>
      <w:pPr>
        <w:keepNext w:val="0"/>
        <w:keepLines w:val="0"/>
        <w:pageBreakBefore w:val="0"/>
        <w:widowControl w:val="0"/>
        <w:kinsoku/>
        <w:wordWrap/>
        <w:overflowPunct/>
        <w:topLinePunct w:val="0"/>
        <w:bidi w:val="0"/>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2021年按照年度工作要求，基本达到预期绩效目标，部门整体支出自评程度准确度较高。</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val="en-US" w:eastAsia="zh-CN"/>
        </w:rPr>
      </w:pPr>
      <w:r>
        <w:rPr>
          <w:rFonts w:hint="eastAsia" w:ascii="方正黑体简体" w:hAnsi="方正黑体简体" w:eastAsia="方正黑体简体" w:cs="方正黑体简体"/>
          <w:b w:val="0"/>
          <w:bCs w:val="0"/>
          <w:color w:val="auto"/>
          <w:spacing w:val="0"/>
          <w:sz w:val="32"/>
          <w:szCs w:val="32"/>
          <w:highlight w:val="none"/>
          <w:lang w:val="en-US" w:eastAsia="zh-CN"/>
        </w:rPr>
        <w:t>四、评价结果及建议</w:t>
      </w:r>
    </w:p>
    <w:p>
      <w:pPr>
        <w:pStyle w:val="7"/>
        <w:keepNext w:val="0"/>
        <w:keepLines w:val="0"/>
        <w:pageBreakBefore w:val="0"/>
        <w:widowControl w:val="0"/>
        <w:kinsoku/>
        <w:wordWrap/>
        <w:overflowPunct/>
        <w:topLinePunct w:val="0"/>
        <w:autoSpaceDE/>
        <w:autoSpaceDN/>
        <w:bidi w:val="0"/>
        <w:adjustRightInd w:val="0"/>
        <w:snapToGrid w:val="0"/>
        <w:spacing w:beforeLines="0" w:line="550"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lang w:eastAsia="zh-CN"/>
        </w:rPr>
      </w:pPr>
      <w:r>
        <w:rPr>
          <w:rFonts w:hint="eastAsia" w:ascii="方正楷体简体" w:hAnsi="方正楷体简体" w:eastAsia="方正楷体简体" w:cs="方正楷体简体"/>
          <w:b w:val="0"/>
          <w:bCs w:val="0"/>
          <w:color w:val="auto"/>
          <w:spacing w:val="0"/>
          <w:sz w:val="32"/>
          <w:szCs w:val="32"/>
          <w:highlight w:val="none"/>
          <w:lang w:eastAsia="zh-CN"/>
        </w:rPr>
        <w:t>（一）评价结论</w:t>
      </w:r>
    </w:p>
    <w:p>
      <w:pPr>
        <w:keepNext w:val="0"/>
        <w:keepLines w:val="0"/>
        <w:pageBreakBefore w:val="0"/>
        <w:widowControl w:val="0"/>
        <w:kinsoku/>
        <w:wordWrap/>
        <w:overflowPunct/>
        <w:topLinePunct w:val="0"/>
        <w:bidi w:val="0"/>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2021年共评价</w:t>
      </w:r>
      <w:r>
        <w:rPr>
          <w:rFonts w:hint="eastAsia" w:ascii="Times New Roman" w:hAnsi="Times New Roman" w:eastAsia="仿宋_GB2312" w:cs="Times New Roman"/>
          <w:b w:val="0"/>
          <w:bCs w:val="0"/>
          <w:color w:val="auto"/>
          <w:spacing w:val="0"/>
          <w:sz w:val="32"/>
          <w:szCs w:val="32"/>
          <w:highlight w:val="none"/>
          <w:lang w:val="en-US" w:eastAsia="zh-CN"/>
        </w:rPr>
        <w:t>4</w:t>
      </w:r>
      <w:r>
        <w:rPr>
          <w:rFonts w:hint="eastAsia" w:ascii="Times New Roman" w:hAnsi="Times New Roman" w:eastAsia="仿宋_GB2312" w:cs="Times New Roman"/>
          <w:b w:val="0"/>
          <w:bCs w:val="0"/>
          <w:color w:val="auto"/>
          <w:spacing w:val="0"/>
          <w:sz w:val="32"/>
          <w:szCs w:val="32"/>
          <w:highlight w:val="none"/>
        </w:rPr>
        <w:t>个一级指标，8个二级指标，评价得分</w:t>
      </w:r>
      <w:r>
        <w:rPr>
          <w:rFonts w:hint="eastAsia" w:ascii="Times New Roman" w:hAnsi="Times New Roman" w:eastAsia="仿宋_GB2312" w:cs="Times New Roman"/>
          <w:b w:val="0"/>
          <w:bCs w:val="0"/>
          <w:color w:val="auto"/>
          <w:spacing w:val="0"/>
          <w:sz w:val="32"/>
          <w:szCs w:val="32"/>
          <w:highlight w:val="none"/>
          <w:lang w:val="en-US" w:eastAsia="zh-CN"/>
        </w:rPr>
        <w:t>95分</w:t>
      </w:r>
      <w:r>
        <w:rPr>
          <w:rFonts w:hint="eastAsia" w:ascii="Times New Roman" w:hAnsi="Times New Roman" w:eastAsia="仿宋_GB2312" w:cs="Times New Roman"/>
          <w:b w:val="0"/>
          <w:bCs w:val="0"/>
          <w:color w:val="auto"/>
          <w:spacing w:val="0"/>
          <w:sz w:val="32"/>
          <w:szCs w:val="32"/>
          <w:highlight w:val="none"/>
        </w:rPr>
        <w:t>。</w:t>
      </w:r>
    </w:p>
    <w:p>
      <w:pPr>
        <w:pStyle w:val="7"/>
        <w:keepNext w:val="0"/>
        <w:keepLines w:val="0"/>
        <w:pageBreakBefore w:val="0"/>
        <w:widowControl w:val="0"/>
        <w:kinsoku/>
        <w:wordWrap/>
        <w:overflowPunct/>
        <w:topLinePunct w:val="0"/>
        <w:autoSpaceDE/>
        <w:autoSpaceDN/>
        <w:bidi w:val="0"/>
        <w:adjustRightInd w:val="0"/>
        <w:snapToGrid w:val="0"/>
        <w:spacing w:beforeLines="0" w:line="550"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lang w:eastAsia="zh-CN"/>
        </w:rPr>
      </w:pPr>
      <w:r>
        <w:rPr>
          <w:rFonts w:hint="eastAsia" w:ascii="方正楷体简体" w:hAnsi="方正楷体简体" w:eastAsia="方正楷体简体" w:cs="方正楷体简体"/>
          <w:b w:val="0"/>
          <w:bCs w:val="0"/>
          <w:color w:val="auto"/>
          <w:spacing w:val="0"/>
          <w:sz w:val="32"/>
          <w:szCs w:val="32"/>
          <w:highlight w:val="none"/>
          <w:lang w:eastAsia="zh-CN"/>
        </w:rPr>
        <w:t>（二）存在问题</w:t>
      </w:r>
    </w:p>
    <w:p>
      <w:pPr>
        <w:keepNext w:val="0"/>
        <w:keepLines w:val="0"/>
        <w:pageBreakBefore w:val="0"/>
        <w:widowControl w:val="0"/>
        <w:kinsoku/>
        <w:wordWrap/>
        <w:overflowPunct/>
        <w:topLinePunct w:val="0"/>
        <w:bidi w:val="0"/>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项目绩效评价方面，个别项目绩效评价编制有漏项情况；绩效评估结果应用范围较小，指导预期绩效目标编制力度不够强。</w:t>
      </w:r>
    </w:p>
    <w:p>
      <w:pPr>
        <w:pStyle w:val="7"/>
        <w:keepNext w:val="0"/>
        <w:keepLines w:val="0"/>
        <w:pageBreakBefore w:val="0"/>
        <w:widowControl w:val="0"/>
        <w:kinsoku/>
        <w:wordWrap/>
        <w:overflowPunct/>
        <w:topLinePunct w:val="0"/>
        <w:autoSpaceDE/>
        <w:autoSpaceDN/>
        <w:bidi w:val="0"/>
        <w:adjustRightInd w:val="0"/>
        <w:snapToGrid w:val="0"/>
        <w:spacing w:beforeLines="0" w:line="550"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lang w:eastAsia="zh-CN"/>
        </w:rPr>
      </w:pPr>
      <w:r>
        <w:rPr>
          <w:rFonts w:hint="eastAsia" w:ascii="方正楷体简体" w:hAnsi="方正楷体简体" w:eastAsia="方正楷体简体" w:cs="方正楷体简体"/>
          <w:b w:val="0"/>
          <w:bCs w:val="0"/>
          <w:color w:val="auto"/>
          <w:spacing w:val="0"/>
          <w:sz w:val="32"/>
          <w:szCs w:val="32"/>
          <w:highlight w:val="none"/>
          <w:lang w:eastAsia="zh-CN"/>
        </w:rPr>
        <w:t>（三）改进建议</w:t>
      </w:r>
    </w:p>
    <w:p>
      <w:pPr>
        <w:keepNext w:val="0"/>
        <w:keepLines w:val="0"/>
        <w:pageBreakBefore w:val="0"/>
        <w:widowControl w:val="0"/>
        <w:kinsoku/>
        <w:wordWrap/>
        <w:overflowPunct/>
        <w:topLinePunct w:val="0"/>
        <w:bidi w:val="0"/>
        <w:spacing w:line="550" w:lineRule="exact"/>
        <w:ind w:firstLine="640" w:firstLineChars="200"/>
        <w:textAlignment w:val="auto"/>
        <w:rPr>
          <w:rFonts w:hint="eastAsia" w:ascii="方正小标宋简体" w:hAnsi="方正小标宋简体" w:eastAsia="方正小标宋简体" w:cs="方正小标宋简体"/>
          <w:b w:val="0"/>
          <w:bCs w:val="0"/>
          <w:color w:val="auto"/>
          <w:spacing w:val="0"/>
          <w:sz w:val="44"/>
          <w:szCs w:val="44"/>
          <w:highlight w:val="none"/>
          <w:lang w:val="zh-CN" w:eastAsia="zh-CN"/>
        </w:rPr>
      </w:pPr>
      <w:r>
        <w:rPr>
          <w:rFonts w:hint="eastAsia" w:ascii="Times New Roman" w:hAnsi="Times New Roman" w:eastAsia="仿宋_GB2312" w:cs="Times New Roman"/>
          <w:b w:val="0"/>
          <w:bCs w:val="0"/>
          <w:color w:val="auto"/>
          <w:spacing w:val="0"/>
          <w:sz w:val="32"/>
          <w:szCs w:val="32"/>
          <w:highlight w:val="none"/>
        </w:rPr>
        <w:t>一是进一步加强预算绩效管理工作，科学编制项目资金预算，研究制定更加具体的预算绩效管理工作计划，规范、细化各类专项资金绩效评价，定期做好支出财务分析，及时对预算执行情况进行通报和预警</w:t>
      </w:r>
      <w:r>
        <w:rPr>
          <w:rFonts w:hint="eastAsia"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rPr>
        <w:t>二是进一步严格执行预算绩效管理，加强项目实施进度的跟踪，开展项目绩效评价，加强对绩效管理工作的跟踪督查，做到绩效管理有依据、有奖惩，实现绩效管理规范化、常态化，确保项目绩效目标的完成</w:t>
      </w:r>
      <w:r>
        <w:rPr>
          <w:rFonts w:hint="eastAsia"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rPr>
        <w:t>三是进一步加强从事绩效管理工作人员的理论知识水平和业务能力，提升项目资金绩效管理能力和水平。</w:t>
      </w:r>
      <w:bookmarkEnd w:id="58"/>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bookmarkStart w:id="60" w:name="_Toc15396618"/>
      <w:r>
        <w:rPr>
          <w:rFonts w:hint="eastAsia" w:ascii="方正小标宋简体" w:hAnsi="方正小标宋简体" w:eastAsia="方正小标宋简体" w:cs="方正小标宋简体"/>
          <w:color w:val="auto"/>
          <w:spacing w:val="0"/>
          <w:sz w:val="44"/>
          <w:szCs w:val="44"/>
          <w:lang w:val="zh-CN" w:eastAsia="zh-CN"/>
        </w:rPr>
        <w:t>城市管理执法专项</w:t>
      </w:r>
      <w:r>
        <w:rPr>
          <w:rFonts w:hint="eastAsia" w:ascii="方正小标宋简体" w:hAnsi="方正小标宋简体" w:eastAsia="方正小标宋简体" w:cs="方正小标宋简体"/>
          <w:color w:val="auto"/>
          <w:spacing w:val="0"/>
          <w:sz w:val="44"/>
          <w:szCs w:val="44"/>
          <w:lang w:val="en-US" w:eastAsia="zh-CN"/>
        </w:rPr>
        <w:t>经费</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项目</w:t>
      </w:r>
      <w:r>
        <w:rPr>
          <w:rFonts w:hint="eastAsia" w:ascii="方正小标宋简体" w:hAnsi="方正小标宋简体" w:eastAsia="方正小标宋简体" w:cs="方正小标宋简体"/>
          <w:color w:val="auto"/>
          <w:spacing w:val="0"/>
          <w:sz w:val="44"/>
          <w:szCs w:val="44"/>
          <w:lang w:val="zh-CN" w:eastAsia="zh-CN"/>
        </w:rPr>
        <w:t>支出绩效自评报告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一、项目概况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城市管理行政执法支队负责城市管理执法工作。主要承担市城区住房建设领域、环境保护、市场监管、公安交通管理、治安管理方面等执法职责。为保障城市管理执法工作正常运行，年初将城市管理专项执法经费42.1万元纳入局年度财政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通过项目的实施，提升城市精细化管理水平，保持了整洁、有序的城市环境，群众满意度达98%以上。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（三）项目自评步骤及方法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一是核查报账记录。查看包括报账时间、金额、事由及各环节审核签字情况等内容，核实资金是否用于保障城市管理执法工作开展。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二是对2021年的专项工作任务和完成情况进行梳理评价。组织相关业务部门，听取绩效评价工作目标完成情况，查看相应的数据资料。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（一）项目资金申报及批复情况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根据2021年工作开展情况，认真填报《2021年预算项目支出绩效目标申报表》，编制城市管理专项执法经费预算。市财政局于2021年3月批复了城市管理专项执法经费42.1万元。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（二）资金计划、到位及使用情况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1. 资金计划及到位。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市财政局于2021年3月拨付城市管理执法专项经费预算42.1万元。项目资金全部到位。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 资金使用。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项目资金到位后，严格按照项目资金管理相关规定，全部用于项目支出，无被截留、挤占、挪用现象。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申报计划，审批后由市财政支付中心统一集中支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三、项目实施及管理情况</w:t>
      </w:r>
    </w:p>
    <w:p>
      <w:pPr>
        <w:pStyle w:val="7"/>
        <w:keepNext w:val="0"/>
        <w:keepLines w:val="0"/>
        <w:pageBreakBefore w:val="0"/>
        <w:widowControl w:val="0"/>
        <w:kinsoku/>
        <w:wordWrap/>
        <w:overflowPunct/>
        <w:topLinePunct w:val="0"/>
        <w:autoSpaceDE/>
        <w:autoSpaceDN/>
        <w:bidi w:val="0"/>
        <w:spacing w:beforeLines="0" w:line="576" w:lineRule="exact"/>
        <w:ind w:left="0" w:leftChars="0" w:firstLine="640" w:firstLineChars="200"/>
        <w:jc w:val="both"/>
        <w:textAlignment w:val="auto"/>
        <w:rPr>
          <w:rFonts w:hint="eastAsia" w:ascii="Times New Roman" w:hAnsi="Times New Roman" w:eastAsia="仿宋_GB2312" w:cs="Times New Roman"/>
          <w:color w:val="auto"/>
          <w:spacing w:val="0"/>
          <w:kern w:val="0"/>
          <w:sz w:val="32"/>
          <w:szCs w:val="32"/>
          <w:lang w:val="zh-CN" w:eastAsia="zh-CN" w:bidi="ar-SA"/>
        </w:rPr>
      </w:pPr>
      <w:r>
        <w:rPr>
          <w:rFonts w:hint="eastAsia" w:ascii="仿宋_GB2312" w:eastAsia="仿宋_GB2312" w:cs="Times New Roman"/>
          <w:sz w:val="32"/>
          <w:szCs w:val="32"/>
        </w:rPr>
        <w:t>按照年初工作计划，持续推进市城区</w:t>
      </w:r>
      <w:r>
        <w:rPr>
          <w:rFonts w:hint="eastAsia" w:ascii="仿宋_GB2312" w:cs="Times New Roman"/>
          <w:sz w:val="32"/>
          <w:szCs w:val="32"/>
          <w:lang w:eastAsia="zh-CN"/>
        </w:rPr>
        <w:t>工地</w:t>
      </w:r>
      <w:r>
        <w:rPr>
          <w:rFonts w:hint="eastAsia" w:ascii="仿宋_GB2312" w:eastAsia="仿宋_GB2312" w:cs="Times New Roman"/>
          <w:sz w:val="32"/>
          <w:szCs w:val="32"/>
        </w:rPr>
        <w:t>扬尘、餐饮油烟、</w:t>
      </w:r>
      <w:r>
        <w:rPr>
          <w:rFonts w:hint="eastAsia"/>
          <w:sz w:val="32"/>
          <w:szCs w:val="32"/>
          <w:lang w:val="en-US" w:eastAsia="zh-CN"/>
        </w:rPr>
        <w:t>噪音污染等综合治理，进一步加强车辆停放管理，严管占道跨门经营等城市乱象，城市市容市貌明显改善，重要事项</w:t>
      </w:r>
      <w:r>
        <w:rPr>
          <w:rFonts w:hint="eastAsia" w:ascii="Times New Roman" w:hAnsi="Times New Roman" w:eastAsia="仿宋_GB2312" w:cs="Times New Roman"/>
          <w:color w:val="auto"/>
          <w:spacing w:val="0"/>
          <w:kern w:val="0"/>
          <w:sz w:val="32"/>
          <w:szCs w:val="32"/>
          <w:lang w:val="zh-CN" w:eastAsia="zh-CN" w:bidi="ar-SA"/>
        </w:rPr>
        <w:t>纳入“三重一大”范围，提交党组会审定。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四、项目绩效情况</w:t>
      </w:r>
      <w:r>
        <w:rPr>
          <w:rFonts w:hint="eastAsia" w:ascii="方正黑体简体" w:hAnsi="方正黑体简体" w:eastAsia="方正黑体简体" w:cs="方正黑体简体"/>
          <w:b w:val="0"/>
          <w:bCs w:val="0"/>
          <w:color w:val="auto"/>
          <w:spacing w:val="0"/>
          <w:sz w:val="32"/>
          <w:szCs w:val="32"/>
          <w:highlight w:val="none"/>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（一）项目完成情况</w:t>
      </w:r>
    </w:p>
    <w:p>
      <w:pPr>
        <w:pStyle w:val="34"/>
        <w:keepNext w:val="0"/>
        <w:keepLines w:val="0"/>
        <w:pageBreakBefore w:val="0"/>
        <w:widowControl w:val="0"/>
        <w:numPr>
          <w:ilvl w:val="0"/>
          <w:numId w:val="0"/>
        </w:numPr>
        <w:kinsoku/>
        <w:wordWrap/>
        <w:overflowPunct/>
        <w:topLinePunct w:val="0"/>
        <w:autoSpaceDE/>
        <w:autoSpaceDN/>
        <w:bidi w:val="0"/>
        <w:snapToGrid/>
        <w:spacing w:line="576" w:lineRule="exact"/>
        <w:ind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zh-CN" w:eastAsia="zh-CN" w:bidi="ar-SA"/>
        </w:rPr>
        <w:t>截止202</w:t>
      </w: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zh-CN" w:eastAsia="zh-CN" w:bidi="ar-SA"/>
        </w:rPr>
        <w:t>年12月31日，项目指标全面完成，项目社会效益、可持续发展效益明显</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强化市容秩序管控。结合国家卫生城市巩固、文明城市城市创建，深入开展</w:t>
      </w:r>
      <w:r>
        <w:rPr>
          <w:rFonts w:hint="eastAsia" w:ascii="Times New Roman" w:hAnsi="Times New Roman" w:eastAsia="仿宋_GB2312" w:cs="Times New Roman"/>
          <w:sz w:val="32"/>
          <w:szCs w:val="32"/>
          <w:lang w:eastAsia="zh-CN"/>
        </w:rPr>
        <w:t>城市家具排查、</w:t>
      </w:r>
      <w:r>
        <w:rPr>
          <w:rFonts w:hint="default" w:ascii="Times New Roman" w:hAnsi="Times New Roman" w:eastAsia="仿宋_GB2312" w:cs="Times New Roman"/>
          <w:sz w:val="32"/>
          <w:szCs w:val="32"/>
          <w:lang w:eastAsia="zh-CN"/>
        </w:rPr>
        <w:t>建筑物外立面整治</w:t>
      </w:r>
      <w:r>
        <w:rPr>
          <w:rFonts w:hint="eastAsia"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lang w:val="en-US" w:eastAsia="zh-CN"/>
        </w:rPr>
        <w:t>市容环境规范整治行动，</w:t>
      </w:r>
      <w:r>
        <w:rPr>
          <w:rFonts w:hint="default" w:ascii="Times New Roman" w:hAnsi="Times New Roman" w:eastAsia="仿宋_GB2312" w:cs="Times New Roman"/>
          <w:sz w:val="32"/>
          <w:szCs w:val="32"/>
          <w:lang w:eastAsia="zh-CN"/>
        </w:rPr>
        <w:t>严管重罚出店经营、</w:t>
      </w:r>
      <w:r>
        <w:rPr>
          <w:rFonts w:hint="eastAsia" w:ascii="Times New Roman" w:hAnsi="Times New Roman" w:eastAsia="仿宋_GB2312" w:cs="Times New Roman"/>
          <w:sz w:val="32"/>
          <w:szCs w:val="32"/>
          <w:lang w:eastAsia="zh-CN"/>
        </w:rPr>
        <w:t>水果车占道</w:t>
      </w:r>
      <w:r>
        <w:rPr>
          <w:rFonts w:hint="default" w:ascii="Times New Roman" w:hAnsi="Times New Roman" w:eastAsia="仿宋_GB2312" w:cs="Times New Roman"/>
          <w:sz w:val="32"/>
          <w:szCs w:val="32"/>
          <w:lang w:eastAsia="zh-CN"/>
        </w:rPr>
        <w:t>等违法行为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今年以来，规劝制止各类违法违规行为18</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3万余起，清理违规设置广告店招</w:t>
      </w:r>
      <w:r>
        <w:rPr>
          <w:rFonts w:hint="default" w:ascii="Times New Roman" w:hAnsi="Times New Roman" w:eastAsia="仿宋_GB2312" w:cs="Times New Roman"/>
          <w:sz w:val="32"/>
          <w:szCs w:val="32"/>
          <w:lang w:val="en-US" w:eastAsia="zh-CN"/>
        </w:rPr>
        <w:t>1300余</w:t>
      </w:r>
      <w:r>
        <w:rPr>
          <w:rFonts w:hint="default" w:ascii="Times New Roman" w:hAnsi="Times New Roman" w:eastAsia="仿宋_GB2312" w:cs="Times New Roman"/>
          <w:sz w:val="32"/>
          <w:szCs w:val="32"/>
          <w:lang w:eastAsia="zh-CN"/>
        </w:rPr>
        <w:t>块</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抓实</w:t>
      </w:r>
      <w:r>
        <w:rPr>
          <w:rFonts w:hint="default" w:ascii="Times New Roman" w:hAnsi="Times New Roman" w:eastAsia="仿宋_GB2312" w:cs="Times New Roman"/>
          <w:sz w:val="32"/>
          <w:szCs w:val="32"/>
          <w:lang w:eastAsia="zh-CN"/>
        </w:rPr>
        <w:t>大气污染</w:t>
      </w:r>
      <w:r>
        <w:rPr>
          <w:rFonts w:hint="eastAsia" w:ascii="Times New Roman" w:hAnsi="Times New Roman" w:eastAsia="仿宋_GB2312" w:cs="Times New Roman"/>
          <w:sz w:val="32"/>
          <w:szCs w:val="32"/>
          <w:lang w:eastAsia="zh-CN"/>
        </w:rPr>
        <w:t>防治</w:t>
      </w:r>
      <w:r>
        <w:rPr>
          <w:rFonts w:hint="default" w:ascii="Times New Roman" w:hAnsi="Times New Roman" w:eastAsia="仿宋_GB2312" w:cs="Times New Roman"/>
          <w:sz w:val="32"/>
          <w:szCs w:val="32"/>
          <w:lang w:eastAsia="zh-CN"/>
        </w:rPr>
        <w:t>。督促建筑施工企业严格落实“六必须、六不准、六个100%”要求，检查建筑工地1900余家（次），</w:t>
      </w:r>
      <w:r>
        <w:rPr>
          <w:rFonts w:hint="eastAsia" w:ascii="Times New Roman" w:hAnsi="Times New Roman" w:eastAsia="仿宋_GB2312" w:cs="Times New Roman"/>
          <w:sz w:val="32"/>
          <w:szCs w:val="32"/>
          <w:lang w:eastAsia="zh-CN"/>
        </w:rPr>
        <w:t>增加重点时段洒水降尘频次，督导环卫部门不定期清洗市政设施。抓好餐饮油烟噪音、</w:t>
      </w:r>
      <w:r>
        <w:rPr>
          <w:rFonts w:hint="default" w:ascii="Times New Roman" w:hAnsi="Times New Roman" w:eastAsia="仿宋_GB2312" w:cs="Times New Roman"/>
          <w:sz w:val="32"/>
          <w:szCs w:val="32"/>
          <w:lang w:eastAsia="zh-CN"/>
        </w:rPr>
        <w:t>露天焚烧垃圾杂物</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lang w:eastAsia="zh-CN"/>
        </w:rPr>
        <w:t>专项治理，严格市城区烟花爆竹禁放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持续实施“清明节”“中元节”定点祭祀，引导祭祀</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万余人次。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简体" w:hAnsi="方正楷体简体" w:eastAsia="方正楷体简体" w:cs="方正楷体简体"/>
          <w:i w:val="0"/>
          <w:iCs w:val="0"/>
          <w:caps w:val="0"/>
          <w:color w:val="343434"/>
          <w:spacing w:val="0"/>
          <w:kern w:val="0"/>
          <w:sz w:val="32"/>
          <w:szCs w:val="32"/>
          <w:shd w:val="clear" w:color="auto" w:fill="FFFFFF"/>
          <w:lang w:val="en-US" w:eastAsia="zh-CN" w:bidi="ar"/>
        </w:rPr>
      </w:pPr>
      <w:r>
        <w:rPr>
          <w:rFonts w:hint="eastAsia" w:ascii="Times New Roman" w:hAnsi="Times New Roman" w:eastAsia="仿宋_GB2312" w:cs="Times New Roman"/>
          <w:sz w:val="32"/>
          <w:szCs w:val="32"/>
          <w:lang w:val="en-US" w:eastAsia="zh-CN"/>
        </w:rPr>
        <w:t>3. 持续实</w:t>
      </w:r>
      <w:r>
        <w:rPr>
          <w:rFonts w:hint="eastAsia" w:ascii="Times New Roman" w:hAnsi="Times New Roman" w:eastAsia="仿宋_GB2312" w:cs="Times New Roman"/>
          <w:sz w:val="32"/>
          <w:szCs w:val="32"/>
          <w:lang w:eastAsia="zh-CN"/>
        </w:rPr>
        <w:t>施</w:t>
      </w:r>
      <w:r>
        <w:rPr>
          <w:rFonts w:hint="default" w:ascii="Times New Roman" w:hAnsi="Times New Roman" w:eastAsia="仿宋_GB2312" w:cs="Times New Roman"/>
          <w:sz w:val="32"/>
          <w:szCs w:val="32"/>
          <w:lang w:eastAsia="zh-CN"/>
        </w:rPr>
        <w:t>缓堵保畅停车归位行动</w:t>
      </w:r>
      <w:r>
        <w:rPr>
          <w:rFonts w:hint="eastAsia" w:ascii="Times New Roman" w:hAnsi="Times New Roman" w:eastAsia="仿宋_GB2312" w:cs="Times New Roman"/>
          <w:sz w:val="32"/>
          <w:szCs w:val="32"/>
          <w:lang w:eastAsia="zh-CN"/>
        </w:rPr>
        <w:t>。按照“因地制宜、应划尽划”的原则，</w:t>
      </w:r>
      <w:r>
        <w:rPr>
          <w:rFonts w:hint="eastAsia" w:ascii="Times New Roman" w:hAnsi="Times New Roman" w:eastAsia="仿宋_GB2312" w:cs="Times New Roman"/>
          <w:sz w:val="32"/>
          <w:szCs w:val="32"/>
          <w:lang w:val="en-US" w:eastAsia="zh-CN"/>
        </w:rPr>
        <w:t>新增停车泊位，设置出租车即停即走等临时停车位。</w:t>
      </w:r>
      <w:r>
        <w:rPr>
          <w:rFonts w:hint="default" w:ascii="Times New Roman" w:hAnsi="Times New Roman" w:eastAsia="仿宋_GB2312" w:cs="Times New Roman"/>
          <w:sz w:val="32"/>
          <w:szCs w:val="32"/>
          <w:lang w:val="en-US" w:eastAsia="zh-CN"/>
        </w:rPr>
        <w:t>完成万缘、嘉陵片区公共停车位智慧升级改造</w:t>
      </w:r>
      <w:r>
        <w:rPr>
          <w:rFonts w:hint="eastAsia" w:eastAsia="仿宋_GB2312" w:cs="Times New Roman"/>
          <w:sz w:val="32"/>
          <w:szCs w:val="32"/>
          <w:lang w:val="en-US" w:eastAsia="zh-CN"/>
        </w:rPr>
        <w:t>，</w:t>
      </w:r>
      <w:r>
        <w:rPr>
          <w:rFonts w:hint="default" w:ascii="Times New Roman" w:hAnsi="Times New Roman" w:eastAsia="仿宋_GB2312" w:cs="Times New Roman"/>
          <w:b w:val="0"/>
          <w:bCs w:val="0"/>
          <w:kern w:val="2"/>
          <w:sz w:val="32"/>
          <w:szCs w:val="32"/>
          <w:lang w:val="en-US" w:eastAsia="zh-CN" w:bidi="ar-SA"/>
        </w:rPr>
        <w:t>采集机动车违</w:t>
      </w:r>
      <w:r>
        <w:rPr>
          <w:rFonts w:hint="eastAsia" w:ascii="Times New Roman" w:hAnsi="Times New Roman" w:eastAsia="仿宋_GB2312" w:cs="Times New Roman"/>
          <w:b w:val="0"/>
          <w:bCs w:val="0"/>
          <w:kern w:val="2"/>
          <w:sz w:val="32"/>
          <w:szCs w:val="32"/>
          <w:lang w:val="en-US" w:eastAsia="zh-CN" w:bidi="ar-SA"/>
        </w:rPr>
        <w:t>法停放信息</w:t>
      </w:r>
      <w:r>
        <w:rPr>
          <w:rFonts w:hint="eastAsia" w:eastAsia="仿宋_GB2312" w:cs="Times New Roman"/>
          <w:b w:val="0"/>
          <w:bCs w:val="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配合市发改委加快研究出台差异化停车收费标准。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（二）项目效益情况</w:t>
      </w:r>
    </w:p>
    <w:p>
      <w:pPr>
        <w:keepNext w:val="0"/>
        <w:keepLines w:val="0"/>
        <w:pageBreakBefore w:val="0"/>
        <w:widowControl w:val="0"/>
        <w:kinsoku/>
        <w:wordWrap/>
        <w:overflowPunct/>
        <w:topLinePunct w:val="0"/>
        <w:autoSpaceDE/>
        <w:autoSpaceDN/>
        <w:bidi w:val="0"/>
        <w:spacing w:line="576" w:lineRule="exact"/>
        <w:ind w:left="0" w:leftChars="0" w:firstLine="596" w:firstLineChars="200"/>
        <w:jc w:val="both"/>
        <w:textAlignment w:val="auto"/>
        <w:rPr>
          <w:rFonts w:hint="default" w:ascii="Times New Roman" w:hAnsi="Times New Roman" w:eastAsia="仿宋_GB2312" w:cs="Times New Roman"/>
          <w:spacing w:val="-11"/>
          <w:sz w:val="32"/>
          <w:szCs w:val="32"/>
          <w:lang w:val="en-US" w:eastAsia="zh-CN"/>
        </w:rPr>
      </w:pPr>
      <w:r>
        <w:rPr>
          <w:rFonts w:hint="eastAsia"/>
          <w:spacing w:val="-11"/>
          <w:sz w:val="32"/>
          <w:szCs w:val="32"/>
          <w:lang w:val="en-US" w:eastAsia="zh-CN"/>
        </w:rPr>
        <w:t>1</w:t>
      </w:r>
      <w:r>
        <w:rPr>
          <w:rFonts w:hint="eastAsia" w:eastAsia="仿宋_GB2312"/>
          <w:spacing w:val="-11"/>
          <w:sz w:val="32"/>
          <w:szCs w:val="32"/>
        </w:rPr>
        <w:t>.</w:t>
      </w:r>
      <w:r>
        <w:rPr>
          <w:rFonts w:hint="eastAsia" w:eastAsia="仿宋_GB2312"/>
          <w:spacing w:val="-11"/>
          <w:sz w:val="32"/>
          <w:szCs w:val="32"/>
          <w:lang w:val="en-US" w:eastAsia="zh-CN"/>
        </w:rPr>
        <w:t xml:space="preserve"> </w:t>
      </w:r>
      <w:r>
        <w:rPr>
          <w:rFonts w:hint="eastAsia" w:eastAsia="仿宋_GB2312"/>
          <w:spacing w:val="-11"/>
          <w:sz w:val="32"/>
          <w:szCs w:val="32"/>
        </w:rPr>
        <w:t>社会效益指标</w:t>
      </w:r>
      <w:r>
        <w:rPr>
          <w:rFonts w:hint="eastAsia"/>
          <w:spacing w:val="-11"/>
          <w:sz w:val="32"/>
          <w:szCs w:val="32"/>
          <w:lang w:eastAsia="zh-CN"/>
        </w:rPr>
        <w:t>：</w:t>
      </w:r>
      <w:r>
        <w:rPr>
          <w:rFonts w:hint="eastAsia" w:eastAsia="仿宋_GB2312"/>
          <w:sz w:val="32"/>
          <w:szCs w:val="32"/>
        </w:rPr>
        <w:t>城市市容</w:t>
      </w:r>
      <w:r>
        <w:rPr>
          <w:rFonts w:hint="eastAsia" w:ascii="Times New Roman" w:hAnsi="Times New Roman" w:eastAsia="仿宋_GB2312" w:cs="Times New Roman"/>
          <w:spacing w:val="-11"/>
          <w:sz w:val="32"/>
          <w:szCs w:val="32"/>
          <w:lang w:val="en-US" w:eastAsia="zh-CN"/>
        </w:rPr>
        <w:t>得到改善。</w:t>
      </w:r>
    </w:p>
    <w:p>
      <w:pPr>
        <w:keepNext w:val="0"/>
        <w:keepLines w:val="0"/>
        <w:pageBreakBefore w:val="0"/>
        <w:widowControl w:val="0"/>
        <w:kinsoku/>
        <w:wordWrap/>
        <w:overflowPunct/>
        <w:topLinePunct w:val="0"/>
        <w:autoSpaceDE/>
        <w:autoSpaceDN/>
        <w:bidi w:val="0"/>
        <w:spacing w:line="576" w:lineRule="exact"/>
        <w:ind w:left="0" w:leftChars="0" w:firstLine="596" w:firstLineChars="200"/>
        <w:jc w:val="both"/>
        <w:textAlignment w:val="auto"/>
        <w:rPr>
          <w:rFonts w:hint="default"/>
          <w:lang w:val="en-US" w:eastAsia="zh-CN"/>
        </w:rPr>
      </w:pPr>
      <w:r>
        <w:rPr>
          <w:rFonts w:hint="eastAsia" w:ascii="Times New Roman" w:hAnsi="Times New Roman" w:eastAsia="仿宋_GB2312" w:cs="Times New Roman"/>
          <w:spacing w:val="-11"/>
          <w:sz w:val="32"/>
          <w:szCs w:val="32"/>
          <w:lang w:val="en-US" w:eastAsia="zh-CN"/>
        </w:rPr>
        <w:t>2</w:t>
      </w:r>
      <w:r>
        <w:rPr>
          <w:rFonts w:hint="eastAsia" w:ascii="Times New Roman" w:hAnsi="Times New Roman" w:eastAsia="仿宋_GB2312" w:cs="Times New Roman"/>
          <w:spacing w:val="-11"/>
          <w:sz w:val="32"/>
          <w:szCs w:val="32"/>
        </w:rPr>
        <w:t>.</w:t>
      </w:r>
      <w:r>
        <w:rPr>
          <w:rFonts w:hint="eastAsia" w:ascii="Times New Roman" w:hAnsi="Times New Roman" w:eastAsia="仿宋_GB2312" w:cs="Times New Roman"/>
          <w:spacing w:val="-11"/>
          <w:sz w:val="32"/>
          <w:szCs w:val="32"/>
          <w:lang w:val="en-US" w:eastAsia="zh-CN"/>
        </w:rPr>
        <w:t xml:space="preserve"> </w:t>
      </w:r>
      <w:r>
        <w:rPr>
          <w:rFonts w:hint="eastAsia" w:ascii="Times New Roman" w:hAnsi="Times New Roman" w:eastAsia="仿宋_GB2312" w:cs="Times New Roman"/>
          <w:spacing w:val="-11"/>
          <w:sz w:val="32"/>
          <w:szCs w:val="32"/>
        </w:rPr>
        <w:t>可持续效益指标</w:t>
      </w:r>
      <w:r>
        <w:rPr>
          <w:rFonts w:hint="eastAsia" w:ascii="Times New Roman" w:hAnsi="Times New Roman" w:eastAsia="仿宋_GB2312" w:cs="Times New Roman"/>
          <w:spacing w:val="-11"/>
          <w:sz w:val="32"/>
          <w:szCs w:val="32"/>
          <w:lang w:eastAsia="zh-CN"/>
        </w:rPr>
        <w:t>：</w:t>
      </w:r>
      <w:r>
        <w:rPr>
          <w:rFonts w:hint="eastAsia" w:ascii="Times New Roman" w:hAnsi="Times New Roman" w:eastAsia="仿宋_GB2312" w:cs="Times New Roman"/>
          <w:spacing w:val="-11"/>
          <w:sz w:val="32"/>
          <w:szCs w:val="32"/>
        </w:rPr>
        <w:t>城市管理水平</w:t>
      </w:r>
      <w:r>
        <w:rPr>
          <w:rFonts w:hint="eastAsia" w:ascii="Times New Roman" w:hAnsi="Times New Roman" w:eastAsia="仿宋_GB2312" w:cs="Times New Roman"/>
          <w:spacing w:val="-11"/>
          <w:sz w:val="32"/>
          <w:szCs w:val="32"/>
          <w:lang w:val="en-US" w:eastAsia="zh-CN"/>
        </w:rPr>
        <w:t>提升。</w:t>
      </w:r>
    </w:p>
    <w:p>
      <w:pPr>
        <w:keepNext w:val="0"/>
        <w:keepLines w:val="0"/>
        <w:pageBreakBefore w:val="0"/>
        <w:widowControl w:val="0"/>
        <w:kinsoku/>
        <w:wordWrap/>
        <w:overflowPunct/>
        <w:topLinePunct w:val="0"/>
        <w:autoSpaceDE/>
        <w:autoSpaceDN/>
        <w:bidi w:val="0"/>
        <w:spacing w:line="576" w:lineRule="exact"/>
        <w:ind w:left="0" w:leftChars="0" w:firstLine="596" w:firstLineChars="200"/>
        <w:jc w:val="both"/>
        <w:textAlignment w:val="auto"/>
        <w:rPr>
          <w:rFonts w:hint="eastAsia" w:ascii="Times New Roman" w:hAnsi="Times New Roman" w:eastAsia="仿宋_GB2312" w:cs="Times New Roman"/>
          <w:spacing w:val="-11"/>
          <w:sz w:val="32"/>
          <w:szCs w:val="32"/>
          <w:lang w:val="en-US" w:eastAsia="zh-CN"/>
        </w:rPr>
      </w:pPr>
      <w:r>
        <w:rPr>
          <w:rFonts w:hint="eastAsia" w:ascii="Times New Roman" w:hAnsi="Times New Roman" w:eastAsia="仿宋_GB2312" w:cs="Times New Roman"/>
          <w:spacing w:val="-11"/>
          <w:sz w:val="32"/>
          <w:szCs w:val="32"/>
          <w:lang w:val="en-US" w:eastAsia="zh-CN"/>
        </w:rPr>
        <w:t>3. 服务对象满意度指标：群众对市容市貌整治满意</w:t>
      </w:r>
      <w:r>
        <w:rPr>
          <w:rFonts w:hint="eastAsia" w:eastAsia="仿宋_GB2312" w:cs="Times New Roman"/>
          <w:spacing w:val="-11"/>
          <w:sz w:val="32"/>
          <w:szCs w:val="32"/>
          <w:lang w:val="en-US" w:eastAsia="zh-CN"/>
        </w:rPr>
        <w:t>;群众对城管案件查处满意。</w:t>
      </w:r>
    </w:p>
    <w:p>
      <w:pPr>
        <w:keepNext w:val="0"/>
        <w:keepLines w:val="0"/>
        <w:pageBreakBefore w:val="0"/>
        <w:widowControl w:val="0"/>
        <w:kinsoku/>
        <w:wordWrap/>
        <w:overflowPunct/>
        <w:topLinePunct w:val="0"/>
        <w:autoSpaceDE/>
        <w:autoSpaceDN/>
        <w:bidi w:val="0"/>
        <w:spacing w:line="576" w:lineRule="exact"/>
        <w:ind w:left="0" w:leftChars="0" w:firstLine="596" w:firstLineChars="200"/>
        <w:jc w:val="both"/>
        <w:textAlignment w:val="auto"/>
        <w:rPr>
          <w:rFonts w:hint="default" w:eastAsia="仿宋_GB2312"/>
          <w:sz w:val="32"/>
          <w:szCs w:val="32"/>
          <w:lang w:val="en-US" w:eastAsia="zh-CN"/>
        </w:rPr>
      </w:pPr>
      <w:r>
        <w:rPr>
          <w:rFonts w:hint="default" w:eastAsia="仿宋_GB2312" w:cs="Times New Roman"/>
          <w:spacing w:val="-11"/>
          <w:sz w:val="32"/>
          <w:szCs w:val="32"/>
          <w:lang w:eastAsia="zh-CN"/>
        </w:rPr>
        <w:t>4</w:t>
      </w:r>
      <w:r>
        <w:rPr>
          <w:rFonts w:hint="eastAsia" w:ascii="Times New Roman" w:hAnsi="Times New Roman" w:eastAsia="仿宋_GB2312" w:cs="Times New Roman"/>
          <w:spacing w:val="-11"/>
          <w:sz w:val="32"/>
          <w:szCs w:val="32"/>
          <w:lang w:val="en-US" w:eastAsia="zh-CN"/>
        </w:rPr>
        <w:t xml:space="preserve">. </w:t>
      </w:r>
      <w:r>
        <w:rPr>
          <w:rFonts w:hint="default" w:ascii="Times New Roman" w:hAnsi="Times New Roman" w:eastAsia="仿宋_GB2312" w:cs="Times New Roman"/>
          <w:spacing w:val="-11"/>
          <w:sz w:val="32"/>
          <w:szCs w:val="32"/>
          <w:lang w:val="en-US" w:eastAsia="zh-CN"/>
        </w:rPr>
        <w:t>生态效益指标</w:t>
      </w:r>
      <w:r>
        <w:rPr>
          <w:rFonts w:hint="eastAsia" w:ascii="Times New Roman" w:hAnsi="Times New Roman" w:eastAsia="仿宋_GB2312" w:cs="Times New Roman"/>
          <w:spacing w:val="-11"/>
          <w:sz w:val="32"/>
          <w:szCs w:val="32"/>
          <w:lang w:val="en-US" w:eastAsia="zh-CN"/>
        </w:rPr>
        <w:t>：</w:t>
      </w:r>
      <w:r>
        <w:rPr>
          <w:rFonts w:hint="default" w:ascii="Times New Roman" w:hAnsi="Times New Roman" w:eastAsia="仿宋_GB2312" w:cs="Times New Roman"/>
          <w:spacing w:val="-11"/>
          <w:sz w:val="32"/>
          <w:szCs w:val="32"/>
          <w:lang w:val="en-US" w:eastAsia="zh-CN"/>
        </w:rPr>
        <w:t>工地扬尘对环境的影响</w:t>
      </w:r>
      <w:r>
        <w:rPr>
          <w:rFonts w:hint="eastAsia" w:ascii="Times New Roman" w:hAnsi="Times New Roman" w:eastAsia="仿宋_GB2312" w:cs="Times New Roman"/>
          <w:spacing w:val="-11"/>
          <w:sz w:val="32"/>
          <w:szCs w:val="32"/>
          <w:lang w:val="en-US" w:eastAsia="zh-CN"/>
        </w:rPr>
        <w:t>降低。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五、评价结论及建议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 w:eastAsia="zh-CN"/>
        </w:rPr>
      </w:pPr>
      <w:r>
        <w:rPr>
          <w:rFonts w:hint="eastAsia" w:ascii="方正楷体简体" w:hAnsi="方正楷体简体" w:eastAsia="方正楷体简体" w:cs="方正楷体简体"/>
          <w:b w:val="0"/>
          <w:bCs/>
          <w:color w:val="auto"/>
          <w:spacing w:val="0"/>
          <w:sz w:val="32"/>
          <w:szCs w:val="32"/>
          <w:highlight w:val="none"/>
          <w:lang w:val="en" w:eastAsia="zh-CN"/>
        </w:rPr>
        <w:t>（一）评价结论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项目实施保障了市城区市容市貌整体有序，积极营造整洁、优美的城市人居环境。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（二）存在的问题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由于城市发展迅速，人口持续增加，建成区规模不断扩张，管理面积随之扩大，工作运行经费不足的问题较明显。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（三）相关建议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财政加大经费投入，科学编制来年预算，保障城市管理执法工作正常运转。</w:t>
      </w: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lang w:val="en-US" w:eastAsia="zh-CN"/>
        </w:rPr>
      </w:pPr>
      <w:r>
        <w:rPr>
          <w:rFonts w:hint="eastAsia" w:ascii="方正黑体简体" w:hAnsi="方正黑体简体" w:eastAsia="方正黑体简体" w:cs="方正黑体简体"/>
          <w:color w:val="auto"/>
          <w:spacing w:val="0"/>
          <w:sz w:val="32"/>
          <w:szCs w:val="32"/>
          <w:highlight w:val="none"/>
        </w:rPr>
        <w:t>附</w:t>
      </w:r>
      <w:r>
        <w:rPr>
          <w:rFonts w:hint="eastAsia" w:ascii="方正黑体简体" w:hAnsi="方正黑体简体" w:eastAsia="方正黑体简体" w:cs="方正黑体简体"/>
          <w:color w:val="auto"/>
          <w:spacing w:val="0"/>
          <w:sz w:val="32"/>
          <w:szCs w:val="32"/>
          <w:highlight w:val="none"/>
          <w:lang w:val="en-US" w:eastAsia="zh-CN"/>
        </w:rPr>
        <w:t>表</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2021年部门预算项目绩效目标自评</w:t>
      </w:r>
    </w:p>
    <w:tbl>
      <w:tblPr>
        <w:tblStyle w:val="13"/>
        <w:tblW w:w="96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8"/>
        <w:gridCol w:w="743"/>
        <w:gridCol w:w="1183"/>
        <w:gridCol w:w="1665"/>
        <w:gridCol w:w="1725"/>
        <w:gridCol w:w="705"/>
        <w:gridCol w:w="2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sz w:val="21"/>
                <w:szCs w:val="21"/>
                <w:highlight w:val="none"/>
                <w:u w:val="none"/>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主管部门及代码</w:t>
            </w:r>
          </w:p>
        </w:tc>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640601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实施单位</w:t>
            </w: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8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项目预算</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执行情况</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sz w:val="21"/>
                <w:szCs w:val="21"/>
                <w:highlight w:val="none"/>
                <w:u w:val="none"/>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（万元）</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预算数：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42.1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执行数：</w:t>
            </w: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8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财政拨款</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42.1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财政拨款</w:t>
            </w: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18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其他资金</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其他资金</w:t>
            </w: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jc w:val="center"/>
        </w:trPr>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年度总体目标完成情况</w:t>
            </w:r>
          </w:p>
        </w:tc>
        <w:tc>
          <w:tcPr>
            <w:tcW w:w="35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预期目标</w:t>
            </w:r>
          </w:p>
        </w:tc>
        <w:tc>
          <w:tcPr>
            <w:tcW w:w="4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p>
        </w:tc>
        <w:tc>
          <w:tcPr>
            <w:tcW w:w="3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top"/>
              <w:rPr>
                <w:rFonts w:hint="eastAsia" w:ascii="方正书宋简体" w:hAnsi="方正书宋简体" w:eastAsia="方正书宋简体" w:cs="方正书宋简体"/>
                <w:i w:val="0"/>
                <w:color w:val="auto"/>
                <w:spacing w:val="0"/>
                <w:sz w:val="21"/>
                <w:szCs w:val="21"/>
                <w:highlight w:val="none"/>
                <w:u w:val="none"/>
              </w:rPr>
            </w:pPr>
            <w:r>
              <w:rPr>
                <w:rFonts w:hint="eastAsia" w:ascii="方正书宋简体" w:hAnsi="方正书宋简体" w:eastAsia="方正书宋简体" w:cs="方正书宋简体"/>
                <w:i w:val="0"/>
                <w:color w:val="auto"/>
                <w:spacing w:val="0"/>
                <w:sz w:val="21"/>
                <w:szCs w:val="21"/>
                <w:highlight w:val="none"/>
                <w:u w:val="none"/>
              </w:rPr>
              <w:t>推进精细化城管执法工作，提升市容市貌及环境卫生管理水平。</w:t>
            </w:r>
          </w:p>
        </w:tc>
        <w:tc>
          <w:tcPr>
            <w:tcW w:w="492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top"/>
              <w:rPr>
                <w:rFonts w:hint="eastAsia" w:ascii="方正书宋简体" w:hAnsi="方正书宋简体" w:eastAsia="方正书宋简体" w:cs="方正书宋简体"/>
                <w:i w:val="0"/>
                <w:color w:val="auto"/>
                <w:spacing w:val="0"/>
                <w:sz w:val="21"/>
                <w:szCs w:val="21"/>
                <w:highlight w:val="none"/>
                <w:u w:val="none"/>
              </w:rPr>
            </w:pPr>
            <w:r>
              <w:rPr>
                <w:rFonts w:hint="eastAsia" w:ascii="方正书宋简体" w:hAnsi="方正书宋简体" w:eastAsia="方正书宋简体" w:cs="方正书宋简体"/>
                <w:i w:val="0"/>
                <w:color w:val="auto"/>
                <w:spacing w:val="0"/>
                <w:sz w:val="21"/>
                <w:szCs w:val="21"/>
                <w:highlight w:val="none"/>
                <w:u w:val="none"/>
              </w:rPr>
              <w:t>以市容秩序管控，建设领域执法为重点，结合全国</w:t>
            </w:r>
            <w:r>
              <w:rPr>
                <w:rFonts w:hint="eastAsia" w:ascii="方正书宋简体" w:hAnsi="方正书宋简体" w:eastAsia="方正书宋简体" w:cs="方正书宋简体"/>
                <w:i w:val="0"/>
                <w:color w:val="auto"/>
                <w:spacing w:val="0"/>
                <w:sz w:val="21"/>
                <w:szCs w:val="21"/>
                <w:highlight w:val="none"/>
                <w:u w:val="none"/>
                <w:lang w:val="en-US" w:eastAsia="zh-CN"/>
              </w:rPr>
              <w:t>卫生</w:t>
            </w:r>
            <w:r>
              <w:rPr>
                <w:rFonts w:hint="eastAsia" w:ascii="方正书宋简体" w:hAnsi="方正书宋简体" w:eastAsia="方正书宋简体" w:cs="方正书宋简体"/>
                <w:i w:val="0"/>
                <w:color w:val="auto"/>
                <w:spacing w:val="0"/>
                <w:sz w:val="21"/>
                <w:szCs w:val="21"/>
                <w:highlight w:val="none"/>
                <w:u w:val="none"/>
              </w:rPr>
              <w:t>城市创建实施，深入推进市容环境规范整治。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12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年度绩效指标完成情况</w:t>
            </w:r>
          </w:p>
        </w:tc>
        <w:tc>
          <w:tcPr>
            <w:tcW w:w="74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一级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指标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二级</w:t>
            </w:r>
          </w:p>
          <w:p>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三级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指标</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预期指标值</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2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7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产出指标</w:t>
            </w:r>
          </w:p>
        </w:tc>
        <w:tc>
          <w:tcPr>
            <w:tcW w:w="118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数量指标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市容市貌整治行动</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≥130次/年</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150余次/年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12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7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成本指标</w:t>
            </w:r>
          </w:p>
        </w:tc>
        <w:tc>
          <w:tcPr>
            <w:tcW w:w="118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宋体" w:hAnsi="宋体" w:eastAsia="宋体" w:cs="宋体"/>
                <w:i w:val="0"/>
                <w:color w:val="auto"/>
                <w:spacing w:val="0"/>
                <w:kern w:val="2"/>
                <w:sz w:val="21"/>
                <w:szCs w:val="21"/>
                <w:highlight w:val="none"/>
                <w:u w:val="none"/>
                <w:lang w:val="en-US" w:eastAsia="zh-CN" w:bidi="ar-SA"/>
              </w:rPr>
            </w:pPr>
            <w:r>
              <w:rPr>
                <w:rFonts w:hint="eastAsia" w:ascii="宋体" w:hAnsi="宋体" w:eastAsia="宋体" w:cs="宋体"/>
                <w:i w:val="0"/>
                <w:color w:val="auto"/>
                <w:spacing w:val="0"/>
                <w:sz w:val="21"/>
                <w:szCs w:val="21"/>
                <w:highlight w:val="none"/>
                <w:u w:val="none"/>
                <w:lang w:val="en-US" w:eastAsia="zh-CN"/>
              </w:rPr>
              <w:t>经济成本指标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top"/>
              <w:rPr>
                <w:rFonts w:hint="default" w:ascii="宋体" w:hAnsi="宋体" w:eastAsia="宋体" w:cs="宋体"/>
                <w:i w:val="0"/>
                <w:color w:val="auto"/>
                <w:spacing w:val="0"/>
                <w:kern w:val="2"/>
                <w:sz w:val="21"/>
                <w:szCs w:val="21"/>
                <w:highlight w:val="none"/>
                <w:u w:val="none"/>
                <w:lang w:val="en-US" w:eastAsia="zh-CN" w:bidi="ar-SA"/>
              </w:rPr>
            </w:pPr>
            <w:r>
              <w:rPr>
                <w:rFonts w:hint="eastAsia" w:ascii="宋体" w:hAnsi="宋体" w:eastAsia="宋体" w:cs="宋体"/>
                <w:i w:val="0"/>
                <w:color w:val="auto"/>
                <w:spacing w:val="0"/>
                <w:sz w:val="21"/>
                <w:szCs w:val="21"/>
                <w:highlight w:val="none"/>
                <w:u w:val="none"/>
                <w:lang w:val="en-US" w:eastAsia="zh-CN"/>
              </w:rPr>
              <w:t>执法车辆运行费，重大拆除费活动保障费，清理“牛皮癣”专用材料费等</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kern w:val="2"/>
                <w:sz w:val="21"/>
                <w:szCs w:val="21"/>
                <w:highlight w:val="none"/>
                <w:u w:val="none"/>
                <w:lang w:val="en-US" w:eastAsia="zh-CN" w:bidi="ar-SA"/>
              </w:rPr>
            </w:pPr>
            <w:r>
              <w:rPr>
                <w:rFonts w:hint="eastAsia" w:ascii="宋体" w:hAnsi="宋体" w:eastAsia="宋体" w:cs="宋体"/>
                <w:i w:val="0"/>
                <w:color w:val="auto"/>
                <w:spacing w:val="0"/>
                <w:sz w:val="21"/>
                <w:szCs w:val="21"/>
                <w:highlight w:val="none"/>
                <w:u w:val="none"/>
                <w:lang w:val="en-US" w:eastAsia="zh-CN"/>
              </w:rPr>
              <w:t>≥42.1万元</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kern w:val="2"/>
                <w:sz w:val="21"/>
                <w:szCs w:val="21"/>
                <w:highlight w:val="none"/>
                <w:u w:val="none"/>
                <w:lang w:val="en-US" w:eastAsia="zh-CN" w:bidi="ar-SA"/>
              </w:rPr>
            </w:pPr>
            <w:r>
              <w:rPr>
                <w:rFonts w:hint="eastAsia" w:ascii="宋体" w:hAnsi="宋体" w:eastAsia="宋体" w:cs="宋体"/>
                <w:i w:val="0"/>
                <w:color w:val="auto"/>
                <w:spacing w:val="0"/>
                <w:sz w:val="21"/>
                <w:szCs w:val="21"/>
                <w:highlight w:val="none"/>
                <w:u w:val="none"/>
                <w:lang w:val="en-US" w:eastAsia="zh-CN"/>
              </w:rPr>
              <w:t>42.1万元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12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效益</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指标</w:t>
            </w:r>
          </w:p>
        </w:tc>
        <w:tc>
          <w:tcPr>
            <w:tcW w:w="1183"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生态效益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工地扬尘对环境的影响</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降低</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降低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12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社会效益指标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城市市容市貌</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改善</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得到改善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12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可持续影响指标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城市管理水平</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提升</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城市化管理水平提升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12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743"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满意</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度指标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服务对象满意度指标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群众对市容市貌环境整治满意度</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满意</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群众满意度达96%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12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743"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服务对象满意度指标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群众对城管案件查处满意度</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满意</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群众满意度达96%</w:t>
            </w:r>
          </w:p>
        </w:tc>
      </w:tr>
    </w:tbl>
    <w:p>
      <w:pPr>
        <w:keepNext w:val="0"/>
        <w:keepLines w:val="0"/>
        <w:pageBreakBefore w:val="0"/>
        <w:widowControl w:val="0"/>
        <w:kinsoku/>
        <w:wordWrap/>
        <w:overflowPunct/>
        <w:topLinePunct w:val="0"/>
        <w:autoSpaceDE/>
        <w:autoSpaceDN/>
        <w:bidi w:val="0"/>
        <w:adjustRightInd/>
        <w:snapToGrid/>
        <w:spacing w:line="700" w:lineRule="exact"/>
        <w:jc w:val="both"/>
        <w:textAlignment w:val="auto"/>
        <w:outlineLvl w:val="0"/>
        <w:rPr>
          <w:rFonts w:hint="eastAsia" w:ascii="方正小标宋简体" w:hAnsi="方正小标宋简体" w:eastAsia="方正小标宋简体" w:cs="方正小标宋简体"/>
          <w:color w:val="auto"/>
          <w:spacing w:val="0"/>
          <w:sz w:val="44"/>
          <w:szCs w:val="44"/>
          <w:lang w:val="zh-CN"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zh-CN"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zh-CN"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zh-CN" w:eastAsia="zh-CN"/>
        </w:rPr>
      </w:pPr>
      <w:r>
        <w:rPr>
          <w:rFonts w:hint="eastAsia" w:ascii="方正小标宋简体" w:hAnsi="方正小标宋简体" w:eastAsia="方正小标宋简体" w:cs="方正小标宋简体"/>
          <w:color w:val="auto"/>
          <w:spacing w:val="0"/>
          <w:sz w:val="44"/>
          <w:szCs w:val="44"/>
          <w:lang w:val="zh-CN" w:eastAsia="zh-CN"/>
        </w:rPr>
        <w:t>数字化城市管理信息系统运行经费</w:t>
      </w:r>
      <w:r>
        <w:rPr>
          <w:rFonts w:hint="eastAsia" w:ascii="方正小标宋简体" w:hAnsi="方正小标宋简体" w:eastAsia="方正小标宋简体" w:cs="方正小标宋简体"/>
          <w:color w:val="auto"/>
          <w:spacing w:val="0"/>
          <w:sz w:val="44"/>
          <w:szCs w:val="44"/>
          <w:lang w:val="en-US" w:eastAsia="zh-CN"/>
        </w:rPr>
        <w:t>项目</w:t>
      </w:r>
      <w:r>
        <w:rPr>
          <w:rFonts w:hint="eastAsia" w:ascii="方正小标宋简体" w:hAnsi="方正小标宋简体" w:eastAsia="方正小标宋简体" w:cs="方正小标宋简体"/>
          <w:color w:val="auto"/>
          <w:spacing w:val="0"/>
          <w:sz w:val="44"/>
          <w:szCs w:val="44"/>
          <w:lang w:val="zh-CN" w:eastAsia="zh-CN"/>
        </w:rPr>
        <w:t>支出</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zh-CN" w:eastAsia="zh-CN"/>
        </w:rPr>
        <w:t>绩效自评报告</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一、项目概况</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数字化城市管理指挥中心负责数字化城市管理工作。主要业务包括数字化城管信息系统、机动车违法处罚系统、道路扬尘视频监控系统的建设及运维保障、12345政务服务热线转办件及数字化城管事部件的受理、派遣、督办工作。</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为保障数字化城市管理信息系统正常运行，全面发挥其在城市精细化管理方面的作用，年初将数字化城市管理信息系统运行经费10万元纳入局年度财政预算。</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运行经费主要用于市数字化城管信息系统、道路扬尘视频监控系统的运行维护、通信链路费用，服务器、交换机等硬件设备运行电费等。</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（二）项目绩效目标</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通过项目的实施，保障数字化城管信息系统、道路扬尘视频监控系统、机动车违停处罚系统正常运行。</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（三）项目自评步骤及方法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一是核查报账记录。查看包括报账时间、金额、事由及各环节审核签字情况等内容，核实资金是否用于保障系统正常运行。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二是核查系统运行情况。调取查看数字化城市管理信息系统、道路扬尘视频监控系统运行日志及抽查每月系统案件流转办理记录，核实系统是否正常运行。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（一）项目资金申报及批复情况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数字化城市管理指挥中心根据2021年工作实际，认真填报《2021年预算项目支出绩效目标申报表》，编制数字化城市管理信息系统运行经费预算。市财政局于2021年3月批复数字化城市管理信息系统运行经费预算10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（二）资金计划、到位及使用情况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1. 资金计划及到位。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市财政局于2021年3月拨付数字化城市管理信息系统运行预算经费10万元，项目资金全部到位。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 资金使用。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项目资金到位后，严格按照项目资金管理相关规定，全部用于项目支出，无被截留、挤占、挪用现象。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申报计划，审批后由市财政支付中心统一集中支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三、项目实施及管理情况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2021年按照年初制定的计划，由市数字化城管指挥中心指定专人每月报销城管通、数字化城管信息系统、机动车违法处罚系统、服务器、交换机等硬件设备运行的电费。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val="en-US" w:eastAsia="zh-CN"/>
        </w:rPr>
      </w:pPr>
      <w:r>
        <w:rPr>
          <w:rFonts w:hint="eastAsia" w:ascii="方正黑体简体" w:hAnsi="方正黑体简体" w:eastAsia="方正黑体简体" w:cs="方正黑体简体"/>
          <w:b w:val="0"/>
          <w:bCs w:val="0"/>
          <w:color w:val="auto"/>
          <w:spacing w:val="0"/>
          <w:sz w:val="32"/>
          <w:szCs w:val="32"/>
          <w:highlight w:val="none"/>
          <w:lang w:val="en-US" w:eastAsia="zh-CN"/>
        </w:rPr>
        <w:t>四、项目绩效情况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（一）项目完成情况</w:t>
      </w:r>
    </w:p>
    <w:p>
      <w:pPr>
        <w:pStyle w:val="34"/>
        <w:keepNext w:val="0"/>
        <w:keepLines w:val="0"/>
        <w:pageBreakBefore w:val="0"/>
        <w:widowControl w:val="0"/>
        <w:numPr>
          <w:ilvl w:val="0"/>
          <w:numId w:val="0"/>
        </w:numPr>
        <w:kinsoku/>
        <w:wordWrap/>
        <w:overflowPunct/>
        <w:topLinePunct w:val="0"/>
        <w:autoSpaceDE/>
        <w:autoSpaceDN/>
        <w:bidi w:val="0"/>
        <w:snapToGrid/>
        <w:spacing w:line="576" w:lineRule="exact"/>
        <w:ind w:leftChars="0" w:firstLine="640" w:firstLineChars="200"/>
        <w:jc w:val="both"/>
        <w:textAlignment w:val="auto"/>
        <w:rPr>
          <w:rFonts w:hint="eastAsia" w:eastAsia="仿宋_GB2312"/>
          <w:b w:val="0"/>
          <w:bCs w:val="0"/>
          <w:color w:val="auto"/>
          <w:spacing w:val="0"/>
          <w:sz w:val="32"/>
          <w:szCs w:val="32"/>
          <w:highlight w:val="none"/>
          <w:lang w:val="en-US" w:eastAsia="zh-CN"/>
        </w:rPr>
      </w:pPr>
      <w:r>
        <w:rPr>
          <w:rFonts w:hint="eastAsia" w:ascii="Times New Roman" w:hAnsi="Times New Roman" w:eastAsia="仿宋_GB2312" w:cs="Times New Roman"/>
          <w:kern w:val="2"/>
          <w:sz w:val="32"/>
          <w:szCs w:val="32"/>
          <w:lang w:val="zh-CN" w:eastAsia="zh-CN" w:bidi="ar-SA"/>
        </w:rPr>
        <w:t>截止202</w:t>
      </w: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zh-CN" w:eastAsia="zh-CN" w:bidi="ar-SA"/>
        </w:rPr>
        <w:t>年12月31日，项目指标全面完成，项目社会效益、可持续发展效益明显</w:t>
      </w:r>
      <w:r>
        <w:rPr>
          <w:rFonts w:hint="eastAsia" w:ascii="Times New Roman" w:hAnsi="Times New Roman" w:eastAsia="仿宋_GB2312" w:cs="Times New Roman"/>
          <w:kern w:val="2"/>
          <w:sz w:val="32"/>
          <w:szCs w:val="32"/>
          <w:lang w:val="en-US" w:eastAsia="zh-CN" w:bidi="ar-SA"/>
        </w:rPr>
        <w:t>：采取城管执法大队巡查与市数字化城管监督指挥中心天网视频巡查相结合的方式采集信息，应用数字化城管平台闭环高效处置城市管理问题。</w:t>
      </w:r>
      <w:r>
        <w:rPr>
          <w:rFonts w:hint="eastAsia" w:ascii="Times New Roman" w:hAnsi="Times New Roman" w:eastAsia="仿宋_GB2312" w:cs="Times New Roman"/>
          <w:b w:val="0"/>
          <w:bCs w:val="0"/>
          <w:kern w:val="2"/>
          <w:sz w:val="32"/>
          <w:szCs w:val="32"/>
          <w:lang w:val="en-US" w:eastAsia="zh-CN" w:bidi="ar-SA"/>
        </w:rPr>
        <w:t>修订完善“12345”热线办理规程，实行“红、黄、绿”动态监测管理，全程跟踪限时办结，保障群众诉求得到合理解决。今年以来，办理热线投诉11609件，办结率100%，满意率99.22%。</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Times New Roman" w:hAnsi="Times New Roman" w:eastAsia="仿宋_GB2312" w:cs="Times New Roman"/>
          <w:b w:val="0"/>
          <w:bCs w:val="0"/>
          <w:kern w:val="2"/>
          <w:sz w:val="32"/>
          <w:szCs w:val="32"/>
          <w:lang w:val="en-US" w:eastAsia="zh-CN" w:bidi="ar-SA"/>
        </w:rPr>
      </w:pPr>
      <w:r>
        <w:rPr>
          <w:rFonts w:hint="eastAsia" w:ascii="方正楷体简体" w:hAnsi="方正楷体简体" w:eastAsia="方正楷体简体" w:cs="方正楷体简体"/>
          <w:b w:val="0"/>
          <w:bCs/>
          <w:color w:val="auto"/>
          <w:spacing w:val="0"/>
          <w:sz w:val="32"/>
          <w:szCs w:val="32"/>
          <w:highlight w:val="none"/>
          <w:lang w:val="en-US" w:eastAsia="zh-CN"/>
        </w:rPr>
        <w:t>（二）项目效益情况</w:t>
      </w:r>
    </w:p>
    <w:p>
      <w:pPr>
        <w:pStyle w:val="34"/>
        <w:keepNext w:val="0"/>
        <w:keepLines w:val="0"/>
        <w:pageBreakBefore w:val="0"/>
        <w:widowControl w:val="0"/>
        <w:numPr>
          <w:ilvl w:val="0"/>
          <w:numId w:val="0"/>
        </w:numPr>
        <w:kinsoku/>
        <w:wordWrap/>
        <w:overflowPunct/>
        <w:topLinePunct w:val="0"/>
        <w:autoSpaceDE/>
        <w:autoSpaceDN/>
        <w:bidi w:val="0"/>
        <w:snapToGrid/>
        <w:spacing w:line="576" w:lineRule="exact"/>
        <w:ind w:leftChars="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eastAsia="zh-CN" w:bidi="ar-SA"/>
        </w:rPr>
        <w:t>1</w:t>
      </w:r>
      <w:r>
        <w:rPr>
          <w:rFonts w:hint="eastAsia" w:ascii="Times New Roman" w:hAnsi="Times New Roman" w:eastAsia="仿宋_GB2312" w:cs="Times New Roman"/>
          <w:b w:val="0"/>
          <w:bCs w:val="0"/>
          <w:kern w:val="2"/>
          <w:sz w:val="32"/>
          <w:szCs w:val="32"/>
          <w:lang w:val="en-US" w:eastAsia="zh-CN" w:bidi="ar-SA"/>
        </w:rPr>
        <w:t>. 社会效益指标：城市管理案件的处置效率：提高；我市数字化城市管理水平：提高。</w:t>
      </w:r>
    </w:p>
    <w:p>
      <w:pPr>
        <w:pStyle w:val="34"/>
        <w:keepNext w:val="0"/>
        <w:keepLines w:val="0"/>
        <w:pageBreakBefore w:val="0"/>
        <w:widowControl w:val="0"/>
        <w:numPr>
          <w:ilvl w:val="0"/>
          <w:numId w:val="0"/>
        </w:numPr>
        <w:kinsoku/>
        <w:wordWrap/>
        <w:overflowPunct/>
        <w:topLinePunct w:val="0"/>
        <w:autoSpaceDE/>
        <w:autoSpaceDN/>
        <w:bidi w:val="0"/>
        <w:snapToGrid/>
        <w:spacing w:line="576" w:lineRule="exact"/>
        <w:ind w:leftChars="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eastAsia="zh-CN" w:bidi="ar-SA"/>
        </w:rPr>
        <w:t>2</w:t>
      </w:r>
      <w:r>
        <w:rPr>
          <w:rFonts w:hint="eastAsia" w:ascii="Times New Roman" w:hAnsi="Times New Roman" w:eastAsia="仿宋_GB2312" w:cs="Times New Roman"/>
          <w:b w:val="0"/>
          <w:bCs w:val="0"/>
          <w:kern w:val="2"/>
          <w:sz w:val="32"/>
          <w:szCs w:val="32"/>
          <w:lang w:val="en-US" w:eastAsia="zh-CN" w:bidi="ar-SA"/>
        </w:rPr>
        <w:t>. 可持续效益指标：执法人力成本：降低。</w:t>
      </w:r>
    </w:p>
    <w:p>
      <w:pPr>
        <w:pStyle w:val="34"/>
        <w:keepNext w:val="0"/>
        <w:keepLines w:val="0"/>
        <w:pageBreakBefore w:val="0"/>
        <w:widowControl w:val="0"/>
        <w:numPr>
          <w:ilvl w:val="0"/>
          <w:numId w:val="0"/>
        </w:numPr>
        <w:kinsoku/>
        <w:wordWrap/>
        <w:overflowPunct/>
        <w:topLinePunct w:val="0"/>
        <w:autoSpaceDE/>
        <w:autoSpaceDN/>
        <w:bidi w:val="0"/>
        <w:snapToGrid/>
        <w:spacing w:line="576" w:lineRule="exact"/>
        <w:ind w:lef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eastAsia="zh-CN" w:bidi="ar-SA"/>
        </w:rPr>
        <w:t>3</w:t>
      </w:r>
      <w:r>
        <w:rPr>
          <w:rFonts w:hint="eastAsia" w:ascii="Times New Roman" w:hAnsi="Times New Roman" w:eastAsia="仿宋_GB2312" w:cs="Times New Roman"/>
          <w:b w:val="0"/>
          <w:bCs w:val="0"/>
          <w:kern w:val="2"/>
          <w:sz w:val="32"/>
          <w:szCs w:val="32"/>
          <w:lang w:val="en-US" w:eastAsia="zh-CN" w:bidi="ar-SA"/>
        </w:rPr>
        <w:t>. 服务对象满意度指标：群众对城管数字化管理系统工作满意。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val="en-US" w:eastAsia="zh-CN"/>
        </w:rPr>
      </w:pPr>
      <w:r>
        <w:rPr>
          <w:rFonts w:hint="eastAsia" w:ascii="方正黑体简体" w:hAnsi="方正黑体简体" w:eastAsia="方正黑体简体" w:cs="方正黑体简体"/>
          <w:b w:val="0"/>
          <w:bCs w:val="0"/>
          <w:color w:val="auto"/>
          <w:spacing w:val="0"/>
          <w:sz w:val="32"/>
          <w:szCs w:val="32"/>
          <w:highlight w:val="none"/>
          <w:lang w:val="en-US" w:eastAsia="zh-CN"/>
        </w:rPr>
        <w:t>五、评价结论及建议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通过项目实施，保障数字化城市管理信息系统的稳定运行，提高城市管理信息化和精细化管理水平。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（二）存在的问题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随着运行年限增长，数字化城管信息系统硬件设备老化，内存、存储等资源不足。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（三）相关建议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将数字化城管信息系统迁云，增加内存、存储等资源，保证系统正常运转。</w:t>
      </w: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lang w:val="en-US" w:eastAsia="zh-CN"/>
        </w:rPr>
      </w:pPr>
      <w:r>
        <w:rPr>
          <w:rFonts w:hint="eastAsia" w:ascii="方正黑体简体" w:hAnsi="方正黑体简体" w:eastAsia="方正黑体简体" w:cs="方正黑体简体"/>
          <w:color w:val="auto"/>
          <w:spacing w:val="0"/>
          <w:sz w:val="32"/>
          <w:szCs w:val="32"/>
          <w:highlight w:val="none"/>
        </w:rPr>
        <w:t>附</w:t>
      </w:r>
      <w:r>
        <w:rPr>
          <w:rFonts w:hint="eastAsia" w:ascii="方正黑体简体" w:hAnsi="方正黑体简体" w:eastAsia="方正黑体简体" w:cs="方正黑体简体"/>
          <w:color w:val="auto"/>
          <w:spacing w:val="0"/>
          <w:sz w:val="32"/>
          <w:szCs w:val="32"/>
          <w:highlight w:val="none"/>
          <w:lang w:val="en-US" w:eastAsia="zh-CN"/>
        </w:rPr>
        <w:t>表</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2021年部门预算项目绩效目标自评</w:t>
      </w:r>
    </w:p>
    <w:tbl>
      <w:tblPr>
        <w:tblStyle w:val="13"/>
        <w:tblW w:w="101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2"/>
        <w:gridCol w:w="662"/>
        <w:gridCol w:w="250"/>
        <w:gridCol w:w="850"/>
        <w:gridCol w:w="2088"/>
        <w:gridCol w:w="2187"/>
        <w:gridCol w:w="263"/>
        <w:gridCol w:w="2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主管部门及代码</w:t>
            </w:r>
          </w:p>
        </w:tc>
        <w:tc>
          <w:tcPr>
            <w:tcW w:w="3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pacing w:val="0"/>
                <w:sz w:val="21"/>
                <w:szCs w:val="21"/>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640601</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实施单位</w:t>
            </w:r>
          </w:p>
        </w:tc>
        <w:tc>
          <w:tcPr>
            <w:tcW w:w="29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8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项目预算</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执行情况</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（万元）</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预算数：</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10</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执行数：</w:t>
            </w:r>
          </w:p>
        </w:tc>
        <w:tc>
          <w:tcPr>
            <w:tcW w:w="29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8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u w:val="none"/>
              </w:rPr>
            </w:pP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财政拨款</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10</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财政拨款</w:t>
            </w:r>
          </w:p>
        </w:tc>
        <w:tc>
          <w:tcPr>
            <w:tcW w:w="29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8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u w:val="none"/>
              </w:rPr>
            </w:pP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其他资金</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其他资金</w:t>
            </w:r>
          </w:p>
        </w:tc>
        <w:tc>
          <w:tcPr>
            <w:tcW w:w="29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年度总体目标完成情况</w:t>
            </w:r>
          </w:p>
        </w:tc>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预期目标</w:t>
            </w:r>
          </w:p>
        </w:tc>
        <w:tc>
          <w:tcPr>
            <w:tcW w:w="5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p>
        </w:tc>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bidi w:val="0"/>
              <w:jc w:val="left"/>
              <w:rPr>
                <w:rFonts w:hint="eastAsia" w:ascii="宋体" w:hAnsi="宋体" w:eastAsia="宋体" w:cs="宋体"/>
                <w:lang w:val="en-US" w:eastAsia="zh-CN"/>
              </w:rPr>
            </w:pPr>
            <w:r>
              <w:rPr>
                <w:rFonts w:hint="eastAsia" w:ascii="宋体" w:hAnsi="宋体" w:eastAsia="宋体" w:cs="宋体"/>
                <w:lang w:val="en-US" w:eastAsia="zh-CN"/>
              </w:rPr>
              <w:t>保障数字化城管信息系统、道路扬尘视频监控系统、机动车违停处罚系统正常运行。</w:t>
            </w:r>
          </w:p>
        </w:tc>
        <w:tc>
          <w:tcPr>
            <w:tcW w:w="51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bidi w:val="0"/>
              <w:jc w:val="left"/>
              <w:rPr>
                <w:rFonts w:hint="eastAsia" w:ascii="宋体" w:hAnsi="宋体" w:eastAsia="宋体" w:cs="宋体"/>
                <w:lang w:val="en-US" w:eastAsia="zh-CN"/>
              </w:rPr>
            </w:pPr>
            <w:r>
              <w:rPr>
                <w:rFonts w:hint="eastAsia" w:ascii="宋体" w:hAnsi="宋体" w:eastAsia="宋体" w:cs="宋体"/>
                <w:lang w:val="en-US" w:eastAsia="zh-CN"/>
              </w:rPr>
              <w:t>保障数字化城市管理信息系统正常运行，全面发挥其在城市精细化管理方面的作用。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114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年度绩效指标完成情况</w:t>
            </w:r>
          </w:p>
        </w:tc>
        <w:tc>
          <w:tcPr>
            <w:tcW w:w="912" w:type="dxa"/>
            <w:gridSpan w:val="2"/>
            <w:tcBorders>
              <w:top w:val="single" w:color="000000" w:sz="4" w:space="0"/>
              <w:left w:val="nil"/>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一级</w:t>
            </w:r>
          </w:p>
          <w:p>
            <w:pPr>
              <w:bidi w:val="0"/>
              <w:jc w:val="center"/>
              <w:rPr>
                <w:rFonts w:hint="eastAsia" w:ascii="宋体" w:hAnsi="宋体" w:eastAsia="宋体" w:cs="宋体"/>
              </w:rPr>
            </w:pPr>
            <w:r>
              <w:rPr>
                <w:rFonts w:hint="eastAsia" w:ascii="宋体" w:hAnsi="宋体" w:eastAsia="宋体" w:cs="宋体"/>
                <w:lang w:val="en-US" w:eastAsia="zh-CN"/>
              </w:rPr>
              <w:t>指标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二级</w:t>
            </w:r>
          </w:p>
          <w:p>
            <w:pPr>
              <w:bidi w:val="0"/>
              <w:jc w:val="center"/>
              <w:rPr>
                <w:rFonts w:hint="eastAsia" w:ascii="宋体" w:hAnsi="宋体" w:eastAsia="宋体" w:cs="宋体"/>
              </w:rPr>
            </w:pPr>
            <w:r>
              <w:rPr>
                <w:rFonts w:hint="eastAsia" w:ascii="宋体" w:hAnsi="宋体" w:eastAsia="宋体" w:cs="宋体"/>
                <w:lang w:val="en-US" w:eastAsia="zh-CN"/>
              </w:rPr>
              <w:t>指标</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三级</w:t>
            </w:r>
          </w:p>
          <w:p>
            <w:pPr>
              <w:bidi w:val="0"/>
              <w:jc w:val="center"/>
              <w:rPr>
                <w:rFonts w:hint="eastAsia" w:ascii="宋体" w:hAnsi="宋体" w:eastAsia="宋体" w:cs="宋体"/>
              </w:rPr>
            </w:pPr>
            <w:r>
              <w:rPr>
                <w:rFonts w:hint="eastAsia" w:ascii="宋体" w:hAnsi="宋体" w:eastAsia="宋体" w:cs="宋体"/>
                <w:lang w:val="en-US" w:eastAsia="zh-CN"/>
              </w:rPr>
              <w:t>指标</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rPr>
            </w:pPr>
            <w:r>
              <w:rPr>
                <w:rFonts w:hint="eastAsia" w:ascii="宋体" w:hAnsi="宋体" w:eastAsia="宋体" w:cs="宋体"/>
                <w:lang w:val="en-US" w:eastAsia="zh-CN"/>
              </w:rPr>
              <w:t>预期指标值</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rPr>
            </w:pPr>
            <w:r>
              <w:rPr>
                <w:rFonts w:hint="eastAsia" w:ascii="宋体" w:hAnsi="宋体" w:eastAsia="宋体" w:cs="宋体"/>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1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vMerge w:val="restart"/>
            <w:tcBorders>
              <w:top w:val="single" w:color="000000" w:sz="4" w:space="0"/>
              <w:left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产出指标</w:t>
            </w:r>
          </w:p>
        </w:tc>
        <w:tc>
          <w:tcPr>
            <w:tcW w:w="850" w:type="dxa"/>
            <w:vMerge w:val="restart"/>
            <w:tcBorders>
              <w:top w:val="single" w:color="000000" w:sz="4" w:space="0"/>
              <w:left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数量</w:t>
            </w:r>
          </w:p>
          <w:p>
            <w:pPr>
              <w:bidi w:val="0"/>
              <w:jc w:val="center"/>
              <w:rPr>
                <w:rFonts w:hint="eastAsia" w:ascii="宋体" w:hAnsi="宋体" w:eastAsia="宋体" w:cs="宋体"/>
                <w:lang w:val="en-US" w:eastAsia="zh-CN"/>
              </w:rPr>
            </w:pPr>
            <w:r>
              <w:rPr>
                <w:rFonts w:hint="eastAsia" w:ascii="宋体" w:hAnsi="宋体" w:eastAsia="宋体" w:cs="宋体"/>
                <w:lang w:val="en-US" w:eastAsia="zh-CN"/>
              </w:rPr>
              <w:t>指标</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bottom"/>
          </w:tcPr>
          <w:p>
            <w:pPr>
              <w:bidi w:val="0"/>
              <w:jc w:val="center"/>
              <w:rPr>
                <w:rFonts w:hint="eastAsia" w:ascii="宋体" w:hAnsi="宋体" w:eastAsia="宋体" w:cs="宋体"/>
                <w:lang w:val="en-US" w:eastAsia="zh-CN"/>
              </w:rPr>
            </w:pPr>
            <w:r>
              <w:rPr>
                <w:rFonts w:hint="eastAsia" w:ascii="宋体" w:hAnsi="宋体" w:eastAsia="宋体" w:cs="宋体"/>
                <w:lang w:val="en-US" w:eastAsia="zh-CN"/>
              </w:rPr>
              <w:t>城管通数量</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20部</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20部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1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vMerge w:val="continue"/>
            <w:tcBorders>
              <w:left w:val="single" w:color="000000" w:sz="4" w:space="0"/>
              <w:bottom w:val="single" w:color="auto"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p>
        </w:tc>
        <w:tc>
          <w:tcPr>
            <w:tcW w:w="850" w:type="dxa"/>
            <w:vMerge w:val="continue"/>
            <w:tcBorders>
              <w:left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bottom"/>
          </w:tcPr>
          <w:p>
            <w:pPr>
              <w:bidi w:val="0"/>
              <w:jc w:val="center"/>
              <w:rPr>
                <w:rFonts w:hint="eastAsia" w:ascii="宋体" w:hAnsi="宋体" w:eastAsia="宋体" w:cs="宋体"/>
                <w:lang w:val="en-US" w:eastAsia="zh-CN"/>
              </w:rPr>
            </w:pPr>
            <w:r>
              <w:rPr>
                <w:rFonts w:hint="eastAsia" w:ascii="宋体" w:hAnsi="宋体" w:eastAsia="宋体" w:cs="宋体"/>
                <w:lang w:val="en-US" w:eastAsia="zh-CN"/>
              </w:rPr>
              <w:t>数字化城管信息系统数量</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1套数字城管系统、1套违停处罚系统（包括1条网络专线、3个无线上网卡）</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1套数字城管系统、1套违停处罚系统（包括1条网络专线、3个无线上网卡）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1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vMerge w:val="restart"/>
            <w:tcBorders>
              <w:top w:val="single" w:color="auto" w:sz="4" w:space="0"/>
              <w:left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成本</w:t>
            </w:r>
          </w:p>
          <w:p>
            <w:pPr>
              <w:bidi w:val="0"/>
              <w:jc w:val="center"/>
              <w:rPr>
                <w:rFonts w:hint="eastAsia" w:ascii="宋体" w:hAnsi="宋体" w:eastAsia="宋体" w:cs="宋体"/>
                <w:lang w:val="en-US" w:eastAsia="zh-CN"/>
              </w:rPr>
            </w:pPr>
            <w:r>
              <w:rPr>
                <w:rFonts w:hint="eastAsia" w:ascii="宋体" w:hAnsi="宋体" w:eastAsia="宋体" w:cs="宋体"/>
                <w:lang w:val="en-US" w:eastAsia="zh-CN"/>
              </w:rPr>
              <w:t>指标</w:t>
            </w:r>
          </w:p>
        </w:tc>
        <w:tc>
          <w:tcPr>
            <w:tcW w:w="850" w:type="dxa"/>
            <w:vMerge w:val="restart"/>
            <w:tcBorders>
              <w:top w:val="single" w:color="000000" w:sz="4" w:space="0"/>
              <w:left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经济成本指标</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城管通费用</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6万元（20台×0.025万元/月×12月）</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6万元（20台×0.025万元/月×12月）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vMerge w:val="continue"/>
            <w:tcBorders>
              <w:left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p>
        </w:tc>
        <w:tc>
          <w:tcPr>
            <w:tcW w:w="850" w:type="dxa"/>
            <w:vMerge w:val="continue"/>
            <w:tcBorders>
              <w:left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维保费用费，链路费，电费级各类运行费</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≧4万元</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11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vMerge w:val="restart"/>
            <w:tcBorders>
              <w:top w:val="single" w:color="000000" w:sz="4" w:space="0"/>
              <w:left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效益指标</w:t>
            </w:r>
          </w:p>
        </w:tc>
        <w:tc>
          <w:tcPr>
            <w:tcW w:w="850" w:type="dxa"/>
            <w:vMerge w:val="restart"/>
            <w:tcBorders>
              <w:top w:val="single" w:color="000000" w:sz="4" w:space="0"/>
              <w:left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社会效益指标</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城市管理案件的处置效率</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处置效率提高</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11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vMerge w:val="continue"/>
            <w:tcBorders>
              <w:left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p>
        </w:tc>
        <w:tc>
          <w:tcPr>
            <w:tcW w:w="850" w:type="dxa"/>
            <w:vMerge w:val="continue"/>
            <w:tcBorders>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城市管理数字化水平</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得到提高</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可持续影响指标</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执法人力成本</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降低</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优化、降低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114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满意</w:t>
            </w:r>
          </w:p>
          <w:p>
            <w:pPr>
              <w:bidi w:val="0"/>
              <w:jc w:val="center"/>
              <w:rPr>
                <w:rFonts w:hint="eastAsia" w:ascii="宋体" w:hAnsi="宋体" w:eastAsia="宋体" w:cs="宋体"/>
                <w:lang w:val="en-US" w:eastAsia="zh-CN"/>
              </w:rPr>
            </w:pPr>
            <w:r>
              <w:rPr>
                <w:rFonts w:hint="eastAsia" w:ascii="宋体" w:hAnsi="宋体" w:eastAsia="宋体" w:cs="宋体"/>
                <w:lang w:val="en-US" w:eastAsia="zh-CN"/>
              </w:rPr>
              <w:t>度指标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服务对象满意度指标</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群众对城管数字化管理系统工作的满意度</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满意</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及时解决了城市管理过程中的问题，满意度达98%</w:t>
            </w:r>
          </w:p>
        </w:tc>
      </w:tr>
    </w:tbl>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zh-CN" w:eastAsia="zh-CN"/>
        </w:rPr>
      </w:pPr>
      <w:r>
        <w:rPr>
          <w:rFonts w:hint="eastAsia" w:ascii="方正小标宋简体" w:hAnsi="方正小标宋简体" w:eastAsia="方正小标宋简体" w:cs="方正小标宋简体"/>
          <w:color w:val="auto"/>
          <w:spacing w:val="0"/>
          <w:sz w:val="44"/>
          <w:szCs w:val="44"/>
          <w:lang w:val="en-US" w:eastAsia="zh-CN"/>
        </w:rPr>
        <w:t>市城区流浪犬只收养中心运行经费项目</w:t>
      </w:r>
      <w:r>
        <w:rPr>
          <w:rFonts w:hint="eastAsia" w:ascii="方正小标宋简体" w:hAnsi="方正小标宋简体" w:eastAsia="方正小标宋简体" w:cs="方正小标宋简体"/>
          <w:color w:val="auto"/>
          <w:spacing w:val="0"/>
          <w:sz w:val="44"/>
          <w:szCs w:val="44"/>
          <w:lang w:val="zh-CN" w:eastAsia="zh-CN"/>
        </w:rPr>
        <w:t>支出</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zh-CN" w:eastAsia="zh-CN"/>
        </w:rPr>
        <w:t>绩效自评报告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一、项目概况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 xml:space="preserve">市城区流浪犬只收养中心负责捕捉弃养犬只的收容，主要包括负责犬只饲养、犬舍清洗消毒、病死犬只无害化处理等工作。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为保障流浪犬只收养中心工作正常运行，年初将市城区流浪犬只中心经费4万元纳入局年度财政预算。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通过项目的实施，对城区流浪犬只、违规养犬暂扣的犬只进行收容处置，降低市城区流浪犬只密度，保障市民聚会出行的安全。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（三）项目自评步骤及方法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一是核查报账记录。查看包括报账时间、金额、事由及各环节审核签字情况等内容，核实资金是否用于保障中心正常运行。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二是核查中心运行情况。定期清点收容犬只数量、核查对犬只免疫、犬舍清洗，病死犬只无害化处理情况，检查基础设施及专用设备能否正常使用。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（一）项目资金申报及批复情况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城区流浪犬只收养中心根据2021年工作安排，认真填报《2021年预算项目支出绩效目标申报表》，编制市城区流浪犬只收养中心运行经费预算。市财政局于2021年3月批复市城区流浪犬只收养中心运行经费预算4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（二）资金计划、到位及使用情况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1.资金计划及到位。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市财政局于2021年3月拨付了流浪犬只收养中心运行经费预算4万元，项目资金全部到位。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2.资金使用。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项目资金到位后，严格按照项目资金管理相关规定，全部用于项目支出，无被截留、挤占、挪用现象。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（三）项目财务管理情况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了申报计划，审批后由市财政支付中心统一集中支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三、项目实施及管理情况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2021年按照年初制定的计划，由市城市管理行政执法支队河西大队指定专人每月报销饲养犬只产生的费用、基础设施及专用设备维护费、医疗防护用具采购等费用。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四、项目绩效情况</w:t>
      </w:r>
      <w:r>
        <w:rPr>
          <w:rFonts w:hint="eastAsia" w:ascii="方正黑体简体" w:hAnsi="方正黑体简体" w:eastAsia="方正黑体简体" w:cs="方正黑体简体"/>
          <w:b w:val="0"/>
          <w:bCs w:val="0"/>
          <w:color w:val="auto"/>
          <w:spacing w:val="0"/>
          <w:sz w:val="32"/>
          <w:szCs w:val="32"/>
          <w:highlight w:val="none"/>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zh-CN" w:eastAsia="zh-CN" w:bidi="ar-SA"/>
        </w:rPr>
        <w:t>截止202</w:t>
      </w: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zh-CN" w:eastAsia="zh-CN" w:bidi="ar-SA"/>
        </w:rPr>
        <w:t>年12月31日，项目指标全面完成，项目社会效益、可持续发展效益明显</w:t>
      </w:r>
      <w:r>
        <w:rPr>
          <w:rFonts w:hint="eastAsia" w:ascii="Times New Roman" w:hAnsi="Times New Roman" w:eastAsia="仿宋_GB2312" w:cs="Times New Roman"/>
          <w:kern w:val="2"/>
          <w:sz w:val="32"/>
          <w:szCs w:val="32"/>
          <w:lang w:val="en-US" w:eastAsia="zh-CN" w:bidi="ar-SA"/>
        </w:rPr>
        <w:t>：制止不文明养犬行为400余起，捕捉流浪犬只180余只，处罚敞放犬只行为30余起。</w:t>
      </w:r>
      <w:r>
        <w:rPr>
          <w:rFonts w:hint="eastAsia" w:ascii="Times New Roman" w:hAnsi="Times New Roman" w:eastAsia="仿宋_GB2312" w:cs="Times New Roman"/>
          <w:kern w:val="2"/>
          <w:sz w:val="32"/>
          <w:szCs w:val="32"/>
          <w:lang w:val="zh-CN" w:eastAsia="zh-CN" w:bidi="ar-SA"/>
        </w:rPr>
        <w:t>截止12月31日，</w:t>
      </w:r>
      <w:r>
        <w:rPr>
          <w:rFonts w:hint="eastAsia" w:ascii="Times New Roman" w:hAnsi="Times New Roman" w:eastAsia="仿宋_GB2312" w:cs="Times New Roman"/>
          <w:kern w:val="2"/>
          <w:sz w:val="32"/>
          <w:szCs w:val="32"/>
          <w:lang w:val="en-US" w:eastAsia="zh-CN" w:bidi="ar-SA"/>
        </w:rPr>
        <w:t>流浪犬只收养中心全年无大面积疫病传染，无犬只集体死亡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（二）项目效益情况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default" w:ascii="Times New Roman" w:hAnsi="Times New Roman" w:eastAsia="仿宋_GB2312" w:cs="Times New Roman"/>
          <w:kern w:val="2"/>
          <w:sz w:val="32"/>
          <w:szCs w:val="32"/>
          <w:lang w:val="en-US" w:eastAsia="zh-CN" w:bidi="ar-SA"/>
        </w:rPr>
      </w:pPr>
      <w:r>
        <w:rPr>
          <w:rFonts w:hint="default" w:eastAsia="仿宋_GB2312" w:cs="Times New Roman"/>
          <w:kern w:val="2"/>
          <w:sz w:val="32"/>
          <w:szCs w:val="32"/>
          <w:lang w:eastAsia="zh-CN" w:bidi="ar-SA"/>
        </w:rPr>
        <w:t>1</w:t>
      </w:r>
      <w:r>
        <w:rPr>
          <w:rFonts w:hint="eastAsia" w:ascii="Times New Roman" w:hAnsi="Times New Roman" w:eastAsia="仿宋_GB2312" w:cs="Times New Roman"/>
          <w:kern w:val="2"/>
          <w:sz w:val="32"/>
          <w:szCs w:val="32"/>
          <w:lang w:val="en-US" w:eastAsia="zh-CN" w:bidi="ar-SA"/>
        </w:rPr>
        <w:t>. 社会效益指标：不文明养犬等行为发生率：降低；社会公共秩序维护率：提高。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Times New Roman" w:hAnsi="Times New Roman" w:eastAsia="仿宋_GB2312" w:cs="Times New Roman"/>
          <w:kern w:val="2"/>
          <w:sz w:val="32"/>
          <w:szCs w:val="32"/>
          <w:lang w:val="en-US" w:eastAsia="zh-CN" w:bidi="ar-SA"/>
        </w:rPr>
      </w:pPr>
      <w:r>
        <w:rPr>
          <w:rFonts w:hint="default" w:eastAsia="仿宋_GB2312" w:cs="Times New Roman"/>
          <w:kern w:val="2"/>
          <w:sz w:val="32"/>
          <w:szCs w:val="32"/>
          <w:lang w:eastAsia="zh-CN" w:bidi="ar-SA"/>
        </w:rPr>
        <w:t>2</w:t>
      </w:r>
      <w:r>
        <w:rPr>
          <w:rFonts w:hint="eastAsia" w:ascii="Times New Roman" w:hAnsi="Times New Roman" w:eastAsia="仿宋_GB2312" w:cs="Times New Roman"/>
          <w:kern w:val="2"/>
          <w:sz w:val="32"/>
          <w:szCs w:val="32"/>
          <w:lang w:val="en-US" w:eastAsia="zh-CN" w:bidi="ar-SA"/>
        </w:rPr>
        <w:t>. 可持续效益指标：建立健全流浪犬只管理常态工作机制。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default" w:ascii="Times New Roman" w:hAnsi="Times New Roman" w:eastAsia="仿宋_GB2312" w:cs="Times New Roman"/>
          <w:kern w:val="2"/>
          <w:sz w:val="32"/>
          <w:szCs w:val="32"/>
          <w:lang w:val="en-US" w:eastAsia="zh-CN" w:bidi="ar-SA"/>
        </w:rPr>
      </w:pPr>
      <w:r>
        <w:rPr>
          <w:rFonts w:hint="default" w:eastAsia="仿宋_GB2312" w:cs="Times New Roman"/>
          <w:kern w:val="2"/>
          <w:sz w:val="32"/>
          <w:szCs w:val="32"/>
          <w:lang w:eastAsia="zh-CN" w:bidi="ar-SA"/>
        </w:rPr>
        <w:t>3</w:t>
      </w:r>
      <w:r>
        <w:rPr>
          <w:rFonts w:hint="eastAsia" w:ascii="Times New Roman" w:hAnsi="Times New Roman" w:eastAsia="仿宋_GB2312" w:cs="Times New Roman"/>
          <w:kern w:val="2"/>
          <w:sz w:val="32"/>
          <w:szCs w:val="32"/>
          <w:lang w:val="en-US" w:eastAsia="zh-CN" w:bidi="ar-SA"/>
        </w:rPr>
        <w:t>. 生态效益指标;抓好日常监管、卫生防疫等工作。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Times New Roman" w:hAnsi="Times New Roman" w:eastAsia="仿宋_GB2312" w:cs="Times New Roman"/>
          <w:kern w:val="2"/>
          <w:sz w:val="32"/>
          <w:szCs w:val="32"/>
          <w:lang w:val="en-US" w:eastAsia="zh-CN" w:bidi="ar-SA"/>
        </w:rPr>
      </w:pPr>
      <w:r>
        <w:rPr>
          <w:rFonts w:hint="default" w:eastAsia="仿宋_GB2312" w:cs="Times New Roman"/>
          <w:kern w:val="2"/>
          <w:sz w:val="32"/>
          <w:szCs w:val="32"/>
          <w:lang w:eastAsia="zh-CN" w:bidi="ar-SA"/>
        </w:rPr>
        <w:t>4</w:t>
      </w:r>
      <w:r>
        <w:rPr>
          <w:rFonts w:hint="eastAsia" w:ascii="Times New Roman" w:hAnsi="Times New Roman" w:eastAsia="仿宋_GB2312" w:cs="Times New Roman"/>
          <w:kern w:val="2"/>
          <w:sz w:val="32"/>
          <w:szCs w:val="32"/>
          <w:lang w:val="en-US" w:eastAsia="zh-CN" w:bidi="ar-SA"/>
        </w:rPr>
        <w:t>. 服务对象满意度指标：群众对流浪犬只收养工作的满意。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五、评价结论及建议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通过项目实施，实行流浪犬集中收容饲养，解决了流浪犬带来的安全隐患，为助力国家卫生城市的巩固，创建文明城市、建设中国最干净城市做出了积极的贡献。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（二）发现的主要问题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1.犬舍的化粪池、排污管道需维修改建；2.犬只免疫缺乏专业技术人员；3.流浪犬只收容饲养数量增加，运行经费不足。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（三）相关建议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加大资金投入，维修改建犬舍基础设施，协调农业农村部门共同做好犬只免疫工作，保障中心正常运行。</w:t>
      </w: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lang w:val="en-US" w:eastAsia="zh-CN"/>
        </w:rPr>
      </w:pPr>
      <w:r>
        <w:rPr>
          <w:rFonts w:hint="eastAsia" w:ascii="方正黑体简体" w:hAnsi="方正黑体简体" w:eastAsia="方正黑体简体" w:cs="方正黑体简体"/>
          <w:color w:val="auto"/>
          <w:spacing w:val="0"/>
          <w:sz w:val="32"/>
          <w:szCs w:val="32"/>
          <w:highlight w:val="none"/>
        </w:rPr>
        <w:t>附</w:t>
      </w:r>
      <w:r>
        <w:rPr>
          <w:rFonts w:hint="eastAsia" w:ascii="方正黑体简体" w:hAnsi="方正黑体简体" w:eastAsia="方正黑体简体" w:cs="方正黑体简体"/>
          <w:color w:val="auto"/>
          <w:spacing w:val="0"/>
          <w:sz w:val="32"/>
          <w:szCs w:val="32"/>
          <w:highlight w:val="none"/>
          <w:lang w:val="en-US" w:eastAsia="zh-CN"/>
        </w:rPr>
        <w:t>表</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2021年部门预算项目绩效目标自评</w:t>
      </w:r>
    </w:p>
    <w:tbl>
      <w:tblPr>
        <w:tblStyle w:val="13"/>
        <w:tblW w:w="98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920"/>
        <w:gridCol w:w="1099"/>
        <w:gridCol w:w="248"/>
        <w:gridCol w:w="1583"/>
        <w:gridCol w:w="2120"/>
        <w:gridCol w:w="500"/>
        <w:gridCol w:w="2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jc w:val="center"/>
        </w:trPr>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主管部门及代码</w:t>
            </w:r>
          </w:p>
        </w:tc>
        <w:tc>
          <w:tcPr>
            <w:tcW w:w="2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pacing w:val="0"/>
                <w:sz w:val="21"/>
                <w:szCs w:val="21"/>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640601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实施单位</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18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项目预算</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执行情况</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（万元）</w:t>
            </w:r>
          </w:p>
        </w:tc>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预算数：</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执行数：</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8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pacing w:val="0"/>
                <w:sz w:val="21"/>
                <w:szCs w:val="21"/>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财政拨款</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财政拨款</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18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pacing w:val="0"/>
                <w:sz w:val="21"/>
                <w:szCs w:val="21"/>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其他资金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其他资金</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jc w:val="center"/>
        </w:trPr>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年度总体目标</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完成情况</w:t>
            </w:r>
          </w:p>
        </w:tc>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预期目标</w:t>
            </w:r>
          </w:p>
        </w:tc>
        <w:tc>
          <w:tcPr>
            <w:tcW w:w="5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p>
        </w:tc>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both"/>
              <w:textAlignment w:val="top"/>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负责犬只饲养、犬舍清洗消毒、病死犬只无害化处理等工作，保障流浪犬只收养中心正常运行。</w:t>
            </w:r>
          </w:p>
        </w:tc>
        <w:tc>
          <w:tcPr>
            <w:tcW w:w="5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both"/>
              <w:textAlignment w:val="top"/>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 xml:space="preserve">通过项目的实施，集中对城区流浪犬只、违规养犬暂扣的犬只进行收容处置，降低市城区流浪犬只密度，保障市民聚会出行的安全。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89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年度绩效指标完成情况</w:t>
            </w:r>
          </w:p>
        </w:tc>
        <w:tc>
          <w:tcPr>
            <w:tcW w:w="9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一级</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指标</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二级</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指标</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三级</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指标</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预期指标值</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89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pacing w:val="0"/>
                <w:sz w:val="21"/>
                <w:szCs w:val="21"/>
                <w:u w:val="none"/>
              </w:rPr>
            </w:pPr>
          </w:p>
        </w:tc>
        <w:tc>
          <w:tcPr>
            <w:tcW w:w="9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产出指标</w:t>
            </w:r>
          </w:p>
        </w:tc>
        <w:tc>
          <w:tcPr>
            <w:tcW w:w="109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数量</w:t>
            </w:r>
          </w:p>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指标</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犬只</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200只</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sz w:val="21"/>
                <w:szCs w:val="21"/>
                <w:lang w:val="en-US" w:eastAsia="zh-CN"/>
              </w:rPr>
              <w:t>≧</w:t>
            </w:r>
            <w:r>
              <w:rPr>
                <w:rFonts w:hint="eastAsia" w:ascii="宋体" w:hAnsi="宋体" w:eastAsia="宋体" w:cs="宋体"/>
                <w:i w:val="0"/>
                <w:color w:val="auto"/>
                <w:spacing w:val="0"/>
                <w:sz w:val="21"/>
                <w:szCs w:val="21"/>
                <w:highlight w:val="none"/>
                <w:u w:val="none"/>
                <w:lang w:val="en-US" w:eastAsia="zh-CN"/>
              </w:rPr>
              <w:t>200只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9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pacing w:val="0"/>
                <w:sz w:val="21"/>
                <w:szCs w:val="21"/>
                <w:u w:val="none"/>
              </w:rPr>
            </w:pPr>
          </w:p>
        </w:tc>
        <w:tc>
          <w:tcPr>
            <w:tcW w:w="9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0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狗粮</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保证每只狗每天大米0.5斤、肉类少许</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保证每只狗每天大米0.5斤、肉类少许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89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pacing w:val="0"/>
                <w:sz w:val="21"/>
                <w:szCs w:val="21"/>
                <w:u w:val="none"/>
              </w:rPr>
            </w:pPr>
          </w:p>
        </w:tc>
        <w:tc>
          <w:tcPr>
            <w:tcW w:w="9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09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饲养员</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2人</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89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pacing w:val="0"/>
                <w:sz w:val="21"/>
                <w:szCs w:val="21"/>
                <w:u w:val="none"/>
              </w:rPr>
            </w:pPr>
          </w:p>
        </w:tc>
        <w:tc>
          <w:tcPr>
            <w:tcW w:w="92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成本指标</w:t>
            </w:r>
          </w:p>
        </w:tc>
        <w:tc>
          <w:tcPr>
            <w:tcW w:w="109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经济成本指标</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both"/>
              <w:textAlignment w:val="top"/>
              <w:rPr>
                <w:rFonts w:hint="default"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基础设施设备维修维护费，犬只食物费用，犬只档案管理费，水电费等</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sz w:val="21"/>
                <w:szCs w:val="21"/>
                <w:lang w:val="en-US" w:eastAsia="zh-CN"/>
              </w:rPr>
              <w:t>≧4万元</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89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pacing w:val="0"/>
                <w:sz w:val="21"/>
                <w:szCs w:val="21"/>
                <w:u w:val="none"/>
              </w:rPr>
            </w:pPr>
          </w:p>
        </w:tc>
        <w:tc>
          <w:tcPr>
            <w:tcW w:w="92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效益</w:t>
            </w:r>
          </w:p>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指标</w:t>
            </w:r>
          </w:p>
        </w:tc>
        <w:tc>
          <w:tcPr>
            <w:tcW w:w="1099"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社会效益指标</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不文明养犬等行为发生率</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降低</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降低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89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pacing w:val="0"/>
                <w:sz w:val="21"/>
                <w:szCs w:val="21"/>
                <w:u w:val="none"/>
              </w:rPr>
            </w:pPr>
          </w:p>
        </w:tc>
        <w:tc>
          <w:tcPr>
            <w:tcW w:w="9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09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color w:val="auto"/>
                <w:spacing w:val="0"/>
                <w:sz w:val="21"/>
                <w:szCs w:val="21"/>
                <w:highlight w:val="none"/>
                <w:u w:val="none"/>
                <w:lang w:val="en-US" w:eastAsia="zh-CN"/>
              </w:rPr>
            </w:pP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top"/>
              <w:rPr>
                <w:rFonts w:hint="default"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社会公共秩序维护率</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color w:val="auto"/>
                <w:spacing w:val="0"/>
                <w:sz w:val="21"/>
                <w:szCs w:val="21"/>
                <w:highlight w:val="none"/>
                <w:u w:val="none"/>
                <w:lang w:val="en-US" w:eastAsia="zh-CN"/>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提高</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89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pacing w:val="0"/>
                <w:sz w:val="21"/>
                <w:szCs w:val="21"/>
                <w:u w:val="none"/>
              </w:rPr>
            </w:pPr>
          </w:p>
        </w:tc>
        <w:tc>
          <w:tcPr>
            <w:tcW w:w="9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099"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生态效益指标</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流浪犬只卫生防疫工作</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抓好日常监管、卫生防疫等工作</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cs="宋体"/>
                <w:i w:val="0"/>
                <w:color w:val="auto"/>
                <w:spacing w:val="0"/>
                <w:sz w:val="21"/>
                <w:szCs w:val="21"/>
                <w:highlight w:val="none"/>
                <w:u w:val="none"/>
                <w:lang w:val="en-US" w:eastAsia="zh-CN"/>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89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pacing w:val="0"/>
                <w:sz w:val="21"/>
                <w:szCs w:val="21"/>
                <w:u w:val="none"/>
              </w:rPr>
            </w:pPr>
          </w:p>
        </w:tc>
        <w:tc>
          <w:tcPr>
            <w:tcW w:w="92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可持续影响指标</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流浪犬只管理常态工作机制</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建立健全流浪犬只管理常态工作机制</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89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pacing w:val="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满意</w:t>
            </w:r>
          </w:p>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度指标</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服务对象满意度</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群众对流浪犬只收养工作的满意度</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满意</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服务对象满意度达96%</w:t>
            </w:r>
          </w:p>
        </w:tc>
      </w:tr>
    </w:tbl>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zh-CN"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zh-CN"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zh-CN" w:eastAsia="zh-CN"/>
        </w:rPr>
      </w:pPr>
      <w:r>
        <w:rPr>
          <w:rFonts w:hint="eastAsia" w:ascii="方正小标宋简体" w:hAnsi="方正小标宋简体" w:eastAsia="方正小标宋简体" w:cs="方正小标宋简体"/>
          <w:color w:val="auto"/>
          <w:spacing w:val="0"/>
          <w:sz w:val="44"/>
          <w:szCs w:val="44"/>
          <w:lang w:val="zh-CN" w:eastAsia="zh-CN"/>
        </w:rPr>
        <w:t>火车站站前广场专项经费</w:t>
      </w:r>
      <w:r>
        <w:rPr>
          <w:rFonts w:hint="eastAsia" w:ascii="方正小标宋简体" w:hAnsi="方正小标宋简体" w:eastAsia="方正小标宋简体" w:cs="方正小标宋简体"/>
          <w:color w:val="auto"/>
          <w:spacing w:val="0"/>
          <w:sz w:val="44"/>
          <w:szCs w:val="44"/>
          <w:lang w:val="en-US" w:eastAsia="zh-CN"/>
        </w:rPr>
        <w:t>项目</w:t>
      </w:r>
      <w:r>
        <w:rPr>
          <w:rFonts w:hint="eastAsia" w:ascii="方正小标宋简体" w:hAnsi="方正小标宋简体" w:eastAsia="方正小标宋简体" w:cs="方正小标宋简体"/>
          <w:color w:val="auto"/>
          <w:spacing w:val="0"/>
          <w:sz w:val="44"/>
          <w:szCs w:val="44"/>
          <w:lang w:val="zh-CN" w:eastAsia="zh-CN"/>
        </w:rPr>
        <w:t>支出</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zh-CN" w:eastAsia="zh-CN"/>
        </w:rPr>
        <w:t>绩效自评报告</w:t>
      </w:r>
      <w:r>
        <w:rPr>
          <w:rFonts w:hint="eastAsia" w:ascii="方正小标宋简体" w:hAnsi="方正小标宋简体" w:eastAsia="方正小标宋简体" w:cs="方正小标宋简体"/>
          <w:color w:val="auto"/>
          <w:spacing w:val="0"/>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一、项目概况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火车站站前管理事务中心主要负责广元火车站站前综合管理。主要包括市容秩序管理、牵头出站口卡口防疫、协调相关部门抓好市政设施设置和管理维护、环卫清扫保洁等工作。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为保障站前中心城市管理工作的正常运行，年初将专项经费5万元纳入局年度财政预算。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通过该项目实施，保障火车站站前广场及周边市容秩序良好，市政设施运行正常，环境干净卫生。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（三）项目自评步骤及方法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一是核查报账记录。查看包括报账时间、金额、事由及各环节审核签字情况等内容，核实资金是否用于保障站前广场各项设施设备的维护及应急处置工作的正常运行。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二是核查设备运行记录。查看电梯充电记录、每日运行时间及用电量、零星维护和标识标牌的工程量、人工及单价等情况是否真实合理。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（一）项目资金申报及批复情况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火车站站前管理事务中心根据2021年工作重点，填报了《2021年预算项目支出绩效目标申报表》，编制了火车站站前广场专项经费预算。市财政局于2021年3月批复火车站站前广场专项经费预算5万元。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（二）资金计划、到位及使用情况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1. 资金计划及到位。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市财政局于2021年3月拨付火车站站前广场专项经费预算5万元，项目资金全部到位。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 资金使用。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项目资金到位后，严格按照项目资金管理相关规定，全部用于项目支出，无被截留、挤占、挪用现象。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申报计划，审批后由市财政支付中心统一集中支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三、项目实施及管理情况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1. 电梯运行正常。维保、保险均按规定签订合同，维保单位完全履行了合同约定内容，按时开展维保和检测。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 疫情防控、应急处置、零星公共设施、标识标牌设置按质、按时完成，投入使用。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四、项目绩效情况</w:t>
      </w:r>
      <w:r>
        <w:rPr>
          <w:rFonts w:hint="eastAsia" w:ascii="方正黑体简体" w:hAnsi="方正黑体简体" w:eastAsia="方正黑体简体" w:cs="方正黑体简体"/>
          <w:b w:val="0"/>
          <w:bCs w:val="0"/>
          <w:color w:val="auto"/>
          <w:spacing w:val="0"/>
          <w:sz w:val="32"/>
          <w:szCs w:val="32"/>
          <w:highlight w:val="none"/>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（一）项目完成情况</w:t>
      </w:r>
    </w:p>
    <w:p>
      <w:pPr>
        <w:pStyle w:val="34"/>
        <w:keepNext w:val="0"/>
        <w:keepLines w:val="0"/>
        <w:pageBreakBefore w:val="0"/>
        <w:widowControl w:val="0"/>
        <w:numPr>
          <w:ilvl w:val="0"/>
          <w:numId w:val="0"/>
        </w:numPr>
        <w:kinsoku/>
        <w:wordWrap/>
        <w:overflowPunct/>
        <w:topLinePunct w:val="0"/>
        <w:autoSpaceDE/>
        <w:autoSpaceDN/>
        <w:bidi w:val="0"/>
        <w:snapToGrid/>
        <w:spacing w:line="576" w:lineRule="exact"/>
        <w:ind w:left="0" w:leftChars="0" w:firstLine="640" w:firstLineChars="200"/>
        <w:jc w:val="both"/>
        <w:textAlignment w:val="auto"/>
        <w:rPr>
          <w:rFonts w:hint="eastAsia" w:eastAsia="仿宋_GB2312"/>
          <w:b w:val="0"/>
          <w:bCs w:val="0"/>
          <w:color w:val="auto"/>
          <w:spacing w:val="0"/>
          <w:sz w:val="32"/>
          <w:szCs w:val="32"/>
          <w:highlight w:val="none"/>
          <w:lang w:val="en-US" w:eastAsia="zh-CN"/>
        </w:rPr>
      </w:pPr>
      <w:r>
        <w:rPr>
          <w:rFonts w:hint="eastAsia" w:ascii="Times New Roman" w:hAnsi="Times New Roman" w:eastAsia="仿宋_GB2312" w:cs="Times New Roman"/>
          <w:kern w:val="2"/>
          <w:sz w:val="32"/>
          <w:szCs w:val="32"/>
          <w:lang w:val="zh-CN" w:eastAsia="zh-CN" w:bidi="ar-SA"/>
        </w:rPr>
        <w:t>截止202</w:t>
      </w: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zh-CN" w:eastAsia="zh-CN" w:bidi="ar-SA"/>
        </w:rPr>
        <w:t>年12月31日，项目指标全面完成，项目社会效益、可持续发展效益明显</w:t>
      </w:r>
      <w:r>
        <w:rPr>
          <w:rFonts w:hint="eastAsia" w:ascii="Times New Roman" w:hAnsi="Times New Roman" w:eastAsia="仿宋_GB2312" w:cs="Times New Roman"/>
          <w:kern w:val="2"/>
          <w:sz w:val="32"/>
          <w:szCs w:val="32"/>
          <w:lang w:val="en-US" w:eastAsia="zh-CN" w:bidi="ar-SA"/>
        </w:rPr>
        <w:t>。一是统筹和协调站前广场维护换乘通道、更换客运通道路灯、维护地下通道渗漏等设施建设。二是积极开展社会治安立体巡防联控工作，组织做好春运、国庆和“二十大”等重大保障工作。三是定期组织联动执法及安全检查，进一步提升站前广场及周边消防安全隐患排查力度和安全强化工作。四是持续开展市容专项整治。联合上西大队、市特巡警火车站大队，开展清理乱摆摊点、规范乱停乱放、整治市容市貌等专项整治工作。五是协调进站口、出站口、停车场及周边商户大型氛LED产权单位刊播及设置各类公益广告。完成春节、国庆、创卫等氛围营造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（二）项目效益情况</w:t>
      </w:r>
    </w:p>
    <w:p>
      <w:pPr>
        <w:pStyle w:val="34"/>
        <w:keepNext w:val="0"/>
        <w:keepLines w:val="0"/>
        <w:pageBreakBefore w:val="0"/>
        <w:widowControl w:val="0"/>
        <w:numPr>
          <w:ilvl w:val="0"/>
          <w:numId w:val="0"/>
        </w:numPr>
        <w:kinsoku/>
        <w:wordWrap/>
        <w:overflowPunct/>
        <w:topLinePunct w:val="0"/>
        <w:autoSpaceDE/>
        <w:autoSpaceDN/>
        <w:bidi w:val="0"/>
        <w:snapToGrid/>
        <w:spacing w:line="576"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eastAsia="zh-CN" w:bidi="ar-SA"/>
        </w:rPr>
        <w:t>1</w:t>
      </w:r>
      <w:r>
        <w:rPr>
          <w:rFonts w:hint="eastAsia" w:ascii="Times New Roman" w:hAnsi="Times New Roman" w:eastAsia="仿宋_GB2312" w:cs="Times New Roman"/>
          <w:kern w:val="2"/>
          <w:sz w:val="32"/>
          <w:szCs w:val="32"/>
          <w:lang w:val="en-US" w:eastAsia="zh-CN" w:bidi="ar-SA"/>
        </w:rPr>
        <w:t>. 社会效益指标：火车站周边客运秩序率：优；安全隐患：降低。</w:t>
      </w:r>
    </w:p>
    <w:p>
      <w:pPr>
        <w:pStyle w:val="34"/>
        <w:keepNext w:val="0"/>
        <w:keepLines w:val="0"/>
        <w:pageBreakBefore w:val="0"/>
        <w:widowControl w:val="0"/>
        <w:numPr>
          <w:ilvl w:val="0"/>
          <w:numId w:val="0"/>
        </w:numPr>
        <w:kinsoku/>
        <w:wordWrap/>
        <w:overflowPunct/>
        <w:topLinePunct w:val="0"/>
        <w:autoSpaceDE/>
        <w:autoSpaceDN/>
        <w:bidi w:val="0"/>
        <w:snapToGrid/>
        <w:spacing w:line="576"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eastAsia="zh-CN" w:bidi="ar-SA"/>
        </w:rPr>
        <w:t>2</w:t>
      </w:r>
      <w:r>
        <w:rPr>
          <w:rFonts w:hint="eastAsia" w:ascii="Times New Roman" w:hAnsi="Times New Roman" w:eastAsia="仿宋_GB2312" w:cs="Times New Roman"/>
          <w:kern w:val="2"/>
          <w:sz w:val="32"/>
          <w:szCs w:val="32"/>
          <w:lang w:val="en-US" w:eastAsia="zh-CN" w:bidi="ar-SA"/>
        </w:rPr>
        <w:t>. 服务对象满意度指标：进出口旅客对火车站站前广场市容市貌满意。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五、评价结论及建议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项目的实施和专项经费的使用，保障了站前广场管理各项工作的正常运行，方便了旅客出行，展示广元对外良好形象。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（二）存在的问题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进站口运行电梯数量的增加，电费、维保及维修成本将逐年增加，运行经费较紧张。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（三）相关建议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 xml:space="preserve">适当增加运行经费，保障公共设施、设备及时维护维修，确保火车站站前广场管理正常开展。 </w:t>
      </w:r>
    </w:p>
    <w:p>
      <w:pPr>
        <w:pStyle w:val="2"/>
        <w:pageBreakBefore w:val="0"/>
        <w:widowControl w:val="0"/>
        <w:kinsoku/>
        <w:wordWrap/>
        <w:overflowPunct/>
        <w:topLinePunct w:val="0"/>
        <w:autoSpaceDE/>
        <w:autoSpaceDN/>
        <w:bidi w:val="0"/>
        <w:rPr>
          <w:rFonts w:hint="eastAsia" w:ascii="仿宋_GB2312" w:hAnsi="仿宋_GB2312" w:eastAsia="仿宋_GB2312" w:cs="仿宋_GB2312"/>
          <w:color w:val="auto"/>
          <w:spacing w:val="0"/>
          <w:sz w:val="32"/>
          <w:szCs w:val="32"/>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pStyle w:val="2"/>
        <w:rPr>
          <w:rFonts w:hint="eastAsia" w:ascii="方正黑体简体" w:hAnsi="方正黑体简体" w:eastAsia="方正黑体简体" w:cs="方正黑体简体"/>
          <w:color w:val="auto"/>
          <w:spacing w:val="0"/>
          <w:sz w:val="32"/>
          <w:szCs w:val="32"/>
          <w:highlight w:val="none"/>
        </w:rPr>
      </w:pPr>
    </w:p>
    <w:p>
      <w:pPr>
        <w:pStyle w:val="2"/>
        <w:rPr>
          <w:rFonts w:hint="eastAsia" w:ascii="方正黑体简体" w:hAnsi="方正黑体简体" w:eastAsia="方正黑体简体" w:cs="方正黑体简体"/>
          <w:color w:val="auto"/>
          <w:spacing w:val="0"/>
          <w:sz w:val="32"/>
          <w:szCs w:val="32"/>
          <w:highlight w:val="none"/>
        </w:rPr>
      </w:pPr>
    </w:p>
    <w:p>
      <w:pPr>
        <w:pStyle w:val="2"/>
        <w:rPr>
          <w:rFonts w:hint="eastAsia" w:ascii="方正黑体简体" w:hAnsi="方正黑体简体" w:eastAsia="方正黑体简体" w:cs="方正黑体简体"/>
          <w:color w:val="auto"/>
          <w:spacing w:val="0"/>
          <w:sz w:val="32"/>
          <w:szCs w:val="32"/>
          <w:highlight w:val="none"/>
        </w:rPr>
      </w:pPr>
    </w:p>
    <w:p>
      <w:pPr>
        <w:pStyle w:val="2"/>
        <w:rPr>
          <w:rFonts w:hint="eastAsia" w:ascii="方正黑体简体" w:hAnsi="方正黑体简体" w:eastAsia="方正黑体简体" w:cs="方正黑体简体"/>
          <w:color w:val="auto"/>
          <w:spacing w:val="0"/>
          <w:sz w:val="32"/>
          <w:szCs w:val="32"/>
          <w:highlight w:val="none"/>
        </w:rPr>
      </w:pPr>
    </w:p>
    <w:p>
      <w:pPr>
        <w:pStyle w:val="2"/>
        <w:rPr>
          <w:rFonts w:hint="eastAsia" w:ascii="方正黑体简体" w:hAnsi="方正黑体简体" w:eastAsia="方正黑体简体" w:cs="方正黑体简体"/>
          <w:color w:val="auto"/>
          <w:spacing w:val="0"/>
          <w:sz w:val="32"/>
          <w:szCs w:val="32"/>
          <w:highlight w:val="none"/>
        </w:rPr>
      </w:pPr>
    </w:p>
    <w:p>
      <w:pPr>
        <w:pStyle w:val="2"/>
        <w:rPr>
          <w:rFonts w:hint="eastAsia" w:ascii="方正黑体简体" w:hAnsi="方正黑体简体" w:eastAsia="方正黑体简体" w:cs="方正黑体简体"/>
          <w:color w:val="auto"/>
          <w:spacing w:val="0"/>
          <w:sz w:val="32"/>
          <w:szCs w:val="32"/>
          <w:highlight w:val="none"/>
        </w:rPr>
      </w:pPr>
    </w:p>
    <w:p>
      <w:pPr>
        <w:pStyle w:val="2"/>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黑体简体" w:hAnsi="方正黑体简体" w:eastAsia="方正黑体简体" w:cs="方正黑体简体"/>
          <w:color w:val="auto"/>
          <w:spacing w:val="0"/>
          <w:sz w:val="32"/>
          <w:szCs w:val="32"/>
          <w:highlight w:val="none"/>
        </w:rPr>
        <w:t>附</w:t>
      </w:r>
      <w:r>
        <w:rPr>
          <w:rFonts w:hint="eastAsia" w:ascii="方正黑体简体" w:hAnsi="方正黑体简体" w:eastAsia="方正黑体简体" w:cs="方正黑体简体"/>
          <w:color w:val="auto"/>
          <w:spacing w:val="0"/>
          <w:sz w:val="32"/>
          <w:szCs w:val="32"/>
          <w:highlight w:val="none"/>
          <w:lang w:val="en-US" w:eastAsia="zh-CN"/>
        </w:rPr>
        <w:t>表</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2021年部门预算项目绩效目标自评</w:t>
      </w:r>
    </w:p>
    <w:p>
      <w:pPr>
        <w:pStyle w:val="2"/>
        <w:rPr>
          <w:rFonts w:hint="eastAsia"/>
          <w:color w:val="auto"/>
          <w:lang w:val="en-US" w:eastAsia="zh-CN"/>
        </w:rPr>
      </w:pPr>
    </w:p>
    <w:tbl>
      <w:tblPr>
        <w:tblStyle w:val="13"/>
        <w:tblW w:w="98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1"/>
        <w:gridCol w:w="908"/>
        <w:gridCol w:w="1136"/>
        <w:gridCol w:w="2240"/>
        <w:gridCol w:w="1593"/>
        <w:gridCol w:w="423"/>
        <w:gridCol w:w="2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主管部门及代码</w:t>
            </w:r>
          </w:p>
        </w:tc>
        <w:tc>
          <w:tcPr>
            <w:tcW w:w="3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color w:val="auto"/>
                <w:spacing w:val="0"/>
                <w:sz w:val="21"/>
                <w:szCs w:val="21"/>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640601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实施单位</w:t>
            </w:r>
          </w:p>
        </w:tc>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20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项目预算</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执行情况</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（万元）</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预算数：</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执行数：</w:t>
            </w:r>
          </w:p>
        </w:tc>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20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color w:val="auto"/>
                <w:spacing w:val="0"/>
                <w:sz w:val="21"/>
                <w:szCs w:val="21"/>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财政拨款</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财政拨款</w:t>
            </w:r>
          </w:p>
        </w:tc>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20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color w:val="auto"/>
                <w:spacing w:val="0"/>
                <w:sz w:val="21"/>
                <w:szCs w:val="21"/>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其他资金</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其他资金</w:t>
            </w:r>
          </w:p>
        </w:tc>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jc w:val="center"/>
        </w:trPr>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年度总体目标完成情况</w:t>
            </w:r>
          </w:p>
        </w:tc>
        <w:tc>
          <w:tcPr>
            <w:tcW w:w="42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预期目标</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p>
        </w:tc>
        <w:tc>
          <w:tcPr>
            <w:tcW w:w="42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top"/>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保障火车站站前广场及周边市容秩序良好，市政设施运行正常，环境干净卫生。</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top"/>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以市容秩序管理为重点，牵头出站口卡口防疫、协调相关部门抓好市政设施设置和管理维护、环卫清扫保洁等工作。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119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年度绩效指标完成情况</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一级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指标</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二级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指标</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三级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指标</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预期指标值</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11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color w:val="auto"/>
                <w:spacing w:val="0"/>
                <w:sz w:val="21"/>
                <w:szCs w:val="21"/>
                <w:u w:val="none"/>
              </w:rPr>
            </w:pPr>
          </w:p>
        </w:tc>
        <w:tc>
          <w:tcPr>
            <w:tcW w:w="908" w:type="dxa"/>
            <w:vMerge w:val="restart"/>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产出</w:t>
            </w:r>
          </w:p>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指标</w:t>
            </w:r>
          </w:p>
        </w:tc>
        <w:tc>
          <w:tcPr>
            <w:tcW w:w="11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数量指标</w:t>
            </w:r>
          </w:p>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火车站站前反恐防暴演练次数</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≧1次/周</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1次/周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11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color w:val="auto"/>
                <w:spacing w:val="0"/>
                <w:sz w:val="21"/>
                <w:szCs w:val="21"/>
                <w:u w:val="none"/>
              </w:rPr>
            </w:pPr>
          </w:p>
        </w:tc>
        <w:tc>
          <w:tcPr>
            <w:tcW w:w="90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13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火车站公益广告及标识条数</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≧40条</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各类公益广告50余条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11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color w:val="auto"/>
                <w:spacing w:val="0"/>
                <w:sz w:val="21"/>
                <w:szCs w:val="21"/>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成本</w:t>
            </w:r>
          </w:p>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指标</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经济成本指标</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电梯维修费用，标牌制作、更换费用，出站口电梯运维费等</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≧10万元</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11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color w:val="auto"/>
                <w:spacing w:val="0"/>
                <w:sz w:val="21"/>
                <w:szCs w:val="21"/>
                <w:u w:val="none"/>
              </w:rPr>
            </w:pPr>
          </w:p>
        </w:tc>
        <w:tc>
          <w:tcPr>
            <w:tcW w:w="90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效益</w:t>
            </w:r>
          </w:p>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指标</w:t>
            </w:r>
          </w:p>
        </w:tc>
        <w:tc>
          <w:tcPr>
            <w:tcW w:w="11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社会效益</w:t>
            </w:r>
          </w:p>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指标</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客运秩序</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火车站周边客运秩序、市容秩序规范</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11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color w:val="auto"/>
                <w:spacing w:val="0"/>
                <w:sz w:val="21"/>
                <w:szCs w:val="21"/>
                <w:u w:val="none"/>
              </w:rPr>
            </w:pPr>
          </w:p>
        </w:tc>
        <w:tc>
          <w:tcPr>
            <w:tcW w:w="90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13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安全隐患</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降低</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jc w:val="center"/>
        </w:trPr>
        <w:tc>
          <w:tcPr>
            <w:tcW w:w="119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color w:val="auto"/>
                <w:spacing w:val="0"/>
                <w:sz w:val="21"/>
                <w:szCs w:val="21"/>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满意</w:t>
            </w:r>
          </w:p>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度指标</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服务对象满意度指标</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进出口旅客对火车站站前广场市容市貌的满意度</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满意</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满意度达98%</w:t>
            </w:r>
          </w:p>
        </w:tc>
      </w:tr>
    </w:tbl>
    <w:p>
      <w:pPr>
        <w:keepNext w:val="0"/>
        <w:keepLines w:val="0"/>
        <w:pageBreakBefore w:val="0"/>
        <w:widowControl w:val="0"/>
        <w:kinsoku/>
        <w:wordWrap/>
        <w:overflowPunct/>
        <w:topLinePunct w:val="0"/>
        <w:autoSpaceDE/>
        <w:autoSpaceDN/>
        <w:bidi w:val="0"/>
        <w:adjustRightInd/>
        <w:snapToGrid/>
        <w:spacing w:line="700" w:lineRule="exact"/>
        <w:jc w:val="both"/>
        <w:textAlignment w:val="auto"/>
        <w:outlineLvl w:val="0"/>
        <w:rPr>
          <w:rFonts w:hint="eastAsia" w:ascii="方正小标宋简体" w:hAnsi="方正小标宋简体" w:eastAsia="方正小标宋简体" w:cs="方正小标宋简体"/>
          <w:color w:val="auto"/>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扶贫工作经费项目</w:t>
      </w:r>
      <w:r>
        <w:rPr>
          <w:rFonts w:hint="eastAsia" w:ascii="方正小标宋简体" w:hAnsi="方正小标宋简体" w:eastAsia="方正小标宋简体" w:cs="方正小标宋简体"/>
          <w:color w:val="auto"/>
          <w:spacing w:val="0"/>
          <w:sz w:val="44"/>
          <w:szCs w:val="44"/>
          <w:lang w:val="zh-CN" w:eastAsia="zh-CN"/>
        </w:rPr>
        <w:t>支出绩效自评报告</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一、项目概况</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城管执法局协助帮扶村开展基层组织建设、推动精准扶贫、发展集体经济、提升治理水平等工作。经费主要用于宣传涉农政策、法律法规、农业科技知识，开展技能培训和劳务输出，实施农村环境整治，完善基础设施建设等。</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（二）项目绩效目标</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通过项目实施，实现贫困户稳定增收，改善人居环境。</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（三）项目自评步骤及方法</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核查报账记录。查看包括报账时间、金额、事由及各环节审核签字情况等内容，核实资金是否用于扶贫工作。</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（一）项目资金申报及批复情况</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根据2021年安排的重点工作，填报《2021年预算项目支出绩效目标申报表》，编制扶贫工作经费预算。市财政局于2021年3月批复扶贫工作经费预算1.5万元。</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（二）资金计划、到位及使用情况</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1. 资金计划及到位。</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市财政局于20201年3月拨付扶贫工作经费预算1.5万元，项目资金全部到位。</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 资金使用。</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项目资金到位后，严格按照项目资金管理相关规定，全部用于项目支出，无被截留、挤占、挪用现象。</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（三）项目财务管理情况</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申报计划，审批后由市财政支付中心统一集中支付。</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三、项目实施及管理情况</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该项目为经常性项目，项目资金实行专款专用。资金支出审批制度健全，使用规范，会计核算结果真实、准确。</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四、项目绩效情况</w:t>
      </w:r>
    </w:p>
    <w:p>
      <w:pPr>
        <w:pStyle w:val="7"/>
        <w:keepNext w:val="0"/>
        <w:keepLines w:val="0"/>
        <w:pageBreakBefore w:val="0"/>
        <w:widowControl w:val="0"/>
        <w:numPr>
          <w:ilvl w:val="0"/>
          <w:numId w:val="0"/>
        </w:numPr>
        <w:kinsoku/>
        <w:wordWrap/>
        <w:overflowPunct/>
        <w:topLinePunct w:val="0"/>
        <w:autoSpaceDE/>
        <w:autoSpaceDN/>
        <w:bidi w:val="0"/>
        <w:spacing w:beforeLines="0" w:line="576" w:lineRule="exact"/>
        <w:ind w:left="0" w:firstLine="640" w:firstLineChars="200"/>
        <w:jc w:val="both"/>
        <w:textAlignment w:val="auto"/>
        <w:rPr>
          <w:rFonts w:hint="eastAsia" w:ascii="方正楷体简体" w:hAnsi="方正楷体简体" w:eastAsia="方正楷体简体" w:cs="方正楷体简体"/>
          <w:b w:val="0"/>
          <w:bCs/>
          <w:color w:val="000000"/>
          <w:spacing w:val="0"/>
          <w:kern w:val="2"/>
          <w:sz w:val="32"/>
          <w:szCs w:val="32"/>
          <w:lang w:val="zh-CN"/>
        </w:rPr>
      </w:pPr>
      <w:r>
        <w:rPr>
          <w:rFonts w:hint="eastAsia" w:ascii="方正楷体简体" w:hAnsi="方正楷体简体" w:eastAsia="方正楷体简体" w:cs="方正楷体简体"/>
          <w:b w:val="0"/>
          <w:bCs/>
          <w:color w:val="000000"/>
          <w:spacing w:val="0"/>
          <w:kern w:val="2"/>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b w:val="0"/>
          <w:bCs w:val="0"/>
          <w:color w:val="auto"/>
          <w:spacing w:val="0"/>
          <w:sz w:val="32"/>
          <w:szCs w:val="32"/>
          <w:highlight w:val="none"/>
          <w:lang w:val="zh-CN" w:eastAsia="zh-CN"/>
        </w:rPr>
        <w:t>截止202</w:t>
      </w:r>
      <w:r>
        <w:rPr>
          <w:rFonts w:hint="eastAsia" w:eastAsia="仿宋_GB2312" w:cs="Times New Roman"/>
          <w:b w:val="0"/>
          <w:bCs w:val="0"/>
          <w:color w:val="auto"/>
          <w:spacing w:val="0"/>
          <w:sz w:val="32"/>
          <w:szCs w:val="32"/>
          <w:highlight w:val="none"/>
          <w:lang w:val="en-US" w:eastAsia="zh-CN"/>
        </w:rPr>
        <w:t>1</w:t>
      </w:r>
      <w:r>
        <w:rPr>
          <w:rFonts w:hint="eastAsia" w:ascii="Times New Roman" w:hAnsi="Times New Roman" w:eastAsia="仿宋_GB2312" w:cs="Times New Roman"/>
          <w:b w:val="0"/>
          <w:bCs w:val="0"/>
          <w:color w:val="auto"/>
          <w:spacing w:val="0"/>
          <w:sz w:val="32"/>
          <w:szCs w:val="32"/>
          <w:highlight w:val="none"/>
          <w:lang w:val="zh-CN" w:eastAsia="zh-CN"/>
        </w:rPr>
        <w:t>年12月31日，项目指标全面完成，项目社会效益、可持续发展效益明显</w:t>
      </w:r>
      <w:r>
        <w:rPr>
          <w:rFonts w:hint="eastAsia" w:ascii="Times New Roman" w:hAnsi="Times New Roman" w:eastAsia="仿宋_GB2312" w:cs="Times New Roman"/>
          <w:b w:val="0"/>
          <w:bCs w:val="0"/>
          <w:color w:val="auto"/>
          <w:spacing w:val="0"/>
          <w:sz w:val="32"/>
          <w:szCs w:val="32"/>
          <w:highlight w:val="none"/>
          <w:lang w:val="en-US" w:eastAsia="zh-CN"/>
        </w:rPr>
        <w:t>。一是</w:t>
      </w:r>
      <w:r>
        <w:rPr>
          <w:rFonts w:hint="eastAsia" w:ascii="Times New Roman" w:hAnsi="Times New Roman" w:eastAsia="仿宋_GB2312" w:cs="Times New Roman"/>
          <w:b w:val="0"/>
          <w:bCs w:val="0"/>
          <w:color w:val="auto"/>
          <w:spacing w:val="0"/>
          <w:sz w:val="32"/>
          <w:szCs w:val="32"/>
          <w:highlight w:val="none"/>
          <w:lang w:val="zh-CN" w:eastAsia="zh-CN"/>
        </w:rPr>
        <w:t>高度重视精准扶贫，认真学习近脱贫攻坚指示精神，坚持学习理论与实际相结合，切实落实市委、市政府各项工作要求，精选驻村工作队；二是坚持驻村入户，充分了解村情民情，因村因地制宜，认真落实各项帮扶措施，在资金、物质、信息资源上给予扶持；三是驻村工作有力，坚持遍访不留一户，村情、民情熟记于心。积极开展疫情防控宣传，反复入户动员群众进行疫苗接种，不留死角。协助村两委修复道路，保证村内道路畅通安全。利用走访、开会等机会，协助村干部开展反诈骗、冬季防火用电常识、宪法知识等宣讲工作。对村集体经济进行管理，清理杂树杂草，施肥打药，个人、集体实现双增</w:t>
      </w:r>
      <w:r>
        <w:rPr>
          <w:rFonts w:hint="eastAsia" w:ascii="Times New Roman" w:hAnsi="Times New Roman" w:eastAsia="仿宋_GB2312" w:cs="Times New Roman"/>
          <w:kern w:val="2"/>
          <w:sz w:val="32"/>
          <w:szCs w:val="32"/>
          <w:lang w:val="zh-CN" w:eastAsia="zh-CN" w:bidi="ar-SA"/>
        </w:rPr>
        <w:t>收。</w:t>
      </w:r>
    </w:p>
    <w:p>
      <w:pPr>
        <w:pStyle w:val="7"/>
        <w:keepNext w:val="0"/>
        <w:keepLines w:val="0"/>
        <w:pageBreakBefore w:val="0"/>
        <w:widowControl w:val="0"/>
        <w:numPr>
          <w:ilvl w:val="0"/>
          <w:numId w:val="0"/>
        </w:numPr>
        <w:kinsoku/>
        <w:wordWrap/>
        <w:overflowPunct/>
        <w:topLinePunct w:val="0"/>
        <w:autoSpaceDE/>
        <w:autoSpaceDN/>
        <w:bidi w:val="0"/>
        <w:spacing w:beforeLines="0" w:line="576" w:lineRule="exact"/>
        <w:ind w:left="0" w:firstLine="640" w:firstLineChars="200"/>
        <w:jc w:val="both"/>
        <w:textAlignment w:val="auto"/>
        <w:rPr>
          <w:rFonts w:hint="eastAsia" w:ascii="方正楷体简体" w:hAnsi="方正楷体简体" w:eastAsia="方正楷体简体" w:cs="方正楷体简体"/>
          <w:b w:val="0"/>
          <w:bCs/>
          <w:color w:val="000000"/>
          <w:spacing w:val="0"/>
          <w:kern w:val="2"/>
          <w:sz w:val="32"/>
          <w:szCs w:val="32"/>
          <w:lang w:val="en-US" w:eastAsia="zh-CN"/>
        </w:rPr>
      </w:pPr>
      <w:r>
        <w:rPr>
          <w:rFonts w:hint="eastAsia" w:ascii="方正楷体简体" w:hAnsi="方正楷体简体" w:eastAsia="方正楷体简体" w:cs="方正楷体简体"/>
          <w:b w:val="0"/>
          <w:bCs/>
          <w:color w:val="000000"/>
          <w:spacing w:val="0"/>
          <w:kern w:val="2"/>
          <w:sz w:val="32"/>
          <w:szCs w:val="32"/>
          <w:lang w:val="zh-CN"/>
        </w:rPr>
        <w:t>（二）项目效益情况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eastAsia="仿宋_GB2312" w:cs="Times New Roman"/>
          <w:b w:val="0"/>
          <w:bCs w:val="0"/>
          <w:color w:val="auto"/>
          <w:spacing w:val="0"/>
          <w:sz w:val="32"/>
          <w:szCs w:val="32"/>
          <w:highlight w:val="none"/>
          <w:lang w:eastAsia="zh-CN"/>
        </w:rPr>
        <w:t>1</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lang w:val="zh-CN" w:eastAsia="zh-CN"/>
        </w:rPr>
        <w:t>社会效益指标：</w:t>
      </w:r>
      <w:r>
        <w:rPr>
          <w:rFonts w:hint="eastAsia" w:ascii="Times New Roman" w:hAnsi="Times New Roman" w:eastAsia="仿宋_GB2312" w:cs="Times New Roman"/>
          <w:b w:val="0"/>
          <w:bCs w:val="0"/>
          <w:color w:val="auto"/>
          <w:spacing w:val="0"/>
          <w:sz w:val="32"/>
          <w:szCs w:val="32"/>
          <w:highlight w:val="none"/>
          <w:lang w:val="en-US" w:eastAsia="zh-CN"/>
        </w:rPr>
        <w:t>农村面貌：结合村情，发挥优势，村容村貌大有改观；农民生活水平：农民生活水平进一步提高。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zh-CN" w:eastAsia="zh-CN"/>
        </w:rPr>
      </w:pPr>
      <w:r>
        <w:rPr>
          <w:rFonts w:hint="default" w:eastAsia="仿宋_GB2312" w:cs="Times New Roman"/>
          <w:b w:val="0"/>
          <w:bCs w:val="0"/>
          <w:color w:val="auto"/>
          <w:spacing w:val="0"/>
          <w:sz w:val="32"/>
          <w:szCs w:val="32"/>
          <w:highlight w:val="none"/>
          <w:lang w:eastAsia="zh-CN"/>
        </w:rPr>
        <w:t>2</w:t>
      </w:r>
      <w:r>
        <w:rPr>
          <w:rFonts w:hint="eastAsia" w:ascii="Times New Roman" w:hAnsi="Times New Roman" w:eastAsia="仿宋_GB2312" w:cs="Times New Roman"/>
          <w:b w:val="0"/>
          <w:bCs w:val="0"/>
          <w:color w:val="auto"/>
          <w:spacing w:val="0"/>
          <w:sz w:val="32"/>
          <w:szCs w:val="32"/>
          <w:highlight w:val="none"/>
          <w:lang w:val="zh-CN" w:eastAsia="zh-CN"/>
        </w:rPr>
        <w:t>.</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lang w:val="zh-CN" w:eastAsia="zh-CN"/>
        </w:rPr>
        <w:t>服务对象满意度指标：</w:t>
      </w:r>
      <w:r>
        <w:rPr>
          <w:rFonts w:hint="eastAsia" w:ascii="Times New Roman" w:hAnsi="Times New Roman" w:eastAsia="仿宋_GB2312" w:cs="Times New Roman"/>
          <w:b w:val="0"/>
          <w:bCs w:val="0"/>
          <w:color w:val="auto"/>
          <w:spacing w:val="0"/>
          <w:sz w:val="32"/>
          <w:szCs w:val="32"/>
          <w:highlight w:val="none"/>
          <w:lang w:val="en-US" w:eastAsia="zh-CN"/>
        </w:rPr>
        <w:t>帮扶对象对扶贫工作</w:t>
      </w:r>
      <w:r>
        <w:rPr>
          <w:rFonts w:hint="eastAsia" w:ascii="Times New Roman" w:hAnsi="Times New Roman" w:eastAsia="仿宋_GB2312" w:cs="Times New Roman"/>
          <w:b w:val="0"/>
          <w:bCs w:val="0"/>
          <w:color w:val="auto"/>
          <w:spacing w:val="0"/>
          <w:sz w:val="32"/>
          <w:szCs w:val="32"/>
          <w:highlight w:val="none"/>
          <w:lang w:val="zh-CN" w:eastAsia="zh-CN"/>
        </w:rPr>
        <w:t>满意。</w:t>
      </w:r>
    </w:p>
    <w:p>
      <w:pPr>
        <w:keepNext w:val="0"/>
        <w:keepLines w:val="0"/>
        <w:pageBreakBefore w:val="0"/>
        <w:widowControl w:val="0"/>
        <w:kinsoku/>
        <w:wordWrap/>
        <w:overflowPunct/>
        <w:topLinePunct w:val="0"/>
        <w:autoSpaceDE/>
        <w:autoSpaceDN/>
        <w:bidi w:val="0"/>
        <w:adjustRightInd/>
        <w:snapToGrid/>
        <w:spacing w:line="530" w:lineRule="exact"/>
        <w:ind w:left="0" w:leftChars="0" w:firstLine="640" w:firstLineChars="200"/>
        <w:textAlignment w:val="auto"/>
        <w:rPr>
          <w:rFonts w:hint="eastAsia" w:ascii="方正黑体简体" w:hAnsi="方正黑体简体" w:eastAsia="方正黑体简体" w:cs="方正黑体简体"/>
          <w:color w:val="auto"/>
          <w:spacing w:val="0"/>
          <w:sz w:val="32"/>
          <w:szCs w:val="32"/>
        </w:rPr>
      </w:pPr>
      <w:r>
        <w:rPr>
          <w:rFonts w:hint="eastAsia" w:ascii="方正黑体简体" w:hAnsi="方正黑体简体" w:eastAsia="方正黑体简体" w:cs="方正黑体简体"/>
          <w:color w:val="auto"/>
          <w:spacing w:val="0"/>
          <w:sz w:val="32"/>
          <w:szCs w:val="32"/>
        </w:rPr>
        <w:t>五、评价结论及建议</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（一）评价结论</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通过项目实施，帮扶村村容村貌明显改观，集体经济发展势头良好，帮扶户产业经济效益初显，收入大幅提升。</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（二）存在的问题</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扶贫资金投入远远不能满足实际需求。</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（三）相关建议</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把握和利用好扶贫开发的相关政策,结合实际，引导帮扶户利用资源，做大做强产业，提升劳动技能，通过劳务输出等方式。</w:t>
      </w: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lang w:val="en-US" w:eastAsia="zh-CN"/>
        </w:rPr>
      </w:pPr>
      <w:r>
        <w:rPr>
          <w:rFonts w:hint="eastAsia" w:ascii="方正黑体简体" w:hAnsi="方正黑体简体" w:eastAsia="方正黑体简体" w:cs="方正黑体简体"/>
          <w:color w:val="auto"/>
          <w:spacing w:val="0"/>
          <w:sz w:val="32"/>
          <w:szCs w:val="32"/>
          <w:highlight w:val="none"/>
        </w:rPr>
        <w:t>附</w:t>
      </w:r>
      <w:r>
        <w:rPr>
          <w:rFonts w:hint="eastAsia" w:ascii="方正黑体简体" w:hAnsi="方正黑体简体" w:eastAsia="方正黑体简体" w:cs="方正黑体简体"/>
          <w:color w:val="auto"/>
          <w:spacing w:val="0"/>
          <w:sz w:val="32"/>
          <w:szCs w:val="32"/>
          <w:highlight w:val="none"/>
          <w:lang w:val="en-US" w:eastAsia="zh-CN"/>
        </w:rPr>
        <w:t>表</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2021年部门预算项目绩效目标自评</w:t>
      </w:r>
    </w:p>
    <w:p>
      <w:pPr>
        <w:pStyle w:val="2"/>
        <w:rPr>
          <w:rFonts w:hint="eastAsia"/>
          <w:color w:val="auto"/>
          <w:lang w:val="en-US" w:eastAsia="zh-CN"/>
        </w:rPr>
      </w:pPr>
    </w:p>
    <w:tbl>
      <w:tblPr>
        <w:tblStyle w:val="13"/>
        <w:tblW w:w="9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1"/>
        <w:gridCol w:w="900"/>
        <w:gridCol w:w="1454"/>
        <w:gridCol w:w="1583"/>
        <w:gridCol w:w="1745"/>
        <w:gridCol w:w="705"/>
        <w:gridCol w:w="2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sz w:val="21"/>
                <w:szCs w:val="21"/>
                <w:u w:val="none"/>
              </w:rPr>
            </w:pPr>
            <w:r>
              <w:rPr>
                <w:rFonts w:hint="eastAsia" w:ascii="方正黑体简体" w:hAnsi="方正黑体简体" w:eastAsia="方正黑体简体" w:cs="方正黑体简体"/>
                <w:i w:val="0"/>
                <w:color w:val="auto"/>
                <w:spacing w:val="0"/>
                <w:kern w:val="0"/>
                <w:sz w:val="21"/>
                <w:szCs w:val="21"/>
                <w:u w:val="none"/>
                <w:lang w:val="en-US" w:eastAsia="zh-CN" w:bidi="ar"/>
              </w:rPr>
              <w:t>主管部门及代码</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pacing w:val="0"/>
                <w:sz w:val="21"/>
                <w:szCs w:val="21"/>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640601</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实施单位</w:t>
            </w:r>
          </w:p>
        </w:tc>
        <w:tc>
          <w:tcPr>
            <w:tcW w:w="2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jc w:val="center"/>
        </w:trPr>
        <w:tc>
          <w:tcPr>
            <w:tcW w:w="18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项目预算</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执行情况</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sz w:val="21"/>
                <w:szCs w:val="21"/>
                <w:u w:val="none"/>
              </w:rPr>
            </w:pPr>
            <w:r>
              <w:rPr>
                <w:rFonts w:hint="eastAsia" w:ascii="方正黑体简体" w:hAnsi="方正黑体简体" w:eastAsia="方正黑体简体" w:cs="方正黑体简体"/>
                <w:i w:val="0"/>
                <w:color w:val="auto"/>
                <w:spacing w:val="0"/>
                <w:kern w:val="0"/>
                <w:sz w:val="21"/>
                <w:szCs w:val="21"/>
                <w:u w:val="none"/>
                <w:lang w:val="en-US" w:eastAsia="zh-CN" w:bidi="ar"/>
              </w:rPr>
              <w:t>（万元）</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预算数：</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1.5</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执行数：</w:t>
            </w:r>
          </w:p>
        </w:tc>
        <w:tc>
          <w:tcPr>
            <w:tcW w:w="2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18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财政拨款</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1.5</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财政拨款</w:t>
            </w:r>
          </w:p>
        </w:tc>
        <w:tc>
          <w:tcPr>
            <w:tcW w:w="2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8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其他资金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其他资金</w:t>
            </w:r>
          </w:p>
        </w:tc>
        <w:tc>
          <w:tcPr>
            <w:tcW w:w="2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年度总体目标完成情况</w:t>
            </w:r>
          </w:p>
        </w:tc>
        <w:tc>
          <w:tcPr>
            <w:tcW w:w="3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预期目标</w:t>
            </w:r>
          </w:p>
        </w:tc>
        <w:tc>
          <w:tcPr>
            <w:tcW w:w="4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p>
        </w:tc>
        <w:tc>
          <w:tcPr>
            <w:tcW w:w="3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210" w:firstLineChars="100"/>
              <w:jc w:val="both"/>
              <w:textAlignment w:val="top"/>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通过结合政策和村情，利用资源，使村容村貌大有改观，农民生活水平得到提高。</w:t>
            </w:r>
          </w:p>
        </w:tc>
        <w:tc>
          <w:tcPr>
            <w:tcW w:w="4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firstLine="210" w:firstLineChars="100"/>
              <w:jc w:val="both"/>
              <w:textAlignment w:val="top"/>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充分把握和利用好扶贫开发的相关政策，结合村情，发挥优势，自力更生，利用资源，落实了扶贫措施改变面貌，使村容村貌大有改观，农民生活水平得到进一步提高。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年度绩效指标完成情况</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一级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指标</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二级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三级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指标</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预期指标值</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97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产出指标</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数量指标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帮扶贫困村</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帮扶贫困村3个</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帮扶贫困村3个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97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u w:val="none"/>
              </w:rPr>
            </w:pPr>
          </w:p>
        </w:tc>
        <w:tc>
          <w:tcPr>
            <w:tcW w:w="9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数量指标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帮扶非贫困村</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帮扶非贫困村4个</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帮扶非贫困村4个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97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u w:val="none"/>
              </w:rPr>
            </w:pPr>
          </w:p>
        </w:tc>
        <w:tc>
          <w:tcPr>
            <w:tcW w:w="90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45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时效指标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支出时效</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2021年1-12月</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支出时效2021年</w:t>
            </w:r>
          </w:p>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7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u w:val="none"/>
              </w:rPr>
            </w:pPr>
          </w:p>
        </w:tc>
        <w:tc>
          <w:tcPr>
            <w:tcW w:w="9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成本指标</w:t>
            </w:r>
          </w:p>
        </w:tc>
        <w:tc>
          <w:tcPr>
            <w:tcW w:w="1454" w:type="dxa"/>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经济成本指标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工作经费</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工作经费：1.5万元</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7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效益</w:t>
            </w:r>
          </w:p>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指标</w:t>
            </w:r>
          </w:p>
        </w:tc>
        <w:tc>
          <w:tcPr>
            <w:tcW w:w="145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社会效益指标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农村面貌</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结合村情，发挥优势，使村容村貌改观</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村容村貌大有改观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7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u w:val="none"/>
              </w:rPr>
            </w:pPr>
          </w:p>
        </w:tc>
        <w:tc>
          <w:tcPr>
            <w:tcW w:w="9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45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农民生活水平</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自力更生，利用资源，农民生活水平得到提高</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农民生活水平进一步提高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9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满意</w:t>
            </w:r>
          </w:p>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度指标</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服务对象满意度指标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帮扶对象对扶贫工作满意度</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满意</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帮扶对象满意度指标达98%。</w:t>
            </w:r>
          </w:p>
        </w:tc>
      </w:tr>
    </w:tbl>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both"/>
        <w:textAlignment w:val="auto"/>
        <w:rPr>
          <w:rFonts w:hint="eastAsia" w:ascii="方正小标宋简体" w:hAnsi="方正小标宋简体" w:eastAsia="方正小标宋简体" w:cs="方正小标宋简体"/>
          <w:b w:val="0"/>
          <w:bCs w:val="0"/>
          <w:color w:val="auto"/>
          <w:spacing w:val="0"/>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lang w:eastAsia="zh-CN"/>
        </w:rPr>
      </w:pPr>
      <w:r>
        <w:rPr>
          <w:rFonts w:hint="eastAsia" w:ascii="方正小标宋简体" w:hAnsi="方正小标宋简体" w:eastAsia="方正小标宋简体" w:cs="方正小标宋简体"/>
          <w:b w:val="0"/>
          <w:bCs w:val="0"/>
          <w:color w:val="auto"/>
          <w:spacing w:val="0"/>
          <w:sz w:val="44"/>
          <w:szCs w:val="44"/>
          <w:highlight w:val="none"/>
          <w:lang w:eastAsia="zh-CN"/>
        </w:rPr>
        <w:t xml:space="preserve">第五部分 </w:t>
      </w:r>
      <w:r>
        <w:rPr>
          <w:rFonts w:hint="eastAsia" w:ascii="方正小标宋简体" w:hAnsi="方正小标宋简体" w:eastAsia="方正小标宋简体" w:cs="方正小标宋简体"/>
          <w:b w:val="0"/>
          <w:bCs w:val="0"/>
          <w:color w:val="auto"/>
          <w:spacing w:val="0"/>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spacing w:val="0"/>
          <w:sz w:val="44"/>
          <w:szCs w:val="44"/>
          <w:highlight w:val="none"/>
          <w:lang w:eastAsia="zh-CN"/>
        </w:rPr>
        <w:t>附</w:t>
      </w:r>
      <w:r>
        <w:rPr>
          <w:rFonts w:hint="eastAsia" w:ascii="方正小标宋简体" w:hAnsi="方正小标宋简体" w:eastAsia="方正小标宋简体" w:cs="方正小标宋简体"/>
          <w:b w:val="0"/>
          <w:bCs w:val="0"/>
          <w:color w:val="auto"/>
          <w:spacing w:val="0"/>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spacing w:val="0"/>
          <w:sz w:val="44"/>
          <w:szCs w:val="44"/>
          <w:highlight w:val="none"/>
          <w:lang w:eastAsia="zh-CN"/>
        </w:rPr>
        <w:t>表</w:t>
      </w:r>
      <w:bookmarkEnd w:id="60"/>
      <w:bookmarkStart w:id="61" w:name="_Toc15396619"/>
    </w:p>
    <w:p>
      <w:pPr>
        <w:spacing w:line="576" w:lineRule="exact"/>
        <w:ind w:firstLine="640" w:firstLineChars="200"/>
        <w:rPr>
          <w:rFonts w:hint="default" w:ascii="Times New Roman" w:hAnsi="Times New Roman" w:eastAsia="仿宋_GB2312" w:cs="Times New Roman"/>
          <w:b w:val="0"/>
          <w:bCs w:val="0"/>
          <w:color w:val="auto"/>
          <w:spacing w:val="0"/>
          <w:sz w:val="32"/>
          <w:szCs w:val="32"/>
          <w:highlight w:val="none"/>
          <w:lang w:val="en-US" w:eastAsia="zh-CN"/>
        </w:rPr>
      </w:pPr>
      <w:r>
        <w:rPr>
          <w:rFonts w:hint="eastAsia" w:ascii="Times New Roman" w:hAnsi="Times New Roman" w:eastAsia="仿宋_GB2312" w:cs="Times New Roman"/>
          <w:b w:val="0"/>
          <w:bCs w:val="0"/>
          <w:color w:val="auto"/>
          <w:spacing w:val="0"/>
          <w:sz w:val="32"/>
          <w:szCs w:val="32"/>
          <w:highlight w:val="none"/>
          <w:lang w:val="en-US" w:eastAsia="zh-CN"/>
        </w:rPr>
        <w:t xml:space="preserve">  </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r>
        <w:rPr>
          <w:rFonts w:hint="eastAsia" w:ascii="Times New Roman" w:hAnsi="Times New Roman" w:eastAsia="仿宋_GB2312" w:cs="Times New Roman"/>
          <w:b w:val="0"/>
          <w:bCs w:val="0"/>
          <w:color w:val="auto"/>
          <w:spacing w:val="0"/>
          <w:sz w:val="32"/>
          <w:szCs w:val="32"/>
          <w:highlight w:val="none"/>
          <w:lang w:eastAsia="zh-CN"/>
        </w:rPr>
        <w:t>一、收入支出决算总表</w:t>
      </w:r>
      <w:bookmarkEnd w:id="61"/>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bookmarkStart w:id="62" w:name="_Toc15396620"/>
      <w:r>
        <w:rPr>
          <w:rFonts w:hint="eastAsia" w:ascii="Times New Roman" w:hAnsi="Times New Roman" w:eastAsia="仿宋_GB2312" w:cs="Times New Roman"/>
          <w:b w:val="0"/>
          <w:bCs w:val="0"/>
          <w:color w:val="auto"/>
          <w:spacing w:val="0"/>
          <w:sz w:val="32"/>
          <w:szCs w:val="32"/>
          <w:highlight w:val="none"/>
          <w:lang w:eastAsia="zh-CN"/>
        </w:rPr>
        <w:t>二、收入决算表</w:t>
      </w:r>
      <w:bookmarkEnd w:id="62"/>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bookmarkStart w:id="63" w:name="_Toc15396621"/>
      <w:r>
        <w:rPr>
          <w:rFonts w:hint="eastAsia" w:ascii="Times New Roman" w:hAnsi="Times New Roman" w:eastAsia="仿宋_GB2312" w:cs="Times New Roman"/>
          <w:b w:val="0"/>
          <w:bCs w:val="0"/>
          <w:color w:val="auto"/>
          <w:spacing w:val="0"/>
          <w:sz w:val="32"/>
          <w:szCs w:val="32"/>
          <w:highlight w:val="none"/>
          <w:lang w:eastAsia="zh-CN"/>
        </w:rPr>
        <w:t>三、支出决算表</w:t>
      </w:r>
      <w:bookmarkEnd w:id="63"/>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bookmarkStart w:id="64" w:name="_Toc15396622"/>
      <w:r>
        <w:rPr>
          <w:rFonts w:hint="eastAsia" w:ascii="Times New Roman" w:hAnsi="Times New Roman" w:eastAsia="仿宋_GB2312" w:cs="Times New Roman"/>
          <w:b w:val="0"/>
          <w:bCs w:val="0"/>
          <w:color w:val="auto"/>
          <w:spacing w:val="0"/>
          <w:sz w:val="32"/>
          <w:szCs w:val="32"/>
          <w:highlight w:val="none"/>
          <w:lang w:eastAsia="zh-CN"/>
        </w:rPr>
        <w:t>四、财政拨款收入支出决算总表</w:t>
      </w:r>
      <w:bookmarkEnd w:id="64"/>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bookmarkStart w:id="65" w:name="_Toc15396623"/>
      <w:r>
        <w:rPr>
          <w:rFonts w:hint="eastAsia" w:ascii="Times New Roman" w:hAnsi="Times New Roman" w:eastAsia="仿宋_GB2312" w:cs="Times New Roman"/>
          <w:b w:val="0"/>
          <w:bCs w:val="0"/>
          <w:color w:val="auto"/>
          <w:spacing w:val="0"/>
          <w:sz w:val="32"/>
          <w:szCs w:val="32"/>
          <w:highlight w:val="none"/>
          <w:lang w:eastAsia="zh-CN"/>
        </w:rPr>
        <w:t>五、财政拨款支出决算明细表</w:t>
      </w:r>
      <w:bookmarkEnd w:id="65"/>
      <w:bookmarkStart w:id="66" w:name="_Toc15396624"/>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r>
        <w:rPr>
          <w:rFonts w:hint="eastAsia" w:ascii="Times New Roman" w:hAnsi="Times New Roman" w:eastAsia="仿宋_GB2312" w:cs="Times New Roman"/>
          <w:b w:val="0"/>
          <w:bCs w:val="0"/>
          <w:color w:val="auto"/>
          <w:spacing w:val="0"/>
          <w:sz w:val="32"/>
          <w:szCs w:val="32"/>
          <w:highlight w:val="none"/>
          <w:lang w:eastAsia="zh-CN"/>
        </w:rPr>
        <w:t>六、一般公共预算财政拨款支出决算表</w:t>
      </w:r>
      <w:bookmarkEnd w:id="66"/>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bookmarkStart w:id="67" w:name="_Toc15396625"/>
      <w:r>
        <w:rPr>
          <w:rFonts w:hint="eastAsia" w:ascii="Times New Roman" w:hAnsi="Times New Roman" w:eastAsia="仿宋_GB2312" w:cs="Times New Roman"/>
          <w:b w:val="0"/>
          <w:bCs w:val="0"/>
          <w:color w:val="auto"/>
          <w:spacing w:val="0"/>
          <w:sz w:val="32"/>
          <w:szCs w:val="32"/>
          <w:highlight w:val="none"/>
          <w:lang w:eastAsia="zh-CN"/>
        </w:rPr>
        <w:t>七、一般公共预算财政拨款支出决算明细表</w:t>
      </w:r>
      <w:bookmarkEnd w:id="67"/>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bookmarkStart w:id="68" w:name="_Toc15396626"/>
      <w:r>
        <w:rPr>
          <w:rFonts w:hint="eastAsia" w:ascii="Times New Roman" w:hAnsi="Times New Roman" w:eastAsia="仿宋_GB2312" w:cs="Times New Roman"/>
          <w:b w:val="0"/>
          <w:bCs w:val="0"/>
          <w:color w:val="auto"/>
          <w:spacing w:val="0"/>
          <w:sz w:val="32"/>
          <w:szCs w:val="32"/>
          <w:highlight w:val="none"/>
          <w:lang w:eastAsia="zh-CN"/>
        </w:rPr>
        <w:t>八、一般公共预算财政拨款基本支出决算表</w:t>
      </w:r>
      <w:bookmarkEnd w:id="68"/>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bookmarkStart w:id="69" w:name="_Toc15396627"/>
      <w:r>
        <w:rPr>
          <w:rFonts w:hint="eastAsia" w:ascii="Times New Roman" w:hAnsi="Times New Roman" w:eastAsia="仿宋_GB2312" w:cs="Times New Roman"/>
          <w:b w:val="0"/>
          <w:bCs w:val="0"/>
          <w:color w:val="auto"/>
          <w:spacing w:val="0"/>
          <w:sz w:val="32"/>
          <w:szCs w:val="32"/>
          <w:highlight w:val="none"/>
          <w:lang w:eastAsia="zh-CN"/>
        </w:rPr>
        <w:t>九、一般公共预算财政拨款项目支出决算表</w:t>
      </w:r>
      <w:bookmarkEnd w:id="69"/>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bookmarkStart w:id="70" w:name="_Toc15396628"/>
      <w:r>
        <w:rPr>
          <w:rFonts w:hint="eastAsia" w:ascii="Times New Roman" w:hAnsi="Times New Roman" w:eastAsia="仿宋_GB2312" w:cs="Times New Roman"/>
          <w:b w:val="0"/>
          <w:bCs w:val="0"/>
          <w:color w:val="auto"/>
          <w:spacing w:val="0"/>
          <w:sz w:val="32"/>
          <w:szCs w:val="32"/>
          <w:highlight w:val="none"/>
          <w:lang w:eastAsia="zh-CN"/>
        </w:rPr>
        <w:t>十、一般公共预算财政拨款“三公”经费支出决算表</w:t>
      </w:r>
      <w:bookmarkEnd w:id="70"/>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bookmarkStart w:id="71" w:name="_Toc15396629"/>
      <w:r>
        <w:rPr>
          <w:rFonts w:hint="eastAsia" w:ascii="Times New Roman" w:hAnsi="Times New Roman" w:eastAsia="仿宋_GB2312" w:cs="Times New Roman"/>
          <w:b w:val="0"/>
          <w:bCs w:val="0"/>
          <w:color w:val="auto"/>
          <w:spacing w:val="0"/>
          <w:sz w:val="32"/>
          <w:szCs w:val="32"/>
          <w:highlight w:val="none"/>
          <w:lang w:eastAsia="zh-CN"/>
        </w:rPr>
        <w:t>十一、政府性基金预算财政拨款收入支出决算表</w:t>
      </w:r>
      <w:bookmarkEnd w:id="71"/>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bookmarkStart w:id="72" w:name="_Toc15396630"/>
      <w:r>
        <w:rPr>
          <w:rFonts w:hint="eastAsia" w:ascii="Times New Roman" w:hAnsi="Times New Roman" w:eastAsia="仿宋_GB2312" w:cs="Times New Roman"/>
          <w:b w:val="0"/>
          <w:bCs w:val="0"/>
          <w:color w:val="auto"/>
          <w:spacing w:val="0"/>
          <w:sz w:val="32"/>
          <w:szCs w:val="32"/>
          <w:highlight w:val="none"/>
          <w:lang w:eastAsia="zh-CN"/>
        </w:rPr>
        <w:t>十二、政府性基金预算财政拨款“三公”经费支出决算表</w:t>
      </w:r>
      <w:bookmarkEnd w:id="72"/>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bookmarkStart w:id="73" w:name="_Toc15396631"/>
      <w:r>
        <w:rPr>
          <w:rFonts w:hint="eastAsia" w:ascii="Times New Roman" w:hAnsi="Times New Roman" w:eastAsia="仿宋_GB2312" w:cs="Times New Roman"/>
          <w:b w:val="0"/>
          <w:bCs w:val="0"/>
          <w:color w:val="auto"/>
          <w:spacing w:val="0"/>
          <w:sz w:val="32"/>
          <w:szCs w:val="32"/>
          <w:highlight w:val="none"/>
          <w:lang w:eastAsia="zh-CN"/>
        </w:rPr>
        <w:t>十三、国有资本经营预算财政拨款收入支出决算表</w:t>
      </w:r>
      <w:bookmarkEnd w:id="73"/>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r>
        <w:rPr>
          <w:rFonts w:hint="eastAsia" w:ascii="Times New Roman" w:hAnsi="Times New Roman" w:eastAsia="仿宋_GB2312" w:cs="Times New Roman"/>
          <w:b w:val="0"/>
          <w:bCs w:val="0"/>
          <w:color w:val="auto"/>
          <w:spacing w:val="0"/>
          <w:sz w:val="32"/>
          <w:szCs w:val="32"/>
          <w:highlight w:val="none"/>
          <w:lang w:eastAsia="zh-CN"/>
        </w:rPr>
        <w:t>十四、国有资本经营预算财政拨款支出决算表</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p>
    <w:sectPr>
      <w:footerReference r:id="rId9" w:type="first"/>
      <w:headerReference r:id="rId7" w:type="default"/>
      <w:footerReference r:id="rId8" w:type="default"/>
      <w:pgSz w:w="11906" w:h="16838"/>
      <w:pgMar w:top="2098" w:right="1474" w:bottom="1984" w:left="1587" w:header="851" w:footer="510" w:gutter="0"/>
      <w:pgNumType w:fmt="decimal" w:start="9"/>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Georgia"/>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魏碑简体">
    <w:altName w:val="宋体"/>
    <w:panose1 w:val="03000509000000000000"/>
    <w:charset w:val="86"/>
    <w:family w:val="auto"/>
    <w:pitch w:val="default"/>
    <w:sig w:usb0="00000000" w:usb1="00000000" w:usb2="00000000" w:usb3="00000000" w:csb0="00040000" w:csb1="00000000"/>
  </w:font>
  <w:font w:name="方正楷体简体">
    <w:altName w:val="方正楷体_GBK"/>
    <w:panose1 w:val="03000509000000000000"/>
    <w:charset w:val="86"/>
    <w:family w:val="auto"/>
    <w:pitch w:val="default"/>
    <w:sig w:usb0="00000000" w:usb1="00000000" w:usb2="00000000" w:usb3="00000000" w:csb0="00040000" w:csb1="00000000"/>
  </w:font>
  <w:font w:name="方正黑体简体">
    <w:altName w:val="方正小标宋简体"/>
    <w:panose1 w:val="03000509000000000000"/>
    <w:charset w:val="86"/>
    <w:family w:val="auto"/>
    <w:pitch w:val="default"/>
    <w:sig w:usb0="00000000" w:usb1="00000000" w:usb2="00000000" w:usb3="00000000" w:csb0="00040000" w:csb1="00000000"/>
  </w:font>
  <w:font w:name="方正书宋简体">
    <w:altName w:val="方正书宋_GBK"/>
    <w:panose1 w:val="03000509000000000000"/>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Georgia">
    <w:panose1 w:val="02040502050405020303"/>
    <w:charset w:val="00"/>
    <w:family w:val="auto"/>
    <w:pitch w:val="default"/>
    <w:sig w:usb0="00000287" w:usb1="00000000" w:usb2="00000000" w:usb3="00000000" w:csb0="2000009F" w:csb1="00000000"/>
  </w:font>
  <w:font w:name="Lucida Sans">
    <w:panose1 w:val="020B0602030504020204"/>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-628015</wp:posOffset>
              </wp:positionV>
              <wp:extent cx="1333500" cy="436245"/>
              <wp:effectExtent l="0" t="0" r="0" b="0"/>
              <wp:wrapNone/>
              <wp:docPr id="14" name="文本框 6"/>
              <wp:cNvGraphicFramePr/>
              <a:graphic xmlns:a="http://schemas.openxmlformats.org/drawingml/2006/main">
                <a:graphicData uri="http://schemas.microsoft.com/office/word/2010/wordprocessingShape">
                  <wps:wsp>
                    <wps:cNvSpPr txBox="true"/>
                    <wps:spPr>
                      <a:xfrm>
                        <a:off x="0" y="0"/>
                        <a:ext cx="1333500" cy="436245"/>
                      </a:xfrm>
                      <a:prstGeom prst="rect">
                        <a:avLst/>
                      </a:prstGeom>
                      <a:noFill/>
                      <a:ln>
                        <a:noFill/>
                      </a:ln>
                    </wps:spPr>
                    <wps:txbx>
                      <w:txbxContent>
                        <w:p>
                          <w:pPr>
                            <w:pStyle w:val="2"/>
                            <w:ind w:firstLine="280" w:firstLineChars="100"/>
                            <w:rPr>
                              <w:rFonts w:hint="default" w:eastAsia="宋体"/>
                              <w:sz w:val="28"/>
                              <w:szCs w:val="32"/>
                              <w:lang w:val="en-US" w:eastAsia="zh-CN"/>
                            </w:rPr>
                          </w:pPr>
                          <w:r>
                            <w:rPr>
                              <w:rFonts w:hint="eastAsia"/>
                              <w:sz w:val="28"/>
                              <w:szCs w:val="32"/>
                              <w:lang w:eastAsia="zh-CN"/>
                            </w:rPr>
                            <w:t>—</w:t>
                          </w:r>
                          <w:r>
                            <w:rPr>
                              <w:rFonts w:hint="eastAsia"/>
                              <w:sz w:val="28"/>
                              <w:szCs w:val="32"/>
                              <w:lang w:val="en-US" w:eastAsia="zh-CN"/>
                            </w:rPr>
                            <w:t xml:space="preserve">  </w:t>
                          </w:r>
                          <w:r>
                            <w:rPr>
                              <w:sz w:val="28"/>
                              <w:szCs w:val="32"/>
                            </w:rPr>
                            <w:fldChar w:fldCharType="begin"/>
                          </w:r>
                          <w:r>
                            <w:rPr>
                              <w:sz w:val="28"/>
                              <w:szCs w:val="32"/>
                            </w:rPr>
                            <w:instrText xml:space="preserve"> PAGE  \* MERGEFORMAT </w:instrText>
                          </w:r>
                          <w:r>
                            <w:rPr>
                              <w:sz w:val="28"/>
                              <w:szCs w:val="32"/>
                            </w:rPr>
                            <w:fldChar w:fldCharType="separate"/>
                          </w:r>
                          <w:r>
                            <w:rPr>
                              <w:sz w:val="28"/>
                              <w:szCs w:val="32"/>
                            </w:rPr>
                            <w:t>1</w:t>
                          </w:r>
                          <w:r>
                            <w:rPr>
                              <w:sz w:val="28"/>
                              <w:szCs w:val="32"/>
                            </w:rPr>
                            <w:fldChar w:fldCharType="end"/>
                          </w:r>
                          <w:r>
                            <w:rPr>
                              <w:rFonts w:hint="eastAsia"/>
                              <w:sz w:val="28"/>
                              <w:szCs w:val="32"/>
                              <w:lang w:val="en-US" w:eastAsia="zh-CN"/>
                            </w:rPr>
                            <w:t xml:space="preserve">  —  </w:t>
                          </w:r>
                        </w:p>
                      </w:txbxContent>
                    </wps:txbx>
                    <wps:bodyPr lIns="0" tIns="0" rIns="0" bIns="0" upright="false"/>
                  </wps:wsp>
                </a:graphicData>
              </a:graphic>
            </wp:anchor>
          </w:drawing>
        </mc:Choice>
        <mc:Fallback>
          <w:pict>
            <v:shape id="文本框 6" o:spid="_x0000_s1026" o:spt="202" type="#_x0000_t202" style="position:absolute;left:0pt;margin-top:-49.45pt;height:34.35pt;width:105pt;mso-position-horizontal:outside;mso-position-horizontal-relative:margin;z-index:251666432;mso-width-relative:page;mso-height-relative:page;" filled="f" stroked="f" coordsize="21600,21600" o:gfxdata="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wXHTZdcAAAAIAQAADwAAAAAAAAABACAAAAA4AAAAZHJzL2Rvd25yZXYueG1sUEsBAhQA&#10;FAAAAAgAh07iQDuC0X6kAQAALAMAAA4AAAAAAAAAAQAgAAAAPAEAAGRycy9lMm9Eb2MueG1sUEsF&#10;BgAAAAAGAAYAWQEAAFIFAAAAAA==&#10;">
              <v:fill on="f" focussize="0,0"/>
              <v:stroke on="f"/>
              <v:imagedata o:title=""/>
              <o:lock v:ext="edit" aspectratio="f"/>
              <v:textbox inset="0mm,0mm,0mm,0mm">
                <w:txbxContent>
                  <w:p>
                    <w:pPr>
                      <w:pStyle w:val="2"/>
                      <w:ind w:firstLine="280" w:firstLineChars="100"/>
                      <w:rPr>
                        <w:rFonts w:hint="default" w:eastAsia="宋体"/>
                        <w:sz w:val="28"/>
                        <w:szCs w:val="32"/>
                        <w:lang w:val="en-US" w:eastAsia="zh-CN"/>
                      </w:rPr>
                    </w:pPr>
                    <w:r>
                      <w:rPr>
                        <w:rFonts w:hint="eastAsia"/>
                        <w:sz w:val="28"/>
                        <w:szCs w:val="32"/>
                        <w:lang w:eastAsia="zh-CN"/>
                      </w:rPr>
                      <w:t>—</w:t>
                    </w:r>
                    <w:r>
                      <w:rPr>
                        <w:rFonts w:hint="eastAsia"/>
                        <w:sz w:val="28"/>
                        <w:szCs w:val="32"/>
                        <w:lang w:val="en-US" w:eastAsia="zh-CN"/>
                      </w:rPr>
                      <w:t xml:space="preserve">  </w:t>
                    </w:r>
                    <w:r>
                      <w:rPr>
                        <w:sz w:val="28"/>
                        <w:szCs w:val="32"/>
                      </w:rPr>
                      <w:fldChar w:fldCharType="begin"/>
                    </w:r>
                    <w:r>
                      <w:rPr>
                        <w:sz w:val="28"/>
                        <w:szCs w:val="32"/>
                      </w:rPr>
                      <w:instrText xml:space="preserve"> PAGE  \* MERGEFORMAT </w:instrText>
                    </w:r>
                    <w:r>
                      <w:rPr>
                        <w:sz w:val="28"/>
                        <w:szCs w:val="32"/>
                      </w:rPr>
                      <w:fldChar w:fldCharType="separate"/>
                    </w:r>
                    <w:r>
                      <w:rPr>
                        <w:sz w:val="28"/>
                        <w:szCs w:val="32"/>
                      </w:rPr>
                      <w:t>1</w:t>
                    </w:r>
                    <w:r>
                      <w:rPr>
                        <w:sz w:val="28"/>
                        <w:szCs w:val="32"/>
                      </w:rPr>
                      <w:fldChar w:fldCharType="end"/>
                    </w:r>
                    <w:r>
                      <w:rPr>
                        <w:rFonts w:hint="eastAsia"/>
                        <w:sz w:val="28"/>
                        <w:szCs w:val="32"/>
                        <w:lang w:val="en-US" w:eastAsia="zh-CN"/>
                      </w:rPr>
                      <w:t xml:space="preserve">  —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-628015</wp:posOffset>
              </wp:positionV>
              <wp:extent cx="1314450" cy="359410"/>
              <wp:effectExtent l="0" t="0" r="0" b="0"/>
              <wp:wrapNone/>
              <wp:docPr id="13" name="文本框 2"/>
              <wp:cNvGraphicFramePr/>
              <a:graphic xmlns:a="http://schemas.openxmlformats.org/drawingml/2006/main">
                <a:graphicData uri="http://schemas.microsoft.com/office/word/2010/wordprocessingShape">
                  <wps:wsp>
                    <wps:cNvSpPr txBox="true"/>
                    <wps:spPr>
                      <a:xfrm>
                        <a:off x="0" y="0"/>
                        <a:ext cx="1314450" cy="359410"/>
                      </a:xfrm>
                      <a:prstGeom prst="rect">
                        <a:avLst/>
                      </a:prstGeom>
                      <a:noFill/>
                      <a:ln>
                        <a:noFill/>
                      </a:ln>
                    </wps:spPr>
                    <wps:txbx>
                      <w:txbxContent>
                        <w:p>
                          <w:pPr>
                            <w:pStyle w:val="2"/>
                            <w:jc w:val="center"/>
                            <w:rPr>
                              <w:rFonts w:hint="default" w:eastAsia="宋体"/>
                              <w:sz w:val="28"/>
                              <w:szCs w:val="28"/>
                              <w:lang w:val="en-US" w:eastAsia="zh-CN"/>
                            </w:rPr>
                          </w:pPr>
                          <w:r>
                            <w:rPr>
                              <w:rFonts w:hint="eastAsia"/>
                              <w:sz w:val="28"/>
                              <w:szCs w:val="28"/>
                              <w:lang w:val="en-US" w:eastAsia="zh-CN"/>
                            </w:rPr>
                            <w:t xml:space="preserve">  —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w:t>
                          </w:r>
                          <w:r>
                            <w:rPr>
                              <w:sz w:val="28"/>
                              <w:szCs w:val="28"/>
                              <w:lang w:val="zh-CN"/>
                            </w:rPr>
                            <w:fldChar w:fldCharType="end"/>
                          </w:r>
                          <w:r>
                            <w:rPr>
                              <w:rFonts w:hint="eastAsia"/>
                              <w:sz w:val="28"/>
                              <w:szCs w:val="28"/>
                              <w:lang w:val="en-US" w:eastAsia="zh-CN"/>
                            </w:rPr>
                            <w:t xml:space="preserve">  —  </w:t>
                          </w:r>
                        </w:p>
                      </w:txbxContent>
                    </wps:txbx>
                    <wps:bodyPr wrap="square" lIns="0" tIns="0" rIns="0" bIns="0" upright="false">
                      <a:noAutofit/>
                    </wps:bodyPr>
                  </wps:wsp>
                </a:graphicData>
              </a:graphic>
            </wp:anchor>
          </w:drawing>
        </mc:Choice>
        <mc:Fallback>
          <w:pict>
            <v:shape id="文本框 2" o:spid="_x0000_s1026" o:spt="202" type="#_x0000_t202" style="position:absolute;left:0pt;margin-top:-49.45pt;height:28.3pt;width:103.5pt;mso-position-horizontal:outside;mso-position-horizontal-relative:margin;z-index:251659264;mso-width-relative:page;mso-height-relative:page;" filled="f" stroked="f" coordsize="21600,21600" o:gfxdata="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46x7f1wAAAAgBAAAPAAAAAAAAAAEAIAAAADgA&#10;AABkcnMvZG93bnJldi54bWxQSwECFAAUAAAACACHTuJAS06b1bsBAABUAwAADgAAAAAAAAABACAA&#10;AAA8AQAAZHJzL2Uyb0RvYy54bWxQSwUGAAAAAAYABgBZAQAAaQUAAAAA&#10;">
              <v:fill on="f" focussize="0,0"/>
              <v:stroke on="f"/>
              <v:imagedata o:title=""/>
              <o:lock v:ext="edit" aspectratio="f"/>
              <v:textbox inset="0mm,0mm,0mm,0mm">
                <w:txbxContent>
                  <w:p>
                    <w:pPr>
                      <w:pStyle w:val="2"/>
                      <w:jc w:val="center"/>
                      <w:rPr>
                        <w:rFonts w:hint="default" w:eastAsia="宋体"/>
                        <w:sz w:val="28"/>
                        <w:szCs w:val="28"/>
                        <w:lang w:val="en-US" w:eastAsia="zh-CN"/>
                      </w:rPr>
                    </w:pPr>
                    <w:r>
                      <w:rPr>
                        <w:rFonts w:hint="eastAsia"/>
                        <w:sz w:val="28"/>
                        <w:szCs w:val="28"/>
                        <w:lang w:val="en-US" w:eastAsia="zh-CN"/>
                      </w:rPr>
                      <w:t xml:space="preserve">  —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w:t>
                    </w:r>
                    <w:r>
                      <w:rPr>
                        <w:sz w:val="28"/>
                        <w:szCs w:val="28"/>
                        <w:lang w:val="zh-CN"/>
                      </w:rPr>
                      <w:fldChar w:fldCharType="end"/>
                    </w:r>
                    <w:r>
                      <w:rPr>
                        <w:rFonts w:hint="eastAsia"/>
                        <w:sz w:val="28"/>
                        <w:szCs w:val="28"/>
                        <w:lang w:val="en-US" w:eastAsia="zh-CN"/>
                      </w:rPr>
                      <w:t xml:space="preserve">  —  </w:t>
                    </w:r>
                  </w:p>
                </w:txbxContent>
              </v:textbox>
            </v:shape>
          </w:pict>
        </mc:Fallback>
      </mc:AlternateContent>
    </w:r>
  </w:p>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-628015</wp:posOffset>
              </wp:positionV>
              <wp:extent cx="1428750" cy="454660"/>
              <wp:effectExtent l="0" t="0" r="0" b="0"/>
              <wp:wrapNone/>
              <wp:docPr id="15" name="文本框 8"/>
              <wp:cNvGraphicFramePr/>
              <a:graphic xmlns:a="http://schemas.openxmlformats.org/drawingml/2006/main">
                <a:graphicData uri="http://schemas.microsoft.com/office/word/2010/wordprocessingShape">
                  <wps:wsp>
                    <wps:cNvSpPr txBox="true"/>
                    <wps:spPr>
                      <a:xfrm>
                        <a:off x="0" y="0"/>
                        <a:ext cx="1428750" cy="454660"/>
                      </a:xfrm>
                      <a:prstGeom prst="rect">
                        <a:avLst/>
                      </a:prstGeom>
                      <a:noFill/>
                      <a:ln>
                        <a:noFill/>
                      </a:ln>
                    </wps:spPr>
                    <wps:txbx>
                      <w:txbxContent>
                        <w:p>
                          <w:pPr>
                            <w:pStyle w:val="2"/>
                            <w:ind w:firstLine="280" w:firstLineChars="100"/>
                            <w:rPr>
                              <w:rFonts w:hint="default" w:eastAsia="宋体"/>
                              <w:sz w:val="28"/>
                              <w:szCs w:val="32"/>
                              <w:lang w:val="en-US" w:eastAsia="zh-CN"/>
                            </w:rPr>
                          </w:pPr>
                          <w:r>
                            <w:rPr>
                              <w:rFonts w:hint="eastAsia"/>
                              <w:sz w:val="28"/>
                              <w:szCs w:val="32"/>
                              <w:lang w:eastAsia="zh-CN"/>
                            </w:rPr>
                            <w:t>—</w:t>
                          </w:r>
                          <w:r>
                            <w:rPr>
                              <w:rFonts w:hint="eastAsia"/>
                              <w:sz w:val="28"/>
                              <w:szCs w:val="32"/>
                              <w:lang w:val="en-US" w:eastAsia="zh-CN"/>
                            </w:rPr>
                            <w:t xml:space="preserve">  </w:t>
                          </w:r>
                          <w:r>
                            <w:rPr>
                              <w:sz w:val="28"/>
                              <w:szCs w:val="32"/>
                            </w:rPr>
                            <w:fldChar w:fldCharType="begin"/>
                          </w:r>
                          <w:r>
                            <w:rPr>
                              <w:sz w:val="28"/>
                              <w:szCs w:val="32"/>
                            </w:rPr>
                            <w:instrText xml:space="preserve"> PAGE  \* MERGEFORMAT </w:instrText>
                          </w:r>
                          <w:r>
                            <w:rPr>
                              <w:sz w:val="28"/>
                              <w:szCs w:val="32"/>
                            </w:rPr>
                            <w:fldChar w:fldCharType="separate"/>
                          </w:r>
                          <w:r>
                            <w:rPr>
                              <w:sz w:val="28"/>
                              <w:szCs w:val="32"/>
                            </w:rPr>
                            <w:t>1</w:t>
                          </w:r>
                          <w:r>
                            <w:rPr>
                              <w:sz w:val="28"/>
                              <w:szCs w:val="32"/>
                            </w:rPr>
                            <w:fldChar w:fldCharType="end"/>
                          </w:r>
                          <w:r>
                            <w:rPr>
                              <w:rFonts w:hint="eastAsia"/>
                              <w:sz w:val="28"/>
                              <w:szCs w:val="32"/>
                              <w:lang w:val="en-US" w:eastAsia="zh-CN"/>
                            </w:rPr>
                            <w:t xml:space="preserve">  —  </w:t>
                          </w:r>
                        </w:p>
                      </w:txbxContent>
                    </wps:txbx>
                    <wps:bodyPr lIns="0" tIns="0" rIns="0" bIns="0" upright="false"/>
                  </wps:wsp>
                </a:graphicData>
              </a:graphic>
            </wp:anchor>
          </w:drawing>
        </mc:Choice>
        <mc:Fallback>
          <w:pict>
            <v:shape id="文本框 8" o:spid="_x0000_s1026" o:spt="202" type="#_x0000_t202" style="position:absolute;left:0pt;margin-top:-49.45pt;height:35.8pt;width:112.5pt;mso-position-horizontal:outside;mso-position-horizontal-relative:margin;z-index:251667456;mso-width-relative:page;mso-height-relative:page;" filled="f" stroked="f" coordsize="21600,21600" o:gfxdata="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HlKZ7zXAAAACAEAAA8AAAAAAAAAAQAgAAAAOAAAAGRycy9kb3ducmV2LnhtbFBLAQIU&#10;ABQAAAAIAIdO4kDms5I4pQEAACwDAAAOAAAAAAAAAAEAIAAAADwBAABkcnMvZTJvRG9jLnhtbFBL&#10;BQYAAAAABgAGAFkBAABTBQAAAAA=&#10;">
              <v:fill on="f" focussize="0,0"/>
              <v:stroke on="f"/>
              <v:imagedata o:title=""/>
              <o:lock v:ext="edit" aspectratio="f"/>
              <v:textbox inset="0mm,0mm,0mm,0mm">
                <w:txbxContent>
                  <w:p>
                    <w:pPr>
                      <w:pStyle w:val="2"/>
                      <w:ind w:firstLine="280" w:firstLineChars="100"/>
                      <w:rPr>
                        <w:rFonts w:hint="default" w:eastAsia="宋体"/>
                        <w:sz w:val="28"/>
                        <w:szCs w:val="32"/>
                        <w:lang w:val="en-US" w:eastAsia="zh-CN"/>
                      </w:rPr>
                    </w:pPr>
                    <w:r>
                      <w:rPr>
                        <w:rFonts w:hint="eastAsia"/>
                        <w:sz w:val="28"/>
                        <w:szCs w:val="32"/>
                        <w:lang w:eastAsia="zh-CN"/>
                      </w:rPr>
                      <w:t>—</w:t>
                    </w:r>
                    <w:r>
                      <w:rPr>
                        <w:rFonts w:hint="eastAsia"/>
                        <w:sz w:val="28"/>
                        <w:szCs w:val="32"/>
                        <w:lang w:val="en-US" w:eastAsia="zh-CN"/>
                      </w:rPr>
                      <w:t xml:space="preserve">  </w:t>
                    </w:r>
                    <w:r>
                      <w:rPr>
                        <w:sz w:val="28"/>
                        <w:szCs w:val="32"/>
                      </w:rPr>
                      <w:fldChar w:fldCharType="begin"/>
                    </w:r>
                    <w:r>
                      <w:rPr>
                        <w:sz w:val="28"/>
                        <w:szCs w:val="32"/>
                      </w:rPr>
                      <w:instrText xml:space="preserve"> PAGE  \* MERGEFORMAT </w:instrText>
                    </w:r>
                    <w:r>
                      <w:rPr>
                        <w:sz w:val="28"/>
                        <w:szCs w:val="32"/>
                      </w:rPr>
                      <w:fldChar w:fldCharType="separate"/>
                    </w:r>
                    <w:r>
                      <w:rPr>
                        <w:sz w:val="28"/>
                        <w:szCs w:val="32"/>
                      </w:rPr>
                      <w:t>1</w:t>
                    </w:r>
                    <w:r>
                      <w:rPr>
                        <w:sz w:val="28"/>
                        <w:szCs w:val="32"/>
                      </w:rPr>
                      <w:fldChar w:fldCharType="end"/>
                    </w:r>
                    <w:r>
                      <w:rPr>
                        <w:rFonts w:hint="eastAsia"/>
                        <w:sz w:val="28"/>
                        <w:szCs w:val="32"/>
                        <w:lang w:val="en-US" w:eastAsia="zh-CN"/>
                      </w:rPr>
                      <w:t xml:space="preserve">  —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E5F99"/>
    <w:multiLevelType w:val="singleLevel"/>
    <w:tmpl w:val="59AE5F9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1OGM3MzU2OWMzNmFlYTEyNzE5MjEwMmUxNGZlZD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31A4"/>
    <w:rsid w:val="00134A7A"/>
    <w:rsid w:val="00142216"/>
    <w:rsid w:val="00144D6A"/>
    <w:rsid w:val="0014729F"/>
    <w:rsid w:val="00157BAB"/>
    <w:rsid w:val="001654D1"/>
    <w:rsid w:val="0017440A"/>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5B0D"/>
    <w:rsid w:val="00260C38"/>
    <w:rsid w:val="002616C0"/>
    <w:rsid w:val="00265372"/>
    <w:rsid w:val="002662AA"/>
    <w:rsid w:val="00280496"/>
    <w:rsid w:val="00286A5C"/>
    <w:rsid w:val="00294DC9"/>
    <w:rsid w:val="00295495"/>
    <w:rsid w:val="002A31DE"/>
    <w:rsid w:val="002B2613"/>
    <w:rsid w:val="002B5496"/>
    <w:rsid w:val="002D6D05"/>
    <w:rsid w:val="002F1818"/>
    <w:rsid w:val="002F567B"/>
    <w:rsid w:val="003216A9"/>
    <w:rsid w:val="00335A74"/>
    <w:rsid w:val="0036561B"/>
    <w:rsid w:val="0037013F"/>
    <w:rsid w:val="00380C92"/>
    <w:rsid w:val="00386C11"/>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4605"/>
    <w:rsid w:val="004A711F"/>
    <w:rsid w:val="004B199D"/>
    <w:rsid w:val="004B4690"/>
    <w:rsid w:val="004E0A2D"/>
    <w:rsid w:val="004E206B"/>
    <w:rsid w:val="004E6DF7"/>
    <w:rsid w:val="004F0FBD"/>
    <w:rsid w:val="005040FC"/>
    <w:rsid w:val="00505A47"/>
    <w:rsid w:val="00512FDA"/>
    <w:rsid w:val="00520DA0"/>
    <w:rsid w:val="00547EFA"/>
    <w:rsid w:val="005664BB"/>
    <w:rsid w:val="00566FFA"/>
    <w:rsid w:val="0057481D"/>
    <w:rsid w:val="0058486E"/>
    <w:rsid w:val="00585B33"/>
    <w:rsid w:val="0059014D"/>
    <w:rsid w:val="00591783"/>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6822"/>
    <w:rsid w:val="0066343B"/>
    <w:rsid w:val="00664777"/>
    <w:rsid w:val="006748A4"/>
    <w:rsid w:val="00681A31"/>
    <w:rsid w:val="00683E73"/>
    <w:rsid w:val="006A3141"/>
    <w:rsid w:val="006A5E34"/>
    <w:rsid w:val="006B2422"/>
    <w:rsid w:val="006B2B9A"/>
    <w:rsid w:val="006C1937"/>
    <w:rsid w:val="006C3A99"/>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1CB"/>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32BC"/>
    <w:rsid w:val="0098660A"/>
    <w:rsid w:val="009931C3"/>
    <w:rsid w:val="009B2C43"/>
    <w:rsid w:val="009B4EAE"/>
    <w:rsid w:val="009B7573"/>
    <w:rsid w:val="009C22F4"/>
    <w:rsid w:val="009C2A4B"/>
    <w:rsid w:val="009C2E98"/>
    <w:rsid w:val="009D3447"/>
    <w:rsid w:val="009D4711"/>
    <w:rsid w:val="009E7E98"/>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3899"/>
    <w:rsid w:val="00A45BB7"/>
    <w:rsid w:val="00A56DF2"/>
    <w:rsid w:val="00A56E6E"/>
    <w:rsid w:val="00A67AB5"/>
    <w:rsid w:val="00A733B2"/>
    <w:rsid w:val="00A741C2"/>
    <w:rsid w:val="00A91760"/>
    <w:rsid w:val="00A93B00"/>
    <w:rsid w:val="00A93C21"/>
    <w:rsid w:val="00AA098F"/>
    <w:rsid w:val="00AA603B"/>
    <w:rsid w:val="00AB553B"/>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392"/>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47AD"/>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2C14"/>
    <w:rsid w:val="00F67BC8"/>
    <w:rsid w:val="00F754A1"/>
    <w:rsid w:val="00F81FD9"/>
    <w:rsid w:val="00F841AA"/>
    <w:rsid w:val="00F84A94"/>
    <w:rsid w:val="00F87E96"/>
    <w:rsid w:val="00FA23E8"/>
    <w:rsid w:val="00FD3CC1"/>
    <w:rsid w:val="00FF1E02"/>
    <w:rsid w:val="00FF30B4"/>
    <w:rsid w:val="01273821"/>
    <w:rsid w:val="01FA5CAA"/>
    <w:rsid w:val="020B16A6"/>
    <w:rsid w:val="066E0107"/>
    <w:rsid w:val="07996F6E"/>
    <w:rsid w:val="096126FB"/>
    <w:rsid w:val="09E23861"/>
    <w:rsid w:val="0A2032A3"/>
    <w:rsid w:val="0AAA4D88"/>
    <w:rsid w:val="0B4E3110"/>
    <w:rsid w:val="0E6211EA"/>
    <w:rsid w:val="0FAE687E"/>
    <w:rsid w:val="101860EC"/>
    <w:rsid w:val="10C055FF"/>
    <w:rsid w:val="10FA2503"/>
    <w:rsid w:val="118107EC"/>
    <w:rsid w:val="12557610"/>
    <w:rsid w:val="13D50BC4"/>
    <w:rsid w:val="15A27F91"/>
    <w:rsid w:val="163A33D3"/>
    <w:rsid w:val="16BB723D"/>
    <w:rsid w:val="17000BCA"/>
    <w:rsid w:val="1BE8440E"/>
    <w:rsid w:val="1D155CEE"/>
    <w:rsid w:val="20056855"/>
    <w:rsid w:val="22A243CB"/>
    <w:rsid w:val="23860B96"/>
    <w:rsid w:val="240371BF"/>
    <w:rsid w:val="24480A02"/>
    <w:rsid w:val="270B757C"/>
    <w:rsid w:val="288E6890"/>
    <w:rsid w:val="297C2C77"/>
    <w:rsid w:val="29FD04D3"/>
    <w:rsid w:val="2B935A45"/>
    <w:rsid w:val="2C8A61B5"/>
    <w:rsid w:val="2DF04E50"/>
    <w:rsid w:val="2FB13B8E"/>
    <w:rsid w:val="301F08BB"/>
    <w:rsid w:val="319F7F4E"/>
    <w:rsid w:val="359F7AA1"/>
    <w:rsid w:val="36AA5135"/>
    <w:rsid w:val="36E87A88"/>
    <w:rsid w:val="37E16F03"/>
    <w:rsid w:val="3D98207C"/>
    <w:rsid w:val="424306E6"/>
    <w:rsid w:val="44E268DA"/>
    <w:rsid w:val="489A4867"/>
    <w:rsid w:val="4916491B"/>
    <w:rsid w:val="4A627F82"/>
    <w:rsid w:val="4B4F25DA"/>
    <w:rsid w:val="4BE068DB"/>
    <w:rsid w:val="4D577224"/>
    <w:rsid w:val="4EAB630A"/>
    <w:rsid w:val="4ECE2238"/>
    <w:rsid w:val="4F007400"/>
    <w:rsid w:val="4F05022D"/>
    <w:rsid w:val="528E6F9D"/>
    <w:rsid w:val="54E773D6"/>
    <w:rsid w:val="56E520BA"/>
    <w:rsid w:val="57B90D4E"/>
    <w:rsid w:val="5A151B39"/>
    <w:rsid w:val="5AF92295"/>
    <w:rsid w:val="5C433280"/>
    <w:rsid w:val="5CD71FC4"/>
    <w:rsid w:val="5F2345A8"/>
    <w:rsid w:val="60E53356"/>
    <w:rsid w:val="635B749B"/>
    <w:rsid w:val="65D576BE"/>
    <w:rsid w:val="65FD3158"/>
    <w:rsid w:val="66376316"/>
    <w:rsid w:val="6C4A05C8"/>
    <w:rsid w:val="6E7E3605"/>
    <w:rsid w:val="6F8D0578"/>
    <w:rsid w:val="6FF5CC65"/>
    <w:rsid w:val="6FFFC7E0"/>
    <w:rsid w:val="715C0E4B"/>
    <w:rsid w:val="71E826BD"/>
    <w:rsid w:val="72734D90"/>
    <w:rsid w:val="73AD73D5"/>
    <w:rsid w:val="73B6EB34"/>
    <w:rsid w:val="74A7082A"/>
    <w:rsid w:val="77F12541"/>
    <w:rsid w:val="79EE5BA4"/>
    <w:rsid w:val="7A894339"/>
    <w:rsid w:val="7DDA0D46"/>
    <w:rsid w:val="7EEF11D3"/>
    <w:rsid w:val="7FA30C79"/>
    <w:rsid w:val="7FC96657"/>
    <w:rsid w:val="D8D6DB89"/>
    <w:rsid w:val="DB6F4CAB"/>
    <w:rsid w:val="DF6F9789"/>
    <w:rsid w:val="FBA2094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0" w:semiHidden="0"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18"/>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qFormat/>
    <w:uiPriority w:val="99"/>
    <w:pPr>
      <w:tabs>
        <w:tab w:val="center" w:pos="4153"/>
        <w:tab w:val="right" w:pos="8306"/>
      </w:tabs>
      <w:snapToGrid w:val="0"/>
      <w:jc w:val="left"/>
    </w:pPr>
    <w:rPr>
      <w:kern w:val="0"/>
      <w:sz w:val="18"/>
      <w:szCs w:val="20"/>
    </w:rPr>
  </w:style>
  <w:style w:type="paragraph" w:styleId="6">
    <w:name w:val="Salutation"/>
    <w:basedOn w:val="1"/>
    <w:next w:val="1"/>
    <w:qFormat/>
    <w:locked/>
    <w:uiPriority w:val="0"/>
    <w:rPr>
      <w:rFonts w:ascii="Times New Roman" w:hAnsi="Times New Roman" w:eastAsia="宋体" w:cs="Times New Roman"/>
    </w:rPr>
  </w:style>
  <w:style w:type="paragraph" w:styleId="7">
    <w:name w:val="Body Text"/>
    <w:basedOn w:val="1"/>
    <w:next w:val="1"/>
    <w:link w:val="26"/>
    <w:qFormat/>
    <w:uiPriority w:val="99"/>
    <w:pPr>
      <w:spacing w:beforeLines="30"/>
    </w:pPr>
    <w:rPr>
      <w:rFonts w:ascii="仿宋_GB2312" w:eastAsia="仿宋_GB2312"/>
      <w:kern w:val="0"/>
      <w:sz w:val="24"/>
      <w:szCs w:val="20"/>
    </w:rPr>
  </w:style>
  <w:style w:type="paragraph" w:styleId="8">
    <w:name w:val="toc 3"/>
    <w:basedOn w:val="1"/>
    <w:next w:val="1"/>
    <w:qFormat/>
    <w:uiPriority w:val="99"/>
    <w:pPr>
      <w:tabs>
        <w:tab w:val="right" w:leader="dot" w:pos="8296"/>
      </w:tabs>
      <w:ind w:left="840" w:leftChars="400"/>
    </w:pPr>
  </w:style>
  <w:style w:type="paragraph" w:styleId="9">
    <w:name w:val="Balloon Text"/>
    <w:basedOn w:val="1"/>
    <w:link w:val="22"/>
    <w:semiHidden/>
    <w:qFormat/>
    <w:uiPriority w:val="99"/>
    <w:rPr>
      <w:sz w:val="18"/>
      <w:szCs w:val="18"/>
    </w:rPr>
  </w:style>
  <w:style w:type="paragraph" w:styleId="10">
    <w:name w:val="header"/>
    <w:basedOn w:val="1"/>
    <w:link w:val="24"/>
    <w:semiHidden/>
    <w:qFormat/>
    <w:uiPriority w:val="99"/>
    <w:pPr>
      <w:pBdr>
        <w:bottom w:val="single" w:color="auto" w:sz="6" w:space="1"/>
      </w:pBdr>
      <w:tabs>
        <w:tab w:val="center" w:pos="4153"/>
        <w:tab w:val="right" w:pos="8306"/>
      </w:tabs>
      <w:snapToGrid w:val="0"/>
      <w:jc w:val="center"/>
    </w:pPr>
    <w:rPr>
      <w:kern w:val="0"/>
      <w:sz w:val="18"/>
      <w:szCs w:val="20"/>
    </w:rPr>
  </w:style>
  <w:style w:type="paragraph" w:styleId="11">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2">
    <w:name w:val="toc 2"/>
    <w:basedOn w:val="1"/>
    <w:next w:val="1"/>
    <w:qFormat/>
    <w:uiPriority w:val="99"/>
    <w:pPr>
      <w:tabs>
        <w:tab w:val="right" w:leader="dot" w:pos="8296"/>
      </w:tabs>
      <w:ind w:left="420" w:leftChars="200"/>
    </w:pPr>
  </w:style>
  <w:style w:type="character" w:styleId="15">
    <w:name w:val="Strong"/>
    <w:basedOn w:val="14"/>
    <w:qFormat/>
    <w:uiPriority w:val="99"/>
    <w:rPr>
      <w:rFonts w:cs="Times New Roman"/>
      <w:b/>
    </w:rPr>
  </w:style>
  <w:style w:type="character" w:styleId="16">
    <w:name w:val="Hyperlink"/>
    <w:basedOn w:val="14"/>
    <w:qFormat/>
    <w:uiPriority w:val="99"/>
    <w:rPr>
      <w:rFonts w:cs="Times New Roman"/>
      <w:color w:val="0000FF"/>
      <w:u w:val="single"/>
    </w:rPr>
  </w:style>
  <w:style w:type="character" w:customStyle="1" w:styleId="17">
    <w:name w:val="标题 1 Char"/>
    <w:basedOn w:val="14"/>
    <w:link w:val="3"/>
    <w:qFormat/>
    <w:locked/>
    <w:uiPriority w:val="99"/>
    <w:rPr>
      <w:rFonts w:ascii="Times New Roman" w:hAnsi="Times New Roman" w:cs="Times New Roman"/>
      <w:b/>
      <w:bCs/>
      <w:kern w:val="44"/>
      <w:sz w:val="44"/>
      <w:szCs w:val="44"/>
    </w:rPr>
  </w:style>
  <w:style w:type="character" w:customStyle="1" w:styleId="18">
    <w:name w:val="标题 2 Char"/>
    <w:basedOn w:val="14"/>
    <w:link w:val="4"/>
    <w:qFormat/>
    <w:locked/>
    <w:uiPriority w:val="99"/>
    <w:rPr>
      <w:rFonts w:ascii="Cambria" w:hAnsi="Cambria" w:eastAsia="宋体" w:cs="Times New Roman"/>
      <w:b/>
      <w:bCs/>
      <w:kern w:val="2"/>
      <w:sz w:val="32"/>
      <w:szCs w:val="32"/>
    </w:rPr>
  </w:style>
  <w:style w:type="character" w:customStyle="1" w:styleId="19">
    <w:name w:val="标题 3 Char"/>
    <w:basedOn w:val="14"/>
    <w:link w:val="5"/>
    <w:qFormat/>
    <w:locked/>
    <w:uiPriority w:val="99"/>
    <w:rPr>
      <w:rFonts w:ascii="Times New Roman" w:hAnsi="Times New Roman" w:cs="Times New Roman"/>
      <w:b/>
      <w:bCs/>
      <w:kern w:val="2"/>
      <w:sz w:val="32"/>
      <w:szCs w:val="32"/>
    </w:rPr>
  </w:style>
  <w:style w:type="character" w:customStyle="1" w:styleId="20">
    <w:name w:val="Footer Char"/>
    <w:basedOn w:val="14"/>
    <w:semiHidden/>
    <w:qFormat/>
    <w:locked/>
    <w:uiPriority w:val="99"/>
    <w:rPr>
      <w:rFonts w:ascii="Times New Roman" w:hAnsi="Times New Roman" w:cs="Times New Roman"/>
      <w:sz w:val="18"/>
      <w:szCs w:val="18"/>
    </w:rPr>
  </w:style>
  <w:style w:type="character" w:customStyle="1" w:styleId="21">
    <w:name w:val="Body Text Char"/>
    <w:basedOn w:val="14"/>
    <w:semiHidden/>
    <w:qFormat/>
    <w:locked/>
    <w:uiPriority w:val="99"/>
    <w:rPr>
      <w:rFonts w:ascii="Times New Roman" w:hAnsi="Times New Roman" w:cs="Times New Roman"/>
      <w:sz w:val="24"/>
      <w:szCs w:val="24"/>
    </w:rPr>
  </w:style>
  <w:style w:type="character" w:customStyle="1" w:styleId="22">
    <w:name w:val="批注框文本 Char"/>
    <w:basedOn w:val="14"/>
    <w:link w:val="9"/>
    <w:semiHidden/>
    <w:qFormat/>
    <w:locked/>
    <w:uiPriority w:val="99"/>
    <w:rPr>
      <w:rFonts w:ascii="Times New Roman" w:hAnsi="Times New Roman" w:cs="Times New Roman"/>
      <w:kern w:val="2"/>
      <w:sz w:val="18"/>
      <w:szCs w:val="18"/>
    </w:rPr>
  </w:style>
  <w:style w:type="character" w:customStyle="1" w:styleId="23">
    <w:name w:val="Header Char"/>
    <w:basedOn w:val="14"/>
    <w:semiHidden/>
    <w:qFormat/>
    <w:locked/>
    <w:uiPriority w:val="99"/>
    <w:rPr>
      <w:rFonts w:ascii="Times New Roman" w:hAnsi="Times New Roman" w:cs="Times New Roman"/>
      <w:sz w:val="18"/>
      <w:szCs w:val="18"/>
    </w:rPr>
  </w:style>
  <w:style w:type="character" w:customStyle="1" w:styleId="24">
    <w:name w:val="页眉 Char"/>
    <w:link w:val="10"/>
    <w:semiHidden/>
    <w:qFormat/>
    <w:locked/>
    <w:uiPriority w:val="99"/>
    <w:rPr>
      <w:sz w:val="18"/>
    </w:rPr>
  </w:style>
  <w:style w:type="character" w:customStyle="1" w:styleId="25">
    <w:name w:val="页脚 Char"/>
    <w:link w:val="2"/>
    <w:qFormat/>
    <w:locked/>
    <w:uiPriority w:val="99"/>
    <w:rPr>
      <w:sz w:val="18"/>
    </w:rPr>
  </w:style>
  <w:style w:type="character" w:customStyle="1" w:styleId="26">
    <w:name w:val="正文文本 Char"/>
    <w:link w:val="7"/>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99"/>
    <w:pPr>
      <w:ind w:firstLine="420" w:firstLineChars="200"/>
    </w:pPr>
  </w:style>
  <w:style w:type="paragraph" w:customStyle="1" w:styleId="29">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0">
    <w:name w:val="TOC Heading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1">
    <w:name w:val="正文 首行缩进:  2 字符"/>
    <w:basedOn w:val="1"/>
    <w:qFormat/>
    <w:uiPriority w:val="99"/>
    <w:pPr>
      <w:ind w:firstLine="579" w:firstLineChars="200"/>
    </w:pPr>
    <w:rPr>
      <w:sz w:val="28"/>
      <w:szCs w:val="20"/>
    </w:rPr>
  </w:style>
  <w:style w:type="paragraph" w:customStyle="1" w:styleId="32">
    <w:name w:val="BodyText"/>
    <w:basedOn w:val="1"/>
    <w:qFormat/>
    <w:uiPriority w:val="0"/>
    <w:pPr>
      <w:spacing w:after="120"/>
    </w:pPr>
  </w:style>
  <w:style w:type="paragraph" w:customStyle="1" w:styleId="33">
    <w:name w:val="TableOfAuthoring"/>
    <w:basedOn w:val="1"/>
    <w:next w:val="1"/>
    <w:qFormat/>
    <w:uiPriority w:val="0"/>
    <w:pPr>
      <w:ind w:left="200" w:leftChars="200"/>
      <w:textAlignment w:val="baseline"/>
    </w:pPr>
    <w:rPr>
      <w:rFonts w:ascii="Times New Roman" w:hAnsi="Times New Roman"/>
    </w:rPr>
  </w:style>
  <w:style w:type="paragraph" w:customStyle="1" w:styleId="34">
    <w:name w:val="图表目录1"/>
    <w:basedOn w:val="1"/>
    <w:next w:val="1"/>
    <w:qFormat/>
    <w:uiPriority w:val="99"/>
    <w:pPr>
      <w:ind w:left="200" w:leftChars="200" w:hanging="200" w:hanging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image" Target="media/image2.png"/><Relationship Id="rId14" Type="http://schemas.openxmlformats.org/officeDocument/2006/relationships/oleObject" Target="embeddings/oleObject2.bin"/><Relationship Id="rId13" Type="http://schemas.openxmlformats.org/officeDocument/2006/relationships/image" Target="media/image1.png"/><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false"/>
      <c:spPr>
        <a:noFill/>
        <a:ln>
          <a:noFill/>
        </a:ln>
        <a:effectLst/>
      </c:spPr>
    </c:title>
    <c:autoTitleDeleted val="false"/>
    <c:plotArea>
      <c:layout/>
      <c:barChart>
        <c:barDir val="col"/>
        <c:grouping val="clustered"/>
        <c:varyColors val="false"/>
        <c:ser>
          <c:idx val="0"/>
          <c:order val="0"/>
          <c:tx>
            <c:strRef>
              <c:f>Sheet1!#REF!</c:f>
              <c:strCache>
                <c:ptCount val="1"/>
                <c:pt idx="0">
                  <c:v/>
                </c:pt>
              </c:strCache>
            </c:strRef>
          </c:tx>
          <c:spPr>
            <a:solidFill>
              <a:schemeClr val="accent1"/>
            </a:solidFill>
            <a:ln>
              <a:noFill/>
            </a:ln>
            <a:effectLst/>
          </c:spPr>
          <c:invertIfNegative val="false"/>
          <c:dLbls>
            <c:delete val="true"/>
          </c:dLbls>
          <c:cat>
            <c:strRef>
              <c:f>Sheet1!$A$2:$A$3</c:f>
              <c:strCache>
                <c:ptCount val="2"/>
                <c:pt idx="0">
                  <c:v>2020年</c:v>
                </c:pt>
                <c:pt idx="1">
                  <c:v>2021年</c:v>
                </c:pt>
              </c:strCache>
            </c:strRef>
          </c:cat>
          <c:val>
            <c:numRef>
              <c:f>Sheet1!#REF!</c:f>
              <c:numCache>
                <c:formatCode>General</c:formatCode>
                <c:ptCount val="1"/>
                <c:pt idx="0">
                  <c:v>1</c:v>
                </c:pt>
              </c:numCache>
            </c:numRef>
          </c:val>
        </c:ser>
        <c:ser>
          <c:idx val="1"/>
          <c:order val="1"/>
          <c:tx>
            <c:strRef>
              <c:f>Sheet1!$B$1</c:f>
              <c:strCache>
                <c:ptCount val="1"/>
                <c:pt idx="0">
                  <c:v>系列 2</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4781.18</c:v>
                </c:pt>
                <c:pt idx="1">
                  <c:v>5709.87</c:v>
                </c:pt>
              </c:numCache>
            </c:numRef>
          </c:val>
        </c:ser>
        <c:ser>
          <c:idx val="2"/>
          <c:order val="2"/>
          <c:tx>
            <c:strRef>
              <c:f>Sheet1!#REF!</c:f>
              <c:strCache>
                <c:ptCount val="1"/>
                <c:pt idx="0">
                  <c:v/>
                </c:pt>
              </c:strCache>
            </c:strRef>
          </c:tx>
          <c:spPr>
            <a:solidFill>
              <a:schemeClr val="accent3"/>
            </a:solidFill>
            <a:ln>
              <a:noFill/>
            </a:ln>
            <a:effectLst/>
          </c:spPr>
          <c:invertIfNegative val="false"/>
          <c:dLbls>
            <c:delete val="true"/>
          </c:dLbls>
          <c:cat>
            <c:strRef>
              <c:f>Sheet1!$A$2:$A$3</c:f>
              <c:strCache>
                <c:ptCount val="2"/>
                <c:pt idx="0">
                  <c:v>2020年</c:v>
                </c:pt>
                <c:pt idx="1">
                  <c:v>2021年</c:v>
                </c:pt>
              </c:strCache>
            </c:strRef>
          </c:cat>
          <c:val>
            <c:numRef>
              <c:f>Sheet1!#REF!</c:f>
              <c:numCache>
                <c:formatCode>General</c:formatCode>
                <c:ptCount val="1"/>
                <c:pt idx="0">
                  <c:v>1</c:v>
                </c:pt>
              </c:numCache>
            </c:numRef>
          </c:val>
        </c:ser>
        <c:dLbls>
          <c:showLegendKey val="false"/>
          <c:showVal val="false"/>
          <c:showCatName val="false"/>
          <c:showSerName val="false"/>
          <c:showPercent val="false"/>
          <c:showBubbleSize val="false"/>
        </c:dLbls>
        <c:gapWidth val="219"/>
        <c:overlap val="-27"/>
        <c:axId val="814046771"/>
        <c:axId val="654146093"/>
      </c:barChart>
      <c:catAx>
        <c:axId val="814046771"/>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54146093"/>
        <c:crosses val="autoZero"/>
        <c:auto val="true"/>
        <c:lblAlgn val="ctr"/>
        <c:lblOffset val="100"/>
        <c:noMultiLvlLbl val="false"/>
      </c:catAx>
      <c:valAx>
        <c:axId val="654146093"/>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14046771"/>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财政拨款收、支决算总计变动情况图</a:t>
            </a:r>
          </a:p>
        </c:rich>
      </c:tx>
      <c:layout/>
      <c:overlay val="false"/>
      <c:spPr>
        <a:noFill/>
        <a:ln>
          <a:noFill/>
        </a:ln>
        <a:effectLst/>
      </c:spPr>
    </c:title>
    <c:autoTitleDeleted val="false"/>
    <c:plotArea>
      <c:layout/>
      <c:barChart>
        <c:barDir val="col"/>
        <c:grouping val="clustered"/>
        <c:varyColors val="false"/>
        <c:ser>
          <c:idx val="0"/>
          <c:order val="0"/>
          <c:tx>
            <c:strRef>
              <c:f>Sheet1!#REF!</c:f>
              <c:strCache>
                <c:ptCount val="1"/>
                <c:pt idx="0">
                  <c:v/>
                </c:pt>
              </c:strCache>
            </c:strRef>
          </c:tx>
          <c:spPr>
            <a:solidFill>
              <a:schemeClr val="accent1"/>
            </a:solidFill>
            <a:ln>
              <a:noFill/>
            </a:ln>
            <a:effectLst/>
          </c:spPr>
          <c:invertIfNegative val="false"/>
          <c:dLbls>
            <c:delete val="true"/>
          </c:dLbls>
          <c:cat>
            <c:strRef>
              <c:f>Sheet1!$A$2:$A$3</c:f>
              <c:strCache>
                <c:ptCount val="2"/>
                <c:pt idx="0">
                  <c:v>2020年</c:v>
                </c:pt>
                <c:pt idx="1">
                  <c:v>2021年</c:v>
                </c:pt>
              </c:strCache>
            </c:strRef>
          </c:cat>
          <c:val>
            <c:numRef>
              <c:f>Sheet1!#REF!</c:f>
              <c:numCache>
                <c:formatCode>General</c:formatCode>
                <c:ptCount val="1"/>
                <c:pt idx="0">
                  <c:v>1</c:v>
                </c:pt>
              </c:numCache>
            </c:numRef>
          </c:val>
        </c:ser>
        <c:ser>
          <c:idx val="1"/>
          <c:order val="1"/>
          <c:tx>
            <c:strRef>
              <c:f>Sheet1!$B$1</c:f>
              <c:strCache>
                <c:ptCount val="1"/>
                <c:pt idx="0">
                  <c:v>系列 2</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4709.36</c:v>
                </c:pt>
                <c:pt idx="1">
                  <c:v>5690.07</c:v>
                </c:pt>
              </c:numCache>
            </c:numRef>
          </c:val>
        </c:ser>
        <c:ser>
          <c:idx val="2"/>
          <c:order val="2"/>
          <c:tx>
            <c:strRef>
              <c:f>Sheet1!#REF!</c:f>
              <c:strCache>
                <c:ptCount val="1"/>
                <c:pt idx="0">
                  <c:v/>
                </c:pt>
              </c:strCache>
            </c:strRef>
          </c:tx>
          <c:spPr>
            <a:solidFill>
              <a:schemeClr val="accent3"/>
            </a:solidFill>
            <a:ln>
              <a:noFill/>
            </a:ln>
            <a:effectLst/>
          </c:spPr>
          <c:invertIfNegative val="false"/>
          <c:dLbls>
            <c:delete val="true"/>
          </c:dLbls>
          <c:cat>
            <c:strRef>
              <c:f>Sheet1!$A$2:$A$3</c:f>
              <c:strCache>
                <c:ptCount val="2"/>
                <c:pt idx="0">
                  <c:v>2020年</c:v>
                </c:pt>
                <c:pt idx="1">
                  <c:v>2021年</c:v>
                </c:pt>
              </c:strCache>
            </c:strRef>
          </c:cat>
          <c:val>
            <c:numRef>
              <c:f>Sheet1!#REF!</c:f>
              <c:numCache>
                <c:formatCode>General</c:formatCode>
                <c:ptCount val="1"/>
                <c:pt idx="0">
                  <c:v>1</c:v>
                </c:pt>
              </c:numCache>
            </c:numRef>
          </c:val>
        </c:ser>
        <c:dLbls>
          <c:showLegendKey val="false"/>
          <c:showVal val="false"/>
          <c:showCatName val="false"/>
          <c:showSerName val="false"/>
          <c:showPercent val="false"/>
          <c:showBubbleSize val="false"/>
        </c:dLbls>
        <c:gapWidth val="219"/>
        <c:overlap val="-27"/>
        <c:axId val="662513541"/>
        <c:axId val="304110049"/>
      </c:barChart>
      <c:catAx>
        <c:axId val="662513541"/>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04110049"/>
        <c:crosses val="autoZero"/>
        <c:auto val="true"/>
        <c:lblAlgn val="ctr"/>
        <c:lblOffset val="100"/>
        <c:noMultiLvlLbl val="false"/>
      </c:catAx>
      <c:valAx>
        <c:axId val="304110049"/>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62513541"/>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一般公共预算财政拨款支出变动情况图</a:t>
            </a:r>
          </a:p>
        </c:rich>
      </c:tx>
      <c:layout/>
      <c:overlay val="false"/>
      <c:spPr>
        <a:noFill/>
        <a:ln>
          <a:noFill/>
        </a:ln>
        <a:effectLst/>
      </c:spPr>
    </c:title>
    <c:autoTitleDeleted val="false"/>
    <c:plotArea>
      <c:layout/>
      <c:barChart>
        <c:barDir val="col"/>
        <c:grouping val="clustered"/>
        <c:varyColors val="false"/>
        <c:ser>
          <c:idx val="0"/>
          <c:order val="0"/>
          <c:tx>
            <c:strRef>
              <c:f>Sheet1!#REF!</c:f>
              <c:strCache>
                <c:ptCount val="1"/>
                <c:pt idx="0">
                  <c:v/>
                </c:pt>
              </c:strCache>
            </c:strRef>
          </c:tx>
          <c:spPr>
            <a:solidFill>
              <a:schemeClr val="accent1"/>
            </a:solidFill>
            <a:ln>
              <a:noFill/>
            </a:ln>
            <a:effectLst/>
          </c:spPr>
          <c:invertIfNegative val="false"/>
          <c:dLbls>
            <c:delete val="true"/>
          </c:dLbls>
          <c:cat>
            <c:strRef>
              <c:f>Sheet1!$A$2:$A$3</c:f>
              <c:strCache>
                <c:ptCount val="2"/>
                <c:pt idx="0">
                  <c:v>2020年</c:v>
                </c:pt>
                <c:pt idx="1">
                  <c:v>2021年</c:v>
                </c:pt>
              </c:strCache>
            </c:strRef>
          </c:cat>
          <c:val>
            <c:numRef>
              <c:f>Sheet1!#REF!</c:f>
              <c:numCache>
                <c:formatCode>General</c:formatCode>
                <c:ptCount val="1"/>
                <c:pt idx="0">
                  <c:v>1</c:v>
                </c:pt>
              </c:numCache>
            </c:numRef>
          </c:val>
        </c:ser>
        <c:ser>
          <c:idx val="1"/>
          <c:order val="1"/>
          <c:tx>
            <c:strRef>
              <c:f>Sheet1!$B$1</c:f>
              <c:strCache>
                <c:ptCount val="1"/>
                <c:pt idx="0">
                  <c:v>系列 2</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3922.12</c:v>
                </c:pt>
                <c:pt idx="1">
                  <c:v>3781.23</c:v>
                </c:pt>
              </c:numCache>
            </c:numRef>
          </c:val>
        </c:ser>
        <c:ser>
          <c:idx val="2"/>
          <c:order val="2"/>
          <c:tx>
            <c:strRef>
              <c:f>Sheet1!#REF!</c:f>
              <c:strCache>
                <c:ptCount val="1"/>
                <c:pt idx="0">
                  <c:v/>
                </c:pt>
              </c:strCache>
            </c:strRef>
          </c:tx>
          <c:spPr>
            <a:solidFill>
              <a:schemeClr val="accent3"/>
            </a:solidFill>
            <a:ln>
              <a:noFill/>
            </a:ln>
            <a:effectLst/>
          </c:spPr>
          <c:invertIfNegative val="false"/>
          <c:dLbls>
            <c:delete val="true"/>
          </c:dLbls>
          <c:cat>
            <c:strRef>
              <c:f>Sheet1!$A$2:$A$3</c:f>
              <c:strCache>
                <c:ptCount val="2"/>
                <c:pt idx="0">
                  <c:v>2020年</c:v>
                </c:pt>
                <c:pt idx="1">
                  <c:v>2021年</c:v>
                </c:pt>
              </c:strCache>
            </c:strRef>
          </c:cat>
          <c:val>
            <c:numRef>
              <c:f>Sheet1!#REF!</c:f>
              <c:numCache>
                <c:formatCode>General</c:formatCode>
                <c:ptCount val="1"/>
                <c:pt idx="0">
                  <c:v>1</c:v>
                </c:pt>
              </c:numCache>
            </c:numRef>
          </c:val>
        </c:ser>
        <c:dLbls>
          <c:showLegendKey val="false"/>
          <c:showVal val="false"/>
          <c:showCatName val="false"/>
          <c:showSerName val="false"/>
          <c:showPercent val="false"/>
          <c:showBubbleSize val="false"/>
        </c:dLbls>
        <c:gapWidth val="219"/>
        <c:overlap val="-27"/>
        <c:axId val="114206895"/>
        <c:axId val="277295654"/>
      </c:barChart>
      <c:catAx>
        <c:axId val="114206895"/>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77295654"/>
        <c:crosses val="autoZero"/>
        <c:auto val="true"/>
        <c:lblAlgn val="ctr"/>
        <c:lblOffset val="100"/>
        <c:noMultiLvlLbl val="false"/>
      </c:catAx>
      <c:valAx>
        <c:axId val="277295654"/>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14206895"/>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一般公共预算财政拨款支出决算结构</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Lbls>
            <c:dLbl>
              <c:idx val="0"/>
              <c:layout>
                <c:manualLayout>
                  <c:x val="-0.0849362428426348"/>
                  <c:y val="-0.029453184567249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0149253359691278"/>
                  <c:y val="-0.041959286498310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318711218263307"/>
                  <c:y val="-0.020058813809641"/>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755082207581041"/>
                  <c:y val="0.021174535510323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0589676636179319"/>
                  <c:y val="-0.19298770780357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Sheet1!$A$2:$A$6</c:f>
              <c:strCache>
                <c:ptCount val="5"/>
                <c:pt idx="0">
                  <c:v>社会保障和就业支出</c:v>
                </c:pt>
                <c:pt idx="1">
                  <c:v>卫生健康支出</c:v>
                </c:pt>
                <c:pt idx="2">
                  <c:v>住房保障支出</c:v>
                </c:pt>
                <c:pt idx="3">
                  <c:v>节能环保支出</c:v>
                </c:pt>
                <c:pt idx="4">
                  <c:v>城乡社区支出</c:v>
                </c:pt>
              </c:strCache>
            </c:strRef>
          </c:cat>
          <c:val>
            <c:numRef>
              <c:f>Sheet1!$B$2:$B$6</c:f>
              <c:numCache>
                <c:formatCode>General</c:formatCode>
                <c:ptCount val="5"/>
                <c:pt idx="0">
                  <c:v>193.1</c:v>
                </c:pt>
                <c:pt idx="1">
                  <c:v>81.84</c:v>
                </c:pt>
                <c:pt idx="2">
                  <c:v>202.21</c:v>
                </c:pt>
                <c:pt idx="3">
                  <c:v>79.59</c:v>
                </c:pt>
                <c:pt idx="4">
                  <c:v>3224.49</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2021年“三公”经费财政拨款支出结构</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manualLayout>
                  <c:x val="-0.0345014297273991"/>
                  <c:y val="-0.282692093920048"/>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公务用车购置及运行维护费支出</c:v>
                </c:pt>
                <c:pt idx="1">
                  <c:v>公务接待费支出</c:v>
                </c:pt>
              </c:strCache>
            </c:strRef>
          </c:cat>
          <c:val>
            <c:numRef>
              <c:f>Sheet1!$B$2:$B$3</c:f>
              <c:numCache>
                <c:formatCode>General</c:formatCode>
                <c:ptCount val="2"/>
                <c:pt idx="0">
                  <c:v>13.02</c:v>
                </c:pt>
                <c:pt idx="1">
                  <c:v>1.4</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53</Pages>
  <Words>19872</Words>
  <Characters>21822</Characters>
  <Lines>11</Lines>
  <Paragraphs>21</Paragraphs>
  <TotalTime>3</TotalTime>
  <ScaleCrop>false</ScaleCrop>
  <LinksUpToDate>false</LinksUpToDate>
  <CharactersWithSpaces>21960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2022-09-21T02:43:00Z</dcterms:created>
  <dc:creator>曹颖</dc:creator>
  <cp:lastModifiedBy> </cp:lastModifiedBy>
  <cp:lastPrinted>2022-09-26T19:16:00Z</cp:lastPrinted>
  <dcterms:modified xsi:type="dcterms:W3CDTF">2023-09-12T18:11:07Z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A9643F7F58204768BFB329C3AEA31AD1_13</vt:lpwstr>
  </property>
</Properties>
</file>