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r>
        <w:rPr>
          <w:rFonts w:hint="eastAsia" w:ascii="方正小标宋简体" w:hAnsi="宋体" w:eastAsia="方正小标宋简体"/>
          <w:sz w:val="72"/>
          <w:szCs w:val="72"/>
        </w:rPr>
        <w:tab/>
      </w: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425"/>
      <w:bookmarkStart w:id="2" w:name="_Toc15396475"/>
      <w:bookmarkStart w:id="3" w:name="_Toc15377193"/>
      <w:bookmarkStart w:id="4" w:name="_Toc15396597"/>
      <w:bookmarkStart w:id="5" w:name="_Toc15378441"/>
      <w:r>
        <w:rPr>
          <w:rFonts w:hint="eastAsia" w:ascii="方正小标宋简体" w:hAnsi="方正小标宋简体" w:eastAsia="方正小标宋简体" w:cs="方正小标宋简体"/>
          <w:sz w:val="72"/>
          <w:szCs w:val="72"/>
        </w:rPr>
        <w:t>2021年度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598"/>
      <w:bookmarkStart w:id="7" w:name="_Toc15378442"/>
      <w:bookmarkStart w:id="8" w:name="_Toc15377426"/>
      <w:bookmarkStart w:id="9" w:name="_Toc15396476"/>
      <w:bookmarkStart w:id="10" w:name="_Toc15377194"/>
      <w:r>
        <w:rPr>
          <w:rFonts w:hint="eastAsia" w:ascii="方正小标宋简体" w:hAnsi="方正小标宋简体" w:eastAsia="方正小标宋简体" w:cs="方正小标宋简体"/>
          <w:sz w:val="72"/>
          <w:szCs w:val="72"/>
        </w:rPr>
        <w:t>广元市</w:t>
      </w:r>
      <w:bookmarkEnd w:id="0"/>
      <w:bookmarkStart w:id="11" w:name="_Toc15306268"/>
      <w:r>
        <w:rPr>
          <w:rFonts w:hint="eastAsia" w:ascii="方正小标宋简体" w:hAnsi="方正小标宋简体" w:eastAsia="方正小标宋简体" w:cs="方正小标宋简体"/>
          <w:sz w:val="72"/>
          <w:szCs w:val="72"/>
        </w:rPr>
        <w:t>利州中等专业学校部门决算</w:t>
      </w:r>
      <w:bookmarkEnd w:id="6"/>
      <w:bookmarkEnd w:id="7"/>
      <w:bookmarkEnd w:id="8"/>
      <w:bookmarkEnd w:id="9"/>
      <w:bookmarkEnd w:id="10"/>
      <w:bookmarkEnd w:id="11"/>
    </w:p>
    <w:p>
      <w:pPr>
        <w:pStyle w:val="2"/>
        <w:spacing w:before="93"/>
      </w:pPr>
    </w:p>
    <w:p>
      <w:pPr>
        <w:adjustRightInd w:val="0"/>
        <w:snapToGrid w:val="0"/>
        <w:spacing w:line="360" w:lineRule="auto"/>
        <w:jc w:val="center"/>
        <w:outlineLvl w:val="0"/>
        <w:rPr>
          <w:rFonts w:ascii="方正小标宋简体" w:hAnsi="宋体" w:eastAsia="方正小标宋简体"/>
          <w:sz w:val="52"/>
          <w:szCs w:val="52"/>
        </w:rPr>
      </w:pPr>
    </w:p>
    <w:p>
      <w:pPr>
        <w:widowControl/>
        <w:jc w:val="center"/>
        <w:rPr>
          <w:rFonts w:hint="eastAsia" w:ascii="黑体" w:hAnsi="黑体" w:eastAsia="黑体"/>
          <w:sz w:val="48"/>
          <w:szCs w:val="48"/>
        </w:rPr>
        <w:sectPr>
          <w:headerReference r:id="rId4" w:type="first"/>
          <w:headerReference r:id="rId3" w:type="default"/>
          <w:footerReference r:id="rId5" w:type="default"/>
          <w:pgSz w:w="11906" w:h="16838"/>
          <w:pgMar w:top="1440" w:right="1800" w:bottom="1440" w:left="1800" w:header="851" w:footer="992" w:gutter="0"/>
          <w:pgNumType w:fmt="decimal" w:start="1"/>
          <w:cols w:space="720" w:num="1"/>
          <w:docGrid w:type="lines" w:linePitch="312" w:charSpace="0"/>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公开时间：2022年10月10日</w:t>
      </w:r>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2"/>
        <w:adjustRightInd w:val="0"/>
        <w:snapToGrid w:val="0"/>
        <w:spacing w:line="440" w:lineRule="exact"/>
        <w:jc w:val="left"/>
        <w:rPr>
          <w:rFonts w:hint="default"/>
          <w:sz w:val="24"/>
          <w:lang w:val="en-US"/>
        </w:rPr>
      </w:pPr>
      <w:r>
        <w:rPr>
          <w:rFonts w:hint="eastAsia"/>
          <w:sz w:val="24"/>
        </w:rPr>
        <w:t>一、职能简介</w:t>
      </w:r>
      <w:r>
        <w:rPr>
          <w:rFonts w:hint="eastAsia"/>
          <w:sz w:val="30"/>
          <w:szCs w:val="30"/>
        </w:rPr>
        <w:t>.................................................................................</w:t>
      </w:r>
      <w:r>
        <w:rPr>
          <w:rFonts w:hint="default"/>
          <w:sz w:val="30"/>
          <w:szCs w:val="30"/>
          <w:lang w:val="en-US"/>
        </w:rPr>
        <w:t>.3</w:t>
      </w:r>
    </w:p>
    <w:p>
      <w:pPr>
        <w:pStyle w:val="12"/>
        <w:adjustRightInd w:val="0"/>
        <w:snapToGrid w:val="0"/>
        <w:spacing w:line="440" w:lineRule="exact"/>
        <w:jc w:val="left"/>
        <w:rPr>
          <w:rFonts w:hint="default" w:asciiTheme="minorEastAsia" w:hAnsiTheme="minorEastAsia" w:eastAsiaTheme="minorEastAsia" w:cstheme="minorEastAsia"/>
          <w:sz w:val="24"/>
          <w:lang w:val="en-US"/>
        </w:rPr>
      </w:pPr>
      <w:r>
        <w:rPr>
          <w:rFonts w:hint="eastAsia" w:asciiTheme="minorEastAsia" w:hAnsiTheme="minorEastAsia" w:eastAsiaTheme="minorEastAsia" w:cstheme="minorEastAsia"/>
          <w:sz w:val="24"/>
        </w:rPr>
        <w:t>二、2021年重点工作完成情况</w:t>
      </w:r>
      <w:r>
        <w:rPr>
          <w:rFonts w:hint="eastAsia"/>
          <w:sz w:val="30"/>
          <w:szCs w:val="30"/>
        </w:rPr>
        <w:t>...........................................................</w:t>
      </w:r>
      <w:r>
        <w:rPr>
          <w:rFonts w:hint="default"/>
          <w:sz w:val="30"/>
          <w:szCs w:val="30"/>
          <w:lang w:val="en-US"/>
        </w:rPr>
        <w:t>3</w:t>
      </w:r>
    </w:p>
    <w:p>
      <w:pPr>
        <w:pStyle w:val="11"/>
        <w:adjustRightInd w:val="0"/>
        <w:snapToGrid w:val="0"/>
        <w:spacing w:before="0" w:line="440" w:lineRule="exact"/>
        <w:jc w:val="left"/>
        <w:rPr>
          <w:sz w:val="24"/>
          <w:szCs w:val="24"/>
        </w:rPr>
      </w:pPr>
      <w:r>
        <w:rPr>
          <w:rFonts w:hint="eastAsia"/>
          <w:sz w:val="24"/>
        </w:rPr>
        <w:t>第二部分 2021年度单位决算情况说明</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一、收入支出决算总体情况说明</w:t>
      </w:r>
      <w:r>
        <w:rPr>
          <w:rFonts w:hint="eastAsia"/>
          <w:sz w:val="30"/>
          <w:szCs w:val="30"/>
        </w:rPr>
        <w:t>........................................................1</w:t>
      </w:r>
      <w:r>
        <w:rPr>
          <w:rFonts w:hint="default"/>
          <w:sz w:val="30"/>
          <w:szCs w:val="30"/>
          <w:lang w:val="en-US"/>
        </w:rPr>
        <w:t>5</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二、收入决算情况明</w:t>
      </w:r>
      <w:r>
        <w:rPr>
          <w:rFonts w:hint="eastAsia"/>
          <w:sz w:val="30"/>
          <w:szCs w:val="30"/>
        </w:rPr>
        <w:t>.........................................................................1</w:t>
      </w:r>
      <w:r>
        <w:rPr>
          <w:rFonts w:hint="default"/>
          <w:sz w:val="30"/>
          <w:szCs w:val="30"/>
          <w:lang w:val="en-US"/>
        </w:rPr>
        <w:t>5</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三、支出决算情况说明</w:t>
      </w:r>
      <w:r>
        <w:rPr>
          <w:rFonts w:hint="eastAsia"/>
          <w:sz w:val="30"/>
          <w:szCs w:val="30"/>
        </w:rPr>
        <w:t>......................................................................1</w:t>
      </w:r>
      <w:r>
        <w:rPr>
          <w:rFonts w:hint="default"/>
          <w:sz w:val="30"/>
          <w:szCs w:val="30"/>
          <w:lang w:val="en-US"/>
        </w:rPr>
        <w:t>6</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四、财政拨款收入支出决算总体情况说明</w:t>
      </w:r>
      <w:r>
        <w:rPr>
          <w:rFonts w:hint="eastAsia"/>
          <w:sz w:val="30"/>
          <w:szCs w:val="30"/>
        </w:rPr>
        <w:t>............................................1</w:t>
      </w:r>
      <w:r>
        <w:rPr>
          <w:rFonts w:hint="default"/>
          <w:sz w:val="30"/>
          <w:szCs w:val="30"/>
          <w:lang w:val="en-US"/>
        </w:rPr>
        <w:t>6</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五、一般公共预算财政拨款支出决算情况说明</w:t>
      </w:r>
      <w:r>
        <w:rPr>
          <w:rFonts w:hint="eastAsia"/>
          <w:sz w:val="30"/>
          <w:szCs w:val="30"/>
        </w:rPr>
        <w:t>......................................1</w:t>
      </w:r>
      <w:r>
        <w:rPr>
          <w:rFonts w:hint="default"/>
          <w:sz w:val="30"/>
          <w:szCs w:val="30"/>
          <w:lang w:val="en-US"/>
        </w:rPr>
        <w:t>7</w:t>
      </w:r>
    </w:p>
    <w:p>
      <w:pPr>
        <w:pStyle w:val="12"/>
        <w:adjustRightInd w:val="0"/>
        <w:snapToGrid w:val="0"/>
        <w:spacing w:line="440" w:lineRule="exact"/>
        <w:jc w:val="left"/>
        <w:rPr>
          <w:rFonts w:hint="default" w:ascii="仿宋" w:hAnsi="仿宋" w:eastAsia="仿宋" w:cstheme="minorBidi"/>
          <w:sz w:val="24"/>
          <w:lang w:val="en-US"/>
        </w:rPr>
      </w:pPr>
      <w:r>
        <w:rPr>
          <w:rFonts w:hint="eastAsia"/>
          <w:sz w:val="24"/>
        </w:rPr>
        <w:t>六、一般公共预算财政拨款基本支出决算情况说明</w:t>
      </w:r>
      <w:r>
        <w:rPr>
          <w:rFonts w:hint="eastAsia"/>
          <w:sz w:val="30"/>
          <w:szCs w:val="30"/>
        </w:rPr>
        <w:t>................................2</w:t>
      </w:r>
      <w:r>
        <w:rPr>
          <w:rFonts w:hint="default"/>
          <w:sz w:val="30"/>
          <w:szCs w:val="30"/>
          <w:lang w:val="en-US"/>
        </w:rPr>
        <w:t>0</w:t>
      </w:r>
    </w:p>
    <w:p>
      <w:pPr>
        <w:pStyle w:val="12"/>
        <w:adjustRightInd w:val="0"/>
        <w:snapToGrid w:val="0"/>
        <w:spacing w:line="440" w:lineRule="exact"/>
        <w:jc w:val="left"/>
        <w:rPr>
          <w:rFonts w:ascii="仿宋" w:hAnsi="仿宋" w:eastAsia="仿宋" w:cstheme="minorBidi"/>
          <w:sz w:val="24"/>
        </w:rPr>
      </w:pPr>
      <w:r>
        <w:rPr>
          <w:rFonts w:hint="eastAsia"/>
          <w:sz w:val="24"/>
        </w:rPr>
        <w:t>七、“三公”经费财政拨款支出决算情况说明</w:t>
      </w:r>
      <w:r>
        <w:rPr>
          <w:rFonts w:hint="eastAsia"/>
          <w:sz w:val="30"/>
          <w:szCs w:val="30"/>
        </w:rPr>
        <w:t>.......................................21</w:t>
      </w:r>
    </w:p>
    <w:p>
      <w:pPr>
        <w:pStyle w:val="12"/>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r>
        <w:rPr>
          <w:rFonts w:hint="eastAsia"/>
          <w:sz w:val="30"/>
          <w:szCs w:val="30"/>
        </w:rPr>
        <w:t>................................................21</w:t>
      </w:r>
    </w:p>
    <w:p>
      <w:pPr>
        <w:pStyle w:val="12"/>
        <w:adjustRightInd w:val="0"/>
        <w:snapToGrid w:val="0"/>
        <w:spacing w:line="440" w:lineRule="exact"/>
        <w:jc w:val="left"/>
        <w:rPr>
          <w:rFonts w:hint="default"/>
          <w:sz w:val="24"/>
          <w:lang w:val="en-US"/>
        </w:rPr>
      </w:pPr>
      <w:r>
        <w:rPr>
          <w:rFonts w:hint="eastAsia"/>
          <w:sz w:val="24"/>
        </w:rPr>
        <w:t>九、国有资本经营预算支出决算情况说明</w:t>
      </w:r>
      <w:r>
        <w:rPr>
          <w:rFonts w:hint="eastAsia"/>
          <w:sz w:val="30"/>
          <w:szCs w:val="30"/>
        </w:rPr>
        <w:t>.............................................2</w:t>
      </w:r>
      <w:r>
        <w:rPr>
          <w:rFonts w:hint="default"/>
          <w:sz w:val="30"/>
          <w:szCs w:val="30"/>
          <w:lang w:val="en-US"/>
        </w:rPr>
        <w:t>2</w:t>
      </w:r>
    </w:p>
    <w:p>
      <w:pPr>
        <w:pStyle w:val="12"/>
        <w:adjustRightInd w:val="0"/>
        <w:snapToGrid w:val="0"/>
        <w:spacing w:line="440" w:lineRule="exact"/>
        <w:jc w:val="left"/>
      </w:pPr>
      <w:r>
        <w:rPr>
          <w:rFonts w:hint="eastAsia"/>
          <w:sz w:val="24"/>
        </w:rPr>
        <w:t>十、</w:t>
      </w:r>
      <w:r>
        <w:rPr>
          <w:rFonts w:hint="eastAsia" w:asciiTheme="minorEastAsia" w:hAnsiTheme="minorEastAsia" w:eastAsiaTheme="minorEastAsia" w:cstheme="minorEastAsia"/>
          <w:sz w:val="24"/>
        </w:rPr>
        <w:t>预算绩效管理情况</w:t>
      </w:r>
      <w:r>
        <w:rPr>
          <w:rFonts w:hint="eastAsia"/>
          <w:sz w:val="30"/>
          <w:szCs w:val="30"/>
        </w:rPr>
        <w:t>.....................................................................22</w:t>
      </w:r>
    </w:p>
    <w:p>
      <w:pPr>
        <w:pStyle w:val="12"/>
        <w:adjustRightInd w:val="0"/>
        <w:snapToGrid w:val="0"/>
        <w:spacing w:line="440" w:lineRule="exact"/>
        <w:jc w:val="left"/>
      </w:pPr>
      <w:r>
        <w:rPr>
          <w:rFonts w:hint="eastAsia"/>
          <w:sz w:val="24"/>
        </w:rPr>
        <w:t>十一、其他重要事项的情况说明</w:t>
      </w:r>
      <w:r>
        <w:rPr>
          <w:rFonts w:hint="eastAsia"/>
          <w:sz w:val="30"/>
          <w:szCs w:val="30"/>
        </w:rPr>
        <w:t>.........................................................22</w:t>
      </w:r>
    </w:p>
    <w:p>
      <w:pPr>
        <w:pStyle w:val="11"/>
        <w:adjustRightInd w:val="0"/>
        <w:snapToGrid w:val="0"/>
        <w:spacing w:before="0" w:line="440" w:lineRule="exact"/>
        <w:jc w:val="left"/>
        <w:rPr>
          <w:rFonts w:hint="default" w:ascii="Times New Roman" w:hAnsi="Times New Roman" w:eastAsia="宋体" w:cs="Times New Roman"/>
          <w:kern w:val="2"/>
          <w:sz w:val="30"/>
          <w:szCs w:val="30"/>
          <w:lang w:val="en-US" w:eastAsia="zh-CN" w:bidi="ar-SA"/>
        </w:rPr>
      </w:pPr>
      <w:r>
        <w:rPr>
          <w:rFonts w:hint="eastAsia"/>
          <w:sz w:val="24"/>
        </w:rPr>
        <w:t>第三部分</w:t>
      </w:r>
      <w:r>
        <w:rPr>
          <w:sz w:val="24"/>
        </w:rPr>
        <w:t xml:space="preserve"> </w:t>
      </w:r>
      <w:r>
        <w:rPr>
          <w:rFonts w:hint="eastAsia"/>
          <w:sz w:val="24"/>
        </w:rPr>
        <w:t>名词解释</w:t>
      </w:r>
      <w:r>
        <w:rPr>
          <w:rFonts w:hint="eastAsia" w:ascii="Times New Roman" w:hAnsi="Times New Roman" w:eastAsia="宋体" w:cs="Times New Roman"/>
          <w:kern w:val="2"/>
          <w:sz w:val="30"/>
          <w:szCs w:val="30"/>
          <w:lang w:val="en-US" w:eastAsia="zh-CN" w:bidi="ar-SA"/>
        </w:rPr>
        <w:t>...............................................................................</w:t>
      </w:r>
      <w:r>
        <w:rPr>
          <w:rFonts w:hint="default" w:ascii="Times New Roman" w:hAnsi="Times New Roman" w:eastAsia="宋体" w:cs="Times New Roman"/>
          <w:kern w:val="2"/>
          <w:sz w:val="30"/>
          <w:szCs w:val="30"/>
          <w:lang w:val="en-US" w:eastAsia="zh-CN" w:bidi="ar-SA"/>
        </w:rPr>
        <w:t>24</w:t>
      </w:r>
    </w:p>
    <w:p>
      <w:pPr>
        <w:pStyle w:val="11"/>
        <w:adjustRightInd w:val="0"/>
        <w:snapToGrid w:val="0"/>
        <w:spacing w:before="0" w:line="440" w:lineRule="exact"/>
        <w:jc w:val="left"/>
        <w:rPr>
          <w:rFonts w:hint="default"/>
          <w:sz w:val="24"/>
          <w:lang w:val="en-US"/>
        </w:rPr>
      </w:pPr>
      <w:r>
        <w:rPr>
          <w:rFonts w:hint="eastAsia"/>
          <w:sz w:val="24"/>
        </w:rPr>
        <w:t>第四部分</w:t>
      </w:r>
      <w:r>
        <w:rPr>
          <w:sz w:val="24"/>
        </w:rPr>
        <w:t xml:space="preserve"> </w:t>
      </w:r>
      <w:r>
        <w:rPr>
          <w:rFonts w:hint="eastAsia"/>
          <w:sz w:val="24"/>
        </w:rPr>
        <w:t>附件</w:t>
      </w:r>
      <w:r>
        <w:rPr>
          <w:rFonts w:hint="eastAsia" w:ascii="Times New Roman" w:hAnsi="Times New Roman" w:eastAsia="宋体" w:cs="Times New Roman"/>
          <w:kern w:val="2"/>
          <w:sz w:val="30"/>
          <w:szCs w:val="30"/>
          <w:lang w:val="en-US" w:eastAsia="zh-CN" w:bidi="ar-SA"/>
        </w:rPr>
        <w:t>.....................................................................................</w:t>
      </w:r>
      <w:r>
        <w:rPr>
          <w:rFonts w:hint="default" w:ascii="Times New Roman" w:hAnsi="Times New Roman" w:eastAsia="宋体" w:cs="Times New Roman"/>
          <w:kern w:val="2"/>
          <w:sz w:val="30"/>
          <w:szCs w:val="30"/>
          <w:lang w:val="en-US" w:eastAsia="zh-CN" w:bidi="ar-SA"/>
        </w:rPr>
        <w:t>27</w:t>
      </w:r>
    </w:p>
    <w:p>
      <w:pPr>
        <w:pStyle w:val="11"/>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sz w:val="24"/>
        </w:rPr>
      </w:pPr>
      <w:r>
        <w:rPr>
          <w:rFonts w:hint="eastAsia"/>
          <w:sz w:val="24"/>
        </w:rPr>
        <w:t>八、一般公共预算财政拨款基本支出决算表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十、一般公共预算财政拨款“三公”经费支出决算表</w:t>
      </w:r>
    </w:p>
    <w:p>
      <w:pPr>
        <w:pStyle w:val="12"/>
        <w:adjustRightInd w:val="0"/>
        <w:snapToGrid w:val="0"/>
        <w:spacing w:line="440" w:lineRule="exact"/>
        <w:jc w:val="left"/>
        <w:rPr>
          <w:sz w:val="24"/>
        </w:rPr>
      </w:pPr>
      <w:r>
        <w:rPr>
          <w:rFonts w:hint="eastAsia"/>
          <w:sz w:val="24"/>
        </w:rPr>
        <w:t>十一、政府性基金预算财政拨款收入支出决算表</w:t>
      </w:r>
    </w:p>
    <w:p>
      <w:pPr>
        <w:pStyle w:val="12"/>
        <w:adjustRightInd w:val="0"/>
        <w:snapToGrid w:val="0"/>
        <w:spacing w:line="440" w:lineRule="exact"/>
        <w:jc w:val="left"/>
        <w:rPr>
          <w:sz w:val="24"/>
        </w:rPr>
      </w:pPr>
      <w:r>
        <w:rPr>
          <w:rFonts w:hint="eastAsia"/>
          <w:sz w:val="24"/>
        </w:rPr>
        <w:t>十二、政府性基金预算财政拨款“三公”经费支出决算表</w:t>
      </w:r>
    </w:p>
    <w:p>
      <w:pPr>
        <w:pStyle w:val="12"/>
        <w:adjustRightInd w:val="0"/>
        <w:snapToGrid w:val="0"/>
        <w:spacing w:line="440" w:lineRule="exact"/>
        <w:jc w:val="left"/>
        <w:rPr>
          <w:sz w:val="24"/>
        </w:rPr>
      </w:pPr>
      <w:r>
        <w:rPr>
          <w:rFonts w:hint="eastAsia"/>
          <w:sz w:val="24"/>
        </w:rPr>
        <w:t>十三、国有资本经营预算财政拨款收入支出决算表</w:t>
      </w:r>
    </w:p>
    <w:p>
      <w:pPr>
        <w:pStyle w:val="12"/>
        <w:adjustRightInd w:val="0"/>
        <w:snapToGrid w:val="0"/>
        <w:spacing w:line="440" w:lineRule="exact"/>
        <w:jc w:val="left"/>
        <w:rPr>
          <w:sz w:val="24"/>
        </w:rPr>
      </w:pPr>
      <w:r>
        <w:rPr>
          <w:rFonts w:hint="eastAsia"/>
          <w:sz w:val="24"/>
        </w:rPr>
        <w:t>十四、国有资本经营预算财政拨款支出决算表</w:t>
      </w:r>
    </w:p>
    <w:p>
      <w:pPr>
        <w:widowControl/>
        <w:adjustRightInd w:val="0"/>
        <w:snapToGrid w:val="0"/>
        <w:spacing w:line="440" w:lineRule="exact"/>
        <w:ind w:firstLine="1320" w:firstLineChars="550"/>
        <w:jc w:val="left"/>
        <w:rPr>
          <w:rFonts w:ascii="仿宋" w:hAnsi="仿宋" w:eastAsia="仿宋"/>
          <w:sz w:val="24"/>
        </w:rPr>
      </w:pP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Fonts w:ascii="黑体" w:hAnsi="黑体" w:eastAsia="黑体"/>
          <w:bCs w:val="0"/>
        </w:rPr>
      </w:pPr>
      <w:r>
        <w:rPr>
          <w:rFonts w:hint="eastAsia" w:ascii="黑体" w:hAnsi="黑体" w:eastAsia="黑体"/>
          <w:b w:val="0"/>
        </w:rPr>
        <w:t>第一部分 单位</w:t>
      </w:r>
      <w:r>
        <w:rPr>
          <w:rStyle w:val="26"/>
          <w:rFonts w:hint="eastAsia" w:ascii="黑体" w:hAnsi="黑体" w:eastAsia="黑体"/>
          <w:b w:val="0"/>
          <w:bCs w:val="0"/>
        </w:rPr>
        <w:t>概况</w:t>
      </w:r>
      <w:bookmarkEnd w:id="12"/>
      <w:bookmarkEnd w:id="13"/>
    </w:p>
    <w:p>
      <w:pPr>
        <w:pStyle w:val="4"/>
        <w:numPr>
          <w:ilvl w:val="0"/>
          <w:numId w:val="1"/>
        </w:numPr>
        <w:rPr>
          <w:rStyle w:val="27"/>
          <w:rFonts w:ascii="黑体" w:hAnsi="黑体" w:eastAsia="黑体"/>
          <w:b w:val="0"/>
          <w:bCs w:val="0"/>
        </w:rPr>
      </w:pPr>
      <w:bookmarkStart w:id="14" w:name="_Toc15377197"/>
      <w:bookmarkStart w:id="15" w:name="_Toc15396600"/>
      <w:r>
        <w:rPr>
          <w:rStyle w:val="27"/>
          <w:rFonts w:hint="eastAsia" w:ascii="黑体" w:hAnsi="黑体" w:eastAsia="黑体"/>
          <w:b w:val="0"/>
          <w:bCs w:val="0"/>
        </w:rPr>
        <w:t>职能简介</w:t>
      </w:r>
    </w:p>
    <w:p>
      <w:pPr>
        <w:pStyle w:val="4"/>
        <w:ind w:left="660"/>
        <w:rPr>
          <w:rFonts w:ascii="黑体" w:hAnsi="黑体" w:eastAsia="黑体"/>
          <w:b w:val="0"/>
          <w:bCs w:val="0"/>
        </w:rPr>
      </w:pPr>
      <w:r>
        <w:rPr>
          <w:rFonts w:hint="eastAsia" w:ascii="仿宋_GB2312" w:hAnsi="仿宋" w:eastAsia="仿宋_GB2312" w:cs="方正小标宋_GBK"/>
          <w:b w:val="0"/>
        </w:rPr>
        <w:t>广元市利州中等专业学校是经四川省人民政府批准成立的公办全日制普通中等专业学校（简称利州中专）,负责培养具有普通中专学历的医药卫生、建筑、汽车运用维修及其他职业技术人才，负责施工现场专业人员、医疗护理员、家政服务员、乡村医生的培训工作。</w:t>
      </w:r>
      <w:bookmarkEnd w:id="14"/>
      <w:bookmarkEnd w:id="15"/>
    </w:p>
    <w:p>
      <w:pPr>
        <w:pStyle w:val="4"/>
        <w:rPr>
          <w:rFonts w:ascii="黑体" w:hAnsi="黑体" w:eastAsia="黑体"/>
          <w:b w:val="0"/>
          <w:bCs w:val="0"/>
        </w:rPr>
      </w:pPr>
      <w:r>
        <w:rPr>
          <w:rFonts w:hint="eastAsia" w:ascii="黑体" w:hAnsi="黑体" w:eastAsia="黑体"/>
        </w:rPr>
        <w:t>二、2021年重点工作完成情况</w:t>
      </w:r>
    </w:p>
    <w:p>
      <w:pPr>
        <w:spacing w:line="576" w:lineRule="exact"/>
        <w:ind w:firstLine="640" w:firstLineChars="200"/>
        <w:rPr>
          <w:rFonts w:ascii="楷体" w:hAnsi="楷体" w:eastAsia="楷体" w:cs="楷体"/>
          <w:bCs/>
          <w:sz w:val="32"/>
          <w:szCs w:val="32"/>
        </w:rPr>
      </w:pPr>
      <w:bookmarkStart w:id="16" w:name="_Hlk89976516"/>
      <w:r>
        <w:rPr>
          <w:rFonts w:hint="eastAsia" w:ascii="楷体" w:hAnsi="楷体" w:eastAsia="楷体" w:cs="楷体"/>
          <w:bCs/>
          <w:sz w:val="32"/>
          <w:szCs w:val="32"/>
        </w:rPr>
        <w:t>（一）党建工作常抓不懈，主体责任全面落实</w:t>
      </w:r>
    </w:p>
    <w:p>
      <w:pPr>
        <w:spacing w:line="576" w:lineRule="exact"/>
        <w:ind w:firstLine="642" w:firstLineChars="200"/>
        <w:rPr>
          <w:rFonts w:ascii="仿宋_GB2312" w:hAnsi="仿宋" w:eastAsia="仿宋_GB2312" w:cs="方正小标宋_GBK"/>
          <w:b/>
          <w:bCs/>
          <w:sz w:val="32"/>
          <w:szCs w:val="32"/>
        </w:rPr>
      </w:pPr>
      <w:r>
        <w:rPr>
          <w:rFonts w:hint="eastAsia" w:ascii="仿宋_GB2312" w:hAnsi="仿宋" w:eastAsia="仿宋_GB2312" w:cs="方正小标宋_GBK"/>
          <w:b/>
          <w:bCs/>
          <w:sz w:val="32"/>
          <w:szCs w:val="32"/>
        </w:rPr>
        <w:t>1.坚持党的全面领导</w:t>
      </w:r>
    </w:p>
    <w:bookmarkEnd w:id="16"/>
    <w:p>
      <w:pPr>
        <w:spacing w:line="576" w:lineRule="exact"/>
        <w:ind w:firstLine="640" w:firstLineChars="200"/>
        <w:rPr>
          <w:rFonts w:ascii="仿宋_GB2312" w:hAnsi="仿宋" w:eastAsia="仿宋_GB2312" w:cs="方正小标宋_GBK"/>
          <w:bCs/>
          <w:sz w:val="32"/>
          <w:szCs w:val="32"/>
        </w:rPr>
      </w:pPr>
      <w:r>
        <w:rPr>
          <w:rFonts w:hint="eastAsia" w:ascii="仿宋_GB2312" w:hAnsi="仿宋" w:eastAsia="仿宋_GB2312" w:cs="方正小标宋_GBK"/>
          <w:bCs/>
          <w:sz w:val="32"/>
          <w:szCs w:val="32"/>
        </w:rPr>
        <w:t>一是全面强化党的理论武装。深入学习习近平新时代中国特色社会主义思想、国家大政方针、“四史”知识，其中邀请市级领导宣讲学习3次；党委中心组集中学习8次；支部大会集中学习40次；组织观看建党100周年庆祝大会直播；召开表扬大会，对优秀党员、优秀党务工作者、先进党组织进行表扬；对在党50年老党员颁发奖章；对5名困难党员进行慰问。二是</w:t>
      </w:r>
      <w:r>
        <w:rPr>
          <w:rFonts w:hint="eastAsia" w:ascii="仿宋_GB2312" w:hAnsi="仿宋" w:eastAsia="仿宋_GB2312"/>
          <w:bCs/>
          <w:sz w:val="32"/>
          <w:szCs w:val="32"/>
          <w:shd w:val="clear" w:color="auto" w:fill="FFFFFF"/>
        </w:rPr>
        <w:t>全面贯彻落实省委、市委重大决策部署狠抓乡村振兴。选派3名帮扶干部驻村，学校投入2万余元“以购代扶”助农增收；</w:t>
      </w:r>
      <w:r>
        <w:rPr>
          <w:rFonts w:hint="eastAsia" w:ascii="仿宋_GB2312" w:hAnsi="仿宋" w:eastAsia="仿宋_GB2312"/>
          <w:bCs/>
          <w:sz w:val="32"/>
          <w:szCs w:val="32"/>
        </w:rPr>
        <w:t>突出党员先锋模范作用。评选出32名“共产党员先锋岗”；开展“我为群众办实事”活动。解决教职工关注的问题3个、学生关注的问题5个。三是全面提升基层组织能力建设</w:t>
      </w:r>
      <w:r>
        <w:rPr>
          <w:rFonts w:hint="eastAsia" w:ascii="仿宋_GB2312" w:hAnsi="仿宋" w:eastAsia="仿宋_GB2312" w:cs="方正小标宋_GBK"/>
          <w:bCs/>
          <w:sz w:val="32"/>
          <w:szCs w:val="32"/>
        </w:rPr>
        <w:t>，</w:t>
      </w:r>
      <w:r>
        <w:rPr>
          <w:rFonts w:hint="eastAsia" w:ascii="仿宋_GB2312" w:hAnsi="仿宋" w:eastAsia="仿宋_GB2312"/>
          <w:bCs/>
          <w:sz w:val="32"/>
          <w:szCs w:val="32"/>
        </w:rPr>
        <w:t>落实党委成员挂联支部制度。党委班子成员以普通党员身份参加支部各项活动10次；全年召开支部党员大会50次、支委会议40次、党小组会议30次；开展主题党日活动50次、党员志愿服务活动6次；各支部选举增补纪检委员1名；4个支部完成党支部标准化建设验收工作。本年度发展党员2人。使用党建经费2.9万元，打造党建阵地。办理党组织关系转移7人。四是加强党建带团建。开展红色研学旅行2次、红色教育基地学习1次、观看红色影片1次。</w:t>
      </w:r>
    </w:p>
    <w:p>
      <w:pPr>
        <w:spacing w:line="576" w:lineRule="exact"/>
        <w:ind w:firstLine="642" w:firstLineChars="200"/>
        <w:rPr>
          <w:rFonts w:ascii="仿宋_GB2312" w:hAnsi="仿宋" w:eastAsia="仿宋_GB2312"/>
          <w:b/>
          <w:bCs/>
          <w:sz w:val="32"/>
          <w:szCs w:val="32"/>
        </w:rPr>
      </w:pPr>
      <w:r>
        <w:rPr>
          <w:rFonts w:hint="eastAsia" w:ascii="仿宋_GB2312" w:hAnsi="仿宋" w:eastAsia="仿宋_GB2312"/>
          <w:b/>
          <w:bCs/>
          <w:sz w:val="32"/>
          <w:szCs w:val="32"/>
        </w:rPr>
        <w:t>2.加强党风廉政建设</w:t>
      </w:r>
    </w:p>
    <w:p>
      <w:pPr>
        <w:spacing w:line="576"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一是制定全面从严治党《三张清单》和《党风廉政建设工作要点》。召开党风廉政建设专题会议2次</w:t>
      </w:r>
      <w:r>
        <w:rPr>
          <w:rFonts w:hint="eastAsia" w:ascii="仿宋_GB2312" w:hAnsi="仿宋" w:eastAsia="仿宋_GB2312" w:cs="宋体"/>
          <w:bCs/>
          <w:kern w:val="0"/>
          <w:sz w:val="32"/>
          <w:szCs w:val="32"/>
        </w:rPr>
        <w:t>，班子成员开展</w:t>
      </w:r>
      <w:r>
        <w:rPr>
          <w:rFonts w:hint="eastAsia" w:ascii="仿宋_GB2312" w:hAnsi="仿宋" w:eastAsia="仿宋_GB2312"/>
          <w:bCs/>
          <w:kern w:val="0"/>
          <w:sz w:val="32"/>
          <w:szCs w:val="32"/>
        </w:rPr>
        <w:t>干部谈心谈话20余人次。严格执行“三重一大”集体决策和主要领导“四个不直接分管”、“末位表态”等制度。二是加强“四风”整饬力度，推动“三张清单”落地见效。制定《党委会议议事规则》《校长办公会议事规则》。对标《三张清单》，推进党务、校务、财务公开。三是加强警示教育，推动纪律作风整顿走深走实。制定学校《纪律作风整顿暨以案促改工作实施方案》</w:t>
      </w:r>
      <w:r>
        <w:rPr>
          <w:rFonts w:hint="eastAsia" w:ascii="仿宋_GB2312" w:hAnsi="仿宋" w:eastAsia="仿宋_GB2312" w:cs="宋体"/>
          <w:bCs/>
          <w:kern w:val="0"/>
          <w:sz w:val="32"/>
          <w:szCs w:val="32"/>
        </w:rPr>
        <w:t>，班子</w:t>
      </w:r>
      <w:r>
        <w:rPr>
          <w:rFonts w:hint="eastAsia" w:ascii="仿宋_GB2312" w:hAnsi="仿宋" w:eastAsia="仿宋_GB2312" w:cs="宋体"/>
          <w:bCs/>
          <w:kern w:val="0"/>
          <w:sz w:val="32"/>
          <w:szCs w:val="32"/>
          <w:lang w:eastAsia="zh-CN"/>
        </w:rPr>
        <w:t>调</w:t>
      </w:r>
      <w:r>
        <w:rPr>
          <w:rFonts w:hint="eastAsia" w:ascii="仿宋_GB2312" w:hAnsi="仿宋" w:eastAsia="仿宋_GB2312" w:cs="宋体"/>
          <w:bCs/>
          <w:kern w:val="0"/>
          <w:sz w:val="32"/>
          <w:szCs w:val="32"/>
        </w:rPr>
        <w:t>查 “小进即满、不思进取”等6个方面10个问题，教职工查摆梳理出1个共性问题。通过观看“黑白人生”、付健案警示片等对党员干部、教职工进行警示教育</w:t>
      </w:r>
      <w:r>
        <w:rPr>
          <w:rFonts w:hint="eastAsia" w:ascii="仿宋_GB2312" w:hAnsi="仿宋" w:eastAsia="仿宋_GB2312"/>
          <w:bCs/>
          <w:sz w:val="32"/>
          <w:szCs w:val="32"/>
        </w:rPr>
        <w:t>。</w:t>
      </w:r>
      <w:r>
        <w:rPr>
          <w:rFonts w:hint="eastAsia" w:ascii="仿宋_GB2312" w:hAnsi="仿宋" w:eastAsia="仿宋_GB2312"/>
          <w:bCs/>
          <w:kern w:val="0"/>
          <w:sz w:val="32"/>
          <w:szCs w:val="32"/>
        </w:rPr>
        <w:t>四是</w:t>
      </w:r>
      <w:r>
        <w:rPr>
          <w:rFonts w:hint="eastAsia" w:ascii="仿宋_GB2312" w:hAnsi="仿宋" w:eastAsia="仿宋_GB2312" w:cs="宋体"/>
          <w:bCs/>
          <w:kern w:val="0"/>
          <w:sz w:val="32"/>
          <w:szCs w:val="32"/>
        </w:rPr>
        <w:t>加强巡察整改，推动学校工作提能增效</w:t>
      </w:r>
      <w:r>
        <w:rPr>
          <w:rFonts w:hint="eastAsia" w:ascii="仿宋_GB2312" w:hAnsi="仿宋" w:eastAsia="仿宋_GB2312"/>
          <w:bCs/>
          <w:kern w:val="0"/>
          <w:sz w:val="32"/>
          <w:szCs w:val="32"/>
        </w:rPr>
        <w:t>。</w:t>
      </w:r>
      <w:r>
        <w:rPr>
          <w:rFonts w:hint="eastAsia" w:ascii="仿宋_GB2312" w:hAnsi="仿宋" w:eastAsia="仿宋_GB2312" w:cs="宋体"/>
          <w:bCs/>
          <w:kern w:val="0"/>
          <w:sz w:val="32"/>
          <w:szCs w:val="32"/>
        </w:rPr>
        <w:t>党委针对巡察反馈的3个方面、20大类、58个问题，逐一对标，扎实整改，全面完成整改工作。</w:t>
      </w:r>
    </w:p>
    <w:p>
      <w:pPr>
        <w:spacing w:line="576" w:lineRule="exact"/>
        <w:ind w:firstLine="642" w:firstLineChars="200"/>
        <w:rPr>
          <w:rFonts w:ascii="仿宋_GB2312" w:hAnsi="仿宋" w:eastAsia="仿宋_GB2312" w:cs="宋体"/>
          <w:b/>
          <w:bCs/>
          <w:kern w:val="0"/>
          <w:sz w:val="32"/>
          <w:szCs w:val="32"/>
        </w:rPr>
      </w:pPr>
      <w:r>
        <w:rPr>
          <w:rFonts w:hint="eastAsia" w:ascii="仿宋_GB2312" w:hAnsi="仿宋" w:eastAsia="仿宋_GB2312" w:cs="宋体"/>
          <w:b/>
          <w:bCs/>
          <w:kern w:val="0"/>
          <w:sz w:val="32"/>
          <w:szCs w:val="32"/>
        </w:rPr>
        <w:t>3.夯实意识形态工作</w:t>
      </w:r>
    </w:p>
    <w:p>
      <w:pPr>
        <w:spacing w:line="576" w:lineRule="exact"/>
        <w:ind w:firstLine="640" w:firstLineChars="200"/>
        <w:rPr>
          <w:rFonts w:ascii="仿宋_GB2312" w:hAnsi="仿宋" w:eastAsia="仿宋_GB2312"/>
          <w:bCs/>
          <w:kern w:val="0"/>
          <w:sz w:val="32"/>
          <w:szCs w:val="32"/>
        </w:rPr>
      </w:pPr>
      <w:r>
        <w:rPr>
          <w:rFonts w:hint="eastAsia" w:ascii="仿宋_GB2312" w:hAnsi="仿宋" w:eastAsia="仿宋_GB2312" w:cs="宋体"/>
          <w:bCs/>
          <w:kern w:val="0"/>
          <w:sz w:val="32"/>
          <w:szCs w:val="32"/>
        </w:rPr>
        <w:t>一是明确责任，把握意识形态主导权。制定</w:t>
      </w:r>
      <w:r>
        <w:rPr>
          <w:rFonts w:hint="eastAsia" w:ascii="仿宋_GB2312" w:hAnsi="仿宋" w:eastAsia="仿宋_GB2312"/>
          <w:bCs/>
          <w:sz w:val="32"/>
          <w:szCs w:val="32"/>
        </w:rPr>
        <w:t>《2021年党委意识形态工作要点》，召开意识形态专题工作会议3次，撰写意识形态工作报告1篇。</w:t>
      </w:r>
      <w:r>
        <w:rPr>
          <w:rFonts w:hint="eastAsia" w:ascii="仿宋_GB2312" w:hAnsi="仿宋" w:eastAsia="仿宋_GB2312"/>
          <w:bCs/>
          <w:kern w:val="0"/>
          <w:sz w:val="32"/>
          <w:szCs w:val="32"/>
        </w:rPr>
        <w:t>二是管控舆论，把握意识形态话语权</w:t>
      </w:r>
      <w:r>
        <w:rPr>
          <w:rFonts w:hint="eastAsia" w:ascii="仿宋_GB2312" w:hAnsi="仿宋" w:eastAsia="仿宋_GB2312" w:cs="宋体"/>
          <w:bCs/>
          <w:kern w:val="0"/>
          <w:sz w:val="32"/>
          <w:szCs w:val="32"/>
        </w:rPr>
        <w:t>。</w:t>
      </w:r>
      <w:r>
        <w:rPr>
          <w:rFonts w:hint="eastAsia" w:ascii="仿宋_GB2312" w:hAnsi="仿宋" w:eastAsia="仿宋_GB2312"/>
          <w:bCs/>
          <w:kern w:val="0"/>
          <w:sz w:val="32"/>
          <w:szCs w:val="32"/>
        </w:rPr>
        <w:t>制定《利州中专网络舆情管理实施办法》《新闻发布管理办法》。全面开展教材审查，开设思政课程5门，强化思政课程进课堂、进课表。强化“五项教育”，引导少数民族学生自觉维护民族团结与校园和谐。</w:t>
      </w:r>
      <w:r>
        <w:rPr>
          <w:rFonts w:hint="eastAsia" w:ascii="仿宋_GB2312" w:hAnsi="仿宋" w:eastAsia="仿宋_GB2312" w:cs="宋体"/>
          <w:bCs/>
          <w:kern w:val="0"/>
          <w:sz w:val="32"/>
          <w:szCs w:val="32"/>
        </w:rPr>
        <w:t>三是加强宣传，进一步树立学校形象。</w:t>
      </w:r>
      <w:r>
        <w:rPr>
          <w:rFonts w:hint="eastAsia" w:ascii="仿宋_GB2312" w:hAnsi="仿宋" w:eastAsia="仿宋_GB2312"/>
          <w:bCs/>
          <w:kern w:val="0"/>
          <w:sz w:val="32"/>
          <w:szCs w:val="32"/>
        </w:rPr>
        <w:t>本年在学习强国发表理论文章2篇，市级以上媒体发布新闻125条，微信公众号发布信息114条，抖音号发布视频141条。</w:t>
      </w:r>
    </w:p>
    <w:p>
      <w:pPr>
        <w:spacing w:line="576" w:lineRule="exact"/>
        <w:ind w:firstLine="642"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（二）教学改革有序推进，专业建设稳步提升</w:t>
      </w:r>
    </w:p>
    <w:p>
      <w:pPr>
        <w:spacing w:line="576" w:lineRule="exact"/>
        <w:ind w:firstLine="640" w:firstLineChars="200"/>
        <w:rPr>
          <w:rFonts w:ascii="楷体" w:hAnsi="楷体" w:eastAsia="楷体" w:cs="楷体"/>
          <w:bCs/>
          <w:color w:val="000000" w:themeColor="text1"/>
          <w:sz w:val="32"/>
          <w:szCs w:val="32"/>
        </w:rPr>
      </w:pPr>
      <w:r>
        <w:rPr>
          <w:rFonts w:hint="eastAsia" w:ascii="仿宋_GB2312" w:hAnsi="仿宋" w:eastAsia="仿宋_GB2312"/>
          <w:bCs/>
          <w:color w:val="000000"/>
          <w:sz w:val="32"/>
          <w:szCs w:val="32"/>
          <w:shd w:val="clear" w:color="auto" w:fill="FFFFFF"/>
        </w:rPr>
        <w:t>一是以标准建设为抓手，推进教学工作标准化、制度化。新制定课程标准68门，实现学校公共基础课和专业核心课程全覆盖。新制定《</w:t>
      </w:r>
      <w:r>
        <w:rPr>
          <w:rFonts w:hint="eastAsia" w:ascii="仿宋" w:hAnsi="仿宋" w:eastAsia="仿宋"/>
          <w:sz w:val="32"/>
          <w:szCs w:val="32"/>
        </w:rPr>
        <w:t>课程标准编制的基本原则和管理办法》等教学制度14个，修订《广元市利州中等专业学校听课制度》等教学制度11个，废除《电子信息部工作职责》等教学制度4个，建立“321”教师手册。</w:t>
      </w:r>
      <w:r>
        <w:rPr>
          <w:rFonts w:hint="eastAsia" w:ascii="仿宋_GB2312" w:hAnsi="仿宋" w:eastAsia="仿宋_GB2312"/>
          <w:bCs/>
          <w:color w:val="000000"/>
          <w:sz w:val="32"/>
          <w:szCs w:val="32"/>
          <w:shd w:val="clear" w:color="auto" w:fill="FFFFFF"/>
        </w:rPr>
        <w:t>二是以校企合作为抓手，持续推动专业建设。充分发挥两个产教联盟作用，</w:t>
      </w:r>
      <w:r>
        <w:rPr>
          <w:rFonts w:hint="eastAsia" w:ascii="仿宋" w:hAnsi="仿宋" w:eastAsia="仿宋"/>
          <w:sz w:val="32"/>
          <w:szCs w:val="32"/>
        </w:rPr>
        <w:t>承办广元市护理技能大赛、广元市“5.12”护士节庆祝活动，召开广元市建筑产教联盟建筑岗位人才双选会、产教对接会。与广元泰华医院签订校企合作协议，泰华医院正式成为学校附属医院。深化专业建设模式改革和专业条件升级，着力打造医药卫生、土木建筑、现代服务三大专业群。新申报专业新能源汽车制造与检测、建筑智能化设备安装与运行、装配式建筑施工3个专业；中医康复保健专业更改为中医康复技术和中医养生保健专业；停办农村医学专业；修订各专业人才培养方案11门。以“三中心、一基地”项目建设促进专业条件智能化升级：护理专业省级示范建设奖补资金200万，全部用于医护专业群的打造；投入244万元用于建筑实训中心建设；192万汽车实训中心改造工程。</w:t>
      </w:r>
      <w:r>
        <w:rPr>
          <w:rFonts w:hint="eastAsia" w:ascii="仿宋_GB2312" w:hAnsi="仿宋" w:eastAsia="仿宋_GB2312"/>
          <w:bCs/>
          <w:color w:val="000000"/>
          <w:sz w:val="32"/>
          <w:szCs w:val="32"/>
          <w:shd w:val="clear" w:color="auto" w:fill="FFFFFF"/>
        </w:rPr>
        <w:t>三是以常规管理为抓手，教学质量稳步提升。</w:t>
      </w:r>
      <w:r>
        <w:rPr>
          <w:rFonts w:hint="eastAsia" w:ascii="仿宋" w:hAnsi="仿宋" w:eastAsia="仿宋"/>
          <w:sz w:val="32"/>
          <w:szCs w:val="32"/>
        </w:rPr>
        <w:t>对口高考本科上线11人，居医药卫生类本科上线人数全省第三，实现三年高考本科上线人数连续递增。本学年度全校共计划实训教学1441学时，实际开出1230学时，实训教学总开出率达85%。完成学生实习、见习工作。完成3个“1+X”证书试点的培训、考证工作，其中电子商务专业1+X证书通过率达到90%；新增模拟考试系统一套，“1+X”建筑建模软件1套，“1+X”在线平台1套。第三届全国职业院校呼叫中心客户服务与管理技能大赛中，获得全国一等奖1个，二等奖、三等奖各3个。全省建筑CAD技能大赛中，获教师组二等奖1个、学生组团队三等奖1个。广元市护理知识技能大赛中，获教师二等奖、三等奖各1个，团体获二等奖。举办第十九届春季田径运动会和秋季球类运动会，扎实开展专业第二课堂活动，艺体类第二课堂共开设14个项目，1200余人参加第二课堂项目，做到学生人尽其才，百花齐放。</w:t>
      </w:r>
    </w:p>
    <w:p>
      <w:pPr>
        <w:spacing w:line="576" w:lineRule="exact"/>
        <w:ind w:firstLine="642"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（三）全面落实立德树人，德育工作成效显著</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紧紧围绕立德树人根本任务，以班风学风建设为重点，以意识形态教育和日常行为管理为抓手，以促进学生全面健康成长为目标，不断强化内涵建设，扎实推进学生工作治理体系和治理能力建设，努力营造“三全育人”良好范围，取得了显著成效。一是以党史学习教育为契机，着力提升思想政治教育。充分利用经典晨读、主题班会等多种形式，扎实开展“学党史、强信念、跟党走”等主题教育活动6次，组织“学习习近平总书记庆祝建党100周年讲话”等专题学习6次。整合课程资源，构建由思政课程、自主管理课程、活动课程、实践课程组成的德育课程体系。创新开展“自主军训、自主德育、自主志愿服务”等专题实践活动，形成自主管理的文化景观。1人获四川省第七届“中国梦、职教情”大中专学生演讲比赛三等奖，校园舞台剧《阿依妞的聘礼》参加四川省中华民族共同体意识校园舞台剧大赛荣获三等奖、最佳舞美奖、最佳表演奖；舞蹈《鼓.戏》参加广元市中小学生艺术展演舞蹈专场荣获二等奖。二是优化德育措施，着力提升队伍整体素养。继续深化 “134”德育工作管理体系建设，积极落实“三全育人”、副班主任、班主任后备力量培养等工作制度，不断深化民族地区学生管理等工作，形成示范特色。1人获市级班主任能力大赛一等奖。不断深化共青团改革工作，认真落实“三会两制一课”制度，党员进班开展专题讲座6次。积极组织每周“青年大学习”，参学比稳居市直属前三。举办2期业余团校，完成400余人次的业务团校培训活动，吸收120余名新团员，组织召开第二十八次学生代表大会，顺利完成400余名团员组织关系转接工作。18级高护2班荣获2020年广元市“五四红旗团支部”；1人荣获2020年广元市“优秀共青团员”。三是强化理想信念，弘扬传统文化。积极推动习近平新时代中国特色社会主义思想进教材、进课堂、进头脑，举办了16期经典晨读活动，开展“国家公祭日纪念日”等10余次爱党爱国等主题教育活动，通过少数民族文化艺术节、“致家长的一封信”等方式扎实开展纪念我们的节日活动。四是积极推进志愿服务工作。全年累计开展志愿活动20余次，开展扶贫募捐2次，师生献血440余人次，与女皇路社区开展“青春志愿，爱在社区”四川省中职生志愿服务社区行动签约仪式。5人被评为市级“优秀志愿者”；“关爱自闭症儿童”项目被评为市级“优秀志愿项目”；1名教师被评选为四川省青年优秀志愿者；学校获省、市无偿献血先进集体，四川省中职学校志愿服务示范学校。五是狠抓常规管理，深入开展生态文明和劳动素质教育。积极贯彻落实《新时代劳动素质教育实施纲要》，全年累计开展校内集中劳动课120余节，多形式开展6.5环境日、垃圾分类、“一木环保”、“厉行节约，杜绝浪费”等节粮节水节电专题教育实践活动，营造出更加浓厚的生态文明建设和环境保护氛围。</w:t>
      </w:r>
    </w:p>
    <w:p>
      <w:pPr>
        <w:spacing w:line="576" w:lineRule="exact"/>
        <w:ind w:firstLine="642" w:firstLineChars="200"/>
        <w:rPr>
          <w:rFonts w:ascii="仿宋" w:hAnsi="仿宋" w:eastAsia="仿宋"/>
          <w:sz w:val="32"/>
          <w:szCs w:val="32"/>
        </w:rPr>
      </w:pPr>
      <w:r>
        <w:rPr>
          <w:rFonts w:hint="eastAsia" w:ascii="楷体" w:hAnsi="楷体" w:eastAsia="楷体" w:cs="楷体"/>
          <w:b/>
          <w:bCs/>
          <w:color w:val="000000" w:themeColor="text1"/>
          <w:sz w:val="32"/>
          <w:szCs w:val="32"/>
        </w:rPr>
        <w:t>（四）教师队伍增质赋能，教育科研成果丰硕</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一是开展师德师风专题教育，筑牢教师队伍思想防线。多次召开师德师风建设专项教育大会，召开“学党史、正师风、强师魂专项治理活动”工作推进会，举行庆祝第37个教师节活动暨师德师风宣誓仪式，加强“一对一”谈心谈话活动，做好教师政治思想工作。每月利用信息化平台进行一次师德师风测评活动，召开一次全校学生代表评教座谈会。建立师德师风专项考核方案，签订师德师风建设目标责任书、建立师德负面清单，将师德师风考核纳入年度目标专项考核。举行首届“立德树人，关爱学生好老师”表彰活动，在校内外引起热烈反响。二是外引内培，增强教师队伍造血能力。2021年新进教职工16人，研究生学历6人；教师参加国培、省培共计22人次、参加市级培训43人次，参加省网络教研培训共12批次100余人次；学校集中校本培训和部门教研培训共计16次；启动教师信息技术能力提升工程2.0培训；加强兼职教师队伍管理，召开2021年兼职教师座谈会。本年度新立项省级课题1项，完成了4项市级课题的开题。申报省级教学成果2项，获省级二等奖1项，申报市级教学成果2项。学校47名教师共14个学科组参加广元市教师教学能力比赛，获一等奖5个、二等奖5个、三等奖4个；6个学科组被推荐至省级比赛，获省级教师教学能力比赛二等奖1项、三等奖4项；8名教师参加了四川省教师优秀论文比赛，获省级论文比赛二等奖1项、三等奖1项；3名教师参加广元市教师教学大比武论文比赛；开展名师示范课、部门研讨课、新教师汇报课比赛35堂。</w:t>
      </w:r>
    </w:p>
    <w:p>
      <w:pPr>
        <w:spacing w:line="576" w:lineRule="exact"/>
        <w:ind w:firstLine="640" w:firstLineChars="200"/>
        <w:rPr>
          <w:rFonts w:ascii="楷体" w:hAnsi="楷体" w:eastAsia="楷体" w:cs="楷体"/>
          <w:bCs/>
          <w:color w:val="000000" w:themeColor="text1"/>
          <w:sz w:val="32"/>
          <w:szCs w:val="32"/>
        </w:rPr>
      </w:pPr>
      <w:r>
        <w:rPr>
          <w:rFonts w:hint="eastAsia" w:ascii="楷体" w:hAnsi="楷体" w:eastAsia="楷体" w:cs="楷体"/>
          <w:bCs/>
          <w:color w:val="000000" w:themeColor="text1"/>
          <w:sz w:val="32"/>
          <w:szCs w:val="32"/>
        </w:rPr>
        <w:t>（五）信息化设施日益完善，应用水平大幅提升</w:t>
      </w:r>
    </w:p>
    <w:p>
      <w:pPr>
        <w:spacing w:line="576" w:lineRule="exact"/>
        <w:ind w:firstLine="640" w:firstLineChars="200"/>
        <w:rPr>
          <w:rFonts w:ascii="仿宋" w:hAnsi="仿宋" w:eastAsia="仿宋"/>
          <w:sz w:val="32"/>
          <w:szCs w:val="32"/>
        </w:rPr>
      </w:pPr>
      <w:r>
        <w:rPr>
          <w:rFonts w:hint="eastAsia" w:ascii="仿宋" w:hAnsi="仿宋" w:eastAsia="仿宋"/>
          <w:sz w:val="32"/>
          <w:szCs w:val="32"/>
        </w:rPr>
        <w:t>一是信息化设施逐步完善。学校信息化设备设施总量增长30%以上，新增教学电脑70台和教学一体机21台，完善IP广播系统和基础网络系统，其中AP增长40点位，监控增长119点位；实施教学信息化质量提升工程，购买信息化阅卷系统、大型校园LED显示屏，整合数字机房资源，搬迁计算机240台，改善了教学环境、办公环境。切实做好网络安全工作，护航信息系统运行，保障师生用网基本安全。二是加强信息化教学管理应用。召开线上、线下信息化管理应用培训会7次，全面启动学校智慧校园平台教学管理应用，开展平台排课1000余门、听课在线登记3200余堂。利用金数据等网络在校调查平台对教师师德师风等教学管理急需调研数据进行快速收集，全年调研数据12次，保障教学工作提质增效。加强信息化教学应用，课堂多媒体使用率达到80%以上。积极推广雨课堂、课堂派、学习通等软件在教学过程中的应用，教师信息化课堂应用率达到80%。</w:t>
      </w:r>
    </w:p>
    <w:p>
      <w:pPr>
        <w:spacing w:line="576" w:lineRule="exact"/>
        <w:ind w:firstLine="642"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（六）社会服务持续增强，办学质量逐步提高</w:t>
      </w:r>
    </w:p>
    <w:p>
      <w:pPr>
        <w:spacing w:line="576" w:lineRule="exact"/>
        <w:ind w:firstLine="640" w:firstLineChars="200"/>
        <w:rPr>
          <w:rFonts w:ascii="仿宋" w:hAnsi="仿宋" w:eastAsia="仿宋"/>
          <w:bCs/>
          <w:sz w:val="32"/>
          <w:szCs w:val="32"/>
        </w:rPr>
      </w:pPr>
      <w:r>
        <w:rPr>
          <w:rFonts w:hint="eastAsia" w:ascii="仿宋" w:hAnsi="仿宋" w:eastAsia="仿宋"/>
          <w:bCs/>
          <w:sz w:val="32"/>
          <w:szCs w:val="32"/>
        </w:rPr>
        <w:t>一是成功申报四川省医疗护理员培训机构，牵头成立广元家政护工培训中心。2021年度继续开展施工现场专业人员职业培训试点工作，共计培训土建质量员、土建施工员、市政工程施工员、资料员、劳务员、标准员、机械员、设备安装施工员等13个岗位，共计组织培训11期次，组织考试13期次，培训人员3000余人次，证书取得率60.5%。培训成效和服务质量均处于全省。二是集聚效应初显，办学规模不断扩大。2021年秋季招生2066人。其中市内招录新生共计869人，市外招录新生1197人。现有在籍在册学生4905人，其中藏区、彝区“9+3”学生1028人。三是项目建设有序推进，办学条件不断改善。五号学生宿舍完成前期的各项准备工作，即将投入建设。现代服务产教融合基地建设、教学东楼维修项目等21个采购项目全面完成，学校办学条件进一步改善。</w:t>
      </w:r>
    </w:p>
    <w:p>
      <w:pPr>
        <w:spacing w:line="576" w:lineRule="exact"/>
        <w:ind w:firstLine="642"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（七）做实做细师生服务，护航师生身心健康</w:t>
      </w:r>
    </w:p>
    <w:p>
      <w:pPr>
        <w:spacing w:line="576" w:lineRule="exact"/>
        <w:ind w:firstLine="640" w:firstLineChars="200"/>
        <w:rPr>
          <w:rFonts w:ascii="仿宋" w:hAnsi="仿宋" w:eastAsia="仿宋"/>
          <w:bCs/>
          <w:sz w:val="32"/>
          <w:szCs w:val="32"/>
        </w:rPr>
      </w:pPr>
      <w:r>
        <w:rPr>
          <w:rFonts w:hint="eastAsia" w:ascii="仿宋" w:hAnsi="仿宋" w:eastAsia="仿宋"/>
          <w:bCs/>
          <w:sz w:val="32"/>
          <w:szCs w:val="32"/>
        </w:rPr>
        <w:t>一是定期开展食品安全监督检查。配合市场监管局、教育行政部门等开展食品安全专项检查，对食堂、超市全覆盖、全方位检查，强化操作流程。二是精准摸排五类贫困学生，做实做细补助工作。完成7062人次免学费、1244人次建档立卡学生资助、3635人次助学金，14人次教育扶贫日资助、7人次国家奖学金等项目申报及发放工作。三是建设“职工心灵驿站”，组织师生开展“9.9教育扶贫日”捐资助学活动，募集资金23852.47元，10名贫困学生受资助。4位本科贫困学生享受“永隆慈善助学金”，3名教师申报 “励耕计划”资助金，组织开展“巾帼跟党走，奋进新征程”三八妇女节、“童心向党、亲子同行”六一儿童节、“九.九”重阳敬老节、教职工春游、教职工趣味运动会等活动，营造温馨的校园氛围。四是定期进行师生体检，开展心理健康普查，组织开展 “6.24”结核病日、6.6爱眼日等知识宣讲，举办6期关于吸烟、传染病、青春期和艾滋病防范知识讲座。</w:t>
      </w:r>
    </w:p>
    <w:p>
      <w:pPr>
        <w:spacing w:line="576" w:lineRule="exact"/>
        <w:ind w:firstLine="642" w:firstLineChars="200"/>
        <w:rPr>
          <w:rFonts w:ascii="楷体" w:hAnsi="楷体" w:eastAsia="楷体" w:cs="楷体"/>
          <w:b/>
          <w:bCs/>
          <w:color w:val="000000" w:themeColor="text1"/>
          <w:sz w:val="32"/>
          <w:szCs w:val="32"/>
        </w:rPr>
      </w:pPr>
      <w:r>
        <w:rPr>
          <w:rFonts w:hint="eastAsia" w:ascii="楷体" w:hAnsi="楷体" w:eastAsia="楷体" w:cs="楷体"/>
          <w:b/>
          <w:bCs/>
          <w:color w:val="000000" w:themeColor="text1"/>
          <w:sz w:val="32"/>
          <w:szCs w:val="32"/>
        </w:rPr>
        <w:t>（八）安全管理警钟长鸣，疫情防控慎终如始</w:t>
      </w:r>
    </w:p>
    <w:p>
      <w:pPr>
        <w:spacing w:line="576" w:lineRule="exact"/>
        <w:ind w:firstLine="640" w:firstLineChars="200"/>
        <w:rPr>
          <w:rFonts w:ascii="仿宋" w:hAnsi="仿宋" w:eastAsia="仿宋"/>
          <w:bCs/>
          <w:sz w:val="32"/>
          <w:szCs w:val="32"/>
        </w:rPr>
      </w:pPr>
      <w:r>
        <w:rPr>
          <w:rFonts w:hint="eastAsia" w:ascii="仿宋" w:hAnsi="仿宋" w:eastAsia="仿宋"/>
          <w:bCs/>
          <w:sz w:val="32"/>
          <w:szCs w:val="32"/>
        </w:rPr>
        <w:t>一是筑牢防线，力补漏洞。先后开展4次安全警示教育，查找出责任认定不精准、沟通协商靠经验等安全管理方面存在的8大短板。建立完善24小时值班巡逻、班主任聘用、安全督查问责追责、大安全联防联控等4项长效机制。邀请教育、公安等相关部门亲临指导，强化学校及周边安全环境综合治理。建立安全隐患台账，逐一落实整改，制定校园人防、物防、技防项目建设方案，按轻重缓急分步实施。二是常态化开展疫情防控。修订完善三案九制，建立学校、班级、师生、家长四级防控工作联系网络。认真落实一日三检、环境卫生、通风消杀、因病缺课跟踪等疫情防控要求，扎实推进新冠病毒疫苗接种工作，对师生进行全覆盖排查、核酸筛查应查尽查。对教职工、学生、家长宣传普及疫情防治知识和防控要求，引导做好疫情防控工作。实行错峰上下课、就餐、离校。常态化开展疫情防控应急演练，建立师生健康档案，切实做到早发现、早预防，全力做好各项防疫物资保障。严把校门入口关，对进校人员逐一进行身份核验、信息登记、体温检测，做到不漏一人。</w:t>
      </w:r>
    </w:p>
    <w:p>
      <w:pPr>
        <w:spacing w:line="576" w:lineRule="exact"/>
        <w:ind w:firstLine="640" w:firstLineChars="200"/>
        <w:rPr>
          <w:rFonts w:ascii="黑体" w:hAnsi="黑体" w:eastAsia="黑体"/>
          <w:bCs/>
          <w:sz w:val="32"/>
          <w:szCs w:val="32"/>
        </w:rPr>
      </w:pPr>
      <w:r>
        <w:rPr>
          <w:rFonts w:hint="eastAsia" w:ascii="黑体" w:hAnsi="黑体" w:eastAsia="黑体"/>
          <w:bCs/>
          <w:sz w:val="32"/>
          <w:szCs w:val="32"/>
        </w:rPr>
        <w:t>二、特色亮点工作</w:t>
      </w:r>
    </w:p>
    <w:p>
      <w:pPr>
        <w:spacing w:line="576" w:lineRule="exact"/>
        <w:ind w:firstLine="602" w:firstLineChars="200"/>
        <w:rPr>
          <w:rFonts w:ascii="楷体" w:hAnsi="楷体" w:eastAsia="楷体" w:cs="楷体"/>
          <w:b/>
          <w:bCs/>
          <w:color w:val="000000"/>
          <w:sz w:val="32"/>
          <w:szCs w:val="32"/>
          <w:shd w:val="clear" w:color="auto" w:fill="FFFFFF"/>
        </w:rPr>
      </w:pPr>
      <w:r>
        <w:rPr>
          <w:rFonts w:hint="eastAsia" w:ascii="楷体" w:hAnsi="楷体" w:eastAsia="楷体"/>
          <w:b/>
          <w:bCs/>
          <w:color w:val="000000"/>
          <w:sz w:val="30"/>
          <w:szCs w:val="30"/>
          <w:shd w:val="clear" w:color="auto" w:fill="FFFFFF"/>
        </w:rPr>
        <w:t>（一）</w:t>
      </w:r>
      <w:r>
        <w:rPr>
          <w:rFonts w:hint="eastAsia" w:ascii="楷体" w:hAnsi="楷体" w:eastAsia="楷体" w:cs="楷体"/>
          <w:b/>
          <w:bCs/>
          <w:color w:val="000000" w:themeColor="text1"/>
          <w:sz w:val="32"/>
          <w:szCs w:val="32"/>
        </w:rPr>
        <w:t>支部标准化建设见行显效</w:t>
      </w:r>
    </w:p>
    <w:p>
      <w:pPr>
        <w:spacing w:line="576" w:lineRule="exact"/>
        <w:ind w:firstLine="640" w:firstLineChars="200"/>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一是全面推动组织构建完善。各支部增补支部纪检委员1名，各支部现设书记1名，组织委员1名，宣传委员1名，纪检委员1名，完成组织构建达标；二是全面推动阵地建设。使用党建专项经费2.9万元，打造行政楼党建阵地，更换教学楼党建活动室会议设备；三是全面推动支部活动标准化。严格支部“三会一课”制度，支部党员“学习强国”实行周通报制度，积极开展每周1次“红色星期六”党员志愿服务活动，每月开展1次“红色星期五”主题党日活动，年末开展组织生活会暨民主评议党员活动，严格规范每月收缴党费并及时公示。</w:t>
      </w:r>
    </w:p>
    <w:p>
      <w:pPr>
        <w:spacing w:line="576" w:lineRule="exact"/>
        <w:ind w:firstLine="642" w:firstLineChars="200"/>
        <w:rPr>
          <w:rFonts w:ascii="楷体" w:hAnsi="楷体" w:eastAsia="楷体"/>
          <w:b/>
          <w:bCs/>
          <w:sz w:val="32"/>
          <w:szCs w:val="32"/>
        </w:rPr>
      </w:pPr>
      <w:r>
        <w:rPr>
          <w:rFonts w:hint="eastAsia" w:ascii="楷体" w:hAnsi="楷体" w:eastAsia="楷体"/>
          <w:b/>
          <w:bCs/>
          <w:sz w:val="32"/>
          <w:szCs w:val="32"/>
        </w:rPr>
        <w:t>（二）抓实“9+3”免费教育计划</w:t>
      </w:r>
    </w:p>
    <w:p>
      <w:pPr>
        <w:spacing w:line="576" w:lineRule="exact"/>
        <w:ind w:firstLine="640" w:firstLineChars="200"/>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一是助学帮扶。按时足额发放“9+3”学生生活、交通等补助，设立专项奖学金和勤工俭学岗位。落实混班混住等管理要求，安排教职员工和思想素质高、表现优秀的学生与“9+3”学生结对互助。目前，受到结对帮助“9+3”学生达117名。二是文化凝聚。成立藏、彝族等少数民族文艺社团,经常性组织开展周末民族文体活动，通过少数民族文化艺术节、彝族年篝火晚会、民族服饰展览周等活动促进各族学生交流融合。三是融合提升。强化家校互动、社会联动，节假日时间组织“9+3”学生开展清洁城乡、健康义诊、敬老助残等活动。本年度，我校民族团结教育工作在广元教育视界、川教观察、广元日报、广元教育在线等媒体上报道。</w:t>
      </w:r>
    </w:p>
    <w:p>
      <w:pPr>
        <w:spacing w:line="576" w:lineRule="exact"/>
        <w:ind w:firstLine="602" w:firstLineChars="200"/>
        <w:rPr>
          <w:rFonts w:ascii="楷体" w:hAnsi="楷体" w:eastAsia="楷体"/>
          <w:b/>
          <w:bCs/>
          <w:color w:val="000000"/>
          <w:sz w:val="30"/>
          <w:szCs w:val="30"/>
          <w:shd w:val="clear" w:color="auto" w:fill="FFFFFF"/>
        </w:rPr>
      </w:pPr>
      <w:r>
        <w:rPr>
          <w:rFonts w:hint="eastAsia" w:ascii="楷体" w:hAnsi="楷体" w:eastAsia="楷体"/>
          <w:b/>
          <w:bCs/>
          <w:color w:val="000000"/>
          <w:sz w:val="30"/>
          <w:szCs w:val="30"/>
          <w:shd w:val="clear" w:color="auto" w:fill="FFFFFF"/>
        </w:rPr>
        <w:t>（三）稳步发力高考工作新突破</w:t>
      </w:r>
    </w:p>
    <w:p>
      <w:pPr>
        <w:spacing w:line="576" w:lineRule="exact"/>
        <w:ind w:firstLine="640" w:firstLineChars="200"/>
        <w:rPr>
          <w:rFonts w:ascii="仿宋" w:hAnsi="仿宋" w:eastAsia="仿宋"/>
          <w:bCs/>
          <w:color w:val="000000"/>
          <w:sz w:val="32"/>
          <w:szCs w:val="32"/>
          <w:shd w:val="clear" w:color="auto" w:fill="FFFFFF"/>
        </w:rPr>
      </w:pPr>
      <w:r>
        <w:rPr>
          <w:rFonts w:hint="eastAsia" w:ascii="仿宋" w:hAnsi="仿宋" w:eastAsia="仿宋"/>
          <w:bCs/>
          <w:color w:val="000000"/>
          <w:sz w:val="32"/>
          <w:szCs w:val="32"/>
          <w:shd w:val="clear" w:color="auto" w:fill="FFFFFF"/>
        </w:rPr>
        <w:t>高考成绩稳步推进，医药卫生类本科上线人数居全省第三。18级高职单招录取281人，上线率为98％。对口高考在校学生参考20人，本科上线11人，实现三年高考本科上线人数连续跨越式发展。</w:t>
      </w:r>
    </w:p>
    <w:p>
      <w:pPr>
        <w:spacing w:line="576" w:lineRule="exact"/>
        <w:ind w:firstLine="642" w:firstLineChars="200"/>
        <w:rPr>
          <w:rFonts w:ascii="楷体" w:hAnsi="楷体" w:eastAsia="楷体"/>
          <w:b/>
          <w:bCs/>
          <w:color w:val="000000"/>
          <w:sz w:val="32"/>
          <w:szCs w:val="32"/>
          <w:shd w:val="clear" w:color="auto" w:fill="FFFFFF"/>
        </w:rPr>
      </w:pPr>
      <w:r>
        <w:rPr>
          <w:rFonts w:hint="eastAsia" w:ascii="楷体" w:hAnsi="楷体" w:eastAsia="楷体"/>
          <w:b/>
          <w:bCs/>
          <w:color w:val="000000"/>
          <w:sz w:val="32"/>
          <w:szCs w:val="32"/>
          <w:shd w:val="clear" w:color="auto" w:fill="FFFFFF"/>
        </w:rPr>
        <w:t>（四）社会培训成效显著</w:t>
      </w:r>
    </w:p>
    <w:p>
      <w:pPr>
        <w:spacing w:line="576" w:lineRule="exact"/>
        <w:ind w:firstLine="640" w:firstLineChars="200"/>
        <w:rPr>
          <w:rFonts w:ascii="仿宋" w:hAnsi="仿宋" w:eastAsia="仿宋"/>
          <w:bCs/>
          <w:sz w:val="32"/>
          <w:szCs w:val="32"/>
        </w:rPr>
      </w:pPr>
      <w:r>
        <w:rPr>
          <w:rFonts w:hint="eastAsia" w:ascii="仿宋" w:hAnsi="仿宋" w:eastAsia="仿宋"/>
          <w:bCs/>
          <w:sz w:val="32"/>
          <w:szCs w:val="32"/>
        </w:rPr>
        <w:t>成功申报四川省医疗护理员培训机构，牵头成立广元市家政护工培训中心。2021年度继续开展施工现场专业人员职业培训试点工作，共计培训土建质量员、土建施工员、市政工程施工员、资料员、劳务员、标准员、机械员、设备安装施工员等13个岗位，共计组织培训11期次，组织考试13期次，培训人员3000余人次，证书取得率60.5%，培训成效和服务质量均处于全省。</w:t>
      </w:r>
    </w:p>
    <w:p>
      <w:pPr>
        <w:spacing w:line="576" w:lineRule="exact"/>
        <w:ind w:firstLine="640" w:firstLineChars="200"/>
        <w:rPr>
          <w:rFonts w:ascii="仿宋_GB2312" w:eastAsia="仿宋_GB2312"/>
          <w:sz w:val="32"/>
          <w:szCs w:val="32"/>
        </w:rPr>
      </w:pP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6"/>
          <w:rFonts w:ascii="黑体" w:hAnsi="黑体" w:eastAsia="黑体"/>
          <w:b w:val="0"/>
          <w:bCs/>
        </w:rPr>
      </w:pPr>
      <w:bookmarkStart w:id="17" w:name="_Toc15377204"/>
      <w:bookmarkStart w:id="18" w:name="_Toc15396602"/>
      <w:r>
        <w:rPr>
          <w:rFonts w:hint="eastAsia" w:ascii="黑体" w:hAnsi="黑体" w:eastAsia="黑体"/>
          <w:b w:val="0"/>
        </w:rPr>
        <w:t>第二部分 2021年度</w:t>
      </w:r>
      <w:r>
        <w:rPr>
          <w:rStyle w:val="26"/>
          <w:rFonts w:hint="eastAsia" w:ascii="黑体" w:hAnsi="黑体" w:eastAsia="黑体"/>
          <w:b w:val="0"/>
          <w:bCs/>
        </w:rPr>
        <w:t>单位决算情况说明</w:t>
      </w:r>
      <w:bookmarkEnd w:id="17"/>
      <w:bookmarkEnd w:id="18"/>
    </w:p>
    <w:p/>
    <w:p>
      <w:pPr>
        <w:pStyle w:val="25"/>
        <w:numPr>
          <w:ilvl w:val="0"/>
          <w:numId w:val="2"/>
        </w:numPr>
        <w:spacing w:line="600" w:lineRule="exact"/>
        <w:ind w:firstLineChars="0"/>
        <w:outlineLvl w:val="1"/>
        <w:rPr>
          <w:rStyle w:val="27"/>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27"/>
          <w:rFonts w:hint="eastAsia" w:ascii="黑体" w:hAnsi="黑体" w:eastAsia="黑体"/>
          <w:b w:val="0"/>
        </w:rPr>
        <w:t>入支出决算总体情况说明</w:t>
      </w:r>
      <w:bookmarkEnd w:id="19"/>
      <w:bookmarkEnd w:id="20"/>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2021年度收、支总计7186.66万元。与2020年相比，收、支总计各增加447.53万元，增长0.06</w:t>
      </w:r>
      <w:r>
        <w:rPr>
          <w:rFonts w:ascii="仿宋" w:hAnsi="仿宋" w:eastAsia="仿宋"/>
          <w:sz w:val="32"/>
          <w:szCs w:val="32"/>
        </w:rPr>
        <w:t>%</w:t>
      </w:r>
      <w:r>
        <w:rPr>
          <w:rFonts w:hint="eastAsia" w:ascii="仿宋" w:hAnsi="仿宋" w:eastAsia="仿宋"/>
          <w:sz w:val="32"/>
          <w:szCs w:val="32"/>
        </w:rPr>
        <w:t>。主要变动原因是：2021年财政拨款收入增加4.1万元，2021年事业收入增加262.4万元，2021年其他收入减少725.24万元，2021年政府性基金减少5.8万元，2021年初结转增加 912.05万元。</w:t>
      </w:r>
    </w:p>
    <w:p>
      <w:pPr>
        <w:pStyle w:val="2"/>
        <w:spacing w:before="93"/>
      </w:pPr>
      <w:r>
        <w:drawing>
          <wp:inline distT="0" distB="0" distL="0" distR="0">
            <wp:extent cx="5274310" cy="3076575"/>
            <wp:effectExtent l="19050" t="0" r="215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5"/>
        <w:numPr>
          <w:ilvl w:val="0"/>
          <w:numId w:val="2"/>
        </w:numPr>
        <w:spacing w:line="600" w:lineRule="exact"/>
        <w:ind w:firstLineChars="0"/>
        <w:outlineLvl w:val="1"/>
        <w:rPr>
          <w:rStyle w:val="27"/>
          <w:rFonts w:ascii="黑体" w:hAnsi="黑体" w:eastAsia="黑体"/>
          <w:b w:val="0"/>
        </w:rPr>
      </w:pPr>
      <w:bookmarkStart w:id="21" w:name="_Toc15396604"/>
      <w:bookmarkStart w:id="22" w:name="_Toc15377206"/>
      <w:r>
        <w:rPr>
          <w:rFonts w:hint="eastAsia" w:ascii="黑体" w:hAnsi="黑体" w:eastAsia="黑体"/>
          <w:sz w:val="32"/>
          <w:szCs w:val="32"/>
        </w:rPr>
        <w:t>收</w:t>
      </w:r>
      <w:r>
        <w:rPr>
          <w:rStyle w:val="27"/>
          <w:rFonts w:hint="eastAsia" w:ascii="黑体" w:hAnsi="黑体" w:eastAsia="黑体"/>
          <w:b w:val="0"/>
        </w:rPr>
        <w:t>入决算情况说明</w:t>
      </w:r>
      <w:bookmarkEnd w:id="21"/>
      <w:bookmarkEnd w:id="22"/>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21年本年收入合计5221.17万元，其中：一般公共预算财政拨款收入4389.02万元，占84</w:t>
      </w:r>
      <w:r>
        <w:rPr>
          <w:rFonts w:ascii="仿宋" w:hAnsi="仿宋" w:eastAsia="仿宋"/>
          <w:sz w:val="32"/>
          <w:szCs w:val="32"/>
        </w:rPr>
        <w:t>%</w:t>
      </w:r>
      <w:r>
        <w:rPr>
          <w:rFonts w:hint="eastAsia" w:ascii="仿宋" w:hAnsi="仿宋" w:eastAsia="仿宋"/>
          <w:sz w:val="32"/>
          <w:szCs w:val="32"/>
        </w:rPr>
        <w:t>；事业收入442.67万元，占8.5</w:t>
      </w:r>
      <w:r>
        <w:rPr>
          <w:rFonts w:ascii="仿宋" w:hAnsi="仿宋" w:eastAsia="仿宋"/>
          <w:sz w:val="32"/>
          <w:szCs w:val="32"/>
        </w:rPr>
        <w:t>%</w:t>
      </w:r>
      <w:r>
        <w:rPr>
          <w:rFonts w:hint="eastAsia" w:ascii="仿宋" w:hAnsi="仿宋" w:eastAsia="仿宋"/>
          <w:sz w:val="32"/>
          <w:szCs w:val="32"/>
        </w:rPr>
        <w:t>；其他收入389.48万元，占7.5</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outlineLvl w:val="1"/>
        <w:rPr>
          <w:rFonts w:ascii="仿宋" w:hAnsi="仿宋" w:eastAsia="仿宋"/>
          <w:sz w:val="32"/>
          <w:szCs w:val="32"/>
        </w:rPr>
      </w:pPr>
    </w:p>
    <w:p>
      <w:pPr>
        <w:pStyle w:val="2"/>
        <w:spacing w:before="93"/>
      </w:pPr>
      <w:r>
        <w:rPr>
          <w:rFonts w:hint="eastAsia"/>
        </w:rPr>
        <w:drawing>
          <wp:inline distT="0" distB="0" distL="0" distR="0">
            <wp:extent cx="3619500" cy="2047875"/>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rPr>
          <w:rFonts w:ascii="仿宋_GB2312" w:eastAsia="仿宋_GB2312"/>
          <w:sz w:val="32"/>
          <w:szCs w:val="32"/>
        </w:rPr>
      </w:pPr>
    </w:p>
    <w:p>
      <w:pPr>
        <w:pStyle w:val="25"/>
        <w:numPr>
          <w:ilvl w:val="0"/>
          <w:numId w:val="2"/>
        </w:numPr>
        <w:spacing w:line="600" w:lineRule="exact"/>
        <w:ind w:firstLineChars="0"/>
        <w:outlineLvl w:val="1"/>
        <w:rPr>
          <w:rStyle w:val="27"/>
          <w:rFonts w:ascii="黑体" w:hAnsi="黑体" w:eastAsia="黑体"/>
          <w:b w:val="0"/>
        </w:rPr>
      </w:pPr>
      <w:bookmarkStart w:id="23" w:name="_Toc15377207"/>
      <w:bookmarkStart w:id="24" w:name="_Toc15396605"/>
      <w:r>
        <w:rPr>
          <w:rFonts w:hint="eastAsia" w:ascii="黑体" w:hAnsi="黑体" w:eastAsia="黑体"/>
          <w:sz w:val="32"/>
          <w:szCs w:val="32"/>
        </w:rPr>
        <w:t>支</w:t>
      </w:r>
      <w:r>
        <w:rPr>
          <w:rStyle w:val="27"/>
          <w:rFonts w:hint="eastAsia" w:ascii="黑体" w:hAnsi="黑体" w:eastAsia="黑体"/>
          <w:b w:val="0"/>
        </w:rPr>
        <w:t>出决算情况说明</w:t>
      </w:r>
      <w:bookmarkEnd w:id="23"/>
      <w:bookmarkEnd w:id="24"/>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21年本年支出合计6658.55万元，其中：基本支出4799.1万元，占72</w:t>
      </w:r>
      <w:r>
        <w:rPr>
          <w:rFonts w:ascii="仿宋" w:hAnsi="仿宋" w:eastAsia="仿宋"/>
          <w:sz w:val="32"/>
          <w:szCs w:val="32"/>
        </w:rPr>
        <w:t>%</w:t>
      </w:r>
      <w:r>
        <w:rPr>
          <w:rFonts w:hint="eastAsia" w:ascii="仿宋" w:hAnsi="仿宋" w:eastAsia="仿宋"/>
          <w:sz w:val="32"/>
          <w:szCs w:val="32"/>
        </w:rPr>
        <w:t>；项目支出1859.46万元，占28</w:t>
      </w:r>
      <w:r>
        <w:rPr>
          <w:rFonts w:ascii="仿宋" w:hAnsi="仿宋" w:eastAsia="仿宋"/>
          <w:sz w:val="32"/>
          <w:szCs w:val="32"/>
        </w:rPr>
        <w:t>%</w:t>
      </w:r>
      <w:r>
        <w:rPr>
          <w:rFonts w:hint="eastAsia" w:ascii="仿宋" w:hAnsi="仿宋" w:eastAsia="仿宋"/>
          <w:sz w:val="32"/>
          <w:szCs w:val="32"/>
        </w:rPr>
        <w:t>。</w:t>
      </w:r>
    </w:p>
    <w:p>
      <w:pPr>
        <w:pStyle w:val="2"/>
        <w:spacing w:before="93"/>
      </w:pPr>
      <w:r>
        <w:drawing>
          <wp:inline distT="0" distB="0" distL="0" distR="0">
            <wp:extent cx="3143250" cy="2133600"/>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7"/>
          <w:rFonts w:ascii="黑体" w:hAnsi="黑体" w:eastAsia="黑体"/>
          <w:b w:val="0"/>
        </w:rPr>
      </w:pPr>
      <w:bookmarkStart w:id="25" w:name="_Toc15396606"/>
      <w:bookmarkStart w:id="26" w:name="_Toc15377208"/>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25"/>
      <w:bookmarkEnd w:id="26"/>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21年财政拨款收、支总计6322.4</w:t>
      </w:r>
      <w:r>
        <w:rPr>
          <w:rFonts w:hint="eastAsia" w:ascii="仿宋" w:hAnsi="仿宋" w:eastAsia="仿宋"/>
          <w:sz w:val="32"/>
          <w:szCs w:val="32"/>
          <w:lang w:val="en-US" w:eastAsia="zh-CN"/>
        </w:rPr>
        <w:t>2</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20年相比，财政拨款收、支总计各增加1041.06万元，增长19</w:t>
      </w:r>
      <w:r>
        <w:rPr>
          <w:rFonts w:ascii="仿宋" w:hAnsi="仿宋" w:eastAsia="仿宋"/>
          <w:sz w:val="32"/>
          <w:szCs w:val="32"/>
        </w:rPr>
        <w:t>%</w:t>
      </w:r>
      <w:r>
        <w:rPr>
          <w:rFonts w:hint="eastAsia" w:ascii="仿宋" w:hAnsi="仿宋" w:eastAsia="仿宋"/>
          <w:sz w:val="32"/>
          <w:szCs w:val="32"/>
        </w:rPr>
        <w:t>。主要变动原因是：2020年年初结转890.6万元，2021年年初结转1933.3万元（项目资金结转）。</w:t>
      </w:r>
    </w:p>
    <w:p>
      <w:pPr>
        <w:pStyle w:val="2"/>
        <w:spacing w:before="93"/>
      </w:pPr>
      <w: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pStyle w:val="2"/>
        <w:spacing w:before="93"/>
      </w:pPr>
    </w:p>
    <w:p>
      <w:pPr>
        <w:spacing w:line="600" w:lineRule="exact"/>
        <w:ind w:firstLine="320" w:firstLineChars="100"/>
        <w:outlineLvl w:val="1"/>
        <w:rPr>
          <w:rStyle w:val="27"/>
          <w:rFonts w:ascii="黑体" w:hAnsi="黑体" w:eastAsia="黑体"/>
          <w:b w:val="0"/>
        </w:rPr>
      </w:pPr>
      <w:bookmarkStart w:id="27" w:name="_Toc15396607"/>
      <w:bookmarkStart w:id="28" w:name="_Toc15377209"/>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27"/>
      <w:bookmarkEnd w:id="28"/>
    </w:p>
    <w:p>
      <w:pPr>
        <w:spacing w:line="600" w:lineRule="exact"/>
        <w:ind w:firstLine="642"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21年一般公共预算财政拨款支出5794.31万元，占本年支出合计的80.6</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20年相比，一般公共预算财政拨款支出增加2276.8万元，增长64</w:t>
      </w:r>
      <w:r>
        <w:rPr>
          <w:rFonts w:ascii="仿宋" w:hAnsi="仿宋" w:eastAsia="仿宋"/>
          <w:sz w:val="32"/>
          <w:szCs w:val="32"/>
        </w:rPr>
        <w:t>%</w:t>
      </w:r>
      <w:r>
        <w:rPr>
          <w:rFonts w:hint="eastAsia" w:ascii="仿宋" w:hAnsi="仿宋" w:eastAsia="仿宋"/>
          <w:sz w:val="32"/>
          <w:szCs w:val="32"/>
        </w:rPr>
        <w:t>。主要变动原因是人员经费增加645.1万元，公用经费支出增加769万元(免学费资金纳入财政拨款)，项目支出增加860.5万元。</w:t>
      </w:r>
    </w:p>
    <w:p>
      <w:pPr>
        <w:spacing w:line="600" w:lineRule="exact"/>
        <w:ind w:firstLine="640" w:firstLineChars="200"/>
        <w:rPr>
          <w:rFonts w:ascii="仿宋" w:hAnsi="仿宋" w:eastAsia="仿宋"/>
          <w:sz w:val="32"/>
          <w:szCs w:val="32"/>
        </w:rPr>
      </w:pPr>
    </w:p>
    <w:p>
      <w:pPr>
        <w:pStyle w:val="2"/>
        <w:spacing w:before="93"/>
      </w:pPr>
      <w:r>
        <w:drawing>
          <wp:inline distT="0" distB="0" distL="0" distR="0">
            <wp:extent cx="4924425" cy="2790825"/>
            <wp:effectExtent l="19050" t="0" r="9525"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2"/>
        <w:spacing w:before="93"/>
      </w:pPr>
    </w:p>
    <w:p>
      <w:pPr>
        <w:spacing w:line="600" w:lineRule="exact"/>
        <w:ind w:firstLine="321" w:firstLineChars="100"/>
        <w:outlineLvl w:val="2"/>
        <w:rPr>
          <w:rFonts w:ascii="仿宋" w:hAnsi="仿宋" w:eastAsia="仿宋"/>
          <w:b/>
          <w:sz w:val="32"/>
          <w:szCs w:val="32"/>
        </w:rPr>
      </w:pPr>
      <w:bookmarkStart w:id="30" w:name="_Toc15377211"/>
      <w:r>
        <w:rPr>
          <w:rFonts w:hint="eastAsia" w:ascii="仿宋" w:hAnsi="仿宋" w:eastAsia="仿宋"/>
          <w:b/>
          <w:sz w:val="32"/>
          <w:szCs w:val="32"/>
        </w:rPr>
        <w:t>（二）一般公共预算财政拨款支出决算结构情况</w:t>
      </w:r>
      <w:bookmarkEnd w:id="30"/>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21年一般公共预算财政拨款支出5794.31万元，主要用于以下方面</w:t>
      </w:r>
      <w:r>
        <w:rPr>
          <w:rFonts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5055.2万元，占87.2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支出378.04万元，占6.5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129.97万元，占2.2</w:t>
      </w:r>
      <w:r>
        <w:rPr>
          <w:rFonts w:ascii="仿宋" w:hAnsi="仿宋" w:eastAsia="仿宋"/>
          <w:sz w:val="32"/>
          <w:szCs w:val="32"/>
        </w:rPr>
        <w:t>%</w:t>
      </w:r>
      <w:r>
        <w:rPr>
          <w:rFonts w:hint="eastAsia" w:ascii="仿宋" w:hAnsi="仿宋" w:eastAsia="仿宋"/>
          <w:sz w:val="32"/>
          <w:szCs w:val="32"/>
        </w:rPr>
        <w:t>；住房保障支出231.1万元，占4.1</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ascii="仿宋" w:hAnsi="仿宋" w:eastAsia="仿宋"/>
          <w:sz w:val="32"/>
          <w:szCs w:val="32"/>
        </w:rPr>
      </w:pPr>
    </w:p>
    <w:p>
      <w:pPr>
        <w:pStyle w:val="2"/>
        <w:spacing w:before="93"/>
      </w:pPr>
      <w:r>
        <w:drawing>
          <wp:inline distT="0" distB="0" distL="0" distR="0">
            <wp:extent cx="5274310" cy="3076575"/>
            <wp:effectExtent l="19050" t="0" r="2159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pStyle w:val="2"/>
        <w:spacing w:before="93"/>
      </w:pPr>
    </w:p>
    <w:p>
      <w:pPr>
        <w:spacing w:line="600" w:lineRule="exact"/>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pPr>
        <w:spacing w:line="600" w:lineRule="exact"/>
        <w:ind w:firstLine="642" w:firstLineChars="200"/>
        <w:outlineLvl w:val="2"/>
        <w:rPr>
          <w:rFonts w:ascii="仿宋" w:hAnsi="仿宋" w:eastAsia="仿宋"/>
          <w:sz w:val="32"/>
          <w:szCs w:val="32"/>
        </w:rPr>
      </w:pPr>
      <w:bookmarkStart w:id="32" w:name="_Toc15378460"/>
      <w:bookmarkStart w:id="33" w:name="_Toc15377444"/>
      <w:bookmarkStart w:id="34" w:name="_Toc15377213"/>
      <w:r>
        <w:rPr>
          <w:rFonts w:hint="eastAsia" w:ascii="仿宋" w:hAnsi="仿宋" w:eastAsia="仿宋"/>
          <w:b/>
          <w:sz w:val="32"/>
          <w:szCs w:val="32"/>
        </w:rPr>
        <w:t>2021年一般公共预算支出决算数为5794.31万元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91.65</w:t>
      </w:r>
      <w:r>
        <w:rPr>
          <w:rStyle w:val="16"/>
          <w:rFonts w:ascii="仿宋" w:hAnsi="仿宋" w:eastAsia="仿宋"/>
          <w:bCs/>
          <w:sz w:val="32"/>
          <w:szCs w:val="32"/>
        </w:rPr>
        <w:t>%</w:t>
      </w:r>
      <w:r>
        <w:rPr>
          <w:rStyle w:val="16"/>
          <w:rFonts w:hint="eastAsia" w:ascii="仿宋" w:hAnsi="仿宋" w:eastAsia="仿宋"/>
          <w:bCs/>
          <w:sz w:val="32"/>
          <w:szCs w:val="32"/>
        </w:rPr>
        <w:t>。其中：</w:t>
      </w:r>
      <w:bookmarkEnd w:id="32"/>
      <w:bookmarkEnd w:id="33"/>
      <w:bookmarkEnd w:id="34"/>
    </w:p>
    <w:p>
      <w:pPr>
        <w:spacing w:line="600" w:lineRule="exact"/>
        <w:ind w:firstLine="642" w:firstLineChars="200"/>
        <w:rPr>
          <w:rStyle w:val="16"/>
          <w:rFonts w:hint="eastAsia" w:ascii="仿宋" w:hAnsi="仿宋" w:eastAsia="仿宋"/>
          <w:b w:val="0"/>
          <w:bCs/>
          <w:sz w:val="32"/>
          <w:szCs w:val="32"/>
        </w:rPr>
      </w:pPr>
      <w:r>
        <w:rPr>
          <w:rStyle w:val="16"/>
          <w:rFonts w:hint="eastAsia" w:ascii="仿宋" w:hAnsi="仿宋" w:eastAsia="仿宋"/>
          <w:bCs/>
          <w:sz w:val="32"/>
          <w:szCs w:val="32"/>
        </w:rPr>
        <w:t>1</w:t>
      </w:r>
      <w:r>
        <w:rPr>
          <w:rStyle w:val="16"/>
          <w:rFonts w:ascii="仿宋" w:hAnsi="仿宋" w:eastAsia="仿宋"/>
          <w:bCs/>
          <w:sz w:val="32"/>
          <w:szCs w:val="32"/>
        </w:rPr>
        <w:t>.</w:t>
      </w:r>
      <w:r>
        <w:rPr>
          <w:rStyle w:val="16"/>
          <w:rFonts w:hint="eastAsia" w:ascii="仿宋" w:hAnsi="仿宋" w:eastAsia="仿宋"/>
          <w:bCs/>
          <w:sz w:val="32"/>
          <w:szCs w:val="32"/>
        </w:rPr>
        <w:t>教育支出（类）职业教育（款）初等职业教育（项）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支出决算为1万元，完成预算100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，与预算数持平；</w:t>
      </w:r>
    </w:p>
    <w:p>
      <w:pPr>
        <w:spacing w:line="600" w:lineRule="exact"/>
        <w:ind w:firstLine="642" w:firstLineChars="200"/>
        <w:rPr>
          <w:rFonts w:hint="default" w:ascii="仿宋" w:hAnsi="仿宋" w:eastAsia="仿宋"/>
          <w:b/>
          <w:sz w:val="32"/>
          <w:szCs w:val="32"/>
          <w:lang w:val="en-US"/>
        </w:rPr>
      </w:pPr>
      <w:r>
        <w:rPr>
          <w:rStyle w:val="16"/>
          <w:rFonts w:hint="eastAsia" w:ascii="仿宋" w:hAnsi="仿宋" w:eastAsia="仿宋"/>
          <w:bCs/>
          <w:sz w:val="32"/>
          <w:szCs w:val="32"/>
        </w:rPr>
        <w:t>教育支出（类）职业教育（款）中等职业教育（项）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支出决算为5054.2万元，完成预算</w:t>
      </w:r>
      <w:r>
        <w:rPr>
          <w:rStyle w:val="16"/>
          <w:rFonts w:hint="eastAsia" w:ascii="仿宋" w:hAnsi="仿宋" w:eastAsia="仿宋"/>
          <w:b w:val="0"/>
          <w:bCs/>
          <w:sz w:val="32"/>
          <w:szCs w:val="32"/>
          <w:lang w:val="en-US" w:eastAsia="zh-CN"/>
        </w:rPr>
        <w:t>90.5</w:t>
      </w:r>
      <w:r>
        <w:rPr>
          <w:rStyle w:val="16"/>
          <w:rFonts w:ascii="仿宋" w:hAnsi="仿宋" w:eastAsia="仿宋"/>
          <w:b w:val="0"/>
          <w:bCs/>
          <w:sz w:val="32"/>
          <w:szCs w:val="32"/>
        </w:rPr>
        <w:t>%</w:t>
      </w:r>
      <w:r>
        <w:rPr>
          <w:rStyle w:val="16"/>
          <w:rFonts w:hint="eastAsia" w:ascii="仿宋" w:hAnsi="仿宋" w:eastAsia="仿宋"/>
          <w:b w:val="0"/>
          <w:bCs/>
          <w:sz w:val="32"/>
          <w:szCs w:val="32"/>
        </w:rPr>
        <w:t>，</w:t>
      </w:r>
      <w:r>
        <w:rPr>
          <w:rStyle w:val="16"/>
          <w:rFonts w:hint="eastAsia" w:ascii="仿宋" w:hAnsi="仿宋" w:eastAsia="仿宋"/>
          <w:b w:val="0"/>
          <w:bCs/>
          <w:sz w:val="32"/>
          <w:szCs w:val="32"/>
          <w:lang w:val="en-US" w:eastAsia="zh-CN"/>
        </w:rPr>
        <w:t>决算数小于预算数的主要原因是：中央提升资金用于旧食堂维修未使用。</w:t>
      </w:r>
    </w:p>
    <w:p>
      <w:pPr>
        <w:numPr>
          <w:ilvl w:val="0"/>
          <w:numId w:val="3"/>
        </w:numPr>
        <w:spacing w:line="600" w:lineRule="exact"/>
        <w:ind w:firstLine="642" w:firstLineChars="200"/>
        <w:rPr>
          <w:rStyle w:val="16"/>
          <w:rFonts w:hint="eastAsia" w:ascii="仿宋" w:hAnsi="仿宋" w:eastAsia="仿宋"/>
          <w:b w:val="0"/>
          <w:bCs/>
          <w:sz w:val="32"/>
          <w:szCs w:val="32"/>
          <w:lang w:eastAsia="zh-CN"/>
        </w:rPr>
      </w:pPr>
      <w:r>
        <w:rPr>
          <w:rStyle w:val="16"/>
          <w:rFonts w:hint="eastAsia" w:ascii="仿宋" w:hAnsi="仿宋" w:eastAsia="仿宋"/>
          <w:bCs/>
          <w:sz w:val="32"/>
          <w:szCs w:val="32"/>
        </w:rPr>
        <w:t>社会保障和就业支出（类）人力资源和社会保障管理事务（款）</w:t>
      </w:r>
      <w:r>
        <w:rPr>
          <w:rStyle w:val="16"/>
          <w:rFonts w:hint="eastAsia" w:ascii="仿宋" w:hAnsi="仿宋" w:eastAsia="仿宋"/>
          <w:bCs/>
          <w:sz w:val="32"/>
          <w:szCs w:val="32"/>
          <w:lang w:val="en-US" w:eastAsia="zh-CN"/>
        </w:rPr>
        <w:t>其他人力资源和社会保障管理事务（项）</w:t>
      </w:r>
      <w:r>
        <w:rPr>
          <w:rStyle w:val="16"/>
          <w:rFonts w:hint="eastAsia" w:ascii="仿宋" w:hAnsi="仿宋" w:eastAsia="仿宋"/>
          <w:bCs/>
          <w:color w:val="000000"/>
          <w:sz w:val="32"/>
          <w:szCs w:val="32"/>
        </w:rPr>
        <w:t>支出</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8.6</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，与预算数持平</w:t>
      </w:r>
      <w:r>
        <w:rPr>
          <w:rStyle w:val="16"/>
          <w:rFonts w:hint="eastAsia" w:ascii="仿宋" w:hAnsi="仿宋" w:eastAsia="仿宋"/>
          <w:b w:val="0"/>
          <w:bCs/>
          <w:sz w:val="32"/>
          <w:szCs w:val="32"/>
          <w:lang w:eastAsia="zh-CN"/>
        </w:rPr>
        <w:t>。</w:t>
      </w:r>
    </w:p>
    <w:p>
      <w:pPr>
        <w:numPr>
          <w:ilvl w:val="0"/>
          <w:numId w:val="0"/>
        </w:numPr>
        <w:spacing w:line="600" w:lineRule="exact"/>
        <w:ind w:firstLine="630" w:firstLineChars="300"/>
        <w:rPr>
          <w:rStyle w:val="16"/>
          <w:rFonts w:hint="eastAsia" w:ascii="仿宋" w:hAnsi="仿宋" w:eastAsia="仿宋"/>
          <w:b w:val="0"/>
          <w:bCs/>
          <w:sz w:val="32"/>
          <w:szCs w:val="32"/>
          <w:lang w:eastAsia="zh-CN"/>
        </w:rPr>
      </w:pPr>
      <w:r>
        <w:rPr>
          <w:rFonts w:hint="eastAsia"/>
          <w:lang w:val="en-US" w:eastAsia="zh-CN"/>
        </w:rPr>
        <w:t xml:space="preserve"> </w:t>
      </w:r>
      <w:r>
        <w:rPr>
          <w:rStyle w:val="16"/>
          <w:rFonts w:hint="eastAsia" w:ascii="仿宋" w:hAnsi="仿宋" w:eastAsia="仿宋"/>
          <w:bCs/>
          <w:sz w:val="32"/>
          <w:szCs w:val="32"/>
        </w:rPr>
        <w:t>社会保障和就业支出（类）</w:t>
      </w:r>
      <w:r>
        <w:rPr>
          <w:rStyle w:val="16"/>
          <w:rFonts w:hint="eastAsia" w:ascii="仿宋" w:hAnsi="仿宋" w:eastAsia="仿宋"/>
          <w:bCs/>
          <w:sz w:val="32"/>
          <w:szCs w:val="32"/>
          <w:lang w:val="en-US" w:eastAsia="zh-CN"/>
        </w:rPr>
        <w:t>行政事业单位养老支出</w:t>
      </w:r>
      <w:r>
        <w:rPr>
          <w:rStyle w:val="16"/>
          <w:rFonts w:hint="eastAsia" w:ascii="仿宋" w:hAnsi="仿宋" w:eastAsia="仿宋"/>
          <w:bCs/>
          <w:sz w:val="32"/>
          <w:szCs w:val="32"/>
        </w:rPr>
        <w:t>（款）</w:t>
      </w:r>
      <w:r>
        <w:rPr>
          <w:rStyle w:val="16"/>
          <w:rFonts w:hint="eastAsia" w:ascii="仿宋" w:hAnsi="仿宋" w:eastAsia="仿宋"/>
          <w:bCs/>
          <w:sz w:val="32"/>
          <w:szCs w:val="32"/>
          <w:lang w:val="en-US" w:eastAsia="zh-CN"/>
        </w:rPr>
        <w:t>事业单位离退休（项）</w:t>
      </w:r>
      <w:r>
        <w:rPr>
          <w:rStyle w:val="16"/>
          <w:rFonts w:hint="eastAsia" w:ascii="仿宋" w:hAnsi="仿宋" w:eastAsia="仿宋"/>
          <w:bCs/>
          <w:color w:val="000000"/>
          <w:sz w:val="32"/>
          <w:szCs w:val="32"/>
        </w:rPr>
        <w:t>支出</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2.24</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，与预算数持平</w:t>
      </w:r>
      <w:r>
        <w:rPr>
          <w:rStyle w:val="16"/>
          <w:rFonts w:hint="eastAsia" w:ascii="仿宋" w:hAnsi="仿宋" w:eastAsia="仿宋"/>
          <w:b w:val="0"/>
          <w:bCs/>
          <w:sz w:val="32"/>
          <w:szCs w:val="32"/>
          <w:lang w:eastAsia="zh-CN"/>
        </w:rPr>
        <w:t>。</w:t>
      </w:r>
    </w:p>
    <w:p>
      <w:pPr>
        <w:numPr>
          <w:ilvl w:val="0"/>
          <w:numId w:val="0"/>
        </w:numPr>
        <w:spacing w:line="600" w:lineRule="exact"/>
        <w:ind w:firstLine="642" w:firstLineChars="200"/>
        <w:rPr>
          <w:rStyle w:val="16"/>
          <w:rFonts w:hint="eastAsia" w:ascii="仿宋" w:hAnsi="仿宋" w:eastAsia="仿宋"/>
          <w:b w:val="0"/>
          <w:bCs/>
          <w:sz w:val="32"/>
          <w:szCs w:val="32"/>
          <w:lang w:eastAsia="zh-CN"/>
        </w:rPr>
      </w:pPr>
      <w:r>
        <w:rPr>
          <w:rStyle w:val="16"/>
          <w:rFonts w:hint="eastAsia" w:ascii="仿宋" w:hAnsi="仿宋" w:eastAsia="仿宋"/>
          <w:bCs/>
          <w:sz w:val="32"/>
          <w:szCs w:val="32"/>
        </w:rPr>
        <w:t>社会保障和就业支出（类）</w:t>
      </w:r>
      <w:r>
        <w:rPr>
          <w:rStyle w:val="16"/>
          <w:rFonts w:hint="eastAsia" w:ascii="仿宋" w:hAnsi="仿宋" w:eastAsia="仿宋"/>
          <w:bCs/>
          <w:sz w:val="32"/>
          <w:szCs w:val="32"/>
          <w:lang w:val="en-US" w:eastAsia="zh-CN"/>
        </w:rPr>
        <w:t>行政事业单位养老支出</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w:t>
      </w:r>
      <w:r>
        <w:rPr>
          <w:rStyle w:val="16"/>
          <w:rFonts w:hint="eastAsia" w:ascii="仿宋" w:hAnsi="仿宋" w:eastAsia="仿宋"/>
          <w:bCs/>
          <w:sz w:val="32"/>
          <w:szCs w:val="32"/>
          <w:lang w:val="en-US" w:eastAsia="zh-CN"/>
        </w:rPr>
        <w:t>机关事业单位基本养老保险缴费支出（项）</w:t>
      </w:r>
      <w:r>
        <w:rPr>
          <w:rStyle w:val="16"/>
          <w:rFonts w:hint="eastAsia" w:ascii="仿宋" w:hAnsi="仿宋" w:eastAsia="仿宋"/>
          <w:bCs/>
          <w:color w:val="000000"/>
          <w:sz w:val="32"/>
          <w:szCs w:val="32"/>
        </w:rPr>
        <w:t>支出</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244.45</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，与预算数持平</w:t>
      </w:r>
      <w:r>
        <w:rPr>
          <w:rStyle w:val="16"/>
          <w:rFonts w:hint="eastAsia" w:ascii="仿宋" w:hAnsi="仿宋" w:eastAsia="仿宋"/>
          <w:b w:val="0"/>
          <w:bCs/>
          <w:sz w:val="32"/>
          <w:szCs w:val="32"/>
          <w:lang w:eastAsia="zh-CN"/>
        </w:rPr>
        <w:t>。</w:t>
      </w:r>
    </w:p>
    <w:p>
      <w:pPr>
        <w:numPr>
          <w:ilvl w:val="0"/>
          <w:numId w:val="0"/>
        </w:numPr>
        <w:spacing w:line="600" w:lineRule="exact"/>
        <w:ind w:firstLine="642" w:firstLineChars="200"/>
        <w:rPr>
          <w:rStyle w:val="16"/>
          <w:rFonts w:hint="eastAsia" w:ascii="仿宋" w:hAnsi="仿宋" w:eastAsia="仿宋"/>
          <w:b w:val="0"/>
          <w:bCs/>
          <w:sz w:val="32"/>
          <w:szCs w:val="32"/>
          <w:lang w:eastAsia="zh-CN"/>
        </w:rPr>
      </w:pPr>
      <w:r>
        <w:rPr>
          <w:rStyle w:val="16"/>
          <w:rFonts w:hint="eastAsia" w:ascii="仿宋" w:hAnsi="仿宋" w:eastAsia="仿宋"/>
          <w:bCs/>
          <w:sz w:val="32"/>
          <w:szCs w:val="32"/>
        </w:rPr>
        <w:t>社会保障和就业支出（类）</w:t>
      </w:r>
      <w:r>
        <w:rPr>
          <w:rStyle w:val="16"/>
          <w:rFonts w:hint="eastAsia" w:ascii="仿宋" w:hAnsi="仿宋" w:eastAsia="仿宋"/>
          <w:bCs/>
          <w:sz w:val="32"/>
          <w:szCs w:val="32"/>
          <w:lang w:val="en-US" w:eastAsia="zh-CN"/>
        </w:rPr>
        <w:t>行政事业单位养老支出</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w:t>
      </w:r>
      <w:r>
        <w:rPr>
          <w:rStyle w:val="16"/>
          <w:rFonts w:hint="eastAsia" w:ascii="仿宋" w:hAnsi="仿宋" w:eastAsia="仿宋"/>
          <w:bCs/>
          <w:sz w:val="32"/>
          <w:szCs w:val="32"/>
          <w:lang w:val="en-US" w:eastAsia="zh-CN"/>
        </w:rPr>
        <w:t>机关事业单位职业年金缴费支出（项）</w:t>
      </w:r>
      <w:r>
        <w:rPr>
          <w:rStyle w:val="16"/>
          <w:rFonts w:hint="eastAsia" w:ascii="仿宋" w:hAnsi="仿宋" w:eastAsia="仿宋"/>
          <w:bCs/>
          <w:color w:val="000000"/>
          <w:sz w:val="32"/>
          <w:szCs w:val="32"/>
        </w:rPr>
        <w:t>支出</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43.73</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，与预算数持平</w:t>
      </w:r>
      <w:r>
        <w:rPr>
          <w:rStyle w:val="16"/>
          <w:rFonts w:hint="eastAsia" w:ascii="仿宋" w:hAnsi="仿宋" w:eastAsia="仿宋"/>
          <w:b w:val="0"/>
          <w:bCs/>
          <w:sz w:val="32"/>
          <w:szCs w:val="32"/>
          <w:lang w:eastAsia="zh-CN"/>
        </w:rPr>
        <w:t>。</w:t>
      </w:r>
    </w:p>
    <w:p>
      <w:pPr>
        <w:numPr>
          <w:ilvl w:val="0"/>
          <w:numId w:val="0"/>
        </w:numPr>
        <w:spacing w:line="600" w:lineRule="exact"/>
        <w:ind w:firstLine="642" w:firstLineChars="200"/>
        <w:rPr>
          <w:rStyle w:val="16"/>
          <w:rFonts w:hint="eastAsia" w:ascii="仿宋" w:hAnsi="仿宋" w:eastAsia="仿宋"/>
          <w:b w:val="0"/>
          <w:bCs/>
          <w:sz w:val="32"/>
          <w:szCs w:val="32"/>
          <w:lang w:eastAsia="zh-CN"/>
        </w:rPr>
      </w:pPr>
      <w:r>
        <w:rPr>
          <w:rStyle w:val="16"/>
          <w:rFonts w:hint="eastAsia" w:ascii="仿宋" w:hAnsi="仿宋" w:eastAsia="仿宋"/>
          <w:bCs/>
          <w:sz w:val="32"/>
          <w:szCs w:val="32"/>
        </w:rPr>
        <w:t>社会保障和就业支出（类）</w:t>
      </w:r>
      <w:r>
        <w:rPr>
          <w:rStyle w:val="16"/>
          <w:rFonts w:hint="eastAsia" w:ascii="仿宋" w:hAnsi="仿宋" w:eastAsia="仿宋"/>
          <w:bCs/>
          <w:sz w:val="32"/>
          <w:szCs w:val="32"/>
          <w:lang w:val="en-US" w:eastAsia="zh-CN"/>
        </w:rPr>
        <w:t>抚恤</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w:t>
      </w:r>
      <w:r>
        <w:rPr>
          <w:rStyle w:val="16"/>
          <w:rFonts w:hint="eastAsia" w:ascii="仿宋" w:hAnsi="仿宋" w:eastAsia="仿宋"/>
          <w:bCs/>
          <w:sz w:val="32"/>
          <w:szCs w:val="32"/>
          <w:lang w:val="en-US" w:eastAsia="zh-CN"/>
        </w:rPr>
        <w:t>死亡抚恤（项）</w:t>
      </w:r>
      <w:r>
        <w:rPr>
          <w:rStyle w:val="16"/>
          <w:rFonts w:hint="eastAsia" w:ascii="仿宋" w:hAnsi="仿宋" w:eastAsia="仿宋"/>
          <w:bCs/>
          <w:color w:val="000000"/>
          <w:sz w:val="32"/>
          <w:szCs w:val="32"/>
        </w:rPr>
        <w:t>支出</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18.61</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，与预算数持平</w:t>
      </w:r>
      <w:r>
        <w:rPr>
          <w:rStyle w:val="16"/>
          <w:rFonts w:hint="eastAsia" w:ascii="仿宋" w:hAnsi="仿宋" w:eastAsia="仿宋"/>
          <w:b w:val="0"/>
          <w:bCs/>
          <w:sz w:val="32"/>
          <w:szCs w:val="32"/>
          <w:lang w:eastAsia="zh-CN"/>
        </w:rPr>
        <w:t>。</w:t>
      </w:r>
    </w:p>
    <w:p>
      <w:pPr>
        <w:numPr>
          <w:ilvl w:val="0"/>
          <w:numId w:val="0"/>
        </w:numPr>
        <w:spacing w:line="600" w:lineRule="exact"/>
        <w:ind w:firstLine="642" w:firstLineChars="200"/>
        <w:rPr>
          <w:rStyle w:val="16"/>
          <w:rFonts w:hint="eastAsia" w:ascii="仿宋" w:hAnsi="仿宋" w:eastAsia="仿宋"/>
          <w:b w:val="0"/>
          <w:bCs/>
          <w:sz w:val="32"/>
          <w:szCs w:val="32"/>
          <w:lang w:eastAsia="zh-CN"/>
        </w:rPr>
      </w:pPr>
      <w:r>
        <w:rPr>
          <w:rStyle w:val="16"/>
          <w:rFonts w:hint="eastAsia" w:ascii="仿宋" w:hAnsi="仿宋" w:eastAsia="仿宋"/>
          <w:bCs/>
          <w:sz w:val="32"/>
          <w:szCs w:val="32"/>
        </w:rPr>
        <w:t>社会保障和就业支出（类）</w:t>
      </w:r>
      <w:r>
        <w:rPr>
          <w:rStyle w:val="16"/>
          <w:rFonts w:hint="eastAsia" w:ascii="仿宋" w:hAnsi="仿宋" w:eastAsia="仿宋"/>
          <w:bCs/>
          <w:sz w:val="32"/>
          <w:szCs w:val="32"/>
          <w:lang w:val="en-US" w:eastAsia="zh-CN"/>
        </w:rPr>
        <w:t>其他社会保障和就业支出</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w:t>
      </w:r>
      <w:r>
        <w:rPr>
          <w:rStyle w:val="16"/>
          <w:rFonts w:hint="eastAsia" w:ascii="仿宋" w:hAnsi="仿宋" w:eastAsia="仿宋"/>
          <w:bCs/>
          <w:sz w:val="32"/>
          <w:szCs w:val="32"/>
          <w:lang w:val="en-US" w:eastAsia="zh-CN"/>
        </w:rPr>
        <w:t>其他社会保障和就业支出（项）</w:t>
      </w:r>
      <w:r>
        <w:rPr>
          <w:rStyle w:val="16"/>
          <w:rFonts w:hint="eastAsia" w:ascii="仿宋" w:hAnsi="仿宋" w:eastAsia="仿宋"/>
          <w:bCs/>
          <w:color w:val="000000"/>
          <w:sz w:val="32"/>
          <w:szCs w:val="32"/>
        </w:rPr>
        <w:t>支出</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60.4</w:t>
      </w:r>
      <w:r>
        <w:rPr>
          <w:rStyle w:val="16"/>
          <w:rFonts w:hint="eastAsia" w:ascii="仿宋" w:hAnsi="仿宋" w:eastAsia="仿宋"/>
          <w:b w:val="0"/>
          <w:bCs/>
          <w:sz w:val="32"/>
          <w:szCs w:val="32"/>
        </w:rPr>
        <w:t>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，与预算数持平</w:t>
      </w:r>
      <w:r>
        <w:rPr>
          <w:rStyle w:val="16"/>
          <w:rFonts w:hint="eastAsia" w:ascii="仿宋" w:hAnsi="仿宋" w:eastAsia="仿宋"/>
          <w:b w:val="0"/>
          <w:bCs/>
          <w:sz w:val="32"/>
          <w:szCs w:val="32"/>
          <w:lang w:eastAsia="zh-CN"/>
        </w:rPr>
        <w:t>。</w:t>
      </w:r>
    </w:p>
    <w:p>
      <w:pPr>
        <w:spacing w:line="600" w:lineRule="exact"/>
        <w:ind w:firstLine="642" w:firstLineChars="200"/>
        <w:rPr>
          <w:rStyle w:val="16"/>
          <w:rFonts w:ascii="仿宋" w:hAnsi="仿宋" w:eastAsia="仿宋"/>
          <w:b w:val="0"/>
          <w:bCs/>
          <w:sz w:val="32"/>
          <w:szCs w:val="32"/>
        </w:rPr>
      </w:pPr>
      <w:r>
        <w:rPr>
          <w:rStyle w:val="16"/>
          <w:rFonts w:hint="eastAsia" w:ascii="仿宋" w:hAnsi="仿宋" w:eastAsia="仿宋"/>
          <w:bCs/>
          <w:sz w:val="32"/>
          <w:szCs w:val="32"/>
        </w:rPr>
        <w:t>3</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（类）行政</w:t>
      </w:r>
      <w:r>
        <w:rPr>
          <w:rStyle w:val="16"/>
          <w:rFonts w:hint="eastAsia" w:ascii="仿宋" w:hAnsi="仿宋" w:eastAsia="仿宋"/>
          <w:bCs/>
          <w:color w:val="000000"/>
          <w:sz w:val="32"/>
          <w:szCs w:val="32"/>
        </w:rPr>
        <w:t>事业单位医疗（款）事业单位医疗（项）</w:t>
      </w:r>
      <w:r>
        <w:rPr>
          <w:rStyle w:val="16"/>
          <w:rFonts w:ascii="仿宋" w:hAnsi="仿宋" w:eastAsia="仿宋"/>
          <w:bCs/>
          <w:sz w:val="32"/>
          <w:szCs w:val="32"/>
        </w:rPr>
        <w:t>:</w:t>
      </w:r>
      <w:r>
        <w:rPr>
          <w:rStyle w:val="16"/>
          <w:rFonts w:hint="eastAsia" w:ascii="仿宋" w:hAnsi="仿宋" w:eastAsia="仿宋"/>
          <w:b w:val="0"/>
          <w:bCs/>
          <w:sz w:val="32"/>
          <w:szCs w:val="32"/>
        </w:rPr>
        <w:t>支出决算为129.97万元，完成预算100</w:t>
      </w:r>
      <w:r>
        <w:rPr>
          <w:rStyle w:val="16"/>
          <w:rFonts w:ascii="仿宋" w:hAnsi="仿宋" w:eastAsia="仿宋"/>
          <w:b w:val="0"/>
          <w:bCs/>
          <w:sz w:val="32"/>
          <w:szCs w:val="32"/>
        </w:rPr>
        <w:t>%</w:t>
      </w:r>
      <w:r>
        <w:rPr>
          <w:rStyle w:val="16"/>
          <w:rFonts w:hint="eastAsia" w:ascii="仿宋" w:hAnsi="仿宋" w:eastAsia="仿宋"/>
          <w:b w:val="0"/>
          <w:bCs/>
          <w:sz w:val="32"/>
          <w:szCs w:val="32"/>
        </w:rPr>
        <w:t>，与预算数持平。</w:t>
      </w:r>
    </w:p>
    <w:p>
      <w:pPr>
        <w:pStyle w:val="2"/>
        <w:spacing w:before="93"/>
        <w:ind w:firstLine="642" w:firstLineChars="200"/>
      </w:pPr>
      <w:r>
        <w:rPr>
          <w:rStyle w:val="16"/>
          <w:rFonts w:hint="eastAsia" w:ascii="仿宋" w:hAnsi="仿宋" w:eastAsia="仿宋"/>
          <w:bCs/>
          <w:color w:val="000000"/>
          <w:sz w:val="32"/>
          <w:szCs w:val="32"/>
        </w:rPr>
        <w:t>4</w:t>
      </w:r>
      <w:r>
        <w:rPr>
          <w:rStyle w:val="16"/>
          <w:rFonts w:ascii="仿宋" w:hAnsi="仿宋" w:eastAsia="仿宋"/>
          <w:bCs/>
          <w:color w:val="000000"/>
          <w:sz w:val="32"/>
          <w:szCs w:val="32"/>
        </w:rPr>
        <w:t>.</w:t>
      </w:r>
      <w:r>
        <w:rPr>
          <w:rFonts w:hint="eastAsia" w:ascii="仿宋" w:hAnsi="仿宋" w:eastAsia="仿宋"/>
          <w:b/>
          <w:bCs/>
          <w:color w:val="000000"/>
          <w:sz w:val="32"/>
          <w:szCs w:val="32"/>
        </w:rPr>
        <w:t>住房保障支出</w:t>
      </w:r>
      <w:r>
        <w:rPr>
          <w:rStyle w:val="16"/>
          <w:rFonts w:hint="eastAsia" w:ascii="仿宋" w:hAnsi="仿宋" w:eastAsia="仿宋"/>
          <w:bCs/>
          <w:color w:val="000000"/>
          <w:sz w:val="32"/>
          <w:szCs w:val="32"/>
        </w:rPr>
        <w:t>（类）住房改革支出（款）住房公积金（项）</w:t>
      </w:r>
      <w:r>
        <w:rPr>
          <w:rStyle w:val="16"/>
          <w:rFonts w:ascii="仿宋" w:hAnsi="仿宋" w:eastAsia="仿宋"/>
          <w:bCs/>
          <w:color w:val="000000"/>
          <w:sz w:val="32"/>
          <w:szCs w:val="32"/>
        </w:rPr>
        <w:t>:</w:t>
      </w:r>
      <w:r>
        <w:rPr>
          <w:rStyle w:val="16"/>
          <w:rFonts w:hint="eastAsia" w:ascii="仿宋" w:hAnsi="仿宋" w:eastAsia="仿宋"/>
          <w:b w:val="0"/>
          <w:bCs/>
          <w:color w:val="000000"/>
          <w:sz w:val="32"/>
          <w:szCs w:val="32"/>
        </w:rPr>
        <w:t>支出决算为231.1万元，</w:t>
      </w:r>
      <w:r>
        <w:rPr>
          <w:rStyle w:val="16"/>
          <w:rFonts w:hint="eastAsia" w:ascii="仿宋" w:hAnsi="仿宋" w:eastAsia="仿宋"/>
          <w:b w:val="0"/>
          <w:bCs/>
          <w:sz w:val="32"/>
          <w:szCs w:val="32"/>
        </w:rPr>
        <w:t>完成预算100</w:t>
      </w:r>
      <w:r>
        <w:rPr>
          <w:rStyle w:val="16"/>
          <w:rFonts w:ascii="仿宋" w:hAnsi="仿宋" w:eastAsia="仿宋"/>
          <w:b w:val="0"/>
          <w:bCs/>
          <w:sz w:val="32"/>
          <w:szCs w:val="32"/>
        </w:rPr>
        <w:t>%</w:t>
      </w:r>
      <w:r>
        <w:rPr>
          <w:rStyle w:val="16"/>
          <w:rFonts w:hint="eastAsia" w:ascii="仿宋" w:hAnsi="仿宋" w:eastAsia="仿宋"/>
          <w:b w:val="0"/>
          <w:bCs/>
          <w:sz w:val="32"/>
          <w:szCs w:val="32"/>
        </w:rPr>
        <w:t>，与预算数持平</w:t>
      </w:r>
      <w:r>
        <w:rPr>
          <w:rStyle w:val="16"/>
          <w:rFonts w:hint="eastAsia" w:ascii="仿宋" w:hAnsi="仿宋" w:eastAsia="仿宋"/>
          <w:b w:val="0"/>
          <w:bCs/>
          <w:color w:val="000000"/>
          <w:sz w:val="32"/>
          <w:szCs w:val="32"/>
        </w:rPr>
        <w:t>。</w:t>
      </w:r>
    </w:p>
    <w:p>
      <w:pPr>
        <w:tabs>
          <w:tab w:val="right" w:pos="8306"/>
        </w:tabs>
        <w:spacing w:line="600" w:lineRule="exact"/>
        <w:ind w:firstLine="640"/>
        <w:outlineLvl w:val="1"/>
        <w:rPr>
          <w:rStyle w:val="27"/>
        </w:rPr>
      </w:pPr>
      <w:bookmarkStart w:id="35" w:name="_Toc15377214"/>
      <w:bookmarkStart w:id="3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35"/>
      <w:bookmarkEnd w:id="36"/>
      <w:r>
        <w:rPr>
          <w:rStyle w:val="27"/>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21年一般公共预算财政拨款基本支出4044.87万元，其中：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人员经费3150.2</w:t>
      </w:r>
      <w:r>
        <w:rPr>
          <w:rFonts w:hint="eastAsia" w:ascii="仿宋" w:hAnsi="仿宋" w:eastAsia="仿宋"/>
          <w:sz w:val="32"/>
          <w:szCs w:val="32"/>
          <w:lang w:val="en-US" w:eastAsia="zh-CN"/>
        </w:rPr>
        <w:t>0</w:t>
      </w:r>
      <w:r>
        <w:rPr>
          <w:rFonts w:hint="eastAsia" w:ascii="仿宋" w:hAnsi="仿宋" w:eastAsia="仿宋"/>
          <w:sz w:val="32"/>
          <w:szCs w:val="32"/>
        </w:rPr>
        <w:t>万元，主要包括：基本工资、津贴补贴、绩效工资、机关事业单位基本养老保险缴费、职业年金缴费、</w:t>
      </w:r>
      <w:r>
        <w:rPr>
          <w:rFonts w:hint="eastAsia" w:ascii="仿宋" w:hAnsi="仿宋" w:eastAsia="仿宋"/>
          <w:sz w:val="32"/>
          <w:szCs w:val="32"/>
          <w:lang w:eastAsia="zh-CN"/>
        </w:rPr>
        <w:t>职工基本医疗保险费、</w:t>
      </w:r>
      <w:r>
        <w:rPr>
          <w:rFonts w:hint="eastAsia" w:ascii="仿宋" w:hAnsi="仿宋" w:eastAsia="仿宋"/>
          <w:sz w:val="32"/>
          <w:szCs w:val="32"/>
        </w:rPr>
        <w:t>其他社会保障缴费、</w:t>
      </w:r>
      <w:r>
        <w:rPr>
          <w:rFonts w:hint="eastAsia" w:ascii="仿宋" w:hAnsi="仿宋" w:eastAsia="仿宋"/>
          <w:sz w:val="32"/>
          <w:szCs w:val="32"/>
          <w:lang w:eastAsia="zh-CN"/>
        </w:rPr>
        <w:t>住房公积金、</w:t>
      </w:r>
      <w:r>
        <w:rPr>
          <w:rFonts w:hint="eastAsia" w:ascii="仿宋" w:hAnsi="仿宋" w:eastAsia="仿宋"/>
          <w:sz w:val="32"/>
          <w:szCs w:val="32"/>
        </w:rPr>
        <w:t>其他工资福利支出、抚恤金、生活补助、助学金、奖励金、其他对个人和家庭的补助支出等。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　　公用经费894.67万元，主要包括：办公费、印刷费、咨询费、水费、电费、邮电费、物业管理费、差旅费、维修（护）费、租赁费、会议费、培训费、专用材料费、劳务费、工会经费、福利费、其他交通费、其他商品和服务支出、办公设备购置、专用设备购置等。</w:t>
      </w:r>
    </w:p>
    <w:p>
      <w:pPr>
        <w:spacing w:line="600" w:lineRule="exact"/>
        <w:ind w:firstLine="640"/>
        <w:outlineLvl w:val="1"/>
        <w:rPr>
          <w:rStyle w:val="27"/>
          <w:rFonts w:ascii="黑体" w:hAnsi="黑体" w:eastAsia="黑体"/>
          <w:b w:val="0"/>
        </w:rPr>
      </w:pPr>
      <w:bookmarkStart w:id="37" w:name="_Toc15377215"/>
      <w:bookmarkStart w:id="38" w:name="_Toc15396609"/>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37"/>
      <w:bookmarkEnd w:id="38"/>
    </w:p>
    <w:p>
      <w:pPr>
        <w:spacing w:line="600" w:lineRule="exact"/>
        <w:ind w:firstLine="640"/>
        <w:outlineLvl w:val="2"/>
        <w:rPr>
          <w:rFonts w:ascii="仿宋" w:hAnsi="仿宋" w:eastAsia="仿宋"/>
          <w:b/>
          <w:color w:val="auto"/>
          <w:sz w:val="32"/>
          <w:szCs w:val="32"/>
          <w:highlight w:val="none"/>
        </w:rPr>
      </w:pPr>
      <w:bookmarkStart w:id="39" w:name="_Toc15377216"/>
      <w:r>
        <w:rPr>
          <w:rFonts w:hint="eastAsia" w:ascii="仿宋" w:hAnsi="仿宋" w:eastAsia="仿宋"/>
          <w:b/>
          <w:color w:val="auto"/>
          <w:sz w:val="32"/>
          <w:szCs w:val="32"/>
          <w:highlight w:val="none"/>
        </w:rPr>
        <w:t>（一）“三公”经费财政拨款支出决算总体情况说明</w:t>
      </w:r>
      <w:bookmarkEnd w:id="39"/>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年初未安排预算</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40" w:name="_Toc15377217"/>
      <w:r>
        <w:rPr>
          <w:rFonts w:hint="eastAsia" w:ascii="仿宋" w:hAnsi="仿宋" w:eastAsia="仿宋"/>
          <w:b/>
          <w:color w:val="auto"/>
          <w:sz w:val="32"/>
          <w:szCs w:val="32"/>
          <w:highlight w:val="none"/>
        </w:rPr>
        <w:t>（二）“三公”经费财政拨款支出决算具体情况说明</w:t>
      </w:r>
      <w:bookmarkEnd w:id="40"/>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年初未安排预算，较2020年无变化</w:t>
      </w:r>
      <w:r>
        <w:rPr>
          <w:rFonts w:hint="eastAsia" w:ascii="仿宋" w:hAnsi="仿宋" w:eastAsia="仿宋"/>
          <w:color w:val="auto"/>
          <w:sz w:val="32"/>
          <w:szCs w:val="32"/>
          <w:highlight w:val="none"/>
        </w:rPr>
        <w:t>。</w:t>
      </w:r>
    </w:p>
    <w:p>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 w:hAnsi="仿宋" w:eastAsia="仿宋"/>
          <w:color w:val="auto"/>
          <w:sz w:val="32"/>
          <w:szCs w:val="32"/>
          <w:highlight w:val="none"/>
          <w:lang w:val="en-US" w:eastAsia="zh-CN"/>
        </w:rPr>
        <w:t>年初未安排预算，较2020年无变化。截至2021年12月底，单位共有公务用车1辆，其中：轿车1辆</w:t>
      </w:r>
      <w:r>
        <w:rPr>
          <w:rFonts w:hint="eastAsia" w:ascii="仿宋" w:hAnsi="仿宋" w:eastAsia="仿宋"/>
          <w:color w:val="auto"/>
          <w:sz w:val="32"/>
          <w:szCs w:val="32"/>
          <w:highlight w:val="none"/>
        </w:rPr>
        <w:t>。</w:t>
      </w:r>
    </w:p>
    <w:p>
      <w:pPr>
        <w:spacing w:line="600" w:lineRule="exact"/>
      </w:pP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 w:hAnsi="仿宋" w:eastAsia="仿宋"/>
          <w:color w:val="auto"/>
          <w:sz w:val="32"/>
          <w:szCs w:val="32"/>
          <w:highlight w:val="none"/>
          <w:lang w:val="en-US" w:eastAsia="zh-CN"/>
        </w:rPr>
        <w:t>初未安排预算</w:t>
      </w:r>
      <w:r>
        <w:rPr>
          <w:rFonts w:hint="eastAsia" w:ascii="仿宋_GB2312" w:eastAsia="仿宋_GB2312"/>
          <w:color w:val="auto"/>
          <w:sz w:val="32"/>
          <w:szCs w:val="32"/>
          <w:highlight w:val="none"/>
        </w:rPr>
        <w:t>，</w:t>
      </w:r>
      <w:r>
        <w:rPr>
          <w:rFonts w:hint="eastAsia" w:ascii="仿宋" w:hAnsi="仿宋" w:eastAsia="仿宋"/>
          <w:color w:val="auto"/>
          <w:sz w:val="32"/>
          <w:szCs w:val="32"/>
          <w:highlight w:val="none"/>
          <w:lang w:val="en-US" w:eastAsia="zh-CN"/>
        </w:rPr>
        <w:t>较2020年无变化年。</w:t>
      </w:r>
      <w:bookmarkStart w:id="66" w:name="_GoBack"/>
      <w:bookmarkEnd w:id="66"/>
    </w:p>
    <w:p>
      <w:pPr>
        <w:spacing w:line="600" w:lineRule="exact"/>
        <w:ind w:firstLine="640"/>
        <w:outlineLvl w:val="1"/>
        <w:rPr>
          <w:rStyle w:val="27"/>
          <w:rFonts w:ascii="黑体" w:hAnsi="黑体" w:eastAsia="黑体"/>
        </w:rPr>
      </w:pPr>
      <w:bookmarkStart w:id="41" w:name="_Toc15396610"/>
      <w:bookmarkStart w:id="42" w:name="_Toc15377218"/>
      <w:r>
        <w:rPr>
          <w:rFonts w:hint="eastAsia" w:ascii="黑体" w:eastAsia="黑体"/>
          <w:sz w:val="32"/>
          <w:szCs w:val="32"/>
        </w:rPr>
        <w:t>八、</w:t>
      </w:r>
      <w:r>
        <w:rPr>
          <w:rStyle w:val="27"/>
          <w:rFonts w:hint="eastAsia" w:ascii="黑体" w:hAnsi="黑体" w:eastAsia="黑体"/>
          <w:b w:val="0"/>
        </w:rPr>
        <w:t>政府性基金预算支出决算情况说明</w:t>
      </w:r>
      <w:bookmarkEnd w:id="41"/>
      <w:bookmarkEnd w:id="4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21年政府性基金预算财政拨款支出0万元。2021年本单位未在政府性基金预算拨款安排“三公经费”支出。</w:t>
      </w:r>
    </w:p>
    <w:p>
      <w:pPr>
        <w:numPr>
          <w:ilvl w:val="0"/>
          <w:numId w:val="4"/>
        </w:numPr>
        <w:spacing w:line="600" w:lineRule="exact"/>
        <w:ind w:firstLine="640"/>
        <w:outlineLvl w:val="1"/>
        <w:rPr>
          <w:rStyle w:val="27"/>
          <w:rFonts w:ascii="黑体" w:hAnsi="黑体" w:eastAsia="黑体"/>
          <w:b w:val="0"/>
        </w:rPr>
      </w:pPr>
      <w:bookmarkStart w:id="43" w:name="_Toc15377219"/>
      <w:bookmarkStart w:id="44" w:name="_Toc15396611"/>
      <w:r>
        <w:rPr>
          <w:rStyle w:val="27"/>
          <w:rFonts w:hint="eastAsia" w:ascii="黑体" w:hAnsi="黑体" w:eastAsia="黑体"/>
          <w:b w:val="0"/>
        </w:rPr>
        <w:t>国有资本经营预算支出决算情况说明</w:t>
      </w:r>
      <w:bookmarkEnd w:id="43"/>
      <w:bookmarkEnd w:id="4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4"/>
        </w:numPr>
        <w:spacing w:line="600" w:lineRule="exact"/>
        <w:ind w:firstLine="640"/>
        <w:outlineLvl w:val="1"/>
        <w:rPr>
          <w:rStyle w:val="27"/>
          <w:rFonts w:ascii="黑体" w:hAnsi="黑体" w:eastAsia="黑体"/>
          <w:b w:val="0"/>
        </w:rPr>
      </w:pPr>
      <w:bookmarkStart w:id="45" w:name="_Toc15377221"/>
      <w:bookmarkStart w:id="46" w:name="_Toc15396612"/>
      <w:r>
        <w:rPr>
          <w:rStyle w:val="27"/>
          <w:rFonts w:hint="eastAsia" w:ascii="黑体" w:hAnsi="黑体" w:eastAsia="黑体"/>
          <w:b w:val="0"/>
        </w:rPr>
        <w:t>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2021年度预算编制阶段，组织对“多功能综合实训基地建设项目、专业技能教学配套设备及安装采购、第二批支持中职学校基本办学条件标准化建设”项目开展了预算事前绩效评估，对3个项目编制了绩效目标，预算执行过程中，选取3个项目开展绩效监控，年终执行完毕后，对3个项目开展了绩效自评，2021年部门预算项目绩效目标自评表见附件（第四部分）。</w:t>
      </w:r>
    </w:p>
    <w:p>
      <w:pPr>
        <w:numPr>
          <w:ilvl w:val="0"/>
          <w:numId w:val="4"/>
        </w:numPr>
        <w:spacing w:line="600" w:lineRule="exact"/>
        <w:ind w:firstLine="640"/>
        <w:outlineLvl w:val="1"/>
        <w:rPr>
          <w:rStyle w:val="27"/>
          <w:rFonts w:ascii="黑体" w:hAnsi="黑体" w:eastAsia="黑体"/>
          <w:b w:val="0"/>
        </w:rPr>
      </w:pPr>
      <w:r>
        <w:rPr>
          <w:rStyle w:val="27"/>
          <w:rFonts w:hint="eastAsia" w:ascii="黑体" w:hAnsi="黑体" w:eastAsia="黑体"/>
          <w:b w:val="0"/>
        </w:rPr>
        <w:t>其他重要事项的情况说明</w:t>
      </w:r>
    </w:p>
    <w:p>
      <w:pPr>
        <w:spacing w:line="600" w:lineRule="exact"/>
        <w:ind w:firstLine="642" w:firstLineChars="200"/>
        <w:outlineLvl w:val="2"/>
        <w:rPr>
          <w:rFonts w:ascii="仿宋" w:hAnsi="仿宋" w:eastAsia="仿宋"/>
          <w:sz w:val="32"/>
          <w:szCs w:val="32"/>
        </w:rPr>
      </w:pPr>
      <w:r>
        <w:rPr>
          <w:rFonts w:hint="eastAsia" w:ascii="仿宋" w:hAnsi="仿宋" w:eastAsia="仿宋"/>
          <w:b/>
          <w:sz w:val="32"/>
          <w:szCs w:val="32"/>
        </w:rPr>
        <w:t>（一）机关运行经费支出情况</w:t>
      </w:r>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21年未发生机关运行经费支出，与2020年决算数持平。</w:t>
      </w:r>
    </w:p>
    <w:p>
      <w:pPr>
        <w:autoSpaceDE w:val="0"/>
        <w:autoSpaceDN w:val="0"/>
        <w:adjustRightInd w:val="0"/>
        <w:spacing w:line="600"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p>
    <w:p>
      <w:pPr>
        <w:spacing w:line="600" w:lineRule="exact"/>
        <w:ind w:firstLine="640" w:firstLineChars="200"/>
        <w:rPr>
          <w:rFonts w:hint="default" w:ascii="仿宋_GB2312" w:eastAsia="仿宋_GB2312"/>
          <w:color w:val="auto"/>
          <w:sz w:val="32"/>
          <w:szCs w:val="32"/>
          <w:highlight w:val="none"/>
          <w:lang w:val="en-US"/>
        </w:rPr>
      </w:pPr>
      <w:r>
        <w:rPr>
          <w:rFonts w:ascii="仿宋_GB2312" w:eastAsia="仿宋_GB2312"/>
          <w:sz w:val="32"/>
          <w:szCs w:val="32"/>
        </w:rPr>
        <w:t>20</w:t>
      </w:r>
      <w:r>
        <w:rPr>
          <w:rFonts w:hint="eastAsia" w:ascii="仿宋_GB2312" w:eastAsia="仿宋_GB2312"/>
          <w:sz w:val="32"/>
          <w:szCs w:val="32"/>
        </w:rPr>
        <w:t>21年，政府采购支出总额1105.64万元，其中：政府采购货物支出1085.64万元。主要用于1、课桌椅采购77.39万元。2、现代服务产教融合基地325.98万元。3、专业技能教学配套设备及安装采购626.42万元。4、数字化校园系统完善55.85万元。政府采购服务支出20万元，主要用于5#学生宿舍地勘设计。</w:t>
      </w:r>
      <w:r>
        <w:rPr>
          <w:rFonts w:hint="eastAsia" w:ascii="仿宋_GB2312" w:eastAsia="仿宋_GB2312"/>
          <w:color w:val="auto"/>
          <w:sz w:val="32"/>
          <w:szCs w:val="32"/>
          <w:highlight w:val="none"/>
        </w:rPr>
        <w:t>授予中小企业合同金额</w:t>
      </w:r>
      <w:r>
        <w:rPr>
          <w:rFonts w:hint="default" w:ascii="仿宋_GB2312" w:eastAsia="仿宋_GB2312"/>
          <w:color w:val="auto"/>
          <w:sz w:val="32"/>
          <w:szCs w:val="32"/>
          <w:highlight w:val="none"/>
          <w:lang w:val="en-US"/>
        </w:rPr>
        <w:t>1105.64</w:t>
      </w:r>
      <w:r>
        <w:rPr>
          <w:rFonts w:hint="eastAsia" w:ascii="仿宋_GB2312" w:eastAsia="仿宋_GB2312"/>
          <w:color w:val="auto"/>
          <w:sz w:val="32"/>
          <w:szCs w:val="32"/>
          <w:highlight w:val="none"/>
        </w:rPr>
        <w:t>万元，占政府采购支出总额的</w:t>
      </w:r>
      <w:r>
        <w:rPr>
          <w:rFonts w:hint="default" w:ascii="仿宋_GB2312" w:eastAsia="仿宋_GB2312"/>
          <w:color w:val="auto"/>
          <w:sz w:val="32"/>
          <w:szCs w:val="32"/>
          <w:highlight w:val="none"/>
          <w:lang w:val="en-US"/>
        </w:rPr>
        <w:t>100</w:t>
      </w:r>
      <w:r>
        <w:rPr>
          <w:rFonts w:ascii="仿宋_GB2312" w:eastAsia="仿宋_GB2312"/>
          <w:color w:val="auto"/>
          <w:sz w:val="32"/>
          <w:szCs w:val="32"/>
          <w:highlight w:val="none"/>
        </w:rPr>
        <w:t>%</w:t>
      </w:r>
      <w:r>
        <w:rPr>
          <w:rFonts w:hint="default" w:ascii="仿宋_GB2312" w:eastAsia="仿宋_GB2312"/>
          <w:color w:val="auto"/>
          <w:sz w:val="32"/>
          <w:szCs w:val="32"/>
          <w:highlight w:val="none"/>
          <w:lang w:val="en-US"/>
        </w:rPr>
        <w:t>,</w:t>
      </w:r>
      <w:r>
        <w:rPr>
          <w:rFonts w:hint="eastAsia" w:ascii="仿宋_GB2312" w:eastAsia="仿宋_GB2312"/>
          <w:color w:val="auto"/>
          <w:sz w:val="32"/>
          <w:szCs w:val="32"/>
          <w:highlight w:val="none"/>
        </w:rPr>
        <w:t>其中：授予小微企业合同金额</w:t>
      </w:r>
      <w:r>
        <w:rPr>
          <w:rFonts w:hint="default" w:ascii="仿宋_GB2312" w:eastAsia="仿宋_GB2312"/>
          <w:color w:val="auto"/>
          <w:sz w:val="32"/>
          <w:szCs w:val="32"/>
          <w:highlight w:val="none"/>
          <w:lang w:val="en-US"/>
        </w:rPr>
        <w:t>1105.64</w:t>
      </w:r>
      <w:r>
        <w:rPr>
          <w:rFonts w:hint="eastAsia" w:ascii="仿宋_GB2312" w:eastAsia="仿宋_GB2312"/>
          <w:color w:val="auto"/>
          <w:sz w:val="32"/>
          <w:szCs w:val="32"/>
          <w:highlight w:val="none"/>
        </w:rPr>
        <w:t>万元，占政府采购支出总额的</w:t>
      </w:r>
      <w:r>
        <w:rPr>
          <w:rFonts w:hint="default" w:ascii="仿宋_GB2312" w:eastAsia="仿宋_GB2312"/>
          <w:color w:val="auto"/>
          <w:sz w:val="32"/>
          <w:szCs w:val="32"/>
          <w:highlight w:val="none"/>
          <w:lang w:val="en-US"/>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jc w:val="left"/>
        <w:outlineLvl w:val="2"/>
        <w:rPr>
          <w:rFonts w:ascii="仿宋" w:hAnsi="仿宋" w:eastAsia="仿宋"/>
          <w:b/>
          <w:sz w:val="32"/>
          <w:szCs w:val="32"/>
        </w:rPr>
      </w:pPr>
      <w:r>
        <w:rPr>
          <w:rFonts w:hint="eastAsia" w:ascii="仿宋" w:hAnsi="仿宋" w:eastAsia="仿宋"/>
          <w:b/>
          <w:sz w:val="32"/>
          <w:szCs w:val="32"/>
        </w:rPr>
        <w:t>（三）国有资产占有使用情况</w:t>
      </w:r>
    </w:p>
    <w:p>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日，本单位共有车辆</w:t>
      </w:r>
      <w:r>
        <w:rPr>
          <w:rFonts w:hint="eastAsia" w:ascii="仿宋_GB2312" w:eastAsia="仿宋_GB2312"/>
          <w:sz w:val="32"/>
          <w:szCs w:val="32"/>
          <w:lang w:val="en-US" w:eastAsia="zh-CN"/>
        </w:rPr>
        <w:t>0</w:t>
      </w:r>
      <w:r>
        <w:rPr>
          <w:rFonts w:hint="eastAsia" w:ascii="仿宋_GB2312" w:eastAsia="仿宋_GB2312"/>
          <w:sz w:val="32"/>
          <w:szCs w:val="32"/>
        </w:rPr>
        <w:t>辆，其中：</w:t>
      </w:r>
      <w:r>
        <w:rPr>
          <w:rFonts w:hint="eastAsia" w:ascii="仿宋" w:hAnsi="仿宋" w:eastAsia="仿宋"/>
          <w:color w:val="000000"/>
          <w:sz w:val="32"/>
          <w:szCs w:val="32"/>
        </w:rPr>
        <w:t>其他用车</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辆，其他用车主要是用于日常开展工作。</w:t>
      </w:r>
      <w:r>
        <w:rPr>
          <w:rFonts w:hint="eastAsia" w:ascii="仿宋_GB2312" w:eastAsia="仿宋_GB2312"/>
          <w:sz w:val="32"/>
          <w:szCs w:val="32"/>
        </w:rPr>
        <w:t>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r>
        <w:rPr>
          <w:rFonts w:hint="eastAsia" w:ascii="仿宋_GB2312" w:hAnsi="仿宋_GB2312" w:eastAsia="仿宋_GB2312" w:cs="仿宋_GB2312"/>
          <w:sz w:val="32"/>
          <w:szCs w:val="32"/>
        </w:rPr>
        <w:t xml:space="preserve"> </w:t>
      </w:r>
    </w:p>
    <w:p>
      <w:pPr>
        <w:widowControl/>
        <w:jc w:val="left"/>
        <w:rPr>
          <w:rFonts w:ascii="仿宋_GB2312" w:eastAsia="仿宋_GB2312"/>
          <w:b/>
          <w:sz w:val="32"/>
          <w:szCs w:val="32"/>
        </w:rPr>
        <w:sectPr>
          <w:footerReference r:id="rId6" w:type="default"/>
          <w:pgSz w:w="11906" w:h="16838"/>
          <w:pgMar w:top="1440" w:right="1800" w:bottom="1440" w:left="1800" w:header="851" w:footer="992" w:gutter="0"/>
          <w:pgNumType w:fmt="decimal" w:start="1"/>
          <w:cols w:space="720" w:num="1"/>
          <w:docGrid w:type="lines" w:linePitch="312" w:charSpace="0"/>
        </w:sectPr>
      </w:pPr>
      <w:r>
        <w:rPr>
          <w:rFonts w:hint="eastAsia" w:ascii="仿宋_GB2312" w:hAnsi="仿宋_GB2312" w:eastAsia="仿宋_GB2312" w:cs="仿宋_GB2312"/>
          <w:sz w:val="32"/>
          <w:szCs w:val="32"/>
        </w:rPr>
        <w:t xml:space="preserve">                                                                                                                                                                                                                                                                                                                                                                                                                                                                                                                                                                                                                                                                                                                                                                                                                                                                                                                                                                                                                                                                                                                                    </w:t>
      </w:r>
    </w:p>
    <w:bookmarkEnd w:id="45"/>
    <w:bookmarkEnd w:id="46"/>
    <w:p>
      <w:pPr>
        <w:numPr>
          <w:ilvl w:val="0"/>
          <w:numId w:val="5"/>
        </w:numPr>
        <w:spacing w:line="600" w:lineRule="exact"/>
        <w:ind w:firstLine="660" w:firstLineChars="150"/>
        <w:jc w:val="center"/>
        <w:outlineLvl w:val="0"/>
        <w:rPr>
          <w:rStyle w:val="26"/>
          <w:rFonts w:ascii="黑体" w:hAnsi="黑体" w:eastAsia="黑体"/>
          <w:b w:val="0"/>
        </w:rPr>
      </w:pPr>
      <w:bookmarkStart w:id="47" w:name="_Toc15377225"/>
      <w:bookmarkStart w:id="48" w:name="_Toc15396613"/>
      <w:r>
        <w:rPr>
          <w:rFonts w:hint="eastAsia" w:ascii="黑体" w:hAnsi="黑体" w:eastAsia="黑体"/>
          <w:sz w:val="44"/>
          <w:szCs w:val="44"/>
        </w:rPr>
        <w:t>名</w:t>
      </w:r>
      <w:r>
        <w:rPr>
          <w:rStyle w:val="26"/>
          <w:rFonts w:hint="eastAsia" w:ascii="黑体" w:hAnsi="黑体" w:eastAsia="黑体"/>
          <w:b w:val="0"/>
        </w:rPr>
        <w:t>词解释</w:t>
      </w:r>
      <w:bookmarkEnd w:id="47"/>
      <w:bookmarkEnd w:id="48"/>
    </w:p>
    <w:p>
      <w:pPr>
        <w:spacing w:line="600" w:lineRule="exact"/>
        <w:jc w:val="left"/>
        <w:rPr>
          <w:rFonts w:ascii="宋体"/>
          <w:b/>
          <w:sz w:val="44"/>
          <w:szCs w:val="44"/>
        </w:rPr>
      </w:pPr>
    </w:p>
    <w:p>
      <w:pPr>
        <w:pStyle w:val="24"/>
        <w:spacing w:line="560" w:lineRule="exact"/>
        <w:ind w:firstLine="640" w:firstLineChars="200"/>
        <w:rPr>
          <w:rFonts w:ascii="仿宋_GB2312" w:eastAsia="仿宋_GB2312"/>
          <w:b w:val="0"/>
          <w:bCs w:val="0"/>
          <w:color w:val="auto"/>
          <w:sz w:val="32"/>
          <w:szCs w:val="32"/>
        </w:rPr>
      </w:pPr>
      <w:r>
        <w:rPr>
          <w:rFonts w:ascii="仿宋_GB2312" w:eastAsia="仿宋_GB2312"/>
          <w:b w:val="0"/>
          <w:bCs w:val="0"/>
          <w:color w:val="auto"/>
          <w:sz w:val="32"/>
          <w:szCs w:val="32"/>
        </w:rPr>
        <w:t>1.</w:t>
      </w:r>
      <w:r>
        <w:rPr>
          <w:rFonts w:hint="eastAsia" w:ascii="仿宋_GB2312" w:eastAsia="仿宋_GB2312"/>
          <w:b w:val="0"/>
          <w:bCs w:val="0"/>
          <w:color w:val="auto"/>
          <w:sz w:val="32"/>
          <w:szCs w:val="32"/>
        </w:rPr>
        <w:t>财政拨款收入：指单位从同级财政部门取得的财政预算资金。</w:t>
      </w:r>
    </w:p>
    <w:p>
      <w:pPr>
        <w:pStyle w:val="24"/>
        <w:spacing w:line="560" w:lineRule="exact"/>
        <w:ind w:firstLine="640" w:firstLineChars="200"/>
        <w:rPr>
          <w:rFonts w:ascii="仿宋_GB2312" w:eastAsia="仿宋_GB2312"/>
          <w:b w:val="0"/>
          <w:bCs w:val="0"/>
          <w:color w:val="auto"/>
          <w:sz w:val="32"/>
          <w:szCs w:val="32"/>
        </w:rPr>
      </w:pPr>
      <w:r>
        <w:rPr>
          <w:rFonts w:ascii="仿宋_GB2312" w:eastAsia="仿宋_GB2312"/>
          <w:b w:val="0"/>
          <w:bCs w:val="0"/>
          <w:color w:val="auto"/>
          <w:sz w:val="32"/>
          <w:szCs w:val="32"/>
        </w:rPr>
        <w:t>2.</w:t>
      </w:r>
      <w:r>
        <w:rPr>
          <w:rFonts w:hint="eastAsia" w:ascii="仿宋_GB2312" w:eastAsia="仿宋_GB2312"/>
          <w:b w:val="0"/>
          <w:bCs w:val="0"/>
          <w:color w:val="auto"/>
          <w:sz w:val="32"/>
          <w:szCs w:val="32"/>
        </w:rPr>
        <w:t>事业收入：指事业单位开展专业业务活动及辅助活动取得的收入。</w:t>
      </w:r>
    </w:p>
    <w:p>
      <w:pPr>
        <w:pStyle w:val="24"/>
        <w:spacing w:line="56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3</w:t>
      </w:r>
      <w:r>
        <w:rPr>
          <w:rFonts w:ascii="仿宋_GB2312" w:eastAsia="仿宋_GB2312"/>
          <w:b w:val="0"/>
          <w:bCs w:val="0"/>
          <w:color w:val="auto"/>
          <w:sz w:val="32"/>
          <w:szCs w:val="32"/>
        </w:rPr>
        <w:t>.</w:t>
      </w:r>
      <w:r>
        <w:rPr>
          <w:rFonts w:hint="eastAsia" w:ascii="仿宋_GB2312" w:eastAsia="仿宋_GB2312"/>
          <w:b w:val="0"/>
          <w:bCs w:val="0"/>
          <w:color w:val="auto"/>
          <w:sz w:val="32"/>
          <w:szCs w:val="32"/>
        </w:rPr>
        <w:t>其他收入：指单位取得的除上述收入以外的各项收入。</w:t>
      </w:r>
    </w:p>
    <w:p>
      <w:pPr>
        <w:pStyle w:val="24"/>
        <w:spacing w:line="56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4</w:t>
      </w:r>
      <w:r>
        <w:rPr>
          <w:rFonts w:ascii="仿宋_GB2312" w:eastAsia="仿宋_GB2312"/>
          <w:b w:val="0"/>
          <w:bCs w:val="0"/>
          <w:color w:val="auto"/>
          <w:sz w:val="32"/>
          <w:szCs w:val="32"/>
        </w:rPr>
        <w:t>.</w:t>
      </w:r>
      <w:r>
        <w:rPr>
          <w:rFonts w:hint="eastAsia" w:ascii="仿宋_GB2312" w:eastAsia="仿宋_GB2312"/>
          <w:b w:val="0"/>
          <w:bCs w:val="0"/>
          <w:color w:val="auto"/>
          <w:sz w:val="32"/>
          <w:szCs w:val="32"/>
        </w:rPr>
        <w:t>年初结转和结余：指以前年度尚未完成、结转到本年按有关规定继续使用的资金。</w:t>
      </w:r>
      <w:r>
        <w:rPr>
          <w:rFonts w:ascii="仿宋_GB2312" w:eastAsia="仿宋_GB2312"/>
          <w:b w:val="0"/>
          <w:bCs w:val="0"/>
          <w:color w:val="auto"/>
          <w:sz w:val="32"/>
          <w:szCs w:val="32"/>
        </w:rPr>
        <w:t xml:space="preserve"> </w:t>
      </w:r>
    </w:p>
    <w:p>
      <w:pPr>
        <w:pStyle w:val="24"/>
        <w:spacing w:line="56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5、年末结转和结余：指单位按有关规定结转到下年或以后年度继续使用的资金。</w:t>
      </w:r>
    </w:p>
    <w:p>
      <w:pPr>
        <w:ind w:firstLine="640" w:firstLineChars="200"/>
        <w:rPr>
          <w:rFonts w:hint="eastAsia" w:ascii="仿宋_GB2312" w:hAnsi="Calibri" w:eastAsia="仿宋_GB2312" w:cs="仿宋"/>
          <w:b w:val="0"/>
          <w:bCs w:val="0"/>
          <w:kern w:val="0"/>
          <w:sz w:val="32"/>
          <w:szCs w:val="32"/>
        </w:rPr>
      </w:pPr>
      <w:r>
        <w:rPr>
          <w:rFonts w:hint="eastAsia" w:ascii="仿宋_GB2312" w:eastAsia="仿宋_GB2312"/>
          <w:b w:val="0"/>
          <w:bCs w:val="0"/>
          <w:sz w:val="32"/>
          <w:szCs w:val="32"/>
        </w:rPr>
        <w:t>6、</w:t>
      </w:r>
      <w:r>
        <w:rPr>
          <w:rFonts w:hint="eastAsia" w:ascii="仿宋_GB2312" w:hAnsi="Calibri" w:eastAsia="仿宋_GB2312" w:cs="仿宋"/>
          <w:b w:val="0"/>
          <w:bCs w:val="0"/>
          <w:kern w:val="0"/>
          <w:sz w:val="32"/>
          <w:szCs w:val="32"/>
        </w:rPr>
        <w:t>教育</w:t>
      </w:r>
      <w:r>
        <w:rPr>
          <w:rFonts w:hint="eastAsia" w:ascii="仿宋_GB2312" w:hAnsi="Calibri" w:eastAsia="仿宋_GB2312" w:cs="仿宋"/>
          <w:b w:val="0"/>
          <w:bCs w:val="0"/>
          <w:kern w:val="0"/>
          <w:sz w:val="32"/>
          <w:szCs w:val="32"/>
          <w:lang w:val="en-US" w:eastAsia="zh-CN"/>
        </w:rPr>
        <w:t>支出</w:t>
      </w:r>
      <w:r>
        <w:rPr>
          <w:rFonts w:hint="eastAsia" w:ascii="仿宋_GB2312" w:hAnsi="Calibri" w:eastAsia="仿宋_GB2312" w:cs="仿宋"/>
          <w:b w:val="0"/>
          <w:bCs w:val="0"/>
          <w:kern w:val="0"/>
          <w:sz w:val="32"/>
          <w:szCs w:val="32"/>
        </w:rPr>
        <w:t>（类）职业教育（款）中</w:t>
      </w:r>
      <w:r>
        <w:rPr>
          <w:rFonts w:hint="eastAsia" w:ascii="仿宋_GB2312" w:hAnsi="Calibri" w:eastAsia="仿宋_GB2312" w:cs="仿宋"/>
          <w:b w:val="0"/>
          <w:bCs w:val="0"/>
          <w:kern w:val="0"/>
          <w:sz w:val="32"/>
          <w:szCs w:val="32"/>
          <w:lang w:val="en-US" w:eastAsia="zh-CN"/>
        </w:rPr>
        <w:t>等职业</w:t>
      </w:r>
      <w:r>
        <w:rPr>
          <w:rFonts w:hint="eastAsia" w:ascii="仿宋_GB2312" w:hAnsi="Calibri" w:eastAsia="仿宋_GB2312" w:cs="仿宋"/>
          <w:b w:val="0"/>
          <w:bCs w:val="0"/>
          <w:kern w:val="0"/>
          <w:sz w:val="32"/>
          <w:szCs w:val="32"/>
        </w:rPr>
        <w:t>教育（项）：指中专教育支出。</w:t>
      </w:r>
    </w:p>
    <w:p>
      <w:pPr>
        <w:ind w:firstLine="640" w:firstLineChars="200"/>
        <w:rPr>
          <w:rFonts w:hint="eastAsia" w:ascii="仿宋_GB2312" w:hAnsi="Calibri" w:eastAsia="仿宋_GB2312" w:cs="仿宋"/>
          <w:b w:val="0"/>
          <w:bCs w:val="0"/>
          <w:kern w:val="0"/>
          <w:sz w:val="32"/>
          <w:szCs w:val="32"/>
        </w:rPr>
      </w:pPr>
      <w:r>
        <w:rPr>
          <w:rFonts w:hint="eastAsia" w:ascii="仿宋_GB2312" w:hAnsi="Calibri" w:eastAsia="仿宋_GB2312" w:cs="仿宋"/>
          <w:b w:val="0"/>
          <w:bCs w:val="0"/>
          <w:kern w:val="0"/>
          <w:sz w:val="32"/>
          <w:szCs w:val="32"/>
        </w:rPr>
        <w:t>教育</w:t>
      </w:r>
      <w:r>
        <w:rPr>
          <w:rFonts w:hint="eastAsia" w:ascii="仿宋_GB2312" w:hAnsi="Calibri" w:eastAsia="仿宋_GB2312" w:cs="仿宋"/>
          <w:b w:val="0"/>
          <w:bCs w:val="0"/>
          <w:kern w:val="0"/>
          <w:sz w:val="32"/>
          <w:szCs w:val="32"/>
          <w:lang w:val="en-US" w:eastAsia="zh-CN"/>
        </w:rPr>
        <w:t>支出</w:t>
      </w:r>
      <w:r>
        <w:rPr>
          <w:rFonts w:hint="eastAsia" w:ascii="仿宋_GB2312" w:hAnsi="Calibri" w:eastAsia="仿宋_GB2312" w:cs="仿宋"/>
          <w:b w:val="0"/>
          <w:bCs w:val="0"/>
          <w:kern w:val="0"/>
          <w:sz w:val="32"/>
          <w:szCs w:val="32"/>
        </w:rPr>
        <w:t>（类）职业教育（款）</w:t>
      </w:r>
      <w:r>
        <w:rPr>
          <w:rFonts w:hint="eastAsia" w:ascii="仿宋_GB2312" w:hAnsi="Calibri" w:eastAsia="仿宋_GB2312" w:cs="仿宋"/>
          <w:b w:val="0"/>
          <w:bCs w:val="0"/>
          <w:kern w:val="0"/>
          <w:sz w:val="32"/>
          <w:szCs w:val="32"/>
          <w:lang w:val="en-US" w:eastAsia="zh-CN"/>
        </w:rPr>
        <w:t>初等职业</w:t>
      </w:r>
      <w:r>
        <w:rPr>
          <w:rFonts w:hint="eastAsia" w:ascii="仿宋_GB2312" w:hAnsi="Calibri" w:eastAsia="仿宋_GB2312" w:cs="仿宋"/>
          <w:b w:val="0"/>
          <w:bCs w:val="0"/>
          <w:kern w:val="0"/>
          <w:sz w:val="32"/>
          <w:szCs w:val="32"/>
        </w:rPr>
        <w:t>教育（项）：指</w:t>
      </w:r>
      <w:r>
        <w:rPr>
          <w:rFonts w:hint="eastAsia" w:ascii="仿宋_GB2312" w:hAnsi="Calibri" w:eastAsia="仿宋_GB2312" w:cs="仿宋"/>
          <w:b w:val="0"/>
          <w:bCs w:val="0"/>
          <w:kern w:val="0"/>
          <w:sz w:val="32"/>
          <w:szCs w:val="32"/>
          <w:lang w:val="en-US" w:eastAsia="zh-CN"/>
        </w:rPr>
        <w:t>山区支教</w:t>
      </w:r>
      <w:r>
        <w:rPr>
          <w:rFonts w:hint="eastAsia" w:ascii="仿宋_GB2312" w:hAnsi="Calibri" w:eastAsia="仿宋_GB2312" w:cs="仿宋"/>
          <w:b w:val="0"/>
          <w:bCs w:val="0"/>
          <w:kern w:val="0"/>
          <w:sz w:val="32"/>
          <w:szCs w:val="32"/>
        </w:rPr>
        <w:t>。</w:t>
      </w:r>
    </w:p>
    <w:p>
      <w:pPr>
        <w:numPr>
          <w:ilvl w:val="0"/>
          <w:numId w:val="6"/>
        </w:numPr>
        <w:ind w:firstLine="640" w:firstLineChars="200"/>
        <w:rPr>
          <w:rFonts w:hint="eastAsia" w:ascii="仿宋_GB2312" w:hAnsi="Calibri" w:eastAsia="仿宋_GB2312" w:cs="仿宋"/>
          <w:b w:val="0"/>
          <w:bCs w:val="0"/>
          <w:kern w:val="0"/>
          <w:sz w:val="32"/>
          <w:szCs w:val="32"/>
        </w:rPr>
      </w:pPr>
      <w:r>
        <w:rPr>
          <w:rStyle w:val="16"/>
          <w:rFonts w:hint="eastAsia" w:ascii="仿宋" w:hAnsi="仿宋" w:eastAsia="仿宋"/>
          <w:b w:val="0"/>
          <w:bCs w:val="0"/>
          <w:sz w:val="32"/>
          <w:szCs w:val="32"/>
        </w:rPr>
        <w:t>社会保障和就业支出（类）人力资源和社会保障管理事务（款）</w:t>
      </w:r>
      <w:r>
        <w:rPr>
          <w:rStyle w:val="16"/>
          <w:rFonts w:hint="eastAsia" w:ascii="仿宋" w:hAnsi="仿宋" w:eastAsia="仿宋"/>
          <w:b w:val="0"/>
          <w:bCs w:val="0"/>
          <w:sz w:val="32"/>
          <w:szCs w:val="32"/>
          <w:lang w:val="en-US" w:eastAsia="zh-CN"/>
        </w:rPr>
        <w:t>其他人力资源和社会保障管理事务（项）指由单位缴纳工伤、失业保险支出</w:t>
      </w:r>
      <w:r>
        <w:rPr>
          <w:rFonts w:hint="eastAsia" w:ascii="仿宋_GB2312" w:hAnsi="Calibri" w:eastAsia="仿宋_GB2312" w:cs="仿宋"/>
          <w:b w:val="0"/>
          <w:bCs w:val="0"/>
          <w:kern w:val="0"/>
          <w:sz w:val="32"/>
          <w:szCs w:val="32"/>
        </w:rPr>
        <w:t>。</w:t>
      </w:r>
    </w:p>
    <w:p>
      <w:pPr>
        <w:pStyle w:val="2"/>
        <w:ind w:firstLine="600"/>
        <w:rPr>
          <w:rStyle w:val="16"/>
          <w:rFonts w:hint="default" w:ascii="仿宋" w:hAnsi="仿宋" w:eastAsia="仿宋"/>
          <w:b w:val="0"/>
          <w:bCs w:val="0"/>
          <w:color w:val="000000"/>
          <w:sz w:val="32"/>
          <w:szCs w:val="32"/>
          <w:lang w:val="en-US"/>
        </w:rPr>
      </w:pPr>
      <w:r>
        <w:rPr>
          <w:rStyle w:val="16"/>
          <w:rFonts w:hint="eastAsia" w:ascii="仿宋" w:hAnsi="仿宋" w:eastAsia="仿宋"/>
          <w:b w:val="0"/>
          <w:bCs w:val="0"/>
          <w:sz w:val="32"/>
          <w:szCs w:val="32"/>
        </w:rPr>
        <w:t>社会保障和就业支出（类）</w:t>
      </w:r>
      <w:r>
        <w:rPr>
          <w:rStyle w:val="16"/>
          <w:rFonts w:hint="eastAsia" w:ascii="仿宋" w:hAnsi="仿宋" w:eastAsia="仿宋"/>
          <w:b w:val="0"/>
          <w:bCs w:val="0"/>
          <w:sz w:val="32"/>
          <w:szCs w:val="32"/>
          <w:lang w:val="en-US" w:eastAsia="zh-CN"/>
        </w:rPr>
        <w:t>行政事业单位养老支出</w:t>
      </w:r>
      <w:r>
        <w:rPr>
          <w:rStyle w:val="16"/>
          <w:rFonts w:hint="eastAsia" w:ascii="仿宋" w:hAnsi="仿宋" w:eastAsia="仿宋"/>
          <w:b w:val="0"/>
          <w:bCs w:val="0"/>
          <w:sz w:val="32"/>
          <w:szCs w:val="32"/>
        </w:rPr>
        <w:t>（款）</w:t>
      </w:r>
      <w:r>
        <w:rPr>
          <w:rStyle w:val="16"/>
          <w:rFonts w:hint="eastAsia" w:ascii="仿宋" w:hAnsi="仿宋" w:eastAsia="仿宋"/>
          <w:b w:val="0"/>
          <w:bCs w:val="0"/>
          <w:sz w:val="32"/>
          <w:szCs w:val="32"/>
          <w:lang w:val="en-US" w:eastAsia="zh-CN"/>
        </w:rPr>
        <w:t>事业单位离退休（项）：指财政安排退休人员费用。</w:t>
      </w:r>
    </w:p>
    <w:p>
      <w:pPr>
        <w:pStyle w:val="2"/>
        <w:numPr>
          <w:ilvl w:val="0"/>
          <w:numId w:val="0"/>
        </w:numPr>
        <w:ind w:firstLine="640" w:firstLineChars="200"/>
        <w:rPr>
          <w:rFonts w:hint="eastAsia" w:ascii="仿宋_GB2312" w:hAnsi="Calibri" w:eastAsia="仿宋_GB2312" w:cs="仿宋"/>
          <w:b w:val="0"/>
          <w:bCs w:val="0"/>
          <w:kern w:val="0"/>
          <w:sz w:val="32"/>
          <w:szCs w:val="32"/>
        </w:rPr>
      </w:pPr>
      <w:r>
        <w:rPr>
          <w:rStyle w:val="16"/>
          <w:rFonts w:hint="eastAsia" w:ascii="仿宋" w:hAnsi="仿宋" w:eastAsia="仿宋"/>
          <w:b w:val="0"/>
          <w:bCs w:val="0"/>
          <w:sz w:val="32"/>
          <w:szCs w:val="32"/>
        </w:rPr>
        <w:t>社会保障和就业支出（类）</w:t>
      </w:r>
      <w:r>
        <w:rPr>
          <w:rStyle w:val="16"/>
          <w:rFonts w:hint="eastAsia" w:ascii="仿宋" w:hAnsi="仿宋" w:eastAsia="仿宋"/>
          <w:b w:val="0"/>
          <w:bCs w:val="0"/>
          <w:sz w:val="32"/>
          <w:szCs w:val="32"/>
          <w:lang w:val="en-US" w:eastAsia="zh-CN"/>
        </w:rPr>
        <w:t>行政事业单位养老支出</w:t>
      </w:r>
      <w:r>
        <w:rPr>
          <w:rStyle w:val="16"/>
          <w:rFonts w:hint="eastAsia" w:ascii="仿宋" w:hAnsi="仿宋" w:eastAsia="仿宋"/>
          <w:b w:val="0"/>
          <w:bCs w:val="0"/>
          <w:sz w:val="32"/>
          <w:szCs w:val="32"/>
        </w:rPr>
        <w:t>（款</w:t>
      </w:r>
      <w:r>
        <w:rPr>
          <w:rStyle w:val="16"/>
          <w:rFonts w:hint="eastAsia" w:ascii="仿宋" w:hAnsi="仿宋" w:eastAsia="仿宋"/>
          <w:b w:val="0"/>
          <w:bCs w:val="0"/>
          <w:sz w:val="32"/>
          <w:szCs w:val="32"/>
          <w:lang w:eastAsia="zh-CN"/>
        </w:rPr>
        <w:t>）</w:t>
      </w:r>
      <w:r>
        <w:rPr>
          <w:rStyle w:val="16"/>
          <w:rFonts w:hint="eastAsia" w:ascii="仿宋" w:hAnsi="仿宋" w:eastAsia="仿宋"/>
          <w:b w:val="0"/>
          <w:bCs w:val="0"/>
          <w:sz w:val="32"/>
          <w:szCs w:val="32"/>
          <w:lang w:val="en-US" w:eastAsia="zh-CN"/>
        </w:rPr>
        <w:t>机关事业单位基本养老保险缴费支出（项）</w:t>
      </w:r>
      <w:r>
        <w:rPr>
          <w:rFonts w:hint="eastAsia" w:ascii="仿宋_GB2312" w:hAnsi="Calibri" w:eastAsia="仿宋_GB2312" w:cs="仿宋"/>
          <w:b w:val="0"/>
          <w:bCs w:val="0"/>
          <w:kern w:val="0"/>
          <w:sz w:val="32"/>
          <w:szCs w:val="32"/>
        </w:rPr>
        <w:t>指机关事业单位实施养老保险制度由单位缴纳的基本养老保险费支出。</w:t>
      </w:r>
    </w:p>
    <w:p>
      <w:pPr>
        <w:pStyle w:val="2"/>
        <w:numPr>
          <w:ilvl w:val="0"/>
          <w:numId w:val="0"/>
        </w:numPr>
        <w:ind w:firstLine="640" w:firstLineChars="200"/>
        <w:rPr>
          <w:rFonts w:hint="default" w:ascii="仿宋_GB2312" w:hAnsi="Calibri" w:eastAsia="仿宋" w:cs="仿宋"/>
          <w:b w:val="0"/>
          <w:bCs w:val="0"/>
          <w:kern w:val="0"/>
          <w:sz w:val="32"/>
          <w:szCs w:val="32"/>
          <w:lang w:val="en-US" w:eastAsia="zh-CN"/>
        </w:rPr>
      </w:pPr>
      <w:r>
        <w:rPr>
          <w:rStyle w:val="16"/>
          <w:rFonts w:hint="eastAsia" w:ascii="仿宋" w:hAnsi="仿宋" w:eastAsia="仿宋"/>
          <w:b w:val="0"/>
          <w:bCs w:val="0"/>
          <w:sz w:val="32"/>
          <w:szCs w:val="32"/>
        </w:rPr>
        <w:t>社会保障和就业支出（类）</w:t>
      </w:r>
      <w:r>
        <w:rPr>
          <w:rStyle w:val="16"/>
          <w:rFonts w:hint="eastAsia" w:ascii="仿宋" w:hAnsi="仿宋" w:eastAsia="仿宋"/>
          <w:b w:val="0"/>
          <w:bCs w:val="0"/>
          <w:sz w:val="32"/>
          <w:szCs w:val="32"/>
          <w:lang w:val="en-US" w:eastAsia="zh-CN"/>
        </w:rPr>
        <w:t>行政事业单位养老支出</w:t>
      </w:r>
      <w:r>
        <w:rPr>
          <w:rStyle w:val="16"/>
          <w:rFonts w:hint="eastAsia" w:ascii="仿宋" w:hAnsi="仿宋" w:eastAsia="仿宋"/>
          <w:b w:val="0"/>
          <w:bCs w:val="0"/>
          <w:sz w:val="32"/>
          <w:szCs w:val="32"/>
        </w:rPr>
        <w:t>（款</w:t>
      </w:r>
      <w:r>
        <w:rPr>
          <w:rStyle w:val="16"/>
          <w:rFonts w:hint="eastAsia" w:ascii="仿宋" w:hAnsi="仿宋" w:eastAsia="仿宋"/>
          <w:b w:val="0"/>
          <w:bCs w:val="0"/>
          <w:sz w:val="32"/>
          <w:szCs w:val="32"/>
          <w:lang w:eastAsia="zh-CN"/>
        </w:rPr>
        <w:t>）</w:t>
      </w:r>
      <w:r>
        <w:rPr>
          <w:rStyle w:val="16"/>
          <w:rFonts w:hint="eastAsia" w:ascii="仿宋" w:hAnsi="仿宋" w:eastAsia="仿宋"/>
          <w:b w:val="0"/>
          <w:bCs w:val="0"/>
          <w:sz w:val="32"/>
          <w:szCs w:val="32"/>
          <w:lang w:val="en-US" w:eastAsia="zh-CN"/>
        </w:rPr>
        <w:t>机关事业单位职业年金缴费支出（项）</w:t>
      </w:r>
      <w:r>
        <w:rPr>
          <w:rStyle w:val="16"/>
          <w:rFonts w:hint="eastAsia" w:ascii="仿宋" w:hAnsi="仿宋" w:eastAsia="仿宋"/>
          <w:b w:val="0"/>
          <w:bCs w:val="0"/>
          <w:color w:val="000000"/>
          <w:sz w:val="32"/>
          <w:szCs w:val="32"/>
        </w:rPr>
        <w:t>支出</w:t>
      </w:r>
      <w:r>
        <w:rPr>
          <w:rStyle w:val="16"/>
          <w:rFonts w:hint="eastAsia" w:ascii="仿宋" w:hAnsi="仿宋" w:eastAsia="仿宋"/>
          <w:b w:val="0"/>
          <w:bCs w:val="0"/>
          <w:color w:val="000000"/>
          <w:sz w:val="32"/>
          <w:szCs w:val="32"/>
          <w:lang w:eastAsia="zh-CN"/>
        </w:rPr>
        <w:t>：</w:t>
      </w:r>
      <w:r>
        <w:rPr>
          <w:rStyle w:val="16"/>
          <w:rFonts w:hint="eastAsia" w:ascii="仿宋" w:hAnsi="仿宋" w:eastAsia="仿宋"/>
          <w:b w:val="0"/>
          <w:bCs w:val="0"/>
          <w:color w:val="000000"/>
          <w:sz w:val="32"/>
          <w:szCs w:val="32"/>
          <w:lang w:val="en-US" w:eastAsia="zh-CN"/>
        </w:rPr>
        <w:t>指退休人员单位部分缴纳的职业年金。</w:t>
      </w:r>
    </w:p>
    <w:p>
      <w:pPr>
        <w:pStyle w:val="2"/>
        <w:ind w:firstLine="600"/>
        <w:rPr>
          <w:rStyle w:val="16"/>
          <w:rFonts w:hint="default" w:ascii="仿宋" w:hAnsi="仿宋" w:eastAsia="仿宋"/>
          <w:b w:val="0"/>
          <w:bCs w:val="0"/>
          <w:color w:val="000000"/>
          <w:sz w:val="32"/>
          <w:szCs w:val="32"/>
          <w:lang w:val="en-US"/>
        </w:rPr>
      </w:pPr>
      <w:r>
        <w:rPr>
          <w:rStyle w:val="16"/>
          <w:rFonts w:hint="eastAsia" w:ascii="仿宋" w:hAnsi="仿宋" w:eastAsia="仿宋"/>
          <w:b w:val="0"/>
          <w:bCs w:val="0"/>
          <w:sz w:val="32"/>
          <w:szCs w:val="32"/>
        </w:rPr>
        <w:t>社会保障和就业支出（类）</w:t>
      </w:r>
      <w:r>
        <w:rPr>
          <w:rStyle w:val="16"/>
          <w:rFonts w:hint="eastAsia" w:ascii="仿宋" w:hAnsi="仿宋" w:eastAsia="仿宋"/>
          <w:b w:val="0"/>
          <w:bCs w:val="0"/>
          <w:sz w:val="32"/>
          <w:szCs w:val="32"/>
          <w:lang w:val="en-US" w:eastAsia="zh-CN"/>
        </w:rPr>
        <w:t>抚恤</w:t>
      </w:r>
      <w:r>
        <w:rPr>
          <w:rStyle w:val="16"/>
          <w:rFonts w:hint="eastAsia" w:ascii="仿宋" w:hAnsi="仿宋" w:eastAsia="仿宋"/>
          <w:b w:val="0"/>
          <w:bCs w:val="0"/>
          <w:sz w:val="32"/>
          <w:szCs w:val="32"/>
        </w:rPr>
        <w:t>（款</w:t>
      </w:r>
      <w:r>
        <w:rPr>
          <w:rStyle w:val="16"/>
          <w:rFonts w:hint="eastAsia" w:ascii="仿宋" w:hAnsi="仿宋" w:eastAsia="仿宋"/>
          <w:b w:val="0"/>
          <w:bCs w:val="0"/>
          <w:sz w:val="32"/>
          <w:szCs w:val="32"/>
          <w:lang w:eastAsia="zh-CN"/>
        </w:rPr>
        <w:t>）</w:t>
      </w:r>
      <w:r>
        <w:rPr>
          <w:rStyle w:val="16"/>
          <w:rFonts w:hint="eastAsia" w:ascii="仿宋" w:hAnsi="仿宋" w:eastAsia="仿宋"/>
          <w:b w:val="0"/>
          <w:bCs w:val="0"/>
          <w:sz w:val="32"/>
          <w:szCs w:val="32"/>
          <w:lang w:val="en-US" w:eastAsia="zh-CN"/>
        </w:rPr>
        <w:t>死亡抚恤（项）：指单位在职职工死亡抚恤金。</w:t>
      </w:r>
    </w:p>
    <w:p>
      <w:pPr>
        <w:numPr>
          <w:ilvl w:val="0"/>
          <w:numId w:val="0"/>
        </w:numPr>
        <w:ind w:firstLine="640" w:firstLineChars="200"/>
        <w:rPr>
          <w:rFonts w:hint="eastAsia" w:ascii="仿宋_GB2312" w:hAnsi="Calibri" w:eastAsia="仿宋_GB2312" w:cs="仿宋"/>
          <w:b w:val="0"/>
          <w:bCs w:val="0"/>
          <w:kern w:val="0"/>
          <w:sz w:val="32"/>
          <w:szCs w:val="32"/>
        </w:rPr>
      </w:pPr>
      <w:r>
        <w:rPr>
          <w:rStyle w:val="16"/>
          <w:rFonts w:hint="eastAsia" w:ascii="仿宋" w:hAnsi="仿宋" w:eastAsia="仿宋"/>
          <w:b w:val="0"/>
          <w:bCs w:val="0"/>
          <w:sz w:val="32"/>
          <w:szCs w:val="32"/>
        </w:rPr>
        <w:t>社会保障和就业支出（类）</w:t>
      </w:r>
      <w:r>
        <w:rPr>
          <w:rStyle w:val="16"/>
          <w:rFonts w:hint="eastAsia" w:ascii="仿宋" w:hAnsi="仿宋" w:eastAsia="仿宋"/>
          <w:b w:val="0"/>
          <w:bCs w:val="0"/>
          <w:sz w:val="32"/>
          <w:szCs w:val="32"/>
          <w:lang w:val="en-US" w:eastAsia="zh-CN"/>
        </w:rPr>
        <w:t>其他社会保障和就业支出</w:t>
      </w:r>
      <w:r>
        <w:rPr>
          <w:rStyle w:val="16"/>
          <w:rFonts w:hint="eastAsia" w:ascii="仿宋" w:hAnsi="仿宋" w:eastAsia="仿宋"/>
          <w:b w:val="0"/>
          <w:bCs w:val="0"/>
          <w:sz w:val="32"/>
          <w:szCs w:val="32"/>
        </w:rPr>
        <w:t>（款</w:t>
      </w:r>
      <w:r>
        <w:rPr>
          <w:rStyle w:val="16"/>
          <w:rFonts w:hint="eastAsia" w:ascii="仿宋" w:hAnsi="仿宋" w:eastAsia="仿宋"/>
          <w:b w:val="0"/>
          <w:bCs w:val="0"/>
          <w:sz w:val="32"/>
          <w:szCs w:val="32"/>
          <w:lang w:eastAsia="zh-CN"/>
        </w:rPr>
        <w:t>）</w:t>
      </w:r>
      <w:r>
        <w:rPr>
          <w:rStyle w:val="16"/>
          <w:rFonts w:hint="eastAsia" w:ascii="仿宋" w:hAnsi="仿宋" w:eastAsia="仿宋"/>
          <w:b w:val="0"/>
          <w:bCs w:val="0"/>
          <w:sz w:val="32"/>
          <w:szCs w:val="32"/>
          <w:lang w:val="en-US" w:eastAsia="zh-CN"/>
        </w:rPr>
        <w:t>其他社会保障和就业支出（项）：指由单位缴纳工伤、失业保险支出</w:t>
      </w:r>
      <w:r>
        <w:rPr>
          <w:rFonts w:hint="eastAsia" w:ascii="仿宋_GB2312" w:hAnsi="Calibri" w:eastAsia="仿宋_GB2312" w:cs="仿宋"/>
          <w:b w:val="0"/>
          <w:bCs w:val="0"/>
          <w:kern w:val="0"/>
          <w:sz w:val="32"/>
          <w:szCs w:val="32"/>
        </w:rPr>
        <w:t>。</w:t>
      </w:r>
    </w:p>
    <w:p>
      <w:pPr>
        <w:ind w:firstLine="640" w:firstLineChars="200"/>
        <w:rPr>
          <w:rFonts w:ascii="仿宋_GB2312" w:hAnsi="Calibri" w:eastAsia="仿宋_GB2312" w:cs="仿宋"/>
          <w:b w:val="0"/>
          <w:bCs w:val="0"/>
          <w:kern w:val="0"/>
          <w:sz w:val="32"/>
          <w:szCs w:val="32"/>
        </w:rPr>
      </w:pPr>
      <w:r>
        <w:rPr>
          <w:rFonts w:hint="eastAsia" w:ascii="仿宋_GB2312" w:hAnsi="Calibri" w:eastAsia="仿宋_GB2312" w:cs="仿宋"/>
          <w:b w:val="0"/>
          <w:bCs w:val="0"/>
          <w:kern w:val="0"/>
          <w:sz w:val="32"/>
          <w:szCs w:val="32"/>
        </w:rPr>
        <w:t>8</w:t>
      </w:r>
      <w:r>
        <w:rPr>
          <w:rFonts w:ascii="仿宋_GB2312" w:hAnsi="Calibri" w:eastAsia="仿宋_GB2312" w:cs="仿宋"/>
          <w:b w:val="0"/>
          <w:bCs w:val="0"/>
          <w:kern w:val="0"/>
          <w:sz w:val="32"/>
          <w:szCs w:val="32"/>
        </w:rPr>
        <w:t>.</w:t>
      </w:r>
      <w:r>
        <w:rPr>
          <w:rFonts w:hint="eastAsia" w:ascii="仿宋" w:hAnsi="仿宋" w:eastAsia="仿宋"/>
          <w:b w:val="0"/>
          <w:bCs w:val="0"/>
          <w:sz w:val="32"/>
          <w:szCs w:val="32"/>
        </w:rPr>
        <w:t>卫生健康</w:t>
      </w:r>
      <w:r>
        <w:rPr>
          <w:rStyle w:val="16"/>
          <w:rFonts w:hint="eastAsia" w:ascii="仿宋" w:hAnsi="仿宋" w:eastAsia="仿宋"/>
          <w:b w:val="0"/>
          <w:bCs w:val="0"/>
          <w:sz w:val="32"/>
          <w:szCs w:val="32"/>
        </w:rPr>
        <w:t>（类）行政</w:t>
      </w:r>
      <w:r>
        <w:rPr>
          <w:rStyle w:val="16"/>
          <w:rFonts w:hint="eastAsia" w:ascii="仿宋" w:hAnsi="仿宋" w:eastAsia="仿宋"/>
          <w:b w:val="0"/>
          <w:bCs w:val="0"/>
          <w:color w:val="000000"/>
          <w:sz w:val="32"/>
          <w:szCs w:val="32"/>
        </w:rPr>
        <w:t>事业单位医疗（款）事业单位医疗（项）</w:t>
      </w:r>
      <w:r>
        <w:rPr>
          <w:rFonts w:hint="eastAsia" w:ascii="仿宋_GB2312" w:hAnsi="Calibri" w:eastAsia="仿宋_GB2312" w:cs="仿宋"/>
          <w:b w:val="0"/>
          <w:bCs w:val="0"/>
          <w:kern w:val="0"/>
          <w:sz w:val="32"/>
          <w:szCs w:val="32"/>
        </w:rPr>
        <w:t>：指财政部门集中安排的事业单位基本医疗保险缴费经费，未参加医疗保险的事业单位的公费医疗经费，按国家规定享受离休人员待遇人员的医疗经费。</w:t>
      </w:r>
    </w:p>
    <w:p>
      <w:pPr>
        <w:ind w:firstLine="640" w:firstLineChars="200"/>
        <w:rPr>
          <w:rFonts w:ascii="仿宋_GB2312" w:hAnsi="Calibri" w:eastAsia="仿宋_GB2312" w:cs="仿宋"/>
          <w:b w:val="0"/>
          <w:bCs w:val="0"/>
          <w:kern w:val="0"/>
          <w:sz w:val="32"/>
          <w:szCs w:val="32"/>
        </w:rPr>
      </w:pPr>
      <w:r>
        <w:rPr>
          <w:rFonts w:hint="eastAsia" w:ascii="仿宋_GB2312" w:hAnsi="Calibri" w:eastAsia="仿宋_GB2312" w:cs="仿宋"/>
          <w:b w:val="0"/>
          <w:bCs w:val="0"/>
          <w:kern w:val="0"/>
          <w:sz w:val="32"/>
          <w:szCs w:val="32"/>
        </w:rPr>
        <w:t>9</w:t>
      </w:r>
      <w:r>
        <w:rPr>
          <w:rFonts w:ascii="仿宋_GB2312" w:hAnsi="Calibri" w:eastAsia="仿宋_GB2312" w:cs="仿宋"/>
          <w:b w:val="0"/>
          <w:bCs w:val="0"/>
          <w:kern w:val="0"/>
          <w:sz w:val="32"/>
          <w:szCs w:val="32"/>
        </w:rPr>
        <w:t>.</w:t>
      </w:r>
      <w:r>
        <w:rPr>
          <w:rFonts w:hint="eastAsia" w:ascii="仿宋_GB2312" w:hAnsi="Calibri" w:eastAsia="仿宋_GB2312" w:cs="仿宋"/>
          <w:b w:val="0"/>
          <w:bCs w:val="0"/>
          <w:kern w:val="0"/>
          <w:sz w:val="32"/>
          <w:szCs w:val="32"/>
        </w:rPr>
        <w:t>住房保障（类）住房改革支出（款）住房公积金（项）：指行政事业单位按人力资源和社会保障部、财政部规定的基本工资和津贴补贴以及规定比例为职工缴纳的住房公积金。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hAnsi="Calibri" w:eastAsia="仿宋_GB2312" w:cs="仿宋"/>
          <w:b w:val="0"/>
          <w:bCs w:val="0"/>
          <w:kern w:val="0"/>
          <w:sz w:val="32"/>
          <w:szCs w:val="32"/>
        </w:rPr>
      </w:pPr>
      <w:r>
        <w:rPr>
          <w:rFonts w:hint="eastAsia" w:ascii="仿宋_GB2312" w:hAnsi="Calibri" w:eastAsia="仿宋_GB2312" w:cs="仿宋"/>
          <w:b w:val="0"/>
          <w:bCs w:val="0"/>
          <w:kern w:val="0"/>
          <w:sz w:val="32"/>
          <w:szCs w:val="32"/>
        </w:rPr>
        <w:t>10</w:t>
      </w:r>
      <w:r>
        <w:rPr>
          <w:rFonts w:ascii="仿宋_GB2312" w:hAnsi="Calibri" w:eastAsia="仿宋_GB2312" w:cs="仿宋"/>
          <w:b w:val="0"/>
          <w:bCs w:val="0"/>
          <w:kern w:val="0"/>
          <w:sz w:val="32"/>
          <w:szCs w:val="32"/>
        </w:rPr>
        <w:t>.</w:t>
      </w:r>
      <w:r>
        <w:rPr>
          <w:rFonts w:hint="eastAsia" w:ascii="仿宋_GB2312" w:hAnsi="Calibri" w:eastAsia="仿宋_GB2312" w:cs="仿宋"/>
          <w:b w:val="0"/>
          <w:bCs w:val="0"/>
          <w:kern w:val="0"/>
          <w:sz w:val="32"/>
          <w:szCs w:val="32"/>
        </w:rPr>
        <w:t>基本支出：指为保障机构正常运转、完成日常工作任务而发生的人员支出和公用支出。</w:t>
      </w:r>
    </w:p>
    <w:p>
      <w:pPr>
        <w:ind w:firstLine="640" w:firstLineChars="200"/>
        <w:rPr>
          <w:rFonts w:ascii="仿宋_GB2312" w:hAnsi="Calibri" w:eastAsia="仿宋_GB2312" w:cs="仿宋"/>
          <w:b w:val="0"/>
          <w:bCs w:val="0"/>
          <w:kern w:val="0"/>
          <w:sz w:val="32"/>
          <w:szCs w:val="32"/>
        </w:rPr>
      </w:pPr>
      <w:r>
        <w:rPr>
          <w:rFonts w:hint="eastAsia" w:ascii="仿宋_GB2312" w:hAnsi="Calibri" w:eastAsia="仿宋_GB2312" w:cs="仿宋"/>
          <w:b w:val="0"/>
          <w:bCs w:val="0"/>
          <w:kern w:val="0"/>
          <w:sz w:val="32"/>
          <w:szCs w:val="32"/>
        </w:rPr>
        <w:t>11</w:t>
      </w:r>
      <w:r>
        <w:rPr>
          <w:rFonts w:ascii="仿宋_GB2312" w:hAnsi="Calibri" w:eastAsia="仿宋_GB2312" w:cs="仿宋"/>
          <w:b w:val="0"/>
          <w:bCs w:val="0"/>
          <w:kern w:val="0"/>
          <w:sz w:val="32"/>
          <w:szCs w:val="32"/>
        </w:rPr>
        <w:t>.</w:t>
      </w:r>
      <w:r>
        <w:rPr>
          <w:rFonts w:hint="eastAsia" w:ascii="仿宋_GB2312" w:hAnsi="Calibri" w:eastAsia="仿宋_GB2312" w:cs="仿宋"/>
          <w:b w:val="0"/>
          <w:bCs w:val="0"/>
          <w:kern w:val="0"/>
          <w:sz w:val="32"/>
          <w:szCs w:val="32"/>
        </w:rPr>
        <w:t>项目支出：指在基本支出之外为完成特定行政任务和事业发展目标所发生的支出。</w:t>
      </w:r>
      <w:r>
        <w:rPr>
          <w:rFonts w:ascii="仿宋_GB2312" w:hAnsi="Calibri" w:eastAsia="仿宋_GB2312" w:cs="仿宋"/>
          <w:b w:val="0"/>
          <w:bCs w:val="0"/>
          <w:kern w:val="0"/>
          <w:sz w:val="32"/>
          <w:szCs w:val="32"/>
        </w:rPr>
        <w:t xml:space="preserve"> </w:t>
      </w:r>
    </w:p>
    <w:p>
      <w:pPr>
        <w:pStyle w:val="24"/>
        <w:spacing w:line="560" w:lineRule="exact"/>
        <w:ind w:firstLine="640" w:firstLineChars="200"/>
        <w:rPr>
          <w:rFonts w:ascii="仿宋_GB2312" w:eastAsia="仿宋_GB2312"/>
          <w:b w:val="0"/>
          <w:bCs w:val="0"/>
          <w:color w:val="auto"/>
          <w:sz w:val="32"/>
          <w:szCs w:val="32"/>
        </w:rPr>
      </w:pPr>
      <w:r>
        <w:rPr>
          <w:rFonts w:hint="eastAsia" w:ascii="仿宋_GB2312" w:eastAsia="仿宋_GB2312"/>
          <w:b w:val="0"/>
          <w:bCs w:val="0"/>
          <w:color w:val="auto"/>
          <w:sz w:val="32"/>
          <w:szCs w:val="32"/>
        </w:rPr>
        <w:t>12</w:t>
      </w:r>
      <w:r>
        <w:rPr>
          <w:rFonts w:ascii="仿宋_GB2312" w:eastAsia="仿宋_GB2312"/>
          <w:b w:val="0"/>
          <w:bCs w:val="0"/>
          <w:color w:val="auto"/>
          <w:sz w:val="32"/>
          <w:szCs w:val="32"/>
        </w:rPr>
        <w:t>.</w:t>
      </w:r>
      <w:r>
        <w:rPr>
          <w:rFonts w:hint="eastAsia" w:ascii="仿宋_GB2312" w:eastAsia="仿宋_GB2312"/>
          <w:b w:val="0"/>
          <w:bCs w:val="0"/>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b w:val="0"/>
          <w:bCs w:val="0"/>
          <w:color w:val="auto"/>
          <w:sz w:val="32"/>
          <w:szCs w:val="32"/>
        </w:rPr>
      </w:pPr>
    </w:p>
    <w:p>
      <w:pPr>
        <w:pStyle w:val="24"/>
        <w:spacing w:line="560" w:lineRule="exact"/>
        <w:ind w:firstLine="640" w:firstLineChars="200"/>
        <w:rPr>
          <w:rFonts w:ascii="仿宋_GB2312" w:eastAsia="仿宋_GB2312"/>
          <w:b w:val="0"/>
          <w:bCs w:val="0"/>
          <w:color w:val="auto"/>
          <w:sz w:val="32"/>
          <w:szCs w:val="32"/>
        </w:rPr>
      </w:pPr>
    </w:p>
    <w:p>
      <w:pPr>
        <w:pStyle w:val="24"/>
        <w:spacing w:line="560" w:lineRule="exact"/>
        <w:ind w:firstLine="640" w:firstLineChars="200"/>
        <w:rPr>
          <w:rFonts w:ascii="仿宋_GB2312" w:eastAsia="仿宋_GB2312"/>
          <w:b w:val="0"/>
          <w:bCs w:val="0"/>
          <w:color w:val="auto"/>
          <w:sz w:val="32"/>
          <w:szCs w:val="32"/>
        </w:rPr>
      </w:pPr>
    </w:p>
    <w:p>
      <w:pPr>
        <w:pStyle w:val="24"/>
        <w:spacing w:line="560" w:lineRule="exact"/>
        <w:ind w:firstLine="640" w:firstLineChars="200"/>
        <w:rPr>
          <w:rFonts w:ascii="仿宋_GB2312" w:eastAsia="仿宋_GB2312"/>
          <w:b w:val="0"/>
          <w:bCs w:val="0"/>
          <w:color w:val="auto"/>
          <w:sz w:val="32"/>
          <w:szCs w:val="32"/>
        </w:rPr>
      </w:pPr>
    </w:p>
    <w:p>
      <w:pPr>
        <w:pStyle w:val="24"/>
        <w:spacing w:line="560" w:lineRule="exact"/>
        <w:ind w:firstLine="640" w:firstLineChars="200"/>
        <w:rPr>
          <w:rFonts w:ascii="仿宋_GB2312" w:eastAsia="仿宋_GB2312"/>
          <w:b w:val="0"/>
          <w:bCs w:val="0"/>
          <w:color w:val="auto"/>
          <w:sz w:val="32"/>
          <w:szCs w:val="32"/>
        </w:rPr>
      </w:pPr>
    </w:p>
    <w:p>
      <w:pPr>
        <w:pStyle w:val="24"/>
        <w:spacing w:line="560" w:lineRule="exact"/>
        <w:ind w:firstLine="640" w:firstLineChars="200"/>
        <w:rPr>
          <w:rFonts w:ascii="仿宋_GB2312" w:eastAsia="仿宋_GB2312"/>
          <w:b w:val="0"/>
          <w:bCs w:val="0"/>
          <w:color w:val="auto"/>
          <w:sz w:val="32"/>
          <w:szCs w:val="32"/>
        </w:rPr>
      </w:pPr>
    </w:p>
    <w:p>
      <w:pPr>
        <w:pStyle w:val="24"/>
        <w:spacing w:line="560" w:lineRule="exact"/>
        <w:ind w:firstLine="640" w:firstLineChars="200"/>
        <w:rPr>
          <w:rFonts w:ascii="仿宋_GB2312" w:eastAsia="仿宋_GB2312"/>
          <w:b w:val="0"/>
          <w:bCs w:val="0"/>
          <w:color w:val="auto"/>
          <w:sz w:val="32"/>
          <w:szCs w:val="32"/>
        </w:rPr>
      </w:pPr>
    </w:p>
    <w:p>
      <w:pPr>
        <w:spacing w:line="600" w:lineRule="exact"/>
        <w:jc w:val="center"/>
        <w:outlineLvl w:val="0"/>
        <w:rPr>
          <w:rFonts w:hint="eastAsia" w:ascii="黑体" w:hAnsi="黑体" w:eastAsia="黑体"/>
          <w:b w:val="0"/>
          <w:bCs w:val="0"/>
          <w:sz w:val="44"/>
          <w:szCs w:val="44"/>
        </w:rPr>
      </w:pPr>
      <w:bookmarkStart w:id="49" w:name="_Toc15396614"/>
      <w:bookmarkStart w:id="50" w:name="_Toc15377226"/>
    </w:p>
    <w:p>
      <w:pPr>
        <w:spacing w:line="600" w:lineRule="exact"/>
        <w:jc w:val="center"/>
        <w:outlineLvl w:val="0"/>
        <w:rPr>
          <w:rFonts w:hint="eastAsia" w:ascii="黑体" w:hAnsi="黑体" w:eastAsia="黑体"/>
          <w:b w:val="0"/>
          <w:bCs w:val="0"/>
          <w:sz w:val="44"/>
          <w:szCs w:val="44"/>
        </w:rPr>
      </w:pPr>
    </w:p>
    <w:p>
      <w:pPr>
        <w:spacing w:line="600" w:lineRule="exact"/>
        <w:jc w:val="center"/>
        <w:outlineLvl w:val="0"/>
        <w:rPr>
          <w:rFonts w:hint="eastAsia" w:ascii="黑体" w:hAnsi="黑体" w:eastAsia="黑体"/>
          <w:b w:val="0"/>
          <w:bCs w:val="0"/>
          <w:sz w:val="44"/>
          <w:szCs w:val="44"/>
        </w:rPr>
      </w:pPr>
    </w:p>
    <w:p>
      <w:pPr>
        <w:spacing w:line="600" w:lineRule="exact"/>
        <w:jc w:val="center"/>
        <w:outlineLvl w:val="0"/>
        <w:rPr>
          <w:rFonts w:hint="eastAsia" w:ascii="黑体" w:hAnsi="黑体" w:eastAsia="黑体"/>
          <w:b w:val="0"/>
          <w:bCs w:val="0"/>
          <w:sz w:val="44"/>
          <w:szCs w:val="44"/>
        </w:rPr>
      </w:pPr>
    </w:p>
    <w:p>
      <w:pPr>
        <w:spacing w:line="600" w:lineRule="exact"/>
        <w:jc w:val="center"/>
        <w:outlineLvl w:val="0"/>
        <w:rPr>
          <w:rFonts w:hint="eastAsia" w:ascii="黑体" w:hAnsi="黑体" w:eastAsia="黑体"/>
          <w:b w:val="0"/>
          <w:bCs w:val="0"/>
          <w:sz w:val="44"/>
          <w:szCs w:val="44"/>
        </w:rPr>
      </w:pPr>
    </w:p>
    <w:p>
      <w:pPr>
        <w:spacing w:line="600" w:lineRule="exact"/>
        <w:jc w:val="center"/>
        <w:outlineLvl w:val="0"/>
        <w:rPr>
          <w:rFonts w:hint="eastAsia" w:ascii="黑体" w:hAnsi="黑体" w:eastAsia="黑体"/>
          <w:b w:val="0"/>
          <w:bCs w:val="0"/>
          <w:sz w:val="44"/>
          <w:szCs w:val="44"/>
        </w:rPr>
      </w:pPr>
    </w:p>
    <w:p>
      <w:pPr>
        <w:spacing w:line="600" w:lineRule="exact"/>
        <w:jc w:val="center"/>
        <w:outlineLvl w:val="0"/>
        <w:rPr>
          <w:rFonts w:hint="eastAsia" w:ascii="黑体" w:hAnsi="黑体" w:eastAsia="黑体"/>
          <w:b w:val="0"/>
          <w:bCs w:val="0"/>
          <w:sz w:val="44"/>
          <w:szCs w:val="44"/>
        </w:rPr>
      </w:pPr>
    </w:p>
    <w:p>
      <w:pPr>
        <w:spacing w:line="600" w:lineRule="exact"/>
        <w:jc w:val="center"/>
        <w:outlineLvl w:val="0"/>
        <w:rPr>
          <w:rFonts w:hint="eastAsia" w:ascii="黑体" w:hAnsi="黑体" w:eastAsia="黑体"/>
          <w:b w:val="0"/>
          <w:bCs w:val="0"/>
          <w:sz w:val="44"/>
          <w:szCs w:val="44"/>
        </w:rPr>
      </w:pPr>
    </w:p>
    <w:p>
      <w:pPr>
        <w:spacing w:line="600" w:lineRule="exact"/>
        <w:jc w:val="center"/>
        <w:outlineLvl w:val="0"/>
        <w:rPr>
          <w:rFonts w:hint="eastAsia" w:ascii="黑体" w:hAnsi="黑体" w:eastAsia="黑体"/>
          <w:b w:val="0"/>
          <w:bCs w:val="0"/>
          <w:sz w:val="44"/>
          <w:szCs w:val="44"/>
        </w:rPr>
      </w:pPr>
    </w:p>
    <w:p>
      <w:pPr>
        <w:spacing w:line="600" w:lineRule="exact"/>
        <w:jc w:val="center"/>
        <w:outlineLvl w:val="0"/>
        <w:rPr>
          <w:rFonts w:hint="eastAsia" w:ascii="黑体" w:hAnsi="黑体" w:eastAsia="黑体"/>
          <w:b w:val="0"/>
          <w:bCs w:val="0"/>
          <w:sz w:val="44"/>
          <w:szCs w:val="44"/>
        </w:rPr>
      </w:pPr>
    </w:p>
    <w:p>
      <w:pPr>
        <w:spacing w:line="600" w:lineRule="exact"/>
        <w:jc w:val="center"/>
        <w:outlineLvl w:val="0"/>
        <w:rPr>
          <w:rFonts w:hint="eastAsia" w:ascii="黑体" w:hAnsi="黑体" w:eastAsia="黑体"/>
          <w:b w:val="0"/>
          <w:bCs w:val="0"/>
          <w:sz w:val="44"/>
          <w:szCs w:val="44"/>
        </w:rPr>
      </w:pPr>
    </w:p>
    <w:p>
      <w:pPr>
        <w:spacing w:line="600" w:lineRule="exact"/>
        <w:jc w:val="center"/>
        <w:outlineLvl w:val="0"/>
        <w:rPr>
          <w:rFonts w:hint="eastAsia" w:ascii="黑体" w:hAnsi="黑体" w:eastAsia="黑体"/>
          <w:b w:val="0"/>
          <w:bCs w:val="0"/>
          <w:sz w:val="44"/>
          <w:szCs w:val="44"/>
        </w:rPr>
      </w:pPr>
    </w:p>
    <w:p>
      <w:pPr>
        <w:spacing w:line="600" w:lineRule="exact"/>
        <w:ind w:firstLine="2200" w:firstLineChars="500"/>
        <w:jc w:val="both"/>
        <w:outlineLvl w:val="0"/>
        <w:rPr>
          <w:rStyle w:val="26"/>
          <w:rFonts w:ascii="黑体" w:hAnsi="黑体" w:eastAsia="黑体"/>
          <w:b w:val="0"/>
          <w:bCs w:val="0"/>
        </w:rPr>
      </w:pPr>
      <w:r>
        <w:rPr>
          <w:rFonts w:hint="eastAsia" w:ascii="黑体" w:hAnsi="黑体" w:eastAsia="黑体"/>
          <w:b w:val="0"/>
          <w:bCs w:val="0"/>
          <w:sz w:val="44"/>
          <w:szCs w:val="44"/>
        </w:rPr>
        <w:t>第</w:t>
      </w:r>
      <w:r>
        <w:rPr>
          <w:rStyle w:val="26"/>
          <w:rFonts w:hint="eastAsia" w:ascii="黑体" w:hAnsi="黑体" w:eastAsia="黑体"/>
          <w:b w:val="0"/>
          <w:bCs w:val="0"/>
        </w:rPr>
        <w:t>四部分 附件</w:t>
      </w:r>
    </w:p>
    <w:p>
      <w:pPr>
        <w:pStyle w:val="2"/>
        <w:spacing w:before="93"/>
        <w:rPr>
          <w:b w:val="0"/>
          <w:bCs w:val="0"/>
          <w:lang w:val="zh-CN"/>
        </w:rPr>
      </w:pPr>
      <w:r>
        <w:rPr>
          <w:rFonts w:hint="eastAsia" w:hAnsi="宋体" w:cs="宋体"/>
          <w:b w:val="0"/>
          <w:bCs w:val="0"/>
          <w:sz w:val="32"/>
          <w:szCs w:val="32"/>
          <w:shd w:val="clear" w:color="auto" w:fill="FFFFFF"/>
          <w:lang w:val="zh-CN"/>
        </w:rPr>
        <w:t>附件</w:t>
      </w:r>
    </w:p>
    <w:p>
      <w:pPr>
        <w:spacing w:line="600" w:lineRule="exact"/>
        <w:jc w:val="center"/>
        <w:rPr>
          <w:rFonts w:ascii="方正小标宋简体" w:hAnsi="方正小标宋简体" w:eastAsia="方正小标宋简体" w:cs="方正小标宋简体"/>
          <w:b w:val="0"/>
          <w:bCs w:val="0"/>
          <w:sz w:val="40"/>
          <w:szCs w:val="40"/>
          <w:lang w:val="zh-CN"/>
        </w:rPr>
      </w:pPr>
      <w:r>
        <w:rPr>
          <w:rFonts w:hint="eastAsia" w:ascii="方正小标宋简体" w:hAnsi="方正小标宋简体" w:eastAsia="方正小标宋简体" w:cs="方正小标宋简体"/>
          <w:b w:val="0"/>
          <w:bCs w:val="0"/>
          <w:sz w:val="40"/>
          <w:szCs w:val="40"/>
        </w:rPr>
        <w:t>2021年</w:t>
      </w:r>
      <w:r>
        <w:rPr>
          <w:rFonts w:hint="eastAsia" w:ascii="方正小标宋简体" w:hAnsi="方正小标宋简体" w:eastAsia="方正小标宋简体" w:cs="方正小标宋简体"/>
          <w:b w:val="0"/>
          <w:bCs w:val="0"/>
          <w:sz w:val="40"/>
          <w:szCs w:val="40"/>
          <w:lang w:val="zh-CN"/>
        </w:rPr>
        <w:t>专项预算项目支出绩效自评报告</w:t>
      </w:r>
    </w:p>
    <w:p>
      <w:pPr>
        <w:spacing w:line="600" w:lineRule="exact"/>
        <w:ind w:firstLine="883"/>
        <w:jc w:val="center"/>
        <w:rPr>
          <w:rFonts w:ascii="宋体" w:hAnsi="宋体"/>
          <w:b w:val="0"/>
          <w:bCs w:val="0"/>
          <w:sz w:val="32"/>
          <w:szCs w:val="32"/>
          <w:lang w:val="zh-CN"/>
        </w:rPr>
      </w:pPr>
      <w:r>
        <w:rPr>
          <w:rFonts w:hint="eastAsia" w:ascii="仿宋_GB2312" w:hAnsi="仿宋_GB2312" w:eastAsia="仿宋_GB2312" w:cs="仿宋_GB2312"/>
          <w:b w:val="0"/>
          <w:bCs w:val="0"/>
          <w:sz w:val="32"/>
          <w:szCs w:val="32"/>
        </w:rPr>
        <w:t>(第二批支持中职学校基本办学条件标准化建设)</w:t>
      </w:r>
    </w:p>
    <w:p>
      <w:pPr>
        <w:adjustRightInd w:val="0"/>
        <w:snapToGrid w:val="0"/>
        <w:spacing w:line="600" w:lineRule="exact"/>
        <w:ind w:firstLine="720"/>
        <w:rPr>
          <w:rFonts w:ascii="黑体" w:hAnsi="宋体" w:eastAsia="黑体"/>
          <w:b w:val="0"/>
          <w:bCs w:val="0"/>
          <w:sz w:val="32"/>
          <w:szCs w:val="32"/>
          <w:lang w:val="zh-CN"/>
        </w:rPr>
      </w:pPr>
      <w:r>
        <w:rPr>
          <w:rFonts w:hint="eastAsia" w:ascii="黑体" w:hAnsi="宋体" w:eastAsia="黑体"/>
          <w:b w:val="0"/>
          <w:bCs w:val="0"/>
          <w:sz w:val="32"/>
          <w:szCs w:val="32"/>
        </w:rPr>
        <w:t>一、</w:t>
      </w:r>
      <w:r>
        <w:rPr>
          <w:rFonts w:hint="eastAsia" w:ascii="黑体" w:hAnsi="宋体" w:eastAsia="黑体"/>
          <w:b w:val="0"/>
          <w:bCs w:val="0"/>
          <w:sz w:val="32"/>
          <w:szCs w:val="32"/>
          <w:lang w:val="zh-CN"/>
        </w:rPr>
        <w:t>项目概况</w:t>
      </w:r>
    </w:p>
    <w:p>
      <w:pPr>
        <w:adjustRightInd w:val="0"/>
        <w:snapToGrid w:val="0"/>
        <w:spacing w:line="600" w:lineRule="exact"/>
        <w:ind w:firstLine="720"/>
        <w:rPr>
          <w:rFonts w:ascii="楷体_GB2312" w:hAnsi="宋体" w:eastAsia="楷体_GB2312"/>
          <w:b w:val="0"/>
          <w:bCs w:val="0"/>
          <w:sz w:val="32"/>
          <w:szCs w:val="32"/>
          <w:lang w:val="zh-CN"/>
        </w:rPr>
      </w:pPr>
      <w:r>
        <w:rPr>
          <w:rFonts w:hint="eastAsia" w:ascii="楷体_GB2312" w:hAnsi="宋体" w:eastAsia="楷体_GB2312"/>
          <w:b w:val="0"/>
          <w:bCs w:val="0"/>
          <w:sz w:val="32"/>
          <w:szCs w:val="32"/>
          <w:lang w:val="zh-CN"/>
        </w:rPr>
        <w:t>（一）项目基本情况。</w:t>
      </w:r>
    </w:p>
    <w:p>
      <w:pPr>
        <w:ind w:firstLine="640" w:firstLineChars="200"/>
        <w:rPr>
          <w:rFonts w:ascii="仿宋_GB2312" w:hAnsi="Calibri" w:eastAsia="仿宋_GB2312" w:cs="仿宋"/>
          <w:b w:val="0"/>
          <w:bCs w:val="0"/>
          <w:kern w:val="0"/>
          <w:sz w:val="32"/>
          <w:szCs w:val="32"/>
        </w:rPr>
      </w:pPr>
      <w:r>
        <w:rPr>
          <w:rFonts w:hint="eastAsia" w:ascii="仿宋_GB2312" w:hAnsi="Calibri" w:eastAsia="仿宋_GB2312" w:cs="仿宋"/>
          <w:b w:val="0"/>
          <w:bCs w:val="0"/>
          <w:kern w:val="0"/>
          <w:sz w:val="32"/>
          <w:szCs w:val="32"/>
        </w:rPr>
        <w:t>1．学校“2020年第二批中等职业学校基本办学条件标准化建设项目”，项目包含于建筑工程造价专业实训基地扩建及建筑展示中心建设和汽车实习基地改造及文化建设两个子项目。项目于2020年9月立项，2020年11月报送实施方案，2021年1月下旬实施建设，2021年11月项目建设完工投入使用。</w:t>
      </w:r>
    </w:p>
    <w:p>
      <w:pPr>
        <w:ind w:firstLine="640" w:firstLineChars="200"/>
        <w:rPr>
          <w:rFonts w:ascii="仿宋_GB2312" w:hAnsi="Calibri" w:eastAsia="仿宋_GB2312" w:cs="仿宋"/>
          <w:b w:val="0"/>
          <w:bCs w:val="0"/>
          <w:kern w:val="0"/>
          <w:sz w:val="32"/>
          <w:szCs w:val="32"/>
        </w:rPr>
      </w:pPr>
      <w:r>
        <w:rPr>
          <w:rFonts w:hint="eastAsia" w:ascii="仿宋_GB2312" w:hAnsi="Calibri" w:eastAsia="仿宋_GB2312" w:cs="仿宋"/>
          <w:b w:val="0"/>
          <w:bCs w:val="0"/>
          <w:kern w:val="0"/>
          <w:sz w:val="32"/>
          <w:szCs w:val="32"/>
        </w:rPr>
        <w:t>2．2020年9月30日四川省财政厅、四川省教育厅和四川省人力资源和社会保障厅联合下达，2020年第二批支持中职学校基本办学条件标准化建设资金480万元（川财教【2020】161号）。</w:t>
      </w:r>
    </w:p>
    <w:p>
      <w:pPr>
        <w:ind w:firstLine="640" w:firstLineChars="200"/>
        <w:rPr>
          <w:rFonts w:ascii="仿宋_GB2312" w:hAnsi="Calibri" w:eastAsia="仿宋_GB2312" w:cs="仿宋"/>
          <w:kern w:val="0"/>
          <w:sz w:val="32"/>
          <w:szCs w:val="32"/>
        </w:rPr>
      </w:pPr>
      <w:r>
        <w:rPr>
          <w:rFonts w:hint="eastAsia" w:ascii="仿宋_GB2312" w:hAnsi="Calibri" w:eastAsia="仿宋_GB2312" w:cs="仿宋"/>
          <w:b w:val="0"/>
          <w:bCs w:val="0"/>
          <w:kern w:val="0"/>
          <w:sz w:val="32"/>
          <w:szCs w:val="32"/>
        </w:rPr>
        <w:t>3．严格执行国家相关财务制度，并建立相应</w:t>
      </w:r>
      <w:r>
        <w:rPr>
          <w:rFonts w:hint="eastAsia" w:ascii="仿宋_GB2312" w:hAnsi="Calibri" w:eastAsia="仿宋_GB2312" w:cs="仿宋"/>
          <w:kern w:val="0"/>
          <w:sz w:val="32"/>
          <w:szCs w:val="32"/>
        </w:rPr>
        <w:t>的财务制度，严格会计核算，做到专款专用。严格资金报账审批手续，确保资金安全性和效益性。</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4．学校考虑专业的发展，把资金分到汽修、建筑二个专业。</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（二）项目绩效目标。</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1．建筑工程造价专业实训基地扩建及建筑展示中心项目主要内容：建筑工程造价实训室、建筑施工展示中心、教学管理相关设备等。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汽车实习基地改造及文化建设项目主要内容：汽车实训场地改造、设备安装调试及文化建设、新能源汽车实训室建设、汽车营销基本技能考评系统等。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建筑工程造价专业实训基地扩建及建筑展示中心建设已全部完成，已于2021年10月投入。使用汽车实习基地改造及文化建设已全部完成，已于2021年11月投入使用。项目应实现的具体绩效目标，包括目标的量化、细化情况以及项目实施进度计划等。</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3．分析评价申报内容与实际相符，申报目标合理可行。</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（三）项目自评步骤及方法。</w:t>
      </w:r>
    </w:p>
    <w:p>
      <w:pPr>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项目采取自评与他评相结合方式,成立项目自评小组,结合评价内容,做到有计划,有安排,扎实开展自评工作。按照上级下达的项目支出绩效评价指标体系，自评小组针对申报内容、实施情况、资金使用、社会效益等</w:t>
      </w:r>
      <w:r>
        <w:rPr>
          <w:rFonts w:hint="eastAsia" w:ascii="仿宋_GB2312" w:hAnsi="Calibri" w:eastAsia="仿宋_GB2312" w:cs="仿宋"/>
          <w:kern w:val="0"/>
          <w:sz w:val="32"/>
          <w:szCs w:val="32"/>
          <w:lang w:eastAsia="zh-CN"/>
        </w:rPr>
        <w:t>作</w:t>
      </w:r>
      <w:r>
        <w:rPr>
          <w:rFonts w:hint="eastAsia" w:ascii="仿宋_GB2312" w:hAnsi="Calibri" w:eastAsia="仿宋_GB2312" w:cs="仿宋"/>
          <w:kern w:val="0"/>
          <w:sz w:val="32"/>
          <w:szCs w:val="32"/>
        </w:rPr>
        <w:t>出自我评价，认真听取建议意见，做好自评工作。</w:t>
      </w:r>
    </w:p>
    <w:p>
      <w:pPr>
        <w:adjustRightInd w:val="0"/>
        <w:snapToGrid w:val="0"/>
        <w:spacing w:line="600" w:lineRule="exact"/>
        <w:ind w:firstLine="720"/>
        <w:rPr>
          <w:rFonts w:ascii="黑体" w:hAnsi="黑体" w:eastAsia="黑体"/>
          <w:sz w:val="32"/>
          <w:szCs w:val="32"/>
        </w:rPr>
      </w:pPr>
      <w:r>
        <w:rPr>
          <w:rFonts w:hint="eastAsia" w:ascii="黑体" w:hAnsi="黑体" w:eastAsia="黑体"/>
          <w:sz w:val="32"/>
          <w:szCs w:val="32"/>
        </w:rPr>
        <w:t>二、项目资金申报及使用情况</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（一）项目资金申报及批复情况。</w:t>
      </w:r>
    </w:p>
    <w:p>
      <w:pPr>
        <w:adjustRightInd w:val="0"/>
        <w:snapToGrid w:val="0"/>
        <w:spacing w:line="600" w:lineRule="exact"/>
        <w:ind w:firstLine="720"/>
        <w:rPr>
          <w:rFonts w:ascii="仿宋_GB2312" w:hAnsi="Calibri" w:eastAsia="仿宋_GB2312" w:cs="仿宋"/>
          <w:kern w:val="0"/>
          <w:sz w:val="32"/>
          <w:szCs w:val="32"/>
        </w:rPr>
      </w:pPr>
      <w:r>
        <w:rPr>
          <w:rFonts w:hint="eastAsia" w:ascii="仿宋_GB2312" w:hAnsi="Calibri" w:eastAsia="仿宋_GB2312" w:cs="仿宋"/>
          <w:kern w:val="0"/>
          <w:sz w:val="32"/>
          <w:szCs w:val="32"/>
        </w:rPr>
        <w:t>项目经费预算480万元，按年度进行申报。资金及时批复到位。</w:t>
      </w:r>
    </w:p>
    <w:p>
      <w:pPr>
        <w:adjustRightInd w:val="0"/>
        <w:snapToGrid w:val="0"/>
        <w:spacing w:line="600" w:lineRule="exact"/>
        <w:ind w:firstLine="720"/>
        <w:rPr>
          <w:rFonts w:ascii="宋体" w:hAnsi="宋体"/>
          <w:sz w:val="32"/>
          <w:szCs w:val="32"/>
          <w:lang w:val="zh-CN"/>
        </w:rPr>
      </w:pPr>
      <w:r>
        <w:rPr>
          <w:rFonts w:hint="eastAsia" w:ascii="宋体" w:hAnsi="宋体"/>
          <w:b/>
          <w:sz w:val="32"/>
          <w:szCs w:val="32"/>
          <w:lang w:val="zh-CN"/>
        </w:rPr>
        <w:t>（二）资金计划、到位及使用情况。</w:t>
      </w:r>
    </w:p>
    <w:p>
      <w:pPr>
        <w:adjustRightInd w:val="0"/>
        <w:snapToGrid w:val="0"/>
        <w:spacing w:line="600" w:lineRule="exact"/>
        <w:ind w:firstLine="720"/>
        <w:rPr>
          <w:rFonts w:ascii="仿宋_GB2312" w:hAnsi="Calibri" w:eastAsia="仿宋_GB2312" w:cs="仿宋"/>
          <w:kern w:val="0"/>
          <w:sz w:val="32"/>
          <w:szCs w:val="32"/>
        </w:rPr>
      </w:pPr>
      <w:r>
        <w:rPr>
          <w:rFonts w:hint="eastAsia" w:ascii="仿宋_GB2312" w:hAnsi="Calibri" w:eastAsia="仿宋_GB2312" w:cs="仿宋"/>
          <w:kern w:val="0"/>
          <w:sz w:val="32"/>
          <w:szCs w:val="32"/>
        </w:rPr>
        <w:t>1．资金计划。2021年4月省教育厅、财政厅下拨本项目建设资金480万元。</w:t>
      </w:r>
    </w:p>
    <w:p>
      <w:pPr>
        <w:adjustRightInd w:val="0"/>
        <w:snapToGrid w:val="0"/>
        <w:spacing w:line="600" w:lineRule="exact"/>
        <w:ind w:firstLine="720"/>
        <w:rPr>
          <w:rFonts w:ascii="仿宋_GB2312" w:hAnsi="Calibri" w:eastAsia="仿宋_GB2312" w:cs="仿宋"/>
          <w:kern w:val="0"/>
          <w:sz w:val="32"/>
          <w:szCs w:val="32"/>
        </w:rPr>
      </w:pPr>
      <w:r>
        <w:rPr>
          <w:rFonts w:hint="eastAsia" w:ascii="仿宋_GB2312" w:hAnsi="Calibri" w:eastAsia="仿宋_GB2312" w:cs="仿宋"/>
          <w:kern w:val="0"/>
          <w:sz w:val="32"/>
          <w:szCs w:val="32"/>
        </w:rPr>
        <w:t>2．资金到位。资金到位情况与资金计划进行比对，资金到位率100%、并及时到位。</w:t>
      </w:r>
    </w:p>
    <w:p>
      <w:pPr>
        <w:adjustRightInd w:val="0"/>
        <w:snapToGrid w:val="0"/>
        <w:spacing w:line="600" w:lineRule="exact"/>
        <w:ind w:firstLine="720"/>
        <w:rPr>
          <w:rFonts w:ascii="仿宋_GB2312" w:hAnsi="Calibri" w:eastAsia="仿宋_GB2312" w:cs="仿宋"/>
          <w:kern w:val="0"/>
          <w:sz w:val="32"/>
          <w:szCs w:val="32"/>
        </w:rPr>
      </w:pPr>
      <w:r>
        <w:rPr>
          <w:rFonts w:hint="eastAsia" w:ascii="仿宋_GB2312" w:hAnsi="Calibri" w:eastAsia="仿宋_GB2312" w:cs="仿宋"/>
          <w:kern w:val="0"/>
          <w:sz w:val="32"/>
          <w:szCs w:val="32"/>
        </w:rPr>
        <w:t>3．资金使用。2021年该项目资金的实际支出457.65万元。支付依据合规合法，资金支付与预算相符。</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（三）项目财务管理情况。</w:t>
      </w:r>
    </w:p>
    <w:p>
      <w:pPr>
        <w:adjustRightInd w:val="0"/>
        <w:snapToGrid w:val="0"/>
        <w:spacing w:line="600" w:lineRule="exact"/>
        <w:ind w:firstLine="720"/>
        <w:rPr>
          <w:rFonts w:ascii="仿宋_GB2312" w:hAnsi="Calibri" w:eastAsia="仿宋_GB2312" w:cs="仿宋"/>
          <w:kern w:val="0"/>
          <w:sz w:val="32"/>
          <w:szCs w:val="32"/>
        </w:rPr>
      </w:pPr>
      <w:r>
        <w:rPr>
          <w:rFonts w:hint="eastAsia" w:ascii="仿宋_GB2312" w:hAnsi="Calibri" w:eastAsia="仿宋_GB2312" w:cs="仿宋"/>
          <w:kern w:val="0"/>
          <w:sz w:val="32"/>
          <w:szCs w:val="32"/>
        </w:rPr>
        <w:t>单位较好地执行了《行政事业单位会计制度》，制定了《财务管理制度》和《专项资金管理制度》等内部管理制度，严格按照《专项资金管理制度管理办法》，使用专项资金，将项目资金纳入单位财务统一管理，对项目专项经费进行专项核算，做到了专款专用。</w:t>
      </w:r>
    </w:p>
    <w:p>
      <w:pPr>
        <w:adjustRightInd w:val="0"/>
        <w:snapToGrid w:val="0"/>
        <w:spacing w:line="600" w:lineRule="exact"/>
        <w:ind w:firstLine="720"/>
        <w:rPr>
          <w:rFonts w:ascii="黑体" w:hAnsi="黑体" w:eastAsia="黑体"/>
          <w:sz w:val="32"/>
          <w:szCs w:val="32"/>
        </w:rPr>
      </w:pPr>
      <w:r>
        <w:rPr>
          <w:rFonts w:hint="eastAsia" w:ascii="黑体" w:hAnsi="黑体" w:eastAsia="黑体"/>
          <w:sz w:val="32"/>
          <w:szCs w:val="32"/>
        </w:rPr>
        <w:t>三、项目实施及管理情况。</w:t>
      </w:r>
    </w:p>
    <w:p>
      <w:pPr>
        <w:pStyle w:val="25"/>
        <w:adjustRightInd w:val="0"/>
        <w:snapToGrid w:val="0"/>
        <w:spacing w:line="600" w:lineRule="exact"/>
        <w:ind w:firstLine="643"/>
        <w:rPr>
          <w:rFonts w:ascii="楷体_GB2312" w:hAnsi="宋体" w:eastAsia="楷体_GB2312"/>
          <w:b/>
          <w:sz w:val="32"/>
          <w:szCs w:val="32"/>
          <w:lang w:val="zh-CN"/>
        </w:rPr>
      </w:pPr>
      <w:r>
        <w:rPr>
          <w:rFonts w:hint="eastAsia" w:ascii="宋体" w:hAnsi="宋体"/>
          <w:b/>
          <w:sz w:val="32"/>
          <w:szCs w:val="32"/>
          <w:lang w:val="zh-CN"/>
        </w:rPr>
        <w:t>（一）项目组织架构及实施流程。</w:t>
      </w:r>
    </w:p>
    <w:p>
      <w:pPr>
        <w:adjustRightInd w:val="0"/>
        <w:snapToGrid w:val="0"/>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学校</w:t>
      </w:r>
      <w:r>
        <w:rPr>
          <w:rFonts w:ascii="仿宋_GB2312" w:hAnsi="Calibri" w:eastAsia="仿宋_GB2312" w:cs="仿宋"/>
          <w:kern w:val="0"/>
          <w:sz w:val="32"/>
          <w:szCs w:val="32"/>
        </w:rPr>
        <w:t>领导的分管下</w:t>
      </w:r>
      <w:r>
        <w:rPr>
          <w:rFonts w:hint="eastAsia" w:ascii="仿宋_GB2312" w:hAnsi="Calibri" w:eastAsia="仿宋_GB2312" w:cs="仿宋"/>
          <w:kern w:val="0"/>
          <w:sz w:val="32"/>
          <w:szCs w:val="32"/>
        </w:rPr>
        <w:t>，</w:t>
      </w:r>
      <w:r>
        <w:rPr>
          <w:rFonts w:ascii="仿宋_GB2312" w:hAnsi="Calibri" w:eastAsia="仿宋_GB2312" w:cs="仿宋"/>
          <w:kern w:val="0"/>
          <w:sz w:val="32"/>
          <w:szCs w:val="32"/>
        </w:rPr>
        <w:t>由专门的科室组织实施</w:t>
      </w:r>
      <w:r>
        <w:rPr>
          <w:rFonts w:hint="eastAsia" w:ascii="仿宋_GB2312" w:hAnsi="Calibri" w:eastAsia="仿宋_GB2312" w:cs="仿宋"/>
          <w:kern w:val="0"/>
          <w:sz w:val="32"/>
          <w:szCs w:val="32"/>
        </w:rPr>
        <w:t>，科室内分项目设有专门的负责人。项目下设一级指标、二级指标、三级指标，分级细化。对每项三级指标进行指标解释，制定评价标准。项目实施流程严格按照计划进行项目管理、资金管理、绩效评价管理等。</w:t>
      </w:r>
    </w:p>
    <w:p>
      <w:pPr>
        <w:adjustRightInd w:val="0"/>
        <w:snapToGrid w:val="0"/>
        <w:spacing w:line="576" w:lineRule="exact"/>
        <w:ind w:firstLine="720"/>
        <w:rPr>
          <w:rFonts w:ascii="宋体" w:hAnsi="宋体"/>
          <w:b/>
          <w:sz w:val="32"/>
          <w:szCs w:val="32"/>
          <w:lang w:val="zh-CN"/>
        </w:rPr>
      </w:pPr>
      <w:r>
        <w:rPr>
          <w:rFonts w:hint="eastAsia" w:ascii="宋体" w:hAnsi="宋体"/>
          <w:b/>
          <w:sz w:val="32"/>
          <w:szCs w:val="32"/>
          <w:lang w:val="zh-CN"/>
        </w:rPr>
        <w:t>（二）项目管理情况。</w:t>
      </w:r>
    </w:p>
    <w:p>
      <w:pPr>
        <w:adjustRightInd w:val="0"/>
        <w:snapToGrid w:val="0"/>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学校成立了项目建设领导小组，整个项目建设都是在领导小组监督下执行，严格执行招标制，项目监理制，由学校项目推进办公室审查施工进度、工程和建设内容、材料设备质量。同时，市教育局市财政局在建设中不定期进行检查，形成齐抓共管形态，确保工程高标准，高质量。</w:t>
      </w:r>
    </w:p>
    <w:p>
      <w:pPr>
        <w:adjustRightInd w:val="0"/>
        <w:snapToGrid w:val="0"/>
        <w:spacing w:line="600" w:lineRule="exact"/>
        <w:ind w:firstLine="642" w:firstLineChars="200"/>
        <w:rPr>
          <w:rFonts w:ascii="楷体_GB2312" w:hAnsi="宋体" w:eastAsia="楷体_GB2312"/>
          <w:b/>
          <w:sz w:val="32"/>
          <w:szCs w:val="32"/>
          <w:lang w:val="zh-CN"/>
        </w:rPr>
      </w:pPr>
      <w:r>
        <w:rPr>
          <w:rFonts w:hint="eastAsia" w:ascii="宋体" w:hAnsi="宋体"/>
          <w:b/>
          <w:sz w:val="32"/>
          <w:szCs w:val="32"/>
          <w:lang w:val="zh-CN"/>
        </w:rPr>
        <w:t>（三）项目监管情况。</w:t>
      </w:r>
    </w:p>
    <w:p>
      <w:pPr>
        <w:adjustRightInd w:val="0"/>
        <w:snapToGrid w:val="0"/>
        <w:spacing w:line="60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项目主管部门为加强项目管理，制定了严格的监管措施。市教育局市财政局在建设中不定期进行检查，监管效果好。</w:t>
      </w:r>
    </w:p>
    <w:p>
      <w:pPr>
        <w:adjustRightInd w:val="0"/>
        <w:snapToGrid w:val="0"/>
        <w:spacing w:line="600" w:lineRule="exact"/>
        <w:ind w:firstLine="720"/>
        <w:rPr>
          <w:rFonts w:ascii="黑体" w:hAnsi="黑体" w:eastAsia="黑体"/>
          <w:sz w:val="32"/>
          <w:szCs w:val="32"/>
          <w:lang w:val="zh-CN"/>
        </w:rPr>
      </w:pPr>
      <w:r>
        <w:rPr>
          <w:rFonts w:hint="eastAsia" w:ascii="黑体" w:hAnsi="黑体" w:eastAsia="黑体"/>
          <w:sz w:val="32"/>
          <w:szCs w:val="32"/>
        </w:rPr>
        <w:t>四、项目绩效情况</w:t>
      </w:r>
      <w:r>
        <w:rPr>
          <w:rFonts w:hint="eastAsia" w:ascii="黑体" w:hAnsi="黑体" w:eastAsia="黑体"/>
          <w:sz w:val="32"/>
          <w:szCs w:val="32"/>
          <w:lang w:val="zh-CN"/>
        </w:rPr>
        <w:tab/>
      </w:r>
      <w:r>
        <w:rPr>
          <w:rFonts w:hint="eastAsia" w:ascii="黑体" w:hAnsi="黑体" w:eastAsia="黑体"/>
          <w:sz w:val="32"/>
          <w:szCs w:val="32"/>
          <w:lang w:val="zh-CN"/>
        </w:rPr>
        <w:t>。</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（一）项目完成情况。</w:t>
      </w:r>
    </w:p>
    <w:p>
      <w:pPr>
        <w:spacing w:line="640" w:lineRule="exact"/>
        <w:ind w:firstLine="642" w:firstLineChars="200"/>
        <w:rPr>
          <w:rFonts w:ascii="宋体" w:hAnsi="宋体"/>
          <w:sz w:val="32"/>
          <w:szCs w:val="32"/>
        </w:rPr>
      </w:pPr>
      <w:r>
        <w:rPr>
          <w:rFonts w:hint="eastAsia" w:ascii="宋体" w:hAnsi="宋体" w:cs="宋体"/>
          <w:b/>
          <w:color w:val="1D1B11"/>
          <w:kern w:val="0"/>
          <w:sz w:val="32"/>
          <w:szCs w:val="32"/>
        </w:rPr>
        <w:t>1.建筑工程造价专业实训基地扩建及建筑展示中心建设</w:t>
      </w:r>
    </w:p>
    <w:p>
      <w:pPr>
        <w:spacing w:line="64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（1）建筑工程造价实训室面积约90m2，增加安装计量软件1套、数字造价计量平台、全过程造价咨询软件、房屋建筑构造等配套的专业软件和建筑工程识图能力实训评价软件；</w:t>
      </w:r>
    </w:p>
    <w:p>
      <w:pPr>
        <w:spacing w:line="64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（2）建筑施工展示中心建筑面积约96m2，该中心配置装配式AR平台及AR交互教学软件、装配式AR教学模型、虚拟现实设计平台软件、BIMVR软件及VR大屏等设施设备；</w:t>
      </w:r>
    </w:p>
    <w:p>
      <w:pPr>
        <w:spacing w:line="64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（3）教学管理设备。教学管理系统、网络阅卷系统、计算机数据机房消防系统、网络用户认证系统等。</w:t>
      </w:r>
    </w:p>
    <w:p>
      <w:pPr>
        <w:spacing w:line="640" w:lineRule="exact"/>
        <w:ind w:firstLine="565" w:firstLineChars="176"/>
        <w:rPr>
          <w:rFonts w:ascii="宋体" w:hAnsi="宋体" w:cs="宋体"/>
          <w:b/>
          <w:color w:val="1E1C11" w:themeColor="background2" w:themeShade="1A"/>
          <w:kern w:val="0"/>
          <w:sz w:val="32"/>
          <w:szCs w:val="32"/>
        </w:rPr>
      </w:pPr>
      <w:r>
        <w:rPr>
          <w:rFonts w:hint="eastAsia" w:ascii="宋体" w:hAnsi="宋体" w:cs="宋体"/>
          <w:b/>
          <w:color w:val="1E1C11" w:themeColor="background2" w:themeShade="1A"/>
          <w:kern w:val="0"/>
          <w:sz w:val="32"/>
          <w:szCs w:val="32"/>
        </w:rPr>
        <w:t>2.汽车实训基地改造、文化建设及设备采购</w:t>
      </w:r>
    </w:p>
    <w:p>
      <w:pPr>
        <w:spacing w:line="640" w:lineRule="exact"/>
        <w:ind w:firstLine="640" w:firstLineChars="200"/>
        <w:rPr>
          <w:rFonts w:ascii="仿宋_GB2312" w:hAnsi="Calibri" w:eastAsia="仿宋_GB2312" w:cs="仿宋"/>
          <w:kern w:val="0"/>
          <w:sz w:val="32"/>
          <w:szCs w:val="32"/>
        </w:rPr>
      </w:pPr>
      <w:r>
        <w:rPr>
          <w:rFonts w:hint="eastAsia" w:ascii="宋体" w:hAnsi="宋体" w:cs="宋体"/>
          <w:color w:val="1E1C11" w:themeColor="background2" w:themeShade="1A"/>
          <w:kern w:val="0"/>
          <w:sz w:val="32"/>
          <w:szCs w:val="32"/>
        </w:rPr>
        <w:t>(</w:t>
      </w:r>
      <w:r>
        <w:rPr>
          <w:rFonts w:hint="eastAsia" w:ascii="仿宋_GB2312" w:hAnsi="Calibri" w:eastAsia="仿宋_GB2312" w:cs="仿宋"/>
          <w:kern w:val="0"/>
          <w:sz w:val="32"/>
          <w:szCs w:val="32"/>
        </w:rPr>
        <w:t>1)现有实训场地改造面积约1300m2、设备安装调试及文化建设;</w:t>
      </w:r>
    </w:p>
    <w:p>
      <w:pPr>
        <w:spacing w:line="64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(2)新能源汽车实训室建设及设备采购;</w:t>
      </w:r>
    </w:p>
    <w:p>
      <w:pPr>
        <w:spacing w:line="64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(3)汽车营销基本技能考评系统。</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（二）项目效益情况。</w:t>
      </w:r>
    </w:p>
    <w:p>
      <w:pPr>
        <w:spacing w:line="640"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项目建成后，可以优化广元市中等职业教育优化布局，有效服务于广元市提出的打造川陕甘教育高地的战略，提升学校专业系统建设和实训基地建设。项目建设不仅仅优化了办学条件，它将把党的教育优先发展的战略实实在在地落到最基层，对广元市教育，特别是学校职业教育的可持续发展具有十分重要的作用。</w:t>
      </w:r>
    </w:p>
    <w:p>
      <w:pPr>
        <w:adjustRightInd w:val="0"/>
        <w:snapToGrid w:val="0"/>
        <w:spacing w:line="600" w:lineRule="exact"/>
        <w:ind w:firstLine="720"/>
        <w:rPr>
          <w:rFonts w:ascii="黑体" w:hAnsi="黑体" w:eastAsia="黑体"/>
          <w:sz w:val="32"/>
          <w:szCs w:val="32"/>
        </w:rPr>
      </w:pPr>
      <w:r>
        <w:rPr>
          <w:rFonts w:hint="eastAsia" w:ascii="黑体" w:hAnsi="黑体" w:eastAsia="黑体"/>
          <w:sz w:val="32"/>
          <w:szCs w:val="32"/>
        </w:rPr>
        <w:t>五、评价结论及建议</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（一）评价结论。</w:t>
      </w:r>
    </w:p>
    <w:p>
      <w:pPr>
        <w:pStyle w:val="2"/>
        <w:spacing w:before="93"/>
        <w:ind w:firstLine="480" w:firstLineChars="150"/>
        <w:rPr>
          <w:rFonts w:hAnsi="Calibri" w:cs="仿宋"/>
          <w:sz w:val="32"/>
          <w:szCs w:val="32"/>
        </w:rPr>
      </w:pPr>
      <w:r>
        <w:rPr>
          <w:rFonts w:hint="eastAsia" w:hAnsi="Calibri" w:cs="仿宋"/>
          <w:sz w:val="32"/>
          <w:szCs w:val="32"/>
        </w:rPr>
        <w:t>总体上看，项目目标明确，项目组织管理规范，综合评价为优。</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（二）存在的问题。</w:t>
      </w:r>
    </w:p>
    <w:p>
      <w:pPr>
        <w:pStyle w:val="2"/>
        <w:spacing w:before="93"/>
        <w:ind w:firstLine="480" w:firstLineChars="150"/>
        <w:rPr>
          <w:rFonts w:hAnsi="Calibri" w:cs="仿宋"/>
          <w:sz w:val="32"/>
          <w:szCs w:val="32"/>
        </w:rPr>
      </w:pPr>
      <w:r>
        <w:rPr>
          <w:rFonts w:hint="eastAsia" w:hAnsi="Calibri" w:cs="仿宋"/>
          <w:sz w:val="32"/>
          <w:szCs w:val="32"/>
        </w:rPr>
        <w:t>项目实施进度滞后，原因是雨季施工受阻</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（三）相关建议。</w:t>
      </w:r>
    </w:p>
    <w:bookmarkEnd w:id="49"/>
    <w:p>
      <w:pPr>
        <w:pStyle w:val="2"/>
        <w:spacing w:before="93"/>
        <w:ind w:firstLine="480" w:firstLineChars="150"/>
        <w:rPr>
          <w:rFonts w:hAnsi="Calibri" w:cs="仿宋"/>
          <w:sz w:val="32"/>
          <w:szCs w:val="32"/>
        </w:rPr>
      </w:pPr>
      <w:r>
        <w:rPr>
          <w:rFonts w:hint="eastAsia" w:hAnsi="Calibri" w:cs="仿宋"/>
          <w:sz w:val="32"/>
          <w:szCs w:val="32"/>
        </w:rPr>
        <w:t>加强风险意识，加大风险评价的力度。扩宽思路，依据项目实际状况，引进新的计算指标。</w:t>
      </w:r>
    </w:p>
    <w:p>
      <w:pPr>
        <w:spacing w:line="572" w:lineRule="exact"/>
        <w:jc w:val="left"/>
        <w:outlineLvl w:val="0"/>
        <w:rPr>
          <w:rFonts w:ascii="黑体" w:hAnsi="黑体" w:eastAsia="黑体" w:cs="黑体"/>
          <w:sz w:val="32"/>
          <w:szCs w:val="32"/>
        </w:rPr>
      </w:pPr>
    </w:p>
    <w:p>
      <w:pPr>
        <w:spacing w:line="572" w:lineRule="exact"/>
        <w:jc w:val="left"/>
        <w:outlineLvl w:val="0"/>
        <w:rPr>
          <w:rFonts w:ascii="黑体" w:hAnsi="黑体" w:eastAsia="黑体" w:cs="黑体"/>
          <w:sz w:val="32"/>
          <w:szCs w:val="32"/>
        </w:rPr>
      </w:pPr>
    </w:p>
    <w:p>
      <w:pPr>
        <w:pStyle w:val="2"/>
        <w:spacing w:before="93"/>
      </w:pPr>
    </w:p>
    <w:p>
      <w:pPr>
        <w:spacing w:line="572" w:lineRule="exact"/>
        <w:jc w:val="left"/>
        <w:outlineLvl w:val="0"/>
        <w:rPr>
          <w:rFonts w:ascii="仿宋_GB2312" w:eastAsia="仿宋_GB2312"/>
          <w:kern w:val="0"/>
          <w:sz w:val="30"/>
        </w:rPr>
      </w:pP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w:t>
      </w:r>
    </w:p>
    <w:tbl>
      <w:tblPr>
        <w:tblStyle w:val="14"/>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widowControl/>
              <w:ind w:firstLine="1445" w:firstLineChars="450"/>
              <w:textAlignment w:val="center"/>
              <w:rPr>
                <w:rFonts w:ascii="宋体" w:hAnsi="宋体" w:cs="宋体"/>
                <w:b/>
                <w:sz w:val="32"/>
                <w:szCs w:val="32"/>
              </w:rPr>
            </w:pPr>
            <w:bookmarkStart w:id="51" w:name="_Toc15396618"/>
            <w:r>
              <w:rPr>
                <w:rFonts w:hint="eastAsia" w:ascii="宋体" w:hAnsi="宋体" w:cs="宋体"/>
                <w:b/>
                <w:sz w:val="32"/>
                <w:szCs w:val="32"/>
              </w:rPr>
              <w:t>2021年部门预算项目绩效目标自评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Cs w:val="21"/>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广元市教育局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广元市利州中等专业学校</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项目预算</w:t>
            </w:r>
          </w:p>
          <w:p>
            <w:pPr>
              <w:widowControl/>
              <w:spacing w:line="320" w:lineRule="exact"/>
              <w:jc w:val="center"/>
              <w:textAlignment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执行情况</w:t>
            </w:r>
          </w:p>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480万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457.65万</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其中：</w:t>
            </w:r>
          </w:p>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480万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其中：</w:t>
            </w:r>
          </w:p>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457.65万</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年度总体目标</w:t>
            </w:r>
          </w:p>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Cs w:val="21"/>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cs="宋体" w:asciiTheme="minorEastAsia" w:hAnsiTheme="minorEastAsia" w:eastAsiaTheme="minorEastAsia"/>
                <w:szCs w:val="21"/>
              </w:rPr>
            </w:pPr>
            <w:r>
              <w:rPr>
                <w:rFonts w:hint="eastAsia" w:cs="宋体" w:asciiTheme="minorEastAsia" w:hAnsiTheme="minorEastAsia" w:eastAsiaTheme="minorEastAsia"/>
                <w:szCs w:val="21"/>
              </w:rPr>
              <w:t>目标1：提高专业发展、实训基地建设水平。</w:t>
            </w:r>
          </w:p>
          <w:p>
            <w:pPr>
              <w:widowControl/>
              <w:spacing w:line="320" w:lineRule="exact"/>
              <w:jc w:val="left"/>
              <w:textAlignment w:val="top"/>
              <w:rPr>
                <w:rFonts w:cs="宋体" w:asciiTheme="minorEastAsia" w:hAnsiTheme="minorEastAsia" w:eastAsiaTheme="minorEastAsia"/>
                <w:szCs w:val="21"/>
              </w:rPr>
            </w:pPr>
            <w:r>
              <w:rPr>
                <w:rFonts w:hint="eastAsia" w:cs="宋体" w:asciiTheme="minorEastAsia" w:hAnsiTheme="minorEastAsia" w:eastAsiaTheme="minorEastAsia"/>
                <w:szCs w:val="21"/>
              </w:rPr>
              <w:t>目标2：改善办学条件，完成特定项目建设。</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cs="宋体" w:asciiTheme="minorEastAsia" w:hAnsiTheme="minorEastAsia" w:eastAsiaTheme="minorEastAsia"/>
                <w:szCs w:val="21"/>
              </w:rPr>
            </w:pPr>
            <w:r>
              <w:rPr>
                <w:rFonts w:hint="eastAsia" w:cs="宋体" w:asciiTheme="minorEastAsia" w:hAnsiTheme="minorEastAsia" w:eastAsiaTheme="minorEastAsia"/>
                <w:szCs w:val="21"/>
              </w:rPr>
              <w:t>目标1：提高专业发展、实训基地建设水平。</w:t>
            </w:r>
          </w:p>
          <w:p>
            <w:pPr>
              <w:widowControl/>
              <w:spacing w:line="320" w:lineRule="exact"/>
              <w:jc w:val="left"/>
              <w:textAlignment w:val="top"/>
              <w:rPr>
                <w:rFonts w:cs="宋体" w:asciiTheme="minorEastAsia" w:hAnsiTheme="minorEastAsia" w:eastAsiaTheme="minorEastAsia"/>
                <w:szCs w:val="21"/>
              </w:rPr>
            </w:pPr>
            <w:r>
              <w:rPr>
                <w:rFonts w:hint="eastAsia" w:cs="宋体" w:asciiTheme="minorEastAsia" w:hAnsiTheme="minorEastAsia" w:eastAsiaTheme="minorEastAsia"/>
                <w:szCs w:val="21"/>
              </w:rPr>
              <w:t>目标2：改善办学条件，完成特定项目建设。</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一级</w:t>
            </w:r>
          </w:p>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二级</w:t>
            </w:r>
          </w:p>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三级</w:t>
            </w:r>
          </w:p>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完成</w:t>
            </w:r>
          </w:p>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建筑面积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1486平方</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1486平方米</w:t>
            </w:r>
          </w:p>
        </w:tc>
      </w:tr>
      <w:tr>
        <w:tblPrEx>
          <w:tblCellMar>
            <w:top w:w="0" w:type="dxa"/>
            <w:left w:w="108" w:type="dxa"/>
            <w:bottom w:w="0" w:type="dxa"/>
            <w:right w:w="108" w:type="dxa"/>
          </w:tblCellMar>
        </w:tblPrEx>
        <w:trPr>
          <w:gridAfter w:val="1"/>
          <w:wAfter w:w="236" w:type="dxa"/>
          <w:trHeight w:val="1184"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项目竣工、设施设备履约验收合格率</w:t>
            </w:r>
          </w:p>
          <w:p>
            <w:pPr>
              <w:widowControl/>
              <w:spacing w:line="320" w:lineRule="exact"/>
              <w:jc w:val="center"/>
              <w:textAlignment w:val="bottom"/>
              <w:rPr>
                <w:rFonts w:cs="仿宋_GB2312" w:asciiTheme="minorEastAsia" w:hAnsiTheme="minorEastAsia" w:eastAsiaTheme="minorEastAsia"/>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100%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1年</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480万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cs="仿宋_GB2312" w:asciiTheme="minorEastAsia" w:hAnsiTheme="minorEastAsia" w:eastAsiaTheme="minorEastAsia"/>
                <w:kern w:val="0"/>
                <w:szCs w:val="21"/>
                <w:lang w:eastAsia="zh-CN"/>
              </w:rPr>
            </w:pPr>
            <w:r>
              <w:rPr>
                <w:rFonts w:hint="eastAsia" w:cs="仿宋_GB2312" w:asciiTheme="minorEastAsia" w:hAnsiTheme="minorEastAsia" w:eastAsiaTheme="minorEastAsia"/>
                <w:kern w:val="0"/>
                <w:szCs w:val="21"/>
              </w:rPr>
              <w:t>效益</w:t>
            </w:r>
          </w:p>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学生实训技能水平提升率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60%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60%</w:t>
            </w: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93" w:leftChars="87" w:hanging="210" w:hangingChars="100"/>
              <w:jc w:val="left"/>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学习环境改善率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90%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学习环境改善率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优良中低差</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优</w:t>
            </w: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s="仿宋_GB2312" w:asciiTheme="minorEastAsia" w:hAnsiTheme="minorEastAsia" w:eastAsiaTheme="minorEastAsia"/>
                <w:kern w:val="0"/>
                <w:szCs w:val="21"/>
                <w:lang w:eastAsia="zh-CN"/>
              </w:rPr>
            </w:pPr>
            <w:r>
              <w:rPr>
                <w:rFonts w:hint="eastAsia" w:cs="仿宋_GB2312" w:asciiTheme="minorEastAsia" w:hAnsiTheme="minorEastAsia" w:eastAsiaTheme="minorEastAsia"/>
                <w:kern w:val="0"/>
                <w:szCs w:val="21"/>
              </w:rPr>
              <w:t>满意</w:t>
            </w:r>
          </w:p>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满意度</w:t>
            </w:r>
          </w:p>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师生满意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95%</w:t>
            </w:r>
          </w:p>
        </w:tc>
      </w:tr>
    </w:tbl>
    <w:p>
      <w:pPr>
        <w:spacing w:line="600" w:lineRule="exact"/>
        <w:jc w:val="center"/>
        <w:outlineLvl w:val="0"/>
        <w:rPr>
          <w:rFonts w:ascii="黑体" w:hAnsi="黑体" w:eastAsia="黑体"/>
          <w:sz w:val="44"/>
          <w:szCs w:val="44"/>
        </w:rPr>
      </w:pPr>
    </w:p>
    <w:p>
      <w:pPr>
        <w:spacing w:line="576" w:lineRule="exact"/>
        <w:ind w:firstLine="660" w:firstLineChars="150"/>
        <w:rPr>
          <w:rFonts w:ascii="方正小标宋简体" w:hAnsi="宋体" w:eastAsia="方正小标宋简体"/>
          <w:color w:val="000000"/>
          <w:kern w:val="0"/>
          <w:sz w:val="44"/>
          <w:szCs w:val="44"/>
        </w:rPr>
      </w:pPr>
    </w:p>
    <w:p>
      <w:pPr>
        <w:spacing w:line="576" w:lineRule="exact"/>
        <w:ind w:firstLine="1080" w:firstLineChars="300"/>
        <w:rPr>
          <w:rFonts w:ascii="方正小标宋简体" w:hAnsi="宋体" w:eastAsia="方正小标宋简体"/>
          <w:color w:val="000000"/>
          <w:kern w:val="0"/>
          <w:sz w:val="36"/>
          <w:szCs w:val="36"/>
        </w:rPr>
      </w:pPr>
    </w:p>
    <w:p>
      <w:pPr>
        <w:spacing w:line="576" w:lineRule="exact"/>
        <w:ind w:firstLine="1080" w:firstLineChars="300"/>
        <w:rPr>
          <w:rFonts w:ascii="楷体_GB2312" w:hAnsi="楷体_GB2312" w:eastAsia="楷体_GB2312" w:cs="楷体_GB2312"/>
          <w:sz w:val="36"/>
          <w:szCs w:val="36"/>
          <w:lang w:val="zh-CN"/>
        </w:rPr>
      </w:pPr>
      <w:r>
        <w:rPr>
          <w:rFonts w:hint="eastAsia" w:ascii="方正小标宋简体" w:hAnsi="宋体" w:eastAsia="方正小标宋简体"/>
          <w:color w:val="000000"/>
          <w:kern w:val="0"/>
          <w:sz w:val="36"/>
          <w:szCs w:val="36"/>
        </w:rPr>
        <w:t>2021年</w:t>
      </w:r>
      <w:r>
        <w:rPr>
          <w:rFonts w:hint="eastAsia" w:ascii="方正小标宋简体" w:hAnsi="宋体" w:eastAsia="方正小标宋简体"/>
          <w:color w:val="000000"/>
          <w:kern w:val="0"/>
          <w:sz w:val="36"/>
          <w:szCs w:val="36"/>
          <w:lang w:val="zh-CN"/>
        </w:rPr>
        <w:t>专项预算项目支出绩效自评报告</w:t>
      </w:r>
    </w:p>
    <w:p>
      <w:pPr>
        <w:spacing w:line="576" w:lineRule="exact"/>
        <w:jc w:val="center"/>
        <w:rPr>
          <w:rFonts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w:t>
      </w:r>
      <w:r>
        <w:rPr>
          <w:rFonts w:hint="eastAsia" w:ascii="宋体" w:hAnsi="宋体" w:cs="楷体_GB2312"/>
          <w:sz w:val="32"/>
          <w:szCs w:val="32"/>
          <w:lang w:val="zh-CN"/>
        </w:rPr>
        <w:t>利州中专专业技能教学配套设备及安装采购项目第三包</w:t>
      </w:r>
      <w:r>
        <w:rPr>
          <w:rFonts w:hint="eastAsia" w:ascii="楷体_GB2312" w:hAnsi="楷体_GB2312" w:eastAsia="楷体_GB2312" w:cs="楷体_GB2312"/>
          <w:sz w:val="32"/>
          <w:szCs w:val="32"/>
          <w:lang w:val="zh-CN"/>
        </w:rPr>
        <w:t>）</w:t>
      </w:r>
    </w:p>
    <w:p>
      <w:pPr>
        <w:pStyle w:val="25"/>
        <w:numPr>
          <w:ilvl w:val="0"/>
          <w:numId w:val="7"/>
        </w:numPr>
        <w:adjustRightInd w:val="0"/>
        <w:snapToGrid w:val="0"/>
        <w:spacing w:beforeLines="50" w:line="576" w:lineRule="exact"/>
        <w:ind w:firstLineChars="0"/>
        <w:rPr>
          <w:rFonts w:ascii="黑体" w:hAnsi="宋体" w:eastAsia="黑体"/>
          <w:sz w:val="32"/>
          <w:szCs w:val="32"/>
          <w:lang w:val="zh-CN"/>
        </w:rPr>
      </w:pPr>
      <w:r>
        <w:rPr>
          <w:rFonts w:hint="eastAsia" w:ascii="黑体" w:hAnsi="宋体" w:eastAsia="黑体"/>
          <w:sz w:val="32"/>
          <w:szCs w:val="32"/>
          <w:lang w:val="zh-CN"/>
        </w:rPr>
        <w:t>项目概况</w:t>
      </w:r>
    </w:p>
    <w:p>
      <w:pPr>
        <w:pStyle w:val="2"/>
        <w:spacing w:before="93"/>
        <w:ind w:left="64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pStyle w:val="2"/>
        <w:spacing w:before="93"/>
        <w:ind w:firstLine="480" w:firstLineChars="150"/>
        <w:rPr>
          <w:rFonts w:hAnsi="Calibri" w:cs="仿宋"/>
          <w:sz w:val="32"/>
          <w:szCs w:val="32"/>
        </w:rPr>
      </w:pPr>
      <w:r>
        <w:rPr>
          <w:rFonts w:hint="eastAsia" w:hAnsi="Calibri" w:cs="仿宋"/>
          <w:sz w:val="32"/>
          <w:szCs w:val="32"/>
        </w:rPr>
        <w:t>1、广元市利州中等专业学校打造医卫优质专业建设，专业技能教学配套设备及安装采购项目第三包。项目资金来源</w:t>
      </w:r>
      <w:bookmarkStart w:id="52" w:name="_Hlk56343076"/>
      <w:r>
        <w:rPr>
          <w:rFonts w:hint="eastAsia" w:hAnsi="Calibri" w:cs="仿宋"/>
          <w:sz w:val="32"/>
          <w:szCs w:val="32"/>
        </w:rPr>
        <w:t>四川省教育厅第二批省级示范专业建设项目四川省示范校（示范专业）奖补资金2</w:t>
      </w:r>
      <w:r>
        <w:rPr>
          <w:rFonts w:hAnsi="Calibri" w:cs="仿宋"/>
          <w:sz w:val="32"/>
          <w:szCs w:val="32"/>
        </w:rPr>
        <w:t>00</w:t>
      </w:r>
      <w:r>
        <w:rPr>
          <w:rFonts w:hint="eastAsia" w:hAnsi="Calibri" w:cs="仿宋"/>
          <w:sz w:val="32"/>
          <w:szCs w:val="32"/>
        </w:rPr>
        <w:t>万元，主要用于医卫专业师资队伍建设、医学检验技术专业实训课程建设，护理专业、医学检验技术专业、中医康复保健专业实验实训设备采购，心理咨询室建设。</w:t>
      </w:r>
    </w:p>
    <w:bookmarkEnd w:id="52"/>
    <w:p>
      <w:pPr>
        <w:pStyle w:val="2"/>
        <w:spacing w:before="93"/>
        <w:ind w:firstLine="480" w:firstLineChars="150"/>
        <w:rPr>
          <w:rFonts w:hAnsi="Calibri" w:cs="仿宋"/>
          <w:sz w:val="32"/>
          <w:szCs w:val="32"/>
        </w:rPr>
      </w:pPr>
      <w:r>
        <w:rPr>
          <w:rFonts w:hint="eastAsia" w:hAnsi="Calibri" w:cs="仿宋"/>
          <w:sz w:val="32"/>
          <w:szCs w:val="32"/>
        </w:rPr>
        <w:t>2、项目于2020年11月论证立项。</w:t>
      </w:r>
    </w:p>
    <w:p>
      <w:pPr>
        <w:pStyle w:val="2"/>
        <w:spacing w:before="93"/>
        <w:ind w:firstLine="480" w:firstLineChars="150"/>
        <w:rPr>
          <w:rFonts w:hAnsi="Calibri" w:cs="仿宋"/>
          <w:sz w:val="32"/>
          <w:szCs w:val="32"/>
        </w:rPr>
      </w:pPr>
      <w:r>
        <w:rPr>
          <w:rFonts w:hint="eastAsia" w:hAnsi="Calibri" w:cs="仿宋"/>
          <w:sz w:val="32"/>
          <w:szCs w:val="32"/>
        </w:rPr>
        <w:t>3、2021年4月省教育厅批准，2021年7月实施，2021年10月22日项目建设完成，验收合格并投入使用。</w:t>
      </w:r>
    </w:p>
    <w:p>
      <w:pPr>
        <w:adjustRightInd w:val="0"/>
        <w:snapToGrid w:val="0"/>
        <w:spacing w:line="600" w:lineRule="exact"/>
        <w:ind w:firstLine="160" w:firstLineChars="50"/>
        <w:rPr>
          <w:rFonts w:ascii="宋体" w:hAnsi="宋体"/>
          <w:b/>
          <w:sz w:val="32"/>
          <w:szCs w:val="32"/>
          <w:lang w:val="zh-CN"/>
        </w:rPr>
      </w:pPr>
      <w:r>
        <w:rPr>
          <w:rFonts w:hint="eastAsia" w:ascii="宋体" w:hAnsi="宋体"/>
          <w:b/>
          <w:sz w:val="32"/>
          <w:szCs w:val="32"/>
          <w:lang w:val="zh-CN"/>
        </w:rPr>
        <w:t>（二）项目绩效目标。</w:t>
      </w:r>
    </w:p>
    <w:p>
      <w:pPr>
        <w:pStyle w:val="2"/>
        <w:spacing w:before="93"/>
        <w:ind w:firstLine="480" w:firstLineChars="150"/>
        <w:rPr>
          <w:rFonts w:hAnsi="Calibri" w:cs="仿宋"/>
          <w:sz w:val="32"/>
          <w:szCs w:val="32"/>
        </w:rPr>
      </w:pPr>
      <w:r>
        <w:rPr>
          <w:rFonts w:hint="eastAsia" w:hAnsi="Calibri" w:cs="仿宋"/>
          <w:sz w:val="32"/>
          <w:szCs w:val="32"/>
        </w:rPr>
        <w:t>医学检验技术专业课程建设，医学检验技术专业、中医康复保健专业、护理专业、心理咨询室实验实训设备采购。</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（三）项目自评步骤及方法。</w:t>
      </w:r>
    </w:p>
    <w:p>
      <w:pPr>
        <w:pStyle w:val="2"/>
        <w:spacing w:before="93"/>
        <w:ind w:firstLine="480" w:firstLineChars="150"/>
        <w:rPr>
          <w:rFonts w:hAnsi="Calibri" w:cs="仿宋"/>
          <w:sz w:val="32"/>
          <w:szCs w:val="32"/>
        </w:rPr>
      </w:pPr>
      <w:r>
        <w:rPr>
          <w:rFonts w:hint="eastAsia" w:hAnsi="Calibri" w:cs="仿宋"/>
          <w:sz w:val="32"/>
          <w:szCs w:val="32"/>
        </w:rPr>
        <w:t>项目采取自评与他评相结合方式,成立项目自评小组,结合评价内容,做到有计划,有安排,扎实开展自评工作。按照上级下达的项目支出绩效评价指标体系，自评小组针对申报内容、实施情况、资金使用、社会效益等</w:t>
      </w:r>
      <w:r>
        <w:rPr>
          <w:rFonts w:hint="eastAsia" w:hAnsi="Calibri" w:cs="仿宋"/>
          <w:sz w:val="32"/>
          <w:szCs w:val="32"/>
          <w:lang w:eastAsia="zh-CN"/>
        </w:rPr>
        <w:t>作</w:t>
      </w:r>
      <w:r>
        <w:rPr>
          <w:rFonts w:hint="eastAsia" w:hAnsi="Calibri" w:cs="仿宋"/>
          <w:sz w:val="32"/>
          <w:szCs w:val="32"/>
        </w:rPr>
        <w:t>出自我评价，认真听取建议意见，做好自评工作。</w:t>
      </w:r>
    </w:p>
    <w:p>
      <w:pPr>
        <w:adjustRightInd w:val="0"/>
        <w:snapToGrid w:val="0"/>
        <w:spacing w:line="600" w:lineRule="exact"/>
        <w:ind w:firstLine="720"/>
        <w:rPr>
          <w:rFonts w:ascii="黑体" w:hAnsi="黑体" w:eastAsia="黑体"/>
          <w:sz w:val="32"/>
          <w:szCs w:val="32"/>
        </w:rPr>
      </w:pPr>
      <w:r>
        <w:rPr>
          <w:rFonts w:hint="eastAsia" w:ascii="黑体" w:hAnsi="黑体" w:eastAsia="黑体"/>
          <w:sz w:val="32"/>
          <w:szCs w:val="32"/>
        </w:rPr>
        <w:t>二、项目资金申报及使用情况</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（一）项目资金申报及批复情况。</w:t>
      </w:r>
    </w:p>
    <w:p>
      <w:pPr>
        <w:adjustRightInd w:val="0"/>
        <w:snapToGrid w:val="0"/>
        <w:spacing w:line="600" w:lineRule="exact"/>
        <w:ind w:firstLine="720"/>
        <w:rPr>
          <w:rFonts w:ascii="仿宋_GB2312" w:hAnsi="Calibri" w:eastAsia="仿宋_GB2312" w:cs="仿宋"/>
          <w:kern w:val="0"/>
          <w:sz w:val="32"/>
          <w:szCs w:val="32"/>
        </w:rPr>
      </w:pPr>
      <w:r>
        <w:rPr>
          <w:rFonts w:hint="eastAsia" w:ascii="仿宋_GB2312" w:hAnsi="Calibri" w:eastAsia="仿宋_GB2312" w:cs="仿宋"/>
          <w:kern w:val="0"/>
          <w:sz w:val="32"/>
          <w:szCs w:val="32"/>
        </w:rPr>
        <w:t>项目经费预算200万元，按年度进行申报。资金及时批复到位。</w:t>
      </w:r>
    </w:p>
    <w:p>
      <w:pPr>
        <w:adjustRightInd w:val="0"/>
        <w:snapToGrid w:val="0"/>
        <w:spacing w:line="600" w:lineRule="exact"/>
        <w:ind w:firstLine="720"/>
        <w:rPr>
          <w:rFonts w:ascii="宋体" w:hAnsi="宋体"/>
          <w:sz w:val="32"/>
          <w:szCs w:val="32"/>
          <w:lang w:val="zh-CN"/>
        </w:rPr>
      </w:pPr>
      <w:r>
        <w:rPr>
          <w:rFonts w:hint="eastAsia" w:ascii="宋体" w:hAnsi="宋体"/>
          <w:b/>
          <w:sz w:val="32"/>
          <w:szCs w:val="32"/>
          <w:lang w:val="zh-CN"/>
        </w:rPr>
        <w:t>（二）资金计划、到位及使用情况。</w:t>
      </w:r>
    </w:p>
    <w:p>
      <w:pPr>
        <w:adjustRightInd w:val="0"/>
        <w:snapToGrid w:val="0"/>
        <w:spacing w:line="600" w:lineRule="exact"/>
        <w:ind w:firstLine="720"/>
        <w:rPr>
          <w:rFonts w:ascii="仿宋_GB2312" w:hAnsi="Calibri" w:eastAsia="仿宋_GB2312" w:cs="仿宋"/>
          <w:kern w:val="0"/>
          <w:sz w:val="32"/>
          <w:szCs w:val="32"/>
        </w:rPr>
      </w:pPr>
      <w:r>
        <w:rPr>
          <w:rFonts w:hint="eastAsia" w:ascii="仿宋_GB2312" w:hAnsi="Calibri" w:eastAsia="仿宋_GB2312" w:cs="仿宋"/>
          <w:kern w:val="0"/>
          <w:sz w:val="32"/>
          <w:szCs w:val="32"/>
        </w:rPr>
        <w:t>1．资金计划。2021年4月省教育厅、财政厅下拨本项目建设资金200万元。</w:t>
      </w:r>
    </w:p>
    <w:p>
      <w:pPr>
        <w:adjustRightInd w:val="0"/>
        <w:snapToGrid w:val="0"/>
        <w:spacing w:line="600" w:lineRule="exact"/>
        <w:ind w:firstLine="720"/>
        <w:rPr>
          <w:rFonts w:ascii="仿宋_GB2312" w:hAnsi="Calibri" w:eastAsia="仿宋_GB2312" w:cs="仿宋"/>
          <w:kern w:val="0"/>
          <w:sz w:val="32"/>
          <w:szCs w:val="32"/>
        </w:rPr>
      </w:pPr>
      <w:r>
        <w:rPr>
          <w:rFonts w:hint="eastAsia" w:ascii="仿宋_GB2312" w:hAnsi="Calibri" w:eastAsia="仿宋_GB2312" w:cs="仿宋"/>
          <w:kern w:val="0"/>
          <w:sz w:val="32"/>
          <w:szCs w:val="32"/>
        </w:rPr>
        <w:t>2、资金到位。2021年4月省教育厅、财政厅下拨本项目建设资金实际到位200万元，将资金到位情况与资金计划进行比对，资金到位率100%、并及时到位。</w:t>
      </w:r>
    </w:p>
    <w:p>
      <w:pPr>
        <w:adjustRightInd w:val="0"/>
        <w:snapToGrid w:val="0"/>
        <w:spacing w:line="600" w:lineRule="exact"/>
        <w:ind w:firstLine="720"/>
        <w:rPr>
          <w:rFonts w:ascii="仿宋_GB2312" w:hAnsi="Calibri" w:eastAsia="仿宋_GB2312" w:cs="仿宋"/>
          <w:kern w:val="0"/>
          <w:sz w:val="32"/>
          <w:szCs w:val="32"/>
        </w:rPr>
      </w:pPr>
      <w:r>
        <w:rPr>
          <w:rFonts w:hint="eastAsia" w:ascii="仿宋_GB2312" w:hAnsi="Calibri" w:eastAsia="仿宋_GB2312" w:cs="仿宋"/>
          <w:kern w:val="0"/>
          <w:sz w:val="32"/>
          <w:szCs w:val="32"/>
        </w:rPr>
        <w:t>3、资金使用。2021年10月本项目资金的实际支出</w:t>
      </w:r>
      <w:r>
        <w:rPr>
          <w:rFonts w:ascii="仿宋_GB2312" w:hAnsi="Calibri" w:eastAsia="仿宋_GB2312" w:cs="仿宋"/>
          <w:kern w:val="0"/>
          <w:sz w:val="32"/>
          <w:szCs w:val="32"/>
        </w:rPr>
        <w:t>179</w:t>
      </w:r>
      <w:r>
        <w:rPr>
          <w:rFonts w:hint="eastAsia" w:ascii="仿宋_GB2312" w:hAnsi="Calibri" w:eastAsia="仿宋_GB2312" w:cs="仿宋"/>
          <w:kern w:val="0"/>
          <w:sz w:val="32"/>
          <w:szCs w:val="32"/>
        </w:rPr>
        <w:t>.</w:t>
      </w:r>
      <w:r>
        <w:rPr>
          <w:rFonts w:ascii="仿宋_GB2312" w:hAnsi="Calibri" w:eastAsia="仿宋_GB2312" w:cs="仿宋"/>
          <w:kern w:val="0"/>
          <w:sz w:val="32"/>
          <w:szCs w:val="32"/>
        </w:rPr>
        <w:t>89</w:t>
      </w:r>
      <w:r>
        <w:rPr>
          <w:rFonts w:hint="eastAsia" w:ascii="仿宋_GB2312" w:hAnsi="Calibri" w:eastAsia="仿宋_GB2312" w:cs="仿宋"/>
          <w:kern w:val="0"/>
          <w:sz w:val="32"/>
          <w:szCs w:val="32"/>
        </w:rPr>
        <w:t>万元，因新冠疫情影响师资队伍建设尚未结束。</w:t>
      </w:r>
    </w:p>
    <w:p>
      <w:pPr>
        <w:adjustRightInd w:val="0"/>
        <w:snapToGrid w:val="0"/>
        <w:spacing w:line="600" w:lineRule="exact"/>
        <w:ind w:firstLine="720"/>
        <w:rPr>
          <w:rFonts w:ascii="仿宋_GB2312" w:hAnsi="Calibri" w:eastAsia="仿宋_GB2312" w:cs="仿宋"/>
          <w:kern w:val="0"/>
          <w:sz w:val="32"/>
          <w:szCs w:val="32"/>
        </w:rPr>
      </w:pPr>
      <w:r>
        <w:rPr>
          <w:rFonts w:hint="eastAsia" w:ascii="仿宋_GB2312" w:hAnsi="Calibri" w:eastAsia="仿宋_GB2312" w:cs="仿宋"/>
          <w:kern w:val="0"/>
          <w:sz w:val="32"/>
          <w:szCs w:val="32"/>
        </w:rPr>
        <w:t>支付依据合规合法，资金支付与预算相符。</w:t>
      </w:r>
    </w:p>
    <w:p>
      <w:pPr>
        <w:adjustRightInd w:val="0"/>
        <w:snapToGrid w:val="0"/>
        <w:spacing w:line="576" w:lineRule="exact"/>
        <w:ind w:firstLine="720"/>
        <w:rPr>
          <w:rFonts w:ascii="宋体" w:hAnsi="宋体"/>
          <w:b/>
          <w:sz w:val="32"/>
          <w:szCs w:val="32"/>
          <w:lang w:val="zh-CN"/>
        </w:rPr>
      </w:pPr>
      <w:r>
        <w:rPr>
          <w:rFonts w:hint="eastAsia" w:ascii="宋体" w:hAnsi="宋体"/>
          <w:b/>
          <w:sz w:val="32"/>
          <w:szCs w:val="32"/>
          <w:lang w:val="zh-CN"/>
        </w:rPr>
        <w:t>（三）项目财务管理情况。</w:t>
      </w:r>
    </w:p>
    <w:p>
      <w:pPr>
        <w:adjustRightInd w:val="0"/>
        <w:snapToGrid w:val="0"/>
        <w:spacing w:line="600" w:lineRule="exact"/>
        <w:ind w:firstLine="720"/>
        <w:rPr>
          <w:rFonts w:ascii="仿宋_GB2312" w:hAnsi="Calibri" w:eastAsia="仿宋_GB2312" w:cs="仿宋"/>
          <w:kern w:val="0"/>
          <w:sz w:val="32"/>
          <w:szCs w:val="32"/>
        </w:rPr>
      </w:pPr>
      <w:r>
        <w:rPr>
          <w:rFonts w:hint="eastAsia" w:ascii="仿宋_GB2312" w:hAnsi="Calibri" w:eastAsia="仿宋_GB2312" w:cs="仿宋"/>
          <w:kern w:val="0"/>
          <w:sz w:val="32"/>
          <w:szCs w:val="32"/>
        </w:rPr>
        <w:t>严格执行国家相关财务制度，并建立相应的财务管理制度，配备合格财务人员负责项目资金的财务管理工作，严格会计核算，做到专款专用。严格资金报账审批手续，确保资金安全性和效益性。</w:t>
      </w:r>
    </w:p>
    <w:p>
      <w:pPr>
        <w:adjustRightInd w:val="0"/>
        <w:snapToGrid w:val="0"/>
        <w:spacing w:line="576" w:lineRule="exact"/>
        <w:ind w:firstLine="320" w:firstLineChars="100"/>
        <w:rPr>
          <w:rFonts w:ascii="黑体" w:hAnsi="黑体" w:eastAsia="黑体"/>
          <w:sz w:val="32"/>
          <w:szCs w:val="32"/>
          <w:lang w:val="zh-CN"/>
        </w:rPr>
      </w:pPr>
      <w:r>
        <w:rPr>
          <w:rFonts w:hint="eastAsia" w:ascii="黑体" w:hAnsi="黑体" w:eastAsia="黑体"/>
          <w:sz w:val="32"/>
          <w:szCs w:val="32"/>
          <w:lang w:val="zh-CN"/>
        </w:rPr>
        <w:t>三、项目实施及管理情况。</w:t>
      </w:r>
    </w:p>
    <w:p>
      <w:pPr>
        <w:pStyle w:val="25"/>
        <w:numPr>
          <w:ilvl w:val="0"/>
          <w:numId w:val="8"/>
        </w:numPr>
        <w:adjustRightInd w:val="0"/>
        <w:snapToGrid w:val="0"/>
        <w:spacing w:line="600" w:lineRule="exact"/>
        <w:ind w:firstLineChars="0"/>
        <w:rPr>
          <w:rFonts w:ascii="楷体_GB2312" w:hAnsi="宋体" w:eastAsia="楷体_GB2312"/>
          <w:b/>
          <w:sz w:val="32"/>
          <w:szCs w:val="32"/>
          <w:lang w:val="zh-CN"/>
        </w:rPr>
      </w:pPr>
      <w:r>
        <w:rPr>
          <w:rFonts w:hint="eastAsia" w:ascii="宋体" w:hAnsi="宋体"/>
          <w:b/>
          <w:sz w:val="32"/>
          <w:szCs w:val="32"/>
          <w:lang w:val="zh-CN"/>
        </w:rPr>
        <w:t>项目组织架构及实施流程。</w:t>
      </w:r>
    </w:p>
    <w:p>
      <w:pPr>
        <w:pStyle w:val="25"/>
        <w:adjustRightInd w:val="0"/>
        <w:snapToGrid w:val="0"/>
        <w:spacing w:line="600" w:lineRule="exact"/>
        <w:ind w:left="160"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学校</w:t>
      </w:r>
      <w:r>
        <w:rPr>
          <w:rFonts w:ascii="仿宋_GB2312" w:hAnsi="Calibri" w:eastAsia="仿宋_GB2312" w:cs="仿宋"/>
          <w:kern w:val="0"/>
          <w:sz w:val="32"/>
          <w:szCs w:val="32"/>
        </w:rPr>
        <w:t>领导的分管下</w:t>
      </w:r>
      <w:r>
        <w:rPr>
          <w:rFonts w:hint="eastAsia" w:ascii="仿宋_GB2312" w:hAnsi="Calibri" w:eastAsia="仿宋_GB2312" w:cs="仿宋"/>
          <w:kern w:val="0"/>
          <w:sz w:val="32"/>
          <w:szCs w:val="32"/>
        </w:rPr>
        <w:t>，</w:t>
      </w:r>
      <w:r>
        <w:rPr>
          <w:rFonts w:ascii="仿宋_GB2312" w:hAnsi="Calibri" w:eastAsia="仿宋_GB2312" w:cs="仿宋"/>
          <w:kern w:val="0"/>
          <w:sz w:val="32"/>
          <w:szCs w:val="32"/>
        </w:rPr>
        <w:t>由专门的科室组织实施</w:t>
      </w:r>
      <w:r>
        <w:rPr>
          <w:rFonts w:hint="eastAsia" w:ascii="仿宋_GB2312" w:hAnsi="Calibri" w:eastAsia="仿宋_GB2312" w:cs="仿宋"/>
          <w:kern w:val="0"/>
          <w:sz w:val="32"/>
          <w:szCs w:val="32"/>
        </w:rPr>
        <w:t>，科室内分项目设有专门的负责人。项目下设一级指标、二级指标、三级指标，分级细化。对每项三级指标进行指标解释，制定评价标准。项目实施流程严格按照计划进行项目管理、资金管理、绩效评价管理等。</w:t>
      </w:r>
    </w:p>
    <w:p>
      <w:pPr>
        <w:pStyle w:val="25"/>
        <w:numPr>
          <w:ilvl w:val="0"/>
          <w:numId w:val="8"/>
        </w:numPr>
        <w:adjustRightInd w:val="0"/>
        <w:snapToGrid w:val="0"/>
        <w:spacing w:line="576" w:lineRule="exact"/>
        <w:ind w:firstLineChars="0"/>
        <w:rPr>
          <w:rFonts w:ascii="宋体" w:hAnsi="宋体"/>
          <w:b/>
          <w:sz w:val="32"/>
          <w:szCs w:val="32"/>
          <w:lang w:val="zh-CN"/>
        </w:rPr>
      </w:pPr>
      <w:r>
        <w:rPr>
          <w:rFonts w:hint="eastAsia" w:ascii="宋体" w:hAnsi="宋体"/>
          <w:b/>
          <w:sz w:val="32"/>
          <w:szCs w:val="32"/>
          <w:lang w:val="zh-CN"/>
        </w:rPr>
        <w:t>项目管理情况。</w:t>
      </w:r>
    </w:p>
    <w:p>
      <w:pPr>
        <w:pStyle w:val="25"/>
        <w:adjustRightInd w:val="0"/>
        <w:snapToGrid w:val="0"/>
        <w:spacing w:line="600" w:lineRule="exact"/>
        <w:ind w:left="160"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学校成立项目领导小组，统筹专业建设、协调学校内外资源同时监督指导建设各项工作，下设项目建设工作组和项目纪检督查组，制定《广元市利州中等专业学校中等职业学校打造医卫优质专业群建设项目实施管理办法》《广元市利州中等专业学校中等职业学校打造医卫优质专业群建设项目经费管理实施细则》。项目建设领导小组全面督促各个子项目的建设推进情况，确保项目建设目标明确、措施得力、规范有序、督查到位、考评结果公开透明，如期完成建设任务。</w:t>
      </w:r>
    </w:p>
    <w:p>
      <w:pPr>
        <w:adjustRightInd w:val="0"/>
        <w:snapToGrid w:val="0"/>
        <w:spacing w:line="600" w:lineRule="exact"/>
        <w:ind w:firstLine="160" w:firstLineChars="50"/>
        <w:rPr>
          <w:rFonts w:ascii="楷体_GB2312" w:hAnsi="宋体" w:eastAsia="楷体_GB2312"/>
          <w:b/>
          <w:sz w:val="32"/>
          <w:szCs w:val="32"/>
          <w:lang w:val="zh-CN"/>
        </w:rPr>
      </w:pPr>
      <w:r>
        <w:rPr>
          <w:rFonts w:hint="eastAsia" w:ascii="宋体" w:hAnsi="宋体"/>
          <w:b/>
          <w:sz w:val="32"/>
          <w:szCs w:val="32"/>
          <w:lang w:val="zh-CN"/>
        </w:rPr>
        <w:t>（三）项目监管情况。</w:t>
      </w:r>
    </w:p>
    <w:p>
      <w:pPr>
        <w:pStyle w:val="25"/>
        <w:adjustRightInd w:val="0"/>
        <w:snapToGrid w:val="0"/>
        <w:spacing w:line="600" w:lineRule="exact"/>
        <w:ind w:left="160"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项目主管部门为加强项目管理，制定了严格的监管措施。市教育局市财政局在建设中不定期进行检查，监管效果好。</w:t>
      </w:r>
    </w:p>
    <w:p>
      <w:pPr>
        <w:adjustRightInd w:val="0"/>
        <w:snapToGrid w:val="0"/>
        <w:spacing w:line="576" w:lineRule="exact"/>
        <w:ind w:firstLine="320" w:firstLineChars="10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576" w:lineRule="exact"/>
        <w:ind w:firstLine="720"/>
        <w:rPr>
          <w:rFonts w:ascii="宋体" w:hAnsi="宋体"/>
          <w:sz w:val="32"/>
          <w:szCs w:val="32"/>
          <w:lang w:val="zh-CN"/>
        </w:rPr>
      </w:pPr>
      <w:r>
        <w:rPr>
          <w:rFonts w:hint="eastAsia" w:ascii="宋体" w:hAnsi="宋体"/>
          <w:sz w:val="32"/>
          <w:szCs w:val="32"/>
          <w:lang w:val="zh-CN"/>
        </w:rPr>
        <w:t>（一）项目完成情况。</w:t>
      </w:r>
    </w:p>
    <w:p>
      <w:pPr>
        <w:adjustRightInd w:val="0"/>
        <w:snapToGrid w:val="0"/>
        <w:spacing w:line="540" w:lineRule="exact"/>
        <w:ind w:firstLine="720"/>
        <w:rPr>
          <w:rFonts w:ascii="宋体" w:hAnsi="宋体"/>
          <w:sz w:val="32"/>
          <w:szCs w:val="32"/>
          <w:lang w:val="zh-CN"/>
        </w:rPr>
      </w:pPr>
      <w:r>
        <w:rPr>
          <w:rFonts w:hint="eastAsia" w:ascii="宋体" w:hAnsi="宋体"/>
          <w:sz w:val="32"/>
          <w:szCs w:val="32"/>
          <w:lang w:val="zh-CN"/>
        </w:rPr>
        <w:t xml:space="preserve">1 医学检验技术专业课程建设  </w:t>
      </w:r>
    </w:p>
    <w:p>
      <w:pPr>
        <w:pStyle w:val="25"/>
        <w:adjustRightInd w:val="0"/>
        <w:snapToGrid w:val="0"/>
        <w:spacing w:line="600" w:lineRule="exact"/>
        <w:ind w:left="160"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建设资金17万元，购买医学检验技术专业实训软件，积极开展理实一体化等教学模式改革和实验实训。</w:t>
      </w:r>
    </w:p>
    <w:p>
      <w:pPr>
        <w:adjustRightInd w:val="0"/>
        <w:snapToGrid w:val="0"/>
        <w:spacing w:line="540" w:lineRule="exact"/>
        <w:ind w:firstLine="720"/>
        <w:rPr>
          <w:rFonts w:ascii="宋体" w:hAnsi="宋体"/>
          <w:sz w:val="32"/>
          <w:szCs w:val="32"/>
          <w:lang w:val="zh-CN"/>
        </w:rPr>
      </w:pPr>
      <w:r>
        <w:rPr>
          <w:rFonts w:hint="eastAsia" w:ascii="宋体" w:hAnsi="宋体"/>
          <w:sz w:val="32"/>
          <w:szCs w:val="32"/>
          <w:lang w:val="zh-CN"/>
        </w:rPr>
        <w:t xml:space="preserve">2 实验实训设备采购 </w:t>
      </w:r>
    </w:p>
    <w:p>
      <w:pPr>
        <w:pStyle w:val="25"/>
        <w:adjustRightInd w:val="0"/>
        <w:snapToGrid w:val="0"/>
        <w:spacing w:line="600" w:lineRule="exact"/>
        <w:ind w:left="160"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建设资金163万元</w:t>
      </w:r>
    </w:p>
    <w:p>
      <w:pPr>
        <w:pStyle w:val="25"/>
        <w:adjustRightInd w:val="0"/>
        <w:snapToGrid w:val="0"/>
        <w:spacing w:line="600" w:lineRule="exact"/>
        <w:ind w:left="160"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①医学检验技术专业实验实训设备共25万元，采购电解质分析仪价格2万元，全自动血细胞分析仪价格16万元，全自动尿液分析仪7万元。</w:t>
      </w:r>
    </w:p>
    <w:p>
      <w:pPr>
        <w:pStyle w:val="25"/>
        <w:adjustRightInd w:val="0"/>
        <w:snapToGrid w:val="0"/>
        <w:spacing w:line="600" w:lineRule="exact"/>
        <w:ind w:left="160"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②中医康复保健专业实验实训设备18万元，主要用于智能中药熏蒸机、肌肉放松电动高频率理疗震动冲击枪、针灸经络腧穴模型、中医康复电动PT床、火罐、银针等设备采购。</w:t>
      </w:r>
    </w:p>
    <w:p>
      <w:pPr>
        <w:pStyle w:val="25"/>
        <w:adjustRightInd w:val="0"/>
        <w:snapToGrid w:val="0"/>
        <w:spacing w:line="600" w:lineRule="exact"/>
        <w:ind w:left="160"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③护理专业实训设备68万元，主要用于心肺复苏、静脉输液、VR虚拟软件，心电图机、心电监护仪、外科、骨科手术器械等设备采购。</w:t>
      </w:r>
    </w:p>
    <w:p>
      <w:pPr>
        <w:pStyle w:val="25"/>
        <w:adjustRightInd w:val="0"/>
        <w:snapToGrid w:val="0"/>
        <w:spacing w:line="600" w:lineRule="exact"/>
        <w:ind w:left="160"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④医学影像诊断实训室43万元，采购Dr X光机一台和医学影像诊断实训室建设。用于内科护理学、外科护理学和健康评估教学和实训，开展学生和教师肺结核筛查、常见疾病诊断（少数民族地区学生肺结核发病率较高）。</w:t>
      </w:r>
    </w:p>
    <w:p>
      <w:pPr>
        <w:pStyle w:val="25"/>
        <w:adjustRightInd w:val="0"/>
        <w:snapToGrid w:val="0"/>
        <w:spacing w:line="600" w:lineRule="exact"/>
        <w:ind w:left="160"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⑤心理咨询室建设86000元。主要用于智能呐喊仪、生物反馈型音乐放松椅、心理测评软件、标准宣泄人等设备采购。</w:t>
      </w:r>
    </w:p>
    <w:p>
      <w:pPr>
        <w:numPr>
          <w:ilvl w:val="0"/>
          <w:numId w:val="9"/>
        </w:numPr>
        <w:adjustRightInd w:val="0"/>
        <w:snapToGrid w:val="0"/>
        <w:spacing w:line="576" w:lineRule="exact"/>
        <w:ind w:firstLine="720"/>
        <w:rPr>
          <w:rFonts w:ascii="黑体" w:hAnsi="宋体" w:eastAsia="黑体"/>
          <w:sz w:val="32"/>
          <w:szCs w:val="32"/>
        </w:rPr>
      </w:pPr>
      <w:r>
        <w:rPr>
          <w:rFonts w:hint="eastAsia" w:ascii="黑体" w:hAnsi="宋体" w:eastAsia="黑体"/>
          <w:sz w:val="32"/>
          <w:szCs w:val="32"/>
        </w:rPr>
        <w:t>项目效益情况。</w:t>
      </w:r>
    </w:p>
    <w:p>
      <w:pPr>
        <w:adjustRightInd w:val="0"/>
        <w:snapToGrid w:val="0"/>
        <w:spacing w:line="576"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1.医学检验技术专业课程建设。使用医学检验技术专业实训软件，开展理实一体化等教学模式改革和实验实训，提高课堂教学和实践教学效率和质量。  </w:t>
      </w:r>
    </w:p>
    <w:p>
      <w:pPr>
        <w:adjustRightInd w:val="0"/>
        <w:snapToGrid w:val="0"/>
        <w:spacing w:line="576"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2.实验实训设备采购。医学检验技术专业、中医康复保健专业按专业教学标准实验实训课开出率90%，护理专业实验实训课开出率100%。</w:t>
      </w:r>
    </w:p>
    <w:p>
      <w:pPr>
        <w:adjustRightInd w:val="0"/>
        <w:snapToGrid w:val="0"/>
        <w:spacing w:line="576"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3.医学影像诊断实训室建设。满足内科护理学、外科护理学和健康评估教学和实训需要，开展学生和教师肺结核筛查、常见疾病诊断500余人。</w:t>
      </w:r>
    </w:p>
    <w:p>
      <w:pPr>
        <w:adjustRightInd w:val="0"/>
        <w:snapToGrid w:val="0"/>
        <w:spacing w:line="576" w:lineRule="exac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4.心理咨询室建设满足学生心理咨询的需要和开展心理健康教育，使用心理测评软件完成学生心理测试3000人，使用团体活动箱进行心理辅导活动50次，500余人使用了心理放松椅和心理宣泄仪器。</w:t>
      </w:r>
    </w:p>
    <w:p>
      <w:pPr>
        <w:adjustRightInd w:val="0"/>
        <w:snapToGrid w:val="0"/>
        <w:spacing w:line="600" w:lineRule="exact"/>
        <w:ind w:firstLine="720"/>
        <w:rPr>
          <w:rFonts w:ascii="黑体" w:hAnsi="黑体" w:eastAsia="黑体"/>
          <w:sz w:val="32"/>
          <w:szCs w:val="32"/>
        </w:rPr>
      </w:pPr>
      <w:r>
        <w:rPr>
          <w:rFonts w:hint="eastAsia" w:ascii="黑体" w:hAnsi="黑体" w:eastAsia="黑体"/>
          <w:sz w:val="32"/>
          <w:szCs w:val="32"/>
        </w:rPr>
        <w:t>五、评价结论及建议</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（一）评价结论。</w:t>
      </w:r>
    </w:p>
    <w:p>
      <w:pPr>
        <w:pStyle w:val="2"/>
        <w:spacing w:before="93"/>
        <w:ind w:firstLine="480" w:firstLineChars="150"/>
        <w:rPr>
          <w:rFonts w:hAnsi="Calibri" w:cs="仿宋"/>
          <w:sz w:val="32"/>
          <w:szCs w:val="32"/>
        </w:rPr>
      </w:pPr>
      <w:r>
        <w:rPr>
          <w:rFonts w:hint="eastAsia" w:hAnsi="Calibri" w:cs="仿宋"/>
          <w:sz w:val="32"/>
          <w:szCs w:val="32"/>
        </w:rPr>
        <w:t>总体上看，项目目标明确，项目组织管理规范，综合评价为优。</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（二）存在的问题。</w:t>
      </w:r>
    </w:p>
    <w:p>
      <w:pPr>
        <w:pStyle w:val="2"/>
        <w:spacing w:before="93"/>
        <w:ind w:firstLine="480" w:firstLineChars="150"/>
        <w:rPr>
          <w:rFonts w:hAnsi="Calibri" w:cs="仿宋"/>
          <w:sz w:val="32"/>
          <w:szCs w:val="32"/>
        </w:rPr>
      </w:pPr>
      <w:r>
        <w:rPr>
          <w:rFonts w:hint="eastAsia" w:hAnsi="Calibri" w:cs="仿宋"/>
          <w:sz w:val="32"/>
          <w:szCs w:val="32"/>
        </w:rPr>
        <w:t>因新冠疫情影响师资队伍建设尚未完成。</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（三）相关建议。</w:t>
      </w:r>
    </w:p>
    <w:p>
      <w:pPr>
        <w:pStyle w:val="2"/>
        <w:spacing w:before="93"/>
        <w:ind w:firstLine="480" w:firstLineChars="150"/>
        <w:rPr>
          <w:rFonts w:hAnsi="Calibri" w:cs="仿宋"/>
          <w:sz w:val="32"/>
          <w:szCs w:val="32"/>
        </w:rPr>
      </w:pPr>
      <w:r>
        <w:rPr>
          <w:rFonts w:hint="eastAsia" w:hAnsi="Calibri" w:cs="仿宋"/>
          <w:sz w:val="32"/>
          <w:szCs w:val="32"/>
        </w:rPr>
        <w:t>和其他中职学校省级示范专业建设相比，省教育厅、财政厅对我校省级示范专业建设下拨建设资金较少，不能完全满足医卫专业群建设的需要。</w:t>
      </w:r>
    </w:p>
    <w:p>
      <w:pPr>
        <w:pStyle w:val="2"/>
        <w:spacing w:before="93"/>
      </w:pPr>
    </w:p>
    <w:p>
      <w:pPr>
        <w:spacing w:line="572" w:lineRule="exact"/>
        <w:jc w:val="left"/>
        <w:outlineLvl w:val="0"/>
        <w:rPr>
          <w:rFonts w:hint="eastAsia" w:ascii="黑体" w:hAnsi="黑体" w:eastAsia="黑体" w:cs="黑体"/>
          <w:sz w:val="32"/>
          <w:szCs w:val="32"/>
        </w:rPr>
      </w:pP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w:t>
      </w:r>
    </w:p>
    <w:tbl>
      <w:tblPr>
        <w:tblStyle w:val="14"/>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widowControl/>
              <w:ind w:firstLine="1445" w:firstLineChars="450"/>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Cs w:val="21"/>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广元市教育局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广元市利州中等专业学校</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项目预算</w:t>
            </w:r>
          </w:p>
          <w:p>
            <w:pPr>
              <w:widowControl/>
              <w:spacing w:line="320" w:lineRule="exact"/>
              <w:jc w:val="center"/>
              <w:textAlignment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执行情况</w:t>
            </w:r>
          </w:p>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200万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179.89万</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其中：</w:t>
            </w:r>
          </w:p>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200万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其中：</w:t>
            </w:r>
          </w:p>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179.89万</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年度总体目标</w:t>
            </w:r>
          </w:p>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Cs w:val="21"/>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cs="宋体" w:asciiTheme="minorEastAsia" w:hAnsiTheme="minorEastAsia" w:eastAsiaTheme="minorEastAsia"/>
                <w:szCs w:val="21"/>
              </w:rPr>
            </w:pPr>
            <w:r>
              <w:rPr>
                <w:rFonts w:hint="eastAsia" w:cs="宋体" w:asciiTheme="minorEastAsia" w:hAnsiTheme="minorEastAsia" w:eastAsiaTheme="minorEastAsia"/>
                <w:szCs w:val="21"/>
              </w:rPr>
              <w:t>目标1：提高专业发展、实训基地建设水平。</w:t>
            </w:r>
          </w:p>
          <w:p>
            <w:pPr>
              <w:widowControl/>
              <w:spacing w:line="320" w:lineRule="exact"/>
              <w:jc w:val="left"/>
              <w:textAlignment w:val="top"/>
              <w:rPr>
                <w:rFonts w:cs="宋体" w:asciiTheme="minorEastAsia" w:hAnsiTheme="minorEastAsia" w:eastAsiaTheme="minorEastAsia"/>
                <w:szCs w:val="21"/>
              </w:rPr>
            </w:pPr>
            <w:r>
              <w:rPr>
                <w:rFonts w:hint="eastAsia" w:cs="宋体" w:asciiTheme="minorEastAsia" w:hAnsiTheme="minorEastAsia" w:eastAsiaTheme="minorEastAsia"/>
                <w:szCs w:val="21"/>
              </w:rPr>
              <w:t>目标2：改善办学条件，完成特定项目建设。</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cs="宋体" w:asciiTheme="minorEastAsia" w:hAnsiTheme="minorEastAsia" w:eastAsiaTheme="minorEastAsia"/>
                <w:szCs w:val="21"/>
              </w:rPr>
            </w:pPr>
            <w:r>
              <w:rPr>
                <w:rFonts w:hint="eastAsia" w:cs="宋体" w:asciiTheme="minorEastAsia" w:hAnsiTheme="minorEastAsia" w:eastAsiaTheme="minorEastAsia"/>
                <w:szCs w:val="21"/>
              </w:rPr>
              <w:t>目标1：提高专业发展、实训基地建设水平。</w:t>
            </w:r>
          </w:p>
          <w:p>
            <w:pPr>
              <w:widowControl/>
              <w:spacing w:line="320" w:lineRule="exact"/>
              <w:jc w:val="left"/>
              <w:textAlignment w:val="top"/>
              <w:rPr>
                <w:rFonts w:cs="宋体" w:asciiTheme="minorEastAsia" w:hAnsiTheme="minorEastAsia" w:eastAsiaTheme="minorEastAsia"/>
                <w:szCs w:val="21"/>
              </w:rPr>
            </w:pPr>
            <w:r>
              <w:rPr>
                <w:rFonts w:hint="eastAsia" w:cs="宋体" w:asciiTheme="minorEastAsia" w:hAnsiTheme="minorEastAsia" w:eastAsiaTheme="minorEastAsia"/>
                <w:szCs w:val="21"/>
              </w:rPr>
              <w:t>目标2：改善办学条件，完成特定项目建设。</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一级</w:t>
            </w:r>
          </w:p>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二级</w:t>
            </w:r>
          </w:p>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三级</w:t>
            </w:r>
          </w:p>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完成</w:t>
            </w:r>
          </w:p>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心理测试</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3000人</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3000人</w:t>
            </w:r>
          </w:p>
        </w:tc>
      </w:tr>
      <w:tr>
        <w:tblPrEx>
          <w:tblCellMar>
            <w:top w:w="0" w:type="dxa"/>
            <w:left w:w="108" w:type="dxa"/>
            <w:bottom w:w="0" w:type="dxa"/>
            <w:right w:w="108" w:type="dxa"/>
          </w:tblCellMar>
        </w:tblPrEx>
        <w:trPr>
          <w:gridAfter w:val="1"/>
          <w:wAfter w:w="236" w:type="dxa"/>
          <w:trHeight w:val="1184"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实验、设施设备履约验收合格率</w:t>
            </w:r>
          </w:p>
          <w:p>
            <w:pPr>
              <w:widowControl/>
              <w:spacing w:line="320" w:lineRule="exact"/>
              <w:jc w:val="center"/>
              <w:textAlignment w:val="bottom"/>
              <w:rPr>
                <w:rFonts w:cs="仿宋_GB2312" w:asciiTheme="minorEastAsia" w:hAnsiTheme="minorEastAsia" w:eastAsiaTheme="minorEastAsia"/>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100%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1年</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200万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179.89万</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cs="仿宋_GB2312" w:asciiTheme="minorEastAsia" w:hAnsiTheme="minorEastAsia" w:eastAsiaTheme="minorEastAsia"/>
                <w:kern w:val="0"/>
                <w:szCs w:val="21"/>
                <w:lang w:eastAsia="zh-CN"/>
              </w:rPr>
            </w:pPr>
            <w:r>
              <w:rPr>
                <w:rFonts w:hint="eastAsia" w:cs="仿宋_GB2312" w:asciiTheme="minorEastAsia" w:hAnsiTheme="minorEastAsia" w:eastAsiaTheme="minorEastAsia"/>
                <w:kern w:val="0"/>
                <w:szCs w:val="21"/>
              </w:rPr>
              <w:t>效益</w:t>
            </w:r>
          </w:p>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学生实训技能水平提升率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60%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60%</w:t>
            </w: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93" w:leftChars="87" w:hanging="210" w:hangingChars="100"/>
              <w:jc w:val="left"/>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学习环境改善率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90%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学习环境改善率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优良中低差</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优</w:t>
            </w: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s="仿宋_GB2312" w:asciiTheme="minorEastAsia" w:hAnsiTheme="minorEastAsia" w:eastAsiaTheme="minorEastAsia"/>
                <w:kern w:val="0"/>
                <w:szCs w:val="21"/>
                <w:lang w:eastAsia="zh-CN"/>
              </w:rPr>
            </w:pPr>
            <w:r>
              <w:rPr>
                <w:rFonts w:hint="eastAsia" w:cs="仿宋_GB2312" w:asciiTheme="minorEastAsia" w:hAnsiTheme="minorEastAsia" w:eastAsiaTheme="minorEastAsia"/>
                <w:kern w:val="0"/>
                <w:szCs w:val="21"/>
              </w:rPr>
              <w:t>满意</w:t>
            </w:r>
          </w:p>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满意度</w:t>
            </w:r>
          </w:p>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师生满意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95%</w:t>
            </w: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pStyle w:val="2"/>
        <w:spacing w:before="93"/>
      </w:pPr>
    </w:p>
    <w:p>
      <w:pPr>
        <w:spacing w:line="576" w:lineRule="exact"/>
        <w:jc w:val="center"/>
        <w:rPr>
          <w:rFonts w:ascii="宋体" w:hAnsi="宋体"/>
          <w:b/>
          <w:color w:val="000000"/>
          <w:kern w:val="0"/>
          <w:sz w:val="32"/>
          <w:szCs w:val="32"/>
          <w:lang w:val="zh-CN"/>
        </w:rPr>
      </w:pPr>
      <w:r>
        <w:rPr>
          <w:rFonts w:hint="eastAsia" w:ascii="宋体" w:hAnsi="宋体"/>
          <w:b/>
          <w:color w:val="000000"/>
          <w:kern w:val="0"/>
          <w:sz w:val="32"/>
          <w:szCs w:val="32"/>
        </w:rPr>
        <w:t>2021年</w:t>
      </w:r>
      <w:r>
        <w:rPr>
          <w:rFonts w:hint="eastAsia" w:ascii="宋体" w:hAnsi="宋体"/>
          <w:b/>
          <w:color w:val="000000"/>
          <w:kern w:val="0"/>
          <w:sz w:val="32"/>
          <w:szCs w:val="32"/>
          <w:lang w:val="zh-CN"/>
        </w:rPr>
        <w:t>专项预算项目支出绩效自评报告</w:t>
      </w:r>
    </w:p>
    <w:p>
      <w:pPr>
        <w:spacing w:line="576" w:lineRule="exact"/>
        <w:jc w:val="center"/>
        <w:rPr>
          <w:rFonts w:ascii="宋体" w:hAnsi="宋体" w:cs="楷体_GB2312"/>
          <w:sz w:val="32"/>
          <w:szCs w:val="32"/>
          <w:lang w:val="zh-CN"/>
        </w:rPr>
      </w:pPr>
      <w:r>
        <w:rPr>
          <w:rFonts w:hint="eastAsia" w:ascii="宋体" w:hAnsi="宋体" w:cs="楷体_GB2312"/>
          <w:sz w:val="32"/>
          <w:szCs w:val="32"/>
          <w:lang w:val="zh-CN"/>
        </w:rPr>
        <w:t>（</w:t>
      </w:r>
      <w:r>
        <w:rPr>
          <w:rFonts w:hint="eastAsia" w:ascii="宋体" w:hAnsi="宋体"/>
          <w:sz w:val="32"/>
          <w:szCs w:val="32"/>
        </w:rPr>
        <w:t>多功能综合实训基地建设项目</w:t>
      </w:r>
      <w:r>
        <w:rPr>
          <w:rFonts w:hint="eastAsia" w:ascii="宋体" w:hAnsi="宋体" w:cs="楷体_GB2312"/>
          <w:sz w:val="32"/>
          <w:szCs w:val="32"/>
          <w:lang w:val="zh-CN"/>
        </w:rPr>
        <w:t>）</w:t>
      </w:r>
    </w:p>
    <w:p>
      <w:pPr>
        <w:pStyle w:val="25"/>
        <w:numPr>
          <w:ilvl w:val="0"/>
          <w:numId w:val="7"/>
        </w:numPr>
        <w:adjustRightInd w:val="0"/>
        <w:snapToGrid w:val="0"/>
        <w:spacing w:beforeLines="50" w:line="576" w:lineRule="exact"/>
        <w:ind w:firstLineChars="0"/>
        <w:rPr>
          <w:rFonts w:ascii="黑体" w:hAnsi="黑体" w:eastAsia="黑体"/>
          <w:sz w:val="32"/>
          <w:szCs w:val="32"/>
          <w:lang w:val="zh-CN"/>
        </w:rPr>
      </w:pPr>
      <w:r>
        <w:rPr>
          <w:rFonts w:hint="eastAsia" w:ascii="黑体" w:hAnsi="黑体" w:eastAsia="黑体"/>
          <w:sz w:val="32"/>
          <w:szCs w:val="32"/>
          <w:lang w:val="zh-CN"/>
        </w:rPr>
        <w:t>项目概况</w:t>
      </w:r>
    </w:p>
    <w:p>
      <w:pPr>
        <w:pStyle w:val="2"/>
        <w:spacing w:before="93"/>
        <w:rPr>
          <w:rFonts w:ascii="宋体" w:hAnsi="宋体" w:eastAsia="宋体"/>
          <w:b/>
          <w:sz w:val="32"/>
          <w:szCs w:val="32"/>
          <w:lang w:val="zh-CN"/>
        </w:rPr>
      </w:pPr>
      <w:r>
        <w:rPr>
          <w:rFonts w:hint="eastAsia" w:ascii="宋体" w:hAnsi="宋体" w:eastAsia="宋体"/>
          <w:b/>
          <w:sz w:val="32"/>
          <w:szCs w:val="32"/>
          <w:lang w:val="zh-CN"/>
        </w:rPr>
        <w:t xml:space="preserve"> （一）项目基本情况。</w:t>
      </w:r>
    </w:p>
    <w:p>
      <w:pPr>
        <w:pStyle w:val="2"/>
        <w:spacing w:before="93"/>
        <w:ind w:firstLine="480" w:firstLineChars="150"/>
        <w:rPr>
          <w:rFonts w:hAnsi="Calibri" w:cs="仿宋"/>
          <w:sz w:val="32"/>
          <w:szCs w:val="32"/>
        </w:rPr>
      </w:pPr>
      <w:r>
        <w:rPr>
          <w:rFonts w:hint="eastAsia" w:hAnsi="Calibri" w:cs="仿宋"/>
          <w:sz w:val="32"/>
          <w:szCs w:val="32"/>
        </w:rPr>
        <w:t>1、广元市利州中等专业学校多功能综合实训基地建设项目项是国家为发展职业教育，强化职业技能培训、全面提高职业教育质量、完善“产教互动深度融合”巩固国家示范学校建设成果，集学生实训、职业技能培训、学生素质训练于一体的多功能实训基地。项目估算投资2500万，由中央预算内资金2000万，地方配套500万及自筹方式解决。建设内容：新建多功能实训楼6653.13平方米，配套附属设施建设及设备购置541台（套）。</w:t>
      </w:r>
    </w:p>
    <w:p>
      <w:pPr>
        <w:pStyle w:val="2"/>
        <w:spacing w:before="93"/>
        <w:ind w:firstLine="480" w:firstLineChars="150"/>
        <w:rPr>
          <w:rFonts w:hAnsi="Calibri" w:cs="仿宋"/>
          <w:sz w:val="32"/>
          <w:szCs w:val="32"/>
        </w:rPr>
      </w:pPr>
      <w:r>
        <w:rPr>
          <w:rFonts w:hint="eastAsia" w:hAnsi="Calibri" w:cs="仿宋"/>
          <w:sz w:val="32"/>
          <w:szCs w:val="32"/>
        </w:rPr>
        <w:t>2、项目于2017年1月论证立项。立项批准文号：广发改函（2017）199号。</w:t>
      </w:r>
    </w:p>
    <w:p>
      <w:pPr>
        <w:pStyle w:val="2"/>
        <w:spacing w:before="93"/>
        <w:ind w:firstLine="480" w:firstLineChars="150"/>
        <w:rPr>
          <w:rFonts w:hAnsi="Calibri" w:cs="仿宋"/>
          <w:sz w:val="32"/>
          <w:szCs w:val="32"/>
        </w:rPr>
      </w:pPr>
      <w:r>
        <w:rPr>
          <w:rFonts w:hint="eastAsia" w:hAnsi="Calibri" w:cs="仿宋"/>
          <w:sz w:val="32"/>
          <w:szCs w:val="32"/>
        </w:rPr>
        <w:t>3、2021年4月省教育厅批准，2021年7月实施，2021年10月22日项目建设完成，验收合格并投入使用。</w:t>
      </w:r>
    </w:p>
    <w:p>
      <w:pPr>
        <w:adjustRightInd w:val="0"/>
        <w:snapToGrid w:val="0"/>
        <w:spacing w:line="600" w:lineRule="exact"/>
        <w:rPr>
          <w:rFonts w:ascii="宋体" w:hAnsi="宋体"/>
          <w:b/>
          <w:sz w:val="32"/>
          <w:szCs w:val="32"/>
          <w:lang w:val="zh-CN"/>
        </w:rPr>
      </w:pPr>
      <w:r>
        <w:rPr>
          <w:rFonts w:hint="eastAsia" w:ascii="宋体" w:hAnsi="宋体"/>
          <w:b/>
          <w:sz w:val="32"/>
          <w:szCs w:val="32"/>
          <w:lang w:val="zh-CN"/>
        </w:rPr>
        <w:t>（二）项目绩效目标。</w:t>
      </w:r>
    </w:p>
    <w:p>
      <w:pPr>
        <w:widowControl/>
        <w:spacing w:line="285" w:lineRule="atLeas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企业新录用人员提供职业技能培训、为在职职工提供技能提升，培训高技能人才，对推进广元实施可持续发展发挥重要作用。</w:t>
      </w:r>
    </w:p>
    <w:p>
      <w:pPr>
        <w:adjustRightInd w:val="0"/>
        <w:snapToGrid w:val="0"/>
        <w:spacing w:line="600" w:lineRule="exact"/>
        <w:rPr>
          <w:rFonts w:ascii="宋体" w:hAnsi="宋体"/>
          <w:b/>
          <w:sz w:val="32"/>
          <w:szCs w:val="32"/>
          <w:lang w:val="zh-CN"/>
        </w:rPr>
      </w:pPr>
      <w:r>
        <w:rPr>
          <w:rFonts w:hint="eastAsia" w:ascii="宋体" w:hAnsi="宋体"/>
          <w:b/>
          <w:sz w:val="32"/>
          <w:szCs w:val="32"/>
          <w:lang w:val="zh-CN"/>
        </w:rPr>
        <w:t>（三）项目自评步骤及方法。</w:t>
      </w:r>
    </w:p>
    <w:p>
      <w:pPr>
        <w:widowControl/>
        <w:spacing w:line="285" w:lineRule="atLeast"/>
        <w:ind w:firstLine="640" w:firstLineChars="200"/>
        <w:jc w:val="left"/>
        <w:rPr>
          <w:rFonts w:ascii="仿宋_GB2312" w:hAnsi="Calibri" w:eastAsia="仿宋_GB2312" w:cs="仿宋"/>
          <w:kern w:val="0"/>
          <w:sz w:val="32"/>
          <w:szCs w:val="32"/>
        </w:rPr>
      </w:pPr>
      <w:r>
        <w:rPr>
          <w:rFonts w:hint="eastAsia" w:ascii="宋体" w:hAnsi="宋体"/>
          <w:sz w:val="32"/>
          <w:szCs w:val="32"/>
          <w:lang w:val="zh-CN"/>
        </w:rPr>
        <w:t xml:space="preserve"> </w:t>
      </w:r>
      <w:r>
        <w:rPr>
          <w:rFonts w:hint="eastAsia" w:ascii="仿宋_GB2312" w:hAnsi="Calibri" w:eastAsia="仿宋_GB2312" w:cs="仿宋"/>
          <w:kern w:val="0"/>
          <w:sz w:val="32"/>
          <w:szCs w:val="32"/>
        </w:rPr>
        <w:t>项目采取自评与他评相结合方式,成立项目自评小组,结合评价内容,做到有计划,有安排,扎实开展自评工作。按照上级下达的项目支出绩效评价指标体系，自评小组针对申报内容、实施情况、资金使用、社会效益等</w:t>
      </w:r>
      <w:r>
        <w:rPr>
          <w:rFonts w:hint="eastAsia" w:ascii="仿宋_GB2312" w:hAnsi="Calibri" w:eastAsia="仿宋_GB2312" w:cs="仿宋"/>
          <w:kern w:val="0"/>
          <w:sz w:val="32"/>
          <w:szCs w:val="32"/>
          <w:lang w:eastAsia="zh-CN"/>
        </w:rPr>
        <w:t>作</w:t>
      </w:r>
      <w:r>
        <w:rPr>
          <w:rFonts w:hint="eastAsia" w:ascii="仿宋_GB2312" w:hAnsi="Calibri" w:eastAsia="仿宋_GB2312" w:cs="仿宋"/>
          <w:kern w:val="0"/>
          <w:sz w:val="32"/>
          <w:szCs w:val="32"/>
        </w:rPr>
        <w:t>出自我评价，认真听取建议意见，做好自评工作。</w:t>
      </w:r>
    </w:p>
    <w:p>
      <w:pPr>
        <w:adjustRightInd w:val="0"/>
        <w:snapToGrid w:val="0"/>
        <w:spacing w:line="600" w:lineRule="exact"/>
        <w:ind w:firstLine="720"/>
        <w:rPr>
          <w:rFonts w:ascii="黑体" w:hAnsi="黑体" w:eastAsia="黑体"/>
          <w:sz w:val="32"/>
          <w:szCs w:val="32"/>
        </w:rPr>
      </w:pPr>
      <w:r>
        <w:rPr>
          <w:rFonts w:hint="eastAsia" w:ascii="黑体" w:hAnsi="黑体" w:eastAsia="黑体"/>
          <w:sz w:val="32"/>
          <w:szCs w:val="32"/>
        </w:rPr>
        <w:t>二、项目资金申报及使用情况</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（一）项目资金申报及批复情况。</w:t>
      </w:r>
    </w:p>
    <w:p>
      <w:pPr>
        <w:adjustRightInd w:val="0"/>
        <w:snapToGrid w:val="0"/>
        <w:spacing w:line="600" w:lineRule="exact"/>
        <w:ind w:firstLine="720"/>
        <w:rPr>
          <w:rFonts w:ascii="仿宋_GB2312" w:hAnsi="Calibri" w:eastAsia="仿宋_GB2312" w:cs="仿宋"/>
          <w:kern w:val="0"/>
          <w:sz w:val="32"/>
          <w:szCs w:val="32"/>
        </w:rPr>
      </w:pPr>
      <w:r>
        <w:rPr>
          <w:rFonts w:hint="eastAsia" w:ascii="仿宋_GB2312" w:hAnsi="Calibri" w:eastAsia="仿宋_GB2312" w:cs="仿宋"/>
          <w:kern w:val="0"/>
          <w:sz w:val="32"/>
          <w:szCs w:val="32"/>
        </w:rPr>
        <w:t>项目经费预算2000万元，按年度进行申报。资金及时批复到位。</w:t>
      </w:r>
    </w:p>
    <w:p>
      <w:pPr>
        <w:adjustRightInd w:val="0"/>
        <w:snapToGrid w:val="0"/>
        <w:spacing w:line="600" w:lineRule="exact"/>
        <w:ind w:firstLine="720"/>
        <w:rPr>
          <w:rFonts w:ascii="宋体" w:hAnsi="宋体"/>
          <w:sz w:val="32"/>
          <w:szCs w:val="32"/>
          <w:lang w:val="zh-CN"/>
        </w:rPr>
      </w:pPr>
      <w:r>
        <w:rPr>
          <w:rFonts w:hint="eastAsia" w:ascii="宋体" w:hAnsi="宋体"/>
          <w:b/>
          <w:sz w:val="32"/>
          <w:szCs w:val="32"/>
          <w:lang w:val="zh-CN"/>
        </w:rPr>
        <w:t>（二）资金计划、到位及使用情况。</w:t>
      </w:r>
    </w:p>
    <w:p>
      <w:pPr>
        <w:widowControl/>
        <w:spacing w:line="285" w:lineRule="atLeas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1．资金计划。该项目资金是由中央预算内和市财政安排专项资金共计2500万，项目具有公共性、公益性，属于公共财政支持范围，资金来源渠道明确，中央预算内资金2000万年初到位。</w:t>
      </w:r>
    </w:p>
    <w:p>
      <w:pPr>
        <w:widowControl/>
        <w:spacing w:line="285" w:lineRule="atLeas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2、资金到位。中央2021年4月省教育厅、财政厅下拨本项目建设资金实际到位200万元，将资金到位情况与资金计划进行比对，资金到位率100%、并及时到位。</w:t>
      </w:r>
    </w:p>
    <w:p>
      <w:pPr>
        <w:widowControl/>
        <w:spacing w:line="285" w:lineRule="atLeas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3、资金使用。2021年12月本项目资金的实际支出配套设施采购143万，建设项目105.99万元，因审计报告未出,工程尾款未付。</w:t>
      </w:r>
    </w:p>
    <w:p>
      <w:pPr>
        <w:widowControl/>
        <w:spacing w:line="285" w:lineRule="atLeast"/>
        <w:ind w:firstLine="640" w:firstLineChars="200"/>
        <w:jc w:val="left"/>
        <w:rPr>
          <w:rFonts w:ascii="宋体" w:hAnsi="宋体" w:cs="宋体"/>
          <w:color w:val="000000"/>
          <w:kern w:val="0"/>
          <w:sz w:val="32"/>
          <w:szCs w:val="32"/>
        </w:rPr>
      </w:pPr>
      <w:r>
        <w:rPr>
          <w:rFonts w:hint="eastAsia" w:ascii="仿宋_GB2312" w:hAnsi="Calibri" w:eastAsia="仿宋_GB2312" w:cs="仿宋"/>
          <w:kern w:val="0"/>
          <w:sz w:val="32"/>
          <w:szCs w:val="32"/>
        </w:rPr>
        <w:t>支付依据合规合法，资金支付与预算相符</w:t>
      </w:r>
      <w:r>
        <w:rPr>
          <w:rFonts w:hint="eastAsia" w:ascii="宋体" w:hAnsi="宋体" w:cs="宋体"/>
          <w:color w:val="000000"/>
          <w:kern w:val="0"/>
          <w:sz w:val="32"/>
          <w:szCs w:val="32"/>
        </w:rPr>
        <w:t>。</w:t>
      </w:r>
    </w:p>
    <w:p>
      <w:pPr>
        <w:adjustRightInd w:val="0"/>
        <w:snapToGrid w:val="0"/>
        <w:spacing w:line="576" w:lineRule="exact"/>
        <w:ind w:firstLine="720"/>
        <w:rPr>
          <w:rFonts w:ascii="黑体" w:hAnsi="黑体" w:eastAsia="黑体"/>
          <w:sz w:val="32"/>
          <w:szCs w:val="32"/>
          <w:lang w:val="zh-CN"/>
        </w:rPr>
      </w:pPr>
      <w:r>
        <w:rPr>
          <w:rFonts w:hint="eastAsia" w:ascii="黑体" w:hAnsi="黑体" w:eastAsia="黑体"/>
          <w:sz w:val="32"/>
          <w:szCs w:val="32"/>
          <w:lang w:val="zh-CN"/>
        </w:rPr>
        <w:t>（三）项目财务管理情况。</w:t>
      </w:r>
    </w:p>
    <w:p>
      <w:pPr>
        <w:adjustRightInd w:val="0"/>
        <w:snapToGrid w:val="0"/>
        <w:spacing w:line="576" w:lineRule="exact"/>
        <w:ind w:firstLine="720"/>
        <w:rPr>
          <w:rFonts w:ascii="仿宋_GB2312" w:hAnsi="Calibri" w:eastAsia="仿宋_GB2312" w:cs="仿宋"/>
          <w:kern w:val="0"/>
          <w:sz w:val="32"/>
          <w:szCs w:val="32"/>
        </w:rPr>
      </w:pPr>
      <w:r>
        <w:rPr>
          <w:rFonts w:hint="eastAsia" w:ascii="仿宋_GB2312" w:hAnsi="Calibri" w:eastAsia="仿宋_GB2312" w:cs="仿宋"/>
          <w:kern w:val="0"/>
          <w:sz w:val="32"/>
          <w:szCs w:val="32"/>
        </w:rPr>
        <w:t>严格执行国家相关财务制度，并建立相应的财务管理制度，配备合格财务人员负责项目资金的财务管理工作，严格会计核算，做到专款专用。严格资金报账审批手续，确保资金安全性和效益性。</w:t>
      </w:r>
    </w:p>
    <w:p>
      <w:pPr>
        <w:adjustRightInd w:val="0"/>
        <w:snapToGrid w:val="0"/>
        <w:spacing w:line="576" w:lineRule="exact"/>
        <w:rPr>
          <w:rFonts w:ascii="黑体" w:hAnsi="黑体" w:eastAsia="黑体"/>
          <w:sz w:val="32"/>
          <w:szCs w:val="32"/>
          <w:lang w:val="zh-CN"/>
        </w:rPr>
      </w:pPr>
      <w:r>
        <w:rPr>
          <w:rFonts w:hint="eastAsia" w:ascii="黑体" w:hAnsi="黑体" w:eastAsia="黑体"/>
          <w:sz w:val="32"/>
          <w:szCs w:val="32"/>
          <w:lang w:val="zh-CN"/>
        </w:rPr>
        <w:t>三、项目实施及管理情况。</w:t>
      </w:r>
    </w:p>
    <w:p>
      <w:pPr>
        <w:adjustRightInd w:val="0"/>
        <w:snapToGrid w:val="0"/>
        <w:spacing w:line="600" w:lineRule="exact"/>
        <w:rPr>
          <w:rFonts w:ascii="宋体" w:hAnsi="宋体"/>
          <w:b/>
          <w:sz w:val="32"/>
          <w:szCs w:val="32"/>
          <w:lang w:val="zh-CN"/>
        </w:rPr>
      </w:pPr>
      <w:r>
        <w:rPr>
          <w:rFonts w:hint="eastAsia" w:ascii="宋体" w:hAnsi="宋体"/>
          <w:b/>
          <w:sz w:val="32"/>
          <w:szCs w:val="32"/>
          <w:lang w:val="zh-CN"/>
        </w:rPr>
        <w:t xml:space="preserve">   (一)项目组织架构及实施流程。</w:t>
      </w:r>
    </w:p>
    <w:p>
      <w:pPr>
        <w:pStyle w:val="25"/>
        <w:adjustRightInd w:val="0"/>
        <w:snapToGrid w:val="0"/>
        <w:spacing w:line="600" w:lineRule="exact"/>
        <w:ind w:left="160"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学校</w:t>
      </w:r>
      <w:r>
        <w:rPr>
          <w:rFonts w:ascii="仿宋_GB2312" w:hAnsi="Calibri" w:eastAsia="仿宋_GB2312" w:cs="仿宋"/>
          <w:kern w:val="0"/>
          <w:sz w:val="32"/>
          <w:szCs w:val="32"/>
        </w:rPr>
        <w:t>领导的分管下</w:t>
      </w:r>
      <w:r>
        <w:rPr>
          <w:rFonts w:hint="eastAsia" w:ascii="仿宋_GB2312" w:hAnsi="Calibri" w:eastAsia="仿宋_GB2312" w:cs="仿宋"/>
          <w:kern w:val="0"/>
          <w:sz w:val="32"/>
          <w:szCs w:val="32"/>
        </w:rPr>
        <w:t>，</w:t>
      </w:r>
      <w:r>
        <w:rPr>
          <w:rFonts w:ascii="仿宋_GB2312" w:hAnsi="Calibri" w:eastAsia="仿宋_GB2312" w:cs="仿宋"/>
          <w:kern w:val="0"/>
          <w:sz w:val="32"/>
          <w:szCs w:val="32"/>
        </w:rPr>
        <w:t>由专门的科室组织实施</w:t>
      </w:r>
      <w:r>
        <w:rPr>
          <w:rFonts w:hint="eastAsia" w:ascii="仿宋_GB2312" w:hAnsi="Calibri" w:eastAsia="仿宋_GB2312" w:cs="仿宋"/>
          <w:kern w:val="0"/>
          <w:sz w:val="32"/>
          <w:szCs w:val="32"/>
        </w:rPr>
        <w:t>，科室内分项目设有专门的负责人。项目下设一级指标、二级指标、三级指标，分级细化。对每项三级指标进行指标解释，制定评价标准。项目实施流程严格按照计划进行项目管理、资金管理、绩效评价管理等。</w:t>
      </w:r>
    </w:p>
    <w:p>
      <w:pPr>
        <w:pStyle w:val="25"/>
        <w:numPr>
          <w:ilvl w:val="0"/>
          <w:numId w:val="10"/>
        </w:numPr>
        <w:adjustRightInd w:val="0"/>
        <w:snapToGrid w:val="0"/>
        <w:spacing w:line="576" w:lineRule="exact"/>
        <w:ind w:firstLineChars="0"/>
        <w:rPr>
          <w:rFonts w:ascii="宋体" w:hAnsi="宋体"/>
          <w:b/>
          <w:sz w:val="32"/>
          <w:szCs w:val="32"/>
          <w:lang w:val="zh-CN"/>
        </w:rPr>
      </w:pPr>
      <w:r>
        <w:rPr>
          <w:rFonts w:hint="eastAsia" w:ascii="宋体" w:hAnsi="宋体"/>
          <w:b/>
          <w:sz w:val="32"/>
          <w:szCs w:val="32"/>
          <w:lang w:val="zh-CN"/>
        </w:rPr>
        <w:t>项目管理情况。</w:t>
      </w:r>
    </w:p>
    <w:p>
      <w:pPr>
        <w:pStyle w:val="25"/>
        <w:adjustRightInd w:val="0"/>
        <w:snapToGrid w:val="0"/>
        <w:spacing w:line="600" w:lineRule="exact"/>
        <w:ind w:left="160" w:firstLine="640"/>
        <w:rPr>
          <w:rFonts w:ascii="宋体" w:hAnsi="宋体" w:cs="宋体"/>
          <w:color w:val="000000"/>
          <w:kern w:val="0"/>
          <w:sz w:val="32"/>
          <w:szCs w:val="32"/>
        </w:rPr>
      </w:pPr>
      <w:r>
        <w:rPr>
          <w:rFonts w:hint="eastAsia" w:ascii="宋体" w:hAnsi="宋体" w:cs="宋体"/>
          <w:color w:val="000000"/>
          <w:kern w:val="0"/>
          <w:sz w:val="32"/>
          <w:szCs w:val="32"/>
        </w:rPr>
        <w:t xml:space="preserve">   </w:t>
      </w:r>
      <w:r>
        <w:rPr>
          <w:rFonts w:hint="eastAsia" w:ascii="仿宋_GB2312" w:hAnsi="Calibri" w:eastAsia="仿宋_GB2312" w:cs="仿宋"/>
          <w:kern w:val="0"/>
          <w:sz w:val="32"/>
          <w:szCs w:val="32"/>
        </w:rPr>
        <w:t>学校成立项目领导小组，统筹专业建设、协调学校内外资源同时监督指导建设各项工作，下设项目建设工作组和项目纪检督查组，项目建设领导小组全面督促各个子项目的建设推进情况，确保项目建设目标明确、措施得力、规范有序、督查到位、考评结果公开透明，如期完成建设任务。</w:t>
      </w:r>
    </w:p>
    <w:p>
      <w:pPr>
        <w:adjustRightInd w:val="0"/>
        <w:snapToGrid w:val="0"/>
        <w:spacing w:line="600" w:lineRule="exact"/>
        <w:ind w:firstLine="160" w:firstLineChars="50"/>
        <w:rPr>
          <w:rFonts w:ascii="宋体" w:hAnsi="宋体"/>
          <w:b/>
          <w:sz w:val="32"/>
          <w:szCs w:val="32"/>
          <w:lang w:val="zh-CN"/>
        </w:rPr>
      </w:pPr>
      <w:r>
        <w:rPr>
          <w:rFonts w:hint="eastAsia" w:ascii="宋体" w:hAnsi="宋体"/>
          <w:b/>
          <w:sz w:val="32"/>
          <w:szCs w:val="32"/>
          <w:lang w:val="zh-CN"/>
        </w:rPr>
        <w:t>（三）项目监管情况。</w:t>
      </w:r>
    </w:p>
    <w:p>
      <w:pPr>
        <w:pStyle w:val="25"/>
        <w:adjustRightInd w:val="0"/>
        <w:snapToGrid w:val="0"/>
        <w:spacing w:line="600" w:lineRule="exact"/>
        <w:ind w:left="160" w:firstLine="640"/>
        <w:rPr>
          <w:rFonts w:ascii="仿宋_GB2312" w:hAnsi="Calibri" w:eastAsia="仿宋_GB2312" w:cs="仿宋"/>
          <w:kern w:val="0"/>
          <w:sz w:val="32"/>
          <w:szCs w:val="32"/>
        </w:rPr>
      </w:pPr>
      <w:r>
        <w:rPr>
          <w:rFonts w:hint="eastAsia" w:ascii="仿宋_GB2312" w:hAnsi="Calibri" w:eastAsia="仿宋_GB2312" w:cs="仿宋"/>
          <w:kern w:val="0"/>
          <w:sz w:val="32"/>
          <w:szCs w:val="32"/>
        </w:rPr>
        <w:t>项目主管部门为加强项目管理，制定了严格的监管措施。市教育局市财政局在建设中不定期进行检查，监管效果好。</w:t>
      </w:r>
    </w:p>
    <w:p>
      <w:pPr>
        <w:adjustRightInd w:val="0"/>
        <w:snapToGrid w:val="0"/>
        <w:spacing w:line="576" w:lineRule="exact"/>
        <w:ind w:firstLine="320" w:firstLineChars="100"/>
        <w:rPr>
          <w:rFonts w:ascii="黑体" w:hAnsi="黑体" w:eastAsia="黑体"/>
          <w:sz w:val="32"/>
          <w:szCs w:val="32"/>
          <w:lang w:val="zh-CN"/>
        </w:rPr>
      </w:pPr>
      <w:r>
        <w:rPr>
          <w:rFonts w:hint="eastAsia" w:ascii="黑体" w:hAnsi="黑体" w:eastAsia="黑体"/>
          <w:sz w:val="32"/>
          <w:szCs w:val="32"/>
        </w:rPr>
        <w:t>四、项目绩效情况</w:t>
      </w:r>
      <w:r>
        <w:rPr>
          <w:rFonts w:hint="eastAsia" w:ascii="黑体" w:hAnsi="黑体" w:eastAsia="黑体"/>
          <w:sz w:val="32"/>
          <w:szCs w:val="32"/>
          <w:lang w:val="zh-CN"/>
        </w:rPr>
        <w:tab/>
      </w:r>
    </w:p>
    <w:p>
      <w:pPr>
        <w:widowControl/>
        <w:spacing w:line="285" w:lineRule="atLeas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（一）项目完成情况。</w:t>
      </w:r>
    </w:p>
    <w:p>
      <w:pPr>
        <w:widowControl/>
        <w:spacing w:line="285" w:lineRule="atLeas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1、建设多功能实训楼6653.13平</w:t>
      </w:r>
      <w:r>
        <w:rPr>
          <w:rFonts w:hint="eastAsia" w:ascii="仿宋_GB2312" w:hAnsi="Calibri" w:eastAsia="仿宋_GB2312" w:cs="仿宋"/>
          <w:kern w:val="0"/>
          <w:sz w:val="32"/>
          <w:szCs w:val="32"/>
          <w:lang w:eastAsia="zh-CN"/>
        </w:rPr>
        <w:t>方</w:t>
      </w:r>
      <w:r>
        <w:rPr>
          <w:rFonts w:hint="eastAsia" w:ascii="仿宋_GB2312" w:hAnsi="Calibri" w:eastAsia="仿宋_GB2312" w:cs="仿宋"/>
          <w:kern w:val="0"/>
          <w:sz w:val="32"/>
          <w:szCs w:val="32"/>
        </w:rPr>
        <w:t>米，完善挡土墙、硬质铺装、绿化附属工程。</w:t>
      </w:r>
    </w:p>
    <w:p>
      <w:pPr>
        <w:widowControl/>
        <w:spacing w:line="285" w:lineRule="atLeas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2、购置汽车运用与维修、音乐舞蹈、中医康复保健、演播等功能设施设备。  </w:t>
      </w:r>
    </w:p>
    <w:p>
      <w:pPr>
        <w:widowControl/>
        <w:spacing w:line="285" w:lineRule="atLeast"/>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（二）项目效益情况。</w:t>
      </w:r>
    </w:p>
    <w:p>
      <w:pPr>
        <w:widowControl/>
        <w:spacing w:line="285" w:lineRule="atLeas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为学校中职在校学生预计可增加400人，社会提供培训服务能力得到提升。实训基地利用自身资源，年平均新增培训3000人次，新增收入预计100万，每年可提供40000实训课时，满足学校相关专业课程实训教学需要，为企业新录用人员提供职业技能培训、为在职职工提供技能提升，培训高技能人才，对推进广元实施可持续发展发挥重要作用。</w:t>
      </w:r>
    </w:p>
    <w:p>
      <w:pPr>
        <w:adjustRightInd w:val="0"/>
        <w:snapToGrid w:val="0"/>
        <w:spacing w:line="600" w:lineRule="exact"/>
        <w:ind w:firstLine="720"/>
        <w:rPr>
          <w:rFonts w:ascii="宋体" w:hAnsi="宋体"/>
          <w:sz w:val="32"/>
          <w:szCs w:val="32"/>
        </w:rPr>
      </w:pPr>
      <w:r>
        <w:rPr>
          <w:rFonts w:hint="eastAsia" w:ascii="宋体" w:hAnsi="宋体"/>
          <w:sz w:val="32"/>
          <w:szCs w:val="32"/>
        </w:rPr>
        <w:t>五、评价结论及建议</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（一）评价结论。</w:t>
      </w:r>
    </w:p>
    <w:p>
      <w:pPr>
        <w:pStyle w:val="2"/>
        <w:spacing w:before="93"/>
        <w:ind w:firstLine="480" w:firstLineChars="150"/>
        <w:rPr>
          <w:rFonts w:hAnsi="Calibri" w:cs="仿宋"/>
          <w:sz w:val="32"/>
          <w:szCs w:val="32"/>
        </w:rPr>
      </w:pPr>
      <w:r>
        <w:rPr>
          <w:rFonts w:hint="eastAsia" w:hAnsi="Calibri" w:cs="仿宋"/>
          <w:sz w:val="32"/>
          <w:szCs w:val="32"/>
        </w:rPr>
        <w:t>总体上看，项目目标明确，项目组织管理规范，综合评价为优。</w:t>
      </w:r>
    </w:p>
    <w:p>
      <w:pPr>
        <w:adjustRightInd w:val="0"/>
        <w:snapToGrid w:val="0"/>
        <w:spacing w:line="600" w:lineRule="exact"/>
        <w:ind w:firstLine="720"/>
        <w:rPr>
          <w:rFonts w:ascii="宋体" w:hAnsi="宋体"/>
          <w:b/>
          <w:sz w:val="32"/>
          <w:szCs w:val="32"/>
          <w:lang w:val="zh-CN"/>
        </w:rPr>
      </w:pPr>
      <w:r>
        <w:rPr>
          <w:rFonts w:hint="eastAsia" w:ascii="宋体" w:hAnsi="宋体"/>
          <w:b/>
          <w:sz w:val="32"/>
          <w:szCs w:val="32"/>
          <w:lang w:val="zh-CN"/>
        </w:rPr>
        <w:t>（二）存在的问题。</w:t>
      </w:r>
    </w:p>
    <w:p>
      <w:pPr>
        <w:widowControl/>
        <w:spacing w:line="285" w:lineRule="atLeast"/>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（一）存在的问题。</w:t>
      </w:r>
    </w:p>
    <w:p>
      <w:pPr>
        <w:widowControl/>
        <w:spacing w:line="285" w:lineRule="atLeas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 xml:space="preserve">因新冠疫情影响项目实施进度滞后。  </w:t>
      </w:r>
    </w:p>
    <w:p>
      <w:pPr>
        <w:widowControl/>
        <w:spacing w:line="285" w:lineRule="atLeast"/>
        <w:ind w:firstLine="640" w:firstLineChars="200"/>
        <w:jc w:val="left"/>
        <w:rPr>
          <w:rFonts w:ascii="宋体" w:hAnsi="宋体" w:cs="宋体"/>
          <w:color w:val="000000"/>
          <w:kern w:val="0"/>
          <w:sz w:val="32"/>
          <w:szCs w:val="32"/>
        </w:rPr>
      </w:pPr>
      <w:r>
        <w:rPr>
          <w:rFonts w:hint="eastAsia" w:ascii="宋体" w:hAnsi="宋体" w:cs="宋体"/>
          <w:color w:val="000000"/>
          <w:kern w:val="0"/>
          <w:sz w:val="32"/>
          <w:szCs w:val="32"/>
        </w:rPr>
        <w:t>（二）相关建议。</w:t>
      </w:r>
    </w:p>
    <w:p>
      <w:pPr>
        <w:widowControl/>
        <w:spacing w:line="285" w:lineRule="atLeast"/>
        <w:ind w:firstLine="640" w:firstLineChars="200"/>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加快审计结算，早日支付工程尾款。</w:t>
      </w:r>
    </w:p>
    <w:p>
      <w:pPr>
        <w:spacing w:line="572" w:lineRule="exact"/>
        <w:jc w:val="left"/>
        <w:outlineLvl w:val="0"/>
        <w:rPr>
          <w:rFonts w:ascii="黑体" w:hAnsi="黑体" w:eastAsia="黑体" w:cs="黑体"/>
          <w:sz w:val="32"/>
          <w:szCs w:val="32"/>
        </w:rPr>
      </w:pPr>
    </w:p>
    <w:p>
      <w:pPr>
        <w:spacing w:line="572" w:lineRule="exact"/>
        <w:jc w:val="left"/>
        <w:outlineLvl w:val="0"/>
        <w:rPr>
          <w:rFonts w:ascii="仿宋_GB2312" w:hAnsi="仿宋_GB2312" w:eastAsia="黑体" w:cs="仿宋_GB2312"/>
          <w:sz w:val="32"/>
          <w:szCs w:val="32"/>
        </w:rPr>
      </w:pPr>
      <w:r>
        <w:rPr>
          <w:rFonts w:hint="eastAsia" w:ascii="黑体" w:hAnsi="黑体" w:eastAsia="黑体" w:cs="黑体"/>
          <w:sz w:val="32"/>
          <w:szCs w:val="32"/>
        </w:rPr>
        <w:t>附表</w:t>
      </w:r>
    </w:p>
    <w:tbl>
      <w:tblPr>
        <w:tblStyle w:val="14"/>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tblPrEx>
          <w:tblCellMar>
            <w:top w:w="0" w:type="dxa"/>
            <w:left w:w="108" w:type="dxa"/>
            <w:bottom w:w="0" w:type="dxa"/>
            <w:right w:w="108" w:type="dxa"/>
          </w:tblCellMar>
        </w:tblPrEx>
        <w:trPr>
          <w:trHeight w:val="675" w:hRule="atLeast"/>
        </w:trPr>
        <w:tc>
          <w:tcPr>
            <w:tcW w:w="9575" w:type="dxa"/>
            <w:gridSpan w:val="6"/>
            <w:tcBorders>
              <w:top w:val="nil"/>
              <w:left w:val="nil"/>
              <w:bottom w:val="nil"/>
              <w:right w:val="nil"/>
            </w:tcBorders>
            <w:shd w:val="clear" w:color="auto" w:fill="auto"/>
            <w:vAlign w:val="center"/>
          </w:tcPr>
          <w:p>
            <w:pPr>
              <w:widowControl/>
              <w:ind w:firstLine="1445" w:firstLineChars="450"/>
              <w:textAlignment w:val="center"/>
              <w:rPr>
                <w:rFonts w:ascii="宋体" w:hAnsi="宋体" w:cs="宋体"/>
                <w:b/>
                <w:sz w:val="32"/>
                <w:szCs w:val="32"/>
              </w:rPr>
            </w:pPr>
            <w:r>
              <w:rPr>
                <w:rFonts w:hint="eastAsia" w:ascii="宋体" w:hAnsi="宋体" w:cs="宋体"/>
                <w:b/>
                <w:sz w:val="32"/>
                <w:szCs w:val="32"/>
              </w:rPr>
              <w:t>2021年部门预算项目绩效目标自评</w:t>
            </w:r>
          </w:p>
        </w:tc>
        <w:tc>
          <w:tcPr>
            <w:tcW w:w="236"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Cs w:val="21"/>
              </w:rPr>
            </w:pPr>
          </w:p>
        </w:tc>
      </w:tr>
      <w:tr>
        <w:tblPrEx>
          <w:tblCellMar>
            <w:top w:w="0" w:type="dxa"/>
            <w:left w:w="108" w:type="dxa"/>
            <w:bottom w:w="0" w:type="dxa"/>
            <w:right w:w="108" w:type="dxa"/>
          </w:tblCellMar>
        </w:tblPrEx>
        <w:trPr>
          <w:gridAfter w:val="1"/>
          <w:wAfter w:w="236" w:type="dxa"/>
          <w:trHeight w:val="254" w:hRule="atLeast"/>
        </w:trPr>
        <w:tc>
          <w:tcPr>
            <w:tcW w:w="31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广元市教育局</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实施单位</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广元市利州中等专业学校</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项目预算</w:t>
            </w:r>
          </w:p>
          <w:p>
            <w:pPr>
              <w:widowControl/>
              <w:spacing w:line="320" w:lineRule="exact"/>
              <w:jc w:val="center"/>
              <w:textAlignment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rPr>
              <w:t>执行情况</w:t>
            </w:r>
          </w:p>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2000万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 xml:space="preserve"> 执行数：</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righ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248.99万</w:t>
            </w:r>
          </w:p>
        </w:tc>
      </w:tr>
      <w:tr>
        <w:tblPrEx>
          <w:tblCellMar>
            <w:top w:w="0" w:type="dxa"/>
            <w:left w:w="108" w:type="dxa"/>
            <w:bottom w:w="0" w:type="dxa"/>
            <w:right w:w="108" w:type="dxa"/>
          </w:tblCellMar>
        </w:tblPrEx>
        <w:trPr>
          <w:gridAfter w:val="1"/>
          <w:wAfter w:w="236" w:type="dxa"/>
          <w:trHeight w:val="555"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其中：</w:t>
            </w:r>
          </w:p>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2000万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其中：</w:t>
            </w:r>
          </w:p>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财政拨款</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248.99万</w:t>
            </w:r>
          </w:p>
        </w:tc>
      </w:tr>
      <w:tr>
        <w:tblPrEx>
          <w:tblCellMar>
            <w:top w:w="0" w:type="dxa"/>
            <w:left w:w="108" w:type="dxa"/>
            <w:bottom w:w="0" w:type="dxa"/>
            <w:right w:w="108" w:type="dxa"/>
          </w:tblCellMar>
        </w:tblPrEx>
        <w:trPr>
          <w:gridAfter w:val="1"/>
          <w:wAfter w:w="236" w:type="dxa"/>
          <w:trHeight w:val="341" w:hRule="atLeast"/>
        </w:trPr>
        <w:tc>
          <w:tcPr>
            <w:tcW w:w="31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其他资金</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p>
        </w:tc>
      </w:tr>
      <w:tr>
        <w:tblPrEx>
          <w:tblCellMar>
            <w:top w:w="0" w:type="dxa"/>
            <w:left w:w="108" w:type="dxa"/>
            <w:bottom w:w="0" w:type="dxa"/>
            <w:right w:w="108" w:type="dxa"/>
          </w:tblCellMar>
        </w:tblPrEx>
        <w:trPr>
          <w:gridAfter w:val="1"/>
          <w:wAfter w:w="236" w:type="dxa"/>
          <w:trHeight w:val="217" w:hRule="atLeast"/>
        </w:trPr>
        <w:tc>
          <w:tcPr>
            <w:tcW w:w="1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年度总体目标</w:t>
            </w:r>
          </w:p>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预期目标</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目标实际完成情况</w:t>
            </w:r>
          </w:p>
        </w:tc>
      </w:tr>
      <w:tr>
        <w:tblPrEx>
          <w:tblCellMar>
            <w:top w:w="0" w:type="dxa"/>
            <w:left w:w="108" w:type="dxa"/>
            <w:bottom w:w="0" w:type="dxa"/>
            <w:right w:w="108" w:type="dxa"/>
          </w:tblCellMar>
        </w:tblPrEx>
        <w:trPr>
          <w:gridAfter w:val="1"/>
          <w:wAfter w:w="236" w:type="dxa"/>
          <w:trHeight w:val="797" w:hRule="atLeast"/>
        </w:trPr>
        <w:tc>
          <w:tcPr>
            <w:tcW w:w="1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cs="宋体" w:asciiTheme="minorEastAsia" w:hAnsiTheme="minorEastAsia" w:eastAsiaTheme="minorEastAsia"/>
                <w:szCs w:val="21"/>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cs="宋体" w:asciiTheme="minorEastAsia" w:hAnsiTheme="minorEastAsia" w:eastAsiaTheme="minorEastAsia"/>
                <w:szCs w:val="21"/>
              </w:rPr>
            </w:pPr>
          </w:p>
          <w:p>
            <w:pPr>
              <w:widowControl/>
              <w:spacing w:line="320" w:lineRule="exact"/>
              <w:jc w:val="left"/>
              <w:textAlignment w:val="top"/>
              <w:rPr>
                <w:rFonts w:cs="宋体" w:asciiTheme="minorEastAsia" w:hAnsiTheme="minorEastAsia" w:eastAsiaTheme="minorEastAsia"/>
                <w:szCs w:val="21"/>
              </w:rPr>
            </w:pPr>
            <w:r>
              <w:rPr>
                <w:rFonts w:hint="eastAsia" w:cs="宋体" w:asciiTheme="minorEastAsia" w:hAnsiTheme="minorEastAsia" w:eastAsiaTheme="minorEastAsia"/>
                <w:szCs w:val="21"/>
              </w:rPr>
              <w:t>改善办学条件，完成特定项目建设。</w:t>
            </w:r>
          </w:p>
        </w:tc>
        <w:tc>
          <w:tcPr>
            <w:tcW w:w="3633"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cs="宋体" w:asciiTheme="minorEastAsia" w:hAnsiTheme="minorEastAsia" w:eastAsiaTheme="minorEastAsia"/>
                <w:szCs w:val="21"/>
              </w:rPr>
            </w:pPr>
            <w:r>
              <w:rPr>
                <w:rFonts w:hint="eastAsia" w:cs="宋体" w:asciiTheme="minorEastAsia" w:hAnsiTheme="minorEastAsia" w:eastAsiaTheme="minorEastAsia"/>
                <w:szCs w:val="21"/>
              </w:rPr>
              <w:t>改善办学条件，完成特定项目建设。</w:t>
            </w:r>
          </w:p>
        </w:tc>
      </w:tr>
      <w:tr>
        <w:tblPrEx>
          <w:tblCellMar>
            <w:top w:w="0" w:type="dxa"/>
            <w:left w:w="108" w:type="dxa"/>
            <w:bottom w:w="0" w:type="dxa"/>
            <w:right w:w="108" w:type="dxa"/>
          </w:tblCellMar>
        </w:tblPrEx>
        <w:trPr>
          <w:gridAfter w:val="1"/>
          <w:wAfter w:w="236" w:type="dxa"/>
          <w:trHeight w:val="693" w:hRule="atLeast"/>
        </w:trPr>
        <w:tc>
          <w:tcPr>
            <w:tcW w:w="19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一级</w:t>
            </w:r>
          </w:p>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二级</w:t>
            </w:r>
          </w:p>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三级</w:t>
            </w:r>
          </w:p>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预期指标值</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实际完成指标值</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完成</w:t>
            </w:r>
          </w:p>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建筑面积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6653.13</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6653.13</w:t>
            </w:r>
          </w:p>
        </w:tc>
      </w:tr>
      <w:tr>
        <w:tblPrEx>
          <w:tblCellMar>
            <w:top w:w="0" w:type="dxa"/>
            <w:left w:w="108" w:type="dxa"/>
            <w:bottom w:w="0" w:type="dxa"/>
            <w:right w:w="108" w:type="dxa"/>
          </w:tblCellMar>
        </w:tblPrEx>
        <w:trPr>
          <w:gridAfter w:val="1"/>
          <w:wAfter w:w="236" w:type="dxa"/>
          <w:trHeight w:val="1184"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实验、设施设备履约验收合格率</w:t>
            </w:r>
          </w:p>
          <w:p>
            <w:pPr>
              <w:widowControl/>
              <w:spacing w:line="320" w:lineRule="exact"/>
              <w:jc w:val="center"/>
              <w:textAlignment w:val="bottom"/>
              <w:rPr>
                <w:rFonts w:cs="仿宋_GB2312" w:asciiTheme="minorEastAsia" w:hAnsiTheme="minorEastAsia" w:eastAsiaTheme="minorEastAsia"/>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100%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100%</w:t>
            </w:r>
          </w:p>
        </w:tc>
      </w:tr>
      <w:tr>
        <w:tblPrEx>
          <w:tblCellMar>
            <w:top w:w="0" w:type="dxa"/>
            <w:left w:w="108" w:type="dxa"/>
            <w:bottom w:w="0" w:type="dxa"/>
            <w:right w:w="108" w:type="dxa"/>
          </w:tblCellMar>
        </w:tblPrEx>
        <w:trPr>
          <w:gridAfter w:val="1"/>
          <w:wAfter w:w="236" w:type="dxa"/>
          <w:trHeight w:val="415"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年</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1年</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资金</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200万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179.89万</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cs="仿宋_GB2312" w:asciiTheme="minorEastAsia" w:hAnsiTheme="minorEastAsia" w:eastAsiaTheme="minorEastAsia"/>
                <w:kern w:val="0"/>
                <w:szCs w:val="21"/>
                <w:lang w:eastAsia="zh-CN"/>
              </w:rPr>
            </w:pPr>
            <w:r>
              <w:rPr>
                <w:rFonts w:hint="eastAsia" w:cs="仿宋_GB2312" w:asciiTheme="minorEastAsia" w:hAnsiTheme="minorEastAsia" w:eastAsiaTheme="minorEastAsia"/>
                <w:kern w:val="0"/>
                <w:szCs w:val="21"/>
              </w:rPr>
              <w:t>效益</w:t>
            </w:r>
          </w:p>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对外培训</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100万</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70万</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学生实训技能水平提升率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60%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60%</w:t>
            </w:r>
          </w:p>
        </w:tc>
      </w:tr>
      <w:tr>
        <w:tblPrEx>
          <w:tblCellMar>
            <w:top w:w="0" w:type="dxa"/>
            <w:left w:w="108" w:type="dxa"/>
            <w:bottom w:w="0" w:type="dxa"/>
            <w:right w:w="108" w:type="dxa"/>
          </w:tblCellMar>
        </w:tblPrEx>
        <w:trPr>
          <w:gridAfter w:val="1"/>
          <w:wAfter w:w="236" w:type="dxa"/>
          <w:trHeight w:val="577"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93" w:leftChars="87" w:hanging="210" w:hangingChars="100"/>
              <w:jc w:val="left"/>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学习环境改善率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90%</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90%</w:t>
            </w:r>
          </w:p>
        </w:tc>
      </w:tr>
      <w:tr>
        <w:tblPrEx>
          <w:tblCellMar>
            <w:top w:w="0" w:type="dxa"/>
            <w:left w:w="108" w:type="dxa"/>
            <w:bottom w:w="0" w:type="dxa"/>
            <w:right w:w="108" w:type="dxa"/>
          </w:tblCellMar>
        </w:tblPrEx>
        <w:trPr>
          <w:gridAfter w:val="1"/>
          <w:wAfter w:w="236" w:type="dxa"/>
          <w:trHeight w:val="480" w:hRule="atLeast"/>
        </w:trPr>
        <w:tc>
          <w:tcPr>
            <w:tcW w:w="1976" w:type="dxa"/>
            <w:vMerge w:val="continue"/>
            <w:tcBorders>
              <w:left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cs="仿宋_GB2312" w:asciiTheme="minorEastAsia" w:hAnsiTheme="minorEastAsia" w:eastAsiaTheme="minorEastAsia"/>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学习环境改善率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优良中低差</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优</w:t>
            </w:r>
          </w:p>
        </w:tc>
      </w:tr>
      <w:tr>
        <w:tblPrEx>
          <w:tblCellMar>
            <w:top w:w="0" w:type="dxa"/>
            <w:left w:w="108" w:type="dxa"/>
            <w:bottom w:w="0" w:type="dxa"/>
            <w:right w:w="108" w:type="dxa"/>
          </w:tblCellMar>
        </w:tblPrEx>
        <w:trPr>
          <w:gridAfter w:val="1"/>
          <w:wAfter w:w="236" w:type="dxa"/>
          <w:trHeight w:val="530" w:hRule="atLeast"/>
        </w:trPr>
        <w:tc>
          <w:tcPr>
            <w:tcW w:w="1976"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cs="仿宋_GB2312" w:asciiTheme="minorEastAsia" w:hAnsiTheme="minorEastAsia" w:eastAsiaTheme="minorEastAsia"/>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cs="仿宋_GB2312" w:asciiTheme="minorEastAsia" w:hAnsiTheme="minorEastAsia" w:eastAsiaTheme="minorEastAsia"/>
                <w:kern w:val="0"/>
                <w:szCs w:val="21"/>
                <w:lang w:eastAsia="zh-CN"/>
              </w:rPr>
            </w:pPr>
            <w:r>
              <w:rPr>
                <w:rFonts w:hint="eastAsia" w:cs="仿宋_GB2312" w:asciiTheme="minorEastAsia" w:hAnsiTheme="minorEastAsia" w:eastAsiaTheme="minorEastAsia"/>
                <w:kern w:val="0"/>
                <w:szCs w:val="21"/>
              </w:rPr>
              <w:t>满意</w:t>
            </w:r>
          </w:p>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kern w:val="0"/>
                <w:szCs w:val="21"/>
              </w:rPr>
            </w:pPr>
            <w:r>
              <w:rPr>
                <w:rFonts w:hint="eastAsia" w:cs="仿宋_GB2312" w:asciiTheme="minorEastAsia" w:hAnsiTheme="minorEastAsia" w:eastAsiaTheme="minorEastAsia"/>
                <w:kern w:val="0"/>
                <w:szCs w:val="21"/>
              </w:rPr>
              <w:t>满意度</w:t>
            </w:r>
          </w:p>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kern w:val="0"/>
                <w:szCs w:val="21"/>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师生满意</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95%</w:t>
            </w:r>
          </w:p>
        </w:tc>
        <w:tc>
          <w:tcPr>
            <w:tcW w:w="2409"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cs="仿宋_GB2312" w:asciiTheme="minorEastAsia" w:hAnsiTheme="minorEastAsia" w:eastAsiaTheme="minorEastAsia"/>
                <w:szCs w:val="21"/>
              </w:rPr>
            </w:pPr>
            <w:r>
              <w:rPr>
                <w:rFonts w:hint="eastAsia" w:cs="仿宋_GB2312" w:asciiTheme="minorEastAsia" w:hAnsiTheme="minorEastAsia" w:eastAsiaTheme="minorEastAsia"/>
                <w:szCs w:val="21"/>
              </w:rPr>
              <w:t>95%</w:t>
            </w: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p>
      <w:pPr>
        <w:spacing w:line="600" w:lineRule="exact"/>
        <w:ind w:firstLine="2420" w:firstLineChars="550"/>
        <w:outlineLvl w:val="0"/>
        <w:rPr>
          <w:rFonts w:ascii="黑体" w:hAnsi="黑体" w:eastAsia="黑体"/>
          <w:sz w:val="44"/>
          <w:szCs w:val="44"/>
        </w:rPr>
      </w:pPr>
    </w:p>
    <w:p>
      <w:pPr>
        <w:spacing w:line="600" w:lineRule="exact"/>
        <w:ind w:firstLine="2420" w:firstLineChars="550"/>
        <w:outlineLvl w:val="0"/>
        <w:rPr>
          <w:rFonts w:ascii="仿宋" w:hAnsi="仿宋" w:eastAsia="仿宋"/>
        </w:rPr>
      </w:pPr>
      <w:r>
        <w:rPr>
          <w:rFonts w:hint="eastAsia" w:ascii="黑体" w:hAnsi="黑体" w:eastAsia="黑体"/>
          <w:sz w:val="44"/>
          <w:szCs w:val="44"/>
        </w:rPr>
        <w:t>第</w:t>
      </w:r>
      <w:r>
        <w:rPr>
          <w:rStyle w:val="26"/>
          <w:rFonts w:hint="eastAsia" w:ascii="黑体" w:hAnsi="黑体" w:eastAsia="黑体"/>
          <w:b w:val="0"/>
        </w:rPr>
        <w:t>五部分 附表</w:t>
      </w:r>
      <w:bookmarkEnd w:id="50"/>
      <w:bookmarkEnd w:id="51"/>
      <w:bookmarkStart w:id="53" w:name="_Toc15396619"/>
    </w:p>
    <w:p>
      <w:pPr>
        <w:pStyle w:val="4"/>
        <w:rPr>
          <w:rFonts w:ascii="仿宋" w:hAnsi="仿宋" w:eastAsia="仿宋"/>
        </w:rPr>
      </w:pPr>
      <w:r>
        <w:rPr>
          <w:rFonts w:hint="eastAsia" w:ascii="仿宋" w:hAnsi="仿宋" w:eastAsia="仿宋"/>
          <w:b w:val="0"/>
        </w:rPr>
        <w:t>一、收</w:t>
      </w:r>
      <w:r>
        <w:rPr>
          <w:rStyle w:val="27"/>
          <w:rFonts w:hint="eastAsia" w:ascii="仿宋" w:hAnsi="仿宋" w:eastAsia="仿宋"/>
          <w:b w:val="0"/>
          <w:bCs w:val="0"/>
        </w:rPr>
        <w:t>入支出决算总表</w:t>
      </w:r>
      <w:bookmarkEnd w:id="53"/>
    </w:p>
    <w:p>
      <w:pPr>
        <w:pStyle w:val="4"/>
        <w:rPr>
          <w:rFonts w:ascii="仿宋" w:hAnsi="仿宋" w:eastAsia="仿宋"/>
        </w:rPr>
      </w:pPr>
      <w:bookmarkStart w:id="54" w:name="_Toc15396620"/>
      <w:r>
        <w:rPr>
          <w:rFonts w:hint="eastAsia" w:ascii="仿宋" w:hAnsi="仿宋" w:eastAsia="仿宋"/>
          <w:b w:val="0"/>
        </w:rPr>
        <w:t>二、收</w:t>
      </w:r>
      <w:r>
        <w:rPr>
          <w:rStyle w:val="27"/>
          <w:rFonts w:hint="eastAsia" w:ascii="仿宋" w:hAnsi="仿宋" w:eastAsia="仿宋"/>
          <w:b w:val="0"/>
          <w:bCs w:val="0"/>
        </w:rPr>
        <w:t>入决算表</w:t>
      </w:r>
      <w:bookmarkEnd w:id="54"/>
    </w:p>
    <w:p>
      <w:pPr>
        <w:pStyle w:val="4"/>
        <w:rPr>
          <w:rFonts w:ascii="仿宋" w:hAnsi="仿宋" w:eastAsia="仿宋"/>
        </w:rPr>
      </w:pPr>
      <w:bookmarkStart w:id="55" w:name="_Toc15396621"/>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55"/>
    </w:p>
    <w:p>
      <w:pPr>
        <w:pStyle w:val="4"/>
        <w:rPr>
          <w:rFonts w:ascii="仿宋" w:hAnsi="仿宋" w:eastAsia="仿宋"/>
          <w:b w:val="0"/>
        </w:rPr>
      </w:pPr>
      <w:bookmarkStart w:id="56" w:name="_Toc15396622"/>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56"/>
    </w:p>
    <w:p>
      <w:pPr>
        <w:pStyle w:val="4"/>
        <w:rPr>
          <w:rStyle w:val="27"/>
          <w:rFonts w:ascii="仿宋" w:hAnsi="仿宋" w:eastAsia="仿宋"/>
          <w:b w:val="0"/>
          <w:bCs w:val="0"/>
        </w:rPr>
      </w:pPr>
      <w:bookmarkStart w:id="57" w:name="_Toc15396623"/>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57"/>
      <w:bookmarkStart w:id="58" w:name="_Toc15396624"/>
    </w:p>
    <w:p>
      <w:pPr>
        <w:pStyle w:val="4"/>
        <w:rPr>
          <w:rFonts w:ascii="仿宋" w:hAnsi="仿宋" w:eastAsia="仿宋"/>
        </w:rPr>
      </w:pPr>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58"/>
    </w:p>
    <w:p>
      <w:pPr>
        <w:pStyle w:val="4"/>
        <w:rPr>
          <w:rFonts w:ascii="仿宋" w:hAnsi="仿宋" w:eastAsia="仿宋"/>
        </w:rPr>
      </w:pPr>
      <w:bookmarkStart w:id="59" w:name="_Toc15396625"/>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59"/>
    </w:p>
    <w:p>
      <w:pPr>
        <w:pStyle w:val="4"/>
        <w:rPr>
          <w:rFonts w:ascii="仿宋" w:hAnsi="仿宋" w:eastAsia="仿宋"/>
        </w:rPr>
      </w:pPr>
      <w:bookmarkStart w:id="60" w:name="_Toc15396626"/>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60"/>
    </w:p>
    <w:p>
      <w:pPr>
        <w:pStyle w:val="4"/>
        <w:rPr>
          <w:rFonts w:ascii="仿宋" w:hAnsi="仿宋" w:eastAsia="仿宋"/>
        </w:rPr>
      </w:pPr>
      <w:bookmarkStart w:id="61" w:name="_Toc15396627"/>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61"/>
    </w:p>
    <w:p>
      <w:pPr>
        <w:pStyle w:val="4"/>
        <w:rPr>
          <w:rFonts w:ascii="仿宋" w:hAnsi="仿宋" w:eastAsia="仿宋"/>
        </w:rPr>
      </w:pPr>
      <w:bookmarkStart w:id="62" w:name="_Toc15396628"/>
      <w:r>
        <w:rPr>
          <w:rStyle w:val="27"/>
          <w:rFonts w:hint="eastAsia" w:ascii="仿宋" w:hAnsi="仿宋" w:eastAsia="仿宋"/>
          <w:b w:val="0"/>
          <w:bCs w:val="0"/>
        </w:rPr>
        <w:t>十、</w:t>
      </w:r>
      <w:r>
        <w:rPr>
          <w:rFonts w:hint="eastAsia" w:ascii="仿宋" w:hAnsi="仿宋" w:eastAsia="仿宋"/>
          <w:b w:val="0"/>
        </w:rPr>
        <w:t>一</w:t>
      </w:r>
      <w:r>
        <w:rPr>
          <w:rStyle w:val="27"/>
          <w:rFonts w:hint="eastAsia" w:ascii="仿宋" w:hAnsi="仿宋" w:eastAsia="仿宋"/>
          <w:b w:val="0"/>
          <w:bCs w:val="0"/>
        </w:rPr>
        <w:t>般公共预算财政拨款“三公”经费支出决算表</w:t>
      </w:r>
      <w:bookmarkEnd w:id="62"/>
    </w:p>
    <w:p>
      <w:pPr>
        <w:pStyle w:val="4"/>
        <w:rPr>
          <w:rFonts w:ascii="仿宋" w:hAnsi="仿宋" w:eastAsia="仿宋"/>
        </w:rPr>
      </w:pPr>
      <w:bookmarkStart w:id="63" w:name="_Toc15396629"/>
      <w:r>
        <w:rPr>
          <w:rStyle w:val="27"/>
          <w:rFonts w:hint="eastAsia" w:ascii="仿宋" w:hAnsi="仿宋" w:eastAsia="仿宋"/>
          <w:b w:val="0"/>
          <w:bCs w:val="0"/>
        </w:rPr>
        <w:t>十一、</w:t>
      </w:r>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63"/>
    </w:p>
    <w:p>
      <w:pPr>
        <w:pStyle w:val="4"/>
        <w:rPr>
          <w:rFonts w:ascii="仿宋" w:hAnsi="仿宋" w:eastAsia="仿宋"/>
        </w:rPr>
      </w:pPr>
      <w:bookmarkStart w:id="64" w:name="_Toc15396630"/>
      <w:r>
        <w:rPr>
          <w:rStyle w:val="27"/>
          <w:rFonts w:hint="eastAsia" w:ascii="仿宋" w:hAnsi="仿宋" w:eastAsia="仿宋"/>
          <w:b w:val="0"/>
          <w:bCs w:val="0"/>
        </w:rPr>
        <w:t>十二、</w:t>
      </w:r>
      <w:r>
        <w:rPr>
          <w:rFonts w:hint="eastAsia" w:ascii="仿宋" w:hAnsi="仿宋" w:eastAsia="仿宋"/>
          <w:b w:val="0"/>
        </w:rPr>
        <w:t>政</w:t>
      </w:r>
      <w:r>
        <w:rPr>
          <w:rStyle w:val="27"/>
          <w:rFonts w:hint="eastAsia" w:ascii="仿宋" w:hAnsi="仿宋" w:eastAsia="仿宋"/>
          <w:b w:val="0"/>
          <w:bCs w:val="0"/>
        </w:rPr>
        <w:t>府性基金预算财政拨款“三公”经费支出决算表</w:t>
      </w:r>
      <w:bookmarkEnd w:id="64"/>
    </w:p>
    <w:p>
      <w:pPr>
        <w:pStyle w:val="4"/>
        <w:rPr>
          <w:rStyle w:val="27"/>
          <w:rFonts w:ascii="仿宋" w:hAnsi="仿宋" w:eastAsia="仿宋"/>
          <w:b w:val="0"/>
          <w:bCs w:val="0"/>
        </w:rPr>
      </w:pPr>
      <w:bookmarkStart w:id="65" w:name="_Toc15396631"/>
      <w:r>
        <w:rPr>
          <w:rStyle w:val="27"/>
          <w:rFonts w:hint="eastAsia" w:ascii="仿宋" w:hAnsi="仿宋" w:eastAsia="仿宋"/>
          <w:b w:val="0"/>
          <w:bCs w:val="0"/>
        </w:rPr>
        <w:t>十三、</w:t>
      </w:r>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65"/>
    </w:p>
    <w:p>
      <w:pPr>
        <w:rPr>
          <w:rFonts w:eastAsia="仿宋"/>
        </w:rPr>
      </w:pPr>
      <w:r>
        <w:rPr>
          <w:rStyle w:val="27"/>
          <w:rFonts w:hint="eastAsia" w:ascii="仿宋" w:hAnsi="仿宋" w:eastAsia="仿宋"/>
          <w:b w:val="0"/>
          <w:bCs w:val="0"/>
        </w:rPr>
        <w:t>十四、国有资本经营预算财政拨款支出决算表</w:t>
      </w:r>
    </w:p>
    <w:sectPr>
      <w:footerReference r:id="rId9" w:type="first"/>
      <w:headerReference r:id="rId7" w:type="default"/>
      <w:footerReference r:id="rId8"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Comic Sans MS">
    <w:panose1 w:val="030F07020303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default"/>
        <w:lang w:val="en-US"/>
      </w:rPr>
    </w:pPr>
    <w:r>
      <w:rPr>
        <w:rFonts w:hint="default"/>
        <w:lang w:val="en-US"/>
      </w:rPr>
      <w:t xml:space="preserve">,.z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1994781956"/>
                </w:sdtPr>
                <w:sdtContent>
                  <w:p>
                    <w:pPr>
                      <w:pStyle w:val="9"/>
                      <w:jc w:val="center"/>
                    </w:pPr>
                    <w:r>
                      <w:fldChar w:fldCharType="begin"/>
                    </w:r>
                    <w:r>
                      <w:instrText xml:space="preserve">PAGE   \* MERGEFORMAT</w:instrText>
                    </w:r>
                    <w:r>
                      <w:fldChar w:fldCharType="separate"/>
                    </w:r>
                    <w:r>
                      <w:rPr>
                        <w:lang w:val="zh-CN"/>
                      </w:rPr>
                      <w:t>25</w:t>
                    </w:r>
                    <w:r>
                      <w:rPr>
                        <w:lang w:val="zh-CN"/>
                      </w:rPr>
                      <w:fldChar w:fldCharType="end"/>
                    </w:r>
                  </w:p>
                </w:sdtContent>
              </w:sdt>
              <w:p>
                <w:pPr>
                  <w:pStyle w:val="2"/>
                </w:pPr>
              </w:p>
            </w:txbxContent>
          </v:textbox>
        </v:shape>
      </w:pic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24</w:t>
                </w:r>
                <w:r>
                  <w:fldChar w:fldCharType="end"/>
                </w:r>
              </w:p>
            </w:txbxContent>
          </v:textbox>
        </v:shape>
      </w:pict>
    </w:r>
    <w:r>
      <w:rPr>
        <w:rFonts w:hint="eastAsia"/>
      </w:rPr>
      <w:t>24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9DCA4"/>
    <w:multiLevelType w:val="singleLevel"/>
    <w:tmpl w:val="C169DCA4"/>
    <w:lvl w:ilvl="0" w:tentative="0">
      <w:start w:val="2"/>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3">
    <w:nsid w:val="EC474CDE"/>
    <w:multiLevelType w:val="singleLevel"/>
    <w:tmpl w:val="EC474CDE"/>
    <w:lvl w:ilvl="0" w:tentative="0">
      <w:start w:val="7"/>
      <w:numFmt w:val="decimal"/>
      <w:lvlText w:val="%1."/>
      <w:lvlJc w:val="left"/>
      <w:pPr>
        <w:tabs>
          <w:tab w:val="left" w:pos="312"/>
        </w:tabs>
      </w:p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CC325C0"/>
    <w:multiLevelType w:val="multilevel"/>
    <w:tmpl w:val="1CC325C0"/>
    <w:lvl w:ilvl="0" w:tentative="0">
      <w:start w:val="1"/>
      <w:numFmt w:val="none"/>
      <w:lvlText w:val="一、"/>
      <w:lvlJc w:val="left"/>
      <w:pPr>
        <w:ind w:left="1300" w:hanging="6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2B662E3A"/>
    <w:multiLevelType w:val="multilevel"/>
    <w:tmpl w:val="2B662E3A"/>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F4C44A4"/>
    <w:multiLevelType w:val="multilevel"/>
    <w:tmpl w:val="2F4C44A4"/>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5754C38"/>
    <w:multiLevelType w:val="multilevel"/>
    <w:tmpl w:val="45754C38"/>
    <w:lvl w:ilvl="0" w:tentative="0">
      <w:start w:val="1"/>
      <w:numFmt w:val="japaneseCounting"/>
      <w:lvlText w:val="（%1）"/>
      <w:lvlJc w:val="left"/>
      <w:pPr>
        <w:ind w:left="1720" w:hanging="1080"/>
      </w:pPr>
      <w:rPr>
        <w:rFonts w:hint="default" w:ascii="宋体" w:eastAsia="宋体"/>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489D10DD"/>
    <w:multiLevelType w:val="singleLevel"/>
    <w:tmpl w:val="489D10DD"/>
    <w:lvl w:ilvl="0" w:tentative="0">
      <w:start w:val="2"/>
      <w:numFmt w:val="chineseCounting"/>
      <w:suff w:val="nothing"/>
      <w:lvlText w:val="（%1）"/>
      <w:lvlJc w:val="left"/>
      <w:rPr>
        <w:rFonts w:hint="eastAsia"/>
      </w:rPr>
    </w:lvl>
  </w:abstractNum>
  <w:num w:numId="1">
    <w:abstractNumId w:val="7"/>
  </w:num>
  <w:num w:numId="2">
    <w:abstractNumId w:val="4"/>
  </w:num>
  <w:num w:numId="3">
    <w:abstractNumId w:val="0"/>
  </w:num>
  <w:num w:numId="4">
    <w:abstractNumId w:val="1"/>
  </w:num>
  <w:num w:numId="5">
    <w:abstractNumId w:val="2"/>
  </w:num>
  <w:num w:numId="6">
    <w:abstractNumId w:val="3"/>
  </w:num>
  <w:num w:numId="7">
    <w:abstractNumId w:val="5"/>
  </w:num>
  <w:num w:numId="8">
    <w:abstractNumId w:val="8"/>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E1NGRhODliMTUyM2E1NDIwNGU1NWYyZjJhNDgwZDcifQ=="/>
  </w:docVars>
  <w:rsids>
    <w:rsidRoot w:val="00F1361C"/>
    <w:rsid w:val="00020ABB"/>
    <w:rsid w:val="000222C6"/>
    <w:rsid w:val="0002549F"/>
    <w:rsid w:val="000468DB"/>
    <w:rsid w:val="000550BD"/>
    <w:rsid w:val="0006487A"/>
    <w:rsid w:val="00065F8F"/>
    <w:rsid w:val="00070372"/>
    <w:rsid w:val="00070A43"/>
    <w:rsid w:val="000768F2"/>
    <w:rsid w:val="000904D3"/>
    <w:rsid w:val="0009184B"/>
    <w:rsid w:val="00094236"/>
    <w:rsid w:val="0009593C"/>
    <w:rsid w:val="00097322"/>
    <w:rsid w:val="000A6A92"/>
    <w:rsid w:val="000B047F"/>
    <w:rsid w:val="000B5923"/>
    <w:rsid w:val="000B5A48"/>
    <w:rsid w:val="000B66B6"/>
    <w:rsid w:val="000B6FF3"/>
    <w:rsid w:val="000C3467"/>
    <w:rsid w:val="000C3CA6"/>
    <w:rsid w:val="000D1267"/>
    <w:rsid w:val="000D187F"/>
    <w:rsid w:val="000D1D50"/>
    <w:rsid w:val="000D5782"/>
    <w:rsid w:val="000E281B"/>
    <w:rsid w:val="000E6613"/>
    <w:rsid w:val="000E7119"/>
    <w:rsid w:val="000F563F"/>
    <w:rsid w:val="00110A96"/>
    <w:rsid w:val="0011453C"/>
    <w:rsid w:val="00114E9B"/>
    <w:rsid w:val="001163C2"/>
    <w:rsid w:val="0012324A"/>
    <w:rsid w:val="00130160"/>
    <w:rsid w:val="00142216"/>
    <w:rsid w:val="00144D6A"/>
    <w:rsid w:val="0014729F"/>
    <w:rsid w:val="001479ED"/>
    <w:rsid w:val="00157BAB"/>
    <w:rsid w:val="001654D1"/>
    <w:rsid w:val="00174518"/>
    <w:rsid w:val="001748D6"/>
    <w:rsid w:val="0018106D"/>
    <w:rsid w:val="0018323B"/>
    <w:rsid w:val="001877A7"/>
    <w:rsid w:val="00191536"/>
    <w:rsid w:val="00194794"/>
    <w:rsid w:val="00196687"/>
    <w:rsid w:val="001968F5"/>
    <w:rsid w:val="001A4FA6"/>
    <w:rsid w:val="001C0962"/>
    <w:rsid w:val="001C3386"/>
    <w:rsid w:val="001C3BC2"/>
    <w:rsid w:val="001C5F14"/>
    <w:rsid w:val="001D7531"/>
    <w:rsid w:val="001E59CB"/>
    <w:rsid w:val="001E737D"/>
    <w:rsid w:val="001F0592"/>
    <w:rsid w:val="001F3B09"/>
    <w:rsid w:val="001F7506"/>
    <w:rsid w:val="002006CD"/>
    <w:rsid w:val="00202B36"/>
    <w:rsid w:val="00204B7A"/>
    <w:rsid w:val="00204CDE"/>
    <w:rsid w:val="0021101A"/>
    <w:rsid w:val="00217180"/>
    <w:rsid w:val="00220536"/>
    <w:rsid w:val="002222A1"/>
    <w:rsid w:val="00235629"/>
    <w:rsid w:val="002374DE"/>
    <w:rsid w:val="00241F8D"/>
    <w:rsid w:val="00252933"/>
    <w:rsid w:val="00257879"/>
    <w:rsid w:val="00260C38"/>
    <w:rsid w:val="002616C0"/>
    <w:rsid w:val="00265372"/>
    <w:rsid w:val="00265E07"/>
    <w:rsid w:val="002662AA"/>
    <w:rsid w:val="00270EE3"/>
    <w:rsid w:val="00277DAD"/>
    <w:rsid w:val="00280496"/>
    <w:rsid w:val="00291130"/>
    <w:rsid w:val="00293F44"/>
    <w:rsid w:val="00294DC9"/>
    <w:rsid w:val="00295495"/>
    <w:rsid w:val="002A246D"/>
    <w:rsid w:val="002A31DE"/>
    <w:rsid w:val="002B0953"/>
    <w:rsid w:val="002B2613"/>
    <w:rsid w:val="002B2C1F"/>
    <w:rsid w:val="002B41DC"/>
    <w:rsid w:val="002B6778"/>
    <w:rsid w:val="002D6D05"/>
    <w:rsid w:val="002E7AAE"/>
    <w:rsid w:val="002F1818"/>
    <w:rsid w:val="002F567B"/>
    <w:rsid w:val="002F72FC"/>
    <w:rsid w:val="00303914"/>
    <w:rsid w:val="00315929"/>
    <w:rsid w:val="003216A9"/>
    <w:rsid w:val="00324348"/>
    <w:rsid w:val="00326D1C"/>
    <w:rsid w:val="00335A74"/>
    <w:rsid w:val="00337C72"/>
    <w:rsid w:val="0035361D"/>
    <w:rsid w:val="0036561B"/>
    <w:rsid w:val="0037013F"/>
    <w:rsid w:val="00376C84"/>
    <w:rsid w:val="00380C92"/>
    <w:rsid w:val="003825F7"/>
    <w:rsid w:val="003926A0"/>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053A"/>
    <w:rsid w:val="00470A66"/>
    <w:rsid w:val="00471401"/>
    <w:rsid w:val="00473F31"/>
    <w:rsid w:val="0048263A"/>
    <w:rsid w:val="00487E5D"/>
    <w:rsid w:val="004A711F"/>
    <w:rsid w:val="004A7396"/>
    <w:rsid w:val="004B199D"/>
    <w:rsid w:val="004B4690"/>
    <w:rsid w:val="004D06B5"/>
    <w:rsid w:val="004E0A2D"/>
    <w:rsid w:val="004E174D"/>
    <w:rsid w:val="004E206B"/>
    <w:rsid w:val="004E24C8"/>
    <w:rsid w:val="004E6DF7"/>
    <w:rsid w:val="004F0FBD"/>
    <w:rsid w:val="004F23AE"/>
    <w:rsid w:val="00505A47"/>
    <w:rsid w:val="00512FDA"/>
    <w:rsid w:val="00520DA0"/>
    <w:rsid w:val="00531DF5"/>
    <w:rsid w:val="00564865"/>
    <w:rsid w:val="005664BB"/>
    <w:rsid w:val="00566FFA"/>
    <w:rsid w:val="0057481D"/>
    <w:rsid w:val="0058486E"/>
    <w:rsid w:val="00585B33"/>
    <w:rsid w:val="0059014D"/>
    <w:rsid w:val="00596A5C"/>
    <w:rsid w:val="00597169"/>
    <w:rsid w:val="005A6024"/>
    <w:rsid w:val="005B5C64"/>
    <w:rsid w:val="005B5D39"/>
    <w:rsid w:val="005C4E9A"/>
    <w:rsid w:val="005C5337"/>
    <w:rsid w:val="005C5629"/>
    <w:rsid w:val="005C6BD0"/>
    <w:rsid w:val="005D1C8B"/>
    <w:rsid w:val="005D468D"/>
    <w:rsid w:val="005D5CED"/>
    <w:rsid w:val="005D688D"/>
    <w:rsid w:val="005F1A4C"/>
    <w:rsid w:val="005F4CB4"/>
    <w:rsid w:val="005F5B8A"/>
    <w:rsid w:val="005F60D4"/>
    <w:rsid w:val="00605688"/>
    <w:rsid w:val="00606429"/>
    <w:rsid w:val="006070AF"/>
    <w:rsid w:val="00607E6C"/>
    <w:rsid w:val="006101B1"/>
    <w:rsid w:val="00614E44"/>
    <w:rsid w:val="0062270A"/>
    <w:rsid w:val="00622830"/>
    <w:rsid w:val="00623DA0"/>
    <w:rsid w:val="006262B3"/>
    <w:rsid w:val="00630AEF"/>
    <w:rsid w:val="0063241A"/>
    <w:rsid w:val="006325F8"/>
    <w:rsid w:val="00633463"/>
    <w:rsid w:val="00634C9A"/>
    <w:rsid w:val="006440E4"/>
    <w:rsid w:val="00647535"/>
    <w:rsid w:val="00653946"/>
    <w:rsid w:val="00660DB0"/>
    <w:rsid w:val="00662188"/>
    <w:rsid w:val="0066343B"/>
    <w:rsid w:val="00664777"/>
    <w:rsid w:val="006748A4"/>
    <w:rsid w:val="00681A31"/>
    <w:rsid w:val="00683E73"/>
    <w:rsid w:val="006A3141"/>
    <w:rsid w:val="006A5E34"/>
    <w:rsid w:val="006B2422"/>
    <w:rsid w:val="006B2B9A"/>
    <w:rsid w:val="006C1937"/>
    <w:rsid w:val="006D3139"/>
    <w:rsid w:val="006E1349"/>
    <w:rsid w:val="006E7275"/>
    <w:rsid w:val="006F020C"/>
    <w:rsid w:val="006F61E4"/>
    <w:rsid w:val="007017FA"/>
    <w:rsid w:val="00710D76"/>
    <w:rsid w:val="007127B7"/>
    <w:rsid w:val="007131CB"/>
    <w:rsid w:val="0071798E"/>
    <w:rsid w:val="007218F1"/>
    <w:rsid w:val="00723C71"/>
    <w:rsid w:val="00731471"/>
    <w:rsid w:val="007416B6"/>
    <w:rsid w:val="00746F48"/>
    <w:rsid w:val="0075404D"/>
    <w:rsid w:val="0076182A"/>
    <w:rsid w:val="0076383E"/>
    <w:rsid w:val="00767B7E"/>
    <w:rsid w:val="00776C07"/>
    <w:rsid w:val="007770C3"/>
    <w:rsid w:val="00784D24"/>
    <w:rsid w:val="00785FBA"/>
    <w:rsid w:val="00786E4A"/>
    <w:rsid w:val="007875EB"/>
    <w:rsid w:val="0079426B"/>
    <w:rsid w:val="007B4507"/>
    <w:rsid w:val="007B6C77"/>
    <w:rsid w:val="007D1682"/>
    <w:rsid w:val="007D312A"/>
    <w:rsid w:val="007D3F19"/>
    <w:rsid w:val="007E23B0"/>
    <w:rsid w:val="007E23E5"/>
    <w:rsid w:val="007F1991"/>
    <w:rsid w:val="007F2C2F"/>
    <w:rsid w:val="007F3566"/>
    <w:rsid w:val="007F55FC"/>
    <w:rsid w:val="007F5665"/>
    <w:rsid w:val="00800112"/>
    <w:rsid w:val="0081204E"/>
    <w:rsid w:val="00813348"/>
    <w:rsid w:val="00816959"/>
    <w:rsid w:val="00817BA0"/>
    <w:rsid w:val="0082224F"/>
    <w:rsid w:val="008253BB"/>
    <w:rsid w:val="0083706E"/>
    <w:rsid w:val="008408F6"/>
    <w:rsid w:val="008423A5"/>
    <w:rsid w:val="00850625"/>
    <w:rsid w:val="00853718"/>
    <w:rsid w:val="008537A0"/>
    <w:rsid w:val="00855221"/>
    <w:rsid w:val="00860645"/>
    <w:rsid w:val="00871F71"/>
    <w:rsid w:val="00872FD8"/>
    <w:rsid w:val="00876BEA"/>
    <w:rsid w:val="00881294"/>
    <w:rsid w:val="00883F20"/>
    <w:rsid w:val="00885AF4"/>
    <w:rsid w:val="008939CD"/>
    <w:rsid w:val="008B2D14"/>
    <w:rsid w:val="008B768C"/>
    <w:rsid w:val="008C4DB1"/>
    <w:rsid w:val="008C4EAF"/>
    <w:rsid w:val="008C5176"/>
    <w:rsid w:val="008C7F42"/>
    <w:rsid w:val="008C7FD0"/>
    <w:rsid w:val="008E1DE7"/>
    <w:rsid w:val="008E707C"/>
    <w:rsid w:val="00900B08"/>
    <w:rsid w:val="00902155"/>
    <w:rsid w:val="00902FA3"/>
    <w:rsid w:val="00923564"/>
    <w:rsid w:val="0092392E"/>
    <w:rsid w:val="00923C47"/>
    <w:rsid w:val="009315F9"/>
    <w:rsid w:val="00933499"/>
    <w:rsid w:val="009356FE"/>
    <w:rsid w:val="00935C98"/>
    <w:rsid w:val="00946945"/>
    <w:rsid w:val="00951248"/>
    <w:rsid w:val="0095152F"/>
    <w:rsid w:val="00954C49"/>
    <w:rsid w:val="00955E37"/>
    <w:rsid w:val="00966881"/>
    <w:rsid w:val="00966EC9"/>
    <w:rsid w:val="00967860"/>
    <w:rsid w:val="0097099F"/>
    <w:rsid w:val="00971269"/>
    <w:rsid w:val="00971997"/>
    <w:rsid w:val="00971FFC"/>
    <w:rsid w:val="0098660A"/>
    <w:rsid w:val="00992B13"/>
    <w:rsid w:val="009931C3"/>
    <w:rsid w:val="009B2C43"/>
    <w:rsid w:val="009B4EAE"/>
    <w:rsid w:val="009B6A45"/>
    <w:rsid w:val="009B7573"/>
    <w:rsid w:val="009C020B"/>
    <w:rsid w:val="009C22F4"/>
    <w:rsid w:val="009C2A4B"/>
    <w:rsid w:val="009C2E98"/>
    <w:rsid w:val="009D0597"/>
    <w:rsid w:val="009D3447"/>
    <w:rsid w:val="009D4711"/>
    <w:rsid w:val="009D47CD"/>
    <w:rsid w:val="009F1185"/>
    <w:rsid w:val="009F18CD"/>
    <w:rsid w:val="009F2A13"/>
    <w:rsid w:val="009F7527"/>
    <w:rsid w:val="00A04EB0"/>
    <w:rsid w:val="00A13CC1"/>
    <w:rsid w:val="00A15D3A"/>
    <w:rsid w:val="00A16847"/>
    <w:rsid w:val="00A237D8"/>
    <w:rsid w:val="00A268C4"/>
    <w:rsid w:val="00A307CD"/>
    <w:rsid w:val="00A331C8"/>
    <w:rsid w:val="00A40A00"/>
    <w:rsid w:val="00A4142F"/>
    <w:rsid w:val="00A422EB"/>
    <w:rsid w:val="00A4373B"/>
    <w:rsid w:val="00A45BB7"/>
    <w:rsid w:val="00A56DF2"/>
    <w:rsid w:val="00A56E6E"/>
    <w:rsid w:val="00A67AB5"/>
    <w:rsid w:val="00A70FBE"/>
    <w:rsid w:val="00A733B2"/>
    <w:rsid w:val="00A741C2"/>
    <w:rsid w:val="00A86FFD"/>
    <w:rsid w:val="00A91760"/>
    <w:rsid w:val="00A93B00"/>
    <w:rsid w:val="00A93C21"/>
    <w:rsid w:val="00AB3CB3"/>
    <w:rsid w:val="00AB64C9"/>
    <w:rsid w:val="00AB782F"/>
    <w:rsid w:val="00AC3C6A"/>
    <w:rsid w:val="00AD0E02"/>
    <w:rsid w:val="00AD2467"/>
    <w:rsid w:val="00AD5620"/>
    <w:rsid w:val="00AD656B"/>
    <w:rsid w:val="00AD7C1B"/>
    <w:rsid w:val="00AE16BA"/>
    <w:rsid w:val="00AE1EBE"/>
    <w:rsid w:val="00AE3CA1"/>
    <w:rsid w:val="00AF0FB6"/>
    <w:rsid w:val="00B03C9D"/>
    <w:rsid w:val="00B060AE"/>
    <w:rsid w:val="00B10517"/>
    <w:rsid w:val="00B14E76"/>
    <w:rsid w:val="00B161B8"/>
    <w:rsid w:val="00B2048C"/>
    <w:rsid w:val="00B310B9"/>
    <w:rsid w:val="00B35442"/>
    <w:rsid w:val="00B35F3F"/>
    <w:rsid w:val="00B36CBB"/>
    <w:rsid w:val="00B425E0"/>
    <w:rsid w:val="00B440AA"/>
    <w:rsid w:val="00B44B70"/>
    <w:rsid w:val="00B5111C"/>
    <w:rsid w:val="00B53C56"/>
    <w:rsid w:val="00B57DAF"/>
    <w:rsid w:val="00B67B21"/>
    <w:rsid w:val="00B73C85"/>
    <w:rsid w:val="00B77EA6"/>
    <w:rsid w:val="00B81598"/>
    <w:rsid w:val="00B841F1"/>
    <w:rsid w:val="00B944D6"/>
    <w:rsid w:val="00BB22C5"/>
    <w:rsid w:val="00BB3099"/>
    <w:rsid w:val="00BB4DF0"/>
    <w:rsid w:val="00BC289F"/>
    <w:rsid w:val="00BC2D50"/>
    <w:rsid w:val="00BC5361"/>
    <w:rsid w:val="00BC5460"/>
    <w:rsid w:val="00BC6B50"/>
    <w:rsid w:val="00BD0E25"/>
    <w:rsid w:val="00BD25F2"/>
    <w:rsid w:val="00BD2E6F"/>
    <w:rsid w:val="00BF58A8"/>
    <w:rsid w:val="00BF5BD6"/>
    <w:rsid w:val="00C03E31"/>
    <w:rsid w:val="00C33E72"/>
    <w:rsid w:val="00C354B2"/>
    <w:rsid w:val="00C35554"/>
    <w:rsid w:val="00C42709"/>
    <w:rsid w:val="00C533CC"/>
    <w:rsid w:val="00C5751C"/>
    <w:rsid w:val="00C61BFC"/>
    <w:rsid w:val="00C62B85"/>
    <w:rsid w:val="00C65438"/>
    <w:rsid w:val="00C735EE"/>
    <w:rsid w:val="00C87FD8"/>
    <w:rsid w:val="00C91381"/>
    <w:rsid w:val="00C91CBB"/>
    <w:rsid w:val="00CA1A82"/>
    <w:rsid w:val="00CB4E70"/>
    <w:rsid w:val="00CC09B6"/>
    <w:rsid w:val="00CC3850"/>
    <w:rsid w:val="00CC666F"/>
    <w:rsid w:val="00CD188D"/>
    <w:rsid w:val="00CD1E3F"/>
    <w:rsid w:val="00CD4925"/>
    <w:rsid w:val="00CD5089"/>
    <w:rsid w:val="00CE11B6"/>
    <w:rsid w:val="00CE44F6"/>
    <w:rsid w:val="00CE49DA"/>
    <w:rsid w:val="00CE62B9"/>
    <w:rsid w:val="00CE7B61"/>
    <w:rsid w:val="00D00095"/>
    <w:rsid w:val="00D07055"/>
    <w:rsid w:val="00D10FD8"/>
    <w:rsid w:val="00D114F0"/>
    <w:rsid w:val="00D13F0E"/>
    <w:rsid w:val="00D16D0E"/>
    <w:rsid w:val="00D20620"/>
    <w:rsid w:val="00D254F7"/>
    <w:rsid w:val="00D26091"/>
    <w:rsid w:val="00D2685C"/>
    <w:rsid w:val="00D34E7C"/>
    <w:rsid w:val="00D35489"/>
    <w:rsid w:val="00D36AFE"/>
    <w:rsid w:val="00D51276"/>
    <w:rsid w:val="00D529C6"/>
    <w:rsid w:val="00D7035F"/>
    <w:rsid w:val="00D70D25"/>
    <w:rsid w:val="00D87E9B"/>
    <w:rsid w:val="00DA1D94"/>
    <w:rsid w:val="00DA5306"/>
    <w:rsid w:val="00DA634F"/>
    <w:rsid w:val="00DA65AC"/>
    <w:rsid w:val="00DB1913"/>
    <w:rsid w:val="00DB39C6"/>
    <w:rsid w:val="00DC410D"/>
    <w:rsid w:val="00DC5A81"/>
    <w:rsid w:val="00DC68CA"/>
    <w:rsid w:val="00DC7CBA"/>
    <w:rsid w:val="00DD73B7"/>
    <w:rsid w:val="00DF28BC"/>
    <w:rsid w:val="00DF34B9"/>
    <w:rsid w:val="00E01053"/>
    <w:rsid w:val="00E07ACF"/>
    <w:rsid w:val="00E10DE4"/>
    <w:rsid w:val="00E13DC9"/>
    <w:rsid w:val="00E156D4"/>
    <w:rsid w:val="00E31DD3"/>
    <w:rsid w:val="00E331A1"/>
    <w:rsid w:val="00E33202"/>
    <w:rsid w:val="00E336A9"/>
    <w:rsid w:val="00E450D3"/>
    <w:rsid w:val="00E472B1"/>
    <w:rsid w:val="00E50624"/>
    <w:rsid w:val="00E568DF"/>
    <w:rsid w:val="00E64269"/>
    <w:rsid w:val="00E704B3"/>
    <w:rsid w:val="00E82267"/>
    <w:rsid w:val="00E853CE"/>
    <w:rsid w:val="00E867B6"/>
    <w:rsid w:val="00EA0041"/>
    <w:rsid w:val="00EA010F"/>
    <w:rsid w:val="00EC18BE"/>
    <w:rsid w:val="00ED1B63"/>
    <w:rsid w:val="00ED3C1F"/>
    <w:rsid w:val="00ED4085"/>
    <w:rsid w:val="00ED420E"/>
    <w:rsid w:val="00ED6FBE"/>
    <w:rsid w:val="00EE2F57"/>
    <w:rsid w:val="00EE6189"/>
    <w:rsid w:val="00EF4C34"/>
    <w:rsid w:val="00EF77C6"/>
    <w:rsid w:val="00F0380C"/>
    <w:rsid w:val="00F05438"/>
    <w:rsid w:val="00F05BA2"/>
    <w:rsid w:val="00F1361C"/>
    <w:rsid w:val="00F156F0"/>
    <w:rsid w:val="00F160C7"/>
    <w:rsid w:val="00F2408F"/>
    <w:rsid w:val="00F240E9"/>
    <w:rsid w:val="00F36D8F"/>
    <w:rsid w:val="00F40821"/>
    <w:rsid w:val="00F417B1"/>
    <w:rsid w:val="00F45853"/>
    <w:rsid w:val="00F54DB4"/>
    <w:rsid w:val="00F602DF"/>
    <w:rsid w:val="00F67130"/>
    <w:rsid w:val="00F72822"/>
    <w:rsid w:val="00F754A1"/>
    <w:rsid w:val="00F81FD9"/>
    <w:rsid w:val="00F841AA"/>
    <w:rsid w:val="00F84A94"/>
    <w:rsid w:val="00F87E96"/>
    <w:rsid w:val="00F87FC7"/>
    <w:rsid w:val="00FA08EF"/>
    <w:rsid w:val="00FA23E8"/>
    <w:rsid w:val="00FA75E6"/>
    <w:rsid w:val="00FB5880"/>
    <w:rsid w:val="00FD3CC1"/>
    <w:rsid w:val="00FD7C3D"/>
    <w:rsid w:val="00FE2A7B"/>
    <w:rsid w:val="00FE2EA2"/>
    <w:rsid w:val="00FF1E02"/>
    <w:rsid w:val="00FF30B4"/>
    <w:rsid w:val="00FF6613"/>
    <w:rsid w:val="03102A6D"/>
    <w:rsid w:val="0A2032A3"/>
    <w:rsid w:val="0B8A37D8"/>
    <w:rsid w:val="10C055FF"/>
    <w:rsid w:val="118107EC"/>
    <w:rsid w:val="11DD6519"/>
    <w:rsid w:val="16BB723D"/>
    <w:rsid w:val="18015F3F"/>
    <w:rsid w:val="195E0C44"/>
    <w:rsid w:val="1BE8440E"/>
    <w:rsid w:val="1D155CEE"/>
    <w:rsid w:val="20F57F95"/>
    <w:rsid w:val="240371BF"/>
    <w:rsid w:val="242E1C8E"/>
    <w:rsid w:val="253020E9"/>
    <w:rsid w:val="25C741E6"/>
    <w:rsid w:val="26D9041B"/>
    <w:rsid w:val="27842671"/>
    <w:rsid w:val="29FD04D3"/>
    <w:rsid w:val="2ABE7A3E"/>
    <w:rsid w:val="2BA65091"/>
    <w:rsid w:val="2EFA178C"/>
    <w:rsid w:val="30B46D73"/>
    <w:rsid w:val="319F7F4E"/>
    <w:rsid w:val="320D4BDC"/>
    <w:rsid w:val="35423C49"/>
    <w:rsid w:val="39AE70AB"/>
    <w:rsid w:val="3C0C0783"/>
    <w:rsid w:val="3F314B61"/>
    <w:rsid w:val="3F795B0E"/>
    <w:rsid w:val="3F9F3A96"/>
    <w:rsid w:val="40284CD1"/>
    <w:rsid w:val="40350D30"/>
    <w:rsid w:val="47025732"/>
    <w:rsid w:val="493C27E9"/>
    <w:rsid w:val="496F39ED"/>
    <w:rsid w:val="49FF41D3"/>
    <w:rsid w:val="4A185DC8"/>
    <w:rsid w:val="4BE068DB"/>
    <w:rsid w:val="4BF6002B"/>
    <w:rsid w:val="4C437779"/>
    <w:rsid w:val="4ECE2238"/>
    <w:rsid w:val="51DB4B86"/>
    <w:rsid w:val="55333C3E"/>
    <w:rsid w:val="5A026F22"/>
    <w:rsid w:val="5C036210"/>
    <w:rsid w:val="5D0D2477"/>
    <w:rsid w:val="5F2F3632"/>
    <w:rsid w:val="60E3072B"/>
    <w:rsid w:val="626A273C"/>
    <w:rsid w:val="62950BCF"/>
    <w:rsid w:val="64CA39A1"/>
    <w:rsid w:val="66166FBC"/>
    <w:rsid w:val="6672205B"/>
    <w:rsid w:val="6C4A05C8"/>
    <w:rsid w:val="70316530"/>
    <w:rsid w:val="711C0454"/>
    <w:rsid w:val="72734D90"/>
    <w:rsid w:val="735A2BFF"/>
    <w:rsid w:val="747B2A32"/>
    <w:rsid w:val="75C12917"/>
    <w:rsid w:val="79E7B28D"/>
    <w:rsid w:val="7B5C4826"/>
    <w:rsid w:val="7C775BAB"/>
    <w:rsid w:val="7F9F20EE"/>
    <w:rsid w:val="9E3A10E2"/>
    <w:rsid w:val="F2E1F9D4"/>
    <w:rsid w:val="F5FF634C"/>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Body Text Indent"/>
    <w:basedOn w:val="1"/>
    <w:link w:val="33"/>
    <w:semiHidden/>
    <w:unhideWhenUsed/>
    <w:qFormat/>
    <w:uiPriority w:val="99"/>
    <w:pPr>
      <w:spacing w:after="120"/>
      <w:ind w:left="420" w:left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link w:val="32"/>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99"/>
    <w:pPr>
      <w:ind w:firstLine="420" w:firstLineChars="200"/>
    </w:pPr>
  </w:style>
  <w:style w:type="character" w:customStyle="1" w:styleId="26">
    <w:name w:val="标题 1 Char"/>
    <w:basedOn w:val="15"/>
    <w:link w:val="3"/>
    <w:qFormat/>
    <w:uiPriority w:val="9"/>
    <w:rPr>
      <w:rFonts w:ascii="Times New Roman" w:hAnsi="Times New Roman"/>
      <w:b/>
      <w:bCs/>
      <w:kern w:val="44"/>
      <w:sz w:val="44"/>
      <w:szCs w:val="44"/>
    </w:rPr>
  </w:style>
  <w:style w:type="character" w:customStyle="1" w:styleId="27">
    <w:name w:val="标题 2 Char"/>
    <w:basedOn w:val="15"/>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8"/>
    <w:semiHidden/>
    <w:qFormat/>
    <w:uiPriority w:val="99"/>
    <w:rPr>
      <w:rFonts w:ascii="Times New Roman" w:hAnsi="Times New Roman"/>
      <w:kern w:val="2"/>
      <w:sz w:val="18"/>
      <w:szCs w:val="18"/>
    </w:rPr>
  </w:style>
  <w:style w:type="character" w:customStyle="1" w:styleId="30">
    <w:name w:val="标题 3 Char"/>
    <w:basedOn w:val="15"/>
    <w:link w:val="5"/>
    <w:qFormat/>
    <w:uiPriority w:val="9"/>
    <w:rPr>
      <w:rFonts w:ascii="Times New Roman" w:hAnsi="Times New Roman"/>
      <w:b/>
      <w:bCs/>
      <w:kern w:val="2"/>
      <w:sz w:val="32"/>
      <w:szCs w:val="32"/>
    </w:rPr>
  </w:style>
  <w:style w:type="paragraph" w:customStyle="1" w:styleId="31">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2">
    <w:name w:val="正文首行缩进 2 Char"/>
    <w:basedOn w:val="33"/>
    <w:link w:val="13"/>
    <w:qFormat/>
    <w:uiPriority w:val="99"/>
    <w:rPr>
      <w:rFonts w:ascii="Times New Roman" w:hAnsi="Times New Roman" w:eastAsia="宋体" w:cs="Times New Roman"/>
      <w:kern w:val="2"/>
      <w:sz w:val="21"/>
      <w:szCs w:val="24"/>
    </w:rPr>
  </w:style>
  <w:style w:type="character" w:customStyle="1" w:styleId="33">
    <w:name w:val="正文文本缩进 Char"/>
    <w:basedOn w:val="15"/>
    <w:link w:val="6"/>
    <w:semiHidden/>
    <w:qFormat/>
    <w:uiPriority w:val="99"/>
    <w:rPr>
      <w:rFonts w:ascii="Times New Roman" w:hAnsi="Times New Roman" w:eastAsia="宋体" w:cs="Times New Roman"/>
      <w:kern w:val="2"/>
      <w:sz w:val="21"/>
      <w:szCs w:val="24"/>
    </w:rPr>
  </w:style>
  <w:style w:type="character" w:customStyle="1" w:styleId="34">
    <w:name w:val="正文首行缩进 2 Char1"/>
    <w:basedOn w:val="33"/>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收、支决算总计变动情况图</a:t>
            </a:r>
            <a:endParaRPr lang="zh-CN" altLang="en-US"/>
          </a:p>
        </c:rich>
      </c:tx>
      <c:layout/>
      <c:overlay val="false"/>
    </c:title>
    <c:autoTitleDeleted val="false"/>
    <c:plotArea>
      <c:layout/>
      <c:barChart>
        <c:barDir val="col"/>
        <c:grouping val="clustered"/>
        <c:varyColors val="false"/>
        <c:ser>
          <c:idx val="0"/>
          <c:order val="0"/>
          <c:tx>
            <c:strRef>
              <c:f>Sheet1!$B$1</c:f>
              <c:strCache>
                <c:ptCount val="1"/>
                <c:pt idx="0">
                  <c:v>2021年</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收入</c:v>
                </c:pt>
                <c:pt idx="1">
                  <c:v>支出</c:v>
                </c:pt>
              </c:strCache>
            </c:strRef>
          </c:cat>
          <c:val>
            <c:numRef>
              <c:f>Sheet1!$B$2:$B$3</c:f>
              <c:numCache>
                <c:formatCode>General</c:formatCode>
                <c:ptCount val="2"/>
                <c:pt idx="0">
                  <c:v>7186.66</c:v>
                </c:pt>
                <c:pt idx="1">
                  <c:v>7186.66</c:v>
                </c:pt>
              </c:numCache>
            </c:numRef>
          </c:val>
        </c:ser>
        <c:ser>
          <c:idx val="1"/>
          <c:order val="1"/>
          <c:tx>
            <c:strRef>
              <c:f>Sheet1!$C$1</c:f>
              <c:strCache>
                <c:ptCount val="1"/>
                <c:pt idx="0">
                  <c:v>2020年</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收入</c:v>
                </c:pt>
                <c:pt idx="1">
                  <c:v>支出</c:v>
                </c:pt>
              </c:strCache>
            </c:strRef>
          </c:cat>
          <c:val>
            <c:numRef>
              <c:f>Sheet1!$C$2:$C$3</c:f>
              <c:numCache>
                <c:formatCode>General</c:formatCode>
                <c:ptCount val="2"/>
                <c:pt idx="0">
                  <c:v>6739.13</c:v>
                </c:pt>
                <c:pt idx="1">
                  <c:v>6739.13</c:v>
                </c:pt>
              </c:numCache>
            </c:numRef>
          </c:val>
        </c:ser>
        <c:dLbls>
          <c:showLegendKey val="false"/>
          <c:showVal val="true"/>
          <c:showCatName val="false"/>
          <c:showSerName val="false"/>
          <c:showPercent val="false"/>
          <c:showBubbleSize val="false"/>
        </c:dLbls>
        <c:gapWidth val="150"/>
        <c:axId val="98380800"/>
        <c:axId val="105206912"/>
      </c:barChart>
      <c:catAx>
        <c:axId val="98380800"/>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05206912"/>
        <c:crosses val="autoZero"/>
        <c:auto val="true"/>
        <c:lblAlgn val="ctr"/>
        <c:lblOffset val="100"/>
        <c:noMultiLvlLbl val="false"/>
      </c:catAx>
      <c:valAx>
        <c:axId val="10520691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98380800"/>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收入决算结构图</a:t>
            </a:r>
            <a:endParaRPr lang="zh-CN" altLang="en-US"/>
          </a:p>
        </c:rich>
      </c:tx>
      <c:layout/>
      <c:overlay val="false"/>
    </c:title>
    <c:autoTitleDeleted val="false"/>
    <c:plotArea>
      <c:layout/>
      <c:pieChart>
        <c:varyColors val="true"/>
        <c:ser>
          <c:idx val="0"/>
          <c:order val="0"/>
          <c:tx>
            <c:strRef>
              <c:f>Sheet1!$B$1</c:f>
              <c:strCache>
                <c:ptCount val="1"/>
                <c:pt idx="0">
                  <c:v>销售额</c:v>
                </c:pt>
              </c:strCache>
            </c:strRef>
          </c:tx>
          <c:explosion val="0"/>
          <c:dPt>
            <c:idx val="0"/>
            <c:bubble3D val="false"/>
          </c:dPt>
          <c:dPt>
            <c:idx val="1"/>
            <c:bubble3D val="false"/>
          </c:dPt>
          <c:dPt>
            <c:idx val="2"/>
            <c:bubble3D val="false"/>
          </c:dPt>
          <c:dLbls>
            <c:dLbl>
              <c:idx val="1"/>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en-US"/>
                      <a:t>8.5%</a:t>
                    </a:r>
                    <a:endParaRPr lang="en-US" altLang="en-US"/>
                  </a:p>
                </c:rich>
              </c:tx>
              <c:dLblPos val="bestFit"/>
              <c:showLegendKey val="false"/>
              <c:showVal val="false"/>
              <c:showCatName val="false"/>
              <c:showSerName val="false"/>
              <c:showPercent val="true"/>
              <c:showBubbleSize val="false"/>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en-US"/>
                      <a:t>7.5%</a:t>
                    </a:r>
                    <a:endParaRPr lang="en-US" altLang="en-US"/>
                  </a:p>
                </c:rich>
              </c:tx>
              <c:dLblPos val="bestFit"/>
              <c:showLegendKey val="false"/>
              <c:showVal val="fals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Sheet1!$A$2:$A$4</c:f>
              <c:strCache>
                <c:ptCount val="3"/>
                <c:pt idx="0">
                  <c:v>一般公共预算财政拨款收入</c:v>
                </c:pt>
                <c:pt idx="1">
                  <c:v>事业收入</c:v>
                </c:pt>
                <c:pt idx="2">
                  <c:v>其他收入</c:v>
                </c:pt>
              </c:strCache>
            </c:strRef>
          </c:cat>
          <c:val>
            <c:numRef>
              <c:f>Sheet1!$B$2:$B$4</c:f>
              <c:numCache>
                <c:formatCode>General</c:formatCode>
                <c:ptCount val="3"/>
                <c:pt idx="0">
                  <c:v>4389.02</c:v>
                </c:pt>
                <c:pt idx="1">
                  <c:v>442.67</c:v>
                </c:pt>
                <c:pt idx="2">
                  <c:v>389.479999999999</c:v>
                </c:pt>
              </c:numCache>
            </c:numRef>
          </c:val>
        </c:ser>
        <c:dLbls>
          <c:showLegendKey val="false"/>
          <c:showVal val="false"/>
          <c:showCatName val="false"/>
          <c:showSerName val="false"/>
          <c:showPercent val="tru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支出决算报告</a:t>
            </a:r>
            <a:endParaRPr lang="zh-CN" altLang="en-US"/>
          </a:p>
        </c:rich>
      </c:tx>
      <c:layout/>
      <c:overlay val="false"/>
    </c:title>
    <c:autoTitleDeleted val="false"/>
    <c:plotArea>
      <c:layout/>
      <c:pieChart>
        <c:varyColors val="true"/>
        <c:ser>
          <c:idx val="0"/>
          <c:order val="0"/>
          <c:tx>
            <c:strRef>
              <c:f>Sheet1!$B$1</c:f>
              <c:strCache>
                <c:ptCount val="1"/>
                <c:pt idx="0">
                  <c:v>销售额</c:v>
                </c:pt>
              </c:strCache>
            </c:strRef>
          </c:tx>
          <c:explosion val="0"/>
          <c:dPt>
            <c:idx val="0"/>
            <c:bubble3D val="false"/>
          </c:dPt>
          <c:dPt>
            <c:idx val="1"/>
            <c:bubble3D val="false"/>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Sheet1!$A$2:$A$3</c:f>
              <c:strCache>
                <c:ptCount val="2"/>
                <c:pt idx="0">
                  <c:v>基本支出</c:v>
                </c:pt>
                <c:pt idx="1">
                  <c:v>项目支出</c:v>
                </c:pt>
              </c:strCache>
            </c:strRef>
          </c:cat>
          <c:val>
            <c:numRef>
              <c:f>Sheet1!$B$2:$B$3</c:f>
              <c:numCache>
                <c:formatCode>General</c:formatCode>
                <c:ptCount val="2"/>
                <c:pt idx="0">
                  <c:v>4799.1</c:v>
                </c:pt>
                <c:pt idx="1">
                  <c:v>1859.46</c:v>
                </c:pt>
              </c:numCache>
            </c:numRef>
          </c:val>
        </c:ser>
        <c:dLbls>
          <c:showLegendKey val="false"/>
          <c:showVal val="false"/>
          <c:showCatName val="false"/>
          <c:showSerName val="false"/>
          <c:showPercent val="tru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财政拨款收、支总计变动情况</a:t>
            </a:r>
            <a:endParaRPr lang="zh-CN" altLang="en-US"/>
          </a:p>
        </c:rich>
      </c:tx>
      <c:layout/>
      <c:overlay val="true"/>
    </c:title>
    <c:autoTitleDeleted val="false"/>
    <c:plotArea>
      <c:layout/>
      <c:barChart>
        <c:barDir val="col"/>
        <c:grouping val="clustered"/>
        <c:varyColors val="false"/>
        <c:ser>
          <c:idx val="0"/>
          <c:order val="0"/>
          <c:tx>
            <c:strRef>
              <c:f>Sheet1!$B$1</c:f>
              <c:strCache>
                <c:ptCount val="1"/>
                <c:pt idx="0">
                  <c:v>2021年</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收入</c:v>
                </c:pt>
                <c:pt idx="1">
                  <c:v>支出</c:v>
                </c:pt>
              </c:strCache>
            </c:strRef>
          </c:cat>
          <c:val>
            <c:numRef>
              <c:f>Sheet1!$B$2:$B$3</c:f>
              <c:numCache>
                <c:formatCode>General</c:formatCode>
                <c:ptCount val="2"/>
                <c:pt idx="0">
                  <c:v>6322.41</c:v>
                </c:pt>
                <c:pt idx="1">
                  <c:v>6322.41</c:v>
                </c:pt>
              </c:numCache>
            </c:numRef>
          </c:val>
        </c:ser>
        <c:ser>
          <c:idx val="1"/>
          <c:order val="1"/>
          <c:tx>
            <c:strRef>
              <c:f>Sheet1!$C$1</c:f>
              <c:strCache>
                <c:ptCount val="1"/>
                <c:pt idx="0">
                  <c:v>2020年</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收入</c:v>
                </c:pt>
                <c:pt idx="1">
                  <c:v>支出</c:v>
                </c:pt>
              </c:strCache>
            </c:strRef>
          </c:cat>
          <c:val>
            <c:numRef>
              <c:f>Sheet1!$C$2:$C$3</c:f>
              <c:numCache>
                <c:formatCode>General</c:formatCode>
                <c:ptCount val="2"/>
                <c:pt idx="0">
                  <c:v>5281.35</c:v>
                </c:pt>
                <c:pt idx="1">
                  <c:v>5281.35</c:v>
                </c:pt>
              </c:numCache>
            </c:numRef>
          </c:val>
        </c:ser>
        <c:dLbls>
          <c:showLegendKey val="false"/>
          <c:showVal val="true"/>
          <c:showCatName val="false"/>
          <c:showSerName val="false"/>
          <c:showPercent val="false"/>
          <c:showBubbleSize val="false"/>
        </c:dLbls>
        <c:gapWidth val="150"/>
        <c:axId val="133378432"/>
        <c:axId val="133379968"/>
      </c:barChart>
      <c:catAx>
        <c:axId val="13337843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379968"/>
        <c:crosses val="autoZero"/>
        <c:auto val="true"/>
        <c:lblAlgn val="ctr"/>
        <c:lblOffset val="100"/>
        <c:noMultiLvlLbl val="false"/>
      </c:catAx>
      <c:valAx>
        <c:axId val="13337996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378432"/>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一般公共预算财政拨款支出决算变动情况</a:t>
            </a:r>
            <a:endParaRPr lang="en-US" altLang="zh-CN"/>
          </a:p>
        </c:rich>
      </c:tx>
      <c:layout/>
      <c:overlay val="false"/>
    </c:title>
    <c:autoTitleDeleted val="false"/>
    <c:plotArea>
      <c:layout/>
      <c:barChart>
        <c:barDir val="col"/>
        <c:grouping val="clustered"/>
        <c:varyColors val="false"/>
        <c:ser>
          <c:idx val="0"/>
          <c:order val="0"/>
          <c:tx>
            <c:strRef>
              <c:f>Sheet1!$B$1</c:f>
              <c:strCache>
                <c:ptCount val="1"/>
                <c:pt idx="0">
                  <c:v>系列 1</c:v>
                </c:pt>
              </c:strCache>
            </c:strRef>
          </c:tx>
          <c:invertIfNegative val="false"/>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ctr"/>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Sheet1!$A$2:$A$3</c:f>
              <c:strCache>
                <c:ptCount val="2"/>
                <c:pt idx="0">
                  <c:v>2021年</c:v>
                </c:pt>
                <c:pt idx="1">
                  <c:v>2020年</c:v>
                </c:pt>
              </c:strCache>
            </c:strRef>
          </c:cat>
          <c:val>
            <c:numRef>
              <c:f>Sheet1!$B$2:$B$3</c:f>
              <c:numCache>
                <c:formatCode>General</c:formatCode>
                <c:ptCount val="2"/>
                <c:pt idx="0">
                  <c:v>5794.31</c:v>
                </c:pt>
                <c:pt idx="1">
                  <c:v>3517.51</c:v>
                </c:pt>
              </c:numCache>
            </c:numRef>
          </c:val>
        </c:ser>
        <c:dLbls>
          <c:showLegendKey val="false"/>
          <c:showVal val="true"/>
          <c:showCatName val="false"/>
          <c:showSerName val="false"/>
          <c:showPercent val="false"/>
          <c:showBubbleSize val="false"/>
        </c:dLbls>
        <c:gapWidth val="150"/>
        <c:axId val="133412736"/>
        <c:axId val="133414272"/>
      </c:barChart>
      <c:catAx>
        <c:axId val="13341273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414272"/>
        <c:crosses val="autoZero"/>
        <c:auto val="true"/>
        <c:lblAlgn val="ctr"/>
        <c:lblOffset val="100"/>
        <c:noMultiLvlLbl val="false"/>
      </c:catAx>
      <c:valAx>
        <c:axId val="13341427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412736"/>
        <c:crosses val="autoZero"/>
        <c:crossBetween val="between"/>
      </c:valAx>
    </c:plotArea>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a:defRPr lang="zh-CN" sz="1800" b="1" i="0" u="none" strike="noStrike" kern="1200" baseline="0">
                <a:solidFill>
                  <a:schemeClr val="tx1"/>
                </a:solidFill>
                <a:latin typeface="+mn-lt"/>
                <a:ea typeface="+mn-ea"/>
                <a:cs typeface="+mn-cs"/>
              </a:defRPr>
            </a:pPr>
            <a:r>
              <a:rPr lang="zh-CN" altLang="en-US"/>
              <a:t>一般公共预算财政拨款支出决算结构图</a:t>
            </a:r>
            <a:endParaRPr lang="zh-CN" altLang="en-US"/>
          </a:p>
        </c:rich>
      </c:tx>
      <c:layout/>
      <c:overlay val="false"/>
    </c:title>
    <c:autoTitleDeleted val="false"/>
    <c:plotArea>
      <c:layout/>
      <c:pieChart>
        <c:varyColors val="true"/>
        <c:ser>
          <c:idx val="0"/>
          <c:order val="0"/>
          <c:tx>
            <c:strRef>
              <c:f>Sheet1!$B$1</c:f>
              <c:strCache>
                <c:ptCount val="1"/>
                <c:pt idx="0">
                  <c:v>销售额</c:v>
                </c:pt>
              </c:strCache>
            </c:strRef>
          </c:tx>
          <c:explosion val="0"/>
          <c:dPt>
            <c:idx val="0"/>
            <c:bubble3D val="false"/>
          </c:dPt>
          <c:dPt>
            <c:idx val="1"/>
            <c:bubble3D val="false"/>
          </c:dPt>
          <c:dPt>
            <c:idx val="2"/>
            <c:bubble3D val="false"/>
          </c:dPt>
          <c:dPt>
            <c:idx val="3"/>
            <c:bubble3D val="false"/>
          </c:dPt>
          <c:dLbls>
            <c:dLbl>
              <c:idx val="0"/>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zh-CN"/>
                      <a:t>87.2%</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zh-CN"/>
                      <a:t>6.5%</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zh-CN"/>
                      <a:t>2.2%</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extLst>
            </c:dLbl>
            <c:dLbl>
              <c:idx val="3"/>
              <c:layout/>
              <c:tx>
                <c:rich>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r>
                      <a:rPr lang="en-US" altLang="zh-CN"/>
                      <a:t>4.1%</a:t>
                    </a:r>
                    <a:endParaRPr lang="en-US" altLang="zh-CN"/>
                  </a:p>
                </c:rich>
              </c:tx>
              <c:dLblPos val="bestFit"/>
              <c:showLegendKey val="false"/>
              <c:showVal val="fals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ext>
            </c:extLst>
          </c:dLbls>
          <c:cat>
            <c:strRef>
              <c:f>Sheet1!$A$2:$A$5</c:f>
              <c:strCache>
                <c:ptCount val="4"/>
                <c:pt idx="0">
                  <c:v>教育支出</c:v>
                </c:pt>
                <c:pt idx="1">
                  <c:v>社会保障和就业（类）</c:v>
                </c:pt>
                <c:pt idx="2">
                  <c:v>卫生健康支出</c:v>
                </c:pt>
                <c:pt idx="3">
                  <c:v>住房保障支出</c:v>
                </c:pt>
              </c:strCache>
            </c:strRef>
          </c:cat>
          <c:val>
            <c:numRef>
              <c:f>Sheet1!$B$2:$B$5</c:f>
              <c:numCache>
                <c:formatCode>General</c:formatCode>
                <c:ptCount val="4"/>
                <c:pt idx="0">
                  <c:v>5055.2</c:v>
                </c:pt>
                <c:pt idx="1">
                  <c:v>378.04</c:v>
                </c:pt>
                <c:pt idx="2">
                  <c:v>129.97</c:v>
                </c:pt>
                <c:pt idx="3">
                  <c:v>231.1</c:v>
                </c:pt>
              </c:numCache>
            </c:numRef>
          </c:val>
        </c:ser>
        <c:dLbls>
          <c:showLegendKey val="false"/>
          <c:showVal val="false"/>
          <c:showCatName val="false"/>
          <c:showSerName val="false"/>
          <c:showPercent val="true"/>
          <c:showBubbleSize val="false"/>
          <c:showLeaderLines val="true"/>
        </c:dLbls>
        <c:firstSliceAng val="0"/>
      </c:pieChart>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zero"/>
    <c:showDLblsOverMax val="false"/>
  </c:chart>
  <c:txPr>
    <a:bodyPr/>
    <a:lstStyle/>
    <a:p>
      <a:pPr>
        <a:defRPr lang="zh-CN"/>
      </a:pPr>
    </a:p>
  </c:txPr>
  <c:externalData r:id="rId1">
    <c:autoUpdate val="false"/>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Info spid="_x0000_s4099"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45</Pages>
  <Words>17231</Words>
  <Characters>19195</Characters>
  <Lines>141</Lines>
  <Paragraphs>39</Paragraphs>
  <TotalTime>1</TotalTime>
  <ScaleCrop>false</ScaleCrop>
  <LinksUpToDate>false</LinksUpToDate>
  <CharactersWithSpaces>20367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 </cp:lastModifiedBy>
  <cp:lastPrinted>2022-08-06T10:23:00Z</cp:lastPrinted>
  <dcterms:modified xsi:type="dcterms:W3CDTF">2023-09-13T17:42:47Z</dcterms:modified>
  <dc:title>四川省***</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