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简体" w:eastAsia="方正小标宋简体"/>
          <w:color w:val="auto"/>
          <w:sz w:val="72"/>
          <w:szCs w:val="72"/>
          <w:highlight w:val="none"/>
          <w:lang w:val="en-US" w:eastAsia="zh-CN"/>
        </w:rPr>
      </w:pPr>
      <w:bookmarkStart w:id="0" w:name="_Toc15306267"/>
    </w:p>
    <w:p>
      <w:pPr>
        <w:spacing w:line="600" w:lineRule="exact"/>
        <w:jc w:val="center"/>
        <w:outlineLvl w:val="0"/>
        <w:rPr>
          <w:rFonts w:ascii="方正小标宋简体" w:eastAsia="方正小标宋简体"/>
          <w:color w:val="auto"/>
          <w:sz w:val="72"/>
          <w:szCs w:val="72"/>
          <w:highlight w:val="none"/>
        </w:rPr>
      </w:pPr>
    </w:p>
    <w:p>
      <w:pPr>
        <w:spacing w:line="600" w:lineRule="exact"/>
        <w:jc w:val="center"/>
        <w:outlineLvl w:val="0"/>
        <w:rPr>
          <w:rFonts w:ascii="方正小标宋简体" w:eastAsia="方正小标宋简体"/>
          <w:color w:val="auto"/>
          <w:sz w:val="72"/>
          <w:szCs w:val="72"/>
          <w:highlight w:val="none"/>
        </w:rPr>
      </w:pPr>
    </w:p>
    <w:p>
      <w:pPr>
        <w:spacing w:line="600" w:lineRule="exact"/>
        <w:jc w:val="center"/>
        <w:outlineLvl w:val="0"/>
        <w:rPr>
          <w:rFonts w:ascii="方正小标宋简体" w:eastAsia="方正小标宋简体"/>
          <w:color w:val="auto"/>
          <w:sz w:val="72"/>
          <w:szCs w:val="72"/>
          <w:highlight w:val="none"/>
        </w:rPr>
      </w:pPr>
    </w:p>
    <w:p>
      <w:pPr>
        <w:keepNext w:val="0"/>
        <w:keepLines w:val="0"/>
        <w:pageBreakBefore w:val="0"/>
        <w:widowControl w:val="0"/>
        <w:kinsoku/>
        <w:wordWrap/>
        <w:overflowPunct/>
        <w:topLinePunct w:val="0"/>
        <w:autoSpaceDE/>
        <w:autoSpaceDN/>
        <w:bidi w:val="0"/>
        <w:adjustRightInd/>
        <w:snapToGrid/>
        <w:spacing w:line="1000" w:lineRule="exact"/>
        <w:jc w:val="center"/>
        <w:textAlignment w:val="auto"/>
        <w:rPr>
          <w:rFonts w:hint="eastAsia" w:ascii="方正小标宋简体" w:hAnsi="方正小标宋简体" w:eastAsia="方正小标宋简体" w:cs="方正小标宋简体"/>
          <w:sz w:val="70"/>
          <w:szCs w:val="70"/>
        </w:rPr>
      </w:pPr>
      <w:bookmarkStart w:id="1" w:name="_Toc15396597"/>
      <w:bookmarkStart w:id="2" w:name="_Toc15377193"/>
      <w:bookmarkStart w:id="3" w:name="_Toc15396475"/>
      <w:bookmarkStart w:id="4" w:name="_Toc15377425"/>
      <w:bookmarkStart w:id="5" w:name="_Toc15378441"/>
      <w:r>
        <w:rPr>
          <w:rFonts w:hint="eastAsia" w:ascii="方正小标宋简体" w:hAnsi="方正小标宋简体" w:eastAsia="方正小标宋简体" w:cs="方正小标宋简体"/>
          <w:sz w:val="70"/>
          <w:szCs w:val="70"/>
        </w:rPr>
        <w:t>20</w:t>
      </w:r>
      <w:r>
        <w:rPr>
          <w:rFonts w:hint="eastAsia" w:ascii="方正小标宋简体" w:hAnsi="方正小标宋简体" w:eastAsia="方正小标宋简体" w:cs="方正小标宋简体"/>
          <w:sz w:val="70"/>
          <w:szCs w:val="70"/>
          <w:lang w:val="en-US" w:eastAsia="zh-CN"/>
        </w:rPr>
        <w:t>21</w:t>
      </w:r>
      <w:r>
        <w:rPr>
          <w:rFonts w:hint="eastAsia" w:ascii="方正小标宋简体" w:hAnsi="方正小标宋简体" w:eastAsia="方正小标宋简体" w:cs="方正小标宋简体"/>
          <w:sz w:val="70"/>
          <w:szCs w:val="70"/>
        </w:rPr>
        <w:t>年度</w:t>
      </w:r>
      <w:bookmarkEnd w:id="1"/>
      <w:bookmarkEnd w:id="2"/>
      <w:bookmarkEnd w:id="3"/>
      <w:bookmarkEnd w:id="4"/>
      <w:bookmarkEnd w:id="5"/>
    </w:p>
    <w:bookmarkEnd w:id="0"/>
    <w:p>
      <w:pPr>
        <w:keepNext w:val="0"/>
        <w:keepLines w:val="0"/>
        <w:pageBreakBefore w:val="0"/>
        <w:widowControl w:val="0"/>
        <w:kinsoku/>
        <w:wordWrap/>
        <w:overflowPunct/>
        <w:topLinePunct w:val="0"/>
        <w:autoSpaceDE/>
        <w:autoSpaceDN/>
        <w:bidi w:val="0"/>
        <w:adjustRightInd/>
        <w:snapToGrid/>
        <w:spacing w:line="1000" w:lineRule="exact"/>
        <w:jc w:val="center"/>
        <w:textAlignment w:val="auto"/>
        <w:rPr>
          <w:rFonts w:hint="eastAsia" w:ascii="方正小标宋简体" w:hAnsi="方正小标宋简体" w:eastAsia="方正小标宋简体" w:cs="方正小标宋简体"/>
          <w:sz w:val="70"/>
          <w:szCs w:val="70"/>
        </w:rPr>
      </w:pPr>
      <w:bookmarkStart w:id="6" w:name="_Toc15306268"/>
      <w:bookmarkStart w:id="7" w:name="_Toc15396598"/>
      <w:bookmarkStart w:id="8" w:name="_Toc15377194"/>
      <w:bookmarkStart w:id="9" w:name="_Toc15396476"/>
      <w:bookmarkStart w:id="10" w:name="_Toc15377426"/>
      <w:bookmarkStart w:id="11" w:name="_Toc15378442"/>
      <w:r>
        <w:rPr>
          <w:rFonts w:hint="eastAsia" w:ascii="方正小标宋简体" w:hAnsi="方正小标宋简体" w:eastAsia="方正小标宋简体" w:cs="方正小标宋简体"/>
          <w:sz w:val="70"/>
          <w:szCs w:val="70"/>
          <w:lang w:val="en-US" w:eastAsia="zh-CN"/>
        </w:rPr>
        <w:t>民革广元市委单位</w:t>
      </w:r>
      <w:r>
        <w:rPr>
          <w:rFonts w:hint="eastAsia" w:ascii="方正小标宋简体" w:hAnsi="方正小标宋简体" w:eastAsia="方正小标宋简体" w:cs="方正小标宋简体"/>
          <w:sz w:val="70"/>
          <w:szCs w:val="70"/>
        </w:rPr>
        <w:t>决算</w:t>
      </w:r>
      <w:bookmarkEnd w:id="6"/>
      <w:bookmarkEnd w:id="7"/>
      <w:bookmarkEnd w:id="8"/>
      <w:bookmarkEnd w:id="9"/>
      <w:bookmarkEnd w:id="10"/>
      <w:bookmarkEnd w:id="11"/>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sz w:val="40"/>
          <w:szCs w:val="40"/>
          <w:lang w:val="en-US" w:eastAsia="zh-CN"/>
        </w:rPr>
      </w:pPr>
    </w:p>
    <w:p>
      <w:pPr>
        <w:keepNext w:val="0"/>
        <w:keepLines w:val="0"/>
        <w:pageBreakBefore w:val="0"/>
        <w:widowControl w:val="0"/>
        <w:kinsoku/>
        <w:wordWrap/>
        <w:overflowPunct/>
        <w:topLinePunct w:val="0"/>
        <w:autoSpaceDE/>
        <w:autoSpaceDN/>
        <w:bidi w:val="0"/>
        <w:adjustRightInd/>
        <w:snapToGrid/>
        <w:spacing w:line="1000" w:lineRule="exact"/>
        <w:jc w:val="center"/>
        <w:textAlignment w:val="auto"/>
        <w:rPr>
          <w:rFonts w:hint="eastAsia" w:ascii="方正小标宋简体" w:hAnsi="方正小标宋简体" w:eastAsia="方正小标宋简体" w:cs="方正小标宋简体"/>
          <w:sz w:val="40"/>
          <w:szCs w:val="4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sz w:val="40"/>
          <w:szCs w:val="4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sz w:val="40"/>
          <w:szCs w:val="4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sz w:val="40"/>
          <w:szCs w:val="4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sz w:val="40"/>
          <w:szCs w:val="4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sz w:val="40"/>
          <w:szCs w:val="4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sz w:val="40"/>
          <w:szCs w:val="4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sz w:val="40"/>
          <w:szCs w:val="4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sz w:val="40"/>
          <w:szCs w:val="40"/>
          <w:lang w:val="en-US" w:eastAsia="zh-CN"/>
        </w:rPr>
      </w:pPr>
    </w:p>
    <w:p>
      <w:pPr>
        <w:pStyle w:val="2"/>
        <w:rPr>
          <w:rFonts w:hint="eastAsia" w:ascii="方正小标宋简体" w:hAnsi="方正小标宋简体" w:eastAsia="方正小标宋简体" w:cs="方正小标宋简体"/>
          <w:sz w:val="40"/>
          <w:szCs w:val="40"/>
          <w:lang w:val="en-US" w:eastAsia="zh-CN"/>
        </w:rPr>
      </w:pPr>
    </w:p>
    <w:p>
      <w:pPr>
        <w:pStyle w:val="2"/>
        <w:rPr>
          <w:rFonts w:hint="eastAsia" w:ascii="方正小标宋简体" w:hAnsi="方正小标宋简体" w:eastAsia="方正小标宋简体" w:cs="方正小标宋简体"/>
          <w:sz w:val="40"/>
          <w:szCs w:val="40"/>
          <w:lang w:val="en-US" w:eastAsia="zh-CN"/>
        </w:rPr>
      </w:pPr>
    </w:p>
    <w:p>
      <w:pPr>
        <w:rPr>
          <w:rFonts w:hint="eastAsia" w:ascii="方正小标宋简体" w:hAnsi="方正小标宋简体" w:eastAsia="方正小标宋简体" w:cs="方正小标宋简体"/>
          <w:sz w:val="40"/>
          <w:szCs w:val="40"/>
          <w:lang w:val="en-US" w:eastAsia="zh-CN"/>
        </w:rPr>
      </w:pPr>
      <w:r>
        <w:rPr>
          <w:rFonts w:hint="eastAsia" w:ascii="方正小标宋简体" w:hAnsi="方正小标宋简体" w:eastAsia="方正小标宋简体" w:cs="方正小标宋简体"/>
          <w:sz w:val="40"/>
          <w:szCs w:val="40"/>
          <w:lang w:val="en-US" w:eastAsia="zh-CN"/>
        </w:rPr>
        <w:br w:type="page"/>
      </w:r>
    </w:p>
    <w:p>
      <w:pPr>
        <w:keepNext w:val="0"/>
        <w:keepLines w:val="0"/>
        <w:pageBreakBefore w:val="0"/>
        <w:widowControl w:val="0"/>
        <w:kinsoku/>
        <w:wordWrap/>
        <w:overflowPunct/>
        <w:topLinePunct w:val="0"/>
        <w:autoSpaceDE/>
        <w:autoSpaceDN/>
        <w:bidi w:val="0"/>
        <w:adjustRightInd/>
        <w:snapToGrid/>
        <w:spacing w:line="576" w:lineRule="exact"/>
        <w:ind w:firstLine="880" w:firstLineChars="20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目</w:t>
      </w:r>
      <w:r>
        <w:rPr>
          <w:rFonts w:hint="eastAsia" w:ascii="方正小标宋简体" w:hAnsi="方正小标宋简体" w:eastAsia="方正小标宋简体" w:cs="方正小标宋简体"/>
          <w:sz w:val="44"/>
          <w:szCs w:val="44"/>
          <w:lang w:val="en-US" w:eastAsia="zh-CN"/>
        </w:rPr>
        <w:t xml:space="preserve">  </w:t>
      </w:r>
      <w:r>
        <w:rPr>
          <w:rFonts w:hint="eastAsia" w:ascii="方正小标宋简体" w:hAnsi="方正小标宋简体" w:eastAsia="方正小标宋简体" w:cs="方正小标宋简体"/>
          <w:sz w:val="44"/>
          <w:szCs w:val="44"/>
        </w:rPr>
        <w:t>录</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center"/>
        <w:textAlignment w:val="auto"/>
        <w:rPr>
          <w:rFonts w:hint="eastAsia" w:ascii="黑体" w:hAnsi="黑体" w:eastAsia="黑体" w:cs="黑体"/>
          <w:sz w:val="32"/>
          <w:szCs w:val="32"/>
        </w:rPr>
      </w:pPr>
      <w:r>
        <w:rPr>
          <w:rFonts w:hint="eastAsia" w:ascii="黑体" w:hAnsi="黑体" w:eastAsia="黑体" w:cs="黑体"/>
          <w:sz w:val="32"/>
          <w:szCs w:val="32"/>
        </w:rPr>
        <w:t>公开时间：20</w:t>
      </w:r>
      <w:r>
        <w:rPr>
          <w:rFonts w:hint="eastAsia" w:ascii="黑体" w:hAnsi="黑体" w:eastAsia="黑体" w:cs="黑体"/>
          <w:sz w:val="32"/>
          <w:szCs w:val="32"/>
          <w:lang w:val="en-US" w:eastAsia="zh-CN"/>
        </w:rPr>
        <w:t>22</w:t>
      </w:r>
      <w:r>
        <w:rPr>
          <w:rFonts w:hint="eastAsia" w:ascii="黑体" w:hAnsi="黑体" w:eastAsia="黑体" w:cs="黑体"/>
          <w:sz w:val="32"/>
          <w:szCs w:val="32"/>
        </w:rPr>
        <w:t>年9月30日</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 xml:space="preserve">第一部分 </w:t>
      </w:r>
      <w:r>
        <w:rPr>
          <w:rFonts w:hint="eastAsia" w:ascii="黑体" w:hAnsi="黑体" w:eastAsia="黑体" w:cs="黑体"/>
          <w:sz w:val="32"/>
          <w:szCs w:val="32"/>
          <w:lang w:eastAsia="zh-CN"/>
        </w:rPr>
        <w:t>单位</w:t>
      </w:r>
      <w:r>
        <w:rPr>
          <w:rFonts w:hint="eastAsia" w:ascii="黑体" w:hAnsi="黑体" w:eastAsia="黑体" w:cs="黑体"/>
          <w:sz w:val="32"/>
          <w:szCs w:val="32"/>
        </w:rPr>
        <w:t>概况</w:t>
      </w:r>
    </w:p>
    <w:p>
      <w:pPr>
        <w:keepNext w:val="0"/>
        <w:keepLines w:val="0"/>
        <w:pageBreakBefore w:val="0"/>
        <w:widowControl w:val="0"/>
        <w:kinsoku/>
        <w:wordWrap/>
        <w:overflowPunct/>
        <w:topLinePunct w:val="0"/>
        <w:autoSpaceDE/>
        <w:autoSpaceDN/>
        <w:bidi w:val="0"/>
        <w:adjustRightInd/>
        <w:snapToGrid/>
        <w:spacing w:line="576" w:lineRule="exact"/>
        <w:ind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一、职能</w:t>
      </w:r>
      <w:r>
        <w:rPr>
          <w:rFonts w:hint="eastAsia" w:ascii="仿宋_GB2312" w:hAnsi="仿宋_GB2312" w:eastAsia="仿宋_GB2312" w:cs="仿宋_GB2312"/>
          <w:sz w:val="32"/>
          <w:szCs w:val="32"/>
          <w:lang w:eastAsia="zh-CN"/>
        </w:rPr>
        <w:t>简介</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1</w:t>
      </w:r>
    </w:p>
    <w:p>
      <w:pPr>
        <w:keepNext w:val="0"/>
        <w:keepLines w:val="0"/>
        <w:pageBreakBefore w:val="0"/>
        <w:widowControl w:val="0"/>
        <w:kinsoku/>
        <w:wordWrap/>
        <w:overflowPunct/>
        <w:topLinePunct w:val="0"/>
        <w:autoSpaceDE/>
        <w:autoSpaceDN/>
        <w:bidi w:val="0"/>
        <w:adjustRightInd/>
        <w:snapToGrid/>
        <w:spacing w:line="576" w:lineRule="exact"/>
        <w:ind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sz w:val="32"/>
          <w:szCs w:val="32"/>
          <w:lang w:val="en-US" w:eastAsia="zh-CN"/>
        </w:rPr>
        <w:t>2021年重点</w:t>
      </w:r>
      <w:r>
        <w:rPr>
          <w:rFonts w:hint="eastAsia" w:ascii="仿宋_GB2312" w:hAnsi="仿宋_GB2312" w:eastAsia="仿宋_GB2312" w:cs="仿宋_GB2312"/>
          <w:sz w:val="32"/>
          <w:szCs w:val="32"/>
        </w:rPr>
        <w:t>工作</w:t>
      </w:r>
      <w:r>
        <w:rPr>
          <w:rFonts w:hint="eastAsia" w:ascii="仿宋_GB2312" w:hAnsi="仿宋_GB2312" w:eastAsia="仿宋_GB2312" w:cs="仿宋_GB2312"/>
          <w:sz w:val="32"/>
          <w:szCs w:val="32"/>
          <w:lang w:eastAsia="zh-CN"/>
        </w:rPr>
        <w:t>完成情况</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1</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第二部分</w:t>
      </w:r>
      <w:r>
        <w:rPr>
          <w:rFonts w:hint="eastAsia" w:ascii="黑体" w:hAnsi="黑体" w:eastAsia="黑体" w:cs="黑体"/>
          <w:sz w:val="32"/>
          <w:szCs w:val="32"/>
          <w:lang w:val="en-US" w:eastAsia="zh-CN"/>
        </w:rPr>
        <w:t xml:space="preserve"> 2021年度</w:t>
      </w:r>
      <w:r>
        <w:rPr>
          <w:rFonts w:hint="eastAsia" w:ascii="黑体" w:hAnsi="黑体" w:eastAsia="黑体" w:cs="黑体"/>
          <w:sz w:val="32"/>
          <w:szCs w:val="32"/>
          <w:lang w:eastAsia="zh-CN"/>
        </w:rPr>
        <w:t>单位</w:t>
      </w:r>
      <w:r>
        <w:rPr>
          <w:rFonts w:hint="eastAsia" w:ascii="黑体" w:hAnsi="黑体" w:eastAsia="黑体" w:cs="黑体"/>
          <w:sz w:val="32"/>
          <w:szCs w:val="32"/>
        </w:rPr>
        <w:t>决算情况说明</w:t>
      </w:r>
    </w:p>
    <w:p>
      <w:pPr>
        <w:keepNext w:val="0"/>
        <w:keepLines w:val="0"/>
        <w:pageBreakBefore w:val="0"/>
        <w:widowControl w:val="0"/>
        <w:kinsoku/>
        <w:wordWrap/>
        <w:overflowPunct/>
        <w:topLinePunct w:val="0"/>
        <w:autoSpaceDE/>
        <w:autoSpaceDN/>
        <w:bidi w:val="0"/>
        <w:adjustRightInd/>
        <w:snapToGrid/>
        <w:spacing w:line="576" w:lineRule="exact"/>
        <w:ind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一、收入支出决算总体情况说明.......................</w:t>
      </w:r>
      <w:r>
        <w:rPr>
          <w:rFonts w:hint="eastAsia" w:ascii="仿宋_GB2312" w:hAnsi="仿宋_GB2312" w:eastAsia="仿宋_GB2312" w:cs="仿宋_GB2312"/>
          <w:sz w:val="32"/>
          <w:szCs w:val="32"/>
          <w:lang w:val="en-US" w:eastAsia="zh-CN"/>
        </w:rPr>
        <w:t>8</w:t>
      </w:r>
    </w:p>
    <w:p>
      <w:pPr>
        <w:keepNext w:val="0"/>
        <w:keepLines w:val="0"/>
        <w:pageBreakBefore w:val="0"/>
        <w:widowControl w:val="0"/>
        <w:kinsoku/>
        <w:wordWrap/>
        <w:overflowPunct/>
        <w:topLinePunct w:val="0"/>
        <w:autoSpaceDE/>
        <w:autoSpaceDN/>
        <w:bidi w:val="0"/>
        <w:adjustRightInd/>
        <w:snapToGrid/>
        <w:spacing w:line="576" w:lineRule="exact"/>
        <w:ind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二、收入决算情况说明...............................</w:t>
      </w:r>
      <w:r>
        <w:rPr>
          <w:rFonts w:hint="eastAsia" w:ascii="仿宋_GB2312" w:hAnsi="仿宋_GB2312" w:eastAsia="仿宋_GB2312" w:cs="仿宋_GB2312"/>
          <w:sz w:val="32"/>
          <w:szCs w:val="32"/>
          <w:lang w:val="en-US" w:eastAsia="zh-CN"/>
        </w:rPr>
        <w:t>8</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三、支出决算情况说明...............................</w:t>
      </w:r>
      <w:r>
        <w:rPr>
          <w:rFonts w:hint="eastAsia" w:ascii="仿宋_GB2312" w:hAnsi="仿宋_GB2312" w:eastAsia="仿宋_GB2312" w:cs="仿宋_GB2312"/>
          <w:sz w:val="32"/>
          <w:szCs w:val="32"/>
          <w:lang w:val="en-US" w:eastAsia="zh-CN"/>
        </w:rPr>
        <w:t>9</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四、财政拨款收入支出决算总体情况说明..............</w:t>
      </w:r>
      <w:r>
        <w:rPr>
          <w:rFonts w:hint="eastAsia" w:ascii="仿宋_GB2312" w:hAnsi="仿宋_GB2312" w:eastAsia="仿宋_GB2312" w:cs="仿宋_GB2312"/>
          <w:sz w:val="32"/>
          <w:szCs w:val="32"/>
          <w:lang w:val="en-US" w:eastAsia="zh-CN"/>
        </w:rPr>
        <w:t>9</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rPr>
      </w:pPr>
      <w:r>
        <w:rPr>
          <w:rFonts w:hint="eastAsia" w:ascii="仿宋_GB2312" w:hAnsi="仿宋_GB2312" w:eastAsia="仿宋_GB2312" w:cs="仿宋_GB2312"/>
          <w:sz w:val="32"/>
          <w:szCs w:val="32"/>
        </w:rPr>
        <w:t>五、一般公共预算财政拨款支出决算情况说明..........</w:t>
      </w:r>
      <w:r>
        <w:rPr>
          <w:rFonts w:hint="eastAsia" w:ascii="仿宋_GB2312" w:hAnsi="仿宋_GB2312" w:eastAsia="仿宋_GB2312" w:cs="仿宋_GB2312"/>
          <w:sz w:val="32"/>
          <w:szCs w:val="32"/>
          <w:lang w:val="en-US" w:eastAsia="zh-CN"/>
        </w:rPr>
        <w:t>10</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六、一般公共预算财政拨款基本支出决算情况说明......</w:t>
      </w:r>
      <w:r>
        <w:rPr>
          <w:rFonts w:hint="eastAsia" w:ascii="仿宋_GB2312" w:hAnsi="仿宋_GB2312" w:eastAsia="仿宋_GB2312" w:cs="仿宋_GB2312"/>
          <w:sz w:val="32"/>
          <w:szCs w:val="32"/>
          <w:lang w:val="en-US" w:eastAsia="zh-CN"/>
        </w:rPr>
        <w:t>11</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rPr>
      </w:pPr>
      <w:r>
        <w:rPr>
          <w:rFonts w:hint="eastAsia" w:ascii="仿宋_GB2312" w:hAnsi="仿宋_GB2312" w:eastAsia="仿宋_GB2312" w:cs="仿宋_GB2312"/>
          <w:sz w:val="32"/>
          <w:szCs w:val="32"/>
        </w:rPr>
        <w:t>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三公”经费财政拨款支出决算情况说明..........</w:t>
      </w:r>
      <w:r>
        <w:rPr>
          <w:rFonts w:hint="eastAsia" w:ascii="仿宋_GB2312" w:hAnsi="仿宋_GB2312" w:eastAsia="仿宋_GB2312" w:cs="仿宋_GB2312"/>
          <w:sz w:val="32"/>
          <w:szCs w:val="32"/>
          <w:lang w:val="en-US" w:eastAsia="zh-CN"/>
        </w:rPr>
        <w:t>12</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rPr>
      </w:pPr>
      <w:r>
        <w:rPr>
          <w:rFonts w:hint="eastAsia" w:ascii="仿宋_GB2312" w:hAnsi="仿宋_GB2312" w:eastAsia="仿宋_GB2312" w:cs="仿宋_GB2312"/>
          <w:sz w:val="32"/>
          <w:szCs w:val="32"/>
        </w:rPr>
        <w:t>八、政府性基金预算支出决算情况说明...............</w:t>
      </w:r>
      <w:r>
        <w:rPr>
          <w:rFonts w:hint="eastAsia" w:ascii="仿宋_GB2312" w:hAnsi="仿宋_GB2312" w:eastAsia="仿宋_GB2312" w:cs="仿宋_GB2312"/>
          <w:sz w:val="32"/>
          <w:szCs w:val="32"/>
          <w:lang w:val="en-US" w:eastAsia="zh-CN"/>
        </w:rPr>
        <w:t>13</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rPr>
      </w:pPr>
      <w:r>
        <w:rPr>
          <w:rFonts w:hint="eastAsia" w:ascii="仿宋_GB2312" w:hAnsi="仿宋_GB2312" w:eastAsia="仿宋_GB2312" w:cs="仿宋_GB2312"/>
          <w:sz w:val="32"/>
          <w:szCs w:val="32"/>
        </w:rPr>
        <w:t>九、国有资本经营预算支出决算情况说明..............</w:t>
      </w:r>
      <w:r>
        <w:rPr>
          <w:rFonts w:hint="eastAsia" w:ascii="仿宋_GB2312" w:hAnsi="仿宋_GB2312" w:eastAsia="仿宋_GB2312" w:cs="仿宋_GB2312"/>
          <w:sz w:val="32"/>
          <w:szCs w:val="32"/>
          <w:lang w:val="en-US" w:eastAsia="zh-CN"/>
        </w:rPr>
        <w:t>13</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十、</w:t>
      </w:r>
      <w:r>
        <w:rPr>
          <w:rFonts w:hint="eastAsia" w:ascii="仿宋_GB2312" w:hAnsi="仿宋_GB2312" w:eastAsia="仿宋_GB2312" w:cs="仿宋_GB2312"/>
          <w:sz w:val="32"/>
          <w:szCs w:val="32"/>
          <w:lang w:val="en-US" w:eastAsia="zh-CN"/>
        </w:rPr>
        <w:t>预算绩效管理情况</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13</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十一、</w:t>
      </w:r>
      <w:r>
        <w:rPr>
          <w:rFonts w:hint="eastAsia" w:ascii="仿宋_GB2312" w:hAnsi="仿宋_GB2312" w:eastAsia="仿宋_GB2312" w:cs="仿宋_GB2312"/>
          <w:sz w:val="32"/>
          <w:szCs w:val="32"/>
        </w:rPr>
        <w:t>其他重要事项的情况说明......................</w:t>
      </w:r>
      <w:r>
        <w:rPr>
          <w:rFonts w:hint="eastAsia" w:ascii="仿宋_GB2312" w:hAnsi="仿宋_GB2312" w:eastAsia="仿宋_GB2312" w:cs="仿宋_GB2312"/>
          <w:sz w:val="32"/>
          <w:szCs w:val="32"/>
          <w:lang w:val="en-US" w:eastAsia="zh-CN"/>
        </w:rPr>
        <w:t>14</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第三部分 名词解释</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黑体" w:hAnsi="黑体" w:eastAsia="黑体" w:cs="黑体"/>
          <w:sz w:val="32"/>
          <w:szCs w:val="32"/>
          <w:lang w:val="en-US"/>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15</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第四部分 附件</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黑体" w:hAnsi="黑体" w:eastAsia="黑体" w:cs="黑体"/>
          <w:sz w:val="32"/>
          <w:szCs w:val="32"/>
          <w:lang w:val="en-US"/>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18</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黑体" w:hAnsi="黑体" w:eastAsia="黑体" w:cs="黑体"/>
          <w:sz w:val="32"/>
          <w:szCs w:val="32"/>
          <w:lang w:val="en-US" w:eastAsia="zh-CN"/>
        </w:rPr>
      </w:pPr>
      <w:r>
        <w:rPr>
          <w:rFonts w:hint="eastAsia" w:ascii="黑体" w:hAnsi="黑体" w:eastAsia="黑体" w:cs="黑体"/>
          <w:sz w:val="32"/>
          <w:szCs w:val="32"/>
          <w:lang w:eastAsia="zh-CN"/>
        </w:rPr>
        <w:t>第五部分</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附表</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黑体" w:hAnsi="黑体" w:eastAsia="黑体" w:cs="黑体"/>
          <w:sz w:val="32"/>
          <w:szCs w:val="32"/>
          <w:lang w:val="en-US"/>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25</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一、收入支出决算总表</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二、收入决算表</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三、支出决算表</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四、财政拨款收入支出决算总表</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五、财政拨款支出决算明细表</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六、一般公共预算财政拨款支出决算表</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七、一般公共预算财政拨款支出决算明细表</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八、一般公共预算财政拨款基本支出决算表</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九、一般公共预算财政拨款项目支出决算表</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十、一般公共预算财政拨款“三公”经费支出决算表</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十一、政府性基金预算财政拨款收入支出决算表</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十二、政府性基金预算财政拨款“三公”经费支出决算表</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十三、国有资本经营预算</w:t>
      </w:r>
      <w:r>
        <w:rPr>
          <w:rFonts w:hint="eastAsia" w:ascii="仿宋_GB2312" w:hAnsi="仿宋_GB2312" w:eastAsia="仿宋_GB2312" w:cs="仿宋_GB2312"/>
          <w:sz w:val="32"/>
          <w:szCs w:val="32"/>
          <w:lang w:eastAsia="zh-CN"/>
        </w:rPr>
        <w:t>财政拨款收入</w:t>
      </w:r>
      <w:r>
        <w:rPr>
          <w:rFonts w:hint="eastAsia" w:ascii="仿宋_GB2312" w:hAnsi="仿宋_GB2312" w:eastAsia="仿宋_GB2312" w:cs="仿宋_GB2312"/>
          <w:sz w:val="32"/>
          <w:szCs w:val="32"/>
        </w:rPr>
        <w:t>支出决算表</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十四、国有资本经营预算财政拨款支出决算表</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注：请</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根据实际注明页码</w:t>
      </w:r>
      <w:r>
        <w:rPr>
          <w:rFonts w:hint="eastAsia" w:ascii="仿宋_GB2312" w:hAnsi="仿宋_GB2312" w:eastAsia="仿宋_GB2312" w:cs="仿宋_GB2312"/>
          <w:sz w:val="32"/>
          <w:szCs w:val="32"/>
          <w:lang w:eastAsia="zh-CN"/>
        </w:rPr>
        <w:t>）</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br w:type="page"/>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sz w:val="44"/>
          <w:szCs w:val="44"/>
        </w:rPr>
      </w:pPr>
      <w:bookmarkStart w:id="12" w:name="_Toc15396599"/>
      <w:bookmarkStart w:id="13" w:name="_Toc15377196"/>
      <w:r>
        <w:rPr>
          <w:rFonts w:hint="eastAsia" w:ascii="方正小标宋简体" w:hAnsi="方正小标宋简体" w:eastAsia="方正小标宋简体" w:cs="方正小标宋简体"/>
          <w:sz w:val="44"/>
          <w:szCs w:val="44"/>
        </w:rPr>
        <w:t xml:space="preserve">第一部分 </w:t>
      </w:r>
      <w:r>
        <w:rPr>
          <w:rFonts w:hint="eastAsia" w:ascii="方正小标宋简体" w:hAnsi="方正小标宋简体" w:eastAsia="方正小标宋简体" w:cs="方正小标宋简体"/>
          <w:sz w:val="44"/>
          <w:szCs w:val="44"/>
          <w:lang w:eastAsia="zh-CN"/>
        </w:rPr>
        <w:t>单位</w:t>
      </w:r>
      <w:r>
        <w:rPr>
          <w:rFonts w:hint="eastAsia" w:ascii="方正小标宋简体" w:hAnsi="方正小标宋简体" w:eastAsia="方正小标宋简体" w:cs="方正小标宋简体"/>
          <w:sz w:val="44"/>
          <w:szCs w:val="44"/>
        </w:rPr>
        <w:t>概况</w:t>
      </w:r>
      <w:bookmarkEnd w:id="12"/>
      <w:bookmarkEnd w:id="13"/>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eastAsia="zh-CN"/>
        </w:rPr>
      </w:pPr>
      <w:bookmarkStart w:id="14" w:name="_Toc15396600"/>
      <w:bookmarkStart w:id="15" w:name="_Toc15377197"/>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一、</w:t>
      </w:r>
      <w:r>
        <w:rPr>
          <w:rFonts w:hint="eastAsia" w:ascii="黑体" w:hAnsi="黑体" w:eastAsia="黑体" w:cs="黑体"/>
          <w:sz w:val="32"/>
          <w:szCs w:val="32"/>
        </w:rPr>
        <w:t>职能</w:t>
      </w:r>
      <w:r>
        <w:rPr>
          <w:rFonts w:hint="eastAsia" w:ascii="黑体" w:hAnsi="黑体" w:eastAsia="黑体" w:cs="黑体"/>
          <w:sz w:val="32"/>
          <w:szCs w:val="32"/>
          <w:lang w:eastAsia="zh-CN"/>
        </w:rPr>
        <w:t>简介</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民革广元市委会机关是民革广元市委会的工作部门，其主要职责是：</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1、以坚持中国共产党领导多党合作和政治协商制度，继承和发扬孙中山爱国革命不断进步精神；</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2、认真履行参政党职责，切实加强参政议政、民主监督和参加中国共产党领导的政治协商工作；</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3、以促进祖国和平统一为工作为重点，重视以孙中山爱国思想为纽带，团结海内外所联系人士，为祖国统一大业而努力；</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4、以坚持共产党领导与发扬社会主义民主、体现政治联盟特点、体现进步性与广泛性相统一为原则，进一步把民革建设成为与中国共产党亲密合作、致力于建设中国特色社会主义的参政党。</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5、代表与反映党员及所联系群众的具体利益和要求，积极协调关系，维护社会稳定，促进公平正义和社会和谐。</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6、完成中共广元市委交办的其他任务</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val="en-US" w:eastAsia="zh-CN"/>
        </w:rPr>
        <w:t>二、2021年重点</w:t>
      </w:r>
      <w:r>
        <w:rPr>
          <w:rFonts w:hint="eastAsia" w:ascii="黑体" w:hAnsi="黑体" w:eastAsia="黑体" w:cs="黑体"/>
          <w:sz w:val="32"/>
          <w:szCs w:val="32"/>
          <w:lang w:eastAsia="zh-CN"/>
        </w:rPr>
        <w:t>工作</w:t>
      </w:r>
      <w:bookmarkEnd w:id="14"/>
      <w:bookmarkEnd w:id="15"/>
      <w:r>
        <w:rPr>
          <w:rFonts w:hint="eastAsia" w:ascii="黑体" w:hAnsi="黑体" w:eastAsia="黑体" w:cs="黑体"/>
          <w:sz w:val="32"/>
          <w:szCs w:val="32"/>
          <w:lang w:eastAsia="zh-CN"/>
        </w:rPr>
        <w:t>完成情况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2021年是“十四五”开局之年，是全面建设社会主义现代化国家新征程开局之年。民革广元市委始终旗帜鲜明地坚持中国共产党领导，高举习近平新时代中国特色社会主义思想旗帜，全面贯彻落实中央、省、市系列重要会议精神和各项决策部署，认真履行参政议政、民主监督和政治协商职能，不断加强自身建设，积极参与社会服务，为广元经济社会发展作出积极贡献。2021年，民革市委被民革中央表彰为助力脱贫攻坚先进集体，被民革省委表彰为组织工作和机关工作先进集体，5个基层支部获得民革省委表彰，3名党员受到民革中央表彰，7名党员获得民革省委表彰，还有许多党员获得市县区级的表彰，民革各项工作取得新的成绩。</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一、深化政治理论学习，思想政治建设实现新提升。</w:t>
      </w:r>
      <w:r>
        <w:rPr>
          <w:rFonts w:hint="eastAsia" w:ascii="仿宋_GB2312" w:hAnsi="仿宋_GB2312" w:eastAsia="仿宋_GB2312" w:cs="仿宋_GB2312"/>
          <w:sz w:val="32"/>
          <w:szCs w:val="32"/>
        </w:rPr>
        <w:t>一是组织召开市委会、专题学习会、专题宣讲会和支部会议等多种形式，深入学习习近平新时代中国特色社会主义思想和中共十九大精神，深入学习习近平总书记“七一”重要讲话和在纪念辛亥革命110周年纪念大会上的重要讲话精神，深入学习中共十九届六中全会精神，深入学习中共广元市第八次党代会精神，组织党员进行座谈讨论、学习交流，撰写学习心得50余篇，不断增强政治认同、思想认同、道路认同、情感认同，树牢“四个意识”、坚定“四个自信”、做到“两个维护”，始终同中共中央保持高度一致，始终把贯彻落实中共中央精神和中共省委、市委治蜀兴川的实践方案作为广元民革履职的重点和责任。二是深入开展中共党史和民革党史学习教育活动。结合中国共产党成立100周年、辛亥革命110周年、广元民革组织建立30周年等纪念活动，组织各支部党员开展“学党史、学前辈、听党话”等活动，组织市委会成员及各支部班子成员参观821厂史展览馆，选派党员郭雪参加民革省委举行的“同舟共济庆百年•携手同心谱新篇”庆祝中国共产党成立100周年主题演讲比赛并荣获一等奖。通过系列活动进行四史教育，坚持不忘初心，牢记使命，积极围绕中心大局履职尽责。三是加强宣传交流，不断扩大广元民革的影响。全年向各类报刊、媒体报送宣传稿件264条次，被《团结报》《团结网》《改革报》采用15条次，被民革中央、省委统战部采用5条次，被《广元日报》《广元新闻网》采用6条，被民革省委、市政协、同心广元采用200多条次，同时办好广元民革微信公众号，编印2期专题简报，充分展现民革组织和民革党员的履职风采，向社会讲好“民革故事”，多渠道扩大民革的社会影响。</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二、深入开展作风建设年活动，作风建设展现新面貌。</w:t>
      </w:r>
      <w:r>
        <w:rPr>
          <w:rFonts w:hint="eastAsia" w:ascii="仿宋_GB2312" w:hAnsi="仿宋_GB2312" w:eastAsia="仿宋_GB2312" w:cs="仿宋_GB2312"/>
          <w:sz w:val="32"/>
          <w:szCs w:val="32"/>
        </w:rPr>
        <w:t>一是深化理论学习。组织党员干部深入学习习近平总书记关于加强作风建设、严肃政治纪律和政治规矩等方面的重要论述，做到学思用贯通、知信行统一，为解决作风问题提供思想支撑。二是强化日常学习。坚持市委会班子学习制度，将作风建设作为2021年重点学习内容，进行集体学习研讨，认真学习贯彻邹自景书记在全市干部纪律作风整顿大会上的讲话精神。举办专题学习会和交流会，形成领导干部带头学、广大党员主动学的良好态势，积极开展自查自纠，建立整改台账。三是加强党员日常教育管理。不断加强民革党员队伍的有效管理和日常监督，特别是加强对代表人士的履职管理，积极探索履职活动的激励机制。四是加强廉政建设。增强民革党员和干部廉政意识，定期开展警示教育活动，加强对政治纪律、廉洁从政等问题的学习培训，筑牢拒腐防变思想防线。五是加强内部监督。不断完善内部监督工作机制，进一步健全了民主决策、述职和民主评议等制度，定期召开领导班子民主生活会，开展批评与自我批评，全面检视自身问题。</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三、圆满完成换届工作，组织建设呈现新局面。</w:t>
      </w:r>
      <w:r>
        <w:rPr>
          <w:rFonts w:hint="eastAsia" w:ascii="仿宋_GB2312" w:hAnsi="仿宋_GB2312" w:eastAsia="仿宋_GB2312" w:cs="仿宋_GB2312"/>
          <w:sz w:val="32"/>
          <w:szCs w:val="32"/>
        </w:rPr>
        <w:t>一是顺利完成市委会换届工作。在民革四川省委和中共广元市委的领导下，市委会精心组织、周密安排，隆重召开了民革广元市第六次代表大会，选举产生了民革广元市第六届委员会及领导班子，顺利实现了市委会领导班子的新老交替和政治交接，市委会领导班子的政治把握能力、组织领导能力、参政议政能力、合作共事能力进一步增强，组织凝聚力、战斗力进一步提升。二是顺利完成基层支部换届工作。按照民革省委、市委统战部关于基层组织换届工作要求，完成了8个基层支部的换届工作，新建了两个具有民革界别特色的直属支部，优化了基层支部班子配备，一批年轻有为、充满活力的80后民革党员进入基层支部领导班子。三是完善调整了专委会工作。根据民革市委工作需要和界别特色，设立了学习宣传、参政议政、社会服务、三农、祖统联谊与社会法制等八个专门工作委员会，继续实行市委委员牵头专委会工作制度。四是积极稳妥做好党员发展工作。认真贯彻执行《各民主党派中央关于新时代组织发展工作座谈会纪要》政策规定，规范程序，突出重点领域，全年新发展党员7名。五是加强干部队伍建设。市委会高度重视后备干部队伍建设，加强与中共市委和市、县组织部、统战部的沟通联系，及时补充条件成熟的干部入库，形成了后备干部人才数据库的动态管理机制，储备后备干部32人。全市党员中有省人大代表1人、省政协委员1人，市人大代表9人、市政协委员17人，各县区人大代表、政协委员37人。六是着力提升示范支部和民革党员之家建设水平，以开展“第三批示范支部创建活动”为载体，进一步规范基层组织各项工作，增强基层组织凝聚力，有效激发基层组织活力。现已建成民革党员之家4个，省级示范支部4个，达标支部5个，昭化支部成功创建为民革全国示范支部。</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四、围绕中心参政议政，建言献策彰显新作为。</w:t>
      </w:r>
      <w:r>
        <w:rPr>
          <w:rFonts w:hint="eastAsia" w:ascii="仿宋_GB2312" w:hAnsi="仿宋_GB2312" w:eastAsia="仿宋_GB2312" w:cs="仿宋_GB2312"/>
          <w:sz w:val="32"/>
          <w:szCs w:val="32"/>
        </w:rPr>
        <w:t>围绕建设全国性综合交通枢纽、建设川陕甘结合部现代化中心城市，聚焦三农、社会法制领域深入开展调查研究，加大调研力度，精选调研课题，积极建言献策。一是高度重视“两会”发言和提案工作。在2021年广元市“两会”上提交大会发言材料5篇、集体提案9件，民革界别委员、代表提交提案28件、建议10件。在全委会所作的《加强民事诉讼效能建设 切实提升群众满意度》的大会发言得到邹自景书记签批，在市政协联组会上所做的《关于坚定不移推进我市家居产业发展的建议》《推动人口集聚 汇聚发展人气》的发言得到市领导高度重视和充分肯定，市委会提交的集体提案《做好全市乡镇行政区划和村建制调整改革“后半篇文章”的工作建议》被市政协列为重点督办提案，政协主席亲自进行督办。 二是紧紧围绕市委市政府中心工作深入开展专题调研。重点围绕粮食生产、养老产业发展、红色资源助推乡村振兴、农业科技体系服务、特色制造业集群建设等课题开展专题调研，形成调研报告5篇。三是积极做好社情民意信息反映。收到支部提交的社情民意93件，向市政协、市委统战部报送80件，向民革省委报送23 件。其中《把政府优先采购“广元产”扶贫农副产品做实》《建议将农村殡葬纳入重要民生工程》等13件被市政协采用，专报省政协5件，被邹自景书记签批5件，被民革省委采用7件。</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五、创新工作思路，社会服务取得新成效。</w:t>
      </w:r>
      <w:r>
        <w:rPr>
          <w:rFonts w:hint="eastAsia" w:ascii="仿宋_GB2312" w:hAnsi="仿宋_GB2312" w:eastAsia="仿宋_GB2312" w:cs="仿宋_GB2312"/>
          <w:sz w:val="32"/>
          <w:szCs w:val="32"/>
        </w:rPr>
        <w:t>一是持续做好新冠疫情防控工作，组织党员积极接种新冠疫苗，严格遵守疫情防控相关规定和要求，积极助力疫情防控。二是做实做好“美国科技教育工程”“广东游心基金”“法律进社区”等专项社会服务活动，组织党员积极参加民革中央、省委及各县区开展的“以购代捐</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“以购代扶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等消费扶贫活动，共计购买扶贫产品4万多元，为广元外国语学校3名纳雍县贫困学生解决助学金9000元，为朝天中学20名贫困学生争取助学金40000元。三是积极支持旭日生态农业、大自然牧业、蜀道元牛等民革党员企业通过“公司+农户”模式，带领300多户贫困群众发展特色产业，实现增收150万元，助推乡村振兴。四是组织广元民革企业家联谊会加强与民革企业家之间联系合作，协助做好地方招商引资和项目投资。</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六、突出民革特色，深入开展促进</w:t>
      </w:r>
      <w:r>
        <w:rPr>
          <w:rFonts w:hint="eastAsia" w:ascii="楷体_GB2312" w:hAnsi="楷体_GB2312" w:eastAsia="楷体_GB2312" w:cs="楷体_GB2312"/>
          <w:sz w:val="32"/>
          <w:szCs w:val="32"/>
          <w:lang w:eastAsia="zh-CN"/>
        </w:rPr>
        <w:t>祖统</w:t>
      </w:r>
      <w:r>
        <w:rPr>
          <w:rFonts w:hint="eastAsia" w:ascii="楷体_GB2312" w:hAnsi="楷体_GB2312" w:eastAsia="楷体_GB2312" w:cs="楷体_GB2312"/>
          <w:sz w:val="32"/>
          <w:szCs w:val="32"/>
        </w:rPr>
        <w:t>工作。</w:t>
      </w:r>
      <w:r>
        <w:rPr>
          <w:rFonts w:hint="eastAsia" w:ascii="仿宋_GB2312" w:hAnsi="仿宋_GB2312" w:eastAsia="仿宋_GB2312" w:cs="仿宋_GB2312"/>
          <w:sz w:val="32"/>
          <w:szCs w:val="32"/>
        </w:rPr>
        <w:t>一是深入学习并坚决贯彻中共中央对台工作大政方针和决策部署，时刻关注对台工作形势和新问题，坚决反对台独。二是加强沟通联络，加强与在广台属台胞的联系联络，加强与台湾亲人的联系联络，积极为在广的台资项目、台资企业搞好服务，今年与市台联赴苍溪县联合开展“学党史、悟思想、办实事”主题活动，帮助台资企业采摘黄花，调研企业发展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年来，我们的工作取得了一定的成效，这是民革四川省委和中共广元市委坚强领导的结果，是市委统战部精心指导的结果，是全市广大民革党员共同奋斗的结果，饱含着大家的辛劳与付出。在此，我代表民革广元市委向关心支持广元民革的社会各界和全市民革党员表示衷心的感谢！但我们的工作与民革省委、中共市委的要求相比，还有一些薄弱环节。一是队伍建设亟待加强，队伍规模总量小，高层次人才、优秀代表人士较少；二是部分基层支部的组织活力和主体作用有待进一步提升；三是参政议政、政党协商质量水平有待提高，高质量的精品调研成果少；四是对外联系交流合作少，社会服务成效不显著。</w:t>
      </w:r>
    </w:p>
    <w:p>
      <w:pPr>
        <w:rPr>
          <w:rFonts w:hint="eastAsia" w:ascii="仿宋" w:eastAsia="仿宋" w:cs="仿宋"/>
          <w:i w:val="0"/>
          <w:iCs w:val="0"/>
          <w:caps w:val="0"/>
          <w:smallCaps w:val="0"/>
          <w:color w:val="555555"/>
          <w:spacing w:val="0"/>
          <w:sz w:val="31"/>
          <w:szCs w:val="31"/>
        </w:rPr>
      </w:pPr>
      <w:r>
        <w:rPr>
          <w:rFonts w:hint="eastAsia" w:ascii="仿宋" w:eastAsia="仿宋" w:cs="仿宋"/>
          <w:i w:val="0"/>
          <w:iCs w:val="0"/>
          <w:caps w:val="0"/>
          <w:smallCaps w:val="0"/>
          <w:color w:val="555555"/>
          <w:spacing w:val="0"/>
          <w:sz w:val="31"/>
          <w:szCs w:val="31"/>
        </w:rPr>
        <w:br w:type="page"/>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sz w:val="44"/>
          <w:szCs w:val="44"/>
        </w:rPr>
      </w:pPr>
      <w:bookmarkStart w:id="16" w:name="_Toc15396602"/>
      <w:bookmarkStart w:id="17" w:name="_Toc15377204"/>
      <w:r>
        <w:rPr>
          <w:rFonts w:hint="eastAsia" w:ascii="方正小标宋简体" w:hAnsi="方正小标宋简体" w:eastAsia="方正小标宋简体" w:cs="方正小标宋简体"/>
          <w:sz w:val="44"/>
          <w:szCs w:val="44"/>
        </w:rPr>
        <w:t xml:space="preserve">第二部分 </w:t>
      </w:r>
      <w:r>
        <w:rPr>
          <w:rFonts w:hint="eastAsia" w:ascii="方正小标宋简体" w:hAnsi="方正小标宋简体" w:eastAsia="方正小标宋简体" w:cs="方正小标宋简体"/>
          <w:sz w:val="44"/>
          <w:szCs w:val="44"/>
          <w:lang w:val="en-US" w:eastAsia="zh-CN"/>
        </w:rPr>
        <w:t xml:space="preserve"> 2021年单位</w:t>
      </w:r>
      <w:r>
        <w:rPr>
          <w:rFonts w:hint="eastAsia" w:ascii="方正小标宋简体" w:hAnsi="方正小标宋简体" w:eastAsia="方正小标宋简体" w:cs="方正小标宋简体"/>
          <w:sz w:val="44"/>
          <w:szCs w:val="44"/>
        </w:rPr>
        <w:t>决算情况说明</w:t>
      </w:r>
      <w:bookmarkEnd w:id="16"/>
      <w:bookmarkEnd w:id="17"/>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jc w:val="both"/>
        <w:textAlignment w:val="auto"/>
        <w:rPr>
          <w:rFonts w:hint="eastAsia" w:ascii="仿宋_GB2312" w:hAnsi="仿宋_GB2312" w:eastAsia="仿宋_GB2312" w:cs="仿宋_GB2312"/>
          <w:color w:val="auto"/>
          <w:sz w:val="32"/>
          <w:szCs w:val="32"/>
          <w:highlight w:val="none"/>
        </w:rPr>
      </w:pPr>
    </w:p>
    <w:p>
      <w:pPr>
        <w:pStyle w:val="23"/>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0" w:firstLineChars="200"/>
        <w:jc w:val="both"/>
        <w:textAlignment w:val="auto"/>
        <w:outlineLvl w:val="1"/>
        <w:rPr>
          <w:rStyle w:val="18"/>
          <w:rFonts w:hint="eastAsia" w:ascii="黑体" w:hAnsi="黑体" w:eastAsia="黑体" w:cs="黑体"/>
          <w:b w:val="0"/>
          <w:color w:val="auto"/>
          <w:sz w:val="32"/>
          <w:szCs w:val="32"/>
          <w:highlight w:val="none"/>
        </w:rPr>
      </w:pPr>
      <w:bookmarkStart w:id="18" w:name="_Toc15377205"/>
      <w:bookmarkStart w:id="19" w:name="_Toc15396603"/>
      <w:r>
        <w:rPr>
          <w:rFonts w:hint="eastAsia" w:ascii="黑体" w:hAnsi="黑体" w:eastAsia="黑体" w:cs="黑体"/>
          <w:color w:val="auto"/>
          <w:sz w:val="32"/>
          <w:szCs w:val="32"/>
          <w:highlight w:val="none"/>
          <w:lang w:eastAsia="zh-CN"/>
        </w:rPr>
        <w:t>一、</w:t>
      </w:r>
      <w:r>
        <w:rPr>
          <w:rFonts w:hint="eastAsia" w:ascii="黑体" w:hAnsi="黑体" w:eastAsia="黑体" w:cs="黑体"/>
          <w:color w:val="auto"/>
          <w:sz w:val="32"/>
          <w:szCs w:val="32"/>
          <w:highlight w:val="none"/>
        </w:rPr>
        <w:t>收</w:t>
      </w:r>
      <w:r>
        <w:rPr>
          <w:rStyle w:val="18"/>
          <w:rFonts w:hint="eastAsia" w:ascii="黑体" w:hAnsi="黑体" w:eastAsia="黑体" w:cs="黑体"/>
          <w:b w:val="0"/>
          <w:color w:val="auto"/>
          <w:sz w:val="32"/>
          <w:szCs w:val="32"/>
          <w:highlight w:val="none"/>
        </w:rPr>
        <w:t>入支出决算总体情况说明</w:t>
      </w:r>
      <w:bookmarkEnd w:id="18"/>
      <w:bookmarkEnd w:id="19"/>
    </w:p>
    <w:p>
      <w:pPr>
        <w:pStyle w:val="1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仿宋_GB2312" w:hAnsi="仿宋_GB2312" w:eastAsia="仿宋_GB2312" w:cs="仿宋_GB2312"/>
          <w:i w:val="0"/>
          <w:iCs w:val="0"/>
          <w:caps w:val="0"/>
          <w:smallCaps w:val="0"/>
          <w:color w:val="555555"/>
          <w:spacing w:val="0"/>
          <w:sz w:val="32"/>
          <w:szCs w:val="32"/>
        </w:rPr>
      </w:pPr>
      <w:r>
        <w:rPr>
          <w:rFonts w:hint="eastAsia" w:ascii="仿宋_GB2312" w:hAnsi="仿宋_GB2312" w:eastAsia="仿宋_GB2312" w:cs="仿宋_GB2312"/>
          <w:color w:val="auto"/>
          <w:sz w:val="32"/>
          <w:szCs w:val="32"/>
          <w:highlight w:val="none"/>
        </w:rPr>
        <w:t>20</w:t>
      </w:r>
      <w:r>
        <w:rPr>
          <w:rFonts w:hint="eastAsia" w:ascii="仿宋_GB2312" w:hAnsi="仿宋_GB2312" w:eastAsia="仿宋_GB2312" w:cs="仿宋_GB2312"/>
          <w:color w:val="auto"/>
          <w:sz w:val="32"/>
          <w:szCs w:val="32"/>
          <w:highlight w:val="none"/>
          <w:lang w:val="en-US" w:eastAsia="zh-CN"/>
        </w:rPr>
        <w:t>21</w:t>
      </w:r>
      <w:r>
        <w:rPr>
          <w:rFonts w:hint="eastAsia" w:ascii="仿宋_GB2312" w:hAnsi="仿宋_GB2312" w:eastAsia="仿宋_GB2312" w:cs="仿宋_GB2312"/>
          <w:color w:val="auto"/>
          <w:sz w:val="32"/>
          <w:szCs w:val="32"/>
          <w:highlight w:val="none"/>
        </w:rPr>
        <w:t>年度收、支总计</w:t>
      </w:r>
      <w:r>
        <w:rPr>
          <w:rFonts w:hint="eastAsia" w:ascii="仿宋_GB2312" w:hAnsi="仿宋_GB2312" w:eastAsia="仿宋_GB2312" w:cs="仿宋_GB2312"/>
          <w:i w:val="0"/>
          <w:iCs w:val="0"/>
          <w:caps w:val="0"/>
          <w:smallCaps w:val="0"/>
          <w:color w:val="555555"/>
          <w:spacing w:val="0"/>
          <w:sz w:val="32"/>
          <w:szCs w:val="32"/>
        </w:rPr>
        <w:t>90.</w:t>
      </w:r>
      <w:r>
        <w:rPr>
          <w:rFonts w:hint="eastAsia" w:ascii="仿宋_GB2312" w:hAnsi="仿宋_GB2312" w:eastAsia="仿宋_GB2312" w:cs="仿宋_GB2312"/>
          <w:i w:val="0"/>
          <w:iCs w:val="0"/>
          <w:caps w:val="0"/>
          <w:smallCaps w:val="0"/>
          <w:color w:val="555555"/>
          <w:spacing w:val="0"/>
          <w:sz w:val="32"/>
          <w:szCs w:val="32"/>
          <w:lang w:val="en-US" w:eastAsia="zh-CN"/>
        </w:rPr>
        <w:t>56</w:t>
      </w:r>
      <w:bookmarkStart w:id="43" w:name="_GoBack"/>
      <w:bookmarkEnd w:id="43"/>
      <w:r>
        <w:rPr>
          <w:rFonts w:hint="eastAsia" w:ascii="仿宋_GB2312" w:hAnsi="仿宋_GB2312" w:eastAsia="仿宋_GB2312" w:cs="仿宋_GB2312"/>
          <w:color w:val="auto"/>
          <w:sz w:val="32"/>
          <w:szCs w:val="32"/>
          <w:highlight w:val="none"/>
        </w:rPr>
        <w:t>万元。与20</w:t>
      </w:r>
      <w:r>
        <w:rPr>
          <w:rFonts w:hint="eastAsia" w:ascii="仿宋_GB2312" w:hAnsi="仿宋_GB2312" w:eastAsia="仿宋_GB2312" w:cs="仿宋_GB2312"/>
          <w:color w:val="auto"/>
          <w:sz w:val="32"/>
          <w:szCs w:val="32"/>
          <w:highlight w:val="none"/>
          <w:lang w:val="en-US" w:eastAsia="zh-CN"/>
        </w:rPr>
        <w:t>20</w:t>
      </w:r>
      <w:r>
        <w:rPr>
          <w:rFonts w:hint="eastAsia" w:ascii="仿宋_GB2312" w:hAnsi="仿宋_GB2312" w:eastAsia="仿宋_GB2312" w:cs="仿宋_GB2312"/>
          <w:color w:val="auto"/>
          <w:sz w:val="32"/>
          <w:szCs w:val="32"/>
          <w:highlight w:val="none"/>
        </w:rPr>
        <w:t>年相比，收、支总计各</w:t>
      </w:r>
      <w:r>
        <w:rPr>
          <w:rFonts w:hint="eastAsia" w:ascii="仿宋_GB2312" w:hAnsi="仿宋_GB2312" w:eastAsia="仿宋_GB2312" w:cs="仿宋_GB2312"/>
          <w:i w:val="0"/>
          <w:iCs w:val="0"/>
          <w:caps w:val="0"/>
          <w:smallCaps w:val="0"/>
          <w:color w:val="555555"/>
          <w:spacing w:val="0"/>
          <w:sz w:val="32"/>
          <w:szCs w:val="32"/>
        </w:rPr>
        <w:t>增加6.97</w:t>
      </w:r>
      <w:r>
        <w:rPr>
          <w:rFonts w:hint="eastAsia" w:ascii="仿宋_GB2312" w:hAnsi="仿宋_GB2312" w:eastAsia="仿宋_GB2312" w:cs="仿宋_GB2312"/>
          <w:color w:val="auto"/>
          <w:sz w:val="32"/>
          <w:szCs w:val="32"/>
          <w:highlight w:val="none"/>
        </w:rPr>
        <w:t>万元，</w:t>
      </w:r>
      <w:r>
        <w:rPr>
          <w:rFonts w:hint="eastAsia" w:ascii="仿宋_GB2312" w:hAnsi="仿宋_GB2312" w:eastAsia="仿宋_GB2312" w:cs="仿宋_GB2312"/>
          <w:i w:val="0"/>
          <w:iCs w:val="0"/>
          <w:caps w:val="0"/>
          <w:smallCaps w:val="0"/>
          <w:color w:val="555555"/>
          <w:spacing w:val="0"/>
          <w:sz w:val="32"/>
          <w:szCs w:val="32"/>
        </w:rPr>
        <w:t>增长8.33%。主要变动原因是2021年是换届年，增加了换届经费。</w:t>
      </w:r>
    </w:p>
    <w:p>
      <w:pPr>
        <w:pStyle w:val="2"/>
        <w:rPr>
          <w:rFonts w:hint="eastAsia"/>
        </w:rPr>
      </w:pPr>
      <w:r>
        <w:rPr>
          <w:rFonts w:hint="eastAsia" w:ascii="仿宋_GB2312" w:hAnsi="仿宋_GB2312" w:eastAsia="仿宋_GB2312" w:cs="仿宋_GB2312"/>
          <w:i w:val="0"/>
          <w:iCs w:val="0"/>
          <w:caps w:val="0"/>
          <w:smallCaps w:val="0"/>
          <w:color w:val="555555"/>
          <w:spacing w:val="0"/>
          <w:sz w:val="32"/>
          <w:szCs w:val="32"/>
        </w:rPr>
        <w:drawing>
          <wp:inline distT="0" distB="0" distL="114300" distR="114300">
            <wp:extent cx="5598795" cy="2211070"/>
            <wp:effectExtent l="0" t="0" r="1905" b="0"/>
            <wp:docPr id="1" name="图片 1" descr="2022093016002303.png"/>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 name="图片 1" descr="2022093016002303.png"/>
                    <pic:cNvPicPr>
                      <a:picLocks noChangeAspect="true"/>
                    </pic:cNvPicPr>
                  </pic:nvPicPr>
                  <pic:blipFill>
                    <a:blip r:embed="rId7"/>
                    <a:stretch>
                      <a:fillRect/>
                    </a:stretch>
                  </pic:blipFill>
                  <pic:spPr>
                    <a:xfrm>
                      <a:off x="0" y="0"/>
                      <a:ext cx="5598795" cy="2211070"/>
                    </a:xfrm>
                    <a:prstGeom prst="rect">
                      <a:avLst/>
                    </a:prstGeom>
                    <a:noFill/>
                    <a:ln w="9525" cap="flat" cmpd="sng">
                      <a:noFill/>
                      <a:prstDash val="solid"/>
                      <a:round/>
                    </a:ln>
                  </pic:spPr>
                </pic:pic>
              </a:graphicData>
            </a:graphic>
          </wp:inline>
        </w:drawing>
      </w:r>
    </w:p>
    <w:p>
      <w:pPr>
        <w:pStyle w:val="1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smallCaps w:val="0"/>
          <w:color w:val="555555"/>
          <w:spacing w:val="0"/>
          <w:sz w:val="32"/>
          <w:szCs w:val="32"/>
        </w:rPr>
        <w:t>（图1：收、支决算总计变动情况图）</w:t>
      </w:r>
    </w:p>
    <w:p>
      <w:pPr>
        <w:pStyle w:val="23"/>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0" w:firstLineChars="200"/>
        <w:jc w:val="both"/>
        <w:textAlignment w:val="auto"/>
        <w:outlineLvl w:val="1"/>
        <w:rPr>
          <w:rFonts w:hint="eastAsia" w:ascii="黑体" w:hAnsi="黑体" w:eastAsia="黑体" w:cs="黑体"/>
          <w:color w:val="auto"/>
          <w:sz w:val="32"/>
          <w:szCs w:val="32"/>
          <w:highlight w:val="none"/>
          <w:lang w:eastAsia="zh-CN"/>
        </w:rPr>
      </w:pPr>
      <w:bookmarkStart w:id="20" w:name="_Toc15377206"/>
      <w:bookmarkStart w:id="21" w:name="_Toc15396604"/>
      <w:r>
        <w:rPr>
          <w:rFonts w:hint="eastAsia" w:ascii="黑体" w:hAnsi="黑体" w:eastAsia="黑体" w:cs="黑体"/>
          <w:color w:val="auto"/>
          <w:sz w:val="32"/>
          <w:szCs w:val="32"/>
          <w:highlight w:val="none"/>
          <w:lang w:eastAsia="zh-CN"/>
        </w:rPr>
        <w:t>二、收入决算情况说明</w:t>
      </w:r>
      <w:bookmarkEnd w:id="20"/>
      <w:bookmarkEnd w:id="21"/>
    </w:p>
    <w:p>
      <w:pPr>
        <w:pStyle w:val="1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i w:val="0"/>
          <w:iCs w:val="0"/>
          <w:caps w:val="0"/>
          <w:smallCaps w:val="0"/>
          <w:color w:val="555555"/>
          <w:spacing w:val="0"/>
          <w:sz w:val="32"/>
          <w:szCs w:val="32"/>
        </w:rPr>
        <w:drawing>
          <wp:anchor distT="0" distB="0" distL="114300" distR="114300" simplePos="0" relativeHeight="251659264" behindDoc="0" locked="0" layoutInCell="1" allowOverlap="1">
            <wp:simplePos x="0" y="0"/>
            <wp:positionH relativeFrom="column">
              <wp:posOffset>1901825</wp:posOffset>
            </wp:positionH>
            <wp:positionV relativeFrom="paragraph">
              <wp:posOffset>63500</wp:posOffset>
            </wp:positionV>
            <wp:extent cx="3553460" cy="2117725"/>
            <wp:effectExtent l="0" t="0" r="8890" b="0"/>
            <wp:wrapSquare wrapText="bothSides"/>
            <wp:docPr id="4" name="图片 2" descr="2022093016002309.png"/>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4" name="图片 2" descr="2022093016002309.png"/>
                    <pic:cNvPicPr>
                      <a:picLocks noChangeAspect="true"/>
                    </pic:cNvPicPr>
                  </pic:nvPicPr>
                  <pic:blipFill>
                    <a:blip r:embed="rId8"/>
                    <a:stretch>
                      <a:fillRect/>
                    </a:stretch>
                  </pic:blipFill>
                  <pic:spPr>
                    <a:xfrm>
                      <a:off x="0" y="0"/>
                      <a:ext cx="3553460" cy="2117725"/>
                    </a:xfrm>
                    <a:prstGeom prst="rect">
                      <a:avLst/>
                    </a:prstGeom>
                    <a:noFill/>
                    <a:ln w="9525" cap="flat" cmpd="sng">
                      <a:noFill/>
                      <a:prstDash val="solid"/>
                      <a:round/>
                    </a:ln>
                  </pic:spPr>
                </pic:pic>
              </a:graphicData>
            </a:graphic>
          </wp:anchor>
        </w:drawing>
      </w:r>
      <w:r>
        <w:rPr>
          <w:rFonts w:hint="eastAsia" w:ascii="仿宋_GB2312" w:hAnsi="仿宋_GB2312" w:eastAsia="仿宋_GB2312" w:cs="仿宋_GB2312"/>
          <w:i w:val="0"/>
          <w:iCs w:val="0"/>
          <w:caps w:val="0"/>
          <w:smallCaps w:val="0"/>
          <w:color w:val="555555"/>
          <w:spacing w:val="0"/>
          <w:sz w:val="32"/>
          <w:szCs w:val="32"/>
        </w:rPr>
        <w:t>2021年本年收入合计90.09万元，其中：一般公共预算财政拨款收入90.08万元，占99.99%；其他收入0.01万元，占0.01%。</w:t>
      </w:r>
      <w:r>
        <w:rPr>
          <w:rFonts w:hint="eastAsia" w:ascii="仿宋_GB2312" w:hAnsi="仿宋_GB2312" w:eastAsia="仿宋_GB2312" w:cs="仿宋_GB2312"/>
          <w:i w:val="0"/>
          <w:iCs w:val="0"/>
          <w:caps w:val="0"/>
          <w:smallCaps w:val="0"/>
          <w:color w:val="555555"/>
          <w:spacing w:val="0"/>
          <w:sz w:val="32"/>
          <w:szCs w:val="32"/>
          <w:lang w:val="en-US" w:eastAsia="zh-CN"/>
        </w:rPr>
        <w:t xml:space="preserve">         </w:t>
      </w:r>
      <w:r>
        <w:rPr>
          <w:rFonts w:hint="eastAsia" w:ascii="仿宋_GB2312" w:hAnsi="仿宋_GB2312" w:eastAsia="仿宋_GB2312" w:cs="仿宋_GB2312"/>
          <w:color w:val="auto"/>
          <w:sz w:val="32"/>
          <w:szCs w:val="32"/>
          <w:highlight w:val="none"/>
        </w:rPr>
        <w:t>（图2：收入决算结构图）（饼状图）</w:t>
      </w:r>
    </w:p>
    <w:p>
      <w:pPr>
        <w:pStyle w:val="23"/>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0" w:firstLineChars="200"/>
        <w:jc w:val="both"/>
        <w:textAlignment w:val="auto"/>
        <w:outlineLvl w:val="1"/>
        <w:rPr>
          <w:rStyle w:val="18"/>
          <w:rFonts w:hint="eastAsia" w:ascii="黑体" w:hAnsi="黑体" w:eastAsia="黑体" w:cs="黑体"/>
          <w:b w:val="0"/>
          <w:color w:val="auto"/>
          <w:sz w:val="32"/>
          <w:szCs w:val="32"/>
          <w:highlight w:val="none"/>
        </w:rPr>
      </w:pPr>
      <w:bookmarkStart w:id="22" w:name="_Toc15377207"/>
      <w:bookmarkStart w:id="23" w:name="_Toc15396605"/>
      <w:r>
        <w:rPr>
          <w:rFonts w:hint="eastAsia" w:ascii="黑体" w:hAnsi="黑体" w:eastAsia="黑体" w:cs="黑体"/>
          <w:color w:val="auto"/>
          <w:sz w:val="32"/>
          <w:szCs w:val="32"/>
          <w:highlight w:val="none"/>
          <w:lang w:eastAsia="zh-CN"/>
        </w:rPr>
        <w:t>三、</w:t>
      </w:r>
      <w:r>
        <w:rPr>
          <w:rFonts w:hint="eastAsia" w:ascii="黑体" w:hAnsi="黑体" w:eastAsia="黑体" w:cs="黑体"/>
          <w:color w:val="auto"/>
          <w:sz w:val="32"/>
          <w:szCs w:val="32"/>
          <w:highlight w:val="none"/>
        </w:rPr>
        <w:t>支</w:t>
      </w:r>
      <w:r>
        <w:rPr>
          <w:rStyle w:val="18"/>
          <w:rFonts w:hint="eastAsia" w:ascii="黑体" w:hAnsi="黑体" w:eastAsia="黑体" w:cs="黑体"/>
          <w:b w:val="0"/>
          <w:color w:val="auto"/>
          <w:sz w:val="32"/>
          <w:szCs w:val="32"/>
          <w:highlight w:val="none"/>
        </w:rPr>
        <w:t>出决算情况说明</w:t>
      </w:r>
      <w:bookmarkEnd w:id="22"/>
      <w:bookmarkEnd w:id="23"/>
    </w:p>
    <w:p>
      <w:pPr>
        <w:pStyle w:val="1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smallCaps w:val="0"/>
          <w:color w:val="555555"/>
          <w:spacing w:val="0"/>
          <w:sz w:val="32"/>
          <w:szCs w:val="32"/>
        </w:rPr>
        <w:drawing>
          <wp:anchor distT="0" distB="0" distL="114300" distR="114300" simplePos="0" relativeHeight="251660288" behindDoc="0" locked="0" layoutInCell="1" allowOverlap="1">
            <wp:simplePos x="0" y="0"/>
            <wp:positionH relativeFrom="column">
              <wp:posOffset>1439545</wp:posOffset>
            </wp:positionH>
            <wp:positionV relativeFrom="paragraph">
              <wp:posOffset>160655</wp:posOffset>
            </wp:positionV>
            <wp:extent cx="4191000" cy="2676525"/>
            <wp:effectExtent l="0" t="0" r="31" b="41"/>
            <wp:wrapSquare wrapText="bothSides"/>
            <wp:docPr id="7" name="图片 3" descr="2022093016002407.png"/>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7" name="图片 3" descr="2022093016002407.png"/>
                    <pic:cNvPicPr>
                      <a:picLocks noChangeAspect="true"/>
                    </pic:cNvPicPr>
                  </pic:nvPicPr>
                  <pic:blipFill>
                    <a:blip r:embed="rId9"/>
                    <a:stretch>
                      <a:fillRect/>
                    </a:stretch>
                  </pic:blipFill>
                  <pic:spPr>
                    <a:xfrm>
                      <a:off x="0" y="0"/>
                      <a:ext cx="4191000" cy="2676525"/>
                    </a:xfrm>
                    <a:prstGeom prst="rect">
                      <a:avLst/>
                    </a:prstGeom>
                    <a:noFill/>
                    <a:ln w="9525" cap="flat" cmpd="sng">
                      <a:noFill/>
                      <a:prstDash val="solid"/>
                      <a:round/>
                    </a:ln>
                  </pic:spPr>
                </pic:pic>
              </a:graphicData>
            </a:graphic>
          </wp:anchor>
        </w:drawing>
      </w:r>
      <w:r>
        <w:rPr>
          <w:rFonts w:hint="eastAsia" w:ascii="仿宋_GB2312" w:hAnsi="仿宋_GB2312" w:eastAsia="仿宋_GB2312" w:cs="仿宋_GB2312"/>
          <w:i w:val="0"/>
          <w:iCs w:val="0"/>
          <w:caps w:val="0"/>
          <w:smallCaps w:val="0"/>
          <w:color w:val="555555"/>
          <w:spacing w:val="0"/>
          <w:sz w:val="32"/>
          <w:szCs w:val="32"/>
        </w:rPr>
        <w:t>2021年本年支出合计90.26万元，其中：基本支出70.36万元，占77.95%；项目支出19.9万元，占22.05%。</w:t>
      </w:r>
    </w:p>
    <w:p>
      <w:pPr>
        <w:pStyle w:val="1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ind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smallCaps w:val="0"/>
          <w:color w:val="555555"/>
          <w:spacing w:val="0"/>
          <w:sz w:val="32"/>
          <w:szCs w:val="32"/>
        </w:rPr>
        <w:t>（图3：支出决算结构图）</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jc w:val="both"/>
        <w:textAlignment w:val="auto"/>
        <w:outlineLvl w:val="1"/>
        <w:rPr>
          <w:rStyle w:val="18"/>
          <w:rFonts w:hint="eastAsia" w:ascii="黑体" w:hAnsi="黑体" w:eastAsia="黑体" w:cs="黑体"/>
          <w:b w:val="0"/>
          <w:color w:val="auto"/>
          <w:sz w:val="32"/>
          <w:szCs w:val="32"/>
          <w:highlight w:val="none"/>
        </w:rPr>
      </w:pPr>
      <w:bookmarkStart w:id="24" w:name="_Toc15377208"/>
      <w:bookmarkStart w:id="25" w:name="_Toc15396606"/>
      <w:r>
        <w:rPr>
          <w:rFonts w:hint="eastAsia" w:ascii="黑体" w:hAnsi="黑体" w:eastAsia="黑体" w:cs="黑体"/>
          <w:color w:val="auto"/>
          <w:sz w:val="32"/>
          <w:szCs w:val="32"/>
          <w:highlight w:val="none"/>
        </w:rPr>
        <w:t>四、财</w:t>
      </w:r>
      <w:r>
        <w:rPr>
          <w:rStyle w:val="18"/>
          <w:rFonts w:hint="eastAsia" w:ascii="黑体" w:hAnsi="黑体" w:eastAsia="黑体" w:cs="黑体"/>
          <w:b w:val="0"/>
          <w:color w:val="auto"/>
          <w:sz w:val="32"/>
          <w:szCs w:val="32"/>
          <w:highlight w:val="none"/>
        </w:rPr>
        <w:t>政拨款收入支出决算总体情况说明</w:t>
      </w:r>
      <w:bookmarkEnd w:id="24"/>
      <w:bookmarkEnd w:id="25"/>
    </w:p>
    <w:p>
      <w:pPr>
        <w:pStyle w:val="1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smallCaps w:val="0"/>
          <w:color w:val="555555"/>
          <w:spacing w:val="0"/>
          <w:sz w:val="32"/>
          <w:szCs w:val="32"/>
        </w:rPr>
        <w:t>2021年财政拨款收、支</w:t>
      </w:r>
      <w:r>
        <w:rPr>
          <w:rFonts w:hint="eastAsia" w:ascii="仿宋_GB2312" w:hAnsi="仿宋_GB2312" w:eastAsia="仿宋_GB2312" w:cs="仿宋_GB2312"/>
          <w:i w:val="0"/>
          <w:iCs w:val="0"/>
          <w:caps w:val="0"/>
          <w:smallCaps w:val="0"/>
          <w:color w:val="000000"/>
          <w:spacing w:val="0"/>
          <w:sz w:val="32"/>
          <w:szCs w:val="32"/>
        </w:rPr>
        <w:t>总计90.54万元。与2020年相比，收入增加6.95万元，增长8.31%。</w:t>
      </w:r>
      <w:r>
        <w:rPr>
          <w:rFonts w:hint="eastAsia" w:ascii="仿宋_GB2312" w:hAnsi="仿宋_GB2312" w:eastAsia="仿宋_GB2312" w:cs="仿宋_GB2312"/>
          <w:i w:val="0"/>
          <w:iCs w:val="0"/>
          <w:caps w:val="0"/>
          <w:smallCaps w:val="0"/>
          <w:color w:val="555555"/>
          <w:spacing w:val="0"/>
          <w:sz w:val="32"/>
          <w:szCs w:val="32"/>
        </w:rPr>
        <w:t>主要变动原因是2021年是换届年，增加了换届经费。</w:t>
      </w:r>
    </w:p>
    <w:p>
      <w:pPr>
        <w:pStyle w:val="1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smallCaps w:val="0"/>
          <w:color w:val="555555"/>
          <w:spacing w:val="0"/>
          <w:sz w:val="32"/>
          <w:szCs w:val="32"/>
        </w:rPr>
        <w:drawing>
          <wp:inline distT="0" distB="0" distL="114300" distR="114300">
            <wp:extent cx="4686935" cy="2124075"/>
            <wp:effectExtent l="0" t="0" r="18415" b="0"/>
            <wp:docPr id="10" name="图片 4" descr="2022093016002406.png"/>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0" name="图片 4" descr="2022093016002406.png"/>
                    <pic:cNvPicPr>
                      <a:picLocks noChangeAspect="true"/>
                    </pic:cNvPicPr>
                  </pic:nvPicPr>
                  <pic:blipFill>
                    <a:blip r:embed="rId10"/>
                    <a:stretch>
                      <a:fillRect/>
                    </a:stretch>
                  </pic:blipFill>
                  <pic:spPr>
                    <a:xfrm>
                      <a:off x="0" y="0"/>
                      <a:ext cx="4686935" cy="2124075"/>
                    </a:xfrm>
                    <a:prstGeom prst="rect">
                      <a:avLst/>
                    </a:prstGeom>
                    <a:noFill/>
                    <a:ln w="9525" cap="flat" cmpd="sng">
                      <a:noFill/>
                      <a:prstDash val="solid"/>
                      <a:round/>
                    </a:ln>
                  </pic:spPr>
                </pic:pic>
              </a:graphicData>
            </a:graphic>
          </wp:inline>
        </w:drawing>
      </w:r>
    </w:p>
    <w:p>
      <w:pPr>
        <w:pStyle w:val="1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ind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smallCaps w:val="0"/>
          <w:color w:val="555555"/>
          <w:spacing w:val="0"/>
          <w:sz w:val="32"/>
          <w:szCs w:val="32"/>
        </w:rPr>
        <w:t>（图4：财政拨款收、支决算总计变动情况）</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jc w:val="both"/>
        <w:textAlignment w:val="auto"/>
        <w:outlineLvl w:val="1"/>
        <w:rPr>
          <w:rStyle w:val="18"/>
          <w:rFonts w:hint="eastAsia" w:ascii="黑体" w:hAnsi="黑体" w:eastAsia="黑体" w:cs="黑体"/>
          <w:b w:val="0"/>
          <w:color w:val="auto"/>
          <w:sz w:val="32"/>
          <w:szCs w:val="32"/>
          <w:highlight w:val="none"/>
        </w:rPr>
      </w:pPr>
      <w:bookmarkStart w:id="26" w:name="_Toc15396607"/>
      <w:bookmarkStart w:id="27" w:name="_Toc15377209"/>
      <w:r>
        <w:rPr>
          <w:rFonts w:hint="eastAsia" w:ascii="黑体" w:hAnsi="黑体" w:eastAsia="黑体" w:cs="黑体"/>
          <w:color w:val="auto"/>
          <w:sz w:val="32"/>
          <w:szCs w:val="32"/>
          <w:highlight w:val="none"/>
        </w:rPr>
        <w:t>五、</w:t>
      </w:r>
      <w:r>
        <w:rPr>
          <w:rFonts w:hint="eastAsia" w:ascii="黑体" w:hAnsi="黑体" w:eastAsia="黑体" w:cs="黑体"/>
          <w:b/>
          <w:color w:val="auto"/>
          <w:sz w:val="32"/>
          <w:szCs w:val="32"/>
          <w:highlight w:val="none"/>
        </w:rPr>
        <w:t>一</w:t>
      </w:r>
      <w:r>
        <w:rPr>
          <w:rStyle w:val="18"/>
          <w:rFonts w:hint="eastAsia" w:ascii="黑体" w:hAnsi="黑体" w:eastAsia="黑体" w:cs="黑体"/>
          <w:b w:val="0"/>
          <w:color w:val="auto"/>
          <w:sz w:val="32"/>
          <w:szCs w:val="32"/>
          <w:highlight w:val="none"/>
        </w:rPr>
        <w:t>般公共预算财政拨款支出决算情况说明</w:t>
      </w:r>
      <w:bookmarkEnd w:id="26"/>
      <w:bookmarkEnd w:id="27"/>
    </w:p>
    <w:p>
      <w:pPr>
        <w:pStyle w:val="1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楷体_GB2312" w:hAnsi="楷体_GB2312" w:eastAsia="楷体_GB2312" w:cs="楷体_GB2312"/>
          <w:b w:val="0"/>
          <w:bCs/>
          <w:sz w:val="32"/>
          <w:szCs w:val="32"/>
        </w:rPr>
      </w:pPr>
      <w:r>
        <w:rPr>
          <w:rStyle w:val="15"/>
          <w:rFonts w:hint="eastAsia" w:ascii="楷体_GB2312" w:hAnsi="楷体_GB2312" w:eastAsia="楷体_GB2312" w:cs="楷体_GB2312"/>
          <w:b w:val="0"/>
          <w:bCs/>
          <w:i w:val="0"/>
          <w:iCs w:val="0"/>
          <w:caps w:val="0"/>
          <w:smallCaps w:val="0"/>
          <w:color w:val="555555"/>
          <w:spacing w:val="0"/>
          <w:sz w:val="32"/>
          <w:szCs w:val="32"/>
        </w:rPr>
        <w:t>（一）一般公共预算财政拨款支出决算总体情况</w:t>
      </w:r>
    </w:p>
    <w:p>
      <w:pPr>
        <w:pStyle w:val="1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smallCaps w:val="0"/>
          <w:color w:val="555555"/>
          <w:spacing w:val="0"/>
          <w:sz w:val="32"/>
          <w:szCs w:val="32"/>
        </w:rPr>
        <w:drawing>
          <wp:anchor distT="0" distB="0" distL="114300" distR="114300" simplePos="0" relativeHeight="251661312" behindDoc="0" locked="0" layoutInCell="1" allowOverlap="1">
            <wp:simplePos x="0" y="0"/>
            <wp:positionH relativeFrom="column">
              <wp:posOffset>1368425</wp:posOffset>
            </wp:positionH>
            <wp:positionV relativeFrom="paragraph">
              <wp:posOffset>856615</wp:posOffset>
            </wp:positionV>
            <wp:extent cx="4246245" cy="2058035"/>
            <wp:effectExtent l="0" t="0" r="1905" b="0"/>
            <wp:wrapSquare wrapText="bothSides"/>
            <wp:docPr id="13" name="图片 5" descr="2022093016002403.png"/>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3" name="图片 5" descr="2022093016002403.png"/>
                    <pic:cNvPicPr>
                      <a:picLocks noChangeAspect="true"/>
                    </pic:cNvPicPr>
                  </pic:nvPicPr>
                  <pic:blipFill>
                    <a:blip r:embed="rId11"/>
                    <a:stretch>
                      <a:fillRect/>
                    </a:stretch>
                  </pic:blipFill>
                  <pic:spPr>
                    <a:xfrm>
                      <a:off x="0" y="0"/>
                      <a:ext cx="4246245" cy="2058035"/>
                    </a:xfrm>
                    <a:prstGeom prst="rect">
                      <a:avLst/>
                    </a:prstGeom>
                    <a:noFill/>
                    <a:ln w="9525" cap="flat" cmpd="sng">
                      <a:noFill/>
                      <a:prstDash val="solid"/>
                      <a:round/>
                    </a:ln>
                  </pic:spPr>
                </pic:pic>
              </a:graphicData>
            </a:graphic>
          </wp:anchor>
        </w:drawing>
      </w:r>
      <w:r>
        <w:rPr>
          <w:rFonts w:hint="eastAsia" w:ascii="仿宋_GB2312" w:hAnsi="仿宋_GB2312" w:eastAsia="仿宋_GB2312" w:cs="仿宋_GB2312"/>
          <w:i w:val="0"/>
          <w:iCs w:val="0"/>
          <w:caps w:val="0"/>
          <w:smallCaps w:val="0"/>
          <w:color w:val="555555"/>
          <w:spacing w:val="0"/>
          <w:sz w:val="32"/>
          <w:szCs w:val="32"/>
        </w:rPr>
        <w:t>2021年一般公共预算财政拨款支出90.24万元，占本年支出合计的99.98%。与2020年相比，一般公共预算财政拨款支出增加7.64万元，增长9.25%。主要变动原因是2021年是换届年，增加了换届经费。</w:t>
      </w:r>
    </w:p>
    <w:p>
      <w:pPr>
        <w:pStyle w:val="1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ind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smallCaps w:val="0"/>
          <w:color w:val="555555"/>
          <w:spacing w:val="0"/>
          <w:sz w:val="32"/>
          <w:szCs w:val="32"/>
        </w:rPr>
        <w:t>（图5：一般公共预算财政拨款支出决算变动情况）</w:t>
      </w:r>
    </w:p>
    <w:p>
      <w:pPr>
        <w:pStyle w:val="1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Style w:val="15"/>
          <w:rFonts w:hint="eastAsia" w:ascii="楷体_GB2312" w:hAnsi="楷体_GB2312" w:eastAsia="楷体_GB2312" w:cs="楷体_GB2312"/>
          <w:b w:val="0"/>
          <w:bCs/>
          <w:i w:val="0"/>
          <w:iCs w:val="0"/>
          <w:caps w:val="0"/>
          <w:smallCaps w:val="0"/>
          <w:color w:val="555555"/>
          <w:spacing w:val="0"/>
          <w:sz w:val="32"/>
          <w:szCs w:val="32"/>
        </w:rPr>
      </w:pPr>
      <w:bookmarkStart w:id="28" w:name="_Toc15377211"/>
      <w:r>
        <w:rPr>
          <w:rStyle w:val="15"/>
          <w:rFonts w:hint="eastAsia" w:ascii="楷体_GB2312" w:hAnsi="楷体_GB2312" w:eastAsia="楷体_GB2312" w:cs="楷体_GB2312"/>
          <w:b w:val="0"/>
          <w:bCs/>
          <w:i w:val="0"/>
          <w:iCs w:val="0"/>
          <w:caps w:val="0"/>
          <w:smallCaps w:val="0"/>
          <w:color w:val="555555"/>
          <w:spacing w:val="0"/>
          <w:sz w:val="32"/>
          <w:szCs w:val="32"/>
        </w:rPr>
        <w:t>（二）一般公共预算财政拨款支出决算结构情况</w:t>
      </w:r>
      <w:bookmarkEnd w:id="28"/>
    </w:p>
    <w:p>
      <w:pPr>
        <w:pStyle w:val="1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smallCaps w:val="0"/>
          <w:color w:val="555555"/>
          <w:spacing w:val="0"/>
          <w:sz w:val="32"/>
          <w:szCs w:val="32"/>
        </w:rPr>
        <w:drawing>
          <wp:anchor distT="0" distB="0" distL="114300" distR="114300" simplePos="0" relativeHeight="251662336" behindDoc="0" locked="0" layoutInCell="1" allowOverlap="1">
            <wp:simplePos x="0" y="0"/>
            <wp:positionH relativeFrom="column">
              <wp:posOffset>2252980</wp:posOffset>
            </wp:positionH>
            <wp:positionV relativeFrom="paragraph">
              <wp:posOffset>483870</wp:posOffset>
            </wp:positionV>
            <wp:extent cx="3199130" cy="2229485"/>
            <wp:effectExtent l="0" t="0" r="1270" b="18415"/>
            <wp:wrapSquare wrapText="bothSides"/>
            <wp:docPr id="16" name="图片 6" descr="2022093016003709.png"/>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6" name="图片 6" descr="2022093016003709.png"/>
                    <pic:cNvPicPr>
                      <a:picLocks noChangeAspect="true"/>
                    </pic:cNvPicPr>
                  </pic:nvPicPr>
                  <pic:blipFill>
                    <a:blip r:embed="rId12"/>
                    <a:stretch>
                      <a:fillRect/>
                    </a:stretch>
                  </pic:blipFill>
                  <pic:spPr>
                    <a:xfrm>
                      <a:off x="0" y="0"/>
                      <a:ext cx="3199130" cy="2229485"/>
                    </a:xfrm>
                    <a:prstGeom prst="rect">
                      <a:avLst/>
                    </a:prstGeom>
                    <a:noFill/>
                    <a:ln w="9525" cap="flat" cmpd="sng">
                      <a:noFill/>
                      <a:prstDash val="solid"/>
                      <a:round/>
                    </a:ln>
                  </pic:spPr>
                </pic:pic>
              </a:graphicData>
            </a:graphic>
          </wp:anchor>
        </w:drawing>
      </w:r>
      <w:r>
        <w:rPr>
          <w:rFonts w:hint="eastAsia" w:ascii="仿宋_GB2312" w:hAnsi="仿宋_GB2312" w:eastAsia="仿宋_GB2312" w:cs="仿宋_GB2312"/>
          <w:i w:val="0"/>
          <w:iCs w:val="0"/>
          <w:caps w:val="0"/>
          <w:smallCaps w:val="0"/>
          <w:color w:val="555555"/>
          <w:spacing w:val="0"/>
          <w:sz w:val="32"/>
          <w:szCs w:val="32"/>
        </w:rPr>
        <w:t>2021年一般公共预算财政拨款支出90.24万元，主要用于以下方面:</w:t>
      </w:r>
      <w:r>
        <w:rPr>
          <w:rStyle w:val="15"/>
          <w:rFonts w:hint="eastAsia" w:ascii="仿宋_GB2312" w:hAnsi="仿宋_GB2312" w:eastAsia="仿宋_GB2312" w:cs="仿宋_GB2312"/>
          <w:i w:val="0"/>
          <w:iCs w:val="0"/>
          <w:caps w:val="0"/>
          <w:smallCaps w:val="0"/>
          <w:color w:val="555555"/>
          <w:spacing w:val="0"/>
          <w:sz w:val="32"/>
          <w:szCs w:val="32"/>
        </w:rPr>
        <w:t>一般公共服务（类）</w:t>
      </w:r>
      <w:r>
        <w:rPr>
          <w:rFonts w:hint="eastAsia" w:ascii="仿宋_GB2312" w:hAnsi="仿宋_GB2312" w:eastAsia="仿宋_GB2312" w:cs="仿宋_GB2312"/>
          <w:i w:val="0"/>
          <w:iCs w:val="0"/>
          <w:caps w:val="0"/>
          <w:smallCaps w:val="0"/>
          <w:color w:val="555555"/>
          <w:spacing w:val="0"/>
          <w:sz w:val="32"/>
          <w:szCs w:val="32"/>
        </w:rPr>
        <w:t>支出74.27万元，占82.3%；</w:t>
      </w:r>
      <w:r>
        <w:rPr>
          <w:rStyle w:val="15"/>
          <w:rFonts w:hint="eastAsia" w:ascii="仿宋_GB2312" w:hAnsi="仿宋_GB2312" w:eastAsia="仿宋_GB2312" w:cs="仿宋_GB2312"/>
          <w:i w:val="0"/>
          <w:iCs w:val="0"/>
          <w:caps w:val="0"/>
          <w:smallCaps w:val="0"/>
          <w:color w:val="555555"/>
          <w:spacing w:val="0"/>
          <w:sz w:val="32"/>
          <w:szCs w:val="32"/>
        </w:rPr>
        <w:t>社会保障和就业（类）</w:t>
      </w:r>
      <w:r>
        <w:rPr>
          <w:rFonts w:hint="eastAsia" w:ascii="仿宋_GB2312" w:hAnsi="仿宋_GB2312" w:eastAsia="仿宋_GB2312" w:cs="仿宋_GB2312"/>
          <w:i w:val="0"/>
          <w:iCs w:val="0"/>
          <w:caps w:val="0"/>
          <w:smallCaps w:val="0"/>
          <w:color w:val="555555"/>
          <w:spacing w:val="0"/>
          <w:sz w:val="32"/>
          <w:szCs w:val="32"/>
        </w:rPr>
        <w:t>支出8.43万元，占9.34%；</w:t>
      </w:r>
      <w:r>
        <w:rPr>
          <w:rStyle w:val="15"/>
          <w:rFonts w:hint="eastAsia" w:ascii="仿宋_GB2312" w:hAnsi="仿宋_GB2312" w:eastAsia="仿宋_GB2312" w:cs="仿宋_GB2312"/>
          <w:b/>
          <w:bCs/>
          <w:i w:val="0"/>
          <w:iCs w:val="0"/>
          <w:caps w:val="0"/>
          <w:smallCaps w:val="0"/>
          <w:color w:val="555555"/>
          <w:spacing w:val="0"/>
          <w:sz w:val="32"/>
          <w:szCs w:val="32"/>
        </w:rPr>
        <w:t>卫生健康支出2.70</w:t>
      </w:r>
      <w:r>
        <w:rPr>
          <w:rFonts w:hint="eastAsia" w:ascii="仿宋_GB2312" w:hAnsi="仿宋_GB2312" w:eastAsia="仿宋_GB2312" w:cs="仿宋_GB2312"/>
          <w:i w:val="0"/>
          <w:iCs w:val="0"/>
          <w:caps w:val="0"/>
          <w:smallCaps w:val="0"/>
          <w:color w:val="555555"/>
          <w:spacing w:val="0"/>
          <w:sz w:val="32"/>
          <w:szCs w:val="32"/>
        </w:rPr>
        <w:t>万元，占2.99%；住房保障支出4.85万元，占5.37%。</w:t>
      </w:r>
      <w:r>
        <w:rPr>
          <w:rFonts w:hint="eastAsia" w:ascii="仿宋_GB2312" w:hAnsi="仿宋_GB2312" w:eastAsia="仿宋_GB2312" w:cs="仿宋_GB2312"/>
          <w:i w:val="0"/>
          <w:iCs w:val="0"/>
          <w:caps w:val="0"/>
          <w:smallCaps w:val="0"/>
          <w:color w:val="555555"/>
          <w:spacing w:val="0"/>
          <w:sz w:val="32"/>
          <w:szCs w:val="32"/>
          <w:lang w:val="en-US" w:eastAsia="zh-CN"/>
        </w:rPr>
        <w:t xml:space="preserve">    </w:t>
      </w:r>
      <w:r>
        <w:rPr>
          <w:rFonts w:hint="eastAsia" w:ascii="仿宋_GB2312" w:hAnsi="仿宋_GB2312" w:eastAsia="仿宋_GB2312" w:cs="仿宋_GB2312"/>
          <w:i w:val="0"/>
          <w:iCs w:val="0"/>
          <w:caps w:val="0"/>
          <w:smallCaps w:val="0"/>
          <w:color w:val="555555"/>
          <w:spacing w:val="0"/>
          <w:sz w:val="32"/>
          <w:szCs w:val="32"/>
        </w:rPr>
        <w:t>（图6：一般公共预算财政拨款支出决算结构）</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jc w:val="both"/>
        <w:textAlignment w:val="auto"/>
        <w:rPr>
          <w:rFonts w:hint="eastAsia" w:ascii="仿宋_GB2312" w:hAnsi="仿宋_GB2312" w:eastAsia="仿宋_GB2312" w:cs="仿宋_GB2312"/>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jc w:val="both"/>
        <w:textAlignment w:val="auto"/>
        <w:outlineLvl w:val="2"/>
        <w:rPr>
          <w:rFonts w:hint="eastAsia" w:ascii="楷体_GB2312" w:hAnsi="楷体_GB2312" w:eastAsia="楷体_GB2312" w:cs="楷体_GB2312"/>
          <w:b w:val="0"/>
          <w:bCs/>
          <w:color w:val="auto"/>
          <w:sz w:val="32"/>
          <w:szCs w:val="32"/>
          <w:highlight w:val="none"/>
        </w:rPr>
      </w:pPr>
      <w:bookmarkStart w:id="29" w:name="_Toc15377212"/>
      <w:r>
        <w:rPr>
          <w:rFonts w:hint="eastAsia" w:ascii="楷体_GB2312" w:hAnsi="楷体_GB2312" w:eastAsia="楷体_GB2312" w:cs="楷体_GB2312"/>
          <w:b w:val="0"/>
          <w:bCs/>
          <w:color w:val="auto"/>
          <w:sz w:val="32"/>
          <w:szCs w:val="32"/>
          <w:highlight w:val="none"/>
        </w:rPr>
        <w:t>（三）一般公共预算财政拨款支出决算具体情况</w:t>
      </w:r>
      <w:bookmarkEnd w:id="29"/>
    </w:p>
    <w:p>
      <w:pPr>
        <w:pStyle w:val="1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仿宋_GB2312" w:hAnsi="仿宋_GB2312" w:eastAsia="仿宋_GB2312" w:cs="仿宋_GB2312"/>
          <w:b w:val="0"/>
          <w:bCs/>
          <w:color w:val="auto"/>
          <w:sz w:val="32"/>
          <w:szCs w:val="32"/>
        </w:rPr>
      </w:pPr>
      <w:r>
        <w:rPr>
          <w:rStyle w:val="15"/>
          <w:rFonts w:hint="eastAsia" w:ascii="仿宋_GB2312" w:hAnsi="仿宋_GB2312" w:eastAsia="仿宋_GB2312" w:cs="仿宋_GB2312"/>
          <w:b w:val="0"/>
          <w:bCs/>
          <w:i w:val="0"/>
          <w:iCs w:val="0"/>
          <w:caps w:val="0"/>
          <w:smallCaps w:val="0"/>
          <w:color w:val="auto"/>
          <w:spacing w:val="0"/>
          <w:sz w:val="32"/>
          <w:szCs w:val="32"/>
        </w:rPr>
        <w:t>2021年一般公共预算支出决算数为90.24万元</w:t>
      </w:r>
      <w:r>
        <w:rPr>
          <w:rFonts w:hint="eastAsia" w:ascii="仿宋_GB2312" w:hAnsi="仿宋_GB2312" w:eastAsia="仿宋_GB2312" w:cs="仿宋_GB2312"/>
          <w:b w:val="0"/>
          <w:bCs/>
          <w:i w:val="0"/>
          <w:iCs w:val="0"/>
          <w:caps w:val="0"/>
          <w:smallCaps w:val="0"/>
          <w:color w:val="auto"/>
          <w:spacing w:val="0"/>
          <w:sz w:val="32"/>
          <w:szCs w:val="32"/>
        </w:rPr>
        <w:t>，</w:t>
      </w:r>
      <w:r>
        <w:rPr>
          <w:rStyle w:val="15"/>
          <w:rFonts w:hint="eastAsia" w:ascii="仿宋_GB2312" w:hAnsi="仿宋_GB2312" w:eastAsia="仿宋_GB2312" w:cs="仿宋_GB2312"/>
          <w:b w:val="0"/>
          <w:bCs/>
          <w:i w:val="0"/>
          <w:iCs w:val="0"/>
          <w:caps w:val="0"/>
          <w:smallCaps w:val="0"/>
          <w:color w:val="auto"/>
          <w:spacing w:val="0"/>
          <w:sz w:val="32"/>
          <w:szCs w:val="32"/>
        </w:rPr>
        <w:t>完成预算99.67%。其中：</w:t>
      </w:r>
    </w:p>
    <w:p>
      <w:pPr>
        <w:pStyle w:val="1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仿宋_GB2312" w:hAnsi="仿宋_GB2312" w:eastAsia="仿宋_GB2312" w:cs="仿宋_GB2312"/>
          <w:b w:val="0"/>
          <w:bCs/>
          <w:color w:val="auto"/>
          <w:sz w:val="32"/>
          <w:szCs w:val="32"/>
        </w:rPr>
      </w:pPr>
      <w:r>
        <w:rPr>
          <w:rStyle w:val="15"/>
          <w:rFonts w:hint="eastAsia" w:ascii="仿宋_GB2312" w:hAnsi="仿宋_GB2312" w:eastAsia="仿宋_GB2312" w:cs="仿宋_GB2312"/>
          <w:b w:val="0"/>
          <w:bCs/>
          <w:i w:val="0"/>
          <w:iCs w:val="0"/>
          <w:caps w:val="0"/>
          <w:smallCaps w:val="0"/>
          <w:color w:val="auto"/>
          <w:spacing w:val="0"/>
          <w:sz w:val="32"/>
          <w:szCs w:val="32"/>
        </w:rPr>
        <w:t>1.一般公共服务（类）民主党派及工商联事务（款）行政运行（项）:</w:t>
      </w:r>
      <w:r>
        <w:rPr>
          <w:rFonts w:hint="eastAsia" w:ascii="仿宋_GB2312" w:hAnsi="仿宋_GB2312" w:eastAsia="仿宋_GB2312" w:cs="仿宋_GB2312"/>
          <w:b w:val="0"/>
          <w:bCs/>
          <w:i w:val="0"/>
          <w:iCs w:val="0"/>
          <w:caps w:val="0"/>
          <w:smallCaps w:val="0"/>
          <w:color w:val="auto"/>
          <w:spacing w:val="0"/>
          <w:sz w:val="32"/>
          <w:szCs w:val="32"/>
        </w:rPr>
        <w:t>支出决算为54.37万元，完成预算99.45%。决算数小于预算数的主要原因是基本支出结转下年使用。</w:t>
      </w:r>
    </w:p>
    <w:p>
      <w:pPr>
        <w:pStyle w:val="1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仿宋_GB2312" w:hAnsi="仿宋_GB2312" w:eastAsia="仿宋_GB2312" w:cs="仿宋_GB2312"/>
          <w:b w:val="0"/>
          <w:bCs/>
          <w:color w:val="auto"/>
          <w:sz w:val="32"/>
          <w:szCs w:val="32"/>
        </w:rPr>
      </w:pPr>
      <w:r>
        <w:rPr>
          <w:rStyle w:val="15"/>
          <w:rFonts w:hint="eastAsia" w:ascii="仿宋_GB2312" w:hAnsi="仿宋_GB2312" w:eastAsia="仿宋_GB2312" w:cs="仿宋_GB2312"/>
          <w:b w:val="0"/>
          <w:bCs/>
          <w:i w:val="0"/>
          <w:iCs w:val="0"/>
          <w:caps w:val="0"/>
          <w:smallCaps w:val="0"/>
          <w:color w:val="auto"/>
          <w:spacing w:val="0"/>
          <w:sz w:val="32"/>
          <w:szCs w:val="32"/>
        </w:rPr>
        <w:t>2.一般公共服务（类）民主党派及工商联事务（款）  一般行政管理事务（项）: </w:t>
      </w:r>
      <w:r>
        <w:rPr>
          <w:rFonts w:hint="eastAsia" w:ascii="仿宋_GB2312" w:hAnsi="仿宋_GB2312" w:eastAsia="仿宋_GB2312" w:cs="仿宋_GB2312"/>
          <w:b w:val="0"/>
          <w:bCs/>
          <w:i w:val="0"/>
          <w:iCs w:val="0"/>
          <w:caps w:val="0"/>
          <w:smallCaps w:val="0"/>
          <w:color w:val="auto"/>
          <w:spacing w:val="0"/>
          <w:sz w:val="32"/>
          <w:szCs w:val="32"/>
        </w:rPr>
        <w:t>支出决算为19.9万元，完成预算100%。</w:t>
      </w:r>
    </w:p>
    <w:p>
      <w:pPr>
        <w:pStyle w:val="1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仿宋_GB2312" w:hAnsi="仿宋_GB2312" w:eastAsia="仿宋_GB2312" w:cs="仿宋_GB2312"/>
          <w:b w:val="0"/>
          <w:bCs/>
          <w:color w:val="auto"/>
          <w:sz w:val="32"/>
          <w:szCs w:val="32"/>
        </w:rPr>
      </w:pPr>
      <w:r>
        <w:rPr>
          <w:rStyle w:val="15"/>
          <w:rFonts w:hint="eastAsia" w:ascii="仿宋_GB2312" w:hAnsi="仿宋_GB2312" w:eastAsia="仿宋_GB2312" w:cs="仿宋_GB2312"/>
          <w:b w:val="0"/>
          <w:bCs/>
          <w:i w:val="0"/>
          <w:iCs w:val="0"/>
          <w:caps w:val="0"/>
          <w:smallCaps w:val="0"/>
          <w:color w:val="auto"/>
          <w:spacing w:val="0"/>
          <w:sz w:val="32"/>
          <w:szCs w:val="32"/>
        </w:rPr>
        <w:t>3.</w:t>
      </w:r>
      <w:r>
        <w:rPr>
          <w:rStyle w:val="15"/>
          <w:rFonts w:hint="eastAsia" w:ascii="仿宋_GB2312" w:hAnsi="仿宋_GB2312" w:eastAsia="仿宋_GB2312" w:cs="仿宋_GB2312"/>
          <w:b w:val="0"/>
          <w:bCs/>
          <w:i w:val="0"/>
          <w:iCs w:val="0"/>
          <w:caps w:val="0"/>
          <w:smallCaps w:val="0"/>
          <w:color w:val="auto"/>
          <w:spacing w:val="0"/>
          <w:sz w:val="32"/>
          <w:szCs w:val="32"/>
          <w:lang w:eastAsia="zh-CN"/>
        </w:rPr>
        <w:t>社会保障和就业支出（类）行政事业单位养老支出</w:t>
      </w:r>
      <w:r>
        <w:rPr>
          <w:rStyle w:val="15"/>
          <w:rFonts w:hint="eastAsia" w:ascii="仿宋_GB2312" w:hAnsi="仿宋_GB2312" w:eastAsia="仿宋_GB2312" w:cs="仿宋_GB2312"/>
          <w:b w:val="0"/>
          <w:bCs/>
          <w:i w:val="0"/>
          <w:iCs w:val="0"/>
          <w:caps w:val="0"/>
          <w:smallCaps w:val="0"/>
          <w:color w:val="auto"/>
          <w:spacing w:val="0"/>
          <w:sz w:val="32"/>
          <w:szCs w:val="32"/>
        </w:rPr>
        <w:t>（款）机关事业单位基本养老保险缴费支出（项）:</w:t>
      </w:r>
      <w:r>
        <w:rPr>
          <w:rFonts w:hint="eastAsia" w:ascii="仿宋_GB2312" w:hAnsi="仿宋_GB2312" w:eastAsia="仿宋_GB2312" w:cs="仿宋_GB2312"/>
          <w:b w:val="0"/>
          <w:bCs/>
          <w:i w:val="0"/>
          <w:iCs w:val="0"/>
          <w:caps w:val="0"/>
          <w:smallCaps w:val="0"/>
          <w:color w:val="auto"/>
          <w:spacing w:val="0"/>
          <w:sz w:val="32"/>
          <w:szCs w:val="32"/>
        </w:rPr>
        <w:t>支出决算为7.33万元，完成预算100%。</w:t>
      </w:r>
    </w:p>
    <w:p>
      <w:pPr>
        <w:pStyle w:val="1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仿宋_GB2312" w:hAnsi="仿宋_GB2312" w:eastAsia="仿宋_GB2312" w:cs="仿宋_GB2312"/>
          <w:b w:val="0"/>
          <w:bCs/>
          <w:color w:val="auto"/>
          <w:sz w:val="32"/>
          <w:szCs w:val="32"/>
        </w:rPr>
      </w:pPr>
      <w:r>
        <w:rPr>
          <w:rStyle w:val="15"/>
          <w:rFonts w:hint="eastAsia" w:ascii="仿宋_GB2312" w:hAnsi="仿宋_GB2312" w:eastAsia="仿宋_GB2312" w:cs="仿宋_GB2312"/>
          <w:b w:val="0"/>
          <w:bCs/>
          <w:i w:val="0"/>
          <w:iCs w:val="0"/>
          <w:caps w:val="0"/>
          <w:smallCaps w:val="0"/>
          <w:color w:val="auto"/>
          <w:spacing w:val="0"/>
          <w:sz w:val="32"/>
          <w:szCs w:val="32"/>
        </w:rPr>
        <w:t>4.</w:t>
      </w:r>
      <w:r>
        <w:rPr>
          <w:rStyle w:val="15"/>
          <w:rFonts w:hint="eastAsia" w:ascii="仿宋_GB2312" w:hAnsi="仿宋_GB2312" w:eastAsia="仿宋_GB2312" w:cs="仿宋_GB2312"/>
          <w:b w:val="0"/>
          <w:bCs/>
          <w:i w:val="0"/>
          <w:iCs w:val="0"/>
          <w:caps w:val="0"/>
          <w:smallCaps w:val="0"/>
          <w:color w:val="auto"/>
          <w:spacing w:val="0"/>
          <w:sz w:val="32"/>
          <w:szCs w:val="32"/>
          <w:lang w:eastAsia="zh-CN"/>
        </w:rPr>
        <w:t>社会保障和就业支出（类）行政事业单位养老支出</w:t>
      </w:r>
      <w:r>
        <w:rPr>
          <w:rStyle w:val="15"/>
          <w:rFonts w:hint="eastAsia" w:ascii="仿宋_GB2312" w:hAnsi="仿宋_GB2312" w:eastAsia="仿宋_GB2312" w:cs="仿宋_GB2312"/>
          <w:b w:val="0"/>
          <w:bCs/>
          <w:i w:val="0"/>
          <w:iCs w:val="0"/>
          <w:caps w:val="0"/>
          <w:smallCaps w:val="0"/>
          <w:color w:val="auto"/>
          <w:spacing w:val="0"/>
          <w:sz w:val="32"/>
          <w:szCs w:val="32"/>
        </w:rPr>
        <w:t>（款） 机关事业单位职业年金缴费支出（项）:</w:t>
      </w:r>
      <w:r>
        <w:rPr>
          <w:rFonts w:hint="eastAsia" w:ascii="仿宋_GB2312" w:hAnsi="仿宋_GB2312" w:eastAsia="仿宋_GB2312" w:cs="仿宋_GB2312"/>
          <w:b w:val="0"/>
          <w:bCs/>
          <w:i w:val="0"/>
          <w:iCs w:val="0"/>
          <w:caps w:val="0"/>
          <w:smallCaps w:val="0"/>
          <w:color w:val="auto"/>
          <w:spacing w:val="0"/>
          <w:sz w:val="32"/>
          <w:szCs w:val="32"/>
        </w:rPr>
        <w:t>支出决算为1.1万元，完成预算100%。</w:t>
      </w:r>
    </w:p>
    <w:p>
      <w:pPr>
        <w:pStyle w:val="1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仿宋_GB2312" w:hAnsi="仿宋_GB2312" w:eastAsia="仿宋_GB2312" w:cs="仿宋_GB2312"/>
          <w:b w:val="0"/>
          <w:bCs/>
          <w:color w:val="auto"/>
          <w:sz w:val="32"/>
          <w:szCs w:val="32"/>
        </w:rPr>
      </w:pPr>
      <w:r>
        <w:rPr>
          <w:rStyle w:val="15"/>
          <w:rFonts w:hint="eastAsia" w:ascii="仿宋_GB2312" w:hAnsi="仿宋_GB2312" w:eastAsia="仿宋_GB2312" w:cs="仿宋_GB2312"/>
          <w:b w:val="0"/>
          <w:bCs/>
          <w:i w:val="0"/>
          <w:iCs w:val="0"/>
          <w:caps w:val="0"/>
          <w:smallCaps w:val="0"/>
          <w:color w:val="auto"/>
          <w:spacing w:val="0"/>
          <w:sz w:val="32"/>
          <w:szCs w:val="32"/>
        </w:rPr>
        <w:t>5.卫生健康支出（类）行政事业单位医疗（款）行政单位医疗（项）:</w:t>
      </w:r>
      <w:r>
        <w:rPr>
          <w:rFonts w:hint="eastAsia" w:ascii="仿宋_GB2312" w:hAnsi="仿宋_GB2312" w:eastAsia="仿宋_GB2312" w:cs="仿宋_GB2312"/>
          <w:b w:val="0"/>
          <w:bCs/>
          <w:i w:val="0"/>
          <w:iCs w:val="0"/>
          <w:caps w:val="0"/>
          <w:smallCaps w:val="0"/>
          <w:color w:val="auto"/>
          <w:spacing w:val="0"/>
          <w:sz w:val="32"/>
          <w:szCs w:val="32"/>
        </w:rPr>
        <w:t>支出决算为2.7万元，完成预算100%。</w:t>
      </w:r>
    </w:p>
    <w:p>
      <w:pPr>
        <w:pStyle w:val="1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仿宋_GB2312" w:hAnsi="仿宋_GB2312" w:eastAsia="仿宋_GB2312" w:cs="仿宋_GB2312"/>
          <w:b w:val="0"/>
          <w:bCs/>
          <w:color w:val="auto"/>
          <w:sz w:val="32"/>
          <w:szCs w:val="32"/>
        </w:rPr>
      </w:pPr>
      <w:r>
        <w:rPr>
          <w:rStyle w:val="15"/>
          <w:rFonts w:hint="eastAsia" w:ascii="仿宋_GB2312" w:hAnsi="仿宋_GB2312" w:eastAsia="仿宋_GB2312" w:cs="仿宋_GB2312"/>
          <w:b w:val="0"/>
          <w:bCs/>
          <w:i w:val="0"/>
          <w:iCs w:val="0"/>
          <w:caps w:val="0"/>
          <w:smallCaps w:val="0"/>
          <w:color w:val="auto"/>
          <w:spacing w:val="0"/>
          <w:sz w:val="32"/>
          <w:szCs w:val="32"/>
        </w:rPr>
        <w:t>6.住房保障支出（类）住房改革支出（款）住房公积金（项）：</w:t>
      </w:r>
      <w:r>
        <w:rPr>
          <w:rFonts w:hint="eastAsia" w:ascii="仿宋_GB2312" w:hAnsi="仿宋_GB2312" w:eastAsia="仿宋_GB2312" w:cs="仿宋_GB2312"/>
          <w:b w:val="0"/>
          <w:bCs/>
          <w:i w:val="0"/>
          <w:iCs w:val="0"/>
          <w:caps w:val="0"/>
          <w:smallCaps w:val="0"/>
          <w:color w:val="auto"/>
          <w:spacing w:val="0"/>
          <w:sz w:val="32"/>
          <w:szCs w:val="32"/>
        </w:rPr>
        <w:t>支出决算数为4.85万元，完成预算100%。</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jc w:val="both"/>
        <w:textAlignment w:val="auto"/>
        <w:outlineLvl w:val="1"/>
        <w:rPr>
          <w:rStyle w:val="18"/>
          <w:rFonts w:hint="eastAsia" w:ascii="黑体" w:hAnsi="黑体" w:eastAsia="黑体" w:cs="黑体"/>
          <w:b w:val="0"/>
          <w:color w:val="auto"/>
          <w:sz w:val="32"/>
          <w:szCs w:val="32"/>
          <w:highlight w:val="none"/>
        </w:rPr>
      </w:pPr>
      <w:bookmarkStart w:id="30" w:name="_Toc15377214"/>
      <w:bookmarkStart w:id="31" w:name="_Toc15396608"/>
      <w:r>
        <w:rPr>
          <w:rStyle w:val="18"/>
          <w:rFonts w:hint="eastAsia" w:ascii="黑体" w:hAnsi="黑体" w:eastAsia="黑体" w:cs="黑体"/>
          <w:b w:val="0"/>
          <w:color w:val="auto"/>
          <w:sz w:val="32"/>
          <w:szCs w:val="32"/>
          <w:highlight w:val="none"/>
        </w:rPr>
        <w:t>六、一般公共预算财政拨款基本支出决算情况说明</w:t>
      </w:r>
      <w:bookmarkEnd w:id="30"/>
      <w:bookmarkEnd w:id="31"/>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jc w:val="both"/>
        <w:textAlignment w:val="auto"/>
        <w:rPr>
          <w:rFonts w:hint="eastAsia" w:ascii="仿宋_GB2312" w:hAnsi="仿宋_GB2312" w:eastAsia="仿宋_GB2312" w:cs="仿宋_GB2312"/>
          <w:b w:val="0"/>
          <w:bCs/>
          <w:color w:val="auto"/>
          <w:sz w:val="32"/>
          <w:szCs w:val="32"/>
          <w:highlight w:val="none"/>
        </w:rPr>
      </w:pPr>
      <w:r>
        <w:rPr>
          <w:rFonts w:hint="eastAsia" w:ascii="仿宋_GB2312" w:hAnsi="仿宋_GB2312" w:eastAsia="仿宋_GB2312" w:cs="仿宋_GB2312"/>
          <w:b w:val="0"/>
          <w:bCs/>
          <w:color w:val="auto"/>
          <w:sz w:val="32"/>
          <w:szCs w:val="32"/>
          <w:highlight w:val="none"/>
        </w:rPr>
        <w:t>20</w:t>
      </w:r>
      <w:r>
        <w:rPr>
          <w:rFonts w:hint="eastAsia" w:ascii="仿宋_GB2312" w:hAnsi="仿宋_GB2312" w:eastAsia="仿宋_GB2312" w:cs="仿宋_GB2312"/>
          <w:b w:val="0"/>
          <w:bCs/>
          <w:color w:val="auto"/>
          <w:sz w:val="32"/>
          <w:szCs w:val="32"/>
          <w:highlight w:val="none"/>
          <w:lang w:val="en-US" w:eastAsia="zh-CN"/>
        </w:rPr>
        <w:t>21</w:t>
      </w:r>
      <w:r>
        <w:rPr>
          <w:rFonts w:hint="eastAsia" w:ascii="仿宋_GB2312" w:hAnsi="仿宋_GB2312" w:eastAsia="仿宋_GB2312" w:cs="仿宋_GB2312"/>
          <w:b w:val="0"/>
          <w:bCs/>
          <w:color w:val="auto"/>
          <w:sz w:val="32"/>
          <w:szCs w:val="32"/>
          <w:highlight w:val="none"/>
        </w:rPr>
        <w:t>年一般公共预算财政拨款基本支出</w:t>
      </w:r>
      <w:r>
        <w:rPr>
          <w:rFonts w:hint="eastAsia" w:ascii="仿宋_GB2312" w:hAnsi="仿宋_GB2312" w:eastAsia="仿宋_GB2312" w:cs="仿宋_GB2312"/>
          <w:b w:val="0"/>
          <w:bCs/>
          <w:i w:val="0"/>
          <w:iCs w:val="0"/>
          <w:caps w:val="0"/>
          <w:smallCaps w:val="0"/>
          <w:color w:val="auto"/>
          <w:spacing w:val="0"/>
          <w:sz w:val="32"/>
          <w:szCs w:val="32"/>
        </w:rPr>
        <w:t>70.35</w:t>
      </w:r>
      <w:r>
        <w:rPr>
          <w:rFonts w:hint="eastAsia" w:ascii="仿宋_GB2312" w:hAnsi="仿宋_GB2312" w:eastAsia="仿宋_GB2312" w:cs="仿宋_GB2312"/>
          <w:b w:val="0"/>
          <w:bCs/>
          <w:color w:val="auto"/>
          <w:sz w:val="32"/>
          <w:szCs w:val="32"/>
          <w:highlight w:val="none"/>
        </w:rPr>
        <w:t>万元，其中：</w:t>
      </w:r>
    </w:p>
    <w:p>
      <w:pPr>
        <w:pStyle w:val="1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仿宋_GB2312" w:hAnsi="仿宋_GB2312" w:eastAsia="仿宋_GB2312" w:cs="仿宋_GB2312"/>
          <w:b w:val="0"/>
          <w:bCs/>
          <w:color w:val="auto"/>
          <w:sz w:val="32"/>
          <w:szCs w:val="32"/>
          <w:highlight w:val="none"/>
        </w:rPr>
      </w:pPr>
      <w:r>
        <w:rPr>
          <w:rFonts w:hint="eastAsia" w:ascii="仿宋_GB2312" w:hAnsi="仿宋_GB2312" w:eastAsia="仿宋_GB2312" w:cs="仿宋_GB2312"/>
          <w:b w:val="0"/>
          <w:bCs/>
          <w:color w:val="auto"/>
          <w:sz w:val="32"/>
          <w:szCs w:val="32"/>
          <w:highlight w:val="none"/>
        </w:rPr>
        <w:t>人员经费</w:t>
      </w:r>
      <w:r>
        <w:rPr>
          <w:rFonts w:hint="eastAsia" w:ascii="仿宋_GB2312" w:hAnsi="仿宋_GB2312" w:eastAsia="仿宋_GB2312" w:cs="仿宋_GB2312"/>
          <w:b w:val="0"/>
          <w:bCs/>
          <w:i w:val="0"/>
          <w:iCs w:val="0"/>
          <w:caps w:val="0"/>
          <w:smallCaps w:val="0"/>
          <w:color w:val="auto"/>
          <w:spacing w:val="0"/>
          <w:sz w:val="32"/>
          <w:szCs w:val="32"/>
        </w:rPr>
        <w:t>57.51</w:t>
      </w:r>
      <w:r>
        <w:rPr>
          <w:rFonts w:hint="eastAsia" w:ascii="仿宋_GB2312" w:hAnsi="仿宋_GB2312" w:eastAsia="仿宋_GB2312" w:cs="仿宋_GB2312"/>
          <w:b w:val="0"/>
          <w:bCs/>
          <w:color w:val="auto"/>
          <w:sz w:val="32"/>
          <w:szCs w:val="32"/>
          <w:highlight w:val="none"/>
        </w:rPr>
        <w:t>万元，主要包括：基本工资、津贴补贴、奖金、伙食补助费、机关事业单位基本养老保险缴费、职业年金缴费、</w:t>
      </w:r>
      <w:r>
        <w:rPr>
          <w:rFonts w:hint="eastAsia" w:ascii="仿宋_GB2312" w:hAnsi="仿宋_GB2312" w:eastAsia="仿宋_GB2312" w:cs="仿宋_GB2312"/>
          <w:b w:val="0"/>
          <w:bCs/>
          <w:color w:val="auto"/>
          <w:sz w:val="32"/>
          <w:szCs w:val="32"/>
          <w:highlight w:val="none"/>
          <w:lang w:eastAsia="zh-CN"/>
        </w:rPr>
        <w:t>职工基本医疗保险缴费、其他工资福利支出、</w:t>
      </w:r>
      <w:r>
        <w:rPr>
          <w:rFonts w:hint="eastAsia" w:ascii="仿宋_GB2312" w:hAnsi="仿宋_GB2312" w:eastAsia="仿宋_GB2312" w:cs="仿宋_GB2312"/>
          <w:b w:val="0"/>
          <w:bCs/>
          <w:color w:val="auto"/>
          <w:sz w:val="32"/>
          <w:szCs w:val="32"/>
          <w:highlight w:val="none"/>
        </w:rPr>
        <w:t>住房公积金、其他对个人和家庭的补助支出等。</w:t>
      </w:r>
    </w:p>
    <w:p>
      <w:pPr>
        <w:pStyle w:val="1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highlight w:val="none"/>
        </w:rPr>
        <w:t>公用经费</w:t>
      </w:r>
      <w:r>
        <w:rPr>
          <w:rFonts w:hint="eastAsia" w:ascii="仿宋_GB2312" w:hAnsi="仿宋_GB2312" w:eastAsia="仿宋_GB2312" w:cs="仿宋_GB2312"/>
          <w:b w:val="0"/>
          <w:bCs/>
          <w:i w:val="0"/>
          <w:iCs w:val="0"/>
          <w:caps w:val="0"/>
          <w:smallCaps w:val="0"/>
          <w:color w:val="auto"/>
          <w:spacing w:val="0"/>
          <w:sz w:val="32"/>
          <w:szCs w:val="32"/>
        </w:rPr>
        <w:t>12.84</w:t>
      </w:r>
      <w:r>
        <w:rPr>
          <w:rFonts w:hint="eastAsia" w:ascii="仿宋_GB2312" w:hAnsi="仿宋_GB2312" w:eastAsia="仿宋_GB2312" w:cs="仿宋_GB2312"/>
          <w:b w:val="0"/>
          <w:bCs/>
          <w:color w:val="auto"/>
          <w:sz w:val="32"/>
          <w:szCs w:val="32"/>
          <w:highlight w:val="none"/>
        </w:rPr>
        <w:t>万元，主要包括：</w:t>
      </w:r>
      <w:r>
        <w:rPr>
          <w:rFonts w:hint="eastAsia" w:ascii="仿宋_GB2312" w:hAnsi="仿宋_GB2312" w:eastAsia="仿宋_GB2312" w:cs="仿宋_GB2312"/>
          <w:b w:val="0"/>
          <w:bCs/>
          <w:i w:val="0"/>
          <w:iCs w:val="0"/>
          <w:caps w:val="0"/>
          <w:smallCaps w:val="0"/>
          <w:color w:val="auto"/>
          <w:spacing w:val="0"/>
          <w:sz w:val="32"/>
          <w:szCs w:val="32"/>
        </w:rPr>
        <w:t>印刷费、咨询费、手续费、邮电费、物业管理费、差旅费、维修（护）费、培训费、公务接待费、工会经费、福利费、其他交通费、其他商品和服务支出。</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jc w:val="both"/>
        <w:textAlignment w:val="auto"/>
        <w:outlineLvl w:val="1"/>
        <w:rPr>
          <w:rStyle w:val="18"/>
          <w:rFonts w:hint="eastAsia" w:ascii="黑体" w:hAnsi="黑体" w:eastAsia="黑体" w:cs="黑体"/>
          <w:b w:val="0"/>
          <w:color w:val="auto"/>
          <w:sz w:val="32"/>
          <w:szCs w:val="32"/>
          <w:highlight w:val="none"/>
        </w:rPr>
      </w:pPr>
      <w:bookmarkStart w:id="32" w:name="_Toc15396609"/>
      <w:bookmarkStart w:id="33" w:name="_Toc15377215"/>
      <w:r>
        <w:rPr>
          <w:rStyle w:val="18"/>
          <w:rFonts w:hint="eastAsia" w:ascii="黑体" w:hAnsi="黑体" w:eastAsia="黑体" w:cs="黑体"/>
          <w:b w:val="0"/>
          <w:color w:val="auto"/>
          <w:sz w:val="32"/>
          <w:szCs w:val="32"/>
          <w:highlight w:val="none"/>
        </w:rPr>
        <w:t>七、“三公”经费财政拨款支出决算情况说明</w:t>
      </w:r>
      <w:bookmarkEnd w:id="32"/>
      <w:bookmarkEnd w:id="33"/>
    </w:p>
    <w:p>
      <w:pPr>
        <w:pStyle w:val="1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楷体_GB2312" w:hAnsi="楷体_GB2312" w:eastAsia="楷体_GB2312" w:cs="楷体_GB2312"/>
          <w:b w:val="0"/>
          <w:bCs/>
          <w:color w:val="auto"/>
          <w:sz w:val="32"/>
          <w:szCs w:val="32"/>
        </w:rPr>
      </w:pPr>
      <w:r>
        <w:rPr>
          <w:rStyle w:val="15"/>
          <w:rFonts w:hint="eastAsia" w:ascii="楷体_GB2312" w:hAnsi="楷体_GB2312" w:eastAsia="楷体_GB2312" w:cs="楷体_GB2312"/>
          <w:b w:val="0"/>
          <w:bCs/>
          <w:i w:val="0"/>
          <w:iCs w:val="0"/>
          <w:caps w:val="0"/>
          <w:smallCaps w:val="0"/>
          <w:color w:val="auto"/>
          <w:spacing w:val="0"/>
          <w:sz w:val="32"/>
          <w:szCs w:val="32"/>
        </w:rPr>
        <w:t>（一）“三公”经费财政拨款支出决算总体情况说明</w:t>
      </w:r>
    </w:p>
    <w:p>
      <w:pPr>
        <w:pStyle w:val="1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i w:val="0"/>
          <w:iCs w:val="0"/>
          <w:caps w:val="0"/>
          <w:smallCaps w:val="0"/>
          <w:color w:val="auto"/>
          <w:spacing w:val="0"/>
          <w:sz w:val="32"/>
          <w:szCs w:val="32"/>
        </w:rPr>
        <w:t>2021年“三公”经费财政拨款支出决算为0.75万元，完成预算93.75%，与预算数减少的主要原因是厉行节约，压缩“三公”经费开支范围。</w:t>
      </w:r>
    </w:p>
    <w:p>
      <w:pPr>
        <w:pStyle w:val="1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楷体_GB2312" w:hAnsi="楷体_GB2312" w:eastAsia="楷体_GB2312" w:cs="楷体_GB2312"/>
          <w:b w:val="0"/>
          <w:bCs/>
          <w:color w:val="auto"/>
          <w:sz w:val="32"/>
          <w:szCs w:val="32"/>
        </w:rPr>
      </w:pPr>
      <w:r>
        <w:rPr>
          <w:rStyle w:val="15"/>
          <w:rFonts w:hint="eastAsia" w:ascii="楷体_GB2312" w:hAnsi="楷体_GB2312" w:eastAsia="楷体_GB2312" w:cs="楷体_GB2312"/>
          <w:b w:val="0"/>
          <w:bCs/>
          <w:i w:val="0"/>
          <w:iCs w:val="0"/>
          <w:caps w:val="0"/>
          <w:smallCaps w:val="0"/>
          <w:color w:val="auto"/>
          <w:spacing w:val="0"/>
          <w:sz w:val="32"/>
          <w:szCs w:val="32"/>
        </w:rPr>
        <w:t>（二）“三公”经费财政拨款支出决算具体情况说明</w:t>
      </w:r>
    </w:p>
    <w:p>
      <w:pPr>
        <w:pStyle w:val="1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i w:val="0"/>
          <w:iCs w:val="0"/>
          <w:caps w:val="0"/>
          <w:smallCaps w:val="0"/>
          <w:color w:val="555555"/>
          <w:spacing w:val="0"/>
          <w:sz w:val="32"/>
          <w:szCs w:val="32"/>
        </w:rPr>
        <w:drawing>
          <wp:anchor distT="0" distB="0" distL="114300" distR="114300" simplePos="0" relativeHeight="251663360" behindDoc="0" locked="0" layoutInCell="1" allowOverlap="1">
            <wp:simplePos x="0" y="0"/>
            <wp:positionH relativeFrom="column">
              <wp:posOffset>1749425</wp:posOffset>
            </wp:positionH>
            <wp:positionV relativeFrom="paragraph">
              <wp:posOffset>533400</wp:posOffset>
            </wp:positionV>
            <wp:extent cx="3771900" cy="2247900"/>
            <wp:effectExtent l="0" t="0" r="37" b="35"/>
            <wp:wrapSquare wrapText="bothSides"/>
            <wp:docPr id="19" name="图片 7" descr="2022093016002500.png"/>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9" name="图片 7" descr="2022093016002500.png"/>
                    <pic:cNvPicPr>
                      <a:picLocks noChangeAspect="true"/>
                    </pic:cNvPicPr>
                  </pic:nvPicPr>
                  <pic:blipFill>
                    <a:blip r:embed="rId13"/>
                    <a:stretch>
                      <a:fillRect/>
                    </a:stretch>
                  </pic:blipFill>
                  <pic:spPr>
                    <a:xfrm>
                      <a:off x="0" y="0"/>
                      <a:ext cx="3771900" cy="2247900"/>
                    </a:xfrm>
                    <a:prstGeom prst="rect">
                      <a:avLst/>
                    </a:prstGeom>
                    <a:noFill/>
                    <a:ln w="9525" cap="flat" cmpd="sng">
                      <a:noFill/>
                      <a:prstDash val="solid"/>
                      <a:round/>
                    </a:ln>
                  </pic:spPr>
                </pic:pic>
              </a:graphicData>
            </a:graphic>
          </wp:anchor>
        </w:drawing>
      </w:r>
      <w:r>
        <w:rPr>
          <w:rFonts w:hint="eastAsia" w:ascii="仿宋_GB2312" w:hAnsi="仿宋_GB2312" w:eastAsia="仿宋_GB2312" w:cs="仿宋_GB2312"/>
          <w:b w:val="0"/>
          <w:bCs/>
          <w:i w:val="0"/>
          <w:iCs w:val="0"/>
          <w:caps w:val="0"/>
          <w:smallCaps w:val="0"/>
          <w:color w:val="auto"/>
          <w:spacing w:val="0"/>
          <w:sz w:val="32"/>
          <w:szCs w:val="32"/>
        </w:rPr>
        <w:t>2021年“三公”经费财政拨款支出决算中，因公出国（境）费支出决算0万元，占0%；公务用车购置及运行维护费支出决算0万元，占0%；公务接待费支出决算0.75万元，占100%。具体情况如下：</w:t>
      </w:r>
      <w:r>
        <w:rPr>
          <w:rFonts w:hint="eastAsia" w:ascii="仿宋_GB2312" w:hAnsi="仿宋_GB2312" w:eastAsia="仿宋_GB2312" w:cs="仿宋_GB2312"/>
          <w:b w:val="0"/>
          <w:bCs/>
          <w:i w:val="0"/>
          <w:iCs w:val="0"/>
          <w:caps w:val="0"/>
          <w:smallCaps w:val="0"/>
          <w:color w:val="auto"/>
          <w:spacing w:val="0"/>
          <w:sz w:val="32"/>
          <w:szCs w:val="32"/>
          <w:lang w:val="en-US" w:eastAsia="zh-CN"/>
        </w:rPr>
        <w:t xml:space="preserve">          </w:t>
      </w:r>
      <w:r>
        <w:rPr>
          <w:rFonts w:hint="eastAsia" w:ascii="仿宋_GB2312" w:hAnsi="仿宋_GB2312" w:eastAsia="仿宋_GB2312" w:cs="仿宋_GB2312"/>
          <w:b w:val="0"/>
          <w:bCs/>
          <w:i w:val="0"/>
          <w:iCs w:val="0"/>
          <w:caps w:val="0"/>
          <w:smallCaps w:val="0"/>
          <w:color w:val="555555"/>
          <w:spacing w:val="0"/>
          <w:sz w:val="32"/>
          <w:szCs w:val="32"/>
        </w:rPr>
        <w:t>（图7：“三公”经费财政拨款支出结构）</w:t>
      </w:r>
    </w:p>
    <w:p>
      <w:pPr>
        <w:pStyle w:val="1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Style w:val="15"/>
          <w:rFonts w:hint="eastAsia" w:ascii="仿宋_GB2312" w:hAnsi="仿宋_GB2312" w:eastAsia="仿宋_GB2312" w:cs="仿宋_GB2312"/>
          <w:b w:val="0"/>
          <w:bCs/>
          <w:i w:val="0"/>
          <w:iCs w:val="0"/>
          <w:caps w:val="0"/>
          <w:smallCaps w:val="0"/>
          <w:color w:val="auto"/>
          <w:spacing w:val="0"/>
          <w:sz w:val="32"/>
          <w:szCs w:val="32"/>
        </w:rPr>
      </w:pPr>
      <w:r>
        <w:rPr>
          <w:rStyle w:val="15"/>
          <w:rFonts w:hint="eastAsia" w:ascii="仿宋_GB2312" w:hAnsi="仿宋_GB2312" w:eastAsia="仿宋_GB2312" w:cs="仿宋_GB2312"/>
          <w:b w:val="0"/>
          <w:bCs/>
          <w:i w:val="0"/>
          <w:iCs w:val="0"/>
          <w:caps w:val="0"/>
          <w:smallCaps w:val="0"/>
          <w:color w:val="auto"/>
          <w:spacing w:val="0"/>
          <w:sz w:val="32"/>
          <w:szCs w:val="32"/>
        </w:rPr>
        <w:t>1.因公出国（境）经费支出0万元，年初未安排预算。决算数较2020年无变化。</w:t>
      </w:r>
    </w:p>
    <w:p>
      <w:pPr>
        <w:pStyle w:val="1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Style w:val="15"/>
          <w:rFonts w:hint="eastAsia" w:ascii="仿宋_GB2312" w:hAnsi="仿宋_GB2312" w:eastAsia="仿宋_GB2312" w:cs="仿宋_GB2312"/>
          <w:b w:val="0"/>
          <w:bCs/>
          <w:i w:val="0"/>
          <w:iCs w:val="0"/>
          <w:caps w:val="0"/>
          <w:smallCaps w:val="0"/>
          <w:color w:val="auto"/>
          <w:spacing w:val="0"/>
          <w:sz w:val="32"/>
          <w:szCs w:val="32"/>
        </w:rPr>
      </w:pPr>
      <w:r>
        <w:rPr>
          <w:rStyle w:val="15"/>
          <w:rFonts w:hint="eastAsia" w:ascii="仿宋_GB2312" w:hAnsi="仿宋_GB2312" w:eastAsia="仿宋_GB2312" w:cs="仿宋_GB2312"/>
          <w:b w:val="0"/>
          <w:bCs/>
          <w:i w:val="0"/>
          <w:iCs w:val="0"/>
          <w:caps w:val="0"/>
          <w:smallCaps w:val="0"/>
          <w:color w:val="auto"/>
          <w:spacing w:val="0"/>
          <w:sz w:val="32"/>
          <w:szCs w:val="32"/>
        </w:rPr>
        <w:t>2.公务用车购置及运行维护费支出0万元,年初未安排预算。公务用车购置及运行维护费支出决算较2020年无变化。</w:t>
      </w:r>
    </w:p>
    <w:p>
      <w:pPr>
        <w:pStyle w:val="1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Style w:val="15"/>
          <w:rFonts w:hint="eastAsia" w:ascii="仿宋_GB2312" w:hAnsi="仿宋_GB2312" w:eastAsia="仿宋_GB2312" w:cs="仿宋_GB2312"/>
          <w:b w:val="0"/>
          <w:bCs/>
          <w:i w:val="0"/>
          <w:iCs w:val="0"/>
          <w:caps w:val="0"/>
          <w:smallCaps w:val="0"/>
          <w:color w:val="auto"/>
          <w:spacing w:val="0"/>
          <w:sz w:val="32"/>
          <w:szCs w:val="32"/>
        </w:rPr>
      </w:pPr>
      <w:r>
        <w:rPr>
          <w:rStyle w:val="15"/>
          <w:rFonts w:hint="eastAsia" w:ascii="仿宋_GB2312" w:hAnsi="仿宋_GB2312" w:eastAsia="仿宋_GB2312" w:cs="仿宋_GB2312"/>
          <w:b w:val="0"/>
          <w:bCs/>
          <w:i w:val="0"/>
          <w:iCs w:val="0"/>
          <w:caps w:val="0"/>
          <w:smallCaps w:val="0"/>
          <w:color w:val="auto"/>
          <w:spacing w:val="0"/>
          <w:sz w:val="32"/>
          <w:szCs w:val="32"/>
        </w:rPr>
        <w:t>其中：公务用车购置支出0万元。截至2021年12月底，单位共有公务用车0辆。</w:t>
      </w:r>
    </w:p>
    <w:p>
      <w:pPr>
        <w:pStyle w:val="1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Style w:val="15"/>
          <w:rFonts w:hint="eastAsia" w:ascii="仿宋_GB2312" w:hAnsi="仿宋_GB2312" w:eastAsia="仿宋_GB2312" w:cs="仿宋_GB2312"/>
          <w:b w:val="0"/>
          <w:bCs/>
          <w:i w:val="0"/>
          <w:iCs w:val="0"/>
          <w:caps w:val="0"/>
          <w:smallCaps w:val="0"/>
          <w:color w:val="auto"/>
          <w:spacing w:val="0"/>
          <w:sz w:val="32"/>
          <w:szCs w:val="32"/>
        </w:rPr>
      </w:pPr>
      <w:r>
        <w:rPr>
          <w:rStyle w:val="15"/>
          <w:rFonts w:hint="eastAsia" w:ascii="仿宋_GB2312" w:hAnsi="仿宋_GB2312" w:eastAsia="仿宋_GB2312" w:cs="仿宋_GB2312"/>
          <w:b w:val="0"/>
          <w:bCs/>
          <w:i w:val="0"/>
          <w:iCs w:val="0"/>
          <w:caps w:val="0"/>
          <w:smallCaps w:val="0"/>
          <w:color w:val="auto"/>
          <w:spacing w:val="0"/>
          <w:sz w:val="32"/>
          <w:szCs w:val="32"/>
        </w:rPr>
        <w:t>公务用车运行维护费支出0万元。</w:t>
      </w:r>
    </w:p>
    <w:p>
      <w:pPr>
        <w:pStyle w:val="1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Style w:val="15"/>
          <w:rFonts w:hint="eastAsia" w:ascii="仿宋_GB2312" w:hAnsi="仿宋_GB2312" w:eastAsia="仿宋_GB2312" w:cs="仿宋_GB2312"/>
          <w:b w:val="0"/>
          <w:bCs/>
          <w:i w:val="0"/>
          <w:iCs w:val="0"/>
          <w:caps w:val="0"/>
          <w:smallCaps w:val="0"/>
          <w:color w:val="auto"/>
          <w:spacing w:val="0"/>
          <w:sz w:val="32"/>
          <w:szCs w:val="32"/>
        </w:rPr>
      </w:pPr>
      <w:r>
        <w:rPr>
          <w:rStyle w:val="15"/>
          <w:rFonts w:hint="eastAsia" w:ascii="仿宋_GB2312" w:hAnsi="仿宋_GB2312" w:eastAsia="仿宋_GB2312" w:cs="仿宋_GB2312"/>
          <w:b w:val="0"/>
          <w:bCs/>
          <w:i w:val="0"/>
          <w:iCs w:val="0"/>
          <w:caps w:val="0"/>
          <w:smallCaps w:val="0"/>
          <w:color w:val="auto"/>
          <w:spacing w:val="0"/>
          <w:sz w:val="32"/>
          <w:szCs w:val="32"/>
          <w:lang w:val="en-US" w:eastAsia="zh-CN"/>
        </w:rPr>
        <w:t>3、</w:t>
      </w:r>
      <w:r>
        <w:rPr>
          <w:rStyle w:val="15"/>
          <w:rFonts w:hint="eastAsia" w:ascii="仿宋_GB2312" w:hAnsi="仿宋_GB2312" w:eastAsia="仿宋_GB2312" w:cs="仿宋_GB2312"/>
          <w:b w:val="0"/>
          <w:bCs/>
          <w:i w:val="0"/>
          <w:iCs w:val="0"/>
          <w:caps w:val="0"/>
          <w:smallCaps w:val="0"/>
          <w:color w:val="auto"/>
          <w:spacing w:val="0"/>
          <w:sz w:val="32"/>
          <w:szCs w:val="32"/>
        </w:rPr>
        <w:t>公务接待费支出0.75万元，完成预算93.75%。公务接待费支出决算比2020年增加0.14万元，增长22.89%。主要原因是正常公务接待增加。</w:t>
      </w:r>
    </w:p>
    <w:p>
      <w:pPr>
        <w:pStyle w:val="1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Style w:val="15"/>
          <w:rFonts w:hint="eastAsia" w:ascii="仿宋_GB2312" w:hAnsi="仿宋_GB2312" w:eastAsia="仿宋_GB2312" w:cs="仿宋_GB2312"/>
          <w:b w:val="0"/>
          <w:bCs/>
          <w:i w:val="0"/>
          <w:iCs w:val="0"/>
          <w:caps w:val="0"/>
          <w:smallCaps w:val="0"/>
          <w:color w:val="auto"/>
          <w:spacing w:val="0"/>
          <w:sz w:val="32"/>
          <w:szCs w:val="32"/>
        </w:rPr>
      </w:pPr>
      <w:r>
        <w:rPr>
          <w:rStyle w:val="15"/>
          <w:rFonts w:hint="eastAsia" w:ascii="仿宋_GB2312" w:hAnsi="仿宋_GB2312" w:eastAsia="仿宋_GB2312" w:cs="仿宋_GB2312"/>
          <w:b w:val="0"/>
          <w:bCs/>
          <w:i w:val="0"/>
          <w:iCs w:val="0"/>
          <w:caps w:val="0"/>
          <w:smallCaps w:val="0"/>
          <w:color w:val="auto"/>
          <w:spacing w:val="0"/>
          <w:sz w:val="32"/>
          <w:szCs w:val="32"/>
        </w:rPr>
        <w:t>国内公务接待支出0.75万元，主要用于执行公务、开展业务活动开支的交通费、住宿费、用餐费等。国内公务接待7批次，50人次（不包括陪同人员），共计支出0.75万元。</w:t>
      </w:r>
    </w:p>
    <w:p>
      <w:pPr>
        <w:pStyle w:val="1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Style w:val="15"/>
          <w:rFonts w:hint="eastAsia" w:ascii="仿宋_GB2312" w:hAnsi="仿宋_GB2312" w:eastAsia="仿宋_GB2312" w:cs="仿宋_GB2312"/>
          <w:b w:val="0"/>
          <w:bCs/>
          <w:i w:val="0"/>
          <w:iCs w:val="0"/>
          <w:caps w:val="0"/>
          <w:smallCaps w:val="0"/>
          <w:color w:val="auto"/>
          <w:spacing w:val="0"/>
          <w:sz w:val="32"/>
          <w:szCs w:val="32"/>
        </w:rPr>
      </w:pPr>
      <w:r>
        <w:rPr>
          <w:rStyle w:val="15"/>
          <w:rFonts w:hint="eastAsia" w:ascii="仿宋_GB2312" w:hAnsi="仿宋_GB2312" w:eastAsia="仿宋_GB2312" w:cs="仿宋_GB2312"/>
          <w:b w:val="0"/>
          <w:bCs/>
          <w:i w:val="0"/>
          <w:iCs w:val="0"/>
          <w:caps w:val="0"/>
          <w:smallCaps w:val="0"/>
          <w:color w:val="auto"/>
          <w:spacing w:val="0"/>
          <w:sz w:val="32"/>
          <w:szCs w:val="32"/>
        </w:rPr>
        <w:t>外事接待支出0万元。</w:t>
      </w:r>
    </w:p>
    <w:p>
      <w:pPr>
        <w:pStyle w:val="1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黑体" w:hAnsi="黑体" w:eastAsia="黑体" w:cs="黑体"/>
          <w:b w:val="0"/>
          <w:bCs/>
          <w:color w:val="auto"/>
          <w:sz w:val="32"/>
          <w:szCs w:val="32"/>
        </w:rPr>
      </w:pPr>
      <w:r>
        <w:rPr>
          <w:rFonts w:hint="eastAsia" w:ascii="黑体" w:hAnsi="黑体" w:eastAsia="黑体" w:cs="黑体"/>
          <w:b w:val="0"/>
          <w:bCs/>
          <w:i w:val="0"/>
          <w:iCs w:val="0"/>
          <w:caps w:val="0"/>
          <w:smallCaps w:val="0"/>
          <w:color w:val="auto"/>
          <w:spacing w:val="0"/>
          <w:sz w:val="32"/>
          <w:szCs w:val="32"/>
        </w:rPr>
        <w:t>八、政府性基金预算支出决算情况说明</w:t>
      </w:r>
    </w:p>
    <w:p>
      <w:pPr>
        <w:pStyle w:val="1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仿宋_GB2312" w:hAnsi="仿宋_GB2312" w:eastAsia="仿宋_GB2312" w:cs="仿宋_GB2312"/>
          <w:b w:val="0"/>
          <w:bCs/>
          <w:i w:val="0"/>
          <w:iCs w:val="0"/>
          <w:caps w:val="0"/>
          <w:smallCaps w:val="0"/>
          <w:color w:val="auto"/>
          <w:spacing w:val="0"/>
          <w:sz w:val="32"/>
          <w:szCs w:val="32"/>
        </w:rPr>
      </w:pPr>
      <w:r>
        <w:rPr>
          <w:rFonts w:hint="eastAsia" w:ascii="仿宋_GB2312" w:hAnsi="仿宋_GB2312" w:eastAsia="仿宋_GB2312" w:cs="仿宋_GB2312"/>
          <w:b w:val="0"/>
          <w:bCs/>
          <w:i w:val="0"/>
          <w:iCs w:val="0"/>
          <w:caps w:val="0"/>
          <w:smallCaps w:val="0"/>
          <w:color w:val="auto"/>
          <w:spacing w:val="0"/>
          <w:sz w:val="32"/>
          <w:szCs w:val="32"/>
        </w:rPr>
        <w:t>2021年政府性基金预算财政拨款支出0万元。2021年本单位未在政府性基金预算拨款安排“三公经费”支出。</w:t>
      </w:r>
    </w:p>
    <w:p>
      <w:pPr>
        <w:pStyle w:val="1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黑体" w:hAnsi="黑体" w:eastAsia="黑体" w:cs="黑体"/>
          <w:b w:val="0"/>
          <w:bCs/>
          <w:i w:val="0"/>
          <w:iCs w:val="0"/>
          <w:caps w:val="0"/>
          <w:smallCaps w:val="0"/>
          <w:color w:val="auto"/>
          <w:spacing w:val="0"/>
          <w:sz w:val="32"/>
          <w:szCs w:val="32"/>
        </w:rPr>
      </w:pPr>
      <w:bookmarkStart w:id="34" w:name="_Toc15377219"/>
      <w:bookmarkStart w:id="35" w:name="_Toc15396611"/>
      <w:r>
        <w:rPr>
          <w:rFonts w:hint="eastAsia" w:ascii="黑体" w:hAnsi="黑体" w:eastAsia="黑体" w:cs="黑体"/>
          <w:b w:val="0"/>
          <w:bCs/>
          <w:i w:val="0"/>
          <w:iCs w:val="0"/>
          <w:caps w:val="0"/>
          <w:smallCaps w:val="0"/>
          <w:color w:val="auto"/>
          <w:spacing w:val="0"/>
          <w:sz w:val="32"/>
          <w:szCs w:val="32"/>
        </w:rPr>
        <w:t>九、国有资本经营预算支出决算情况说明</w:t>
      </w:r>
      <w:bookmarkEnd w:id="34"/>
      <w:bookmarkEnd w:id="35"/>
    </w:p>
    <w:p>
      <w:pPr>
        <w:pStyle w:val="1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仿宋_GB2312" w:hAnsi="仿宋_GB2312" w:eastAsia="仿宋_GB2312" w:cs="仿宋_GB2312"/>
          <w:b w:val="0"/>
          <w:bCs/>
          <w:i w:val="0"/>
          <w:iCs w:val="0"/>
          <w:caps w:val="0"/>
          <w:smallCaps w:val="0"/>
          <w:color w:val="auto"/>
          <w:spacing w:val="0"/>
          <w:sz w:val="32"/>
          <w:szCs w:val="32"/>
        </w:rPr>
      </w:pPr>
      <w:r>
        <w:rPr>
          <w:rFonts w:hint="eastAsia" w:ascii="仿宋_GB2312" w:hAnsi="仿宋_GB2312" w:eastAsia="仿宋_GB2312" w:cs="仿宋_GB2312"/>
          <w:b w:val="0"/>
          <w:bCs/>
          <w:i w:val="0"/>
          <w:iCs w:val="0"/>
          <w:caps w:val="0"/>
          <w:smallCaps w:val="0"/>
          <w:color w:val="auto"/>
          <w:spacing w:val="0"/>
          <w:sz w:val="32"/>
          <w:szCs w:val="32"/>
        </w:rPr>
        <w:t>20</w:t>
      </w:r>
      <w:r>
        <w:rPr>
          <w:rFonts w:hint="eastAsia" w:ascii="仿宋_GB2312" w:hAnsi="仿宋_GB2312" w:eastAsia="仿宋_GB2312" w:cs="仿宋_GB2312"/>
          <w:b w:val="0"/>
          <w:bCs/>
          <w:i w:val="0"/>
          <w:iCs w:val="0"/>
          <w:caps w:val="0"/>
          <w:smallCaps w:val="0"/>
          <w:color w:val="auto"/>
          <w:spacing w:val="0"/>
          <w:sz w:val="32"/>
          <w:szCs w:val="32"/>
          <w:lang w:val="en-US" w:eastAsia="zh-CN"/>
        </w:rPr>
        <w:t>21</w:t>
      </w:r>
      <w:r>
        <w:rPr>
          <w:rFonts w:hint="eastAsia" w:ascii="仿宋_GB2312" w:hAnsi="仿宋_GB2312" w:eastAsia="仿宋_GB2312" w:cs="仿宋_GB2312"/>
          <w:b w:val="0"/>
          <w:bCs/>
          <w:i w:val="0"/>
          <w:iCs w:val="0"/>
          <w:caps w:val="0"/>
          <w:smallCaps w:val="0"/>
          <w:color w:val="auto"/>
          <w:spacing w:val="0"/>
          <w:sz w:val="32"/>
          <w:szCs w:val="32"/>
        </w:rPr>
        <w:t>年国有资本经营预算</w:t>
      </w:r>
      <w:r>
        <w:rPr>
          <w:rFonts w:hint="eastAsia" w:ascii="仿宋_GB2312" w:hAnsi="仿宋_GB2312" w:eastAsia="仿宋_GB2312" w:cs="仿宋_GB2312"/>
          <w:b w:val="0"/>
          <w:bCs/>
          <w:i w:val="0"/>
          <w:iCs w:val="0"/>
          <w:caps w:val="0"/>
          <w:smallCaps w:val="0"/>
          <w:color w:val="auto"/>
          <w:spacing w:val="0"/>
          <w:sz w:val="32"/>
          <w:szCs w:val="32"/>
          <w:lang w:eastAsia="zh-CN"/>
        </w:rPr>
        <w:t>财政</w:t>
      </w:r>
      <w:r>
        <w:rPr>
          <w:rFonts w:hint="eastAsia" w:ascii="仿宋_GB2312" w:hAnsi="仿宋_GB2312" w:eastAsia="仿宋_GB2312" w:cs="仿宋_GB2312"/>
          <w:b w:val="0"/>
          <w:bCs/>
          <w:i w:val="0"/>
          <w:iCs w:val="0"/>
          <w:caps w:val="0"/>
          <w:smallCaps w:val="0"/>
          <w:color w:val="auto"/>
          <w:spacing w:val="0"/>
          <w:sz w:val="32"/>
          <w:szCs w:val="32"/>
        </w:rPr>
        <w:t>拨款支出0万元。</w:t>
      </w:r>
    </w:p>
    <w:p>
      <w:pPr>
        <w:pStyle w:val="1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黑体" w:hAnsi="黑体" w:eastAsia="黑体" w:cs="黑体"/>
          <w:b w:val="0"/>
          <w:bCs/>
          <w:i w:val="0"/>
          <w:iCs w:val="0"/>
          <w:caps w:val="0"/>
          <w:smallCaps w:val="0"/>
          <w:color w:val="auto"/>
          <w:spacing w:val="0"/>
          <w:sz w:val="32"/>
          <w:szCs w:val="32"/>
        </w:rPr>
      </w:pPr>
      <w:bookmarkStart w:id="36" w:name="_Toc15396612"/>
      <w:bookmarkStart w:id="37" w:name="_Toc15377221"/>
      <w:r>
        <w:rPr>
          <w:rFonts w:hint="eastAsia" w:ascii="黑体" w:hAnsi="黑体" w:eastAsia="黑体" w:cs="黑体"/>
          <w:b w:val="0"/>
          <w:bCs/>
          <w:i w:val="0"/>
          <w:iCs w:val="0"/>
          <w:caps w:val="0"/>
          <w:smallCaps w:val="0"/>
          <w:color w:val="auto"/>
          <w:spacing w:val="0"/>
          <w:sz w:val="32"/>
          <w:szCs w:val="32"/>
          <w:lang w:val="en-US" w:eastAsia="zh-CN"/>
        </w:rPr>
        <w:t>十、预算绩效管理情况</w:t>
      </w:r>
    </w:p>
    <w:p>
      <w:pPr>
        <w:pStyle w:val="1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i w:val="0"/>
          <w:iCs w:val="0"/>
          <w:caps w:val="0"/>
          <w:smallCaps w:val="0"/>
          <w:color w:val="auto"/>
          <w:spacing w:val="0"/>
          <w:sz w:val="32"/>
          <w:szCs w:val="32"/>
        </w:rPr>
        <w:t>根据预算绩效管理要求，本单位在2021年度预算编制阶段，组织对民主党派专项经费、换届经费项目等2个项目开展了预算事前绩效评估，对2个项目编制了绩效目标，预算执行过程中，选取2个项目开展绩效监控，年终执行完毕后，对2个项目开展了绩效自评，2021年部门预算项目绩效目标自评见附件（第四部分）。</w:t>
      </w:r>
    </w:p>
    <w:p>
      <w:pPr>
        <w:pStyle w:val="1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黑体" w:hAnsi="黑体" w:eastAsia="黑体" w:cs="黑体"/>
          <w:b w:val="0"/>
          <w:bCs/>
          <w:i w:val="0"/>
          <w:iCs w:val="0"/>
          <w:caps w:val="0"/>
          <w:smallCaps w:val="0"/>
          <w:color w:val="auto"/>
          <w:spacing w:val="0"/>
          <w:sz w:val="32"/>
          <w:szCs w:val="32"/>
        </w:rPr>
      </w:pPr>
      <w:r>
        <w:rPr>
          <w:rFonts w:hint="eastAsia" w:ascii="黑体" w:hAnsi="黑体" w:eastAsia="黑体" w:cs="黑体"/>
          <w:b w:val="0"/>
          <w:bCs/>
          <w:i w:val="0"/>
          <w:iCs w:val="0"/>
          <w:caps w:val="0"/>
          <w:smallCaps w:val="0"/>
          <w:color w:val="auto"/>
          <w:spacing w:val="0"/>
          <w:sz w:val="32"/>
          <w:szCs w:val="32"/>
        </w:rPr>
        <w:t>十一、其他重要事项的情况说明</w:t>
      </w:r>
      <w:bookmarkEnd w:id="36"/>
      <w:bookmarkEnd w:id="37"/>
    </w:p>
    <w:p>
      <w:pPr>
        <w:pStyle w:val="1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仿宋_GB2312" w:hAnsi="仿宋_GB2312" w:eastAsia="仿宋_GB2312" w:cs="仿宋_GB2312"/>
          <w:b w:val="0"/>
          <w:bCs/>
          <w:color w:val="auto"/>
          <w:sz w:val="32"/>
          <w:szCs w:val="32"/>
        </w:rPr>
      </w:pPr>
      <w:r>
        <w:rPr>
          <w:rStyle w:val="15"/>
          <w:rFonts w:hint="eastAsia" w:ascii="仿宋_GB2312" w:hAnsi="仿宋_GB2312" w:eastAsia="仿宋_GB2312" w:cs="仿宋_GB2312"/>
          <w:b w:val="0"/>
          <w:bCs/>
          <w:i w:val="0"/>
          <w:iCs w:val="0"/>
          <w:caps w:val="0"/>
          <w:smallCaps w:val="0"/>
          <w:color w:val="auto"/>
          <w:spacing w:val="0"/>
          <w:sz w:val="32"/>
          <w:szCs w:val="32"/>
        </w:rPr>
        <w:t>（一）机关运行经费支出情况</w:t>
      </w:r>
    </w:p>
    <w:p>
      <w:pPr>
        <w:pStyle w:val="1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i w:val="0"/>
          <w:iCs w:val="0"/>
          <w:caps w:val="0"/>
          <w:smallCaps w:val="0"/>
          <w:color w:val="auto"/>
          <w:spacing w:val="0"/>
          <w:sz w:val="32"/>
          <w:szCs w:val="32"/>
        </w:rPr>
        <w:t>2021年，机关运行经费支出12.84万元，比2020年增减少8.71万元，下降40.41%。主要原因是厉行节约，经费减少。</w:t>
      </w:r>
    </w:p>
    <w:p>
      <w:pPr>
        <w:pStyle w:val="1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仿宋_GB2312" w:hAnsi="仿宋_GB2312" w:eastAsia="仿宋_GB2312" w:cs="仿宋_GB2312"/>
          <w:b w:val="0"/>
          <w:bCs/>
          <w:color w:val="auto"/>
          <w:sz w:val="32"/>
          <w:szCs w:val="32"/>
        </w:rPr>
      </w:pPr>
      <w:r>
        <w:rPr>
          <w:rStyle w:val="15"/>
          <w:rFonts w:hint="eastAsia" w:ascii="仿宋_GB2312" w:hAnsi="仿宋_GB2312" w:eastAsia="仿宋_GB2312" w:cs="仿宋_GB2312"/>
          <w:b w:val="0"/>
          <w:bCs/>
          <w:i w:val="0"/>
          <w:iCs w:val="0"/>
          <w:caps w:val="0"/>
          <w:smallCaps w:val="0"/>
          <w:color w:val="auto"/>
          <w:spacing w:val="0"/>
          <w:sz w:val="32"/>
          <w:szCs w:val="32"/>
        </w:rPr>
        <w:t>（二）政府采购支出情况</w:t>
      </w:r>
    </w:p>
    <w:p>
      <w:pPr>
        <w:pStyle w:val="1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i w:val="0"/>
          <w:iCs w:val="0"/>
          <w:caps w:val="0"/>
          <w:smallCaps w:val="0"/>
          <w:color w:val="auto"/>
          <w:spacing w:val="0"/>
          <w:sz w:val="32"/>
          <w:szCs w:val="32"/>
        </w:rPr>
        <w:t>2021年，政府采购支出总额0万元。</w:t>
      </w:r>
    </w:p>
    <w:p>
      <w:pPr>
        <w:pStyle w:val="1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仿宋_GB2312" w:hAnsi="仿宋_GB2312" w:eastAsia="仿宋_GB2312" w:cs="仿宋_GB2312"/>
          <w:b w:val="0"/>
          <w:bCs/>
          <w:color w:val="auto"/>
          <w:sz w:val="32"/>
          <w:szCs w:val="32"/>
        </w:rPr>
      </w:pPr>
      <w:r>
        <w:rPr>
          <w:rStyle w:val="15"/>
          <w:rFonts w:hint="eastAsia" w:ascii="仿宋_GB2312" w:hAnsi="仿宋_GB2312" w:eastAsia="仿宋_GB2312" w:cs="仿宋_GB2312"/>
          <w:b w:val="0"/>
          <w:bCs/>
          <w:i w:val="0"/>
          <w:iCs w:val="0"/>
          <w:caps w:val="0"/>
          <w:smallCaps w:val="0"/>
          <w:color w:val="auto"/>
          <w:spacing w:val="0"/>
          <w:sz w:val="32"/>
          <w:szCs w:val="32"/>
        </w:rPr>
        <w:t>（三）国有资产占有使用情况</w:t>
      </w:r>
    </w:p>
    <w:p>
      <w:pPr>
        <w:pStyle w:val="1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val="0"/>
          <w:bCs/>
          <w:i w:val="0"/>
          <w:iCs w:val="0"/>
          <w:caps w:val="0"/>
          <w:smallCaps w:val="0"/>
          <w:color w:val="auto"/>
          <w:spacing w:val="0"/>
          <w:sz w:val="32"/>
          <w:szCs w:val="32"/>
        </w:rPr>
        <w:t>截至2021年12月31日，共有车辆0辆。单价50万元以上通用设备0台（套），单价100万元以上专用设备0台（套）。</w:t>
      </w:r>
    </w:p>
    <w:p>
      <w:pPr>
        <w:widowControl/>
        <w:jc w:val="left"/>
        <w:rPr>
          <w:rFonts w:ascii="仿宋_GB2312" w:eastAsia="仿宋_GB2312"/>
          <w:b/>
          <w:color w:val="auto"/>
          <w:sz w:val="32"/>
          <w:szCs w:val="32"/>
          <w:highlight w:val="none"/>
        </w:rPr>
      </w:pPr>
      <w:r>
        <w:rPr>
          <w:rFonts w:ascii="仿宋_GB2312" w:eastAsia="仿宋_GB2312"/>
          <w:b/>
          <w:color w:val="auto"/>
          <w:sz w:val="32"/>
          <w:szCs w:val="32"/>
          <w:highlight w:val="none"/>
        </w:rPr>
        <w:br w:type="page"/>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sz w:val="44"/>
          <w:szCs w:val="44"/>
        </w:rPr>
      </w:pPr>
      <w:bookmarkStart w:id="38" w:name="_Toc15396613"/>
      <w:bookmarkStart w:id="39" w:name="_Toc15377225"/>
      <w:r>
        <w:rPr>
          <w:rFonts w:hint="eastAsia" w:ascii="方正小标宋简体" w:hAnsi="方正小标宋简体" w:eastAsia="方正小标宋简体" w:cs="方正小标宋简体"/>
          <w:sz w:val="44"/>
          <w:szCs w:val="44"/>
          <w:lang w:eastAsia="zh-CN"/>
        </w:rPr>
        <w:t>第三部分</w:t>
      </w:r>
      <w:r>
        <w:rPr>
          <w:rFonts w:hint="eastAsia" w:ascii="方正小标宋简体" w:hAnsi="方正小标宋简体" w:eastAsia="方正小标宋简体" w:cs="方正小标宋简体"/>
          <w:sz w:val="44"/>
          <w:szCs w:val="44"/>
          <w:lang w:val="en-US" w:eastAsia="zh-CN"/>
        </w:rPr>
        <w:t xml:space="preserve">  </w:t>
      </w:r>
      <w:r>
        <w:rPr>
          <w:rFonts w:hint="eastAsia" w:ascii="方正小标宋简体" w:hAnsi="方正小标宋简体" w:eastAsia="方正小标宋简体" w:cs="方正小标宋简体"/>
          <w:sz w:val="44"/>
          <w:szCs w:val="44"/>
        </w:rPr>
        <w:t>名词解释</w:t>
      </w:r>
      <w:bookmarkEnd w:id="38"/>
      <w:bookmarkEnd w:id="39"/>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1.财政拨款收入：指单位从同级财政部门取得的财政预算资金。</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2.其他收入：指单位取得的除上述收入以外的各项收入。主要是利息收入。</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3.年初结转和结余：指以前年度尚未完成、结转到本年按有关规定继续使用的资金。</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4、年末结转和结余：指单位按有关规定结转到下年或以后年度继续使用的资金。</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5.一般公共服务（类）民主党派及工商联事务（款）行政运行（项）：指反映行政单位（包括实行公务员管理的事业单位）的基本支出。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6.一般公共服务（类）民主党派及工商联事务（款）  一般行政管理事务（项）：指反映行政单位（包括实行公务员管理的事业单位）未单独设置项级科目的其他项目支出。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7.社会保障和就业（类）行政事业单位离退休（款）机关事业单位基本养老保险缴费支出（项）：指反映机关事业单位实施养老保险制度由单位缴纳的基本养老保险费支出。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w:t>
      </w:r>
      <w:r>
        <w:rPr>
          <w:rFonts w:hint="eastAsia" w:ascii="仿宋_GB2312" w:hAnsi="仿宋_GB2312" w:eastAsia="仿宋_GB2312" w:cs="仿宋_GB2312"/>
          <w:sz w:val="32"/>
          <w:szCs w:val="32"/>
          <w:lang w:eastAsia="zh-CN"/>
        </w:rPr>
        <w:t>社会保障和就业支出（类）行政事业单位养老支出</w:t>
      </w:r>
      <w:r>
        <w:rPr>
          <w:rFonts w:hint="eastAsia" w:ascii="仿宋_GB2312" w:hAnsi="仿宋_GB2312" w:eastAsia="仿宋_GB2312" w:cs="仿宋_GB2312"/>
          <w:sz w:val="32"/>
          <w:szCs w:val="32"/>
        </w:rPr>
        <w:t>（款） 机关事业单位职业年金缴费支出（项）：指反映机关事业单位实施养老保险制度由单位实际缴纳的职业年金支出。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卫生健康支出（类）行政事业单位医疗（款）行政单位医疗（项）：指财政部门集中安排的事业单位基本医疗保险缴费经费，未参加医疗保险的事业单位的公费医疗经费，按国家规定享受离休人员待遇的医疗经费。</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住房保障支出（类）住房改革支出（款）住房公积金（项）：指反映行政事业单位按人力资源和社会保障部、财政部规定的基本工资和津贴补贴以及规定比例为职工缴纳的住房公积金。</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11.基本支出：指为保障机构正常运转、完成日常工作任务而发生的人员支出和公用支出。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12.项目支出：指在基本支出之外为完成特定行政任务和事业发展目标所发生的支出。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13.“三公”经费：指单位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14.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br w:type="page"/>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color w:val="auto"/>
          <w:sz w:val="44"/>
          <w:szCs w:val="44"/>
        </w:rPr>
      </w:pPr>
      <w:bookmarkStart w:id="40" w:name="_Toc15396614"/>
      <w:bookmarkStart w:id="41" w:name="_Toc15377226"/>
      <w:r>
        <w:rPr>
          <w:rFonts w:hint="eastAsia" w:ascii="方正小标宋简体" w:hAnsi="方正小标宋简体" w:eastAsia="方正小标宋简体" w:cs="方正小标宋简体"/>
          <w:color w:val="auto"/>
          <w:sz w:val="44"/>
          <w:szCs w:val="44"/>
        </w:rPr>
        <w:t xml:space="preserve">第四部分 </w:t>
      </w:r>
      <w:r>
        <w:rPr>
          <w:rFonts w:hint="eastAsia" w:ascii="方正小标宋简体" w:hAnsi="方正小标宋简体" w:eastAsia="方正小标宋简体" w:cs="方正小标宋简体"/>
          <w:color w:val="auto"/>
          <w:sz w:val="44"/>
          <w:szCs w:val="44"/>
          <w:lang w:val="en-US" w:eastAsia="zh-CN"/>
        </w:rPr>
        <w:t xml:space="preserve"> </w:t>
      </w:r>
      <w:r>
        <w:rPr>
          <w:rFonts w:hint="eastAsia" w:ascii="方正小标宋简体" w:hAnsi="方正小标宋简体" w:eastAsia="方正小标宋简体" w:cs="方正小标宋简体"/>
          <w:color w:val="auto"/>
          <w:sz w:val="44"/>
          <w:szCs w:val="44"/>
        </w:rPr>
        <w:t>附件</w:t>
      </w:r>
      <w:bookmarkEnd w:id="40"/>
    </w:p>
    <w:p>
      <w:pPr>
        <w:keepNext w:val="0"/>
        <w:keepLines w:val="0"/>
        <w:pageBreakBefore w:val="0"/>
        <w:widowControl w:val="0"/>
        <w:kinsoku/>
        <w:wordWrap/>
        <w:overflowPunct/>
        <w:topLinePunct w:val="0"/>
        <w:autoSpaceDE/>
        <w:autoSpaceDN/>
        <w:bidi w:val="0"/>
        <w:spacing w:line="600" w:lineRule="exact"/>
        <w:jc w:val="center"/>
        <w:textAlignment w:val="auto"/>
        <w:rPr>
          <w:rFonts w:hint="eastAsia" w:ascii="方正小标宋简体" w:eastAsia="方正小标宋简体" w:cs="方正小标宋简体"/>
          <w:color w:val="auto"/>
          <w:kern w:val="2"/>
          <w:sz w:val="40"/>
          <w:szCs w:val="40"/>
          <w:highlight w:val="none"/>
          <w:lang w:val="en-US" w:eastAsia="zh-CN" w:bidi="ar-SA"/>
        </w:rPr>
      </w:pPr>
    </w:p>
    <w:p>
      <w:pPr>
        <w:keepNext w:val="0"/>
        <w:keepLines w:val="0"/>
        <w:pageBreakBefore w:val="0"/>
        <w:widowControl w:val="0"/>
        <w:kinsoku/>
        <w:wordWrap/>
        <w:overflowPunct/>
        <w:topLinePunct w:val="0"/>
        <w:autoSpaceDE/>
        <w:autoSpaceDN/>
        <w:bidi w:val="0"/>
        <w:spacing w:line="576" w:lineRule="exact"/>
        <w:jc w:val="center"/>
        <w:textAlignment w:val="auto"/>
        <w:rPr>
          <w:rFonts w:hint="eastAsia" w:ascii="方正小标宋简体" w:hAnsi="方正小标宋简体" w:eastAsia="方正小标宋简体" w:cs="方正小标宋简体"/>
          <w:color w:val="auto"/>
          <w:kern w:val="2"/>
          <w:sz w:val="40"/>
          <w:szCs w:val="40"/>
          <w:highlight w:val="none"/>
          <w:lang w:val="zh-CN" w:eastAsia="zh-CN" w:bidi="ar-SA"/>
        </w:rPr>
      </w:pPr>
      <w:r>
        <w:rPr>
          <w:rFonts w:hint="eastAsia" w:ascii="方正小标宋简体" w:hAnsi="方正小标宋简体" w:eastAsia="方正小标宋简体" w:cs="方正小标宋简体"/>
          <w:color w:val="auto"/>
          <w:kern w:val="2"/>
          <w:sz w:val="40"/>
          <w:szCs w:val="40"/>
          <w:highlight w:val="none"/>
          <w:lang w:val="en-US" w:eastAsia="zh-CN" w:bidi="ar-SA"/>
        </w:rPr>
        <w:t>2022年</w:t>
      </w:r>
      <w:r>
        <w:rPr>
          <w:rFonts w:hint="eastAsia" w:ascii="方正小标宋简体" w:hAnsi="方正小标宋简体" w:eastAsia="方正小标宋简体" w:cs="方正小标宋简体"/>
          <w:color w:val="auto"/>
          <w:kern w:val="2"/>
          <w:sz w:val="40"/>
          <w:szCs w:val="40"/>
          <w:highlight w:val="none"/>
          <w:lang w:val="zh-CN" w:eastAsia="zh-CN" w:bidi="ar-SA"/>
        </w:rPr>
        <w:t>专项预算项目支出绩效自评报告范本</w:t>
      </w:r>
    </w:p>
    <w:p>
      <w:pPr>
        <w:keepNext w:val="0"/>
        <w:keepLines w:val="0"/>
        <w:pageBreakBefore w:val="0"/>
        <w:widowControl w:val="0"/>
        <w:kinsoku/>
        <w:wordWrap/>
        <w:overflowPunct/>
        <w:topLinePunct w:val="0"/>
        <w:autoSpaceDE/>
        <w:autoSpaceDN/>
        <w:bidi w:val="0"/>
        <w:spacing w:line="576" w:lineRule="exact"/>
        <w:jc w:val="center"/>
        <w:textAlignment w:val="auto"/>
        <w:rPr>
          <w:rFonts w:hint="eastAsia" w:ascii="楷体_GB2312" w:hAnsi="楷体_GB2312" w:eastAsia="楷体_GB2312" w:cs="楷体_GB2312"/>
          <w:color w:val="auto"/>
          <w:kern w:val="2"/>
          <w:sz w:val="32"/>
          <w:szCs w:val="32"/>
          <w:highlight w:val="none"/>
          <w:lang w:val="zh-CN" w:eastAsia="zh-CN" w:bidi="ar-SA"/>
        </w:rPr>
      </w:pPr>
      <w:r>
        <w:rPr>
          <w:rFonts w:hint="eastAsia" w:ascii="楷体_GB2312" w:hAnsi="楷体_GB2312" w:eastAsia="楷体_GB2312" w:cs="楷体_GB2312"/>
          <w:color w:val="auto"/>
          <w:kern w:val="2"/>
          <w:sz w:val="32"/>
          <w:szCs w:val="32"/>
          <w:highlight w:val="none"/>
          <w:lang w:val="zh-CN" w:eastAsia="zh-CN" w:bidi="ar-SA"/>
        </w:rPr>
        <w:t>（主管部门自评）</w:t>
      </w:r>
    </w:p>
    <w:p>
      <w:pPr>
        <w:keepNext w:val="0"/>
        <w:keepLines w:val="0"/>
        <w:pageBreakBefore w:val="0"/>
        <w:widowControl w:val="0"/>
        <w:kinsoku/>
        <w:wordWrap/>
        <w:overflowPunct/>
        <w:topLinePunct w:val="0"/>
        <w:autoSpaceDE/>
        <w:autoSpaceDN/>
        <w:bidi w:val="0"/>
        <w:spacing w:line="576" w:lineRule="exact"/>
        <w:ind w:left="0" w:firstLine="640" w:firstLineChars="200"/>
        <w:jc w:val="both"/>
        <w:textAlignment w:val="auto"/>
        <w:rPr>
          <w:rFonts w:hint="eastAsia" w:ascii="仿宋_GB2312" w:hAnsi="仿宋_GB2312" w:eastAsia="仿宋_GB2312" w:cs="仿宋_GB2312"/>
          <w:color w:val="auto"/>
          <w:kern w:val="2"/>
          <w:sz w:val="32"/>
          <w:szCs w:val="32"/>
          <w:highlight w:val="none"/>
          <w:lang w:val="zh-CN" w:eastAsia="zh-CN" w:bidi="ar-SA"/>
        </w:rPr>
      </w:pPr>
    </w:p>
    <w:p>
      <w:pPr>
        <w:keepNext w:val="0"/>
        <w:keepLines w:val="0"/>
        <w:pageBreakBefore w:val="0"/>
        <w:widowControl w:val="0"/>
        <w:kinsoku/>
        <w:wordWrap/>
        <w:overflowPunct/>
        <w:topLinePunct w:val="0"/>
        <w:autoSpaceDE/>
        <w:autoSpaceDN/>
        <w:bidi w:val="0"/>
        <w:adjustRightInd w:val="0"/>
        <w:snapToGrid w:val="0"/>
        <w:spacing w:line="576" w:lineRule="exact"/>
        <w:ind w:left="0" w:firstLine="640" w:firstLineChars="200"/>
        <w:jc w:val="both"/>
        <w:textAlignment w:val="auto"/>
        <w:rPr>
          <w:rFonts w:hint="eastAsia" w:ascii="黑体" w:hAnsi="黑体" w:eastAsia="黑体" w:cs="黑体"/>
          <w:color w:val="auto"/>
          <w:sz w:val="32"/>
          <w:szCs w:val="32"/>
          <w:highlight w:val="none"/>
          <w:lang w:val="zh-CN"/>
        </w:rPr>
      </w:pPr>
      <w:r>
        <w:rPr>
          <w:rFonts w:hint="eastAsia" w:ascii="黑体" w:hAnsi="黑体" w:eastAsia="黑体" w:cs="黑体"/>
          <w:color w:val="auto"/>
          <w:sz w:val="32"/>
          <w:szCs w:val="32"/>
          <w:highlight w:val="none"/>
        </w:rPr>
        <w:t>一、</w:t>
      </w:r>
      <w:r>
        <w:rPr>
          <w:rFonts w:hint="eastAsia" w:ascii="黑体" w:hAnsi="黑体" w:eastAsia="黑体" w:cs="黑体"/>
          <w:color w:val="auto"/>
          <w:sz w:val="32"/>
          <w:szCs w:val="32"/>
          <w:highlight w:val="none"/>
          <w:lang w:val="zh-CN"/>
        </w:rPr>
        <w:t>项目概况</w:t>
      </w:r>
    </w:p>
    <w:p>
      <w:pPr>
        <w:keepNext w:val="0"/>
        <w:keepLines w:val="0"/>
        <w:pageBreakBefore w:val="0"/>
        <w:widowControl w:val="0"/>
        <w:kinsoku/>
        <w:wordWrap/>
        <w:overflowPunct/>
        <w:topLinePunct w:val="0"/>
        <w:autoSpaceDE/>
        <w:autoSpaceDN/>
        <w:bidi w:val="0"/>
        <w:adjustRightInd w:val="0"/>
        <w:snapToGrid w:val="0"/>
        <w:spacing w:line="576" w:lineRule="exact"/>
        <w:ind w:left="0" w:firstLine="640" w:firstLineChars="200"/>
        <w:jc w:val="both"/>
        <w:textAlignment w:val="auto"/>
        <w:rPr>
          <w:rFonts w:hint="eastAsia" w:ascii="楷体_GB2312" w:hAnsi="楷体_GB2312" w:eastAsia="楷体_GB2312" w:cs="楷体_GB2312"/>
          <w:b w:val="0"/>
          <w:bCs/>
          <w:color w:val="auto"/>
          <w:sz w:val="32"/>
          <w:szCs w:val="32"/>
          <w:highlight w:val="none"/>
          <w:lang w:val="zh-CN"/>
        </w:rPr>
      </w:pPr>
      <w:r>
        <w:rPr>
          <w:rFonts w:hint="eastAsia" w:ascii="楷体_GB2312" w:hAnsi="楷体_GB2312" w:eastAsia="楷体_GB2312" w:cs="楷体_GB2312"/>
          <w:b w:val="0"/>
          <w:bCs/>
          <w:color w:val="auto"/>
          <w:sz w:val="32"/>
          <w:szCs w:val="32"/>
          <w:highlight w:val="none"/>
          <w:lang w:val="zh-CN"/>
        </w:rPr>
        <w:t>（一）项目基本情况。</w:t>
      </w:r>
    </w:p>
    <w:p>
      <w:pPr>
        <w:pStyle w:val="12"/>
        <w:keepNext w:val="0"/>
        <w:keepLines w:val="0"/>
        <w:pageBreakBefore w:val="0"/>
        <w:widowControl w:val="0"/>
        <w:suppressLineNumbers w:val="0"/>
        <w:kinsoku/>
        <w:wordWrap/>
        <w:overflowPunct/>
        <w:topLinePunct w:val="0"/>
        <w:autoSpaceDE/>
        <w:autoSpaceDN/>
        <w:bidi w:val="0"/>
        <w:spacing w:before="0" w:beforeAutospacing="0" w:after="0" w:afterAutospacing="0" w:line="576" w:lineRule="exact"/>
        <w:ind w:left="0" w:right="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highlight w:val="none"/>
          <w:lang w:val="zh-CN"/>
        </w:rPr>
        <w:t>1．</w:t>
      </w:r>
      <w:r>
        <w:rPr>
          <w:rFonts w:hint="eastAsia" w:ascii="仿宋_GB2312" w:hAnsi="仿宋_GB2312" w:eastAsia="仿宋_GB2312" w:cs="仿宋_GB2312"/>
          <w:i w:val="0"/>
          <w:iCs w:val="0"/>
          <w:caps w:val="0"/>
          <w:smallCaps w:val="0"/>
          <w:color w:val="auto"/>
          <w:spacing w:val="0"/>
          <w:sz w:val="32"/>
          <w:szCs w:val="32"/>
        </w:rPr>
        <w:t>民主党派事业专项工作经费申报资金10.29万元，财政批复项目资金10.29万元，该项资金按流程申报及批复，符合资金管理办法等相关规定。</w:t>
      </w:r>
    </w:p>
    <w:p>
      <w:pPr>
        <w:keepNext w:val="0"/>
        <w:keepLines w:val="0"/>
        <w:pageBreakBefore w:val="0"/>
        <w:widowControl w:val="0"/>
        <w:kinsoku/>
        <w:wordWrap/>
        <w:overflowPunct/>
        <w:topLinePunct w:val="0"/>
        <w:autoSpaceDE/>
        <w:autoSpaceDN/>
        <w:bidi w:val="0"/>
        <w:adjustRightInd w:val="0"/>
        <w:snapToGrid w:val="0"/>
        <w:spacing w:line="576" w:lineRule="exact"/>
        <w:ind w:left="0" w:firstLine="640" w:firstLineChars="200"/>
        <w:jc w:val="both"/>
        <w:textAlignment w:val="auto"/>
        <w:rPr>
          <w:rFonts w:hint="eastAsia" w:ascii="楷体_GB2312" w:hAnsi="楷体_GB2312" w:eastAsia="楷体_GB2312" w:cs="楷体_GB2312"/>
          <w:b w:val="0"/>
          <w:bCs/>
          <w:color w:val="auto"/>
          <w:sz w:val="32"/>
          <w:szCs w:val="32"/>
          <w:highlight w:val="none"/>
          <w:lang w:val="zh-CN"/>
        </w:rPr>
      </w:pPr>
      <w:r>
        <w:rPr>
          <w:rFonts w:hint="eastAsia" w:ascii="楷体_GB2312" w:hAnsi="楷体_GB2312" w:eastAsia="楷体_GB2312" w:cs="楷体_GB2312"/>
          <w:b w:val="0"/>
          <w:bCs/>
          <w:color w:val="auto"/>
          <w:sz w:val="32"/>
          <w:szCs w:val="32"/>
          <w:highlight w:val="none"/>
          <w:lang w:val="zh-CN"/>
        </w:rPr>
        <w:t>（二）项目绩效目标。</w:t>
      </w:r>
    </w:p>
    <w:p>
      <w:pPr>
        <w:pStyle w:val="12"/>
        <w:keepNext w:val="0"/>
        <w:keepLines w:val="0"/>
        <w:pageBreakBefore w:val="0"/>
        <w:widowControl w:val="0"/>
        <w:suppressLineNumbers w:val="0"/>
        <w:kinsoku/>
        <w:wordWrap/>
        <w:overflowPunct/>
        <w:topLinePunct w:val="0"/>
        <w:autoSpaceDE/>
        <w:autoSpaceDN/>
        <w:bidi w:val="0"/>
        <w:spacing w:before="0" w:beforeAutospacing="0" w:after="0" w:afterAutospacing="0" w:line="576" w:lineRule="exact"/>
        <w:ind w:left="0" w:right="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smallCaps w:val="0"/>
          <w:color w:val="auto"/>
          <w:spacing w:val="0"/>
          <w:sz w:val="32"/>
          <w:szCs w:val="32"/>
        </w:rPr>
        <w:t>1、项目主要内容。</w:t>
      </w:r>
    </w:p>
    <w:p>
      <w:pPr>
        <w:pStyle w:val="12"/>
        <w:keepNext w:val="0"/>
        <w:keepLines w:val="0"/>
        <w:pageBreakBefore w:val="0"/>
        <w:widowControl w:val="0"/>
        <w:suppressLineNumbers w:val="0"/>
        <w:kinsoku/>
        <w:wordWrap/>
        <w:overflowPunct/>
        <w:topLinePunct w:val="0"/>
        <w:autoSpaceDE/>
        <w:autoSpaceDN/>
        <w:bidi w:val="0"/>
        <w:spacing w:before="0" w:beforeAutospacing="0" w:after="0" w:afterAutospacing="0" w:line="576" w:lineRule="exact"/>
        <w:ind w:left="0" w:right="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smallCaps w:val="0"/>
          <w:color w:val="auto"/>
          <w:spacing w:val="0"/>
          <w:sz w:val="32"/>
          <w:szCs w:val="32"/>
        </w:rPr>
        <w:t>目标1：贯彻执行中央和省、市关于民革广元市委党派工作的方针、政策，加强调查研究；向市委反映情况，提出民主党派工作的意见和建议。</w:t>
      </w:r>
    </w:p>
    <w:p>
      <w:pPr>
        <w:pStyle w:val="12"/>
        <w:keepNext w:val="0"/>
        <w:keepLines w:val="0"/>
        <w:pageBreakBefore w:val="0"/>
        <w:widowControl w:val="0"/>
        <w:suppressLineNumbers w:val="0"/>
        <w:kinsoku/>
        <w:wordWrap/>
        <w:overflowPunct/>
        <w:topLinePunct w:val="0"/>
        <w:autoSpaceDE/>
        <w:autoSpaceDN/>
        <w:bidi w:val="0"/>
        <w:spacing w:before="0" w:beforeAutospacing="0" w:after="0" w:afterAutospacing="0" w:line="576" w:lineRule="exact"/>
        <w:ind w:left="0" w:firstLine="640" w:firstLineChars="200"/>
        <w:jc w:val="both"/>
        <w:textAlignment w:val="auto"/>
        <w:rPr>
          <w:rFonts w:hint="eastAsia" w:ascii="仿宋_GB2312" w:hAnsi="仿宋_GB2312" w:eastAsia="仿宋_GB2312" w:cs="仿宋_GB2312"/>
          <w:i w:val="0"/>
          <w:iCs w:val="0"/>
          <w:caps w:val="0"/>
          <w:smallCaps w:val="0"/>
          <w:color w:val="auto"/>
          <w:spacing w:val="0"/>
          <w:sz w:val="32"/>
          <w:szCs w:val="32"/>
        </w:rPr>
      </w:pPr>
      <w:r>
        <w:rPr>
          <w:rFonts w:hint="eastAsia" w:ascii="仿宋_GB2312" w:hAnsi="仿宋_GB2312" w:eastAsia="仿宋_GB2312" w:cs="仿宋_GB2312"/>
          <w:i w:val="0"/>
          <w:iCs w:val="0"/>
          <w:caps w:val="0"/>
          <w:smallCaps w:val="0"/>
          <w:color w:val="auto"/>
          <w:spacing w:val="0"/>
          <w:sz w:val="32"/>
          <w:szCs w:val="32"/>
        </w:rPr>
        <w:t>目标2：以了解情况为基础，以掌握政策为根本，以协调关系、增进共识、民主协商为目的。</w:t>
      </w:r>
    </w:p>
    <w:p>
      <w:pPr>
        <w:pStyle w:val="12"/>
        <w:keepNext w:val="0"/>
        <w:keepLines w:val="0"/>
        <w:pageBreakBefore w:val="0"/>
        <w:widowControl w:val="0"/>
        <w:suppressLineNumbers w:val="0"/>
        <w:kinsoku/>
        <w:wordWrap/>
        <w:overflowPunct/>
        <w:topLinePunct w:val="0"/>
        <w:autoSpaceDE/>
        <w:autoSpaceDN/>
        <w:bidi w:val="0"/>
        <w:spacing w:before="0" w:beforeAutospacing="0" w:after="0" w:afterAutospacing="0" w:line="576" w:lineRule="exact"/>
        <w:ind w:left="0" w:right="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smallCaps w:val="0"/>
          <w:color w:val="auto"/>
          <w:spacing w:val="0"/>
          <w:sz w:val="32"/>
          <w:szCs w:val="32"/>
        </w:rPr>
        <w:t>2、具体绩效目标。</w:t>
      </w:r>
    </w:p>
    <w:p>
      <w:pPr>
        <w:pStyle w:val="12"/>
        <w:keepNext w:val="0"/>
        <w:keepLines w:val="0"/>
        <w:pageBreakBefore w:val="0"/>
        <w:widowControl w:val="0"/>
        <w:suppressLineNumbers w:val="0"/>
        <w:kinsoku/>
        <w:wordWrap/>
        <w:overflowPunct/>
        <w:topLinePunct w:val="0"/>
        <w:autoSpaceDE/>
        <w:autoSpaceDN/>
        <w:bidi w:val="0"/>
        <w:spacing w:before="0" w:beforeAutospacing="0" w:after="0" w:afterAutospacing="0" w:line="576" w:lineRule="exact"/>
        <w:ind w:left="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smallCaps w:val="0"/>
          <w:color w:val="auto"/>
          <w:spacing w:val="0"/>
          <w:sz w:val="32"/>
          <w:szCs w:val="32"/>
        </w:rPr>
        <w:t>满足专项工作使用专项经费达到100%；健全学习制度，开展理论学习，学习宣传中国特色社会主义理论体系、统一战线理论政策，增进对党的路线方针政策的认同。组织开展专题调研等活动，了解社情民意，汇聚集体智慧，形成高质量的调研报告；丰富活动形式，促进交往交流，增进与民主党派以及成员间的相互了解，密切感情、增进友谊；组织开展科技推广、文教宣传、医疗下乡、扶贫济困等社会公益活动，展示民主党派的良好形象等目标完成率达90%以上。</w:t>
      </w:r>
    </w:p>
    <w:p>
      <w:pPr>
        <w:pStyle w:val="12"/>
        <w:keepNext w:val="0"/>
        <w:keepLines w:val="0"/>
        <w:pageBreakBefore w:val="0"/>
        <w:widowControl w:val="0"/>
        <w:suppressLineNumbers w:val="0"/>
        <w:kinsoku/>
        <w:wordWrap/>
        <w:overflowPunct/>
        <w:topLinePunct w:val="0"/>
        <w:autoSpaceDE/>
        <w:autoSpaceDN/>
        <w:bidi w:val="0"/>
        <w:spacing w:before="0" w:beforeAutospacing="0" w:after="0" w:afterAutospacing="0" w:line="576" w:lineRule="exact"/>
        <w:ind w:left="0" w:right="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smallCaps w:val="0"/>
          <w:color w:val="auto"/>
          <w:spacing w:val="0"/>
          <w:sz w:val="32"/>
          <w:szCs w:val="32"/>
        </w:rPr>
        <w:t>目标实施进度计划从2021年1月1日-2021年12月31日完成。</w:t>
      </w:r>
    </w:p>
    <w:p>
      <w:pPr>
        <w:keepNext w:val="0"/>
        <w:keepLines w:val="0"/>
        <w:pageBreakBefore w:val="0"/>
        <w:widowControl w:val="0"/>
        <w:kinsoku/>
        <w:wordWrap/>
        <w:overflowPunct/>
        <w:topLinePunct w:val="0"/>
        <w:autoSpaceDE/>
        <w:autoSpaceDN/>
        <w:bidi w:val="0"/>
        <w:adjustRightInd w:val="0"/>
        <w:snapToGrid w:val="0"/>
        <w:spacing w:line="576" w:lineRule="exact"/>
        <w:ind w:left="0" w:firstLine="640" w:firstLineChars="200"/>
        <w:jc w:val="both"/>
        <w:textAlignment w:val="auto"/>
        <w:rPr>
          <w:rFonts w:hint="eastAsia" w:ascii="楷体_GB2312" w:hAnsi="楷体_GB2312" w:eastAsia="楷体_GB2312" w:cs="楷体_GB2312"/>
          <w:b w:val="0"/>
          <w:bCs/>
          <w:color w:val="auto"/>
          <w:sz w:val="32"/>
          <w:szCs w:val="32"/>
          <w:highlight w:val="none"/>
          <w:lang w:val="zh-CN"/>
        </w:rPr>
      </w:pPr>
      <w:r>
        <w:rPr>
          <w:rFonts w:hint="eastAsia" w:ascii="楷体_GB2312" w:hAnsi="楷体_GB2312" w:eastAsia="楷体_GB2312" w:cs="楷体_GB2312"/>
          <w:b w:val="0"/>
          <w:bCs/>
          <w:color w:val="auto"/>
          <w:sz w:val="32"/>
          <w:szCs w:val="32"/>
          <w:highlight w:val="none"/>
          <w:lang w:val="zh-CN"/>
        </w:rPr>
        <w:t>（三）项目资金申报相符性</w:t>
      </w:r>
    </w:p>
    <w:p>
      <w:pPr>
        <w:pStyle w:val="12"/>
        <w:keepNext w:val="0"/>
        <w:keepLines w:val="0"/>
        <w:pageBreakBefore w:val="0"/>
        <w:widowControl w:val="0"/>
        <w:suppressLineNumbers w:val="0"/>
        <w:kinsoku/>
        <w:wordWrap/>
        <w:overflowPunct/>
        <w:topLinePunct w:val="0"/>
        <w:autoSpaceDE/>
        <w:autoSpaceDN/>
        <w:bidi w:val="0"/>
        <w:spacing w:before="0" w:beforeAutospacing="0" w:after="0" w:afterAutospacing="0" w:line="576" w:lineRule="exact"/>
        <w:ind w:left="0" w:right="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smallCaps w:val="0"/>
          <w:color w:val="auto"/>
          <w:spacing w:val="0"/>
          <w:sz w:val="32"/>
          <w:szCs w:val="32"/>
        </w:rPr>
        <w:t>申报内容与实际相符合，申报目标合理可行。</w:t>
      </w:r>
    </w:p>
    <w:bookmarkEnd w:id="41"/>
    <w:p>
      <w:pPr>
        <w:keepNext w:val="0"/>
        <w:keepLines w:val="0"/>
        <w:pageBreakBefore w:val="0"/>
        <w:widowControl w:val="0"/>
        <w:kinsoku/>
        <w:wordWrap/>
        <w:overflowPunct/>
        <w:topLinePunct w:val="0"/>
        <w:autoSpaceDE/>
        <w:autoSpaceDN/>
        <w:bidi w:val="0"/>
        <w:adjustRightInd w:val="0"/>
        <w:snapToGrid w:val="0"/>
        <w:spacing w:line="576" w:lineRule="exact"/>
        <w:ind w:left="0" w:firstLine="640" w:firstLineChars="200"/>
        <w:jc w:val="both"/>
        <w:textAlignment w:val="auto"/>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二、项目实施及管理情况</w:t>
      </w:r>
    </w:p>
    <w:p>
      <w:pPr>
        <w:pStyle w:val="12"/>
        <w:keepNext w:val="0"/>
        <w:keepLines w:val="0"/>
        <w:pageBreakBefore w:val="0"/>
        <w:widowControl w:val="0"/>
        <w:suppressLineNumbers w:val="0"/>
        <w:kinsoku/>
        <w:wordWrap/>
        <w:overflowPunct/>
        <w:topLinePunct w:val="0"/>
        <w:autoSpaceDE/>
        <w:autoSpaceDN/>
        <w:bidi w:val="0"/>
        <w:spacing w:before="0" w:beforeAutospacing="0" w:after="0" w:afterAutospacing="0" w:line="576" w:lineRule="exact"/>
        <w:ind w:left="0" w:right="0" w:firstLine="640" w:firstLineChars="200"/>
        <w:jc w:val="both"/>
        <w:textAlignment w:val="auto"/>
        <w:rPr>
          <w:rFonts w:hint="eastAsia" w:ascii="楷体_GB2312" w:hAnsi="楷体_GB2312" w:eastAsia="楷体_GB2312" w:cs="楷体_GB2312"/>
          <w:color w:val="auto"/>
          <w:sz w:val="32"/>
          <w:szCs w:val="32"/>
        </w:rPr>
      </w:pPr>
      <w:r>
        <w:rPr>
          <w:rFonts w:hint="eastAsia" w:ascii="楷体_GB2312" w:hAnsi="楷体_GB2312" w:eastAsia="楷体_GB2312" w:cs="楷体_GB2312"/>
          <w:i w:val="0"/>
          <w:iCs w:val="0"/>
          <w:caps w:val="0"/>
          <w:smallCaps w:val="0"/>
          <w:color w:val="auto"/>
          <w:spacing w:val="0"/>
          <w:sz w:val="32"/>
          <w:szCs w:val="32"/>
        </w:rPr>
        <w:t>（一）资金计划、到位及使用情况。</w:t>
      </w:r>
    </w:p>
    <w:p>
      <w:pPr>
        <w:pStyle w:val="12"/>
        <w:keepNext w:val="0"/>
        <w:keepLines w:val="0"/>
        <w:pageBreakBefore w:val="0"/>
        <w:widowControl w:val="0"/>
        <w:suppressLineNumbers w:val="0"/>
        <w:kinsoku/>
        <w:wordWrap/>
        <w:overflowPunct/>
        <w:topLinePunct w:val="0"/>
        <w:autoSpaceDE/>
        <w:autoSpaceDN/>
        <w:bidi w:val="0"/>
        <w:spacing w:before="0" w:beforeAutospacing="0" w:after="0" w:afterAutospacing="0" w:line="576" w:lineRule="exact"/>
        <w:ind w:left="0" w:right="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smallCaps w:val="0"/>
          <w:color w:val="auto"/>
          <w:spacing w:val="0"/>
          <w:sz w:val="32"/>
          <w:szCs w:val="32"/>
        </w:rPr>
        <w:t>1.资金计划及到位。该项目资金属于年度预算，财政全额拨款，资金全部到位。2021年部门预算专项资金共计10.29万元，实际到位资金10.29万元，资金到位率100%。</w:t>
      </w:r>
    </w:p>
    <w:p>
      <w:pPr>
        <w:pStyle w:val="12"/>
        <w:keepNext w:val="0"/>
        <w:keepLines w:val="0"/>
        <w:pageBreakBefore w:val="0"/>
        <w:widowControl w:val="0"/>
        <w:suppressLineNumbers w:val="0"/>
        <w:kinsoku/>
        <w:wordWrap/>
        <w:overflowPunct/>
        <w:topLinePunct w:val="0"/>
        <w:autoSpaceDE/>
        <w:autoSpaceDN/>
        <w:bidi w:val="0"/>
        <w:spacing w:before="0" w:beforeAutospacing="0" w:after="0" w:afterAutospacing="0" w:line="576" w:lineRule="exact"/>
        <w:ind w:left="0" w:right="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smallCaps w:val="0"/>
          <w:color w:val="auto"/>
          <w:spacing w:val="0"/>
          <w:sz w:val="32"/>
          <w:szCs w:val="32"/>
        </w:rPr>
        <w:t>2.资金使用。该项目资金实行专款专用，项目支出均有相关的授权审批，使用规范，会计核算结果真实、准确，全部用于民主党派各项工作的开展。</w:t>
      </w:r>
    </w:p>
    <w:p>
      <w:pPr>
        <w:pStyle w:val="12"/>
        <w:keepNext w:val="0"/>
        <w:keepLines w:val="0"/>
        <w:pageBreakBefore w:val="0"/>
        <w:widowControl w:val="0"/>
        <w:suppressLineNumbers w:val="0"/>
        <w:kinsoku/>
        <w:wordWrap/>
        <w:overflowPunct/>
        <w:topLinePunct w:val="0"/>
        <w:autoSpaceDE/>
        <w:autoSpaceDN/>
        <w:bidi w:val="0"/>
        <w:spacing w:before="0" w:beforeAutospacing="0" w:after="0" w:afterAutospacing="0" w:line="576" w:lineRule="exact"/>
        <w:ind w:left="0" w:right="0" w:firstLine="640" w:firstLineChars="200"/>
        <w:jc w:val="both"/>
        <w:textAlignment w:val="auto"/>
        <w:rPr>
          <w:rFonts w:hint="eastAsia" w:ascii="楷体_GB2312" w:hAnsi="楷体_GB2312" w:eastAsia="楷体_GB2312" w:cs="楷体_GB2312"/>
          <w:i w:val="0"/>
          <w:iCs w:val="0"/>
          <w:caps w:val="0"/>
          <w:smallCaps w:val="0"/>
          <w:color w:val="auto"/>
          <w:spacing w:val="0"/>
          <w:sz w:val="32"/>
          <w:szCs w:val="32"/>
        </w:rPr>
      </w:pPr>
      <w:r>
        <w:rPr>
          <w:rFonts w:hint="eastAsia" w:ascii="楷体_GB2312" w:hAnsi="楷体_GB2312" w:eastAsia="楷体_GB2312" w:cs="楷体_GB2312"/>
          <w:i w:val="0"/>
          <w:iCs w:val="0"/>
          <w:caps w:val="0"/>
          <w:smallCaps w:val="0"/>
          <w:color w:val="auto"/>
          <w:spacing w:val="0"/>
          <w:sz w:val="32"/>
          <w:szCs w:val="32"/>
        </w:rPr>
        <w:t>（二）项目财务管理情况。</w:t>
      </w:r>
    </w:p>
    <w:p>
      <w:pPr>
        <w:pStyle w:val="12"/>
        <w:keepNext w:val="0"/>
        <w:keepLines w:val="0"/>
        <w:pageBreakBefore w:val="0"/>
        <w:widowControl w:val="0"/>
        <w:suppressLineNumbers w:val="0"/>
        <w:kinsoku/>
        <w:wordWrap/>
        <w:overflowPunct/>
        <w:topLinePunct w:val="0"/>
        <w:autoSpaceDE/>
        <w:autoSpaceDN/>
        <w:bidi w:val="0"/>
        <w:spacing w:before="0" w:beforeAutospacing="0" w:after="0" w:afterAutospacing="0" w:line="576" w:lineRule="exact"/>
        <w:ind w:left="0" w:right="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smallCaps w:val="0"/>
          <w:color w:val="auto"/>
          <w:spacing w:val="0"/>
          <w:sz w:val="32"/>
          <w:szCs w:val="32"/>
        </w:rPr>
        <w:t>民革广元市委完善了一系列的财务支出制度，成立了专门工作领导小组，严格按照财务管理制度执行要求对会计核算及账务处理进行实时监管。项目实施过程中所有支出均按照流程办理，所有项目经费实行国库集中支付、零余额账户管理，资金使用严格按照程序执行，财务处理及时，账务查看清晰、会计核算规范。</w:t>
      </w:r>
    </w:p>
    <w:p>
      <w:pPr>
        <w:pStyle w:val="12"/>
        <w:keepNext w:val="0"/>
        <w:keepLines w:val="0"/>
        <w:pageBreakBefore w:val="0"/>
        <w:widowControl w:val="0"/>
        <w:suppressLineNumbers w:val="0"/>
        <w:kinsoku/>
        <w:wordWrap/>
        <w:overflowPunct/>
        <w:topLinePunct w:val="0"/>
        <w:autoSpaceDE/>
        <w:autoSpaceDN/>
        <w:bidi w:val="0"/>
        <w:spacing w:before="0" w:beforeAutospacing="0" w:after="0" w:afterAutospacing="0" w:line="576" w:lineRule="exact"/>
        <w:ind w:left="0" w:right="0" w:firstLine="640" w:firstLineChars="200"/>
        <w:jc w:val="both"/>
        <w:textAlignment w:val="auto"/>
        <w:rPr>
          <w:rFonts w:hint="eastAsia" w:ascii="楷体_GB2312" w:hAnsi="楷体_GB2312" w:eastAsia="楷体_GB2312" w:cs="楷体_GB2312"/>
          <w:i w:val="0"/>
          <w:iCs w:val="0"/>
          <w:caps w:val="0"/>
          <w:smallCaps w:val="0"/>
          <w:color w:val="auto"/>
          <w:spacing w:val="0"/>
          <w:sz w:val="32"/>
          <w:szCs w:val="32"/>
        </w:rPr>
      </w:pPr>
      <w:r>
        <w:rPr>
          <w:rFonts w:hint="eastAsia" w:ascii="楷体_GB2312" w:hAnsi="楷体_GB2312" w:eastAsia="楷体_GB2312" w:cs="楷体_GB2312"/>
          <w:i w:val="0"/>
          <w:iCs w:val="0"/>
          <w:caps w:val="0"/>
          <w:smallCaps w:val="0"/>
          <w:color w:val="auto"/>
          <w:spacing w:val="0"/>
          <w:sz w:val="32"/>
          <w:szCs w:val="32"/>
        </w:rPr>
        <w:t>（三）项目组织实施情况。</w:t>
      </w:r>
    </w:p>
    <w:p>
      <w:pPr>
        <w:pStyle w:val="12"/>
        <w:keepNext w:val="0"/>
        <w:keepLines w:val="0"/>
        <w:pageBreakBefore w:val="0"/>
        <w:widowControl w:val="0"/>
        <w:suppressLineNumbers w:val="0"/>
        <w:kinsoku/>
        <w:wordWrap/>
        <w:overflowPunct/>
        <w:topLinePunct w:val="0"/>
        <w:autoSpaceDE/>
        <w:autoSpaceDN/>
        <w:bidi w:val="0"/>
        <w:spacing w:before="0" w:beforeAutospacing="0" w:after="0" w:afterAutospacing="0" w:line="576" w:lineRule="exact"/>
        <w:ind w:left="0" w:right="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smallCaps w:val="0"/>
          <w:color w:val="auto"/>
          <w:spacing w:val="0"/>
          <w:sz w:val="32"/>
          <w:szCs w:val="32"/>
        </w:rPr>
        <w:t>在项目组织实施过程中财务工作领导小组和社内监管组，严格按照财务管理制度执行要求对项目实施全过程进行全方位监督督办，项目全年运行情况良好，绩效目标顺利完成。</w:t>
      </w:r>
    </w:p>
    <w:p>
      <w:pPr>
        <w:keepNext w:val="0"/>
        <w:keepLines w:val="0"/>
        <w:pageBreakBefore w:val="0"/>
        <w:widowControl w:val="0"/>
        <w:kinsoku/>
        <w:wordWrap/>
        <w:overflowPunct/>
        <w:topLinePunct w:val="0"/>
        <w:autoSpaceDE/>
        <w:autoSpaceDN/>
        <w:bidi w:val="0"/>
        <w:adjustRightInd w:val="0"/>
        <w:snapToGrid w:val="0"/>
        <w:spacing w:line="576" w:lineRule="exact"/>
        <w:ind w:left="0" w:firstLine="640" w:firstLineChars="200"/>
        <w:jc w:val="both"/>
        <w:textAlignment w:val="auto"/>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三、项目绩效情况</w:t>
      </w:r>
    </w:p>
    <w:p>
      <w:pPr>
        <w:pStyle w:val="12"/>
        <w:keepNext w:val="0"/>
        <w:keepLines w:val="0"/>
        <w:pageBreakBefore w:val="0"/>
        <w:widowControl w:val="0"/>
        <w:suppressLineNumbers w:val="0"/>
        <w:kinsoku/>
        <w:wordWrap/>
        <w:overflowPunct/>
        <w:topLinePunct w:val="0"/>
        <w:autoSpaceDE/>
        <w:autoSpaceDN/>
        <w:bidi w:val="0"/>
        <w:spacing w:before="0" w:beforeAutospacing="0" w:after="0" w:afterAutospacing="0" w:line="576" w:lineRule="exact"/>
        <w:ind w:left="0" w:right="0" w:firstLine="640" w:firstLineChars="200"/>
        <w:jc w:val="both"/>
        <w:textAlignment w:val="auto"/>
        <w:rPr>
          <w:rFonts w:hint="eastAsia" w:ascii="楷体_GB2312" w:hAnsi="楷体_GB2312" w:eastAsia="楷体_GB2312" w:cs="楷体_GB2312"/>
          <w:i w:val="0"/>
          <w:iCs w:val="0"/>
          <w:caps w:val="0"/>
          <w:smallCaps w:val="0"/>
          <w:color w:val="auto"/>
          <w:spacing w:val="0"/>
          <w:sz w:val="32"/>
          <w:szCs w:val="32"/>
        </w:rPr>
      </w:pPr>
      <w:r>
        <w:rPr>
          <w:rFonts w:hint="eastAsia" w:ascii="楷体_GB2312" w:hAnsi="楷体_GB2312" w:eastAsia="楷体_GB2312" w:cs="楷体_GB2312"/>
          <w:i w:val="0"/>
          <w:iCs w:val="0"/>
          <w:caps w:val="0"/>
          <w:smallCaps w:val="0"/>
          <w:color w:val="auto"/>
          <w:spacing w:val="0"/>
          <w:sz w:val="32"/>
          <w:szCs w:val="32"/>
        </w:rPr>
        <w:t>（一）项目完成情况。</w:t>
      </w:r>
    </w:p>
    <w:p>
      <w:pPr>
        <w:pStyle w:val="12"/>
        <w:keepNext w:val="0"/>
        <w:keepLines w:val="0"/>
        <w:pageBreakBefore w:val="0"/>
        <w:widowControl w:val="0"/>
        <w:suppressLineNumbers w:val="0"/>
        <w:kinsoku/>
        <w:wordWrap/>
        <w:overflowPunct/>
        <w:topLinePunct w:val="0"/>
        <w:autoSpaceDE/>
        <w:autoSpaceDN/>
        <w:bidi w:val="0"/>
        <w:spacing w:before="0" w:beforeAutospacing="0" w:after="0" w:afterAutospacing="0" w:line="576" w:lineRule="exact"/>
        <w:ind w:left="0" w:right="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smallCaps w:val="0"/>
          <w:color w:val="auto"/>
          <w:spacing w:val="0"/>
          <w:sz w:val="32"/>
          <w:szCs w:val="32"/>
        </w:rPr>
        <w:t>该项目专款专用，用于民主党派专项工作的工作经费中共计10.29万元，没有超支。民主党派专项工作经费2021年度预算执行情况较好，相关管理制度得到有效执行。2021年度所有支出符合国家财经法规和财务管理制度规定以及有关专项资金管理办法的规定，资金拨付有完整的审批程序和手续，项目支出按规定经过评估论证，支出符合部门预算批复的用途，资金使用无截留、挤占、挪用、虚列支出等情况。</w:t>
      </w:r>
    </w:p>
    <w:p>
      <w:pPr>
        <w:pStyle w:val="12"/>
        <w:keepNext w:val="0"/>
        <w:keepLines w:val="0"/>
        <w:pageBreakBefore w:val="0"/>
        <w:widowControl w:val="0"/>
        <w:suppressLineNumbers w:val="0"/>
        <w:kinsoku/>
        <w:wordWrap/>
        <w:overflowPunct/>
        <w:topLinePunct w:val="0"/>
        <w:autoSpaceDE/>
        <w:autoSpaceDN/>
        <w:bidi w:val="0"/>
        <w:spacing w:before="0" w:beforeAutospacing="0" w:after="0" w:afterAutospacing="0" w:line="576" w:lineRule="exact"/>
        <w:ind w:left="0" w:right="0" w:firstLine="640" w:firstLineChars="200"/>
        <w:jc w:val="both"/>
        <w:textAlignment w:val="auto"/>
        <w:rPr>
          <w:rFonts w:hint="eastAsia" w:ascii="楷体_GB2312" w:hAnsi="楷体_GB2312" w:eastAsia="楷体_GB2312" w:cs="楷体_GB2312"/>
          <w:i w:val="0"/>
          <w:iCs w:val="0"/>
          <w:caps w:val="0"/>
          <w:smallCaps w:val="0"/>
          <w:color w:val="auto"/>
          <w:spacing w:val="0"/>
          <w:sz w:val="32"/>
          <w:szCs w:val="32"/>
        </w:rPr>
      </w:pPr>
      <w:r>
        <w:rPr>
          <w:rFonts w:hint="eastAsia" w:ascii="楷体_GB2312" w:hAnsi="楷体_GB2312" w:eastAsia="楷体_GB2312" w:cs="楷体_GB2312"/>
          <w:i w:val="0"/>
          <w:iCs w:val="0"/>
          <w:caps w:val="0"/>
          <w:smallCaps w:val="0"/>
          <w:color w:val="auto"/>
          <w:spacing w:val="0"/>
          <w:sz w:val="32"/>
          <w:szCs w:val="32"/>
        </w:rPr>
        <w:t>（二）项目效益情况。</w:t>
      </w:r>
    </w:p>
    <w:p>
      <w:pPr>
        <w:pStyle w:val="12"/>
        <w:keepNext w:val="0"/>
        <w:keepLines w:val="0"/>
        <w:pageBreakBefore w:val="0"/>
        <w:widowControl w:val="0"/>
        <w:suppressLineNumbers w:val="0"/>
        <w:kinsoku/>
        <w:wordWrap/>
        <w:overflowPunct/>
        <w:topLinePunct w:val="0"/>
        <w:autoSpaceDE/>
        <w:autoSpaceDN/>
        <w:bidi w:val="0"/>
        <w:spacing w:before="0" w:beforeAutospacing="0" w:after="0" w:afterAutospacing="0" w:line="576" w:lineRule="exact"/>
        <w:ind w:left="0" w:right="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smallCaps w:val="0"/>
          <w:color w:val="auto"/>
          <w:spacing w:val="0"/>
          <w:sz w:val="32"/>
          <w:szCs w:val="32"/>
        </w:rPr>
        <w:t>2021年民革广元市委履行职能职责，社会效益明显，获得了服务对象</w:t>
      </w:r>
      <w:r>
        <w:rPr>
          <w:rFonts w:hint="eastAsia" w:ascii="仿宋_GB2312" w:hAnsi="仿宋_GB2312" w:eastAsia="仿宋_GB2312" w:cs="仿宋_GB2312"/>
          <w:i w:val="0"/>
          <w:iCs w:val="0"/>
          <w:caps w:val="0"/>
          <w:smallCaps w:val="0"/>
          <w:color w:val="auto"/>
          <w:spacing w:val="0"/>
          <w:sz w:val="32"/>
          <w:szCs w:val="32"/>
          <w:lang w:eastAsia="zh-CN"/>
        </w:rPr>
        <w:t>好评</w:t>
      </w:r>
      <w:r>
        <w:rPr>
          <w:rFonts w:hint="eastAsia" w:ascii="仿宋_GB2312" w:hAnsi="仿宋_GB2312" w:eastAsia="仿宋_GB2312" w:cs="仿宋_GB2312"/>
          <w:i w:val="0"/>
          <w:iCs w:val="0"/>
          <w:caps w:val="0"/>
          <w:smallCaps w:val="0"/>
          <w:color w:val="auto"/>
          <w:spacing w:val="0"/>
          <w:sz w:val="32"/>
          <w:szCs w:val="32"/>
        </w:rPr>
        <w:t>，对民革广元市委工作持续发展起到了积极作用，有效完成了本年度绩效目标。项目所有开支均按照我单位财务管理制度执行，资金的使用严格把关，整个项目的运行完全按照有关规定执行。圆满完成了年初设定的各项工作目标和任务，各项工作都得到社会大众的肯定和好评，在年度绩效考核中成绩优异。</w:t>
      </w:r>
    </w:p>
    <w:p>
      <w:pPr>
        <w:keepNext w:val="0"/>
        <w:keepLines w:val="0"/>
        <w:pageBreakBefore w:val="0"/>
        <w:widowControl w:val="0"/>
        <w:kinsoku/>
        <w:wordWrap/>
        <w:overflowPunct/>
        <w:topLinePunct w:val="0"/>
        <w:autoSpaceDE/>
        <w:autoSpaceDN/>
        <w:bidi w:val="0"/>
        <w:adjustRightInd w:val="0"/>
        <w:snapToGrid w:val="0"/>
        <w:spacing w:line="576" w:lineRule="exact"/>
        <w:ind w:left="0" w:firstLine="640" w:firstLineChars="200"/>
        <w:jc w:val="both"/>
        <w:textAlignment w:val="auto"/>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四、问题及建议</w:t>
      </w:r>
    </w:p>
    <w:p>
      <w:pPr>
        <w:pStyle w:val="12"/>
        <w:keepNext w:val="0"/>
        <w:keepLines w:val="0"/>
        <w:pageBreakBefore w:val="0"/>
        <w:widowControl w:val="0"/>
        <w:suppressLineNumbers w:val="0"/>
        <w:kinsoku/>
        <w:wordWrap/>
        <w:overflowPunct/>
        <w:topLinePunct w:val="0"/>
        <w:autoSpaceDE/>
        <w:autoSpaceDN/>
        <w:bidi w:val="0"/>
        <w:spacing w:before="0" w:beforeAutospacing="0" w:after="0" w:afterAutospacing="0" w:line="576" w:lineRule="exact"/>
        <w:ind w:left="0" w:right="0" w:firstLine="640" w:firstLineChars="200"/>
        <w:jc w:val="both"/>
        <w:textAlignment w:val="auto"/>
        <w:rPr>
          <w:rFonts w:hint="eastAsia" w:ascii="楷体_GB2312" w:hAnsi="楷体_GB2312" w:eastAsia="楷体_GB2312" w:cs="楷体_GB2312"/>
          <w:i w:val="0"/>
          <w:iCs w:val="0"/>
          <w:caps w:val="0"/>
          <w:smallCaps w:val="0"/>
          <w:color w:val="auto"/>
          <w:spacing w:val="0"/>
          <w:sz w:val="32"/>
          <w:szCs w:val="32"/>
        </w:rPr>
      </w:pPr>
      <w:r>
        <w:rPr>
          <w:rFonts w:hint="eastAsia" w:ascii="楷体_GB2312" w:hAnsi="楷体_GB2312" w:eastAsia="楷体_GB2312" w:cs="楷体_GB2312"/>
          <w:i w:val="0"/>
          <w:iCs w:val="0"/>
          <w:caps w:val="0"/>
          <w:smallCaps w:val="0"/>
          <w:color w:val="auto"/>
          <w:spacing w:val="0"/>
          <w:sz w:val="32"/>
          <w:szCs w:val="32"/>
        </w:rPr>
        <w:t>（一）存在的问题。</w:t>
      </w:r>
    </w:p>
    <w:p>
      <w:pPr>
        <w:pStyle w:val="12"/>
        <w:keepNext w:val="0"/>
        <w:keepLines w:val="0"/>
        <w:pageBreakBefore w:val="0"/>
        <w:widowControl w:val="0"/>
        <w:suppressLineNumbers w:val="0"/>
        <w:kinsoku/>
        <w:wordWrap/>
        <w:overflowPunct/>
        <w:topLinePunct w:val="0"/>
        <w:autoSpaceDE/>
        <w:autoSpaceDN/>
        <w:bidi w:val="0"/>
        <w:spacing w:before="0" w:beforeAutospacing="0" w:after="0" w:afterAutospacing="0" w:line="576" w:lineRule="exact"/>
        <w:ind w:left="0" w:right="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smallCaps w:val="0"/>
          <w:color w:val="auto"/>
          <w:spacing w:val="0"/>
          <w:sz w:val="32"/>
          <w:szCs w:val="32"/>
        </w:rPr>
        <w:t>1.预算编制工作有待细化。预算编制不够明确和细化，预算编制的合理性需要提高，预算执行力度还要进一步加强。</w:t>
      </w:r>
    </w:p>
    <w:p>
      <w:pPr>
        <w:pStyle w:val="12"/>
        <w:keepNext w:val="0"/>
        <w:keepLines w:val="0"/>
        <w:pageBreakBefore w:val="0"/>
        <w:widowControl w:val="0"/>
        <w:suppressLineNumbers w:val="0"/>
        <w:kinsoku/>
        <w:wordWrap/>
        <w:overflowPunct/>
        <w:topLinePunct w:val="0"/>
        <w:autoSpaceDE/>
        <w:autoSpaceDN/>
        <w:bidi w:val="0"/>
        <w:spacing w:before="0" w:beforeAutospacing="0" w:after="0" w:afterAutospacing="0" w:line="576" w:lineRule="exact"/>
        <w:ind w:left="0" w:right="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smallCaps w:val="0"/>
          <w:color w:val="auto"/>
          <w:spacing w:val="0"/>
          <w:sz w:val="32"/>
          <w:szCs w:val="32"/>
        </w:rPr>
        <w:t>2.公用经费控制有一定难度，多为刚性支出。</w:t>
      </w:r>
    </w:p>
    <w:p>
      <w:pPr>
        <w:pStyle w:val="12"/>
        <w:keepNext w:val="0"/>
        <w:keepLines w:val="0"/>
        <w:pageBreakBefore w:val="0"/>
        <w:widowControl w:val="0"/>
        <w:suppressLineNumbers w:val="0"/>
        <w:kinsoku/>
        <w:wordWrap/>
        <w:overflowPunct/>
        <w:topLinePunct w:val="0"/>
        <w:autoSpaceDE/>
        <w:autoSpaceDN/>
        <w:bidi w:val="0"/>
        <w:spacing w:before="0" w:beforeAutospacing="0" w:after="0" w:afterAutospacing="0" w:line="576" w:lineRule="exact"/>
        <w:ind w:left="0" w:right="0" w:firstLine="640" w:firstLineChars="200"/>
        <w:jc w:val="both"/>
        <w:textAlignment w:val="auto"/>
        <w:rPr>
          <w:rFonts w:hint="eastAsia" w:ascii="楷体_GB2312" w:hAnsi="楷体_GB2312" w:eastAsia="楷体_GB2312" w:cs="楷体_GB2312"/>
          <w:i w:val="0"/>
          <w:iCs w:val="0"/>
          <w:caps w:val="0"/>
          <w:smallCaps w:val="0"/>
          <w:color w:val="auto"/>
          <w:spacing w:val="0"/>
          <w:sz w:val="32"/>
          <w:szCs w:val="32"/>
        </w:rPr>
      </w:pPr>
      <w:r>
        <w:rPr>
          <w:rFonts w:hint="eastAsia" w:ascii="楷体_GB2312" w:hAnsi="楷体_GB2312" w:eastAsia="楷体_GB2312" w:cs="楷体_GB2312"/>
          <w:i w:val="0"/>
          <w:iCs w:val="0"/>
          <w:caps w:val="0"/>
          <w:smallCaps w:val="0"/>
          <w:color w:val="auto"/>
          <w:spacing w:val="0"/>
          <w:sz w:val="32"/>
          <w:szCs w:val="32"/>
        </w:rPr>
        <w:t>（二）相关建议。</w:t>
      </w:r>
    </w:p>
    <w:p>
      <w:pPr>
        <w:pStyle w:val="12"/>
        <w:keepNext w:val="0"/>
        <w:keepLines w:val="0"/>
        <w:pageBreakBefore w:val="0"/>
        <w:widowControl w:val="0"/>
        <w:suppressLineNumbers w:val="0"/>
        <w:kinsoku/>
        <w:wordWrap/>
        <w:overflowPunct/>
        <w:topLinePunct w:val="0"/>
        <w:autoSpaceDE/>
        <w:autoSpaceDN/>
        <w:bidi w:val="0"/>
        <w:spacing w:before="0" w:beforeAutospacing="0" w:after="0" w:afterAutospacing="0" w:line="576" w:lineRule="exact"/>
        <w:ind w:left="0" w:right="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smallCaps w:val="0"/>
          <w:color w:val="auto"/>
          <w:spacing w:val="0"/>
          <w:sz w:val="32"/>
          <w:szCs w:val="32"/>
        </w:rPr>
        <w:t>1、合理编制资金预算。按政策规定及新阶科的发展规划，结合上一年度预算执行情况和本年度预算收支变化因素，科学、合理地编制本年预算草案，避免出现预算调整率偏高及漏编项目的情况。</w:t>
      </w:r>
    </w:p>
    <w:p>
      <w:pPr>
        <w:pStyle w:val="12"/>
        <w:keepNext w:val="0"/>
        <w:keepLines w:val="0"/>
        <w:pageBreakBefore w:val="0"/>
        <w:widowControl w:val="0"/>
        <w:suppressLineNumbers w:val="0"/>
        <w:kinsoku/>
        <w:wordWrap/>
        <w:overflowPunct/>
        <w:topLinePunct w:val="0"/>
        <w:autoSpaceDE/>
        <w:autoSpaceDN/>
        <w:bidi w:val="0"/>
        <w:spacing w:before="0" w:beforeAutospacing="0" w:after="0" w:afterAutospacing="0" w:line="576" w:lineRule="exact"/>
        <w:ind w:left="0" w:right="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smallCaps w:val="0"/>
          <w:color w:val="auto"/>
          <w:spacing w:val="0"/>
          <w:sz w:val="32"/>
          <w:szCs w:val="32"/>
        </w:rPr>
        <w:t>2、加强财务管理工作。健全财务管理制度体系，规范财务行为。在费用报账支付时，按照预算规定的费用项目和用途进行资金使用审核、列报支付、财务核算，杜绝超支现象的发生。</w:t>
      </w:r>
    </w:p>
    <w:p>
      <w:pPr>
        <w:pStyle w:val="12"/>
        <w:keepNext w:val="0"/>
        <w:keepLines w:val="0"/>
        <w:pageBreakBefore w:val="0"/>
        <w:widowControl w:val="0"/>
        <w:suppressLineNumbers w:val="0"/>
        <w:kinsoku/>
        <w:wordWrap/>
        <w:overflowPunct/>
        <w:topLinePunct w:val="0"/>
        <w:autoSpaceDE/>
        <w:autoSpaceDN/>
        <w:bidi w:val="0"/>
        <w:spacing w:before="0" w:beforeAutospacing="0" w:after="0" w:afterAutospacing="0" w:line="576" w:lineRule="exact"/>
        <w:ind w:left="0" w:right="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smallCaps w:val="0"/>
          <w:color w:val="auto"/>
          <w:spacing w:val="0"/>
          <w:sz w:val="32"/>
          <w:szCs w:val="32"/>
        </w:rPr>
        <w:t>3、执行专款专用制度。针对项目支出，要有效发挥财政专项资金的导向和激励作用，避免出现专项支出与基本支出混淆、专项资金调剂使用的现象。</w:t>
      </w:r>
    </w:p>
    <w:p>
      <w:pPr>
        <w:pStyle w:val="12"/>
        <w:keepNext w:val="0"/>
        <w:keepLines w:val="0"/>
        <w:pageBreakBefore w:val="0"/>
        <w:widowControl w:val="0"/>
        <w:suppressLineNumbers w:val="0"/>
        <w:kinsoku/>
        <w:wordWrap/>
        <w:overflowPunct/>
        <w:topLinePunct w:val="0"/>
        <w:autoSpaceDE/>
        <w:autoSpaceDN/>
        <w:bidi w:val="0"/>
        <w:spacing w:before="0" w:beforeAutospacing="0" w:after="0" w:afterAutospacing="0" w:line="576" w:lineRule="exact"/>
        <w:ind w:left="0" w:right="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smallCaps w:val="0"/>
          <w:color w:val="auto"/>
          <w:spacing w:val="0"/>
          <w:sz w:val="32"/>
          <w:szCs w:val="32"/>
        </w:rPr>
        <w:t>4、督促推进项目进度。根据年初制定的项目计划，在项目推进过程中监控项目进度，确保各项目按计划如期完成。</w:t>
      </w:r>
    </w:p>
    <w:p>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br w:type="page"/>
      </w:r>
    </w:p>
    <w:p>
      <w:pPr>
        <w:bidi w:val="0"/>
        <w:jc w:val="center"/>
        <w:rPr>
          <w:rStyle w:val="15"/>
          <w:rFonts w:hint="eastAsia" w:ascii="方正小标宋简体" w:hAnsi="方正小标宋简体" w:eastAsia="方正小标宋简体" w:cs="方正小标宋简体"/>
          <w:color w:val="auto"/>
          <w:sz w:val="40"/>
          <w:szCs w:val="40"/>
          <w:shd w:val="clear" w:color="auto" w:fill="auto"/>
        </w:rPr>
      </w:pPr>
      <w:r>
        <w:rPr>
          <w:rStyle w:val="15"/>
          <w:rFonts w:hint="eastAsia" w:ascii="方正小标宋简体" w:hAnsi="方正小标宋简体" w:eastAsia="方正小标宋简体" w:cs="方正小标宋简体"/>
          <w:color w:val="auto"/>
          <w:sz w:val="40"/>
          <w:szCs w:val="40"/>
          <w:shd w:val="clear" w:color="auto" w:fill="auto"/>
        </w:rPr>
        <w:t>2021年部门预算项目绩效目标自评</w:t>
      </w:r>
    </w:p>
    <w:tbl>
      <w:tblPr>
        <w:tblStyle w:val="13"/>
        <w:tblW w:w="9487" w:type="dxa"/>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848"/>
        <w:gridCol w:w="1127"/>
        <w:gridCol w:w="1419"/>
        <w:gridCol w:w="2231"/>
        <w:gridCol w:w="1831"/>
        <w:gridCol w:w="1885"/>
        <w:gridCol w:w="3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60" w:hRule="atLeast"/>
          <w:tblCellSpacing w:w="0" w:type="dxa"/>
          <w:jc w:val="center"/>
        </w:trPr>
        <w:tc>
          <w:tcPr>
            <w:tcW w:w="1915" w:type="dxa"/>
            <w:gridSpan w:val="2"/>
            <w:tcBorders>
              <w:top w:val="single" w:color="000000" w:sz="6" w:space="0"/>
              <w:left w:val="single" w:color="000000" w:sz="6" w:space="0"/>
              <w:bottom w:val="single" w:color="000000" w:sz="6" w:space="0"/>
              <w:right w:val="single" w:color="000000" w:sz="6" w:space="0"/>
            </w:tcBorders>
            <w:shd w:val="clear" w:color="auto" w:fill="auto"/>
            <w:noWrap/>
            <w:tcMar>
              <w:top w:w="0" w:type="dxa"/>
              <w:left w:w="105" w:type="dxa"/>
              <w:bottom w:w="0" w:type="dxa"/>
              <w:right w:w="105" w:type="dxa"/>
            </w:tcMar>
            <w:vAlign w:val="center"/>
          </w:tcPr>
          <w:p>
            <w:pPr>
              <w:pStyle w:val="12"/>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exact"/>
              <w:jc w:val="center"/>
              <w:textAlignment w:val="center"/>
              <w:rPr>
                <w:color w:val="auto"/>
              </w:rPr>
            </w:pPr>
            <w:bookmarkStart w:id="42" w:name="_Toc15396618"/>
            <w:bookmarkEnd w:id="42"/>
            <w:r>
              <w:rPr>
                <w:rFonts w:hint="eastAsia" w:ascii="宋体" w:eastAsia="宋体" w:cs="宋体"/>
                <w:color w:val="auto"/>
                <w:sz w:val="24"/>
                <w:szCs w:val="24"/>
              </w:rPr>
              <w:t>主管部门及代码</w:t>
            </w:r>
          </w:p>
        </w:tc>
        <w:tc>
          <w:tcPr>
            <w:tcW w:w="3590" w:type="dxa"/>
            <w:gridSpan w:val="2"/>
            <w:tcBorders>
              <w:top w:val="single" w:color="000000" w:sz="6" w:space="0"/>
              <w:left w:val="single" w:color="000000" w:sz="6" w:space="0"/>
              <w:bottom w:val="single" w:color="000000" w:sz="6" w:space="0"/>
              <w:right w:val="single" w:color="000000" w:sz="6" w:space="0"/>
            </w:tcBorders>
            <w:shd w:val="clear" w:color="auto" w:fill="auto"/>
            <w:noWrap/>
            <w:tcMar>
              <w:top w:w="0" w:type="dxa"/>
              <w:left w:w="105" w:type="dxa"/>
              <w:bottom w:w="0" w:type="dxa"/>
              <w:right w:w="105" w:type="dxa"/>
            </w:tcMar>
            <w:vAlign w:val="center"/>
          </w:tcPr>
          <w:p>
            <w:pPr>
              <w:pStyle w:val="12"/>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exact"/>
              <w:jc w:val="center"/>
              <w:textAlignment w:val="center"/>
              <w:rPr>
                <w:color w:val="auto"/>
              </w:rPr>
            </w:pPr>
            <w:r>
              <w:rPr>
                <w:rFonts w:hint="eastAsia" w:ascii="宋体" w:eastAsia="宋体" w:cs="宋体"/>
                <w:color w:val="auto"/>
                <w:sz w:val="24"/>
                <w:szCs w:val="24"/>
              </w:rPr>
              <w:t>309307</w:t>
            </w:r>
          </w:p>
        </w:tc>
        <w:tc>
          <w:tcPr>
            <w:tcW w:w="1801" w:type="dxa"/>
            <w:tcBorders>
              <w:top w:val="single" w:color="000000" w:sz="6" w:space="0"/>
              <w:left w:val="single" w:color="000000" w:sz="6" w:space="0"/>
              <w:bottom w:val="single" w:color="000000" w:sz="6" w:space="0"/>
              <w:right w:val="single" w:color="000000" w:sz="6" w:space="0"/>
            </w:tcBorders>
            <w:shd w:val="clear" w:color="auto" w:fill="auto"/>
            <w:noWrap/>
            <w:tcMar>
              <w:top w:w="0" w:type="dxa"/>
              <w:left w:w="105" w:type="dxa"/>
              <w:bottom w:w="0" w:type="dxa"/>
              <w:right w:w="105" w:type="dxa"/>
            </w:tcMar>
            <w:vAlign w:val="center"/>
          </w:tcPr>
          <w:p>
            <w:pPr>
              <w:pStyle w:val="12"/>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exact"/>
              <w:jc w:val="center"/>
              <w:textAlignment w:val="center"/>
              <w:rPr>
                <w:color w:val="auto"/>
              </w:rPr>
            </w:pPr>
            <w:r>
              <w:rPr>
                <w:rFonts w:hint="eastAsia" w:ascii="宋体" w:eastAsia="宋体" w:cs="宋体"/>
                <w:color w:val="auto"/>
                <w:sz w:val="24"/>
                <w:szCs w:val="24"/>
              </w:rPr>
              <w:t>实施单位</w:t>
            </w:r>
          </w:p>
        </w:tc>
        <w:tc>
          <w:tcPr>
            <w:tcW w:w="1855" w:type="dxa"/>
            <w:tcBorders>
              <w:top w:val="single" w:color="000000" w:sz="6" w:space="0"/>
              <w:left w:val="single" w:color="000000" w:sz="6" w:space="0"/>
              <w:bottom w:val="single" w:color="000000" w:sz="6" w:space="0"/>
              <w:right w:val="single" w:color="000000" w:sz="6" w:space="0"/>
            </w:tcBorders>
            <w:shd w:val="clear" w:color="auto" w:fill="auto"/>
            <w:noWrap/>
            <w:tcMar>
              <w:top w:w="0" w:type="dxa"/>
              <w:left w:w="105" w:type="dxa"/>
              <w:bottom w:w="0" w:type="dxa"/>
              <w:right w:w="105" w:type="dxa"/>
            </w:tcMar>
            <w:vAlign w:val="center"/>
          </w:tcPr>
          <w:p>
            <w:pPr>
              <w:pStyle w:val="12"/>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exact"/>
              <w:jc w:val="center"/>
              <w:textAlignment w:val="center"/>
              <w:rPr>
                <w:color w:val="auto"/>
              </w:rPr>
            </w:pPr>
            <w:r>
              <w:rPr>
                <w:rFonts w:hint="eastAsia" w:ascii="宋体" w:eastAsia="宋体" w:cs="宋体"/>
                <w:color w:val="auto"/>
                <w:sz w:val="24"/>
                <w:szCs w:val="24"/>
              </w:rPr>
              <w:t>民革广元市委</w:t>
            </w:r>
          </w:p>
        </w:tc>
        <w:tc>
          <w:tcPr>
            <w:tcW w:w="326" w:type="dxa"/>
            <w:tcBorders>
              <w:top w:val="single" w:color="000000" w:sz="6" w:space="0"/>
              <w:left w:val="single" w:color="000000" w:sz="6" w:space="0"/>
              <w:bottom w:val="single" w:color="000000" w:sz="6" w:space="0"/>
              <w:right w:val="single" w:color="000000" w:sz="6"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exact"/>
              <w:jc w:val="left"/>
              <w:rPr>
                <w:color w:val="auto"/>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05" w:hRule="atLeast"/>
          <w:tblCellSpacing w:w="0" w:type="dxa"/>
          <w:jc w:val="center"/>
        </w:trPr>
        <w:tc>
          <w:tcPr>
            <w:tcW w:w="1915" w:type="dxa"/>
            <w:gridSpan w:val="2"/>
            <w:vMerge w:val="restart"/>
            <w:tcBorders>
              <w:top w:val="single" w:color="000000" w:sz="6" w:space="0"/>
              <w:left w:val="single" w:color="000000" w:sz="6" w:space="0"/>
              <w:bottom w:val="single" w:color="000000" w:sz="6" w:space="0"/>
              <w:right w:val="single" w:color="000000" w:sz="6" w:space="0"/>
            </w:tcBorders>
            <w:shd w:val="clear" w:color="auto" w:fill="auto"/>
            <w:noWrap/>
            <w:tcMar>
              <w:top w:w="0" w:type="dxa"/>
              <w:left w:w="105" w:type="dxa"/>
              <w:bottom w:w="0" w:type="dxa"/>
              <w:right w:w="105" w:type="dxa"/>
            </w:tcMar>
            <w:vAlign w:val="center"/>
          </w:tcPr>
          <w:p>
            <w:pPr>
              <w:pStyle w:val="12"/>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exact"/>
              <w:jc w:val="center"/>
              <w:textAlignment w:val="center"/>
              <w:rPr>
                <w:color w:val="auto"/>
              </w:rPr>
            </w:pPr>
            <w:r>
              <w:rPr>
                <w:rFonts w:hint="eastAsia" w:ascii="宋体" w:eastAsia="宋体" w:cs="宋体"/>
                <w:color w:val="auto"/>
                <w:sz w:val="24"/>
                <w:szCs w:val="24"/>
              </w:rPr>
              <w:t>项目预算</w:t>
            </w:r>
          </w:p>
          <w:p>
            <w:pPr>
              <w:pStyle w:val="12"/>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exact"/>
              <w:jc w:val="center"/>
              <w:textAlignment w:val="center"/>
              <w:rPr>
                <w:color w:val="auto"/>
              </w:rPr>
            </w:pPr>
            <w:r>
              <w:rPr>
                <w:rFonts w:hint="eastAsia" w:ascii="宋体" w:eastAsia="宋体" w:cs="宋体"/>
                <w:color w:val="auto"/>
                <w:sz w:val="24"/>
                <w:szCs w:val="24"/>
              </w:rPr>
              <w:t>执行情况</w:t>
            </w:r>
          </w:p>
          <w:p>
            <w:pPr>
              <w:pStyle w:val="12"/>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exact"/>
              <w:jc w:val="center"/>
              <w:textAlignment w:val="center"/>
              <w:rPr>
                <w:color w:val="auto"/>
              </w:rPr>
            </w:pPr>
            <w:r>
              <w:rPr>
                <w:rFonts w:hint="eastAsia" w:ascii="宋体" w:eastAsia="宋体" w:cs="宋体"/>
                <w:color w:val="auto"/>
                <w:sz w:val="24"/>
                <w:szCs w:val="24"/>
              </w:rPr>
              <w:t>（万元）</w:t>
            </w:r>
          </w:p>
        </w:tc>
        <w:tc>
          <w:tcPr>
            <w:tcW w:w="1389" w:type="dxa"/>
            <w:tcBorders>
              <w:top w:val="single" w:color="000000" w:sz="6" w:space="0"/>
              <w:left w:val="single" w:color="000000" w:sz="6" w:space="0"/>
              <w:bottom w:val="single" w:color="000000" w:sz="6" w:space="0"/>
              <w:right w:val="single" w:color="000000" w:sz="6" w:space="0"/>
            </w:tcBorders>
            <w:shd w:val="clear" w:color="auto" w:fill="auto"/>
            <w:noWrap/>
            <w:tcMar>
              <w:top w:w="0" w:type="dxa"/>
              <w:left w:w="105" w:type="dxa"/>
              <w:bottom w:w="0" w:type="dxa"/>
              <w:right w:w="105" w:type="dxa"/>
            </w:tcMar>
            <w:vAlign w:val="center"/>
          </w:tcPr>
          <w:p>
            <w:pPr>
              <w:pStyle w:val="12"/>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exact"/>
              <w:jc w:val="center"/>
              <w:textAlignment w:val="center"/>
              <w:rPr>
                <w:color w:val="auto"/>
              </w:rPr>
            </w:pPr>
            <w:r>
              <w:rPr>
                <w:rFonts w:hint="eastAsia" w:ascii="宋体" w:eastAsia="宋体" w:cs="宋体"/>
                <w:color w:val="auto"/>
                <w:sz w:val="24"/>
                <w:szCs w:val="24"/>
              </w:rPr>
              <w:t>预算数：</w:t>
            </w:r>
          </w:p>
        </w:tc>
        <w:tc>
          <w:tcPr>
            <w:tcW w:w="2201" w:type="dxa"/>
            <w:tcBorders>
              <w:top w:val="single" w:color="000000" w:sz="6" w:space="0"/>
              <w:left w:val="single" w:color="000000" w:sz="6" w:space="0"/>
              <w:bottom w:val="single" w:color="000000" w:sz="6" w:space="0"/>
              <w:right w:val="single" w:color="000000" w:sz="6" w:space="0"/>
            </w:tcBorders>
            <w:shd w:val="clear" w:color="auto" w:fill="auto"/>
            <w:noWrap/>
            <w:tcMar>
              <w:top w:w="0" w:type="dxa"/>
              <w:left w:w="105" w:type="dxa"/>
              <w:bottom w:w="0" w:type="dxa"/>
              <w:right w:w="105" w:type="dxa"/>
            </w:tcMar>
            <w:vAlign w:val="center"/>
          </w:tcPr>
          <w:p>
            <w:pPr>
              <w:pStyle w:val="12"/>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exact"/>
              <w:jc w:val="center"/>
              <w:textAlignment w:val="center"/>
              <w:rPr>
                <w:color w:val="auto"/>
              </w:rPr>
            </w:pPr>
            <w:r>
              <w:rPr>
                <w:rFonts w:hint="eastAsia" w:ascii="宋体" w:eastAsia="宋体" w:cs="宋体"/>
                <w:color w:val="auto"/>
                <w:sz w:val="24"/>
                <w:szCs w:val="24"/>
              </w:rPr>
              <w:t>18.29</w:t>
            </w:r>
          </w:p>
        </w:tc>
        <w:tc>
          <w:tcPr>
            <w:tcW w:w="1801" w:type="dxa"/>
            <w:tcBorders>
              <w:top w:val="single" w:color="000000" w:sz="6" w:space="0"/>
              <w:left w:val="single" w:color="000000" w:sz="6" w:space="0"/>
              <w:bottom w:val="single" w:color="000000" w:sz="6" w:space="0"/>
              <w:right w:val="single" w:color="000000" w:sz="6" w:space="0"/>
            </w:tcBorders>
            <w:shd w:val="clear" w:color="auto" w:fill="auto"/>
            <w:noWrap/>
            <w:tcMar>
              <w:top w:w="0" w:type="dxa"/>
              <w:left w:w="105" w:type="dxa"/>
              <w:bottom w:w="0" w:type="dxa"/>
              <w:right w:w="105" w:type="dxa"/>
            </w:tcMar>
            <w:vAlign w:val="center"/>
          </w:tcPr>
          <w:p>
            <w:pPr>
              <w:pStyle w:val="12"/>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exact"/>
              <w:jc w:val="center"/>
              <w:textAlignment w:val="center"/>
              <w:rPr>
                <w:color w:val="auto"/>
              </w:rPr>
            </w:pPr>
            <w:r>
              <w:rPr>
                <w:rFonts w:hint="eastAsia" w:ascii="宋体" w:eastAsia="宋体" w:cs="宋体"/>
                <w:color w:val="auto"/>
                <w:sz w:val="24"/>
                <w:szCs w:val="24"/>
              </w:rPr>
              <w:t>执行数：</w:t>
            </w:r>
          </w:p>
        </w:tc>
        <w:tc>
          <w:tcPr>
            <w:tcW w:w="1855" w:type="dxa"/>
            <w:tcBorders>
              <w:top w:val="single" w:color="000000" w:sz="6" w:space="0"/>
              <w:left w:val="single" w:color="000000" w:sz="6" w:space="0"/>
              <w:bottom w:val="single" w:color="000000" w:sz="6" w:space="0"/>
              <w:right w:val="single" w:color="000000" w:sz="6" w:space="0"/>
            </w:tcBorders>
            <w:shd w:val="clear" w:color="auto" w:fill="auto"/>
            <w:noWrap/>
            <w:tcMar>
              <w:top w:w="0" w:type="dxa"/>
              <w:left w:w="105" w:type="dxa"/>
              <w:bottom w:w="0" w:type="dxa"/>
              <w:right w:w="105" w:type="dxa"/>
            </w:tcMar>
            <w:vAlign w:val="center"/>
          </w:tcPr>
          <w:p>
            <w:pPr>
              <w:pStyle w:val="12"/>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exact"/>
              <w:jc w:val="center"/>
              <w:textAlignment w:val="center"/>
              <w:rPr>
                <w:color w:val="auto"/>
              </w:rPr>
            </w:pPr>
            <w:r>
              <w:rPr>
                <w:rFonts w:hint="eastAsia" w:ascii="宋体" w:eastAsia="宋体" w:cs="宋体"/>
                <w:color w:val="auto"/>
                <w:sz w:val="24"/>
                <w:szCs w:val="24"/>
              </w:rPr>
              <w:t>18.29</w:t>
            </w:r>
          </w:p>
        </w:tc>
        <w:tc>
          <w:tcPr>
            <w:tcW w:w="326" w:type="dxa"/>
            <w:tcBorders>
              <w:top w:val="single" w:color="000000" w:sz="6" w:space="0"/>
              <w:left w:val="single" w:color="000000" w:sz="6" w:space="0"/>
              <w:bottom w:val="single" w:color="000000" w:sz="6" w:space="0"/>
              <w:right w:val="single" w:color="000000" w:sz="6"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exact"/>
              <w:jc w:val="left"/>
              <w:rPr>
                <w:color w:val="auto"/>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60" w:hRule="atLeast"/>
          <w:tblCellSpacing w:w="0" w:type="dxa"/>
          <w:jc w:val="center"/>
        </w:trPr>
        <w:tc>
          <w:tcPr>
            <w:tcW w:w="1915" w:type="dxa"/>
            <w:gridSpan w:val="2"/>
            <w:vMerge w:val="continue"/>
            <w:tcBorders>
              <w:top w:val="single" w:color="000000" w:sz="6" w:space="0"/>
              <w:left w:val="single" w:color="000000" w:sz="6" w:space="0"/>
              <w:bottom w:val="single" w:color="000000" w:sz="6" w:space="0"/>
              <w:right w:val="single" w:color="000000" w:sz="6" w:space="0"/>
            </w:tcBorders>
            <w:shd w:val="clear" w:color="auto" w:fill="auto"/>
            <w:noWrap/>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300" w:lineRule="exact"/>
              <w:jc w:val="center"/>
              <w:rPr>
                <w:color w:val="auto"/>
              </w:rPr>
            </w:pPr>
          </w:p>
        </w:tc>
        <w:tc>
          <w:tcPr>
            <w:tcW w:w="1389" w:type="dxa"/>
            <w:tcBorders>
              <w:top w:val="single" w:color="000000" w:sz="6" w:space="0"/>
              <w:left w:val="single" w:color="000000" w:sz="6" w:space="0"/>
              <w:bottom w:val="single" w:color="000000" w:sz="6" w:space="0"/>
              <w:right w:val="single" w:color="000000" w:sz="6" w:space="0"/>
            </w:tcBorders>
            <w:shd w:val="clear" w:color="auto" w:fill="auto"/>
            <w:noWrap/>
            <w:tcMar>
              <w:top w:w="0" w:type="dxa"/>
              <w:left w:w="105" w:type="dxa"/>
              <w:bottom w:w="0" w:type="dxa"/>
              <w:right w:w="105" w:type="dxa"/>
            </w:tcMar>
            <w:vAlign w:val="center"/>
          </w:tcPr>
          <w:p>
            <w:pPr>
              <w:pStyle w:val="12"/>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exact"/>
              <w:jc w:val="center"/>
              <w:textAlignment w:val="center"/>
              <w:rPr>
                <w:rFonts w:hint="eastAsia" w:ascii="宋体"/>
                <w:color w:val="auto"/>
                <w:sz w:val="24"/>
                <w:szCs w:val="24"/>
              </w:rPr>
            </w:pPr>
            <w:r>
              <w:rPr>
                <w:rFonts w:hint="eastAsia" w:ascii="宋体" w:eastAsia="宋体" w:cs="宋体"/>
                <w:color w:val="auto"/>
                <w:sz w:val="24"/>
                <w:szCs w:val="24"/>
              </w:rPr>
              <w:t>其中：</w:t>
            </w:r>
          </w:p>
          <w:p>
            <w:pPr>
              <w:pStyle w:val="12"/>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exact"/>
              <w:jc w:val="center"/>
              <w:textAlignment w:val="center"/>
              <w:rPr>
                <w:color w:val="auto"/>
              </w:rPr>
            </w:pPr>
            <w:r>
              <w:rPr>
                <w:rFonts w:hint="eastAsia" w:ascii="宋体" w:eastAsia="宋体" w:cs="宋体"/>
                <w:color w:val="auto"/>
                <w:sz w:val="24"/>
                <w:szCs w:val="24"/>
              </w:rPr>
              <w:t>财政拨款</w:t>
            </w:r>
          </w:p>
        </w:tc>
        <w:tc>
          <w:tcPr>
            <w:tcW w:w="2201" w:type="dxa"/>
            <w:tcBorders>
              <w:top w:val="single" w:color="000000" w:sz="6" w:space="0"/>
              <w:left w:val="single" w:color="000000" w:sz="6" w:space="0"/>
              <w:bottom w:val="single" w:color="000000" w:sz="6" w:space="0"/>
              <w:right w:val="single" w:color="000000" w:sz="6" w:space="0"/>
            </w:tcBorders>
            <w:shd w:val="clear" w:color="auto" w:fill="auto"/>
            <w:noWrap/>
            <w:tcMar>
              <w:top w:w="0" w:type="dxa"/>
              <w:left w:w="105" w:type="dxa"/>
              <w:bottom w:w="0" w:type="dxa"/>
              <w:right w:w="105" w:type="dxa"/>
            </w:tcMar>
            <w:vAlign w:val="center"/>
          </w:tcPr>
          <w:p>
            <w:pPr>
              <w:pStyle w:val="12"/>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exact"/>
              <w:jc w:val="center"/>
              <w:textAlignment w:val="center"/>
              <w:rPr>
                <w:color w:val="auto"/>
              </w:rPr>
            </w:pPr>
            <w:r>
              <w:rPr>
                <w:rFonts w:hint="eastAsia" w:ascii="宋体" w:eastAsia="宋体" w:cs="宋体"/>
                <w:color w:val="auto"/>
                <w:sz w:val="24"/>
                <w:szCs w:val="24"/>
              </w:rPr>
              <w:t>18.29</w:t>
            </w:r>
          </w:p>
        </w:tc>
        <w:tc>
          <w:tcPr>
            <w:tcW w:w="1801" w:type="dxa"/>
            <w:tcBorders>
              <w:top w:val="single" w:color="000000" w:sz="6" w:space="0"/>
              <w:left w:val="single" w:color="000000" w:sz="6" w:space="0"/>
              <w:bottom w:val="single" w:color="000000" w:sz="6" w:space="0"/>
              <w:right w:val="single" w:color="000000" w:sz="6" w:space="0"/>
            </w:tcBorders>
            <w:shd w:val="clear" w:color="auto" w:fill="auto"/>
            <w:noWrap/>
            <w:tcMar>
              <w:top w:w="0" w:type="dxa"/>
              <w:left w:w="105" w:type="dxa"/>
              <w:bottom w:w="0" w:type="dxa"/>
              <w:right w:w="105" w:type="dxa"/>
            </w:tcMar>
            <w:vAlign w:val="center"/>
          </w:tcPr>
          <w:p>
            <w:pPr>
              <w:pStyle w:val="12"/>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exact"/>
              <w:jc w:val="center"/>
              <w:textAlignment w:val="center"/>
              <w:rPr>
                <w:color w:val="auto"/>
              </w:rPr>
            </w:pPr>
            <w:r>
              <w:rPr>
                <w:rFonts w:hint="eastAsia" w:ascii="宋体" w:eastAsia="宋体" w:cs="宋体"/>
                <w:color w:val="auto"/>
                <w:sz w:val="24"/>
                <w:szCs w:val="24"/>
              </w:rPr>
              <w:t>其中：</w:t>
            </w:r>
          </w:p>
          <w:p>
            <w:pPr>
              <w:pStyle w:val="12"/>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exact"/>
              <w:jc w:val="center"/>
              <w:textAlignment w:val="center"/>
              <w:rPr>
                <w:color w:val="auto"/>
              </w:rPr>
            </w:pPr>
            <w:r>
              <w:rPr>
                <w:rFonts w:hint="eastAsia" w:ascii="宋体" w:eastAsia="宋体" w:cs="宋体"/>
                <w:color w:val="auto"/>
                <w:sz w:val="24"/>
                <w:szCs w:val="24"/>
              </w:rPr>
              <w:t>财政拨款</w:t>
            </w:r>
          </w:p>
        </w:tc>
        <w:tc>
          <w:tcPr>
            <w:tcW w:w="1855" w:type="dxa"/>
            <w:tcBorders>
              <w:top w:val="single" w:color="000000" w:sz="6" w:space="0"/>
              <w:left w:val="single" w:color="000000" w:sz="6" w:space="0"/>
              <w:bottom w:val="single" w:color="000000" w:sz="6" w:space="0"/>
              <w:right w:val="single" w:color="000000" w:sz="6" w:space="0"/>
            </w:tcBorders>
            <w:shd w:val="clear" w:color="auto" w:fill="auto"/>
            <w:noWrap/>
            <w:tcMar>
              <w:top w:w="0" w:type="dxa"/>
              <w:left w:w="105" w:type="dxa"/>
              <w:bottom w:w="0" w:type="dxa"/>
              <w:right w:w="105" w:type="dxa"/>
            </w:tcMar>
            <w:vAlign w:val="center"/>
          </w:tcPr>
          <w:p>
            <w:pPr>
              <w:pStyle w:val="12"/>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exact"/>
              <w:jc w:val="center"/>
              <w:textAlignment w:val="center"/>
              <w:rPr>
                <w:color w:val="auto"/>
              </w:rPr>
            </w:pPr>
            <w:r>
              <w:rPr>
                <w:rFonts w:hint="eastAsia" w:ascii="宋体" w:eastAsia="宋体" w:cs="宋体"/>
                <w:color w:val="auto"/>
                <w:sz w:val="24"/>
                <w:szCs w:val="24"/>
              </w:rPr>
              <w:t>18.29</w:t>
            </w:r>
          </w:p>
        </w:tc>
        <w:tc>
          <w:tcPr>
            <w:tcW w:w="326" w:type="dxa"/>
            <w:tcBorders>
              <w:top w:val="single" w:color="000000" w:sz="6" w:space="0"/>
              <w:left w:val="single" w:color="000000" w:sz="6" w:space="0"/>
              <w:bottom w:val="single" w:color="000000" w:sz="6" w:space="0"/>
              <w:right w:val="single" w:color="000000" w:sz="6"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exact"/>
              <w:jc w:val="left"/>
              <w:rPr>
                <w:color w:val="auto"/>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05" w:hRule="atLeast"/>
          <w:tblCellSpacing w:w="0" w:type="dxa"/>
          <w:jc w:val="center"/>
        </w:trPr>
        <w:tc>
          <w:tcPr>
            <w:tcW w:w="1915" w:type="dxa"/>
            <w:gridSpan w:val="2"/>
            <w:vMerge w:val="continue"/>
            <w:tcBorders>
              <w:top w:val="single" w:color="000000" w:sz="6" w:space="0"/>
              <w:left w:val="single" w:color="000000" w:sz="6" w:space="0"/>
              <w:bottom w:val="single" w:color="000000" w:sz="6" w:space="0"/>
              <w:right w:val="single" w:color="000000" w:sz="6" w:space="0"/>
            </w:tcBorders>
            <w:shd w:val="clear" w:color="auto" w:fill="auto"/>
            <w:noWrap/>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300" w:lineRule="exact"/>
              <w:jc w:val="center"/>
              <w:rPr>
                <w:color w:val="auto"/>
              </w:rPr>
            </w:pPr>
          </w:p>
        </w:tc>
        <w:tc>
          <w:tcPr>
            <w:tcW w:w="1389" w:type="dxa"/>
            <w:tcBorders>
              <w:top w:val="single" w:color="000000" w:sz="6" w:space="0"/>
              <w:left w:val="single" w:color="000000" w:sz="6" w:space="0"/>
              <w:bottom w:val="single" w:color="000000" w:sz="6" w:space="0"/>
              <w:right w:val="single" w:color="000000" w:sz="6" w:space="0"/>
            </w:tcBorders>
            <w:shd w:val="clear" w:color="auto" w:fill="auto"/>
            <w:noWrap/>
            <w:tcMar>
              <w:top w:w="0" w:type="dxa"/>
              <w:left w:w="105" w:type="dxa"/>
              <w:bottom w:w="0" w:type="dxa"/>
              <w:right w:w="105" w:type="dxa"/>
            </w:tcMar>
            <w:vAlign w:val="center"/>
          </w:tcPr>
          <w:p>
            <w:pPr>
              <w:pStyle w:val="12"/>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exact"/>
              <w:jc w:val="center"/>
              <w:textAlignment w:val="center"/>
              <w:rPr>
                <w:rFonts w:hint="eastAsia" w:ascii="宋体"/>
                <w:color w:val="auto"/>
                <w:sz w:val="24"/>
                <w:szCs w:val="24"/>
              </w:rPr>
            </w:pPr>
            <w:r>
              <w:rPr>
                <w:rFonts w:hint="eastAsia" w:ascii="宋体" w:eastAsia="宋体" w:cs="宋体"/>
                <w:color w:val="auto"/>
                <w:sz w:val="24"/>
                <w:szCs w:val="24"/>
              </w:rPr>
              <w:t>其他资金</w:t>
            </w:r>
          </w:p>
        </w:tc>
        <w:tc>
          <w:tcPr>
            <w:tcW w:w="2201" w:type="dxa"/>
            <w:tcBorders>
              <w:top w:val="single" w:color="000000" w:sz="6" w:space="0"/>
              <w:left w:val="single" w:color="000000" w:sz="6" w:space="0"/>
              <w:bottom w:val="single" w:color="000000" w:sz="6" w:space="0"/>
              <w:right w:val="single" w:color="000000" w:sz="6" w:space="0"/>
            </w:tcBorders>
            <w:shd w:val="clear" w:color="auto" w:fill="auto"/>
            <w:noWrap/>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exact"/>
              <w:jc w:val="center"/>
              <w:rPr>
                <w:color w:val="auto"/>
              </w:rPr>
            </w:pPr>
          </w:p>
        </w:tc>
        <w:tc>
          <w:tcPr>
            <w:tcW w:w="1801" w:type="dxa"/>
            <w:tcBorders>
              <w:top w:val="single" w:color="000000" w:sz="6" w:space="0"/>
              <w:left w:val="single" w:color="000000" w:sz="6" w:space="0"/>
              <w:bottom w:val="single" w:color="000000" w:sz="6" w:space="0"/>
              <w:right w:val="single" w:color="000000" w:sz="6" w:space="0"/>
            </w:tcBorders>
            <w:shd w:val="clear" w:color="auto" w:fill="auto"/>
            <w:noWrap/>
            <w:tcMar>
              <w:top w:w="0" w:type="dxa"/>
              <w:left w:w="105" w:type="dxa"/>
              <w:bottom w:w="0" w:type="dxa"/>
              <w:right w:w="105" w:type="dxa"/>
            </w:tcMar>
            <w:vAlign w:val="center"/>
          </w:tcPr>
          <w:p>
            <w:pPr>
              <w:pStyle w:val="12"/>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exact"/>
              <w:jc w:val="center"/>
              <w:textAlignment w:val="center"/>
              <w:rPr>
                <w:color w:val="auto"/>
              </w:rPr>
            </w:pPr>
            <w:r>
              <w:rPr>
                <w:rFonts w:hint="eastAsia" w:ascii="宋体" w:eastAsia="宋体" w:cs="宋体"/>
                <w:color w:val="auto"/>
                <w:sz w:val="24"/>
                <w:szCs w:val="24"/>
              </w:rPr>
              <w:t>其他资金</w:t>
            </w:r>
          </w:p>
        </w:tc>
        <w:tc>
          <w:tcPr>
            <w:tcW w:w="1855" w:type="dxa"/>
            <w:tcBorders>
              <w:top w:val="single" w:color="000000" w:sz="6" w:space="0"/>
              <w:left w:val="single" w:color="000000" w:sz="6" w:space="0"/>
              <w:bottom w:val="single" w:color="000000" w:sz="6" w:space="0"/>
              <w:right w:val="single" w:color="000000" w:sz="6" w:space="0"/>
            </w:tcBorders>
            <w:shd w:val="clear" w:color="auto" w:fill="auto"/>
            <w:noWrap/>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exact"/>
              <w:jc w:val="center"/>
              <w:rPr>
                <w:color w:val="auto"/>
              </w:rPr>
            </w:pPr>
          </w:p>
        </w:tc>
        <w:tc>
          <w:tcPr>
            <w:tcW w:w="326" w:type="dxa"/>
            <w:tcBorders>
              <w:top w:val="single" w:color="000000" w:sz="6" w:space="0"/>
              <w:left w:val="single" w:color="000000" w:sz="6" w:space="0"/>
              <w:bottom w:val="single" w:color="000000" w:sz="6" w:space="0"/>
              <w:right w:val="single" w:color="000000" w:sz="6"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exact"/>
              <w:jc w:val="left"/>
              <w:rPr>
                <w:color w:val="auto"/>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60" w:hRule="atLeast"/>
          <w:tblCellSpacing w:w="0" w:type="dxa"/>
          <w:jc w:val="center"/>
        </w:trPr>
        <w:tc>
          <w:tcPr>
            <w:tcW w:w="818" w:type="dxa"/>
            <w:vMerge w:val="restart"/>
            <w:tcBorders>
              <w:top w:val="single" w:color="000000" w:sz="6" w:space="0"/>
              <w:left w:val="single" w:color="000000" w:sz="6" w:space="0"/>
              <w:bottom w:val="single" w:color="000000" w:sz="6" w:space="0"/>
              <w:right w:val="single" w:color="000000" w:sz="6" w:space="0"/>
            </w:tcBorders>
            <w:shd w:val="clear" w:color="auto" w:fill="auto"/>
            <w:noWrap/>
            <w:tcMar>
              <w:top w:w="0" w:type="dxa"/>
              <w:left w:w="105" w:type="dxa"/>
              <w:bottom w:w="0" w:type="dxa"/>
              <w:right w:w="105" w:type="dxa"/>
            </w:tcMar>
            <w:vAlign w:val="center"/>
          </w:tcPr>
          <w:p>
            <w:pPr>
              <w:pStyle w:val="12"/>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exact"/>
              <w:jc w:val="center"/>
              <w:textAlignment w:val="center"/>
              <w:rPr>
                <w:color w:val="auto"/>
              </w:rPr>
            </w:pPr>
            <w:r>
              <w:rPr>
                <w:rFonts w:hint="eastAsia" w:ascii="宋体" w:eastAsia="宋体" w:cs="宋体"/>
                <w:color w:val="auto"/>
                <w:sz w:val="24"/>
                <w:szCs w:val="24"/>
              </w:rPr>
              <w:t>年度总体目标</w:t>
            </w:r>
          </w:p>
          <w:p>
            <w:pPr>
              <w:pStyle w:val="12"/>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exact"/>
              <w:jc w:val="center"/>
              <w:textAlignment w:val="center"/>
              <w:rPr>
                <w:color w:val="auto"/>
              </w:rPr>
            </w:pPr>
            <w:r>
              <w:rPr>
                <w:rFonts w:hint="eastAsia" w:ascii="宋体" w:eastAsia="宋体" w:cs="宋体"/>
                <w:color w:val="auto"/>
                <w:sz w:val="24"/>
                <w:szCs w:val="24"/>
              </w:rPr>
              <w:t>完成情况</w:t>
            </w:r>
          </w:p>
        </w:tc>
        <w:tc>
          <w:tcPr>
            <w:tcW w:w="4687" w:type="dxa"/>
            <w:gridSpan w:val="3"/>
            <w:tcBorders>
              <w:top w:val="single" w:color="000000" w:sz="6" w:space="0"/>
              <w:left w:val="single" w:color="000000" w:sz="6" w:space="0"/>
              <w:bottom w:val="single" w:color="000000" w:sz="6" w:space="0"/>
              <w:right w:val="single" w:color="000000" w:sz="6" w:space="0"/>
            </w:tcBorders>
            <w:shd w:val="clear" w:color="auto" w:fill="auto"/>
            <w:noWrap/>
            <w:tcMar>
              <w:top w:w="0" w:type="dxa"/>
              <w:left w:w="105" w:type="dxa"/>
              <w:bottom w:w="0" w:type="dxa"/>
              <w:right w:w="105" w:type="dxa"/>
            </w:tcMar>
            <w:vAlign w:val="center"/>
          </w:tcPr>
          <w:p>
            <w:pPr>
              <w:pStyle w:val="12"/>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exact"/>
              <w:jc w:val="center"/>
              <w:textAlignment w:val="center"/>
              <w:rPr>
                <w:color w:val="auto"/>
              </w:rPr>
            </w:pPr>
            <w:r>
              <w:rPr>
                <w:rFonts w:hint="eastAsia" w:ascii="宋体" w:eastAsia="宋体" w:cs="宋体"/>
                <w:color w:val="auto"/>
                <w:sz w:val="24"/>
                <w:szCs w:val="24"/>
              </w:rPr>
              <w:t>预期目标</w:t>
            </w:r>
          </w:p>
        </w:tc>
        <w:tc>
          <w:tcPr>
            <w:tcW w:w="3656" w:type="dxa"/>
            <w:gridSpan w:val="2"/>
            <w:tcBorders>
              <w:top w:val="single" w:color="000000" w:sz="6" w:space="0"/>
              <w:left w:val="single" w:color="000000" w:sz="6" w:space="0"/>
              <w:bottom w:val="single" w:color="000000" w:sz="6" w:space="0"/>
              <w:right w:val="single" w:color="000000" w:sz="6" w:space="0"/>
            </w:tcBorders>
            <w:shd w:val="clear" w:color="auto" w:fill="auto"/>
            <w:noWrap/>
            <w:tcMar>
              <w:top w:w="0" w:type="dxa"/>
              <w:left w:w="105" w:type="dxa"/>
              <w:bottom w:w="0" w:type="dxa"/>
              <w:right w:w="105" w:type="dxa"/>
            </w:tcMar>
            <w:vAlign w:val="center"/>
          </w:tcPr>
          <w:p>
            <w:pPr>
              <w:pStyle w:val="12"/>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exact"/>
              <w:jc w:val="center"/>
              <w:textAlignment w:val="center"/>
              <w:rPr>
                <w:color w:val="auto"/>
              </w:rPr>
            </w:pPr>
            <w:r>
              <w:rPr>
                <w:rFonts w:hint="eastAsia" w:ascii="宋体" w:eastAsia="宋体" w:cs="宋体"/>
                <w:color w:val="auto"/>
                <w:sz w:val="24"/>
                <w:szCs w:val="24"/>
              </w:rPr>
              <w:t>目标实际完成情况</w:t>
            </w:r>
          </w:p>
        </w:tc>
        <w:tc>
          <w:tcPr>
            <w:tcW w:w="326" w:type="dxa"/>
            <w:tcBorders>
              <w:top w:val="single" w:color="000000" w:sz="6" w:space="0"/>
              <w:left w:val="single" w:color="000000" w:sz="6" w:space="0"/>
              <w:bottom w:val="single" w:color="000000" w:sz="6" w:space="0"/>
              <w:right w:val="single" w:color="000000" w:sz="6"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exact"/>
              <w:jc w:val="left"/>
              <w:rPr>
                <w:color w:val="auto"/>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54" w:hRule="atLeast"/>
          <w:tblCellSpacing w:w="0" w:type="dxa"/>
          <w:jc w:val="center"/>
        </w:trPr>
        <w:tc>
          <w:tcPr>
            <w:tcW w:w="818" w:type="dxa"/>
            <w:vMerge w:val="continue"/>
            <w:tcBorders>
              <w:top w:val="single" w:color="000000" w:sz="6" w:space="0"/>
              <w:left w:val="single" w:color="000000" w:sz="6" w:space="0"/>
              <w:bottom w:val="single" w:color="000000" w:sz="6" w:space="0"/>
              <w:right w:val="single" w:color="000000" w:sz="6" w:space="0"/>
            </w:tcBorders>
            <w:shd w:val="clear" w:color="auto" w:fill="auto"/>
            <w:noWrap/>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300" w:lineRule="exact"/>
              <w:jc w:val="center"/>
              <w:rPr>
                <w:color w:val="auto"/>
              </w:rPr>
            </w:pPr>
          </w:p>
        </w:tc>
        <w:tc>
          <w:tcPr>
            <w:tcW w:w="4687" w:type="dxa"/>
            <w:gridSpan w:val="3"/>
            <w:tcBorders>
              <w:top w:val="single" w:color="000000" w:sz="6" w:space="0"/>
              <w:left w:val="single" w:color="000000" w:sz="6" w:space="0"/>
              <w:bottom w:val="single" w:color="000000" w:sz="6" w:space="0"/>
              <w:right w:val="single" w:color="000000" w:sz="6" w:space="0"/>
            </w:tcBorders>
            <w:shd w:val="clear" w:color="auto" w:fill="auto"/>
            <w:noWrap/>
            <w:tcMar>
              <w:top w:w="0" w:type="dxa"/>
              <w:left w:w="105" w:type="dxa"/>
              <w:bottom w:w="0" w:type="dxa"/>
              <w:right w:w="105" w:type="dxa"/>
            </w:tcMar>
            <w:vAlign w:val="center"/>
          </w:tcPr>
          <w:p>
            <w:pPr>
              <w:pStyle w:val="12"/>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exact"/>
              <w:jc w:val="both"/>
              <w:textAlignment w:val="top"/>
              <w:rPr>
                <w:rFonts w:hint="eastAsia" w:ascii="宋体"/>
                <w:color w:val="auto"/>
                <w:sz w:val="24"/>
                <w:szCs w:val="24"/>
              </w:rPr>
            </w:pPr>
            <w:r>
              <w:rPr>
                <w:rFonts w:hint="eastAsia" w:ascii="宋体" w:eastAsia="宋体" w:cs="宋体"/>
                <w:color w:val="auto"/>
                <w:sz w:val="18"/>
                <w:szCs w:val="18"/>
              </w:rPr>
              <w:t>目标1：促进祖国统一工作，开展和台办、台联开展一次联谊活动；举办一次台海形式报告活动会议。</w:t>
            </w:r>
          </w:p>
          <w:p>
            <w:pPr>
              <w:pStyle w:val="12"/>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exact"/>
              <w:jc w:val="both"/>
              <w:rPr>
                <w:color w:val="auto"/>
              </w:rPr>
            </w:pPr>
            <w:r>
              <w:rPr>
                <w:rFonts w:hint="eastAsia" w:ascii="宋体" w:eastAsia="宋体" w:cs="宋体"/>
                <w:color w:val="auto"/>
                <w:sz w:val="18"/>
                <w:szCs w:val="18"/>
              </w:rPr>
              <w:t>目标2：积极开展社会服务工作，开展帮村工作，“三下乡”社会服务，积极争取社会各界扶贫援助项目等。</w:t>
            </w:r>
          </w:p>
          <w:p>
            <w:pPr>
              <w:pStyle w:val="12"/>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exact"/>
              <w:jc w:val="both"/>
              <w:textAlignment w:val="top"/>
              <w:rPr>
                <w:color w:val="auto"/>
              </w:rPr>
            </w:pPr>
            <w:r>
              <w:rPr>
                <w:rFonts w:hint="eastAsia" w:ascii="宋体" w:eastAsia="宋体" w:cs="宋体"/>
                <w:color w:val="auto"/>
                <w:sz w:val="18"/>
                <w:szCs w:val="18"/>
              </w:rPr>
              <w:t>目标3：履行参政议政职责，开展调查研究，完成调研课题，积极建言献策，为广元经济社会发展献计出力。</w:t>
            </w:r>
          </w:p>
          <w:p>
            <w:pPr>
              <w:pStyle w:val="12"/>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exact"/>
              <w:jc w:val="both"/>
              <w:textAlignment w:val="top"/>
              <w:rPr>
                <w:color w:val="auto"/>
              </w:rPr>
            </w:pPr>
            <w:r>
              <w:rPr>
                <w:rFonts w:hint="eastAsia" w:ascii="宋体" w:eastAsia="宋体" w:cs="宋体"/>
                <w:color w:val="auto"/>
                <w:sz w:val="18"/>
                <w:szCs w:val="18"/>
              </w:rPr>
              <w:t>目标4：开展民主监督工作，重点完成对口利州区脱贫攻坚民主监督工作。</w:t>
            </w:r>
          </w:p>
          <w:p>
            <w:pPr>
              <w:pStyle w:val="12"/>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exact"/>
              <w:jc w:val="both"/>
              <w:textAlignment w:val="top"/>
              <w:rPr>
                <w:color w:val="auto"/>
              </w:rPr>
            </w:pPr>
            <w:r>
              <w:rPr>
                <w:rFonts w:hint="eastAsia" w:ascii="宋体" w:eastAsia="宋体" w:cs="宋体"/>
                <w:color w:val="auto"/>
                <w:sz w:val="18"/>
                <w:szCs w:val="18"/>
              </w:rPr>
              <w:t>目标5：市直属组织开展组织活动、加强基层组织建设，推进广元民革党高效履职。</w:t>
            </w:r>
          </w:p>
          <w:p>
            <w:pPr>
              <w:pStyle w:val="12"/>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exact"/>
              <w:jc w:val="both"/>
              <w:textAlignment w:val="top"/>
              <w:rPr>
                <w:color w:val="auto"/>
              </w:rPr>
            </w:pPr>
            <w:r>
              <w:rPr>
                <w:rFonts w:hint="eastAsia" w:ascii="宋体" w:eastAsia="宋体" w:cs="宋体"/>
                <w:color w:val="auto"/>
                <w:sz w:val="18"/>
                <w:szCs w:val="18"/>
              </w:rPr>
              <w:t>目标6：召开民革广元市委会换届工作。</w:t>
            </w:r>
          </w:p>
        </w:tc>
        <w:tc>
          <w:tcPr>
            <w:tcW w:w="3656" w:type="dxa"/>
            <w:gridSpan w:val="2"/>
            <w:tcBorders>
              <w:top w:val="single" w:color="000000" w:sz="6" w:space="0"/>
              <w:left w:val="single" w:color="000000" w:sz="6" w:space="0"/>
              <w:bottom w:val="single" w:color="000000" w:sz="6" w:space="0"/>
              <w:right w:val="single" w:color="000000" w:sz="6" w:space="0"/>
            </w:tcBorders>
            <w:shd w:val="clear" w:color="auto" w:fill="auto"/>
            <w:noWrap/>
            <w:tcMar>
              <w:top w:w="0" w:type="dxa"/>
              <w:left w:w="105" w:type="dxa"/>
              <w:bottom w:w="0" w:type="dxa"/>
              <w:right w:w="105" w:type="dxa"/>
            </w:tcMar>
            <w:vAlign w:val="center"/>
          </w:tcPr>
          <w:p>
            <w:pPr>
              <w:pStyle w:val="12"/>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exact"/>
              <w:jc w:val="both"/>
              <w:textAlignment w:val="top"/>
              <w:rPr>
                <w:color w:val="auto"/>
              </w:rPr>
            </w:pPr>
            <w:r>
              <w:rPr>
                <w:rFonts w:hint="eastAsia" w:ascii="宋体" w:eastAsia="宋体" w:cs="宋体"/>
                <w:color w:val="auto"/>
                <w:sz w:val="18"/>
                <w:szCs w:val="18"/>
              </w:rPr>
              <w:t>目标1：促进祖国统一工作，开展和台办、台联开展一次联谊活动；举办一次台海形式报告活动会议。</w:t>
            </w:r>
          </w:p>
          <w:p>
            <w:pPr>
              <w:pStyle w:val="12"/>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exact"/>
              <w:jc w:val="both"/>
              <w:textAlignment w:val="top"/>
              <w:rPr>
                <w:color w:val="auto"/>
              </w:rPr>
            </w:pPr>
            <w:r>
              <w:rPr>
                <w:rFonts w:hint="eastAsia" w:ascii="宋体" w:eastAsia="宋体" w:cs="宋体"/>
                <w:color w:val="auto"/>
                <w:sz w:val="18"/>
                <w:szCs w:val="18"/>
              </w:rPr>
              <w:t>目标2：积极开展社会服务工作，开展帮村工作，“三下乡”社会服务，积极争取社会各界扶贫援助项目等。</w:t>
            </w:r>
          </w:p>
          <w:p>
            <w:pPr>
              <w:pStyle w:val="12"/>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exact"/>
              <w:jc w:val="both"/>
              <w:textAlignment w:val="top"/>
              <w:rPr>
                <w:color w:val="auto"/>
              </w:rPr>
            </w:pPr>
            <w:r>
              <w:rPr>
                <w:rFonts w:hint="eastAsia" w:ascii="宋体" w:eastAsia="宋体" w:cs="宋体"/>
                <w:color w:val="auto"/>
                <w:sz w:val="18"/>
                <w:szCs w:val="18"/>
              </w:rPr>
              <w:t>目标3：履行参政议政职责，开展调查研究，完成调研课题，积极建言献策，为广元经济社会发展献计出力。</w:t>
            </w:r>
          </w:p>
          <w:p>
            <w:pPr>
              <w:pStyle w:val="12"/>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exact"/>
              <w:jc w:val="both"/>
              <w:textAlignment w:val="top"/>
              <w:rPr>
                <w:color w:val="auto"/>
              </w:rPr>
            </w:pPr>
            <w:r>
              <w:rPr>
                <w:rFonts w:hint="eastAsia" w:ascii="宋体" w:eastAsia="宋体" w:cs="宋体"/>
                <w:color w:val="auto"/>
                <w:sz w:val="18"/>
                <w:szCs w:val="18"/>
              </w:rPr>
              <w:t>目标4：开展民主监督工作，重点完成对口利州区脱贫攻坚民主监督工作。</w:t>
            </w:r>
          </w:p>
          <w:p>
            <w:pPr>
              <w:pStyle w:val="12"/>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exact"/>
              <w:jc w:val="both"/>
              <w:textAlignment w:val="top"/>
              <w:rPr>
                <w:color w:val="auto"/>
              </w:rPr>
            </w:pPr>
            <w:r>
              <w:rPr>
                <w:rFonts w:hint="eastAsia" w:ascii="宋体" w:eastAsia="宋体" w:cs="宋体"/>
                <w:color w:val="auto"/>
                <w:sz w:val="18"/>
                <w:szCs w:val="18"/>
              </w:rPr>
              <w:t>目标5：市直属组织开展组织活动、加强基层组织建设，推进广元民革党高效履职。</w:t>
            </w:r>
          </w:p>
          <w:p>
            <w:pPr>
              <w:pStyle w:val="12"/>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exact"/>
              <w:jc w:val="both"/>
              <w:textAlignment w:val="top"/>
              <w:rPr>
                <w:color w:val="auto"/>
              </w:rPr>
            </w:pPr>
            <w:r>
              <w:rPr>
                <w:rFonts w:hint="eastAsia" w:ascii="宋体" w:eastAsia="宋体" w:cs="宋体"/>
                <w:color w:val="auto"/>
                <w:sz w:val="18"/>
                <w:szCs w:val="18"/>
              </w:rPr>
              <w:t>目标6：召开民革广元市委会换届工作。</w:t>
            </w:r>
          </w:p>
        </w:tc>
        <w:tc>
          <w:tcPr>
            <w:tcW w:w="326" w:type="dxa"/>
            <w:tcBorders>
              <w:top w:val="single" w:color="000000" w:sz="6" w:space="0"/>
              <w:left w:val="single" w:color="000000" w:sz="6" w:space="0"/>
              <w:bottom w:val="single" w:color="000000" w:sz="6" w:space="0"/>
              <w:right w:val="single" w:color="000000" w:sz="6"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exact"/>
              <w:jc w:val="left"/>
              <w:rPr>
                <w:color w:val="auto"/>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49" w:hRule="atLeast"/>
          <w:tblCellSpacing w:w="0" w:type="dxa"/>
          <w:jc w:val="center"/>
        </w:trPr>
        <w:tc>
          <w:tcPr>
            <w:tcW w:w="818" w:type="dxa"/>
            <w:vMerge w:val="restart"/>
            <w:tcBorders>
              <w:top w:val="single" w:color="000000" w:sz="6" w:space="0"/>
              <w:left w:val="single" w:color="000000" w:sz="6" w:space="0"/>
              <w:bottom w:val="single" w:color="000000" w:sz="6" w:space="0"/>
              <w:right w:val="single" w:color="000000" w:sz="6" w:space="0"/>
            </w:tcBorders>
            <w:shd w:val="clear" w:color="auto" w:fill="auto"/>
            <w:noWrap/>
            <w:tcMar>
              <w:top w:w="0" w:type="dxa"/>
              <w:left w:w="105" w:type="dxa"/>
              <w:bottom w:w="0" w:type="dxa"/>
              <w:right w:w="105" w:type="dxa"/>
            </w:tcMar>
            <w:vAlign w:val="center"/>
          </w:tcPr>
          <w:p>
            <w:pPr>
              <w:pStyle w:val="12"/>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exact"/>
              <w:jc w:val="center"/>
              <w:textAlignment w:val="center"/>
              <w:rPr>
                <w:color w:val="auto"/>
              </w:rPr>
            </w:pPr>
            <w:r>
              <w:rPr>
                <w:rFonts w:ascii="仿宋_GB2312" w:eastAsia="仿宋_GB2312" w:cs="仿宋_GB2312"/>
                <w:color w:val="auto"/>
                <w:sz w:val="28"/>
                <w:szCs w:val="28"/>
              </w:rPr>
              <w:t>年度绩效指标完成情况</w:t>
            </w:r>
          </w:p>
        </w:tc>
        <w:tc>
          <w:tcPr>
            <w:tcW w:w="1097" w:type="dxa"/>
            <w:tcBorders>
              <w:top w:val="single" w:color="000000" w:sz="6" w:space="0"/>
              <w:left w:val="single" w:color="000000" w:sz="6" w:space="0"/>
              <w:bottom w:val="single" w:color="000000" w:sz="6" w:space="0"/>
              <w:right w:val="single" w:color="000000" w:sz="6" w:space="0"/>
            </w:tcBorders>
            <w:shd w:val="clear" w:color="auto" w:fill="auto"/>
            <w:noWrap/>
            <w:tcMar>
              <w:top w:w="0" w:type="dxa"/>
              <w:left w:w="105" w:type="dxa"/>
              <w:bottom w:w="0" w:type="dxa"/>
              <w:right w:w="105" w:type="dxa"/>
            </w:tcMar>
            <w:vAlign w:val="center"/>
          </w:tcPr>
          <w:p>
            <w:pPr>
              <w:pStyle w:val="12"/>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exact"/>
              <w:jc w:val="center"/>
              <w:textAlignment w:val="center"/>
              <w:rPr>
                <w:color w:val="auto"/>
              </w:rPr>
            </w:pPr>
            <w:r>
              <w:rPr>
                <w:rFonts w:hint="eastAsia" w:ascii="宋体" w:eastAsia="宋体" w:cs="宋体"/>
                <w:color w:val="auto"/>
                <w:sz w:val="24"/>
                <w:szCs w:val="24"/>
              </w:rPr>
              <w:t>一级</w:t>
            </w:r>
          </w:p>
          <w:p>
            <w:pPr>
              <w:pStyle w:val="12"/>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exact"/>
              <w:jc w:val="center"/>
              <w:textAlignment w:val="center"/>
              <w:rPr>
                <w:color w:val="auto"/>
              </w:rPr>
            </w:pPr>
            <w:r>
              <w:rPr>
                <w:rFonts w:hint="eastAsia" w:ascii="宋体" w:eastAsia="宋体" w:cs="宋体"/>
                <w:color w:val="auto"/>
                <w:sz w:val="24"/>
                <w:szCs w:val="24"/>
              </w:rPr>
              <w:t>指标</w:t>
            </w:r>
          </w:p>
        </w:tc>
        <w:tc>
          <w:tcPr>
            <w:tcW w:w="1389" w:type="dxa"/>
            <w:tcBorders>
              <w:top w:val="single" w:color="000000" w:sz="6" w:space="0"/>
              <w:left w:val="single" w:color="000000" w:sz="6" w:space="0"/>
              <w:bottom w:val="single" w:color="000000" w:sz="6" w:space="0"/>
              <w:right w:val="single" w:color="000000" w:sz="6" w:space="0"/>
            </w:tcBorders>
            <w:shd w:val="clear" w:color="auto" w:fill="auto"/>
            <w:noWrap/>
            <w:tcMar>
              <w:top w:w="0" w:type="dxa"/>
              <w:left w:w="105" w:type="dxa"/>
              <w:bottom w:w="0" w:type="dxa"/>
              <w:right w:w="105" w:type="dxa"/>
            </w:tcMar>
            <w:vAlign w:val="center"/>
          </w:tcPr>
          <w:p>
            <w:pPr>
              <w:pStyle w:val="12"/>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exact"/>
              <w:jc w:val="center"/>
              <w:textAlignment w:val="center"/>
              <w:rPr>
                <w:color w:val="auto"/>
              </w:rPr>
            </w:pPr>
            <w:r>
              <w:rPr>
                <w:rFonts w:hint="eastAsia" w:ascii="宋体" w:eastAsia="宋体" w:cs="宋体"/>
                <w:color w:val="auto"/>
                <w:sz w:val="24"/>
                <w:szCs w:val="24"/>
              </w:rPr>
              <w:t>二级</w:t>
            </w:r>
          </w:p>
          <w:p>
            <w:pPr>
              <w:pStyle w:val="12"/>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exact"/>
              <w:jc w:val="center"/>
              <w:textAlignment w:val="center"/>
              <w:rPr>
                <w:color w:val="auto"/>
              </w:rPr>
            </w:pPr>
            <w:r>
              <w:rPr>
                <w:rFonts w:hint="eastAsia" w:ascii="宋体" w:eastAsia="宋体" w:cs="宋体"/>
                <w:color w:val="auto"/>
                <w:sz w:val="24"/>
                <w:szCs w:val="24"/>
              </w:rPr>
              <w:t>指标</w:t>
            </w:r>
          </w:p>
        </w:tc>
        <w:tc>
          <w:tcPr>
            <w:tcW w:w="2201" w:type="dxa"/>
            <w:tcBorders>
              <w:top w:val="single" w:color="000000" w:sz="6" w:space="0"/>
              <w:left w:val="single" w:color="000000" w:sz="6" w:space="0"/>
              <w:bottom w:val="single" w:color="000000" w:sz="6" w:space="0"/>
              <w:right w:val="single" w:color="000000" w:sz="6" w:space="0"/>
            </w:tcBorders>
            <w:shd w:val="clear" w:color="auto" w:fill="auto"/>
            <w:noWrap/>
            <w:tcMar>
              <w:top w:w="0" w:type="dxa"/>
              <w:left w:w="105" w:type="dxa"/>
              <w:bottom w:w="0" w:type="dxa"/>
              <w:right w:w="105" w:type="dxa"/>
            </w:tcMar>
            <w:vAlign w:val="center"/>
          </w:tcPr>
          <w:p>
            <w:pPr>
              <w:pStyle w:val="12"/>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exact"/>
              <w:jc w:val="center"/>
              <w:textAlignment w:val="center"/>
              <w:rPr>
                <w:color w:val="auto"/>
              </w:rPr>
            </w:pPr>
            <w:r>
              <w:rPr>
                <w:rFonts w:hint="eastAsia" w:ascii="宋体" w:eastAsia="宋体" w:cs="宋体"/>
                <w:color w:val="auto"/>
                <w:sz w:val="24"/>
                <w:szCs w:val="24"/>
              </w:rPr>
              <w:t>三级</w:t>
            </w:r>
          </w:p>
          <w:p>
            <w:pPr>
              <w:pStyle w:val="12"/>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exact"/>
              <w:jc w:val="center"/>
              <w:textAlignment w:val="center"/>
              <w:rPr>
                <w:color w:val="auto"/>
              </w:rPr>
            </w:pPr>
            <w:r>
              <w:rPr>
                <w:rFonts w:hint="eastAsia" w:ascii="宋体" w:eastAsia="宋体" w:cs="宋体"/>
                <w:color w:val="auto"/>
                <w:sz w:val="24"/>
                <w:szCs w:val="24"/>
              </w:rPr>
              <w:t>指标</w:t>
            </w:r>
          </w:p>
        </w:tc>
        <w:tc>
          <w:tcPr>
            <w:tcW w:w="1801" w:type="dxa"/>
            <w:tcBorders>
              <w:top w:val="single" w:color="000000" w:sz="6" w:space="0"/>
              <w:left w:val="single" w:color="000000" w:sz="6" w:space="0"/>
              <w:bottom w:val="single" w:color="000000" w:sz="6" w:space="0"/>
              <w:right w:val="single" w:color="000000" w:sz="6" w:space="0"/>
            </w:tcBorders>
            <w:shd w:val="clear" w:color="auto" w:fill="auto"/>
            <w:noWrap/>
            <w:tcMar>
              <w:top w:w="0" w:type="dxa"/>
              <w:left w:w="105" w:type="dxa"/>
              <w:bottom w:w="0" w:type="dxa"/>
              <w:right w:w="105" w:type="dxa"/>
            </w:tcMar>
            <w:vAlign w:val="center"/>
          </w:tcPr>
          <w:p>
            <w:pPr>
              <w:pStyle w:val="12"/>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exact"/>
              <w:jc w:val="center"/>
              <w:textAlignment w:val="center"/>
              <w:rPr>
                <w:color w:val="auto"/>
              </w:rPr>
            </w:pPr>
            <w:r>
              <w:rPr>
                <w:rFonts w:hint="eastAsia" w:ascii="宋体" w:eastAsia="宋体" w:cs="宋体"/>
                <w:color w:val="auto"/>
                <w:sz w:val="24"/>
                <w:szCs w:val="24"/>
              </w:rPr>
              <w:t>预期指标值</w:t>
            </w:r>
          </w:p>
        </w:tc>
        <w:tc>
          <w:tcPr>
            <w:tcW w:w="1855" w:type="dxa"/>
            <w:tcBorders>
              <w:top w:val="single" w:color="000000" w:sz="6" w:space="0"/>
              <w:left w:val="single" w:color="000000" w:sz="6" w:space="0"/>
              <w:bottom w:val="single" w:color="000000" w:sz="6" w:space="0"/>
              <w:right w:val="single" w:color="000000" w:sz="6" w:space="0"/>
            </w:tcBorders>
            <w:shd w:val="clear" w:color="auto" w:fill="auto"/>
            <w:noWrap/>
            <w:tcMar>
              <w:top w:w="0" w:type="dxa"/>
              <w:left w:w="105" w:type="dxa"/>
              <w:bottom w:w="0" w:type="dxa"/>
              <w:right w:w="105" w:type="dxa"/>
            </w:tcMar>
            <w:vAlign w:val="center"/>
          </w:tcPr>
          <w:p>
            <w:pPr>
              <w:pStyle w:val="12"/>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exact"/>
              <w:jc w:val="center"/>
              <w:textAlignment w:val="center"/>
              <w:rPr>
                <w:color w:val="auto"/>
              </w:rPr>
            </w:pPr>
            <w:r>
              <w:rPr>
                <w:rFonts w:hint="eastAsia" w:ascii="宋体" w:eastAsia="宋体" w:cs="宋体"/>
                <w:color w:val="auto"/>
                <w:sz w:val="24"/>
                <w:szCs w:val="24"/>
              </w:rPr>
              <w:t>实际完成指标值</w:t>
            </w:r>
          </w:p>
        </w:tc>
        <w:tc>
          <w:tcPr>
            <w:tcW w:w="326" w:type="dxa"/>
            <w:tcBorders>
              <w:top w:val="single" w:color="000000" w:sz="6" w:space="0"/>
              <w:left w:val="single" w:color="000000" w:sz="6" w:space="0"/>
              <w:bottom w:val="single" w:color="000000" w:sz="6" w:space="0"/>
              <w:right w:val="single" w:color="000000" w:sz="6"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exact"/>
              <w:jc w:val="left"/>
              <w:rPr>
                <w:color w:val="auto"/>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74" w:hRule="atLeast"/>
          <w:tblCellSpacing w:w="0" w:type="dxa"/>
          <w:jc w:val="center"/>
        </w:trPr>
        <w:tc>
          <w:tcPr>
            <w:tcW w:w="818" w:type="dxa"/>
            <w:vMerge w:val="continue"/>
            <w:tcBorders>
              <w:top w:val="single" w:color="000000" w:sz="6" w:space="0"/>
              <w:left w:val="single" w:color="000000" w:sz="6" w:space="0"/>
              <w:bottom w:val="single" w:color="000000" w:sz="6" w:space="0"/>
              <w:right w:val="single" w:color="000000" w:sz="6" w:space="0"/>
            </w:tcBorders>
            <w:shd w:val="clear" w:color="auto" w:fill="auto"/>
            <w:noWrap/>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300" w:lineRule="exact"/>
              <w:jc w:val="center"/>
              <w:rPr>
                <w:color w:val="auto"/>
              </w:rPr>
            </w:pPr>
          </w:p>
        </w:tc>
        <w:tc>
          <w:tcPr>
            <w:tcW w:w="1097" w:type="dxa"/>
            <w:vMerge w:val="restart"/>
            <w:tcBorders>
              <w:top w:val="single" w:color="000000" w:sz="6" w:space="0"/>
              <w:left w:val="single" w:color="000000" w:sz="6" w:space="0"/>
              <w:bottom w:val="single" w:color="auto" w:sz="6" w:space="0"/>
              <w:right w:val="single" w:color="000000" w:sz="6" w:space="0"/>
            </w:tcBorders>
            <w:shd w:val="clear" w:color="auto" w:fill="auto"/>
            <w:noWrap/>
            <w:tcMar>
              <w:top w:w="0" w:type="dxa"/>
              <w:left w:w="105" w:type="dxa"/>
              <w:bottom w:w="0" w:type="dxa"/>
              <w:right w:w="105" w:type="dxa"/>
            </w:tcMar>
            <w:vAlign w:val="center"/>
          </w:tcPr>
          <w:p>
            <w:pPr>
              <w:pStyle w:val="12"/>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exact"/>
              <w:jc w:val="center"/>
              <w:textAlignment w:val="bottom"/>
              <w:rPr>
                <w:rFonts w:hint="eastAsia" w:ascii="宋体"/>
                <w:color w:val="auto"/>
                <w:sz w:val="24"/>
                <w:szCs w:val="24"/>
              </w:rPr>
            </w:pPr>
            <w:r>
              <w:rPr>
                <w:rFonts w:ascii="仿宋_GB2312" w:eastAsia="仿宋_GB2312" w:cs="仿宋_GB2312"/>
                <w:color w:val="auto"/>
                <w:sz w:val="28"/>
                <w:szCs w:val="28"/>
              </w:rPr>
              <w:t>完成</w:t>
            </w:r>
          </w:p>
          <w:p>
            <w:pPr>
              <w:pStyle w:val="12"/>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exact"/>
              <w:jc w:val="center"/>
              <w:textAlignment w:val="bottom"/>
              <w:rPr>
                <w:color w:val="auto"/>
              </w:rPr>
            </w:pPr>
            <w:r>
              <w:rPr>
                <w:rFonts w:ascii="仿宋_GB2312" w:eastAsia="仿宋_GB2312" w:cs="仿宋_GB2312"/>
                <w:color w:val="auto"/>
                <w:sz w:val="28"/>
                <w:szCs w:val="28"/>
              </w:rPr>
              <w:t>指标</w:t>
            </w:r>
          </w:p>
        </w:tc>
        <w:tc>
          <w:tcPr>
            <w:tcW w:w="1389" w:type="dxa"/>
            <w:vMerge w:val="restart"/>
            <w:tcBorders>
              <w:top w:val="single" w:color="000000" w:sz="6" w:space="0"/>
              <w:left w:val="single" w:color="000000" w:sz="6" w:space="0"/>
              <w:bottom w:val="single" w:color="000000" w:sz="6" w:space="0"/>
              <w:right w:val="single" w:color="000000" w:sz="6" w:space="0"/>
            </w:tcBorders>
            <w:shd w:val="clear" w:color="auto" w:fill="auto"/>
            <w:noWrap/>
            <w:tcMar>
              <w:top w:w="0" w:type="dxa"/>
              <w:left w:w="105" w:type="dxa"/>
              <w:bottom w:w="0" w:type="dxa"/>
              <w:right w:w="105" w:type="dxa"/>
            </w:tcMar>
            <w:vAlign w:val="center"/>
          </w:tcPr>
          <w:p>
            <w:pPr>
              <w:pStyle w:val="12"/>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exact"/>
              <w:jc w:val="center"/>
              <w:textAlignment w:val="bottom"/>
              <w:rPr>
                <w:color w:val="auto"/>
              </w:rPr>
            </w:pPr>
            <w:r>
              <w:rPr>
                <w:rFonts w:ascii="仿宋_GB2312" w:eastAsia="仿宋_GB2312" w:cs="仿宋_GB2312"/>
                <w:color w:val="auto"/>
                <w:sz w:val="28"/>
                <w:szCs w:val="28"/>
              </w:rPr>
              <w:t>数量指标</w:t>
            </w:r>
          </w:p>
        </w:tc>
        <w:tc>
          <w:tcPr>
            <w:tcW w:w="2201" w:type="dxa"/>
            <w:tcBorders>
              <w:top w:val="single" w:color="000000" w:sz="6" w:space="0"/>
              <w:left w:val="single" w:color="000000" w:sz="6" w:space="0"/>
              <w:bottom w:val="single" w:color="000000" w:sz="6" w:space="0"/>
              <w:right w:val="single" w:color="000000" w:sz="6" w:space="0"/>
            </w:tcBorders>
            <w:shd w:val="clear" w:color="auto" w:fill="auto"/>
            <w:noWrap/>
            <w:tcMar>
              <w:top w:w="0" w:type="dxa"/>
              <w:left w:w="105" w:type="dxa"/>
              <w:bottom w:w="0" w:type="dxa"/>
              <w:right w:w="105" w:type="dxa"/>
            </w:tcMar>
            <w:vAlign w:val="center"/>
          </w:tcPr>
          <w:p>
            <w:pPr>
              <w:pStyle w:val="12"/>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exact"/>
              <w:jc w:val="both"/>
              <w:textAlignment w:val="center"/>
              <w:rPr>
                <w:color w:val="auto"/>
              </w:rPr>
            </w:pPr>
            <w:r>
              <w:rPr>
                <w:rFonts w:hint="eastAsia" w:ascii="宋体" w:eastAsia="宋体" w:cs="宋体"/>
                <w:i w:val="0"/>
                <w:iCs w:val="0"/>
                <w:color w:val="auto"/>
                <w:sz w:val="18"/>
                <w:szCs w:val="18"/>
              </w:rPr>
              <w:t>指标1：完成台办、台联开展一次联谊活动.举办一次台海形式报告活动会议。</w:t>
            </w:r>
          </w:p>
        </w:tc>
        <w:tc>
          <w:tcPr>
            <w:tcW w:w="1801" w:type="dxa"/>
            <w:tcBorders>
              <w:top w:val="single" w:color="000000" w:sz="6" w:space="0"/>
              <w:left w:val="single" w:color="000000" w:sz="6" w:space="0"/>
              <w:bottom w:val="single" w:color="000000" w:sz="6" w:space="0"/>
              <w:right w:val="single" w:color="000000" w:sz="6" w:space="0"/>
            </w:tcBorders>
            <w:shd w:val="clear" w:color="auto" w:fill="auto"/>
            <w:noWrap/>
            <w:tcMar>
              <w:top w:w="0" w:type="dxa"/>
              <w:left w:w="105" w:type="dxa"/>
              <w:bottom w:w="0" w:type="dxa"/>
              <w:right w:w="105" w:type="dxa"/>
            </w:tcMar>
            <w:vAlign w:val="center"/>
          </w:tcPr>
          <w:p>
            <w:pPr>
              <w:pStyle w:val="12"/>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exact"/>
              <w:jc w:val="center"/>
              <w:textAlignment w:val="center"/>
              <w:rPr>
                <w:color w:val="auto"/>
              </w:rPr>
            </w:pPr>
            <w:r>
              <w:rPr>
                <w:rFonts w:hint="eastAsia" w:ascii="宋体" w:eastAsia="宋体" w:cs="宋体"/>
                <w:i w:val="0"/>
                <w:iCs w:val="0"/>
                <w:color w:val="auto"/>
                <w:sz w:val="18"/>
                <w:szCs w:val="18"/>
              </w:rPr>
              <w:t>≥3次</w:t>
            </w:r>
          </w:p>
        </w:tc>
        <w:tc>
          <w:tcPr>
            <w:tcW w:w="1855" w:type="dxa"/>
            <w:tcBorders>
              <w:top w:val="single" w:color="000000" w:sz="6" w:space="0"/>
              <w:left w:val="single" w:color="000000" w:sz="6" w:space="0"/>
              <w:bottom w:val="single" w:color="000000" w:sz="6" w:space="0"/>
              <w:right w:val="single" w:color="000000" w:sz="6" w:space="0"/>
            </w:tcBorders>
            <w:shd w:val="clear" w:color="auto" w:fill="auto"/>
            <w:noWrap/>
            <w:tcMar>
              <w:top w:w="0" w:type="dxa"/>
              <w:left w:w="105" w:type="dxa"/>
              <w:bottom w:w="0" w:type="dxa"/>
              <w:right w:w="105" w:type="dxa"/>
            </w:tcMar>
            <w:vAlign w:val="center"/>
          </w:tcPr>
          <w:p>
            <w:pPr>
              <w:pStyle w:val="12"/>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exact"/>
              <w:jc w:val="center"/>
              <w:textAlignment w:val="center"/>
              <w:rPr>
                <w:color w:val="auto"/>
              </w:rPr>
            </w:pPr>
            <w:r>
              <w:rPr>
                <w:rFonts w:hint="eastAsia" w:ascii="宋体" w:eastAsia="宋体" w:cs="宋体"/>
                <w:i w:val="0"/>
                <w:iCs w:val="0"/>
                <w:color w:val="auto"/>
                <w:sz w:val="18"/>
                <w:szCs w:val="18"/>
              </w:rPr>
              <w:t>3次</w:t>
            </w:r>
          </w:p>
        </w:tc>
        <w:tc>
          <w:tcPr>
            <w:tcW w:w="326" w:type="dxa"/>
            <w:tcBorders>
              <w:top w:val="single" w:color="000000" w:sz="6" w:space="0"/>
              <w:left w:val="single" w:color="000000" w:sz="6" w:space="0"/>
              <w:bottom w:val="single" w:color="000000" w:sz="6" w:space="0"/>
              <w:right w:val="single" w:color="000000" w:sz="6"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exact"/>
              <w:jc w:val="left"/>
              <w:rPr>
                <w:color w:val="auto"/>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35" w:hRule="atLeast"/>
          <w:tblCellSpacing w:w="0" w:type="dxa"/>
          <w:jc w:val="center"/>
        </w:trPr>
        <w:tc>
          <w:tcPr>
            <w:tcW w:w="818" w:type="dxa"/>
            <w:vMerge w:val="continue"/>
            <w:tcBorders>
              <w:top w:val="single" w:color="000000" w:sz="6" w:space="0"/>
              <w:left w:val="single" w:color="000000" w:sz="6" w:space="0"/>
              <w:bottom w:val="single" w:color="000000" w:sz="6" w:space="0"/>
              <w:right w:val="single" w:color="000000" w:sz="6" w:space="0"/>
            </w:tcBorders>
            <w:shd w:val="clear" w:color="auto" w:fill="auto"/>
            <w:noWrap/>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300" w:lineRule="exact"/>
              <w:jc w:val="center"/>
              <w:rPr>
                <w:color w:val="auto"/>
              </w:rPr>
            </w:pPr>
          </w:p>
        </w:tc>
        <w:tc>
          <w:tcPr>
            <w:tcW w:w="1097" w:type="dxa"/>
            <w:vMerge w:val="continue"/>
            <w:tcBorders>
              <w:top w:val="single" w:color="000000" w:sz="6" w:space="0"/>
              <w:left w:val="single" w:color="000000" w:sz="6" w:space="0"/>
              <w:bottom w:val="single" w:color="auto" w:sz="6" w:space="0"/>
              <w:right w:val="single" w:color="000000" w:sz="6" w:space="0"/>
            </w:tcBorders>
            <w:shd w:val="clear" w:color="auto" w:fill="auto"/>
            <w:noWrap/>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300" w:lineRule="exact"/>
              <w:jc w:val="center"/>
              <w:rPr>
                <w:color w:val="auto"/>
              </w:rPr>
            </w:pPr>
          </w:p>
        </w:tc>
        <w:tc>
          <w:tcPr>
            <w:tcW w:w="1389" w:type="dxa"/>
            <w:vMerge w:val="continue"/>
            <w:tcBorders>
              <w:top w:val="single" w:color="000000" w:sz="6" w:space="0"/>
              <w:left w:val="single" w:color="000000" w:sz="6" w:space="0"/>
              <w:bottom w:val="single" w:color="000000" w:sz="6" w:space="0"/>
              <w:right w:val="single" w:color="000000" w:sz="6" w:space="0"/>
            </w:tcBorders>
            <w:shd w:val="clear" w:color="auto" w:fill="auto"/>
            <w:noWrap/>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300" w:lineRule="exact"/>
              <w:jc w:val="center"/>
              <w:rPr>
                <w:color w:val="auto"/>
              </w:rPr>
            </w:pPr>
          </w:p>
        </w:tc>
        <w:tc>
          <w:tcPr>
            <w:tcW w:w="2201" w:type="dxa"/>
            <w:tcBorders>
              <w:top w:val="single" w:color="000000" w:sz="6" w:space="0"/>
              <w:left w:val="single" w:color="000000" w:sz="6" w:space="0"/>
              <w:bottom w:val="single" w:color="000000" w:sz="6" w:space="0"/>
              <w:right w:val="single" w:color="000000" w:sz="6" w:space="0"/>
            </w:tcBorders>
            <w:shd w:val="clear" w:color="auto" w:fill="auto"/>
            <w:noWrap/>
            <w:tcMar>
              <w:top w:w="0" w:type="dxa"/>
              <w:left w:w="105" w:type="dxa"/>
              <w:bottom w:w="0" w:type="dxa"/>
              <w:right w:w="105" w:type="dxa"/>
            </w:tcMar>
            <w:vAlign w:val="center"/>
          </w:tcPr>
          <w:p>
            <w:pPr>
              <w:pStyle w:val="12"/>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exact"/>
              <w:jc w:val="both"/>
              <w:textAlignment w:val="center"/>
              <w:rPr>
                <w:rFonts w:hint="eastAsia" w:ascii="宋体"/>
                <w:color w:val="auto"/>
                <w:sz w:val="24"/>
                <w:szCs w:val="24"/>
              </w:rPr>
            </w:pPr>
            <w:r>
              <w:rPr>
                <w:rFonts w:hint="eastAsia" w:ascii="宋体" w:eastAsia="宋体" w:cs="宋体"/>
                <w:i w:val="0"/>
                <w:iCs w:val="0"/>
                <w:color w:val="auto"/>
                <w:sz w:val="18"/>
                <w:szCs w:val="18"/>
              </w:rPr>
              <w:t>指标2：组织开展“三下乡”及帮村社会服务活动场次</w:t>
            </w:r>
          </w:p>
        </w:tc>
        <w:tc>
          <w:tcPr>
            <w:tcW w:w="1801" w:type="dxa"/>
            <w:tcBorders>
              <w:top w:val="single" w:color="000000" w:sz="6" w:space="0"/>
              <w:left w:val="single" w:color="000000" w:sz="6" w:space="0"/>
              <w:bottom w:val="single" w:color="000000" w:sz="6" w:space="0"/>
              <w:right w:val="single" w:color="000000" w:sz="6" w:space="0"/>
            </w:tcBorders>
            <w:shd w:val="clear" w:color="auto" w:fill="auto"/>
            <w:noWrap/>
            <w:tcMar>
              <w:top w:w="0" w:type="dxa"/>
              <w:left w:w="105" w:type="dxa"/>
              <w:bottom w:w="0" w:type="dxa"/>
              <w:right w:w="105" w:type="dxa"/>
            </w:tcMar>
            <w:vAlign w:val="center"/>
          </w:tcPr>
          <w:p>
            <w:pPr>
              <w:pStyle w:val="12"/>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exact"/>
              <w:jc w:val="center"/>
              <w:textAlignment w:val="center"/>
              <w:rPr>
                <w:color w:val="auto"/>
              </w:rPr>
            </w:pPr>
            <w:r>
              <w:rPr>
                <w:rFonts w:hint="eastAsia" w:ascii="宋体" w:eastAsia="宋体" w:cs="宋体"/>
                <w:i w:val="0"/>
                <w:iCs w:val="0"/>
                <w:color w:val="auto"/>
                <w:sz w:val="18"/>
                <w:szCs w:val="18"/>
              </w:rPr>
              <w:t>≥3次</w:t>
            </w:r>
          </w:p>
        </w:tc>
        <w:tc>
          <w:tcPr>
            <w:tcW w:w="1855" w:type="dxa"/>
            <w:tcBorders>
              <w:top w:val="single" w:color="000000" w:sz="6" w:space="0"/>
              <w:left w:val="single" w:color="000000" w:sz="6" w:space="0"/>
              <w:bottom w:val="single" w:color="000000" w:sz="6" w:space="0"/>
              <w:right w:val="single" w:color="000000" w:sz="6" w:space="0"/>
            </w:tcBorders>
            <w:shd w:val="clear" w:color="auto" w:fill="auto"/>
            <w:noWrap/>
            <w:tcMar>
              <w:top w:w="0" w:type="dxa"/>
              <w:left w:w="105" w:type="dxa"/>
              <w:bottom w:w="0" w:type="dxa"/>
              <w:right w:w="105" w:type="dxa"/>
            </w:tcMar>
            <w:vAlign w:val="center"/>
          </w:tcPr>
          <w:p>
            <w:pPr>
              <w:pStyle w:val="12"/>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exact"/>
              <w:jc w:val="center"/>
              <w:textAlignment w:val="center"/>
              <w:rPr>
                <w:color w:val="auto"/>
              </w:rPr>
            </w:pPr>
            <w:r>
              <w:rPr>
                <w:rFonts w:hint="eastAsia" w:ascii="宋体" w:eastAsia="宋体" w:cs="宋体"/>
                <w:i w:val="0"/>
                <w:iCs w:val="0"/>
                <w:color w:val="auto"/>
                <w:sz w:val="18"/>
                <w:szCs w:val="18"/>
              </w:rPr>
              <w:t>3次</w:t>
            </w:r>
          </w:p>
        </w:tc>
        <w:tc>
          <w:tcPr>
            <w:tcW w:w="326" w:type="dxa"/>
            <w:tcBorders>
              <w:top w:val="single" w:color="000000" w:sz="6" w:space="0"/>
              <w:left w:val="single" w:color="000000" w:sz="6" w:space="0"/>
              <w:bottom w:val="single" w:color="000000" w:sz="6" w:space="0"/>
              <w:right w:val="single" w:color="000000" w:sz="6"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exact"/>
              <w:jc w:val="left"/>
              <w:rPr>
                <w:color w:val="auto"/>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80" w:hRule="atLeast"/>
          <w:tblCellSpacing w:w="0" w:type="dxa"/>
          <w:jc w:val="center"/>
        </w:trPr>
        <w:tc>
          <w:tcPr>
            <w:tcW w:w="818" w:type="dxa"/>
            <w:vMerge w:val="continue"/>
            <w:tcBorders>
              <w:top w:val="single" w:color="000000" w:sz="6" w:space="0"/>
              <w:left w:val="single" w:color="000000" w:sz="6" w:space="0"/>
              <w:bottom w:val="single" w:color="000000" w:sz="6" w:space="0"/>
              <w:right w:val="single" w:color="000000" w:sz="6" w:space="0"/>
            </w:tcBorders>
            <w:shd w:val="clear" w:color="auto" w:fill="auto"/>
            <w:noWrap/>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300" w:lineRule="exact"/>
              <w:jc w:val="center"/>
              <w:rPr>
                <w:color w:val="auto"/>
              </w:rPr>
            </w:pPr>
          </w:p>
        </w:tc>
        <w:tc>
          <w:tcPr>
            <w:tcW w:w="1097" w:type="dxa"/>
            <w:vMerge w:val="continue"/>
            <w:tcBorders>
              <w:top w:val="single" w:color="000000" w:sz="6" w:space="0"/>
              <w:left w:val="single" w:color="000000" w:sz="6" w:space="0"/>
              <w:bottom w:val="single" w:color="auto" w:sz="6" w:space="0"/>
              <w:right w:val="single" w:color="000000" w:sz="6" w:space="0"/>
            </w:tcBorders>
            <w:shd w:val="clear" w:color="auto" w:fill="auto"/>
            <w:noWrap/>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300" w:lineRule="exact"/>
              <w:jc w:val="center"/>
              <w:rPr>
                <w:color w:val="auto"/>
              </w:rPr>
            </w:pPr>
          </w:p>
        </w:tc>
        <w:tc>
          <w:tcPr>
            <w:tcW w:w="1389" w:type="dxa"/>
            <w:vMerge w:val="continue"/>
            <w:tcBorders>
              <w:top w:val="single" w:color="000000" w:sz="6" w:space="0"/>
              <w:left w:val="single" w:color="000000" w:sz="6" w:space="0"/>
              <w:bottom w:val="single" w:color="000000" w:sz="6" w:space="0"/>
              <w:right w:val="single" w:color="000000" w:sz="6" w:space="0"/>
            </w:tcBorders>
            <w:shd w:val="clear" w:color="auto" w:fill="auto"/>
            <w:noWrap/>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300" w:lineRule="exact"/>
              <w:jc w:val="center"/>
              <w:rPr>
                <w:color w:val="auto"/>
              </w:rPr>
            </w:pPr>
          </w:p>
        </w:tc>
        <w:tc>
          <w:tcPr>
            <w:tcW w:w="2201" w:type="dxa"/>
            <w:tcBorders>
              <w:top w:val="single" w:color="000000" w:sz="6" w:space="0"/>
              <w:left w:val="single" w:color="000000" w:sz="6" w:space="0"/>
              <w:bottom w:val="single" w:color="000000" w:sz="6" w:space="0"/>
              <w:right w:val="single" w:color="000000" w:sz="6" w:space="0"/>
            </w:tcBorders>
            <w:shd w:val="clear" w:color="auto" w:fill="auto"/>
            <w:noWrap/>
            <w:tcMar>
              <w:top w:w="0" w:type="dxa"/>
              <w:left w:w="105" w:type="dxa"/>
              <w:bottom w:w="0" w:type="dxa"/>
              <w:right w:w="105" w:type="dxa"/>
            </w:tcMar>
            <w:vAlign w:val="center"/>
          </w:tcPr>
          <w:p>
            <w:pPr>
              <w:pStyle w:val="12"/>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exact"/>
              <w:jc w:val="both"/>
              <w:textAlignment w:val="center"/>
              <w:rPr>
                <w:rFonts w:hint="eastAsia" w:ascii="宋体"/>
                <w:color w:val="auto"/>
                <w:sz w:val="24"/>
                <w:szCs w:val="24"/>
              </w:rPr>
            </w:pPr>
            <w:r>
              <w:rPr>
                <w:rFonts w:hint="eastAsia" w:ascii="宋体" w:eastAsia="宋体" w:cs="宋体"/>
                <w:i w:val="0"/>
                <w:iCs w:val="0"/>
                <w:color w:val="auto"/>
                <w:sz w:val="18"/>
                <w:szCs w:val="18"/>
              </w:rPr>
              <w:t>指标3：参加政治协商会议</w:t>
            </w:r>
          </w:p>
        </w:tc>
        <w:tc>
          <w:tcPr>
            <w:tcW w:w="1801" w:type="dxa"/>
            <w:tcBorders>
              <w:top w:val="single" w:color="000000" w:sz="6" w:space="0"/>
              <w:left w:val="single" w:color="000000" w:sz="6" w:space="0"/>
              <w:bottom w:val="single" w:color="000000" w:sz="6" w:space="0"/>
              <w:right w:val="single" w:color="000000" w:sz="6" w:space="0"/>
            </w:tcBorders>
            <w:shd w:val="clear" w:color="auto" w:fill="auto"/>
            <w:noWrap/>
            <w:tcMar>
              <w:top w:w="0" w:type="dxa"/>
              <w:left w:w="105" w:type="dxa"/>
              <w:bottom w:w="0" w:type="dxa"/>
              <w:right w:w="105" w:type="dxa"/>
            </w:tcMar>
            <w:vAlign w:val="center"/>
          </w:tcPr>
          <w:p>
            <w:pPr>
              <w:pStyle w:val="12"/>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exact"/>
              <w:jc w:val="center"/>
              <w:textAlignment w:val="center"/>
              <w:rPr>
                <w:color w:val="auto"/>
              </w:rPr>
            </w:pPr>
            <w:r>
              <w:rPr>
                <w:rFonts w:hint="eastAsia" w:ascii="宋体" w:eastAsia="宋体" w:cs="宋体"/>
                <w:i w:val="0"/>
                <w:iCs w:val="0"/>
                <w:color w:val="auto"/>
                <w:sz w:val="18"/>
                <w:szCs w:val="18"/>
              </w:rPr>
              <w:t>≥2个</w:t>
            </w:r>
          </w:p>
        </w:tc>
        <w:tc>
          <w:tcPr>
            <w:tcW w:w="1855" w:type="dxa"/>
            <w:tcBorders>
              <w:top w:val="single" w:color="000000" w:sz="6" w:space="0"/>
              <w:left w:val="single" w:color="000000" w:sz="6" w:space="0"/>
              <w:bottom w:val="single" w:color="000000" w:sz="6" w:space="0"/>
              <w:right w:val="single" w:color="000000" w:sz="6" w:space="0"/>
            </w:tcBorders>
            <w:shd w:val="clear" w:color="auto" w:fill="auto"/>
            <w:noWrap/>
            <w:tcMar>
              <w:top w:w="0" w:type="dxa"/>
              <w:left w:w="105" w:type="dxa"/>
              <w:bottom w:w="0" w:type="dxa"/>
              <w:right w:w="105" w:type="dxa"/>
            </w:tcMar>
            <w:vAlign w:val="center"/>
          </w:tcPr>
          <w:p>
            <w:pPr>
              <w:pStyle w:val="12"/>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exact"/>
              <w:jc w:val="center"/>
              <w:textAlignment w:val="center"/>
              <w:rPr>
                <w:color w:val="auto"/>
              </w:rPr>
            </w:pPr>
            <w:r>
              <w:rPr>
                <w:rFonts w:hint="eastAsia" w:ascii="宋体" w:eastAsia="宋体" w:cs="宋体"/>
                <w:i w:val="0"/>
                <w:iCs w:val="0"/>
                <w:color w:val="auto"/>
                <w:sz w:val="18"/>
                <w:szCs w:val="18"/>
              </w:rPr>
              <w:t>2个</w:t>
            </w:r>
          </w:p>
        </w:tc>
        <w:tc>
          <w:tcPr>
            <w:tcW w:w="326" w:type="dxa"/>
            <w:tcBorders>
              <w:top w:val="single" w:color="000000" w:sz="6" w:space="0"/>
              <w:left w:val="single" w:color="000000" w:sz="6" w:space="0"/>
              <w:bottom w:val="single" w:color="000000" w:sz="6" w:space="0"/>
              <w:right w:val="single" w:color="000000" w:sz="6"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exact"/>
              <w:jc w:val="left"/>
              <w:rPr>
                <w:color w:val="auto"/>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80" w:hRule="atLeast"/>
          <w:tblCellSpacing w:w="0" w:type="dxa"/>
          <w:jc w:val="center"/>
        </w:trPr>
        <w:tc>
          <w:tcPr>
            <w:tcW w:w="818" w:type="dxa"/>
            <w:vMerge w:val="continue"/>
            <w:tcBorders>
              <w:top w:val="single" w:color="000000" w:sz="6" w:space="0"/>
              <w:left w:val="single" w:color="000000" w:sz="6" w:space="0"/>
              <w:bottom w:val="single" w:color="000000" w:sz="6" w:space="0"/>
              <w:right w:val="single" w:color="000000" w:sz="6" w:space="0"/>
            </w:tcBorders>
            <w:shd w:val="clear" w:color="auto" w:fill="auto"/>
            <w:noWrap/>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300" w:lineRule="exact"/>
              <w:jc w:val="center"/>
              <w:rPr>
                <w:color w:val="auto"/>
              </w:rPr>
            </w:pPr>
          </w:p>
        </w:tc>
        <w:tc>
          <w:tcPr>
            <w:tcW w:w="1097" w:type="dxa"/>
            <w:vMerge w:val="continue"/>
            <w:tcBorders>
              <w:top w:val="single" w:color="000000" w:sz="6" w:space="0"/>
              <w:left w:val="single" w:color="000000" w:sz="6" w:space="0"/>
              <w:bottom w:val="single" w:color="auto" w:sz="6" w:space="0"/>
              <w:right w:val="single" w:color="000000" w:sz="6" w:space="0"/>
            </w:tcBorders>
            <w:shd w:val="clear" w:color="auto" w:fill="auto"/>
            <w:noWrap/>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300" w:lineRule="exact"/>
              <w:jc w:val="center"/>
              <w:rPr>
                <w:color w:val="auto"/>
              </w:rPr>
            </w:pPr>
          </w:p>
        </w:tc>
        <w:tc>
          <w:tcPr>
            <w:tcW w:w="1389" w:type="dxa"/>
            <w:vMerge w:val="continue"/>
            <w:tcBorders>
              <w:top w:val="single" w:color="000000" w:sz="6" w:space="0"/>
              <w:left w:val="single" w:color="000000" w:sz="6" w:space="0"/>
              <w:bottom w:val="single" w:color="000000" w:sz="6" w:space="0"/>
              <w:right w:val="single" w:color="000000" w:sz="6" w:space="0"/>
            </w:tcBorders>
            <w:shd w:val="clear" w:color="auto" w:fill="auto"/>
            <w:noWrap/>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300" w:lineRule="exact"/>
              <w:jc w:val="center"/>
              <w:rPr>
                <w:color w:val="auto"/>
              </w:rPr>
            </w:pPr>
          </w:p>
        </w:tc>
        <w:tc>
          <w:tcPr>
            <w:tcW w:w="2201" w:type="dxa"/>
            <w:tcBorders>
              <w:top w:val="single" w:color="000000" w:sz="6" w:space="0"/>
              <w:left w:val="single" w:color="000000" w:sz="6" w:space="0"/>
              <w:bottom w:val="single" w:color="000000" w:sz="6" w:space="0"/>
              <w:right w:val="single" w:color="000000" w:sz="6" w:space="0"/>
            </w:tcBorders>
            <w:shd w:val="clear" w:color="auto" w:fill="auto"/>
            <w:noWrap/>
            <w:tcMar>
              <w:top w:w="0" w:type="dxa"/>
              <w:left w:w="105" w:type="dxa"/>
              <w:bottom w:w="0" w:type="dxa"/>
              <w:right w:w="105" w:type="dxa"/>
            </w:tcMar>
            <w:vAlign w:val="center"/>
          </w:tcPr>
          <w:p>
            <w:pPr>
              <w:pStyle w:val="12"/>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exact"/>
              <w:jc w:val="both"/>
              <w:textAlignment w:val="center"/>
              <w:rPr>
                <w:rFonts w:hint="eastAsia" w:ascii="宋体"/>
                <w:color w:val="auto"/>
                <w:sz w:val="24"/>
                <w:szCs w:val="24"/>
              </w:rPr>
            </w:pPr>
            <w:r>
              <w:rPr>
                <w:rFonts w:hint="eastAsia" w:ascii="宋体" w:eastAsia="宋体" w:cs="宋体"/>
                <w:i w:val="0"/>
                <w:iCs w:val="0"/>
                <w:color w:val="auto"/>
                <w:sz w:val="18"/>
                <w:szCs w:val="18"/>
              </w:rPr>
              <w:t>指标4：开展民主监督次数</w:t>
            </w:r>
          </w:p>
        </w:tc>
        <w:tc>
          <w:tcPr>
            <w:tcW w:w="1801" w:type="dxa"/>
            <w:tcBorders>
              <w:top w:val="single" w:color="000000" w:sz="6" w:space="0"/>
              <w:left w:val="single" w:color="000000" w:sz="6" w:space="0"/>
              <w:bottom w:val="single" w:color="000000" w:sz="6" w:space="0"/>
              <w:right w:val="single" w:color="000000" w:sz="6" w:space="0"/>
            </w:tcBorders>
            <w:shd w:val="clear" w:color="auto" w:fill="auto"/>
            <w:noWrap/>
            <w:tcMar>
              <w:top w:w="0" w:type="dxa"/>
              <w:left w:w="105" w:type="dxa"/>
              <w:bottom w:w="0" w:type="dxa"/>
              <w:right w:w="105" w:type="dxa"/>
            </w:tcMar>
            <w:vAlign w:val="center"/>
          </w:tcPr>
          <w:p>
            <w:pPr>
              <w:pStyle w:val="12"/>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exact"/>
              <w:jc w:val="center"/>
              <w:textAlignment w:val="center"/>
              <w:rPr>
                <w:color w:val="auto"/>
              </w:rPr>
            </w:pPr>
            <w:r>
              <w:rPr>
                <w:rFonts w:hint="eastAsia" w:ascii="宋体" w:eastAsia="宋体" w:cs="宋体"/>
                <w:i w:val="0"/>
                <w:iCs w:val="0"/>
                <w:color w:val="auto"/>
                <w:sz w:val="18"/>
                <w:szCs w:val="18"/>
              </w:rPr>
              <w:t>≥10次</w:t>
            </w:r>
          </w:p>
        </w:tc>
        <w:tc>
          <w:tcPr>
            <w:tcW w:w="1855" w:type="dxa"/>
            <w:tcBorders>
              <w:top w:val="single" w:color="000000" w:sz="6" w:space="0"/>
              <w:left w:val="single" w:color="000000" w:sz="6" w:space="0"/>
              <w:bottom w:val="single" w:color="000000" w:sz="6" w:space="0"/>
              <w:right w:val="single" w:color="000000" w:sz="6" w:space="0"/>
            </w:tcBorders>
            <w:shd w:val="clear" w:color="auto" w:fill="auto"/>
            <w:noWrap/>
            <w:tcMar>
              <w:top w:w="0" w:type="dxa"/>
              <w:left w:w="105" w:type="dxa"/>
              <w:bottom w:w="0" w:type="dxa"/>
              <w:right w:w="105" w:type="dxa"/>
            </w:tcMar>
            <w:vAlign w:val="center"/>
          </w:tcPr>
          <w:p>
            <w:pPr>
              <w:pStyle w:val="12"/>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exact"/>
              <w:jc w:val="center"/>
              <w:textAlignment w:val="center"/>
              <w:rPr>
                <w:color w:val="auto"/>
              </w:rPr>
            </w:pPr>
            <w:r>
              <w:rPr>
                <w:rFonts w:hint="eastAsia" w:ascii="宋体" w:eastAsia="宋体" w:cs="宋体"/>
                <w:i w:val="0"/>
                <w:iCs w:val="0"/>
                <w:color w:val="auto"/>
                <w:sz w:val="18"/>
                <w:szCs w:val="18"/>
              </w:rPr>
              <w:t>10次</w:t>
            </w:r>
          </w:p>
        </w:tc>
        <w:tc>
          <w:tcPr>
            <w:tcW w:w="326" w:type="dxa"/>
            <w:tcBorders>
              <w:top w:val="single" w:color="000000" w:sz="6" w:space="0"/>
              <w:left w:val="single" w:color="000000" w:sz="6" w:space="0"/>
              <w:bottom w:val="single" w:color="000000" w:sz="6" w:space="0"/>
              <w:right w:val="single" w:color="000000" w:sz="6"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exact"/>
              <w:jc w:val="left"/>
              <w:rPr>
                <w:color w:val="auto"/>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80" w:hRule="atLeast"/>
          <w:tblCellSpacing w:w="0" w:type="dxa"/>
          <w:jc w:val="center"/>
        </w:trPr>
        <w:tc>
          <w:tcPr>
            <w:tcW w:w="818" w:type="dxa"/>
            <w:vMerge w:val="continue"/>
            <w:tcBorders>
              <w:top w:val="single" w:color="000000" w:sz="6" w:space="0"/>
              <w:left w:val="single" w:color="000000" w:sz="6" w:space="0"/>
              <w:bottom w:val="single" w:color="000000" w:sz="6" w:space="0"/>
              <w:right w:val="single" w:color="000000" w:sz="6" w:space="0"/>
            </w:tcBorders>
            <w:shd w:val="clear" w:color="auto" w:fill="auto"/>
            <w:noWrap/>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300" w:lineRule="exact"/>
              <w:jc w:val="center"/>
              <w:rPr>
                <w:color w:val="auto"/>
              </w:rPr>
            </w:pPr>
          </w:p>
        </w:tc>
        <w:tc>
          <w:tcPr>
            <w:tcW w:w="1097" w:type="dxa"/>
            <w:vMerge w:val="continue"/>
            <w:tcBorders>
              <w:top w:val="single" w:color="000000" w:sz="6" w:space="0"/>
              <w:left w:val="single" w:color="000000" w:sz="6" w:space="0"/>
              <w:bottom w:val="single" w:color="auto" w:sz="6" w:space="0"/>
              <w:right w:val="single" w:color="000000" w:sz="6" w:space="0"/>
            </w:tcBorders>
            <w:shd w:val="clear" w:color="auto" w:fill="auto"/>
            <w:noWrap/>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300" w:lineRule="exact"/>
              <w:jc w:val="center"/>
              <w:rPr>
                <w:color w:val="auto"/>
              </w:rPr>
            </w:pPr>
          </w:p>
        </w:tc>
        <w:tc>
          <w:tcPr>
            <w:tcW w:w="1389" w:type="dxa"/>
            <w:vMerge w:val="continue"/>
            <w:tcBorders>
              <w:top w:val="single" w:color="000000" w:sz="6" w:space="0"/>
              <w:left w:val="single" w:color="000000" w:sz="6" w:space="0"/>
              <w:bottom w:val="single" w:color="000000" w:sz="6" w:space="0"/>
              <w:right w:val="single" w:color="000000" w:sz="6" w:space="0"/>
            </w:tcBorders>
            <w:shd w:val="clear" w:color="auto" w:fill="auto"/>
            <w:noWrap/>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300" w:lineRule="exact"/>
              <w:jc w:val="center"/>
              <w:rPr>
                <w:color w:val="auto"/>
              </w:rPr>
            </w:pPr>
          </w:p>
        </w:tc>
        <w:tc>
          <w:tcPr>
            <w:tcW w:w="2201" w:type="dxa"/>
            <w:tcBorders>
              <w:top w:val="single" w:color="000000" w:sz="6" w:space="0"/>
              <w:left w:val="single" w:color="000000" w:sz="6" w:space="0"/>
              <w:bottom w:val="single" w:color="000000" w:sz="6" w:space="0"/>
              <w:right w:val="single" w:color="000000" w:sz="6" w:space="0"/>
            </w:tcBorders>
            <w:shd w:val="clear" w:color="auto" w:fill="auto"/>
            <w:noWrap/>
            <w:tcMar>
              <w:top w:w="0" w:type="dxa"/>
              <w:left w:w="105" w:type="dxa"/>
              <w:bottom w:w="0" w:type="dxa"/>
              <w:right w:w="105" w:type="dxa"/>
            </w:tcMar>
            <w:vAlign w:val="center"/>
          </w:tcPr>
          <w:p>
            <w:pPr>
              <w:pStyle w:val="12"/>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exact"/>
              <w:jc w:val="both"/>
              <w:textAlignment w:val="center"/>
              <w:rPr>
                <w:rFonts w:hint="eastAsia" w:ascii="宋体"/>
                <w:color w:val="auto"/>
                <w:sz w:val="24"/>
                <w:szCs w:val="24"/>
              </w:rPr>
            </w:pPr>
            <w:r>
              <w:rPr>
                <w:rFonts w:hint="eastAsia" w:ascii="宋体" w:eastAsia="宋体" w:cs="宋体"/>
                <w:i w:val="0"/>
                <w:iCs w:val="0"/>
                <w:color w:val="auto"/>
                <w:sz w:val="18"/>
                <w:szCs w:val="18"/>
              </w:rPr>
              <w:t>指标5：开展党员培训人次</w:t>
            </w:r>
          </w:p>
        </w:tc>
        <w:tc>
          <w:tcPr>
            <w:tcW w:w="1801" w:type="dxa"/>
            <w:tcBorders>
              <w:top w:val="single" w:color="000000" w:sz="6" w:space="0"/>
              <w:left w:val="single" w:color="000000" w:sz="6" w:space="0"/>
              <w:bottom w:val="single" w:color="000000" w:sz="6" w:space="0"/>
              <w:right w:val="single" w:color="000000" w:sz="6" w:space="0"/>
            </w:tcBorders>
            <w:shd w:val="clear" w:color="auto" w:fill="auto"/>
            <w:noWrap/>
            <w:tcMar>
              <w:top w:w="0" w:type="dxa"/>
              <w:left w:w="105" w:type="dxa"/>
              <w:bottom w:w="0" w:type="dxa"/>
              <w:right w:w="105" w:type="dxa"/>
            </w:tcMar>
            <w:vAlign w:val="center"/>
          </w:tcPr>
          <w:p>
            <w:pPr>
              <w:pStyle w:val="12"/>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exact"/>
              <w:jc w:val="center"/>
              <w:textAlignment w:val="center"/>
              <w:rPr>
                <w:color w:val="auto"/>
              </w:rPr>
            </w:pPr>
            <w:r>
              <w:rPr>
                <w:rFonts w:hint="eastAsia" w:ascii="宋体" w:eastAsia="宋体" w:cs="宋体"/>
                <w:i w:val="0"/>
                <w:iCs w:val="0"/>
                <w:color w:val="auto"/>
                <w:sz w:val="18"/>
                <w:szCs w:val="18"/>
              </w:rPr>
              <w:t>≥50人次</w:t>
            </w:r>
          </w:p>
        </w:tc>
        <w:tc>
          <w:tcPr>
            <w:tcW w:w="1855" w:type="dxa"/>
            <w:tcBorders>
              <w:top w:val="single" w:color="000000" w:sz="6" w:space="0"/>
              <w:left w:val="single" w:color="000000" w:sz="6" w:space="0"/>
              <w:bottom w:val="single" w:color="000000" w:sz="6" w:space="0"/>
              <w:right w:val="single" w:color="000000" w:sz="6" w:space="0"/>
            </w:tcBorders>
            <w:shd w:val="clear" w:color="auto" w:fill="auto"/>
            <w:noWrap/>
            <w:tcMar>
              <w:top w:w="0" w:type="dxa"/>
              <w:left w:w="105" w:type="dxa"/>
              <w:bottom w:w="0" w:type="dxa"/>
              <w:right w:w="105" w:type="dxa"/>
            </w:tcMar>
            <w:vAlign w:val="center"/>
          </w:tcPr>
          <w:p>
            <w:pPr>
              <w:pStyle w:val="12"/>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exact"/>
              <w:jc w:val="center"/>
              <w:textAlignment w:val="center"/>
              <w:rPr>
                <w:color w:val="auto"/>
              </w:rPr>
            </w:pPr>
            <w:r>
              <w:rPr>
                <w:rFonts w:hint="eastAsia" w:ascii="宋体" w:eastAsia="宋体" w:cs="宋体"/>
                <w:i w:val="0"/>
                <w:iCs w:val="0"/>
                <w:color w:val="auto"/>
                <w:sz w:val="18"/>
                <w:szCs w:val="18"/>
              </w:rPr>
              <w:t>50人次</w:t>
            </w:r>
          </w:p>
        </w:tc>
        <w:tc>
          <w:tcPr>
            <w:tcW w:w="326" w:type="dxa"/>
            <w:tcBorders>
              <w:top w:val="single" w:color="000000" w:sz="6" w:space="0"/>
              <w:left w:val="single" w:color="000000" w:sz="6" w:space="0"/>
              <w:bottom w:val="single" w:color="000000" w:sz="6" w:space="0"/>
              <w:right w:val="single" w:color="000000" w:sz="6"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exact"/>
              <w:jc w:val="left"/>
              <w:rPr>
                <w:color w:val="auto"/>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59" w:hRule="atLeast"/>
          <w:tblCellSpacing w:w="0" w:type="dxa"/>
          <w:jc w:val="center"/>
        </w:trPr>
        <w:tc>
          <w:tcPr>
            <w:tcW w:w="818" w:type="dxa"/>
            <w:vMerge w:val="continue"/>
            <w:tcBorders>
              <w:top w:val="single" w:color="000000" w:sz="6" w:space="0"/>
              <w:left w:val="single" w:color="000000" w:sz="6" w:space="0"/>
              <w:bottom w:val="single" w:color="000000" w:sz="6" w:space="0"/>
              <w:right w:val="single" w:color="000000" w:sz="6" w:space="0"/>
            </w:tcBorders>
            <w:shd w:val="clear" w:color="auto" w:fill="auto"/>
            <w:noWrap/>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300" w:lineRule="exact"/>
              <w:jc w:val="center"/>
              <w:rPr>
                <w:color w:val="auto"/>
              </w:rPr>
            </w:pPr>
          </w:p>
        </w:tc>
        <w:tc>
          <w:tcPr>
            <w:tcW w:w="1097" w:type="dxa"/>
            <w:vMerge w:val="continue"/>
            <w:tcBorders>
              <w:top w:val="single" w:color="000000" w:sz="6" w:space="0"/>
              <w:left w:val="single" w:color="000000" w:sz="6" w:space="0"/>
              <w:bottom w:val="single" w:color="auto" w:sz="6" w:space="0"/>
              <w:right w:val="single" w:color="000000" w:sz="6" w:space="0"/>
            </w:tcBorders>
            <w:shd w:val="clear" w:color="auto" w:fill="auto"/>
            <w:noWrap/>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300" w:lineRule="exact"/>
              <w:jc w:val="center"/>
              <w:rPr>
                <w:color w:val="auto"/>
              </w:rPr>
            </w:pPr>
          </w:p>
        </w:tc>
        <w:tc>
          <w:tcPr>
            <w:tcW w:w="1389" w:type="dxa"/>
            <w:vMerge w:val="continue"/>
            <w:tcBorders>
              <w:top w:val="single" w:color="000000" w:sz="6" w:space="0"/>
              <w:left w:val="single" w:color="000000" w:sz="6" w:space="0"/>
              <w:bottom w:val="single" w:color="000000" w:sz="6" w:space="0"/>
              <w:right w:val="single" w:color="000000" w:sz="6" w:space="0"/>
            </w:tcBorders>
            <w:shd w:val="clear" w:color="auto" w:fill="auto"/>
            <w:noWrap/>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300" w:lineRule="exact"/>
              <w:jc w:val="center"/>
              <w:rPr>
                <w:color w:val="auto"/>
              </w:rPr>
            </w:pPr>
          </w:p>
        </w:tc>
        <w:tc>
          <w:tcPr>
            <w:tcW w:w="2201" w:type="dxa"/>
            <w:tcBorders>
              <w:top w:val="single" w:color="000000" w:sz="6" w:space="0"/>
              <w:left w:val="single" w:color="000000" w:sz="6" w:space="0"/>
              <w:bottom w:val="single" w:color="000000" w:sz="6" w:space="0"/>
              <w:right w:val="single" w:color="000000" w:sz="6" w:space="0"/>
            </w:tcBorders>
            <w:shd w:val="clear" w:color="auto" w:fill="auto"/>
            <w:noWrap/>
            <w:tcMar>
              <w:top w:w="0" w:type="dxa"/>
              <w:left w:w="105" w:type="dxa"/>
              <w:bottom w:w="0" w:type="dxa"/>
              <w:right w:w="105" w:type="dxa"/>
            </w:tcMar>
            <w:vAlign w:val="center"/>
          </w:tcPr>
          <w:p>
            <w:pPr>
              <w:pStyle w:val="12"/>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exact"/>
              <w:jc w:val="both"/>
              <w:textAlignment w:val="center"/>
              <w:rPr>
                <w:rFonts w:hint="eastAsia" w:ascii="宋体"/>
                <w:color w:val="auto"/>
                <w:sz w:val="24"/>
                <w:szCs w:val="24"/>
              </w:rPr>
            </w:pPr>
            <w:r>
              <w:rPr>
                <w:rFonts w:hint="eastAsia" w:ascii="宋体" w:eastAsia="宋体" w:cs="宋体"/>
                <w:i w:val="0"/>
                <w:iCs w:val="0"/>
                <w:color w:val="auto"/>
                <w:sz w:val="18"/>
                <w:szCs w:val="18"/>
              </w:rPr>
              <w:t>指标6：直属组织开展组织活动次数</w:t>
            </w:r>
          </w:p>
        </w:tc>
        <w:tc>
          <w:tcPr>
            <w:tcW w:w="1801" w:type="dxa"/>
            <w:tcBorders>
              <w:top w:val="single" w:color="000000" w:sz="6" w:space="0"/>
              <w:left w:val="single" w:color="000000" w:sz="6" w:space="0"/>
              <w:bottom w:val="single" w:color="000000" w:sz="6" w:space="0"/>
              <w:right w:val="single" w:color="000000" w:sz="6" w:space="0"/>
            </w:tcBorders>
            <w:shd w:val="clear" w:color="auto" w:fill="auto"/>
            <w:noWrap/>
            <w:tcMar>
              <w:top w:w="0" w:type="dxa"/>
              <w:left w:w="105" w:type="dxa"/>
              <w:bottom w:w="0" w:type="dxa"/>
              <w:right w:w="105" w:type="dxa"/>
            </w:tcMar>
            <w:vAlign w:val="center"/>
          </w:tcPr>
          <w:p>
            <w:pPr>
              <w:pStyle w:val="12"/>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exact"/>
              <w:jc w:val="center"/>
              <w:rPr>
                <w:color w:val="auto"/>
              </w:rPr>
            </w:pPr>
            <w:r>
              <w:rPr>
                <w:rFonts w:hint="eastAsia" w:ascii="宋体" w:eastAsia="宋体" w:cs="宋体"/>
                <w:i w:val="0"/>
                <w:iCs w:val="0"/>
                <w:color w:val="auto"/>
                <w:sz w:val="18"/>
                <w:szCs w:val="18"/>
              </w:rPr>
              <w:t>8个基层组织，分别每两月开展一次组织</w:t>
            </w:r>
          </w:p>
        </w:tc>
        <w:tc>
          <w:tcPr>
            <w:tcW w:w="1855" w:type="dxa"/>
            <w:tcBorders>
              <w:top w:val="single" w:color="000000" w:sz="6" w:space="0"/>
              <w:left w:val="single" w:color="000000" w:sz="6" w:space="0"/>
              <w:bottom w:val="single" w:color="000000" w:sz="6" w:space="0"/>
              <w:right w:val="single" w:color="000000" w:sz="6" w:space="0"/>
            </w:tcBorders>
            <w:shd w:val="clear" w:color="auto" w:fill="auto"/>
            <w:noWrap/>
            <w:tcMar>
              <w:top w:w="0" w:type="dxa"/>
              <w:left w:w="105" w:type="dxa"/>
              <w:bottom w:w="0" w:type="dxa"/>
              <w:right w:w="105" w:type="dxa"/>
            </w:tcMar>
            <w:vAlign w:val="center"/>
          </w:tcPr>
          <w:p>
            <w:pPr>
              <w:pStyle w:val="12"/>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exact"/>
              <w:jc w:val="center"/>
              <w:rPr>
                <w:color w:val="auto"/>
              </w:rPr>
            </w:pPr>
            <w:r>
              <w:rPr>
                <w:rFonts w:hint="eastAsia" w:ascii="宋体" w:eastAsia="宋体" w:cs="宋体"/>
                <w:i w:val="0"/>
                <w:iCs w:val="0"/>
                <w:color w:val="auto"/>
                <w:sz w:val="18"/>
                <w:szCs w:val="18"/>
              </w:rPr>
              <w:t>100%完成</w:t>
            </w:r>
          </w:p>
        </w:tc>
        <w:tc>
          <w:tcPr>
            <w:tcW w:w="326" w:type="dxa"/>
            <w:tcBorders>
              <w:top w:val="single" w:color="000000" w:sz="6" w:space="0"/>
              <w:left w:val="single" w:color="000000" w:sz="6" w:space="0"/>
              <w:bottom w:val="single" w:color="000000" w:sz="6" w:space="0"/>
              <w:right w:val="single" w:color="000000" w:sz="6"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exact"/>
              <w:jc w:val="left"/>
              <w:rPr>
                <w:color w:val="auto"/>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80" w:hRule="atLeast"/>
          <w:tblCellSpacing w:w="0" w:type="dxa"/>
          <w:jc w:val="center"/>
        </w:trPr>
        <w:tc>
          <w:tcPr>
            <w:tcW w:w="818" w:type="dxa"/>
            <w:vMerge w:val="continue"/>
            <w:tcBorders>
              <w:top w:val="single" w:color="000000" w:sz="6" w:space="0"/>
              <w:left w:val="single" w:color="000000" w:sz="6" w:space="0"/>
              <w:bottom w:val="single" w:color="000000" w:sz="6" w:space="0"/>
              <w:right w:val="single" w:color="000000" w:sz="6" w:space="0"/>
            </w:tcBorders>
            <w:shd w:val="clear" w:color="auto" w:fill="auto"/>
            <w:noWrap/>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300" w:lineRule="exact"/>
              <w:jc w:val="center"/>
              <w:rPr>
                <w:color w:val="auto"/>
              </w:rPr>
            </w:pPr>
          </w:p>
        </w:tc>
        <w:tc>
          <w:tcPr>
            <w:tcW w:w="1097" w:type="dxa"/>
            <w:vMerge w:val="continue"/>
            <w:tcBorders>
              <w:top w:val="single" w:color="000000" w:sz="6" w:space="0"/>
              <w:left w:val="single" w:color="000000" w:sz="6" w:space="0"/>
              <w:bottom w:val="single" w:color="auto" w:sz="6" w:space="0"/>
              <w:right w:val="single" w:color="000000" w:sz="6" w:space="0"/>
            </w:tcBorders>
            <w:shd w:val="clear" w:color="auto" w:fill="auto"/>
            <w:noWrap/>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300" w:lineRule="exact"/>
              <w:jc w:val="center"/>
              <w:rPr>
                <w:color w:val="auto"/>
              </w:rPr>
            </w:pPr>
          </w:p>
        </w:tc>
        <w:tc>
          <w:tcPr>
            <w:tcW w:w="1389" w:type="dxa"/>
            <w:vMerge w:val="continue"/>
            <w:tcBorders>
              <w:top w:val="single" w:color="000000" w:sz="6" w:space="0"/>
              <w:left w:val="single" w:color="000000" w:sz="6" w:space="0"/>
              <w:bottom w:val="single" w:color="000000" w:sz="6" w:space="0"/>
              <w:right w:val="single" w:color="000000" w:sz="6" w:space="0"/>
            </w:tcBorders>
            <w:shd w:val="clear" w:color="auto" w:fill="auto"/>
            <w:noWrap/>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300" w:lineRule="exact"/>
              <w:jc w:val="center"/>
              <w:rPr>
                <w:color w:val="auto"/>
              </w:rPr>
            </w:pPr>
          </w:p>
        </w:tc>
        <w:tc>
          <w:tcPr>
            <w:tcW w:w="2201" w:type="dxa"/>
            <w:tcBorders>
              <w:top w:val="single" w:color="000000" w:sz="6" w:space="0"/>
              <w:left w:val="single" w:color="000000" w:sz="6" w:space="0"/>
              <w:bottom w:val="single" w:color="000000" w:sz="6" w:space="0"/>
              <w:right w:val="single" w:color="000000" w:sz="6" w:space="0"/>
            </w:tcBorders>
            <w:shd w:val="clear" w:color="auto" w:fill="auto"/>
            <w:noWrap/>
            <w:tcMar>
              <w:top w:w="0" w:type="dxa"/>
              <w:left w:w="105" w:type="dxa"/>
              <w:bottom w:w="0" w:type="dxa"/>
              <w:right w:w="105" w:type="dxa"/>
            </w:tcMar>
            <w:vAlign w:val="center"/>
          </w:tcPr>
          <w:p>
            <w:pPr>
              <w:pStyle w:val="12"/>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exact"/>
              <w:jc w:val="both"/>
              <w:textAlignment w:val="bottom"/>
              <w:rPr>
                <w:rFonts w:hint="eastAsia" w:ascii="宋体"/>
                <w:color w:val="auto"/>
                <w:sz w:val="24"/>
                <w:szCs w:val="24"/>
              </w:rPr>
            </w:pPr>
            <w:r>
              <w:rPr>
                <w:rFonts w:hint="eastAsia" w:ascii="宋体" w:eastAsia="宋体" w:cs="宋体"/>
                <w:i w:val="0"/>
                <w:iCs w:val="0"/>
                <w:color w:val="auto"/>
                <w:sz w:val="18"/>
                <w:szCs w:val="18"/>
              </w:rPr>
              <w:t>指标7：开展2021年市委换届工作</w:t>
            </w:r>
          </w:p>
        </w:tc>
        <w:tc>
          <w:tcPr>
            <w:tcW w:w="1801" w:type="dxa"/>
            <w:tcBorders>
              <w:top w:val="single" w:color="000000" w:sz="6" w:space="0"/>
              <w:left w:val="single" w:color="000000" w:sz="6" w:space="0"/>
              <w:bottom w:val="single" w:color="000000" w:sz="6" w:space="0"/>
              <w:right w:val="single" w:color="000000" w:sz="6" w:space="0"/>
            </w:tcBorders>
            <w:shd w:val="clear" w:color="auto" w:fill="auto"/>
            <w:noWrap/>
            <w:tcMar>
              <w:top w:w="0" w:type="dxa"/>
              <w:left w:w="105" w:type="dxa"/>
              <w:bottom w:w="0" w:type="dxa"/>
              <w:right w:w="105" w:type="dxa"/>
            </w:tcMar>
            <w:vAlign w:val="center"/>
          </w:tcPr>
          <w:p>
            <w:pPr>
              <w:pStyle w:val="12"/>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exact"/>
              <w:jc w:val="center"/>
              <w:textAlignment w:val="center"/>
              <w:rPr>
                <w:color w:val="auto"/>
              </w:rPr>
            </w:pPr>
            <w:r>
              <w:rPr>
                <w:rFonts w:hint="eastAsia" w:ascii="宋体" w:eastAsia="宋体" w:cs="宋体"/>
                <w:i w:val="0"/>
                <w:iCs w:val="0"/>
                <w:color w:val="auto"/>
                <w:sz w:val="18"/>
                <w:szCs w:val="18"/>
              </w:rPr>
              <w:t>100%完成</w:t>
            </w:r>
          </w:p>
        </w:tc>
        <w:tc>
          <w:tcPr>
            <w:tcW w:w="1855" w:type="dxa"/>
            <w:tcBorders>
              <w:top w:val="single" w:color="000000" w:sz="6" w:space="0"/>
              <w:left w:val="single" w:color="000000" w:sz="6" w:space="0"/>
              <w:bottom w:val="single" w:color="000000" w:sz="6" w:space="0"/>
              <w:right w:val="single" w:color="000000" w:sz="6" w:space="0"/>
            </w:tcBorders>
            <w:shd w:val="clear" w:color="auto" w:fill="auto"/>
            <w:noWrap/>
            <w:tcMar>
              <w:top w:w="0" w:type="dxa"/>
              <w:left w:w="105" w:type="dxa"/>
              <w:bottom w:w="0" w:type="dxa"/>
              <w:right w:w="105" w:type="dxa"/>
            </w:tcMar>
            <w:vAlign w:val="center"/>
          </w:tcPr>
          <w:p>
            <w:pPr>
              <w:pStyle w:val="12"/>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exact"/>
              <w:jc w:val="center"/>
              <w:textAlignment w:val="center"/>
              <w:rPr>
                <w:color w:val="auto"/>
              </w:rPr>
            </w:pPr>
            <w:r>
              <w:rPr>
                <w:rFonts w:hint="eastAsia" w:ascii="宋体" w:eastAsia="宋体" w:cs="宋体"/>
                <w:i w:val="0"/>
                <w:iCs w:val="0"/>
                <w:color w:val="auto"/>
                <w:sz w:val="18"/>
                <w:szCs w:val="18"/>
              </w:rPr>
              <w:t>100%完成</w:t>
            </w:r>
          </w:p>
        </w:tc>
        <w:tc>
          <w:tcPr>
            <w:tcW w:w="326" w:type="dxa"/>
            <w:tcBorders>
              <w:top w:val="single" w:color="000000" w:sz="6" w:space="0"/>
              <w:left w:val="single" w:color="000000" w:sz="6" w:space="0"/>
              <w:bottom w:val="single" w:color="000000" w:sz="6" w:space="0"/>
              <w:right w:val="single" w:color="000000" w:sz="6"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exact"/>
              <w:jc w:val="left"/>
              <w:rPr>
                <w:color w:val="auto"/>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80" w:hRule="atLeast"/>
          <w:tblCellSpacing w:w="0" w:type="dxa"/>
          <w:jc w:val="center"/>
        </w:trPr>
        <w:tc>
          <w:tcPr>
            <w:tcW w:w="818" w:type="dxa"/>
            <w:vMerge w:val="continue"/>
            <w:tcBorders>
              <w:top w:val="single" w:color="000000" w:sz="6" w:space="0"/>
              <w:left w:val="single" w:color="000000" w:sz="6" w:space="0"/>
              <w:bottom w:val="single" w:color="000000" w:sz="6" w:space="0"/>
              <w:right w:val="single" w:color="000000" w:sz="6" w:space="0"/>
            </w:tcBorders>
            <w:shd w:val="clear" w:color="auto" w:fill="auto"/>
            <w:noWrap/>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300" w:lineRule="exact"/>
              <w:jc w:val="center"/>
              <w:rPr>
                <w:color w:val="auto"/>
              </w:rPr>
            </w:pPr>
          </w:p>
        </w:tc>
        <w:tc>
          <w:tcPr>
            <w:tcW w:w="1097" w:type="dxa"/>
            <w:vMerge w:val="continue"/>
            <w:tcBorders>
              <w:top w:val="single" w:color="000000" w:sz="6" w:space="0"/>
              <w:left w:val="single" w:color="000000" w:sz="6" w:space="0"/>
              <w:bottom w:val="single" w:color="auto" w:sz="6" w:space="0"/>
              <w:right w:val="single" w:color="000000" w:sz="6" w:space="0"/>
            </w:tcBorders>
            <w:shd w:val="clear" w:color="auto" w:fill="auto"/>
            <w:noWrap/>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300" w:lineRule="exact"/>
              <w:jc w:val="center"/>
              <w:rPr>
                <w:color w:val="auto"/>
              </w:rPr>
            </w:pPr>
          </w:p>
        </w:tc>
        <w:tc>
          <w:tcPr>
            <w:tcW w:w="1389" w:type="dxa"/>
            <w:vMerge w:val="restart"/>
            <w:tcBorders>
              <w:top w:val="single" w:color="000000" w:sz="6" w:space="0"/>
              <w:left w:val="single" w:color="000000" w:sz="6" w:space="0"/>
              <w:bottom w:val="single" w:color="000000" w:sz="6" w:space="0"/>
              <w:right w:val="single" w:color="000000" w:sz="6" w:space="0"/>
            </w:tcBorders>
            <w:shd w:val="clear" w:color="auto" w:fill="auto"/>
            <w:noWrap/>
            <w:tcMar>
              <w:top w:w="0" w:type="dxa"/>
              <w:left w:w="105" w:type="dxa"/>
              <w:bottom w:w="0" w:type="dxa"/>
              <w:right w:w="105" w:type="dxa"/>
            </w:tcMar>
            <w:vAlign w:val="center"/>
          </w:tcPr>
          <w:p>
            <w:pPr>
              <w:pStyle w:val="12"/>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exact"/>
              <w:jc w:val="center"/>
              <w:textAlignment w:val="bottom"/>
              <w:rPr>
                <w:rFonts w:hint="eastAsia" w:ascii="宋体"/>
                <w:color w:val="auto"/>
                <w:sz w:val="24"/>
                <w:szCs w:val="24"/>
              </w:rPr>
            </w:pPr>
            <w:r>
              <w:rPr>
                <w:rFonts w:ascii="仿宋_GB2312" w:eastAsia="仿宋_GB2312" w:cs="仿宋_GB2312"/>
                <w:color w:val="auto"/>
                <w:sz w:val="28"/>
                <w:szCs w:val="28"/>
              </w:rPr>
              <w:t>质量指标</w:t>
            </w:r>
          </w:p>
        </w:tc>
        <w:tc>
          <w:tcPr>
            <w:tcW w:w="2201" w:type="dxa"/>
            <w:tcBorders>
              <w:top w:val="single" w:color="000000" w:sz="6" w:space="0"/>
              <w:left w:val="single" w:color="000000" w:sz="6" w:space="0"/>
              <w:bottom w:val="single" w:color="000000" w:sz="6" w:space="0"/>
              <w:right w:val="single" w:color="000000" w:sz="6" w:space="0"/>
            </w:tcBorders>
            <w:shd w:val="clear" w:color="auto" w:fill="auto"/>
            <w:noWrap/>
            <w:tcMar>
              <w:top w:w="0" w:type="dxa"/>
              <w:left w:w="105" w:type="dxa"/>
              <w:bottom w:w="0" w:type="dxa"/>
              <w:right w:w="105" w:type="dxa"/>
            </w:tcMar>
            <w:vAlign w:val="center"/>
          </w:tcPr>
          <w:p>
            <w:pPr>
              <w:pStyle w:val="12"/>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exact"/>
              <w:jc w:val="both"/>
              <w:textAlignment w:val="bottom"/>
              <w:rPr>
                <w:color w:val="auto"/>
              </w:rPr>
            </w:pPr>
            <w:r>
              <w:rPr>
                <w:rFonts w:hint="eastAsia" w:ascii="宋体" w:eastAsia="宋体" w:cs="宋体"/>
                <w:i w:val="0"/>
                <w:iCs w:val="0"/>
                <w:color w:val="auto"/>
                <w:sz w:val="18"/>
                <w:szCs w:val="18"/>
              </w:rPr>
              <w:t>指标1：3次会议</w:t>
            </w:r>
          </w:p>
        </w:tc>
        <w:tc>
          <w:tcPr>
            <w:tcW w:w="1801" w:type="dxa"/>
            <w:tcBorders>
              <w:top w:val="single" w:color="000000" w:sz="6" w:space="0"/>
              <w:left w:val="single" w:color="000000" w:sz="6" w:space="0"/>
              <w:bottom w:val="single" w:color="000000" w:sz="6" w:space="0"/>
              <w:right w:val="single" w:color="000000" w:sz="6" w:space="0"/>
            </w:tcBorders>
            <w:shd w:val="clear" w:color="auto" w:fill="auto"/>
            <w:noWrap/>
            <w:tcMar>
              <w:top w:w="0" w:type="dxa"/>
              <w:left w:w="105" w:type="dxa"/>
              <w:bottom w:w="0" w:type="dxa"/>
              <w:right w:w="105" w:type="dxa"/>
            </w:tcMar>
            <w:vAlign w:val="center"/>
          </w:tcPr>
          <w:p>
            <w:pPr>
              <w:pStyle w:val="12"/>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exact"/>
              <w:jc w:val="center"/>
              <w:textAlignment w:val="bottom"/>
              <w:rPr>
                <w:color w:val="auto"/>
              </w:rPr>
            </w:pPr>
            <w:r>
              <w:rPr>
                <w:rFonts w:hint="eastAsia" w:ascii="宋体" w:eastAsia="宋体" w:cs="宋体"/>
                <w:i w:val="0"/>
                <w:iCs w:val="0"/>
                <w:color w:val="auto"/>
                <w:sz w:val="18"/>
                <w:szCs w:val="18"/>
              </w:rPr>
              <w:t>≥3次</w:t>
            </w:r>
          </w:p>
        </w:tc>
        <w:tc>
          <w:tcPr>
            <w:tcW w:w="1855" w:type="dxa"/>
            <w:tcBorders>
              <w:top w:val="single" w:color="000000" w:sz="6" w:space="0"/>
              <w:left w:val="single" w:color="000000" w:sz="6" w:space="0"/>
              <w:bottom w:val="single" w:color="000000" w:sz="6" w:space="0"/>
              <w:right w:val="single" w:color="000000" w:sz="6" w:space="0"/>
            </w:tcBorders>
            <w:shd w:val="clear" w:color="auto" w:fill="auto"/>
            <w:noWrap/>
            <w:tcMar>
              <w:top w:w="0" w:type="dxa"/>
              <w:left w:w="105" w:type="dxa"/>
              <w:bottom w:w="0" w:type="dxa"/>
              <w:right w:w="105" w:type="dxa"/>
            </w:tcMar>
            <w:vAlign w:val="center"/>
          </w:tcPr>
          <w:p>
            <w:pPr>
              <w:pStyle w:val="12"/>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exact"/>
              <w:jc w:val="center"/>
              <w:textAlignment w:val="bottom"/>
              <w:rPr>
                <w:color w:val="auto"/>
              </w:rPr>
            </w:pPr>
            <w:r>
              <w:rPr>
                <w:rFonts w:hint="eastAsia" w:ascii="宋体" w:eastAsia="宋体" w:cs="宋体"/>
                <w:i w:val="0"/>
                <w:iCs w:val="0"/>
                <w:color w:val="auto"/>
                <w:sz w:val="18"/>
                <w:szCs w:val="18"/>
              </w:rPr>
              <w:t>100%完成</w:t>
            </w:r>
          </w:p>
        </w:tc>
        <w:tc>
          <w:tcPr>
            <w:tcW w:w="326" w:type="dxa"/>
            <w:tcBorders>
              <w:top w:val="single" w:color="000000" w:sz="6" w:space="0"/>
              <w:left w:val="single" w:color="000000" w:sz="6" w:space="0"/>
              <w:bottom w:val="single" w:color="000000" w:sz="6" w:space="0"/>
              <w:right w:val="single" w:color="000000" w:sz="6"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exact"/>
              <w:jc w:val="left"/>
              <w:rPr>
                <w:color w:val="auto"/>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60" w:hRule="atLeast"/>
          <w:tblCellSpacing w:w="0" w:type="dxa"/>
          <w:jc w:val="center"/>
        </w:trPr>
        <w:tc>
          <w:tcPr>
            <w:tcW w:w="818" w:type="dxa"/>
            <w:vMerge w:val="continue"/>
            <w:tcBorders>
              <w:top w:val="single" w:color="000000" w:sz="6" w:space="0"/>
              <w:left w:val="single" w:color="000000" w:sz="6" w:space="0"/>
              <w:bottom w:val="single" w:color="000000" w:sz="6" w:space="0"/>
              <w:right w:val="single" w:color="000000" w:sz="6" w:space="0"/>
            </w:tcBorders>
            <w:shd w:val="clear" w:color="auto" w:fill="auto"/>
            <w:noWrap/>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300" w:lineRule="exact"/>
              <w:jc w:val="center"/>
              <w:rPr>
                <w:color w:val="auto"/>
              </w:rPr>
            </w:pPr>
          </w:p>
        </w:tc>
        <w:tc>
          <w:tcPr>
            <w:tcW w:w="1097" w:type="dxa"/>
            <w:vMerge w:val="continue"/>
            <w:tcBorders>
              <w:top w:val="single" w:color="000000" w:sz="6" w:space="0"/>
              <w:left w:val="single" w:color="000000" w:sz="6" w:space="0"/>
              <w:bottom w:val="single" w:color="auto" w:sz="6" w:space="0"/>
              <w:right w:val="single" w:color="000000" w:sz="6" w:space="0"/>
            </w:tcBorders>
            <w:shd w:val="clear" w:color="auto" w:fill="auto"/>
            <w:noWrap/>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300" w:lineRule="exact"/>
              <w:jc w:val="center"/>
              <w:rPr>
                <w:color w:val="auto"/>
              </w:rPr>
            </w:pPr>
          </w:p>
        </w:tc>
        <w:tc>
          <w:tcPr>
            <w:tcW w:w="1389" w:type="dxa"/>
            <w:vMerge w:val="continue"/>
            <w:tcBorders>
              <w:top w:val="single" w:color="000000" w:sz="6" w:space="0"/>
              <w:left w:val="single" w:color="000000" w:sz="6" w:space="0"/>
              <w:bottom w:val="single" w:color="000000" w:sz="6" w:space="0"/>
              <w:right w:val="single" w:color="000000" w:sz="6" w:space="0"/>
            </w:tcBorders>
            <w:shd w:val="clear" w:color="auto" w:fill="auto"/>
            <w:noWrap/>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300" w:lineRule="exact"/>
              <w:jc w:val="center"/>
              <w:rPr>
                <w:color w:val="auto"/>
              </w:rPr>
            </w:pPr>
          </w:p>
        </w:tc>
        <w:tc>
          <w:tcPr>
            <w:tcW w:w="2201" w:type="dxa"/>
            <w:tcBorders>
              <w:top w:val="single" w:color="000000" w:sz="6" w:space="0"/>
              <w:left w:val="single" w:color="000000" w:sz="6" w:space="0"/>
              <w:bottom w:val="single" w:color="000000" w:sz="6" w:space="0"/>
              <w:right w:val="single" w:color="000000" w:sz="6" w:space="0"/>
            </w:tcBorders>
            <w:shd w:val="clear" w:color="auto" w:fill="auto"/>
            <w:noWrap/>
            <w:tcMar>
              <w:top w:w="0" w:type="dxa"/>
              <w:left w:w="105" w:type="dxa"/>
              <w:bottom w:w="0" w:type="dxa"/>
              <w:right w:w="105" w:type="dxa"/>
            </w:tcMar>
            <w:vAlign w:val="center"/>
          </w:tcPr>
          <w:p>
            <w:pPr>
              <w:pStyle w:val="12"/>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exact"/>
              <w:jc w:val="both"/>
              <w:textAlignment w:val="bottom"/>
              <w:rPr>
                <w:rFonts w:hint="eastAsia" w:ascii="宋体"/>
                <w:color w:val="auto"/>
                <w:sz w:val="24"/>
                <w:szCs w:val="24"/>
              </w:rPr>
            </w:pPr>
            <w:r>
              <w:rPr>
                <w:rFonts w:hint="eastAsia" w:ascii="宋体" w:eastAsia="宋体" w:cs="宋体"/>
                <w:i w:val="0"/>
                <w:iCs w:val="0"/>
                <w:color w:val="auto"/>
                <w:sz w:val="18"/>
                <w:szCs w:val="18"/>
              </w:rPr>
              <w:t>指标2：目标组织开展“三下乡”及帮村社会服务活动场次</w:t>
            </w:r>
          </w:p>
        </w:tc>
        <w:tc>
          <w:tcPr>
            <w:tcW w:w="1801" w:type="dxa"/>
            <w:tcBorders>
              <w:top w:val="single" w:color="000000" w:sz="6" w:space="0"/>
              <w:left w:val="single" w:color="000000" w:sz="6" w:space="0"/>
              <w:bottom w:val="single" w:color="000000" w:sz="6" w:space="0"/>
              <w:right w:val="single" w:color="000000" w:sz="6" w:space="0"/>
            </w:tcBorders>
            <w:shd w:val="clear" w:color="auto" w:fill="auto"/>
            <w:noWrap/>
            <w:tcMar>
              <w:top w:w="0" w:type="dxa"/>
              <w:left w:w="105" w:type="dxa"/>
              <w:bottom w:w="0" w:type="dxa"/>
              <w:right w:w="105" w:type="dxa"/>
            </w:tcMar>
            <w:vAlign w:val="center"/>
          </w:tcPr>
          <w:p>
            <w:pPr>
              <w:pStyle w:val="12"/>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exact"/>
              <w:jc w:val="center"/>
              <w:textAlignment w:val="bottom"/>
              <w:rPr>
                <w:color w:val="auto"/>
              </w:rPr>
            </w:pPr>
            <w:r>
              <w:rPr>
                <w:rFonts w:hint="eastAsia" w:ascii="宋体" w:eastAsia="宋体" w:cs="宋体"/>
                <w:i w:val="0"/>
                <w:iCs w:val="0"/>
                <w:color w:val="auto"/>
                <w:sz w:val="18"/>
                <w:szCs w:val="18"/>
              </w:rPr>
              <w:t>≥2次</w:t>
            </w:r>
          </w:p>
        </w:tc>
        <w:tc>
          <w:tcPr>
            <w:tcW w:w="1855" w:type="dxa"/>
            <w:tcBorders>
              <w:top w:val="single" w:color="000000" w:sz="6" w:space="0"/>
              <w:left w:val="single" w:color="000000" w:sz="6" w:space="0"/>
              <w:bottom w:val="single" w:color="000000" w:sz="6" w:space="0"/>
              <w:right w:val="single" w:color="000000" w:sz="6" w:space="0"/>
            </w:tcBorders>
            <w:shd w:val="clear" w:color="auto" w:fill="auto"/>
            <w:noWrap/>
            <w:tcMar>
              <w:top w:w="0" w:type="dxa"/>
              <w:left w:w="105" w:type="dxa"/>
              <w:bottom w:w="0" w:type="dxa"/>
              <w:right w:w="105" w:type="dxa"/>
            </w:tcMar>
            <w:vAlign w:val="center"/>
          </w:tcPr>
          <w:p>
            <w:pPr>
              <w:pStyle w:val="12"/>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exact"/>
              <w:jc w:val="center"/>
              <w:textAlignment w:val="bottom"/>
              <w:rPr>
                <w:color w:val="auto"/>
              </w:rPr>
            </w:pPr>
            <w:r>
              <w:rPr>
                <w:rFonts w:hint="eastAsia" w:ascii="宋体" w:eastAsia="宋体" w:cs="宋体"/>
                <w:i w:val="0"/>
                <w:iCs w:val="0"/>
                <w:color w:val="auto"/>
                <w:sz w:val="18"/>
                <w:szCs w:val="18"/>
              </w:rPr>
              <w:t>100%完成</w:t>
            </w:r>
          </w:p>
        </w:tc>
        <w:tc>
          <w:tcPr>
            <w:tcW w:w="326" w:type="dxa"/>
            <w:tcBorders>
              <w:top w:val="single" w:color="000000" w:sz="6" w:space="0"/>
              <w:left w:val="single" w:color="000000" w:sz="6" w:space="0"/>
              <w:bottom w:val="single" w:color="000000" w:sz="6" w:space="0"/>
              <w:right w:val="single" w:color="000000" w:sz="6"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exact"/>
              <w:jc w:val="left"/>
              <w:rPr>
                <w:color w:val="auto"/>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60" w:hRule="atLeast"/>
          <w:tblCellSpacing w:w="0" w:type="dxa"/>
          <w:jc w:val="center"/>
        </w:trPr>
        <w:tc>
          <w:tcPr>
            <w:tcW w:w="818" w:type="dxa"/>
            <w:vMerge w:val="continue"/>
            <w:tcBorders>
              <w:top w:val="single" w:color="000000" w:sz="6" w:space="0"/>
              <w:left w:val="single" w:color="000000" w:sz="6" w:space="0"/>
              <w:bottom w:val="single" w:color="000000" w:sz="6" w:space="0"/>
              <w:right w:val="single" w:color="000000" w:sz="6" w:space="0"/>
            </w:tcBorders>
            <w:shd w:val="clear" w:color="auto" w:fill="auto"/>
            <w:noWrap/>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300" w:lineRule="exact"/>
              <w:jc w:val="center"/>
              <w:rPr>
                <w:color w:val="auto"/>
              </w:rPr>
            </w:pPr>
          </w:p>
        </w:tc>
        <w:tc>
          <w:tcPr>
            <w:tcW w:w="1097" w:type="dxa"/>
            <w:vMerge w:val="continue"/>
            <w:tcBorders>
              <w:top w:val="single" w:color="000000" w:sz="6" w:space="0"/>
              <w:left w:val="single" w:color="000000" w:sz="6" w:space="0"/>
              <w:bottom w:val="single" w:color="auto" w:sz="6" w:space="0"/>
              <w:right w:val="single" w:color="000000" w:sz="6" w:space="0"/>
            </w:tcBorders>
            <w:shd w:val="clear" w:color="auto" w:fill="auto"/>
            <w:noWrap/>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300" w:lineRule="exact"/>
              <w:jc w:val="center"/>
              <w:rPr>
                <w:color w:val="auto"/>
              </w:rPr>
            </w:pPr>
          </w:p>
        </w:tc>
        <w:tc>
          <w:tcPr>
            <w:tcW w:w="1389" w:type="dxa"/>
            <w:vMerge w:val="continue"/>
            <w:tcBorders>
              <w:top w:val="single" w:color="000000" w:sz="6" w:space="0"/>
              <w:left w:val="single" w:color="000000" w:sz="6" w:space="0"/>
              <w:bottom w:val="single" w:color="000000" w:sz="6" w:space="0"/>
              <w:right w:val="single" w:color="000000" w:sz="6" w:space="0"/>
            </w:tcBorders>
            <w:shd w:val="clear" w:color="auto" w:fill="auto"/>
            <w:noWrap/>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300" w:lineRule="exact"/>
              <w:jc w:val="center"/>
              <w:rPr>
                <w:color w:val="auto"/>
              </w:rPr>
            </w:pPr>
          </w:p>
        </w:tc>
        <w:tc>
          <w:tcPr>
            <w:tcW w:w="2201" w:type="dxa"/>
            <w:tcBorders>
              <w:top w:val="single" w:color="000000" w:sz="6" w:space="0"/>
              <w:left w:val="single" w:color="000000" w:sz="6" w:space="0"/>
              <w:bottom w:val="single" w:color="000000" w:sz="6" w:space="0"/>
              <w:right w:val="single" w:color="000000" w:sz="6" w:space="0"/>
            </w:tcBorders>
            <w:shd w:val="clear" w:color="auto" w:fill="auto"/>
            <w:noWrap/>
            <w:tcMar>
              <w:top w:w="0" w:type="dxa"/>
              <w:left w:w="105" w:type="dxa"/>
              <w:bottom w:w="0" w:type="dxa"/>
              <w:right w:w="105" w:type="dxa"/>
            </w:tcMar>
            <w:vAlign w:val="center"/>
          </w:tcPr>
          <w:p>
            <w:pPr>
              <w:pStyle w:val="12"/>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exact"/>
              <w:jc w:val="both"/>
              <w:textAlignment w:val="bottom"/>
              <w:rPr>
                <w:rFonts w:hint="eastAsia" w:ascii="宋体"/>
                <w:color w:val="auto"/>
                <w:sz w:val="24"/>
                <w:szCs w:val="24"/>
              </w:rPr>
            </w:pPr>
            <w:r>
              <w:rPr>
                <w:rFonts w:hint="eastAsia" w:ascii="宋体" w:eastAsia="宋体" w:cs="宋体"/>
                <w:i w:val="0"/>
                <w:iCs w:val="0"/>
                <w:color w:val="auto"/>
                <w:sz w:val="18"/>
                <w:szCs w:val="18"/>
              </w:rPr>
              <w:t>指标3：调研课题</w:t>
            </w:r>
          </w:p>
        </w:tc>
        <w:tc>
          <w:tcPr>
            <w:tcW w:w="1801" w:type="dxa"/>
            <w:tcBorders>
              <w:top w:val="single" w:color="000000" w:sz="6" w:space="0"/>
              <w:left w:val="single" w:color="000000" w:sz="6" w:space="0"/>
              <w:bottom w:val="single" w:color="000000" w:sz="6" w:space="0"/>
              <w:right w:val="single" w:color="000000" w:sz="6" w:space="0"/>
            </w:tcBorders>
            <w:shd w:val="clear" w:color="auto" w:fill="auto"/>
            <w:noWrap/>
            <w:tcMar>
              <w:top w:w="0" w:type="dxa"/>
              <w:left w:w="105" w:type="dxa"/>
              <w:bottom w:w="0" w:type="dxa"/>
              <w:right w:w="105" w:type="dxa"/>
            </w:tcMar>
            <w:vAlign w:val="center"/>
          </w:tcPr>
          <w:p>
            <w:pPr>
              <w:pStyle w:val="12"/>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exact"/>
              <w:jc w:val="center"/>
              <w:textAlignment w:val="bottom"/>
              <w:rPr>
                <w:color w:val="auto"/>
              </w:rPr>
            </w:pPr>
            <w:r>
              <w:rPr>
                <w:rFonts w:hint="eastAsia" w:ascii="宋体" w:eastAsia="宋体" w:cs="宋体"/>
                <w:i w:val="0"/>
                <w:iCs w:val="0"/>
                <w:color w:val="auto"/>
                <w:sz w:val="18"/>
                <w:szCs w:val="18"/>
              </w:rPr>
              <w:t>2篇调研报告，10条对策建议</w:t>
            </w:r>
          </w:p>
        </w:tc>
        <w:tc>
          <w:tcPr>
            <w:tcW w:w="1855" w:type="dxa"/>
            <w:tcBorders>
              <w:top w:val="single" w:color="000000" w:sz="6" w:space="0"/>
              <w:left w:val="single" w:color="000000" w:sz="6" w:space="0"/>
              <w:bottom w:val="single" w:color="000000" w:sz="6" w:space="0"/>
              <w:right w:val="single" w:color="000000" w:sz="6" w:space="0"/>
            </w:tcBorders>
            <w:shd w:val="clear" w:color="auto" w:fill="auto"/>
            <w:noWrap/>
            <w:tcMar>
              <w:top w:w="0" w:type="dxa"/>
              <w:left w:w="105" w:type="dxa"/>
              <w:bottom w:w="0" w:type="dxa"/>
              <w:right w:w="105" w:type="dxa"/>
            </w:tcMar>
            <w:vAlign w:val="center"/>
          </w:tcPr>
          <w:p>
            <w:pPr>
              <w:pStyle w:val="12"/>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exact"/>
              <w:jc w:val="center"/>
              <w:textAlignment w:val="bottom"/>
              <w:rPr>
                <w:color w:val="auto"/>
              </w:rPr>
            </w:pPr>
            <w:r>
              <w:rPr>
                <w:rFonts w:hint="eastAsia" w:ascii="宋体" w:eastAsia="宋体" w:cs="宋体"/>
                <w:i w:val="0"/>
                <w:iCs w:val="0"/>
                <w:color w:val="auto"/>
                <w:sz w:val="18"/>
                <w:szCs w:val="18"/>
              </w:rPr>
              <w:t>2篇调研报告，10条对策建议</w:t>
            </w:r>
          </w:p>
        </w:tc>
        <w:tc>
          <w:tcPr>
            <w:tcW w:w="326" w:type="dxa"/>
            <w:tcBorders>
              <w:top w:val="single" w:color="000000" w:sz="6" w:space="0"/>
              <w:left w:val="single" w:color="000000" w:sz="6" w:space="0"/>
              <w:bottom w:val="single" w:color="000000" w:sz="6" w:space="0"/>
              <w:right w:val="single" w:color="000000" w:sz="6"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exact"/>
              <w:jc w:val="left"/>
              <w:rPr>
                <w:color w:val="auto"/>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80" w:hRule="atLeast"/>
          <w:tblCellSpacing w:w="0" w:type="dxa"/>
          <w:jc w:val="center"/>
        </w:trPr>
        <w:tc>
          <w:tcPr>
            <w:tcW w:w="818" w:type="dxa"/>
            <w:vMerge w:val="continue"/>
            <w:tcBorders>
              <w:top w:val="single" w:color="000000" w:sz="6" w:space="0"/>
              <w:left w:val="single" w:color="000000" w:sz="6" w:space="0"/>
              <w:bottom w:val="single" w:color="000000" w:sz="6" w:space="0"/>
              <w:right w:val="single" w:color="000000" w:sz="6" w:space="0"/>
            </w:tcBorders>
            <w:shd w:val="clear" w:color="auto" w:fill="auto"/>
            <w:noWrap/>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300" w:lineRule="exact"/>
              <w:jc w:val="center"/>
              <w:rPr>
                <w:color w:val="auto"/>
              </w:rPr>
            </w:pPr>
          </w:p>
        </w:tc>
        <w:tc>
          <w:tcPr>
            <w:tcW w:w="1097" w:type="dxa"/>
            <w:vMerge w:val="continue"/>
            <w:tcBorders>
              <w:top w:val="single" w:color="000000" w:sz="6" w:space="0"/>
              <w:left w:val="single" w:color="000000" w:sz="6" w:space="0"/>
              <w:bottom w:val="single" w:color="auto" w:sz="6" w:space="0"/>
              <w:right w:val="single" w:color="000000" w:sz="6" w:space="0"/>
            </w:tcBorders>
            <w:shd w:val="clear" w:color="auto" w:fill="auto"/>
            <w:noWrap/>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300" w:lineRule="exact"/>
              <w:jc w:val="center"/>
              <w:rPr>
                <w:color w:val="auto"/>
              </w:rPr>
            </w:pPr>
          </w:p>
        </w:tc>
        <w:tc>
          <w:tcPr>
            <w:tcW w:w="1389" w:type="dxa"/>
            <w:vMerge w:val="continue"/>
            <w:tcBorders>
              <w:top w:val="single" w:color="000000" w:sz="6" w:space="0"/>
              <w:left w:val="single" w:color="000000" w:sz="6" w:space="0"/>
              <w:bottom w:val="single" w:color="000000" w:sz="6" w:space="0"/>
              <w:right w:val="single" w:color="000000" w:sz="6" w:space="0"/>
            </w:tcBorders>
            <w:shd w:val="clear" w:color="auto" w:fill="auto"/>
            <w:noWrap/>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300" w:lineRule="exact"/>
              <w:jc w:val="center"/>
              <w:rPr>
                <w:color w:val="auto"/>
              </w:rPr>
            </w:pPr>
          </w:p>
        </w:tc>
        <w:tc>
          <w:tcPr>
            <w:tcW w:w="2201" w:type="dxa"/>
            <w:tcBorders>
              <w:top w:val="single" w:color="000000" w:sz="6" w:space="0"/>
              <w:left w:val="single" w:color="000000" w:sz="6" w:space="0"/>
              <w:bottom w:val="single" w:color="000000" w:sz="6" w:space="0"/>
              <w:right w:val="single" w:color="000000" w:sz="6" w:space="0"/>
            </w:tcBorders>
            <w:shd w:val="clear" w:color="auto" w:fill="auto"/>
            <w:noWrap/>
            <w:tcMar>
              <w:top w:w="0" w:type="dxa"/>
              <w:left w:w="105" w:type="dxa"/>
              <w:bottom w:w="0" w:type="dxa"/>
              <w:right w:w="105" w:type="dxa"/>
            </w:tcMar>
            <w:vAlign w:val="center"/>
          </w:tcPr>
          <w:p>
            <w:pPr>
              <w:pStyle w:val="12"/>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exact"/>
              <w:jc w:val="both"/>
              <w:textAlignment w:val="bottom"/>
              <w:rPr>
                <w:rFonts w:hint="eastAsia" w:ascii="宋体"/>
                <w:color w:val="auto"/>
                <w:sz w:val="24"/>
                <w:szCs w:val="24"/>
              </w:rPr>
            </w:pPr>
            <w:r>
              <w:rPr>
                <w:rFonts w:hint="eastAsia" w:ascii="宋体" w:eastAsia="宋体" w:cs="宋体"/>
                <w:i w:val="0"/>
                <w:iCs w:val="0"/>
                <w:color w:val="auto"/>
                <w:sz w:val="18"/>
                <w:szCs w:val="18"/>
              </w:rPr>
              <w:t>指标4：开展民主监督次数</w:t>
            </w:r>
          </w:p>
        </w:tc>
        <w:tc>
          <w:tcPr>
            <w:tcW w:w="1801" w:type="dxa"/>
            <w:tcBorders>
              <w:top w:val="single" w:color="000000" w:sz="6" w:space="0"/>
              <w:left w:val="single" w:color="000000" w:sz="6" w:space="0"/>
              <w:bottom w:val="single" w:color="000000" w:sz="6" w:space="0"/>
              <w:right w:val="single" w:color="000000" w:sz="6" w:space="0"/>
            </w:tcBorders>
            <w:shd w:val="clear" w:color="auto" w:fill="auto"/>
            <w:noWrap/>
            <w:tcMar>
              <w:top w:w="0" w:type="dxa"/>
              <w:left w:w="105" w:type="dxa"/>
              <w:bottom w:w="0" w:type="dxa"/>
              <w:right w:w="105" w:type="dxa"/>
            </w:tcMar>
            <w:vAlign w:val="center"/>
          </w:tcPr>
          <w:p>
            <w:pPr>
              <w:pStyle w:val="12"/>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exact"/>
              <w:jc w:val="center"/>
              <w:textAlignment w:val="bottom"/>
              <w:rPr>
                <w:color w:val="auto"/>
              </w:rPr>
            </w:pPr>
            <w:r>
              <w:rPr>
                <w:rFonts w:hint="eastAsia" w:ascii="宋体" w:eastAsia="宋体" w:cs="宋体"/>
                <w:i w:val="0"/>
                <w:iCs w:val="0"/>
                <w:color w:val="auto"/>
                <w:sz w:val="18"/>
                <w:szCs w:val="18"/>
              </w:rPr>
              <w:t>≥10次</w:t>
            </w:r>
          </w:p>
        </w:tc>
        <w:tc>
          <w:tcPr>
            <w:tcW w:w="1855" w:type="dxa"/>
            <w:tcBorders>
              <w:top w:val="single" w:color="000000" w:sz="6" w:space="0"/>
              <w:left w:val="single" w:color="000000" w:sz="6" w:space="0"/>
              <w:bottom w:val="single" w:color="000000" w:sz="6" w:space="0"/>
              <w:right w:val="single" w:color="000000" w:sz="6" w:space="0"/>
            </w:tcBorders>
            <w:shd w:val="clear" w:color="auto" w:fill="auto"/>
            <w:noWrap/>
            <w:tcMar>
              <w:top w:w="0" w:type="dxa"/>
              <w:left w:w="105" w:type="dxa"/>
              <w:bottom w:w="0" w:type="dxa"/>
              <w:right w:w="105" w:type="dxa"/>
            </w:tcMar>
            <w:vAlign w:val="center"/>
          </w:tcPr>
          <w:p>
            <w:pPr>
              <w:pStyle w:val="12"/>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exact"/>
              <w:jc w:val="center"/>
              <w:textAlignment w:val="bottom"/>
              <w:rPr>
                <w:color w:val="auto"/>
              </w:rPr>
            </w:pPr>
            <w:r>
              <w:rPr>
                <w:rFonts w:hint="eastAsia" w:ascii="宋体" w:eastAsia="宋体" w:cs="宋体"/>
                <w:i w:val="0"/>
                <w:iCs w:val="0"/>
                <w:color w:val="auto"/>
                <w:sz w:val="18"/>
                <w:szCs w:val="18"/>
              </w:rPr>
              <w:t>100%完成</w:t>
            </w:r>
          </w:p>
        </w:tc>
        <w:tc>
          <w:tcPr>
            <w:tcW w:w="326" w:type="dxa"/>
            <w:tcBorders>
              <w:top w:val="single" w:color="000000" w:sz="6" w:space="0"/>
              <w:left w:val="single" w:color="000000" w:sz="6" w:space="0"/>
              <w:bottom w:val="single" w:color="000000" w:sz="6" w:space="0"/>
              <w:right w:val="single" w:color="000000" w:sz="6"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exact"/>
              <w:jc w:val="left"/>
              <w:rPr>
                <w:color w:val="auto"/>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80" w:hRule="atLeast"/>
          <w:tblCellSpacing w:w="0" w:type="dxa"/>
          <w:jc w:val="center"/>
        </w:trPr>
        <w:tc>
          <w:tcPr>
            <w:tcW w:w="818" w:type="dxa"/>
            <w:vMerge w:val="continue"/>
            <w:tcBorders>
              <w:top w:val="single" w:color="000000" w:sz="6" w:space="0"/>
              <w:left w:val="single" w:color="000000" w:sz="6" w:space="0"/>
              <w:bottom w:val="single" w:color="000000" w:sz="6" w:space="0"/>
              <w:right w:val="single" w:color="000000" w:sz="6" w:space="0"/>
            </w:tcBorders>
            <w:shd w:val="clear" w:color="auto" w:fill="auto"/>
            <w:noWrap/>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300" w:lineRule="exact"/>
              <w:jc w:val="center"/>
              <w:rPr>
                <w:color w:val="auto"/>
              </w:rPr>
            </w:pPr>
          </w:p>
        </w:tc>
        <w:tc>
          <w:tcPr>
            <w:tcW w:w="1097" w:type="dxa"/>
            <w:vMerge w:val="continue"/>
            <w:tcBorders>
              <w:top w:val="single" w:color="000000" w:sz="6" w:space="0"/>
              <w:left w:val="single" w:color="000000" w:sz="6" w:space="0"/>
              <w:bottom w:val="single" w:color="auto" w:sz="6" w:space="0"/>
              <w:right w:val="single" w:color="000000" w:sz="6" w:space="0"/>
            </w:tcBorders>
            <w:shd w:val="clear" w:color="auto" w:fill="auto"/>
            <w:noWrap/>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300" w:lineRule="exact"/>
              <w:jc w:val="center"/>
              <w:rPr>
                <w:color w:val="auto"/>
              </w:rPr>
            </w:pPr>
          </w:p>
        </w:tc>
        <w:tc>
          <w:tcPr>
            <w:tcW w:w="1389" w:type="dxa"/>
            <w:vMerge w:val="continue"/>
            <w:tcBorders>
              <w:top w:val="single" w:color="000000" w:sz="6" w:space="0"/>
              <w:left w:val="single" w:color="000000" w:sz="6" w:space="0"/>
              <w:bottom w:val="single" w:color="000000" w:sz="6" w:space="0"/>
              <w:right w:val="single" w:color="000000" w:sz="6" w:space="0"/>
            </w:tcBorders>
            <w:shd w:val="clear" w:color="auto" w:fill="auto"/>
            <w:noWrap/>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300" w:lineRule="exact"/>
              <w:jc w:val="center"/>
              <w:rPr>
                <w:color w:val="auto"/>
              </w:rPr>
            </w:pPr>
          </w:p>
        </w:tc>
        <w:tc>
          <w:tcPr>
            <w:tcW w:w="2201" w:type="dxa"/>
            <w:tcBorders>
              <w:top w:val="single" w:color="000000" w:sz="6" w:space="0"/>
              <w:left w:val="single" w:color="000000" w:sz="6" w:space="0"/>
              <w:bottom w:val="single" w:color="000000" w:sz="6" w:space="0"/>
              <w:right w:val="single" w:color="000000" w:sz="6" w:space="0"/>
            </w:tcBorders>
            <w:shd w:val="clear" w:color="auto" w:fill="auto"/>
            <w:noWrap/>
            <w:tcMar>
              <w:top w:w="0" w:type="dxa"/>
              <w:left w:w="105" w:type="dxa"/>
              <w:bottom w:w="0" w:type="dxa"/>
              <w:right w:w="105" w:type="dxa"/>
            </w:tcMar>
            <w:vAlign w:val="center"/>
          </w:tcPr>
          <w:p>
            <w:pPr>
              <w:pStyle w:val="12"/>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exact"/>
              <w:jc w:val="both"/>
              <w:textAlignment w:val="bottom"/>
              <w:rPr>
                <w:rFonts w:hint="eastAsia" w:ascii="宋体"/>
                <w:color w:val="auto"/>
                <w:sz w:val="24"/>
                <w:szCs w:val="24"/>
              </w:rPr>
            </w:pPr>
            <w:r>
              <w:rPr>
                <w:rFonts w:hint="eastAsia" w:ascii="宋体" w:eastAsia="宋体" w:cs="宋体"/>
                <w:i w:val="0"/>
                <w:iCs w:val="0"/>
                <w:color w:val="auto"/>
                <w:sz w:val="18"/>
                <w:szCs w:val="18"/>
              </w:rPr>
              <w:t>指标5：培训合格率</w:t>
            </w:r>
          </w:p>
        </w:tc>
        <w:tc>
          <w:tcPr>
            <w:tcW w:w="1801" w:type="dxa"/>
            <w:tcBorders>
              <w:top w:val="single" w:color="000000" w:sz="6" w:space="0"/>
              <w:left w:val="single" w:color="000000" w:sz="6" w:space="0"/>
              <w:bottom w:val="single" w:color="000000" w:sz="6" w:space="0"/>
              <w:right w:val="single" w:color="000000" w:sz="6" w:space="0"/>
            </w:tcBorders>
            <w:shd w:val="clear" w:color="auto" w:fill="auto"/>
            <w:noWrap/>
            <w:tcMar>
              <w:top w:w="0" w:type="dxa"/>
              <w:left w:w="105" w:type="dxa"/>
              <w:bottom w:w="0" w:type="dxa"/>
              <w:right w:w="105" w:type="dxa"/>
            </w:tcMar>
            <w:vAlign w:val="center"/>
          </w:tcPr>
          <w:p>
            <w:pPr>
              <w:pStyle w:val="12"/>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exact"/>
              <w:jc w:val="center"/>
              <w:textAlignment w:val="bottom"/>
              <w:rPr>
                <w:color w:val="auto"/>
              </w:rPr>
            </w:pPr>
            <w:r>
              <w:rPr>
                <w:rFonts w:hint="eastAsia" w:ascii="宋体" w:eastAsia="宋体" w:cs="宋体"/>
                <w:i w:val="0"/>
                <w:iCs w:val="0"/>
                <w:color w:val="auto"/>
                <w:sz w:val="18"/>
                <w:szCs w:val="18"/>
              </w:rPr>
              <w:t>95%完成</w:t>
            </w:r>
          </w:p>
        </w:tc>
        <w:tc>
          <w:tcPr>
            <w:tcW w:w="1855" w:type="dxa"/>
            <w:tcBorders>
              <w:top w:val="single" w:color="000000" w:sz="6" w:space="0"/>
              <w:left w:val="single" w:color="000000" w:sz="6" w:space="0"/>
              <w:bottom w:val="single" w:color="000000" w:sz="6" w:space="0"/>
              <w:right w:val="single" w:color="000000" w:sz="6" w:space="0"/>
            </w:tcBorders>
            <w:shd w:val="clear" w:color="auto" w:fill="auto"/>
            <w:noWrap/>
            <w:tcMar>
              <w:top w:w="0" w:type="dxa"/>
              <w:left w:w="105" w:type="dxa"/>
              <w:bottom w:w="0" w:type="dxa"/>
              <w:right w:w="105" w:type="dxa"/>
            </w:tcMar>
            <w:vAlign w:val="center"/>
          </w:tcPr>
          <w:p>
            <w:pPr>
              <w:pStyle w:val="12"/>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exact"/>
              <w:jc w:val="center"/>
              <w:textAlignment w:val="bottom"/>
              <w:rPr>
                <w:color w:val="auto"/>
              </w:rPr>
            </w:pPr>
            <w:r>
              <w:rPr>
                <w:rFonts w:hint="eastAsia" w:ascii="宋体" w:eastAsia="宋体" w:cs="宋体"/>
                <w:i w:val="0"/>
                <w:iCs w:val="0"/>
                <w:color w:val="auto"/>
                <w:sz w:val="18"/>
                <w:szCs w:val="18"/>
              </w:rPr>
              <w:t>95%完成</w:t>
            </w:r>
          </w:p>
        </w:tc>
        <w:tc>
          <w:tcPr>
            <w:tcW w:w="326" w:type="dxa"/>
            <w:tcBorders>
              <w:top w:val="single" w:color="000000" w:sz="6" w:space="0"/>
              <w:left w:val="single" w:color="000000" w:sz="6" w:space="0"/>
              <w:bottom w:val="single" w:color="000000" w:sz="6" w:space="0"/>
              <w:right w:val="single" w:color="000000" w:sz="6"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exact"/>
              <w:jc w:val="left"/>
              <w:rPr>
                <w:color w:val="auto"/>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80" w:hRule="atLeast"/>
          <w:tblCellSpacing w:w="0" w:type="dxa"/>
          <w:jc w:val="center"/>
        </w:trPr>
        <w:tc>
          <w:tcPr>
            <w:tcW w:w="818" w:type="dxa"/>
            <w:vMerge w:val="continue"/>
            <w:tcBorders>
              <w:top w:val="single" w:color="000000" w:sz="6" w:space="0"/>
              <w:left w:val="single" w:color="000000" w:sz="6" w:space="0"/>
              <w:bottom w:val="single" w:color="000000" w:sz="6" w:space="0"/>
              <w:right w:val="single" w:color="000000" w:sz="6" w:space="0"/>
            </w:tcBorders>
            <w:shd w:val="clear" w:color="auto" w:fill="auto"/>
            <w:noWrap/>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300" w:lineRule="exact"/>
              <w:jc w:val="center"/>
              <w:rPr>
                <w:color w:val="auto"/>
              </w:rPr>
            </w:pPr>
          </w:p>
        </w:tc>
        <w:tc>
          <w:tcPr>
            <w:tcW w:w="1097" w:type="dxa"/>
            <w:vMerge w:val="continue"/>
            <w:tcBorders>
              <w:top w:val="single" w:color="000000" w:sz="6" w:space="0"/>
              <w:left w:val="single" w:color="000000" w:sz="6" w:space="0"/>
              <w:bottom w:val="single" w:color="auto" w:sz="6" w:space="0"/>
              <w:right w:val="single" w:color="000000" w:sz="6" w:space="0"/>
            </w:tcBorders>
            <w:shd w:val="clear" w:color="auto" w:fill="auto"/>
            <w:noWrap/>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300" w:lineRule="exact"/>
              <w:jc w:val="center"/>
              <w:rPr>
                <w:color w:val="auto"/>
              </w:rPr>
            </w:pPr>
          </w:p>
        </w:tc>
        <w:tc>
          <w:tcPr>
            <w:tcW w:w="1389" w:type="dxa"/>
            <w:vMerge w:val="continue"/>
            <w:tcBorders>
              <w:top w:val="single" w:color="000000" w:sz="6" w:space="0"/>
              <w:left w:val="single" w:color="000000" w:sz="6" w:space="0"/>
              <w:bottom w:val="single" w:color="000000" w:sz="6" w:space="0"/>
              <w:right w:val="single" w:color="000000" w:sz="6" w:space="0"/>
            </w:tcBorders>
            <w:shd w:val="clear" w:color="auto" w:fill="auto"/>
            <w:noWrap/>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300" w:lineRule="exact"/>
              <w:jc w:val="center"/>
              <w:rPr>
                <w:color w:val="auto"/>
              </w:rPr>
            </w:pPr>
          </w:p>
        </w:tc>
        <w:tc>
          <w:tcPr>
            <w:tcW w:w="2201" w:type="dxa"/>
            <w:tcBorders>
              <w:top w:val="single" w:color="000000" w:sz="6" w:space="0"/>
              <w:left w:val="single" w:color="000000" w:sz="6" w:space="0"/>
              <w:bottom w:val="single" w:color="000000" w:sz="6" w:space="0"/>
              <w:right w:val="single" w:color="000000" w:sz="6" w:space="0"/>
            </w:tcBorders>
            <w:shd w:val="clear" w:color="auto" w:fill="auto"/>
            <w:noWrap/>
            <w:tcMar>
              <w:top w:w="0" w:type="dxa"/>
              <w:left w:w="105" w:type="dxa"/>
              <w:bottom w:w="0" w:type="dxa"/>
              <w:right w:w="105" w:type="dxa"/>
            </w:tcMar>
            <w:vAlign w:val="center"/>
          </w:tcPr>
          <w:p>
            <w:pPr>
              <w:pStyle w:val="12"/>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exact"/>
              <w:jc w:val="both"/>
              <w:textAlignment w:val="bottom"/>
              <w:rPr>
                <w:rFonts w:hint="eastAsia" w:ascii="宋体"/>
                <w:color w:val="auto"/>
                <w:sz w:val="24"/>
                <w:szCs w:val="24"/>
              </w:rPr>
            </w:pPr>
            <w:r>
              <w:rPr>
                <w:rFonts w:hint="eastAsia" w:ascii="宋体" w:eastAsia="宋体" w:cs="宋体"/>
                <w:i w:val="0"/>
                <w:iCs w:val="0"/>
                <w:color w:val="auto"/>
                <w:sz w:val="18"/>
                <w:szCs w:val="18"/>
              </w:rPr>
              <w:t>指标6：换届工作完成率</w:t>
            </w:r>
          </w:p>
        </w:tc>
        <w:tc>
          <w:tcPr>
            <w:tcW w:w="1801" w:type="dxa"/>
            <w:tcBorders>
              <w:top w:val="single" w:color="000000" w:sz="6" w:space="0"/>
              <w:left w:val="single" w:color="000000" w:sz="6" w:space="0"/>
              <w:bottom w:val="single" w:color="000000" w:sz="6" w:space="0"/>
              <w:right w:val="single" w:color="000000" w:sz="6" w:space="0"/>
            </w:tcBorders>
            <w:shd w:val="clear" w:color="auto" w:fill="auto"/>
            <w:noWrap/>
            <w:tcMar>
              <w:top w:w="0" w:type="dxa"/>
              <w:left w:w="105" w:type="dxa"/>
              <w:bottom w:w="0" w:type="dxa"/>
              <w:right w:w="105" w:type="dxa"/>
            </w:tcMar>
            <w:vAlign w:val="center"/>
          </w:tcPr>
          <w:p>
            <w:pPr>
              <w:pStyle w:val="12"/>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exact"/>
              <w:jc w:val="center"/>
              <w:textAlignment w:val="bottom"/>
              <w:rPr>
                <w:color w:val="auto"/>
              </w:rPr>
            </w:pPr>
            <w:r>
              <w:rPr>
                <w:rFonts w:hint="eastAsia" w:ascii="宋体" w:eastAsia="宋体" w:cs="宋体"/>
                <w:i w:val="0"/>
                <w:iCs w:val="0"/>
                <w:color w:val="auto"/>
                <w:sz w:val="18"/>
                <w:szCs w:val="18"/>
              </w:rPr>
              <w:t>100%完成</w:t>
            </w:r>
          </w:p>
        </w:tc>
        <w:tc>
          <w:tcPr>
            <w:tcW w:w="1855" w:type="dxa"/>
            <w:tcBorders>
              <w:top w:val="single" w:color="000000" w:sz="6" w:space="0"/>
              <w:left w:val="single" w:color="000000" w:sz="6" w:space="0"/>
              <w:bottom w:val="single" w:color="000000" w:sz="6" w:space="0"/>
              <w:right w:val="single" w:color="000000" w:sz="6" w:space="0"/>
            </w:tcBorders>
            <w:shd w:val="clear" w:color="auto" w:fill="auto"/>
            <w:noWrap/>
            <w:tcMar>
              <w:top w:w="0" w:type="dxa"/>
              <w:left w:w="105" w:type="dxa"/>
              <w:bottom w:w="0" w:type="dxa"/>
              <w:right w:w="105" w:type="dxa"/>
            </w:tcMar>
            <w:vAlign w:val="center"/>
          </w:tcPr>
          <w:p>
            <w:pPr>
              <w:pStyle w:val="12"/>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exact"/>
              <w:jc w:val="center"/>
              <w:textAlignment w:val="bottom"/>
              <w:rPr>
                <w:color w:val="auto"/>
              </w:rPr>
            </w:pPr>
            <w:r>
              <w:rPr>
                <w:rFonts w:hint="eastAsia" w:ascii="宋体" w:eastAsia="宋体" w:cs="宋体"/>
                <w:i w:val="0"/>
                <w:iCs w:val="0"/>
                <w:color w:val="auto"/>
                <w:sz w:val="18"/>
                <w:szCs w:val="18"/>
              </w:rPr>
              <w:t>100%完成</w:t>
            </w:r>
          </w:p>
        </w:tc>
        <w:tc>
          <w:tcPr>
            <w:tcW w:w="326" w:type="dxa"/>
            <w:tcBorders>
              <w:top w:val="single" w:color="000000" w:sz="6" w:space="0"/>
              <w:left w:val="single" w:color="000000" w:sz="6" w:space="0"/>
              <w:bottom w:val="single" w:color="000000" w:sz="6" w:space="0"/>
              <w:right w:val="single" w:color="000000" w:sz="6"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exact"/>
              <w:jc w:val="left"/>
              <w:rPr>
                <w:color w:val="auto"/>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15" w:hRule="atLeast"/>
          <w:tblCellSpacing w:w="0" w:type="dxa"/>
          <w:jc w:val="center"/>
        </w:trPr>
        <w:tc>
          <w:tcPr>
            <w:tcW w:w="818" w:type="dxa"/>
            <w:vMerge w:val="continue"/>
            <w:tcBorders>
              <w:top w:val="single" w:color="000000" w:sz="6" w:space="0"/>
              <w:left w:val="single" w:color="000000" w:sz="6" w:space="0"/>
              <w:bottom w:val="single" w:color="000000" w:sz="6" w:space="0"/>
              <w:right w:val="single" w:color="000000" w:sz="6" w:space="0"/>
            </w:tcBorders>
            <w:shd w:val="clear" w:color="auto" w:fill="auto"/>
            <w:noWrap/>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300" w:lineRule="exact"/>
              <w:jc w:val="center"/>
              <w:rPr>
                <w:color w:val="auto"/>
              </w:rPr>
            </w:pPr>
          </w:p>
        </w:tc>
        <w:tc>
          <w:tcPr>
            <w:tcW w:w="1097" w:type="dxa"/>
            <w:vMerge w:val="continue"/>
            <w:tcBorders>
              <w:top w:val="single" w:color="000000" w:sz="6" w:space="0"/>
              <w:left w:val="single" w:color="000000" w:sz="6" w:space="0"/>
              <w:bottom w:val="single" w:color="auto" w:sz="6" w:space="0"/>
              <w:right w:val="single" w:color="000000" w:sz="6" w:space="0"/>
            </w:tcBorders>
            <w:shd w:val="clear" w:color="auto" w:fill="auto"/>
            <w:noWrap/>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300" w:lineRule="exact"/>
              <w:jc w:val="center"/>
              <w:rPr>
                <w:color w:val="auto"/>
              </w:rPr>
            </w:pPr>
          </w:p>
        </w:tc>
        <w:tc>
          <w:tcPr>
            <w:tcW w:w="1389" w:type="dxa"/>
            <w:vMerge w:val="continue"/>
            <w:tcBorders>
              <w:top w:val="single" w:color="000000" w:sz="6" w:space="0"/>
              <w:left w:val="single" w:color="000000" w:sz="6" w:space="0"/>
              <w:bottom w:val="single" w:color="000000" w:sz="6" w:space="0"/>
              <w:right w:val="single" w:color="000000" w:sz="6" w:space="0"/>
            </w:tcBorders>
            <w:shd w:val="clear" w:color="auto" w:fill="auto"/>
            <w:noWrap/>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300" w:lineRule="exact"/>
              <w:jc w:val="center"/>
              <w:rPr>
                <w:color w:val="auto"/>
              </w:rPr>
            </w:pPr>
          </w:p>
        </w:tc>
        <w:tc>
          <w:tcPr>
            <w:tcW w:w="2201" w:type="dxa"/>
            <w:tcBorders>
              <w:top w:val="single" w:color="000000" w:sz="6" w:space="0"/>
              <w:left w:val="single" w:color="000000" w:sz="6" w:space="0"/>
              <w:bottom w:val="single" w:color="000000" w:sz="6" w:space="0"/>
              <w:right w:val="single" w:color="000000" w:sz="6" w:space="0"/>
            </w:tcBorders>
            <w:shd w:val="clear" w:color="auto" w:fill="auto"/>
            <w:noWrap/>
            <w:tcMar>
              <w:top w:w="0" w:type="dxa"/>
              <w:left w:w="105" w:type="dxa"/>
              <w:bottom w:w="0" w:type="dxa"/>
              <w:right w:w="105" w:type="dxa"/>
            </w:tcMar>
            <w:vAlign w:val="center"/>
          </w:tcPr>
          <w:p>
            <w:pPr>
              <w:pStyle w:val="12"/>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exact"/>
              <w:jc w:val="both"/>
              <w:textAlignment w:val="bottom"/>
              <w:rPr>
                <w:rFonts w:hint="eastAsia" w:ascii="宋体"/>
                <w:color w:val="auto"/>
                <w:sz w:val="24"/>
                <w:szCs w:val="24"/>
              </w:rPr>
            </w:pPr>
            <w:r>
              <w:rPr>
                <w:rFonts w:hint="eastAsia" w:ascii="宋体" w:eastAsia="宋体" w:cs="宋体"/>
                <w:i w:val="0"/>
                <w:iCs w:val="0"/>
                <w:color w:val="auto"/>
                <w:sz w:val="18"/>
                <w:szCs w:val="18"/>
              </w:rPr>
              <w:t>指标7：完成市委换届工作</w:t>
            </w:r>
          </w:p>
        </w:tc>
        <w:tc>
          <w:tcPr>
            <w:tcW w:w="1801" w:type="dxa"/>
            <w:tcBorders>
              <w:top w:val="single" w:color="000000" w:sz="6" w:space="0"/>
              <w:left w:val="single" w:color="000000" w:sz="6" w:space="0"/>
              <w:bottom w:val="single" w:color="000000" w:sz="6" w:space="0"/>
              <w:right w:val="single" w:color="000000" w:sz="6" w:space="0"/>
            </w:tcBorders>
            <w:shd w:val="clear" w:color="auto" w:fill="auto"/>
            <w:noWrap/>
            <w:tcMar>
              <w:top w:w="0" w:type="dxa"/>
              <w:left w:w="105" w:type="dxa"/>
              <w:bottom w:w="0" w:type="dxa"/>
              <w:right w:w="105" w:type="dxa"/>
            </w:tcMar>
            <w:vAlign w:val="center"/>
          </w:tcPr>
          <w:p>
            <w:pPr>
              <w:pStyle w:val="12"/>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exact"/>
              <w:jc w:val="center"/>
              <w:textAlignment w:val="bottom"/>
              <w:rPr>
                <w:color w:val="auto"/>
              </w:rPr>
            </w:pPr>
            <w:r>
              <w:rPr>
                <w:rFonts w:hint="eastAsia" w:ascii="宋体" w:eastAsia="宋体" w:cs="宋体"/>
                <w:i w:val="0"/>
                <w:iCs w:val="0"/>
                <w:color w:val="auto"/>
                <w:sz w:val="18"/>
                <w:szCs w:val="18"/>
              </w:rPr>
              <w:t>100%完成</w:t>
            </w:r>
          </w:p>
        </w:tc>
        <w:tc>
          <w:tcPr>
            <w:tcW w:w="1855" w:type="dxa"/>
            <w:tcBorders>
              <w:top w:val="single" w:color="000000" w:sz="6" w:space="0"/>
              <w:left w:val="single" w:color="000000" w:sz="6" w:space="0"/>
              <w:bottom w:val="single" w:color="000000" w:sz="6" w:space="0"/>
              <w:right w:val="single" w:color="000000" w:sz="6" w:space="0"/>
            </w:tcBorders>
            <w:shd w:val="clear" w:color="auto" w:fill="auto"/>
            <w:noWrap/>
            <w:tcMar>
              <w:top w:w="0" w:type="dxa"/>
              <w:left w:w="105" w:type="dxa"/>
              <w:bottom w:w="0" w:type="dxa"/>
              <w:right w:w="105" w:type="dxa"/>
            </w:tcMar>
            <w:vAlign w:val="center"/>
          </w:tcPr>
          <w:p>
            <w:pPr>
              <w:pStyle w:val="12"/>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exact"/>
              <w:jc w:val="center"/>
              <w:textAlignment w:val="bottom"/>
              <w:rPr>
                <w:color w:val="auto"/>
              </w:rPr>
            </w:pPr>
            <w:r>
              <w:rPr>
                <w:rFonts w:hint="eastAsia" w:ascii="宋体" w:eastAsia="宋体" w:cs="宋体"/>
                <w:i w:val="0"/>
                <w:iCs w:val="0"/>
                <w:color w:val="auto"/>
                <w:sz w:val="18"/>
                <w:szCs w:val="18"/>
              </w:rPr>
              <w:t>100%完成</w:t>
            </w:r>
          </w:p>
        </w:tc>
        <w:tc>
          <w:tcPr>
            <w:tcW w:w="326" w:type="dxa"/>
            <w:tcBorders>
              <w:top w:val="single" w:color="000000" w:sz="6" w:space="0"/>
              <w:left w:val="single" w:color="000000" w:sz="6" w:space="0"/>
              <w:bottom w:val="single" w:color="000000" w:sz="6" w:space="0"/>
              <w:right w:val="single" w:color="000000" w:sz="6"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exact"/>
              <w:jc w:val="left"/>
              <w:rPr>
                <w:color w:val="auto"/>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55" w:hRule="atLeast"/>
          <w:tblCellSpacing w:w="0" w:type="dxa"/>
          <w:jc w:val="center"/>
        </w:trPr>
        <w:tc>
          <w:tcPr>
            <w:tcW w:w="818" w:type="dxa"/>
            <w:vMerge w:val="continue"/>
            <w:tcBorders>
              <w:top w:val="single" w:color="000000" w:sz="6" w:space="0"/>
              <w:left w:val="single" w:color="000000" w:sz="6" w:space="0"/>
              <w:bottom w:val="single" w:color="000000" w:sz="6" w:space="0"/>
              <w:right w:val="single" w:color="000000" w:sz="6" w:space="0"/>
            </w:tcBorders>
            <w:shd w:val="clear" w:color="auto" w:fill="auto"/>
            <w:noWrap/>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300" w:lineRule="exact"/>
              <w:jc w:val="center"/>
              <w:rPr>
                <w:color w:val="auto"/>
              </w:rPr>
            </w:pPr>
          </w:p>
        </w:tc>
        <w:tc>
          <w:tcPr>
            <w:tcW w:w="1097" w:type="dxa"/>
            <w:vMerge w:val="continue"/>
            <w:tcBorders>
              <w:top w:val="single" w:color="000000" w:sz="6" w:space="0"/>
              <w:left w:val="single" w:color="000000" w:sz="6" w:space="0"/>
              <w:bottom w:val="single" w:color="auto" w:sz="6" w:space="0"/>
              <w:right w:val="single" w:color="000000" w:sz="6" w:space="0"/>
            </w:tcBorders>
            <w:shd w:val="clear" w:color="auto" w:fill="auto"/>
            <w:noWrap/>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300" w:lineRule="exact"/>
              <w:jc w:val="center"/>
              <w:rPr>
                <w:color w:val="auto"/>
              </w:rPr>
            </w:pPr>
          </w:p>
        </w:tc>
        <w:tc>
          <w:tcPr>
            <w:tcW w:w="1389" w:type="dxa"/>
            <w:vMerge w:val="restart"/>
            <w:tcBorders>
              <w:top w:val="single" w:color="000000" w:sz="6" w:space="0"/>
              <w:left w:val="single" w:color="000000" w:sz="6" w:space="0"/>
              <w:bottom w:val="single" w:color="000000" w:sz="6" w:space="0"/>
              <w:right w:val="single" w:color="000000" w:sz="6" w:space="0"/>
            </w:tcBorders>
            <w:shd w:val="clear" w:color="auto" w:fill="auto"/>
            <w:noWrap/>
            <w:tcMar>
              <w:top w:w="0" w:type="dxa"/>
              <w:left w:w="105" w:type="dxa"/>
              <w:bottom w:w="0" w:type="dxa"/>
              <w:right w:w="105" w:type="dxa"/>
            </w:tcMar>
            <w:vAlign w:val="center"/>
          </w:tcPr>
          <w:p>
            <w:pPr>
              <w:pStyle w:val="12"/>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exact"/>
              <w:jc w:val="center"/>
              <w:textAlignment w:val="bottom"/>
              <w:rPr>
                <w:rFonts w:hint="eastAsia" w:ascii="宋体"/>
                <w:color w:val="auto"/>
                <w:sz w:val="24"/>
                <w:szCs w:val="24"/>
              </w:rPr>
            </w:pPr>
            <w:r>
              <w:rPr>
                <w:rFonts w:ascii="仿宋_GB2312" w:eastAsia="仿宋_GB2312" w:cs="仿宋_GB2312"/>
                <w:color w:val="auto"/>
                <w:sz w:val="28"/>
                <w:szCs w:val="28"/>
              </w:rPr>
              <w:t>时效指标</w:t>
            </w:r>
          </w:p>
        </w:tc>
        <w:tc>
          <w:tcPr>
            <w:tcW w:w="2201" w:type="dxa"/>
            <w:tcBorders>
              <w:top w:val="single" w:color="000000" w:sz="6" w:space="0"/>
              <w:left w:val="single" w:color="000000" w:sz="6" w:space="0"/>
              <w:bottom w:val="single" w:color="000000" w:sz="6" w:space="0"/>
              <w:right w:val="single" w:color="000000" w:sz="6" w:space="0"/>
            </w:tcBorders>
            <w:shd w:val="clear" w:color="auto" w:fill="auto"/>
            <w:noWrap/>
            <w:tcMar>
              <w:top w:w="0" w:type="dxa"/>
              <w:left w:w="105" w:type="dxa"/>
              <w:bottom w:w="0" w:type="dxa"/>
              <w:right w:w="105" w:type="dxa"/>
            </w:tcMar>
            <w:vAlign w:val="center"/>
          </w:tcPr>
          <w:p>
            <w:pPr>
              <w:pStyle w:val="12"/>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exact"/>
              <w:jc w:val="both"/>
              <w:textAlignment w:val="bottom"/>
              <w:rPr>
                <w:color w:val="auto"/>
              </w:rPr>
            </w:pPr>
            <w:r>
              <w:rPr>
                <w:rFonts w:hint="eastAsia" w:ascii="宋体" w:eastAsia="宋体" w:cs="宋体"/>
                <w:i w:val="0"/>
                <w:iCs w:val="0"/>
                <w:color w:val="auto"/>
                <w:sz w:val="18"/>
                <w:szCs w:val="18"/>
              </w:rPr>
              <w:t>指标1：完成时限</w:t>
            </w:r>
          </w:p>
        </w:tc>
        <w:tc>
          <w:tcPr>
            <w:tcW w:w="1801" w:type="dxa"/>
            <w:tcBorders>
              <w:top w:val="single" w:color="000000" w:sz="6" w:space="0"/>
              <w:left w:val="single" w:color="000000" w:sz="6" w:space="0"/>
              <w:bottom w:val="single" w:color="000000" w:sz="6" w:space="0"/>
              <w:right w:val="single" w:color="000000" w:sz="6" w:space="0"/>
            </w:tcBorders>
            <w:shd w:val="clear" w:color="auto" w:fill="auto"/>
            <w:noWrap/>
            <w:tcMar>
              <w:top w:w="0" w:type="dxa"/>
              <w:left w:w="105" w:type="dxa"/>
              <w:bottom w:w="0" w:type="dxa"/>
              <w:right w:w="105" w:type="dxa"/>
            </w:tcMar>
            <w:vAlign w:val="center"/>
          </w:tcPr>
          <w:p>
            <w:pPr>
              <w:pStyle w:val="12"/>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exact"/>
              <w:jc w:val="center"/>
              <w:textAlignment w:val="bottom"/>
              <w:rPr>
                <w:color w:val="auto"/>
              </w:rPr>
            </w:pPr>
            <w:r>
              <w:rPr>
                <w:rFonts w:hint="eastAsia" w:ascii="宋体" w:eastAsia="宋体" w:cs="宋体"/>
                <w:i w:val="0"/>
                <w:iCs w:val="0"/>
                <w:color w:val="auto"/>
                <w:sz w:val="18"/>
                <w:szCs w:val="18"/>
              </w:rPr>
              <w:t>2020年12月前</w:t>
            </w:r>
          </w:p>
        </w:tc>
        <w:tc>
          <w:tcPr>
            <w:tcW w:w="1855" w:type="dxa"/>
            <w:tcBorders>
              <w:top w:val="single" w:color="000000" w:sz="6" w:space="0"/>
              <w:left w:val="single" w:color="000000" w:sz="6" w:space="0"/>
              <w:bottom w:val="single" w:color="000000" w:sz="6" w:space="0"/>
              <w:right w:val="single" w:color="000000" w:sz="6" w:space="0"/>
            </w:tcBorders>
            <w:shd w:val="clear" w:color="auto" w:fill="auto"/>
            <w:noWrap/>
            <w:tcMar>
              <w:top w:w="0" w:type="dxa"/>
              <w:left w:w="105" w:type="dxa"/>
              <w:bottom w:w="0" w:type="dxa"/>
              <w:right w:w="105" w:type="dxa"/>
            </w:tcMar>
            <w:vAlign w:val="center"/>
          </w:tcPr>
          <w:p>
            <w:pPr>
              <w:pStyle w:val="12"/>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exact"/>
              <w:jc w:val="center"/>
              <w:textAlignment w:val="bottom"/>
              <w:rPr>
                <w:color w:val="auto"/>
              </w:rPr>
            </w:pPr>
            <w:r>
              <w:rPr>
                <w:rFonts w:hint="eastAsia" w:ascii="宋体" w:eastAsia="宋体" w:cs="宋体"/>
                <w:i w:val="0"/>
                <w:iCs w:val="0"/>
                <w:color w:val="auto"/>
                <w:sz w:val="18"/>
                <w:szCs w:val="18"/>
              </w:rPr>
              <w:t>2020年12月前</w:t>
            </w:r>
          </w:p>
        </w:tc>
        <w:tc>
          <w:tcPr>
            <w:tcW w:w="326" w:type="dxa"/>
            <w:tcBorders>
              <w:top w:val="single" w:color="000000" w:sz="6" w:space="0"/>
              <w:left w:val="single" w:color="000000" w:sz="6" w:space="0"/>
              <w:bottom w:val="single" w:color="000000" w:sz="6" w:space="0"/>
              <w:right w:val="single" w:color="000000" w:sz="6"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exact"/>
              <w:jc w:val="left"/>
              <w:rPr>
                <w:color w:val="auto"/>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40" w:hRule="atLeast"/>
          <w:tblCellSpacing w:w="0" w:type="dxa"/>
          <w:jc w:val="center"/>
        </w:trPr>
        <w:tc>
          <w:tcPr>
            <w:tcW w:w="818" w:type="dxa"/>
            <w:vMerge w:val="continue"/>
            <w:tcBorders>
              <w:top w:val="single" w:color="000000" w:sz="6" w:space="0"/>
              <w:left w:val="single" w:color="000000" w:sz="6" w:space="0"/>
              <w:bottom w:val="single" w:color="000000" w:sz="6" w:space="0"/>
              <w:right w:val="single" w:color="000000" w:sz="6" w:space="0"/>
            </w:tcBorders>
            <w:shd w:val="clear" w:color="auto" w:fill="auto"/>
            <w:noWrap/>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300" w:lineRule="exact"/>
              <w:jc w:val="center"/>
              <w:rPr>
                <w:color w:val="auto"/>
              </w:rPr>
            </w:pPr>
          </w:p>
        </w:tc>
        <w:tc>
          <w:tcPr>
            <w:tcW w:w="1097" w:type="dxa"/>
            <w:vMerge w:val="continue"/>
            <w:tcBorders>
              <w:top w:val="single" w:color="000000" w:sz="6" w:space="0"/>
              <w:left w:val="single" w:color="000000" w:sz="6" w:space="0"/>
              <w:bottom w:val="single" w:color="auto" w:sz="6" w:space="0"/>
              <w:right w:val="single" w:color="000000" w:sz="6" w:space="0"/>
            </w:tcBorders>
            <w:shd w:val="clear" w:color="auto" w:fill="auto"/>
            <w:noWrap/>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300" w:lineRule="exact"/>
              <w:jc w:val="center"/>
              <w:rPr>
                <w:color w:val="auto"/>
              </w:rPr>
            </w:pPr>
          </w:p>
        </w:tc>
        <w:tc>
          <w:tcPr>
            <w:tcW w:w="1389" w:type="dxa"/>
            <w:vMerge w:val="continue"/>
            <w:tcBorders>
              <w:top w:val="single" w:color="000000" w:sz="6" w:space="0"/>
              <w:left w:val="single" w:color="000000" w:sz="6" w:space="0"/>
              <w:bottom w:val="single" w:color="000000" w:sz="6" w:space="0"/>
              <w:right w:val="single" w:color="000000" w:sz="6" w:space="0"/>
            </w:tcBorders>
            <w:shd w:val="clear" w:color="auto" w:fill="auto"/>
            <w:noWrap/>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300" w:lineRule="exact"/>
              <w:jc w:val="center"/>
              <w:rPr>
                <w:color w:val="auto"/>
              </w:rPr>
            </w:pPr>
          </w:p>
        </w:tc>
        <w:tc>
          <w:tcPr>
            <w:tcW w:w="2201" w:type="dxa"/>
            <w:tcBorders>
              <w:top w:val="single" w:color="000000" w:sz="6" w:space="0"/>
              <w:left w:val="single" w:color="000000" w:sz="6" w:space="0"/>
              <w:bottom w:val="single" w:color="000000" w:sz="6" w:space="0"/>
              <w:right w:val="single" w:color="000000" w:sz="6" w:space="0"/>
            </w:tcBorders>
            <w:shd w:val="clear" w:color="auto" w:fill="auto"/>
            <w:noWrap/>
            <w:tcMar>
              <w:top w:w="0" w:type="dxa"/>
              <w:left w:w="105" w:type="dxa"/>
              <w:bottom w:w="0" w:type="dxa"/>
              <w:right w:w="105" w:type="dxa"/>
            </w:tcMar>
            <w:vAlign w:val="center"/>
          </w:tcPr>
          <w:p>
            <w:pPr>
              <w:pStyle w:val="12"/>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exact"/>
              <w:jc w:val="both"/>
              <w:textAlignment w:val="bottom"/>
              <w:rPr>
                <w:rFonts w:hint="eastAsia" w:ascii="宋体"/>
                <w:color w:val="auto"/>
                <w:sz w:val="24"/>
                <w:szCs w:val="24"/>
              </w:rPr>
            </w:pPr>
            <w:r>
              <w:rPr>
                <w:rFonts w:hint="eastAsia" w:ascii="宋体" w:eastAsia="宋体" w:cs="宋体"/>
                <w:i w:val="0"/>
                <w:iCs w:val="0"/>
                <w:color w:val="auto"/>
                <w:sz w:val="18"/>
                <w:szCs w:val="18"/>
              </w:rPr>
              <w:t>指标1：促进祖国统一</w:t>
            </w:r>
          </w:p>
        </w:tc>
        <w:tc>
          <w:tcPr>
            <w:tcW w:w="1801" w:type="dxa"/>
            <w:tcBorders>
              <w:top w:val="single" w:color="000000" w:sz="6" w:space="0"/>
              <w:left w:val="single" w:color="000000" w:sz="6" w:space="0"/>
              <w:bottom w:val="single" w:color="000000" w:sz="6" w:space="0"/>
              <w:right w:val="single" w:color="000000" w:sz="6" w:space="0"/>
            </w:tcBorders>
            <w:shd w:val="clear" w:color="auto" w:fill="auto"/>
            <w:noWrap/>
            <w:tcMar>
              <w:top w:w="0" w:type="dxa"/>
              <w:left w:w="105" w:type="dxa"/>
              <w:bottom w:w="0" w:type="dxa"/>
              <w:right w:w="105" w:type="dxa"/>
            </w:tcMar>
            <w:vAlign w:val="center"/>
          </w:tcPr>
          <w:p>
            <w:pPr>
              <w:pStyle w:val="12"/>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exact"/>
              <w:jc w:val="center"/>
              <w:textAlignment w:val="bottom"/>
              <w:rPr>
                <w:color w:val="auto"/>
              </w:rPr>
            </w:pPr>
            <w:r>
              <w:rPr>
                <w:rFonts w:hint="eastAsia" w:ascii="宋体" w:eastAsia="宋体" w:cs="宋体"/>
                <w:i w:val="0"/>
                <w:iCs w:val="0"/>
                <w:color w:val="auto"/>
                <w:sz w:val="18"/>
                <w:szCs w:val="18"/>
              </w:rPr>
              <w:t>5万元</w:t>
            </w:r>
          </w:p>
        </w:tc>
        <w:tc>
          <w:tcPr>
            <w:tcW w:w="1855" w:type="dxa"/>
            <w:tcBorders>
              <w:top w:val="single" w:color="000000" w:sz="6" w:space="0"/>
              <w:left w:val="single" w:color="000000" w:sz="6" w:space="0"/>
              <w:bottom w:val="single" w:color="000000" w:sz="6" w:space="0"/>
              <w:right w:val="single" w:color="000000" w:sz="6" w:space="0"/>
            </w:tcBorders>
            <w:shd w:val="clear" w:color="auto" w:fill="auto"/>
            <w:noWrap/>
            <w:tcMar>
              <w:top w:w="0" w:type="dxa"/>
              <w:left w:w="105" w:type="dxa"/>
              <w:bottom w:w="0" w:type="dxa"/>
              <w:right w:w="105" w:type="dxa"/>
            </w:tcMar>
            <w:vAlign w:val="center"/>
          </w:tcPr>
          <w:p>
            <w:pPr>
              <w:pStyle w:val="12"/>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exact"/>
              <w:jc w:val="center"/>
              <w:textAlignment w:val="bottom"/>
              <w:rPr>
                <w:color w:val="auto"/>
              </w:rPr>
            </w:pPr>
            <w:r>
              <w:rPr>
                <w:rFonts w:hint="eastAsia" w:ascii="宋体" w:eastAsia="宋体" w:cs="宋体"/>
                <w:i w:val="0"/>
                <w:iCs w:val="0"/>
                <w:color w:val="auto"/>
                <w:sz w:val="18"/>
                <w:szCs w:val="18"/>
              </w:rPr>
              <w:t>100%完成</w:t>
            </w:r>
          </w:p>
        </w:tc>
        <w:tc>
          <w:tcPr>
            <w:tcW w:w="326" w:type="dxa"/>
            <w:tcBorders>
              <w:top w:val="single" w:color="000000" w:sz="6" w:space="0"/>
              <w:left w:val="single" w:color="000000" w:sz="6" w:space="0"/>
              <w:bottom w:val="single" w:color="000000" w:sz="6" w:space="0"/>
              <w:right w:val="single" w:color="000000" w:sz="6"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exact"/>
              <w:jc w:val="left"/>
              <w:rPr>
                <w:color w:val="auto"/>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40" w:hRule="atLeast"/>
          <w:tblCellSpacing w:w="0" w:type="dxa"/>
          <w:jc w:val="center"/>
        </w:trPr>
        <w:tc>
          <w:tcPr>
            <w:tcW w:w="818" w:type="dxa"/>
            <w:vMerge w:val="continue"/>
            <w:tcBorders>
              <w:top w:val="single" w:color="000000" w:sz="6" w:space="0"/>
              <w:left w:val="single" w:color="000000" w:sz="6" w:space="0"/>
              <w:bottom w:val="single" w:color="000000" w:sz="6" w:space="0"/>
              <w:right w:val="single" w:color="000000" w:sz="6" w:space="0"/>
            </w:tcBorders>
            <w:shd w:val="clear" w:color="auto" w:fill="auto"/>
            <w:noWrap/>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300" w:lineRule="exact"/>
              <w:jc w:val="center"/>
              <w:rPr>
                <w:color w:val="auto"/>
              </w:rPr>
            </w:pPr>
          </w:p>
        </w:tc>
        <w:tc>
          <w:tcPr>
            <w:tcW w:w="1097" w:type="dxa"/>
            <w:vMerge w:val="restart"/>
            <w:tcBorders>
              <w:top w:val="single" w:color="000000" w:sz="6" w:space="0"/>
              <w:left w:val="single" w:color="000000" w:sz="6" w:space="0"/>
              <w:bottom w:val="single" w:color="auto" w:sz="6" w:space="0"/>
              <w:right w:val="single" w:color="000000" w:sz="6" w:space="0"/>
            </w:tcBorders>
            <w:shd w:val="clear" w:color="auto" w:fill="auto"/>
            <w:noWrap/>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exact"/>
              <w:jc w:val="center"/>
              <w:rPr>
                <w:rFonts w:hint="eastAsia" w:ascii="宋体"/>
                <w:color w:val="auto"/>
                <w:sz w:val="24"/>
                <w:szCs w:val="24"/>
              </w:rPr>
            </w:pPr>
          </w:p>
        </w:tc>
        <w:tc>
          <w:tcPr>
            <w:tcW w:w="1389" w:type="dxa"/>
            <w:vMerge w:val="continue"/>
            <w:tcBorders>
              <w:top w:val="single" w:color="000000" w:sz="6" w:space="0"/>
              <w:left w:val="single" w:color="000000" w:sz="6" w:space="0"/>
              <w:bottom w:val="single" w:color="000000" w:sz="6" w:space="0"/>
              <w:right w:val="single" w:color="000000" w:sz="6" w:space="0"/>
            </w:tcBorders>
            <w:shd w:val="clear" w:color="auto" w:fill="auto"/>
            <w:noWrap/>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300" w:lineRule="exact"/>
              <w:jc w:val="center"/>
              <w:rPr>
                <w:color w:val="auto"/>
              </w:rPr>
            </w:pPr>
          </w:p>
        </w:tc>
        <w:tc>
          <w:tcPr>
            <w:tcW w:w="2201" w:type="dxa"/>
            <w:tcBorders>
              <w:top w:val="single" w:color="000000" w:sz="6" w:space="0"/>
              <w:left w:val="single" w:color="000000" w:sz="6" w:space="0"/>
              <w:bottom w:val="single" w:color="000000" w:sz="6" w:space="0"/>
              <w:right w:val="single" w:color="000000" w:sz="6" w:space="0"/>
            </w:tcBorders>
            <w:shd w:val="clear" w:color="auto" w:fill="auto"/>
            <w:noWrap/>
            <w:tcMar>
              <w:top w:w="0" w:type="dxa"/>
              <w:left w:w="105" w:type="dxa"/>
              <w:bottom w:w="0" w:type="dxa"/>
              <w:right w:w="105" w:type="dxa"/>
            </w:tcMar>
            <w:vAlign w:val="center"/>
          </w:tcPr>
          <w:p>
            <w:pPr>
              <w:pStyle w:val="12"/>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exact"/>
              <w:jc w:val="both"/>
              <w:textAlignment w:val="bottom"/>
              <w:rPr>
                <w:rFonts w:hint="eastAsia" w:ascii="宋体"/>
                <w:color w:val="auto"/>
                <w:sz w:val="24"/>
                <w:szCs w:val="24"/>
              </w:rPr>
            </w:pPr>
            <w:r>
              <w:rPr>
                <w:rFonts w:hint="eastAsia" w:ascii="宋体" w:eastAsia="宋体" w:cs="宋体"/>
                <w:i w:val="0"/>
                <w:iCs w:val="0"/>
                <w:color w:val="auto"/>
                <w:sz w:val="18"/>
                <w:szCs w:val="18"/>
              </w:rPr>
              <w:t>指标2：社会服务活动成本</w:t>
            </w:r>
          </w:p>
        </w:tc>
        <w:tc>
          <w:tcPr>
            <w:tcW w:w="1801" w:type="dxa"/>
            <w:tcBorders>
              <w:top w:val="single" w:color="000000" w:sz="6" w:space="0"/>
              <w:left w:val="single" w:color="000000" w:sz="6" w:space="0"/>
              <w:bottom w:val="single" w:color="000000" w:sz="6" w:space="0"/>
              <w:right w:val="single" w:color="000000" w:sz="6" w:space="0"/>
            </w:tcBorders>
            <w:shd w:val="clear" w:color="auto" w:fill="auto"/>
            <w:noWrap/>
            <w:tcMar>
              <w:top w:w="0" w:type="dxa"/>
              <w:left w:w="105" w:type="dxa"/>
              <w:bottom w:w="0" w:type="dxa"/>
              <w:right w:w="105" w:type="dxa"/>
            </w:tcMar>
            <w:vAlign w:val="center"/>
          </w:tcPr>
          <w:p>
            <w:pPr>
              <w:pStyle w:val="12"/>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exact"/>
              <w:jc w:val="center"/>
              <w:textAlignment w:val="bottom"/>
              <w:rPr>
                <w:color w:val="auto"/>
              </w:rPr>
            </w:pPr>
            <w:r>
              <w:rPr>
                <w:rFonts w:hint="eastAsia" w:ascii="宋体" w:eastAsia="宋体" w:cs="宋体"/>
                <w:i w:val="0"/>
                <w:iCs w:val="0"/>
                <w:color w:val="auto"/>
                <w:sz w:val="18"/>
                <w:szCs w:val="18"/>
              </w:rPr>
              <w:t>1万元</w:t>
            </w:r>
          </w:p>
        </w:tc>
        <w:tc>
          <w:tcPr>
            <w:tcW w:w="1855" w:type="dxa"/>
            <w:tcBorders>
              <w:top w:val="single" w:color="000000" w:sz="6" w:space="0"/>
              <w:left w:val="single" w:color="000000" w:sz="6" w:space="0"/>
              <w:bottom w:val="single" w:color="000000" w:sz="6" w:space="0"/>
              <w:right w:val="single" w:color="000000" w:sz="6" w:space="0"/>
            </w:tcBorders>
            <w:shd w:val="clear" w:color="auto" w:fill="auto"/>
            <w:noWrap/>
            <w:tcMar>
              <w:top w:w="0" w:type="dxa"/>
              <w:left w:w="105" w:type="dxa"/>
              <w:bottom w:w="0" w:type="dxa"/>
              <w:right w:w="105" w:type="dxa"/>
            </w:tcMar>
            <w:vAlign w:val="center"/>
          </w:tcPr>
          <w:p>
            <w:pPr>
              <w:pStyle w:val="12"/>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exact"/>
              <w:jc w:val="center"/>
              <w:textAlignment w:val="bottom"/>
              <w:rPr>
                <w:color w:val="auto"/>
              </w:rPr>
            </w:pPr>
            <w:r>
              <w:rPr>
                <w:rFonts w:hint="eastAsia" w:ascii="宋体" w:eastAsia="宋体" w:cs="宋体"/>
                <w:i w:val="0"/>
                <w:iCs w:val="0"/>
                <w:color w:val="auto"/>
                <w:sz w:val="18"/>
                <w:szCs w:val="18"/>
              </w:rPr>
              <w:t>100%完成</w:t>
            </w:r>
          </w:p>
        </w:tc>
        <w:tc>
          <w:tcPr>
            <w:tcW w:w="326" w:type="dxa"/>
            <w:tcBorders>
              <w:top w:val="single" w:color="000000" w:sz="6" w:space="0"/>
              <w:left w:val="single" w:color="000000" w:sz="6" w:space="0"/>
              <w:bottom w:val="single" w:color="000000" w:sz="6" w:space="0"/>
              <w:right w:val="single" w:color="000000" w:sz="6"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exact"/>
              <w:jc w:val="left"/>
              <w:rPr>
                <w:color w:val="auto"/>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40" w:hRule="atLeast"/>
          <w:tblCellSpacing w:w="0" w:type="dxa"/>
          <w:jc w:val="center"/>
        </w:trPr>
        <w:tc>
          <w:tcPr>
            <w:tcW w:w="818" w:type="dxa"/>
            <w:vMerge w:val="continue"/>
            <w:tcBorders>
              <w:top w:val="single" w:color="000000" w:sz="6" w:space="0"/>
              <w:left w:val="single" w:color="000000" w:sz="6" w:space="0"/>
              <w:bottom w:val="single" w:color="000000" w:sz="6" w:space="0"/>
              <w:right w:val="single" w:color="000000" w:sz="6" w:space="0"/>
            </w:tcBorders>
            <w:shd w:val="clear" w:color="auto" w:fill="auto"/>
            <w:noWrap/>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300" w:lineRule="exact"/>
              <w:jc w:val="center"/>
              <w:rPr>
                <w:color w:val="auto"/>
              </w:rPr>
            </w:pPr>
          </w:p>
        </w:tc>
        <w:tc>
          <w:tcPr>
            <w:tcW w:w="1097" w:type="dxa"/>
            <w:vMerge w:val="continue"/>
            <w:tcBorders>
              <w:top w:val="single" w:color="000000" w:sz="6" w:space="0"/>
              <w:left w:val="single" w:color="000000" w:sz="6" w:space="0"/>
              <w:bottom w:val="single" w:color="auto" w:sz="6" w:space="0"/>
              <w:right w:val="single" w:color="000000" w:sz="6" w:space="0"/>
            </w:tcBorders>
            <w:shd w:val="clear" w:color="auto" w:fill="auto"/>
            <w:noWrap/>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300" w:lineRule="exact"/>
              <w:jc w:val="center"/>
              <w:rPr>
                <w:color w:val="auto"/>
              </w:rPr>
            </w:pPr>
          </w:p>
        </w:tc>
        <w:tc>
          <w:tcPr>
            <w:tcW w:w="1389" w:type="dxa"/>
            <w:vMerge w:val="continue"/>
            <w:tcBorders>
              <w:top w:val="single" w:color="000000" w:sz="6" w:space="0"/>
              <w:left w:val="single" w:color="000000" w:sz="6" w:space="0"/>
              <w:bottom w:val="single" w:color="000000" w:sz="6" w:space="0"/>
              <w:right w:val="single" w:color="000000" w:sz="6" w:space="0"/>
            </w:tcBorders>
            <w:shd w:val="clear" w:color="auto" w:fill="auto"/>
            <w:noWrap/>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300" w:lineRule="exact"/>
              <w:jc w:val="center"/>
              <w:rPr>
                <w:color w:val="auto"/>
              </w:rPr>
            </w:pPr>
          </w:p>
        </w:tc>
        <w:tc>
          <w:tcPr>
            <w:tcW w:w="2201" w:type="dxa"/>
            <w:tcBorders>
              <w:top w:val="single" w:color="000000" w:sz="6" w:space="0"/>
              <w:left w:val="single" w:color="000000" w:sz="6" w:space="0"/>
              <w:bottom w:val="single" w:color="000000" w:sz="6" w:space="0"/>
              <w:right w:val="single" w:color="000000" w:sz="6" w:space="0"/>
            </w:tcBorders>
            <w:shd w:val="clear" w:color="auto" w:fill="auto"/>
            <w:noWrap/>
            <w:tcMar>
              <w:top w:w="0" w:type="dxa"/>
              <w:left w:w="105" w:type="dxa"/>
              <w:bottom w:w="0" w:type="dxa"/>
              <w:right w:w="105" w:type="dxa"/>
            </w:tcMar>
            <w:vAlign w:val="center"/>
          </w:tcPr>
          <w:p>
            <w:pPr>
              <w:pStyle w:val="12"/>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exact"/>
              <w:jc w:val="both"/>
              <w:textAlignment w:val="bottom"/>
              <w:rPr>
                <w:rFonts w:hint="eastAsia" w:ascii="宋体"/>
                <w:color w:val="auto"/>
                <w:sz w:val="24"/>
                <w:szCs w:val="24"/>
              </w:rPr>
            </w:pPr>
            <w:r>
              <w:rPr>
                <w:rFonts w:hint="eastAsia" w:ascii="宋体" w:eastAsia="宋体" w:cs="宋体"/>
                <w:i w:val="0"/>
                <w:iCs w:val="0"/>
                <w:color w:val="auto"/>
                <w:sz w:val="18"/>
                <w:szCs w:val="18"/>
              </w:rPr>
              <w:t>指标3：参政议政成本</w:t>
            </w:r>
          </w:p>
        </w:tc>
        <w:tc>
          <w:tcPr>
            <w:tcW w:w="1801" w:type="dxa"/>
            <w:tcBorders>
              <w:top w:val="single" w:color="000000" w:sz="6" w:space="0"/>
              <w:left w:val="single" w:color="000000" w:sz="6" w:space="0"/>
              <w:bottom w:val="single" w:color="000000" w:sz="6" w:space="0"/>
              <w:right w:val="single" w:color="000000" w:sz="6" w:space="0"/>
            </w:tcBorders>
            <w:shd w:val="clear" w:color="auto" w:fill="auto"/>
            <w:noWrap/>
            <w:tcMar>
              <w:top w:w="0" w:type="dxa"/>
              <w:left w:w="105" w:type="dxa"/>
              <w:bottom w:w="0" w:type="dxa"/>
              <w:right w:w="105" w:type="dxa"/>
            </w:tcMar>
            <w:vAlign w:val="center"/>
          </w:tcPr>
          <w:p>
            <w:pPr>
              <w:pStyle w:val="12"/>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exact"/>
              <w:jc w:val="center"/>
              <w:textAlignment w:val="bottom"/>
              <w:rPr>
                <w:color w:val="auto"/>
              </w:rPr>
            </w:pPr>
            <w:r>
              <w:rPr>
                <w:rFonts w:hint="eastAsia" w:ascii="宋体" w:eastAsia="宋体" w:cs="宋体"/>
                <w:i w:val="0"/>
                <w:iCs w:val="0"/>
                <w:color w:val="auto"/>
                <w:sz w:val="18"/>
                <w:szCs w:val="18"/>
              </w:rPr>
              <w:t>2万元</w:t>
            </w:r>
          </w:p>
        </w:tc>
        <w:tc>
          <w:tcPr>
            <w:tcW w:w="1855" w:type="dxa"/>
            <w:tcBorders>
              <w:top w:val="single" w:color="000000" w:sz="6" w:space="0"/>
              <w:left w:val="single" w:color="000000" w:sz="6" w:space="0"/>
              <w:bottom w:val="single" w:color="000000" w:sz="6" w:space="0"/>
              <w:right w:val="single" w:color="000000" w:sz="6" w:space="0"/>
            </w:tcBorders>
            <w:shd w:val="clear" w:color="auto" w:fill="auto"/>
            <w:noWrap/>
            <w:tcMar>
              <w:top w:w="0" w:type="dxa"/>
              <w:left w:w="105" w:type="dxa"/>
              <w:bottom w:w="0" w:type="dxa"/>
              <w:right w:w="105" w:type="dxa"/>
            </w:tcMar>
            <w:vAlign w:val="center"/>
          </w:tcPr>
          <w:p>
            <w:pPr>
              <w:pStyle w:val="12"/>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exact"/>
              <w:jc w:val="center"/>
              <w:textAlignment w:val="bottom"/>
              <w:rPr>
                <w:color w:val="auto"/>
              </w:rPr>
            </w:pPr>
            <w:r>
              <w:rPr>
                <w:rFonts w:hint="eastAsia" w:ascii="宋体" w:eastAsia="宋体" w:cs="宋体"/>
                <w:i w:val="0"/>
                <w:iCs w:val="0"/>
                <w:color w:val="auto"/>
                <w:sz w:val="18"/>
                <w:szCs w:val="18"/>
              </w:rPr>
              <w:t>100%完成</w:t>
            </w:r>
          </w:p>
        </w:tc>
        <w:tc>
          <w:tcPr>
            <w:tcW w:w="326" w:type="dxa"/>
            <w:tcBorders>
              <w:top w:val="single" w:color="000000" w:sz="6" w:space="0"/>
              <w:left w:val="single" w:color="000000" w:sz="6" w:space="0"/>
              <w:bottom w:val="single" w:color="000000" w:sz="6" w:space="0"/>
              <w:right w:val="single" w:color="000000" w:sz="6"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exact"/>
              <w:jc w:val="left"/>
              <w:rPr>
                <w:color w:val="auto"/>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40" w:hRule="atLeast"/>
          <w:tblCellSpacing w:w="0" w:type="dxa"/>
          <w:jc w:val="center"/>
        </w:trPr>
        <w:tc>
          <w:tcPr>
            <w:tcW w:w="818" w:type="dxa"/>
            <w:vMerge w:val="continue"/>
            <w:tcBorders>
              <w:top w:val="single" w:color="000000" w:sz="6" w:space="0"/>
              <w:left w:val="single" w:color="000000" w:sz="6" w:space="0"/>
              <w:bottom w:val="single" w:color="000000" w:sz="6" w:space="0"/>
              <w:right w:val="single" w:color="000000" w:sz="6" w:space="0"/>
            </w:tcBorders>
            <w:shd w:val="clear" w:color="auto" w:fill="auto"/>
            <w:noWrap/>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300" w:lineRule="exact"/>
              <w:jc w:val="center"/>
              <w:rPr>
                <w:color w:val="auto"/>
              </w:rPr>
            </w:pPr>
          </w:p>
        </w:tc>
        <w:tc>
          <w:tcPr>
            <w:tcW w:w="1097" w:type="dxa"/>
            <w:vMerge w:val="continue"/>
            <w:tcBorders>
              <w:top w:val="single" w:color="000000" w:sz="6" w:space="0"/>
              <w:left w:val="single" w:color="000000" w:sz="6" w:space="0"/>
              <w:bottom w:val="single" w:color="auto" w:sz="6" w:space="0"/>
              <w:right w:val="single" w:color="000000" w:sz="6" w:space="0"/>
            </w:tcBorders>
            <w:shd w:val="clear" w:color="auto" w:fill="auto"/>
            <w:noWrap/>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300" w:lineRule="exact"/>
              <w:jc w:val="center"/>
              <w:rPr>
                <w:color w:val="auto"/>
              </w:rPr>
            </w:pPr>
          </w:p>
        </w:tc>
        <w:tc>
          <w:tcPr>
            <w:tcW w:w="1389" w:type="dxa"/>
            <w:vMerge w:val="continue"/>
            <w:tcBorders>
              <w:top w:val="single" w:color="000000" w:sz="6" w:space="0"/>
              <w:left w:val="single" w:color="000000" w:sz="6" w:space="0"/>
              <w:bottom w:val="single" w:color="000000" w:sz="6" w:space="0"/>
              <w:right w:val="single" w:color="000000" w:sz="6" w:space="0"/>
            </w:tcBorders>
            <w:shd w:val="clear" w:color="auto" w:fill="auto"/>
            <w:noWrap/>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300" w:lineRule="exact"/>
              <w:jc w:val="center"/>
              <w:rPr>
                <w:color w:val="auto"/>
              </w:rPr>
            </w:pPr>
          </w:p>
        </w:tc>
        <w:tc>
          <w:tcPr>
            <w:tcW w:w="2201" w:type="dxa"/>
            <w:tcBorders>
              <w:top w:val="single" w:color="000000" w:sz="6" w:space="0"/>
              <w:left w:val="single" w:color="000000" w:sz="6" w:space="0"/>
              <w:bottom w:val="single" w:color="000000" w:sz="6" w:space="0"/>
              <w:right w:val="single" w:color="000000" w:sz="6" w:space="0"/>
            </w:tcBorders>
            <w:shd w:val="clear" w:color="auto" w:fill="auto"/>
            <w:noWrap/>
            <w:tcMar>
              <w:top w:w="0" w:type="dxa"/>
              <w:left w:w="105" w:type="dxa"/>
              <w:bottom w:w="0" w:type="dxa"/>
              <w:right w:w="105" w:type="dxa"/>
            </w:tcMar>
            <w:vAlign w:val="center"/>
          </w:tcPr>
          <w:p>
            <w:pPr>
              <w:pStyle w:val="12"/>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exact"/>
              <w:jc w:val="both"/>
              <w:textAlignment w:val="bottom"/>
              <w:rPr>
                <w:rFonts w:hint="eastAsia" w:ascii="宋体"/>
                <w:color w:val="auto"/>
                <w:sz w:val="24"/>
                <w:szCs w:val="24"/>
              </w:rPr>
            </w:pPr>
            <w:r>
              <w:rPr>
                <w:rFonts w:hint="eastAsia" w:ascii="宋体" w:eastAsia="宋体" w:cs="宋体"/>
                <w:i w:val="0"/>
                <w:iCs w:val="0"/>
                <w:color w:val="auto"/>
                <w:sz w:val="18"/>
                <w:szCs w:val="18"/>
              </w:rPr>
              <w:t>指标4：开展民主监督成本</w:t>
            </w:r>
          </w:p>
        </w:tc>
        <w:tc>
          <w:tcPr>
            <w:tcW w:w="1801" w:type="dxa"/>
            <w:tcBorders>
              <w:top w:val="single" w:color="000000" w:sz="6" w:space="0"/>
              <w:left w:val="single" w:color="000000" w:sz="6" w:space="0"/>
              <w:bottom w:val="single" w:color="000000" w:sz="6" w:space="0"/>
              <w:right w:val="single" w:color="000000" w:sz="6" w:space="0"/>
            </w:tcBorders>
            <w:shd w:val="clear" w:color="auto" w:fill="auto"/>
            <w:noWrap/>
            <w:tcMar>
              <w:top w:w="0" w:type="dxa"/>
              <w:left w:w="105" w:type="dxa"/>
              <w:bottom w:w="0" w:type="dxa"/>
              <w:right w:w="105" w:type="dxa"/>
            </w:tcMar>
            <w:vAlign w:val="center"/>
          </w:tcPr>
          <w:p>
            <w:pPr>
              <w:pStyle w:val="12"/>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exact"/>
              <w:jc w:val="center"/>
              <w:textAlignment w:val="bottom"/>
              <w:rPr>
                <w:color w:val="auto"/>
              </w:rPr>
            </w:pPr>
            <w:r>
              <w:rPr>
                <w:rFonts w:hint="eastAsia" w:ascii="宋体" w:eastAsia="宋体" w:cs="宋体"/>
                <w:i w:val="0"/>
                <w:iCs w:val="0"/>
                <w:color w:val="auto"/>
                <w:sz w:val="18"/>
                <w:szCs w:val="18"/>
              </w:rPr>
              <w:t>3万元</w:t>
            </w:r>
          </w:p>
        </w:tc>
        <w:tc>
          <w:tcPr>
            <w:tcW w:w="1855" w:type="dxa"/>
            <w:tcBorders>
              <w:top w:val="single" w:color="000000" w:sz="6" w:space="0"/>
              <w:left w:val="single" w:color="000000" w:sz="6" w:space="0"/>
              <w:bottom w:val="single" w:color="000000" w:sz="6" w:space="0"/>
              <w:right w:val="single" w:color="000000" w:sz="6" w:space="0"/>
            </w:tcBorders>
            <w:shd w:val="clear" w:color="auto" w:fill="auto"/>
            <w:noWrap/>
            <w:tcMar>
              <w:top w:w="0" w:type="dxa"/>
              <w:left w:w="105" w:type="dxa"/>
              <w:bottom w:w="0" w:type="dxa"/>
              <w:right w:w="105" w:type="dxa"/>
            </w:tcMar>
            <w:vAlign w:val="center"/>
          </w:tcPr>
          <w:p>
            <w:pPr>
              <w:pStyle w:val="12"/>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exact"/>
              <w:jc w:val="center"/>
              <w:textAlignment w:val="bottom"/>
              <w:rPr>
                <w:color w:val="auto"/>
              </w:rPr>
            </w:pPr>
            <w:r>
              <w:rPr>
                <w:rFonts w:hint="eastAsia" w:ascii="宋体" w:eastAsia="宋体" w:cs="宋体"/>
                <w:i w:val="0"/>
                <w:iCs w:val="0"/>
                <w:color w:val="auto"/>
                <w:sz w:val="18"/>
                <w:szCs w:val="18"/>
              </w:rPr>
              <w:t>100%完成</w:t>
            </w:r>
          </w:p>
        </w:tc>
        <w:tc>
          <w:tcPr>
            <w:tcW w:w="326" w:type="dxa"/>
            <w:tcBorders>
              <w:top w:val="single" w:color="000000" w:sz="6" w:space="0"/>
              <w:left w:val="single" w:color="000000" w:sz="6" w:space="0"/>
              <w:bottom w:val="single" w:color="000000" w:sz="6" w:space="0"/>
              <w:right w:val="single" w:color="000000" w:sz="6"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exact"/>
              <w:jc w:val="left"/>
              <w:rPr>
                <w:color w:val="auto"/>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40" w:hRule="atLeast"/>
          <w:tblCellSpacing w:w="0" w:type="dxa"/>
          <w:jc w:val="center"/>
        </w:trPr>
        <w:tc>
          <w:tcPr>
            <w:tcW w:w="818" w:type="dxa"/>
            <w:vMerge w:val="continue"/>
            <w:tcBorders>
              <w:top w:val="single" w:color="000000" w:sz="6" w:space="0"/>
              <w:left w:val="single" w:color="000000" w:sz="6" w:space="0"/>
              <w:bottom w:val="single" w:color="000000" w:sz="6" w:space="0"/>
              <w:right w:val="single" w:color="000000" w:sz="6" w:space="0"/>
            </w:tcBorders>
            <w:shd w:val="clear" w:color="auto" w:fill="auto"/>
            <w:noWrap/>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300" w:lineRule="exact"/>
              <w:jc w:val="center"/>
              <w:rPr>
                <w:color w:val="auto"/>
              </w:rPr>
            </w:pPr>
          </w:p>
        </w:tc>
        <w:tc>
          <w:tcPr>
            <w:tcW w:w="1097" w:type="dxa"/>
            <w:vMerge w:val="continue"/>
            <w:tcBorders>
              <w:top w:val="single" w:color="000000" w:sz="6" w:space="0"/>
              <w:left w:val="single" w:color="000000" w:sz="6" w:space="0"/>
              <w:bottom w:val="single" w:color="auto" w:sz="6" w:space="0"/>
              <w:right w:val="single" w:color="000000" w:sz="6" w:space="0"/>
            </w:tcBorders>
            <w:shd w:val="clear" w:color="auto" w:fill="auto"/>
            <w:noWrap/>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300" w:lineRule="exact"/>
              <w:jc w:val="center"/>
              <w:rPr>
                <w:color w:val="auto"/>
              </w:rPr>
            </w:pPr>
          </w:p>
        </w:tc>
        <w:tc>
          <w:tcPr>
            <w:tcW w:w="1389" w:type="dxa"/>
            <w:vMerge w:val="continue"/>
            <w:tcBorders>
              <w:top w:val="single" w:color="000000" w:sz="6" w:space="0"/>
              <w:left w:val="single" w:color="000000" w:sz="6" w:space="0"/>
              <w:bottom w:val="single" w:color="000000" w:sz="6" w:space="0"/>
              <w:right w:val="single" w:color="000000" w:sz="6" w:space="0"/>
            </w:tcBorders>
            <w:shd w:val="clear" w:color="auto" w:fill="auto"/>
            <w:noWrap/>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300" w:lineRule="exact"/>
              <w:jc w:val="center"/>
              <w:rPr>
                <w:color w:val="auto"/>
              </w:rPr>
            </w:pPr>
          </w:p>
        </w:tc>
        <w:tc>
          <w:tcPr>
            <w:tcW w:w="2201" w:type="dxa"/>
            <w:tcBorders>
              <w:top w:val="single" w:color="000000" w:sz="6" w:space="0"/>
              <w:left w:val="single" w:color="000000" w:sz="6" w:space="0"/>
              <w:bottom w:val="single" w:color="000000" w:sz="6" w:space="0"/>
              <w:right w:val="single" w:color="000000" w:sz="6" w:space="0"/>
            </w:tcBorders>
            <w:shd w:val="clear" w:color="auto" w:fill="auto"/>
            <w:noWrap/>
            <w:tcMar>
              <w:top w:w="0" w:type="dxa"/>
              <w:left w:w="105" w:type="dxa"/>
              <w:bottom w:w="0" w:type="dxa"/>
              <w:right w:w="105" w:type="dxa"/>
            </w:tcMar>
            <w:vAlign w:val="center"/>
          </w:tcPr>
          <w:p>
            <w:pPr>
              <w:pStyle w:val="12"/>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exact"/>
              <w:jc w:val="both"/>
              <w:textAlignment w:val="bottom"/>
              <w:rPr>
                <w:rFonts w:hint="eastAsia" w:ascii="宋体"/>
                <w:color w:val="auto"/>
                <w:sz w:val="24"/>
                <w:szCs w:val="24"/>
              </w:rPr>
            </w:pPr>
            <w:r>
              <w:rPr>
                <w:rFonts w:hint="eastAsia" w:ascii="宋体" w:eastAsia="宋体" w:cs="宋体"/>
                <w:i w:val="0"/>
                <w:iCs w:val="0"/>
                <w:color w:val="auto"/>
                <w:sz w:val="18"/>
                <w:szCs w:val="18"/>
              </w:rPr>
              <w:t>指标5：直属组织活动成本</w:t>
            </w:r>
          </w:p>
        </w:tc>
        <w:tc>
          <w:tcPr>
            <w:tcW w:w="1801" w:type="dxa"/>
            <w:tcBorders>
              <w:top w:val="single" w:color="000000" w:sz="6" w:space="0"/>
              <w:left w:val="single" w:color="000000" w:sz="6" w:space="0"/>
              <w:bottom w:val="single" w:color="000000" w:sz="6" w:space="0"/>
              <w:right w:val="single" w:color="000000" w:sz="6" w:space="0"/>
            </w:tcBorders>
            <w:shd w:val="clear" w:color="auto" w:fill="auto"/>
            <w:noWrap/>
            <w:tcMar>
              <w:top w:w="0" w:type="dxa"/>
              <w:left w:w="105" w:type="dxa"/>
              <w:bottom w:w="0" w:type="dxa"/>
              <w:right w:w="105" w:type="dxa"/>
            </w:tcMar>
            <w:vAlign w:val="center"/>
          </w:tcPr>
          <w:p>
            <w:pPr>
              <w:pStyle w:val="12"/>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exact"/>
              <w:jc w:val="center"/>
              <w:textAlignment w:val="bottom"/>
              <w:rPr>
                <w:color w:val="auto"/>
              </w:rPr>
            </w:pPr>
            <w:r>
              <w:rPr>
                <w:rFonts w:hint="eastAsia" w:ascii="宋体" w:eastAsia="宋体" w:cs="宋体"/>
                <w:i w:val="0"/>
                <w:iCs w:val="0"/>
                <w:color w:val="auto"/>
                <w:sz w:val="18"/>
                <w:szCs w:val="18"/>
              </w:rPr>
              <w:t>2.29万元</w:t>
            </w:r>
          </w:p>
        </w:tc>
        <w:tc>
          <w:tcPr>
            <w:tcW w:w="1855" w:type="dxa"/>
            <w:tcBorders>
              <w:top w:val="single" w:color="000000" w:sz="6" w:space="0"/>
              <w:left w:val="single" w:color="000000" w:sz="6" w:space="0"/>
              <w:bottom w:val="single" w:color="000000" w:sz="6" w:space="0"/>
              <w:right w:val="single" w:color="000000" w:sz="6" w:space="0"/>
            </w:tcBorders>
            <w:shd w:val="clear" w:color="auto" w:fill="auto"/>
            <w:noWrap/>
            <w:tcMar>
              <w:top w:w="0" w:type="dxa"/>
              <w:left w:w="105" w:type="dxa"/>
              <w:bottom w:w="0" w:type="dxa"/>
              <w:right w:w="105" w:type="dxa"/>
            </w:tcMar>
            <w:vAlign w:val="center"/>
          </w:tcPr>
          <w:p>
            <w:pPr>
              <w:pStyle w:val="12"/>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exact"/>
              <w:jc w:val="center"/>
              <w:textAlignment w:val="bottom"/>
              <w:rPr>
                <w:color w:val="auto"/>
              </w:rPr>
            </w:pPr>
            <w:r>
              <w:rPr>
                <w:rFonts w:hint="eastAsia" w:ascii="宋体" w:eastAsia="宋体" w:cs="宋体"/>
                <w:i w:val="0"/>
                <w:iCs w:val="0"/>
                <w:color w:val="auto"/>
                <w:sz w:val="18"/>
                <w:szCs w:val="18"/>
              </w:rPr>
              <w:t>100%完成</w:t>
            </w:r>
          </w:p>
        </w:tc>
        <w:tc>
          <w:tcPr>
            <w:tcW w:w="326" w:type="dxa"/>
            <w:tcBorders>
              <w:top w:val="single" w:color="000000" w:sz="6" w:space="0"/>
              <w:left w:val="single" w:color="000000" w:sz="6" w:space="0"/>
              <w:bottom w:val="single" w:color="000000" w:sz="6" w:space="0"/>
              <w:right w:val="single" w:color="000000" w:sz="6"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exact"/>
              <w:jc w:val="left"/>
              <w:rPr>
                <w:color w:val="auto"/>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25" w:hRule="atLeast"/>
          <w:tblCellSpacing w:w="0" w:type="dxa"/>
          <w:jc w:val="center"/>
        </w:trPr>
        <w:tc>
          <w:tcPr>
            <w:tcW w:w="818" w:type="dxa"/>
            <w:vMerge w:val="continue"/>
            <w:tcBorders>
              <w:top w:val="single" w:color="000000" w:sz="6" w:space="0"/>
              <w:left w:val="single" w:color="000000" w:sz="6" w:space="0"/>
              <w:bottom w:val="single" w:color="000000" w:sz="6" w:space="0"/>
              <w:right w:val="single" w:color="000000" w:sz="6" w:space="0"/>
            </w:tcBorders>
            <w:shd w:val="clear" w:color="auto" w:fill="auto"/>
            <w:noWrap/>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300" w:lineRule="exact"/>
              <w:jc w:val="center"/>
              <w:rPr>
                <w:color w:val="auto"/>
              </w:rPr>
            </w:pPr>
          </w:p>
        </w:tc>
        <w:tc>
          <w:tcPr>
            <w:tcW w:w="1097" w:type="dxa"/>
            <w:vMerge w:val="continue"/>
            <w:tcBorders>
              <w:top w:val="single" w:color="000000" w:sz="6" w:space="0"/>
              <w:left w:val="single" w:color="000000" w:sz="6" w:space="0"/>
              <w:bottom w:val="single" w:color="auto" w:sz="6" w:space="0"/>
              <w:right w:val="single" w:color="000000" w:sz="6" w:space="0"/>
            </w:tcBorders>
            <w:shd w:val="clear" w:color="auto" w:fill="auto"/>
            <w:noWrap/>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300" w:lineRule="exact"/>
              <w:jc w:val="center"/>
              <w:rPr>
                <w:color w:val="auto"/>
              </w:rPr>
            </w:pPr>
          </w:p>
        </w:tc>
        <w:tc>
          <w:tcPr>
            <w:tcW w:w="1389" w:type="dxa"/>
            <w:vMerge w:val="continue"/>
            <w:tcBorders>
              <w:top w:val="single" w:color="000000" w:sz="6" w:space="0"/>
              <w:left w:val="single" w:color="000000" w:sz="6" w:space="0"/>
              <w:bottom w:val="single" w:color="000000" w:sz="6" w:space="0"/>
              <w:right w:val="single" w:color="000000" w:sz="6" w:space="0"/>
            </w:tcBorders>
            <w:shd w:val="clear" w:color="auto" w:fill="auto"/>
            <w:noWrap/>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300" w:lineRule="exact"/>
              <w:jc w:val="center"/>
              <w:rPr>
                <w:color w:val="auto"/>
              </w:rPr>
            </w:pPr>
          </w:p>
        </w:tc>
        <w:tc>
          <w:tcPr>
            <w:tcW w:w="2201" w:type="dxa"/>
            <w:tcBorders>
              <w:top w:val="single" w:color="000000" w:sz="6" w:space="0"/>
              <w:left w:val="single" w:color="000000" w:sz="6" w:space="0"/>
              <w:bottom w:val="single" w:color="000000" w:sz="6" w:space="0"/>
              <w:right w:val="single" w:color="000000" w:sz="6" w:space="0"/>
            </w:tcBorders>
            <w:shd w:val="clear" w:color="auto" w:fill="auto"/>
            <w:noWrap/>
            <w:tcMar>
              <w:top w:w="0" w:type="dxa"/>
              <w:left w:w="105" w:type="dxa"/>
              <w:bottom w:w="0" w:type="dxa"/>
              <w:right w:w="105" w:type="dxa"/>
            </w:tcMar>
            <w:vAlign w:val="center"/>
          </w:tcPr>
          <w:p>
            <w:pPr>
              <w:pStyle w:val="12"/>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exact"/>
              <w:jc w:val="both"/>
              <w:textAlignment w:val="bottom"/>
              <w:rPr>
                <w:rFonts w:hint="eastAsia" w:ascii="宋体"/>
                <w:color w:val="auto"/>
                <w:sz w:val="24"/>
                <w:szCs w:val="24"/>
              </w:rPr>
            </w:pPr>
            <w:r>
              <w:rPr>
                <w:rFonts w:hint="eastAsia" w:ascii="宋体" w:eastAsia="宋体" w:cs="宋体"/>
                <w:i w:val="0"/>
                <w:iCs w:val="0"/>
                <w:color w:val="auto"/>
                <w:sz w:val="18"/>
                <w:szCs w:val="18"/>
              </w:rPr>
              <w:t>指标6：市委会换届活动成本</w:t>
            </w:r>
          </w:p>
        </w:tc>
        <w:tc>
          <w:tcPr>
            <w:tcW w:w="1801" w:type="dxa"/>
            <w:tcBorders>
              <w:top w:val="single" w:color="000000" w:sz="6" w:space="0"/>
              <w:left w:val="single" w:color="000000" w:sz="6" w:space="0"/>
              <w:bottom w:val="single" w:color="000000" w:sz="6" w:space="0"/>
              <w:right w:val="single" w:color="000000" w:sz="6" w:space="0"/>
            </w:tcBorders>
            <w:shd w:val="clear" w:color="auto" w:fill="auto"/>
            <w:noWrap/>
            <w:tcMar>
              <w:top w:w="0" w:type="dxa"/>
              <w:left w:w="105" w:type="dxa"/>
              <w:bottom w:w="0" w:type="dxa"/>
              <w:right w:w="105" w:type="dxa"/>
            </w:tcMar>
            <w:vAlign w:val="center"/>
          </w:tcPr>
          <w:p>
            <w:pPr>
              <w:pStyle w:val="12"/>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exact"/>
              <w:jc w:val="center"/>
              <w:textAlignment w:val="bottom"/>
              <w:rPr>
                <w:color w:val="auto"/>
              </w:rPr>
            </w:pPr>
            <w:r>
              <w:rPr>
                <w:rFonts w:hint="eastAsia" w:ascii="宋体" w:eastAsia="宋体" w:cs="宋体"/>
                <w:i w:val="0"/>
                <w:iCs w:val="0"/>
                <w:color w:val="auto"/>
                <w:sz w:val="18"/>
                <w:szCs w:val="18"/>
              </w:rPr>
              <w:t>5万元</w:t>
            </w:r>
          </w:p>
        </w:tc>
        <w:tc>
          <w:tcPr>
            <w:tcW w:w="1855" w:type="dxa"/>
            <w:tcBorders>
              <w:top w:val="single" w:color="000000" w:sz="6" w:space="0"/>
              <w:left w:val="single" w:color="000000" w:sz="6" w:space="0"/>
              <w:bottom w:val="single" w:color="000000" w:sz="6" w:space="0"/>
              <w:right w:val="single" w:color="000000" w:sz="6" w:space="0"/>
            </w:tcBorders>
            <w:shd w:val="clear" w:color="auto" w:fill="auto"/>
            <w:noWrap/>
            <w:tcMar>
              <w:top w:w="0" w:type="dxa"/>
              <w:left w:w="105" w:type="dxa"/>
              <w:bottom w:w="0" w:type="dxa"/>
              <w:right w:w="105" w:type="dxa"/>
            </w:tcMar>
            <w:vAlign w:val="center"/>
          </w:tcPr>
          <w:p>
            <w:pPr>
              <w:pStyle w:val="12"/>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exact"/>
              <w:jc w:val="center"/>
              <w:textAlignment w:val="bottom"/>
              <w:rPr>
                <w:color w:val="auto"/>
              </w:rPr>
            </w:pPr>
            <w:r>
              <w:rPr>
                <w:rFonts w:hint="eastAsia" w:ascii="宋体" w:eastAsia="宋体" w:cs="宋体"/>
                <w:i w:val="0"/>
                <w:iCs w:val="0"/>
                <w:color w:val="auto"/>
                <w:sz w:val="18"/>
                <w:szCs w:val="18"/>
              </w:rPr>
              <w:t>100%完成</w:t>
            </w:r>
          </w:p>
        </w:tc>
        <w:tc>
          <w:tcPr>
            <w:tcW w:w="326" w:type="dxa"/>
            <w:tcBorders>
              <w:top w:val="single" w:color="000000" w:sz="6" w:space="0"/>
              <w:left w:val="single" w:color="000000" w:sz="6" w:space="0"/>
              <w:bottom w:val="single" w:color="000000" w:sz="6" w:space="0"/>
              <w:right w:val="single" w:color="000000" w:sz="6"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exact"/>
              <w:jc w:val="left"/>
              <w:rPr>
                <w:color w:val="auto"/>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60" w:hRule="atLeast"/>
          <w:tblCellSpacing w:w="0" w:type="dxa"/>
          <w:jc w:val="center"/>
        </w:trPr>
        <w:tc>
          <w:tcPr>
            <w:tcW w:w="818" w:type="dxa"/>
            <w:vMerge w:val="continue"/>
            <w:tcBorders>
              <w:top w:val="single" w:color="000000" w:sz="6" w:space="0"/>
              <w:left w:val="single" w:color="000000" w:sz="6" w:space="0"/>
              <w:bottom w:val="single" w:color="000000" w:sz="6" w:space="0"/>
              <w:right w:val="single" w:color="000000" w:sz="6" w:space="0"/>
            </w:tcBorders>
            <w:shd w:val="clear" w:color="auto" w:fill="auto"/>
            <w:noWrap/>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300" w:lineRule="exact"/>
              <w:jc w:val="center"/>
              <w:rPr>
                <w:color w:val="auto"/>
              </w:rPr>
            </w:pPr>
          </w:p>
        </w:tc>
        <w:tc>
          <w:tcPr>
            <w:tcW w:w="1097" w:type="dxa"/>
            <w:vMerge w:val="restart"/>
            <w:tcBorders>
              <w:top w:val="single" w:color="000000" w:sz="6" w:space="0"/>
              <w:left w:val="single" w:color="000000" w:sz="6" w:space="0"/>
              <w:bottom w:val="single" w:color="auto" w:sz="6" w:space="0"/>
              <w:right w:val="single" w:color="000000" w:sz="6" w:space="0"/>
            </w:tcBorders>
            <w:shd w:val="clear" w:color="auto" w:fill="auto"/>
            <w:noWrap/>
            <w:tcMar>
              <w:top w:w="0" w:type="dxa"/>
              <w:left w:w="105" w:type="dxa"/>
              <w:bottom w:w="0" w:type="dxa"/>
              <w:right w:w="105" w:type="dxa"/>
            </w:tcMar>
            <w:vAlign w:val="center"/>
          </w:tcPr>
          <w:p>
            <w:pPr>
              <w:pStyle w:val="12"/>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exact"/>
              <w:jc w:val="center"/>
              <w:textAlignment w:val="bottom"/>
              <w:rPr>
                <w:rFonts w:hint="eastAsia" w:ascii="宋体"/>
                <w:color w:val="auto"/>
                <w:sz w:val="24"/>
                <w:szCs w:val="24"/>
              </w:rPr>
            </w:pPr>
            <w:r>
              <w:rPr>
                <w:rFonts w:ascii="仿宋_GB2312" w:eastAsia="仿宋_GB2312" w:cs="仿宋_GB2312"/>
                <w:color w:val="auto"/>
                <w:sz w:val="28"/>
                <w:szCs w:val="28"/>
              </w:rPr>
              <w:t>效益</w:t>
            </w:r>
          </w:p>
          <w:p>
            <w:pPr>
              <w:pStyle w:val="12"/>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exact"/>
              <w:jc w:val="center"/>
              <w:textAlignment w:val="bottom"/>
              <w:rPr>
                <w:color w:val="auto"/>
              </w:rPr>
            </w:pPr>
            <w:r>
              <w:rPr>
                <w:rFonts w:ascii="仿宋_GB2312" w:eastAsia="仿宋_GB2312" w:cs="仿宋_GB2312"/>
                <w:color w:val="auto"/>
                <w:sz w:val="28"/>
                <w:szCs w:val="28"/>
              </w:rPr>
              <w:t>指标</w:t>
            </w:r>
          </w:p>
        </w:tc>
        <w:tc>
          <w:tcPr>
            <w:tcW w:w="1389" w:type="dxa"/>
            <w:tcBorders>
              <w:top w:val="single" w:color="000000" w:sz="6" w:space="0"/>
              <w:left w:val="single" w:color="000000" w:sz="6" w:space="0"/>
              <w:bottom w:val="single" w:color="000000" w:sz="6" w:space="0"/>
              <w:right w:val="single" w:color="000000" w:sz="6" w:space="0"/>
            </w:tcBorders>
            <w:shd w:val="clear" w:color="auto" w:fill="auto"/>
            <w:noWrap/>
            <w:tcMar>
              <w:top w:w="0" w:type="dxa"/>
              <w:left w:w="105" w:type="dxa"/>
              <w:bottom w:w="0" w:type="dxa"/>
              <w:right w:w="105" w:type="dxa"/>
            </w:tcMar>
            <w:vAlign w:val="center"/>
          </w:tcPr>
          <w:p>
            <w:pPr>
              <w:pStyle w:val="12"/>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exact"/>
              <w:jc w:val="center"/>
              <w:textAlignment w:val="bottom"/>
              <w:rPr>
                <w:color w:val="auto"/>
              </w:rPr>
            </w:pPr>
            <w:r>
              <w:rPr>
                <w:rFonts w:ascii="仿宋_GB2312" w:eastAsia="仿宋_GB2312" w:cs="仿宋_GB2312"/>
                <w:color w:val="auto"/>
                <w:sz w:val="28"/>
                <w:szCs w:val="28"/>
              </w:rPr>
              <w:t>经济效益 指标</w:t>
            </w:r>
          </w:p>
        </w:tc>
        <w:tc>
          <w:tcPr>
            <w:tcW w:w="2201" w:type="dxa"/>
            <w:tcBorders>
              <w:top w:val="single" w:color="000000" w:sz="6" w:space="0"/>
              <w:left w:val="single" w:color="000000" w:sz="6" w:space="0"/>
              <w:bottom w:val="single" w:color="000000" w:sz="6" w:space="0"/>
              <w:right w:val="single" w:color="000000" w:sz="6" w:space="0"/>
            </w:tcBorders>
            <w:shd w:val="clear" w:color="auto" w:fill="auto"/>
            <w:noWrap/>
            <w:tcMar>
              <w:top w:w="0" w:type="dxa"/>
              <w:left w:w="105" w:type="dxa"/>
              <w:bottom w:w="0" w:type="dxa"/>
              <w:right w:w="105" w:type="dxa"/>
            </w:tcMar>
            <w:vAlign w:val="center"/>
          </w:tcPr>
          <w:p>
            <w:pPr>
              <w:pStyle w:val="12"/>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exact"/>
              <w:jc w:val="both"/>
              <w:textAlignment w:val="bottom"/>
              <w:rPr>
                <w:color w:val="auto"/>
              </w:rPr>
            </w:pPr>
            <w:r>
              <w:rPr>
                <w:rFonts w:hint="eastAsia" w:ascii="宋体" w:eastAsia="宋体" w:cs="宋体"/>
                <w:i w:val="0"/>
                <w:iCs w:val="0"/>
                <w:color w:val="auto"/>
                <w:sz w:val="18"/>
                <w:szCs w:val="18"/>
              </w:rPr>
              <w:t>指标1：优化资源配置，提高财政资金使用效益。</w:t>
            </w:r>
          </w:p>
        </w:tc>
        <w:tc>
          <w:tcPr>
            <w:tcW w:w="1801" w:type="dxa"/>
            <w:tcBorders>
              <w:top w:val="single" w:color="000000" w:sz="6" w:space="0"/>
              <w:left w:val="single" w:color="000000" w:sz="6" w:space="0"/>
              <w:bottom w:val="single" w:color="000000" w:sz="6" w:space="0"/>
              <w:right w:val="single" w:color="000000" w:sz="6" w:space="0"/>
            </w:tcBorders>
            <w:shd w:val="clear" w:color="auto" w:fill="auto"/>
            <w:noWrap/>
            <w:tcMar>
              <w:top w:w="0" w:type="dxa"/>
              <w:left w:w="105" w:type="dxa"/>
              <w:bottom w:w="0" w:type="dxa"/>
              <w:right w:w="105" w:type="dxa"/>
            </w:tcMar>
            <w:vAlign w:val="center"/>
          </w:tcPr>
          <w:p>
            <w:pPr>
              <w:pStyle w:val="12"/>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exact"/>
              <w:jc w:val="center"/>
              <w:textAlignment w:val="bottom"/>
              <w:rPr>
                <w:color w:val="auto"/>
              </w:rPr>
            </w:pPr>
            <w:r>
              <w:rPr>
                <w:rFonts w:hint="eastAsia" w:ascii="宋体" w:eastAsia="宋体" w:cs="宋体"/>
                <w:i w:val="0"/>
                <w:iCs w:val="0"/>
                <w:color w:val="auto"/>
                <w:sz w:val="18"/>
                <w:szCs w:val="18"/>
              </w:rPr>
              <w:t>各项支出不超预算安排</w:t>
            </w:r>
          </w:p>
        </w:tc>
        <w:tc>
          <w:tcPr>
            <w:tcW w:w="1855" w:type="dxa"/>
            <w:tcBorders>
              <w:top w:val="single" w:color="000000" w:sz="6" w:space="0"/>
              <w:left w:val="single" w:color="000000" w:sz="6" w:space="0"/>
              <w:bottom w:val="single" w:color="000000" w:sz="6" w:space="0"/>
              <w:right w:val="single" w:color="000000" w:sz="6" w:space="0"/>
            </w:tcBorders>
            <w:shd w:val="clear" w:color="auto" w:fill="auto"/>
            <w:noWrap/>
            <w:tcMar>
              <w:top w:w="0" w:type="dxa"/>
              <w:left w:w="105" w:type="dxa"/>
              <w:bottom w:w="0" w:type="dxa"/>
              <w:right w:w="105" w:type="dxa"/>
            </w:tcMar>
            <w:vAlign w:val="center"/>
          </w:tcPr>
          <w:p>
            <w:pPr>
              <w:pStyle w:val="12"/>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exact"/>
              <w:jc w:val="center"/>
              <w:textAlignment w:val="bottom"/>
              <w:rPr>
                <w:color w:val="auto"/>
              </w:rPr>
            </w:pPr>
            <w:r>
              <w:rPr>
                <w:rFonts w:hint="eastAsia" w:ascii="宋体" w:eastAsia="宋体" w:cs="宋体"/>
                <w:i w:val="0"/>
                <w:iCs w:val="0"/>
                <w:color w:val="auto"/>
                <w:sz w:val="18"/>
                <w:szCs w:val="18"/>
              </w:rPr>
              <w:t>100%完成</w:t>
            </w:r>
          </w:p>
        </w:tc>
        <w:tc>
          <w:tcPr>
            <w:tcW w:w="326" w:type="dxa"/>
            <w:tcBorders>
              <w:top w:val="single" w:color="000000" w:sz="6" w:space="0"/>
              <w:left w:val="single" w:color="000000" w:sz="6" w:space="0"/>
              <w:bottom w:val="single" w:color="000000" w:sz="6" w:space="0"/>
              <w:right w:val="single" w:color="000000" w:sz="6"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exact"/>
              <w:jc w:val="left"/>
              <w:rPr>
                <w:color w:val="auto"/>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558" w:hRule="atLeast"/>
          <w:tblCellSpacing w:w="0" w:type="dxa"/>
          <w:jc w:val="center"/>
        </w:trPr>
        <w:tc>
          <w:tcPr>
            <w:tcW w:w="818" w:type="dxa"/>
            <w:vMerge w:val="continue"/>
            <w:tcBorders>
              <w:top w:val="single" w:color="000000" w:sz="6" w:space="0"/>
              <w:left w:val="single" w:color="000000" w:sz="6" w:space="0"/>
              <w:bottom w:val="single" w:color="000000" w:sz="6" w:space="0"/>
              <w:right w:val="single" w:color="000000" w:sz="6" w:space="0"/>
            </w:tcBorders>
            <w:shd w:val="clear" w:color="auto" w:fill="auto"/>
            <w:noWrap/>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300" w:lineRule="exact"/>
              <w:jc w:val="center"/>
              <w:rPr>
                <w:color w:val="auto"/>
              </w:rPr>
            </w:pPr>
          </w:p>
        </w:tc>
        <w:tc>
          <w:tcPr>
            <w:tcW w:w="1097" w:type="dxa"/>
            <w:vMerge w:val="continue"/>
            <w:tcBorders>
              <w:top w:val="single" w:color="000000" w:sz="6" w:space="0"/>
              <w:left w:val="single" w:color="000000" w:sz="6" w:space="0"/>
              <w:bottom w:val="single" w:color="auto" w:sz="6" w:space="0"/>
              <w:right w:val="single" w:color="000000" w:sz="6" w:space="0"/>
            </w:tcBorders>
            <w:shd w:val="clear" w:color="auto" w:fill="auto"/>
            <w:noWrap/>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300" w:lineRule="exact"/>
              <w:jc w:val="center"/>
              <w:rPr>
                <w:color w:val="auto"/>
              </w:rPr>
            </w:pPr>
          </w:p>
        </w:tc>
        <w:tc>
          <w:tcPr>
            <w:tcW w:w="1389" w:type="dxa"/>
            <w:tcBorders>
              <w:top w:val="single" w:color="000000" w:sz="6" w:space="0"/>
              <w:left w:val="single" w:color="000000" w:sz="6" w:space="0"/>
              <w:bottom w:val="single" w:color="000000" w:sz="6" w:space="0"/>
              <w:right w:val="single" w:color="000000" w:sz="6" w:space="0"/>
            </w:tcBorders>
            <w:shd w:val="clear" w:color="auto" w:fill="auto"/>
            <w:noWrap/>
            <w:tcMar>
              <w:top w:w="0" w:type="dxa"/>
              <w:left w:w="105" w:type="dxa"/>
              <w:bottom w:w="0" w:type="dxa"/>
              <w:right w:w="105" w:type="dxa"/>
            </w:tcMar>
            <w:vAlign w:val="center"/>
          </w:tcPr>
          <w:p>
            <w:pPr>
              <w:pStyle w:val="12"/>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exact"/>
              <w:jc w:val="center"/>
              <w:textAlignment w:val="bottom"/>
              <w:rPr>
                <w:rFonts w:hint="eastAsia" w:ascii="宋体"/>
                <w:color w:val="auto"/>
                <w:sz w:val="24"/>
                <w:szCs w:val="24"/>
              </w:rPr>
            </w:pPr>
            <w:r>
              <w:rPr>
                <w:rFonts w:ascii="仿宋_GB2312" w:eastAsia="仿宋_GB2312" w:cs="仿宋_GB2312"/>
                <w:color w:val="auto"/>
                <w:sz w:val="28"/>
                <w:szCs w:val="28"/>
              </w:rPr>
              <w:t>社会效益 指标</w:t>
            </w:r>
          </w:p>
        </w:tc>
        <w:tc>
          <w:tcPr>
            <w:tcW w:w="2201" w:type="dxa"/>
            <w:tcBorders>
              <w:top w:val="single" w:color="000000" w:sz="6" w:space="0"/>
              <w:left w:val="single" w:color="000000" w:sz="6" w:space="0"/>
              <w:bottom w:val="single" w:color="000000" w:sz="6" w:space="0"/>
              <w:right w:val="single" w:color="000000" w:sz="6" w:space="0"/>
            </w:tcBorders>
            <w:shd w:val="clear" w:color="auto" w:fill="auto"/>
            <w:noWrap/>
            <w:tcMar>
              <w:top w:w="0" w:type="dxa"/>
              <w:left w:w="105" w:type="dxa"/>
              <w:bottom w:w="0" w:type="dxa"/>
              <w:right w:w="105" w:type="dxa"/>
            </w:tcMar>
            <w:vAlign w:val="center"/>
          </w:tcPr>
          <w:p>
            <w:pPr>
              <w:pStyle w:val="12"/>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exact"/>
              <w:jc w:val="both"/>
              <w:textAlignment w:val="bottom"/>
              <w:rPr>
                <w:color w:val="auto"/>
              </w:rPr>
            </w:pPr>
            <w:r>
              <w:rPr>
                <w:rFonts w:hint="eastAsia" w:ascii="宋体" w:eastAsia="宋体" w:cs="宋体"/>
                <w:i w:val="0"/>
                <w:iCs w:val="0"/>
                <w:color w:val="auto"/>
                <w:sz w:val="18"/>
                <w:szCs w:val="18"/>
              </w:rPr>
              <w:t>指标1：促进广元经济社会发展作用</w:t>
            </w:r>
          </w:p>
        </w:tc>
        <w:tc>
          <w:tcPr>
            <w:tcW w:w="1801" w:type="dxa"/>
            <w:tcBorders>
              <w:top w:val="single" w:color="000000" w:sz="6" w:space="0"/>
              <w:left w:val="single" w:color="000000" w:sz="6" w:space="0"/>
              <w:bottom w:val="single" w:color="000000" w:sz="6" w:space="0"/>
              <w:right w:val="single" w:color="000000" w:sz="6" w:space="0"/>
            </w:tcBorders>
            <w:shd w:val="clear" w:color="auto" w:fill="auto"/>
            <w:noWrap/>
            <w:tcMar>
              <w:top w:w="0" w:type="dxa"/>
              <w:left w:w="105" w:type="dxa"/>
              <w:bottom w:w="0" w:type="dxa"/>
              <w:right w:w="105" w:type="dxa"/>
            </w:tcMar>
            <w:vAlign w:val="center"/>
          </w:tcPr>
          <w:p>
            <w:pPr>
              <w:pStyle w:val="12"/>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exact"/>
              <w:jc w:val="center"/>
              <w:textAlignment w:val="bottom"/>
              <w:rPr>
                <w:color w:val="auto"/>
              </w:rPr>
            </w:pPr>
            <w:r>
              <w:rPr>
                <w:rFonts w:hint="eastAsia" w:ascii="宋体" w:eastAsia="宋体" w:cs="宋体"/>
                <w:i w:val="0"/>
                <w:iCs w:val="0"/>
                <w:color w:val="auto"/>
                <w:sz w:val="18"/>
                <w:szCs w:val="18"/>
              </w:rPr>
              <w:t>为广元经济社会发展建言献策，助推各项工作高效、高速、有序推进。</w:t>
            </w:r>
          </w:p>
        </w:tc>
        <w:tc>
          <w:tcPr>
            <w:tcW w:w="1855" w:type="dxa"/>
            <w:tcBorders>
              <w:top w:val="single" w:color="000000" w:sz="6" w:space="0"/>
              <w:left w:val="single" w:color="000000" w:sz="6" w:space="0"/>
              <w:bottom w:val="single" w:color="000000" w:sz="6" w:space="0"/>
              <w:right w:val="single" w:color="000000" w:sz="6" w:space="0"/>
            </w:tcBorders>
            <w:shd w:val="clear" w:color="auto" w:fill="auto"/>
            <w:noWrap/>
            <w:tcMar>
              <w:top w:w="0" w:type="dxa"/>
              <w:left w:w="105" w:type="dxa"/>
              <w:bottom w:w="0" w:type="dxa"/>
              <w:right w:w="105" w:type="dxa"/>
            </w:tcMar>
            <w:vAlign w:val="center"/>
          </w:tcPr>
          <w:p>
            <w:pPr>
              <w:pStyle w:val="12"/>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exact"/>
              <w:jc w:val="center"/>
              <w:textAlignment w:val="bottom"/>
              <w:rPr>
                <w:color w:val="auto"/>
              </w:rPr>
            </w:pPr>
            <w:r>
              <w:rPr>
                <w:rFonts w:hint="eastAsia" w:ascii="宋体" w:eastAsia="宋体" w:cs="宋体"/>
                <w:i w:val="0"/>
                <w:iCs w:val="0"/>
                <w:color w:val="auto"/>
                <w:sz w:val="18"/>
                <w:szCs w:val="18"/>
              </w:rPr>
              <w:t>100%完成</w:t>
            </w:r>
          </w:p>
        </w:tc>
        <w:tc>
          <w:tcPr>
            <w:tcW w:w="326" w:type="dxa"/>
            <w:tcBorders>
              <w:top w:val="single" w:color="000000" w:sz="6" w:space="0"/>
              <w:left w:val="single" w:color="000000" w:sz="6" w:space="0"/>
              <w:bottom w:val="single" w:color="000000" w:sz="6" w:space="0"/>
              <w:right w:val="single" w:color="000000" w:sz="6"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exact"/>
              <w:jc w:val="left"/>
              <w:rPr>
                <w:color w:val="auto"/>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05" w:hRule="atLeast"/>
          <w:tblCellSpacing w:w="0" w:type="dxa"/>
          <w:jc w:val="center"/>
        </w:trPr>
        <w:tc>
          <w:tcPr>
            <w:tcW w:w="818" w:type="dxa"/>
            <w:vMerge w:val="continue"/>
            <w:tcBorders>
              <w:top w:val="single" w:color="000000" w:sz="6" w:space="0"/>
              <w:left w:val="single" w:color="000000" w:sz="6" w:space="0"/>
              <w:bottom w:val="single" w:color="000000" w:sz="6" w:space="0"/>
              <w:right w:val="single" w:color="000000" w:sz="6" w:space="0"/>
            </w:tcBorders>
            <w:shd w:val="clear" w:color="auto" w:fill="auto"/>
            <w:noWrap/>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300" w:lineRule="exact"/>
              <w:jc w:val="center"/>
              <w:rPr>
                <w:color w:val="auto"/>
              </w:rPr>
            </w:pPr>
          </w:p>
        </w:tc>
        <w:tc>
          <w:tcPr>
            <w:tcW w:w="1097" w:type="dxa"/>
            <w:tcBorders>
              <w:top w:val="single" w:color="000000" w:sz="6" w:space="0"/>
              <w:left w:val="single" w:color="000000" w:sz="6" w:space="0"/>
              <w:bottom w:val="single" w:color="000000" w:sz="6" w:space="0"/>
              <w:right w:val="single" w:color="000000" w:sz="6" w:space="0"/>
            </w:tcBorders>
            <w:shd w:val="clear" w:color="auto" w:fill="auto"/>
            <w:noWrap/>
            <w:tcMar>
              <w:top w:w="0" w:type="dxa"/>
              <w:left w:w="105" w:type="dxa"/>
              <w:bottom w:w="0" w:type="dxa"/>
              <w:right w:w="105" w:type="dxa"/>
            </w:tcMar>
            <w:vAlign w:val="center"/>
          </w:tcPr>
          <w:p>
            <w:pPr>
              <w:pStyle w:val="12"/>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exact"/>
              <w:jc w:val="center"/>
              <w:textAlignment w:val="bottom"/>
              <w:rPr>
                <w:rFonts w:hint="eastAsia" w:ascii="宋体"/>
                <w:color w:val="auto"/>
                <w:sz w:val="24"/>
                <w:szCs w:val="24"/>
              </w:rPr>
            </w:pPr>
            <w:r>
              <w:rPr>
                <w:rFonts w:ascii="仿宋_GB2312" w:eastAsia="仿宋_GB2312" w:cs="仿宋_GB2312"/>
                <w:color w:val="auto"/>
                <w:sz w:val="28"/>
                <w:szCs w:val="28"/>
              </w:rPr>
              <w:t>满意</w:t>
            </w:r>
          </w:p>
          <w:p>
            <w:pPr>
              <w:pStyle w:val="12"/>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exact"/>
              <w:jc w:val="center"/>
              <w:textAlignment w:val="bottom"/>
              <w:rPr>
                <w:color w:val="auto"/>
              </w:rPr>
            </w:pPr>
            <w:r>
              <w:rPr>
                <w:rFonts w:ascii="仿宋_GB2312" w:eastAsia="仿宋_GB2312" w:cs="仿宋_GB2312"/>
                <w:color w:val="auto"/>
                <w:sz w:val="28"/>
                <w:szCs w:val="28"/>
              </w:rPr>
              <w:t>度指标</w:t>
            </w:r>
          </w:p>
        </w:tc>
        <w:tc>
          <w:tcPr>
            <w:tcW w:w="1389" w:type="dxa"/>
            <w:tcBorders>
              <w:top w:val="single" w:color="000000" w:sz="6" w:space="0"/>
              <w:left w:val="single" w:color="000000" w:sz="6" w:space="0"/>
              <w:bottom w:val="single" w:color="000000" w:sz="6" w:space="0"/>
              <w:right w:val="single" w:color="000000" w:sz="6" w:space="0"/>
            </w:tcBorders>
            <w:shd w:val="clear" w:color="auto" w:fill="auto"/>
            <w:noWrap/>
            <w:tcMar>
              <w:top w:w="0" w:type="dxa"/>
              <w:left w:w="105" w:type="dxa"/>
              <w:bottom w:w="0" w:type="dxa"/>
              <w:right w:w="105" w:type="dxa"/>
            </w:tcMar>
            <w:vAlign w:val="center"/>
          </w:tcPr>
          <w:p>
            <w:pPr>
              <w:pStyle w:val="12"/>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exact"/>
              <w:jc w:val="center"/>
              <w:textAlignment w:val="bottom"/>
              <w:rPr>
                <w:color w:val="auto"/>
              </w:rPr>
            </w:pPr>
            <w:r>
              <w:rPr>
                <w:rFonts w:ascii="仿宋_GB2312" w:eastAsia="仿宋_GB2312" w:cs="仿宋_GB2312"/>
                <w:color w:val="auto"/>
                <w:sz w:val="28"/>
                <w:szCs w:val="28"/>
              </w:rPr>
              <w:t>满意度</w:t>
            </w:r>
          </w:p>
          <w:p>
            <w:pPr>
              <w:pStyle w:val="12"/>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exact"/>
              <w:jc w:val="center"/>
              <w:textAlignment w:val="bottom"/>
              <w:rPr>
                <w:color w:val="auto"/>
              </w:rPr>
            </w:pPr>
            <w:r>
              <w:rPr>
                <w:rFonts w:ascii="仿宋_GB2312" w:eastAsia="仿宋_GB2312" w:cs="仿宋_GB2312"/>
                <w:color w:val="auto"/>
                <w:sz w:val="28"/>
                <w:szCs w:val="28"/>
              </w:rPr>
              <w:t>指标</w:t>
            </w:r>
          </w:p>
        </w:tc>
        <w:tc>
          <w:tcPr>
            <w:tcW w:w="2201" w:type="dxa"/>
            <w:tcBorders>
              <w:top w:val="single" w:color="000000" w:sz="6" w:space="0"/>
              <w:left w:val="single" w:color="000000" w:sz="6" w:space="0"/>
              <w:bottom w:val="single" w:color="000000" w:sz="6" w:space="0"/>
              <w:right w:val="single" w:color="000000" w:sz="6" w:space="0"/>
            </w:tcBorders>
            <w:shd w:val="clear" w:color="auto" w:fill="auto"/>
            <w:noWrap/>
            <w:tcMar>
              <w:top w:w="0" w:type="dxa"/>
              <w:left w:w="105" w:type="dxa"/>
              <w:bottom w:w="0" w:type="dxa"/>
              <w:right w:w="105" w:type="dxa"/>
            </w:tcMar>
            <w:vAlign w:val="center"/>
          </w:tcPr>
          <w:p>
            <w:pPr>
              <w:pStyle w:val="12"/>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exact"/>
              <w:jc w:val="both"/>
              <w:textAlignment w:val="bottom"/>
              <w:rPr>
                <w:color w:val="auto"/>
              </w:rPr>
            </w:pPr>
            <w:r>
              <w:rPr>
                <w:rFonts w:hint="eastAsia" w:ascii="宋体" w:eastAsia="宋体" w:cs="宋体"/>
                <w:i w:val="0"/>
                <w:iCs w:val="0"/>
                <w:color w:val="auto"/>
                <w:sz w:val="18"/>
                <w:szCs w:val="18"/>
              </w:rPr>
              <w:t>党委、政府、党员、群众满意度</w:t>
            </w:r>
          </w:p>
        </w:tc>
        <w:tc>
          <w:tcPr>
            <w:tcW w:w="1801" w:type="dxa"/>
            <w:tcBorders>
              <w:top w:val="single" w:color="000000" w:sz="6" w:space="0"/>
              <w:left w:val="single" w:color="000000" w:sz="6" w:space="0"/>
              <w:bottom w:val="single" w:color="000000" w:sz="6" w:space="0"/>
              <w:right w:val="single" w:color="000000" w:sz="6" w:space="0"/>
            </w:tcBorders>
            <w:shd w:val="clear" w:color="auto" w:fill="auto"/>
            <w:noWrap/>
            <w:tcMar>
              <w:top w:w="0" w:type="dxa"/>
              <w:left w:w="105" w:type="dxa"/>
              <w:bottom w:w="0" w:type="dxa"/>
              <w:right w:w="105" w:type="dxa"/>
            </w:tcMar>
            <w:vAlign w:val="center"/>
          </w:tcPr>
          <w:p>
            <w:pPr>
              <w:pStyle w:val="12"/>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exact"/>
              <w:jc w:val="center"/>
              <w:textAlignment w:val="bottom"/>
              <w:rPr>
                <w:color w:val="auto"/>
              </w:rPr>
            </w:pPr>
            <w:r>
              <w:rPr>
                <w:rFonts w:hint="eastAsia" w:ascii="宋体" w:eastAsia="宋体" w:cs="宋体"/>
                <w:color w:val="auto"/>
                <w:sz w:val="21"/>
                <w:szCs w:val="21"/>
              </w:rPr>
              <w:t>≥90%</w:t>
            </w:r>
          </w:p>
        </w:tc>
        <w:tc>
          <w:tcPr>
            <w:tcW w:w="1855" w:type="dxa"/>
            <w:tcBorders>
              <w:top w:val="single" w:color="000000" w:sz="6" w:space="0"/>
              <w:left w:val="single" w:color="000000" w:sz="6" w:space="0"/>
              <w:bottom w:val="single" w:color="000000" w:sz="6" w:space="0"/>
              <w:right w:val="single" w:color="000000" w:sz="6" w:space="0"/>
            </w:tcBorders>
            <w:shd w:val="clear" w:color="auto" w:fill="auto"/>
            <w:noWrap/>
            <w:tcMar>
              <w:top w:w="0" w:type="dxa"/>
              <w:left w:w="105" w:type="dxa"/>
              <w:bottom w:w="0" w:type="dxa"/>
              <w:right w:w="105" w:type="dxa"/>
            </w:tcMar>
            <w:vAlign w:val="center"/>
          </w:tcPr>
          <w:p>
            <w:pPr>
              <w:pStyle w:val="12"/>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exact"/>
              <w:jc w:val="center"/>
              <w:textAlignment w:val="bottom"/>
              <w:rPr>
                <w:color w:val="auto"/>
              </w:rPr>
            </w:pPr>
            <w:r>
              <w:rPr>
                <w:rFonts w:hint="eastAsia" w:ascii="宋体" w:eastAsia="宋体" w:cs="宋体"/>
                <w:i w:val="0"/>
                <w:iCs w:val="0"/>
                <w:color w:val="auto"/>
                <w:sz w:val="18"/>
                <w:szCs w:val="18"/>
              </w:rPr>
              <w:t>100%完成</w:t>
            </w:r>
          </w:p>
        </w:tc>
        <w:tc>
          <w:tcPr>
            <w:tcW w:w="326" w:type="dxa"/>
            <w:tcBorders>
              <w:top w:val="single" w:color="000000" w:sz="6" w:space="0"/>
              <w:left w:val="single" w:color="000000" w:sz="6" w:space="0"/>
              <w:bottom w:val="single" w:color="000000" w:sz="6" w:space="0"/>
              <w:right w:val="single" w:color="000000" w:sz="6"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exact"/>
              <w:jc w:val="left"/>
              <w:rPr>
                <w:color w:val="auto"/>
              </w:rPr>
            </w:pPr>
          </w:p>
        </w:tc>
      </w:tr>
    </w:tbl>
    <w:p>
      <w:pPr>
        <w:pStyle w:val="12"/>
        <w:keepNext w:val="0"/>
        <w:keepLines w:val="0"/>
        <w:widowControl/>
        <w:suppressLineNumbers w:val="0"/>
        <w:spacing w:before="0" w:beforeAutospacing="0" w:after="0" w:afterAutospacing="0" w:line="600" w:lineRule="atLeast"/>
        <w:ind w:left="0" w:right="0"/>
        <w:jc w:val="center"/>
        <w:rPr>
          <w:color w:val="auto"/>
        </w:rPr>
      </w:pPr>
    </w:p>
    <w:p>
      <w:pPr>
        <w:rPr>
          <w:rFonts w:hint="eastAsia" w:ascii="黑体" w:eastAsia="黑体" w:cs="黑体"/>
          <w:i w:val="0"/>
          <w:iCs w:val="0"/>
          <w:caps w:val="0"/>
          <w:smallCaps w:val="0"/>
          <w:color w:val="auto"/>
          <w:spacing w:val="0"/>
          <w:sz w:val="43"/>
          <w:szCs w:val="43"/>
        </w:rPr>
      </w:pPr>
      <w:r>
        <w:rPr>
          <w:rFonts w:hint="eastAsia" w:ascii="黑体" w:eastAsia="黑体" w:cs="黑体"/>
          <w:i w:val="0"/>
          <w:iCs w:val="0"/>
          <w:caps w:val="0"/>
          <w:smallCaps w:val="0"/>
          <w:color w:val="auto"/>
          <w:spacing w:val="0"/>
          <w:sz w:val="43"/>
          <w:szCs w:val="43"/>
        </w:rPr>
        <w:br w:type="page"/>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第五部分  附表</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一、收入支出决算总表</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二、收入决算表</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三、支出决算表</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四、财政拨款收入支出决算总表</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五、财政拨款支出决算明细表</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六、一般公共预算财政拨款支出决算表</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七、一般公共预算财政拨款支出决算明细表</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八、一般公共预算财政拨款基本支出决算表</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九、一般公共预算财政拨款项目支出决算表</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十、一般公共预算财政拨款“三公”经费支出决算表</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十一、政府性基金预算财政拨款收入支出决算表</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十二、政府性基金预算财政拨款“三公”经费支出决算表</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十三、国有资本经营预算财政拨款收入支出决算表</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十四、国有资本经营预算财政拨款支出决算表</w:t>
      </w:r>
    </w:p>
    <w:sectPr>
      <w:footerReference r:id="rId5" w:type="first"/>
      <w:headerReference r:id="rId3" w:type="default"/>
      <w:footerReference r:id="rId4" w:type="default"/>
      <w:pgSz w:w="11906" w:h="16838"/>
      <w:pgMar w:top="2098" w:right="1474" w:bottom="1984" w:left="1587" w:header="851" w:footer="1531"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FB" w:usb2="0000002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Lucida Sans"/>
    <w:panose1 w:val="020F0502020204030204"/>
    <w:charset w:val="00"/>
    <w:family w:val="swiss"/>
    <w:pitch w:val="default"/>
    <w:sig w:usb0="00000000" w:usb1="00000000" w:usb2="00000001" w:usb3="00000000" w:csb0="0000019F" w:csb1="00000000"/>
  </w:font>
  <w:font w:name="Cambria">
    <w:altName w:val="Noto Sans Syriac Eastern"/>
    <w:panose1 w:val="02040503050406030204"/>
    <w:charset w:val="00"/>
    <w:family w:val="roman"/>
    <w:pitch w:val="default"/>
    <w:sig w:usb0="00000000" w:usb1="00000000"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altName w:val="宋体"/>
    <w:panose1 w:val="02010609060101010101"/>
    <w:charset w:val="86"/>
    <w:family w:val="auto"/>
    <w:pitch w:val="default"/>
    <w:sig w:usb0="00000000" w:usb1="00000000"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Lucida Sans">
    <w:panose1 w:val="020B0602030504020204"/>
    <w:charset w:val="00"/>
    <w:family w:val="auto"/>
    <w:pitch w:val="default"/>
    <w:sig w:usb0="00000000" w:usb1="00000000" w:usb2="00000000" w:usb3="00000000" w:csb0="00000000" w:csb1="00000000"/>
  </w:font>
  <w:font w:name="方正宋体S-超大字符集">
    <w:panose1 w:val="02000000000000000000"/>
    <w:charset w:val="86"/>
    <w:family w:val="auto"/>
    <w:pitch w:val="default"/>
    <w:sig w:usb0="00000001" w:usb1="08000000" w:usb2="00000000" w:usb3="00000000" w:csb0="00040000" w:csb1="00000000"/>
  </w:font>
  <w:font w:name="Noto Sans Syriac Eastern">
    <w:panose1 w:val="02040503050306020203"/>
    <w:charset w:val="86"/>
    <w:family w:val="auto"/>
    <w:pitch w:val="default"/>
    <w:sig w:usb0="00000000" w:usb1="00000000" w:usb2="00000080" w:usb3="00000000" w:csb0="203E0161" w:csb1="D7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8FiLyGwIAACk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A8FiLyGwIAACkEAAAOAAAAAAAAAAEAIAAAADUBAABkcnMvZTJvRG9jLnhtbFBLBQYA&#10;AAAABgAGAFkBAADCBQAAAAA=&#10;">
              <v:fill on="f" focussize="0,0"/>
              <v:stroke on="f" weight="0.5pt"/>
              <v:imagedata o:title=""/>
              <o:lock v:ext="edit" aspectratio="f"/>
              <v:textbox inset="0mm,0mm,0mm,0mm" style="mso-fit-shape-to-text:t;">
                <w:txbxContent>
                  <w:p>
                    <w:pPr>
                      <w:pStyle w:val="8"/>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true"/>
  <w:bordersDoNotSurroundFooter w:val="true"/>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useFELayout/>
    <w:compatSetting w:name="compatibilityMode" w:uri="http://schemas.microsoft.com/office/word" w:val="14"/>
  </w:compat>
  <w:docVars>
    <w:docVar w:name="commondata" w:val="eyJoZGlkIjoiNjhhMTAyOTkxNWViMTUzOTlhZjhhMjliZGE4OTc1ZmQifQ=="/>
  </w:docVars>
  <w:rsids>
    <w:rsidRoot w:val="00000000"/>
    <w:rsid w:val="044823CB"/>
    <w:rsid w:val="08EA7F5A"/>
    <w:rsid w:val="0E9345E9"/>
    <w:rsid w:val="134C0C32"/>
    <w:rsid w:val="1A297FF7"/>
    <w:rsid w:val="1BD21EF1"/>
    <w:rsid w:val="1DCC5427"/>
    <w:rsid w:val="201C13A1"/>
    <w:rsid w:val="2331269D"/>
    <w:rsid w:val="26263565"/>
    <w:rsid w:val="27993E73"/>
    <w:rsid w:val="2E786928"/>
    <w:rsid w:val="2EF02945"/>
    <w:rsid w:val="30635755"/>
    <w:rsid w:val="31C14BF8"/>
    <w:rsid w:val="32971E51"/>
    <w:rsid w:val="39CA4A84"/>
    <w:rsid w:val="3B443E1A"/>
    <w:rsid w:val="3E8C632A"/>
    <w:rsid w:val="479D2DFA"/>
    <w:rsid w:val="49807271"/>
    <w:rsid w:val="4AC168A8"/>
    <w:rsid w:val="55684751"/>
    <w:rsid w:val="57AE6D93"/>
    <w:rsid w:val="5B60717A"/>
    <w:rsid w:val="5FC0716D"/>
    <w:rsid w:val="6060660E"/>
    <w:rsid w:val="63026944"/>
    <w:rsid w:val="634939F9"/>
    <w:rsid w:val="65D73958"/>
    <w:rsid w:val="665F3524"/>
    <w:rsid w:val="6798332B"/>
    <w:rsid w:val="6866101B"/>
    <w:rsid w:val="6D203F74"/>
    <w:rsid w:val="73AA775D"/>
    <w:rsid w:val="73F41B79"/>
    <w:rsid w:val="74383B8C"/>
    <w:rsid w:val="758E56B6"/>
    <w:rsid w:val="FCEF8A4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7"/>
    <w:qFormat/>
    <w:uiPriority w:val="0"/>
    <w:pPr>
      <w:keepNext/>
      <w:keepLines/>
      <w:widowControl w:val="0"/>
      <w:spacing w:before="340" w:after="330" w:line="578" w:lineRule="auto"/>
      <w:outlineLvl w:val="0"/>
    </w:pPr>
    <w:rPr>
      <w:b/>
      <w:bCs/>
      <w:kern w:val="44"/>
      <w:sz w:val="44"/>
      <w:szCs w:val="44"/>
    </w:rPr>
  </w:style>
  <w:style w:type="paragraph" w:styleId="4">
    <w:name w:val="heading 2"/>
    <w:basedOn w:val="1"/>
    <w:next w:val="1"/>
    <w:link w:val="18"/>
    <w:qFormat/>
    <w:uiPriority w:val="0"/>
    <w:pPr>
      <w:keepNext/>
      <w:keepLines/>
      <w:widowControl w:val="0"/>
      <w:spacing w:before="260" w:after="260" w:line="415" w:lineRule="auto"/>
      <w:outlineLvl w:val="1"/>
    </w:pPr>
    <w:rPr>
      <w:rFonts w:ascii="Cambria" w:hAnsi="Cambria" w:eastAsia="宋体" w:cs="Times New Roman"/>
      <w:b/>
      <w:bCs/>
      <w:sz w:val="32"/>
      <w:szCs w:val="32"/>
    </w:rPr>
  </w:style>
  <w:style w:type="paragraph" w:styleId="5">
    <w:name w:val="heading 3"/>
    <w:basedOn w:val="1"/>
    <w:next w:val="1"/>
    <w:qFormat/>
    <w:uiPriority w:val="0"/>
    <w:pPr>
      <w:keepNext/>
      <w:keepLines/>
      <w:widowControl w:val="0"/>
      <w:spacing w:before="260" w:after="260" w:line="415" w:lineRule="auto"/>
      <w:outlineLvl w:val="2"/>
    </w:pPr>
    <w:rPr>
      <w:b/>
      <w:bCs/>
      <w:sz w:val="32"/>
      <w:szCs w:val="32"/>
    </w:rPr>
  </w:style>
  <w:style w:type="character" w:default="1" w:styleId="14">
    <w:name w:val="Default Paragraph Font"/>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before="30" w:beforeLines="30"/>
    </w:pPr>
    <w:rPr>
      <w:rFonts w:ascii="仿宋_GB2312" w:eastAsia="仿宋_GB2312"/>
      <w:kern w:val="0"/>
      <w:sz w:val="30"/>
    </w:rPr>
  </w:style>
  <w:style w:type="paragraph" w:styleId="6">
    <w:name w:val="toc 3"/>
    <w:basedOn w:val="1"/>
    <w:next w:val="1"/>
    <w:qFormat/>
    <w:uiPriority w:val="0"/>
    <w:pPr>
      <w:tabs>
        <w:tab w:val="right" w:leader="dot" w:pos="8296"/>
      </w:tabs>
      <w:ind w:left="400" w:leftChars="400"/>
    </w:pPr>
  </w:style>
  <w:style w:type="paragraph" w:styleId="7">
    <w:name w:val="Balloon Text"/>
    <w:basedOn w:val="1"/>
    <w:qFormat/>
    <w:uiPriority w:val="0"/>
    <w:rPr>
      <w:sz w:val="18"/>
      <w:szCs w:val="18"/>
    </w:rPr>
  </w:style>
  <w:style w:type="paragraph" w:styleId="8">
    <w:name w:val="footer"/>
    <w:basedOn w:val="1"/>
    <w:qFormat/>
    <w:uiPriority w:val="0"/>
    <w:pPr>
      <w:tabs>
        <w:tab w:val="center" w:pos="4153"/>
        <w:tab w:val="right" w:pos="8306"/>
      </w:tabs>
      <w:snapToGrid w:val="0"/>
      <w:jc w:val="left"/>
    </w:pPr>
    <w:rPr>
      <w:rFonts w:ascii="Calibri" w:hAnsi="Calibri"/>
      <w:kern w:val="0"/>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0">
    <w:name w:val="toc 1"/>
    <w:basedOn w:val="1"/>
    <w:next w:val="1"/>
    <w:qFormat/>
    <w:uiPriority w:val="0"/>
    <w:pPr>
      <w:tabs>
        <w:tab w:val="right" w:leader="dot" w:pos="8296"/>
      </w:tabs>
      <w:spacing w:before="93"/>
      <w:jc w:val="center"/>
    </w:pPr>
    <w:rPr>
      <w:rFonts w:ascii="仿宋" w:eastAsia="仿宋"/>
      <w:sz w:val="28"/>
      <w:szCs w:val="28"/>
    </w:rPr>
  </w:style>
  <w:style w:type="paragraph" w:styleId="11">
    <w:name w:val="toc 2"/>
    <w:basedOn w:val="1"/>
    <w:next w:val="1"/>
    <w:qFormat/>
    <w:uiPriority w:val="0"/>
    <w:pPr>
      <w:tabs>
        <w:tab w:val="right" w:leader="dot" w:pos="8296"/>
      </w:tabs>
      <w:ind w:left="200" w:leftChars="200"/>
    </w:pPr>
  </w:style>
  <w:style w:type="paragraph" w:styleId="12">
    <w:name w:val="Normal (Web)"/>
    <w:next w:val="2"/>
    <w:qFormat/>
    <w:uiPriority w:val="0"/>
    <w:pPr>
      <w:widowControl w:val="0"/>
      <w:spacing w:before="0" w:beforeAutospacing="1" w:after="0" w:afterAutospacing="1"/>
      <w:ind w:left="0" w:right="0"/>
      <w:jc w:val="left"/>
    </w:pPr>
    <w:rPr>
      <w:rFonts w:ascii="Calibri" w:hAnsi="Calibri" w:eastAsia="宋体" w:cs="Arial"/>
      <w:kern w:val="0"/>
      <w:sz w:val="24"/>
      <w:szCs w:val="24"/>
      <w:lang w:val="en-US" w:eastAsia="zh-CN" w:bidi="ar-SA"/>
    </w:rPr>
  </w:style>
  <w:style w:type="character" w:styleId="15">
    <w:name w:val="Strong"/>
    <w:basedOn w:val="14"/>
    <w:qFormat/>
    <w:uiPriority w:val="0"/>
    <w:rPr>
      <w:b/>
    </w:rPr>
  </w:style>
  <w:style w:type="character" w:styleId="16">
    <w:name w:val="Hyperlink"/>
    <w:qFormat/>
    <w:uiPriority w:val="0"/>
    <w:rPr>
      <w:color w:val="0000FF"/>
      <w:u w:val="single"/>
    </w:rPr>
  </w:style>
  <w:style w:type="character" w:customStyle="1" w:styleId="17">
    <w:name w:val="heading 1 Char"/>
    <w:basedOn w:val="14"/>
    <w:link w:val="3"/>
    <w:qFormat/>
    <w:uiPriority w:val="0"/>
    <w:rPr>
      <w:rFonts w:ascii="Times New Roman" w:hAnsi="Times New Roman" w:eastAsia="宋体" w:cs="Times New Roman"/>
      <w:b/>
      <w:bCs/>
      <w:kern w:val="44"/>
      <w:sz w:val="44"/>
      <w:szCs w:val="44"/>
      <w:lang w:val="en-US" w:eastAsia="zh-CN" w:bidi="ar-SA"/>
    </w:rPr>
  </w:style>
  <w:style w:type="character" w:customStyle="1" w:styleId="18">
    <w:name w:val="heading 2 Char"/>
    <w:basedOn w:val="14"/>
    <w:link w:val="4"/>
    <w:qFormat/>
    <w:uiPriority w:val="0"/>
    <w:rPr>
      <w:rFonts w:ascii="Cambria" w:hAnsi="Cambria" w:eastAsia="宋体" w:cs="Times New Roman"/>
      <w:b/>
      <w:bCs/>
      <w:kern w:val="2"/>
      <w:sz w:val="32"/>
      <w:szCs w:val="32"/>
      <w:lang w:val="en-US" w:eastAsia="zh-CN" w:bidi="ar-SA"/>
    </w:rPr>
  </w:style>
  <w:style w:type="character" w:customStyle="1" w:styleId="19">
    <w:name w:val="Header Char"/>
    <w:basedOn w:val="14"/>
    <w:qFormat/>
    <w:uiPriority w:val="0"/>
    <w:rPr>
      <w:rFonts w:ascii="Times New Roman" w:hAnsi="Times New Roman"/>
      <w:sz w:val="18"/>
      <w:szCs w:val="18"/>
    </w:rPr>
  </w:style>
  <w:style w:type="character" w:customStyle="1" w:styleId="20">
    <w:name w:val="Footer Char"/>
    <w:basedOn w:val="14"/>
    <w:qFormat/>
    <w:uiPriority w:val="0"/>
    <w:rPr>
      <w:rFonts w:ascii="Times New Roman" w:hAnsi="Times New Roman"/>
      <w:sz w:val="18"/>
      <w:szCs w:val="18"/>
    </w:rPr>
  </w:style>
  <w:style w:type="character" w:customStyle="1" w:styleId="21">
    <w:name w:val="Body Text Char"/>
    <w:basedOn w:val="14"/>
    <w:qFormat/>
    <w:uiPriority w:val="0"/>
    <w:rPr>
      <w:rFonts w:ascii="Times New Roman" w:hAnsi="Times New Roman"/>
      <w:szCs w:val="24"/>
    </w:rPr>
  </w:style>
  <w:style w:type="paragraph" w:customStyle="1" w:styleId="22">
    <w:name w:val="Default"/>
    <w:qFormat/>
    <w:uiPriority w:val="0"/>
    <w:pPr>
      <w:widowControl w:val="0"/>
      <w:autoSpaceDE w:val="0"/>
      <w:autoSpaceDN w:val="0"/>
      <w:adjustRightInd w:val="0"/>
    </w:pPr>
    <w:rPr>
      <w:rFonts w:ascii="仿宋" w:hAnsi="Times New Roman" w:eastAsia="仿宋" w:cs="仿宋"/>
      <w:color w:val="000000"/>
      <w:sz w:val="24"/>
      <w:szCs w:val="24"/>
      <w:lang w:val="en-US" w:eastAsia="zh-CN" w:bidi="ar-SA"/>
    </w:rPr>
  </w:style>
  <w:style w:type="paragraph" w:styleId="23">
    <w:name w:val="List Paragraph"/>
    <w:basedOn w:val="1"/>
    <w:qFormat/>
    <w:uiPriority w:val="0"/>
    <w:pPr>
      <w:ind w:firstLine="200" w:firstLineChars="200"/>
    </w:pPr>
  </w:style>
  <w:style w:type="paragraph" w:customStyle="1" w:styleId="24">
    <w:name w:val="TOC 标题1"/>
    <w:basedOn w:val="3"/>
    <w:next w:val="1"/>
    <w:qFormat/>
    <w:uiPriority w:val="0"/>
    <w:pPr>
      <w:keepNext/>
      <w:keepLines/>
      <w:widowControl/>
      <w:spacing w:before="480" w:after="0" w:line="276" w:lineRule="auto"/>
      <w:jc w:val="left"/>
      <w:outlineLvl w:val="9"/>
    </w:pPr>
    <w:rPr>
      <w:rFonts w:ascii="Cambria" w:hAnsi="Cambria" w:eastAsia="宋体" w:cs="Times New Roman"/>
      <w:color w:val="376092"/>
      <w:kern w:val="0"/>
      <w:sz w:val="28"/>
      <w:szCs w:val="28"/>
    </w:rPr>
  </w:style>
  <w:style w:type="paragraph" w:customStyle="1" w:styleId="25">
    <w:name w:val="TOC Heading"/>
    <w:basedOn w:val="3"/>
    <w:next w:val="1"/>
    <w:qFormat/>
    <w:uiPriority w:val="0"/>
    <w:pPr>
      <w:keepNext/>
      <w:keepLines/>
      <w:widowControl/>
      <w:spacing w:before="480" w:after="0" w:line="276" w:lineRule="auto"/>
      <w:jc w:val="left"/>
      <w:outlineLvl w:val="9"/>
    </w:pPr>
    <w:rPr>
      <w:rFonts w:ascii="Cambria" w:hAnsi="Cambria" w:eastAsia="宋体" w:cs="Times New Roman"/>
      <w:color w:val="376092"/>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image" Target="media/image7.png"/><Relationship Id="rId12" Type="http://schemas.openxmlformats.org/officeDocument/2006/relationships/image" Target="media/image6.png"/><Relationship Id="rId11" Type="http://schemas.openxmlformats.org/officeDocument/2006/relationships/image" Target="media/image5.png"/><Relationship Id="rId10" Type="http://schemas.openxmlformats.org/officeDocument/2006/relationships/image" Target="media/image4.pn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Company>四川省财政厅</Company>
  <Pages>28</Pages>
  <Words>10541</Words>
  <Characters>11528</Characters>
  <Lines>0</Lines>
  <Paragraphs>245</Paragraphs>
  <TotalTime>1</TotalTime>
  <ScaleCrop>false</ScaleCrop>
  <LinksUpToDate>false</LinksUpToDate>
  <CharactersWithSpaces>11592</CharactersWithSpaces>
  <Application>WPS Office_11.8.2.9980_F1E327BC-269C-435d-A152-05C5408002CA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2020-08-05T09:49:00Z</dcterms:created>
  <dc:creator>曹颖</dc:creator>
  <cp:lastModifiedBy> </cp:lastModifiedBy>
  <cp:lastPrinted>2022-08-06T10:23:00Z</cp:lastPrinted>
  <dcterms:modified xsi:type="dcterms:W3CDTF">2023-09-13T17:27:18Z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y fmtid="{D5CDD505-2E9C-101B-9397-08002B2CF9AE}" pid="3" name="ICV">
    <vt:lpwstr>4220056EFEB44BC1B285010CB582820D_13</vt:lpwstr>
  </property>
</Properties>
</file>