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pageBreakBefore w:val="0"/>
        <w:kinsoku/>
        <w:wordWrap/>
        <w:overflowPunct/>
        <w:topLinePunct w:val="0"/>
        <w:bidi w:val="0"/>
        <w:adjustRightInd w:val="0"/>
        <w:snapToGrid w:val="0"/>
        <w:spacing w:line="240" w:lineRule="auto"/>
        <w:ind w:left="0" w:leftChars="0" w:right="0"/>
        <w:jc w:val="center"/>
        <w:outlineLvl w:val="0"/>
        <w:rPr>
          <w:rFonts w:hint="eastAsia" w:ascii="方正小标宋_GBK" w:hAnsi="方正小标宋_GBK" w:eastAsia="方正小标宋_GBK" w:cs="方正小标宋_GBK"/>
          <w:color w:val="auto"/>
          <w:sz w:val="72"/>
          <w:szCs w:val="72"/>
          <w:highlight w:val="none"/>
        </w:rPr>
      </w:pPr>
      <w:bookmarkStart w:id="1" w:name="_Toc15377193"/>
      <w:bookmarkStart w:id="2" w:name="_Toc15377425"/>
      <w:bookmarkStart w:id="3" w:name="_Toc15396597"/>
      <w:bookmarkStart w:id="4" w:name="_Toc15378441"/>
      <w:bookmarkStart w:id="5" w:name="_Toc15396475"/>
      <w:r>
        <w:rPr>
          <w:rFonts w:hint="eastAsia" w:ascii="方正小标宋_GBK" w:hAnsi="方正小标宋_GBK" w:eastAsia="方正小标宋_GBK" w:cs="方正小标宋_GBK"/>
          <w:color w:val="auto"/>
          <w:sz w:val="72"/>
          <w:szCs w:val="72"/>
          <w:highlight w:val="none"/>
        </w:rPr>
        <w:t>20</w:t>
      </w:r>
      <w:r>
        <w:rPr>
          <w:rFonts w:hint="eastAsia" w:ascii="方正小标宋_GBK" w:hAnsi="方正小标宋_GBK" w:eastAsia="方正小标宋_GBK" w:cs="方正小标宋_GBK"/>
          <w:color w:val="auto"/>
          <w:sz w:val="72"/>
          <w:szCs w:val="72"/>
          <w:highlight w:val="none"/>
          <w:lang w:val="en-US" w:eastAsia="zh-CN"/>
        </w:rPr>
        <w:t>21</w:t>
      </w:r>
      <w:r>
        <w:rPr>
          <w:rFonts w:hint="eastAsia" w:ascii="方正小标宋_GBK" w:hAnsi="方正小标宋_GBK" w:eastAsia="方正小标宋_GBK" w:cs="方正小标宋_GBK"/>
          <w:color w:val="auto"/>
          <w:sz w:val="72"/>
          <w:szCs w:val="72"/>
          <w:highlight w:val="none"/>
        </w:rPr>
        <w:t>年度</w:t>
      </w:r>
      <w:bookmarkEnd w:id="1"/>
      <w:bookmarkEnd w:id="2"/>
      <w:bookmarkEnd w:id="3"/>
      <w:bookmarkEnd w:id="4"/>
      <w:bookmarkEnd w:id="5"/>
    </w:p>
    <w:p>
      <w:pPr>
        <w:pageBreakBefore w:val="0"/>
        <w:kinsoku/>
        <w:wordWrap/>
        <w:overflowPunct/>
        <w:topLinePunct w:val="0"/>
        <w:bidi w:val="0"/>
        <w:adjustRightInd w:val="0"/>
        <w:snapToGrid w:val="0"/>
        <w:spacing w:line="240" w:lineRule="auto"/>
        <w:ind w:left="0" w:leftChars="0" w:right="0"/>
        <w:jc w:val="center"/>
        <w:outlineLvl w:val="0"/>
        <w:rPr>
          <w:rFonts w:hint="eastAsia" w:ascii="方正小标宋_GBK" w:hAnsi="方正小标宋_GBK" w:eastAsia="方正小标宋_GBK" w:cs="方正小标宋_GBK"/>
          <w:color w:val="auto"/>
          <w:sz w:val="72"/>
          <w:szCs w:val="72"/>
          <w:highlight w:val="none"/>
        </w:rPr>
      </w:pPr>
      <w:bookmarkStart w:id="6" w:name="_Toc15396476"/>
      <w:bookmarkStart w:id="7" w:name="_Toc15396598"/>
      <w:bookmarkStart w:id="8" w:name="_Toc15378442"/>
      <w:bookmarkStart w:id="9" w:name="_Toc15377194"/>
      <w:bookmarkStart w:id="10" w:name="_Toc15377426"/>
      <w:r>
        <w:rPr>
          <w:rFonts w:hint="eastAsia" w:ascii="方正小标宋_GBK" w:hAnsi="方正小标宋_GBK" w:eastAsia="方正小标宋_GBK" w:cs="方正小标宋_GBK"/>
          <w:color w:val="auto"/>
          <w:sz w:val="72"/>
          <w:szCs w:val="72"/>
          <w:highlight w:val="none"/>
          <w:lang w:val="en-US" w:eastAsia="zh-CN"/>
        </w:rPr>
        <w:t>广元市</w:t>
      </w:r>
      <w:bookmarkEnd w:id="0"/>
      <w:bookmarkStart w:id="11" w:name="_Toc15306268"/>
      <w:r>
        <w:rPr>
          <w:rFonts w:hint="eastAsia" w:ascii="方正小标宋_GBK" w:hAnsi="方正小标宋_GBK" w:eastAsia="方正小标宋_GBK" w:cs="方正小标宋_GBK"/>
          <w:color w:val="auto"/>
          <w:sz w:val="72"/>
          <w:szCs w:val="72"/>
          <w:highlight w:val="none"/>
          <w:lang w:eastAsia="zh-CN"/>
        </w:rPr>
        <w:t>红星公园服务中心单位</w:t>
      </w:r>
      <w:r>
        <w:rPr>
          <w:rFonts w:hint="eastAsia" w:ascii="方正小标宋_GBK" w:hAnsi="方正小标宋_GBK" w:eastAsia="方正小标宋_GBK" w:cs="方正小标宋_GBK"/>
          <w:color w:val="auto"/>
          <w:sz w:val="72"/>
          <w:szCs w:val="72"/>
          <w:highlight w:val="none"/>
        </w:rPr>
        <w:t>决算</w:t>
      </w:r>
      <w:bookmarkEnd w:id="6"/>
      <w:bookmarkEnd w:id="7"/>
      <w:bookmarkEnd w:id="8"/>
      <w:bookmarkEnd w:id="9"/>
      <w:bookmarkEnd w:id="10"/>
      <w:bookmarkEnd w:id="11"/>
    </w:p>
    <w:p>
      <w:pPr>
        <w:widowControl/>
        <w:spacing w:line="440" w:lineRule="exact"/>
        <w:jc w:val="left"/>
        <w:rPr>
          <w:rFonts w:ascii="仿宋" w:hAnsi="仿宋" w:eastAsia="仿宋"/>
          <w:b/>
          <w:color w:val="auto"/>
          <w:sz w:val="24"/>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pPr>
        <w:pStyle w:val="3"/>
        <w:jc w:val="center"/>
        <w:rPr>
          <w:rFonts w:hint="eastAsia" w:ascii="黑体" w:hAnsi="黑体" w:eastAsia="黑体"/>
          <w:b w:val="0"/>
          <w:color w:val="auto"/>
          <w:highlight w:val="none"/>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313" w:afterLines="100" w:line="576" w:lineRule="exact"/>
        <w:ind w:left="0" w:right="0"/>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left="0" w:right="0" w:firstLine="640" w:firstLineChars="200"/>
        <w:textAlignment w:val="auto"/>
        <w:rPr>
          <w:rStyle w:val="26"/>
          <w:rFonts w:hint="eastAsia" w:ascii="黑体" w:hAnsi="黑体" w:eastAsia="黑体"/>
          <w:b w:val="0"/>
          <w:bCs w:val="0"/>
          <w:color w:val="auto"/>
          <w:highlight w:val="none"/>
          <w:lang w:eastAsia="zh-CN"/>
        </w:rPr>
      </w:pPr>
      <w:bookmarkStart w:id="14" w:name="_Toc15377197"/>
      <w:bookmarkStart w:id="15" w:name="_Toc15396600"/>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left="0" w:right="0"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rPr>
        <w:t>广元市红星公园服务中心负责红星公园内开展的大型文体活动的组织协调工作；负责公园内的绿化（林木）补植和管护工作；承担公园内的景观及设施建设管理和维护工作；负责园区道路；步游道等的清扫和安全保卫等工作等。</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left="0" w:right="0"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lang w:eastAsia="zh-CN"/>
        </w:rPr>
        <w:t>（一）</w:t>
      </w:r>
      <w:r>
        <w:rPr>
          <w:rFonts w:hint="eastAsia" w:ascii="楷体_GB2312" w:hAnsi="楷体_GB2312" w:eastAsia="楷体_GB2312" w:cs="楷体_GB2312"/>
          <w:b/>
          <w:bCs/>
          <w:i w:val="0"/>
          <w:iCs w:val="0"/>
          <w:caps w:val="0"/>
          <w:color w:val="000000"/>
          <w:spacing w:val="0"/>
          <w:sz w:val="32"/>
          <w:szCs w:val="32"/>
          <w:shd w:val="clear" w:fill="FFFFFF"/>
        </w:rPr>
        <w:t>疫情防控方面。</w:t>
      </w:r>
      <w:r>
        <w:rPr>
          <w:rFonts w:hint="eastAsia" w:ascii="仿宋_GB2312" w:hAnsi="仿宋_GB2312" w:eastAsia="仿宋_GB2312" w:cs="仿宋_GB2312"/>
          <w:i w:val="0"/>
          <w:iCs w:val="0"/>
          <w:caps w:val="0"/>
          <w:color w:val="000000"/>
          <w:spacing w:val="0"/>
          <w:sz w:val="32"/>
          <w:szCs w:val="32"/>
          <w:shd w:val="clear" w:fill="FFFFFF"/>
        </w:rPr>
        <w:t>落实中央、省、市有关疫情防控的重要指示精神，研究制定了“五先行、八到位”各项措施，有力有序指导企业复工复产。</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lang w:eastAsia="zh-CN"/>
        </w:rPr>
        <w:t>（二）</w:t>
      </w:r>
      <w:r>
        <w:rPr>
          <w:rFonts w:hint="eastAsia" w:ascii="楷体_GB2312" w:hAnsi="楷体_GB2312" w:eastAsia="楷体_GB2312" w:cs="楷体_GB2312"/>
          <w:b/>
          <w:bCs/>
          <w:i w:val="0"/>
          <w:iCs w:val="0"/>
          <w:caps w:val="0"/>
          <w:color w:val="000000"/>
          <w:spacing w:val="0"/>
          <w:sz w:val="32"/>
          <w:szCs w:val="32"/>
          <w:shd w:val="clear" w:fill="FFFFFF"/>
        </w:rPr>
        <w:t>爱国主义基地核心价值观宣传方面。</w:t>
      </w:r>
      <w:r>
        <w:rPr>
          <w:rFonts w:hint="eastAsia" w:ascii="仿宋_GB2312" w:hAnsi="仿宋_GB2312" w:eastAsia="仿宋_GB2312" w:cs="仿宋_GB2312"/>
          <w:i w:val="0"/>
          <w:iCs w:val="0"/>
          <w:caps w:val="0"/>
          <w:color w:val="000000"/>
          <w:spacing w:val="0"/>
          <w:sz w:val="32"/>
          <w:szCs w:val="32"/>
          <w:shd w:val="clear" w:fill="FFFFFF"/>
        </w:rPr>
        <w:t>中心严格按照市委市政府、局机关要求落实爱国主义教育和核心价值观宣传任务，有效发挥了公园爱国主义教育基地作用。</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lang w:eastAsia="zh-CN"/>
        </w:rPr>
        <w:t>（三）</w:t>
      </w:r>
      <w:r>
        <w:rPr>
          <w:rFonts w:hint="eastAsia" w:ascii="楷体_GB2312" w:hAnsi="楷体_GB2312" w:eastAsia="楷体_GB2312" w:cs="楷体_GB2312"/>
          <w:b/>
          <w:bCs/>
          <w:i w:val="0"/>
          <w:iCs w:val="0"/>
          <w:caps w:val="0"/>
          <w:color w:val="000000"/>
          <w:spacing w:val="0"/>
          <w:sz w:val="32"/>
          <w:szCs w:val="32"/>
          <w:shd w:val="clear" w:fill="FFFFFF"/>
        </w:rPr>
        <w:t>落实园区安全生产管理工作方面。</w:t>
      </w:r>
      <w:r>
        <w:rPr>
          <w:rFonts w:hint="eastAsia" w:ascii="仿宋_GB2312" w:hAnsi="仿宋_GB2312" w:eastAsia="仿宋_GB2312" w:cs="仿宋_GB2312"/>
          <w:i w:val="0"/>
          <w:iCs w:val="0"/>
          <w:caps w:val="0"/>
          <w:color w:val="000000"/>
          <w:spacing w:val="0"/>
          <w:sz w:val="32"/>
          <w:szCs w:val="32"/>
          <w:shd w:val="clear" w:fill="FFFFFF"/>
        </w:rPr>
        <w:t>加强园区治安管理，确保园区各节点安全。实行节假日值班制度和安全巡逻制度，落实安全保卫力量；加强消防管理，杜绝重大火灾事故发生。中心认真贯彻“预防为主,防消结合”的方针，对园内的消防设施定期进行维护和保养。落实“春节”期间燃放烟花爆竹安全管理和“清明节”、“中元节”祭祀防火等工作；落实园区林木防火工作。认真开展各项安全专项活动。开展安全生产大检查专项整治、森林防灭火和“安全生产月”等专项工作。落实园区经营设施安全监管工作。</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shd w:val="clear" w:fill="FFFFFF"/>
          <w:lang w:eastAsia="zh-CN"/>
        </w:rPr>
        <w:t>（四）</w:t>
      </w:r>
      <w:r>
        <w:rPr>
          <w:rFonts w:hint="eastAsia" w:ascii="楷体_GB2312" w:hAnsi="楷体_GB2312" w:eastAsia="楷体_GB2312" w:cs="楷体_GB2312"/>
          <w:b/>
          <w:bCs/>
          <w:i w:val="0"/>
          <w:iCs w:val="0"/>
          <w:caps w:val="0"/>
          <w:color w:val="000000"/>
          <w:spacing w:val="0"/>
          <w:sz w:val="32"/>
          <w:szCs w:val="32"/>
          <w:shd w:val="clear" w:fill="FFFFFF"/>
        </w:rPr>
        <w:t>加强政治思想教育，推进支部党建工作方面。</w:t>
      </w:r>
      <w:r>
        <w:rPr>
          <w:rFonts w:hint="eastAsia" w:ascii="仿宋_GB2312" w:hAnsi="仿宋_GB2312" w:eastAsia="仿宋_GB2312" w:cs="仿宋_GB2312"/>
          <w:i w:val="0"/>
          <w:iCs w:val="0"/>
          <w:caps w:val="0"/>
          <w:color w:val="000000"/>
          <w:spacing w:val="0"/>
          <w:sz w:val="32"/>
          <w:szCs w:val="32"/>
          <w:shd w:val="clear" w:fill="FFFFFF"/>
        </w:rPr>
        <w:t>克服疫情影响，深入推进党员政治思想教育。采取集中学习和党员自学方式，组织全体党员干部认真学习习近平新时代中国特色社会主义思想以及中央、省委和市委重大决策部署等主要内容。</w:t>
      </w:r>
    </w:p>
    <w:p>
      <w:pPr>
        <w:keepNext w:val="0"/>
        <w:keepLines w:val="0"/>
        <w:pageBreakBefore w:val="0"/>
        <w:widowControl/>
        <w:kinsoku/>
        <w:wordWrap/>
        <w:overflowPunct/>
        <w:topLinePunct w:val="0"/>
        <w:autoSpaceDE/>
        <w:autoSpaceDN/>
        <w:bidi w:val="0"/>
        <w:adjustRightInd/>
        <w:snapToGrid/>
        <w:spacing w:line="576" w:lineRule="exact"/>
        <w:ind w:left="0" w:right="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pPr>
        <w:pStyle w:val="3"/>
        <w:pageBreakBefore w:val="0"/>
        <w:kinsoku/>
        <w:wordWrap/>
        <w:overflowPunct/>
        <w:topLinePunct w:val="0"/>
        <w:autoSpaceDE/>
        <w:autoSpaceDN/>
        <w:bidi w:val="0"/>
        <w:adjustRightInd/>
        <w:snapToGrid/>
        <w:spacing w:before="0" w:after="0" w:line="576" w:lineRule="exact"/>
        <w:ind w:left="0" w:right="0"/>
        <w:jc w:val="center"/>
        <w:textAlignment w:val="auto"/>
        <w:rPr>
          <w:rStyle w:val="25"/>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pageBreakBefore w:val="0"/>
        <w:kinsoku/>
        <w:wordWrap/>
        <w:overflowPunct/>
        <w:topLinePunct w:val="0"/>
        <w:autoSpaceDE/>
        <w:autoSpaceDN/>
        <w:bidi w:val="0"/>
        <w:adjustRightInd/>
        <w:snapToGrid/>
        <w:spacing w:line="576" w:lineRule="exact"/>
        <w:ind w:left="0" w:right="0"/>
        <w:textAlignment w:val="auto"/>
        <w:rPr>
          <w:color w:val="auto"/>
          <w:highlight w:val="none"/>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1"/>
        <w:rPr>
          <w:rStyle w:val="26"/>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pageBreakBefore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年度收、支总计</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万元。与20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年相比，收、支总计各减少</w:t>
      </w:r>
      <w:r>
        <w:rPr>
          <w:rFonts w:hint="eastAsia" w:ascii="仿宋_GB2312" w:hAnsi="仿宋_GB2312" w:eastAsia="仿宋_GB2312" w:cs="仿宋_GB2312"/>
          <w:b w:val="0"/>
          <w:bCs w:val="0"/>
          <w:color w:val="auto"/>
          <w:sz w:val="32"/>
          <w:szCs w:val="32"/>
          <w:highlight w:val="none"/>
          <w:lang w:val="en-US" w:eastAsia="zh-CN"/>
        </w:rPr>
        <w:t>55.22</w:t>
      </w:r>
      <w:r>
        <w:rPr>
          <w:rFonts w:hint="eastAsia" w:ascii="仿宋_GB2312" w:hAnsi="仿宋_GB2312" w:eastAsia="仿宋_GB2312" w:cs="仿宋_GB2312"/>
          <w:b w:val="0"/>
          <w:bCs w:val="0"/>
          <w:color w:val="auto"/>
          <w:sz w:val="32"/>
          <w:szCs w:val="32"/>
          <w:highlight w:val="none"/>
        </w:rPr>
        <w:t>万元，下降</w:t>
      </w:r>
      <w:r>
        <w:rPr>
          <w:rFonts w:hint="eastAsia" w:ascii="仿宋_GB2312" w:hAnsi="仿宋_GB2312" w:eastAsia="仿宋_GB2312" w:cs="仿宋_GB2312"/>
          <w:b w:val="0"/>
          <w:bCs w:val="0"/>
          <w:color w:val="auto"/>
          <w:sz w:val="32"/>
          <w:szCs w:val="32"/>
          <w:highlight w:val="none"/>
          <w:lang w:val="en-US" w:eastAsia="zh-CN"/>
        </w:rPr>
        <w:t>65.61</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b w:val="0"/>
          <w:bCs w:val="0"/>
          <w:color w:val="auto"/>
          <w:sz w:val="32"/>
          <w:szCs w:val="32"/>
          <w:highlight w:val="none"/>
          <w:lang w:eastAsia="zh-CN"/>
        </w:rPr>
        <w:t>机构改革本单位已划转</w:t>
      </w:r>
      <w:r>
        <w:rPr>
          <w:rFonts w:hint="eastAsia" w:ascii="仿宋_GB2312" w:hAnsi="仿宋_GB2312" w:eastAsia="仿宋_GB2312" w:cs="仿宋_GB2312"/>
          <w:b w:val="0"/>
          <w:bCs w:val="0"/>
          <w:color w:val="000000"/>
          <w:sz w:val="32"/>
          <w:szCs w:val="32"/>
          <w:lang w:eastAsia="zh-CN"/>
        </w:rPr>
        <w:t>。</w:t>
      </w:r>
    </w:p>
    <w:p>
      <w:pPr>
        <w:pStyle w:val="2"/>
        <w:jc w:val="center"/>
        <w:rPr>
          <w:rFonts w:hint="eastAsia"/>
          <w:lang w:eastAsia="zh-CN"/>
        </w:rPr>
      </w:pPr>
      <w:r>
        <w:drawing>
          <wp:inline distT="0" distB="0" distL="114300" distR="114300">
            <wp:extent cx="3726180" cy="2752725"/>
            <wp:effectExtent l="4445" t="4445" r="22225"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pPr>
    </w:p>
    <w:p>
      <w:pPr>
        <w:spacing w:line="600" w:lineRule="exact"/>
        <w:jc w:val="center"/>
        <w:rPr>
          <w:rFonts w:ascii="仿宋_GB2312" w:eastAsia="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图1：收、支决算总计变动情况图</w:t>
      </w: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年本年收入合计</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万元，其中：一般公共预算财政拨款收入</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pStyle w:val="2"/>
        <w:jc w:val="center"/>
      </w:pPr>
      <w:r>
        <w:drawing>
          <wp:inline distT="0" distB="0" distL="114300" distR="114300">
            <wp:extent cx="3378200" cy="2944495"/>
            <wp:effectExtent l="4445" t="4445" r="8255" b="22860"/>
            <wp:docPr id="2"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图2：收入决算结构图</w:t>
      </w: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年本年支出合计</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万元，其中：基本支出</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p>
    <w:p>
      <w:pPr>
        <w:pStyle w:val="2"/>
        <w:jc w:val="center"/>
        <w:rPr>
          <w:rFonts w:ascii="仿宋" w:hAnsi="仿宋" w:eastAsia="仿宋"/>
          <w:color w:val="auto"/>
          <w:sz w:val="32"/>
          <w:szCs w:val="32"/>
          <w:highlight w:val="none"/>
          <w:shd w:val="pct10" w:color="auto" w:fill="FFFFFF"/>
        </w:rPr>
      </w:pPr>
      <w:r>
        <w:drawing>
          <wp:inline distT="0" distB="0" distL="114300" distR="114300">
            <wp:extent cx="3651885" cy="2896870"/>
            <wp:effectExtent l="4445" t="5080" r="20320" b="12700"/>
            <wp:docPr id="3"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年财政拨款收、支总计</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万元。与20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年相比，财政拨款收、支总计各减少</w:t>
      </w:r>
      <w:r>
        <w:rPr>
          <w:rFonts w:hint="eastAsia" w:ascii="仿宋_GB2312" w:hAnsi="仿宋_GB2312" w:eastAsia="仿宋_GB2312" w:cs="仿宋_GB2312"/>
          <w:b w:val="0"/>
          <w:bCs w:val="0"/>
          <w:color w:val="auto"/>
          <w:sz w:val="32"/>
          <w:szCs w:val="32"/>
          <w:highlight w:val="none"/>
          <w:lang w:val="en-US" w:eastAsia="zh-CN"/>
        </w:rPr>
        <w:t>55.22</w:t>
      </w:r>
      <w:r>
        <w:rPr>
          <w:rFonts w:hint="eastAsia" w:ascii="仿宋_GB2312" w:hAnsi="仿宋_GB2312" w:eastAsia="仿宋_GB2312" w:cs="仿宋_GB2312"/>
          <w:b w:val="0"/>
          <w:bCs w:val="0"/>
          <w:color w:val="auto"/>
          <w:sz w:val="32"/>
          <w:szCs w:val="32"/>
          <w:highlight w:val="none"/>
        </w:rPr>
        <w:t>万元，下降</w:t>
      </w:r>
      <w:r>
        <w:rPr>
          <w:rFonts w:hint="eastAsia" w:ascii="仿宋_GB2312" w:hAnsi="仿宋_GB2312" w:eastAsia="仿宋_GB2312" w:cs="仿宋_GB2312"/>
          <w:b w:val="0"/>
          <w:bCs w:val="0"/>
          <w:color w:val="auto"/>
          <w:sz w:val="32"/>
          <w:szCs w:val="32"/>
          <w:highlight w:val="none"/>
          <w:lang w:val="en-US" w:eastAsia="zh-CN"/>
        </w:rPr>
        <w:t>65.61</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b w:val="0"/>
          <w:bCs w:val="0"/>
          <w:color w:val="auto"/>
          <w:sz w:val="32"/>
          <w:szCs w:val="32"/>
          <w:highlight w:val="none"/>
          <w:lang w:eastAsia="zh-CN"/>
        </w:rPr>
        <w:t>机构改革本单位撤销。</w:t>
      </w:r>
    </w:p>
    <w:p>
      <w:pPr>
        <w:pStyle w:val="2"/>
        <w:jc w:val="center"/>
        <w:rPr>
          <w:rFonts w:ascii="仿宋" w:hAnsi="仿宋" w:eastAsia="仿宋"/>
          <w:color w:val="auto"/>
          <w:sz w:val="32"/>
          <w:szCs w:val="32"/>
          <w:highlight w:val="none"/>
        </w:rPr>
      </w:pPr>
      <w:r>
        <w:drawing>
          <wp:inline distT="0" distB="0" distL="114300" distR="114300">
            <wp:extent cx="4572000" cy="2787650"/>
            <wp:effectExtent l="4445" t="4445" r="14605" b="825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pacing w:line="600" w:lineRule="exact"/>
        <w:ind w:firstLine="640" w:firstLineChars="200"/>
        <w:outlineLvl w:val="1"/>
        <w:rPr>
          <w:rStyle w:val="26"/>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val="0"/>
          <w:bCs w:val="0"/>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28" w:name="_Toc15377210"/>
      <w:r>
        <w:rPr>
          <w:rFonts w:hint="eastAsia" w:ascii="楷体_GB2312" w:hAnsi="楷体_GB2312" w:eastAsia="楷体_GB2312" w:cs="楷体_GB2312"/>
          <w:b/>
          <w:color w:val="auto"/>
          <w:sz w:val="32"/>
          <w:szCs w:val="32"/>
          <w:highlight w:val="none"/>
        </w:rPr>
        <w:t>（一）一般公共预算财政拨款支出决算总体情况</w:t>
      </w:r>
      <w:bookmarkEnd w:id="28"/>
      <w:r>
        <w:rPr>
          <w:rFonts w:hint="eastAsia" w:ascii="楷体_GB2312" w:hAnsi="楷体_GB2312" w:eastAsia="楷体_GB2312" w:cs="楷体_GB2312"/>
          <w:b/>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万元，占本年支出合计的</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%。与20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年相比，一般公共预算财政拨款</w:t>
      </w:r>
      <w:r>
        <w:rPr>
          <w:rFonts w:hint="eastAsia" w:ascii="仿宋_GB2312" w:hAnsi="仿宋_GB2312" w:eastAsia="仿宋_GB2312" w:cs="仿宋_GB2312"/>
          <w:b w:val="0"/>
          <w:bCs w:val="0"/>
          <w:color w:val="auto"/>
          <w:sz w:val="32"/>
          <w:szCs w:val="32"/>
          <w:highlight w:val="none"/>
          <w:lang w:eastAsia="zh-CN"/>
        </w:rPr>
        <w:t>支出</w:t>
      </w:r>
      <w:r>
        <w:rPr>
          <w:rFonts w:hint="eastAsia" w:ascii="仿宋_GB2312" w:hAnsi="仿宋_GB2312" w:eastAsia="仿宋_GB2312" w:cs="仿宋_GB2312"/>
          <w:b w:val="0"/>
          <w:bCs w:val="0"/>
          <w:color w:val="auto"/>
          <w:sz w:val="32"/>
          <w:szCs w:val="32"/>
          <w:highlight w:val="none"/>
        </w:rPr>
        <w:t>减少</w:t>
      </w:r>
      <w:r>
        <w:rPr>
          <w:rFonts w:hint="eastAsia" w:ascii="仿宋_GB2312" w:hAnsi="仿宋_GB2312" w:eastAsia="仿宋_GB2312" w:cs="仿宋_GB2312"/>
          <w:b w:val="0"/>
          <w:bCs w:val="0"/>
          <w:color w:val="auto"/>
          <w:sz w:val="32"/>
          <w:szCs w:val="32"/>
          <w:highlight w:val="none"/>
          <w:lang w:val="en-US" w:eastAsia="zh-CN"/>
        </w:rPr>
        <w:t>55.22</w:t>
      </w:r>
      <w:r>
        <w:rPr>
          <w:rFonts w:hint="eastAsia" w:ascii="仿宋_GB2312" w:hAnsi="仿宋_GB2312" w:eastAsia="仿宋_GB2312" w:cs="仿宋_GB2312"/>
          <w:b w:val="0"/>
          <w:bCs w:val="0"/>
          <w:color w:val="auto"/>
          <w:sz w:val="32"/>
          <w:szCs w:val="32"/>
          <w:highlight w:val="none"/>
        </w:rPr>
        <w:t>万元，下降</w:t>
      </w:r>
      <w:r>
        <w:rPr>
          <w:rFonts w:hint="eastAsia" w:ascii="仿宋_GB2312" w:hAnsi="仿宋_GB2312" w:eastAsia="仿宋_GB2312" w:cs="仿宋_GB2312"/>
          <w:b w:val="0"/>
          <w:bCs w:val="0"/>
          <w:color w:val="auto"/>
          <w:sz w:val="32"/>
          <w:szCs w:val="32"/>
          <w:highlight w:val="none"/>
          <w:lang w:val="en-US" w:eastAsia="zh-CN"/>
        </w:rPr>
        <w:t>65.61</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b w:val="0"/>
          <w:bCs w:val="0"/>
          <w:color w:val="auto"/>
          <w:sz w:val="32"/>
          <w:szCs w:val="32"/>
          <w:highlight w:val="none"/>
          <w:lang w:eastAsia="zh-CN"/>
        </w:rPr>
        <w:t>机构改革本单位划转。</w:t>
      </w:r>
    </w:p>
    <w:p>
      <w:pPr>
        <w:pStyle w:val="2"/>
        <w:jc w:val="center"/>
        <w:rPr>
          <w:rFonts w:hint="eastAsia"/>
          <w:lang w:eastAsia="zh-CN"/>
        </w:rPr>
      </w:pPr>
      <w:r>
        <w:drawing>
          <wp:inline distT="0" distB="0" distL="114300" distR="114300">
            <wp:extent cx="4572000" cy="2787650"/>
            <wp:effectExtent l="4445" t="4445" r="14605" b="82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pPr>
    </w:p>
    <w:p>
      <w:pP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b w:val="0"/>
          <w:bCs w:val="0"/>
          <w:color w:val="auto"/>
          <w:sz w:val="32"/>
          <w:szCs w:val="32"/>
          <w:highlight w:val="none"/>
        </w:rPr>
        <w:t>图5：一般公共预算财政拨款支出决算变动情况</w:t>
      </w:r>
    </w:p>
    <w:p>
      <w:pPr>
        <w:spacing w:line="600"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29" w:name="_Toc15377211"/>
      <w:r>
        <w:rPr>
          <w:rFonts w:hint="eastAsia" w:ascii="楷体_GB2312" w:hAnsi="楷体_GB2312" w:eastAsia="楷体_GB2312" w:cs="楷体_GB2312"/>
          <w:b/>
          <w:color w:val="auto"/>
          <w:sz w:val="32"/>
          <w:szCs w:val="32"/>
          <w:highlight w:val="none"/>
        </w:rPr>
        <w:t>（二）一般公共预算财政拨款支出决算结构情况</w:t>
      </w:r>
      <w:bookmarkEnd w:id="29"/>
      <w:r>
        <w:rPr>
          <w:rFonts w:hint="eastAsia" w:ascii="楷体_GB2312" w:hAnsi="楷体_GB2312" w:eastAsia="楷体_GB2312" w:cs="楷体_GB2312"/>
          <w:b/>
          <w:color w:val="auto"/>
          <w:sz w:val="32"/>
          <w:szCs w:val="32"/>
          <w:highlight w:val="none"/>
          <w:lang w:eastAsia="zh-CN"/>
        </w:rPr>
        <w:t>。</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28.95</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城乡社区支出</w:t>
      </w:r>
      <w:r>
        <w:rPr>
          <w:rFonts w:hint="eastAsia" w:ascii="仿宋_GB2312" w:hAnsi="仿宋_GB2312" w:eastAsia="仿宋_GB2312" w:cs="仿宋_GB2312"/>
          <w:b w:val="0"/>
          <w:bCs w:val="0"/>
          <w:color w:val="auto"/>
          <w:sz w:val="32"/>
          <w:szCs w:val="32"/>
          <w:highlight w:val="none"/>
        </w:rPr>
        <w:t>（类）支出</w:t>
      </w:r>
      <w:r>
        <w:rPr>
          <w:rFonts w:hint="eastAsia" w:ascii="仿宋_GB2312" w:hAnsi="仿宋_GB2312" w:eastAsia="仿宋_GB2312" w:cs="仿宋_GB2312"/>
          <w:b w:val="0"/>
          <w:bCs w:val="0"/>
          <w:color w:val="auto"/>
          <w:sz w:val="32"/>
          <w:szCs w:val="32"/>
          <w:highlight w:val="none"/>
          <w:lang w:val="en-US" w:eastAsia="zh-CN"/>
        </w:rPr>
        <w:t>21.6</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74.61</w:t>
      </w:r>
      <w:r>
        <w:rPr>
          <w:rFonts w:hint="eastAsia" w:ascii="仿宋_GB2312" w:hAnsi="仿宋_GB2312" w:eastAsia="仿宋_GB2312" w:cs="仿宋_GB2312"/>
          <w:b w:val="0"/>
          <w:bCs w:val="0"/>
          <w:color w:val="auto"/>
          <w:sz w:val="32"/>
          <w:szCs w:val="32"/>
          <w:highlight w:val="none"/>
        </w:rPr>
        <w:t>%；社会保障和就业（类）支出</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8.29</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1.22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4.21</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eastAsia="zh-CN"/>
        </w:rPr>
        <w:t>（类）</w:t>
      </w:r>
      <w:r>
        <w:rPr>
          <w:rFonts w:hint="eastAsia" w:ascii="仿宋_GB2312" w:hAnsi="仿宋_GB2312" w:eastAsia="仿宋_GB2312" w:cs="仿宋_GB2312"/>
          <w:b w:val="0"/>
          <w:bCs w:val="0"/>
          <w:color w:val="auto"/>
          <w:sz w:val="32"/>
          <w:szCs w:val="32"/>
          <w:highlight w:val="none"/>
          <w:lang w:val="en-US" w:eastAsia="zh-CN"/>
        </w:rPr>
        <w:t>3.73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12.88</w:t>
      </w:r>
      <w:r>
        <w:rPr>
          <w:rFonts w:hint="eastAsia" w:ascii="仿宋_GB2312" w:hAnsi="仿宋_GB2312" w:eastAsia="仿宋_GB2312" w:cs="仿宋_GB2312"/>
          <w:b w:val="0"/>
          <w:bCs w:val="0"/>
          <w:color w:val="auto"/>
          <w:sz w:val="32"/>
          <w:szCs w:val="32"/>
          <w:highlight w:val="none"/>
        </w:rPr>
        <w:t>%。</w:t>
      </w:r>
    </w:p>
    <w:p>
      <w:pPr>
        <w:pStyle w:val="2"/>
        <w:jc w:val="center"/>
        <w:rPr>
          <w:rFonts w:ascii="仿宋" w:hAnsi="仿宋" w:eastAsia="仿宋"/>
          <w:color w:val="auto"/>
          <w:sz w:val="32"/>
          <w:szCs w:val="32"/>
          <w:highlight w:val="none"/>
        </w:rPr>
      </w:pPr>
      <w:r>
        <w:drawing>
          <wp:inline distT="0" distB="0" distL="114300" distR="114300">
            <wp:extent cx="3259455" cy="2623820"/>
            <wp:effectExtent l="4445" t="4445" r="12700" b="19685"/>
            <wp:docPr id="7"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color w:val="auto"/>
          <w:sz w:val="32"/>
          <w:szCs w:val="32"/>
          <w:highlight w:val="none"/>
        </w:rPr>
      </w:pPr>
      <w:r>
        <w:rPr>
          <w:rFonts w:hint="eastAsia" w:ascii="仿宋_GB2312" w:hAnsi="仿宋_GB2312" w:eastAsia="仿宋_GB2312" w:cs="仿宋_GB2312"/>
          <w:b w:val="0"/>
          <w:bCs w:val="0"/>
          <w:color w:val="auto"/>
          <w:sz w:val="32"/>
          <w:szCs w:val="32"/>
          <w:highlight w:val="none"/>
        </w:rPr>
        <w:t>图6：一般公共预算财政拨款支出决算结构</w:t>
      </w:r>
    </w:p>
    <w:p>
      <w:pPr>
        <w:spacing w:line="600" w:lineRule="exact"/>
        <w:ind w:firstLine="642" w:firstLineChars="200"/>
        <w:outlineLvl w:val="2"/>
        <w:rPr>
          <w:rFonts w:hint="eastAsia" w:ascii="楷体_GB2312" w:hAnsi="楷体_GB2312" w:eastAsia="楷体_GB2312" w:cs="楷体_GB2312"/>
          <w:b/>
          <w:color w:val="auto"/>
          <w:sz w:val="32"/>
          <w:szCs w:val="32"/>
          <w:highlight w:val="none"/>
          <w:lang w:eastAsia="zh-CN"/>
        </w:rPr>
      </w:pPr>
      <w:bookmarkStart w:id="30" w:name="_Toc15377212"/>
      <w:r>
        <w:rPr>
          <w:rFonts w:hint="eastAsia" w:ascii="楷体_GB2312" w:hAnsi="楷体_GB2312" w:eastAsia="楷体_GB2312" w:cs="楷体_GB2312"/>
          <w:b/>
          <w:color w:val="auto"/>
          <w:sz w:val="32"/>
          <w:szCs w:val="32"/>
          <w:highlight w:val="none"/>
        </w:rPr>
        <w:t>（三）一般公共预算财政拨款支出决算具体情况</w:t>
      </w:r>
      <w:bookmarkEnd w:id="30"/>
      <w:r>
        <w:rPr>
          <w:rFonts w:hint="eastAsia" w:ascii="楷体_GB2312" w:hAnsi="楷体_GB2312" w:eastAsia="楷体_GB2312" w:cs="楷体_GB2312"/>
          <w:b/>
          <w:color w:val="auto"/>
          <w:sz w:val="32"/>
          <w:szCs w:val="32"/>
          <w:highlight w:val="none"/>
          <w:lang w:eastAsia="zh-CN"/>
        </w:rPr>
        <w:t>。</w:t>
      </w:r>
    </w:p>
    <w:p>
      <w:pPr>
        <w:spacing w:line="600" w:lineRule="exact"/>
        <w:ind w:firstLine="640" w:firstLineChars="200"/>
        <w:outlineLvl w:val="2"/>
        <w:rPr>
          <w:rFonts w:hint="eastAsia" w:ascii="仿宋_GB2312" w:hAnsi="仿宋_GB2312" w:eastAsia="仿宋_GB2312" w:cs="仿宋_GB2312"/>
          <w:b w:val="0"/>
          <w:bCs w:val="0"/>
          <w:color w:val="auto"/>
          <w:sz w:val="32"/>
          <w:szCs w:val="32"/>
          <w:highlight w:val="none"/>
        </w:rPr>
      </w:pPr>
      <w:bookmarkStart w:id="31" w:name="_Toc15377213"/>
      <w:bookmarkStart w:id="32" w:name="_Toc15377444"/>
      <w:bookmarkStart w:id="33" w:name="_Toc15378460"/>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般公共预算支出决算数为</w:t>
      </w:r>
      <w:r>
        <w:rPr>
          <w:rFonts w:hint="eastAsia" w:ascii="仿宋_GB2312" w:hAnsi="仿宋_GB2312" w:eastAsia="仿宋_GB2312" w:cs="仿宋_GB2312"/>
          <w:b w:val="0"/>
          <w:bCs w:val="0"/>
          <w:color w:val="auto"/>
          <w:sz w:val="32"/>
          <w:szCs w:val="32"/>
          <w:highlight w:val="none"/>
          <w:lang w:val="en-US" w:eastAsia="zh-CN"/>
        </w:rPr>
        <w:t>28.95万元</w:t>
      </w:r>
      <w:r>
        <w:rPr>
          <w:rFonts w:hint="eastAsia" w:ascii="仿宋_GB2312" w:hAnsi="仿宋_GB2312" w:eastAsia="仿宋_GB2312" w:cs="仿宋_GB2312"/>
          <w:b w:val="0"/>
          <w:bCs w:val="0"/>
          <w:color w:val="auto"/>
          <w:sz w:val="32"/>
          <w:szCs w:val="32"/>
          <w:highlight w:val="none"/>
        </w:rPr>
        <w:t>，</w:t>
      </w:r>
      <w:r>
        <w:rPr>
          <w:rStyle w:val="15"/>
          <w:rFonts w:hint="eastAsia" w:ascii="仿宋_GB2312" w:hAnsi="仿宋_GB2312" w:eastAsia="仿宋_GB2312" w:cs="仿宋_GB2312"/>
          <w:b w:val="0"/>
          <w:bCs w:val="0"/>
          <w:color w:val="auto"/>
          <w:sz w:val="32"/>
          <w:szCs w:val="32"/>
          <w:highlight w:val="none"/>
        </w:rPr>
        <w:t>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%。其中：</w:t>
      </w:r>
      <w:bookmarkEnd w:id="31"/>
      <w:bookmarkEnd w:id="32"/>
      <w:bookmarkEnd w:id="33"/>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5"/>
          <w:rFonts w:hint="eastAsia" w:ascii="仿宋_GB2312" w:hAnsi="仿宋_GB2312" w:eastAsia="仿宋_GB2312" w:cs="仿宋_GB2312"/>
          <w:b w:val="0"/>
          <w:bCs w:val="0"/>
          <w:color w:val="auto"/>
          <w:sz w:val="32"/>
          <w:szCs w:val="32"/>
          <w:highlight w:val="none"/>
          <w:lang w:val="en-US" w:eastAsia="zh-CN"/>
        </w:rPr>
        <w:t>1</w:t>
      </w:r>
      <w:r>
        <w:rPr>
          <w:rStyle w:val="15"/>
          <w:rFonts w:hint="eastAsia" w:ascii="仿宋_GB2312" w:hAnsi="仿宋_GB2312" w:eastAsia="仿宋_GB2312" w:cs="仿宋_GB2312"/>
          <w:b w:val="0"/>
          <w:bCs w:val="0"/>
          <w:color w:val="auto"/>
          <w:sz w:val="32"/>
          <w:szCs w:val="32"/>
          <w:highlight w:val="none"/>
        </w:rPr>
        <w:t>.</w:t>
      </w:r>
      <w:r>
        <w:rPr>
          <w:rStyle w:val="15"/>
          <w:rFonts w:hint="eastAsia" w:ascii="仿宋_GB2312" w:hAnsi="仿宋_GB2312" w:eastAsia="仿宋_GB2312" w:cs="仿宋_GB2312"/>
          <w:b w:val="0"/>
          <w:bCs w:val="0"/>
          <w:color w:val="auto"/>
          <w:sz w:val="32"/>
          <w:szCs w:val="32"/>
          <w:highlight w:val="none"/>
          <w:lang w:eastAsia="zh-CN"/>
        </w:rPr>
        <w:t>住房保障支出</w:t>
      </w:r>
      <w:r>
        <w:rPr>
          <w:rStyle w:val="15"/>
          <w:rFonts w:hint="eastAsia" w:ascii="仿宋_GB2312" w:hAnsi="仿宋_GB2312" w:eastAsia="仿宋_GB2312" w:cs="仿宋_GB2312"/>
          <w:b w:val="0"/>
          <w:bCs w:val="0"/>
          <w:color w:val="auto"/>
          <w:sz w:val="32"/>
          <w:szCs w:val="32"/>
          <w:highlight w:val="none"/>
        </w:rPr>
        <w:t>（类）住房改革支出（款）住房公积金（项）: 支出决算为</w:t>
      </w:r>
      <w:r>
        <w:rPr>
          <w:rStyle w:val="15"/>
          <w:rFonts w:hint="eastAsia" w:ascii="仿宋_GB2312" w:hAnsi="仿宋_GB2312" w:eastAsia="仿宋_GB2312" w:cs="仿宋_GB2312"/>
          <w:b w:val="0"/>
          <w:bCs w:val="0"/>
          <w:color w:val="auto"/>
          <w:sz w:val="32"/>
          <w:szCs w:val="32"/>
          <w:highlight w:val="none"/>
          <w:lang w:val="en-US" w:eastAsia="zh-CN"/>
        </w:rPr>
        <w:t>3.73</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5"/>
          <w:rFonts w:hint="eastAsia" w:ascii="仿宋_GB2312" w:hAnsi="仿宋_GB2312" w:eastAsia="仿宋_GB2312" w:cs="仿宋_GB2312"/>
          <w:b w:val="0"/>
          <w:bCs w:val="0"/>
          <w:color w:val="auto"/>
          <w:sz w:val="32"/>
          <w:szCs w:val="32"/>
          <w:highlight w:val="none"/>
          <w:lang w:val="en-US" w:eastAsia="zh-CN"/>
        </w:rPr>
        <w:t>2</w:t>
      </w:r>
      <w:r>
        <w:rPr>
          <w:rStyle w:val="15"/>
          <w:rFonts w:hint="eastAsia" w:ascii="仿宋_GB2312" w:hAnsi="仿宋_GB2312" w:eastAsia="仿宋_GB2312" w:cs="仿宋_GB2312"/>
          <w:b w:val="0"/>
          <w:bCs w:val="0"/>
          <w:color w:val="auto"/>
          <w:sz w:val="32"/>
          <w:szCs w:val="32"/>
          <w:highlight w:val="none"/>
        </w:rPr>
        <w:t>.</w:t>
      </w:r>
      <w:r>
        <w:rPr>
          <w:rStyle w:val="15"/>
          <w:rFonts w:hint="eastAsia" w:ascii="仿宋_GB2312" w:hAnsi="仿宋_GB2312" w:eastAsia="仿宋_GB2312" w:cs="仿宋_GB2312"/>
          <w:b w:val="0"/>
          <w:bCs w:val="0"/>
          <w:color w:val="auto"/>
          <w:sz w:val="32"/>
          <w:szCs w:val="32"/>
          <w:highlight w:val="none"/>
          <w:lang w:eastAsia="zh-CN"/>
        </w:rPr>
        <w:t>城乡社区支出</w:t>
      </w:r>
      <w:r>
        <w:rPr>
          <w:rStyle w:val="15"/>
          <w:rFonts w:hint="eastAsia" w:ascii="仿宋_GB2312" w:hAnsi="仿宋_GB2312" w:eastAsia="仿宋_GB2312" w:cs="仿宋_GB2312"/>
          <w:b w:val="0"/>
          <w:bCs w:val="0"/>
          <w:color w:val="auto"/>
          <w:sz w:val="32"/>
          <w:szCs w:val="32"/>
          <w:highlight w:val="none"/>
        </w:rPr>
        <w:t>（类）城乡社区公共设施（款）其他城乡社区公共设施支出（项）: 支出决算为</w:t>
      </w:r>
      <w:r>
        <w:rPr>
          <w:rStyle w:val="15"/>
          <w:rFonts w:hint="eastAsia" w:ascii="仿宋_GB2312" w:hAnsi="仿宋_GB2312" w:eastAsia="仿宋_GB2312" w:cs="仿宋_GB2312"/>
          <w:b w:val="0"/>
          <w:bCs w:val="0"/>
          <w:color w:val="auto"/>
          <w:sz w:val="32"/>
          <w:szCs w:val="32"/>
          <w:highlight w:val="none"/>
          <w:lang w:val="en-US" w:eastAsia="zh-CN"/>
        </w:rPr>
        <w:t>21.6</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5"/>
          <w:rFonts w:hint="eastAsia" w:ascii="仿宋_GB2312" w:hAnsi="仿宋_GB2312" w:eastAsia="仿宋_GB2312" w:cs="仿宋_GB2312"/>
          <w:b w:val="0"/>
          <w:bCs w:val="0"/>
          <w:color w:val="auto"/>
          <w:sz w:val="32"/>
          <w:szCs w:val="32"/>
          <w:highlight w:val="none"/>
          <w:lang w:val="en-US" w:eastAsia="zh-CN"/>
        </w:rPr>
        <w:t>3</w:t>
      </w:r>
      <w:r>
        <w:rPr>
          <w:rStyle w:val="15"/>
          <w:rFonts w:hint="eastAsia" w:ascii="仿宋_GB2312" w:hAnsi="仿宋_GB2312" w:eastAsia="仿宋_GB2312" w:cs="仿宋_GB2312"/>
          <w:b w:val="0"/>
          <w:bCs w:val="0"/>
          <w:color w:val="auto"/>
          <w:sz w:val="32"/>
          <w:szCs w:val="32"/>
          <w:highlight w:val="none"/>
        </w:rPr>
        <w:t>.社会保障和就业（类）</w:t>
      </w:r>
      <w:r>
        <w:rPr>
          <w:rStyle w:val="15"/>
          <w:rFonts w:hint="eastAsia" w:ascii="仿宋_GB2312" w:hAnsi="仿宋_GB2312" w:eastAsia="仿宋_GB2312" w:cs="仿宋_GB2312"/>
          <w:b w:val="0"/>
          <w:bCs w:val="0"/>
          <w:color w:val="auto"/>
          <w:sz w:val="32"/>
          <w:szCs w:val="32"/>
          <w:highlight w:val="none"/>
          <w:lang w:eastAsia="zh-CN"/>
        </w:rPr>
        <w:t>行政事业单位养老支出</w:t>
      </w:r>
      <w:r>
        <w:rPr>
          <w:rStyle w:val="15"/>
          <w:rFonts w:hint="eastAsia" w:ascii="仿宋_GB2312" w:hAnsi="仿宋_GB2312" w:eastAsia="仿宋_GB2312" w:cs="仿宋_GB2312"/>
          <w:b w:val="0"/>
          <w:bCs w:val="0"/>
          <w:color w:val="auto"/>
          <w:sz w:val="32"/>
          <w:szCs w:val="32"/>
          <w:highlight w:val="none"/>
        </w:rPr>
        <w:t>（款）机关事业单位基本养老保险缴费支出（项）: 支出决算为</w:t>
      </w:r>
      <w:r>
        <w:rPr>
          <w:rStyle w:val="15"/>
          <w:rFonts w:hint="eastAsia" w:ascii="仿宋_GB2312" w:hAnsi="仿宋_GB2312" w:eastAsia="仿宋_GB2312" w:cs="仿宋_GB2312"/>
          <w:b w:val="0"/>
          <w:bCs w:val="0"/>
          <w:color w:val="auto"/>
          <w:sz w:val="32"/>
          <w:szCs w:val="32"/>
          <w:highlight w:val="none"/>
          <w:lang w:val="en-US" w:eastAsia="zh-CN"/>
        </w:rPr>
        <w:t>2.4</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5"/>
          <w:rFonts w:hint="eastAsia" w:ascii="仿宋_GB2312" w:hAnsi="仿宋_GB2312" w:eastAsia="仿宋_GB2312" w:cs="仿宋_GB2312"/>
          <w:b w:val="0"/>
          <w:bCs w:val="0"/>
          <w:color w:val="auto"/>
          <w:sz w:val="32"/>
          <w:szCs w:val="32"/>
          <w:highlight w:val="none"/>
          <w:lang w:val="en-US" w:eastAsia="zh-CN"/>
        </w:rPr>
        <w:t>4</w:t>
      </w:r>
      <w:r>
        <w:rPr>
          <w:rStyle w:val="15"/>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卫生健康</w:t>
      </w:r>
      <w:r>
        <w:rPr>
          <w:rStyle w:val="15"/>
          <w:rFonts w:hint="eastAsia" w:ascii="仿宋_GB2312" w:hAnsi="仿宋_GB2312" w:eastAsia="仿宋_GB2312" w:cs="仿宋_GB2312"/>
          <w:b w:val="0"/>
          <w:bCs w:val="0"/>
          <w:color w:val="auto"/>
          <w:sz w:val="32"/>
          <w:szCs w:val="32"/>
          <w:highlight w:val="none"/>
        </w:rPr>
        <w:t>（类）行政事业单位医疗（款）  事业单位医疗（项）:支出决算为</w:t>
      </w:r>
      <w:r>
        <w:rPr>
          <w:rStyle w:val="15"/>
          <w:rFonts w:hint="eastAsia" w:ascii="仿宋_GB2312" w:hAnsi="仿宋_GB2312" w:eastAsia="仿宋_GB2312" w:cs="仿宋_GB2312"/>
          <w:b w:val="0"/>
          <w:bCs w:val="0"/>
          <w:color w:val="auto"/>
          <w:sz w:val="32"/>
          <w:szCs w:val="32"/>
          <w:highlight w:val="none"/>
          <w:lang w:val="en-US" w:eastAsia="zh-CN"/>
        </w:rPr>
        <w:t>1.22</w:t>
      </w:r>
      <w:r>
        <w:rPr>
          <w:rStyle w:val="15"/>
          <w:rFonts w:hint="eastAsia" w:ascii="仿宋_GB2312" w:hAnsi="仿宋_GB2312" w:eastAsia="仿宋_GB2312" w:cs="仿宋_GB2312"/>
          <w:b w:val="0"/>
          <w:bCs w:val="0"/>
          <w:color w:val="auto"/>
          <w:sz w:val="32"/>
          <w:szCs w:val="32"/>
          <w:highlight w:val="none"/>
        </w:rPr>
        <w:t>万元，完成预算</w:t>
      </w:r>
      <w:r>
        <w:rPr>
          <w:rStyle w:val="15"/>
          <w:rFonts w:hint="eastAsia" w:ascii="仿宋_GB2312" w:hAnsi="仿宋_GB2312" w:eastAsia="仿宋_GB2312" w:cs="仿宋_GB2312"/>
          <w:b w:val="0"/>
          <w:bCs w:val="0"/>
          <w:color w:val="auto"/>
          <w:sz w:val="32"/>
          <w:szCs w:val="32"/>
          <w:highlight w:val="none"/>
          <w:lang w:val="en-US" w:eastAsia="zh-CN"/>
        </w:rPr>
        <w:t>100</w:t>
      </w:r>
      <w:r>
        <w:rPr>
          <w:rStyle w:val="15"/>
          <w:rFonts w:hint="eastAsia" w:ascii="仿宋_GB2312" w:hAnsi="仿宋_GB2312" w:eastAsia="仿宋_GB2312" w:cs="仿宋_GB2312"/>
          <w:b w:val="0"/>
          <w:bCs w:val="0"/>
          <w:color w:val="auto"/>
          <w:sz w:val="32"/>
          <w:szCs w:val="32"/>
          <w:highlight w:val="none"/>
        </w:rPr>
        <w:t>%。</w:t>
      </w:r>
    </w:p>
    <w:p>
      <w:pPr>
        <w:tabs>
          <w:tab w:val="right" w:pos="8306"/>
        </w:tabs>
        <w:spacing w:line="600" w:lineRule="exact"/>
        <w:ind w:firstLine="640"/>
        <w:outlineLvl w:val="1"/>
        <w:rPr>
          <w:rStyle w:val="26"/>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val="0"/>
          <w:bCs/>
          <w:color w:val="auto"/>
          <w:sz w:val="32"/>
          <w:szCs w:val="32"/>
          <w:highlight w:val="none"/>
        </w:rPr>
        <w:t>、</w:t>
      </w:r>
      <w:r>
        <w:rPr>
          <w:rFonts w:hint="eastAsia" w:ascii="黑体" w:hAnsi="黑体" w:eastAsia="黑体"/>
          <w:b w:val="0"/>
          <w:bCs/>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年一般公共预算财政拨款基本支出</w:t>
      </w:r>
      <w:r>
        <w:rPr>
          <w:rFonts w:hint="eastAsia" w:ascii="仿宋_GB2312" w:hAnsi="仿宋_GB2312" w:eastAsia="仿宋_GB2312" w:cs="仿宋_GB2312"/>
          <w:b w:val="0"/>
          <w:bCs w:val="0"/>
          <w:color w:val="auto"/>
          <w:sz w:val="32"/>
          <w:szCs w:val="32"/>
          <w:highlight w:val="none"/>
          <w:lang w:val="en-US" w:eastAsia="zh-CN"/>
        </w:rPr>
        <w:t>28.27</w:t>
      </w:r>
      <w:r>
        <w:rPr>
          <w:rFonts w:hint="eastAsia" w:ascii="仿宋_GB2312" w:hAnsi="仿宋_GB2312" w:eastAsia="仿宋_GB2312" w:cs="仿宋_GB2312"/>
          <w:b w:val="0"/>
          <w:bCs w:val="0"/>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_GB2312" w:hAnsi="仿宋_GB2312" w:eastAsia="仿宋_GB2312" w:cs="仿宋_GB2312"/>
          <w:b w:val="0"/>
          <w:bCs w:val="0"/>
          <w:color w:val="auto"/>
          <w:sz w:val="32"/>
          <w:szCs w:val="32"/>
          <w:highlight w:val="none"/>
        </w:rPr>
        <w:t>人员经费</w:t>
      </w:r>
      <w:r>
        <w:rPr>
          <w:rFonts w:hint="eastAsia" w:ascii="仿宋_GB2312" w:hAnsi="仿宋_GB2312" w:eastAsia="仿宋_GB2312" w:cs="仿宋_GB2312"/>
          <w:b w:val="0"/>
          <w:bCs w:val="0"/>
          <w:color w:val="auto"/>
          <w:sz w:val="32"/>
          <w:szCs w:val="32"/>
          <w:highlight w:val="none"/>
          <w:lang w:val="en-US" w:eastAsia="zh-CN"/>
        </w:rPr>
        <w:t>28.24</w:t>
      </w:r>
      <w:r>
        <w:rPr>
          <w:rFonts w:hint="eastAsia" w:ascii="仿宋_GB2312" w:hAnsi="仿宋_GB2312" w:eastAsia="仿宋_GB2312" w:cs="仿宋_GB2312"/>
          <w:b w:val="0"/>
          <w:bCs w:val="0"/>
          <w:color w:val="auto"/>
          <w:sz w:val="32"/>
          <w:szCs w:val="32"/>
          <w:highlight w:val="none"/>
        </w:rPr>
        <w:t>万元，主要包括：基本工资、津贴补贴、绩效工资、机关事业单位基本养老保险缴费、其他社会保障缴费、其他工资福利支出</w:t>
      </w:r>
      <w:r>
        <w:rPr>
          <w:rFonts w:hint="eastAsia" w:ascii="仿宋_GB2312" w:hAnsi="仿宋_GB2312" w:eastAsia="仿宋_GB2312" w:cs="仿宋_GB2312"/>
          <w:b w:val="0"/>
          <w:bCs w:val="0"/>
          <w:color w:val="auto"/>
          <w:sz w:val="32"/>
          <w:szCs w:val="32"/>
          <w:highlight w:val="none"/>
          <w:lang w:eastAsia="zh-CN"/>
        </w:rPr>
        <w:t>、住房公积金、职工基本医疗保险缴费</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br w:type="textWrapping"/>
      </w:r>
      <w:r>
        <w:rPr>
          <w:rFonts w:hint="eastAsia" w:ascii="仿宋_GB2312" w:hAnsi="仿宋_GB2312" w:eastAsia="仿宋_GB2312" w:cs="仿宋_GB2312"/>
          <w:b w:val="0"/>
          <w:bCs w:val="0"/>
          <w:color w:val="auto"/>
          <w:sz w:val="32"/>
          <w:szCs w:val="32"/>
          <w:highlight w:val="none"/>
        </w:rPr>
        <w:t>　　公用经费</w:t>
      </w:r>
      <w:r>
        <w:rPr>
          <w:rFonts w:hint="eastAsia" w:ascii="仿宋_GB2312" w:hAnsi="仿宋_GB2312" w:eastAsia="仿宋_GB2312" w:cs="仿宋_GB2312"/>
          <w:b w:val="0"/>
          <w:bCs w:val="0"/>
          <w:color w:val="auto"/>
          <w:sz w:val="32"/>
          <w:szCs w:val="32"/>
          <w:highlight w:val="none"/>
          <w:lang w:val="en-US" w:eastAsia="zh-CN"/>
        </w:rPr>
        <w:t>0.68</w:t>
      </w:r>
      <w:r>
        <w:rPr>
          <w:rFonts w:hint="eastAsia" w:ascii="仿宋_GB2312" w:hAnsi="仿宋_GB2312" w:eastAsia="仿宋_GB2312" w:cs="仿宋_GB2312"/>
          <w:b w:val="0"/>
          <w:bCs w:val="0"/>
          <w:color w:val="auto"/>
          <w:sz w:val="32"/>
          <w:szCs w:val="32"/>
          <w:highlight w:val="none"/>
        </w:rPr>
        <w:t>万元，主要包括：办公费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手续费、邮电费、工会经费</w:t>
      </w:r>
      <w:r>
        <w:rPr>
          <w:rFonts w:hint="eastAsia" w:ascii="仿宋_GB2312" w:hAnsi="仿宋_GB2312" w:eastAsia="仿宋_GB2312" w:cs="仿宋_GB2312"/>
          <w:b w:val="0"/>
          <w:bCs w:val="0"/>
          <w:color w:val="auto"/>
          <w:sz w:val="32"/>
          <w:szCs w:val="32"/>
          <w:highlight w:val="none"/>
          <w:lang w:eastAsia="zh-CN"/>
        </w:rPr>
        <w:t>。</w:t>
      </w:r>
    </w:p>
    <w:p>
      <w:pPr>
        <w:spacing w:line="600" w:lineRule="exact"/>
        <w:ind w:firstLine="640"/>
        <w:outlineLvl w:val="1"/>
        <w:rPr>
          <w:rStyle w:val="26"/>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6"/>
          <w:rFonts w:hint="eastAsia" w:ascii="黑体" w:hAnsi="黑体" w:eastAsia="黑体"/>
          <w:b w:val="0"/>
          <w:bCs w:val="0"/>
          <w:color w:val="auto"/>
          <w:highlight w:val="none"/>
        </w:rPr>
        <w:t>“三</w:t>
      </w:r>
      <w:r>
        <w:rPr>
          <w:rStyle w:val="26"/>
          <w:rFonts w:hint="eastAsia" w:ascii="黑体" w:hAnsi="黑体" w:eastAsia="黑体"/>
          <w:b w:val="0"/>
          <w:color w:val="auto"/>
          <w:highlight w:val="none"/>
        </w:rPr>
        <w:t>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年“三公”经费财政拨款支出决算为0万元，完成预算0%，决算数与预算数持平</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主要原因是未</w:t>
      </w:r>
      <w:r>
        <w:rPr>
          <w:rFonts w:hint="eastAsia" w:ascii="仿宋_GB2312" w:hAnsi="仿宋_GB2312" w:eastAsia="仿宋_GB2312" w:cs="仿宋_GB2312"/>
          <w:b w:val="0"/>
          <w:bCs w:val="0"/>
          <w:color w:val="000000"/>
          <w:sz w:val="32"/>
          <w:szCs w:val="32"/>
          <w:lang w:eastAsia="zh-CN"/>
        </w:rPr>
        <w:t>安排预算，无实际发生</w:t>
      </w:r>
      <w:r>
        <w:rPr>
          <w:rFonts w:hint="eastAsia" w:ascii="仿宋_GB2312" w:hAnsi="仿宋_GB2312" w:eastAsia="仿宋_GB2312" w:cs="仿宋_GB2312"/>
          <w:b w:val="0"/>
          <w:bCs w:val="0"/>
          <w:color w:val="000000"/>
          <w:sz w:val="32"/>
          <w:szCs w:val="32"/>
        </w:rPr>
        <w:t>公务接待</w:t>
      </w:r>
      <w:r>
        <w:rPr>
          <w:rFonts w:hint="eastAsia" w:ascii="仿宋_GB2312" w:hAnsi="仿宋_GB2312" w:eastAsia="仿宋_GB2312" w:cs="仿宋_GB2312"/>
          <w:b w:val="0"/>
          <w:bCs w:val="0"/>
          <w:color w:val="000000"/>
          <w:sz w:val="32"/>
          <w:szCs w:val="32"/>
          <w:lang w:eastAsia="zh-CN"/>
        </w:rPr>
        <w:t>，无公务用车，无因公出国</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2010年三公经费未安排预算，无实际发生，2021年</w:t>
      </w:r>
      <w:r>
        <w:rPr>
          <w:rFonts w:hint="eastAsia" w:ascii="仿宋_GB2312" w:hAnsi="仿宋_GB2312" w:eastAsia="仿宋_GB2312" w:cs="仿宋_GB2312"/>
          <w:b w:val="0"/>
          <w:bCs w:val="0"/>
          <w:color w:val="000000"/>
          <w:sz w:val="32"/>
          <w:szCs w:val="32"/>
          <w:lang w:eastAsia="zh-CN"/>
        </w:rPr>
        <w:t>与</w:t>
      </w:r>
      <w:r>
        <w:rPr>
          <w:rFonts w:hint="eastAsia" w:ascii="仿宋_GB2312" w:hAnsi="仿宋_GB2312" w:eastAsia="仿宋_GB2312" w:cs="仿宋_GB2312"/>
          <w:b w:val="0"/>
          <w:bCs w:val="0"/>
          <w:color w:val="000000"/>
          <w:sz w:val="32"/>
          <w:szCs w:val="32"/>
          <w:lang w:val="en-US" w:eastAsia="zh-CN"/>
        </w:rPr>
        <w:t>202</w:t>
      </w:r>
      <w:bookmarkStart w:id="67" w:name="_GoBack"/>
      <w:bookmarkEnd w:id="67"/>
      <w:r>
        <w:rPr>
          <w:rFonts w:hint="eastAsia" w:ascii="仿宋_GB2312" w:hAnsi="仿宋_GB2312" w:eastAsia="仿宋_GB2312" w:cs="仿宋_GB2312"/>
          <w:b w:val="0"/>
          <w:bCs w:val="0"/>
          <w:color w:val="000000"/>
          <w:sz w:val="32"/>
          <w:szCs w:val="32"/>
          <w:lang w:val="en-US" w:eastAsia="zh-CN"/>
        </w:rPr>
        <w:t>0年比无变化。</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年“三公”经费财政拨款支出决算中，因公出国（境）费支出决算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%；公务用车购置及运行维护费支出决算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%；公务接待费支出决算</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lang w:val="en-US" w:eastAsia="zh-CN"/>
        </w:rPr>
        <w:t>2021年与2010年比无变化。</w:t>
      </w:r>
      <w:r>
        <w:rPr>
          <w:rFonts w:hint="eastAsia" w:ascii="仿宋_GB2312" w:hAnsi="仿宋_GB2312" w:eastAsia="仿宋_GB2312" w:cs="仿宋_GB2312"/>
          <w:b w:val="0"/>
          <w:bCs w:val="0"/>
          <w:color w:val="auto"/>
          <w:sz w:val="32"/>
          <w:szCs w:val="32"/>
          <w:highlight w:val="none"/>
        </w:rPr>
        <w:t>具体情况如下：</w:t>
      </w:r>
    </w:p>
    <w:p>
      <w:pPr>
        <w:pStyle w:val="2"/>
        <w:jc w:val="center"/>
      </w:pPr>
      <w:r>
        <w:drawing>
          <wp:inline distT="0" distB="0" distL="114300" distR="114300">
            <wp:extent cx="4568825" cy="2787650"/>
            <wp:effectExtent l="4445" t="4445" r="17780" b="8255"/>
            <wp:docPr id="1" name="图表 1" descr="7b0a202020202263686172745265734964223a20223837333737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因公出国</w:t>
      </w:r>
      <w:r>
        <w:rPr>
          <w:rFonts w:hint="eastAsia" w:ascii="仿宋_GB2312" w:hAnsi="仿宋_GB2312" w:eastAsia="仿宋_GB2312" w:cs="仿宋_GB2312"/>
          <w:b w:val="0"/>
          <w:bCs w:val="0"/>
          <w:color w:val="auto"/>
          <w:sz w:val="32"/>
          <w:szCs w:val="32"/>
          <w:highlight w:val="none"/>
        </w:rPr>
        <w:t>（境）</w:t>
      </w:r>
      <w:r>
        <w:rPr>
          <w:rFonts w:hint="eastAsia" w:ascii="仿宋_GB2312" w:hAnsi="仿宋_GB2312" w:eastAsia="仿宋_GB2312" w:cs="仿宋_GB2312"/>
          <w:b w:val="0"/>
          <w:bCs w:val="0"/>
          <w:color w:val="auto"/>
          <w:sz w:val="32"/>
          <w:szCs w:val="32"/>
          <w:highlight w:val="none"/>
          <w:lang w:val="en-US" w:eastAsia="zh-CN"/>
        </w:rPr>
        <w:t>经费支出0万元，年初未安排预算，支出决算较2020年无变化</w:t>
      </w:r>
    </w:p>
    <w:p>
      <w:pPr>
        <w:spacing w:line="600" w:lineRule="exact"/>
        <w:ind w:firstLine="64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2.公务用车购置及运行维护费支出</w:t>
      </w:r>
      <w:r>
        <w:rPr>
          <w:rFonts w:hint="eastAsia" w:ascii="仿宋_GB2312" w:hAnsi="仿宋_GB2312" w:eastAsia="仿宋_GB2312" w:cs="仿宋_GB2312"/>
          <w:b w:val="0"/>
          <w:bCs w:val="0"/>
          <w:color w:val="auto"/>
          <w:sz w:val="32"/>
          <w:szCs w:val="32"/>
          <w:highlight w:val="none"/>
          <w:lang w:val="en-US" w:eastAsia="zh-CN"/>
        </w:rPr>
        <w:t>0万元，年初未安排预算，较2020年无变化。</w:t>
      </w:r>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3.公务接待费支出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val="en-US" w:eastAsia="zh-CN"/>
        </w:rPr>
        <w:t>年初未安排预算，较2020年无变化。</w:t>
      </w:r>
      <w:bookmarkStart w:id="40" w:name="_Toc15396610"/>
      <w:bookmarkStart w:id="41" w:name="_Toc15377218"/>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年政府性基金预算</w:t>
      </w:r>
      <w:r>
        <w:rPr>
          <w:rFonts w:hint="eastAsia" w:ascii="仿宋_GB2312" w:hAnsi="仿宋_GB2312" w:eastAsia="仿宋_GB2312" w:cs="仿宋_GB2312"/>
          <w:b w:val="0"/>
          <w:bCs w:val="0"/>
          <w:color w:val="auto"/>
          <w:sz w:val="32"/>
          <w:szCs w:val="32"/>
          <w:highlight w:val="none"/>
          <w:lang w:eastAsia="zh-CN"/>
        </w:rPr>
        <w:t>财政</w:t>
      </w:r>
      <w:r>
        <w:rPr>
          <w:rFonts w:hint="eastAsia" w:ascii="仿宋_GB2312" w:hAnsi="仿宋_GB2312" w:eastAsia="仿宋_GB2312" w:cs="仿宋_GB2312"/>
          <w:b w:val="0"/>
          <w:bCs w:val="0"/>
          <w:color w:val="auto"/>
          <w:sz w:val="32"/>
          <w:szCs w:val="32"/>
          <w:highlight w:val="none"/>
        </w:rPr>
        <w:t>拨款支出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sz w:val="32"/>
          <w:szCs w:val="32"/>
          <w:lang w:val="en-US" w:eastAsia="zh-CN"/>
        </w:rPr>
        <w:t>2021年本单位未在政府性基金预算拨款安排“三公”经费支出。</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6"/>
          <w:rFonts w:ascii="黑体" w:hAnsi="黑体" w:eastAsia="黑体"/>
          <w:b w:val="0"/>
          <w:color w:val="auto"/>
          <w:highlight w:val="none"/>
        </w:rPr>
      </w:pPr>
      <w:bookmarkStart w:id="42" w:name="_Toc15377219"/>
      <w:bookmarkStart w:id="43" w:name="_Toc15396611"/>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年国有资本经营预算</w:t>
      </w:r>
      <w:r>
        <w:rPr>
          <w:rFonts w:hint="eastAsia" w:ascii="仿宋_GB2312" w:hAnsi="仿宋_GB2312" w:eastAsia="仿宋_GB2312" w:cs="仿宋_GB2312"/>
          <w:b w:val="0"/>
          <w:bCs w:val="0"/>
          <w:color w:val="auto"/>
          <w:sz w:val="32"/>
          <w:szCs w:val="32"/>
          <w:highlight w:val="none"/>
          <w:lang w:eastAsia="zh-CN"/>
        </w:rPr>
        <w:t>财政</w:t>
      </w:r>
      <w:r>
        <w:rPr>
          <w:rFonts w:hint="eastAsia" w:ascii="仿宋_GB2312" w:hAnsi="仿宋_GB2312" w:eastAsia="仿宋_GB2312" w:cs="仿宋_GB2312"/>
          <w:b w:val="0"/>
          <w:bCs w:val="0"/>
          <w:color w:val="auto"/>
          <w:sz w:val="32"/>
          <w:szCs w:val="32"/>
          <w:highlight w:val="none"/>
        </w:rPr>
        <w:t>拨款支出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根据预算绩效管理要求，本单位在</w:t>
      </w:r>
      <w:r>
        <w:rPr>
          <w:rFonts w:hint="eastAsia" w:ascii="仿宋_GB2312" w:hAnsi="仿宋_GB2312" w:eastAsia="仿宋_GB2312" w:cs="仿宋_GB2312"/>
          <w:b w:val="0"/>
          <w:bCs w:val="0"/>
          <w:color w:val="auto"/>
          <w:sz w:val="32"/>
          <w:szCs w:val="32"/>
          <w:highlight w:val="none"/>
          <w:lang w:val="en-US" w:eastAsia="zh-CN"/>
        </w:rPr>
        <w:t>2021年度</w:t>
      </w:r>
      <w:r>
        <w:rPr>
          <w:rFonts w:hint="eastAsia" w:ascii="仿宋_GB2312" w:hAnsi="仿宋_GB2312" w:eastAsia="仿宋_GB2312" w:cs="仿宋_GB2312"/>
          <w:b w:val="0"/>
          <w:bCs w:val="0"/>
          <w:color w:val="auto"/>
          <w:sz w:val="32"/>
          <w:szCs w:val="32"/>
          <w:highlight w:val="none"/>
        </w:rPr>
        <w:t>预算编制阶段，组织对爱国主义和社会主义核心价值观教育基地维护及宣传项目</w:t>
      </w:r>
      <w:r>
        <w:rPr>
          <w:rFonts w:hint="eastAsia" w:ascii="仿宋_GB2312" w:hAnsi="仿宋_GB2312" w:eastAsia="仿宋_GB2312" w:cs="仿宋_GB2312"/>
          <w:b w:val="0"/>
          <w:bCs w:val="0"/>
          <w:color w:val="auto"/>
          <w:sz w:val="32"/>
          <w:szCs w:val="32"/>
          <w:highlight w:val="none"/>
          <w:lang w:eastAsia="zh-CN"/>
        </w:rPr>
        <w:t>等</w:t>
      </w:r>
      <w:r>
        <w:rPr>
          <w:rFonts w:hint="eastAsia" w:ascii="仿宋_GB2312" w:hAnsi="仿宋_GB2312" w:eastAsia="仿宋_GB2312" w:cs="仿宋_GB2312"/>
          <w:b w:val="0"/>
          <w:bCs w:val="0"/>
          <w:color w:val="auto"/>
          <w:sz w:val="32"/>
          <w:szCs w:val="32"/>
          <w:highlight w:val="none"/>
          <w:lang w:val="en-US" w:eastAsia="zh-CN"/>
        </w:rPr>
        <w:t>1个项目</w:t>
      </w:r>
      <w:r>
        <w:rPr>
          <w:rFonts w:hint="eastAsia" w:ascii="仿宋_GB2312" w:hAnsi="仿宋_GB2312" w:eastAsia="仿宋_GB2312" w:cs="仿宋_GB2312"/>
          <w:b w:val="0"/>
          <w:bCs w:val="0"/>
          <w:color w:val="auto"/>
          <w:sz w:val="32"/>
          <w:szCs w:val="32"/>
          <w:highlight w:val="none"/>
        </w:rPr>
        <w:t>开展了预算事前绩效评估，对</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个项目编制了绩效目标，预算执行过程中，选取</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个项目开展绩效监控，年终执行完毕后，对</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个项目开展了绩效自评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b w:val="0"/>
          <w:bCs w:val="0"/>
          <w:color w:val="auto"/>
          <w:sz w:val="32"/>
          <w:szCs w:val="32"/>
          <w:highlight w:val="none"/>
        </w:rPr>
        <w:t>。</w:t>
      </w:r>
    </w:p>
    <w:p>
      <w:pPr>
        <w:pStyle w:val="6"/>
        <w:rPr>
          <w:rFonts w:hint="eastAsia"/>
        </w:rPr>
      </w:pPr>
    </w:p>
    <w:p>
      <w:pPr>
        <w:numPr>
          <w:ilvl w:val="0"/>
          <w:numId w:val="2"/>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autoSpaceDE w:val="0"/>
        <w:autoSpaceDN w:val="0"/>
        <w:adjustRightInd w:val="0"/>
        <w:spacing w:line="600" w:lineRule="exact"/>
        <w:ind w:left="638" w:leftChars="304" w:firstLine="0" w:firstLineChars="0"/>
        <w:jc w:val="left"/>
        <w:outlineLvl w:val="2"/>
        <w:rPr>
          <w:rFonts w:ascii="仿宋" w:hAnsi="仿宋" w:eastAsia="仿宋"/>
          <w:b/>
          <w:color w:val="auto"/>
          <w:sz w:val="32"/>
          <w:szCs w:val="32"/>
          <w:highlight w:val="none"/>
        </w:rPr>
      </w:pPr>
      <w:bookmarkStart w:id="47" w:name="_Toc15377223"/>
      <w:r>
        <w:rPr>
          <w:rFonts w:hint="eastAsia" w:ascii="仿宋_GB2312" w:hAnsi="仿宋_GB2312" w:eastAsia="仿宋_GB2312" w:cs="仿宋_GB2312"/>
          <w:b w:val="0"/>
          <w:bCs/>
          <w:color w:val="auto"/>
          <w:sz w:val="32"/>
          <w:szCs w:val="32"/>
          <w:highlight w:val="none"/>
          <w:lang w:val="en-US" w:eastAsia="zh-CN"/>
        </w:rPr>
        <w:t>2021年</w:t>
      </w:r>
      <w:r>
        <w:rPr>
          <w:rFonts w:hint="eastAsia" w:ascii="仿宋_GB2312" w:hAnsi="仿宋_GB2312" w:eastAsia="仿宋_GB2312" w:cs="仿宋_GB2312"/>
          <w:b w:val="0"/>
          <w:bCs/>
          <w:i w:val="0"/>
          <w:iCs w:val="0"/>
          <w:caps w:val="0"/>
          <w:color w:val="000000"/>
          <w:spacing w:val="0"/>
          <w:sz w:val="32"/>
          <w:szCs w:val="32"/>
          <w:highlight w:val="none"/>
        </w:rPr>
        <w:t>未发生机关运行经费支出</w:t>
      </w:r>
      <w:r>
        <w:rPr>
          <w:rFonts w:hint="eastAsia" w:ascii="仿宋_GB2312" w:hAnsi="仿宋_GB2312" w:eastAsia="仿宋_GB2312" w:cs="仿宋_GB2312"/>
          <w:b w:val="0"/>
          <w:bCs/>
          <w:i w:val="0"/>
          <w:iCs w:val="0"/>
          <w:caps w:val="0"/>
          <w:color w:val="000000"/>
          <w:spacing w:val="0"/>
          <w:sz w:val="32"/>
          <w:szCs w:val="32"/>
          <w:highlight w:val="none"/>
          <w:lang w:eastAsia="zh-CN"/>
        </w:rPr>
        <w:t>，</w:t>
      </w:r>
      <w:r>
        <w:rPr>
          <w:rFonts w:hint="eastAsia" w:ascii="仿宋_GB2312" w:hAnsi="仿宋_GB2312" w:eastAsia="仿宋_GB2312" w:cs="仿宋_GB2312"/>
          <w:b w:val="0"/>
          <w:bCs/>
          <w:i w:val="0"/>
          <w:iCs w:val="0"/>
          <w:caps w:val="0"/>
          <w:color w:val="000000"/>
          <w:spacing w:val="0"/>
          <w:sz w:val="32"/>
          <w:szCs w:val="32"/>
          <w:highlight w:val="none"/>
          <w:lang w:val="en-US" w:eastAsia="zh-CN"/>
        </w:rPr>
        <w:t>与2020年决算数持平</w:t>
      </w:r>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w:t>
      </w:r>
      <w:r>
        <w:rPr>
          <w:rFonts w:hint="eastAsia" w:ascii="仿宋_GB2312" w:hAnsi="仿宋_GB2312" w:eastAsia="仿宋_GB2312" w:cs="仿宋_GB2312"/>
          <w:color w:val="auto"/>
          <w:sz w:val="32"/>
          <w:szCs w:val="32"/>
          <w:highlight w:val="none"/>
          <w:lang w:val="en-US" w:eastAsia="zh-CN"/>
        </w:rPr>
        <w:t>红星公园服务中心</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广元市</w:t>
      </w:r>
      <w:r>
        <w:rPr>
          <w:rFonts w:hint="eastAsia" w:ascii="仿宋_GB2312" w:hAnsi="仿宋_GB2312" w:eastAsia="仿宋_GB2312" w:cs="仿宋_GB2312"/>
          <w:color w:val="auto"/>
          <w:sz w:val="32"/>
          <w:szCs w:val="32"/>
          <w:highlight w:val="none"/>
          <w:lang w:val="en-US" w:eastAsia="zh-CN"/>
        </w:rPr>
        <w:t>红星公园服务中心</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bookmarkStart w:id="5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社会保障和就业（类）行政事业单位离退休（款）机关事业单位基本养老保险缴费支出（项）</w:t>
      </w:r>
      <w:r>
        <w:rPr>
          <w:rFonts w:hint="eastAsia" w:ascii="仿宋_GB2312" w:eastAsia="仿宋_GB2312" w:cs="仿宋_GB2312"/>
          <w:color w:val="000000"/>
          <w:sz w:val="32"/>
          <w:szCs w:val="32"/>
        </w:rPr>
        <w:t>：指反映机关事业单位实施养老保险制度由单位缴纳的基本养老保险支出。</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w:t>
      </w:r>
      <w:r>
        <w:rPr>
          <w:rFonts w:hint="eastAsia" w:ascii="仿宋_GB2312" w:eastAsia="仿宋_GB2312"/>
          <w:color w:val="000000"/>
          <w:sz w:val="32"/>
          <w:szCs w:val="32"/>
        </w:rPr>
        <w:t>医疗卫生与计划生育</w:t>
      </w:r>
      <w:r>
        <w:rPr>
          <w:rStyle w:val="15"/>
          <w:rFonts w:hint="eastAsia" w:ascii="仿宋_GB2312" w:eastAsia="仿宋_GB2312" w:cs="仿宋_GB2312"/>
          <w:b w:val="0"/>
          <w:bCs w:val="0"/>
          <w:color w:val="000000"/>
          <w:sz w:val="32"/>
          <w:szCs w:val="32"/>
        </w:rPr>
        <w:t>（类）行政事业单位医疗（款）事业单位医疗（项）</w:t>
      </w:r>
      <w:r>
        <w:rPr>
          <w:rFonts w:hint="eastAsia" w:ascii="仿宋_GB2312" w:eastAsia="仿宋_GB2312" w:cs="仿宋_GB2312"/>
          <w:color w:val="000000"/>
          <w:sz w:val="32"/>
          <w:szCs w:val="32"/>
        </w:rPr>
        <w:t>：指反映财政部门集中安排的事业单位基本医疗保险缴费经费，未参加医疗保险的事业单位的公费医疗经费，按国家规定享受离休人员待遇的医疗经费。</w:t>
      </w:r>
    </w:p>
    <w:p>
      <w:pPr>
        <w:keepNext w:val="0"/>
        <w:keepLines w:val="0"/>
        <w:pageBreakBefore w:val="0"/>
        <w:kinsoku/>
        <w:wordWrap/>
        <w:overflowPunct/>
        <w:topLinePunct w:val="0"/>
        <w:bidi w:val="0"/>
        <w:spacing w:line="576" w:lineRule="exact"/>
        <w:ind w:firstLine="640" w:firstLineChars="200"/>
        <w:textAlignment w:val="auto"/>
        <w:rPr>
          <w:rStyle w:val="15"/>
          <w:rFonts w:hint="eastAsia" w:ascii="仿宋_GB2312" w:hAnsi="仿宋_GB2312" w:eastAsia="仿宋_GB2312" w:cs="仿宋_GB2312"/>
          <w:b w:val="0"/>
          <w:bCs w:val="0"/>
          <w:sz w:val="32"/>
          <w:szCs w:val="32"/>
          <w:lang w:val="en-US" w:eastAsia="zh-CN"/>
        </w:rPr>
      </w:pPr>
      <w:r>
        <w:rPr>
          <w:rStyle w:val="15"/>
          <w:rFonts w:hint="eastAsia" w:ascii="仿宋_GB2312" w:eastAsia="仿宋_GB2312" w:cs="仿宋_GB2312"/>
          <w:b w:val="0"/>
          <w:bCs w:val="0"/>
          <w:sz w:val="32"/>
          <w:szCs w:val="32"/>
          <w:lang w:val="en-US" w:eastAsia="zh-CN"/>
        </w:rPr>
        <w:t>4.</w:t>
      </w:r>
      <w:r>
        <w:rPr>
          <w:rFonts w:hint="eastAsia" w:ascii="仿宋_GB2312" w:hAnsi="仿宋_GB2312" w:eastAsia="仿宋_GB2312" w:cs="仿宋_GB2312"/>
          <w:i w:val="0"/>
          <w:iCs w:val="0"/>
          <w:caps w:val="0"/>
          <w:color w:val="000000"/>
          <w:spacing w:val="0"/>
          <w:sz w:val="32"/>
          <w:szCs w:val="32"/>
          <w:shd w:val="clear" w:fill="FFFFFF"/>
        </w:rPr>
        <w:t>城乡社区支出（类）城乡社区公共设施（款）其他城乡社区公共设施支出（项），指其他用于城乡社区公共设施方面的支出</w:t>
      </w:r>
      <w:r>
        <w:rPr>
          <w:rFonts w:hint="eastAsia" w:ascii="仿宋_GB2312" w:hAnsi="仿宋_GB2312" w:eastAsia="仿宋_GB2312" w:cs="仿宋_GB2312"/>
          <w:i w:val="0"/>
          <w:iCs w:val="0"/>
          <w:caps w:val="0"/>
          <w:color w:val="000000"/>
          <w:spacing w:val="0"/>
          <w:sz w:val="32"/>
          <w:szCs w:val="32"/>
          <w:shd w:val="clear" w:fill="FFFFFF"/>
          <w:lang w:eastAsia="zh-CN"/>
        </w:rPr>
        <w:t>。</w:t>
      </w:r>
    </w:p>
    <w:p>
      <w:pPr>
        <w:keepNext w:val="0"/>
        <w:keepLines w:val="0"/>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Style w:val="15"/>
          <w:rFonts w:hint="eastAsia" w:ascii="仿宋_GB2312" w:eastAsia="仿宋_GB2312" w:cs="仿宋_GB2312"/>
          <w:b w:val="0"/>
          <w:bCs w:val="0"/>
          <w:sz w:val="32"/>
          <w:szCs w:val="32"/>
          <w:lang w:val="en-US" w:eastAsia="zh-CN"/>
        </w:rPr>
        <w:t>5.</w:t>
      </w:r>
      <w:r>
        <w:rPr>
          <w:rStyle w:val="15"/>
          <w:rFonts w:hint="eastAsia" w:ascii="仿宋_GB2312" w:eastAsia="仿宋_GB2312" w:cs="仿宋_GB2312"/>
          <w:b w:val="0"/>
          <w:bCs w:val="0"/>
          <w:sz w:val="32"/>
          <w:szCs w:val="32"/>
        </w:rPr>
        <w:t>住房保障</w:t>
      </w:r>
      <w:r>
        <w:rPr>
          <w:rStyle w:val="15"/>
          <w:rFonts w:hint="eastAsia" w:ascii="仿宋_GB2312" w:eastAsia="仿宋_GB2312" w:cs="仿宋_GB2312"/>
          <w:b w:val="0"/>
          <w:bCs w:val="0"/>
          <w:color w:val="000000"/>
          <w:sz w:val="32"/>
          <w:szCs w:val="32"/>
        </w:rPr>
        <w:t>（类）住房改革支出（款）住房公积金（项）</w:t>
      </w:r>
      <w:r>
        <w:rPr>
          <w:rFonts w:hint="eastAsia" w:ascii="仿宋_GB2312" w:eastAsia="仿宋_GB2312" w:cs="仿宋_GB2312"/>
          <w:color w:val="000000"/>
          <w:sz w:val="32"/>
          <w:szCs w:val="32"/>
        </w:rPr>
        <w:t>：指反映行政事业单位按人力资源和社会保障部、财政部规定的基本工资和津贴补贴以及规定比例为职工缴纳住房公积金。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3"/>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color w:val="auto"/>
          <w:highlight w:val="none"/>
        </w:rPr>
      </w:pP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spacing w:line="600" w:lineRule="exact"/>
        <w:ind w:firstLine="640" w:firstLineChars="200"/>
        <w:jc w:val="left"/>
        <w:outlineLvl w:val="0"/>
        <w:rPr>
          <w:rFonts w:hint="eastAsia" w:ascii="仿宋_GB2312" w:hAnsi="仿宋_GB2312" w:eastAsia="仿宋_GB2312" w:cs="仿宋_GB2312"/>
          <w:color w:val="auto"/>
          <w:sz w:val="32"/>
          <w:szCs w:val="32"/>
          <w:highlight w:val="none"/>
        </w:rPr>
      </w:pPr>
      <w:bookmarkStart w:id="53" w:name="_Toc15396618"/>
    </w:p>
    <w:p>
      <w:pPr>
        <w:spacing w:line="600" w:lineRule="exact"/>
        <w:ind w:firstLine="640" w:firstLineChars="200"/>
        <w:jc w:val="left"/>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市委机构编制委员会《关于市城区广场公园栖凤湖管理体制调整有关事项的通知》（广编发〔2021〕5号）文件精神，市凤凰山公园服务中心机构撤销，年初预算项目指标调整到住房中心、绿化中心等单位，由接收单位进行项目绩效自评。</w:t>
      </w:r>
    </w:p>
    <w:p>
      <w:pPr>
        <w:pStyle w:val="2"/>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5"/>
    </w:p>
    <w:p>
      <w:pPr>
        <w:pStyle w:val="4"/>
        <w:rPr>
          <w:rStyle w:val="26"/>
          <w:rFonts w:hint="eastAsia" w:ascii="仿宋" w:hAnsi="仿宋" w:eastAsia="仿宋"/>
          <w:b w:val="0"/>
          <w:bCs w:val="0"/>
          <w:color w:val="auto"/>
          <w:highlight w:val="none"/>
        </w:rPr>
      </w:pPr>
      <w:bookmarkStart w:id="66"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footerReference r:id="rId7" w:type="firs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E992"/>
    <w:multiLevelType w:val="singleLevel"/>
    <w:tmpl w:val="96FFE992"/>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EAD6997"/>
    <w:rsid w:val="10C055FF"/>
    <w:rsid w:val="118107EC"/>
    <w:rsid w:val="11DD6519"/>
    <w:rsid w:val="16BB723D"/>
    <w:rsid w:val="18015F3F"/>
    <w:rsid w:val="1BE8440E"/>
    <w:rsid w:val="1D155CEE"/>
    <w:rsid w:val="20517888"/>
    <w:rsid w:val="20F57F95"/>
    <w:rsid w:val="240371BF"/>
    <w:rsid w:val="25C741E6"/>
    <w:rsid w:val="27842671"/>
    <w:rsid w:val="29FD04D3"/>
    <w:rsid w:val="2ABE7A3E"/>
    <w:rsid w:val="2EFA178C"/>
    <w:rsid w:val="30B46D73"/>
    <w:rsid w:val="319F7F4E"/>
    <w:rsid w:val="39AE70AB"/>
    <w:rsid w:val="3C0C0783"/>
    <w:rsid w:val="3F795B0E"/>
    <w:rsid w:val="3F9F3A96"/>
    <w:rsid w:val="40350D30"/>
    <w:rsid w:val="493C27E9"/>
    <w:rsid w:val="496F39ED"/>
    <w:rsid w:val="49FF41D3"/>
    <w:rsid w:val="4A185DC8"/>
    <w:rsid w:val="4BE068DB"/>
    <w:rsid w:val="4BF6002B"/>
    <w:rsid w:val="4ECE2238"/>
    <w:rsid w:val="51DB4B86"/>
    <w:rsid w:val="529975EA"/>
    <w:rsid w:val="55333C3E"/>
    <w:rsid w:val="5EB00B98"/>
    <w:rsid w:val="621A6DD5"/>
    <w:rsid w:val="64CA39A1"/>
    <w:rsid w:val="6C4A05C8"/>
    <w:rsid w:val="6DC70296"/>
    <w:rsid w:val="6FBB68C0"/>
    <w:rsid w:val="72734D90"/>
    <w:rsid w:val="77C81274"/>
    <w:rsid w:val="79E7B28D"/>
    <w:rsid w:val="7C775BAB"/>
    <w:rsid w:val="7F9F20EE"/>
    <w:rsid w:val="9E3A10E2"/>
    <w:rsid w:val="DFFB99A9"/>
    <w:rsid w:val="F2E1F9D4"/>
    <w:rsid w:val="F7880819"/>
    <w:rsid w:val="F7DF39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5991;&#20214;&#22841;%20(3)\&#39292;&#2227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C:\Users\Administrator\Desktop\&#26032;&#24314;&#25991;&#20214;&#22841;%20(3)\&#39292;&#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6032;&#24314;&#25991;&#20214;&#22841;%20(3)\&#39292;&#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032;&#24314;&#25991;&#20214;&#22841;%20(3)\&#39292;&#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5991;&#20214;&#22841;%20(3)\&#39292;&#2227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oleObject" Target="file:///C:\Users\Administrator\Desktop\&#26032;&#24314;&#25991;&#20214;&#22841;%20(3)\&#39292;&#22270;.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oleObject" Target="file:///C:\Users\Administrator\Desktop\&#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77638888888889"/>
          <c:y val="0.0381944444444444"/>
        </c:manualLayout>
      </c:layout>
      <c:overlay val="false"/>
      <c:spPr>
        <a:noFill/>
        <a:ln>
          <a:noFill/>
        </a:ln>
        <a:effectLst/>
      </c:spPr>
    </c:title>
    <c:autoTitleDeleted val="false"/>
    <c:plotArea>
      <c:layout>
        <c:manualLayout>
          <c:layoutTarget val="inner"/>
          <c:xMode val="edge"/>
          <c:yMode val="edge"/>
          <c:x val="0.0474444444444444"/>
          <c:y val="0.176388888888889"/>
          <c:w val="0.919916666666667"/>
          <c:h val="0.606342592592593"/>
        </c:manualLayout>
      </c:layout>
      <c:barChart>
        <c:barDir val="col"/>
        <c:grouping val="clustered"/>
        <c:varyColors val="false"/>
        <c:ser>
          <c:idx val="0"/>
          <c:order val="0"/>
          <c:tx>
            <c:strRef>
              <c:f>"年度"</c:f>
              <c:strCache>
                <c:ptCount val="1"/>
                <c:pt idx="0">
                  <c:v>年度</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[饼图.xlsx]照明中心12月工资明细表!$T$12:$T$13</c:f>
              <c:numCache>
                <c:formatCode>General</c:formatCode>
                <c:ptCount val="2"/>
                <c:pt idx="0">
                  <c:v>2020</c:v>
                </c:pt>
                <c:pt idx="1">
                  <c:v>2021</c:v>
                </c:pt>
              </c:numCache>
            </c:numRef>
          </c:cat>
          <c:val>
            <c:numRef>
              <c:f>[饼图.xlsx]照明中心12月工资明细表!$U$12:$U$13</c:f>
              <c:numCache>
                <c:formatCode>General</c:formatCode>
                <c:ptCount val="2"/>
                <c:pt idx="0">
                  <c:v>84.17</c:v>
                </c:pt>
                <c:pt idx="1">
                  <c:v>28.95</c:v>
                </c:pt>
              </c:numCache>
            </c:numRef>
          </c:val>
        </c:ser>
        <c:dLbls>
          <c:showLegendKey val="false"/>
          <c:showVal val="true"/>
          <c:showCatName val="false"/>
          <c:showSerName val="false"/>
          <c:showPercent val="false"/>
          <c:showBubbleSize val="false"/>
        </c:dLbls>
        <c:gapWidth val="219"/>
        <c:overlap val="-27"/>
        <c:axId val="249526437"/>
        <c:axId val="473462544"/>
      </c:barChart>
      <c:catAx>
        <c:axId val="24952643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3462544"/>
        <c:crosses val="autoZero"/>
        <c:auto val="true"/>
        <c:lblAlgn val="ctr"/>
        <c:lblOffset val="100"/>
        <c:noMultiLvlLbl val="false"/>
      </c:catAx>
      <c:valAx>
        <c:axId val="4734625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9526437"/>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1" i="0" u="none" strike="noStrike" kern="1200" baseline="0">
                <a:solidFill>
                  <a:schemeClr val="tx1"/>
                </a:solidFill>
                <a:latin typeface="+mn-lt"/>
                <a:ea typeface="+mn-ea"/>
                <a:cs typeface="+mn-cs"/>
              </a:defRPr>
            </a:pPr>
            <a:r>
              <a:rPr>
                <a:solidFill>
                  <a:schemeClr val="tx1"/>
                </a:solidFill>
              </a:rPr>
              <a:t>收入决算结构图</a:t>
            </a:r>
            <a:endParaRPr>
              <a:solidFill>
                <a:schemeClr val="tx1"/>
              </a:solidFill>
            </a:endParaRPr>
          </a:p>
        </c:rich>
      </c:tx>
      <c:layout>
        <c:manualLayout>
          <c:xMode val="edge"/>
          <c:yMode val="edge"/>
          <c:x val="0.377970813064629"/>
          <c:y val="0.0308621362814401"/>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hade val="53333"/>
                </a:schemeClr>
              </a:solidFill>
              <a:ln>
                <a:noFill/>
              </a:ln>
              <a:effectLst>
                <a:outerShdw blurRad="254000" sx="102000" sy="102000" algn="ctr" rotWithShape="0">
                  <a:prstClr val="black">
                    <a:alpha val="20000"/>
                  </a:prstClr>
                </a:outerShdw>
              </a:effectLst>
            </c:spPr>
          </c:dPt>
          <c:dLbls>
            <c:delete val="true"/>
          </c:dLbls>
          <c:cat>
            <c:strRef>
              <c:f>[饼图.xlsx]照明中心12月工资明细表!$C$9</c:f>
              <c:strCache>
                <c:ptCount val="1"/>
                <c:pt idx="0">
                  <c:v>一般公共预算财政拨款收入</c:v>
                </c:pt>
              </c:strCache>
            </c:strRef>
          </c:cat>
          <c:val>
            <c:numRef>
              <c:f>[饼图.xlsx]照明中心12月工资明细表!$D$9</c:f>
              <c:numCache>
                <c:formatCode>General</c:formatCode>
                <c:ptCount val="1"/>
                <c:pt idx="0">
                  <c:v>28.95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1" i="0" u="none" strike="noStrike" kern="1200" baseline="0">
                <a:solidFill>
                  <a:schemeClr val="tx1"/>
                </a:solidFill>
                <a:latin typeface="+mn-lt"/>
                <a:ea typeface="+mn-ea"/>
                <a:cs typeface="+mn-cs"/>
              </a:defRPr>
            </a:pPr>
            <a:r>
              <a:rPr>
                <a:solidFill>
                  <a:schemeClr val="tx1"/>
                </a:solidFill>
              </a:rPr>
              <a:t>支出决算结构图</a:t>
            </a:r>
            <a:endParaRPr>
              <a:solidFill>
                <a:schemeClr val="tx1"/>
              </a:solidFill>
            </a:endParaRPr>
          </a:p>
        </c:rich>
      </c:tx>
      <c:layout>
        <c:manualLayout>
          <c:xMode val="edge"/>
          <c:yMode val="edge"/>
          <c:x val="0.377970813064629"/>
          <c:y val="0.0308621362814401"/>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hade val="53333"/>
                </a:schemeClr>
              </a:solidFill>
              <a:ln>
                <a:noFill/>
              </a:ln>
              <a:effectLst>
                <a:outerShdw blurRad="254000" sx="102000" sy="102000" algn="ctr" rotWithShape="0">
                  <a:prstClr val="black">
                    <a:alpha val="20000"/>
                  </a:prstClr>
                </a:outerShdw>
              </a:effectLst>
            </c:spPr>
          </c:dPt>
          <c:dLbls>
            <c:delete val="true"/>
          </c:dLbls>
          <c:cat>
            <c:strRef>
              <c:f>[饼图.xlsx]照明中心12月工资明细表!$C$9</c:f>
              <c:strCache>
                <c:ptCount val="1"/>
                <c:pt idx="0">
                  <c:v>基本支出</c:v>
                </c:pt>
              </c:strCache>
            </c:strRef>
          </c:cat>
          <c:val>
            <c:numRef>
              <c:f>[饼图.xlsx]照明中心12月工资明细表!$D$9</c:f>
              <c:numCache>
                <c:formatCode>General</c:formatCode>
                <c:ptCount val="1"/>
                <c:pt idx="0">
                  <c:v>28.95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08888888888889"/>
          <c:y val="0.0381944444444444"/>
        </c:manualLayout>
      </c:layout>
      <c:overlay val="false"/>
      <c:spPr>
        <a:noFill/>
        <a:ln>
          <a:noFill/>
        </a:ln>
        <a:effectLst/>
      </c:spPr>
    </c:title>
    <c:autoTitleDeleted val="false"/>
    <c:plotArea>
      <c:layout>
        <c:manualLayout>
          <c:layoutTarget val="inner"/>
          <c:xMode val="edge"/>
          <c:yMode val="edge"/>
          <c:x val="0.0474444444444444"/>
          <c:y val="0.176388888888889"/>
          <c:w val="0.919916666666667"/>
          <c:h val="0.606342592592593"/>
        </c:manualLayout>
      </c:layout>
      <c:barChart>
        <c:barDir val="col"/>
        <c:grouping val="clustered"/>
        <c:varyColors val="false"/>
        <c:ser>
          <c:idx val="0"/>
          <c:order val="0"/>
          <c:tx>
            <c:strRef>
              <c:f>"年度"</c:f>
              <c:strCache>
                <c:ptCount val="1"/>
                <c:pt idx="0">
                  <c:v>年度</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[饼图.xlsx]照明中心12月工资明细表!$T$12:$T$13</c:f>
              <c:numCache>
                <c:formatCode>General</c:formatCode>
                <c:ptCount val="2"/>
                <c:pt idx="0">
                  <c:v>2020</c:v>
                </c:pt>
                <c:pt idx="1">
                  <c:v>2021</c:v>
                </c:pt>
              </c:numCache>
            </c:numRef>
          </c:cat>
          <c:val>
            <c:numRef>
              <c:f>[饼图.xlsx]照明中心12月工资明细表!$U$12:$U$13</c:f>
              <c:numCache>
                <c:formatCode>General</c:formatCode>
                <c:ptCount val="2"/>
                <c:pt idx="0">
                  <c:v>84.17</c:v>
                </c:pt>
                <c:pt idx="1">
                  <c:v>28.95</c:v>
                </c:pt>
              </c:numCache>
            </c:numRef>
          </c:val>
        </c:ser>
        <c:dLbls>
          <c:showLegendKey val="false"/>
          <c:showVal val="true"/>
          <c:showCatName val="false"/>
          <c:showSerName val="false"/>
          <c:showPercent val="false"/>
          <c:showBubbleSize val="false"/>
        </c:dLbls>
        <c:gapWidth val="219"/>
        <c:overlap val="-27"/>
        <c:axId val="249526437"/>
        <c:axId val="473462544"/>
      </c:barChart>
      <c:catAx>
        <c:axId val="24952643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3462544"/>
        <c:crosses val="autoZero"/>
        <c:auto val="true"/>
        <c:lblAlgn val="ctr"/>
        <c:lblOffset val="100"/>
        <c:noMultiLvlLbl val="false"/>
      </c:catAx>
      <c:valAx>
        <c:axId val="4734625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9526437"/>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85972222222222"/>
          <c:y val="0.0416666666666666"/>
        </c:manualLayout>
      </c:layout>
      <c:overlay val="false"/>
      <c:spPr>
        <a:noFill/>
        <a:ln>
          <a:noFill/>
        </a:ln>
        <a:effectLst/>
      </c:spPr>
    </c:title>
    <c:autoTitleDeleted val="false"/>
    <c:plotArea>
      <c:layout>
        <c:manualLayout>
          <c:layoutTarget val="inner"/>
          <c:xMode val="edge"/>
          <c:yMode val="edge"/>
          <c:x val="0.0474444444444444"/>
          <c:y val="0.176388888888889"/>
          <c:w val="0.919916666666667"/>
          <c:h val="0.606342592592593"/>
        </c:manualLayout>
      </c:layout>
      <c:barChart>
        <c:barDir val="col"/>
        <c:grouping val="clustered"/>
        <c:varyColors val="false"/>
        <c:ser>
          <c:idx val="0"/>
          <c:order val="0"/>
          <c:tx>
            <c:strRef>
              <c:f>"年度"</c:f>
              <c:strCache>
                <c:ptCount val="1"/>
                <c:pt idx="0">
                  <c:v>年度</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[饼图.xlsx]照明中心12月工资明细表!$T$12:$T$13</c:f>
              <c:numCache>
                <c:formatCode>General</c:formatCode>
                <c:ptCount val="2"/>
                <c:pt idx="0">
                  <c:v>2020</c:v>
                </c:pt>
                <c:pt idx="1">
                  <c:v>2021</c:v>
                </c:pt>
              </c:numCache>
            </c:numRef>
          </c:cat>
          <c:val>
            <c:numRef>
              <c:f>[饼图.xlsx]照明中心12月工资明细表!$U$12:$U$13</c:f>
              <c:numCache>
                <c:formatCode>General</c:formatCode>
                <c:ptCount val="2"/>
                <c:pt idx="0">
                  <c:v>84.17</c:v>
                </c:pt>
                <c:pt idx="1">
                  <c:v>28.95</c:v>
                </c:pt>
              </c:numCache>
            </c:numRef>
          </c:val>
        </c:ser>
        <c:dLbls>
          <c:showLegendKey val="false"/>
          <c:showVal val="true"/>
          <c:showCatName val="false"/>
          <c:showSerName val="false"/>
          <c:showPercent val="false"/>
          <c:showBubbleSize val="false"/>
        </c:dLbls>
        <c:gapWidth val="219"/>
        <c:overlap val="-27"/>
        <c:axId val="249526437"/>
        <c:axId val="473462544"/>
      </c:barChart>
      <c:catAx>
        <c:axId val="24952643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3462544"/>
        <c:crosses val="autoZero"/>
        <c:auto val="true"/>
        <c:lblAlgn val="ctr"/>
        <c:lblOffset val="100"/>
        <c:noMultiLvlLbl val="false"/>
      </c:catAx>
      <c:valAx>
        <c:axId val="4734625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49526437"/>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1" i="0" u="none" strike="noStrike" kern="1200" baseline="0">
                <a:solidFill>
                  <a:schemeClr val="tx1"/>
                </a:solidFill>
                <a:latin typeface="+mn-lt"/>
                <a:ea typeface="+mn-ea"/>
                <a:cs typeface="+mn-cs"/>
              </a:defRPr>
            </a:pPr>
            <a:r>
              <a:rPr>
                <a:solidFill>
                  <a:schemeClr val="tx1"/>
                </a:solidFill>
              </a:rPr>
              <a:t>一般公共预算财政拨款支出决算结构</a:t>
            </a:r>
            <a:endParaRPr>
              <a:solidFill>
                <a:schemeClr val="tx1"/>
              </a:solidFill>
            </a:endParaRPr>
          </a:p>
        </c:rich>
      </c:tx>
      <c:layout>
        <c:manualLayout>
          <c:xMode val="edge"/>
          <c:yMode val="edge"/>
          <c:x val="0.186170952050035"/>
          <c:y val="0.0275139219957258"/>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hade val="53333"/>
                </a:schemeClr>
              </a:solidFill>
              <a:ln>
                <a:noFill/>
              </a:ln>
              <a:effectLst>
                <a:outerShdw blurRad="254000" sx="102000" sy="102000" algn="ctr" rotWithShape="0">
                  <a:prstClr val="black">
                    <a:alpha val="20000"/>
                  </a:prstClr>
                </a:outerShdw>
              </a:effectLst>
            </c:spPr>
          </c:dPt>
          <c:dPt>
            <c:idx val="1"/>
            <c:bubble3D val="false"/>
            <c:spPr>
              <a:solidFill>
                <a:srgbClr val="5B9BD5"/>
              </a:solidFill>
              <a:ln>
                <a:noFill/>
              </a:ln>
              <a:effectLst>
                <a:outerShdw blurRad="254000" sx="102000" sy="102000" algn="ctr" rotWithShape="0">
                  <a:prstClr val="black">
                    <a:alpha val="20000"/>
                  </a:prstClr>
                </a:outerShdw>
              </a:effectLst>
            </c:spPr>
          </c:dPt>
          <c:dPt>
            <c:idx val="2"/>
            <c:bubble3D val="false"/>
            <c:spPr>
              <a:solidFill>
                <a:srgbClr val="FFC000"/>
              </a:solidFill>
              <a:ln>
                <a:noFill/>
              </a:ln>
              <a:effectLst>
                <a:outerShdw blurRad="254000" sx="102000" sy="102000" algn="ctr" rotWithShape="0">
                  <a:prstClr val="black">
                    <a:alpha val="20000"/>
                  </a:prstClr>
                </a:outerShdw>
              </a:effectLst>
            </c:spPr>
          </c:dPt>
          <c:dPt>
            <c:idx val="3"/>
            <c:bubble3D val="false"/>
            <c:spPr>
              <a:solidFill>
                <a:schemeClr val="accent1">
                  <a:tint val="58000"/>
                </a:schemeClr>
              </a:solidFill>
              <a:ln>
                <a:noFill/>
              </a:ln>
              <a:effectLst>
                <a:outerShdw blurRad="254000" sx="102000" sy="102000" algn="ctr" rotWithShape="0">
                  <a:prstClr val="black">
                    <a:alpha val="20000"/>
                  </a:prstClr>
                </a:outerShdw>
              </a:effectLst>
            </c:spPr>
          </c:dPt>
          <c:dLbls>
            <c:delete val="true"/>
          </c:dLbls>
          <c:cat>
            <c:strRef>
              <c:f>[饼图.xlsx]照明中心12月工资明细表!$C$9:$C$12</c:f>
              <c:strCache>
                <c:ptCount val="4"/>
                <c:pt idx="0">
                  <c:v>城乡社区支出</c:v>
                </c:pt>
                <c:pt idx="1">
                  <c:v>社会保障和就业</c:v>
                </c:pt>
                <c:pt idx="2">
                  <c:v>卫生健康支出</c:v>
                </c:pt>
                <c:pt idx="3">
                  <c:v>住房保障支出</c:v>
                </c:pt>
              </c:strCache>
            </c:strRef>
          </c:cat>
          <c:val>
            <c:numRef>
              <c:f>[饼图.xlsx]照明中心12月工资明细表!$D$9:$D$12</c:f>
              <c:numCache>
                <c:formatCode>General</c:formatCode>
                <c:ptCount val="4"/>
                <c:pt idx="0">
                  <c:v>21.6</c:v>
                </c:pt>
                <c:pt idx="1">
                  <c:v>2.4</c:v>
                </c:pt>
                <c:pt idx="2">
                  <c:v>1.22</c:v>
                </c:pt>
                <c:pt idx="3">
                  <c:v>3.73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true"/>
          <a:lstStyle/>
          <a:p>
            <a:pPr>
              <a:defRPr lang="zh-CN" sz="900" b="0" i="0" u="none" strike="noStrike" kern="1200" baseline="0">
                <a:solidFill>
                  <a:schemeClr val="tx1"/>
                </a:solidFill>
                <a:latin typeface="+mn-lt"/>
                <a:ea typeface="+mn-ea"/>
                <a:cs typeface="+mn-cs"/>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1" i="0" u="none" strike="noStrike" kern="1200" baseline="0">
                <a:solidFill>
                  <a:schemeClr val="tx1"/>
                </a:solidFill>
                <a:latin typeface="+mn-lt"/>
                <a:ea typeface="+mn-ea"/>
                <a:cs typeface="+mn-cs"/>
              </a:defRPr>
            </a:pPr>
            <a:r>
              <a:rPr lang="zh-CN" altLang="en-US">
                <a:solidFill>
                  <a:schemeClr val="tx1"/>
                </a:solidFill>
              </a:rPr>
              <a:t>标题</a:t>
            </a:r>
            <a:endParaRPr>
              <a:solidFill>
                <a:schemeClr val="tx1"/>
              </a:solidFill>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hade val="58000"/>
                </a:schemeClr>
              </a:solidFill>
              <a:ln>
                <a:noFill/>
              </a:ln>
              <a:effectLst>
                <a:outerShdw blurRad="254000" sx="102000" sy="102000" algn="ctr" rotWithShape="0">
                  <a:prstClr val="black">
                    <a:alpha val="20000"/>
                  </a:prstClr>
                </a:outerShdw>
              </a:effectLst>
            </c:spPr>
          </c:dPt>
          <c:dPt>
            <c:idx val="1"/>
            <c:bubble3D val="false"/>
            <c:spPr>
              <a:solidFill>
                <a:schemeClr val="accent1">
                  <a:shade val="86000"/>
                </a:schemeClr>
              </a:solidFill>
              <a:ln>
                <a:noFill/>
              </a:ln>
              <a:effectLst>
                <a:outerShdw blurRad="254000" sx="102000" sy="102000" algn="ctr" rotWithShape="0">
                  <a:prstClr val="black">
                    <a:alpha val="20000"/>
                  </a:prstClr>
                </a:outerShdw>
              </a:effectLst>
            </c:spPr>
          </c:dPt>
          <c:dPt>
            <c:idx val="2"/>
            <c:bubble3D val="false"/>
            <c:spPr>
              <a:solidFill>
                <a:schemeClr val="accent1">
                  <a:tint val="86000"/>
                </a:schemeClr>
              </a:solidFill>
              <a:ln>
                <a:noFill/>
              </a:ln>
              <a:effectLst>
                <a:outerShdw blurRad="254000" sx="102000" sy="102000" algn="ctr" rotWithShape="0">
                  <a:prstClr val="black">
                    <a:alpha val="20000"/>
                  </a:prstClr>
                </a:outerShdw>
              </a:effectLst>
            </c:spPr>
          </c:dPt>
          <c:dPt>
            <c:idx val="3"/>
            <c:bubble3D val="false"/>
            <c:spPr>
              <a:solidFill>
                <a:schemeClr val="accent1">
                  <a:tint val="58000"/>
                </a:schemeClr>
              </a:solidFill>
              <a:ln>
                <a:noFill/>
              </a:ln>
              <a:effectLst>
                <a:outerShdw blurRad="254000" sx="102000" sy="102000" algn="ctr" rotWithShape="0">
                  <a:prstClr val="black">
                    <a:alpha val="20000"/>
                  </a:prstClr>
                </a:outerShdw>
              </a:effectLst>
            </c:spPr>
          </c:dPt>
          <c:dLbls>
            <c:delete val="true"/>
          </c:dLbls>
          <c:cat>
            <c:strRef>
              <c:f>[饼图.xlsx]照明中心12月工资明细表!$C$9:$C$12</c:f>
              <c:strCache>
                <c:ptCount val="4"/>
                <c:pt idx="0">
                  <c:v>因公出国（境）费支出</c:v>
                </c:pt>
                <c:pt idx="1">
                  <c:v>公务用车购置及运行维护费支出</c:v>
                </c:pt>
                <c:pt idx="2">
                  <c:v>公务接待费支出</c:v>
                </c:pt>
                <c:pt idx="3">
                  <c:v>无预算安排</c:v>
                </c:pt>
              </c:strCache>
            </c:strRef>
          </c:cat>
          <c:val>
            <c:numRef>
              <c:f>[饼图.xlsx]照明中心12月工资明细表!$D$9:$D$12</c:f>
              <c:numCache>
                <c:formatCode>General</c:formatCode>
                <c:ptCount val="4"/>
                <c:pt idx="0">
                  <c:v>0</c:v>
                </c:pt>
                <c:pt idx="1">
                  <c:v>0</c:v>
                </c:pt>
                <c:pt idx="2">
                  <c:v>0</c:v>
                </c:pt>
                <c:pt idx="3">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forceAA="false"/>
        <a:lstStyle/>
        <a:p>
          <a:pPr>
            <a:defRPr lang="zh-CN" sz="900" b="0" i="0" u="none" strike="noStrike" kern="1200" baseline="0">
              <a:solidFill>
                <a:schemeClr val="tx1"/>
              </a:solidFill>
              <a:latin typeface="+mn-lt"/>
              <a:ea typeface="+mn-ea"/>
              <a:cs typeface="+mn-cs"/>
            </a:defRPr>
          </a:pPr>
        </a:p>
      </c:txPr>
    </c:legend>
    <c:plotVisOnly val="true"/>
    <c:dispBlanksAs val="gap"/>
    <c:showDLblsOverMax val="false"/>
  </c:chart>
  <c:spPr>
    <a:noFill/>
    <a:ln w="9525" cap="flat" cmpd="sng" algn="ctr">
      <a:solidFill>
        <a:schemeClr val="dk1">
          <a:lumMod val="25000"/>
          <a:lumOff val="75000"/>
        </a:schemeClr>
      </a:solidFill>
      <a:round/>
    </a:ln>
    <a:effectLst/>
  </c:spPr>
  <c:txPr>
    <a:bodyPr/>
    <a:lstStyle/>
    <a:p>
      <a:pPr>
        <a:defRPr lang="zh-CN">
          <a:solidFill>
            <a:schemeClr val="tx1"/>
          </a:solidFill>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3252</Words>
  <Characters>3514</Characters>
  <Lines>61</Lines>
  <Paragraphs>17</Paragraphs>
  <TotalTime>11</TotalTime>
  <ScaleCrop>false</ScaleCrop>
  <LinksUpToDate>false</LinksUpToDate>
  <CharactersWithSpaces>3526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2022-09-26T17:26:00Z</cp:lastPrinted>
  <dcterms:modified xsi:type="dcterms:W3CDTF">2023-09-13T10:53:59Z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2CC50D2AA315415B934CB39EE9CFC690_13</vt:lpwstr>
  </property>
</Properties>
</file>