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bookmarkEnd w:id="0"/>
    <w:p>
      <w:pPr>
        <w:adjustRightInd w:val="0"/>
        <w:snapToGrid w:val="0"/>
        <w:spacing w:line="360" w:lineRule="auto"/>
        <w:jc w:val="center"/>
        <w:outlineLvl w:val="9"/>
        <w:rPr>
          <w:rFonts w:hint="eastAsia" w:ascii="华文中宋" w:hAnsi="华文中宋" w:eastAsia="华文中宋" w:cs="华文中宋"/>
          <w:b/>
          <w:bCs/>
          <w:color w:val="auto"/>
          <w:sz w:val="72"/>
          <w:szCs w:val="72"/>
          <w:highlight w:val="none"/>
        </w:rPr>
      </w:pPr>
      <w:bookmarkStart w:id="1" w:name="_Toc15378441"/>
      <w:bookmarkStart w:id="2" w:name="_Toc15396475"/>
      <w:bookmarkStart w:id="3" w:name="_Toc15377193"/>
      <w:bookmarkStart w:id="4" w:name="_Toc15377425"/>
      <w:bookmarkStart w:id="5" w:name="_Toc15396597"/>
      <w:r>
        <w:rPr>
          <w:rFonts w:hint="eastAsia" w:ascii="华文中宋" w:hAnsi="华文中宋" w:eastAsia="华文中宋" w:cs="华文中宋"/>
          <w:b/>
          <w:bCs/>
          <w:color w:val="auto"/>
          <w:sz w:val="72"/>
          <w:szCs w:val="72"/>
          <w:highlight w:val="none"/>
        </w:rPr>
        <w:t>20</w:t>
      </w:r>
      <w:r>
        <w:rPr>
          <w:rFonts w:hint="eastAsia" w:ascii="华文中宋" w:hAnsi="华文中宋" w:eastAsia="华文中宋" w:cs="华文中宋"/>
          <w:b/>
          <w:bCs/>
          <w:color w:val="auto"/>
          <w:sz w:val="72"/>
          <w:szCs w:val="72"/>
          <w:highlight w:val="none"/>
          <w:lang w:val="en-US" w:eastAsia="zh-CN"/>
        </w:rPr>
        <w:t>21</w:t>
      </w:r>
      <w:r>
        <w:rPr>
          <w:rFonts w:hint="eastAsia" w:ascii="华文中宋" w:hAnsi="华文中宋" w:eastAsia="华文中宋" w:cs="华文中宋"/>
          <w:b/>
          <w:bCs/>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9"/>
        <w:rPr>
          <w:rFonts w:hint="eastAsia" w:ascii="华文中宋" w:hAnsi="华文中宋" w:eastAsia="华文中宋" w:cs="华文中宋"/>
          <w:b/>
          <w:bCs/>
          <w:color w:val="auto"/>
          <w:sz w:val="72"/>
          <w:szCs w:val="72"/>
          <w:highlight w:val="none"/>
          <w:lang w:val="en-US" w:eastAsia="zh-CN"/>
        </w:rPr>
      </w:pPr>
      <w:bookmarkStart w:id="6" w:name="_Toc15396598"/>
      <w:bookmarkStart w:id="7" w:name="_Toc15306268"/>
      <w:bookmarkStart w:id="8" w:name="_Toc15377426"/>
      <w:bookmarkStart w:id="9" w:name="_Toc15378442"/>
      <w:bookmarkStart w:id="10" w:name="_Toc15377194"/>
      <w:bookmarkStart w:id="11" w:name="_Toc15396476"/>
      <w:r>
        <w:rPr>
          <w:rFonts w:hint="eastAsia" w:ascii="华文中宋" w:hAnsi="华文中宋" w:eastAsia="华文中宋" w:cs="华文中宋"/>
          <w:b/>
          <w:bCs/>
          <w:color w:val="auto"/>
          <w:sz w:val="72"/>
          <w:szCs w:val="72"/>
          <w:highlight w:val="none"/>
          <w:lang w:val="en-US" w:eastAsia="zh-CN"/>
        </w:rPr>
        <w:t>四川省广元中学</w:t>
      </w:r>
      <w:r>
        <w:rPr>
          <w:rFonts w:hint="eastAsia" w:ascii="华文中宋" w:hAnsi="华文中宋" w:eastAsia="华文中宋" w:cs="华文中宋"/>
          <w:b/>
          <w:bCs/>
          <w:color w:val="auto"/>
          <w:sz w:val="72"/>
          <w:szCs w:val="72"/>
          <w:highlight w:val="none"/>
          <w:lang w:eastAsia="zh-CN"/>
        </w:rPr>
        <w:t>单位</w:t>
      </w:r>
      <w:r>
        <w:rPr>
          <w:rFonts w:hint="eastAsia" w:ascii="华文中宋" w:hAnsi="华文中宋" w:eastAsia="华文中宋" w:cs="华文中宋"/>
          <w:b/>
          <w:bCs/>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32"/>
          <w:szCs w:val="32"/>
          <w:highlight w:val="none"/>
        </w:rPr>
        <w:t>目录</w:t>
      </w:r>
    </w:p>
    <w:p>
      <w:pPr>
        <w:pStyle w:val="10"/>
        <w:rPr>
          <w:rFonts w:hint="eastAsia"/>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09</w:t>
      </w:r>
      <w:r>
        <w:rPr>
          <w:rFonts w:hint="eastAsia"/>
          <w:color w:val="auto"/>
          <w:highlight w:val="none"/>
        </w:rPr>
        <w:t>日</w:t>
      </w:r>
    </w:p>
    <w:sdt>
      <w:sdtPr>
        <w:rPr>
          <w:rFonts w:ascii="宋体" w:hAnsi="宋体" w:eastAsia="宋体" w:cs="Times New Roman"/>
          <w:kern w:val="2"/>
          <w:sz w:val="21"/>
          <w:szCs w:val="24"/>
          <w:lang w:val="en-US" w:eastAsia="zh-CN" w:bidi="ar-SA"/>
        </w:rPr>
        <w:id w:val="147467669"/>
        <w15:color w:val="DBDBDB"/>
        <w:docPartObj>
          <w:docPartGallery w:val="Table of Contents"/>
          <w:docPartUnique/>
        </w:docPartObj>
      </w:sdtPr>
      <w:sdtEndPr>
        <w:rPr>
          <w:rFonts w:hint="eastAsia" w:ascii="仿宋" w:hAnsi="仿宋" w:eastAsia="仿宋" w:cs="仿宋"/>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_Toc18758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 xml:space="preserve">第一部分 </w:t>
          </w:r>
          <w:r>
            <w:rPr>
              <w:rFonts w:hint="eastAsia" w:ascii="仿宋" w:hAnsi="仿宋" w:eastAsia="仿宋" w:cs="仿宋"/>
              <w:sz w:val="24"/>
              <w:szCs w:val="24"/>
              <w:highlight w:val="none"/>
              <w:lang w:eastAsia="zh-CN"/>
            </w:rPr>
            <w:t>单位</w:t>
          </w:r>
          <w:r>
            <w:rPr>
              <w:rFonts w:hint="eastAsia" w:ascii="仿宋" w:hAnsi="仿宋" w:eastAsia="仿宋" w:cs="仿宋"/>
              <w:bCs w:val="0"/>
              <w:sz w:val="24"/>
              <w:szCs w:val="24"/>
              <w:highlight w:val="none"/>
            </w:rPr>
            <w:t>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_Toc18758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_Toc28951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eastAsia="zh-CN"/>
            </w:rPr>
            <w:t xml:space="preserve">一、 </w:t>
          </w:r>
          <w:r>
            <w:rPr>
              <w:rFonts w:hint="eastAsia" w:ascii="仿宋" w:hAnsi="仿宋" w:eastAsia="仿宋" w:cs="仿宋"/>
              <w:bCs w:val="0"/>
              <w:sz w:val="24"/>
              <w:szCs w:val="24"/>
              <w:highlight w:val="none"/>
            </w:rPr>
            <w:t>职能</w:t>
          </w:r>
          <w:r>
            <w:rPr>
              <w:rFonts w:hint="eastAsia" w:ascii="仿宋" w:hAnsi="仿宋" w:eastAsia="仿宋" w:cs="仿宋"/>
              <w:bCs w:val="0"/>
              <w:sz w:val="24"/>
              <w:szCs w:val="24"/>
              <w:highlight w:val="none"/>
              <w:lang w:eastAsia="zh-CN"/>
            </w:rPr>
            <w:t>简介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_Toc28951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_Toc28630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二、2021年重点</w:t>
          </w:r>
          <w:r>
            <w:rPr>
              <w:rFonts w:hint="eastAsia" w:ascii="仿宋" w:hAnsi="仿宋" w:eastAsia="仿宋" w:cs="仿宋"/>
              <w:sz w:val="24"/>
              <w:szCs w:val="24"/>
              <w:highlight w:val="none"/>
            </w:rPr>
            <w:t>工作</w:t>
          </w:r>
          <w:r>
            <w:rPr>
              <w:rFonts w:hint="eastAsia" w:ascii="仿宋" w:hAnsi="仿宋" w:eastAsia="仿宋" w:cs="仿宋"/>
              <w:sz w:val="24"/>
              <w:szCs w:val="24"/>
              <w:highlight w:val="none"/>
              <w:lang w:eastAsia="zh-CN"/>
            </w:rPr>
            <w:t>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_Toc28630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_Toc4082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 xml:space="preserve">第二部分 </w:t>
          </w:r>
          <w:r>
            <w:rPr>
              <w:rFonts w:hint="eastAsia" w:ascii="仿宋" w:hAnsi="仿宋" w:eastAsia="仿宋" w:cs="仿宋"/>
              <w:bCs/>
              <w:sz w:val="24"/>
              <w:szCs w:val="24"/>
              <w:highlight w:val="none"/>
              <w:lang w:val="en-US" w:eastAsia="zh-CN"/>
            </w:rPr>
            <w:t>2021年度</w:t>
          </w:r>
          <w:r>
            <w:rPr>
              <w:rFonts w:hint="eastAsia" w:ascii="仿宋" w:hAnsi="仿宋" w:eastAsia="仿宋" w:cs="仿宋"/>
              <w:bCs/>
              <w:sz w:val="24"/>
              <w:szCs w:val="24"/>
              <w:highlight w:val="none"/>
              <w:lang w:eastAsia="zh-CN"/>
            </w:rPr>
            <w:t>单位</w:t>
          </w:r>
          <w:r>
            <w:rPr>
              <w:rFonts w:hint="eastAsia" w:ascii="仿宋" w:hAnsi="仿宋" w:eastAsia="仿宋" w:cs="仿宋"/>
              <w:bCs/>
              <w:sz w:val="24"/>
              <w:szCs w:val="24"/>
              <w:highlight w:val="none"/>
            </w:rPr>
            <w:t>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_Toc4082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_Toc7624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24"/>
              <w:highlight w:val="none"/>
            </w:rPr>
            <w:t>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_Toc7624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_Toc8247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24"/>
              <w:highlight w:val="none"/>
            </w:rPr>
            <w:t>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_Toc8247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_Toc29131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24"/>
              <w:highlight w:val="none"/>
            </w:rPr>
            <w:t>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_Toc29131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_Toc7256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_Toc7256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_Toc8067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_Toc8067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_Toc12847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七、“三公”经费财政拨款支出决算情况说明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_Toc12847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_Toc29846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_Toc29846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_Toc12112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_Toc12112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_Toc26050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lang w:val="en-US" w:eastAsia="zh-CN"/>
            </w:rPr>
            <w:t>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_Toc26050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_Toc2365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十一、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_Toc6723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第三部分 </w:t>
          </w:r>
          <w:r>
            <w:rPr>
              <w:rFonts w:hint="eastAsia" w:ascii="仿宋" w:hAnsi="仿宋" w:eastAsia="仿宋" w:cs="仿宋"/>
              <w:sz w:val="24"/>
              <w:szCs w:val="24"/>
              <w:highlight w:val="none"/>
            </w:rPr>
            <w:t>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_Toc6723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_Toc17663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第四部分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_Toc17663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_Toc4079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第五部分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_Toc4079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_Toc21226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一、收</w:t>
          </w:r>
          <w:r>
            <w:rPr>
              <w:rFonts w:hint="eastAsia" w:ascii="仿宋" w:hAnsi="仿宋" w:eastAsia="仿宋" w:cs="仿宋"/>
              <w:bCs w:val="0"/>
              <w:sz w:val="24"/>
              <w:szCs w:val="24"/>
              <w:highlight w:val="none"/>
            </w:rPr>
            <w:t>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_Toc21226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_Toc31534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二、收</w:t>
          </w:r>
          <w:r>
            <w:rPr>
              <w:rFonts w:hint="eastAsia" w:ascii="仿宋" w:hAnsi="仿宋" w:eastAsia="仿宋" w:cs="仿宋"/>
              <w:bCs w:val="0"/>
              <w:sz w:val="24"/>
              <w:szCs w:val="24"/>
              <w:highlight w:val="none"/>
            </w:rPr>
            <w:t>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_Toc31534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_Toc25780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三、</w:t>
          </w:r>
          <w:r>
            <w:rPr>
              <w:rFonts w:hint="eastAsia" w:ascii="仿宋" w:hAnsi="仿宋" w:eastAsia="仿宋" w:cs="仿宋"/>
              <w:sz w:val="24"/>
              <w:szCs w:val="24"/>
              <w:highlight w:val="none"/>
            </w:rPr>
            <w:t>支</w:t>
          </w:r>
          <w:r>
            <w:rPr>
              <w:rFonts w:hint="eastAsia" w:ascii="仿宋" w:hAnsi="仿宋" w:eastAsia="仿宋" w:cs="仿宋"/>
              <w:bCs w:val="0"/>
              <w:sz w:val="24"/>
              <w:szCs w:val="24"/>
              <w:highlight w:val="none"/>
            </w:rPr>
            <w:t>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_Toc25780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_Toc8029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四、</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_Toc8029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_Toc28451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五、</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_Toc28451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_Toc4160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六、</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_Toc4160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七、</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_Toc1530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八、</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_Toc26423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九、</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_Toc26423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_Toc20870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_Toc20870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_Toc17525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十一、</w:t>
          </w:r>
          <w:r>
            <w:rPr>
              <w:rFonts w:hint="eastAsia" w:ascii="仿宋" w:hAnsi="仿宋" w:eastAsia="仿宋" w:cs="仿宋"/>
              <w:sz w:val="24"/>
              <w:szCs w:val="24"/>
              <w:highlight w:val="none"/>
            </w:rPr>
            <w:t>政</w:t>
          </w:r>
          <w:r>
            <w:rPr>
              <w:rFonts w:hint="eastAsia" w:ascii="仿宋" w:hAnsi="仿宋" w:eastAsia="仿宋" w:cs="仿宋"/>
              <w:bCs w:val="0"/>
              <w:sz w:val="24"/>
              <w:szCs w:val="24"/>
              <w:highlight w:val="none"/>
            </w:rPr>
            <w:t>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_Toc17525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_Toc576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十二、</w:t>
          </w:r>
          <w:r>
            <w:rPr>
              <w:rFonts w:hint="eastAsia" w:ascii="仿宋" w:hAnsi="仿宋" w:eastAsia="仿宋" w:cs="仿宋"/>
              <w:sz w:val="24"/>
              <w:szCs w:val="24"/>
              <w:highlight w:val="none"/>
            </w:rPr>
            <w:t>政</w:t>
          </w:r>
          <w:r>
            <w:rPr>
              <w:rFonts w:hint="eastAsia" w:ascii="仿宋" w:hAnsi="仿宋" w:eastAsia="仿宋" w:cs="仿宋"/>
              <w:bCs w:val="0"/>
              <w:sz w:val="24"/>
              <w:szCs w:val="24"/>
              <w:highlight w:val="none"/>
            </w:rPr>
            <w:t>府性基金预算财政拨款“三公”经费支出决算表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_Toc576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_Toc16520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十三、</w:t>
          </w:r>
          <w:r>
            <w:rPr>
              <w:rFonts w:hint="eastAsia" w:ascii="仿宋" w:hAnsi="仿宋" w:eastAsia="仿宋" w:cs="仿宋"/>
              <w:sz w:val="24"/>
              <w:szCs w:val="24"/>
              <w:highlight w:val="none"/>
            </w:rPr>
            <w:t>国</w:t>
          </w:r>
          <w:r>
            <w:rPr>
              <w:rFonts w:hint="eastAsia" w:ascii="仿宋" w:hAnsi="仿宋" w:eastAsia="仿宋" w:cs="仿宋"/>
              <w:bCs w:val="0"/>
              <w:sz w:val="24"/>
              <w:szCs w:val="24"/>
              <w:highlight w:val="none"/>
            </w:rPr>
            <w:t>有资本经营预算</w:t>
          </w:r>
          <w:r>
            <w:rPr>
              <w:rFonts w:hint="eastAsia" w:ascii="仿宋" w:hAnsi="仿宋" w:eastAsia="仿宋" w:cs="仿宋"/>
              <w:bCs w:val="0"/>
              <w:sz w:val="24"/>
              <w:szCs w:val="24"/>
              <w:highlight w:val="none"/>
              <w:lang w:eastAsia="zh-CN"/>
            </w:rPr>
            <w:t>财政拨款收入</w:t>
          </w:r>
          <w:r>
            <w:rPr>
              <w:rFonts w:hint="eastAsia" w:ascii="仿宋" w:hAnsi="仿宋" w:eastAsia="仿宋" w:cs="仿宋"/>
              <w:bCs w:val="0"/>
              <w:sz w:val="24"/>
              <w:szCs w:val="24"/>
              <w:highlight w:val="none"/>
            </w:rPr>
            <w:t>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_Toc16520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_Toc11369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lang w:eastAsia="zh-CN"/>
            </w:rPr>
            <w:t>十四、国有资本经营预算财政拨款支出决算表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_Toc11369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color w:val="auto"/>
          <w:sz w:val="24"/>
          <w:szCs w:val="32"/>
          <w:highlight w:val="none"/>
          <w:lang w:val="en-US" w:eastAsia="zh-CN"/>
        </w:rPr>
      </w:pPr>
      <w:r>
        <w:rPr>
          <w:rFonts w:hint="eastAsia"/>
          <w:color w:val="auto"/>
          <w:sz w:val="24"/>
          <w:szCs w:val="32"/>
          <w:highlight w:val="none"/>
          <w:lang w:val="en-US" w:eastAsia="zh-CN"/>
        </w:rPr>
        <w:t xml:space="preserve">    </w:t>
      </w:r>
    </w:p>
    <w:p>
      <w:pPr>
        <w:pStyle w:val="3"/>
        <w:jc w:val="center"/>
        <w:outlineLvl w:val="0"/>
        <w:rPr>
          <w:rFonts w:hint="eastAsia" w:ascii="黑体" w:hAnsi="黑体" w:eastAsia="黑体"/>
          <w:b w:val="0"/>
          <w:color w:val="auto"/>
          <w:highlight w:val="none"/>
        </w:rPr>
      </w:pPr>
      <w:bookmarkStart w:id="12" w:name="_Toc15377196"/>
      <w:bookmarkStart w:id="13" w:name="_Toc15396599"/>
    </w:p>
    <w:p>
      <w:pPr>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16"/>
        <w:rPr>
          <w:rFonts w:hint="eastAsia" w:ascii="黑体" w:hAnsi="黑体" w:eastAsia="黑体"/>
          <w:b w:val="0"/>
          <w:color w:val="auto"/>
          <w:highlight w:val="none"/>
        </w:rPr>
      </w:pPr>
    </w:p>
    <w:p>
      <w:pPr>
        <w:pStyle w:val="3"/>
        <w:jc w:val="center"/>
        <w:outlineLvl w:val="0"/>
        <w:rPr>
          <w:rStyle w:val="24"/>
          <w:rFonts w:ascii="黑体" w:hAnsi="黑体" w:eastAsia="黑体"/>
          <w:b/>
          <w:bCs w:val="0"/>
          <w:color w:val="auto"/>
          <w:highlight w:val="none"/>
        </w:rPr>
      </w:pPr>
      <w:bookmarkStart w:id="14" w:name="_Toc18758"/>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bookmarkEnd w:id="14"/>
    </w:p>
    <w:p>
      <w:pPr>
        <w:pStyle w:val="4"/>
        <w:pageBreakBefore w:val="0"/>
        <w:widowControl w:val="0"/>
        <w:numPr>
          <w:ilvl w:val="0"/>
          <w:numId w:val="1"/>
        </w:numPr>
        <w:kinsoku/>
        <w:wordWrap/>
        <w:overflowPunct/>
        <w:topLinePunct w:val="0"/>
        <w:autoSpaceDE/>
        <w:autoSpaceDN/>
        <w:bidi w:val="0"/>
        <w:spacing w:line="576" w:lineRule="exact"/>
        <w:textAlignment w:val="auto"/>
        <w:outlineLvl w:val="1"/>
        <w:rPr>
          <w:rStyle w:val="25"/>
          <w:rFonts w:hint="eastAsia" w:ascii="黑体" w:hAnsi="黑体" w:eastAsia="黑体"/>
          <w:b w:val="0"/>
          <w:bCs w:val="0"/>
          <w:color w:val="auto"/>
          <w:highlight w:val="none"/>
          <w:lang w:eastAsia="zh-CN"/>
        </w:rPr>
      </w:pPr>
      <w:bookmarkStart w:id="15" w:name="_Toc28951"/>
      <w:bookmarkStart w:id="16" w:name="_Toc15396600"/>
      <w:bookmarkStart w:id="17" w:name="_Toc15377197"/>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5"/>
    </w:p>
    <w:p>
      <w:pPr>
        <w:pStyle w:val="6"/>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川省广元中学（简称“广中”）办学性质为公办全日制高中学历教育。学校始终秉承着“博学广才，器识为先”的办学理念，全面贯彻党的教育方针，坚持社会主义办学方向，从本校实际出发，制定学校发展规划、年度工作计划并组织实施</w:t>
      </w:r>
      <w:r>
        <w:rPr>
          <w:rFonts w:hint="eastAsia" w:hAnsi="仿宋_GB2312" w:cs="仿宋_GB2312"/>
          <w:bCs/>
          <w:color w:val="000000"/>
          <w:sz w:val="32"/>
          <w:szCs w:val="32"/>
          <w:lang w:eastAsia="zh-CN"/>
        </w:rPr>
        <w:t>，</w:t>
      </w:r>
      <w:r>
        <w:rPr>
          <w:rFonts w:hint="eastAsia" w:ascii="仿宋_GB2312" w:hAnsi="仿宋_GB2312" w:eastAsia="仿宋_GB2312" w:cs="仿宋_GB2312"/>
          <w:bCs/>
          <w:color w:val="000000"/>
          <w:sz w:val="32"/>
          <w:szCs w:val="32"/>
        </w:rPr>
        <w:t>促进学校健康、稳定发展。按教育规律办学，全面实施素质教育，培养学生的创新精神和实践能力，为学生全面发展和终身发展奠定基础，为高校输送优秀合格人才，成为社会主义事业的建设者和接班人。</w:t>
      </w:r>
    </w:p>
    <w:p>
      <w:pPr>
        <w:pStyle w:val="4"/>
        <w:numPr>
          <w:ilvl w:val="0"/>
          <w:numId w:val="0"/>
        </w:numPr>
        <w:rPr>
          <w:rFonts w:hint="eastAsia" w:ascii="黑体" w:hAnsi="黑体" w:eastAsia="黑体"/>
          <w:b w:val="0"/>
          <w:color w:val="auto"/>
          <w:highlight w:val="none"/>
        </w:rPr>
      </w:pPr>
      <w:bookmarkStart w:id="18" w:name="_Toc28630"/>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6"/>
      <w:bookmarkEnd w:id="17"/>
      <w:r>
        <w:rPr>
          <w:rFonts w:hint="eastAsia" w:ascii="黑体" w:hAnsi="黑体" w:eastAsia="黑体"/>
          <w:b w:val="0"/>
          <w:color w:val="auto"/>
          <w:highlight w:val="none"/>
          <w:lang w:eastAsia="zh-CN"/>
        </w:rPr>
        <w:t>完成情况</w:t>
      </w:r>
      <w:bookmarkEnd w:id="18"/>
    </w:p>
    <w:p>
      <w:pPr>
        <w:widowControl/>
        <w:jc w:val="left"/>
        <w:rPr>
          <w:rFonts w:hint="eastAsia" w:ascii="仿宋" w:hAnsi="仿宋" w:eastAsia="仿宋"/>
          <w:color w:val="auto"/>
          <w:sz w:val="32"/>
          <w:szCs w:val="32"/>
          <w:highlight w:val="none"/>
        </w:rPr>
      </w:pPr>
      <w:r>
        <w:rPr>
          <w:rFonts w:hint="eastAsia" w:ascii="楷体" w:hAnsi="楷体" w:eastAsia="楷体" w:cs="楷体"/>
          <w:color w:val="auto"/>
          <w:sz w:val="32"/>
          <w:szCs w:val="32"/>
          <w:highlight w:val="none"/>
        </w:rPr>
        <w:t>（一）旗帜鲜明讲政治，坚决把准正确方向</w:t>
      </w:r>
      <w:r>
        <w:rPr>
          <w:rFonts w:hint="eastAsia" w:ascii="仿宋" w:hAnsi="仿宋" w:eastAsia="仿宋"/>
          <w:color w:val="auto"/>
          <w:sz w:val="32"/>
          <w:szCs w:val="32"/>
          <w:highlight w:val="none"/>
        </w:rPr>
        <w:t xml:space="preserve"> </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始终以习近平新时代中国特色社会主义思想为指导，组织全体党员干部、教职工认真学习贯彻习近平新时代中国特色社会主义思想、“七一”讲话精神和党的十九届五中、六中全会精神，全面提升理论水平和政治素养。全年共开展理论中心组学习13次、党史学习教育民主生活会2次，人均撰写学习笔记和心得体会达30页以上。组织各支部、全体党员学习教育“集中讲”7次；红色星期五主题党日活动等“现场讲”13次；请进市教育局党组书记黄廷全、四川信息职业技术学院陈刚等专家“深入讲”5次；走访老党员等“生动讲”2次。</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认真落实中央和省委、市委决策部署，将疫情防控作为重中之重，严格落实中央、省、市疫情防控工作要求，坚持做实三检，有异必报；落实消扫，有消必记；夯实教育，每日必结；充实健康，日必活动；错时错峰，聚必有度。全年迎检27次，全校师生无一人感染。</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紧密围绕市委提出的“建设四川知名教育高地”决策部署，在理念、教师、课程等八个方面进行深度改革，全力推动“市六条”政策落地。目前，32套青年公寓已交付使用，21名教师入住；博美、博明两栋学生公寓完成修缮；育才学校将于今年秋季交付使用；六号公寓建设已招标完毕；集团合作办学联席会议顺利召开；全省性品牌学科、优质校本课程正在抓紧研发；直饮水改造工程顺利完成。</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压实担当勤作为，把安全治理抓在手中，积极提升各部门应对自然灾害、突发事件、舆情稳控等工作的能力。开展主题班会课、国旗下演讲普及应对自然灾害方法；组织夜间防震学生疏散演练、“5·12”地震应急疏散演练，提升师生抗击自然灾害应变能力；认真贯彻落实中央关于抵制和防范宗教向学校渗透的决策部署，把反分维稳系列工作落到实处，严防境外势力的渗透特别是文化渗透。制定十二个主题月活动，推进社会主义核心价值观教育，厚植学生爱国情怀，坚定文化自信。</w:t>
      </w:r>
    </w:p>
    <w:p>
      <w:pPr>
        <w:widowControl/>
        <w:jc w:val="left"/>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（二）驰而不息抓党建，坚定党委主体责任</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面贯彻省、市委关于加强党支部标准化、规范化建设要求，顺利完成14个支部班子成员挂联调整、联系党员等工作。严格落实“三会一课”制度，党委书记带头讲党课6次，各支部书记讲党课8次。发展入党积极分子2人，预备党员1人。全年共39人被学校党委表彰为“优秀共产党员”，7人被表彰为“优秀党务工作者”，4个支部被表彰为“先进党支部”。杨云遂同志被市委教育工委表彰为“优秀党务工作者”。学校党委被评为“广元市先进基层党组织”。</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提炼并推行具有广中特色的“1234”意识形态工作体系（实施一项重大工程；运用两项重要成果；推动三支队伍建设；确定四条工作路线），制定规划、创新形式、有序开展了党史学习教育活动和建党一百周年庆祝活动。组织学生国旗下演讲36次、主题班会20次、学习心得分享11次，特别是春季运动会的入场式，2800余名学生精心策划，组建为16个大型方阵，以舞台短剧表演的形式展示了党的光辉历程和重大历史事件，使党史知识图谱可视化、奋斗历程直观化、理想信念坚定化，被《人民日报》等多家媒体报道。郑小娟教师在国家级演讲比赛中获得二等奖；杨柳等3名老师在市级党史竞赛中获得一等奖；陈崎伊同学在市级演讲比赛中获得一等奖。全年宣传信息400余条，召开舆情研判会6次，接受有效咨询500余条，收集意见建议100余条。</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坚持“党管干部”原则，按照干部选拔程序和要求，推选校级干部2人，中层干部轮岗交流4人、新提拔10人，全程零投诉、零信访。队伍结构更为合理，工作得到普遍认可。</w:t>
      </w:r>
    </w:p>
    <w:p>
      <w:pPr>
        <w:widowControl/>
        <w:jc w:val="left"/>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（三）锲而不舍抓作风，坚持以师生发展为中心</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从思想建设入手，强化党风廉政教育和纪律作风建设。组织党政干部、教职工学习贯彻邹自景书记在全市干部纪律作风整顿大会上的讲话精神和黄廷全书记在教育系统纪律作风整顿暨付健案“以案促改”工作推进会上的讲话精神，通过理论阐释、案例剖析、总结反思，使党员干部、教职工讲纪律、守底线、懂敬畏，奉公守法、廉洁从教。</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从制度建设入手，加大考核管理力度。2021年9月，市纪委监委派驻纪检监察组到校开展工作，我校组建了以纪委书记为组长，监察室主任、纪委委员为组员的纪检监察队伍，斗硬执行考核管理。同时，系列化开展师德师风建设“四大行动”和付健案“以案促改”专题活动。全年共组织党风廉政工作会议11次、廉政谈话15次、警示教育活动10余次。全体党政领导干部奉公廉洁，全体教职工严守师德师风。</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打造汉寿书吧，为师生提供安静的阅读空间；联系社会爱心人士，为贫困学生筹集社会捐款30000元；深入了解教职工家庭情况，为经济困难教职工送上组织关爱与人文关怀；为3名教职工解决夫妻两地分居、子女入学难等问题。根据省市两级关于家庭经济困难学生认定的指导意见，制定了《广元中学家庭经济困难学生认定工作实施办法》，录入准确率达到了100%；落实“双减”政策，实行梯度制作业，切实减轻学生负担。</w:t>
      </w:r>
    </w:p>
    <w:p>
      <w:pPr>
        <w:widowControl/>
        <w:jc w:val="left"/>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（四）履职尽责促改革，助力教育高地建设</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始终把教育高质量发展放在核心位置，持续提升办学业绩。2021年高考，我校文化重本上线731人，较去年净增112人（提升7个百分点）；本科上线1772人，较去年净增103人（提升11个百分点），双一流层次以上名校录取大幅增长，600分以上特优生人数、重本上线人数、本科上线人数位连续五年居全市第一，在川东北43所同类学校中名列第六。</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年引进了15名硕士研究生和1名学科指导名师，评选了20名校内学科带头人，并与省内外名校积极合作，打造一支在教学教研、竞赛辅导、优生培养等方面的优质品牌教师团队。按照新课程体系要求，依托国家教育行政学院完成教师全员课改综合培训。组织各级各类研训200余人次，聘请专家学者到校讲学30余人次，参与省级、市级、校级课题研究20余个。在省、市级优课竞赛、教育教学论文等活动中，共18人获得省级奖项，其中省级一等奖1人，省级二等奖12人，省级三等奖6人；157人获市级奖项，其中市级特等奖8人，市级一等奖86人，市级二等奖63人。同时，积极完善课程建设，开设了60余门标准化国家课程、特色化地方课程、个性化校本课程，拓展学生视野；联合知名高校，引入大学先修课程，更新社团、奥赛、强基课程培训理念。</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大力推进课堂教学改革，构建以生为本，积极互动的课堂结构。特别是在一诊后，我们召集年级校长、教研组长、班主任及教师代表深度学习邹自景书记、董里市长、袁敏常委、刘素英副市长调研广中高质量发展工作指示，讨论并确定全校以“三学、三有、三改、三包、三工程”为质量提升共性措施，坚持三个年级一盘棋共同推进。思想认知上“三学”——学衡水中学激情、学成都七中专业、学兄弟学校拼抢；教育情怀上“三有”——心中有人，眼中有分，手中有法；教育教学上“三改”——改管法，改教法，改学法；责任分解上“三包”——校长包小英才班，管委会干部包科包班，教师分别包学生；学生培养上实施“三工程”——以珠峰工程抓拔尖生，集中全校最优资源，全力培育清北苗子；以攻坚工程抓临界生，清单教学、精准辅导，保障升学人数；以保底工程抓后进生，竭尽所能，力促提升。</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年来，学校获得“基础教育质量建设普通高中教育质量一等奖”“基础教育质量建设拔尖创新人才培养先进集体”等荣誉称号。政治学科组被评为“四川省巾帼文明岗”。李现文等5位教师被评为“优秀名师”。</w:t>
      </w:r>
    </w:p>
    <w:p>
      <w:pPr>
        <w:widowControl/>
        <w:jc w:val="left"/>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（五）聚焦校园治理，促进学生健康发展</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学校成立了以党委书记、校长为组长的法治建设工作领导小组，按照“依法治教、依法治校”的原则，全面推进学校法治建设。班子成员根据自身分工，依托年级、政教和安办等部门，层层落实责任。聘请法律顾问、法制副校长、东坝派出所负责人进校开展法治教育大宣讲活动。利用国家宪法日活动、国旗下的演讲、社会实践等活动开展形式多样的普法宣传和法治教育，营造了安全、和谐的校园氛围。学校在第五届全市学生“学宪法讲宪法”活动中获“先进集体”称号。</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每期对全体学生进行心理健康排查，建立“红黄蓝”三级预警制度，积极推进我校心理健康工作，为学生的心理健康保驾护航。承办了广元市心理咨询师成长沙龙活动；策划了以“做情绪的主人，生活更美好”为主题的心理健康周活动；采取观看心理电影、阅读心理书籍等方式缓解学生心理压力，保障学生身心健康。</w:t>
      </w:r>
    </w:p>
    <w:p>
      <w:pPr>
        <w:widowControl/>
        <w:jc w:val="left"/>
        <w:rPr>
          <w:rFonts w:hint="eastAsia" w:ascii="仿宋" w:hAnsi="仿宋" w:eastAsia="仿宋"/>
          <w:color w:val="auto"/>
          <w:sz w:val="32"/>
          <w:szCs w:val="32"/>
          <w:highlight w:val="none"/>
        </w:rPr>
      </w:pPr>
      <w:r>
        <w:rPr>
          <w:rFonts w:hint="eastAsia" w:ascii="楷体" w:hAnsi="楷体" w:eastAsia="楷体" w:cs="楷体"/>
          <w:color w:val="auto"/>
          <w:sz w:val="32"/>
          <w:szCs w:val="32"/>
          <w:highlight w:val="none"/>
        </w:rPr>
        <w:t>（六）落实责任抓安全，推进校园和谐发展</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学校班子高度重视安全工作，成立了安全工作领导小组，坚持“党政同责、一岗双责、齐抓共管，三管三必须”的责任机制，实行“校长负总责、各部门分工负责、全体教职工人人有责”的安全管理岗位责任制。</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制定《广元中学开展防范电信网络诈骗专项行动实施方案》，开展防网电信诈骗主题班会活动，切实提高学生文明上网意识，防范校园贷、网络电信诈骗；积极开展2021年国家网络安全宣传周校园日主题活动，普及网络安全知识；向全校师生发出《共建网络安全，做广中文明青年》倡议，倡导师生共建文明和谐网络环境。</w:t>
      </w:r>
    </w:p>
    <w:p>
      <w:pPr>
        <w:widowControl/>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开展国际禁毒日、禁毒宣传教育等活动10余次，禁毒数字化平台学习“三率”达100%。积极开展森林草原防灭火安全教育,在主题征文活动中我校学子分获省级一等奖、二等奖和优胜奖。学校被四川省教育厅、四川省林业和草原局表彰为“优秀学校”。</w:t>
      </w:r>
    </w:p>
    <w:p>
      <w:pPr>
        <w:widowControl/>
        <w:ind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制定《四川省广元中学安全管理责任清单》（2.0版），成立专门事件应急处置工作领导小组，建立校园门禁人脸识别系统，安装一键式紧急报警装置，并与东坝派出所联网，实现视频监控系统校园全覆盖。配置花岗岩防撞石墩、安装防暴升降柱，加强硬件保障，实现六个“百分百”。坚持每月开展食堂安全管理人员、从业人员食品安全培训会议，全年培训已超30学时，100%考核合格。全面完成2021年“三防”建设工作目标，学校未发生安全责任事故和学生意外伤亡事故。</w:t>
      </w:r>
    </w:p>
    <w:p>
      <w:pPr>
        <w:pStyle w:val="3"/>
        <w:ind w:right="440"/>
        <w:jc w:val="center"/>
        <w:rPr>
          <w:rStyle w:val="24"/>
          <w:rFonts w:ascii="黑体" w:hAnsi="黑体" w:eastAsia="黑体"/>
          <w:b w:val="0"/>
          <w:bCs/>
          <w:color w:val="auto"/>
          <w:highlight w:val="none"/>
        </w:rPr>
      </w:pPr>
      <w:bookmarkStart w:id="19" w:name="_Toc4082"/>
      <w:bookmarkStart w:id="20" w:name="_Toc15396602"/>
      <w:bookmarkStart w:id="21"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9"/>
      <w:bookmarkEnd w:id="20"/>
      <w:bookmarkEnd w:id="21"/>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77205"/>
      <w:bookmarkStart w:id="23" w:name="_Toc15396603"/>
      <w:bookmarkStart w:id="24" w:name="_Toc762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2"/>
      <w:bookmarkEnd w:id="23"/>
      <w:bookmarkEnd w:id="24"/>
    </w:p>
    <w:p>
      <w:pPr>
        <w:spacing w:line="560" w:lineRule="exact"/>
        <w:ind w:firstLine="640" w:firstLineChars="200"/>
        <w:rPr>
          <w:rFonts w:hint="eastAsia" w:ascii="仿宋_GB2312" w:hAnsi="仿宋_GB2312" w:eastAsia="仿宋_GB2312" w:cs="仿宋_GB2312"/>
          <w:color w:val="auto"/>
          <w:sz w:val="32"/>
          <w:szCs w:val="32"/>
          <w:highlight w:val="cyan"/>
          <w14:textFill>
            <w14:gradFill>
              <w14:gsLst>
                <w14:gs w14:pos="0">
                  <w14:srgbClr w14:val="FE4444"/>
                </w14:gs>
                <w14:gs w14:pos="100000">
                  <w14:srgbClr w14:val="832B2B"/>
                </w14:gs>
              </w14:gsLst>
              <w14:lin w14:scaled="0"/>
            </w14:gradFill>
          </w14:textFill>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000000"/>
          <w:sz w:val="32"/>
          <w:szCs w:val="32"/>
          <w:lang w:val="en-US" w:eastAsia="zh-CN"/>
        </w:rPr>
        <w:t>9594.81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w:t>
      </w:r>
      <w:r>
        <w:rPr>
          <w:rFonts w:hint="eastAsia" w:ascii="仿宋" w:hAnsi="仿宋" w:eastAsia="仿宋"/>
          <w:color w:val="000000"/>
          <w:sz w:val="32"/>
          <w:szCs w:val="32"/>
          <w:lang w:val="en-US" w:eastAsia="zh-CN"/>
        </w:rPr>
        <w:t>减少308.10</w:t>
      </w:r>
      <w:r>
        <w:rPr>
          <w:rFonts w:hint="eastAsia" w:ascii="仿宋" w:hAnsi="仿宋" w:eastAsia="仿宋"/>
          <w:color w:val="auto"/>
          <w:sz w:val="32"/>
          <w:szCs w:val="32"/>
          <w:highlight w:val="none"/>
        </w:rPr>
        <w:t>万元，下降</w:t>
      </w:r>
      <w:r>
        <w:rPr>
          <w:rFonts w:hint="eastAsia" w:ascii="仿宋" w:hAnsi="仿宋" w:eastAsia="仿宋"/>
          <w:color w:val="000000"/>
          <w:sz w:val="32"/>
          <w:szCs w:val="32"/>
          <w:lang w:val="en-US" w:eastAsia="zh-CN"/>
        </w:rPr>
        <w:t>3.11</w:t>
      </w:r>
      <w:r>
        <w:rPr>
          <w:rFonts w:ascii="仿宋" w:hAnsi="仿宋" w:eastAsia="仿宋"/>
          <w:color w:val="000000"/>
          <w:sz w:val="32"/>
          <w:szCs w:val="32"/>
        </w:rPr>
        <w:t>%</w:t>
      </w:r>
      <w:r>
        <w:rPr>
          <w:rFonts w:hint="eastAsia" w:ascii="仿宋" w:hAnsi="仿宋" w:eastAsia="仿宋"/>
          <w:color w:val="auto"/>
          <w:sz w:val="32"/>
          <w:szCs w:val="32"/>
          <w:highlight w:val="none"/>
        </w:rPr>
        <w:t>。主要变动原因是</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厉行节约，</w:t>
      </w:r>
      <w:r>
        <w:rPr>
          <w:rFonts w:hint="eastAsia" w:ascii="仿宋_GB2312" w:hAnsi="仿宋_GB2312" w:eastAsia="仿宋_GB2312" w:cs="仿宋_GB2312"/>
          <w:color w:val="auto"/>
          <w:sz w:val="32"/>
          <w:szCs w:val="32"/>
          <w:highlight w:val="none"/>
        </w:rPr>
        <w:t>严格控制经费</w:t>
      </w:r>
      <w:r>
        <w:rPr>
          <w:rFonts w:hint="eastAsia" w:ascii="仿宋_GB2312" w:hAnsi="仿宋_GB2312" w:eastAsia="仿宋_GB2312" w:cs="仿宋_GB2312"/>
          <w:color w:val="auto"/>
          <w:sz w:val="32"/>
          <w:szCs w:val="32"/>
          <w:highlight w:val="none"/>
          <w:lang w:val="en-US" w:eastAsia="zh-CN"/>
        </w:rPr>
        <w:t>开支</w:t>
      </w:r>
      <w:r>
        <w:rPr>
          <w:rFonts w:hint="eastAsia" w:ascii="仿宋_GB2312" w:hAnsi="仿宋_GB2312" w:eastAsia="仿宋_GB2312" w:cs="仿宋_GB2312"/>
          <w:color w:val="auto"/>
          <w:sz w:val="32"/>
          <w:szCs w:val="32"/>
          <w:highlight w:val="none"/>
        </w:rPr>
        <w:t>。</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jc w:val="lef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133985</wp:posOffset>
            </wp:positionH>
            <wp:positionV relativeFrom="paragraph">
              <wp:posOffset>26035</wp:posOffset>
            </wp:positionV>
            <wp:extent cx="5080000" cy="2753995"/>
            <wp:effectExtent l="4445" t="4445" r="20955" b="228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5" w:name="_Toc8247"/>
      <w:bookmarkStart w:id="26" w:name="_Toc15396604"/>
      <w:bookmarkStart w:id="27"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5"/>
      <w:bookmarkEnd w:id="26"/>
      <w:bookmarkEnd w:id="27"/>
    </w:p>
    <w:p>
      <w:pPr>
        <w:ind w:firstLine="640" w:firstLineChars="200"/>
        <w:rPr>
          <w:rFonts w:ascii="仿宋" w:hAnsi="仿宋" w:eastAsia="仿宋"/>
          <w:color w:val="000000"/>
          <w:sz w:val="32"/>
          <w:szCs w:val="32"/>
        </w:rPr>
      </w:pPr>
      <w:r>
        <w:rPr>
          <w:rFonts w:hint="eastAsia" w:ascii="仿宋" w:hAnsi="仿宋" w:eastAsia="仿宋"/>
          <w:color w:val="auto"/>
          <w:sz w:val="32"/>
          <w:szCs w:val="32"/>
          <w:highlight w:val="none"/>
        </w:rPr>
        <w:t>图2：收入决算结构图</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000000"/>
          <w:sz w:val="32"/>
          <w:szCs w:val="32"/>
          <w:lang w:val="en-US" w:eastAsia="zh-CN"/>
        </w:rPr>
        <w:t>8830.25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000000"/>
          <w:sz w:val="32"/>
          <w:szCs w:val="32"/>
          <w:lang w:val="en-US" w:eastAsia="zh-CN"/>
        </w:rPr>
        <w:t>7640.18</w:t>
      </w:r>
      <w:r>
        <w:rPr>
          <w:rFonts w:hint="eastAsia" w:ascii="仿宋" w:hAnsi="仿宋" w:eastAsia="仿宋"/>
          <w:color w:val="auto"/>
          <w:sz w:val="32"/>
          <w:szCs w:val="32"/>
          <w:highlight w:val="none"/>
        </w:rPr>
        <w:t>万元，占</w:t>
      </w:r>
      <w:r>
        <w:rPr>
          <w:rFonts w:hint="eastAsia" w:ascii="仿宋" w:hAnsi="仿宋" w:eastAsia="仿宋"/>
          <w:color w:val="000000"/>
          <w:sz w:val="32"/>
          <w:szCs w:val="32"/>
          <w:lang w:val="en-US" w:eastAsia="zh-CN"/>
        </w:rPr>
        <w:t>86.52</w:t>
      </w:r>
      <w:r>
        <w:rPr>
          <w:rFonts w:ascii="仿宋" w:hAnsi="仿宋" w:eastAsia="仿宋"/>
          <w:color w:val="000000"/>
          <w:sz w:val="32"/>
          <w:szCs w:val="32"/>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1190.08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13.48</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jc w:val="both"/>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502285</wp:posOffset>
            </wp:positionH>
            <wp:positionV relativeFrom="paragraph">
              <wp:posOffset>-39370</wp:posOffset>
            </wp:positionV>
            <wp:extent cx="4537075" cy="2743200"/>
            <wp:effectExtent l="4445" t="4445" r="11430"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8" w:name="_Toc29131"/>
      <w:bookmarkStart w:id="29" w:name="_Toc15377207"/>
      <w:bookmarkStart w:id="30"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8"/>
      <w:bookmarkEnd w:id="29"/>
      <w:bookmarkEnd w:id="30"/>
    </w:p>
    <w:p>
      <w:pPr>
        <w:spacing w:line="600" w:lineRule="exact"/>
        <w:ind w:firstLine="640" w:firstLineChars="200"/>
        <w:outlineLvl w:val="9"/>
        <w:rPr>
          <w:rFonts w:ascii="仿宋" w:hAnsi="仿宋" w:eastAsia="仿宋"/>
          <w:b/>
          <w:color w:val="auto"/>
          <w:sz w:val="32"/>
          <w:szCs w:val="32"/>
          <w:highlight w:val="none"/>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9052.20</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8743.25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96.59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308.94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仿宋_GB2312" w:eastAsia="仿宋_GB2312"/>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r>
        <w:rPr>
          <w:rFonts w:hint="eastAsia" w:ascii="仿宋" w:hAnsi="仿宋" w:eastAsia="仿宋"/>
          <w:color w:val="000000"/>
          <w:sz w:val="32"/>
          <w:szCs w:val="32"/>
          <w:lang w:eastAsia="zh-CN"/>
        </w:rPr>
        <w:drawing>
          <wp:inline distT="0" distB="0" distL="114300" distR="114300">
            <wp:extent cx="4547235" cy="2439670"/>
            <wp:effectExtent l="4445" t="4445" r="2032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1"/>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1"/>
          <w:right w:val="none" w:color="auto" w:sz="0" w:space="0"/>
          <w:between w:val="none" w:color="auto" w:sz="0" w:space="0"/>
        </w:pBdr>
        <w:rPr>
          <w:rFonts w:ascii="仿宋_GB2312" w:eastAsia="仿宋_GB2312"/>
          <w:color w:val="auto"/>
          <w:sz w:val="32"/>
          <w:szCs w:val="32"/>
          <w:highlight w:val="none"/>
        </w:rPr>
      </w:pPr>
    </w:p>
    <w:p>
      <w:pPr>
        <w:pStyle w:val="2"/>
        <w:pBdr>
          <w:top w:val="none" w:color="auto" w:sz="0" w:space="0"/>
          <w:left w:val="none" w:color="auto" w:sz="0" w:space="0"/>
          <w:bottom w:val="none" w:color="auto" w:sz="0" w:space="0"/>
          <w:right w:val="none" w:color="auto" w:sz="0" w:space="0"/>
          <w:between w:val="none" w:color="auto" w:sz="0" w:space="0"/>
        </w:pBdr>
        <w:rPr>
          <w:rFonts w:ascii="仿宋_GB2312" w:eastAsia="仿宋_GB2312"/>
          <w:color w:val="auto"/>
          <w:sz w:val="32"/>
          <w:szCs w:val="32"/>
          <w:highlight w:val="none"/>
        </w:rPr>
      </w:pP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outlineLvl w:val="1"/>
        <w:rPr>
          <w:rStyle w:val="25"/>
          <w:rFonts w:ascii="黑体" w:hAnsi="黑体" w:eastAsia="黑体"/>
          <w:b w:val="0"/>
          <w:color w:val="auto"/>
          <w:highlight w:val="none"/>
        </w:rPr>
      </w:pPr>
      <w:bookmarkStart w:id="31" w:name="_Toc15396606"/>
      <w:bookmarkStart w:id="32" w:name="_Toc7256"/>
      <w:bookmarkStart w:id="33"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1"/>
      <w:bookmarkEnd w:id="32"/>
      <w:bookmarkEnd w:id="33"/>
    </w:p>
    <w:p>
      <w:pPr>
        <w:spacing w:line="560" w:lineRule="exact"/>
        <w:ind w:firstLine="640" w:firstLineChars="200"/>
        <w:rPr>
          <w:rFonts w:hint="eastAsia" w:ascii="仿宋_GB2312" w:hAnsi="仿宋_GB2312" w:eastAsia="仿宋_GB2312" w:cs="仿宋_GB2312"/>
          <w:color w:val="auto"/>
          <w:sz w:val="32"/>
          <w:szCs w:val="32"/>
          <w:highlight w:val="cya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8404.73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180.06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厉行节约，</w:t>
      </w:r>
      <w:r>
        <w:rPr>
          <w:rFonts w:hint="eastAsia" w:ascii="仿宋_GB2312" w:hAnsi="仿宋_GB2312" w:eastAsia="仿宋_GB2312" w:cs="仿宋_GB2312"/>
          <w:color w:val="auto"/>
          <w:sz w:val="32"/>
          <w:szCs w:val="32"/>
          <w:highlight w:val="none"/>
        </w:rPr>
        <w:t>严格控制经费</w:t>
      </w:r>
      <w:r>
        <w:rPr>
          <w:rFonts w:hint="eastAsia" w:ascii="仿宋_GB2312" w:hAnsi="仿宋_GB2312" w:eastAsia="仿宋_GB2312" w:cs="仿宋_GB2312"/>
          <w:color w:val="auto"/>
          <w:sz w:val="32"/>
          <w:szCs w:val="32"/>
          <w:highlight w:val="none"/>
          <w:lang w:val="en-US" w:eastAsia="zh-CN"/>
        </w:rPr>
        <w:t>开支</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outlineLvl w:val="1"/>
        <w:rPr>
          <w:rStyle w:val="25"/>
          <w:rFonts w:ascii="黑体" w:hAnsi="黑体" w:eastAsia="黑体"/>
          <w:b w:val="0"/>
          <w:color w:val="auto"/>
          <w:highlight w:val="none"/>
        </w:rPr>
      </w:pPr>
      <w:bookmarkStart w:id="34" w:name="_Toc259"/>
      <w:r>
        <w:rPr>
          <w:rFonts w:hint="eastAsia" w:eastAsia="宋体"/>
          <w:color w:val="auto"/>
          <w:sz w:val="24"/>
          <w:highlight w:val="none"/>
          <w:lang w:eastAsia="zh-CN"/>
        </w:rPr>
        <w:drawing>
          <wp:anchor distT="0" distB="0" distL="114300" distR="114300" simplePos="0" relativeHeight="251661312" behindDoc="1" locked="0" layoutInCell="1" allowOverlap="1">
            <wp:simplePos x="0" y="0"/>
            <wp:positionH relativeFrom="column">
              <wp:posOffset>255905</wp:posOffset>
            </wp:positionH>
            <wp:positionV relativeFrom="paragraph">
              <wp:posOffset>236220</wp:posOffset>
            </wp:positionV>
            <wp:extent cx="5080000" cy="2991485"/>
            <wp:effectExtent l="4445" t="4445" r="20955" b="13970"/>
            <wp:wrapTight wrapText="bothSides">
              <wp:wrapPolygon>
                <wp:start x="-19" y="-32"/>
                <wp:lineTo x="-19" y="21563"/>
                <wp:lineTo x="21527" y="21563"/>
                <wp:lineTo x="21527" y="-32"/>
                <wp:lineTo x="-19" y="-32"/>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35" w:name="_Toc15396607"/>
      <w:bookmarkStart w:id="3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4"/>
      <w:bookmarkEnd w:id="35"/>
      <w:bookmarkEnd w:id="36"/>
    </w:p>
    <w:p>
      <w:pPr>
        <w:spacing w:line="600" w:lineRule="exact"/>
        <w:ind w:firstLine="643" w:firstLineChars="200"/>
        <w:outlineLvl w:val="2"/>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年一般公共预算财政拨款支出7862.12万元，占本年支出合计的</w:t>
      </w:r>
      <w:r>
        <w:rPr>
          <w:rFonts w:hint="eastAsia" w:ascii="仿宋" w:hAnsi="仿宋" w:eastAsia="仿宋"/>
          <w:color w:val="auto"/>
          <w:sz w:val="32"/>
          <w:szCs w:val="32"/>
          <w:highlight w:val="none"/>
          <w:lang w:val="en-US" w:eastAsia="zh-CN"/>
        </w:rPr>
        <w:t>93.54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69.62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0.88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厉行节约，</w:t>
      </w:r>
      <w:r>
        <w:rPr>
          <w:rFonts w:hint="eastAsia" w:ascii="仿宋_GB2312" w:hAnsi="仿宋_GB2312" w:eastAsia="仿宋_GB2312" w:cs="仿宋_GB2312"/>
          <w:color w:val="auto"/>
          <w:sz w:val="32"/>
          <w:szCs w:val="32"/>
          <w:highlight w:val="none"/>
        </w:rPr>
        <w:t>严格控制经费</w:t>
      </w:r>
      <w:r>
        <w:rPr>
          <w:rFonts w:hint="eastAsia" w:ascii="仿宋_GB2312" w:hAnsi="仿宋_GB2312" w:eastAsia="仿宋_GB2312" w:cs="仿宋_GB2312"/>
          <w:color w:val="auto"/>
          <w:sz w:val="32"/>
          <w:szCs w:val="32"/>
          <w:highlight w:val="none"/>
          <w:lang w:val="en-US" w:eastAsia="zh-CN"/>
        </w:rPr>
        <w:t>开支</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r>
        <w:rPr>
          <w:rFonts w:hint="eastAsia"/>
          <w:lang w:val="en-US" w:eastAsia="zh-CN"/>
        </w:rPr>
        <w:drawing>
          <wp:inline distT="0" distB="0" distL="114300" distR="114300">
            <wp:extent cx="5080000" cy="2810510"/>
            <wp:effectExtent l="4445" t="4445" r="20955" b="234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olor w:val="auto"/>
          <w:sz w:val="32"/>
          <w:szCs w:val="32"/>
          <w:highlight w:val="none"/>
        </w:rPr>
      </w:pPr>
    </w:p>
    <w:p>
      <w:pPr>
        <w:pBdr>
          <w:top w:val="none" w:color="auto" w:sz="0" w:space="0"/>
          <w:left w:val="none" w:color="auto" w:sz="0" w:space="0"/>
          <w:bottom w:val="none" w:color="auto" w:sz="0" w:space="0"/>
          <w:right w:val="none" w:color="auto" w:sz="0" w:space="0"/>
          <w:between w:val="none" w:color="auto" w:sz="0" w:space="0"/>
        </w:pBdr>
        <w:spacing w:line="600" w:lineRule="exact"/>
        <w:ind w:firstLine="643" w:firstLineChars="200"/>
        <w:outlineLvl w:val="2"/>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s="Times New Roman"/>
          <w:color w:val="000000"/>
          <w:kern w:val="2"/>
          <w:sz w:val="32"/>
          <w:szCs w:val="32"/>
          <w:lang w:val="en-US" w:eastAsia="zh-CN" w:bidi="ar-SA"/>
        </w:rPr>
        <w:t>7862.12</w:t>
      </w:r>
      <w:r>
        <w:rPr>
          <w:rFonts w:hint="eastAsia" w:ascii="仿宋" w:hAnsi="仿宋" w:eastAsia="仿宋"/>
          <w:color w:val="000000"/>
          <w:sz w:val="32"/>
          <w:szCs w:val="32"/>
        </w:rPr>
        <w:t>万元，主要用于以下方面</w:t>
      </w:r>
      <w:r>
        <w:rPr>
          <w:rFonts w:hint="eastAsia" w:ascii="仿宋" w:hAnsi="仿宋" w:eastAsia="仿宋" w:cs="Times New Roman"/>
          <w:color w:val="000000"/>
          <w:sz w:val="32"/>
          <w:szCs w:val="32"/>
        </w:rPr>
        <w:t>:教育支出（类）</w:t>
      </w:r>
      <w:r>
        <w:rPr>
          <w:rFonts w:hint="eastAsia" w:ascii="仿宋" w:hAnsi="仿宋" w:eastAsia="仿宋" w:cs="Times New Roman"/>
          <w:color w:val="000000"/>
          <w:sz w:val="32"/>
          <w:szCs w:val="32"/>
          <w:lang w:val="en-US" w:eastAsia="zh-CN"/>
        </w:rPr>
        <w:t>6146.14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78.17</w:t>
      </w:r>
      <w:r>
        <w:rPr>
          <w:rFonts w:hint="eastAsia" w:ascii="仿宋" w:hAnsi="仿宋" w:eastAsia="仿宋" w:cs="Times New Roman"/>
          <w:color w:val="000000"/>
          <w:sz w:val="32"/>
          <w:szCs w:val="32"/>
        </w:rPr>
        <w:t>%；社会保障和就业（类）支出</w:t>
      </w:r>
      <w:r>
        <w:rPr>
          <w:rFonts w:hint="eastAsia" w:ascii="仿宋" w:hAnsi="仿宋" w:eastAsia="仿宋" w:cs="Times New Roman"/>
          <w:color w:val="000000"/>
          <w:sz w:val="32"/>
          <w:szCs w:val="32"/>
          <w:lang w:val="en-US" w:eastAsia="zh-CN"/>
        </w:rPr>
        <w:t>875.12</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11.14</w:t>
      </w:r>
      <w:r>
        <w:rPr>
          <w:rFonts w:hint="eastAsia" w:ascii="仿宋" w:hAnsi="仿宋" w:eastAsia="仿宋" w:cs="Times New Roman"/>
          <w:color w:val="000000"/>
          <w:sz w:val="32"/>
          <w:szCs w:val="32"/>
        </w:rPr>
        <w:t>%；卫生健康支出</w:t>
      </w:r>
      <w:r>
        <w:rPr>
          <w:rFonts w:hint="eastAsia" w:ascii="仿宋" w:hAnsi="仿宋" w:eastAsia="仿宋" w:cs="Times New Roman"/>
          <w:color w:val="000000"/>
          <w:sz w:val="32"/>
          <w:szCs w:val="32"/>
          <w:lang w:val="en-US" w:eastAsia="zh-CN"/>
        </w:rPr>
        <w:t>273.16</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3.47</w:t>
      </w:r>
      <w:r>
        <w:rPr>
          <w:rFonts w:hint="eastAsia" w:ascii="仿宋" w:hAnsi="仿宋" w:eastAsia="仿宋" w:cs="Times New Roman"/>
          <w:color w:val="000000"/>
          <w:sz w:val="32"/>
          <w:szCs w:val="32"/>
        </w:rPr>
        <w:t>%；住房保障支出</w:t>
      </w:r>
      <w:r>
        <w:rPr>
          <w:rFonts w:hint="eastAsia" w:ascii="仿宋" w:hAnsi="仿宋" w:eastAsia="仿宋" w:cs="Times New Roman"/>
          <w:color w:val="000000"/>
          <w:sz w:val="32"/>
          <w:szCs w:val="32"/>
          <w:lang w:val="en-US" w:eastAsia="zh-CN"/>
        </w:rPr>
        <w:t>567.69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rPr>
          <w:rFonts w:ascii="仿宋" w:hAnsi="仿宋" w:eastAsia="仿宋"/>
          <w:color w:val="auto"/>
          <w:sz w:val="32"/>
          <w:szCs w:val="32"/>
          <w:highlight w:val="none"/>
        </w:rPr>
      </w:pPr>
      <w:r>
        <w:rPr>
          <w:rFonts w:hint="eastAsia" w:ascii="仿宋" w:hAnsi="仿宋" w:eastAsia="仿宋"/>
          <w:b/>
          <w:color w:val="000000"/>
          <w:sz w:val="32"/>
          <w:szCs w:val="32"/>
          <w:lang w:eastAsia="zh-CN"/>
        </w:rPr>
        <w:drawing>
          <wp:anchor distT="0" distB="0" distL="114300" distR="114300" simplePos="0" relativeHeight="251662336" behindDoc="0" locked="0" layoutInCell="1" allowOverlap="1">
            <wp:simplePos x="0" y="0"/>
            <wp:positionH relativeFrom="column">
              <wp:posOffset>247015</wp:posOffset>
            </wp:positionH>
            <wp:positionV relativeFrom="paragraph">
              <wp:posOffset>106045</wp:posOffset>
            </wp:positionV>
            <wp:extent cx="4802505" cy="2582545"/>
            <wp:effectExtent l="4445" t="4445" r="12700" b="2286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39" w:name="_Toc15377212"/>
      <w:r>
        <w:rPr>
          <w:rFonts w:hint="eastAsia" w:ascii="仿宋" w:hAnsi="仿宋" w:eastAsia="仿宋"/>
          <w:b/>
          <w:color w:val="auto"/>
          <w:sz w:val="32"/>
          <w:szCs w:val="32"/>
          <w:highlight w:val="none"/>
        </w:rPr>
        <w:t>（三）一般公共预算财政拨款支出决算具体情况</w:t>
      </w:r>
      <w:bookmarkEnd w:id="39"/>
    </w:p>
    <w:p>
      <w:pPr>
        <w:spacing w:line="600" w:lineRule="exact"/>
        <w:ind w:firstLine="643" w:firstLineChars="200"/>
        <w:outlineLvl w:val="2"/>
        <w:rPr>
          <w:rFonts w:ascii="仿宋" w:hAnsi="仿宋" w:eastAsia="仿宋"/>
          <w:color w:val="auto"/>
          <w:sz w:val="32"/>
          <w:szCs w:val="32"/>
          <w:highlight w:val="none"/>
        </w:rPr>
      </w:pPr>
      <w:bookmarkStart w:id="40" w:name="_Toc15377213"/>
      <w:bookmarkStart w:id="41" w:name="_Toc15378460"/>
      <w:bookmarkStart w:id="42"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般公共预算支出决算数为7862.12万元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93.54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0"/>
      <w:bookmarkEnd w:id="41"/>
      <w:bookmarkEnd w:id="42"/>
    </w:p>
    <w:p>
      <w:pPr>
        <w:numPr>
          <w:ilvl w:val="0"/>
          <w:numId w:val="3"/>
        </w:numPr>
        <w:spacing w:line="576" w:lineRule="exact"/>
        <w:ind w:firstLine="800" w:firstLineChars="25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教育（类）普通教育（款）高中教育（项）: 支出决算为</w:t>
      </w:r>
      <w:r>
        <w:rPr>
          <w:rFonts w:hint="eastAsia" w:ascii="仿宋_GB2312" w:eastAsia="仿宋_GB2312" w:cs="Times New Roman"/>
          <w:color w:val="auto"/>
          <w:sz w:val="32"/>
          <w:szCs w:val="32"/>
          <w:highlight w:val="none"/>
          <w:lang w:val="en-US" w:eastAsia="zh-CN"/>
        </w:rPr>
        <w:t>6146.14</w:t>
      </w:r>
      <w:r>
        <w:rPr>
          <w:rFonts w:hint="eastAsia" w:ascii="仿宋_GB2312" w:eastAsia="仿宋_GB2312" w:cs="Times New Roman"/>
          <w:color w:val="auto"/>
          <w:sz w:val="32"/>
          <w:szCs w:val="32"/>
          <w:highlight w:val="none"/>
        </w:rPr>
        <w:t>万元，完成预算</w:t>
      </w:r>
      <w:r>
        <w:rPr>
          <w:rFonts w:hint="eastAsia" w:ascii="仿宋_GB2312" w:eastAsia="仿宋_GB2312" w:cs="Times New Roman"/>
          <w:color w:val="auto"/>
          <w:sz w:val="32"/>
          <w:szCs w:val="32"/>
          <w:highlight w:val="none"/>
          <w:lang w:val="en-US" w:eastAsia="zh-CN"/>
        </w:rPr>
        <w:t>91.89</w:t>
      </w:r>
      <w:r>
        <w:rPr>
          <w:rFonts w:hint="eastAsia" w:ascii="仿宋_GB2312" w:eastAsia="仿宋_GB2312" w:cs="Times New Roman"/>
          <w:color w:val="auto"/>
          <w:sz w:val="32"/>
          <w:szCs w:val="32"/>
          <w:highlight w:val="none"/>
        </w:rPr>
        <w:t>%，决算数</w:t>
      </w:r>
      <w:r>
        <w:rPr>
          <w:rStyle w:val="14"/>
          <w:rFonts w:hint="eastAsia" w:ascii="仿宋" w:hAnsi="仿宋" w:eastAsia="仿宋"/>
          <w:b w:val="0"/>
          <w:bCs/>
          <w:color w:val="auto"/>
          <w:sz w:val="32"/>
          <w:szCs w:val="32"/>
          <w:highlight w:val="none"/>
        </w:rPr>
        <w:t>小于</w:t>
      </w:r>
      <w:r>
        <w:rPr>
          <w:rFonts w:hint="eastAsia" w:ascii="仿宋_GB2312" w:eastAsia="仿宋_GB2312" w:cs="Times New Roman"/>
          <w:color w:val="auto"/>
          <w:sz w:val="32"/>
          <w:szCs w:val="32"/>
          <w:highlight w:val="none"/>
        </w:rPr>
        <w:t>预算数</w:t>
      </w:r>
      <w:r>
        <w:rPr>
          <w:rStyle w:val="14"/>
          <w:rFonts w:hint="eastAsia" w:ascii="仿宋" w:hAnsi="仿宋" w:eastAsia="仿宋"/>
          <w:b w:val="0"/>
          <w:bCs/>
          <w:color w:val="auto"/>
          <w:sz w:val="32"/>
          <w:szCs w:val="32"/>
          <w:highlight w:val="none"/>
        </w:rPr>
        <w:t>的主要原因是</w:t>
      </w:r>
      <w:r>
        <w:rPr>
          <w:rStyle w:val="14"/>
          <w:rFonts w:hint="eastAsia" w:ascii="仿宋_GB2312" w:hAnsi="仿宋_GB2312" w:eastAsia="仿宋_GB2312" w:cs="仿宋_GB2312"/>
          <w:b w:val="0"/>
          <w:bCs/>
          <w:color w:val="auto"/>
          <w:sz w:val="32"/>
          <w:szCs w:val="32"/>
          <w:highlight w:val="none"/>
          <w:lang w:val="en-US" w:eastAsia="zh-CN"/>
        </w:rPr>
        <w:t>2021年</w:t>
      </w:r>
      <w:r>
        <w:rPr>
          <w:rStyle w:val="14"/>
          <w:rFonts w:hint="eastAsia" w:ascii="仿宋_GB2312" w:hAnsi="仿宋_GB2312" w:eastAsia="仿宋_GB2312" w:cs="仿宋_GB2312"/>
          <w:b w:val="0"/>
          <w:bCs/>
          <w:color w:val="auto"/>
          <w:sz w:val="32"/>
          <w:szCs w:val="32"/>
          <w:highlight w:val="none"/>
        </w:rPr>
        <w:t>项目</w:t>
      </w:r>
      <w:r>
        <w:rPr>
          <w:rStyle w:val="14"/>
          <w:rFonts w:hint="eastAsia" w:ascii="仿宋_GB2312" w:hAnsi="仿宋_GB2312" w:eastAsia="仿宋_GB2312" w:cs="仿宋_GB2312"/>
          <w:b w:val="0"/>
          <w:bCs/>
          <w:color w:val="auto"/>
          <w:sz w:val="32"/>
          <w:szCs w:val="32"/>
          <w:highlight w:val="none"/>
          <w:lang w:val="en-US" w:eastAsia="zh-CN"/>
        </w:rPr>
        <w:t>资金结转，</w:t>
      </w:r>
      <w:r>
        <w:rPr>
          <w:rStyle w:val="14"/>
          <w:rFonts w:ascii="仿宋_GB2312" w:hAnsi="仿宋_GB2312" w:eastAsia="仿宋_GB2312" w:cs="仿宋_GB2312"/>
          <w:b w:val="0"/>
          <w:bCs/>
          <w:color w:val="auto"/>
          <w:sz w:val="32"/>
          <w:szCs w:val="32"/>
          <w:highlight w:val="none"/>
        </w:rPr>
        <w:t>202</w:t>
      </w:r>
      <w:r>
        <w:rPr>
          <w:rStyle w:val="14"/>
          <w:rFonts w:hint="eastAsia" w:ascii="仿宋_GB2312" w:hAnsi="仿宋_GB2312" w:eastAsia="仿宋_GB2312" w:cs="仿宋_GB2312"/>
          <w:b w:val="0"/>
          <w:bCs/>
          <w:color w:val="auto"/>
          <w:sz w:val="32"/>
          <w:szCs w:val="32"/>
          <w:highlight w:val="none"/>
          <w:lang w:val="en-US" w:eastAsia="zh-CN"/>
        </w:rPr>
        <w:t>2</w:t>
      </w:r>
      <w:r>
        <w:rPr>
          <w:rStyle w:val="14"/>
          <w:rFonts w:hint="eastAsia" w:ascii="仿宋_GB2312" w:hAnsi="仿宋_GB2312" w:eastAsia="仿宋_GB2312" w:cs="仿宋_GB2312"/>
          <w:b w:val="0"/>
          <w:bCs/>
          <w:color w:val="auto"/>
          <w:sz w:val="32"/>
          <w:szCs w:val="32"/>
          <w:highlight w:val="none"/>
        </w:rPr>
        <w:t>年还将继续实施</w:t>
      </w:r>
      <w:r>
        <w:rPr>
          <w:rFonts w:hint="eastAsia" w:ascii="仿宋_GB2312" w:eastAsia="仿宋_GB2312" w:cs="Times New Roman"/>
          <w:color w:val="auto"/>
          <w:sz w:val="32"/>
          <w:szCs w:val="32"/>
          <w:highlight w:val="none"/>
        </w:rPr>
        <w:t>。</w:t>
      </w:r>
    </w:p>
    <w:p>
      <w:pPr>
        <w:numPr>
          <w:ilvl w:val="0"/>
          <w:numId w:val="3"/>
        </w:num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auto"/>
          <w:sz w:val="32"/>
          <w:szCs w:val="32"/>
          <w:highlight w:val="none"/>
        </w:rPr>
        <w:t>社会保障和就业（类）行政事业单位养老支出（款）</w:t>
      </w:r>
      <w:r>
        <w:rPr>
          <w:rFonts w:hint="eastAsia" w:ascii="仿宋_GB2312" w:eastAsia="仿宋_GB2312" w:cs="Times New Roman"/>
          <w:color w:val="000000"/>
          <w:sz w:val="32"/>
          <w:szCs w:val="32"/>
        </w:rPr>
        <w:t>机关事业单位基本养老保险缴费支出（项）: 支出决算为</w:t>
      </w:r>
      <w:r>
        <w:rPr>
          <w:rFonts w:hint="eastAsia" w:ascii="仿宋_GB2312" w:eastAsia="仿宋_GB2312" w:cs="Times New Roman"/>
          <w:color w:val="000000"/>
          <w:sz w:val="32"/>
          <w:szCs w:val="32"/>
          <w:lang w:val="en-US" w:eastAsia="zh-CN"/>
        </w:rPr>
        <w:t>543.73</w:t>
      </w:r>
      <w:r>
        <w:rPr>
          <w:rFonts w:hint="eastAsia" w:ascii="仿宋_GB2312" w:eastAsia="仿宋_GB2312" w:cs="Times New Roman"/>
          <w:color w:val="000000"/>
          <w:sz w:val="32"/>
          <w:szCs w:val="32"/>
        </w:rPr>
        <w:t>万元，完成预算</w:t>
      </w:r>
      <w:r>
        <w:rPr>
          <w:rFonts w:hint="eastAsia" w:ascii="仿宋_GB2312" w:eastAsia="仿宋_GB2312" w:cs="Times New Roman"/>
          <w:color w:val="000000"/>
          <w:sz w:val="32"/>
          <w:szCs w:val="32"/>
          <w:lang w:val="en-US" w:eastAsia="zh-CN"/>
        </w:rPr>
        <w:t>100</w:t>
      </w:r>
      <w:r>
        <w:rPr>
          <w:rFonts w:hint="eastAsia" w:ascii="仿宋_GB2312" w:eastAsia="仿宋_GB2312" w:cs="Times New Roman"/>
          <w:color w:val="000000"/>
          <w:sz w:val="32"/>
          <w:szCs w:val="32"/>
        </w:rPr>
        <w:t>%，决算数</w:t>
      </w:r>
      <w:r>
        <w:rPr>
          <w:rFonts w:hint="eastAsia" w:ascii="仿宋_GB2312" w:eastAsia="仿宋_GB2312" w:cs="Times New Roman"/>
          <w:color w:val="000000"/>
          <w:sz w:val="32"/>
          <w:szCs w:val="32"/>
          <w:lang w:eastAsia="zh-CN"/>
        </w:rPr>
        <w:t>等</w:t>
      </w:r>
      <w:r>
        <w:rPr>
          <w:rFonts w:hint="eastAsia" w:ascii="仿宋_GB2312" w:eastAsia="仿宋_GB2312" w:cs="Times New Roman"/>
          <w:color w:val="000000"/>
          <w:sz w:val="32"/>
          <w:szCs w:val="32"/>
        </w:rPr>
        <w:t>于预算数</w:t>
      </w:r>
      <w:r>
        <w:rPr>
          <w:rFonts w:hint="eastAsia" w:ascii="仿宋_GB2312" w:eastAsia="仿宋_GB2312" w:cs="Times New Roman"/>
          <w:color w:val="000000"/>
          <w:sz w:val="32"/>
          <w:szCs w:val="32"/>
          <w:lang w:eastAsia="zh-CN"/>
        </w:rPr>
        <w:t>。</w:t>
      </w:r>
    </w:p>
    <w:p>
      <w:p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3</w:t>
      </w:r>
      <w:r>
        <w:rPr>
          <w:rFonts w:hint="eastAsia" w:ascii="仿宋_GB2312" w:eastAsia="仿宋_GB2312" w:cs="Times New Roman"/>
          <w:color w:val="000000"/>
          <w:sz w:val="32"/>
          <w:szCs w:val="32"/>
        </w:rPr>
        <w:t>.社会保障和就业（类）行政事业单位养老支出（款）机关事业单位职业年金缴费支出（项）: 支出决算为</w:t>
      </w:r>
      <w:r>
        <w:rPr>
          <w:rFonts w:hint="eastAsia" w:ascii="仿宋_GB2312" w:eastAsia="仿宋_GB2312" w:cs="Times New Roman"/>
          <w:color w:val="000000"/>
          <w:sz w:val="32"/>
          <w:szCs w:val="32"/>
          <w:lang w:val="en-US" w:eastAsia="zh-CN"/>
        </w:rPr>
        <w:t>122.02</w:t>
      </w:r>
      <w:r>
        <w:rPr>
          <w:rFonts w:hint="eastAsia" w:ascii="仿宋_GB2312" w:eastAsia="仿宋_GB2312" w:cs="Times New Roman"/>
          <w:color w:val="000000"/>
          <w:sz w:val="32"/>
          <w:szCs w:val="32"/>
        </w:rPr>
        <w:t>万元，完成预算</w:t>
      </w:r>
      <w:r>
        <w:rPr>
          <w:rFonts w:hint="eastAsia" w:ascii="仿宋_GB2312" w:eastAsia="仿宋_GB2312" w:cs="Times New Roman"/>
          <w:color w:val="000000"/>
          <w:sz w:val="32"/>
          <w:szCs w:val="32"/>
          <w:lang w:val="en-US" w:eastAsia="zh-CN"/>
        </w:rPr>
        <w:t>100</w:t>
      </w:r>
      <w:r>
        <w:rPr>
          <w:rFonts w:hint="eastAsia" w:ascii="仿宋_GB2312" w:eastAsia="仿宋_GB2312" w:cs="Times New Roman"/>
          <w:color w:val="000000"/>
          <w:sz w:val="32"/>
          <w:szCs w:val="32"/>
        </w:rPr>
        <w:t>%，决算数</w:t>
      </w:r>
      <w:r>
        <w:rPr>
          <w:rFonts w:hint="eastAsia" w:ascii="仿宋_GB2312" w:eastAsia="仿宋_GB2312" w:cs="Times New Roman"/>
          <w:color w:val="000000"/>
          <w:sz w:val="32"/>
          <w:szCs w:val="32"/>
          <w:lang w:eastAsia="zh-CN"/>
        </w:rPr>
        <w:t>等</w:t>
      </w:r>
      <w:r>
        <w:rPr>
          <w:rFonts w:hint="eastAsia" w:ascii="仿宋_GB2312" w:eastAsia="仿宋_GB2312" w:cs="Times New Roman"/>
          <w:color w:val="000000"/>
          <w:sz w:val="32"/>
          <w:szCs w:val="32"/>
        </w:rPr>
        <w:t>于预算数。</w:t>
      </w:r>
    </w:p>
    <w:p>
      <w:p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4</w:t>
      </w:r>
      <w:r>
        <w:rPr>
          <w:rFonts w:hint="eastAsia" w:ascii="仿宋_GB2312" w:eastAsia="仿宋_GB2312" w:cs="Times New Roman"/>
          <w:color w:val="000000"/>
          <w:sz w:val="32"/>
          <w:szCs w:val="32"/>
        </w:rPr>
        <w:t>.社会保障和就业（类）抚恤（款）死亡抚恤（项）: 支出决算为</w:t>
      </w:r>
      <w:r>
        <w:rPr>
          <w:rFonts w:hint="eastAsia" w:ascii="仿宋_GB2312" w:eastAsia="仿宋_GB2312" w:cs="Times New Roman"/>
          <w:color w:val="000000"/>
          <w:sz w:val="32"/>
          <w:szCs w:val="32"/>
          <w:lang w:val="en-US" w:eastAsia="zh-CN"/>
        </w:rPr>
        <w:t>0.01</w:t>
      </w:r>
      <w:r>
        <w:rPr>
          <w:rFonts w:hint="eastAsia" w:ascii="仿宋_GB2312" w:eastAsia="仿宋_GB2312" w:cs="Times New Roman"/>
          <w:color w:val="000000"/>
          <w:sz w:val="32"/>
          <w:szCs w:val="32"/>
        </w:rPr>
        <w:t>万元，完成预算</w:t>
      </w:r>
      <w:r>
        <w:rPr>
          <w:rFonts w:hint="eastAsia" w:ascii="仿宋_GB2312" w:eastAsia="仿宋_GB2312" w:cs="Times New Roman"/>
          <w:color w:val="000000"/>
          <w:sz w:val="32"/>
          <w:szCs w:val="32"/>
          <w:lang w:val="en-US" w:eastAsia="zh-CN"/>
        </w:rPr>
        <w:t>100</w:t>
      </w:r>
      <w:r>
        <w:rPr>
          <w:rFonts w:hint="eastAsia" w:ascii="仿宋_GB2312" w:eastAsia="仿宋_GB2312" w:cs="Times New Roman"/>
          <w:color w:val="000000"/>
          <w:sz w:val="32"/>
          <w:szCs w:val="32"/>
        </w:rPr>
        <w:t>%，决算数等于预算数。</w:t>
      </w:r>
    </w:p>
    <w:p>
      <w:p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5</w:t>
      </w:r>
      <w:r>
        <w:rPr>
          <w:rFonts w:hint="eastAsia" w:ascii="仿宋_GB2312" w:eastAsia="仿宋_GB2312" w:cs="Times New Roman"/>
          <w:color w:val="000000"/>
          <w:sz w:val="32"/>
          <w:szCs w:val="32"/>
        </w:rPr>
        <w:t>.社会保障和就业（类）其他社会保障和就业支出（款）其他社会保障和就业支出（项）：支出决算为</w:t>
      </w:r>
      <w:r>
        <w:rPr>
          <w:rFonts w:hint="eastAsia" w:ascii="仿宋_GB2312" w:eastAsia="仿宋_GB2312" w:cs="Times New Roman"/>
          <w:color w:val="000000"/>
          <w:sz w:val="32"/>
          <w:szCs w:val="32"/>
          <w:lang w:val="en-US" w:eastAsia="zh-CN"/>
        </w:rPr>
        <w:t>209.36</w:t>
      </w:r>
      <w:r>
        <w:rPr>
          <w:rFonts w:hint="eastAsia" w:ascii="仿宋_GB2312" w:eastAsia="仿宋_GB2312" w:cs="Times New Roman"/>
          <w:color w:val="000000"/>
          <w:sz w:val="32"/>
          <w:szCs w:val="32"/>
        </w:rPr>
        <w:t>万元，完成预算</w:t>
      </w:r>
      <w:r>
        <w:rPr>
          <w:rFonts w:hint="eastAsia" w:ascii="仿宋_GB2312" w:eastAsia="仿宋_GB2312" w:cs="Times New Roman"/>
          <w:color w:val="000000"/>
          <w:sz w:val="32"/>
          <w:szCs w:val="32"/>
          <w:lang w:val="en-US" w:eastAsia="zh-CN"/>
        </w:rPr>
        <w:t>100</w:t>
      </w:r>
      <w:r>
        <w:rPr>
          <w:rFonts w:hint="eastAsia" w:ascii="仿宋_GB2312" w:eastAsia="仿宋_GB2312" w:cs="Times New Roman"/>
          <w:color w:val="000000"/>
          <w:sz w:val="32"/>
          <w:szCs w:val="32"/>
        </w:rPr>
        <w:t>%，决算数</w:t>
      </w:r>
      <w:r>
        <w:rPr>
          <w:rFonts w:hint="eastAsia" w:ascii="仿宋_GB2312" w:eastAsia="仿宋_GB2312" w:cs="Times New Roman"/>
          <w:color w:val="000000"/>
          <w:sz w:val="32"/>
          <w:szCs w:val="32"/>
          <w:lang w:val="en-US" w:eastAsia="zh-CN"/>
        </w:rPr>
        <w:t>等于</w:t>
      </w:r>
      <w:r>
        <w:rPr>
          <w:rFonts w:hint="eastAsia" w:ascii="仿宋_GB2312" w:eastAsia="仿宋_GB2312" w:cs="Times New Roman"/>
          <w:color w:val="000000"/>
          <w:sz w:val="32"/>
          <w:szCs w:val="32"/>
        </w:rPr>
        <w:t>预算数。</w:t>
      </w:r>
    </w:p>
    <w:p>
      <w:p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6</w:t>
      </w:r>
      <w:r>
        <w:rPr>
          <w:rFonts w:hint="eastAsia" w:ascii="仿宋_GB2312" w:eastAsia="仿宋_GB2312" w:cs="Times New Roman"/>
          <w:color w:val="000000"/>
          <w:sz w:val="32"/>
          <w:szCs w:val="32"/>
        </w:rPr>
        <w:t>.卫生健康（类）行政事业单位医疗（款）事业单位医疗（项）:支出决算为</w:t>
      </w:r>
      <w:r>
        <w:rPr>
          <w:rFonts w:hint="eastAsia" w:ascii="仿宋_GB2312" w:eastAsia="仿宋_GB2312" w:cs="Times New Roman"/>
          <w:color w:val="000000"/>
          <w:sz w:val="32"/>
          <w:szCs w:val="32"/>
          <w:lang w:val="en-US" w:eastAsia="zh-CN"/>
        </w:rPr>
        <w:t>273.16</w:t>
      </w:r>
      <w:r>
        <w:rPr>
          <w:rFonts w:hint="eastAsia" w:ascii="仿宋_GB2312" w:eastAsia="仿宋_GB2312" w:cs="Times New Roman"/>
          <w:color w:val="000000"/>
          <w:sz w:val="32"/>
          <w:szCs w:val="32"/>
        </w:rPr>
        <w:t>万元，完成预算100%</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rPr>
        <w:t>决算数等于预算数。</w:t>
      </w:r>
    </w:p>
    <w:p>
      <w:pPr>
        <w:spacing w:line="576" w:lineRule="exact"/>
        <w:ind w:firstLine="800" w:firstLineChars="25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.住房保障支出（类）住房改革支出（款）住房公积金（项）：支出决算为</w:t>
      </w:r>
      <w:r>
        <w:rPr>
          <w:rFonts w:hint="eastAsia" w:ascii="仿宋_GB2312" w:eastAsia="仿宋_GB2312" w:cs="Times New Roman"/>
          <w:color w:val="000000"/>
          <w:sz w:val="32"/>
          <w:szCs w:val="32"/>
          <w:lang w:val="en-US" w:eastAsia="zh-CN"/>
        </w:rPr>
        <w:t>567.69</w:t>
      </w:r>
      <w:r>
        <w:rPr>
          <w:rFonts w:hint="eastAsia" w:ascii="仿宋_GB2312" w:eastAsia="仿宋_GB2312" w:cs="Times New Roman"/>
          <w:color w:val="000000"/>
          <w:sz w:val="32"/>
          <w:szCs w:val="32"/>
        </w:rPr>
        <w:t>万元，完成预算100%</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rPr>
        <w:t>决算数等于预算数。</w:t>
      </w:r>
    </w:p>
    <w:p>
      <w:pPr>
        <w:tabs>
          <w:tab w:val="right" w:pos="8306"/>
        </w:tabs>
        <w:spacing w:line="600" w:lineRule="exact"/>
        <w:ind w:firstLine="640"/>
        <w:outlineLvl w:val="1"/>
        <w:rPr>
          <w:rStyle w:val="25"/>
          <w:color w:val="auto"/>
          <w:highlight w:val="none"/>
        </w:rPr>
      </w:pPr>
      <w:bookmarkStart w:id="43" w:name="_Toc15396608"/>
      <w:bookmarkStart w:id="44" w:name="_Toc8067"/>
      <w:bookmarkStart w:id="4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3"/>
      <w:bookmarkEnd w:id="44"/>
      <w:bookmarkEnd w:id="4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7553.18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7060.68</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其他社会保障缴费、住房公积金、其他工资福利支出、抚恤金、生活补助、助学金、奖励金、其他对个人和家庭的补助支出等。　　</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492.50</w:t>
      </w:r>
      <w:r>
        <w:rPr>
          <w:rFonts w:hint="eastAsia" w:ascii="仿宋" w:hAnsi="仿宋" w:eastAsia="仿宋"/>
          <w:color w:val="auto"/>
          <w:sz w:val="32"/>
          <w:szCs w:val="32"/>
          <w:highlight w:val="none"/>
        </w:rPr>
        <w:t>万元，主要包括：物业管理费、水费、电费、工会经费、福利费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p>
    <w:p>
      <w:pPr>
        <w:spacing w:line="600" w:lineRule="exact"/>
        <w:ind w:firstLine="640"/>
        <w:outlineLvl w:val="1"/>
        <w:rPr>
          <w:rStyle w:val="25"/>
          <w:rFonts w:ascii="黑体" w:hAnsi="黑体" w:eastAsia="黑体"/>
          <w:b w:val="0"/>
          <w:color w:val="auto"/>
          <w:highlight w:val="none"/>
        </w:rPr>
      </w:pPr>
      <w:bookmarkStart w:id="46" w:name="_Toc15377215"/>
      <w:bookmarkStart w:id="47" w:name="_Toc12847"/>
      <w:bookmarkStart w:id="48"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46"/>
      <w:bookmarkEnd w:id="47"/>
      <w:bookmarkEnd w:id="48"/>
    </w:p>
    <w:p>
      <w:pPr>
        <w:spacing w:line="600" w:lineRule="exact"/>
        <w:ind w:firstLine="640"/>
        <w:outlineLvl w:val="2"/>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年决算数</w:t>
      </w:r>
      <w:r>
        <w:rPr>
          <w:rFonts w:hint="eastAsia" w:ascii="仿宋" w:hAnsi="仿宋" w:eastAsia="仿宋"/>
          <w:color w:val="000000"/>
          <w:sz w:val="32"/>
          <w:szCs w:val="32"/>
          <w:lang w:eastAsia="zh-CN"/>
        </w:rPr>
        <w:t>持平，未在财政拨款支出中安排该项预算。</w:t>
      </w:r>
    </w:p>
    <w:p>
      <w:pPr>
        <w:spacing w:line="600" w:lineRule="exact"/>
        <w:ind w:firstLine="640"/>
        <w:outlineLvl w:val="2"/>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pPr>
        <w:spacing w:line="576"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eastAsia="zh-CN"/>
        </w:rPr>
        <w:t>为0万元，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为0万元，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eastAsia="zh-CN"/>
        </w:rPr>
        <w:t>为0万元，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000000"/>
          <w:sz w:val="32"/>
          <w:szCs w:val="32"/>
        </w:rPr>
        <w:t>。</w:t>
      </w:r>
    </w:p>
    <w:p>
      <w:pPr>
        <w:spacing w:line="600" w:lineRule="exact"/>
        <w:ind w:firstLine="645"/>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Fonts w:hint="eastAsia" w:ascii="仿宋_GB2312" w:eastAsia="仿宋_GB2312"/>
          <w:color w:val="auto"/>
          <w:sz w:val="32"/>
          <w:szCs w:val="32"/>
          <w:highlight w:val="none"/>
          <w:lang w:eastAsia="zh-CN"/>
        </w:rPr>
        <w:t>，较2020年无变化。</w:t>
      </w:r>
    </w:p>
    <w:p>
      <w:pPr>
        <w:spacing w:line="600" w:lineRule="exact"/>
        <w:ind w:firstLine="645"/>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Fonts w:hint="eastAsia" w:ascii="仿宋_GB2312" w:eastAsia="仿宋_GB2312"/>
          <w:color w:val="auto"/>
          <w:sz w:val="32"/>
          <w:szCs w:val="32"/>
          <w:highlight w:val="none"/>
          <w:lang w:eastAsia="zh-CN"/>
        </w:rPr>
        <w:t>，较2020年无变化。</w:t>
      </w:r>
    </w:p>
    <w:p>
      <w:pPr>
        <w:spacing w:line="600" w:lineRule="exact"/>
        <w:ind w:firstLine="640" w:firstLineChars="200"/>
        <w:rPr>
          <w:rFonts w:ascii="仿宋_GB2312" w:eastAsia="仿宋_GB2312"/>
          <w:b/>
          <w:strike w:val="0"/>
          <w:dstrike w:val="0"/>
          <w:color w:val="auto"/>
          <w:sz w:val="32"/>
          <w:szCs w:val="32"/>
          <w:highlight w:val="none"/>
          <w:u w:val="none" w:color="auto"/>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strike w:val="0"/>
          <w:dstrike w:val="0"/>
          <w:color w:val="auto"/>
          <w:sz w:val="32"/>
          <w:szCs w:val="32"/>
          <w:highlight w:val="none"/>
          <w:u w:val="none" w:color="auto"/>
        </w:rPr>
        <w:t>截至</w:t>
      </w:r>
      <w:r>
        <w:rPr>
          <w:rFonts w:ascii="仿宋_GB2312" w:eastAsia="仿宋_GB2312"/>
          <w:strike w:val="0"/>
          <w:dstrike w:val="0"/>
          <w:color w:val="auto"/>
          <w:sz w:val="32"/>
          <w:szCs w:val="32"/>
          <w:highlight w:val="none"/>
          <w:u w:val="none" w:color="auto"/>
        </w:rPr>
        <w:t>20</w:t>
      </w:r>
      <w:r>
        <w:rPr>
          <w:rFonts w:hint="eastAsia" w:ascii="仿宋_GB2312" w:eastAsia="仿宋_GB2312"/>
          <w:strike w:val="0"/>
          <w:dstrike w:val="0"/>
          <w:color w:val="auto"/>
          <w:sz w:val="32"/>
          <w:szCs w:val="32"/>
          <w:highlight w:val="none"/>
          <w:u w:val="none" w:color="auto"/>
          <w:lang w:val="en-US" w:eastAsia="zh-CN"/>
        </w:rPr>
        <w:t>21</w:t>
      </w:r>
      <w:r>
        <w:rPr>
          <w:rFonts w:hint="eastAsia" w:ascii="仿宋_GB2312" w:eastAsia="仿宋_GB2312"/>
          <w:strike w:val="0"/>
          <w:dstrike w:val="0"/>
          <w:color w:val="auto"/>
          <w:sz w:val="32"/>
          <w:szCs w:val="32"/>
          <w:highlight w:val="none"/>
          <w:u w:val="none" w:color="auto"/>
        </w:rPr>
        <w:t>年</w:t>
      </w:r>
      <w:r>
        <w:rPr>
          <w:rFonts w:ascii="仿宋_GB2312" w:eastAsia="仿宋_GB2312"/>
          <w:strike w:val="0"/>
          <w:dstrike w:val="0"/>
          <w:color w:val="auto"/>
          <w:sz w:val="32"/>
          <w:szCs w:val="32"/>
          <w:highlight w:val="none"/>
          <w:u w:val="none" w:color="auto"/>
        </w:rPr>
        <w:t>12</w:t>
      </w:r>
      <w:r>
        <w:rPr>
          <w:rFonts w:hint="eastAsia" w:ascii="仿宋_GB2312" w:eastAsia="仿宋_GB2312"/>
          <w:strike w:val="0"/>
          <w:dstrike w:val="0"/>
          <w:color w:val="auto"/>
          <w:sz w:val="32"/>
          <w:szCs w:val="32"/>
          <w:highlight w:val="none"/>
          <w:u w:val="none" w:color="auto"/>
        </w:rPr>
        <w:t>月底，单位共有公务用车</w:t>
      </w:r>
      <w:r>
        <w:rPr>
          <w:rFonts w:hint="eastAsia" w:ascii="仿宋_GB2312" w:eastAsia="仿宋_GB2312"/>
          <w:strike w:val="0"/>
          <w:dstrike w:val="0"/>
          <w:color w:val="auto"/>
          <w:sz w:val="32"/>
          <w:szCs w:val="32"/>
          <w:highlight w:val="none"/>
          <w:u w:val="none" w:color="auto"/>
          <w:lang w:val="en-US" w:eastAsia="zh-CN"/>
        </w:rPr>
        <w:t>1</w:t>
      </w:r>
      <w:r>
        <w:rPr>
          <w:rFonts w:hint="eastAsia" w:ascii="仿宋_GB2312" w:eastAsia="仿宋_GB2312"/>
          <w:strike w:val="0"/>
          <w:dstrike w:val="0"/>
          <w:color w:val="auto"/>
          <w:sz w:val="32"/>
          <w:szCs w:val="32"/>
          <w:highlight w:val="none"/>
          <w:u w:val="none" w:color="auto"/>
        </w:rPr>
        <w:t>辆。</w:t>
      </w:r>
    </w:p>
    <w:p>
      <w:pPr>
        <w:spacing w:line="600" w:lineRule="exact"/>
        <w:ind w:firstLine="645"/>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left="0" w:leftChars="0" w:firstLine="803" w:firstLineChars="25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Fonts w:hint="eastAsia" w:ascii="仿宋_GB2312" w:eastAsia="仿宋_GB2312"/>
          <w:color w:val="auto"/>
          <w:sz w:val="32"/>
          <w:szCs w:val="32"/>
          <w:highlight w:val="none"/>
          <w:lang w:eastAsia="zh-CN"/>
        </w:rPr>
        <w:t>，较2020年无变化。</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b w:val="0"/>
          <w:bCs/>
          <w:color w:val="auto"/>
          <w:sz w:val="32"/>
          <w:szCs w:val="32"/>
          <w:highlight w:val="none"/>
          <w:lang w:val="en-US" w:eastAsia="zh-CN"/>
        </w:rPr>
        <w:t>其中，</w:t>
      </w: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51" w:name="_Toc29846"/>
      <w:bookmarkStart w:id="52" w:name="_Toc15396610"/>
      <w:bookmarkStart w:id="53"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1"/>
      <w:bookmarkEnd w:id="52"/>
      <w:bookmarkEnd w:id="53"/>
    </w:p>
    <w:p>
      <w:pPr>
        <w:spacing w:line="600" w:lineRule="exact"/>
        <w:ind w:firstLine="640" w:firstLineChars="200"/>
        <w:rPr>
          <w:rFonts w:hint="eastAsia" w:ascii="仿宋_GB2312" w:eastAsia="仿宋_GB2312"/>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，较2020年无变化</w:t>
      </w:r>
      <w:r>
        <w:rPr>
          <w:rFonts w:hint="eastAsia" w:ascii="仿宋" w:hAnsi="仿宋" w:eastAsia="仿宋"/>
          <w:color w:val="000000"/>
          <w:sz w:val="32"/>
          <w:szCs w:val="32"/>
        </w:rPr>
        <w:t>，未在政府性基金预算拨款安排“三公经费”支出。</w:t>
      </w:r>
    </w:p>
    <w:p>
      <w:pPr>
        <w:numPr>
          <w:ilvl w:val="0"/>
          <w:numId w:val="4"/>
        </w:numPr>
        <w:spacing w:line="600" w:lineRule="exact"/>
        <w:ind w:firstLine="640"/>
        <w:outlineLvl w:val="1"/>
        <w:rPr>
          <w:rStyle w:val="25"/>
          <w:rFonts w:ascii="黑体" w:hAnsi="黑体" w:eastAsia="黑体"/>
          <w:b w:val="0"/>
          <w:color w:val="auto"/>
          <w:highlight w:val="none"/>
        </w:rPr>
      </w:pPr>
      <w:bookmarkStart w:id="54" w:name="_Toc15396611"/>
      <w:bookmarkStart w:id="55" w:name="_Toc12112"/>
      <w:bookmarkStart w:id="56" w:name="_Toc15377219"/>
      <w:r>
        <w:rPr>
          <w:rStyle w:val="25"/>
          <w:rFonts w:hint="eastAsia" w:ascii="黑体" w:hAnsi="黑体" w:eastAsia="黑体"/>
          <w:b w:val="0"/>
          <w:color w:val="auto"/>
          <w:highlight w:val="none"/>
        </w:rPr>
        <w:t>国有资本经营预算支出决算情况说明</w:t>
      </w:r>
      <w:bookmarkEnd w:id="54"/>
      <w:bookmarkEnd w:id="55"/>
      <w:bookmarkEnd w:id="5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5"/>
          <w:rFonts w:hint="eastAsia" w:ascii="黑体" w:hAnsi="黑体" w:eastAsia="黑体"/>
          <w:b w:val="0"/>
          <w:color w:val="auto"/>
          <w:highlight w:val="none"/>
        </w:rPr>
      </w:pPr>
      <w:bookmarkStart w:id="57" w:name="_Toc26050"/>
      <w:bookmarkStart w:id="58" w:name="_Toc15377221"/>
      <w:bookmarkStart w:id="59" w:name="_Toc15396612"/>
      <w:r>
        <w:rPr>
          <w:rStyle w:val="25"/>
          <w:rFonts w:hint="eastAsia" w:ascii="黑体" w:hAnsi="黑体" w:eastAsia="黑体"/>
          <w:b w:val="0"/>
          <w:color w:val="auto"/>
          <w:highlight w:val="none"/>
          <w:lang w:val="en-US" w:eastAsia="zh-CN"/>
        </w:rPr>
        <w:t>预算绩效管理情况</w:t>
      </w:r>
      <w:bookmarkEnd w:id="57"/>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kern w:val="2"/>
          <w:sz w:val="32"/>
          <w:szCs w:val="24"/>
          <w:lang w:val="en-US" w:eastAsia="zh-CN" w:bidi="ar-SA"/>
        </w:rPr>
        <w:t>博美楼、博明楼维修项目</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_GB2312"/>
          <w:color w:val="000000"/>
          <w:sz w:val="32"/>
          <w:szCs w:val="32"/>
          <w:lang w:val="en-US" w:eastAsia="zh-CN"/>
        </w:rPr>
        <w:t>青年教师公寓</w:t>
      </w:r>
      <w:r>
        <w:rPr>
          <w:rFonts w:hint="eastAsia" w:ascii="仿宋" w:hAnsi="仿宋" w:eastAsia="仿宋" w:cs="仿宋_GB2312"/>
          <w:color w:val="000000"/>
          <w:sz w:val="32"/>
          <w:szCs w:val="32"/>
        </w:rPr>
        <w:t>周转房</w:t>
      </w:r>
      <w:r>
        <w:rPr>
          <w:rFonts w:hint="eastAsia" w:ascii="仿宋" w:hAnsi="仿宋" w:eastAsia="仿宋" w:cs="仿宋_GB2312"/>
          <w:color w:val="000000"/>
          <w:sz w:val="32"/>
          <w:szCs w:val="32"/>
          <w:lang w:val="en-US" w:eastAsia="zh-CN"/>
        </w:rPr>
        <w:t>装修及设备购置项目</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仿宋_GB2312"/>
          <w:color w:val="000000"/>
          <w:kern w:val="0"/>
          <w:sz w:val="31"/>
          <w:szCs w:val="31"/>
          <w:lang w:val="en-US" w:eastAsia="zh-CN" w:bidi="ar"/>
        </w:rPr>
        <w:t>2项目开展了预算事前绩效评估，</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4"/>
        </w:numPr>
        <w:spacing w:line="600" w:lineRule="exact"/>
        <w:ind w:firstLine="640"/>
        <w:outlineLvl w:val="1"/>
        <w:rPr>
          <w:rStyle w:val="25"/>
          <w:rFonts w:hint="eastAsia" w:ascii="黑体" w:hAnsi="黑体" w:eastAsia="黑体"/>
          <w:b w:val="0"/>
          <w:color w:val="auto"/>
          <w:highlight w:val="none"/>
        </w:rPr>
      </w:pPr>
      <w:bookmarkStart w:id="60" w:name="_Toc2365"/>
      <w:r>
        <w:rPr>
          <w:rStyle w:val="25"/>
          <w:rFonts w:hint="eastAsia" w:ascii="黑体" w:hAnsi="黑体" w:eastAsia="黑体"/>
          <w:b w:val="0"/>
          <w:color w:val="auto"/>
          <w:highlight w:val="none"/>
        </w:rPr>
        <w:t>其他重要事项的情况说明</w:t>
      </w:r>
      <w:bookmarkEnd w:id="58"/>
      <w:bookmarkEnd w:id="59"/>
      <w:bookmarkEnd w:id="60"/>
    </w:p>
    <w:p>
      <w:pPr>
        <w:spacing w:line="600" w:lineRule="exact"/>
        <w:ind w:firstLine="643" w:firstLineChars="200"/>
        <w:outlineLvl w:val="2"/>
        <w:rPr>
          <w:rFonts w:ascii="仿宋" w:hAnsi="仿宋" w:eastAsia="仿宋"/>
          <w:color w:val="auto"/>
          <w:sz w:val="32"/>
          <w:szCs w:val="32"/>
          <w:highlight w:val="none"/>
        </w:rPr>
      </w:pPr>
      <w:bookmarkStart w:id="61" w:name="_Toc15377222"/>
      <w:r>
        <w:rPr>
          <w:rFonts w:hint="eastAsia" w:ascii="仿宋" w:hAnsi="仿宋" w:eastAsia="仿宋"/>
          <w:b/>
          <w:color w:val="auto"/>
          <w:sz w:val="32"/>
          <w:szCs w:val="32"/>
          <w:highlight w:val="none"/>
        </w:rPr>
        <w:t>（一）机关运行经费支出情况</w:t>
      </w:r>
      <w:bookmarkEnd w:id="61"/>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本单位未发生机关运行经费支出，与2020年决算数持平。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2" w:name="_Toc15377223"/>
      <w:r>
        <w:rPr>
          <w:rFonts w:hint="eastAsia" w:ascii="仿宋" w:hAnsi="仿宋" w:eastAsia="仿宋"/>
          <w:b/>
          <w:color w:val="auto"/>
          <w:sz w:val="32"/>
          <w:szCs w:val="32"/>
          <w:highlight w:val="none"/>
        </w:rPr>
        <w:t>（二）政府采购支出情况</w:t>
      </w:r>
      <w:bookmarkEnd w:id="6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3" w:name="_Toc15377224"/>
      <w:r>
        <w:rPr>
          <w:rFonts w:hint="eastAsia" w:ascii="仿宋" w:hAnsi="仿宋" w:eastAsia="仿宋"/>
          <w:b/>
          <w:color w:val="auto"/>
          <w:sz w:val="32"/>
          <w:szCs w:val="32"/>
          <w:highlight w:val="none"/>
        </w:rPr>
        <w:t>（三）国有资产占有使用情况</w:t>
      </w:r>
      <w:bookmarkEnd w:id="63"/>
    </w:p>
    <w:p>
      <w:pPr>
        <w:autoSpaceDE w:val="0"/>
        <w:autoSpaceDN w:val="0"/>
        <w:adjustRightInd w:val="0"/>
        <w:spacing w:line="600" w:lineRule="exact"/>
        <w:ind w:firstLine="640" w:firstLineChars="200"/>
        <w:jc w:val="left"/>
        <w:outlineLvl w:val="2"/>
        <w:rPr>
          <w:rFonts w:hint="eastAsia" w:ascii="仿宋" w:hAnsi="仿宋" w:eastAsia="仿宋"/>
          <w:color w:val="00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我校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 w:hAnsi="仿宋" w:eastAsia="仿宋"/>
          <w:color w:val="000000"/>
          <w:sz w:val="32"/>
          <w:szCs w:val="32"/>
          <w:lang w:eastAsia="zh-CN"/>
        </w:rPr>
        <w:t>学校日常工作开展等方面。</w:t>
      </w:r>
      <w:r>
        <w:rPr>
          <w:rFonts w:hint="eastAsia" w:ascii="仿宋" w:hAnsi="仿宋" w:eastAsia="仿宋"/>
          <w:color w:val="000000"/>
          <w:sz w:val="32"/>
          <w:szCs w:val="32"/>
        </w:rPr>
        <w:t>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4"/>
          <w:rFonts w:ascii="黑体" w:hAnsi="黑体" w:eastAsia="黑体"/>
          <w:b w:val="0"/>
          <w:color w:val="auto"/>
          <w:highlight w:val="none"/>
        </w:rPr>
      </w:pPr>
      <w:bookmarkStart w:id="64" w:name="_Toc15377225"/>
      <w:bookmarkStart w:id="65" w:name="_Toc15396613"/>
      <w:bookmarkStart w:id="66" w:name="_Toc672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4"/>
      <w:bookmarkEnd w:id="65"/>
      <w:bookmarkEnd w:id="66"/>
    </w:p>
    <w:p>
      <w:pPr>
        <w:spacing w:line="600" w:lineRule="exact"/>
        <w:jc w:val="left"/>
        <w:rPr>
          <w:rFonts w:ascii="宋体"/>
          <w:b/>
          <w:color w:val="auto"/>
          <w:sz w:val="44"/>
          <w:szCs w:val="44"/>
          <w:highlight w:val="none"/>
        </w:rPr>
      </w:pPr>
    </w:p>
    <w:p>
      <w:pPr>
        <w:pStyle w:val="1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事业收入：指单位开展专业业务活动及辅助活动取得的收入</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如学费、住宿费等</w:t>
      </w:r>
      <w:r>
        <w:rPr>
          <w:rFonts w:hint="eastAsia" w:ascii="仿宋_GB2312" w:eastAsia="仿宋_GB2312"/>
          <w:color w:val="auto"/>
          <w:sz w:val="32"/>
          <w:szCs w:val="32"/>
          <w:highlight w:val="none"/>
        </w:rPr>
        <w:t>。</w:t>
      </w:r>
    </w:p>
    <w:p>
      <w:pPr>
        <w:pStyle w:val="1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教育</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高中教育</w:t>
      </w:r>
      <w:r>
        <w:rPr>
          <w:rFonts w:hint="eastAsia" w:ascii="仿宋_GB2312" w:eastAsia="仿宋_GB2312"/>
          <w:color w:val="auto"/>
          <w:sz w:val="32"/>
          <w:szCs w:val="32"/>
          <w:highlight w:val="none"/>
        </w:rPr>
        <w:t>（项）：指</w:t>
      </w:r>
      <w:r>
        <w:rPr>
          <w:rFonts w:hint="eastAsia" w:ascii="仿宋_GB2312" w:hAnsi="Calibri" w:eastAsia="仿宋_GB2312" w:cs="仿宋"/>
          <w:color w:val="000000"/>
          <w:kern w:val="0"/>
          <w:sz w:val="32"/>
          <w:szCs w:val="32"/>
        </w:rPr>
        <w:t>高中</w:t>
      </w:r>
      <w:r>
        <w:rPr>
          <w:rFonts w:ascii="仿宋_GB2312" w:hAnsi="Calibri" w:eastAsia="仿宋_GB2312" w:cs="仿宋"/>
          <w:color w:val="000000"/>
          <w:kern w:val="0"/>
          <w:sz w:val="32"/>
          <w:szCs w:val="32"/>
        </w:rPr>
        <w:t>普通教育方面的支出。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机关事业单位养老保险缴费支出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本单位</w:t>
      </w:r>
      <w:r>
        <w:rPr>
          <w:rFonts w:ascii="仿宋_GB2312" w:hAnsi="Calibri" w:eastAsia="仿宋_GB2312" w:cs="仿宋"/>
          <w:color w:val="000000"/>
          <w:kern w:val="0"/>
          <w:sz w:val="32"/>
          <w:szCs w:val="32"/>
        </w:rPr>
        <w:t>实施养老保险制度由单位缴纳的基本养老保险费支出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机关事业单位职业年金</w:t>
      </w:r>
      <w:r>
        <w:rPr>
          <w:rFonts w:hint="eastAsia" w:ascii="仿宋_GB2312" w:hAnsi="Times New Roman" w:eastAsia="仿宋_GB2312" w:cs="Times New Roman"/>
          <w:color w:val="auto"/>
          <w:kern w:val="2"/>
          <w:sz w:val="32"/>
          <w:szCs w:val="32"/>
          <w:highlight w:val="none"/>
          <w:lang w:val="en-US" w:eastAsia="zh-CN" w:bidi="ar-SA"/>
        </w:rPr>
        <w:t>缴费</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本单位</w:t>
      </w:r>
      <w:r>
        <w:rPr>
          <w:rFonts w:ascii="仿宋_GB2312" w:hAnsi="Calibri" w:eastAsia="仿宋_GB2312" w:cs="仿宋"/>
          <w:color w:val="000000"/>
          <w:kern w:val="0"/>
          <w:sz w:val="32"/>
          <w:szCs w:val="32"/>
        </w:rPr>
        <w:t>实施养老保险制度由单位缴纳的</w:t>
      </w:r>
      <w:r>
        <w:rPr>
          <w:rFonts w:hint="eastAsia" w:ascii="仿宋_GB2312" w:hAnsi="Calibri" w:eastAsia="仿宋_GB2312" w:cs="仿宋"/>
          <w:color w:val="000000"/>
          <w:kern w:val="0"/>
          <w:sz w:val="32"/>
          <w:szCs w:val="32"/>
          <w:lang w:val="en-US" w:eastAsia="zh-CN"/>
        </w:rPr>
        <w:t>职业年金</w:t>
      </w:r>
      <w:r>
        <w:rPr>
          <w:rFonts w:ascii="仿宋_GB2312" w:hAnsi="Calibri" w:eastAsia="仿宋_GB2312" w:cs="仿宋"/>
          <w:color w:val="000000"/>
          <w:kern w:val="0"/>
          <w:sz w:val="32"/>
          <w:szCs w:val="32"/>
        </w:rPr>
        <w:t>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其他社会保障和就业支出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其他社会保障和就业支出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本单位</w:t>
      </w:r>
      <w:r>
        <w:rPr>
          <w:rFonts w:hint="eastAsia" w:ascii="仿宋_GB2312" w:hAnsi="Calibri" w:eastAsia="仿宋_GB2312" w:cs="仿宋"/>
          <w:color w:val="000000"/>
          <w:kern w:val="0"/>
          <w:sz w:val="32"/>
          <w:szCs w:val="32"/>
          <w:lang w:val="en-US" w:eastAsia="zh-CN"/>
        </w:rPr>
        <w:t>工伤、失业保险等方面的</w:t>
      </w:r>
      <w:r>
        <w:rPr>
          <w:rFonts w:ascii="仿宋_GB2312" w:hAnsi="Calibri" w:eastAsia="仿宋_GB2312" w:cs="仿宋"/>
          <w:color w:val="000000"/>
          <w:kern w:val="0"/>
          <w:sz w:val="32"/>
          <w:szCs w:val="32"/>
        </w:rPr>
        <w:t>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事业单位医疗</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我单位财政部门安排的医疗保险缴费经费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住房公积金</w:t>
      </w:r>
      <w:r>
        <w:rPr>
          <w:rFonts w:hint="eastAsia" w:ascii="仿宋_GB2312" w:eastAsia="仿宋_GB2312"/>
          <w:color w:val="auto"/>
          <w:sz w:val="32"/>
          <w:szCs w:val="32"/>
          <w:highlight w:val="none"/>
        </w:rPr>
        <w:t>（项）：指</w:t>
      </w:r>
      <w:r>
        <w:rPr>
          <w:rFonts w:hint="eastAsia" w:ascii="仿宋_GB2312" w:hAnsi="Calibri" w:eastAsia="仿宋_GB2312" w:cs="仿宋"/>
          <w:color w:val="000000"/>
          <w:kern w:val="0"/>
          <w:sz w:val="32"/>
          <w:szCs w:val="32"/>
          <w:lang w:val="en-US" w:eastAsia="zh-CN"/>
        </w:rPr>
        <w:t>本单位</w:t>
      </w:r>
      <w:r>
        <w:rPr>
          <w:rFonts w:ascii="仿宋_GB2312" w:hAnsi="Calibri" w:eastAsia="仿宋_GB2312" w:cs="仿宋"/>
          <w:color w:val="000000"/>
          <w:kern w:val="0"/>
          <w:sz w:val="32"/>
          <w:szCs w:val="32"/>
        </w:rPr>
        <w:t>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1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67" w:name="_Toc15377226"/>
      <w:r>
        <w:rPr>
          <w:rFonts w:ascii="宋体"/>
          <w:b/>
          <w:color w:val="auto"/>
          <w:sz w:val="44"/>
          <w:szCs w:val="44"/>
          <w:highlight w:val="none"/>
        </w:rPr>
        <w:br w:type="page"/>
      </w:r>
      <w:bookmarkStart w:id="68" w:name="_Toc17663"/>
      <w:bookmarkStart w:id="69"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68"/>
      <w:bookmarkEnd w:id="69"/>
    </w:p>
    <w:p>
      <w:pPr>
        <w:pStyle w:val="6"/>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华文中宋" w:hAnsi="华文中宋" w:eastAsia="华文中宋" w:cs="华文中宋"/>
          <w:b/>
          <w:bCs/>
          <w:color w:val="auto"/>
          <w:kern w:val="2"/>
          <w:sz w:val="40"/>
          <w:szCs w:val="40"/>
          <w:highlight w:val="none"/>
          <w:lang w:val="zh-CN" w:eastAsia="zh-CN" w:bidi="ar-SA"/>
        </w:rPr>
      </w:pPr>
      <w:bookmarkStart w:id="70" w:name="_Toc31442"/>
      <w:r>
        <w:rPr>
          <w:rFonts w:hint="eastAsia" w:ascii="华文中宋" w:hAnsi="华文中宋" w:eastAsia="华文中宋" w:cs="华文中宋"/>
          <w:b/>
          <w:bCs/>
          <w:color w:val="auto"/>
          <w:kern w:val="2"/>
          <w:sz w:val="40"/>
          <w:szCs w:val="40"/>
          <w:highlight w:val="none"/>
          <w:lang w:val="en-US" w:eastAsia="zh-CN" w:bidi="ar-SA"/>
        </w:rPr>
        <w:t>2021年博明楼、博美楼维修</w:t>
      </w:r>
      <w:r>
        <w:rPr>
          <w:rFonts w:hint="eastAsia" w:ascii="华文中宋" w:hAnsi="华文中宋" w:eastAsia="华文中宋" w:cs="华文中宋"/>
          <w:b/>
          <w:bCs/>
          <w:color w:val="auto"/>
          <w:kern w:val="2"/>
          <w:sz w:val="40"/>
          <w:szCs w:val="40"/>
          <w:highlight w:val="none"/>
          <w:lang w:val="zh-CN" w:eastAsia="zh-CN" w:bidi="ar-SA"/>
        </w:rPr>
        <w:t>专项预算项目支出绩效自评报告</w:t>
      </w:r>
      <w:bookmarkEnd w:id="70"/>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2020年12月15日，邹自景市长在城区调研发现学校临电子路建筑外墙污损严重，局部脱落，存在安全隐患，且影响市容，指示必须整治，随后市政府副秘书长王华南召集市教育局、住建局、自然资源局、城管局等部门现场研究，会商认为需拆除外墙抹灰重做外墙漆。2021年3月21日，我校向市教育局报送《关于校舍维修三年计划及资金的请示》，2021年计划完成博明、博美楼的维修。维修主要内容:博明楼外墙拆除，重新抹灰做真石漆，博美楼外墙做真石漆，宿舍贴地板砖，内墙漆翻新，供水管改造，更换灯具，临街更换双层窗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完成博美楼、博明楼2个公寓楼维修，改善学生居住条件，消除安全隐患，</w:t>
      </w:r>
      <w:r>
        <w:rPr>
          <w:rFonts w:hint="eastAsia" w:ascii="仿宋_GB2312" w:hAnsi="宋体" w:eastAsia="仿宋_GB2312" w:cs="Times New Roman"/>
          <w:color w:val="auto"/>
          <w:sz w:val="32"/>
          <w:szCs w:val="32"/>
          <w:highlight w:val="none"/>
          <w:lang w:val="en-US" w:eastAsia="zh-CN"/>
        </w:rPr>
        <w:t>降低学校日常维修费用支出，实现节能降耗，提升校容校貌。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本次</w:t>
      </w:r>
      <w:r>
        <w:rPr>
          <w:rFonts w:hint="eastAsia" w:ascii="仿宋_GB2312" w:hAnsi="宋体" w:eastAsia="仿宋_GB2312" w:cs="Times New Roman"/>
          <w:color w:val="auto"/>
          <w:sz w:val="32"/>
          <w:szCs w:val="32"/>
          <w:highlight w:val="none"/>
          <w:lang w:val="zh-CN"/>
        </w:rPr>
        <w:t>项目绩效自评采用</w:t>
      </w:r>
      <w:r>
        <w:rPr>
          <w:rFonts w:hint="eastAsia" w:ascii="仿宋_GB2312" w:hAnsi="宋体" w:eastAsia="仿宋_GB2312" w:cs="Times New Roman"/>
          <w:color w:val="auto"/>
          <w:sz w:val="32"/>
          <w:szCs w:val="32"/>
          <w:highlight w:val="none"/>
          <w:lang w:val="en-US" w:eastAsia="zh-CN"/>
        </w:rPr>
        <w:t>由单位绩效管理小组开展，针对项目绩效指标进行评估，并现场了解项目实施情况，并报主管部门审核</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2021年3月21日，我校向市教育局报送《关于校舍维修三年计划及资金的请示》，2021年计划完成博明、博美楼的维修。</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w:t>
      </w:r>
      <w:r>
        <w:rPr>
          <w:rFonts w:hint="eastAsia" w:ascii="楷体_GB2312" w:hAnsi="宋体" w:eastAsia="楷体_GB2312" w:cs="Times New Roman"/>
          <w:color w:val="auto"/>
          <w:sz w:val="32"/>
          <w:szCs w:val="32"/>
          <w:highlight w:val="none"/>
          <w:lang w:val="en-US" w:eastAsia="zh-CN"/>
        </w:rPr>
        <w:t>及</w:t>
      </w:r>
      <w:r>
        <w:rPr>
          <w:rFonts w:hint="eastAsia" w:ascii="楷体_GB2312" w:hAnsi="宋体" w:eastAsia="楷体_GB2312" w:cs="Times New Roman"/>
          <w:color w:val="auto"/>
          <w:sz w:val="32"/>
          <w:szCs w:val="32"/>
          <w:highlight w:val="none"/>
          <w:lang w:val="zh-CN"/>
        </w:rPr>
        <w:t>资金到位</w:t>
      </w:r>
      <w:r>
        <w:rPr>
          <w:rFonts w:hint="eastAsia" w:ascii="楷体_GB2312" w:hAnsi="宋体" w:eastAsia="楷体_GB2312" w:cs="Times New Roman"/>
          <w:color w:val="auto"/>
          <w:sz w:val="32"/>
          <w:szCs w:val="32"/>
          <w:highlight w:val="none"/>
          <w:lang w:val="en-US" w:eastAsia="zh-CN"/>
        </w:rPr>
        <w:t>情况</w:t>
      </w:r>
      <w:r>
        <w:rPr>
          <w:rFonts w:hint="eastAsia" w:ascii="楷体_GB2312" w:hAnsi="宋体" w:eastAsia="楷体_GB2312"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en-US" w:eastAsia="zh-CN"/>
        </w:rPr>
        <w:t>根据《广元市财政局关于下达2021年市级教育专项资金预算的通知》（广财教[2021]97号）文件，下达资金154.78万元，实际到位154.78万元，资金到位率100%。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截止评价时点项目资金</w:t>
      </w:r>
      <w:r>
        <w:rPr>
          <w:rFonts w:hint="eastAsia" w:ascii="仿宋_GB2312" w:hAnsi="宋体" w:eastAsia="仿宋_GB2312" w:cs="Times New Roman"/>
          <w:color w:val="auto"/>
          <w:sz w:val="32"/>
          <w:szCs w:val="32"/>
          <w:highlight w:val="none"/>
          <w:lang w:val="en-US" w:eastAsia="zh-CN"/>
        </w:rPr>
        <w:t>支付率100%</w:t>
      </w:r>
      <w:r>
        <w:rPr>
          <w:rFonts w:hint="eastAsia" w:ascii="仿宋_GB2312" w:hAnsi="宋体" w:eastAsia="仿宋_GB2312"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en-US" w:eastAsia="zh-CN"/>
        </w:rPr>
        <w:t>全部用于博明、博美楼维修。</w:t>
      </w:r>
      <w:r>
        <w:rPr>
          <w:rFonts w:hint="eastAsia" w:ascii="仿宋_GB2312" w:hAnsi="宋体" w:eastAsia="仿宋_GB2312" w:cs="Times New Roman"/>
          <w:color w:val="auto"/>
          <w:sz w:val="32"/>
          <w:szCs w:val="32"/>
          <w:highlight w:val="none"/>
          <w:lang w:val="zh-CN"/>
        </w:rPr>
        <w:t>资金支付依据合规合法，</w:t>
      </w:r>
      <w:r>
        <w:rPr>
          <w:rFonts w:hint="eastAsia" w:ascii="仿宋_GB2312" w:hAnsi="宋体" w:eastAsia="仿宋_GB2312" w:cs="Times New Roman"/>
          <w:color w:val="auto"/>
          <w:sz w:val="32"/>
          <w:szCs w:val="32"/>
          <w:highlight w:val="none"/>
          <w:lang w:val="en-US" w:eastAsia="zh-CN"/>
        </w:rPr>
        <w:t>专款专用，无挪用、违规开支等现象，</w:t>
      </w:r>
      <w:r>
        <w:rPr>
          <w:rFonts w:hint="eastAsia" w:ascii="仿宋_GB2312" w:hAnsi="宋体" w:eastAsia="仿宋_GB2312" w:cs="Times New Roman"/>
          <w:color w:val="auto"/>
          <w:sz w:val="32"/>
          <w:szCs w:val="32"/>
          <w:highlight w:val="none"/>
          <w:lang w:val="zh-CN"/>
        </w:rPr>
        <w:t>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我校严格</w:t>
      </w:r>
      <w:r>
        <w:rPr>
          <w:rFonts w:hint="eastAsia" w:ascii="仿宋_GB2312" w:hAnsi="宋体" w:eastAsia="仿宋_GB2312" w:cs="Times New Roman"/>
          <w:color w:val="auto"/>
          <w:sz w:val="32"/>
          <w:szCs w:val="32"/>
          <w:highlight w:val="none"/>
          <w:lang w:val="zh-CN"/>
        </w:rPr>
        <w:t>按照合同约定</w:t>
      </w:r>
      <w:r>
        <w:rPr>
          <w:rFonts w:hint="eastAsia" w:ascii="仿宋_GB2312" w:hAnsi="宋体" w:eastAsia="仿宋_GB2312" w:cs="Times New Roman"/>
          <w:color w:val="auto"/>
          <w:sz w:val="32"/>
          <w:szCs w:val="32"/>
          <w:highlight w:val="none"/>
          <w:lang w:val="en-US" w:eastAsia="zh-CN"/>
        </w:rPr>
        <w:t>执行</w:t>
      </w:r>
      <w:r>
        <w:rPr>
          <w:rFonts w:hint="eastAsia" w:ascii="仿宋_GB2312" w:hAnsi="宋体" w:eastAsia="仿宋_GB2312" w:cs="Times New Roman"/>
          <w:color w:val="auto"/>
          <w:sz w:val="32"/>
          <w:szCs w:val="32"/>
          <w:highlight w:val="none"/>
          <w:lang w:val="zh-CN"/>
        </w:rPr>
        <w:t>工程进度款的支付，按施工进度完成建设任务并上报</w:t>
      </w:r>
      <w:r>
        <w:rPr>
          <w:rFonts w:hint="eastAsia" w:ascii="仿宋_GB2312" w:hAnsi="宋体" w:eastAsia="仿宋_GB2312" w:cs="Times New Roman"/>
          <w:color w:val="auto"/>
          <w:sz w:val="32"/>
          <w:szCs w:val="32"/>
          <w:highlight w:val="none"/>
          <w:lang w:val="en-US" w:eastAsia="zh-CN"/>
        </w:rPr>
        <w:t>相关科室</w:t>
      </w:r>
      <w:r>
        <w:rPr>
          <w:rFonts w:hint="eastAsia" w:ascii="仿宋_GB2312" w:hAnsi="宋体" w:eastAsia="仿宋_GB2312" w:cs="Times New Roman"/>
          <w:color w:val="auto"/>
          <w:sz w:val="32"/>
          <w:szCs w:val="32"/>
          <w:highlight w:val="none"/>
          <w:lang w:val="zh-CN"/>
        </w:rPr>
        <w:t>审批拨款，合同完工后扣留工程质量保证金，支付竣工结算。项目财务管理上按照“专款专用，注重实效”的原则进行管理。严格执行</w:t>
      </w:r>
      <w:r>
        <w:rPr>
          <w:rFonts w:hint="eastAsia" w:ascii="仿宋_GB2312" w:hAnsi="宋体" w:eastAsia="仿宋_GB2312" w:cs="Times New Roman"/>
          <w:color w:val="auto"/>
          <w:sz w:val="32"/>
          <w:szCs w:val="32"/>
          <w:highlight w:val="none"/>
          <w:lang w:val="en-US" w:eastAsia="zh-CN"/>
        </w:rPr>
        <w:t>财务</w:t>
      </w:r>
      <w:r>
        <w:rPr>
          <w:rFonts w:hint="eastAsia" w:ascii="仿宋_GB2312" w:hAnsi="宋体" w:eastAsia="仿宋_GB2312" w:cs="Times New Roman"/>
          <w:color w:val="auto"/>
          <w:sz w:val="32"/>
          <w:szCs w:val="32"/>
          <w:highlight w:val="none"/>
          <w:lang w:val="zh-CN"/>
        </w:rPr>
        <w:t>管理及资金支付制度，从制度上为规范资金管理提供保障，促进了资金使用管理的规范性、安全性和有效性。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2021年4月，市教育局备案审核表，学校委托零八一建筑勘察设计院设计，编制控制价报财评中心</w:t>
      </w:r>
      <w:r>
        <w:rPr>
          <w:rFonts w:hint="eastAsia" w:ascii="仿宋_GB2312" w:hAnsi="宋体" w:eastAsia="仿宋_GB2312" w:cs="Times New Roman"/>
          <w:color w:val="auto"/>
          <w:sz w:val="32"/>
          <w:szCs w:val="32"/>
          <w:highlight w:val="none"/>
          <w:lang w:val="en-US" w:eastAsia="zh-CN"/>
        </w:rPr>
        <w:t>进行</w:t>
      </w:r>
      <w:r>
        <w:rPr>
          <w:rFonts w:hint="eastAsia" w:ascii="仿宋_GB2312" w:hAnsi="宋体" w:eastAsia="仿宋_GB2312" w:cs="Times New Roman"/>
          <w:color w:val="auto"/>
          <w:sz w:val="32"/>
          <w:szCs w:val="32"/>
          <w:highlight w:val="none"/>
          <w:lang w:val="zh-CN"/>
        </w:rPr>
        <w:t>财评，2021年6月4日，财政局下达《关于广元中学学生公寓博明楼博美楼维修施工图预算控制价的函》。学校委托四川鑫森项目管理公司进行监理。7月16日，四川帅典建筑公司以152.78万元成为成交供应商。2021年7</w:t>
      </w:r>
      <w:r>
        <w:rPr>
          <w:rFonts w:hint="eastAsia" w:ascii="仿宋_GB2312" w:hAnsi="宋体" w:eastAsia="仿宋_GB2312" w:cs="Times New Roman"/>
          <w:color w:val="auto"/>
          <w:sz w:val="32"/>
          <w:szCs w:val="32"/>
          <w:highlight w:val="none"/>
          <w:lang w:val="en-US" w:eastAsia="zh-CN"/>
        </w:rPr>
        <w:t>月21日签订施工合同，2021年8月25日，进行竣工验收，验收合格，到达预定可使用状态。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为保障教育教学的正常开展，维修等项目只能在假期进行，博明、博美楼维修项目紧扣时间节点，倒排工期，顺排工序，既保障了工程顺利交付，同时也注重正常教育教学秩序的维护。严格执行投资计划，无超预算、挪用等现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维修项目按计划完成，消除了安全隐患，降低了学校日常维修支出，更换临街窗户、供水管道、节能家具，实现节能降耗，市容市貌、校容校貌都得到了改善。学生、家长、社会各方面满意。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eastAsia="仿宋_GB2312" w:cs="仿宋_GB2312"/>
          <w:color w:val="000000"/>
          <w:kern w:val="0"/>
          <w:sz w:val="31"/>
          <w:szCs w:val="31"/>
          <w:lang w:val="en-US" w:eastAsia="zh-CN" w:bidi="ar"/>
        </w:rPr>
        <w:t>2021</w:t>
      </w:r>
      <w:r>
        <w:rPr>
          <w:rFonts w:ascii="仿宋_GB2312" w:hAnsi="宋体" w:eastAsia="仿宋_GB2312" w:cs="仿宋_GB2312"/>
          <w:color w:val="000000"/>
          <w:kern w:val="0"/>
          <w:sz w:val="31"/>
          <w:szCs w:val="31"/>
          <w:lang w:val="en-US" w:eastAsia="zh-CN" w:bidi="ar"/>
        </w:rPr>
        <w:t>年我</w:t>
      </w:r>
      <w:r>
        <w:rPr>
          <w:rFonts w:hint="eastAsia" w:ascii="仿宋_GB2312" w:hAnsi="宋体" w:eastAsia="仿宋_GB2312" w:cs="仿宋_GB2312"/>
          <w:color w:val="000000"/>
          <w:kern w:val="0"/>
          <w:sz w:val="31"/>
          <w:szCs w:val="31"/>
          <w:lang w:val="en-US" w:eastAsia="zh-CN" w:bidi="ar"/>
        </w:rPr>
        <w:t>校专项项目</w:t>
      </w:r>
      <w:r>
        <w:rPr>
          <w:rFonts w:ascii="仿宋_GB2312" w:hAnsi="宋体" w:eastAsia="仿宋_GB2312" w:cs="仿宋_GB2312"/>
          <w:color w:val="000000"/>
          <w:kern w:val="0"/>
          <w:sz w:val="31"/>
          <w:szCs w:val="31"/>
          <w:lang w:val="en-US" w:eastAsia="zh-CN" w:bidi="ar"/>
        </w:rPr>
        <w:t>支出</w:t>
      </w:r>
      <w:r>
        <w:rPr>
          <w:rFonts w:hint="default" w:ascii="仿宋_GB2312" w:hAnsi="宋体" w:eastAsia="仿宋_GB2312" w:cs="仿宋_GB2312"/>
          <w:color w:val="000000"/>
          <w:kern w:val="0"/>
          <w:sz w:val="31"/>
          <w:szCs w:val="31"/>
          <w:lang w:val="en-US" w:eastAsia="zh-CN" w:bidi="ar"/>
        </w:rPr>
        <w:t>保障了重点工作的开展，按照 202</w:t>
      </w:r>
      <w:r>
        <w:rPr>
          <w:rFonts w:hint="eastAsia" w:ascii="仿宋_GB2312" w:hAnsi="宋体" w:eastAsia="仿宋_GB2312" w:cs="仿宋_GB2312"/>
          <w:color w:val="000000"/>
          <w:kern w:val="0"/>
          <w:sz w:val="31"/>
          <w:szCs w:val="31"/>
          <w:lang w:val="en-US" w:eastAsia="zh-CN" w:bidi="ar"/>
        </w:rPr>
        <w:t>1</w:t>
      </w:r>
      <w:r>
        <w:rPr>
          <w:rFonts w:hint="default" w:ascii="仿宋_GB2312" w:hAnsi="宋体" w:eastAsia="仿宋_GB2312" w:cs="仿宋_GB2312"/>
          <w:color w:val="000000"/>
          <w:kern w:val="0"/>
          <w:sz w:val="31"/>
          <w:szCs w:val="31"/>
          <w:lang w:val="en-US" w:eastAsia="zh-CN" w:bidi="ar"/>
        </w:rPr>
        <w:t>年度</w:t>
      </w:r>
      <w:r>
        <w:rPr>
          <w:rFonts w:hint="eastAsia" w:ascii="仿宋_GB2312" w:hAnsi="宋体" w:eastAsia="仿宋_GB2312" w:cs="仿宋_GB2312"/>
          <w:color w:val="000000"/>
          <w:kern w:val="0"/>
          <w:sz w:val="31"/>
          <w:szCs w:val="31"/>
          <w:lang w:val="en-US" w:eastAsia="zh-CN" w:bidi="ar"/>
        </w:rPr>
        <w:t>专项项目</w:t>
      </w:r>
      <w:r>
        <w:rPr>
          <w:rFonts w:hint="default" w:ascii="仿宋_GB2312" w:hAnsi="宋体" w:eastAsia="仿宋_GB2312" w:cs="仿宋_GB2312"/>
          <w:color w:val="000000"/>
          <w:kern w:val="0"/>
          <w:sz w:val="31"/>
          <w:szCs w:val="31"/>
          <w:lang w:val="en-US" w:eastAsia="zh-CN" w:bidi="ar"/>
        </w:rPr>
        <w:t>支出绩效评价指标体系对我</w:t>
      </w:r>
      <w:r>
        <w:rPr>
          <w:rFonts w:hint="eastAsia" w:ascii="仿宋_GB2312" w:hAnsi="宋体" w:eastAsia="仿宋_GB2312" w:cs="仿宋_GB2312"/>
          <w:color w:val="000000"/>
          <w:kern w:val="0"/>
          <w:sz w:val="31"/>
          <w:szCs w:val="31"/>
          <w:lang w:val="en-US" w:eastAsia="zh-CN" w:bidi="ar"/>
        </w:rPr>
        <w:t>校专项项目预算</w:t>
      </w:r>
      <w:r>
        <w:rPr>
          <w:rFonts w:hint="default" w:ascii="仿宋_GB2312" w:hAnsi="宋体" w:eastAsia="仿宋_GB2312" w:cs="仿宋_GB2312"/>
          <w:color w:val="000000"/>
          <w:kern w:val="0"/>
          <w:sz w:val="31"/>
          <w:szCs w:val="31"/>
          <w:lang w:val="en-US" w:eastAsia="zh-CN" w:bidi="ar"/>
        </w:rPr>
        <w:t>编制、预算执行、完成结果、信息公开、整改反馈等方面进行了自评，</w:t>
      </w:r>
      <w:r>
        <w:rPr>
          <w:rFonts w:hint="eastAsia" w:ascii="仿宋_GB2312" w:hAnsi="宋体" w:eastAsia="仿宋_GB2312" w:cs="仿宋_GB2312"/>
          <w:color w:val="000000"/>
          <w:kern w:val="0"/>
          <w:sz w:val="31"/>
          <w:szCs w:val="31"/>
          <w:lang w:val="en-US" w:eastAsia="zh-CN" w:bidi="ar"/>
        </w:rPr>
        <w:t>评价结果较好</w:t>
      </w:r>
      <w:r>
        <w:rPr>
          <w:rFonts w:hint="default" w:ascii="仿宋_GB2312" w:hAnsi="宋体"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绩效目标编制有待进一步完善。今后要完善绩效目标的编制，在编制绩效目标时对绩效指标进行量化，设立清晰、具体可以衡量的绩效指标，以便于进行绩效考核。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仿宋_GB2312"/>
          <w:i w:val="0"/>
          <w:iCs w:val="0"/>
          <w:caps w:val="0"/>
          <w:color w:val="auto"/>
          <w:spacing w:val="0"/>
          <w:sz w:val="32"/>
          <w:szCs w:val="32"/>
          <w:shd w:val="clear" w:fill="FFFFFF"/>
        </w:rPr>
      </w:pPr>
      <w:r>
        <w:rPr>
          <w:rFonts w:hint="eastAsia" w:ascii="仿宋_GB2312" w:hAnsi="宋体" w:eastAsia="仿宋_GB2312" w:cs="仿宋_GB2312"/>
          <w:i w:val="0"/>
          <w:iCs w:val="0"/>
          <w:caps w:val="0"/>
          <w:color w:val="auto"/>
          <w:spacing w:val="0"/>
          <w:sz w:val="32"/>
          <w:szCs w:val="32"/>
          <w:shd w:val="clear" w:fill="FFFFFF"/>
          <w:lang w:val="en-US" w:eastAsia="zh-CN"/>
        </w:rPr>
        <w:t>1.</w:t>
      </w:r>
      <w:r>
        <w:rPr>
          <w:rFonts w:hint="default" w:ascii="仿宋_GB2312" w:hAnsi="宋体" w:eastAsia="仿宋_GB2312" w:cs="仿宋_GB2312"/>
          <w:i w:val="0"/>
          <w:iCs w:val="0"/>
          <w:caps w:val="0"/>
          <w:color w:val="auto"/>
          <w:spacing w:val="0"/>
          <w:sz w:val="32"/>
          <w:szCs w:val="32"/>
          <w:shd w:val="clear" w:fill="FFFFFF"/>
        </w:rPr>
        <w:t>进一步健全和完善财务管理制度及内部控制制度，创新管理手段，用新思路、新方法，改进完善财务管理。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b w:val="0"/>
          <w:bCs w:val="0"/>
          <w:color w:val="auto"/>
        </w:rPr>
      </w:pP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default" w:ascii="仿宋_GB2312" w:hAnsi="宋体" w:eastAsia="仿宋_GB2312" w:cs="仿宋_GB2312"/>
          <w:i w:val="0"/>
          <w:iCs w:val="0"/>
          <w:caps w:val="0"/>
          <w:color w:val="auto"/>
          <w:spacing w:val="0"/>
          <w:sz w:val="32"/>
          <w:szCs w:val="32"/>
          <w:shd w:val="clear" w:fill="FFFFFF"/>
        </w:rPr>
        <w:t>按照财政支出绩效管理的要求，建立科学的财政资金效益考评制度体系，不断提高财政资金使用管理的水平和效率。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仿宋_GB2312"/>
          <w:i w:val="0"/>
          <w:iCs w:val="0"/>
          <w:caps w:val="0"/>
          <w:color w:val="auto"/>
          <w:spacing w:val="0"/>
          <w:sz w:val="32"/>
          <w:szCs w:val="32"/>
          <w:shd w:val="clear" w:fill="FFFFFF"/>
        </w:rPr>
      </w:pPr>
      <w:r>
        <w:rPr>
          <w:rFonts w:hint="eastAsia" w:ascii="仿宋_GB2312" w:hAnsi="宋体" w:eastAsia="仿宋_GB2312" w:cs="仿宋_GB2312"/>
          <w:i w:val="0"/>
          <w:iCs w:val="0"/>
          <w:caps w:val="0"/>
          <w:color w:val="auto"/>
          <w:spacing w:val="0"/>
          <w:sz w:val="32"/>
          <w:szCs w:val="32"/>
          <w:shd w:val="clear" w:fill="FFFFFF"/>
          <w:lang w:val="en-US" w:eastAsia="zh-CN"/>
        </w:rPr>
        <w:t>3.</w:t>
      </w:r>
      <w:r>
        <w:rPr>
          <w:rFonts w:hint="default" w:ascii="仿宋_GB2312" w:hAnsi="宋体" w:eastAsia="仿宋_GB2312" w:cs="仿宋_GB2312"/>
          <w:i w:val="0"/>
          <w:iCs w:val="0"/>
          <w:caps w:val="0"/>
          <w:color w:val="auto"/>
          <w:spacing w:val="0"/>
          <w:sz w:val="32"/>
          <w:szCs w:val="32"/>
          <w:shd w:val="clear" w:fill="FFFFFF"/>
        </w:rPr>
        <w:t>加强部门预算绩效管理的指导和培训，增强绩效管理</w:t>
      </w:r>
      <w:r>
        <w:rPr>
          <w:rFonts w:hint="eastAsia" w:ascii="仿宋_GB2312" w:hAnsi="宋体" w:eastAsia="仿宋_GB2312" w:cs="仿宋_GB2312"/>
          <w:i w:val="0"/>
          <w:iCs w:val="0"/>
          <w:caps w:val="0"/>
          <w:color w:val="auto"/>
          <w:spacing w:val="0"/>
          <w:sz w:val="32"/>
          <w:szCs w:val="32"/>
          <w:shd w:val="clear" w:fill="FFFFFF"/>
          <w:lang w:val="en-US" w:eastAsia="zh-CN"/>
        </w:rPr>
        <w:t>负责</w:t>
      </w:r>
      <w:r>
        <w:rPr>
          <w:rFonts w:hint="default" w:ascii="仿宋_GB2312" w:hAnsi="宋体" w:eastAsia="仿宋_GB2312" w:cs="仿宋_GB2312"/>
          <w:i w:val="0"/>
          <w:iCs w:val="0"/>
          <w:caps w:val="0"/>
          <w:color w:val="auto"/>
          <w:spacing w:val="0"/>
          <w:sz w:val="32"/>
          <w:szCs w:val="32"/>
          <w:shd w:val="clear" w:fill="FFFFFF"/>
        </w:rPr>
        <w:t>人员</w:t>
      </w:r>
      <w:r>
        <w:rPr>
          <w:rFonts w:hint="eastAsia" w:ascii="仿宋_GB2312" w:hAnsi="宋体" w:eastAsia="仿宋_GB2312" w:cs="仿宋_GB2312"/>
          <w:i w:val="0"/>
          <w:iCs w:val="0"/>
          <w:caps w:val="0"/>
          <w:color w:val="auto"/>
          <w:spacing w:val="0"/>
          <w:sz w:val="32"/>
          <w:szCs w:val="32"/>
          <w:shd w:val="clear" w:fill="FFFFFF"/>
          <w:lang w:val="en-US" w:eastAsia="zh-CN"/>
        </w:rPr>
        <w:t>的管理</w:t>
      </w:r>
      <w:r>
        <w:rPr>
          <w:rFonts w:hint="default" w:ascii="仿宋_GB2312" w:hAnsi="宋体" w:eastAsia="仿宋_GB2312" w:cs="仿宋_GB2312"/>
          <w:i w:val="0"/>
          <w:iCs w:val="0"/>
          <w:caps w:val="0"/>
          <w:color w:val="auto"/>
          <w:spacing w:val="0"/>
          <w:sz w:val="32"/>
          <w:szCs w:val="32"/>
          <w:shd w:val="clear" w:fill="FFFFFF"/>
        </w:rPr>
        <w:t>能力、专业素质和思想水平。</w:t>
      </w: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16"/>
        <w:rPr>
          <w:rFonts w:hint="eastAsia" w:ascii="黑体" w:hAnsi="黑体" w:eastAsia="黑体" w:cs="黑体"/>
          <w:color w:val="auto"/>
          <w:sz w:val="32"/>
          <w:szCs w:val="32"/>
          <w:highlight w:val="none"/>
        </w:rPr>
      </w:pPr>
    </w:p>
    <w:p>
      <w:pPr>
        <w:pStyle w:val="16"/>
        <w:rPr>
          <w:rFonts w:hint="eastAsia" w:ascii="黑体" w:hAnsi="黑体" w:eastAsia="黑体" w:cs="黑体"/>
          <w:color w:val="auto"/>
          <w:sz w:val="32"/>
          <w:szCs w:val="32"/>
          <w:highlight w:val="none"/>
        </w:rPr>
      </w:pPr>
    </w:p>
    <w:p>
      <w:pPr>
        <w:pStyle w:val="16"/>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仿宋_GB2312" w:hAnsi="仿宋_GB2312" w:eastAsia="黑体" w:cs="仿宋_GB2312"/>
          <w:color w:val="auto"/>
          <w:sz w:val="32"/>
          <w:szCs w:val="32"/>
          <w:highlight w:val="none"/>
          <w:lang w:val="en-US" w:eastAsia="zh-CN"/>
        </w:rPr>
      </w:pPr>
      <w:bookmarkStart w:id="71" w:name="_Toc32364"/>
      <w:bookmarkStart w:id="72" w:name="_Toc2288"/>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71"/>
      <w:bookmarkEnd w:id="72"/>
      <w:r>
        <w:rPr>
          <w:rFonts w:hint="eastAsia" w:ascii="黑体" w:hAnsi="黑体" w:eastAsia="黑体" w:cs="黑体"/>
          <w:color w:val="auto"/>
          <w:sz w:val="32"/>
          <w:szCs w:val="32"/>
          <w:highlight w:val="none"/>
          <w:lang w:val="en-US" w:eastAsia="zh-CN"/>
        </w:rPr>
        <w:t>1</w:t>
      </w:r>
    </w:p>
    <w:tbl>
      <w:tblPr>
        <w:tblStyle w:val="12"/>
        <w:tblpPr w:leftFromText="180" w:rightFromText="180" w:vertAnchor="text" w:horzAnchor="page" w:tblpX="1446" w:tblpY="660"/>
        <w:tblOverlap w:val="never"/>
        <w:tblW w:w="9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2"/>
        <w:gridCol w:w="1142"/>
        <w:gridCol w:w="1635"/>
        <w:gridCol w:w="1583"/>
        <w:gridCol w:w="1588"/>
        <w:gridCol w:w="1937"/>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9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rPr>
            </w:pPr>
            <w:bookmarkStart w:id="73" w:name="_Toc15396618"/>
            <w:r>
              <w:rPr>
                <w:rFonts w:hint="eastAsia" w:ascii="宋体" w:hAnsi="宋体" w:eastAsia="宋体" w:cs="宋体"/>
                <w:b/>
                <w:i w:val="0"/>
                <w:color w:val="auto"/>
                <w:sz w:val="32"/>
                <w:szCs w:val="32"/>
                <w:highlight w:val="none"/>
                <w:u w:val="none"/>
                <w:lang w:val="en-US" w:eastAsia="zh-CN"/>
              </w:rPr>
              <w:t>2021年博明楼、博美楼维修项目绩效目标自评</w:t>
            </w:r>
            <w:r>
              <w:rPr>
                <w:rFonts w:hint="eastAsia" w:ascii="宋体" w:hAnsi="宋体" w:cs="宋体"/>
                <w:b/>
                <w:i w:val="0"/>
                <w:color w:val="auto"/>
                <w:sz w:val="32"/>
                <w:szCs w:val="32"/>
                <w:highlight w:val="none"/>
                <w:u w:val="none"/>
                <w:lang w:val="en-US" w:eastAsia="zh-CN"/>
              </w:rPr>
              <w:t>表</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广元市教育局322301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四川省广元中学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9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default" w:ascii="宋体" w:eastAsia="宋体" w:cs="宋体"/>
                <w:color w:val="000000"/>
                <w:sz w:val="24"/>
                <w:lang w:val="en-US" w:eastAsia="zh-CN"/>
              </w:rPr>
              <w:t>154.78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default" w:ascii="宋体" w:eastAsia="宋体" w:cs="宋体"/>
                <w:color w:val="000000"/>
                <w:sz w:val="24"/>
                <w:lang w:val="en-US" w:eastAsia="zh-CN"/>
              </w:rPr>
              <w:t>154.78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2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default" w:ascii="宋体" w:eastAsia="宋体" w:cs="宋体"/>
                <w:color w:val="000000"/>
                <w:sz w:val="24"/>
                <w:lang w:val="en-US" w:eastAsia="zh-CN"/>
              </w:rPr>
              <w:t>154.78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default" w:ascii="宋体" w:eastAsia="宋体" w:cs="宋体"/>
                <w:color w:val="000000"/>
                <w:sz w:val="24"/>
                <w:lang w:val="en-US" w:eastAsia="zh-CN"/>
              </w:rPr>
              <w:t>154.78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2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eastAsia="宋体" w:cs="宋体"/>
                <w:color w:val="000000"/>
                <w:sz w:val="24"/>
                <w:lang w:val="en-US" w:eastAsia="zh-CN"/>
              </w:rPr>
              <w:t>完成博美楼、博明楼2个公寓楼维修。改善学生居住条件，消除安全隐患。</w:t>
            </w:r>
            <w:bookmarkStart w:id="103" w:name="_GoBack"/>
            <w:bookmarkEnd w:id="103"/>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eastAsia="宋体" w:cs="宋体"/>
                <w:color w:val="000000"/>
                <w:sz w:val="24"/>
                <w:lang w:val="en-US" w:eastAsia="zh-CN"/>
              </w:rPr>
              <w:t>完成博美楼、博明楼2个公寓楼维修。改善学生居住条件，消除安全隐患。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8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lang w:eastAsia="zh-CN"/>
              </w:rPr>
              <w:t>宿舍楼维修</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val="en-US" w:eastAsia="zh-CN"/>
              </w:rPr>
              <w:t>2幢</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val="en-US" w:eastAsia="zh-CN"/>
              </w:rPr>
              <w:t>2幢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符合国家行业标准</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达到验收标准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1"/>
                <w:szCs w:val="21"/>
                <w:lang w:val="en-US" w:eastAsia="zh-CN" w:bidi="ar-SA"/>
              </w:rPr>
            </w:pPr>
            <w:r>
              <w:rPr>
                <w:rFonts w:hint="eastAsia"/>
                <w:sz w:val="24"/>
              </w:rPr>
              <w:t>完成时效指标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2021年8月底完工交付</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val="en-US" w:eastAsia="zh-CN"/>
              </w:rPr>
              <w:t>2021年8月底完工，并交付使用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改善学生居住条件</w:t>
            </w:r>
            <w:r>
              <w:rPr>
                <w:rFonts w:hint="eastAsia" w:ascii="宋体" w:cs="宋体"/>
                <w:color w:val="000000"/>
                <w:sz w:val="24"/>
                <w:lang w:eastAsia="zh-CN"/>
              </w:rPr>
              <w:t>，</w:t>
            </w:r>
            <w:r>
              <w:rPr>
                <w:rFonts w:hint="eastAsia" w:ascii="宋体" w:cs="宋体"/>
                <w:color w:val="000000"/>
                <w:sz w:val="24"/>
              </w:rPr>
              <w:t>消除安全隐患</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较好</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val="en-US" w:eastAsia="zh-CN"/>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8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建立管护制度</w:t>
            </w:r>
            <w:r>
              <w:rPr>
                <w:rFonts w:hint="eastAsia" w:ascii="宋体" w:cs="宋体"/>
                <w:color w:val="000000"/>
                <w:sz w:val="24"/>
                <w:lang w:eastAsia="zh-CN"/>
              </w:rPr>
              <w:t>，</w:t>
            </w:r>
            <w:r>
              <w:rPr>
                <w:rFonts w:hint="eastAsia" w:ascii="宋体" w:cs="宋体"/>
                <w:color w:val="000000"/>
                <w:sz w:val="24"/>
              </w:rPr>
              <w:t>延长建筑物使用寿命</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较好</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8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师生满意度指标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≧90</w:t>
            </w:r>
            <w:r>
              <w:rPr>
                <w:rFonts w:hint="eastAsia" w:ascii="宋体" w:eastAsia="宋体" w:cs="宋体"/>
                <w:color w:val="000000"/>
                <w:sz w:val="24"/>
                <w:lang w:val="en-US" w:eastAsia="zh-CN"/>
              </w:rPr>
              <w:t>%</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9</w:t>
            </w:r>
            <w:r>
              <w:rPr>
                <w:rFonts w:hint="eastAsia" w:ascii="宋体" w:eastAsia="宋体" w:cs="宋体"/>
                <w:color w:val="000000"/>
                <w:sz w:val="24"/>
                <w:lang w:val="en-US" w:eastAsia="zh-CN"/>
              </w:rPr>
              <w:t>5%</w:t>
            </w:r>
          </w:p>
        </w:tc>
      </w:tr>
    </w:tbl>
    <w:p>
      <w:pPr>
        <w:keepNext w:val="0"/>
        <w:keepLines w:val="0"/>
        <w:pageBreakBefore w:val="0"/>
        <w:widowControl w:val="0"/>
        <w:kinsoku/>
        <w:wordWrap/>
        <w:overflowPunct/>
        <w:topLinePunct w:val="0"/>
        <w:autoSpaceDE/>
        <w:autoSpaceDN/>
        <w:bidi w:val="0"/>
        <w:spacing w:line="600" w:lineRule="exact"/>
        <w:jc w:val="both"/>
        <w:textAlignment w:val="auto"/>
        <w:outlineLvl w:val="1"/>
        <w:rPr>
          <w:rFonts w:hint="eastAsia" w:ascii="仿宋" w:hAnsi="仿宋" w:eastAsia="仿宋" w:cs="仿宋"/>
          <w:b w:val="0"/>
          <w:bCs w:val="0"/>
          <w:color w:val="auto"/>
          <w:kern w:val="2"/>
          <w:sz w:val="32"/>
          <w:szCs w:val="32"/>
          <w:highlight w:val="none"/>
          <w:lang w:val="en-US" w:eastAsia="zh-CN" w:bidi="ar-SA"/>
        </w:rPr>
      </w:pPr>
      <w:bookmarkStart w:id="74" w:name="_Toc6852"/>
    </w:p>
    <w:p>
      <w:pPr>
        <w:keepNext w:val="0"/>
        <w:keepLines w:val="0"/>
        <w:pageBreakBefore w:val="0"/>
        <w:widowControl w:val="0"/>
        <w:kinsoku/>
        <w:wordWrap/>
        <w:overflowPunct/>
        <w:topLinePunct w:val="0"/>
        <w:autoSpaceDE/>
        <w:autoSpaceDN/>
        <w:bidi w:val="0"/>
        <w:spacing w:line="600" w:lineRule="exact"/>
        <w:jc w:val="both"/>
        <w:textAlignment w:val="auto"/>
        <w:outlineLvl w:val="1"/>
        <w:rPr>
          <w:rFonts w:hint="eastAsia" w:ascii="仿宋" w:hAnsi="仿宋" w:eastAsia="仿宋" w:cs="仿宋"/>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both"/>
        <w:textAlignment w:val="auto"/>
        <w:outlineLvl w:val="1"/>
        <w:rPr>
          <w:rFonts w:hint="eastAsia" w:ascii="仿宋" w:hAnsi="仿宋" w:eastAsia="仿宋" w:cs="仿宋"/>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both"/>
        <w:textAlignment w:val="auto"/>
        <w:outlineLvl w:val="1"/>
        <w:rPr>
          <w:rFonts w:hint="eastAsia" w:ascii="仿宋" w:hAnsi="仿宋" w:eastAsia="仿宋" w:cs="仿宋"/>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both"/>
        <w:textAlignment w:val="auto"/>
        <w:outlineLvl w:val="1"/>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spacing w:line="600" w:lineRule="exact"/>
        <w:ind w:firstLine="883"/>
        <w:jc w:val="center"/>
        <w:textAlignment w:val="auto"/>
        <w:outlineLvl w:val="1"/>
        <w:rPr>
          <w:rFonts w:hint="eastAsia" w:ascii="华文中宋" w:hAnsi="华文中宋" w:eastAsia="华文中宋" w:cs="华文中宋"/>
          <w:b/>
          <w:bCs/>
          <w:color w:val="auto"/>
          <w:kern w:val="2"/>
          <w:sz w:val="32"/>
          <w:szCs w:val="32"/>
          <w:highlight w:val="none"/>
          <w:lang w:val="zh-CN" w:eastAsia="zh-CN" w:bidi="ar-SA"/>
        </w:rPr>
      </w:pPr>
      <w:r>
        <w:rPr>
          <w:rFonts w:hint="eastAsia" w:ascii="华文中宋" w:hAnsi="华文中宋" w:eastAsia="华文中宋" w:cs="华文中宋"/>
          <w:b/>
          <w:bCs/>
          <w:color w:val="auto"/>
          <w:kern w:val="2"/>
          <w:sz w:val="40"/>
          <w:szCs w:val="40"/>
          <w:highlight w:val="none"/>
          <w:lang w:val="en-US" w:eastAsia="zh-CN" w:bidi="ar-SA"/>
        </w:rPr>
        <w:t>2021年青年教师公寓专项预算</w:t>
      </w:r>
      <w:r>
        <w:rPr>
          <w:rFonts w:hint="eastAsia" w:ascii="华文中宋" w:hAnsi="华文中宋" w:eastAsia="华文中宋" w:cs="华文中宋"/>
          <w:b/>
          <w:bCs/>
          <w:color w:val="auto"/>
          <w:kern w:val="2"/>
          <w:sz w:val="40"/>
          <w:szCs w:val="40"/>
          <w:highlight w:val="none"/>
          <w:lang w:val="zh-CN" w:eastAsia="zh-CN" w:bidi="ar-SA"/>
        </w:rPr>
        <w:t>项目支出绩效自评报告</w:t>
      </w:r>
      <w:bookmarkEnd w:id="7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根据《关于支持四川省广元中学高质量发展六条措施》（广委办函[2021]15号）、《广元市高层次人才引进暂行办法》、《广元市创新创业人才特殊支持十条措施（试行）》等对公开引进高层次人才主要享受相关政策待遇的规定，我校完成32套周转房装修以及室内设备购置，为青年教师住房提供过渡性保障，降低居住成本，解决住房后顾之忧，全身心投入到教育教学中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青年教师公寓</w:t>
      </w:r>
      <w:r>
        <w:rPr>
          <w:rFonts w:hint="eastAsia" w:ascii="仿宋" w:hAnsi="仿宋" w:eastAsia="仿宋" w:cs="仿宋_GB2312"/>
          <w:color w:val="000000"/>
          <w:sz w:val="32"/>
          <w:szCs w:val="32"/>
        </w:rPr>
        <w:t>周转房专项经费绩效总体目标为解决</w:t>
      </w:r>
      <w:r>
        <w:rPr>
          <w:rFonts w:hint="eastAsia" w:ascii="仿宋" w:hAnsi="仿宋" w:eastAsia="仿宋" w:cs="仿宋_GB2312"/>
          <w:color w:val="000000"/>
          <w:sz w:val="32"/>
          <w:szCs w:val="32"/>
          <w:lang w:val="en-US" w:eastAsia="zh-CN"/>
        </w:rPr>
        <w:t>我校青年教职工的</w:t>
      </w:r>
      <w:r>
        <w:rPr>
          <w:rFonts w:hint="eastAsia" w:ascii="仿宋" w:hAnsi="仿宋" w:eastAsia="仿宋" w:cs="仿宋_GB2312"/>
          <w:color w:val="000000"/>
          <w:sz w:val="32"/>
          <w:szCs w:val="32"/>
        </w:rPr>
        <w:t>周转住房问题，绩效目标受益人群为</w:t>
      </w:r>
      <w:r>
        <w:rPr>
          <w:rFonts w:hint="eastAsia" w:ascii="仿宋" w:hAnsi="仿宋" w:eastAsia="仿宋" w:cs="仿宋_GB2312"/>
          <w:color w:val="000000"/>
          <w:sz w:val="32"/>
          <w:szCs w:val="32"/>
          <w:lang w:val="en-US" w:eastAsia="zh-CN"/>
        </w:rPr>
        <w:t>符合条件的全校教职工</w:t>
      </w:r>
      <w:r>
        <w:rPr>
          <w:rFonts w:hint="eastAsia" w:ascii="仿宋" w:hAnsi="仿宋" w:eastAsia="仿宋"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本次</w:t>
      </w:r>
      <w:r>
        <w:rPr>
          <w:rFonts w:hint="eastAsia" w:ascii="仿宋_GB2312" w:hAnsi="宋体" w:eastAsia="仿宋_GB2312" w:cs="Times New Roman"/>
          <w:color w:val="auto"/>
          <w:sz w:val="32"/>
          <w:szCs w:val="32"/>
          <w:highlight w:val="none"/>
          <w:lang w:val="zh-CN"/>
        </w:rPr>
        <w:t>项目绩效自评采用</w:t>
      </w:r>
      <w:r>
        <w:rPr>
          <w:rFonts w:hint="eastAsia" w:ascii="仿宋_GB2312" w:hAnsi="宋体" w:eastAsia="仿宋_GB2312" w:cs="Times New Roman"/>
          <w:color w:val="auto"/>
          <w:sz w:val="32"/>
          <w:szCs w:val="32"/>
          <w:highlight w:val="none"/>
          <w:lang w:val="en-US" w:eastAsia="zh-CN"/>
        </w:rPr>
        <w:t>由单位绩效管理小组开展，针对项目绩效指标进行评估，并现场了解项目实施情况，并报主管部门审核</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根据《广元市财政局关于下达2021年市级教育专项资金预算的通知》（广财教[2021]97号）文件，下达资金85.2680万元，实际到位85.2680万元，资金到位率100%。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截止评价时点项目资金支付率100%，全部用于青年教师公寓项目。资金支付依据合规合法，专款专用，无挪用、违规开支等现象，与预算相符。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校严格按照合同约定执行工程进度款的支付，按施工进度完成建设任务并上报相关科室审批拨款，合同完工后扣留工程质量保证金，支付竣工结算。项目财务管理上按照“专款专用，注重实效”的原则进行管理。严格执行财务管理及资金支付制度，从制度上为规范资金管理提供保障，促进了资金使用管理的规范性、安全性和有效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本项目分为室内装修和设施设备采购两部分，我校由专人负责，对整个项目实施过程进行监督。施工完成后，及时组织验收，并达到预定可使用状态。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该项目有计划、有步骤稳妥实施，已全部按照合同要求时间完成工作任务，达到预期目的。项目预设的各项绩效目标均已完成。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该项目实施严格执行住房装修国家标准，完成32套青年教师周转用房装修及设备购置，于2021年9月达到入住条件，改善青年教师居住条件，降低青年教师居住成本，为教育教学提供保障，教职工满意度大幅度提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eastAsia="仿宋_GB2312" w:cs="仿宋_GB2312"/>
          <w:color w:val="000000"/>
          <w:kern w:val="0"/>
          <w:sz w:val="31"/>
          <w:szCs w:val="31"/>
          <w:lang w:val="en-US" w:eastAsia="zh-CN" w:bidi="ar"/>
        </w:rPr>
        <w:t>2021</w:t>
      </w:r>
      <w:r>
        <w:rPr>
          <w:rFonts w:ascii="仿宋_GB2312" w:hAnsi="宋体" w:eastAsia="仿宋_GB2312" w:cs="仿宋_GB2312"/>
          <w:color w:val="000000"/>
          <w:kern w:val="0"/>
          <w:sz w:val="31"/>
          <w:szCs w:val="31"/>
          <w:lang w:val="en-US" w:eastAsia="zh-CN" w:bidi="ar"/>
        </w:rPr>
        <w:t>年我</w:t>
      </w:r>
      <w:r>
        <w:rPr>
          <w:rFonts w:hint="eastAsia" w:ascii="仿宋_GB2312" w:hAnsi="宋体" w:eastAsia="仿宋_GB2312" w:cs="仿宋_GB2312"/>
          <w:color w:val="000000"/>
          <w:kern w:val="0"/>
          <w:sz w:val="31"/>
          <w:szCs w:val="31"/>
          <w:lang w:val="en-US" w:eastAsia="zh-CN" w:bidi="ar"/>
        </w:rPr>
        <w:t>校专项项目</w:t>
      </w:r>
      <w:r>
        <w:rPr>
          <w:rFonts w:ascii="仿宋_GB2312" w:hAnsi="宋体" w:eastAsia="仿宋_GB2312" w:cs="仿宋_GB2312"/>
          <w:color w:val="000000"/>
          <w:kern w:val="0"/>
          <w:sz w:val="31"/>
          <w:szCs w:val="31"/>
          <w:lang w:val="en-US" w:eastAsia="zh-CN" w:bidi="ar"/>
        </w:rPr>
        <w:t>支出</w:t>
      </w:r>
      <w:r>
        <w:rPr>
          <w:rFonts w:hint="default" w:ascii="仿宋_GB2312" w:hAnsi="宋体" w:eastAsia="仿宋_GB2312" w:cs="仿宋_GB2312"/>
          <w:color w:val="000000"/>
          <w:kern w:val="0"/>
          <w:sz w:val="31"/>
          <w:szCs w:val="31"/>
          <w:lang w:val="en-US" w:eastAsia="zh-CN" w:bidi="ar"/>
        </w:rPr>
        <w:t>保障了重点工作的开展，按照 202</w:t>
      </w:r>
      <w:r>
        <w:rPr>
          <w:rFonts w:hint="eastAsia" w:ascii="仿宋_GB2312" w:hAnsi="宋体" w:eastAsia="仿宋_GB2312" w:cs="仿宋_GB2312"/>
          <w:color w:val="000000"/>
          <w:kern w:val="0"/>
          <w:sz w:val="31"/>
          <w:szCs w:val="31"/>
          <w:lang w:val="en-US" w:eastAsia="zh-CN" w:bidi="ar"/>
        </w:rPr>
        <w:t>1</w:t>
      </w:r>
      <w:r>
        <w:rPr>
          <w:rFonts w:hint="default" w:ascii="仿宋_GB2312" w:hAnsi="宋体" w:eastAsia="仿宋_GB2312" w:cs="仿宋_GB2312"/>
          <w:color w:val="000000"/>
          <w:kern w:val="0"/>
          <w:sz w:val="31"/>
          <w:szCs w:val="31"/>
          <w:lang w:val="en-US" w:eastAsia="zh-CN" w:bidi="ar"/>
        </w:rPr>
        <w:t>年度</w:t>
      </w:r>
      <w:r>
        <w:rPr>
          <w:rFonts w:hint="eastAsia" w:ascii="仿宋_GB2312" w:hAnsi="宋体" w:eastAsia="仿宋_GB2312" w:cs="仿宋_GB2312"/>
          <w:color w:val="000000"/>
          <w:kern w:val="0"/>
          <w:sz w:val="31"/>
          <w:szCs w:val="31"/>
          <w:lang w:val="en-US" w:eastAsia="zh-CN" w:bidi="ar"/>
        </w:rPr>
        <w:t>专项项目</w:t>
      </w:r>
      <w:r>
        <w:rPr>
          <w:rFonts w:hint="default" w:ascii="仿宋_GB2312" w:hAnsi="宋体" w:eastAsia="仿宋_GB2312" w:cs="仿宋_GB2312"/>
          <w:color w:val="000000"/>
          <w:kern w:val="0"/>
          <w:sz w:val="31"/>
          <w:szCs w:val="31"/>
          <w:lang w:val="en-US" w:eastAsia="zh-CN" w:bidi="ar"/>
        </w:rPr>
        <w:t>支出绩效评价指标体系对我</w:t>
      </w:r>
      <w:r>
        <w:rPr>
          <w:rFonts w:hint="eastAsia" w:ascii="仿宋_GB2312" w:hAnsi="宋体" w:eastAsia="仿宋_GB2312" w:cs="仿宋_GB2312"/>
          <w:color w:val="000000"/>
          <w:kern w:val="0"/>
          <w:sz w:val="31"/>
          <w:szCs w:val="31"/>
          <w:lang w:val="en-US" w:eastAsia="zh-CN" w:bidi="ar"/>
        </w:rPr>
        <w:t>校专项项目预算</w:t>
      </w:r>
      <w:r>
        <w:rPr>
          <w:rFonts w:hint="default" w:ascii="仿宋_GB2312" w:hAnsi="宋体" w:eastAsia="仿宋_GB2312" w:cs="仿宋_GB2312"/>
          <w:color w:val="000000"/>
          <w:kern w:val="0"/>
          <w:sz w:val="31"/>
          <w:szCs w:val="31"/>
          <w:lang w:val="en-US" w:eastAsia="zh-CN" w:bidi="ar"/>
        </w:rPr>
        <w:t>编制、预算执行、完成结果、信息公开、整改反馈等方面进行了自评，</w:t>
      </w:r>
      <w:r>
        <w:rPr>
          <w:rFonts w:hint="eastAsia" w:ascii="仿宋_GB2312" w:hAnsi="宋体" w:eastAsia="仿宋_GB2312" w:cs="仿宋_GB2312"/>
          <w:color w:val="000000"/>
          <w:kern w:val="0"/>
          <w:sz w:val="31"/>
          <w:szCs w:val="31"/>
          <w:lang w:val="en-US" w:eastAsia="zh-CN" w:bidi="ar"/>
        </w:rPr>
        <w:t>评价结果较好</w:t>
      </w:r>
      <w:r>
        <w:rPr>
          <w:rFonts w:hint="default" w:ascii="仿宋_GB2312" w:hAnsi="宋体"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200"/>
        <w:contextualSpacing/>
        <w:jc w:val="left"/>
        <w:textAlignment w:val="auto"/>
        <w:rPr>
          <w:rFonts w:hint="eastAsia" w:ascii="仿宋_GB2312" w:hAnsi="宋体" w:eastAsia="仿宋_GB2312" w:cs="仿宋_GB2312"/>
          <w:color w:val="000000"/>
          <w:kern w:val="0"/>
          <w:sz w:val="31"/>
          <w:szCs w:val="31"/>
          <w:lang w:val="zh-CN" w:eastAsia="zh-CN" w:bidi="ar"/>
        </w:rPr>
      </w:pPr>
      <w:r>
        <w:rPr>
          <w:rFonts w:hint="eastAsia" w:ascii="仿宋_GB2312" w:hAnsi="宋体" w:eastAsia="仿宋_GB2312" w:cs="仿宋_GB2312"/>
          <w:color w:val="000000"/>
          <w:kern w:val="0"/>
          <w:sz w:val="31"/>
          <w:szCs w:val="31"/>
          <w:lang w:val="zh-CN" w:eastAsia="zh-CN" w:bidi="ar"/>
        </w:rPr>
        <w:t>绩效目标编制有待进一步完善。</w:t>
      </w:r>
      <w:r>
        <w:rPr>
          <w:rFonts w:hint="eastAsia" w:ascii="仿宋_GB2312" w:hAnsi="宋体" w:eastAsia="仿宋_GB2312" w:cs="仿宋_GB2312"/>
          <w:color w:val="000000"/>
          <w:kern w:val="0"/>
          <w:sz w:val="31"/>
          <w:szCs w:val="31"/>
          <w:lang w:val="en-US" w:eastAsia="zh-CN" w:bidi="ar"/>
        </w:rPr>
        <w:t>今后要</w:t>
      </w:r>
      <w:r>
        <w:rPr>
          <w:rFonts w:hint="eastAsia" w:ascii="仿宋_GB2312" w:hAnsi="宋体" w:eastAsia="仿宋_GB2312" w:cs="仿宋_GB2312"/>
          <w:color w:val="000000"/>
          <w:kern w:val="0"/>
          <w:sz w:val="31"/>
          <w:szCs w:val="31"/>
          <w:lang w:val="zh-CN" w:eastAsia="zh-CN" w:bidi="ar"/>
        </w:rPr>
        <w:t>完善绩效目标的编制，</w:t>
      </w:r>
      <w:r>
        <w:rPr>
          <w:rFonts w:hint="eastAsia" w:ascii="仿宋_GB2312" w:hAnsi="宋体" w:eastAsia="仿宋_GB2312" w:cs="仿宋_GB2312"/>
          <w:color w:val="000000"/>
          <w:kern w:val="0"/>
          <w:sz w:val="31"/>
          <w:szCs w:val="31"/>
          <w:lang w:val="en-US" w:eastAsia="zh-CN" w:bidi="ar"/>
        </w:rPr>
        <w:t>要</w:t>
      </w:r>
      <w:r>
        <w:rPr>
          <w:rFonts w:hint="eastAsia" w:ascii="仿宋_GB2312" w:hAnsi="宋体" w:eastAsia="仿宋_GB2312" w:cs="仿宋_GB2312"/>
          <w:color w:val="000000"/>
          <w:kern w:val="0"/>
          <w:sz w:val="31"/>
          <w:szCs w:val="31"/>
          <w:lang w:val="zh-CN" w:eastAsia="zh-CN" w:bidi="ar"/>
        </w:rPr>
        <w:t>在编制绩效目标时对绩效指标进行量化，设立清晰、具体可以衡量的绩效指标，以便于进行绩效考核。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b w:val="0"/>
          <w:bCs w:val="0"/>
          <w:color w:val="auto"/>
        </w:rPr>
      </w:pPr>
      <w:r>
        <w:rPr>
          <w:rFonts w:hint="eastAsia" w:ascii="仿宋_GB2312" w:hAnsi="宋体" w:eastAsia="仿宋_GB2312" w:cs="仿宋_GB2312"/>
          <w:i w:val="0"/>
          <w:iCs w:val="0"/>
          <w:caps w:val="0"/>
          <w:color w:val="auto"/>
          <w:spacing w:val="0"/>
          <w:sz w:val="32"/>
          <w:szCs w:val="32"/>
          <w:shd w:val="clear" w:fill="FFFFFF"/>
          <w:lang w:val="en-US" w:eastAsia="zh-CN"/>
        </w:rPr>
        <w:t>1.</w:t>
      </w:r>
      <w:r>
        <w:rPr>
          <w:rFonts w:hint="default" w:ascii="仿宋_GB2312" w:hAnsi="宋体" w:eastAsia="仿宋_GB2312" w:cs="仿宋_GB2312"/>
          <w:i w:val="0"/>
          <w:iCs w:val="0"/>
          <w:caps w:val="0"/>
          <w:color w:val="auto"/>
          <w:spacing w:val="0"/>
          <w:sz w:val="32"/>
          <w:szCs w:val="32"/>
          <w:shd w:val="clear" w:fill="FFFFFF"/>
        </w:rPr>
        <w:t>按照财政支出绩效管理的要求，建立科学的财政资金效益考评制度体系，不断提高财政资金使用管理的水平和效率。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仿宋_GB2312"/>
          <w:i w:val="0"/>
          <w:iCs w:val="0"/>
          <w:caps w:val="0"/>
          <w:color w:val="auto"/>
          <w:spacing w:val="0"/>
          <w:sz w:val="32"/>
          <w:szCs w:val="32"/>
          <w:shd w:val="clear" w:fill="FFFFFF"/>
        </w:rPr>
      </w:pP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default" w:ascii="仿宋_GB2312" w:hAnsi="宋体" w:eastAsia="仿宋_GB2312" w:cs="仿宋_GB2312"/>
          <w:i w:val="0"/>
          <w:iCs w:val="0"/>
          <w:caps w:val="0"/>
          <w:color w:val="auto"/>
          <w:spacing w:val="0"/>
          <w:sz w:val="32"/>
          <w:szCs w:val="32"/>
          <w:shd w:val="clear" w:fill="FFFFFF"/>
        </w:rPr>
        <w:t>加强部门预算绩效管理的指导和培训，</w:t>
      </w:r>
      <w:r>
        <w:rPr>
          <w:rFonts w:hint="eastAsia" w:ascii="仿宋_GB2312" w:hAnsi="宋体" w:eastAsia="仿宋_GB2312" w:cs="仿宋_GB2312"/>
          <w:i w:val="0"/>
          <w:iCs w:val="0"/>
          <w:caps w:val="0"/>
          <w:color w:val="auto"/>
          <w:spacing w:val="0"/>
          <w:sz w:val="32"/>
          <w:szCs w:val="32"/>
          <w:shd w:val="clear" w:fill="FFFFFF"/>
          <w:lang w:val="en-US" w:eastAsia="zh-CN"/>
        </w:rPr>
        <w:t>增强</w:t>
      </w:r>
      <w:r>
        <w:rPr>
          <w:rFonts w:hint="default" w:ascii="仿宋_GB2312" w:hAnsi="宋体" w:eastAsia="仿宋_GB2312" w:cs="仿宋_GB2312"/>
          <w:i w:val="0"/>
          <w:iCs w:val="0"/>
          <w:caps w:val="0"/>
          <w:color w:val="auto"/>
          <w:spacing w:val="0"/>
          <w:sz w:val="32"/>
          <w:szCs w:val="32"/>
          <w:shd w:val="clear" w:fill="FFFFFF"/>
        </w:rPr>
        <w:t>绩效管理</w:t>
      </w:r>
      <w:r>
        <w:rPr>
          <w:rFonts w:hint="eastAsia" w:ascii="仿宋_GB2312" w:hAnsi="宋体" w:eastAsia="仿宋_GB2312" w:cs="仿宋_GB2312"/>
          <w:i w:val="0"/>
          <w:iCs w:val="0"/>
          <w:caps w:val="0"/>
          <w:color w:val="auto"/>
          <w:spacing w:val="0"/>
          <w:sz w:val="32"/>
          <w:szCs w:val="32"/>
          <w:shd w:val="clear" w:fill="FFFFFF"/>
          <w:lang w:val="en-US" w:eastAsia="zh-CN"/>
        </w:rPr>
        <w:t>负责</w:t>
      </w:r>
      <w:r>
        <w:rPr>
          <w:rFonts w:hint="default" w:ascii="仿宋_GB2312" w:hAnsi="宋体" w:eastAsia="仿宋_GB2312" w:cs="仿宋_GB2312"/>
          <w:i w:val="0"/>
          <w:iCs w:val="0"/>
          <w:caps w:val="0"/>
          <w:color w:val="auto"/>
          <w:spacing w:val="0"/>
          <w:sz w:val="32"/>
          <w:szCs w:val="32"/>
          <w:shd w:val="clear" w:fill="FFFFFF"/>
        </w:rPr>
        <w:t>人员</w:t>
      </w:r>
      <w:r>
        <w:rPr>
          <w:rFonts w:hint="eastAsia" w:ascii="仿宋_GB2312" w:hAnsi="宋体" w:eastAsia="仿宋_GB2312" w:cs="仿宋_GB2312"/>
          <w:i w:val="0"/>
          <w:iCs w:val="0"/>
          <w:caps w:val="0"/>
          <w:color w:val="auto"/>
          <w:spacing w:val="0"/>
          <w:sz w:val="32"/>
          <w:szCs w:val="32"/>
          <w:shd w:val="clear" w:fill="FFFFFF"/>
          <w:lang w:val="en-US" w:eastAsia="zh-CN"/>
        </w:rPr>
        <w:t>的管理</w:t>
      </w:r>
      <w:r>
        <w:rPr>
          <w:rFonts w:hint="default" w:ascii="仿宋_GB2312" w:hAnsi="宋体" w:eastAsia="仿宋_GB2312" w:cs="仿宋_GB2312"/>
          <w:i w:val="0"/>
          <w:iCs w:val="0"/>
          <w:caps w:val="0"/>
          <w:color w:val="auto"/>
          <w:spacing w:val="0"/>
          <w:sz w:val="32"/>
          <w:szCs w:val="32"/>
          <w:shd w:val="clear" w:fill="FFFFFF"/>
        </w:rPr>
        <w:t>能力、专业素质和思想水平。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i w:val="0"/>
          <w:iCs w:val="0"/>
          <w:caps w:val="0"/>
          <w:color w:val="auto"/>
          <w:spacing w:val="0"/>
          <w:sz w:val="32"/>
          <w:szCs w:val="32"/>
          <w:shd w:val="clear" w:fill="FFFFFF"/>
          <w:lang w:val="en-US" w:eastAsia="zh-CN"/>
        </w:rPr>
      </w:pPr>
    </w:p>
    <w:p>
      <w:pPr>
        <w:pStyle w:val="16"/>
        <w:rPr>
          <w:rFonts w:hint="eastAsia" w:ascii="黑体" w:hAnsi="黑体" w:eastAsia="黑体" w:cs="黑体"/>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lang w:val="en-US" w:eastAsia="zh-CN"/>
        </w:rPr>
      </w:pPr>
      <w:r>
        <w:rPr>
          <w:rFonts w:hint="eastAsia" w:ascii="黑体" w:hAnsi="黑体" w:eastAsia="黑体" w:cs="黑体"/>
          <w:i w:val="0"/>
          <w:iCs w:val="0"/>
          <w:caps w:val="0"/>
          <w:color w:val="auto"/>
          <w:spacing w:val="0"/>
          <w:sz w:val="32"/>
          <w:szCs w:val="32"/>
          <w:shd w:val="clear" w:fill="FFFFFF"/>
          <w:lang w:val="en-US" w:eastAsia="zh-CN"/>
        </w:rPr>
        <w:t>附表2：</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73"/>
        <w:gridCol w:w="984"/>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2021年青年教师周转房装修及设备购置项目绩效目标</w:t>
            </w:r>
            <w:r>
              <w:rPr>
                <w:rFonts w:hint="eastAsia" w:ascii="宋体" w:hAnsi="宋体" w:cs="宋体"/>
                <w:b/>
                <w:bCs/>
                <w:color w:val="000000"/>
                <w:kern w:val="0"/>
                <w:sz w:val="36"/>
                <w:szCs w:val="36"/>
                <w:lang w:val="en-US" w:eastAsia="zh-CN" w:bidi="ar"/>
              </w:rPr>
              <w:t>自评</w:t>
            </w:r>
            <w:r>
              <w:rPr>
                <w:rFonts w:hint="eastAsia" w:ascii="宋体" w:hAnsi="宋体" w:cs="宋体"/>
                <w:b/>
                <w:bCs/>
                <w:color w:val="000000"/>
                <w:kern w:val="0"/>
                <w:sz w:val="36"/>
                <w:szCs w:val="36"/>
                <w:lang w:bidi="ar"/>
              </w:rPr>
              <w:t>表</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cs="宋体"/>
                <w:color w:val="000000"/>
                <w:sz w:val="36"/>
                <w:szCs w:val="36"/>
              </w:rPr>
            </w:pPr>
            <w:r>
              <w:rPr>
                <w:rFonts w:ascii="宋体" w:hAnsi="宋体" w:cs="宋体"/>
                <w:color w:val="000000"/>
                <w:kern w:val="0"/>
                <w:sz w:val="28"/>
                <w:szCs w:val="28"/>
                <w:lang w:bidi="ar"/>
              </w:rPr>
              <w:t>(202</w:t>
            </w: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年度</w:t>
            </w:r>
            <w:r>
              <w:rPr>
                <w:rFonts w:ascii="宋体" w:hAnsi="宋体" w:cs="宋体"/>
                <w:color w:val="000000"/>
                <w:kern w:val="0"/>
                <w:sz w:val="28"/>
                <w:szCs w:val="28"/>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Times New Roman" w:eastAsia="仿宋_GB2312" w:cs="Times New Roman"/>
                <w:kern w:val="2"/>
                <w:sz w:val="24"/>
                <w:szCs w:val="21"/>
                <w:lang w:val="en-US" w:eastAsia="zh-CN" w:bidi="ar-SA"/>
              </w:rPr>
              <w:t>青年教师周转房装修及设备购置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四川省广元中学</w:t>
            </w:r>
          </w:p>
        </w:tc>
      </w:tr>
      <w:tr>
        <w:tblPrEx>
          <w:tblCellMar>
            <w:top w:w="0" w:type="dxa"/>
            <w:left w:w="0" w:type="dxa"/>
            <w:bottom w:w="0" w:type="dxa"/>
            <w:right w:w="0" w:type="dxa"/>
          </w:tblCellMar>
        </w:tblPrEx>
        <w:trPr>
          <w:trHeight w:val="276"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0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85.2</w:t>
            </w:r>
            <w:r>
              <w:rPr>
                <w:rFonts w:hint="eastAsia" w:ascii="宋体" w:cs="宋体"/>
                <w:color w:val="000000"/>
                <w:sz w:val="24"/>
                <w:lang w:val="en-US" w:eastAsia="zh-CN"/>
              </w:rPr>
              <w:t>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85.2</w:t>
            </w:r>
            <w:r>
              <w:rPr>
                <w:rFonts w:hint="eastAsia" w:ascii="宋体" w:cs="宋体"/>
                <w:color w:val="000000"/>
                <w:sz w:val="24"/>
                <w:lang w:val="en-US" w:eastAsia="zh-CN"/>
              </w:rPr>
              <w:t>7</w:t>
            </w:r>
          </w:p>
        </w:tc>
      </w:tr>
      <w:tr>
        <w:tblPrEx>
          <w:tblCellMar>
            <w:top w:w="0" w:type="dxa"/>
            <w:left w:w="0" w:type="dxa"/>
            <w:bottom w:w="0" w:type="dxa"/>
            <w:right w:w="0" w:type="dxa"/>
          </w:tblCellMar>
        </w:tblPrEx>
        <w:trPr>
          <w:trHeight w:val="276"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0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85.2</w:t>
            </w:r>
            <w:r>
              <w:rPr>
                <w:rFonts w:hint="eastAsia" w:ascii="宋体" w:cs="宋体"/>
                <w:color w:val="000000"/>
                <w:sz w:val="24"/>
                <w:lang w:val="en-US" w:eastAsia="zh-CN"/>
              </w:rPr>
              <w:t>7</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default" w:ascii="宋体" w:eastAsia="宋体" w:cs="宋体"/>
                <w:color w:val="000000"/>
                <w:sz w:val="24"/>
                <w:lang w:val="en-US" w:eastAsia="zh-CN"/>
              </w:rPr>
              <w:t>85.2</w:t>
            </w:r>
            <w:r>
              <w:rPr>
                <w:rFonts w:hint="eastAsia" w:ascii="宋体" w:cs="宋体"/>
                <w:color w:val="000000"/>
                <w:sz w:val="24"/>
                <w:lang w:val="en-US" w:eastAsia="zh-CN"/>
              </w:rPr>
              <w:t>7</w:t>
            </w:r>
          </w:p>
        </w:tc>
      </w:tr>
      <w:tr>
        <w:tblPrEx>
          <w:tblCellMar>
            <w:top w:w="0" w:type="dxa"/>
            <w:left w:w="0" w:type="dxa"/>
            <w:bottom w:w="0" w:type="dxa"/>
            <w:right w:w="0" w:type="dxa"/>
          </w:tblCellMar>
        </w:tblPrEx>
        <w:trPr>
          <w:trHeight w:val="9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0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4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4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完成32套周转房装修以及室内设备购置</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完成32套周转房装修以及室内设备购置</w:t>
            </w:r>
          </w:p>
        </w:tc>
      </w:tr>
      <w:tr>
        <w:tblPrEx>
          <w:tblCellMar>
            <w:top w:w="0" w:type="dxa"/>
            <w:left w:w="0" w:type="dxa"/>
            <w:bottom w:w="0" w:type="dxa"/>
            <w:right w:w="0" w:type="dxa"/>
          </w:tblCellMar>
        </w:tblPrEx>
        <w:trPr>
          <w:trHeight w:val="1042" w:hRule="atLeast"/>
          <w:jc w:val="center"/>
        </w:trPr>
        <w:tc>
          <w:tcPr>
            <w:tcW w:w="773"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84"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p>
        </w:tc>
      </w:tr>
      <w:tr>
        <w:tblPrEx>
          <w:tblCellMar>
            <w:top w:w="0" w:type="dxa"/>
            <w:left w:w="0" w:type="dxa"/>
            <w:bottom w:w="0" w:type="dxa"/>
            <w:right w:w="0" w:type="dxa"/>
          </w:tblCellMar>
        </w:tblPrEx>
        <w:trPr>
          <w:trHeight w:val="953" w:hRule="atLeast"/>
          <w:jc w:val="center"/>
        </w:trPr>
        <w:tc>
          <w:tcPr>
            <w:tcW w:w="773"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cs="宋体"/>
                <w:color w:val="000000"/>
                <w:kern w:val="2"/>
                <w:sz w:val="24"/>
                <w:szCs w:val="24"/>
                <w:lang w:val="en-US" w:eastAsia="zh-CN" w:bidi="ar-SA"/>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lang w:eastAsia="zh-CN"/>
              </w:rPr>
              <w:t>青年教师周转用房装修及设备购置</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eastAsia="宋体" w:cs="宋体"/>
                <w:color w:val="000000"/>
                <w:sz w:val="24"/>
                <w:lang w:val="en-US" w:eastAsia="zh-CN"/>
              </w:rPr>
              <w:t>32套</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32套</w:t>
            </w:r>
          </w:p>
        </w:tc>
      </w:tr>
      <w:tr>
        <w:tblPrEx>
          <w:tblCellMar>
            <w:top w:w="0" w:type="dxa"/>
            <w:left w:w="0" w:type="dxa"/>
            <w:bottom w:w="0" w:type="dxa"/>
            <w:right w:w="0" w:type="dxa"/>
          </w:tblCellMar>
        </w:tblPrEx>
        <w:trPr>
          <w:trHeight w:val="1297" w:hRule="atLeast"/>
          <w:jc w:val="center"/>
        </w:trPr>
        <w:tc>
          <w:tcPr>
            <w:tcW w:w="773"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cs="宋体"/>
                <w:color w:val="000000"/>
                <w:kern w:val="2"/>
                <w:sz w:val="22"/>
                <w:szCs w:val="22"/>
                <w:lang w:val="en-US" w:eastAsia="zh-CN" w:bidi="ar-SA"/>
              </w:rPr>
            </w:pPr>
            <w:r>
              <w:rPr>
                <w:rFonts w:hint="eastAsia" w:ascii="宋体" w:cs="宋体"/>
                <w:color w:val="00000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符合国家行业标准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严格执行住房装修国家标准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Times New Roman" w:eastAsia="宋体" w:cs="宋体"/>
                <w:color w:val="000000"/>
                <w:kern w:val="2"/>
                <w:sz w:val="24"/>
                <w:szCs w:val="24"/>
                <w:lang w:val="en-US" w:eastAsia="zh-CN" w:bidi="ar-SA"/>
              </w:rPr>
              <w:t>严格执行住房装修国家标准</w:t>
            </w:r>
          </w:p>
        </w:tc>
      </w:tr>
      <w:tr>
        <w:tblPrEx>
          <w:tblCellMar>
            <w:top w:w="0" w:type="dxa"/>
            <w:left w:w="0" w:type="dxa"/>
            <w:bottom w:w="0" w:type="dxa"/>
            <w:right w:w="0" w:type="dxa"/>
          </w:tblCellMar>
        </w:tblPrEx>
        <w:trPr>
          <w:trHeight w:val="1042" w:hRule="atLeast"/>
          <w:jc w:val="center"/>
        </w:trPr>
        <w:tc>
          <w:tcPr>
            <w:tcW w:w="773"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cs="宋体"/>
                <w:color w:val="000000"/>
                <w:kern w:val="2"/>
                <w:sz w:val="21"/>
                <w:szCs w:val="21"/>
                <w:lang w:val="en-US" w:eastAsia="zh-CN" w:bidi="ar-SA"/>
              </w:rPr>
            </w:pPr>
            <w:r>
              <w:rPr>
                <w:rFonts w:hint="eastAsia"/>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Times New Roman" w:cs="宋体"/>
                <w:color w:val="000000"/>
                <w:kern w:val="2"/>
                <w:sz w:val="21"/>
                <w:szCs w:val="21"/>
                <w:lang w:val="en-US" w:eastAsia="zh-CN" w:bidi="ar-SA"/>
              </w:rPr>
            </w:pPr>
            <w:r>
              <w:rPr>
                <w:rFonts w:hint="eastAsia"/>
                <w:sz w:val="24"/>
              </w:rPr>
              <w:t>完成时效指标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eastAsia="zh-CN"/>
              </w:rPr>
              <w:t>2021年9月达到入住条件</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eastAsia="zh-CN"/>
              </w:rPr>
              <w:t>2021年9月达到入住条件</w:t>
            </w:r>
          </w:p>
        </w:tc>
      </w:tr>
      <w:tr>
        <w:tblPrEx>
          <w:tblCellMar>
            <w:top w:w="0" w:type="dxa"/>
            <w:left w:w="0" w:type="dxa"/>
            <w:bottom w:w="0" w:type="dxa"/>
            <w:right w:w="0" w:type="dxa"/>
          </w:tblCellMar>
        </w:tblPrEx>
        <w:trPr>
          <w:trHeight w:val="1042" w:hRule="atLeast"/>
          <w:jc w:val="center"/>
        </w:trPr>
        <w:tc>
          <w:tcPr>
            <w:tcW w:w="773"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项目效果指标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cs="宋体"/>
                <w:color w:val="000000"/>
                <w:kern w:val="2"/>
                <w:sz w:val="24"/>
                <w:szCs w:val="24"/>
                <w:lang w:val="en-US" w:eastAsia="zh-CN" w:bidi="ar-SA"/>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cs="宋体"/>
                <w:color w:val="000000"/>
                <w:kern w:val="2"/>
                <w:sz w:val="24"/>
                <w:szCs w:val="24"/>
                <w:lang w:val="en-US" w:eastAsia="zh-CN" w:bidi="ar-SA"/>
              </w:rPr>
            </w:pPr>
            <w:r>
              <w:rPr>
                <w:rFonts w:hint="eastAsia" w:ascii="宋体" w:cs="宋体"/>
                <w:color w:val="000000"/>
                <w:sz w:val="24"/>
              </w:rPr>
              <w:t>青年教师居住成本下降</w:t>
            </w:r>
            <w:r>
              <w:rPr>
                <w:rFonts w:hint="eastAsia" w:ascii="宋体" w:cs="宋体"/>
                <w:color w:val="000000"/>
                <w:sz w:val="24"/>
                <w:lang w:eastAsia="zh-CN"/>
              </w:rPr>
              <w:t>，</w:t>
            </w:r>
            <w:r>
              <w:rPr>
                <w:rFonts w:hint="eastAsia" w:ascii="宋体" w:cs="宋体"/>
                <w:color w:val="000000"/>
                <w:sz w:val="24"/>
              </w:rPr>
              <w:t>改善青年教师居住条件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rPr>
              <w:t>较好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较好</w:t>
            </w:r>
          </w:p>
        </w:tc>
      </w:tr>
      <w:tr>
        <w:tblPrEx>
          <w:tblCellMar>
            <w:top w:w="0" w:type="dxa"/>
            <w:left w:w="0" w:type="dxa"/>
            <w:bottom w:w="0" w:type="dxa"/>
            <w:right w:w="0" w:type="dxa"/>
          </w:tblCellMar>
        </w:tblPrEx>
        <w:trPr>
          <w:trHeight w:val="1042" w:hRule="atLeast"/>
          <w:jc w:val="center"/>
        </w:trPr>
        <w:tc>
          <w:tcPr>
            <w:tcW w:w="773" w:type="dxa"/>
            <w:vMerge w:val="continue"/>
            <w:tcBorders>
              <w:left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项目效果指标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可持续影响</w:t>
            </w:r>
          </w:p>
          <w:p>
            <w:pPr>
              <w:widowControl/>
              <w:jc w:val="center"/>
              <w:textAlignment w:val="center"/>
              <w:rPr>
                <w:rFonts w:hint="eastAsia" w:ascii="宋体" w:hAnsi="Times New Roman" w:cs="宋体"/>
                <w:color w:val="000000"/>
                <w:kern w:val="2"/>
                <w:sz w:val="24"/>
                <w:szCs w:val="24"/>
                <w:lang w:val="en-US" w:eastAsia="zh-CN" w:bidi="ar-SA"/>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cs="宋体"/>
                <w:color w:val="000000"/>
                <w:kern w:val="2"/>
                <w:sz w:val="24"/>
                <w:szCs w:val="24"/>
                <w:lang w:val="en-US" w:eastAsia="zh-CN" w:bidi="ar-SA"/>
              </w:rPr>
            </w:pPr>
            <w:r>
              <w:rPr>
                <w:rFonts w:hint="eastAsia" w:ascii="宋体" w:cs="宋体"/>
                <w:color w:val="000000"/>
                <w:sz w:val="24"/>
              </w:rPr>
              <w:t>保障学校正常教育教学秩序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eastAsia="zh-CN"/>
              </w:rPr>
              <w:t>较好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eastAsia="宋体" w:cs="宋体"/>
                <w:color w:val="000000"/>
                <w:sz w:val="24"/>
                <w:lang w:eastAsia="zh-CN"/>
              </w:rPr>
              <w:t>较好</w:t>
            </w:r>
          </w:p>
        </w:tc>
      </w:tr>
      <w:tr>
        <w:tblPrEx>
          <w:tblCellMar>
            <w:top w:w="0" w:type="dxa"/>
            <w:left w:w="0" w:type="dxa"/>
            <w:bottom w:w="0" w:type="dxa"/>
            <w:right w:w="0" w:type="dxa"/>
          </w:tblCellMar>
        </w:tblPrEx>
        <w:trPr>
          <w:trHeight w:val="1042" w:hRule="atLeast"/>
          <w:jc w:val="center"/>
        </w:trPr>
        <w:tc>
          <w:tcPr>
            <w:tcW w:w="773" w:type="dxa"/>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98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w:t>
            </w:r>
          </w:p>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hAnsi="宋体" w:cs="宋体"/>
                <w:color w:val="000000"/>
                <w:kern w:val="0"/>
                <w:sz w:val="24"/>
                <w:lang w:bidi="ar"/>
              </w:rPr>
              <w:t>指标</w:t>
            </w:r>
          </w:p>
        </w:tc>
        <w:tc>
          <w:tcPr>
            <w:tcW w:w="102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教职工满意度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eastAsia="宋体" w:cs="宋体"/>
                <w:color w:val="000000"/>
                <w:sz w:val="24"/>
                <w:lang w:eastAsia="zh-CN"/>
              </w:rPr>
              <w:t>96%</w:t>
            </w:r>
          </w:p>
        </w:tc>
      </w:tr>
    </w:tbl>
    <w:p>
      <w:pPr>
        <w:pStyle w:val="2"/>
        <w:pBdr>
          <w:top w:val="none" w:color="auto" w:sz="0" w:space="0"/>
          <w:left w:val="none" w:color="auto" w:sz="0" w:space="0"/>
          <w:bottom w:val="none" w:color="auto" w:sz="0" w:space="1"/>
          <w:right w:val="none" w:color="auto" w:sz="0" w:space="0"/>
          <w:between w:val="none" w:color="auto" w:sz="0" w:space="0"/>
        </w:pBdr>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5" w:name="_Toc4079"/>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67"/>
      <w:bookmarkEnd w:id="73"/>
      <w:bookmarkEnd w:id="75"/>
      <w:bookmarkStart w:id="76" w:name="_Toc15396619"/>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77" w:name="_Toc21226"/>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6"/>
      <w:bookmarkEnd w:id="77"/>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78" w:name="_Toc31534"/>
      <w:bookmarkStart w:id="79"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8"/>
      <w:bookmarkEnd w:id="79"/>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80" w:name="_Toc25780"/>
      <w:bookmarkStart w:id="81"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0"/>
      <w:bookmarkEnd w:id="81"/>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val="0"/>
          <w:color w:val="auto"/>
          <w:highlight w:val="none"/>
        </w:rPr>
      </w:pPr>
      <w:bookmarkStart w:id="82" w:name="_Toc15396622"/>
      <w:bookmarkStart w:id="83" w:name="_Toc8029"/>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2"/>
      <w:bookmarkEnd w:id="83"/>
    </w:p>
    <w:p>
      <w:pPr>
        <w:pStyle w:val="4"/>
        <w:pageBreakBefore w:val="0"/>
        <w:widowControl w:val="0"/>
        <w:kinsoku/>
        <w:wordWrap/>
        <w:overflowPunct/>
        <w:topLinePunct w:val="0"/>
        <w:autoSpaceDE/>
        <w:autoSpaceDN/>
        <w:bidi w:val="0"/>
        <w:adjustRightInd/>
        <w:snapToGrid/>
        <w:spacing w:line="576" w:lineRule="exact"/>
        <w:textAlignment w:val="auto"/>
        <w:rPr>
          <w:rStyle w:val="25"/>
          <w:rFonts w:ascii="仿宋" w:hAnsi="仿宋" w:eastAsia="仿宋"/>
          <w:b w:val="0"/>
          <w:bCs w:val="0"/>
          <w:color w:val="auto"/>
          <w:highlight w:val="none"/>
        </w:rPr>
      </w:pPr>
      <w:bookmarkStart w:id="84" w:name="_Toc15396623"/>
      <w:bookmarkStart w:id="85" w:name="_Toc28451"/>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4"/>
      <w:bookmarkEnd w:id="85"/>
      <w:bookmarkStart w:id="86" w:name="_Toc15396624"/>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87" w:name="_Toc416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6"/>
      <w:bookmarkEnd w:id="87"/>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88" w:name="_Toc15396625"/>
      <w:bookmarkStart w:id="89" w:name="_Toc3210"/>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8"/>
      <w:bookmarkEnd w:id="89"/>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90" w:name="_Toc1530"/>
      <w:bookmarkStart w:id="9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0"/>
      <w:bookmarkEnd w:id="91"/>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92" w:name="_Toc15396627"/>
      <w:bookmarkStart w:id="93" w:name="_Toc26423"/>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2"/>
      <w:bookmarkEnd w:id="93"/>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94" w:name="_Toc20870"/>
      <w:bookmarkStart w:id="95"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4"/>
      <w:bookmarkEnd w:id="95"/>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96" w:name="_Toc15396629"/>
      <w:bookmarkStart w:id="97" w:name="_Toc17525"/>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6"/>
      <w:bookmarkEnd w:id="97"/>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98" w:name="_Toc15396630"/>
      <w:bookmarkStart w:id="99" w:name="_Toc576"/>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8"/>
      <w:bookmarkEnd w:id="99"/>
    </w:p>
    <w:p>
      <w:pPr>
        <w:pStyle w:val="4"/>
        <w:pageBreakBefore w:val="0"/>
        <w:widowControl w:val="0"/>
        <w:kinsoku/>
        <w:wordWrap/>
        <w:overflowPunct/>
        <w:topLinePunct w:val="0"/>
        <w:autoSpaceDE/>
        <w:autoSpaceDN/>
        <w:bidi w:val="0"/>
        <w:adjustRightInd/>
        <w:snapToGrid/>
        <w:spacing w:line="576" w:lineRule="exact"/>
        <w:textAlignment w:val="auto"/>
        <w:rPr>
          <w:rStyle w:val="25"/>
          <w:rFonts w:hint="eastAsia" w:ascii="仿宋" w:hAnsi="仿宋" w:eastAsia="仿宋"/>
          <w:b w:val="0"/>
          <w:bCs w:val="0"/>
          <w:color w:val="auto"/>
          <w:highlight w:val="none"/>
        </w:rPr>
      </w:pPr>
      <w:bookmarkStart w:id="100" w:name="_Toc16520"/>
      <w:bookmarkStart w:id="101"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0"/>
      <w:bookmarkEnd w:id="101"/>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bookmarkStart w:id="102" w:name="_Toc11369"/>
      <w:r>
        <w:rPr>
          <w:rStyle w:val="25"/>
          <w:rFonts w:hint="eastAsia" w:ascii="仿宋" w:hAnsi="仿宋" w:eastAsia="仿宋"/>
          <w:b w:val="0"/>
          <w:bCs w:val="0"/>
          <w:color w:val="auto"/>
          <w:highlight w:val="none"/>
          <w:lang w:eastAsia="zh-CN"/>
        </w:rPr>
        <w:t>十四、国有资本经营预算财政拨款支出决算表</w:t>
      </w:r>
      <w:bookmarkEnd w:id="10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87207"/>
    <w:multiLevelType w:val="singleLevel"/>
    <w:tmpl w:val="8F987207"/>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C2A734D"/>
    <w:multiLevelType w:val="singleLevel"/>
    <w:tmpl w:val="FC2A734D"/>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A183E33"/>
    <w:multiLevelType w:val="singleLevel"/>
    <w:tmpl w:val="7A183E33"/>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YmVmOWNiMDk2MjlhNGE5NjEwODMwYmUzYWIzZ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707"/>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26B74AB"/>
    <w:rsid w:val="02A20E4E"/>
    <w:rsid w:val="02D131F5"/>
    <w:rsid w:val="056170FB"/>
    <w:rsid w:val="05A47125"/>
    <w:rsid w:val="061F0874"/>
    <w:rsid w:val="06EB2670"/>
    <w:rsid w:val="08B70FAC"/>
    <w:rsid w:val="08FA1588"/>
    <w:rsid w:val="09F6178E"/>
    <w:rsid w:val="0A2032A3"/>
    <w:rsid w:val="0A477163"/>
    <w:rsid w:val="0B1A31C9"/>
    <w:rsid w:val="0B8A37D8"/>
    <w:rsid w:val="0CEE45CD"/>
    <w:rsid w:val="10C055FF"/>
    <w:rsid w:val="118107EC"/>
    <w:rsid w:val="11DD6519"/>
    <w:rsid w:val="11E02F31"/>
    <w:rsid w:val="12891FD9"/>
    <w:rsid w:val="12925D85"/>
    <w:rsid w:val="13C7650B"/>
    <w:rsid w:val="13F2600D"/>
    <w:rsid w:val="14A73453"/>
    <w:rsid w:val="14F64314"/>
    <w:rsid w:val="15610299"/>
    <w:rsid w:val="15B74939"/>
    <w:rsid w:val="16BB723D"/>
    <w:rsid w:val="17485BB5"/>
    <w:rsid w:val="17606A5A"/>
    <w:rsid w:val="178D7029"/>
    <w:rsid w:val="18015F3F"/>
    <w:rsid w:val="18047D2E"/>
    <w:rsid w:val="196D1903"/>
    <w:rsid w:val="1AE22DC6"/>
    <w:rsid w:val="1B333BBC"/>
    <w:rsid w:val="1BE8440E"/>
    <w:rsid w:val="1CFF5672"/>
    <w:rsid w:val="1D155CEE"/>
    <w:rsid w:val="1D6D4B18"/>
    <w:rsid w:val="1E340C41"/>
    <w:rsid w:val="1EC37572"/>
    <w:rsid w:val="1ECB666A"/>
    <w:rsid w:val="1FC7396D"/>
    <w:rsid w:val="201C373B"/>
    <w:rsid w:val="208E11A0"/>
    <w:rsid w:val="20C462AC"/>
    <w:rsid w:val="20F57F95"/>
    <w:rsid w:val="218673EE"/>
    <w:rsid w:val="21997D2C"/>
    <w:rsid w:val="21BD249A"/>
    <w:rsid w:val="21F25A20"/>
    <w:rsid w:val="22145011"/>
    <w:rsid w:val="2375131B"/>
    <w:rsid w:val="23CE46AB"/>
    <w:rsid w:val="240371BF"/>
    <w:rsid w:val="24AC1206"/>
    <w:rsid w:val="257B6A85"/>
    <w:rsid w:val="259C1499"/>
    <w:rsid w:val="25C741E6"/>
    <w:rsid w:val="267C2CE1"/>
    <w:rsid w:val="27842671"/>
    <w:rsid w:val="29EC0B42"/>
    <w:rsid w:val="29FD04D3"/>
    <w:rsid w:val="2ABE7A3E"/>
    <w:rsid w:val="2B5F5735"/>
    <w:rsid w:val="2B7B5037"/>
    <w:rsid w:val="2DB0085C"/>
    <w:rsid w:val="2EB05DF2"/>
    <w:rsid w:val="2EFA178C"/>
    <w:rsid w:val="302A5A00"/>
    <w:rsid w:val="306C1B38"/>
    <w:rsid w:val="30B46D73"/>
    <w:rsid w:val="31480833"/>
    <w:rsid w:val="319F7F4E"/>
    <w:rsid w:val="31B77603"/>
    <w:rsid w:val="32D305D1"/>
    <w:rsid w:val="3390201E"/>
    <w:rsid w:val="3562050F"/>
    <w:rsid w:val="35C80195"/>
    <w:rsid w:val="3796424A"/>
    <w:rsid w:val="37FA3D14"/>
    <w:rsid w:val="387F0877"/>
    <w:rsid w:val="39487177"/>
    <w:rsid w:val="395F3040"/>
    <w:rsid w:val="396C34A1"/>
    <w:rsid w:val="39AE70AB"/>
    <w:rsid w:val="39E01709"/>
    <w:rsid w:val="39E02761"/>
    <w:rsid w:val="3B700588"/>
    <w:rsid w:val="3C0C0783"/>
    <w:rsid w:val="3C1A47B3"/>
    <w:rsid w:val="3C703A65"/>
    <w:rsid w:val="3E99152F"/>
    <w:rsid w:val="3ECE159A"/>
    <w:rsid w:val="3F795B0E"/>
    <w:rsid w:val="3F9F3A96"/>
    <w:rsid w:val="3FCB4C28"/>
    <w:rsid w:val="40350D30"/>
    <w:rsid w:val="41B96BE3"/>
    <w:rsid w:val="41F45E6E"/>
    <w:rsid w:val="42993F16"/>
    <w:rsid w:val="44AD4210"/>
    <w:rsid w:val="45183095"/>
    <w:rsid w:val="454F7F8B"/>
    <w:rsid w:val="45575091"/>
    <w:rsid w:val="45A643E1"/>
    <w:rsid w:val="45E54DBF"/>
    <w:rsid w:val="4817237A"/>
    <w:rsid w:val="48FA1FBB"/>
    <w:rsid w:val="493C27E9"/>
    <w:rsid w:val="496F39ED"/>
    <w:rsid w:val="49FF41D3"/>
    <w:rsid w:val="4A1024CE"/>
    <w:rsid w:val="4A185DC8"/>
    <w:rsid w:val="4A385BB5"/>
    <w:rsid w:val="4B083509"/>
    <w:rsid w:val="4B215157"/>
    <w:rsid w:val="4B993946"/>
    <w:rsid w:val="4BE068DB"/>
    <w:rsid w:val="4BF6002B"/>
    <w:rsid w:val="4C8911E9"/>
    <w:rsid w:val="4DAC55BD"/>
    <w:rsid w:val="4DCC04CA"/>
    <w:rsid w:val="4ECE2238"/>
    <w:rsid w:val="4F0F42E7"/>
    <w:rsid w:val="4F672375"/>
    <w:rsid w:val="4FDF1F0B"/>
    <w:rsid w:val="50431836"/>
    <w:rsid w:val="50813882"/>
    <w:rsid w:val="50A15412"/>
    <w:rsid w:val="50AA076B"/>
    <w:rsid w:val="50EA7200"/>
    <w:rsid w:val="51253B86"/>
    <w:rsid w:val="51DB4B86"/>
    <w:rsid w:val="53344F3D"/>
    <w:rsid w:val="54BE47E5"/>
    <w:rsid w:val="54E25F1E"/>
    <w:rsid w:val="55333C3E"/>
    <w:rsid w:val="565730C7"/>
    <w:rsid w:val="57A96854"/>
    <w:rsid w:val="58492A10"/>
    <w:rsid w:val="589E14BE"/>
    <w:rsid w:val="59C51923"/>
    <w:rsid w:val="5AFC4EDD"/>
    <w:rsid w:val="5BA5225B"/>
    <w:rsid w:val="5C007491"/>
    <w:rsid w:val="5C6C59A7"/>
    <w:rsid w:val="5CFA4828"/>
    <w:rsid w:val="5EAC1B52"/>
    <w:rsid w:val="5EC200EC"/>
    <w:rsid w:val="5EE40023"/>
    <w:rsid w:val="5F7268F8"/>
    <w:rsid w:val="60944A50"/>
    <w:rsid w:val="60BE2771"/>
    <w:rsid w:val="61FF5212"/>
    <w:rsid w:val="62426A55"/>
    <w:rsid w:val="632713D3"/>
    <w:rsid w:val="637F1DDE"/>
    <w:rsid w:val="64367006"/>
    <w:rsid w:val="648471D2"/>
    <w:rsid w:val="64CA39A1"/>
    <w:rsid w:val="65046244"/>
    <w:rsid w:val="65961181"/>
    <w:rsid w:val="66173E6E"/>
    <w:rsid w:val="68104F00"/>
    <w:rsid w:val="68A8116E"/>
    <w:rsid w:val="69613AC7"/>
    <w:rsid w:val="69B37FC1"/>
    <w:rsid w:val="69E93980"/>
    <w:rsid w:val="6A5C6BAD"/>
    <w:rsid w:val="6A774588"/>
    <w:rsid w:val="6ACB2171"/>
    <w:rsid w:val="6B223175"/>
    <w:rsid w:val="6B5E3BF4"/>
    <w:rsid w:val="6B896F09"/>
    <w:rsid w:val="6BBE4124"/>
    <w:rsid w:val="6C1F16A5"/>
    <w:rsid w:val="6C4A05C8"/>
    <w:rsid w:val="6C613F7C"/>
    <w:rsid w:val="6C63714A"/>
    <w:rsid w:val="6C664EC3"/>
    <w:rsid w:val="6CA67DBF"/>
    <w:rsid w:val="6D4A766E"/>
    <w:rsid w:val="72734D90"/>
    <w:rsid w:val="738E04AD"/>
    <w:rsid w:val="75C6524D"/>
    <w:rsid w:val="761B4231"/>
    <w:rsid w:val="7631406F"/>
    <w:rsid w:val="77905715"/>
    <w:rsid w:val="77BA5AEB"/>
    <w:rsid w:val="77F1375F"/>
    <w:rsid w:val="780B56E4"/>
    <w:rsid w:val="795F4876"/>
    <w:rsid w:val="79E7B28D"/>
    <w:rsid w:val="7A28257D"/>
    <w:rsid w:val="7C775BAB"/>
    <w:rsid w:val="7D9D0B8C"/>
    <w:rsid w:val="7DC07351"/>
    <w:rsid w:val="7DD77CD2"/>
    <w:rsid w:val="7F182BC0"/>
    <w:rsid w:val="7F9F20EE"/>
    <w:rsid w:val="7FEE0967"/>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2"/>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95875"/>
          <c:y val="0.00691722388747982"/>
        </c:manualLayout>
      </c:layout>
      <c:overlay val="0"/>
      <c:spPr>
        <a:noFill/>
        <a:ln>
          <a:noFill/>
        </a:ln>
        <a:effectLst/>
      </c:spPr>
      <c:tx>
        <c:rich>
          <a:bodyPr/>
          <a:lstStyle/>
          <a:p>
            <a:pPr>
              <a:defRPr/>
            </a:pPr>
          </a:p>
        </c:rich>
      </c:tx>
    </c:title>
    <c:autoTitleDeleted val="0"/>
    <c:plotArea>
      <c:layout>
        <c:manualLayout>
          <c:layoutTarget val="inner"/>
          <c:xMode val="edge"/>
          <c:yMode val="edge"/>
          <c:x val="0.0981691834825609"/>
          <c:y val="0.265847317760563"/>
          <c:w val="0.847975410931445"/>
          <c:h val="0.609924174843889"/>
        </c:manualLayout>
      </c:layout>
      <c:barChart>
        <c:barDir val="col"/>
        <c:grouping val="clustered"/>
        <c:varyColors val="0"/>
        <c:ser>
          <c:idx val="0"/>
          <c:order val="0"/>
          <c:tx>
            <c:strRef>
              <c:f>Sheet1!$B$1</c:f>
              <c:strCache>
                <c:ptCount val="1"/>
                <c:pt idx="0">
                  <c:v>单位：万元</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9902.91</c:v>
                </c:pt>
                <c:pt idx="1">
                  <c:v>9594.81</c:v>
                </c:pt>
              </c:numCache>
            </c:numRef>
          </c:val>
        </c:ser>
        <c:dLbls>
          <c:showLegendKey val="0"/>
          <c:showVal val="1"/>
          <c:showCatName val="0"/>
          <c:showSerName val="0"/>
          <c:showPercent val="0"/>
          <c:showBubbleSize val="0"/>
        </c:dLbls>
        <c:gapWidth val="100"/>
        <c:overlap val="-24"/>
        <c:axId val="743988933"/>
        <c:axId val="565620262"/>
      </c:barChart>
      <c:catAx>
        <c:axId val="74398893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565620262"/>
        <c:crosses val="autoZero"/>
        <c:auto val="1"/>
        <c:lblAlgn val="ctr"/>
        <c:lblOffset val="100"/>
        <c:noMultiLvlLbl val="0"/>
      </c:catAx>
      <c:valAx>
        <c:axId val="56562026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439889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列2</c:v>
                </c:pt>
              </c:strCache>
            </c:strRef>
          </c:tx>
          <c:spPr>
            <a:scene3d>
              <a:camera prst="orthographicFront"/>
              <a:lightRig rig="threePt" dir="t"/>
            </a:scene3d>
            <a:sp3d contourW="9525"/>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8</a:t>
                    </a:r>
                    <a:r>
                      <a:rPr lang="en-US" altLang="zh-CN"/>
                      <a:t>6.52</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13</a:t>
                    </a:r>
                    <a:r>
                      <a:rPr lang="en-US" altLang="zh-CN"/>
                      <a:t>.48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事业收入</c:v>
                </c:pt>
              </c:strCache>
            </c:strRef>
          </c:cat>
          <c:val>
            <c:numRef>
              <c:f>Sheet1!$B$2:$B$3</c:f>
              <c:numCache>
                <c:formatCode>0.00%</c:formatCode>
                <c:ptCount val="2"/>
                <c:pt idx="0">
                  <c:v>0.8652</c:v>
                </c:pt>
                <c:pt idx="1">
                  <c:v>0.1348</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9</a:t>
                    </a:r>
                    <a:r>
                      <a:rPr lang="en-US" altLang="zh-CN"/>
                      <a:t>6.59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3</a:t>
                    </a:r>
                    <a:r>
                      <a:rPr lang="en-US" altLang="zh-CN"/>
                      <a:t>.41</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0.00000_ </c:formatCode>
                <c:ptCount val="2"/>
                <c:pt idx="0">
                  <c:v>96.59</c:v>
                </c:pt>
                <c:pt idx="1">
                  <c:v>3.41</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单位：万元</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8584.79</c:v>
                </c:pt>
                <c:pt idx="1">
                  <c:v>8404.73</c:v>
                </c:pt>
              </c:numCache>
            </c:numRef>
          </c:val>
        </c:ser>
        <c:dLbls>
          <c:showLegendKey val="0"/>
          <c:showVal val="1"/>
          <c:showCatName val="0"/>
          <c:showSerName val="0"/>
          <c:showPercent val="0"/>
          <c:showBubbleSize val="0"/>
        </c:dLbls>
        <c:gapWidth val="100"/>
        <c:overlap val="-24"/>
        <c:axId val="129004980"/>
        <c:axId val="810124853"/>
      </c:barChart>
      <c:catAx>
        <c:axId val="1290049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810124853"/>
        <c:crosses val="autoZero"/>
        <c:auto val="1"/>
        <c:lblAlgn val="ctr"/>
        <c:lblOffset val="100"/>
        <c:noMultiLvlLbl val="0"/>
      </c:catAx>
      <c:valAx>
        <c:axId val="81012485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290049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单位：万元</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2020年</c:v>
                </c:pt>
                <c:pt idx="1">
                  <c:v>2021年</c:v>
                </c:pt>
              </c:strCache>
            </c:strRef>
          </c:cat>
          <c:val>
            <c:numRef>
              <c:f>Sheet1!$B$2:$B$3</c:f>
              <c:numCache>
                <c:formatCode>General</c:formatCode>
                <c:ptCount val="2"/>
                <c:pt idx="0">
                  <c:v>7931.74</c:v>
                </c:pt>
                <c:pt idx="1">
                  <c:v>7862.12</c:v>
                </c:pt>
              </c:numCache>
            </c:numRef>
          </c:val>
        </c:ser>
        <c:dLbls>
          <c:showLegendKey val="0"/>
          <c:showVal val="1"/>
          <c:showCatName val="0"/>
          <c:showSerName val="0"/>
          <c:showPercent val="0"/>
          <c:showBubbleSize val="0"/>
        </c:dLbls>
        <c:gapWidth val="100"/>
        <c:overlap val="-24"/>
        <c:axId val="475504178"/>
        <c:axId val="777179531"/>
      </c:barChart>
      <c:catAx>
        <c:axId val="4755041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77179531"/>
        <c:crosses val="autoZero"/>
        <c:auto val="1"/>
        <c:lblAlgn val="ctr"/>
        <c:lblOffset val="100"/>
        <c:noMultiLvlLbl val="0"/>
      </c:catAx>
      <c:valAx>
        <c:axId val="7771795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4755041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78.17%</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11.14%</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3.47%</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7.22%</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教育支出（类）</c:v>
                </c:pt>
                <c:pt idx="1">
                  <c:v>社会保障和就业（类）</c:v>
                </c:pt>
                <c:pt idx="2">
                  <c:v>卫生健康支出</c:v>
                </c:pt>
                <c:pt idx="3">
                  <c:v>住房保障支出</c:v>
                </c:pt>
              </c:strCache>
            </c:strRef>
          </c:cat>
          <c:val>
            <c:numRef>
              <c:f>Sheet1!$B$2:$B$5</c:f>
              <c:numCache>
                <c:formatCode>0.00%</c:formatCode>
                <c:ptCount val="4"/>
                <c:pt idx="0">
                  <c:v>0.7958</c:v>
                </c:pt>
                <c:pt idx="1">
                  <c:v>0.1041</c:v>
                </c:pt>
                <c:pt idx="2">
                  <c:v>0.0325</c:v>
                </c:pt>
                <c:pt idx="3">
                  <c:v>0.0676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11150</Words>
  <Characters>11848</Characters>
  <Lines>61</Lines>
  <Paragraphs>17</Paragraphs>
  <TotalTime>34</TotalTime>
  <ScaleCrop>false</ScaleCrop>
  <LinksUpToDate>false</LinksUpToDate>
  <CharactersWithSpaces>11988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哒哒的蹄</cp:lastModifiedBy>
  <cp:lastPrinted>2022-08-06T02:23:00Z</cp:lastPrinted>
  <dcterms:modified xsi:type="dcterms:W3CDTF">2023-09-11T01:42:26Z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E507B85501D842E3B48162547FA8022C</vt:lpwstr>
  </property>
</Properties>
</file>