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193"/>
      <w:bookmarkStart w:id="3" w:name="_Toc15377425"/>
      <w:bookmarkStart w:id="4" w:name="_Toc15378441"/>
      <w:bookmarkStart w:id="5" w:name="_Toc1539647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96598"/>
      <w:bookmarkStart w:id="8" w:name="_Toc15378442"/>
      <w:bookmarkStart w:id="9" w:name="_Toc15396476"/>
      <w:bookmarkStart w:id="10" w:name="_Toc15377194"/>
      <w:r>
        <w:rPr>
          <w:rFonts w:hint="eastAsia" w:ascii="方正小标宋简体" w:hAnsi="方正小标宋简体" w:eastAsia="方正小标宋简体" w:cs="方正小标宋简体"/>
          <w:sz w:val="72"/>
          <w:szCs w:val="72"/>
        </w:rPr>
        <w:t>广元市</w:t>
      </w:r>
      <w:bookmarkEnd w:id="0"/>
      <w:bookmarkStart w:id="11" w:name="_Toc15306268"/>
      <w:r>
        <w:rPr>
          <w:rFonts w:hint="eastAsia" w:ascii="方正小标宋简体" w:hAnsi="方正小标宋简体" w:eastAsia="方正小标宋简体" w:cs="方正小标宋简体"/>
          <w:sz w:val="72"/>
          <w:szCs w:val="72"/>
        </w:rPr>
        <w:t>地质环境监测站单位决算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rPr>
        <w:t>公开</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公开时间：2022年9月30日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rFonts w:ascii="宋体" w:hAnsi="宋体" w:cs="宋体"/>
          <w:sz w:val="24"/>
        </w:rPr>
      </w:pPr>
      <w:r>
        <w:rPr>
          <w:rFonts w:hint="eastAsia"/>
          <w:sz w:val="24"/>
        </w:rPr>
        <w:t>一、职能简介……………………………………………………………………4</w:t>
      </w:r>
    </w:p>
    <w:p>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二、2021年重点工作完成情况…………………………………………………4</w:t>
      </w:r>
    </w:p>
    <w:p>
      <w:pPr>
        <w:pStyle w:val="10"/>
        <w:adjustRightInd w:val="0"/>
        <w:snapToGrid w:val="0"/>
        <w:spacing w:before="0" w:line="440" w:lineRule="exact"/>
        <w:jc w:val="left"/>
        <w:rPr>
          <w:sz w:val="24"/>
          <w:szCs w:val="24"/>
        </w:rPr>
      </w:pPr>
      <w:r>
        <w:rPr>
          <w:rFonts w:hint="eastAsia"/>
          <w:sz w:val="24"/>
        </w:rPr>
        <w:t>第二部分 2021年度单位决算情况说明</w:t>
      </w:r>
    </w:p>
    <w:p>
      <w:pPr>
        <w:pStyle w:val="11"/>
        <w:adjustRightInd w:val="0"/>
        <w:snapToGrid w:val="0"/>
        <w:spacing w:line="440" w:lineRule="exact"/>
        <w:jc w:val="left"/>
        <w:rPr>
          <w:rFonts w:ascii="仿宋" w:hAnsi="仿宋" w:cstheme="minorBidi"/>
          <w:sz w:val="24"/>
        </w:rPr>
      </w:pPr>
      <w:r>
        <w:rPr>
          <w:rFonts w:hint="eastAsia"/>
          <w:sz w:val="24"/>
        </w:rPr>
        <w:t>一、收入支出决算总体情况说明………………………………………………9</w:t>
      </w:r>
    </w:p>
    <w:p>
      <w:pPr>
        <w:pStyle w:val="11"/>
        <w:adjustRightInd w:val="0"/>
        <w:snapToGrid w:val="0"/>
        <w:spacing w:line="440" w:lineRule="exact"/>
        <w:jc w:val="left"/>
        <w:rPr>
          <w:rFonts w:ascii="仿宋" w:hAnsi="仿宋" w:cstheme="minorBidi"/>
          <w:sz w:val="24"/>
        </w:rPr>
      </w:pPr>
      <w:r>
        <w:rPr>
          <w:rFonts w:hint="eastAsia"/>
          <w:sz w:val="24"/>
        </w:rPr>
        <w:t>二、收入决算情况说明…………………………………………………………9</w:t>
      </w:r>
    </w:p>
    <w:p>
      <w:pPr>
        <w:pStyle w:val="11"/>
        <w:adjustRightInd w:val="0"/>
        <w:snapToGrid w:val="0"/>
        <w:spacing w:line="440" w:lineRule="exact"/>
        <w:jc w:val="left"/>
        <w:rPr>
          <w:rFonts w:ascii="仿宋" w:hAnsi="仿宋" w:cstheme="minorBidi"/>
          <w:sz w:val="24"/>
        </w:rPr>
      </w:pPr>
      <w:r>
        <w:rPr>
          <w:rFonts w:hint="eastAsia"/>
          <w:sz w:val="24"/>
        </w:rPr>
        <w:t>三、支出决算情况说明…………………………………………………………10</w:t>
      </w:r>
    </w:p>
    <w:p>
      <w:pPr>
        <w:pStyle w:val="11"/>
        <w:adjustRightInd w:val="0"/>
        <w:snapToGrid w:val="0"/>
        <w:spacing w:line="440" w:lineRule="exact"/>
        <w:jc w:val="left"/>
        <w:rPr>
          <w:rFonts w:ascii="仿宋" w:hAnsi="仿宋" w:cstheme="minorBidi"/>
          <w:sz w:val="24"/>
        </w:rPr>
      </w:pPr>
      <w:r>
        <w:rPr>
          <w:rFonts w:hint="eastAsia"/>
          <w:sz w:val="24"/>
        </w:rPr>
        <w:t>四、财政拨款收入支出决算总体情况说明……………………………………10</w:t>
      </w:r>
    </w:p>
    <w:p>
      <w:pPr>
        <w:pStyle w:val="11"/>
        <w:adjustRightInd w:val="0"/>
        <w:snapToGrid w:val="0"/>
        <w:spacing w:line="440" w:lineRule="exact"/>
        <w:jc w:val="left"/>
        <w:rPr>
          <w:rFonts w:ascii="仿宋" w:hAnsi="仿宋" w:cstheme="minorBidi"/>
          <w:sz w:val="24"/>
        </w:rPr>
      </w:pPr>
      <w:r>
        <w:rPr>
          <w:rFonts w:hint="eastAsia"/>
          <w:sz w:val="24"/>
        </w:rPr>
        <w:t>五、一般公共预算财政拨款支出决算情况说明………………………………11</w:t>
      </w:r>
    </w:p>
    <w:p>
      <w:pPr>
        <w:pStyle w:val="11"/>
        <w:adjustRightInd w:val="0"/>
        <w:snapToGrid w:val="0"/>
        <w:spacing w:line="440" w:lineRule="exact"/>
        <w:jc w:val="left"/>
        <w:rPr>
          <w:rFonts w:ascii="仿宋" w:hAnsi="仿宋" w:cstheme="minorBidi"/>
          <w:sz w:val="24"/>
        </w:rPr>
      </w:pPr>
      <w:r>
        <w:rPr>
          <w:rFonts w:hint="eastAsia"/>
          <w:sz w:val="24"/>
        </w:rPr>
        <w:t>六、一般公共预算财政拨款基本支出决算情况说明…………………………13</w:t>
      </w:r>
    </w:p>
    <w:p>
      <w:pPr>
        <w:pStyle w:val="11"/>
        <w:adjustRightInd w:val="0"/>
        <w:snapToGrid w:val="0"/>
        <w:spacing w:line="440" w:lineRule="exact"/>
        <w:jc w:val="left"/>
        <w:rPr>
          <w:rFonts w:ascii="仿宋" w:hAnsi="仿宋" w:cstheme="minorBidi"/>
          <w:sz w:val="24"/>
        </w:rPr>
      </w:pPr>
      <w:r>
        <w:rPr>
          <w:rFonts w:hint="eastAsia"/>
          <w:sz w:val="24"/>
        </w:rPr>
        <w:t>七、“三公”经费财政拨款支出决算情况说明………………………………14</w:t>
      </w:r>
    </w:p>
    <w:p>
      <w:pPr>
        <w:pStyle w:val="11"/>
        <w:adjustRightInd w:val="0"/>
        <w:snapToGrid w:val="0"/>
        <w:spacing w:line="440" w:lineRule="exact"/>
        <w:jc w:val="left"/>
        <w:rPr>
          <w:rFonts w:ascii="仿宋" w:hAnsi="仿宋" w:cstheme="minorBidi"/>
          <w:sz w:val="24"/>
        </w:rPr>
      </w:pPr>
      <w:r>
        <w:rPr>
          <w:rFonts w:hint="eastAsia"/>
          <w:sz w:val="24"/>
        </w:rPr>
        <w:t>八、政府性基金预算支出决算情况说明………………………………………16</w:t>
      </w:r>
    </w:p>
    <w:p>
      <w:pPr>
        <w:pStyle w:val="11"/>
        <w:adjustRightInd w:val="0"/>
        <w:snapToGrid w:val="0"/>
        <w:spacing w:line="440" w:lineRule="exact"/>
        <w:jc w:val="left"/>
        <w:rPr>
          <w:sz w:val="24"/>
        </w:rPr>
      </w:pPr>
      <w:r>
        <w:rPr>
          <w:rFonts w:hint="eastAsia"/>
          <w:sz w:val="24"/>
        </w:rPr>
        <w:t>九、国有资本经营预算支出决算情况说明……………………………………16</w:t>
      </w:r>
    </w:p>
    <w:p>
      <w:pPr>
        <w:pStyle w:val="11"/>
        <w:adjustRightInd w:val="0"/>
        <w:snapToGrid w:val="0"/>
        <w:spacing w:line="440" w:lineRule="exact"/>
        <w:jc w:val="left"/>
      </w:pPr>
      <w:r>
        <w:rPr>
          <w:rFonts w:hint="eastAsia"/>
          <w:sz w:val="24"/>
        </w:rPr>
        <w:t>十、</w:t>
      </w:r>
      <w:r>
        <w:rPr>
          <w:rFonts w:hint="eastAsia" w:asciiTheme="minorEastAsia" w:hAnsiTheme="minorEastAsia" w:eastAsiaTheme="minorEastAsia" w:cstheme="minorEastAsia"/>
          <w:sz w:val="24"/>
        </w:rPr>
        <w:t>预算绩效管理情况…………………………………………………………16</w:t>
      </w:r>
    </w:p>
    <w:p>
      <w:pPr>
        <w:pStyle w:val="11"/>
        <w:adjustRightInd w:val="0"/>
        <w:snapToGrid w:val="0"/>
        <w:spacing w:line="440" w:lineRule="exact"/>
        <w:jc w:val="left"/>
      </w:pPr>
      <w:r>
        <w:rPr>
          <w:rFonts w:hint="eastAsia"/>
          <w:sz w:val="24"/>
        </w:rPr>
        <w:t>十一、其他重要事项的情况说明………………………………………………16</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名词解释…………………………………………………………………18</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附件………………………………………………………………………21</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附表………………………………………………………………………26</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十、一般公共预算财政拨款“三公”经费支出决算表</w:t>
      </w:r>
    </w:p>
    <w:p>
      <w:pPr>
        <w:pStyle w:val="11"/>
        <w:adjustRightInd w:val="0"/>
        <w:snapToGrid w:val="0"/>
        <w:spacing w:line="440" w:lineRule="exact"/>
        <w:jc w:val="left"/>
        <w:rPr>
          <w:sz w:val="24"/>
        </w:rPr>
      </w:pPr>
      <w:r>
        <w:rPr>
          <w:rFonts w:hint="eastAsia"/>
          <w:sz w:val="24"/>
        </w:rPr>
        <w:t>十一、政府性基金预算财政拨款收入支出决算表</w:t>
      </w:r>
    </w:p>
    <w:p>
      <w:pPr>
        <w:pStyle w:val="11"/>
        <w:adjustRightInd w:val="0"/>
        <w:snapToGrid w:val="0"/>
        <w:spacing w:line="440" w:lineRule="exact"/>
        <w:jc w:val="left"/>
        <w:rPr>
          <w:sz w:val="24"/>
        </w:rPr>
      </w:pPr>
      <w:r>
        <w:rPr>
          <w:rFonts w:hint="eastAsia"/>
          <w:sz w:val="24"/>
        </w:rPr>
        <w:t>十二、政府性基金预算财政拨款“三公”经费支出决算表</w:t>
      </w:r>
    </w:p>
    <w:p>
      <w:pPr>
        <w:pStyle w:val="11"/>
        <w:adjustRightInd w:val="0"/>
        <w:snapToGrid w:val="0"/>
        <w:spacing w:line="440" w:lineRule="exact"/>
        <w:jc w:val="left"/>
        <w:rPr>
          <w:sz w:val="24"/>
        </w:rPr>
      </w:pPr>
      <w:r>
        <w:rPr>
          <w:rFonts w:hint="eastAsia"/>
          <w:sz w:val="24"/>
        </w:rPr>
        <w:t>十三、国有资本经营预算财政拨款收入支出决算表</w:t>
      </w:r>
    </w:p>
    <w:p>
      <w:pPr>
        <w:pStyle w:val="11"/>
        <w:adjustRightInd w:val="0"/>
        <w:snapToGrid w:val="0"/>
        <w:spacing w:line="440" w:lineRule="exact"/>
        <w:jc w:val="left"/>
        <w:rPr>
          <w:sz w:val="24"/>
        </w:rPr>
      </w:pPr>
      <w:r>
        <w:rPr>
          <w:rFonts w:hint="eastAsia"/>
          <w:sz w:val="24"/>
        </w:rPr>
        <w:t>十四、国有资本经营预算财政拨款支出决算表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17"/>
          <w:rFonts w:ascii="黑体" w:hAnsi="黑体" w:eastAsia="黑体"/>
          <w:b/>
          <w:bCs w:val="0"/>
        </w:rPr>
      </w:pPr>
      <w:r>
        <w:rPr>
          <w:rFonts w:hint="eastAsia" w:ascii="黑体" w:hAnsi="黑体" w:eastAsia="黑体"/>
          <w:b w:val="0"/>
        </w:rPr>
        <w:t>第一部分 单位</w:t>
      </w:r>
      <w:r>
        <w:rPr>
          <w:rStyle w:val="17"/>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18"/>
          <w:rFonts w:ascii="黑体" w:hAnsi="黑体" w:eastAsia="黑体"/>
          <w:b w:val="0"/>
          <w:bCs w:val="0"/>
        </w:rPr>
      </w:pPr>
      <w:bookmarkStart w:id="14" w:name="_Toc15396600"/>
      <w:bookmarkStart w:id="15" w:name="_Toc15377197"/>
      <w:r>
        <w:rPr>
          <w:rStyle w:val="18"/>
          <w:rFonts w:hint="eastAsia" w:ascii="黑体" w:hAnsi="黑体" w:eastAsia="黑体"/>
          <w:b w:val="0"/>
          <w:bCs w:val="0"/>
        </w:rPr>
        <w:t>职能简介</w:t>
      </w:r>
    </w:p>
    <w:p>
      <w:pPr>
        <w:spacing w:line="540" w:lineRule="exact"/>
        <w:rPr>
          <w:rFonts w:ascii="仿宋_GB2312" w:eastAsia="仿宋_GB2312" w:cs="??_GB2312"/>
          <w:sz w:val="32"/>
          <w:szCs w:val="32"/>
        </w:rPr>
      </w:pPr>
      <w:r>
        <w:rPr>
          <w:rFonts w:hint="eastAsia" w:ascii="仿宋_GB2312" w:eastAsia="仿宋_GB2312" w:cs="??_GB2312"/>
          <w:sz w:val="32"/>
          <w:szCs w:val="32"/>
        </w:rPr>
        <w:t>1.组织编制和实施全市地质环境监测工作规划、计划；参与编制地质灾害环境资源规划；对各县（区、事务中心）地质环境监测站（股）进行业务指导。</w:t>
      </w:r>
    </w:p>
    <w:p>
      <w:pPr>
        <w:spacing w:line="540" w:lineRule="exact"/>
        <w:rPr>
          <w:rFonts w:ascii="仿宋_GB2312" w:eastAsia="仿宋_GB2312" w:cs="??_GB2312"/>
          <w:sz w:val="32"/>
          <w:szCs w:val="32"/>
        </w:rPr>
      </w:pPr>
      <w:r>
        <w:rPr>
          <w:rFonts w:hint="eastAsia" w:ascii="仿宋_GB2312" w:eastAsia="仿宋_GB2312" w:cs="??_GB2312"/>
          <w:sz w:val="32"/>
          <w:szCs w:val="32"/>
        </w:rPr>
        <w:t>2.负责提出地质灾害预警工程项目的设置建议，承担重大地质灾害的监测、调查研究、评价和防治工作；开展地质灾害预测预报工作，推进和建立全市地质灾害“群测群防、群专结合”的监测网络体系。</w:t>
      </w:r>
    </w:p>
    <w:p>
      <w:pPr>
        <w:spacing w:line="540" w:lineRule="exact"/>
        <w:rPr>
          <w:rFonts w:ascii="仿宋_GB2312" w:eastAsia="仿宋_GB2312" w:cs="??_GB2312"/>
          <w:sz w:val="32"/>
          <w:szCs w:val="32"/>
        </w:rPr>
      </w:pPr>
      <w:r>
        <w:rPr>
          <w:rFonts w:hint="eastAsia" w:ascii="仿宋_GB2312" w:eastAsia="仿宋_GB2312" w:cs="??_GB2312"/>
          <w:sz w:val="32"/>
          <w:szCs w:val="32"/>
        </w:rPr>
        <w:t>3.提供地质环境监测管理对策建议；编制地质环境、地质灾害、地质遗迹、地下水资源的年报、通报和公报；建立和完善全市突发性地质灾害的速报制度。</w:t>
      </w:r>
    </w:p>
    <w:p>
      <w:pPr>
        <w:spacing w:line="540" w:lineRule="exact"/>
        <w:rPr>
          <w:rFonts w:ascii="仿宋_GB2312" w:eastAsia="仿宋_GB2312" w:cs="??_GB2312"/>
          <w:sz w:val="32"/>
          <w:szCs w:val="32"/>
        </w:rPr>
      </w:pPr>
      <w:r>
        <w:rPr>
          <w:rFonts w:hint="eastAsia" w:ascii="仿宋_GB2312" w:eastAsia="仿宋_GB2312" w:cs="??_GB2312"/>
          <w:sz w:val="32"/>
          <w:szCs w:val="32"/>
        </w:rPr>
        <w:t>4.承担全市地质环境监测数据和资料的接收、汇总、分析和处理以及全市地质环境信息系统的建设、管理，向广元自然资源局及省国土空间生态修复及地质灾害防治研究院提交各类监测成果。</w:t>
      </w:r>
    </w:p>
    <w:p>
      <w:pPr>
        <w:spacing w:line="540" w:lineRule="exact"/>
        <w:rPr>
          <w:rFonts w:ascii="仿宋_GB2312" w:eastAsia="仿宋_GB2312" w:cs="??_GB2312"/>
          <w:sz w:val="32"/>
          <w:szCs w:val="32"/>
        </w:rPr>
      </w:pPr>
      <w:r>
        <w:rPr>
          <w:rFonts w:hint="eastAsia" w:ascii="仿宋_GB2312" w:eastAsia="仿宋_GB2312" w:cs="??_GB2312"/>
          <w:sz w:val="32"/>
          <w:szCs w:val="32"/>
        </w:rPr>
        <w:t>5.开展地质环境监测的技术培训、交流与合作。</w:t>
      </w:r>
    </w:p>
    <w:p>
      <w:pPr>
        <w:spacing w:line="540" w:lineRule="exact"/>
        <w:rPr>
          <w:rStyle w:val="18"/>
          <w:rFonts w:ascii="黑体" w:hAnsi="黑体" w:eastAsia="黑体"/>
          <w:b w:val="0"/>
          <w:bCs w:val="0"/>
        </w:rPr>
      </w:pPr>
      <w:r>
        <w:rPr>
          <w:rFonts w:hint="eastAsia" w:ascii="仿宋_GB2312" w:eastAsia="仿宋_GB2312" w:cs="??_GB2312"/>
          <w:sz w:val="32"/>
          <w:szCs w:val="32"/>
        </w:rPr>
        <w:t>6.承办广元市自然资源局及省自然资源厅、省国土空间生态修复及地质灾害防治研究院交办的其他事项。</w:t>
      </w:r>
    </w:p>
    <w:p>
      <w:pPr>
        <w:rPr>
          <w:rStyle w:val="18"/>
          <w:rFonts w:ascii="黑体" w:hAnsi="黑体" w:eastAsia="黑体"/>
          <w:b w:val="0"/>
          <w:bCs w:val="0"/>
        </w:rPr>
      </w:pPr>
      <w:r>
        <w:rPr>
          <w:rStyle w:val="18"/>
          <w:rFonts w:hint="eastAsia" w:ascii="黑体" w:hAnsi="黑体" w:eastAsia="黑体"/>
          <w:b w:val="0"/>
          <w:bCs w:val="0"/>
        </w:rPr>
        <w:t>二、2021年重点工作</w:t>
      </w:r>
      <w:bookmarkEnd w:id="14"/>
      <w:bookmarkEnd w:id="15"/>
      <w:r>
        <w:rPr>
          <w:rStyle w:val="18"/>
          <w:rFonts w:hint="eastAsia" w:ascii="黑体" w:hAnsi="黑体" w:eastAsia="黑体"/>
          <w:b w:val="0"/>
          <w:bCs w:val="0"/>
        </w:rPr>
        <w:t>完成情况</w:t>
      </w:r>
    </w:p>
    <w:p>
      <w:pPr>
        <w:ind w:firstLine="642" w:firstLineChars="200"/>
        <w:rPr>
          <w:rFonts w:ascii="仿宋_GB2312" w:eastAsia="仿宋_GB2312"/>
          <w:sz w:val="32"/>
          <w:szCs w:val="32"/>
        </w:rPr>
      </w:pPr>
      <w:r>
        <w:rPr>
          <w:rFonts w:hint="eastAsia" w:ascii="仿宋_GB2312" w:hAnsi="仿宋" w:eastAsia="仿宋_GB2312"/>
          <w:b/>
          <w:bCs/>
          <w:sz w:val="32"/>
          <w:szCs w:val="32"/>
        </w:rPr>
        <w:t>一是完善了工作制度。</w:t>
      </w:r>
      <w:r>
        <w:rPr>
          <w:rFonts w:hint="eastAsia" w:ascii="仿宋_GB2312" w:hAnsi="仿宋" w:eastAsia="仿宋_GB2312"/>
          <w:sz w:val="32"/>
          <w:szCs w:val="32"/>
        </w:rPr>
        <w:t>印发了《广元市地质灾害指挥部办公室工作专班实质化运行方案（试行）》，对市地质灾害指挥部办公室的职责任务、组织构架、机制建设及保障支撑等方面进行了明确细化，明确了组织领导、工作编组和人员职责，为市地质灾害指挥部办公室高效有序运转提供了制度保障。印发了《关于进一步加强地质灾害防治责任落实机制建设的通知》，完善了我市地质灾害防治“三单一书”“两书一函”制度。</w:t>
      </w:r>
      <w:r>
        <w:rPr>
          <w:rFonts w:hint="eastAsia" w:ascii="仿宋_GB2312" w:hAnsi="仿宋" w:eastAsia="仿宋_GB2312"/>
          <w:b/>
          <w:bCs/>
          <w:sz w:val="32"/>
          <w:szCs w:val="32"/>
        </w:rPr>
        <w:t>二是完成了多轮次地质灾害隐患排查。</w:t>
      </w:r>
      <w:r>
        <w:rPr>
          <w:rFonts w:hint="eastAsia" w:ascii="仿宋_GB2312" w:eastAsia="仿宋_GB2312"/>
          <w:sz w:val="32"/>
          <w:szCs w:val="32"/>
        </w:rPr>
        <w:t>开展了汛前地灾隐患大排查，汛期在6月18日、8月1日、9月1</w:t>
      </w:r>
      <w:r>
        <w:rPr>
          <w:rFonts w:ascii="仿宋_GB2312" w:eastAsia="仿宋_GB2312"/>
          <w:sz w:val="32"/>
          <w:szCs w:val="32"/>
        </w:rPr>
        <w:t>8</w:t>
      </w:r>
      <w:r>
        <w:rPr>
          <w:rFonts w:hint="eastAsia" w:ascii="仿宋_GB2312" w:eastAsia="仿宋_GB2312"/>
          <w:sz w:val="32"/>
          <w:szCs w:val="32"/>
        </w:rPr>
        <w:t>日三次各为期10天的地灾隐患排查基础上，又于10月7日再次安排了全市雨后地质灾害隐患排查。排查发现新增地质灾害隐患点416处，威胁群众2784户13639人，威胁财产12.96亿元；销号隐患点373处，减少受威胁群众1605户12133人，</w:t>
      </w:r>
      <w:r>
        <w:rPr>
          <w:rFonts w:hint="eastAsia" w:ascii="仿宋_GB2312" w:eastAsia="仿宋_GB2312"/>
          <w:sz w:val="32"/>
          <w:szCs w:val="32"/>
          <w:lang w:val="zh-CN"/>
        </w:rPr>
        <w:t>截至目前，</w:t>
      </w:r>
      <w:r>
        <w:rPr>
          <w:rFonts w:hint="eastAsia" w:ascii="仿宋_GB2312" w:eastAsia="仿宋_GB2312"/>
          <w:sz w:val="32"/>
          <w:szCs w:val="32"/>
        </w:rPr>
        <w:t>全市有</w:t>
      </w:r>
      <w:r>
        <w:rPr>
          <w:rFonts w:hint="eastAsia" w:ascii="仿宋_GB2312" w:eastAsia="仿宋_GB2312"/>
          <w:sz w:val="32"/>
          <w:szCs w:val="32"/>
          <w:lang w:val="zh-CN"/>
        </w:rPr>
        <w:t>地质灾害隐患点1</w:t>
      </w:r>
      <w:r>
        <w:rPr>
          <w:rFonts w:hint="eastAsia" w:ascii="仿宋_GB2312" w:eastAsia="仿宋_GB2312"/>
          <w:sz w:val="32"/>
          <w:szCs w:val="32"/>
        </w:rPr>
        <w:t>273</w:t>
      </w:r>
      <w:r>
        <w:rPr>
          <w:rFonts w:hint="eastAsia" w:ascii="仿宋_GB2312" w:eastAsia="仿宋_GB2312"/>
          <w:sz w:val="32"/>
          <w:szCs w:val="32"/>
          <w:lang w:val="zh-CN"/>
        </w:rPr>
        <w:t>处，威胁</w:t>
      </w:r>
      <w:r>
        <w:rPr>
          <w:rFonts w:hint="eastAsia" w:ascii="仿宋_GB2312" w:eastAsia="仿宋_GB2312"/>
          <w:sz w:val="32"/>
          <w:szCs w:val="32"/>
        </w:rPr>
        <w:t>8463</w:t>
      </w:r>
      <w:r>
        <w:rPr>
          <w:rFonts w:hint="eastAsia" w:ascii="仿宋_GB2312" w:eastAsia="仿宋_GB2312"/>
          <w:sz w:val="32"/>
          <w:szCs w:val="32"/>
          <w:lang w:val="zh-CN"/>
        </w:rPr>
        <w:t>户3</w:t>
      </w:r>
      <w:r>
        <w:rPr>
          <w:rFonts w:hint="eastAsia" w:ascii="仿宋_GB2312" w:eastAsia="仿宋_GB2312"/>
          <w:sz w:val="32"/>
          <w:szCs w:val="32"/>
        </w:rPr>
        <w:t>8904</w:t>
      </w:r>
      <w:r>
        <w:rPr>
          <w:rFonts w:hint="eastAsia" w:ascii="仿宋_GB2312" w:eastAsia="仿宋_GB2312"/>
          <w:sz w:val="32"/>
          <w:szCs w:val="32"/>
          <w:lang w:val="zh-CN"/>
        </w:rPr>
        <w:t>人和</w:t>
      </w:r>
      <w:r>
        <w:rPr>
          <w:rFonts w:hint="eastAsia" w:ascii="仿宋_GB2312" w:eastAsia="仿宋_GB2312"/>
          <w:sz w:val="32"/>
          <w:szCs w:val="32"/>
        </w:rPr>
        <w:t>28.29</w:t>
      </w:r>
      <w:r>
        <w:rPr>
          <w:rFonts w:hint="eastAsia" w:ascii="仿宋_GB2312" w:eastAsia="仿宋_GB2312"/>
          <w:sz w:val="32"/>
          <w:szCs w:val="32"/>
          <w:lang w:val="zh-CN"/>
        </w:rPr>
        <w:t>亿元财产，</w:t>
      </w:r>
      <w:r>
        <w:rPr>
          <w:rFonts w:hint="eastAsia" w:ascii="仿宋_GB2312" w:eastAsia="仿宋_GB2312"/>
          <w:sz w:val="32"/>
          <w:szCs w:val="32"/>
        </w:rPr>
        <w:t>掌握了地质灾害隐患底数。</w:t>
      </w:r>
      <w:r>
        <w:rPr>
          <w:rFonts w:hint="eastAsia" w:ascii="仿宋_GB2312" w:eastAsia="仿宋_GB2312"/>
          <w:b/>
          <w:bCs/>
          <w:sz w:val="32"/>
          <w:szCs w:val="32"/>
        </w:rPr>
        <w:t>三是完成了全市在建工程风险排查</w:t>
      </w:r>
      <w:r>
        <w:rPr>
          <w:rFonts w:hint="eastAsia" w:ascii="仿宋_GB2312" w:eastAsia="仿宋_GB2312"/>
          <w:sz w:val="32"/>
          <w:szCs w:val="32"/>
        </w:rPr>
        <w:t>。9月27日起，全市围绕在建工程、人员居住区和活动区开展了为期20天的在建工程地灾风险隐患大排查，共排查在建工程363个，对发现的66个问题全部督促整改到位，有效防范了在建工程地灾风险。</w:t>
      </w:r>
      <w:r>
        <w:rPr>
          <w:rFonts w:hint="eastAsia" w:ascii="仿宋_GB2312" w:eastAsia="仿宋_GB2312"/>
          <w:b/>
          <w:bCs/>
          <w:sz w:val="32"/>
          <w:szCs w:val="32"/>
        </w:rPr>
        <w:t>四是加强了监测预警</w:t>
      </w:r>
      <w:r>
        <w:rPr>
          <w:rFonts w:hint="eastAsia" w:ascii="仿宋_GB2312" w:eastAsia="仿宋_GB2312"/>
          <w:sz w:val="32"/>
          <w:szCs w:val="32"/>
        </w:rPr>
        <w:t>。印发了《关于提供2021年接收广元市地质灾害气象风险预警信息人员有关信息的函》，更新了接收地质灾害气象风险预警人员信息。及时发布了暴雨和地质灾害气象风险预警信息和跟踪信息接收情况。全年发布地质灾害气象风险预警信息412次（黄色预警381次、橙色预警31次）189290条；抽查值班室3560岗（次），防灾责任人3812人（次），监测责任人16452人（次），监测人员41851人（次）。在预警后的每天晚上8点至12点对预警区域围绕雨情实况、信息接收、响应措施、避险转移等情况进行电话抽查，累计抽查隐患点2033处（次），确保了防灾人员在岗履职，防灾措施落地落实。</w:t>
      </w:r>
      <w:r>
        <w:rPr>
          <w:rFonts w:hint="eastAsia" w:ascii="仿宋_GB2312" w:eastAsia="仿宋_GB2312"/>
          <w:b/>
          <w:bCs/>
          <w:sz w:val="32"/>
          <w:szCs w:val="32"/>
        </w:rPr>
        <w:t>五是强化了主动避让和灾险情处置</w:t>
      </w:r>
      <w:r>
        <w:rPr>
          <w:rFonts w:hint="eastAsia" w:ascii="仿宋_GB2312" w:eastAsia="仿宋_GB2312"/>
          <w:sz w:val="32"/>
          <w:szCs w:val="32"/>
        </w:rPr>
        <w:t>。严格落实“三避让”和“三个紧急撤离”刚性要求，转移安置群众15422户（次）56637人（次），涉及地质灾害隐患点5401处（次），成功避险6起（旺苍5起、苍溪1起），避免了160人的生命可能受到的损失。在12轮强降雨中，有效化解地质灾害险情204起，保护了1459户4735人的生命和4.69亿元财产安全，有效处置灾情44起，因避让和管控得力未造成一人伤亡。</w:t>
      </w:r>
      <w:r>
        <w:rPr>
          <w:rFonts w:hint="eastAsia" w:ascii="仿宋_GB2312" w:eastAsia="仿宋_GB2312"/>
          <w:b/>
          <w:bCs/>
          <w:sz w:val="32"/>
          <w:szCs w:val="32"/>
        </w:rPr>
        <w:t>六是开展了宣传培训和避险演练</w:t>
      </w:r>
      <w:r>
        <w:rPr>
          <w:rFonts w:hint="eastAsia" w:ascii="仿宋_GB2312" w:eastAsia="仿宋_GB2312"/>
          <w:sz w:val="32"/>
          <w:szCs w:val="32"/>
        </w:rPr>
        <w:t>。</w:t>
      </w:r>
      <w:r>
        <w:rPr>
          <w:rFonts w:hint="eastAsia" w:ascii="仿宋_GB2312" w:hAnsi="仿宋" w:eastAsia="仿宋_GB2312"/>
          <w:sz w:val="32"/>
          <w:szCs w:val="32"/>
        </w:rPr>
        <w:t>及时</w:t>
      </w:r>
      <w:r>
        <w:rPr>
          <w:rFonts w:hint="eastAsia" w:ascii="仿宋_GB2312" w:eastAsia="仿宋_GB2312"/>
          <w:sz w:val="32"/>
          <w:szCs w:val="32"/>
        </w:rPr>
        <w:t>组织各县区政府分管领导、指挥部成员单位负责人、各行业在建工程的负责人等200余人参加了地质灾害防治知识培训。</w:t>
      </w:r>
      <w:r>
        <w:rPr>
          <w:rFonts w:hint="eastAsia" w:ascii="仿宋_GB2312" w:hAnsi="仿宋_GB2312" w:eastAsia="仿宋_GB2312" w:cs="仿宋_GB2312"/>
          <w:sz w:val="32"/>
          <w:szCs w:val="32"/>
        </w:rPr>
        <w:t>翻印了《重大地质灾害事件与成功避险案例选编（一）》“口袋书”5000册，在全国第31个“土地日”和6月“安全生产月”宣传活动中向群众发放。举办了以“提高地灾防治工作水平，保护人民群众生命财产安全”为题的地灾防治专题讲座，全市自然资源系统300余人参加学习。</w:t>
      </w:r>
      <w:r>
        <w:rPr>
          <w:rFonts w:hint="eastAsia" w:ascii="仿宋_GB2312" w:eastAsia="仿宋_GB2312"/>
          <w:sz w:val="32"/>
          <w:szCs w:val="32"/>
        </w:rPr>
        <w:t>在青川县关庄镇固井村水沟包滑坡隐患点，围绕地质灾害预警信息发布、避险转移、灾险情调查、人员安置等环节开展了地质灾害避险应急演练，并以此次演练为模板形式向全市推广。全市</w:t>
      </w:r>
      <w:r>
        <w:rPr>
          <w:rFonts w:hint="eastAsia" w:ascii="仿宋_GB2312" w:hAnsi="仿宋" w:eastAsia="仿宋_GB2312"/>
          <w:sz w:val="32"/>
          <w:szCs w:val="32"/>
        </w:rPr>
        <w:t>采取点对点、坝坝会、分散与集中相结合等方式，开展地质灾害防治知识培训3507场次，参加宣传培训71430人次，开展避险演练2976场次，参加避险演练63492人次，巩固了地质灾害防治群众基础。</w:t>
      </w:r>
      <w:r>
        <w:rPr>
          <w:rFonts w:hint="eastAsia" w:ascii="仿宋_GB2312" w:hAnsi="仿宋" w:eastAsia="仿宋_GB2312"/>
          <w:b/>
          <w:bCs/>
          <w:sz w:val="32"/>
          <w:szCs w:val="32"/>
        </w:rPr>
        <w:t>七是完成地灾防治项目建设任务</w:t>
      </w:r>
      <w:r>
        <w:rPr>
          <w:rFonts w:hint="eastAsia" w:ascii="仿宋_GB2312" w:hAnsi="仿宋" w:eastAsia="仿宋_GB2312"/>
          <w:sz w:val="32"/>
          <w:szCs w:val="32"/>
        </w:rPr>
        <w:t>。争取地质灾害综合防治体系建设项目资金1.15亿元，争取一般债券2500万元。全年部署地质灾害综合防治体系建设治理工程33处（含民生实事项目5处）、排危除险148处、避险搬迁578户（含民生实事项目10户）以及旺苍、剑阁、朝天3</w:t>
      </w:r>
      <w:r>
        <w:rPr>
          <w:rFonts w:hint="eastAsia" w:ascii="仿宋_GB2312" w:hAnsi="仿宋" w:eastAsia="仿宋_GB2312"/>
          <w:sz w:val="32"/>
          <w:szCs w:val="32"/>
          <w:lang w:val="zh-CN"/>
        </w:rPr>
        <w:t>个县区的地质灾害风险调查与评价</w:t>
      </w:r>
      <w:r>
        <w:rPr>
          <w:rFonts w:hint="eastAsia" w:ascii="仿宋_GB2312" w:hAnsi="仿宋" w:eastAsia="仿宋_GB2312"/>
          <w:sz w:val="32"/>
          <w:szCs w:val="32"/>
        </w:rPr>
        <w:t>。地质灾害综合防治体系建设已竣工91处工程治理及排危除险项目（含</w:t>
      </w:r>
      <w:r>
        <w:rPr>
          <w:rFonts w:hint="eastAsia" w:ascii="仿宋_GB2312" w:hAnsi="仿宋" w:eastAsia="仿宋_GB2312"/>
          <w:sz w:val="32"/>
          <w:szCs w:val="32"/>
          <w:lang w:val="zh-CN"/>
        </w:rPr>
        <w:t>2</w:t>
      </w:r>
      <w:r>
        <w:rPr>
          <w:rFonts w:hint="eastAsia" w:ascii="仿宋_GB2312" w:hAnsi="仿宋" w:eastAsia="仿宋_GB2312"/>
          <w:sz w:val="32"/>
          <w:szCs w:val="32"/>
        </w:rPr>
        <w:t>2</w:t>
      </w:r>
      <w:r>
        <w:rPr>
          <w:rFonts w:hint="eastAsia" w:ascii="仿宋_GB2312" w:hAnsi="仿宋" w:eastAsia="仿宋_GB2312"/>
          <w:sz w:val="32"/>
          <w:szCs w:val="32"/>
          <w:lang w:val="zh-CN"/>
        </w:rPr>
        <w:t>处威胁50人以上重大地灾隐患和69处威胁50人以下地灾隐患</w:t>
      </w:r>
      <w:r>
        <w:rPr>
          <w:rFonts w:hint="eastAsia" w:ascii="仿宋_GB2312" w:hAnsi="仿宋" w:eastAsia="仿宋_GB2312"/>
          <w:sz w:val="32"/>
          <w:szCs w:val="32"/>
        </w:rPr>
        <w:t>）</w:t>
      </w:r>
      <w:r>
        <w:rPr>
          <w:rFonts w:hint="eastAsia" w:ascii="仿宋_GB2312" w:hAnsi="仿宋" w:eastAsia="仿宋_GB2312"/>
          <w:sz w:val="32"/>
          <w:szCs w:val="32"/>
          <w:lang w:val="zh-CN"/>
        </w:rPr>
        <w:t>，已完成</w:t>
      </w:r>
      <w:r>
        <w:rPr>
          <w:rFonts w:hint="eastAsia" w:ascii="仿宋_GB2312" w:hAnsi="仿宋" w:eastAsia="仿宋_GB2312"/>
          <w:sz w:val="32"/>
          <w:szCs w:val="32"/>
        </w:rPr>
        <w:t>41户</w:t>
      </w:r>
      <w:r>
        <w:rPr>
          <w:rFonts w:hint="eastAsia" w:ascii="仿宋_GB2312" w:hAnsi="仿宋" w:eastAsia="仿宋_GB2312"/>
          <w:sz w:val="32"/>
          <w:szCs w:val="32"/>
          <w:lang w:val="zh-CN"/>
        </w:rPr>
        <w:t>避险搬迁（威胁</w:t>
      </w:r>
      <w:r>
        <w:rPr>
          <w:rFonts w:hint="eastAsia" w:ascii="仿宋_GB2312" w:hAnsi="仿宋" w:eastAsia="仿宋_GB2312"/>
          <w:sz w:val="32"/>
          <w:szCs w:val="32"/>
        </w:rPr>
        <w:t>50人以上隐患的19户、威胁50人以下隐患的22户</w:t>
      </w:r>
      <w:r>
        <w:rPr>
          <w:rFonts w:hint="eastAsia" w:ascii="仿宋_GB2312" w:hAnsi="仿宋" w:eastAsia="仿宋_GB2312"/>
          <w:sz w:val="32"/>
          <w:szCs w:val="32"/>
          <w:lang w:val="zh-CN"/>
        </w:rPr>
        <w:t>）</w:t>
      </w:r>
      <w:r>
        <w:rPr>
          <w:rFonts w:hint="eastAsia" w:ascii="仿宋_GB2312" w:hAnsi="仿宋" w:eastAsia="仿宋_GB2312"/>
          <w:sz w:val="32"/>
          <w:szCs w:val="32"/>
        </w:rPr>
        <w:t>，完成3</w:t>
      </w:r>
      <w:r>
        <w:rPr>
          <w:rFonts w:hint="eastAsia" w:ascii="仿宋_GB2312" w:hAnsi="仿宋" w:eastAsia="仿宋_GB2312"/>
          <w:sz w:val="32"/>
          <w:szCs w:val="32"/>
          <w:lang w:val="zh-CN"/>
        </w:rPr>
        <w:t>个县区的地质灾害风险调查与评价</w:t>
      </w:r>
      <w:r>
        <w:rPr>
          <w:rFonts w:hint="eastAsia" w:ascii="仿宋_GB2312" w:hAnsi="仿宋" w:eastAsia="仿宋_GB2312"/>
          <w:sz w:val="32"/>
          <w:szCs w:val="32"/>
        </w:rPr>
        <w:t>。</w:t>
      </w:r>
      <w:r>
        <w:rPr>
          <w:rFonts w:hint="eastAsia" w:ascii="仿宋_GB2312" w:hAnsi="仿宋" w:eastAsia="仿宋_GB2312"/>
          <w:sz w:val="32"/>
          <w:szCs w:val="32"/>
          <w:lang w:val="zh-CN"/>
        </w:rPr>
        <w:t>已将5</w:t>
      </w:r>
      <w:r>
        <w:rPr>
          <w:rFonts w:hint="eastAsia" w:ascii="仿宋_GB2312" w:eastAsia="仿宋_GB2312"/>
          <w:sz w:val="32"/>
          <w:szCs w:val="32"/>
          <w:lang w:val="zh-CN"/>
        </w:rPr>
        <w:t>1个</w:t>
      </w:r>
      <w:r>
        <w:rPr>
          <w:rFonts w:ascii="仿宋_GB2312" w:eastAsia="仿宋_GB2312"/>
          <w:sz w:val="32"/>
          <w:szCs w:val="32"/>
        </w:rPr>
        <w:t>威</w:t>
      </w:r>
      <w:r>
        <w:rPr>
          <w:rFonts w:hint="eastAsia" w:ascii="仿宋_GB2312" w:eastAsia="仿宋_GB2312"/>
          <w:sz w:val="32"/>
          <w:szCs w:val="32"/>
        </w:rPr>
        <w:t>胁</w:t>
      </w:r>
      <w:r>
        <w:rPr>
          <w:rFonts w:ascii="仿宋_GB2312" w:eastAsia="仿宋_GB2312"/>
          <w:sz w:val="32"/>
          <w:szCs w:val="32"/>
        </w:rPr>
        <w:t>50人</w:t>
      </w:r>
      <w:r>
        <w:rPr>
          <w:rFonts w:hint="eastAsia" w:ascii="仿宋_GB2312" w:eastAsia="仿宋_GB2312"/>
          <w:sz w:val="32"/>
          <w:szCs w:val="32"/>
        </w:rPr>
        <w:t>以</w:t>
      </w:r>
      <w:r>
        <w:rPr>
          <w:rFonts w:ascii="仿宋_GB2312" w:eastAsia="仿宋_GB2312"/>
          <w:sz w:val="32"/>
          <w:szCs w:val="32"/>
        </w:rPr>
        <w:t>上</w:t>
      </w:r>
      <w:r>
        <w:rPr>
          <w:rFonts w:hint="eastAsia" w:ascii="仿宋_GB2312" w:eastAsia="仿宋_GB2312"/>
          <w:sz w:val="32"/>
          <w:szCs w:val="32"/>
        </w:rPr>
        <w:t>隐患点的</w:t>
      </w:r>
      <w:r>
        <w:rPr>
          <w:rFonts w:hint="eastAsia" w:ascii="仿宋_GB2312" w:eastAsia="仿宋_GB2312"/>
          <w:sz w:val="32"/>
          <w:szCs w:val="32"/>
          <w:lang w:val="zh-CN"/>
        </w:rPr>
        <w:t>工程治理和排危除险项目按要求纳入到省级地质灾害防治项目储备库。按要求</w:t>
      </w:r>
      <w:r>
        <w:rPr>
          <w:rFonts w:hint="eastAsia" w:ascii="仿宋_GB2312" w:eastAsia="仿宋_GB2312"/>
          <w:sz w:val="32"/>
          <w:szCs w:val="32"/>
        </w:rPr>
        <w:t>全面完成了2020年洪涝灾害灾害恢复重建地质灾害防治项目（包括</w:t>
      </w:r>
      <w:r>
        <w:rPr>
          <w:rFonts w:hint="eastAsia" w:ascii="仿宋_GB2312" w:eastAsia="仿宋_GB2312"/>
          <w:sz w:val="32"/>
          <w:szCs w:val="32"/>
          <w:lang w:val="zh-CN"/>
        </w:rPr>
        <w:t>7个县区的地质灾害隐患排查和安置点评估</w:t>
      </w:r>
      <w:r>
        <w:rPr>
          <w:rFonts w:hint="eastAsia" w:ascii="仿宋_GB2312" w:eastAsia="仿宋_GB2312"/>
          <w:sz w:val="32"/>
          <w:szCs w:val="32"/>
        </w:rPr>
        <w:t>，</w:t>
      </w:r>
      <w:r>
        <w:rPr>
          <w:rFonts w:hint="eastAsia" w:ascii="仿宋_GB2312" w:eastAsia="仿宋_GB2312"/>
          <w:sz w:val="32"/>
          <w:szCs w:val="32"/>
          <w:lang w:val="zh-CN"/>
        </w:rPr>
        <w:t>4个县区的地质灾害风险调查与评价</w:t>
      </w:r>
      <w:r>
        <w:rPr>
          <w:rFonts w:hint="eastAsia" w:ascii="仿宋_GB2312" w:eastAsia="仿宋_GB2312"/>
          <w:sz w:val="32"/>
          <w:szCs w:val="32"/>
        </w:rPr>
        <w:t>，</w:t>
      </w:r>
      <w:r>
        <w:rPr>
          <w:rFonts w:hint="eastAsia" w:ascii="仿宋_GB2312" w:eastAsia="仿宋_GB2312"/>
          <w:sz w:val="32"/>
          <w:szCs w:val="32"/>
          <w:lang w:val="zh-CN"/>
        </w:rPr>
        <w:t>19处工程治理，24处排危除险投资，18处清淤加固，99户避险搬迁，314处群专结合监测</w:t>
      </w:r>
      <w:r>
        <w:rPr>
          <w:rFonts w:ascii="仿宋_GB2312" w:eastAsia="仿宋_GB2312"/>
          <w:sz w:val="32"/>
          <w:szCs w:val="32"/>
        </w:rPr>
        <w:t>和</w:t>
      </w:r>
      <w:r>
        <w:rPr>
          <w:rFonts w:hint="eastAsia" w:ascii="仿宋_GB2312" w:eastAsia="仿宋_GB2312"/>
          <w:sz w:val="32"/>
          <w:szCs w:val="32"/>
        </w:rPr>
        <w:t>2272处专职监测等</w:t>
      </w:r>
      <w:r>
        <w:rPr>
          <w:rFonts w:ascii="仿宋_GB2312" w:eastAsia="仿宋_GB2312"/>
          <w:sz w:val="32"/>
          <w:szCs w:val="32"/>
        </w:rPr>
        <w:t>项</w:t>
      </w:r>
      <w:r>
        <w:rPr>
          <w:rFonts w:hint="eastAsia" w:ascii="仿宋_GB2312" w:eastAsia="仿宋_GB2312"/>
          <w:sz w:val="32"/>
          <w:szCs w:val="32"/>
        </w:rPr>
        <w:t>目，支付资金10188.6509万元）。</w:t>
      </w:r>
      <w:r>
        <w:rPr>
          <w:rFonts w:hint="eastAsia" w:ascii="仿宋_GB2312" w:eastAsia="仿宋_GB2312"/>
          <w:b/>
          <w:bCs/>
          <w:sz w:val="32"/>
          <w:szCs w:val="32"/>
        </w:rPr>
        <w:t>八是超额完成省上目标绩效考评指标</w:t>
      </w:r>
      <w:r>
        <w:rPr>
          <w:rFonts w:hint="eastAsia" w:ascii="仿宋_GB2312" w:eastAsia="仿宋_GB2312"/>
          <w:sz w:val="32"/>
          <w:szCs w:val="32"/>
        </w:rPr>
        <w:t>。</w:t>
      </w:r>
      <w:r>
        <w:rPr>
          <w:rFonts w:hint="eastAsia" w:ascii="仿宋_GB2312" w:hAnsi="仿宋_GB2312" w:eastAsia="仿宋_GB2312" w:cs="仿宋_GB2312"/>
          <w:sz w:val="32"/>
          <w:szCs w:val="32"/>
        </w:rPr>
        <w:t>全年未因地质灾害造成群死群伤事件；全面完成防治体系建设任务（已按时完成2019年治理工程项目任务34处、2019年排危除险项目任务16处、2019年避险搬迁项目任务30户。其中，超额完成治理工程项目任务数3处）；</w:t>
      </w:r>
      <w:r>
        <w:rPr>
          <w:rFonts w:hint="eastAsia" w:ascii="仿宋_GB2312" w:hAnsi="仿宋" w:eastAsia="仿宋_GB2312"/>
          <w:sz w:val="32"/>
          <w:szCs w:val="32"/>
          <w:lang w:val="zh-CN"/>
        </w:rPr>
        <w:t>按时完成了</w:t>
      </w:r>
      <w:r>
        <w:rPr>
          <w:rFonts w:hint="eastAsia" w:ascii="仿宋_GB2312" w:hAnsi="仿宋" w:eastAsia="仿宋_GB2312"/>
          <w:sz w:val="32"/>
          <w:szCs w:val="32"/>
        </w:rPr>
        <w:t>民生实事项目（5处治理工程、10户避险搬迁）任务；消除地质灾害隐患</w:t>
      </w:r>
      <w:r>
        <w:rPr>
          <w:rFonts w:hint="eastAsia" w:ascii="仿宋_GB2312" w:eastAsia="仿宋_GB2312"/>
          <w:sz w:val="32"/>
          <w:szCs w:val="32"/>
        </w:rPr>
        <w:t>点373处，减少受威胁群众1605户12133人。</w:t>
      </w:r>
      <w:r>
        <w:rPr>
          <w:rFonts w:hint="eastAsia" w:ascii="仿宋_GB2312" w:eastAsia="仿宋_GB2312"/>
          <w:b/>
          <w:bCs/>
          <w:sz w:val="32"/>
          <w:szCs w:val="32"/>
        </w:rPr>
        <w:t>九是积极推进地质灾害全域综合整治三年行动计划实施</w:t>
      </w:r>
      <w:r>
        <w:rPr>
          <w:rFonts w:hint="eastAsia" w:ascii="仿宋_GB2312" w:eastAsia="仿宋_GB2312"/>
          <w:sz w:val="32"/>
          <w:szCs w:val="32"/>
        </w:rPr>
        <w:t>。以市政府办公室名义印发了《关于印发广元市地质灾害全域综合整治三年行动计划（2021-2023年）的通知》，全面部署了各县区地灾全域综合整治三年行动计划任务（威胁50人以上重大隐患点工程治理及排危除险146处，超省下达任务342%，威胁50人以上重大隐患点避险搬迁55处1074户，分别超省下达任务17%和7.4%）。拟定了关于加快推进地质灾害全域综合整治治理排危工程工作方案，明确采取EPC方式建设地质灾害工程治理及排危除险工程。</w:t>
      </w:r>
      <w:r>
        <w:rPr>
          <w:rFonts w:hint="eastAsia" w:ascii="仿宋_GB2312" w:hAnsi="仿宋" w:eastAsia="仿宋_GB2312"/>
          <w:sz w:val="32"/>
          <w:szCs w:val="32"/>
        </w:rPr>
        <w:t>和财政达成一致，争取2022年一般债券1.47亿元，用于地质灾害全域综合整治三年行动计划。</w:t>
      </w:r>
      <w:r>
        <w:rPr>
          <w:rFonts w:hint="eastAsia" w:ascii="仿宋_GB2312" w:eastAsia="仿宋_GB2312"/>
          <w:b/>
          <w:bCs/>
          <w:sz w:val="32"/>
          <w:szCs w:val="32"/>
        </w:rPr>
        <w:t>十是完成了专业监测与数据库建设</w:t>
      </w:r>
      <w:r>
        <w:rPr>
          <w:rFonts w:hint="eastAsia" w:ascii="仿宋_GB2312" w:eastAsia="仿宋_GB2312"/>
          <w:sz w:val="32"/>
          <w:szCs w:val="32"/>
        </w:rPr>
        <w:t>。11月底前完成了市级地质灾害专业监测预警与数据库建设，广元市地质环境信息管理系统可上线运行。</w:t>
      </w:r>
      <w:r>
        <w:rPr>
          <w:rFonts w:hint="eastAsia" w:ascii="仿宋_GB2312" w:eastAsia="仿宋_GB2312"/>
          <w:b/>
          <w:bCs/>
          <w:sz w:val="32"/>
          <w:szCs w:val="32"/>
        </w:rPr>
        <w:t>十一是完成了河长制相关工作</w:t>
      </w:r>
      <w:r>
        <w:rPr>
          <w:rFonts w:hint="eastAsia" w:ascii="仿宋_GB2312" w:eastAsia="仿宋_GB2312"/>
          <w:sz w:val="32"/>
          <w:szCs w:val="32"/>
        </w:rPr>
        <w:t>。按照市河长制办公室和射箭河市级河长要求，完成了射箭河年度目标工作任务。</w:t>
      </w:r>
    </w:p>
    <w:p>
      <w:pPr>
        <w:widowControl/>
        <w:jc w:val="left"/>
        <w:rPr>
          <w:rFonts w:ascii="仿宋" w:hAnsi="仿宋" w:eastAsia="仿宋"/>
          <w:kern w:val="0"/>
          <w:sz w:val="32"/>
          <w:szCs w:val="32"/>
        </w:rPr>
      </w:pPr>
    </w:p>
    <w:p>
      <w:pPr>
        <w:pStyle w:val="3"/>
        <w:ind w:right="440"/>
        <w:jc w:val="center"/>
        <w:rPr>
          <w:rStyle w:val="17"/>
          <w:rFonts w:ascii="黑体" w:hAnsi="黑体" w:eastAsia="黑体"/>
          <w:b w:val="0"/>
          <w:bCs/>
        </w:rPr>
      </w:pPr>
      <w:bookmarkStart w:id="16" w:name="_Toc15377204"/>
      <w:bookmarkStart w:id="17" w:name="_Toc15396602"/>
      <w:r>
        <w:rPr>
          <w:rFonts w:hint="eastAsia" w:ascii="黑体" w:hAnsi="黑体" w:eastAsia="黑体"/>
          <w:b w:val="0"/>
        </w:rPr>
        <w:t>第二部分 2021年度</w:t>
      </w:r>
      <w:r>
        <w:rPr>
          <w:rStyle w:val="17"/>
          <w:rFonts w:hint="eastAsia" w:ascii="黑体" w:hAnsi="黑体" w:eastAsia="黑体"/>
          <w:b w:val="0"/>
          <w:bCs/>
        </w:rPr>
        <w:t>单位决算情况说明</w:t>
      </w:r>
      <w:bookmarkEnd w:id="16"/>
      <w:bookmarkEnd w:id="17"/>
    </w:p>
    <w:p/>
    <w:p>
      <w:pPr>
        <w:pStyle w:val="27"/>
        <w:numPr>
          <w:ilvl w:val="0"/>
          <w:numId w:val="2"/>
        </w:numPr>
        <w:spacing w:line="600" w:lineRule="exact"/>
        <w:ind w:firstLineChars="0"/>
        <w:outlineLvl w:val="1"/>
        <w:rPr>
          <w:rStyle w:val="1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18"/>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2021年度收、支总计526.76万元。与2020年相比，收、支总计各减少210.29万元，下降28.53</w:t>
      </w:r>
      <w:r>
        <w:rPr>
          <w:rFonts w:ascii="仿宋" w:hAnsi="仿宋" w:eastAsia="仿宋"/>
          <w:sz w:val="32"/>
          <w:szCs w:val="32"/>
        </w:rPr>
        <w:t>%</w:t>
      </w:r>
      <w:r>
        <w:rPr>
          <w:rFonts w:hint="eastAsia" w:ascii="仿宋" w:hAnsi="仿宋" w:eastAsia="仿宋"/>
          <w:sz w:val="32"/>
          <w:szCs w:val="32"/>
        </w:rPr>
        <w:t>。主要变动原因是中省项目资金在本年度未安排预算。</w:t>
      </w:r>
    </w:p>
    <w:p>
      <w:pPr>
        <w:pStyle w:val="26"/>
      </w:pPr>
      <w:r>
        <w:rPr>
          <w:rFonts w:hint="eastAsia"/>
        </w:rPr>
        <w:t xml:space="preserve">                 </w:t>
      </w:r>
      <w:r>
        <w:drawing>
          <wp:inline distT="0" distB="0" distL="114300" distR="114300">
            <wp:extent cx="4706620" cy="2924175"/>
            <wp:effectExtent l="4445" t="4445" r="13335" b="1270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6"/>
      </w:pPr>
    </w:p>
    <w:p>
      <w:pPr>
        <w:pStyle w:val="27"/>
        <w:numPr>
          <w:ilvl w:val="0"/>
          <w:numId w:val="2"/>
        </w:numPr>
        <w:spacing w:line="600" w:lineRule="exact"/>
        <w:ind w:firstLineChars="0"/>
        <w:outlineLvl w:val="1"/>
        <w:rPr>
          <w:rStyle w:val="18"/>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1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21年本年收入合计392.27万元，其中：一般公共预算财政拨款收入392.25万元，占99.99</w:t>
      </w:r>
      <w:r>
        <w:rPr>
          <w:rFonts w:ascii="仿宋" w:hAnsi="仿宋" w:eastAsia="仿宋"/>
          <w:sz w:val="32"/>
          <w:szCs w:val="32"/>
        </w:rPr>
        <w:t>%</w:t>
      </w:r>
      <w:r>
        <w:rPr>
          <w:rFonts w:hint="eastAsia" w:ascii="仿宋" w:hAnsi="仿宋" w:eastAsia="仿宋"/>
          <w:sz w:val="32"/>
          <w:szCs w:val="32"/>
        </w:rPr>
        <w:t>；其他收入0.02万元，占0.01</w:t>
      </w:r>
      <w:r>
        <w:rPr>
          <w:rFonts w:ascii="仿宋" w:hAnsi="仿宋" w:eastAsia="仿宋"/>
          <w:sz w:val="32"/>
          <w:szCs w:val="32"/>
        </w:rPr>
        <w:t>%</w:t>
      </w:r>
      <w:r>
        <w:rPr>
          <w:rFonts w:hint="eastAsia" w:ascii="仿宋" w:hAnsi="仿宋" w:eastAsia="仿宋"/>
          <w:sz w:val="32"/>
          <w:szCs w:val="32"/>
        </w:rPr>
        <w:t>。</w:t>
      </w:r>
    </w:p>
    <w:p>
      <w:pPr>
        <w:pStyle w:val="26"/>
        <w:rPr>
          <w:rFonts w:hAnsi="仿宋"/>
          <w:color w:val="auto"/>
          <w:sz w:val="32"/>
          <w:szCs w:val="32"/>
        </w:rPr>
      </w:pPr>
      <w:r>
        <w:rPr>
          <w:rFonts w:hint="eastAsia" w:hAnsi="仿宋"/>
          <w:color w:val="auto"/>
          <w:sz w:val="32"/>
          <w:szCs w:val="32"/>
        </w:rPr>
        <w:t xml:space="preserve">   </w:t>
      </w:r>
      <w:r>
        <w:rPr>
          <w:rFonts w:hint="eastAsia" w:hAnsi="仿宋"/>
          <w:color w:val="auto"/>
          <w:sz w:val="32"/>
          <w:szCs w:val="32"/>
        </w:rPr>
        <w:drawing>
          <wp:inline distT="0" distB="0" distL="114300" distR="114300">
            <wp:extent cx="4547235" cy="2495550"/>
            <wp:effectExtent l="4445" t="4445" r="508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2240" w:firstLineChars="700"/>
        <w:rPr>
          <w:rFonts w:ascii="仿宋_GB2312" w:eastAsia="仿宋_GB2312"/>
          <w:sz w:val="32"/>
          <w:szCs w:val="32"/>
        </w:rPr>
      </w:pPr>
      <w:r>
        <w:rPr>
          <w:rFonts w:hint="eastAsia" w:ascii="仿宋" w:hAnsi="仿宋" w:eastAsia="仿宋"/>
          <w:sz w:val="32"/>
          <w:szCs w:val="32"/>
        </w:rPr>
        <w:t>（图2：收入决算结构图）</w:t>
      </w:r>
    </w:p>
    <w:p>
      <w:pPr>
        <w:pStyle w:val="27"/>
        <w:numPr>
          <w:ilvl w:val="0"/>
          <w:numId w:val="2"/>
        </w:numPr>
        <w:spacing w:line="600" w:lineRule="exact"/>
        <w:ind w:firstLineChars="0"/>
        <w:outlineLvl w:val="1"/>
        <w:rPr>
          <w:rStyle w:val="1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1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21年本年支出合计336.04万元，其中：基本支出180.73万元，占53.78</w:t>
      </w:r>
      <w:r>
        <w:rPr>
          <w:rFonts w:ascii="仿宋" w:hAnsi="仿宋" w:eastAsia="仿宋"/>
          <w:sz w:val="32"/>
          <w:szCs w:val="32"/>
        </w:rPr>
        <w:t>%</w:t>
      </w:r>
      <w:r>
        <w:rPr>
          <w:rFonts w:hint="eastAsia" w:ascii="仿宋" w:hAnsi="仿宋" w:eastAsia="仿宋"/>
          <w:sz w:val="32"/>
          <w:szCs w:val="32"/>
        </w:rPr>
        <w:t>；项目支出155.3万元，占46.22</w:t>
      </w:r>
      <w:r>
        <w:rPr>
          <w:rFonts w:ascii="仿宋" w:hAnsi="仿宋" w:eastAsia="仿宋"/>
          <w:sz w:val="32"/>
          <w:szCs w:val="32"/>
        </w:rPr>
        <w:t>%</w:t>
      </w:r>
      <w:r>
        <w:rPr>
          <w:rFonts w:hint="eastAsia" w:ascii="仿宋" w:hAnsi="仿宋" w:eastAsia="仿宋"/>
          <w:sz w:val="32"/>
          <w:szCs w:val="32"/>
        </w:rPr>
        <w:t>。</w:t>
      </w:r>
    </w:p>
    <w:p>
      <w:pPr>
        <w:pStyle w:val="26"/>
        <w:rPr>
          <w:rFonts w:hAnsi="仿宋"/>
          <w:color w:val="auto"/>
          <w:sz w:val="32"/>
          <w:szCs w:val="32"/>
          <w:shd w:val="pct10" w:color="auto" w:fill="FFFFFF"/>
        </w:rPr>
      </w:pPr>
      <w:r>
        <w:rPr>
          <w:rFonts w:hint="eastAsia" w:hAnsi="仿宋"/>
          <w:color w:val="auto"/>
          <w:sz w:val="32"/>
          <w:szCs w:val="32"/>
          <w:shd w:val="pct10" w:color="auto" w:fill="FFFFFF"/>
        </w:rPr>
        <w:t xml:space="preserve">  </w:t>
      </w:r>
      <w:r>
        <w:rPr>
          <w:rFonts w:hint="eastAsia" w:hAnsi="仿宋"/>
          <w:color w:val="auto"/>
          <w:sz w:val="32"/>
          <w:szCs w:val="32"/>
          <w:shd w:val="pct10" w:color="auto" w:fill="FFFFFF"/>
        </w:rPr>
        <w:drawing>
          <wp:inline distT="0" distB="0" distL="114300" distR="114300">
            <wp:extent cx="4906645" cy="2644775"/>
            <wp:effectExtent l="4445" t="4445" r="11430" b="17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2240" w:firstLineChars="700"/>
        <w:rPr>
          <w:rFonts w:ascii="仿宋_GB2312" w:eastAsia="仿宋_GB2312"/>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18"/>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18"/>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21年财政拨款收、支总计510.84万元。与</w:t>
      </w:r>
      <w:r>
        <w:rPr>
          <w:rFonts w:ascii="仿宋" w:hAnsi="仿宋" w:eastAsia="仿宋"/>
          <w:sz w:val="32"/>
          <w:szCs w:val="32"/>
        </w:rPr>
        <w:t>20</w:t>
      </w:r>
      <w:r>
        <w:rPr>
          <w:rFonts w:hint="eastAsia" w:ascii="仿宋" w:hAnsi="仿宋" w:eastAsia="仿宋"/>
          <w:sz w:val="32"/>
          <w:szCs w:val="32"/>
        </w:rPr>
        <w:t>20年相比，财政拨款收、支总计各减少187.51万元，下降26.85</w:t>
      </w:r>
      <w:r>
        <w:rPr>
          <w:rFonts w:ascii="仿宋" w:hAnsi="仿宋" w:eastAsia="仿宋"/>
          <w:sz w:val="32"/>
          <w:szCs w:val="32"/>
        </w:rPr>
        <w:t>%</w:t>
      </w:r>
      <w:r>
        <w:rPr>
          <w:rFonts w:hint="eastAsia" w:ascii="仿宋" w:hAnsi="仿宋" w:eastAsia="仿宋"/>
          <w:sz w:val="32"/>
          <w:szCs w:val="32"/>
        </w:rPr>
        <w:t>。主要变动原因是中省项目资金在本年度未安排预算。</w:t>
      </w:r>
    </w:p>
    <w:p>
      <w:pPr>
        <w:pStyle w:val="26"/>
        <w:rPr>
          <w:rFonts w:hAnsi="仿宋"/>
          <w:color w:val="auto"/>
          <w:sz w:val="32"/>
          <w:szCs w:val="32"/>
        </w:rPr>
      </w:pPr>
      <w:r>
        <w:rPr>
          <w:rFonts w:hint="eastAsia" w:hAnsi="仿宋"/>
          <w:color w:val="auto"/>
          <w:sz w:val="32"/>
          <w:szCs w:val="32"/>
        </w:rPr>
        <w:t xml:space="preserve">    </w:t>
      </w:r>
      <w:r>
        <w:rPr>
          <w:rFonts w:hint="eastAsia" w:hAnsi="仿宋"/>
          <w:color w:val="auto"/>
          <w:sz w:val="32"/>
          <w:szCs w:val="32"/>
        </w:rPr>
        <w:drawing>
          <wp:inline distT="0" distB="0" distL="114300" distR="114300">
            <wp:extent cx="5218430" cy="2578735"/>
            <wp:effectExtent l="4445" t="4445" r="19685" b="762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1280" w:firstLineChars="400"/>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18"/>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18"/>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21年一般公共预算财政拨款支出336.04万元，占本年支出合计的100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20年相比，一般公共预算财政拨款支出减少243.74万元，下降42</w:t>
      </w:r>
      <w:r>
        <w:rPr>
          <w:rFonts w:ascii="仿宋" w:hAnsi="仿宋" w:eastAsia="仿宋"/>
          <w:sz w:val="32"/>
          <w:szCs w:val="32"/>
        </w:rPr>
        <w:t>%</w:t>
      </w:r>
      <w:r>
        <w:rPr>
          <w:rFonts w:hint="eastAsia" w:ascii="仿宋" w:hAnsi="仿宋" w:eastAsia="仿宋"/>
          <w:sz w:val="32"/>
          <w:szCs w:val="32"/>
        </w:rPr>
        <w:t>。主要变动原因是项目支出经费减少。</w:t>
      </w:r>
    </w:p>
    <w:p>
      <w:pPr>
        <w:pStyle w:val="26"/>
        <w:rPr>
          <w:rFonts w:hAnsi="仿宋"/>
          <w:color w:val="auto"/>
          <w:sz w:val="32"/>
          <w:szCs w:val="32"/>
        </w:rPr>
      </w:pPr>
      <w:r>
        <w:rPr>
          <w:rFonts w:hint="eastAsia" w:hAnsi="仿宋"/>
          <w:color w:val="auto"/>
          <w:sz w:val="32"/>
          <w:szCs w:val="32"/>
        </w:rPr>
        <w:drawing>
          <wp:inline distT="0" distB="0" distL="114300" distR="114300">
            <wp:extent cx="5501640" cy="2531110"/>
            <wp:effectExtent l="4445" t="4445" r="10795"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21年一般公共预算财政拨款支出336.04万元，主要用于以下方面</w:t>
      </w:r>
      <w:r>
        <w:rPr>
          <w:rFonts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支出15.45万元，占4.6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卫生健康支出6.6</w:t>
      </w:r>
      <w:r>
        <w:rPr>
          <w:rFonts w:hint="eastAsia" w:ascii="仿宋" w:hAnsi="仿宋" w:eastAsia="仿宋"/>
          <w:sz w:val="32"/>
          <w:szCs w:val="32"/>
        </w:rPr>
        <w:t>万元，占2</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s="仿宋_GB2312"/>
          <w:b/>
          <w:bCs/>
          <w:color w:val="000000"/>
          <w:sz w:val="32"/>
          <w:szCs w:val="32"/>
        </w:rPr>
        <w:t>自然资源海洋气象等</w:t>
      </w:r>
      <w:r>
        <w:rPr>
          <w:rFonts w:hint="eastAsia" w:ascii="仿宋_GB2312" w:hAnsi="仿宋_GB2312" w:eastAsia="仿宋_GB2312" w:cs="仿宋_GB2312"/>
          <w:color w:val="000000"/>
          <w:sz w:val="32"/>
          <w:szCs w:val="32"/>
        </w:rPr>
        <w:t>支出176.55万元，占 52.5%；</w:t>
      </w:r>
      <w:r>
        <w:rPr>
          <w:rFonts w:hint="eastAsia" w:ascii="仿宋" w:hAnsi="仿宋" w:eastAsia="仿宋"/>
          <w:b/>
          <w:bCs/>
          <w:sz w:val="32"/>
          <w:szCs w:val="32"/>
        </w:rPr>
        <w:t>住房保障支出</w:t>
      </w:r>
      <w:r>
        <w:rPr>
          <w:rFonts w:hint="eastAsia" w:ascii="仿宋" w:hAnsi="仿宋" w:eastAsia="仿宋"/>
          <w:sz w:val="32"/>
          <w:szCs w:val="32"/>
        </w:rPr>
        <w:t>22.13万元，占6.6</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s="仿宋_GB2312"/>
          <w:b/>
          <w:bCs/>
          <w:color w:val="000000"/>
          <w:sz w:val="32"/>
          <w:szCs w:val="32"/>
        </w:rPr>
        <w:t>灾害防治及应急管理支出</w:t>
      </w:r>
      <w:r>
        <w:rPr>
          <w:rFonts w:hint="eastAsia" w:ascii="仿宋_GB2312" w:hAnsi="仿宋_GB2312" w:eastAsia="仿宋_GB2312" w:cs="仿宋_GB2312"/>
          <w:color w:val="000000"/>
          <w:sz w:val="32"/>
          <w:szCs w:val="32"/>
        </w:rPr>
        <w:t>115.3万元，占34.3%。</w:t>
      </w:r>
    </w:p>
    <w:p>
      <w:pPr>
        <w:pStyle w:val="26"/>
        <w:rPr>
          <w:rFonts w:hAnsi="仿宋"/>
          <w:color w:val="auto"/>
          <w:sz w:val="32"/>
          <w:szCs w:val="32"/>
        </w:rPr>
      </w:pPr>
      <w:r>
        <w:rPr>
          <w:rFonts w:hint="eastAsia" w:hAnsi="仿宋"/>
          <w:color w:val="auto"/>
          <w:sz w:val="32"/>
          <w:szCs w:val="32"/>
        </w:rPr>
        <w:t xml:space="preserve">   </w:t>
      </w:r>
      <w:r>
        <w:rPr>
          <w:rFonts w:hint="eastAsia" w:hAnsi="仿宋"/>
          <w:color w:val="auto"/>
          <w:sz w:val="32"/>
          <w:szCs w:val="32"/>
        </w:rPr>
        <w:drawing>
          <wp:inline distT="0" distB="0" distL="114300" distR="114300">
            <wp:extent cx="4741545" cy="2798445"/>
            <wp:effectExtent l="4445" t="4445" r="889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2" w:firstLineChars="200"/>
        <w:outlineLvl w:val="2"/>
        <w:rPr>
          <w:rFonts w:ascii="仿宋" w:hAnsi="仿宋" w:eastAsia="仿宋"/>
          <w:b/>
          <w:sz w:val="32"/>
          <w:szCs w:val="32"/>
        </w:rPr>
      </w:pPr>
      <w:bookmarkStart w:id="31" w:name="_Toc15377213"/>
      <w:bookmarkStart w:id="32" w:name="_Toc15378460"/>
      <w:bookmarkStart w:id="33" w:name="_Toc15377444"/>
      <w:r>
        <w:rPr>
          <w:rFonts w:hint="eastAsia" w:ascii="仿宋" w:hAnsi="仿宋" w:eastAsia="仿宋"/>
          <w:b/>
          <w:sz w:val="32"/>
          <w:szCs w:val="32"/>
        </w:rPr>
        <w:t>2021年一般公共预算支出决算数为336.04万元</w:t>
      </w:r>
      <w:r>
        <w:rPr>
          <w:rFonts w:hint="eastAsia" w:ascii="仿宋" w:hAnsi="仿宋" w:eastAsia="仿宋"/>
          <w:sz w:val="32"/>
          <w:szCs w:val="32"/>
        </w:rPr>
        <w:t>，</w:t>
      </w:r>
      <w:r>
        <w:rPr>
          <w:rStyle w:val="15"/>
          <w:rFonts w:hint="eastAsia" w:ascii="仿宋" w:hAnsi="仿宋" w:eastAsia="仿宋"/>
          <w:bCs/>
          <w:sz w:val="32"/>
          <w:szCs w:val="32"/>
        </w:rPr>
        <w:t>完成预算65.78</w:t>
      </w:r>
      <w:r>
        <w:rPr>
          <w:rStyle w:val="15"/>
          <w:rFonts w:ascii="仿宋" w:hAnsi="仿宋" w:eastAsia="仿宋"/>
          <w:bCs/>
          <w:sz w:val="32"/>
          <w:szCs w:val="32"/>
        </w:rPr>
        <w:t>%</w:t>
      </w:r>
      <w:r>
        <w:rPr>
          <w:rStyle w:val="15"/>
          <w:rFonts w:hint="eastAsia" w:ascii="仿宋" w:hAnsi="仿宋" w:eastAsia="仿宋"/>
          <w:bCs/>
          <w:sz w:val="32"/>
          <w:szCs w:val="32"/>
        </w:rPr>
        <w:t>。其中：</w:t>
      </w:r>
      <w:bookmarkEnd w:id="31"/>
      <w:bookmarkEnd w:id="32"/>
      <w:bookmarkEnd w:id="33"/>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rPr>
        <w:t>1</w:t>
      </w:r>
      <w:r>
        <w:rPr>
          <w:rStyle w:val="15"/>
          <w:rFonts w:ascii="仿宋" w:hAnsi="仿宋" w:eastAsia="仿宋"/>
          <w:bCs/>
          <w:sz w:val="32"/>
          <w:szCs w:val="32"/>
        </w:rPr>
        <w:t>.</w:t>
      </w:r>
      <w:r>
        <w:rPr>
          <w:rFonts w:hint="eastAsia" w:ascii="仿宋_GB2312" w:hAnsi="仿宋_GB2312" w:eastAsia="仿宋_GB2312" w:cs="仿宋_GB2312"/>
          <w:b/>
          <w:bCs/>
          <w:color w:val="000000"/>
          <w:sz w:val="32"/>
          <w:szCs w:val="32"/>
        </w:rPr>
        <w:t>社会保障和就业（类）行政事业单位</w:t>
      </w:r>
      <w:r>
        <w:rPr>
          <w:rFonts w:hint="eastAsia" w:ascii="仿宋_GB2312" w:hAnsi="仿宋_GB2312" w:eastAsia="仿宋_GB2312" w:cs="仿宋_GB2312"/>
          <w:b/>
          <w:bCs/>
          <w:color w:val="000000"/>
          <w:sz w:val="32"/>
          <w:szCs w:val="32"/>
          <w:lang w:eastAsia="zh-CN"/>
        </w:rPr>
        <w:t>养老支出</w:t>
      </w:r>
      <w:r>
        <w:rPr>
          <w:rFonts w:hint="eastAsia" w:ascii="仿宋_GB2312" w:hAnsi="仿宋_GB2312" w:eastAsia="仿宋_GB2312" w:cs="仿宋_GB2312"/>
          <w:b/>
          <w:bCs/>
          <w:color w:val="000000"/>
          <w:sz w:val="32"/>
          <w:szCs w:val="32"/>
        </w:rPr>
        <w:t>（款）机关事业单位基本养老保险缴费支出（项）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支出决算为13.2万元，完成预算100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hAnsi="仿宋_GB2312" w:eastAsia="仿宋_GB2312" w:cs="仿宋_GB2312"/>
          <w:sz w:val="32"/>
          <w:szCs w:val="32"/>
        </w:rPr>
        <w:t>决算数与预算数基本持平</w:t>
      </w:r>
      <w:r>
        <w:rPr>
          <w:rStyle w:val="15"/>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rPr>
        <w:t>2</w:t>
      </w:r>
      <w:r>
        <w:rPr>
          <w:rStyle w:val="15"/>
          <w:rFonts w:ascii="仿宋" w:hAnsi="仿宋" w:eastAsia="仿宋"/>
          <w:bCs/>
          <w:sz w:val="32"/>
          <w:szCs w:val="32"/>
        </w:rPr>
        <w:t>.</w:t>
      </w:r>
      <w:r>
        <w:rPr>
          <w:rFonts w:hint="eastAsia" w:ascii="仿宋_GB2312" w:hAnsi="仿宋_GB2312" w:eastAsia="仿宋_GB2312" w:cs="仿宋_GB2312"/>
          <w:b/>
          <w:bCs/>
          <w:color w:val="000000"/>
          <w:sz w:val="32"/>
          <w:szCs w:val="32"/>
        </w:rPr>
        <w:t>卫生健康（类）行政事业单位医疗（款）事业单位医疗（项）</w:t>
      </w:r>
      <w:r>
        <w:rPr>
          <w:rStyle w:val="15"/>
          <w:rFonts w:ascii="仿宋" w:hAnsi="仿宋" w:eastAsia="仿宋"/>
          <w:bCs/>
          <w:sz w:val="32"/>
          <w:szCs w:val="32"/>
        </w:rPr>
        <w:t>:</w:t>
      </w:r>
      <w:r>
        <w:rPr>
          <w:rStyle w:val="15"/>
          <w:rFonts w:hint="eastAsia" w:ascii="仿宋" w:hAnsi="仿宋" w:eastAsia="仿宋"/>
          <w:b w:val="0"/>
          <w:bCs/>
          <w:sz w:val="32"/>
          <w:szCs w:val="32"/>
        </w:rPr>
        <w:t>支出决算为6.6万元，完成预算100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hAnsi="仿宋_GB2312" w:eastAsia="仿宋_GB2312" w:cs="仿宋_GB2312"/>
          <w:sz w:val="32"/>
          <w:szCs w:val="32"/>
        </w:rPr>
        <w:t>决算数与预算数持平</w:t>
      </w:r>
      <w:r>
        <w:rPr>
          <w:rStyle w:val="15"/>
          <w:rFonts w:hint="eastAsia" w:ascii="仿宋" w:hAnsi="仿宋" w:eastAsia="仿宋"/>
          <w:b w:val="0"/>
          <w:bCs/>
          <w:sz w:val="32"/>
          <w:szCs w:val="32"/>
        </w:rPr>
        <w:t>。</w:t>
      </w:r>
    </w:p>
    <w:p>
      <w:pPr>
        <w:widowControl/>
        <w:spacing w:line="546" w:lineRule="exact"/>
        <w:ind w:firstLine="640" w:firstLineChars="200"/>
        <w:jc w:val="left"/>
        <w:rPr>
          <w:rFonts w:ascii="仿宋_GB2312" w:hAnsi="仿宋_GB2312" w:eastAsia="仿宋_GB2312" w:cs="仿宋_GB2312"/>
          <w:sz w:val="32"/>
          <w:szCs w:val="32"/>
        </w:rPr>
      </w:pPr>
      <w:r>
        <w:rPr>
          <w:rFonts w:hint="eastAsia" w:ascii="仿宋" w:hAnsi="仿宋" w:eastAsia="仿宋"/>
          <w:sz w:val="32"/>
          <w:szCs w:val="32"/>
        </w:rPr>
        <w:t xml:space="preserve"> </w:t>
      </w:r>
      <w:r>
        <w:rPr>
          <w:rFonts w:hint="eastAsia" w:ascii="仿宋_GB2312" w:hAnsi="仿宋_GB2312" w:eastAsia="仿宋_GB2312" w:cs="仿宋_GB2312"/>
          <w:b/>
          <w:bCs/>
          <w:color w:val="000000"/>
          <w:sz w:val="32"/>
          <w:szCs w:val="32"/>
        </w:rPr>
        <w:t>3.自然资源海洋气象等支出（类）自然资源事务（款）事业运行(项）：</w:t>
      </w:r>
      <w:r>
        <w:rPr>
          <w:rFonts w:hint="eastAsia" w:ascii="仿宋_GB2312" w:hAnsi="仿宋_GB2312" w:eastAsia="仿宋_GB2312" w:cs="仿宋_GB2312"/>
          <w:color w:val="000000"/>
          <w:sz w:val="32"/>
          <w:szCs w:val="32"/>
        </w:rPr>
        <w:t>支出决算为136.55万元，</w:t>
      </w:r>
      <w:r>
        <w:rPr>
          <w:rFonts w:hint="eastAsia" w:ascii="仿宋_GB2312" w:hAnsi="仿宋_GB2312" w:eastAsia="仿宋_GB2312" w:cs="仿宋_GB2312"/>
          <w:sz w:val="32"/>
          <w:szCs w:val="32"/>
        </w:rPr>
        <w:t>完成预算98.9%，决算数小于预算数主要原因是严格控制经费，压缩各项开支。</w:t>
      </w:r>
    </w:p>
    <w:p>
      <w:pPr>
        <w:widowControl/>
        <w:spacing w:line="54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color w:val="000000"/>
          <w:sz w:val="32"/>
          <w:szCs w:val="32"/>
        </w:rPr>
        <w:t>4.自然资源海洋气象等支出（类）自然资源事务（款）其他自然资源事务（项）：</w:t>
      </w:r>
      <w:r>
        <w:rPr>
          <w:rFonts w:hint="eastAsia" w:ascii="仿宋_GB2312" w:hAnsi="仿宋_GB2312" w:eastAsia="仿宋_GB2312" w:cs="仿宋_GB2312"/>
          <w:color w:val="000000"/>
          <w:sz w:val="32"/>
          <w:szCs w:val="32"/>
        </w:rPr>
        <w:t>支出决算数40万元，完成预算100%，</w:t>
      </w:r>
      <w:r>
        <w:rPr>
          <w:rFonts w:hint="eastAsia" w:ascii="仿宋_GB2312" w:hAnsi="仿宋_GB2312" w:eastAsia="仿宋_GB2312" w:cs="仿宋_GB2312"/>
          <w:sz w:val="32"/>
          <w:szCs w:val="32"/>
        </w:rPr>
        <w:t>决算数与预算数持平。</w:t>
      </w:r>
    </w:p>
    <w:p>
      <w:pPr>
        <w:widowControl/>
        <w:spacing w:line="546" w:lineRule="exact"/>
        <w:ind w:firstLine="420" w:firstLineChars="200"/>
        <w:jc w:val="left"/>
        <w:rPr>
          <w:rFonts w:ascii="仿宋_GB2312" w:hAnsi="仿宋_GB2312" w:eastAsia="仿宋_GB2312" w:cs="仿宋_GB2312"/>
          <w:color w:val="000000"/>
          <w:sz w:val="32"/>
          <w:szCs w:val="32"/>
        </w:rPr>
      </w:pPr>
      <w:r>
        <w:rPr>
          <w:rFonts w:hint="eastAsia" w:eastAsia="仿宋_GB2312"/>
        </w:rPr>
        <w:t xml:space="preserve">    </w:t>
      </w:r>
      <w:r>
        <w:rPr>
          <w:rFonts w:hint="eastAsia" w:ascii="仿宋_GB2312" w:hAnsi="仿宋_GB2312" w:eastAsia="仿宋_GB2312" w:cs="仿宋_GB2312"/>
          <w:b/>
          <w:bCs/>
          <w:color w:val="000000"/>
          <w:sz w:val="32"/>
          <w:szCs w:val="32"/>
        </w:rPr>
        <w:t>5.住房保障（类）住房改革（款）住房公积金（项）:</w:t>
      </w:r>
      <w:r>
        <w:rPr>
          <w:rFonts w:hint="eastAsia" w:ascii="仿宋_GB2312" w:hAnsi="仿宋_GB2312" w:eastAsia="仿宋_GB2312" w:cs="仿宋_GB2312"/>
          <w:color w:val="000000"/>
          <w:sz w:val="32"/>
          <w:szCs w:val="32"/>
        </w:rPr>
        <w:t>支出决算为14.13万元，完成预算100%，决算数与预算数基本持平。</w:t>
      </w:r>
    </w:p>
    <w:p>
      <w:pPr>
        <w:widowControl/>
        <w:spacing w:line="546"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b/>
          <w:bCs/>
          <w:color w:val="000000"/>
          <w:sz w:val="32"/>
          <w:szCs w:val="32"/>
        </w:rPr>
        <w:t>住房保障（类）住房改革（款）购房补贴（项）：</w:t>
      </w:r>
      <w:r>
        <w:rPr>
          <w:rFonts w:hint="eastAsia" w:ascii="仿宋_GB2312" w:hAnsi="仿宋_GB2312" w:eastAsia="仿宋_GB2312" w:cs="仿宋_GB2312"/>
          <w:color w:val="000000"/>
          <w:sz w:val="32"/>
          <w:szCs w:val="32"/>
        </w:rPr>
        <w:t>支出决算数8万元，完成预算100%，决算数等于预算数。</w:t>
      </w:r>
    </w:p>
    <w:p>
      <w:pPr>
        <w:widowControl/>
        <w:spacing w:line="546" w:lineRule="exact"/>
        <w:ind w:firstLine="640" w:firstLineChars="200"/>
        <w:jc w:val="left"/>
        <w:rPr>
          <w:rFonts w:ascii="仿宋" w:hAnsi="仿宋" w:eastAsia="仿宋"/>
          <w:b/>
          <w:sz w:val="32"/>
          <w:szCs w:val="32"/>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b/>
          <w:bCs/>
          <w:color w:val="000000"/>
          <w:sz w:val="32"/>
          <w:szCs w:val="32"/>
        </w:rPr>
        <w:t>灾害防治及应急管理（类）自然灾害防治（款）地质灾害防治（项）：</w:t>
      </w:r>
      <w:r>
        <w:rPr>
          <w:rFonts w:hint="eastAsia" w:ascii="仿宋_GB2312" w:hAnsi="仿宋_GB2312" w:eastAsia="仿宋_GB2312" w:cs="仿宋_GB2312"/>
          <w:color w:val="000000"/>
          <w:sz w:val="32"/>
          <w:szCs w:val="32"/>
        </w:rPr>
        <w:t>支出决算数115.3万元，完成预算40.47 %，主要原因一是年初有项目结转资金，二是部分项目在实施过程中暂未达到支付条件。</w:t>
      </w:r>
    </w:p>
    <w:p>
      <w:pPr>
        <w:tabs>
          <w:tab w:val="right" w:pos="8306"/>
        </w:tabs>
        <w:spacing w:line="600" w:lineRule="exact"/>
        <w:ind w:firstLine="640"/>
        <w:outlineLvl w:val="1"/>
        <w:rPr>
          <w:rStyle w:val="1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8"/>
          <w:rFonts w:hint="eastAsia" w:ascii="黑体" w:hAnsi="黑体" w:eastAsia="黑体"/>
          <w:b w:val="0"/>
        </w:rPr>
        <w:t>般公共预算财政拨款基本支出决算情况说明</w:t>
      </w:r>
      <w:bookmarkEnd w:id="34"/>
      <w:bookmarkEnd w:id="35"/>
      <w:r>
        <w:rPr>
          <w:rStyle w:val="1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21年一般公共预算财政拨款基本支出180.73万元，其中：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人员经费164.66万元，主要包括：基本工资、津贴补贴、绩效工资、机关事业单位基本养老保险缴费、职工基本医疗保险</w:t>
      </w:r>
      <w:r>
        <w:rPr>
          <w:rFonts w:ascii="仿宋" w:hAnsi="仿宋" w:eastAsia="仿宋"/>
          <w:sz w:val="32"/>
          <w:szCs w:val="32"/>
        </w:rPr>
        <w:t>缴费、</w:t>
      </w:r>
      <w:r>
        <w:rPr>
          <w:rFonts w:hint="eastAsia" w:ascii="仿宋" w:hAnsi="仿宋" w:eastAsia="仿宋"/>
          <w:sz w:val="32"/>
          <w:szCs w:val="32"/>
        </w:rPr>
        <w:t>其他社会保障缴费、其他工资福利支出、生活补助、奖励金、住房公积金等。</w:t>
      </w:r>
    </w:p>
    <w:p>
      <w:pPr>
        <w:spacing w:line="600" w:lineRule="exact"/>
        <w:ind w:firstLine="645"/>
        <w:rPr>
          <w:rFonts w:ascii="仿宋" w:hAnsi="仿宋" w:eastAsia="仿宋"/>
          <w:b/>
          <w:sz w:val="32"/>
          <w:szCs w:val="32"/>
        </w:rPr>
      </w:pPr>
      <w:r>
        <w:rPr>
          <w:rFonts w:hint="eastAsia" w:ascii="仿宋" w:hAnsi="仿宋" w:eastAsia="仿宋"/>
          <w:sz w:val="32"/>
          <w:szCs w:val="32"/>
        </w:rPr>
        <w:t>公用经费16.07万元，主要包括：办公费、印刷费、手续费、电费、邮电费、物业管理费、差旅费、租赁费、会议费、公务接待费、劳务费、工会经费、福利费、公务用车运行维护费、税金及附加费用、其他商品和服务支出等。</w:t>
      </w:r>
    </w:p>
    <w:p>
      <w:pPr>
        <w:spacing w:line="600" w:lineRule="exact"/>
        <w:ind w:firstLine="640"/>
        <w:outlineLvl w:val="1"/>
        <w:rPr>
          <w:rStyle w:val="18"/>
          <w:rFonts w:ascii="黑体" w:hAnsi="黑体" w:eastAsia="黑体"/>
          <w:b w:val="0"/>
        </w:rPr>
      </w:pPr>
      <w:bookmarkStart w:id="36" w:name="_Toc15377215"/>
      <w:bookmarkStart w:id="37" w:name="_Toc15396609"/>
      <w:r>
        <w:rPr>
          <w:rFonts w:hint="eastAsia" w:ascii="黑体" w:eastAsia="黑体"/>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21年“三公”经费财政拨款支出决算为43.57万元，完成预算98.6</w:t>
      </w:r>
      <w:r>
        <w:rPr>
          <w:rFonts w:ascii="仿宋" w:hAnsi="仿宋" w:eastAsia="仿宋"/>
          <w:sz w:val="32"/>
          <w:szCs w:val="32"/>
        </w:rPr>
        <w:t>%</w:t>
      </w:r>
      <w:r>
        <w:rPr>
          <w:rFonts w:hint="eastAsia" w:ascii="仿宋" w:hAnsi="仿宋" w:eastAsia="仿宋"/>
          <w:sz w:val="32"/>
          <w:szCs w:val="32"/>
        </w:rPr>
        <w:t>，决算数小于预算数的主要原因是</w:t>
      </w:r>
      <w:r>
        <w:rPr>
          <w:rFonts w:hint="eastAsia" w:ascii="仿宋_GB2312" w:hAnsi="仿宋_GB2312" w:eastAsia="仿宋_GB2312" w:cs="仿宋_GB2312"/>
          <w:sz w:val="32"/>
          <w:szCs w:val="32"/>
        </w:rPr>
        <w:t>严格控制经费，压缩各项开支。</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21年“三公”经费财政拨款支出决算中，因公出国（境）费支出决算0万元，年初未安排预算；公务用车购置及运行维护费支出决算42.09万元，占96.6</w:t>
      </w:r>
      <w:r>
        <w:rPr>
          <w:rFonts w:ascii="仿宋" w:hAnsi="仿宋" w:eastAsia="仿宋"/>
          <w:sz w:val="32"/>
          <w:szCs w:val="32"/>
        </w:rPr>
        <w:t>%</w:t>
      </w:r>
      <w:r>
        <w:rPr>
          <w:rFonts w:hint="eastAsia" w:ascii="仿宋" w:hAnsi="仿宋" w:eastAsia="仿宋"/>
          <w:sz w:val="32"/>
          <w:szCs w:val="32"/>
        </w:rPr>
        <w:t>；公务接待费支出决算1.48万元，占3.4</w:t>
      </w:r>
      <w:r>
        <w:rPr>
          <w:rFonts w:ascii="仿宋" w:hAnsi="仿宋" w:eastAsia="仿宋"/>
          <w:sz w:val="32"/>
          <w:szCs w:val="32"/>
        </w:rPr>
        <w:t>%</w:t>
      </w:r>
      <w:r>
        <w:rPr>
          <w:rFonts w:hint="eastAsia" w:ascii="仿宋" w:hAnsi="仿宋" w:eastAsia="仿宋"/>
          <w:sz w:val="32"/>
          <w:szCs w:val="32"/>
        </w:rPr>
        <w:t>。具体情况如下：</w:t>
      </w:r>
    </w:p>
    <w:p>
      <w:pPr>
        <w:pStyle w:val="26"/>
        <w:rPr>
          <w:rFonts w:hAnsi="仿宋"/>
          <w:color w:val="auto"/>
          <w:sz w:val="32"/>
          <w:szCs w:val="32"/>
        </w:rPr>
      </w:pPr>
      <w:r>
        <w:rPr>
          <w:rFonts w:hint="eastAsia" w:hAnsi="仿宋"/>
          <w:color w:val="auto"/>
          <w:sz w:val="32"/>
          <w:szCs w:val="32"/>
        </w:rPr>
        <w:t xml:space="preserve">    </w:t>
      </w:r>
      <w:r>
        <w:rPr>
          <w:rFonts w:hint="eastAsia" w:hAnsi="仿宋"/>
          <w:color w:val="auto"/>
          <w:sz w:val="32"/>
          <w:szCs w:val="32"/>
        </w:rPr>
        <w:drawing>
          <wp:inline distT="0" distB="0" distL="114300" distR="114300">
            <wp:extent cx="4636770" cy="2771775"/>
            <wp:effectExtent l="4445" t="4445" r="6985" b="1270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因公出国（境）经费支出0</w:t>
      </w:r>
      <w:r>
        <w:rPr>
          <w:rFonts w:hint="eastAsia" w:ascii="仿宋_GB2312" w:eastAsia="仿宋_GB2312"/>
          <w:sz w:val="32"/>
          <w:szCs w:val="32"/>
        </w:rPr>
        <w:t>万元，</w:t>
      </w:r>
      <w:r>
        <w:rPr>
          <w:rStyle w:val="15"/>
          <w:rFonts w:hint="eastAsia" w:ascii="仿宋" w:hAnsi="仿宋" w:eastAsia="仿宋"/>
          <w:b w:val="0"/>
          <w:bCs/>
          <w:sz w:val="32"/>
          <w:szCs w:val="32"/>
        </w:rPr>
        <w:t>年初未安排预算</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42.09万元,</w:t>
      </w:r>
      <w:r>
        <w:rPr>
          <w:rStyle w:val="15"/>
          <w:rFonts w:hint="eastAsia" w:ascii="仿宋" w:hAnsi="仿宋" w:eastAsia="仿宋"/>
          <w:b w:val="0"/>
          <w:bCs/>
          <w:sz w:val="32"/>
          <w:szCs w:val="32"/>
        </w:rPr>
        <w:t>完成预算99.52</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20年增加37.17万元，增长88.31</w:t>
      </w:r>
      <w:r>
        <w:rPr>
          <w:rFonts w:ascii="仿宋_GB2312" w:eastAsia="仿宋_GB2312"/>
          <w:sz w:val="32"/>
          <w:szCs w:val="32"/>
        </w:rPr>
        <w:t>%</w:t>
      </w:r>
      <w:r>
        <w:rPr>
          <w:rFonts w:hint="eastAsia" w:ascii="仿宋_GB2312" w:eastAsia="仿宋_GB2312"/>
          <w:sz w:val="32"/>
          <w:szCs w:val="32"/>
        </w:rPr>
        <w:t>。主要原因是新购项目业务用车一辆。</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37.29万元。全年按规定更新购置公务用车1辆，其中：越野车1辆、金额37.29万元，主要用于地质灾害防治项目用车。截至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月底，单位共有公务用车2辆，其中：越野车2辆。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4.8万元。主要用于全市地质灾害防治项目督导检查、汛期巡查等所需的公务用车燃料费、维修费、过路过桥费、保险费等支出。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1.48万元，</w:t>
      </w:r>
      <w:r>
        <w:rPr>
          <w:rStyle w:val="15"/>
          <w:rFonts w:hint="eastAsia" w:ascii="仿宋" w:hAnsi="仿宋" w:eastAsia="仿宋"/>
          <w:b w:val="0"/>
          <w:bCs/>
          <w:sz w:val="32"/>
          <w:szCs w:val="32"/>
        </w:rPr>
        <w:t>完成预算77.89</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20年减少0.07万元，下降4.5</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sz w:val="32"/>
          <w:szCs w:val="32"/>
        </w:rPr>
        <w:t>严格控制经费，按照厉行节约的原则压缩各项开支</w:t>
      </w:r>
      <w:r>
        <w:rPr>
          <w:rFonts w:hint="eastAsia" w:ascii="仿宋_GB2312" w:eastAsia="仿宋_GB2312"/>
          <w:sz w:val="32"/>
          <w:szCs w:val="32"/>
        </w:rPr>
        <w:t>。其中：</w:t>
      </w:r>
    </w:p>
    <w:p>
      <w:pPr>
        <w:spacing w:line="600" w:lineRule="exact"/>
        <w:ind w:firstLine="640"/>
        <w:rPr>
          <w:rFonts w:ascii="仿宋_GB2312" w:eastAsia="仿宋_GB2312"/>
          <w:color w:val="FF0000"/>
          <w:sz w:val="32"/>
          <w:szCs w:val="32"/>
        </w:rPr>
      </w:pPr>
      <w:r>
        <w:rPr>
          <w:rFonts w:hint="eastAsia" w:ascii="仿宋" w:hAnsi="仿宋" w:eastAsia="仿宋"/>
          <w:b/>
          <w:sz w:val="32"/>
          <w:szCs w:val="32"/>
        </w:rPr>
        <w:t>国内公务接待支出</w:t>
      </w:r>
      <w:r>
        <w:rPr>
          <w:rFonts w:hint="eastAsia" w:ascii="仿宋" w:hAnsi="仿宋" w:eastAsia="仿宋"/>
          <w:sz w:val="32"/>
          <w:szCs w:val="32"/>
        </w:rPr>
        <w:t>1.48</w:t>
      </w:r>
      <w:r>
        <w:rPr>
          <w:rFonts w:hint="eastAsia" w:ascii="仿宋_GB2312" w:eastAsia="仿宋_GB2312"/>
          <w:sz w:val="32"/>
          <w:szCs w:val="32"/>
        </w:rPr>
        <w:t>万元，主要用于</w:t>
      </w:r>
      <w:r>
        <w:rPr>
          <w:rFonts w:hint="eastAsia" w:ascii="仿宋_GB2312" w:hAnsi="仿宋_GB2312" w:eastAsia="仿宋_GB2312" w:cs="仿宋_GB2312"/>
          <w:color w:val="000000"/>
          <w:sz w:val="32"/>
          <w:szCs w:val="32"/>
        </w:rPr>
        <w:t>执行公务、开展业务活动开支的用餐费等</w:t>
      </w:r>
      <w:r>
        <w:rPr>
          <w:rFonts w:hint="eastAsia" w:ascii="仿宋_GB2312" w:eastAsia="仿宋_GB2312"/>
          <w:sz w:val="32"/>
          <w:szCs w:val="32"/>
        </w:rPr>
        <w:t>。国内公务接待16批次，165人次（不包括陪同人员），共计支出1.48万元，具体内容包括：接待各县区对接地灾项目风险评估方案、地灾在建项目、新增项目情况接待费0.77万元；召开地质灾害全域综合整治答疑会会议费0.08万元；接待省国土空间生态修复与地灾防治研究院地灾风险调查评价督导检查组、自然资源部驻川工作组指导地灾防治工作接待费0.51万元；接待中国自然资源遥航空物探遥感中心对接地灾隐患遥感识别监测项目接待费0.12万元。</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bookmarkStart w:id="40" w:name="_Toc15377218"/>
      <w:bookmarkStart w:id="41" w:name="_Toc15396610"/>
    </w:p>
    <w:p>
      <w:pPr>
        <w:spacing w:line="600" w:lineRule="exact"/>
        <w:ind w:firstLine="640"/>
        <w:outlineLvl w:val="1"/>
        <w:rPr>
          <w:rStyle w:val="18"/>
          <w:rFonts w:ascii="黑体" w:hAnsi="黑体" w:eastAsia="黑体"/>
        </w:rPr>
      </w:pPr>
      <w:r>
        <w:rPr>
          <w:rFonts w:hint="eastAsia" w:ascii="黑体" w:eastAsia="黑体"/>
          <w:sz w:val="32"/>
          <w:szCs w:val="32"/>
        </w:rPr>
        <w:t>八、</w:t>
      </w:r>
      <w:r>
        <w:rPr>
          <w:rStyle w:val="18"/>
          <w:rFonts w:hint="eastAsia" w:ascii="黑体" w:hAnsi="黑体" w:eastAsia="黑体"/>
          <w:b w:val="0"/>
        </w:rPr>
        <w:t>政府性基金预算支出决算情况说明</w:t>
      </w:r>
      <w:bookmarkEnd w:id="40"/>
      <w:bookmarkEnd w:id="41"/>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r>
        <w:rPr>
          <w:rFonts w:hint="eastAsia" w:ascii="仿宋" w:hAnsi="仿宋" w:eastAsia="仿宋" w:cs="仿宋"/>
          <w:sz w:val="32"/>
          <w:szCs w:val="32"/>
        </w:rPr>
        <w:t>未在政府性基金预算拨款安排“三公经费”支出。</w:t>
      </w:r>
    </w:p>
    <w:p>
      <w:pPr>
        <w:numPr>
          <w:ilvl w:val="0"/>
          <w:numId w:val="3"/>
        </w:numPr>
        <w:spacing w:line="600" w:lineRule="exact"/>
        <w:ind w:firstLine="640"/>
        <w:outlineLvl w:val="1"/>
        <w:rPr>
          <w:rStyle w:val="18"/>
          <w:rFonts w:ascii="黑体" w:hAnsi="黑体" w:eastAsia="黑体"/>
          <w:b w:val="0"/>
        </w:rPr>
      </w:pPr>
      <w:bookmarkStart w:id="42" w:name="_Toc15396611"/>
      <w:bookmarkStart w:id="43" w:name="_Toc15377219"/>
      <w:r>
        <w:rPr>
          <w:rStyle w:val="18"/>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3"/>
        </w:numPr>
        <w:spacing w:line="600" w:lineRule="exact"/>
        <w:ind w:firstLine="640"/>
        <w:outlineLvl w:val="1"/>
        <w:rPr>
          <w:rStyle w:val="18"/>
          <w:rFonts w:ascii="黑体" w:hAnsi="黑体" w:eastAsia="黑体"/>
          <w:b w:val="0"/>
        </w:rPr>
      </w:pPr>
      <w:bookmarkStart w:id="44" w:name="_Toc15396612"/>
      <w:bookmarkStart w:id="45" w:name="_Toc15377221"/>
      <w:r>
        <w:rPr>
          <w:rStyle w:val="18"/>
          <w:rFonts w:hint="eastAsia" w:ascii="黑体" w:hAnsi="黑体" w:eastAsia="黑体"/>
          <w:b w:val="0"/>
        </w:rPr>
        <w:t>预算绩效管理情况</w:t>
      </w:r>
    </w:p>
    <w:p>
      <w:pPr>
        <w:spacing w:line="580" w:lineRule="exact"/>
        <w:ind w:firstLine="640" w:firstLineChars="200"/>
      </w:pPr>
      <w:r>
        <w:rPr>
          <w:rFonts w:hint="eastAsia" w:ascii="仿宋_GB2312" w:hAnsi="仿宋_GB2312" w:eastAsia="仿宋_GB2312" w:cs="仿宋_GB2312"/>
          <w:sz w:val="32"/>
          <w:szCs w:val="32"/>
        </w:rPr>
        <w:t>根据预算绩效管理要求，本单位在2021年度预算编制阶段，组织对市级地质灾害隐患点管理项目1个项目开展了预算事前绩效评估，对1个项目编制了绩效目标，预算执行过程中，选取1个项目开展绩效监控，年终执行完毕后，对1个项目开展了绩效自评，2021年部门预算项目绩效目标自评表见附件（第四部分）。</w:t>
      </w:r>
    </w:p>
    <w:p>
      <w:pPr>
        <w:numPr>
          <w:ilvl w:val="0"/>
          <w:numId w:val="3"/>
        </w:numPr>
        <w:spacing w:line="600" w:lineRule="exact"/>
        <w:ind w:firstLine="640"/>
        <w:outlineLvl w:val="1"/>
        <w:rPr>
          <w:rStyle w:val="18"/>
          <w:rFonts w:ascii="黑体" w:hAnsi="黑体" w:eastAsia="黑体"/>
          <w:b w:val="0"/>
        </w:rPr>
      </w:pPr>
      <w:r>
        <w:rPr>
          <w:rStyle w:val="18"/>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21年，广元市地质环境监测站未发生机关运行经费，</w:t>
      </w:r>
      <w:r>
        <w:rPr>
          <w:rFonts w:hint="eastAsia" w:ascii="仿宋_GB2312" w:hAnsi="仿宋_GB2312" w:eastAsia="仿宋_GB2312" w:cs="仿宋_GB2312"/>
          <w:sz w:val="32"/>
          <w:szCs w:val="32"/>
        </w:rPr>
        <w:t>与2020年无变化，年初未安排预算。</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21年，广元市地质环境监测站政府采购支出总额37.29万元，其中：政府采购货物支出37.29万元。主要用于地质灾害防治购置项目业务用车。</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日，广元市地质环境监测站共有车辆2辆，其中：主要领导干部用0辆、机要通信用车0辆、应急保障用车0辆、其他用车2辆，其他用车主要是用于</w:t>
      </w:r>
      <w:r>
        <w:rPr>
          <w:rFonts w:hint="eastAsia" w:ascii="仿宋_GB2312" w:hAnsi="仿宋_GB2312" w:eastAsia="仿宋_GB2312" w:cs="仿宋_GB2312"/>
          <w:color w:val="000000"/>
          <w:sz w:val="32"/>
          <w:szCs w:val="32"/>
        </w:rPr>
        <w:t>一般公务、业务用车。</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万元以上通用设备4台（套），单价</w:t>
      </w:r>
      <w:r>
        <w:rPr>
          <w:rFonts w:ascii="仿宋_GB2312" w:eastAsia="仿宋_GB2312"/>
          <w:sz w:val="32"/>
          <w:szCs w:val="32"/>
        </w:rPr>
        <w:t>100</w:t>
      </w:r>
      <w:r>
        <w:rPr>
          <w:rFonts w:hint="eastAsia" w:ascii="仿宋_GB2312" w:eastAsia="仿宋_GB2312"/>
          <w:sz w:val="32"/>
          <w:szCs w:val="32"/>
        </w:rPr>
        <w:t>万元以上专用设备0台（套）。</w:t>
      </w:r>
    </w:p>
    <w:p>
      <w:pPr>
        <w:pStyle w:val="6"/>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17"/>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17"/>
          <w:rFonts w:hint="eastAsia" w:ascii="黑体" w:hAnsi="黑体" w:eastAsia="黑体"/>
          <w:b w:val="0"/>
        </w:rPr>
        <w:t>词解释</w:t>
      </w:r>
      <w:bookmarkEnd w:id="49"/>
      <w:bookmarkEnd w:id="50"/>
    </w:p>
    <w:p>
      <w:pPr>
        <w:spacing w:line="600" w:lineRule="exact"/>
        <w:jc w:val="left"/>
        <w:rPr>
          <w:rFonts w:ascii="宋体"/>
          <w:b/>
          <w:sz w:val="44"/>
          <w:szCs w:val="44"/>
        </w:rPr>
      </w:pPr>
    </w:p>
    <w:p>
      <w:pPr>
        <w:pStyle w:val="26"/>
        <w:spacing w:line="580" w:lineRule="exact"/>
        <w:ind w:firstLine="640" w:firstLineChars="200"/>
        <w:rPr>
          <w:rFonts w:ascii="仿宋_GB2312" w:hAnsi="仿宋_GB2312" w:eastAsia="仿宋_GB2312" w:cs="仿宋_GB2312"/>
          <w:sz w:val="32"/>
          <w:szCs w:val="32"/>
        </w:rPr>
      </w:pPr>
      <w:bookmarkStart w:id="51" w:name="_Toc15377226"/>
      <w:r>
        <w:rPr>
          <w:rFonts w:hint="eastAsia" w:ascii="仿宋_GB2312" w:hAnsi="仿宋_GB2312" w:eastAsia="仿宋_GB2312" w:cs="仿宋_GB2312"/>
          <w:sz w:val="32"/>
          <w:szCs w:val="32"/>
        </w:rPr>
        <w:t>1.财政拨款收入：指单位从同级财政部门取得的财政预算资金。</w:t>
      </w:r>
    </w:p>
    <w:p>
      <w:pPr>
        <w:pStyle w:val="26"/>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2.其他收入：指单位取得的除上述收入以外的各项收入。主要是单位银行存款利息和财政未通过大平台拨付的项目资金。</w:t>
      </w:r>
    </w:p>
    <w:p>
      <w:pPr>
        <w:pStyle w:val="26"/>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3.年初结转和结余：指以前年度尚未完成、结转到本年按有关规定继续使用的资金。</w:t>
      </w:r>
    </w:p>
    <w:p>
      <w:pPr>
        <w:pStyle w:val="26"/>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4.年末结转和结余：指单位按有关规定结转到下年或以后年度继续使用的资金。</w:t>
      </w:r>
    </w:p>
    <w:p>
      <w:pPr>
        <w:spacing w:line="580" w:lineRule="exact"/>
        <w:ind w:firstLine="642" w:firstLineChars="200"/>
        <w:rPr>
          <w:rStyle w:val="15"/>
          <w:rFonts w:ascii="仿宋_GB2312" w:hAnsi="仿宋_GB2312" w:eastAsia="仿宋_GB2312" w:cs="仿宋_GB2312"/>
          <w:bCs/>
          <w:color w:val="000000"/>
          <w:sz w:val="32"/>
          <w:szCs w:val="32"/>
        </w:rPr>
      </w:pPr>
      <w:r>
        <w:rPr>
          <w:rStyle w:val="15"/>
          <w:rFonts w:hint="eastAsia" w:ascii="仿宋_GB2312" w:hAnsi="仿宋_GB2312" w:eastAsia="仿宋_GB2312" w:cs="仿宋_GB2312"/>
          <w:bCs/>
          <w:color w:val="000000"/>
          <w:sz w:val="32"/>
          <w:szCs w:val="32"/>
        </w:rPr>
        <w:t>5.社会保障和就业（类）行政事业单位</w:t>
      </w:r>
      <w:r>
        <w:rPr>
          <w:rStyle w:val="15"/>
          <w:rFonts w:hint="eastAsia" w:ascii="仿宋_GB2312" w:hAnsi="仿宋_GB2312" w:eastAsia="仿宋_GB2312" w:cs="仿宋_GB2312"/>
          <w:bCs/>
          <w:color w:val="000000"/>
          <w:sz w:val="32"/>
          <w:szCs w:val="32"/>
          <w:lang w:eastAsia="zh-CN"/>
        </w:rPr>
        <w:t>养老支出</w:t>
      </w:r>
      <w:r>
        <w:rPr>
          <w:rStyle w:val="15"/>
          <w:rFonts w:hint="eastAsia" w:ascii="仿宋_GB2312" w:hAnsi="仿宋_GB2312" w:eastAsia="仿宋_GB2312" w:cs="仿宋_GB2312"/>
          <w:bCs/>
          <w:color w:val="000000"/>
          <w:sz w:val="32"/>
          <w:szCs w:val="32"/>
        </w:rPr>
        <w:t>（款）机关事业单位基本养老保险缴费支出（项）:</w:t>
      </w:r>
      <w:r>
        <w:rPr>
          <w:rStyle w:val="15"/>
          <w:rFonts w:hint="eastAsia" w:ascii="仿宋_GB2312" w:hAnsi="仿宋_GB2312" w:eastAsia="仿宋_GB2312" w:cs="仿宋_GB2312"/>
          <w:b w:val="0"/>
          <w:sz w:val="32"/>
          <w:szCs w:val="32"/>
        </w:rPr>
        <w:t>指机关事业单位</w:t>
      </w:r>
      <w:r>
        <w:rPr>
          <w:rStyle w:val="15"/>
          <w:rFonts w:hint="eastAsia" w:ascii="仿宋_GB2312" w:hAnsi="仿宋_GB2312" w:eastAsia="仿宋_GB2312" w:cs="仿宋_GB2312"/>
          <w:b w:val="0"/>
          <w:color w:val="000000"/>
          <w:sz w:val="32"/>
          <w:szCs w:val="32"/>
        </w:rPr>
        <w:t>实施养老保险制度由单位缴纳的基本养老保险费支出。</w:t>
      </w:r>
    </w:p>
    <w:p>
      <w:pPr>
        <w:pStyle w:val="26"/>
        <w:keepNext w:val="0"/>
        <w:keepLines w:val="0"/>
        <w:pageBreakBefore w:val="0"/>
        <w:widowControl w:val="0"/>
        <w:kinsoku/>
        <w:wordWrap/>
        <w:overflowPunct/>
        <w:topLinePunct w:val="0"/>
        <w:bidi w:val="0"/>
        <w:snapToGrid/>
        <w:spacing w:line="576" w:lineRule="exact"/>
        <w:ind w:left="0" w:leftChars="0" w:right="0" w:firstLine="642" w:firstLineChars="200"/>
        <w:textAlignment w:val="auto"/>
        <w:rPr>
          <w:rFonts w:hint="eastAsia" w:ascii="仿宋_GB2312" w:hAnsi="仿宋_GB2312" w:eastAsia="仿宋_GB2312" w:cs="仿宋_GB2312"/>
          <w:color w:val="000000"/>
          <w:sz w:val="32"/>
          <w:szCs w:val="32"/>
        </w:rPr>
      </w:pPr>
      <w:r>
        <w:rPr>
          <w:rStyle w:val="15"/>
          <w:rFonts w:hint="eastAsia" w:ascii="仿宋_GB2312" w:hAnsi="仿宋_GB2312" w:eastAsia="仿宋_GB2312" w:cs="仿宋_GB2312"/>
          <w:bCs/>
          <w:color w:val="000000"/>
          <w:kern w:val="2"/>
          <w:sz w:val="32"/>
          <w:szCs w:val="32"/>
          <w:lang w:val="en-US" w:eastAsia="zh-CN" w:bidi="ar-SA"/>
        </w:rPr>
        <w:t>6.社会保障和就业支出（类）其他社会保障和就业支出（款）其他社会保障和就业支出（项）</w:t>
      </w:r>
      <w:r>
        <w:rPr>
          <w:rFonts w:hint="eastAsia" w:ascii="仿宋_GB2312" w:hAnsi="仿宋_GB2312" w:eastAsia="仿宋_GB2312" w:cs="仿宋_GB2312"/>
          <w:sz w:val="32"/>
          <w:szCs w:val="32"/>
        </w:rPr>
        <w:t>：</w:t>
      </w:r>
      <w:r>
        <w:rPr>
          <w:rFonts w:hint="eastAsia"/>
          <w:color w:val="000000"/>
          <w:sz w:val="32"/>
          <w:szCs w:val="32"/>
          <w:lang w:val="en-US" w:eastAsia="zh-CN"/>
        </w:rPr>
        <w:t>反映工伤失业等其他社会保障和就业支出。</w:t>
      </w:r>
    </w:p>
    <w:p>
      <w:pPr>
        <w:spacing w:line="580" w:lineRule="exact"/>
        <w:ind w:firstLine="640" w:firstLineChars="200"/>
        <w:rPr>
          <w:rStyle w:val="15"/>
          <w:rFonts w:ascii="仿宋_GB2312" w:hAnsi="仿宋_GB2312" w:eastAsia="仿宋_GB2312" w:cs="仿宋_GB2312"/>
          <w:b w:val="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卫生健康</w:t>
      </w:r>
      <w:r>
        <w:rPr>
          <w:rStyle w:val="15"/>
          <w:rFonts w:hint="eastAsia" w:ascii="仿宋_GB2312" w:hAnsi="仿宋_GB2312" w:eastAsia="仿宋_GB2312" w:cs="仿宋_GB2312"/>
          <w:bCs/>
          <w:color w:val="000000"/>
          <w:sz w:val="32"/>
          <w:szCs w:val="32"/>
        </w:rPr>
        <w:t>（类）行政事业单位医疗（款）事业单位医疗（项）</w:t>
      </w:r>
      <w:r>
        <w:rPr>
          <w:rFonts w:hint="eastAsia" w:ascii="仿宋_GB2312" w:hAnsi="仿宋_GB2312" w:eastAsia="仿宋_GB2312" w:cs="仿宋_GB2312"/>
          <w:color w:val="000000"/>
          <w:sz w:val="32"/>
          <w:szCs w:val="32"/>
        </w:rPr>
        <w:t>：</w:t>
      </w:r>
      <w:r>
        <w:rPr>
          <w:rStyle w:val="15"/>
          <w:rFonts w:hint="eastAsia" w:ascii="仿宋_GB2312" w:hAnsi="仿宋_GB2312" w:eastAsia="仿宋_GB2312" w:cs="仿宋_GB2312"/>
          <w:b w:val="0"/>
          <w:sz w:val="32"/>
          <w:szCs w:val="32"/>
        </w:rPr>
        <w:t>指</w:t>
      </w:r>
      <w:r>
        <w:rPr>
          <w:rFonts w:hint="eastAsia" w:ascii="仿宋_GB2312" w:hAnsi="仿宋_GB2312" w:eastAsia="仿宋_GB2312" w:cs="仿宋_GB2312"/>
          <w:sz w:val="32"/>
          <w:szCs w:val="32"/>
          <w:shd w:val="clear" w:color="auto" w:fill="FFFFFF"/>
        </w:rPr>
        <w:t>事业单位用于缴纳单位基本医疗保险支出。</w:t>
      </w:r>
    </w:p>
    <w:p>
      <w:pPr>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自然资源海洋气象等（类）自然资源事务（款)事业运行（项）：</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sz w:val="32"/>
          <w:szCs w:val="32"/>
          <w:shd w:val="clear" w:color="auto" w:fill="FFFFFF"/>
        </w:rPr>
        <w:t>局事业单位用于保障机构正常运</w:t>
      </w:r>
      <w:bookmarkStart w:id="67" w:name="_GoBack"/>
      <w:bookmarkEnd w:id="67"/>
      <w:r>
        <w:rPr>
          <w:rFonts w:hint="eastAsia" w:ascii="仿宋_GB2312" w:hAnsi="仿宋_GB2312" w:eastAsia="仿宋_GB2312" w:cs="仿宋_GB2312"/>
          <w:sz w:val="32"/>
          <w:szCs w:val="32"/>
          <w:shd w:val="clear" w:color="auto" w:fill="FFFFFF"/>
        </w:rPr>
        <w:t>行、开展日常工作的基本支出。</w:t>
      </w:r>
    </w:p>
    <w:p>
      <w:pPr>
        <w:spacing w:line="580" w:lineRule="exact"/>
        <w:ind w:firstLine="640" w:firstLineChars="200"/>
        <w:rPr>
          <w:rFonts w:ascii="仿宋_GB2312" w:hAnsi="仿宋_GB2312" w:eastAsia="仿宋_GB2312" w:cs="仿宋_GB2312"/>
          <w:color w:val="000000"/>
          <w:sz w:val="32"/>
          <w:szCs w:val="32"/>
        </w:rPr>
      </w:pPr>
      <w:r>
        <w:rPr>
          <w:rStyle w:val="15"/>
          <w:rFonts w:hint="eastAsia" w:ascii="仿宋_GB2312" w:hAnsi="仿宋_GB2312" w:eastAsia="仿宋_GB2312" w:cs="仿宋_GB2312"/>
          <w:b w:val="0"/>
          <w:bCs/>
          <w:color w:val="000000"/>
          <w:sz w:val="32"/>
          <w:szCs w:val="32"/>
          <w:lang w:val="en-US" w:eastAsia="zh-CN"/>
        </w:rPr>
        <w:t>9</w:t>
      </w:r>
      <w:r>
        <w:rPr>
          <w:rStyle w:val="15"/>
          <w:rFonts w:hint="eastAsia" w:ascii="仿宋_GB2312" w:hAnsi="仿宋_GB2312" w:eastAsia="仿宋_GB2312" w:cs="仿宋_GB2312"/>
          <w:b w:val="0"/>
          <w:bCs/>
          <w:color w:val="000000"/>
          <w:sz w:val="32"/>
          <w:szCs w:val="32"/>
        </w:rPr>
        <w:t>.</w:t>
      </w:r>
      <w:r>
        <w:rPr>
          <w:rStyle w:val="15"/>
          <w:rFonts w:hint="eastAsia" w:ascii="仿宋_GB2312" w:hAnsi="仿宋_GB2312" w:eastAsia="仿宋_GB2312" w:cs="仿宋_GB2312"/>
          <w:color w:val="000000"/>
          <w:sz w:val="32"/>
          <w:szCs w:val="32"/>
        </w:rPr>
        <w:t>自然资源海洋气象等支出（类）自然资源事务（款）其他自然资源事务（项）</w:t>
      </w:r>
      <w:r>
        <w:rPr>
          <w:rStyle w:val="15"/>
          <w:rFonts w:hint="eastAsia" w:ascii="仿宋_GB2312" w:hAnsi="仿宋_GB2312" w:eastAsia="仿宋_GB2312" w:cs="仿宋_GB2312"/>
          <w:b w:val="0"/>
          <w:bCs/>
          <w:color w:val="000000"/>
          <w:sz w:val="32"/>
          <w:szCs w:val="32"/>
        </w:rPr>
        <w:t>：指除财政一般公共预算安排的项目之外的项目支出。</w:t>
      </w:r>
    </w:p>
    <w:p>
      <w:pPr>
        <w:spacing w:line="580" w:lineRule="exact"/>
        <w:ind w:firstLine="640" w:firstLineChars="200"/>
        <w:rPr>
          <w:rFonts w:ascii="仿宋_GB2312" w:hAnsi="仿宋_GB2312" w:eastAsia="仿宋_GB2312" w:cs="仿宋_GB2312"/>
          <w:color w:val="000000"/>
          <w:sz w:val="32"/>
          <w:szCs w:val="32"/>
        </w:rPr>
      </w:pPr>
      <w:r>
        <w:rPr>
          <w:rStyle w:val="15"/>
          <w:rFonts w:hint="eastAsia" w:ascii="仿宋_GB2312" w:hAnsi="仿宋_GB2312" w:eastAsia="仿宋_GB2312" w:cs="仿宋_GB2312"/>
          <w:b w:val="0"/>
          <w:bCs/>
          <w:color w:val="000000"/>
          <w:sz w:val="32"/>
          <w:szCs w:val="32"/>
          <w:lang w:val="en-US" w:eastAsia="zh-CN"/>
        </w:rPr>
        <w:t>10</w:t>
      </w:r>
      <w:r>
        <w:rPr>
          <w:rStyle w:val="15"/>
          <w:rFonts w:hint="eastAsia" w:ascii="仿宋_GB2312" w:hAnsi="仿宋_GB2312" w:eastAsia="仿宋_GB2312" w:cs="仿宋_GB2312"/>
          <w:b w:val="0"/>
          <w:bCs/>
          <w:color w:val="000000"/>
          <w:sz w:val="32"/>
          <w:szCs w:val="32"/>
        </w:rPr>
        <w:t>.</w:t>
      </w:r>
      <w:r>
        <w:rPr>
          <w:rStyle w:val="15"/>
          <w:rFonts w:hint="eastAsia" w:ascii="仿宋_GB2312" w:hAnsi="仿宋_GB2312" w:eastAsia="仿宋_GB2312" w:cs="仿宋_GB2312"/>
          <w:color w:val="000000"/>
          <w:sz w:val="32"/>
          <w:szCs w:val="32"/>
        </w:rPr>
        <w:t>灾害防治及应急管理（类）自然灾害防治（款）地质灾害防治（项）</w:t>
      </w:r>
      <w:r>
        <w:rPr>
          <w:rStyle w:val="15"/>
          <w:rFonts w:hint="eastAsia" w:ascii="仿宋_GB2312" w:hAnsi="仿宋_GB2312" w:eastAsia="仿宋_GB2312" w:cs="仿宋_GB2312"/>
          <w:b w:val="0"/>
          <w:bCs/>
          <w:color w:val="000000"/>
          <w:sz w:val="32"/>
          <w:szCs w:val="32"/>
        </w:rPr>
        <w:t>：指用于地质灾害防治方面的支出。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住房保障（类）住房改革支出（款）住房公积金（项）：</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sz w:val="32"/>
          <w:szCs w:val="32"/>
        </w:rPr>
        <w:t>指局机关及事业单位按行政事业单位按人力资源部和社会保障部、财政部规定的基本工资和津贴补贴以及规定比例为职工缴纳的住房公积金。</w:t>
      </w:r>
    </w:p>
    <w:p>
      <w:pPr>
        <w:pStyle w:val="26"/>
        <w:pageBreakBefore w:val="0"/>
        <w:kinsoku/>
        <w:wordWrap/>
        <w:overflowPunct/>
        <w:topLinePunct w:val="0"/>
        <w:bidi w:val="0"/>
        <w:spacing w:line="576" w:lineRule="exact"/>
        <w:ind w:left="0" w:leftChars="0" w:right="0" w:firstLine="642" w:firstLineChars="200"/>
        <w:textAlignment w:val="auto"/>
      </w:pPr>
      <w:r>
        <w:rPr>
          <w:rFonts w:hint="eastAsia" w:ascii="仿宋_GB2312" w:hAnsi="仿宋_GB2312" w:eastAsia="仿宋_GB2312" w:cs="仿宋_GB2312"/>
          <w:b/>
          <w:bCs/>
          <w:color w:val="000000"/>
          <w:kern w:val="2"/>
          <w:sz w:val="32"/>
          <w:szCs w:val="32"/>
          <w:lang w:val="en-US" w:eastAsia="zh-CN" w:bidi="ar-SA"/>
        </w:rPr>
        <w:t>12.住房保障（类）住房改革支出（款）购房补贴（项）：</w:t>
      </w:r>
      <w:r>
        <w:rPr>
          <w:rFonts w:hint="eastAsia" w:ascii="仿宋_GB2312" w:hAnsi="仿宋_GB2312" w:eastAsia="仿宋_GB2312" w:cs="仿宋_GB2312"/>
          <w:sz w:val="32"/>
          <w:szCs w:val="32"/>
        </w:rPr>
        <w:t>印记的研究生和选调生的安家补助费。</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基本支出</w:t>
      </w:r>
      <w:r>
        <w:rPr>
          <w:rFonts w:hint="eastAsia" w:ascii="仿宋_GB2312" w:hAnsi="仿宋_GB2312" w:eastAsia="仿宋_GB2312" w:cs="仿宋_GB2312"/>
          <w:color w:val="000000"/>
          <w:sz w:val="32"/>
          <w:szCs w:val="32"/>
        </w:rPr>
        <w:t>：指为保障机构正常运转、完成日常工作任务而发生的人员支出和公用支出。</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项目支出</w:t>
      </w:r>
      <w:r>
        <w:rPr>
          <w:rFonts w:hint="eastAsia" w:ascii="仿宋_GB2312" w:hAnsi="仿宋_GB2312" w:eastAsia="仿宋_GB2312" w:cs="仿宋_GB2312"/>
          <w:color w:val="000000"/>
          <w:sz w:val="32"/>
          <w:szCs w:val="32"/>
        </w:rPr>
        <w:t>：指在基本支出之外为完成特定行政任务和事业发展目标所发生的支出。</w:t>
      </w:r>
    </w:p>
    <w:p>
      <w:pPr>
        <w:pStyle w:val="26"/>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“三公”经费：</w:t>
      </w:r>
      <w:r>
        <w:rPr>
          <w:rFonts w:hint="eastAsia" w:ascii="仿宋_GB2312" w:hAnsi="仿宋_GB2312" w:eastAsia="仿宋_GB2312" w:cs="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7"/>
          <w:rFonts w:ascii="黑体" w:hAnsi="黑体" w:eastAsia="黑体"/>
          <w:b w:val="0"/>
        </w:rPr>
      </w:pPr>
      <w:r>
        <w:rPr>
          <w:rFonts w:ascii="宋体"/>
          <w:b/>
          <w:sz w:val="44"/>
          <w:szCs w:val="44"/>
        </w:rPr>
        <w:br w:type="page"/>
      </w:r>
      <w:bookmarkStart w:id="52" w:name="_Toc15396614"/>
      <w:r>
        <w:rPr>
          <w:rFonts w:hint="eastAsia" w:ascii="黑体" w:hAnsi="黑体" w:eastAsia="黑体"/>
          <w:sz w:val="44"/>
          <w:szCs w:val="44"/>
        </w:rPr>
        <w:t>第</w:t>
      </w:r>
      <w:r>
        <w:rPr>
          <w:rStyle w:val="17"/>
          <w:rFonts w:hint="eastAsia" w:ascii="黑体" w:hAnsi="黑体" w:eastAsia="黑体"/>
          <w:b w:val="0"/>
        </w:rPr>
        <w:t>四部分 附件</w:t>
      </w:r>
      <w:bookmarkEnd w:id="52"/>
    </w:p>
    <w:p>
      <w:pPr>
        <w:pStyle w:val="6"/>
        <w:spacing w:before="93"/>
        <w:rPr>
          <w:rFonts w:hAnsi="宋体" w:cs="宋体"/>
          <w:sz w:val="32"/>
          <w:szCs w:val="32"/>
          <w:shd w:val="clear" w:color="auto" w:fill="FFFFFF"/>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广元市地质环境监测站</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关于市级地质灾害隐患点管理项目</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640"/>
        <w:jc w:val="center"/>
        <w:rPr>
          <w:rFonts w:ascii="宋体" w:hAnsi="宋体"/>
          <w:sz w:val="32"/>
          <w:szCs w:val="32"/>
          <w:lang w:val="zh-CN"/>
        </w:rPr>
      </w:pPr>
    </w:p>
    <w:p>
      <w:pPr>
        <w:pStyle w:val="12"/>
        <w:widowControl w:val="0"/>
        <w:spacing w:before="0" w:beforeAutospacing="0" w:after="0" w:afterAutospacing="0" w:line="520" w:lineRule="exact"/>
        <w:ind w:firstLine="640" w:firstLineChars="200"/>
        <w:outlineLvl w:val="0"/>
        <w:rPr>
          <w:rFonts w:ascii="黑体" w:eastAsia="黑体"/>
          <w:sz w:val="32"/>
          <w:szCs w:val="32"/>
        </w:rPr>
      </w:pPr>
      <w:r>
        <w:rPr>
          <w:rFonts w:hint="eastAsia" w:ascii="黑体" w:eastAsia="黑体"/>
          <w:sz w:val="32"/>
          <w:szCs w:val="32"/>
        </w:rPr>
        <w:t>一、项目概况</w:t>
      </w:r>
    </w:p>
    <w:p>
      <w:pPr>
        <w:pStyle w:val="12"/>
        <w:widowControl w:val="0"/>
        <w:spacing w:before="0" w:beforeAutospacing="0" w:after="0" w:afterAutospacing="0" w:line="520" w:lineRule="exact"/>
        <w:ind w:firstLine="645"/>
        <w:jc w:val="both"/>
        <w:outlineLvl w:val="1"/>
        <w:rPr>
          <w:rFonts w:ascii="楷体_GB2312" w:eastAsia="楷体_GB2312"/>
          <w:sz w:val="32"/>
          <w:szCs w:val="32"/>
        </w:rPr>
      </w:pPr>
      <w:r>
        <w:rPr>
          <w:rFonts w:hint="eastAsia" w:ascii="楷体_GB2312" w:eastAsia="楷体_GB2312"/>
          <w:sz w:val="32"/>
          <w:szCs w:val="32"/>
        </w:rPr>
        <w:t>（一）项目基本情况</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市地质环境监测站为市自然资源局下属事业单位，根据市自然资源局对市地质环境监测站职能划分，市地质环境监测站主要职能是对全市地质灾害防治组织、协调、指导和监督，在汛前组织指导各县区开展地质灾害隐患排查、宣传培训及避险演练，指导编制地质灾害防治年度方案，汛期开展地质灾害风险监测预警，指导基层一线做好地质灾害撤离避险等防范工作，指导全市地质环境管理工作。</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本项目立项、资金申报主要依据《地质灾害防治条例》第一章第七条以及《省自然资源厅关于加强全省地质灾害隐患点动态管理工作的通知》等。结合全市地质灾害隐患点状况，2021年，市级地质灾害隐患点管理项目申报了财政资金40万元。主要用于现场踏勘全市地质灾害隐患点，在发生地质灾害灾险情时第一时间赶赴现场指导处置工作等。</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本项目资金管理办法主要依据《中央对地方专项转移支付管理办法》《广元市自然资源局财务管理制度》和《预算法》等法律法规和相关制度严格管控项目开支，建立了常态化监督检查机制。</w:t>
      </w:r>
    </w:p>
    <w:p>
      <w:pPr>
        <w:pStyle w:val="12"/>
        <w:widowControl w:val="0"/>
        <w:spacing w:before="0" w:beforeAutospacing="0" w:after="0" w:afterAutospacing="0" w:line="520" w:lineRule="exact"/>
        <w:ind w:firstLine="645"/>
        <w:jc w:val="both"/>
        <w:outlineLvl w:val="1"/>
        <w:rPr>
          <w:rFonts w:ascii="楷体_GB2312" w:eastAsia="楷体_GB2312"/>
          <w:sz w:val="32"/>
          <w:szCs w:val="32"/>
        </w:rPr>
      </w:pPr>
      <w:r>
        <w:rPr>
          <w:rFonts w:hint="eastAsia" w:ascii="楷体_GB2312" w:eastAsia="楷体_GB2312"/>
          <w:sz w:val="32"/>
          <w:szCs w:val="32"/>
        </w:rPr>
        <w:t>（二）项目绩效目标</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本项目绩效目标是：搞好汛前排查、汛中巡查和汛后核查工作，提高全市地质灾害防治群策群防水平，落实各项防灾措施，分层级组织开展宣传培训和避险演练，有效提升全社会地质灾害防灾避险能力，实现地灾隐患点零伤亡。申报的绩效目标符合我市地质灾害隐患管理实际。</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2021年，我市制定了年度地质灾害防治方案，开展了汛前地质灾害隐患全面排查、汛期地质灾害隐患集中大排查和日常地质灾害隐患动态巡查排查，健全了群测群防监测预警网络，落实了各级各部门地质灾害防治责任和防灾措施，市、县分层级开展了防灾知识宣传培训，各地“点对点”逐一开展了避险演练。实现了地质灾害隐患点零伤亡。</w:t>
      </w:r>
    </w:p>
    <w:p>
      <w:pPr>
        <w:pStyle w:val="12"/>
        <w:widowControl w:val="0"/>
        <w:spacing w:before="0" w:beforeAutospacing="0" w:after="0" w:afterAutospacing="0" w:line="520" w:lineRule="exact"/>
        <w:ind w:firstLine="645"/>
        <w:jc w:val="both"/>
        <w:outlineLvl w:val="1"/>
        <w:rPr>
          <w:rFonts w:ascii="楷体_GB2312" w:eastAsia="楷体_GB2312"/>
          <w:sz w:val="32"/>
          <w:szCs w:val="32"/>
        </w:rPr>
      </w:pPr>
      <w:r>
        <w:rPr>
          <w:rFonts w:hint="eastAsia" w:ascii="楷体_GB2312" w:eastAsia="楷体_GB2312"/>
          <w:sz w:val="32"/>
          <w:szCs w:val="32"/>
        </w:rPr>
        <w:t>（三）项目自评步骤及方法</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项目自评主要采用分层级列出各项指标，并对照预期指标值和实际完成指标值开展自评。对数量指标、质量指标、时效指标、成本指标、社会效益、生态效益、可持续影响指标以及满意度指标等逐一对比完成情况。</w:t>
      </w:r>
    </w:p>
    <w:p>
      <w:pPr>
        <w:pStyle w:val="12"/>
        <w:widowControl w:val="0"/>
        <w:spacing w:before="0" w:beforeAutospacing="0" w:after="0" w:afterAutospacing="0" w:line="520" w:lineRule="exact"/>
        <w:ind w:firstLine="640" w:firstLineChars="200"/>
        <w:outlineLvl w:val="0"/>
        <w:rPr>
          <w:rFonts w:ascii="黑体" w:eastAsia="黑体"/>
          <w:sz w:val="32"/>
          <w:szCs w:val="32"/>
        </w:rPr>
      </w:pPr>
      <w:r>
        <w:rPr>
          <w:rFonts w:hint="eastAsia" w:ascii="黑体" w:eastAsia="黑体"/>
          <w:sz w:val="32"/>
          <w:szCs w:val="32"/>
        </w:rPr>
        <w:t>二、项目资金申报及使用情况</w:t>
      </w:r>
    </w:p>
    <w:p>
      <w:pPr>
        <w:pStyle w:val="12"/>
        <w:widowControl w:val="0"/>
        <w:spacing w:before="0" w:beforeAutospacing="0" w:after="0" w:afterAutospacing="0" w:line="520" w:lineRule="exact"/>
        <w:ind w:firstLine="645"/>
        <w:jc w:val="both"/>
        <w:outlineLvl w:val="1"/>
        <w:rPr>
          <w:rFonts w:ascii="楷体_GB2312" w:eastAsia="楷体_GB2312"/>
          <w:sz w:val="32"/>
          <w:szCs w:val="32"/>
        </w:rPr>
      </w:pPr>
      <w:r>
        <w:rPr>
          <w:rFonts w:hint="eastAsia" w:ascii="楷体_GB2312" w:eastAsia="楷体_GB2312"/>
          <w:sz w:val="32"/>
          <w:szCs w:val="32"/>
        </w:rPr>
        <w:t>（一）项目资金申报及批复情况</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2021年，根据我市地质灾害隐患实际状况，申报了市级地质灾害隐患点管理项目申报资金40万元，批复执行数40万元，不存在预算调整等情况。</w:t>
      </w:r>
    </w:p>
    <w:p>
      <w:pPr>
        <w:pStyle w:val="12"/>
        <w:widowControl w:val="0"/>
        <w:spacing w:before="0" w:beforeAutospacing="0" w:after="0" w:afterAutospacing="0" w:line="520" w:lineRule="exact"/>
        <w:ind w:firstLine="645"/>
        <w:jc w:val="both"/>
        <w:outlineLvl w:val="1"/>
        <w:rPr>
          <w:rFonts w:ascii="楷体_GB2312" w:eastAsia="楷体_GB2312"/>
          <w:sz w:val="32"/>
          <w:szCs w:val="32"/>
        </w:rPr>
      </w:pPr>
      <w:r>
        <w:rPr>
          <w:rFonts w:hint="eastAsia" w:ascii="楷体_GB2312" w:eastAsia="楷体_GB2312"/>
          <w:sz w:val="32"/>
          <w:szCs w:val="32"/>
        </w:rPr>
        <w:t>（二）资金计划、到位及使用情况</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本项目资金计划为40万元，来源为市级财政资金，无项目单位自筹资金。</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本项目到位市级财政资金为40万元，到位及时，到位率100%。</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2021年，对全市地质灾害隐患现场踏勘、指导灾险情应对处置等累计出场大于1400次，已全部支出该项目资金40万元。主要用于支付部门工作人员到现场察看地质灾害隐患点、到现场指导处置灾险情等相关工作经费。</w:t>
      </w:r>
    </w:p>
    <w:p>
      <w:pPr>
        <w:pStyle w:val="12"/>
        <w:widowControl w:val="0"/>
        <w:spacing w:before="0" w:beforeAutospacing="0" w:after="0" w:afterAutospacing="0" w:line="520" w:lineRule="exact"/>
        <w:ind w:firstLine="645"/>
        <w:jc w:val="both"/>
        <w:outlineLvl w:val="1"/>
        <w:rPr>
          <w:rFonts w:ascii="楷体_GB2312" w:eastAsia="楷体_GB2312"/>
          <w:sz w:val="32"/>
          <w:szCs w:val="32"/>
        </w:rPr>
      </w:pPr>
      <w:r>
        <w:rPr>
          <w:rFonts w:hint="eastAsia" w:ascii="楷体_GB2312" w:eastAsia="楷体_GB2312"/>
          <w:sz w:val="32"/>
          <w:szCs w:val="32"/>
        </w:rPr>
        <w:t>（三）项目财务管理情况</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我单位财务管理制度健全，严格按照《预算法》《政府会计制度》《广元市自然资源局财务管理制度》等的相关规定，在日常中严格执行各项财经纪律，及时处理各项账务，规范各类会计核算。</w:t>
      </w:r>
    </w:p>
    <w:p>
      <w:pPr>
        <w:pStyle w:val="12"/>
        <w:widowControl w:val="0"/>
        <w:spacing w:before="0" w:beforeAutospacing="0" w:after="0" w:afterAutospacing="0" w:line="520" w:lineRule="exact"/>
        <w:ind w:firstLine="640" w:firstLineChars="200"/>
        <w:outlineLvl w:val="0"/>
        <w:rPr>
          <w:rFonts w:ascii="黑体" w:eastAsia="黑体"/>
          <w:sz w:val="32"/>
          <w:szCs w:val="32"/>
        </w:rPr>
      </w:pPr>
      <w:r>
        <w:rPr>
          <w:rFonts w:hint="eastAsia" w:ascii="黑体" w:eastAsia="黑体"/>
          <w:sz w:val="32"/>
          <w:szCs w:val="32"/>
        </w:rPr>
        <w:t>三、项目实施及管理情况</w:t>
      </w:r>
    </w:p>
    <w:p>
      <w:pPr>
        <w:pStyle w:val="12"/>
        <w:widowControl w:val="0"/>
        <w:spacing w:before="0" w:beforeAutospacing="0" w:after="0" w:afterAutospacing="0" w:line="520" w:lineRule="exact"/>
        <w:ind w:firstLine="645"/>
        <w:jc w:val="both"/>
        <w:outlineLvl w:val="1"/>
        <w:rPr>
          <w:rFonts w:ascii="楷体_GB2312" w:eastAsia="楷体_GB2312"/>
          <w:sz w:val="32"/>
          <w:szCs w:val="32"/>
        </w:rPr>
      </w:pPr>
      <w:r>
        <w:rPr>
          <w:rFonts w:hint="eastAsia" w:ascii="楷体_GB2312" w:eastAsia="楷体_GB2312"/>
          <w:sz w:val="32"/>
          <w:szCs w:val="32"/>
        </w:rPr>
        <w:t>（一）项目组织架构及实施流程</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地质灾害隐患点管理由市地质环境监测站组织实施，主要是在汛前组织指导开展地质灾害隐患排查、地质灾害防治知识宣传培训及避险演练工作；汛期开展地质灾害风险监测预警，现场指导应对处置地质灾害灾险情，指导基层一线做好地质灾害防范工作。</w:t>
      </w:r>
    </w:p>
    <w:p>
      <w:pPr>
        <w:pStyle w:val="12"/>
        <w:widowControl w:val="0"/>
        <w:spacing w:before="0" w:beforeAutospacing="0" w:after="0" w:afterAutospacing="0" w:line="520" w:lineRule="exact"/>
        <w:ind w:firstLine="645"/>
        <w:jc w:val="both"/>
        <w:outlineLvl w:val="1"/>
        <w:rPr>
          <w:rFonts w:ascii="楷体_GB2312" w:eastAsia="楷体_GB2312"/>
          <w:sz w:val="32"/>
          <w:szCs w:val="32"/>
        </w:rPr>
      </w:pPr>
      <w:r>
        <w:rPr>
          <w:rFonts w:hint="eastAsia" w:ascii="楷体_GB2312" w:eastAsia="楷体_GB2312"/>
          <w:sz w:val="32"/>
          <w:szCs w:val="32"/>
        </w:rPr>
        <w:t>（二）项目管理情况</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本项目严格按照《地质灾害防治条例》《国务院关于加强地质灾害防治工作的决定》《四川省地质环境管理条例》《四川省国土资源厅关于加强全省地质灾害隐患点动态管理工作的通知》等规定，坚持“动态排查、动态核实、动态监测、动态管理”的原则，规范了地质灾害防治工作，提高了地质灾害防治工作的针对性和实效性，确保了年度地质灾害零伤亡。</w:t>
      </w:r>
    </w:p>
    <w:p>
      <w:pPr>
        <w:pStyle w:val="12"/>
        <w:widowControl w:val="0"/>
        <w:spacing w:before="0" w:beforeAutospacing="0" w:after="0" w:afterAutospacing="0" w:line="520" w:lineRule="exact"/>
        <w:ind w:firstLine="645"/>
        <w:jc w:val="both"/>
        <w:outlineLvl w:val="1"/>
        <w:rPr>
          <w:rFonts w:ascii="楷体_GB2312" w:eastAsia="楷体_GB2312"/>
          <w:sz w:val="32"/>
          <w:szCs w:val="32"/>
        </w:rPr>
      </w:pPr>
      <w:r>
        <w:rPr>
          <w:rFonts w:hint="eastAsia" w:ascii="楷体_GB2312" w:eastAsia="楷体_GB2312"/>
          <w:sz w:val="32"/>
          <w:szCs w:val="32"/>
        </w:rPr>
        <w:t>（三）项目监管情况</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市自然资源局为我单位主管部门，多次召开党委会、局务会安排部署地质灾害防治工作，在汛期把地质灾害防治工作作为全局的重点工作之一来抓，与水利、应急等部门组成督导检查组到各地隐患点防灾一线实地察看防灾措施落实情况；市地质环境监测站也组成多个检查指导组，分批次到各地开展防灾减灾指导工作，有效地促进了地质灾害防治责任和各项防灾措施落实。</w:t>
      </w:r>
    </w:p>
    <w:p>
      <w:pPr>
        <w:pStyle w:val="12"/>
        <w:widowControl w:val="0"/>
        <w:spacing w:before="0" w:beforeAutospacing="0" w:after="0" w:afterAutospacing="0" w:line="520" w:lineRule="exact"/>
        <w:ind w:firstLine="640" w:firstLineChars="200"/>
        <w:outlineLvl w:val="0"/>
        <w:rPr>
          <w:rFonts w:ascii="黑体" w:eastAsia="黑体"/>
          <w:sz w:val="32"/>
          <w:szCs w:val="32"/>
        </w:rPr>
      </w:pPr>
      <w:r>
        <w:rPr>
          <w:rFonts w:hint="eastAsia" w:ascii="黑体" w:eastAsia="黑体"/>
          <w:sz w:val="32"/>
          <w:szCs w:val="32"/>
        </w:rPr>
        <w:t>四、项目绩效情况</w:t>
      </w:r>
    </w:p>
    <w:p>
      <w:pPr>
        <w:pStyle w:val="12"/>
        <w:widowControl w:val="0"/>
        <w:spacing w:before="0" w:beforeAutospacing="0" w:after="0" w:afterAutospacing="0" w:line="520" w:lineRule="exact"/>
        <w:ind w:firstLine="645"/>
        <w:jc w:val="both"/>
        <w:outlineLvl w:val="1"/>
        <w:rPr>
          <w:rFonts w:ascii="楷体_GB2312" w:eastAsia="楷体_GB2312"/>
          <w:sz w:val="32"/>
          <w:szCs w:val="32"/>
        </w:rPr>
      </w:pPr>
      <w:r>
        <w:rPr>
          <w:rFonts w:hint="eastAsia" w:ascii="楷体_GB2312" w:eastAsia="楷体_GB2312"/>
          <w:sz w:val="32"/>
          <w:szCs w:val="32"/>
        </w:rPr>
        <w:t>（一）项目完成情况</w:t>
      </w:r>
    </w:p>
    <w:p>
      <w:pPr>
        <w:adjustRightInd w:val="0"/>
        <w:snapToGrid w:val="0"/>
        <w:spacing w:line="540" w:lineRule="exact"/>
        <w:ind w:firstLine="720"/>
        <w:rPr>
          <w:rFonts w:ascii="仿宋_GB2312" w:hAnsi="宋体" w:eastAsia="仿宋_GB2312" w:cs="宋体"/>
          <w:kern w:val="0"/>
          <w:sz w:val="32"/>
          <w:szCs w:val="32"/>
        </w:rPr>
      </w:pPr>
      <w:r>
        <w:rPr>
          <w:rFonts w:hint="eastAsia" w:ascii="仿宋_GB2312" w:hAnsi="宋体" w:eastAsia="仿宋_GB2312" w:cs="宋体"/>
          <w:kern w:val="0"/>
          <w:sz w:val="32"/>
          <w:szCs w:val="32"/>
        </w:rPr>
        <w:t>在2021年，在开展日常动态巡排查基础上，组织开展了6轮次全市地灾风险隐患集中排查，累计落实了全市1646处地质灾害隐患点群测群防措施，落实了1646处隐患点防灾措施，同步对1646处隐患点开展了宣传培训和避险演练，提高了地质灾害群测群防水平。做到了汛前排查、汛中巡查和汛后核查，掌握了地质灾害风险隐患底数，有效应对了12轮强降雨，成功避险6起，避免了160人可能出现的因灾伤亡，实现了2021年全年地质灾害“零伤亡”和连续13年地质灾害预案点“零伤亡”，全面完成了目标任务。</w:t>
      </w:r>
    </w:p>
    <w:p>
      <w:pPr>
        <w:pStyle w:val="12"/>
        <w:widowControl w:val="0"/>
        <w:spacing w:before="0" w:beforeAutospacing="0" w:after="0" w:afterAutospacing="0" w:line="520" w:lineRule="exact"/>
        <w:ind w:firstLine="645"/>
        <w:jc w:val="both"/>
        <w:outlineLvl w:val="1"/>
        <w:rPr>
          <w:rFonts w:ascii="楷体_GB2312" w:eastAsia="楷体_GB2312"/>
          <w:sz w:val="32"/>
          <w:szCs w:val="32"/>
        </w:rPr>
      </w:pPr>
      <w:r>
        <w:rPr>
          <w:rFonts w:hint="eastAsia" w:ascii="楷体_GB2312" w:eastAsia="楷体_GB2312"/>
          <w:sz w:val="32"/>
          <w:szCs w:val="32"/>
        </w:rPr>
        <w:t>（二）项目效益情况</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通过本项目的实施，为我市社会经济发展提供了安全的地质环境条件，使受地质灾害损坏的生态环境得以恢复和提升，使地质灾害隐患点周边群众的生产生活得到有效保障，群众对地质灾害隐患的管理十分满意。</w:t>
      </w:r>
    </w:p>
    <w:p>
      <w:pPr>
        <w:pStyle w:val="12"/>
        <w:widowControl w:val="0"/>
        <w:spacing w:before="0" w:beforeAutospacing="0" w:after="0" w:afterAutospacing="0" w:line="520" w:lineRule="exact"/>
        <w:ind w:firstLine="640" w:firstLineChars="200"/>
        <w:outlineLvl w:val="0"/>
        <w:rPr>
          <w:rFonts w:ascii="黑体" w:eastAsia="黑体"/>
          <w:sz w:val="32"/>
          <w:szCs w:val="32"/>
        </w:rPr>
      </w:pPr>
      <w:r>
        <w:rPr>
          <w:rFonts w:hint="eastAsia" w:ascii="黑体" w:eastAsia="黑体"/>
          <w:sz w:val="32"/>
          <w:szCs w:val="32"/>
        </w:rPr>
        <w:t>五、评价结论及建议</w:t>
      </w:r>
    </w:p>
    <w:p>
      <w:pPr>
        <w:pStyle w:val="12"/>
        <w:widowControl w:val="0"/>
        <w:spacing w:before="0" w:beforeAutospacing="0" w:after="0" w:afterAutospacing="0" w:line="520" w:lineRule="exact"/>
        <w:ind w:firstLine="645"/>
        <w:jc w:val="both"/>
        <w:outlineLvl w:val="1"/>
        <w:rPr>
          <w:rFonts w:ascii="楷体_GB2312" w:eastAsia="楷体_GB2312"/>
          <w:sz w:val="32"/>
          <w:szCs w:val="32"/>
        </w:rPr>
      </w:pPr>
      <w:r>
        <w:rPr>
          <w:rFonts w:hint="eastAsia" w:ascii="楷体_GB2312" w:eastAsia="楷体_GB2312"/>
          <w:sz w:val="32"/>
          <w:szCs w:val="32"/>
        </w:rPr>
        <w:t>（一）评价结论</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地质灾害隐患点管理项目完成了数量、质量、时效及成本等各项指标，取得了良好的社会、经济、生态效益，受益群众满意度100%，该项目的目标任务全面完成。</w:t>
      </w:r>
    </w:p>
    <w:p>
      <w:pPr>
        <w:pStyle w:val="12"/>
        <w:widowControl w:val="0"/>
        <w:spacing w:before="0" w:beforeAutospacing="0" w:after="0" w:afterAutospacing="0" w:line="520" w:lineRule="exact"/>
        <w:ind w:firstLine="645"/>
        <w:jc w:val="both"/>
        <w:outlineLvl w:val="1"/>
        <w:rPr>
          <w:rFonts w:ascii="楷体_GB2312" w:eastAsia="楷体_GB2312"/>
          <w:sz w:val="32"/>
          <w:szCs w:val="32"/>
        </w:rPr>
      </w:pPr>
      <w:r>
        <w:rPr>
          <w:rFonts w:hint="eastAsia" w:ascii="楷体_GB2312" w:eastAsia="楷体_GB2312"/>
          <w:sz w:val="32"/>
          <w:szCs w:val="32"/>
        </w:rPr>
        <w:t>（二）存在的问题</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地质灾害隐患是动态变化的，近年来极端强降雨天气增多，受汛期持续强降雨影响，地质灾害隐患点时有增加，灾险情时有发生，到现场查灾查险处置的次数就会增加，地质灾害隐患点管理经费还有欠缺。</w:t>
      </w:r>
    </w:p>
    <w:p>
      <w:pPr>
        <w:pStyle w:val="12"/>
        <w:widowControl w:val="0"/>
        <w:spacing w:before="0" w:beforeAutospacing="0" w:after="0" w:afterAutospacing="0" w:line="520" w:lineRule="exact"/>
        <w:ind w:firstLine="645"/>
        <w:jc w:val="both"/>
        <w:outlineLvl w:val="1"/>
        <w:rPr>
          <w:rFonts w:ascii="楷体_GB2312" w:eastAsia="楷体_GB2312"/>
          <w:sz w:val="32"/>
          <w:szCs w:val="32"/>
        </w:rPr>
      </w:pPr>
      <w:r>
        <w:rPr>
          <w:rFonts w:hint="eastAsia" w:ascii="楷体_GB2312" w:eastAsia="楷体_GB2312"/>
          <w:sz w:val="32"/>
          <w:szCs w:val="32"/>
        </w:rPr>
        <w:t>（三）相关建议</w:t>
      </w:r>
    </w:p>
    <w:p>
      <w:pPr>
        <w:pStyle w:val="12"/>
        <w:widowControl w:val="0"/>
        <w:spacing w:before="0" w:beforeAutospacing="0" w:after="0" w:afterAutospacing="0" w:line="520" w:lineRule="exact"/>
        <w:ind w:firstLine="645"/>
        <w:jc w:val="both"/>
        <w:rPr>
          <w:rFonts w:ascii="仿宋_GB2312" w:eastAsia="仿宋_GB2312"/>
          <w:sz w:val="32"/>
          <w:szCs w:val="32"/>
        </w:rPr>
      </w:pPr>
      <w:r>
        <w:rPr>
          <w:rFonts w:hint="eastAsia" w:ascii="仿宋_GB2312" w:eastAsia="仿宋_GB2312"/>
          <w:sz w:val="32"/>
          <w:szCs w:val="32"/>
        </w:rPr>
        <w:t>建议适当增加地质灾害隐患点管理经费，把地质灾害预警信息发送经费、年度地质灾害防治方案的公示经费等纳入市级财政统筹。</w:t>
      </w: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spacing w:line="572" w:lineRule="exact"/>
        <w:jc w:val="left"/>
        <w:outlineLvl w:val="0"/>
        <w:rPr>
          <w:rFonts w:ascii="黑体" w:hAnsi="黑体" w:eastAsia="黑体" w:cs="黑体"/>
          <w:sz w:val="32"/>
          <w:szCs w:val="32"/>
        </w:rPr>
      </w:pPr>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附表</w:t>
      </w: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759"/>
        <w:gridCol w:w="1068"/>
        <w:gridCol w:w="1363"/>
        <w:gridCol w:w="1844"/>
        <w:gridCol w:w="1484"/>
        <w:gridCol w:w="2057"/>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bookmarkStart w:id="53" w:name="_Toc15396618"/>
            <w:r>
              <w:rPr>
                <w:rFonts w:hint="eastAsia" w:ascii="宋体" w:hAnsi="宋体" w:cs="宋体"/>
                <w:b/>
                <w:sz w:val="32"/>
                <w:szCs w:val="32"/>
                <w:highlight w:val="yellow"/>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trPr>
        <w:tc>
          <w:tcPr>
            <w:tcW w:w="2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主管部门及代码</w:t>
            </w:r>
          </w:p>
        </w:tc>
        <w:tc>
          <w:tcPr>
            <w:tcW w:w="3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广元市自然资源局</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实施单位</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广元市地质环境监测站</w:t>
            </w:r>
          </w:p>
        </w:tc>
      </w:tr>
      <w:tr>
        <w:tblPrEx>
          <w:tblCellMar>
            <w:top w:w="0" w:type="dxa"/>
            <w:left w:w="108" w:type="dxa"/>
            <w:bottom w:w="0" w:type="dxa"/>
            <w:right w:w="108" w:type="dxa"/>
          </w:tblCellMar>
        </w:tblPrEx>
        <w:trPr>
          <w:gridAfter w:val="1"/>
          <w:wAfter w:w="234" w:type="dxa"/>
          <w:trHeight w:val="341" w:hRule="atLeast"/>
        </w:trPr>
        <w:tc>
          <w:tcPr>
            <w:tcW w:w="28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项目预算</w:t>
            </w:r>
          </w:p>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执行情况</w:t>
            </w:r>
          </w:p>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（万元）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 xml:space="preserve"> 预算数：</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40</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 xml:space="preserve"> 执行数：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40</w:t>
            </w:r>
          </w:p>
        </w:tc>
      </w:tr>
      <w:tr>
        <w:tblPrEx>
          <w:tblCellMar>
            <w:top w:w="0" w:type="dxa"/>
            <w:left w:w="108" w:type="dxa"/>
            <w:bottom w:w="0" w:type="dxa"/>
            <w:right w:w="108" w:type="dxa"/>
          </w:tblCellMar>
        </w:tblPrEx>
        <w:trPr>
          <w:gridAfter w:val="1"/>
          <w:wAfter w:w="234" w:type="dxa"/>
          <w:trHeight w:val="555" w:hRule="atLeast"/>
        </w:trPr>
        <w:tc>
          <w:tcPr>
            <w:tcW w:w="2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其中：</w:t>
            </w:r>
          </w:p>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财政拨款</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40</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其中：</w:t>
            </w:r>
          </w:p>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财政拨款</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40</w:t>
            </w:r>
          </w:p>
        </w:tc>
      </w:tr>
      <w:tr>
        <w:tblPrEx>
          <w:tblCellMar>
            <w:top w:w="0" w:type="dxa"/>
            <w:left w:w="108" w:type="dxa"/>
            <w:bottom w:w="0" w:type="dxa"/>
            <w:right w:w="108" w:type="dxa"/>
          </w:tblCellMar>
        </w:tblPrEx>
        <w:trPr>
          <w:gridAfter w:val="1"/>
          <w:wAfter w:w="234" w:type="dxa"/>
          <w:trHeight w:val="341" w:hRule="atLeast"/>
        </w:trPr>
        <w:tc>
          <w:tcPr>
            <w:tcW w:w="2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其他资金</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其他资金</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p>
        </w:tc>
      </w:tr>
      <w:tr>
        <w:tblPrEx>
          <w:tblCellMar>
            <w:top w:w="0" w:type="dxa"/>
            <w:left w:w="108" w:type="dxa"/>
            <w:bottom w:w="0" w:type="dxa"/>
            <w:right w:w="108" w:type="dxa"/>
          </w:tblCellMar>
        </w:tblPrEx>
        <w:trPr>
          <w:gridAfter w:val="1"/>
          <w:wAfter w:w="234" w:type="dxa"/>
          <w:trHeight w:val="217" w:hRule="atLeast"/>
        </w:trPr>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年度总体目标</w:t>
            </w:r>
          </w:p>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完成情况</w:t>
            </w:r>
          </w:p>
        </w:tc>
        <w:tc>
          <w:tcPr>
            <w:tcW w:w="4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预期目标</w:t>
            </w:r>
          </w:p>
        </w:tc>
        <w:tc>
          <w:tcPr>
            <w:tcW w:w="3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目标实际完成情况</w:t>
            </w:r>
          </w:p>
        </w:tc>
      </w:tr>
      <w:tr>
        <w:tblPrEx>
          <w:tblCellMar>
            <w:top w:w="0" w:type="dxa"/>
            <w:left w:w="108" w:type="dxa"/>
            <w:bottom w:w="0" w:type="dxa"/>
            <w:right w:w="108" w:type="dxa"/>
          </w:tblCellMar>
        </w:tblPrEx>
        <w:trPr>
          <w:gridAfter w:val="1"/>
          <w:wAfter w:w="234" w:type="dxa"/>
          <w:trHeight w:val="797" w:hRule="atLeast"/>
        </w:trPr>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p>
        </w:tc>
        <w:tc>
          <w:tcPr>
            <w:tcW w:w="427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落实各项防灾措施，分层次开展宣传培训和避险演练，有效提升全社会防灾避险能力。提高全市地质灾害隐患点群策群防水平，搞好汛期排查，汛中巡查和汛后核查工作，实现地灾隐患点零伤亡。</w:t>
            </w:r>
          </w:p>
        </w:tc>
        <w:tc>
          <w:tcPr>
            <w:tcW w:w="3541"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落实各项防灾措施，分层次开展宣传培训和避险演练，有效提升全社会防灾避险能力。提高全市地质灾害隐患点群策群防水平，搞好汛期排查，汛中巡查和汛后核查工作，实现地灾隐患点零伤亡。</w:t>
            </w:r>
          </w:p>
        </w:tc>
      </w:tr>
      <w:tr>
        <w:tblPrEx>
          <w:tblCellMar>
            <w:top w:w="0" w:type="dxa"/>
            <w:left w:w="108" w:type="dxa"/>
            <w:bottom w:w="0" w:type="dxa"/>
            <w:right w:w="108" w:type="dxa"/>
          </w:tblCellMar>
        </w:tblPrEx>
        <w:trPr>
          <w:gridAfter w:val="1"/>
          <w:wAfter w:w="234" w:type="dxa"/>
          <w:trHeight w:val="693" w:hRule="atLeast"/>
        </w:trPr>
        <w:tc>
          <w:tcPr>
            <w:tcW w:w="1760"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年度绩效指标完成情况</w:t>
            </w:r>
          </w:p>
        </w:tc>
        <w:tc>
          <w:tcPr>
            <w:tcW w:w="1069"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一级</w:t>
            </w:r>
          </w:p>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二级</w:t>
            </w:r>
          </w:p>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三级</w:t>
            </w:r>
          </w:p>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预期指标值</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实际完成指标值</w:t>
            </w:r>
          </w:p>
        </w:tc>
      </w:tr>
      <w:tr>
        <w:tblPrEx>
          <w:tblCellMar>
            <w:top w:w="0" w:type="dxa"/>
            <w:left w:w="108" w:type="dxa"/>
            <w:bottom w:w="0" w:type="dxa"/>
            <w:right w:w="108" w:type="dxa"/>
          </w:tblCellMar>
        </w:tblPrEx>
        <w:trPr>
          <w:gridAfter w:val="1"/>
          <w:wAfter w:w="234" w:type="dxa"/>
          <w:trHeight w:val="1050" w:hRule="atLeast"/>
        </w:trPr>
        <w:tc>
          <w:tcPr>
            <w:tcW w:w="176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完成</w:t>
            </w:r>
          </w:p>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数量指标</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指标1：完成全市地质灾害隐患点监测。指标2：完成隐患点宣传培训、避险演练</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&gt;1400次</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&gt;1400次</w:t>
            </w:r>
          </w:p>
        </w:tc>
      </w:tr>
      <w:tr>
        <w:tblPrEx>
          <w:tblCellMar>
            <w:top w:w="0" w:type="dxa"/>
            <w:left w:w="108" w:type="dxa"/>
            <w:bottom w:w="0" w:type="dxa"/>
            <w:right w:w="108" w:type="dxa"/>
          </w:tblCellMar>
        </w:tblPrEx>
        <w:trPr>
          <w:gridAfter w:val="1"/>
          <w:wAfter w:w="234" w:type="dxa"/>
          <w:trHeight w:val="415" w:hRule="atLeast"/>
        </w:trPr>
        <w:tc>
          <w:tcPr>
            <w:tcW w:w="176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质量指标</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确保隐患点零伤亡</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0</w:t>
            </w:r>
          </w:p>
        </w:tc>
      </w:tr>
      <w:tr>
        <w:tblPrEx>
          <w:tblCellMar>
            <w:top w:w="0" w:type="dxa"/>
            <w:left w:w="108" w:type="dxa"/>
            <w:bottom w:w="0" w:type="dxa"/>
            <w:right w:w="108" w:type="dxa"/>
          </w:tblCellMar>
        </w:tblPrEx>
        <w:trPr>
          <w:gridAfter w:val="1"/>
          <w:wAfter w:w="234" w:type="dxa"/>
          <w:trHeight w:val="415" w:hRule="atLeast"/>
        </w:trPr>
        <w:tc>
          <w:tcPr>
            <w:tcW w:w="176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时效指标</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完成时间</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2021年12月前</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2021年12月前</w:t>
            </w:r>
          </w:p>
        </w:tc>
      </w:tr>
      <w:tr>
        <w:tblPrEx>
          <w:tblCellMar>
            <w:top w:w="0" w:type="dxa"/>
            <w:left w:w="108" w:type="dxa"/>
            <w:bottom w:w="0" w:type="dxa"/>
            <w:right w:w="108" w:type="dxa"/>
          </w:tblCellMar>
        </w:tblPrEx>
        <w:trPr>
          <w:gridAfter w:val="1"/>
          <w:wAfter w:w="234" w:type="dxa"/>
          <w:trHeight w:val="480" w:hRule="atLeast"/>
        </w:trPr>
        <w:tc>
          <w:tcPr>
            <w:tcW w:w="176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成本指标</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指标1：隐患点管理监测。指标2：地灾隐患点宣传培训、应急演练</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40万元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40万元</w:t>
            </w:r>
          </w:p>
        </w:tc>
      </w:tr>
      <w:tr>
        <w:tblPrEx>
          <w:tblCellMar>
            <w:top w:w="0" w:type="dxa"/>
            <w:left w:w="108" w:type="dxa"/>
            <w:bottom w:w="0" w:type="dxa"/>
            <w:right w:w="108" w:type="dxa"/>
          </w:tblCellMar>
        </w:tblPrEx>
        <w:trPr>
          <w:gridAfter w:val="1"/>
          <w:wAfter w:w="234" w:type="dxa"/>
          <w:trHeight w:val="1556" w:hRule="atLeast"/>
        </w:trPr>
        <w:tc>
          <w:tcPr>
            <w:tcW w:w="176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社会效益  指标</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对社会的促进作用</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保障社会经济发展，源头防范地质灾害，减轻地质灾害造成的威胁</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保障社会经济发展，源头防范地质灾害，减轻地质灾害造成的威胁</w:t>
            </w:r>
          </w:p>
        </w:tc>
      </w:tr>
      <w:tr>
        <w:tblPrEx>
          <w:tblCellMar>
            <w:top w:w="0" w:type="dxa"/>
            <w:left w:w="108" w:type="dxa"/>
            <w:bottom w:w="0" w:type="dxa"/>
            <w:right w:w="108" w:type="dxa"/>
          </w:tblCellMar>
        </w:tblPrEx>
        <w:trPr>
          <w:gridAfter w:val="1"/>
          <w:wAfter w:w="234" w:type="dxa"/>
          <w:trHeight w:val="868" w:hRule="atLeast"/>
        </w:trPr>
        <w:tc>
          <w:tcPr>
            <w:tcW w:w="176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Cs w:val="21"/>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生态效益  指标</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对生态的促进作用</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生态环境得以恢复和提升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生态环境得以恢复和提升</w:t>
            </w:r>
          </w:p>
        </w:tc>
      </w:tr>
      <w:tr>
        <w:tblPrEx>
          <w:tblCellMar>
            <w:top w:w="0" w:type="dxa"/>
            <w:left w:w="108" w:type="dxa"/>
            <w:bottom w:w="0" w:type="dxa"/>
            <w:right w:w="108" w:type="dxa"/>
          </w:tblCellMar>
        </w:tblPrEx>
        <w:trPr>
          <w:gridAfter w:val="1"/>
          <w:wAfter w:w="234" w:type="dxa"/>
          <w:trHeight w:val="480" w:hRule="atLeast"/>
        </w:trPr>
        <w:tc>
          <w:tcPr>
            <w:tcW w:w="176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可持续影响 指标</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地质灾害危害减少</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地质灾害点周边群众安全持续生活、生产，维护社会和谐稳定，促进经济社会可持续发展</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地质灾害点周边群众安全持续生活、生产，维护社会和谐稳定，促进经济社会可持续发展</w:t>
            </w:r>
          </w:p>
        </w:tc>
      </w:tr>
      <w:tr>
        <w:tblPrEx>
          <w:tblCellMar>
            <w:top w:w="0" w:type="dxa"/>
            <w:left w:w="108" w:type="dxa"/>
            <w:bottom w:w="0" w:type="dxa"/>
            <w:right w:w="108" w:type="dxa"/>
          </w:tblCellMar>
        </w:tblPrEx>
        <w:trPr>
          <w:gridAfter w:val="1"/>
          <w:wAfter w:w="234" w:type="dxa"/>
          <w:trHeight w:val="530" w:hRule="atLeast"/>
        </w:trPr>
        <w:tc>
          <w:tcPr>
            <w:tcW w:w="1760"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满意</w:t>
            </w:r>
          </w:p>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度指标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满意度</w:t>
            </w:r>
          </w:p>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394"/>
              </w:tabs>
              <w:spacing w:line="320" w:lineRule="exact"/>
              <w:jc w:val="left"/>
              <w:textAlignment w:val="bottom"/>
              <w:rPr>
                <w:rFonts w:ascii="仿宋_GB2312" w:hAnsi="仿宋_GB2312" w:eastAsia="仿宋_GB2312" w:cs="仿宋_GB2312"/>
                <w:szCs w:val="21"/>
              </w:rPr>
            </w:pPr>
            <w:r>
              <w:rPr>
                <w:rFonts w:hint="eastAsia" w:ascii="仿宋_GB2312" w:hAnsi="仿宋_GB2312" w:eastAsia="仿宋_GB2312" w:cs="仿宋_GB2312"/>
                <w:szCs w:val="21"/>
              </w:rPr>
              <w:t>地灾周边群众满意度</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100%</w:t>
            </w:r>
          </w:p>
        </w:tc>
      </w:tr>
    </w:tbl>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pStyle w:val="26"/>
        <w:rPr>
          <w:rFonts w:ascii="黑体" w:hAnsi="黑体" w:eastAsia="黑体"/>
          <w:color w:val="auto"/>
          <w:sz w:val="44"/>
          <w:szCs w:val="44"/>
        </w:rPr>
      </w:pPr>
    </w:p>
    <w:p>
      <w:pPr>
        <w:pStyle w:val="26"/>
        <w:rPr>
          <w:rFonts w:ascii="黑体" w:hAnsi="黑体" w:eastAsia="黑体"/>
          <w:color w:val="auto"/>
          <w:sz w:val="44"/>
          <w:szCs w:val="44"/>
        </w:rPr>
      </w:pPr>
    </w:p>
    <w:p>
      <w:pPr>
        <w:pStyle w:val="26"/>
        <w:rPr>
          <w:rFonts w:ascii="黑体" w:hAnsi="黑体" w:eastAsia="黑体"/>
          <w:color w:val="auto"/>
          <w:sz w:val="44"/>
          <w:szCs w:val="44"/>
        </w:rPr>
      </w:pPr>
    </w:p>
    <w:p>
      <w:pPr>
        <w:pStyle w:val="26"/>
        <w:rPr>
          <w:rFonts w:ascii="黑体" w:hAnsi="黑体" w:eastAsia="黑体"/>
          <w:color w:val="auto"/>
          <w:sz w:val="44"/>
          <w:szCs w:val="44"/>
        </w:rPr>
      </w:pPr>
    </w:p>
    <w:p>
      <w:pPr>
        <w:pStyle w:val="26"/>
        <w:rPr>
          <w:rFonts w:ascii="黑体" w:hAnsi="黑体" w:eastAsia="黑体"/>
          <w:color w:val="auto"/>
          <w:sz w:val="44"/>
          <w:szCs w:val="44"/>
        </w:rPr>
      </w:pPr>
    </w:p>
    <w:p>
      <w:pPr>
        <w:pStyle w:val="26"/>
        <w:rPr>
          <w:rFonts w:ascii="黑体" w:hAnsi="黑体" w:eastAsia="黑体"/>
          <w:color w:val="auto"/>
          <w:sz w:val="44"/>
          <w:szCs w:val="44"/>
        </w:rPr>
      </w:pPr>
    </w:p>
    <w:p>
      <w:pPr>
        <w:pStyle w:val="26"/>
        <w:rPr>
          <w:rFonts w:ascii="黑体" w:hAnsi="黑体" w:eastAsia="黑体"/>
          <w:color w:val="auto"/>
          <w:sz w:val="44"/>
          <w:szCs w:val="44"/>
        </w:rPr>
      </w:pPr>
    </w:p>
    <w:p>
      <w:pPr>
        <w:pStyle w:val="26"/>
        <w:rPr>
          <w:rFonts w:ascii="黑体" w:hAnsi="黑体" w:eastAsia="黑体"/>
          <w:color w:val="auto"/>
          <w:sz w:val="44"/>
          <w:szCs w:val="44"/>
        </w:rPr>
      </w:pPr>
    </w:p>
    <w:p>
      <w:pPr>
        <w:pStyle w:val="26"/>
        <w:rPr>
          <w:rFonts w:ascii="黑体" w:hAnsi="黑体" w:eastAsia="黑体"/>
          <w:color w:val="auto"/>
          <w:sz w:val="44"/>
          <w:szCs w:val="44"/>
        </w:rPr>
      </w:pPr>
    </w:p>
    <w:p>
      <w:pPr>
        <w:pStyle w:val="26"/>
        <w:rPr>
          <w:rFonts w:ascii="黑体" w:hAnsi="黑体" w:eastAsia="黑体"/>
          <w:color w:val="auto"/>
          <w:sz w:val="44"/>
          <w:szCs w:val="44"/>
        </w:rPr>
      </w:pPr>
    </w:p>
    <w:p>
      <w:pPr>
        <w:spacing w:line="600" w:lineRule="exact"/>
        <w:jc w:val="center"/>
        <w:outlineLvl w:val="0"/>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17"/>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18"/>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18"/>
          <w:rFonts w:hint="eastAsia" w:ascii="仿宋" w:hAnsi="仿宋" w:eastAsia="仿宋"/>
          <w:b w:val="0"/>
          <w:bCs w:val="0"/>
        </w:rPr>
        <w:t>入决算表</w:t>
      </w:r>
      <w:bookmarkEnd w:id="55"/>
    </w:p>
    <w:p>
      <w:pPr>
        <w:pStyle w:val="4"/>
        <w:rPr>
          <w:rFonts w:ascii="仿宋" w:hAnsi="仿宋" w:eastAsia="仿宋"/>
        </w:rPr>
      </w:pPr>
      <w:bookmarkStart w:id="56" w:name="_Toc15396621"/>
      <w:r>
        <w:rPr>
          <w:rStyle w:val="18"/>
          <w:rFonts w:hint="eastAsia" w:ascii="仿宋" w:hAnsi="仿宋" w:eastAsia="仿宋"/>
          <w:b w:val="0"/>
          <w:bCs w:val="0"/>
        </w:rPr>
        <w:t>三、</w:t>
      </w:r>
      <w:r>
        <w:rPr>
          <w:rFonts w:hint="eastAsia" w:ascii="仿宋" w:hAnsi="仿宋" w:eastAsia="仿宋"/>
          <w:b w:val="0"/>
        </w:rPr>
        <w:t>支</w:t>
      </w:r>
      <w:r>
        <w:rPr>
          <w:rStyle w:val="18"/>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18"/>
          <w:rFonts w:hint="eastAsia" w:ascii="仿宋" w:hAnsi="仿宋" w:eastAsia="仿宋"/>
          <w:b w:val="0"/>
          <w:bCs w:val="0"/>
        </w:rPr>
        <w:t>四、</w:t>
      </w:r>
      <w:r>
        <w:rPr>
          <w:rFonts w:hint="eastAsia" w:ascii="仿宋" w:hAnsi="仿宋" w:eastAsia="仿宋"/>
          <w:b w:val="0"/>
        </w:rPr>
        <w:t>财</w:t>
      </w:r>
      <w:r>
        <w:rPr>
          <w:rStyle w:val="18"/>
          <w:rFonts w:hint="eastAsia" w:ascii="仿宋" w:hAnsi="仿宋" w:eastAsia="仿宋"/>
          <w:b w:val="0"/>
          <w:bCs w:val="0"/>
        </w:rPr>
        <w:t>政拨款收入支出决算总表</w:t>
      </w:r>
      <w:bookmarkEnd w:id="57"/>
    </w:p>
    <w:p>
      <w:pPr>
        <w:pStyle w:val="4"/>
        <w:rPr>
          <w:rStyle w:val="18"/>
          <w:rFonts w:ascii="仿宋" w:hAnsi="仿宋" w:eastAsia="仿宋"/>
          <w:b w:val="0"/>
          <w:bCs w:val="0"/>
        </w:rPr>
      </w:pPr>
      <w:bookmarkStart w:id="58" w:name="_Toc15396623"/>
      <w:r>
        <w:rPr>
          <w:rStyle w:val="18"/>
          <w:rFonts w:hint="eastAsia" w:ascii="仿宋" w:hAnsi="仿宋" w:eastAsia="仿宋"/>
          <w:b w:val="0"/>
          <w:bCs w:val="0"/>
        </w:rPr>
        <w:t>五、</w:t>
      </w:r>
      <w:r>
        <w:rPr>
          <w:rFonts w:hint="eastAsia" w:ascii="仿宋" w:hAnsi="仿宋" w:eastAsia="仿宋"/>
          <w:b w:val="0"/>
        </w:rPr>
        <w:t>财</w:t>
      </w:r>
      <w:r>
        <w:rPr>
          <w:rStyle w:val="18"/>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18"/>
          <w:rFonts w:hint="eastAsia" w:ascii="仿宋" w:hAnsi="仿宋" w:eastAsia="仿宋"/>
          <w:b w:val="0"/>
          <w:bCs w:val="0"/>
        </w:rPr>
        <w:t>六、</w:t>
      </w:r>
      <w:r>
        <w:rPr>
          <w:rFonts w:hint="eastAsia" w:ascii="仿宋" w:hAnsi="仿宋" w:eastAsia="仿宋"/>
          <w:b w:val="0"/>
        </w:rPr>
        <w:t>一</w:t>
      </w:r>
      <w:r>
        <w:rPr>
          <w:rStyle w:val="18"/>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18"/>
          <w:rFonts w:hint="eastAsia" w:ascii="仿宋" w:hAnsi="仿宋" w:eastAsia="仿宋"/>
          <w:b w:val="0"/>
          <w:bCs w:val="0"/>
        </w:rPr>
        <w:t>七、</w:t>
      </w:r>
      <w:r>
        <w:rPr>
          <w:rFonts w:hint="eastAsia" w:ascii="仿宋" w:hAnsi="仿宋" w:eastAsia="仿宋"/>
          <w:b w:val="0"/>
        </w:rPr>
        <w:t>一</w:t>
      </w:r>
      <w:r>
        <w:rPr>
          <w:rStyle w:val="18"/>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18"/>
          <w:rFonts w:hint="eastAsia" w:ascii="仿宋" w:hAnsi="仿宋" w:eastAsia="仿宋"/>
          <w:b w:val="0"/>
          <w:bCs w:val="0"/>
        </w:rPr>
        <w:t>八、</w:t>
      </w:r>
      <w:r>
        <w:rPr>
          <w:rFonts w:hint="eastAsia" w:ascii="仿宋" w:hAnsi="仿宋" w:eastAsia="仿宋"/>
          <w:b w:val="0"/>
        </w:rPr>
        <w:t>一</w:t>
      </w:r>
      <w:r>
        <w:rPr>
          <w:rStyle w:val="18"/>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18"/>
          <w:rFonts w:hint="eastAsia" w:ascii="仿宋" w:hAnsi="仿宋" w:eastAsia="仿宋"/>
          <w:b w:val="0"/>
          <w:bCs w:val="0"/>
        </w:rPr>
        <w:t>九、</w:t>
      </w:r>
      <w:r>
        <w:rPr>
          <w:rFonts w:hint="eastAsia" w:ascii="仿宋" w:hAnsi="仿宋" w:eastAsia="仿宋"/>
          <w:b w:val="0"/>
        </w:rPr>
        <w:t>一</w:t>
      </w:r>
      <w:r>
        <w:rPr>
          <w:rStyle w:val="18"/>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18"/>
          <w:rFonts w:hint="eastAsia" w:ascii="仿宋" w:hAnsi="仿宋" w:eastAsia="仿宋"/>
          <w:b w:val="0"/>
          <w:bCs w:val="0"/>
        </w:rPr>
        <w:t>十、</w:t>
      </w:r>
      <w:r>
        <w:rPr>
          <w:rFonts w:hint="eastAsia" w:ascii="仿宋" w:hAnsi="仿宋" w:eastAsia="仿宋"/>
          <w:b w:val="0"/>
        </w:rPr>
        <w:t>一</w:t>
      </w:r>
      <w:r>
        <w:rPr>
          <w:rStyle w:val="18"/>
          <w:rFonts w:hint="eastAsia" w:ascii="仿宋" w:hAnsi="仿宋" w:eastAsia="仿宋"/>
          <w:b w:val="0"/>
          <w:bCs w:val="0"/>
        </w:rPr>
        <w:t>般公共预算财政拨款“三公”经费支出决算表</w:t>
      </w:r>
      <w:bookmarkEnd w:id="63"/>
    </w:p>
    <w:p>
      <w:pPr>
        <w:pStyle w:val="4"/>
        <w:rPr>
          <w:rFonts w:ascii="仿宋" w:hAnsi="仿宋" w:eastAsia="仿宋"/>
        </w:rPr>
      </w:pPr>
      <w:bookmarkStart w:id="64" w:name="_Toc15396629"/>
      <w:r>
        <w:rPr>
          <w:rStyle w:val="18"/>
          <w:rFonts w:hint="eastAsia" w:ascii="仿宋" w:hAnsi="仿宋" w:eastAsia="仿宋"/>
          <w:b w:val="0"/>
          <w:bCs w:val="0"/>
        </w:rPr>
        <w:t>十一、</w:t>
      </w:r>
      <w:r>
        <w:rPr>
          <w:rFonts w:hint="eastAsia" w:ascii="仿宋" w:hAnsi="仿宋" w:eastAsia="仿宋"/>
          <w:b w:val="0"/>
        </w:rPr>
        <w:t>政</w:t>
      </w:r>
      <w:r>
        <w:rPr>
          <w:rStyle w:val="18"/>
          <w:rFonts w:hint="eastAsia" w:ascii="仿宋" w:hAnsi="仿宋" w:eastAsia="仿宋"/>
          <w:b w:val="0"/>
          <w:bCs w:val="0"/>
        </w:rPr>
        <w:t>府性基金预算财政拨款收入支出决算表</w:t>
      </w:r>
      <w:bookmarkEnd w:id="64"/>
    </w:p>
    <w:p>
      <w:pPr>
        <w:pStyle w:val="4"/>
        <w:rPr>
          <w:rFonts w:ascii="仿宋" w:hAnsi="仿宋" w:eastAsia="仿宋"/>
        </w:rPr>
      </w:pPr>
      <w:bookmarkStart w:id="65" w:name="_Toc15396630"/>
      <w:r>
        <w:rPr>
          <w:rStyle w:val="18"/>
          <w:rFonts w:hint="eastAsia" w:ascii="仿宋" w:hAnsi="仿宋" w:eastAsia="仿宋"/>
          <w:b w:val="0"/>
          <w:bCs w:val="0"/>
        </w:rPr>
        <w:t>十二、</w:t>
      </w:r>
      <w:r>
        <w:rPr>
          <w:rFonts w:hint="eastAsia" w:ascii="仿宋" w:hAnsi="仿宋" w:eastAsia="仿宋"/>
          <w:b w:val="0"/>
        </w:rPr>
        <w:t>政</w:t>
      </w:r>
      <w:r>
        <w:rPr>
          <w:rStyle w:val="18"/>
          <w:rFonts w:hint="eastAsia" w:ascii="仿宋" w:hAnsi="仿宋" w:eastAsia="仿宋"/>
          <w:b w:val="0"/>
          <w:bCs w:val="0"/>
        </w:rPr>
        <w:t>府性基金预算财政拨款“三公”经费支出决算表</w:t>
      </w:r>
      <w:bookmarkEnd w:id="65"/>
    </w:p>
    <w:p>
      <w:pPr>
        <w:pStyle w:val="4"/>
        <w:rPr>
          <w:rStyle w:val="18"/>
          <w:rFonts w:ascii="仿宋" w:hAnsi="仿宋" w:eastAsia="仿宋"/>
          <w:b w:val="0"/>
          <w:bCs w:val="0"/>
        </w:rPr>
      </w:pPr>
      <w:bookmarkStart w:id="66" w:name="_Toc15396631"/>
      <w:r>
        <w:rPr>
          <w:rStyle w:val="18"/>
          <w:rFonts w:hint="eastAsia" w:ascii="仿宋" w:hAnsi="仿宋" w:eastAsia="仿宋"/>
          <w:b w:val="0"/>
          <w:bCs w:val="0"/>
        </w:rPr>
        <w:t>十三、</w:t>
      </w:r>
      <w:r>
        <w:rPr>
          <w:rFonts w:hint="eastAsia" w:ascii="仿宋" w:hAnsi="仿宋" w:eastAsia="仿宋"/>
          <w:b w:val="0"/>
        </w:rPr>
        <w:t>国</w:t>
      </w:r>
      <w:r>
        <w:rPr>
          <w:rStyle w:val="18"/>
          <w:rFonts w:hint="eastAsia" w:ascii="仿宋" w:hAnsi="仿宋" w:eastAsia="仿宋"/>
          <w:b w:val="0"/>
          <w:bCs w:val="0"/>
        </w:rPr>
        <w:t>有资本经营预算财政拨款收入支出决算表</w:t>
      </w:r>
      <w:bookmarkEnd w:id="66"/>
    </w:p>
    <w:p>
      <w:pPr>
        <w:rPr>
          <w:rFonts w:eastAsia="仿宋"/>
        </w:rPr>
      </w:pPr>
      <w:r>
        <w:rPr>
          <w:rStyle w:val="18"/>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2"/>
          <w:jc w:val="center"/>
        </w:pPr>
        <w:r>
          <w:fldChar w:fldCharType="begin"/>
        </w:r>
        <w:r>
          <w:instrText xml:space="preserve">PAGE   \* MERGEFORMAT</w:instrText>
        </w:r>
        <w:r>
          <w:fldChar w:fldCharType="separate"/>
        </w:r>
        <w:r>
          <w:rPr>
            <w:lang w:val="zh-CN"/>
          </w:rPr>
          <w:t>19</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4A064FF"/>
    <w:multiLevelType w:val="singleLevel"/>
    <w:tmpl w:val="74A064FF"/>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050"/>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0EAF"/>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347E2"/>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436F"/>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58D6"/>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3BB0"/>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0CDF"/>
    <w:rsid w:val="00F602DF"/>
    <w:rsid w:val="00F754A1"/>
    <w:rsid w:val="00F81FD9"/>
    <w:rsid w:val="00F841AA"/>
    <w:rsid w:val="00F84A94"/>
    <w:rsid w:val="00F87E96"/>
    <w:rsid w:val="00FA23E8"/>
    <w:rsid w:val="00FD3CC1"/>
    <w:rsid w:val="00FF1E02"/>
    <w:rsid w:val="00FF30B4"/>
    <w:rsid w:val="013E50E2"/>
    <w:rsid w:val="02C46466"/>
    <w:rsid w:val="0A2032A3"/>
    <w:rsid w:val="0B8A37D8"/>
    <w:rsid w:val="10154878"/>
    <w:rsid w:val="10C055FF"/>
    <w:rsid w:val="118107EC"/>
    <w:rsid w:val="11DD6519"/>
    <w:rsid w:val="16321CA0"/>
    <w:rsid w:val="16BB723D"/>
    <w:rsid w:val="17297CE3"/>
    <w:rsid w:val="18015F3F"/>
    <w:rsid w:val="188F365D"/>
    <w:rsid w:val="197A7DA1"/>
    <w:rsid w:val="1BA97497"/>
    <w:rsid w:val="1BE8440E"/>
    <w:rsid w:val="1CCE660E"/>
    <w:rsid w:val="1D155CEE"/>
    <w:rsid w:val="20F57F95"/>
    <w:rsid w:val="240371BF"/>
    <w:rsid w:val="243279D1"/>
    <w:rsid w:val="25770175"/>
    <w:rsid w:val="25C741E6"/>
    <w:rsid w:val="27842671"/>
    <w:rsid w:val="29FD04D3"/>
    <w:rsid w:val="29FD282F"/>
    <w:rsid w:val="2ABE7A3E"/>
    <w:rsid w:val="2D6009A2"/>
    <w:rsid w:val="2EFA178C"/>
    <w:rsid w:val="30B46D73"/>
    <w:rsid w:val="31322DBE"/>
    <w:rsid w:val="317F000C"/>
    <w:rsid w:val="319F7F4E"/>
    <w:rsid w:val="3434719C"/>
    <w:rsid w:val="386A72E1"/>
    <w:rsid w:val="399F434D"/>
    <w:rsid w:val="39AE70AB"/>
    <w:rsid w:val="3B0F2544"/>
    <w:rsid w:val="3B586984"/>
    <w:rsid w:val="3C0C0783"/>
    <w:rsid w:val="3F795B0E"/>
    <w:rsid w:val="3F9F3A96"/>
    <w:rsid w:val="401F7E48"/>
    <w:rsid w:val="40350D30"/>
    <w:rsid w:val="41215ADF"/>
    <w:rsid w:val="41876D06"/>
    <w:rsid w:val="491C608F"/>
    <w:rsid w:val="493C27E9"/>
    <w:rsid w:val="496F39ED"/>
    <w:rsid w:val="49FF41D3"/>
    <w:rsid w:val="4A185DC8"/>
    <w:rsid w:val="4BE068DB"/>
    <w:rsid w:val="4BF6002B"/>
    <w:rsid w:val="4C7D77B7"/>
    <w:rsid w:val="4ECE2238"/>
    <w:rsid w:val="4F0B3776"/>
    <w:rsid w:val="50903205"/>
    <w:rsid w:val="5196408D"/>
    <w:rsid w:val="51DB4B86"/>
    <w:rsid w:val="51F55903"/>
    <w:rsid w:val="54406A2F"/>
    <w:rsid w:val="55333C3E"/>
    <w:rsid w:val="591B75C2"/>
    <w:rsid w:val="61D45C65"/>
    <w:rsid w:val="64CA39A1"/>
    <w:rsid w:val="68A6351C"/>
    <w:rsid w:val="6C4A05C8"/>
    <w:rsid w:val="6D195FA7"/>
    <w:rsid w:val="6F722E40"/>
    <w:rsid w:val="72734D90"/>
    <w:rsid w:val="78FB5F09"/>
    <w:rsid w:val="79AE02B1"/>
    <w:rsid w:val="79E7B28D"/>
    <w:rsid w:val="7A6F97CB"/>
    <w:rsid w:val="7C775BAB"/>
    <w:rsid w:val="7F9F20EE"/>
    <w:rsid w:val="7FE231CE"/>
    <w:rsid w:val="9E3A10E2"/>
    <w:rsid w:val="A9DFE2C9"/>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标题 1 Char"/>
    <w:basedOn w:val="14"/>
    <w:link w:val="3"/>
    <w:qFormat/>
    <w:uiPriority w:val="9"/>
    <w:rPr>
      <w:rFonts w:ascii="Times New Roman" w:hAnsi="Times New Roman"/>
      <w:b/>
      <w:bCs/>
      <w:kern w:val="44"/>
      <w:sz w:val="44"/>
      <w:szCs w:val="44"/>
    </w:rPr>
  </w:style>
  <w:style w:type="character" w:customStyle="1" w:styleId="18">
    <w:name w:val="标题 2 Char"/>
    <w:basedOn w:val="14"/>
    <w:link w:val="4"/>
    <w:qFormat/>
    <w:uiPriority w:val="9"/>
    <w:rPr>
      <w:rFonts w:asciiTheme="majorHAnsi" w:hAnsiTheme="majorHAnsi" w:eastAsiaTheme="majorEastAsia" w:cstheme="majorBidi"/>
      <w:b/>
      <w:bCs/>
      <w:kern w:val="2"/>
      <w:sz w:val="32"/>
      <w:szCs w:val="32"/>
    </w:rPr>
  </w:style>
  <w:style w:type="character" w:customStyle="1" w:styleId="19">
    <w:name w:val="标题 3 Char"/>
    <w:basedOn w:val="14"/>
    <w:link w:val="5"/>
    <w:qFormat/>
    <w:uiPriority w:val="9"/>
    <w:rPr>
      <w:rFonts w:ascii="Times New Roman" w:hAnsi="Times New Roman"/>
      <w:b/>
      <w:bCs/>
      <w:kern w:val="2"/>
      <w:sz w:val="32"/>
      <w:szCs w:val="32"/>
    </w:rPr>
  </w:style>
  <w:style w:type="character" w:customStyle="1" w:styleId="20">
    <w:name w:val="Header Char"/>
    <w:basedOn w:val="14"/>
    <w:semiHidden/>
    <w:qFormat/>
    <w:uiPriority w:val="99"/>
    <w:rPr>
      <w:rFonts w:ascii="Times New Roman" w:hAnsi="Times New Roman"/>
      <w:sz w:val="18"/>
      <w:szCs w:val="18"/>
    </w:rPr>
  </w:style>
  <w:style w:type="character" w:customStyle="1" w:styleId="21">
    <w:name w:val="页眉 Char"/>
    <w:link w:val="9"/>
    <w:semiHidden/>
    <w:qFormat/>
    <w:locked/>
    <w:uiPriority w:val="99"/>
    <w:rPr>
      <w:sz w:val="18"/>
    </w:rPr>
  </w:style>
  <w:style w:type="character" w:customStyle="1" w:styleId="22">
    <w:name w:val="Footer Char"/>
    <w:basedOn w:val="14"/>
    <w:semiHidden/>
    <w:qFormat/>
    <w:uiPriority w:val="99"/>
    <w:rPr>
      <w:rFonts w:ascii="Times New Roman" w:hAnsi="Times New Roman"/>
      <w:sz w:val="18"/>
      <w:szCs w:val="18"/>
    </w:rPr>
  </w:style>
  <w:style w:type="character" w:customStyle="1" w:styleId="23">
    <w:name w:val="页脚 Char"/>
    <w:link w:val="2"/>
    <w:qFormat/>
    <w:locked/>
    <w:uiPriority w:val="99"/>
    <w:rPr>
      <w:sz w:val="18"/>
    </w:rPr>
  </w:style>
  <w:style w:type="character" w:customStyle="1" w:styleId="24">
    <w:name w:val="Body Text Char"/>
    <w:basedOn w:val="14"/>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0632218024824609"/>
          <c:y val="0.1232779587405"/>
          <c:w val="0.85355"/>
          <c:h val="0.709566666666667"/>
        </c:manualLayout>
      </c:layout>
      <c:barChart>
        <c:barDir val="col"/>
        <c:grouping val="clustered"/>
        <c:varyColors val="false"/>
        <c:ser>
          <c:idx val="0"/>
          <c:order val="0"/>
          <c:tx>
            <c:strRef>
              <c:f>Sheet1!$B$1</c:f>
              <c:strCache>
                <c:ptCount val="1"/>
                <c:pt idx="0">
                  <c:v>收、支决算总计变动情况图（单位：万元）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2020年度支总计</c:v>
                </c:pt>
                <c:pt idx="1">
                  <c:v>2021年度收、支总计</c:v>
                </c:pt>
              </c:strCache>
            </c:strRef>
          </c:cat>
          <c:val>
            <c:numRef>
              <c:f>Sheet1!$B$2:$B$3</c:f>
              <c:numCache>
                <c:formatCode>General</c:formatCode>
                <c:ptCount val="2"/>
                <c:pt idx="0">
                  <c:v>737.05</c:v>
                </c:pt>
                <c:pt idx="1">
                  <c:v>526.76</c:v>
                </c:pt>
              </c:numCache>
            </c:numRef>
          </c:val>
        </c:ser>
        <c:dLbls>
          <c:showLegendKey val="false"/>
          <c:showVal val="false"/>
          <c:showCatName val="false"/>
          <c:showSerName val="false"/>
          <c:showPercent val="false"/>
          <c:showBubbleSize val="false"/>
        </c:dLbls>
        <c:gapWidth val="219"/>
        <c:overlap val="-27"/>
        <c:axId val="213112008"/>
        <c:axId val="213112400"/>
      </c:barChart>
      <c:catAx>
        <c:axId val="213112008"/>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3112400"/>
        <c:crosses val="autoZero"/>
        <c:auto val="true"/>
        <c:lblAlgn val="ctr"/>
        <c:lblOffset val="100"/>
        <c:noMultiLvlLbl val="false"/>
      </c:catAx>
      <c:valAx>
        <c:axId val="21311240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3112008"/>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收入决算结构图</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392.25</c:v>
                </c:pt>
                <c:pt idx="1">
                  <c:v>0.02</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2869375"/>
          <c:y val="0.922666666666667"/>
        </c:manualLayout>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支出决算结构图</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180.73</c:v>
                </c:pt>
                <c:pt idx="1">
                  <c:v>155.3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4106201864613"/>
          <c:y val="0.023231031543052"/>
        </c:manualLayout>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财政拨款收、支决算总计变动情况（单位：万元）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2020年财政拨款收、支总计</c:v>
                </c:pt>
                <c:pt idx="1">
                  <c:v>2021年财政拨款收、支总计</c:v>
                </c:pt>
              </c:strCache>
            </c:strRef>
          </c:cat>
          <c:val>
            <c:numRef>
              <c:f>Sheet1!$B$2:$B$3</c:f>
              <c:numCache>
                <c:formatCode>General</c:formatCode>
                <c:ptCount val="2"/>
                <c:pt idx="0">
                  <c:v>698.35</c:v>
                </c:pt>
                <c:pt idx="1">
                  <c:v>510.84</c:v>
                </c:pt>
              </c:numCache>
            </c:numRef>
          </c:val>
        </c:ser>
        <c:dLbls>
          <c:showLegendKey val="false"/>
          <c:showVal val="false"/>
          <c:showCatName val="false"/>
          <c:showSerName val="false"/>
          <c:showPercent val="false"/>
          <c:showBubbleSize val="false"/>
        </c:dLbls>
        <c:gapWidth val="219"/>
        <c:overlap val="-27"/>
        <c:axId val="294736912"/>
        <c:axId val="294737304"/>
      </c:barChart>
      <c:catAx>
        <c:axId val="294736912"/>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4737304"/>
        <c:crosses val="autoZero"/>
        <c:auto val="true"/>
        <c:lblAlgn val="ctr"/>
        <c:lblOffset val="100"/>
        <c:noMultiLvlLbl val="false"/>
      </c:catAx>
      <c:valAx>
        <c:axId val="29473730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4736912"/>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一般公共预算财政拨款支出决算变动情况（单位：万元）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General</c:formatCode>
                <c:ptCount val="2"/>
                <c:pt idx="0">
                  <c:v>579.78</c:v>
                </c:pt>
                <c:pt idx="1">
                  <c:v>336.04</c:v>
                </c:pt>
              </c:numCache>
            </c:numRef>
          </c:val>
        </c:ser>
        <c:dLbls>
          <c:showLegendKey val="false"/>
          <c:showVal val="false"/>
          <c:showCatName val="false"/>
          <c:showSerName val="false"/>
          <c:showPercent val="false"/>
          <c:showBubbleSize val="false"/>
        </c:dLbls>
        <c:gapWidth val="219"/>
        <c:overlap val="-27"/>
        <c:axId val="213090680"/>
        <c:axId val="213091072"/>
      </c:barChart>
      <c:catAx>
        <c:axId val="213090680"/>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3091072"/>
        <c:crosses val="autoZero"/>
        <c:auto val="true"/>
        <c:lblAlgn val="ctr"/>
        <c:lblOffset val="100"/>
        <c:noMultiLvlLbl val="false"/>
      </c:catAx>
      <c:valAx>
        <c:axId val="21309107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3090680"/>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Sheet1!$A$2:$A$6</c:f>
              <c:strCache>
                <c:ptCount val="5"/>
                <c:pt idx="0">
                  <c:v>社会保障和就业（类）支出</c:v>
                </c:pt>
                <c:pt idx="1">
                  <c:v>卫生健康支出</c:v>
                </c:pt>
                <c:pt idx="2">
                  <c:v>自然资源海洋气象等支出</c:v>
                </c:pt>
                <c:pt idx="3">
                  <c:v>住房保障支出</c:v>
                </c:pt>
                <c:pt idx="4">
                  <c:v>灾害防治及应急管理支出</c:v>
                </c:pt>
              </c:strCache>
            </c:strRef>
          </c:cat>
          <c:val>
            <c:numRef>
              <c:f>Sheet1!$B$2:$B$6</c:f>
              <c:numCache>
                <c:formatCode>General</c:formatCode>
                <c:ptCount val="5"/>
                <c:pt idx="0">
                  <c:v>15.45</c:v>
                </c:pt>
                <c:pt idx="1">
                  <c:v>6.6</c:v>
                </c:pt>
                <c:pt idx="2">
                  <c:v>176.55</c:v>
                </c:pt>
                <c:pt idx="3">
                  <c:v>22.13</c:v>
                </c:pt>
                <c:pt idx="4">
                  <c:v>115.3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“三公”经费财政拨款支出结构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2"/>
              <c:layout>
                <c:manualLayout>
                  <c:x val="-0.0198217020798606"/>
                  <c:y val="0.0023617368675892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公务接待费支出决算</c:v>
                </c:pt>
              </c:strCache>
            </c:strRef>
          </c:cat>
          <c:val>
            <c:numRef>
              <c:f>Sheet1!$B$2:$B$4</c:f>
              <c:numCache>
                <c:formatCode>General</c:formatCode>
                <c:ptCount val="3"/>
                <c:pt idx="0">
                  <c:v>0</c:v>
                </c:pt>
                <c:pt idx="1">
                  <c:v>42.09</c:v>
                </c:pt>
                <c:pt idx="2">
                  <c:v>1.48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10155</Words>
  <Characters>10892</Characters>
  <Lines>80</Lines>
  <Paragraphs>22</Paragraphs>
  <TotalTime>7</TotalTime>
  <ScaleCrop>false</ScaleCrop>
  <LinksUpToDate>false</LinksUpToDate>
  <CharactersWithSpaces>10951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 </cp:lastModifiedBy>
  <cp:lastPrinted>2022-08-06T18:23:00Z</cp:lastPrinted>
  <dcterms:modified xsi:type="dcterms:W3CDTF">2023-09-13T10:48:08Z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