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96597"/>
      <w:bookmarkStart w:id="3" w:name="_Toc6567"/>
      <w:bookmarkStart w:id="4" w:name="_Toc15378441"/>
      <w:bookmarkStart w:id="5" w:name="_Toc15396475"/>
      <w:bookmarkStart w:id="6" w:name="_Toc15377193"/>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8442"/>
      <w:bookmarkStart w:id="8" w:name="_Toc15396476"/>
      <w:bookmarkStart w:id="9" w:name="_Toc15377426"/>
      <w:bookmarkStart w:id="10" w:name="_Toc15377194"/>
      <w:bookmarkStart w:id="11" w:name="_Toc15396598"/>
      <w:bookmarkStart w:id="12" w:name="_Toc17667"/>
      <w:r>
        <w:rPr>
          <w:rFonts w:hint="eastAsia" w:ascii="方正小标宋简体" w:hAnsi="方正小标宋简体" w:eastAsia="方正小标宋简体" w:cs="方正小标宋简体"/>
          <w:sz w:val="72"/>
          <w:szCs w:val="72"/>
        </w:rPr>
        <w:t>广元市</w:t>
      </w:r>
      <w:bookmarkEnd w:id="0"/>
      <w:bookmarkStart w:id="13" w:name="_Toc15306268"/>
      <w:r>
        <w:rPr>
          <w:rFonts w:hint="eastAsia" w:ascii="方正小标宋简体" w:hAnsi="方正小标宋简体" w:eastAsia="方正小标宋简体" w:cs="方正小标宋简体"/>
          <w:sz w:val="72"/>
          <w:szCs w:val="72"/>
        </w:rPr>
        <w:t>发展和改革委员会单位决算</w:t>
      </w:r>
      <w:bookmarkEnd w:id="7"/>
      <w:bookmarkEnd w:id="8"/>
      <w:bookmarkEnd w:id="9"/>
      <w:bookmarkEnd w:id="10"/>
      <w:bookmarkEnd w:id="11"/>
      <w:bookmarkEnd w:id="12"/>
      <w:bookmarkEnd w:id="13"/>
    </w:p>
    <w:p>
      <w:pPr>
        <w:widowControl/>
        <w:jc w:val="center"/>
        <w:rPr>
          <w:rFonts w:hint="eastAsia" w:ascii="方正小标宋简体" w:hAnsi="黑体" w:eastAsia="方正小标宋简体"/>
          <w:color w:val="000000"/>
          <w:sz w:val="44"/>
          <w:szCs w:val="44"/>
        </w:rPr>
      </w:pPr>
      <w:r>
        <w:rPr>
          <w:rFonts w:ascii="方正小标宋简体" w:hAnsi="宋体" w:eastAsia="方正小标宋简体"/>
          <w:sz w:val="36"/>
          <w:szCs w:val="36"/>
        </w:rPr>
        <w:br w:type="page"/>
      </w:r>
      <w:r>
        <w:rPr>
          <w:rFonts w:hint="eastAsia" w:ascii="方正小标宋简体" w:hAnsi="黑体" w:eastAsia="方正小标宋简体"/>
          <w:color w:val="000000"/>
          <w:sz w:val="44"/>
          <w:szCs w:val="44"/>
        </w:rPr>
        <w:t>目      录</w:t>
      </w:r>
    </w:p>
    <w:p>
      <w:pPr>
        <w:pStyle w:val="14"/>
        <w:tabs>
          <w:tab w:val="right" w:leader="dot" w:pos="8844"/>
          <w:tab w:val="clear" w:pos="8296"/>
        </w:tabs>
        <w:rPr>
          <w:rFonts w:hint="eastAsia"/>
          <w:lang w:val="en-US" w:eastAsia="zh-CN"/>
        </w:rPr>
      </w:pPr>
      <w:r>
        <w:rPr>
          <w:rFonts w:hint="eastAsia"/>
          <w:lang w:val="en-US" w:eastAsia="zh-CN"/>
        </w:rPr>
        <w:t>(公开时间2022年9月20日）</w:t>
      </w:r>
    </w:p>
    <w:p>
      <w:pPr>
        <w:pStyle w:val="14"/>
        <w:tabs>
          <w:tab w:val="right" w:leader="dot" w:pos="8306"/>
          <w:tab w:val="clear" w:pos="8296"/>
        </w:tabs>
      </w:pPr>
      <w:r>
        <w:rPr>
          <w:rFonts w:ascii="仿宋" w:hAnsi="仿宋" w:eastAsia="仿宋"/>
          <w:sz w:val="24"/>
        </w:rPr>
        <w:fldChar w:fldCharType="begin"/>
      </w:r>
      <w:r>
        <w:rPr>
          <w:rFonts w:ascii="仿宋" w:hAnsi="仿宋" w:eastAsia="仿宋"/>
          <w:sz w:val="24"/>
        </w:rPr>
        <w:instrText xml:space="preserve">TOC \o "1-2" \h \u </w:instrText>
      </w:r>
      <w:r>
        <w:rPr>
          <w:rFonts w:ascii="仿宋" w:hAnsi="仿宋" w:eastAsia="仿宋"/>
          <w:sz w:val="24"/>
        </w:rPr>
        <w:fldChar w:fldCharType="separate"/>
      </w:r>
    </w:p>
    <w:p>
      <w:pPr>
        <w:pStyle w:val="14"/>
        <w:tabs>
          <w:tab w:val="right" w:leader="dot" w:pos="8306"/>
          <w:tab w:val="clear" w:pos="8296"/>
        </w:tabs>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_Toc26498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第一部分 单位概况</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_Toc26498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4</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_Toc1727 </w:instrText>
      </w:r>
      <w:r>
        <w:rPr>
          <w:rFonts w:hint="eastAsia" w:ascii="仿宋_GB2312" w:hAnsi="Times New Roman" w:eastAsia="仿宋_GB2312" w:cs="Times New Roman"/>
          <w:kern w:val="2"/>
          <w:sz w:val="32"/>
          <w:szCs w:val="32"/>
          <w:lang w:val="en-US" w:eastAsia="zh-CN" w:bidi="ar-SA"/>
        </w:rPr>
        <w:fldChar w:fldCharType="separate"/>
      </w:r>
      <w:r>
        <w:rPr>
          <w:rFonts w:hint="default" w:ascii="仿宋_GB2312" w:hAnsi="Times New Roman" w:eastAsia="仿宋_GB2312" w:cs="Times New Roman"/>
          <w:kern w:val="2"/>
          <w:sz w:val="32"/>
          <w:szCs w:val="32"/>
          <w:lang w:val="en-US" w:eastAsia="zh-CN" w:bidi="ar-SA"/>
        </w:rPr>
        <w:t xml:space="preserve">一、 </w:t>
      </w:r>
      <w:r>
        <w:rPr>
          <w:rFonts w:hint="eastAsia" w:ascii="仿宋_GB2312" w:hAnsi="Times New Roman" w:eastAsia="仿宋_GB2312" w:cs="Times New Roman"/>
          <w:kern w:val="2"/>
          <w:sz w:val="32"/>
          <w:szCs w:val="32"/>
          <w:lang w:val="en-US" w:eastAsia="zh-CN" w:bidi="ar-SA"/>
        </w:rPr>
        <w:t>职能简介</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_Toc1727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4</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_Toc30605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二、2021年重点工作完成情况</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_Toc30605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9</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14"/>
        <w:tabs>
          <w:tab w:val="right" w:leader="dot" w:pos="8306"/>
          <w:tab w:val="clear" w:pos="8296"/>
        </w:tabs>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_Toc20867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第二部分 2021年度单位决算情况说明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_Toc20867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18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_Toc14000 </w:instrText>
      </w:r>
      <w:r>
        <w:rPr>
          <w:rFonts w:hint="eastAsia" w:ascii="仿宋_GB2312" w:hAnsi="Times New Roman" w:eastAsia="仿宋_GB2312" w:cs="Times New Roman"/>
          <w:kern w:val="2"/>
          <w:sz w:val="32"/>
          <w:szCs w:val="32"/>
          <w:lang w:val="en-US" w:eastAsia="zh-CN" w:bidi="ar-SA"/>
        </w:rPr>
        <w:fldChar w:fldCharType="separate"/>
      </w:r>
      <w:r>
        <w:rPr>
          <w:rFonts w:hint="default" w:ascii="仿宋_GB2312" w:hAnsi="Times New Roman" w:eastAsia="仿宋_GB2312" w:cs="Times New Roman"/>
          <w:kern w:val="2"/>
          <w:sz w:val="32"/>
          <w:szCs w:val="32"/>
          <w:lang w:val="en-US" w:eastAsia="zh-CN" w:bidi="ar-SA"/>
        </w:rPr>
        <w:t xml:space="preserve">一、 </w:t>
      </w:r>
      <w:r>
        <w:rPr>
          <w:rFonts w:hint="eastAsia" w:ascii="仿宋_GB2312" w:hAnsi="Times New Roman" w:eastAsia="仿宋_GB2312" w:cs="Times New Roman"/>
          <w:kern w:val="2"/>
          <w:sz w:val="32"/>
          <w:szCs w:val="32"/>
          <w:lang w:val="en-US" w:eastAsia="zh-CN" w:bidi="ar-SA"/>
        </w:rPr>
        <w:t>收入支出决算总体情况说明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_Toc14000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18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_Toc1387 </w:instrText>
      </w:r>
      <w:r>
        <w:rPr>
          <w:rFonts w:hint="eastAsia" w:ascii="仿宋_GB2312" w:hAnsi="Times New Roman" w:eastAsia="仿宋_GB2312" w:cs="Times New Roman"/>
          <w:kern w:val="2"/>
          <w:sz w:val="32"/>
          <w:szCs w:val="32"/>
          <w:lang w:val="en-US" w:eastAsia="zh-CN" w:bidi="ar-SA"/>
        </w:rPr>
        <w:fldChar w:fldCharType="separate"/>
      </w:r>
      <w:r>
        <w:rPr>
          <w:rFonts w:hint="default" w:ascii="仿宋_GB2312" w:hAnsi="Times New Roman" w:eastAsia="仿宋_GB2312" w:cs="Times New Roman"/>
          <w:kern w:val="2"/>
          <w:sz w:val="32"/>
          <w:szCs w:val="32"/>
          <w:lang w:val="en-US" w:eastAsia="zh-CN" w:bidi="ar-SA"/>
        </w:rPr>
        <w:t xml:space="preserve">二、 </w:t>
      </w:r>
      <w:r>
        <w:rPr>
          <w:rFonts w:hint="eastAsia" w:ascii="仿宋_GB2312" w:hAnsi="Times New Roman" w:eastAsia="仿宋_GB2312" w:cs="Times New Roman"/>
          <w:kern w:val="2"/>
          <w:sz w:val="32"/>
          <w:szCs w:val="32"/>
          <w:lang w:val="en-US" w:eastAsia="zh-CN" w:bidi="ar-SA"/>
        </w:rPr>
        <w:t>收入决算情况说明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_Toc1387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18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15"/>
        <w:tabs>
          <w:tab w:val="right" w:leader="dot" w:pos="8306"/>
          <w:tab w:val="clear" w:pos="8296"/>
        </w:tabs>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_Toc13872 </w:instrText>
      </w:r>
      <w:r>
        <w:rPr>
          <w:rFonts w:hint="eastAsia" w:ascii="仿宋_GB2312" w:hAnsi="Times New Roman" w:eastAsia="仿宋_GB2312" w:cs="Times New Roman"/>
          <w:kern w:val="2"/>
          <w:sz w:val="32"/>
          <w:szCs w:val="32"/>
          <w:lang w:val="en-US" w:eastAsia="zh-CN" w:bidi="ar-SA"/>
        </w:rPr>
        <w:fldChar w:fldCharType="separate"/>
      </w:r>
      <w:r>
        <w:rPr>
          <w:rFonts w:hint="default" w:ascii="仿宋_GB2312" w:hAnsi="Times New Roman" w:eastAsia="仿宋_GB2312" w:cs="Times New Roman"/>
          <w:kern w:val="2"/>
          <w:sz w:val="32"/>
          <w:szCs w:val="32"/>
          <w:lang w:val="en-US" w:eastAsia="zh-CN" w:bidi="ar-SA"/>
        </w:rPr>
        <w:t xml:space="preserve">三、 </w:t>
      </w:r>
      <w:r>
        <w:rPr>
          <w:rFonts w:hint="eastAsia" w:ascii="仿宋_GB2312" w:hAnsi="Times New Roman" w:eastAsia="仿宋_GB2312" w:cs="Times New Roman"/>
          <w:kern w:val="2"/>
          <w:sz w:val="32"/>
          <w:szCs w:val="32"/>
          <w:lang w:val="en-US" w:eastAsia="zh-CN" w:bidi="ar-SA"/>
        </w:rPr>
        <w:t>支出决算情况说明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_Toc13872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19</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_Toc20313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四、财政拨款收入支出决算总体情况说明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_Toc20313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19</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_Toc7061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五、一般公共预算财政拨款支出决算情况说明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_Toc7061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20</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_Toc16029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六、一般公共预算财政拨款基本支出决算情况说明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_Toc16029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24</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_Toc11199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七、“三公”经费财政拨款支出决算情况说明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_Toc11199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24</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_Toc22874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八、政府性基金预算支出决算情况说明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_Toc22874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26</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_Toc19059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九、 国有资本经营预算支出决算情况说明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_Toc19059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26</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_Toc16022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十、 预算绩效管理情况</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_Toc16022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27</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_Toc11350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十一、 其他重要事项的情况说明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_Toc11350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27</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14"/>
        <w:tabs>
          <w:tab w:val="right" w:leader="dot" w:pos="8306"/>
          <w:tab w:val="clear" w:pos="8296"/>
        </w:tabs>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_Toc25423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第三部分 名词解释</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_Toc25423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29</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14"/>
        <w:tabs>
          <w:tab w:val="right" w:leader="dot" w:pos="8306"/>
          <w:tab w:val="clear" w:pos="8296"/>
        </w:tabs>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_Toc25004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第四部分 附件</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_Toc25004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32</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14"/>
        <w:tabs>
          <w:tab w:val="right" w:leader="dot" w:pos="8306"/>
          <w:tab w:val="clear" w:pos="8296"/>
        </w:tabs>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_Toc20718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第五部分 附表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_Toc20718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58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_Toc1928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一、收入支出决算总表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_Toc1928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58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_Toc19525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二、收入决算表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_Toc19525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58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_Toc9055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三、支出决算表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_Toc9055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58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_Toc20818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四、财政拨款收入支出决算总表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_Toc20818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58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_Toc1058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五、财政拨款支出决算明细表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_Toc1058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58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_Toc29290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六、一般公共预算财政拨款支出决算表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_Toc29290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58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_Toc7509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七、一般公共预算财政拨款支出决算明细表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_Toc7509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58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_Toc23933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八、一般公共预算财政拨款基本支出决算表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_Toc23933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58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_Toc13246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九、一般公共预算财政拨款项目支出决算表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_Toc13246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58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_Toc8320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十、一般公共预算财政拨款“三公”经费支出决算表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_Toc8320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58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_Toc12444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十一、政府性基金预算财政拨款收入支出决算表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_Toc12444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58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_Toc20049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十二、政府性基金预算财政拨款“三公”经费支出决算表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_Toc20049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58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_Toc22409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十三、国有资本经营预算财政拨款收入支出决算表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_Toc22409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58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38"/>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_Toc28556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十四、国有资本经营预算财政拨款支出决算表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_Toc28556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58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widowControl/>
        <w:adjustRightInd w:val="0"/>
        <w:snapToGrid w:val="0"/>
        <w:spacing w:line="440" w:lineRule="exact"/>
        <w:ind w:firstLine="1155" w:firstLineChars="550"/>
        <w:jc w:val="left"/>
        <w:rPr>
          <w:rFonts w:ascii="仿宋" w:hAnsi="仿宋" w:eastAsia="仿宋"/>
          <w:sz w:val="24"/>
        </w:rPr>
      </w:pPr>
      <w:r>
        <w:rPr>
          <w:rFonts w:ascii="仿宋" w:hAnsi="仿宋" w:eastAsia="仿宋"/>
        </w:rPr>
        <w:fldChar w:fldCharType="end"/>
      </w:r>
    </w:p>
    <w:p>
      <w:pPr>
        <w:widowControl/>
        <w:spacing w:line="440" w:lineRule="exact"/>
        <w:jc w:val="left"/>
        <w:rPr>
          <w:rFonts w:ascii="仿宋" w:hAnsi="仿宋" w:eastAsia="仿宋"/>
          <w:bCs/>
          <w:kern w:val="44"/>
          <w:sz w:val="24"/>
        </w:rPr>
      </w:pPr>
      <w:bookmarkStart w:id="14" w:name="_Toc15396599"/>
      <w:bookmarkStart w:id="15" w:name="_Toc15377196"/>
      <w:r>
        <w:rPr>
          <w:rFonts w:ascii="仿宋" w:hAnsi="仿宋" w:eastAsia="仿宋"/>
          <w:b/>
          <w:sz w:val="24"/>
        </w:rPr>
        <w:br w:type="page"/>
      </w:r>
    </w:p>
    <w:p>
      <w:pPr>
        <w:pStyle w:val="3"/>
        <w:jc w:val="center"/>
        <w:rPr>
          <w:rStyle w:val="21"/>
          <w:rFonts w:ascii="黑体" w:hAnsi="黑体" w:eastAsia="黑体"/>
          <w:b/>
          <w:bCs w:val="0"/>
        </w:rPr>
      </w:pPr>
      <w:bookmarkStart w:id="16" w:name="_Toc26498"/>
      <w:r>
        <w:rPr>
          <w:rFonts w:hint="eastAsia" w:ascii="黑体" w:hAnsi="黑体" w:eastAsia="黑体"/>
          <w:b w:val="0"/>
        </w:rPr>
        <w:t>第一部分 单位</w:t>
      </w:r>
      <w:r>
        <w:rPr>
          <w:rStyle w:val="21"/>
          <w:rFonts w:hint="eastAsia" w:ascii="黑体" w:hAnsi="黑体" w:eastAsia="黑体"/>
          <w:b w:val="0"/>
          <w:bCs w:val="0"/>
        </w:rPr>
        <w:t>概况</w:t>
      </w:r>
      <w:bookmarkEnd w:id="14"/>
      <w:bookmarkEnd w:id="15"/>
      <w:bookmarkEnd w:id="16"/>
    </w:p>
    <w:p>
      <w:pPr>
        <w:widowControl/>
        <w:jc w:val="left"/>
        <w:rPr>
          <w:rFonts w:ascii="黑体" w:eastAsia="黑体"/>
          <w:sz w:val="32"/>
          <w:szCs w:val="32"/>
        </w:rPr>
      </w:pPr>
    </w:p>
    <w:p>
      <w:pPr>
        <w:pStyle w:val="4"/>
        <w:numPr>
          <w:ilvl w:val="0"/>
          <w:numId w:val="1"/>
        </w:numPr>
        <w:rPr>
          <w:rStyle w:val="22"/>
          <w:rFonts w:ascii="黑体" w:hAnsi="黑体" w:eastAsia="黑体"/>
          <w:b w:val="0"/>
          <w:bCs w:val="0"/>
        </w:rPr>
      </w:pPr>
      <w:bookmarkStart w:id="17" w:name="_Toc1727"/>
      <w:bookmarkStart w:id="18" w:name="_Toc15396600"/>
      <w:bookmarkStart w:id="19" w:name="_Toc15377197"/>
      <w:r>
        <w:rPr>
          <w:rStyle w:val="22"/>
          <w:rFonts w:hint="eastAsia" w:ascii="黑体" w:hAnsi="黑体" w:eastAsia="黑体"/>
          <w:b w:val="0"/>
          <w:bCs w:val="0"/>
        </w:rPr>
        <w:t>职能简介</w:t>
      </w:r>
      <w:bookmarkEnd w:id="17"/>
    </w:p>
    <w:p>
      <w:pPr>
        <w:spacing w:line="576" w:lineRule="exact"/>
        <w:ind w:firstLine="480" w:firstLineChars="150"/>
        <w:rPr>
          <w:rFonts w:ascii="仿宋_GB2312" w:eastAsia="仿宋_GB2312"/>
          <w:sz w:val="32"/>
          <w:szCs w:val="32"/>
        </w:rPr>
      </w:pPr>
      <w:r>
        <w:rPr>
          <w:rFonts w:hint="eastAsia" w:ascii="仿宋_GB2312" w:eastAsia="仿宋_GB2312"/>
          <w:sz w:val="32"/>
          <w:szCs w:val="32"/>
        </w:rPr>
        <w:t>1.贯彻实施国家有关国民经济和社会发展、经济体制改革、国家粮食流通和储备粮管理的方针、政策和法律、法规。拟订全市有关国民经济和社会发展、经济体制改革、粮食流通和储备粮管理的政策措施；拟订全市粮食流通体制改革方案并组织实施；提出发展现代粮食流通产业战略建议；负责本系统、本部门依法行政工作，落实行政执法责任制。</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负责拟订并组织实施全市国民经济和社会发展战略、中长期规划和年度计划，统筹协调全市经济社会发展，研究分析宏观经济形势，提出全市经济社会发展、经济结构优化、价格总水平调控目标和政策建议。受市政府委托向市人大提交国民经济和社会发展计划报告。</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3.负责监测宏观经济和社会发展态势，承担预测预警和信息引导的责任，研究宏观调控重大问题并提出政策建议，搞好总量平衡，综合协调经济社会发展中的重大问题。负责开发区的指导、协调和宏观管理。</w:t>
      </w:r>
    </w:p>
    <w:p>
      <w:pPr>
        <w:spacing w:line="576" w:lineRule="exact"/>
        <w:ind w:firstLine="480" w:firstLineChars="150"/>
        <w:rPr>
          <w:rFonts w:ascii="仿宋_GB2312" w:eastAsia="仿宋_GB2312"/>
          <w:sz w:val="32"/>
          <w:szCs w:val="32"/>
        </w:rPr>
      </w:pPr>
      <w:r>
        <w:rPr>
          <w:rFonts w:hint="eastAsia" w:ascii="仿宋_GB2312" w:eastAsia="仿宋_GB2312"/>
          <w:sz w:val="32"/>
          <w:szCs w:val="32"/>
        </w:rPr>
        <w:t>4.负责全市投资宏观管理。拟订全社会固定资产投资总规模和投资结构的调控目标、政策及措施，安排市级预算内基本建设资金，按规定权限审批、核准、备案或转报固定资产投资项目（企业技术改造项目除外）和资源开发利用、外资、境外投资项目。引导民间投资方向，研究提出利用外资和境外投资的规划、总量平衡和结构优化的目标和政策，指导和协调国外贷款项目实施。指导工程咨询业发展。</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5.推进经济结构战略性调整。组织拟订全市综合性产业政策，负责协调第一、二、三产业发展的重大问题，衔接平衡相关发展规划和重大政策，协调农业和农村经济社会发展的重大问题，衔接农村专项规划和政策。拟订重大产业发展规划，引导全市重大生产力合理布局，协调推进全市重大产业基地建设，会同有关部门拟订服务业、现代物流业发展战略、规划和重大政策。组织拟订高技术产业发展、产业技术进步的战略、规划和重大政策，指导全市自主创新体系建设发展。</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6.促进城乡区域协调发展。组织拟订区域协调发展战略、规划和重大政策，研究提出城镇发展战略和统筹城乡发展的重大政策，负责地区经济协作的统筹协调。</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7.负责重要商品的总量平衡和宏观调控。研究分析市内外市场和对外贸易运行情况，编制重要农产品、工业品和原材料进出口总量计划并监督计划执行；会同有关部门管理粮食、棉花等重要物资和商品的市级储备工作，提出重要商品市场、生产要素市场的总体布局和发展规划。</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8.负责汇总和分析全市财政、金融等方面的情况，参与制定财政、金融、土地政策，综合分析政策执行效果，负责全市全口径外债的总量控制、结构优化和监测工作，提出多渠道融资的政策建议，综合协调财政、金融、价格和产业政策等经济杠杆，保证全市国民经济和发展规划的实施。</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9.负责全市社会发展与国民经济发展的政策衔接。组织拟订社会发展战略、总体规划和年度计划，承担研究拟订和组织实施全市人口发展战略规划、中长期规划、年度计划及人口政策，参与拟订科学技术、教育、文化、卫生、民政等发展政策，推进社会事业建设。研究提出促进就业、调整收入分配、完善社会保障与经济协调发展的政策建议，协调社会事业发展和政策中的重大问题及政策。</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10.拟订全市能源发展战略、总体规划、行业规划和产业政策并组织实施，研究提出促进能源发展、提高能源保障、优化能源结构、推进能源节约的措施方法，拟订全市能源相关体制改革的实施方案。负责全市能源行业管理，协调全市能源建设的重大问题，指导能源科技进步工作，推广应用新产品、新技术、新设备。负责电动汽车充电设施发展的相关工作，根据电动汽车的发展规划和产业政策，牵头拟订电动汽车充电设施的发展规划和扶持政策。</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11.推进可持续发展，协调节能环保产业发展有关工作；组织拟订并协调实施全市发展循环经济、能源资源节约和综合利用规划及政策措施，参与编制生态环境建设，协调生态建设、能源资源节约和综合利用的重大问题，综合协调环保产业和清洁生产促进有关工作。贯彻执行国家和省有关低碳发展战略、方针和政策。</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12.会同有关部门拟订革命老区、贫困地区经济发展规划，会同有关部门制定加快革命老区、贫困地区经济发展的重大政策，协调推进重大项目建设，促进经济社会持续、稳定、协调发展。</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13.承担指导推进和综合协调全市经济体制改革的任务，研究经济体制改革和对外开放的重大问题，组织拟订综合性经济体制改革方案，协调有关专项经济体制改革方案，会同有关部门搞好重要专项经济体制改革之间的衔接，指导经济体制改革试点和改革试验区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14.贯彻实施国家和省价格法律、法规和方针、政策，编制和执行价格调整改革规划，提出年度价格总水平调控目标及价格调控措施并组织实施，管理国家、省、市列名管理的商品和服务价格，承担行政事业性收费管理工作，负责全市价格成本调查监审、价格监测、价格认证等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15.指导、协调并综合管理全市招标投标工作，按照职责权限对国家、省和市重大建设项目建设过程中的工程招标投标活动实施监督检查。</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16.负责组织编制全市国民经济动员与装备动员规划、计划，研究国民经济动员与装备动员和国民经济、国防建设的关系，协调相关重大问题，组织实施国民经济动员与装备动员有关工作。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17.负责全市粮食宏观调控具体工作，承担粮食预警监测和应急责任；提出全市粮食宏观调控、总量平衡以及粮食流通规划的建议；监督执行粮食最低收购价政策及临时收储政策；负责全市粮食余缺调剂，指导市内粮食销售工作；保障军队等政策性粮食的供应，提高全市粮食供应保障能力；组织指导全市粮食系统统计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18.承担市级储备粮行政管理责任，指导全市储备粮体系建设。提出地方储备粮总规模及市级储备粮的总体布局和收储、轮换、动用计划建议并组织实施；制定市级储备粮管理技术规范并监督执行，监督检查市级储备粮库存数量、质量和储存安全；协助在广中央储备粮、省级储备粮及国家其他政策性临时储存粮食的监督管理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19.贯彻实施国家粮食质量标准；制定全市粮食储存、运输技术规范并监督执行；负责全市粮食收购、储存环节和政策性用粮质量安全；负责库存原粮卫生监督管理；指导粮食行业安全生产和抢险救灾工作；指导全市农村科学储粮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20.制订粮食流通产业发展规划，提出促进全市粮食流通产业发展的政策建议并督促落实；指导、协调全市粮食流通基础设施建设，管理市级财政投资粮食流通设施项目；制订全市粮食仓储、加工和物流体系建设规划并组织实施；拟订全市粮食市场体系发展规划，指导粮食批发市场和城乡粮食流通市场建设；开展粮食行业对外合作与交流，协助做好优质粮油的推广、开发工作；指导粮食企业科技进步、技术改造和新技术推广应用，指导粮油龙头企业开展惠农服务。</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21.贯彻国家粮食流通财政财务政策和会计制度，组织编报全市国有粮食企业会计报表及会计决算；指导全市国有和国有控股粮食企业的财务管理和会计报告工作；负责国家、省、市预算拨付的粮食政策性补贴资金和专项资金的使用管理；会同相关部门管理粮食风险基金、政策性粮食财务挂帐，参与粮食收购资金贷款管理。</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22.负责重要物资和应急物资收储、轮换和日常管理。</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23.负责会同有关部门编制以工代赈规划，审核和转报以工代赈项目，下达以工代赈资金计划。</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24.负责全市营商环境和社会信用体系建设。</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25.承担中共广元市委财经委员会办公室、广元市川陕革命老区振兴发展领导小组办公室、广元市川东北经济区对接协调小组办公室、广元市国防动员委员会经济动员办公室、广元市实施西部大开发领导小组、广元市低碳发展领导小组、广元市项目策划储备中心、广元市重大项目推进中心、广元市浙广扶贫协作领导小组办公室的具体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26.承担市政府公布的有关行政审批事项。</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27.负责与省发展改革委、省粮食和物资储备局等省级部门的工作衔接。</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28.依照法律法规和有关规定，对本行业领域的安全生产、环境保护工作实施监督管理，履行安全生产、环境保护行业监督管理职责和本单位安全生产、环境保护工作职责。</w:t>
      </w:r>
    </w:p>
    <w:p>
      <w:pPr>
        <w:ind w:firstLine="640" w:firstLineChars="200"/>
      </w:pPr>
      <w:r>
        <w:rPr>
          <w:rFonts w:hint="eastAsia" w:ascii="仿宋_GB2312" w:eastAsia="仿宋_GB2312"/>
          <w:sz w:val="32"/>
          <w:szCs w:val="32"/>
        </w:rPr>
        <w:t>29.承办市政府交办的其他事项。</w:t>
      </w:r>
    </w:p>
    <w:p>
      <w:pPr>
        <w:pStyle w:val="4"/>
        <w:rPr>
          <w:rFonts w:ascii="黑体" w:hAnsi="黑体" w:eastAsia="黑体"/>
          <w:b w:val="0"/>
        </w:rPr>
      </w:pPr>
      <w:bookmarkStart w:id="20" w:name="_Toc30605"/>
      <w:r>
        <w:rPr>
          <w:rFonts w:hint="eastAsia" w:ascii="黑体" w:hAnsi="黑体" w:eastAsia="黑体"/>
          <w:b w:val="0"/>
        </w:rPr>
        <w:t>二、2021年重点工作</w:t>
      </w:r>
      <w:bookmarkEnd w:id="18"/>
      <w:bookmarkEnd w:id="19"/>
      <w:r>
        <w:rPr>
          <w:rFonts w:hint="eastAsia" w:ascii="黑体" w:hAnsi="黑体" w:eastAsia="黑体"/>
          <w:b w:val="0"/>
        </w:rPr>
        <w:t>完成情况</w:t>
      </w:r>
      <w:bookmarkEnd w:id="20"/>
    </w:p>
    <w:p>
      <w:pPr>
        <w:widowControl/>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b/>
          <w:sz w:val="32"/>
          <w:szCs w:val="32"/>
        </w:rPr>
        <w:t>推动经济运行保持在合理区间。</w:t>
      </w:r>
      <w:r>
        <w:rPr>
          <w:rFonts w:hint="eastAsia" w:ascii="仿宋_GB2312" w:eastAsia="仿宋_GB2312"/>
          <w:sz w:val="32"/>
          <w:szCs w:val="32"/>
        </w:rPr>
        <w:t>密切监测经济运行，实行“周报告、月调度、季盘点”，及早下达“开门红”“双过半”目标，及时开展会商预警调度，组织开展经济运行综合督查3批次，初步形成2022年经济社会发展主要预期目标建议方案和一季度开门红计划目标，全市经济运行呈现稳中加固、稳中向好的态势，1-9月，地区生产总值实现804.47亿元、增长9.0%，增速居全省第12位、川东北第1位。预计地区生产总值全年增长8.5%左右。</w:t>
      </w:r>
    </w:p>
    <w:p>
      <w:pPr>
        <w:widowControl/>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 xml:space="preserve"> 2.</w:t>
      </w:r>
      <w:r>
        <w:rPr>
          <w:rFonts w:hint="eastAsia" w:ascii="仿宋_GB2312" w:eastAsia="仿宋_GB2312"/>
          <w:b/>
          <w:sz w:val="32"/>
          <w:szCs w:val="32"/>
        </w:rPr>
        <w:t>促进项目投资持续稳定增长。</w:t>
      </w:r>
      <w:r>
        <w:rPr>
          <w:rFonts w:hint="eastAsia" w:ascii="仿宋_GB2312" w:eastAsia="仿宋_GB2312"/>
          <w:sz w:val="32"/>
          <w:szCs w:val="32"/>
        </w:rPr>
        <w:t>坚持“投资唱主角”，深入开展项目投资“拉练评比”，强化谋划储备，建成“十四五”重大项目储备库，动态储备项目4310个、总投资1.68万亿；形成《广元市“十四五”期间重大项目清单（2021版）》，涉及子项212个、总投资5723亿元，分年度滚动实施。加大项目推进，市领导联系的100个重点项目研究解决问题109项，召开重点项目困难问题会商会4次，研究解决问题44项；扎实开展中央预算内投资项目“集中攻坚月”行动，64个项目全部销项；加强项目开工管理，组织重大项目集中开工活动6批次、开工项目665个、总投资840.49亿元。强化项目要素保障，争取到中省预算内投资、新增地方政府专项债券资金63.44亿元，发布3批次重点项目融资信息，55个项目获得金融机构支持，发放贷款金额221.03亿元。1-10月，18个省独立考核广元省级重点项目完成投资93.91亿元，投资完成率100.5%，提前2个月完成全年目标任务。250个重点项目完成投资499.01亿元，投资完成率90.6%，超时序进度7.3个百分点，预计全年完成投资550亿元以上；全社会固定资产投资增长11.7%，增速居全省第14位、川东北第3位，预计全年增长11%。</w:t>
      </w:r>
    </w:p>
    <w:p>
      <w:pPr>
        <w:widowControl/>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3.</w:t>
      </w:r>
      <w:r>
        <w:rPr>
          <w:rFonts w:hint="eastAsia" w:ascii="仿宋_GB2312" w:eastAsia="仿宋_GB2312"/>
          <w:b/>
          <w:sz w:val="32"/>
          <w:szCs w:val="32"/>
        </w:rPr>
        <w:t>统筹联动促进产业转型升级</w:t>
      </w:r>
      <w:r>
        <w:rPr>
          <w:rFonts w:hint="eastAsia" w:ascii="仿宋_GB2312" w:eastAsia="仿宋_GB2312"/>
          <w:sz w:val="32"/>
          <w:szCs w:val="32"/>
        </w:rPr>
        <w:t>。着力完善市领导挂联重点产业机制，统筹推动优质特色农业、新型工业和现代服务业加快发展。健全完善19个重点产业考评指标体系，107个重点产业发展支撑性项目加快建设、完成投资180.56亿元。高效推进新型基础设施建设，77个“新基建”项目加快建设、年度计划投资22.44亿元；高质量制定了“十四五”数字政府建设规划及调研形成《加快我市数字经济发展的建议报告》。持续推进农村一二三产业融合发展，推动现代农业园区、新型工业园区和文旅融合示范园区提质增效。储备农林水项目60个，拟申请中央预算内投资14亿元，用于支持高标准农田、水利基础设施、农村人居环境整治、国家农村产业融合发展示范园等建设。</w:t>
      </w:r>
    </w:p>
    <w:p>
      <w:pPr>
        <w:widowControl/>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 xml:space="preserve"> 4.</w:t>
      </w:r>
      <w:r>
        <w:rPr>
          <w:rFonts w:hint="eastAsia" w:ascii="仿宋_GB2312" w:eastAsia="仿宋_GB2312"/>
          <w:b/>
          <w:sz w:val="32"/>
          <w:szCs w:val="32"/>
        </w:rPr>
        <w:t>着力推进规划编制实施。</w:t>
      </w:r>
      <w:r>
        <w:rPr>
          <w:rFonts w:hint="eastAsia" w:ascii="仿宋_GB2312" w:eastAsia="仿宋_GB2312"/>
          <w:sz w:val="32"/>
          <w:szCs w:val="32"/>
        </w:rPr>
        <w:t>及时公布印发市“十四五”规划《纲要》，其中纳入省规划《纲要》事项</w:t>
      </w:r>
      <w:r>
        <w:rPr>
          <w:rFonts w:hint="eastAsia" w:eastAsia="仿宋_GB2312"/>
          <w:sz w:val="32"/>
          <w:szCs w:val="32"/>
        </w:rPr>
        <w:t> </w:t>
      </w:r>
      <w:r>
        <w:rPr>
          <w:rFonts w:hint="eastAsia" w:ascii="仿宋_GB2312" w:eastAsia="仿宋_GB2312"/>
          <w:sz w:val="32"/>
          <w:szCs w:val="32"/>
        </w:rPr>
        <w:t>60项，明确点到广元的25项、数量较“十三五”翻番。首次编制《纲要》责任分工方案，形成主要指标、重点任务和重点项目三张“清单”；首次进行专项规划衔接性审查，完成16个市级重点专项规划衔接性审查,目前已印发2个、待市政府审议2个、待分管市领导审议8个、正抓紧修改完善4个；首次开展省级专项规划涉及广元重点事项编列工作，确保“十四五”规划战略目标、空间布局、重大任务落地。68个重大事项纳入省“十四五”川陕革命老区振兴发展规划，羊木国家石油储备基地、G5线扩容项目、支持广元国家经济技术开发区建设等纳入到国家“十四五”支持革命老区相关实施方案。</w:t>
      </w:r>
    </w:p>
    <w:p>
      <w:pPr>
        <w:widowControl/>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 xml:space="preserve"> 5.</w:t>
      </w:r>
      <w:r>
        <w:rPr>
          <w:rFonts w:hint="eastAsia" w:ascii="仿宋_GB2312" w:eastAsia="仿宋_GB2312"/>
          <w:b/>
          <w:sz w:val="32"/>
          <w:szCs w:val="32"/>
        </w:rPr>
        <w:t>深化全面改革促进创新。</w:t>
      </w:r>
      <w:r>
        <w:rPr>
          <w:rFonts w:hint="eastAsia" w:ascii="仿宋_GB2312" w:eastAsia="仿宋_GB2312"/>
          <w:sz w:val="32"/>
          <w:szCs w:val="32"/>
        </w:rPr>
        <w:t>统筹推进牵头承担的20项改革任务按节点落实，全年完成经济体制改革专项小组28项年度改革任务。持续开展全面创新改革试验，努力激发市场主体活力，先后牵头完成构建更加完善的要素市场化配置体制机制实施方案、新时代加快完善社会主义市场经济体制的实施意见、市区同城运行体制机制改革方案、行政审批中介机构清理培育和规范管理实施方案及全市创新平台及创新能力提升调研报告，积极推进广元经济技术开发区全省大众创业万众创新示范基地建设、推动四川剑阁经济开发区申报省级高新技术产业园区。精心做好两项改革“后半篇”文章，制定涉改乡镇干部周转房建设和农村电网改造升级专项实施方案，全市10个涉改乡镇干部周转房建设纳入省级试点，争取到省级补助资金3078万元，位居全省第3位。全市农网改造争取到资金9234.31万元，提前3个月完成28个乡镇项目建设任务。</w:t>
      </w:r>
    </w:p>
    <w:p>
      <w:pPr>
        <w:widowControl/>
        <w:ind w:firstLine="643" w:firstLineChars="200"/>
        <w:jc w:val="left"/>
        <w:rPr>
          <w:rFonts w:hint="eastAsia" w:eastAsia="仿宋_GB2312"/>
          <w:sz w:val="32"/>
          <w:szCs w:val="32"/>
        </w:rPr>
      </w:pPr>
      <w:r>
        <w:rPr>
          <w:rFonts w:hint="eastAsia" w:ascii="仿宋_GB2312" w:eastAsia="仿宋_GB2312"/>
          <w:b/>
          <w:sz w:val="32"/>
          <w:szCs w:val="32"/>
        </w:rPr>
        <w:t xml:space="preserve"> 6.优化提升重点领域营商环境。</w:t>
      </w:r>
      <w:r>
        <w:rPr>
          <w:rFonts w:hint="eastAsia" w:ascii="仿宋_GB2312" w:eastAsia="仿宋_GB2312"/>
          <w:sz w:val="32"/>
          <w:szCs w:val="32"/>
        </w:rPr>
        <w:t>协同市营商环境办联动抓好营商环境建设工作，着力提升招标投标、“获得电力”等2个一级指标质效。聚焦“阳光招标+信用监管”深化招投标领域突出问题系统治理，抓实7大任务、17项工作，夯实全流程招标投标交易电子化，全面建成不见面开标系统，完成电子保函系统建设；构建全方位信用监管制度化，建立招标人行为规范积分管理办法等，强化市场主体信用评价在招投标活动中结果运用；推动全过程投诉处理透明化，规范投诉处理公开流程，着力打造省内最优招投标营商环境。切实提升“获得电力”服务水平，实现用电服务“一网通办”、高压客户办电“最多跑一次”、低压客户“一次不跑”，聚焦“三全三化”开展全流程电子化招投标、聚力</w:t>
      </w:r>
      <w:r>
        <w:rPr>
          <w:rFonts w:hint="eastAsia" w:eastAsia="仿宋_GB2312"/>
          <w:sz w:val="32"/>
          <w:szCs w:val="32"/>
        </w:rPr>
        <w:t> </w:t>
      </w:r>
      <w:r>
        <w:rPr>
          <w:rFonts w:hint="eastAsia" w:ascii="仿宋_GB2312" w:eastAsia="仿宋_GB2312"/>
          <w:sz w:val="32"/>
          <w:szCs w:val="32"/>
        </w:rPr>
        <w:t>“获得电力”打造“电力精算师”服务品牌等被列为经典案例在全省推广。持续深化诚信体系建设，开展严重违法失信行为专项治理，清理规范失信惩戒约束措施，持续推进政务诚信建设，城市综合信用指数居全省第3位、全国261个地级市中第57位。</w:t>
      </w:r>
      <w:r>
        <w:rPr>
          <w:rFonts w:hint="eastAsia" w:eastAsia="仿宋_GB2312"/>
          <w:sz w:val="32"/>
          <w:szCs w:val="32"/>
        </w:rPr>
        <w:t>    </w:t>
      </w:r>
    </w:p>
    <w:p>
      <w:pPr>
        <w:widowControl/>
        <w:ind w:firstLine="643" w:firstLineChars="200"/>
        <w:jc w:val="left"/>
        <w:rPr>
          <w:rFonts w:hint="eastAsia" w:ascii="仿宋_GB2312" w:eastAsia="仿宋_GB2312"/>
          <w:sz w:val="32"/>
          <w:szCs w:val="32"/>
        </w:rPr>
      </w:pPr>
      <w:r>
        <w:rPr>
          <w:rFonts w:hint="eastAsia" w:ascii="仿宋_GB2312" w:eastAsia="仿宋_GB2312"/>
          <w:b/>
          <w:sz w:val="32"/>
          <w:szCs w:val="32"/>
        </w:rPr>
        <w:t>7.推动绿色低碳发展。</w:t>
      </w:r>
      <w:r>
        <w:rPr>
          <w:rFonts w:hint="eastAsia" w:ascii="仿宋_GB2312" w:eastAsia="仿宋_GB2312"/>
          <w:sz w:val="32"/>
          <w:szCs w:val="32"/>
        </w:rPr>
        <w:t>着力推进长江经济带发展，积极推动践行“两山”理论典范城市建设。继续巩固提升突出问题整改成效，旺苍县嘉陵江上游废弃矿企污染水直排入河、青川竹园碑垭新材料产业园2个国家移交的突出环境问题完成整改并通过省级督导部门验收销号。加强碳达峰碳中和和生态产品价值实现机制试点前期工作，及时开展前瞻性思考、系统性调研，形成《践行“两山”理念，加快建设西部绿色商品供给地》《在“双碳”背景下加快建设广元清洁能源基地的思考》等10余个高质量报告。</w:t>
      </w:r>
    </w:p>
    <w:p>
      <w:pPr>
        <w:widowControl/>
        <w:ind w:firstLine="643" w:firstLineChars="200"/>
        <w:jc w:val="left"/>
        <w:rPr>
          <w:rFonts w:hint="eastAsia" w:ascii="仿宋_GB2312" w:eastAsia="仿宋_GB2312"/>
          <w:sz w:val="32"/>
          <w:szCs w:val="32"/>
        </w:rPr>
      </w:pPr>
      <w:r>
        <w:rPr>
          <w:rFonts w:hint="eastAsia" w:ascii="仿宋_GB2312" w:eastAsia="仿宋_GB2312"/>
          <w:b/>
          <w:sz w:val="32"/>
          <w:szCs w:val="32"/>
        </w:rPr>
        <w:t>8.深化区域协同发展。</w:t>
      </w:r>
      <w:r>
        <w:rPr>
          <w:rFonts w:hint="eastAsia" w:ascii="仿宋_GB2312" w:eastAsia="仿宋_GB2312"/>
          <w:sz w:val="32"/>
          <w:szCs w:val="32"/>
        </w:rPr>
        <w:t>主动融入成渝地区双城经济圈建设，项目化清单化深化交流合作。与重庆市南川区建立友好城市关系，与成都天府新区、重庆市渝北区、合川区、南川区形成合作清单陇南市、防城港市等地合作清单事项46事项101个，累计新签约项目195个、签约资金879亿元。编制与西安市、个。积极推动与汉中市合作。协同推进川东北经济区振兴发展，60个重大事项纳入到川东北经济区“十四五”振兴发展规划，16个重要事项纳入省年度重点任务清单。着力推进县域经济发展，调研形成《县域经济发展分析报告》，完善县域经济发展先进县考评办法，成功申报县城城镇化补短板强弱项项目9个、申请贷款金额14.36亿元。</w:t>
      </w:r>
    </w:p>
    <w:p>
      <w:pPr>
        <w:widowControl/>
        <w:ind w:firstLine="643" w:firstLineChars="200"/>
        <w:jc w:val="left"/>
        <w:rPr>
          <w:rFonts w:hint="eastAsia" w:ascii="仿宋_GB2312" w:eastAsia="仿宋_GB2312"/>
          <w:sz w:val="32"/>
          <w:szCs w:val="32"/>
        </w:rPr>
      </w:pPr>
      <w:r>
        <w:rPr>
          <w:rFonts w:hint="eastAsia" w:ascii="仿宋_GB2312" w:eastAsia="仿宋_GB2312"/>
          <w:b/>
          <w:sz w:val="32"/>
          <w:szCs w:val="32"/>
        </w:rPr>
        <w:t xml:space="preserve"> 9.切实做好价格监管服务。</w:t>
      </w:r>
      <w:r>
        <w:rPr>
          <w:rFonts w:hint="eastAsia" w:ascii="仿宋_GB2312" w:eastAsia="仿宋_GB2312"/>
          <w:sz w:val="32"/>
          <w:szCs w:val="32"/>
        </w:rPr>
        <w:t>加强日常价格监测，着力蔬菜、猪肉等重要民生商品保供稳价，促进物价水平总体稳定，</w:t>
      </w:r>
      <w:r>
        <w:rPr>
          <w:rFonts w:hint="eastAsia" w:eastAsia="仿宋_GB2312"/>
          <w:sz w:val="32"/>
          <w:szCs w:val="32"/>
        </w:rPr>
        <w:t> </w:t>
      </w:r>
      <w:r>
        <w:rPr>
          <w:rFonts w:hint="eastAsia" w:ascii="仿宋_GB2312" w:eastAsia="仿宋_GB2312"/>
          <w:sz w:val="32"/>
          <w:szCs w:val="32"/>
        </w:rPr>
        <w:t>1-10月居民消费价格指数同比下降0.1%，预计全年居民消费价格指数上涨控制在3.5%左右。及时主动研究国家电解铝用电价格政策调整对我市电解铝企业发展影响。已落实2021-2022年度电解铝产能到户电价0.33元/千瓦时的精准电价政策，加快对接2020年雅砻江公司留川电量电价差返还空间7000万元，精准支持电解铝企业发展。稳妥清理规范殡葬服务收费、行业协会商会收费、城镇供水供电供气行业收费，有序推进市城区停车服务收费、公办普通高中学费、市城区城市供水价格调整等。</w:t>
      </w:r>
    </w:p>
    <w:p>
      <w:pPr>
        <w:widowControl/>
        <w:ind w:firstLine="643" w:firstLineChars="200"/>
        <w:jc w:val="left"/>
        <w:rPr>
          <w:rFonts w:hint="eastAsia" w:ascii="仿宋_GB2312" w:eastAsia="仿宋_GB2312"/>
          <w:sz w:val="32"/>
          <w:szCs w:val="32"/>
        </w:rPr>
      </w:pPr>
      <w:r>
        <w:rPr>
          <w:rFonts w:hint="eastAsia" w:ascii="仿宋_GB2312" w:eastAsia="仿宋_GB2312"/>
          <w:b/>
          <w:sz w:val="32"/>
          <w:szCs w:val="32"/>
        </w:rPr>
        <w:t>10.扎实做好粮食安全工作。</w:t>
      </w:r>
      <w:r>
        <w:rPr>
          <w:rFonts w:hint="eastAsia" w:ascii="仿宋_GB2312" w:eastAsia="仿宋_GB2312"/>
          <w:sz w:val="32"/>
          <w:szCs w:val="32"/>
        </w:rPr>
        <w:t>全面落实国家粮食安全战略，扛牢粮食安全党政同责，确保粮安考核连续六年获得“优秀”等次。大力实施优质粮食工程，王家贡米建成优质品种选育基地200亩，“梨乡牌大米”“扑鼻牌香菜油”首次进入“中国好粮油”名录，投资5000万元的三江新区应急粮油分拨中心作为全省5个推荐项目之一被纳入国家投资计划，万亩“</w:t>
      </w:r>
      <w:r>
        <w:rPr>
          <w:rFonts w:hint="eastAsia" w:ascii="仿宋_GB2312"/>
          <w:sz w:val="32"/>
          <w:szCs w:val="32"/>
        </w:rPr>
        <w:t>曌</w:t>
      </w:r>
      <w:r>
        <w:rPr>
          <w:rFonts w:hint="eastAsia" w:ascii="仿宋_GB2312" w:eastAsia="仿宋_GB2312"/>
          <w:sz w:val="32"/>
          <w:szCs w:val="32"/>
        </w:rPr>
        <w:t>福牌”天府菜油基地启动建设。深入开展粮食购销领域腐败问题专项整治，扎实开展自查自纠，全覆盖开展督查工作。成功举办2021年世界粮食日和粮食安全宣传周四川主会场（广元）活动暨“广元造”特色农产品产销会。市粮油质量监测站获评为“四川省粮食安全教育基地”。</w:t>
      </w:r>
    </w:p>
    <w:p>
      <w:pPr>
        <w:widowControl/>
        <w:ind w:firstLine="643" w:firstLineChars="200"/>
        <w:jc w:val="left"/>
        <w:rPr>
          <w:rFonts w:ascii="仿宋_GB2312" w:hAnsi="仿宋" w:eastAsia="仿宋_GB2312"/>
          <w:kern w:val="0"/>
          <w:sz w:val="32"/>
          <w:szCs w:val="32"/>
        </w:rPr>
      </w:pPr>
      <w:r>
        <w:rPr>
          <w:rFonts w:hint="eastAsia" w:ascii="仿宋_GB2312" w:eastAsia="仿宋_GB2312"/>
          <w:b/>
          <w:sz w:val="32"/>
          <w:szCs w:val="32"/>
        </w:rPr>
        <w:t xml:space="preserve"> 11.加强能源供给保障。</w:t>
      </w:r>
      <w:r>
        <w:rPr>
          <w:rFonts w:hint="eastAsia" w:ascii="仿宋_GB2312" w:eastAsia="仿宋_GB2312"/>
          <w:sz w:val="32"/>
          <w:szCs w:val="32"/>
        </w:rPr>
        <w:t>加强能源产供储销体系建设，促进能源产业高质量发展。加快全市“十四五”能源发展规划编制，初步储备能源项目110个、总投资达758亿元。积极推进清洁能源建设，新能源已并网发电项目9个、总装机71.92万千瓦，新核准项目7个、总装机63.22万千瓦，是全省除凉山州外的第二大风电基地。加快推进水风光互补开发项目，统筹谋划的总装机230万千万、估算总投资100亿元以上项目初步纳入省专项规划，其中18万装机水面光伏项目初步纳入全省首例试点示范项目。重点采煤沉陷区综合治理工程正加快实施，四川能投广元燃机工程项目被纳入到省“十四五”电力发展规划，旺苍县整县屋顶分布式光伏纳入国家试点县。在旺苍黄洋、朝天羊木谋划建设2000万吨煤炭储备基地。全市城网、农网平均供电可靠率分别提升至99.94%、99.80%。</w:t>
      </w:r>
    </w:p>
    <w:p>
      <w:pPr>
        <w:pStyle w:val="3"/>
        <w:ind w:right="440"/>
        <w:jc w:val="center"/>
        <w:rPr>
          <w:rFonts w:hint="eastAsia" w:ascii="黑体" w:hAnsi="黑体" w:eastAsia="黑体"/>
          <w:b w:val="0"/>
        </w:rPr>
      </w:pPr>
      <w:bookmarkStart w:id="21" w:name="_Toc15396602"/>
      <w:bookmarkStart w:id="22" w:name="_Toc15377204"/>
    </w:p>
    <w:p>
      <w:pPr>
        <w:pStyle w:val="3"/>
        <w:ind w:right="440"/>
        <w:jc w:val="both"/>
        <w:rPr>
          <w:rFonts w:hint="eastAsia" w:ascii="黑体" w:hAnsi="黑体" w:eastAsia="黑体"/>
          <w:b w:val="0"/>
        </w:rPr>
      </w:pPr>
    </w:p>
    <w:p>
      <w:pPr>
        <w:pStyle w:val="3"/>
        <w:ind w:right="440"/>
        <w:jc w:val="both"/>
        <w:rPr>
          <w:rFonts w:hint="eastAsia" w:ascii="黑体" w:hAnsi="黑体" w:eastAsia="黑体"/>
          <w:b w:val="0"/>
        </w:rPr>
      </w:pPr>
    </w:p>
    <w:p>
      <w:pPr>
        <w:pStyle w:val="3"/>
        <w:ind w:right="440"/>
        <w:jc w:val="both"/>
        <w:rPr>
          <w:rFonts w:hint="eastAsia" w:ascii="黑体" w:hAnsi="黑体" w:eastAsia="黑体"/>
          <w:b w:val="0"/>
        </w:rPr>
      </w:pPr>
    </w:p>
    <w:p>
      <w:pPr>
        <w:pStyle w:val="3"/>
        <w:ind w:right="440"/>
        <w:jc w:val="both"/>
        <w:rPr>
          <w:rFonts w:hint="eastAsia" w:ascii="黑体" w:hAnsi="黑体" w:eastAsia="黑体"/>
          <w:b w:val="0"/>
        </w:rPr>
      </w:pPr>
    </w:p>
    <w:p>
      <w:pPr>
        <w:pStyle w:val="3"/>
        <w:ind w:right="440"/>
        <w:jc w:val="both"/>
        <w:rPr>
          <w:rFonts w:hint="eastAsia" w:ascii="黑体" w:hAnsi="黑体" w:eastAsia="黑体"/>
          <w:b w:val="0"/>
        </w:rPr>
      </w:pPr>
    </w:p>
    <w:p>
      <w:pPr>
        <w:pStyle w:val="3"/>
        <w:ind w:right="440"/>
        <w:jc w:val="both"/>
        <w:rPr>
          <w:rFonts w:hint="eastAsia" w:ascii="黑体" w:hAnsi="黑体" w:eastAsia="黑体"/>
          <w:b w:val="0"/>
        </w:rPr>
      </w:pPr>
    </w:p>
    <w:p>
      <w:pPr>
        <w:pStyle w:val="3"/>
        <w:ind w:right="440"/>
        <w:jc w:val="both"/>
        <w:rPr>
          <w:rFonts w:hint="eastAsia" w:ascii="黑体" w:hAnsi="黑体" w:eastAsia="黑体"/>
          <w:b w:val="0"/>
        </w:rPr>
      </w:pPr>
    </w:p>
    <w:p>
      <w:pPr>
        <w:pStyle w:val="3"/>
        <w:ind w:right="440"/>
        <w:jc w:val="both"/>
        <w:rPr>
          <w:rFonts w:hint="eastAsia" w:ascii="黑体" w:hAnsi="黑体" w:eastAsia="黑体"/>
          <w:b w:val="0"/>
        </w:rPr>
      </w:pPr>
    </w:p>
    <w:p>
      <w:pPr>
        <w:pStyle w:val="3"/>
        <w:ind w:right="440"/>
        <w:jc w:val="both"/>
        <w:rPr>
          <w:rFonts w:hint="eastAsia" w:ascii="黑体" w:hAnsi="黑体" w:eastAsia="黑体"/>
          <w:b w:val="0"/>
        </w:rPr>
      </w:pPr>
    </w:p>
    <w:p>
      <w:pPr>
        <w:pStyle w:val="3"/>
        <w:ind w:right="440"/>
        <w:jc w:val="both"/>
        <w:rPr>
          <w:rFonts w:hint="eastAsia" w:ascii="黑体" w:hAnsi="黑体" w:eastAsia="黑体"/>
          <w:b w:val="0"/>
        </w:rPr>
      </w:pPr>
    </w:p>
    <w:p>
      <w:pPr>
        <w:pStyle w:val="3"/>
        <w:ind w:right="440"/>
        <w:jc w:val="both"/>
        <w:rPr>
          <w:rFonts w:hint="eastAsia" w:ascii="黑体" w:hAnsi="黑体" w:eastAsia="黑体"/>
          <w:b w:val="0"/>
        </w:rPr>
      </w:pPr>
    </w:p>
    <w:p>
      <w:pPr>
        <w:pStyle w:val="3"/>
        <w:ind w:right="440"/>
        <w:jc w:val="both"/>
        <w:rPr>
          <w:rFonts w:hint="eastAsia" w:ascii="黑体" w:hAnsi="黑体" w:eastAsia="黑体"/>
          <w:b w:val="0"/>
        </w:rPr>
      </w:pPr>
    </w:p>
    <w:p>
      <w:pPr>
        <w:pStyle w:val="3"/>
        <w:ind w:right="440"/>
        <w:jc w:val="center"/>
        <w:rPr>
          <w:rStyle w:val="21"/>
          <w:rFonts w:ascii="黑体" w:hAnsi="黑体" w:eastAsia="黑体"/>
          <w:b w:val="0"/>
          <w:bCs/>
        </w:rPr>
      </w:pPr>
      <w:bookmarkStart w:id="23" w:name="_Toc20867"/>
      <w:r>
        <w:rPr>
          <w:rFonts w:hint="eastAsia" w:ascii="黑体" w:hAnsi="黑体" w:eastAsia="黑体"/>
          <w:b w:val="0"/>
        </w:rPr>
        <w:t>第二部分 2021年度</w:t>
      </w:r>
      <w:r>
        <w:rPr>
          <w:rStyle w:val="21"/>
          <w:rFonts w:hint="eastAsia" w:ascii="黑体" w:hAnsi="黑体" w:eastAsia="黑体"/>
          <w:b w:val="0"/>
          <w:bCs/>
        </w:rPr>
        <w:t>单位决算情况说明</w:t>
      </w:r>
      <w:bookmarkEnd w:id="21"/>
      <w:bookmarkEnd w:id="22"/>
      <w:bookmarkEnd w:id="23"/>
    </w:p>
    <w:p/>
    <w:p>
      <w:pPr>
        <w:pStyle w:val="31"/>
        <w:numPr>
          <w:ilvl w:val="0"/>
          <w:numId w:val="2"/>
        </w:numPr>
        <w:spacing w:line="600" w:lineRule="exact"/>
        <w:ind w:firstLineChars="0"/>
        <w:outlineLvl w:val="1"/>
        <w:rPr>
          <w:rStyle w:val="22"/>
          <w:rFonts w:ascii="黑体" w:hAnsi="黑体" w:eastAsia="黑体"/>
          <w:b w:val="0"/>
        </w:rPr>
      </w:pPr>
      <w:bookmarkStart w:id="24" w:name="_Toc14000"/>
      <w:bookmarkStart w:id="25" w:name="_Toc15396603"/>
      <w:bookmarkStart w:id="26" w:name="_Toc15377205"/>
      <w:r>
        <w:rPr>
          <w:rFonts w:hint="eastAsia" w:ascii="黑体" w:hAnsi="黑体" w:eastAsia="黑体"/>
          <w:sz w:val="32"/>
          <w:szCs w:val="32"/>
        </w:rPr>
        <w:t>收</w:t>
      </w:r>
      <w:r>
        <w:rPr>
          <w:rStyle w:val="22"/>
          <w:rFonts w:hint="eastAsia" w:ascii="黑体" w:hAnsi="黑体" w:eastAsia="黑体"/>
          <w:b w:val="0"/>
        </w:rPr>
        <w:t>入支出决算总体情况说明</w:t>
      </w:r>
      <w:bookmarkEnd w:id="24"/>
      <w:bookmarkEnd w:id="25"/>
      <w:bookmarkEnd w:id="26"/>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2021年度收、支总计3209.89万元。与2020年相比，收、支总计各增加42.99万元，增长1.36</w:t>
      </w:r>
      <w:r>
        <w:rPr>
          <w:rFonts w:ascii="仿宋" w:hAnsi="仿宋" w:eastAsia="仿宋"/>
          <w:sz w:val="32"/>
          <w:szCs w:val="32"/>
        </w:rPr>
        <w:t>%</w:t>
      </w:r>
      <w:r>
        <w:rPr>
          <w:rFonts w:hint="eastAsia" w:ascii="仿宋" w:hAnsi="仿宋" w:eastAsia="仿宋"/>
          <w:sz w:val="32"/>
          <w:szCs w:val="32"/>
        </w:rPr>
        <w:t>。主要变动原因是机关高层次人才引进以及人员目标绩效调整，人员及公用经费增长。</w:t>
      </w:r>
    </w:p>
    <w:p>
      <w:pPr>
        <w:spacing w:line="600" w:lineRule="exact"/>
        <w:ind w:firstLine="640" w:firstLineChars="200"/>
        <w:rPr>
          <w:rFonts w:hint="eastAsia" w:ascii="仿宋" w:hAnsi="仿宋" w:eastAsia="仿宋"/>
          <w:color w:val="000000"/>
          <w:sz w:val="32"/>
          <w:szCs w:val="32"/>
        </w:rPr>
      </w:pPr>
      <w:r>
        <w:rPr>
          <w:rFonts w:hint="eastAsia" w:ascii="仿宋_GB2312" w:eastAsia="仿宋_GB2312"/>
          <w:color w:val="000000"/>
          <w:sz w:val="32"/>
          <w:szCs w:val="32"/>
        </w:rPr>
        <w:pict>
          <v:shape id="Object 2" o:spid="_x0000_s2050" o:spt="75" type="#_x0000_t75" style="position:absolute;left:0pt;margin-left:42.1pt;margin-top:17.5pt;height:163.75pt;width:337.8pt;z-index:251659264;mso-width-relative:page;mso-height-relative:page;" o:ole="t" fillcolor="#FFFFFF" filled="t" o:preferrelative="t" stroked="f" coordsize="21600,21600">
            <v:path/>
            <v:fill on="t" color2="#FFFFFF" focussize="0,0"/>
            <v:stroke on="f"/>
            <v:imagedata r:id="rId7" o:title=""/>
            <o:lock v:ext="edit" aspectratio="f"/>
          </v:shape>
          <o:OLEObject Type="Embed" ProgID="Excel.Chart.8" ShapeID="Object 2" DrawAspect="Content" ObjectID="_1468075725" r:id="rId6">
            <o:LockedField>false</o:LockedField>
          </o:OLEObject>
        </w:pic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jc w:val="right"/>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pStyle w:val="35"/>
        <w:spacing w:line="600" w:lineRule="exact"/>
        <w:ind w:left="640" w:firstLine="0" w:firstLineChars="0"/>
        <w:rPr>
          <w:rFonts w:hint="eastAsia" w:ascii="仿宋" w:hAnsi="仿宋" w:eastAsia="仿宋"/>
          <w:color w:val="000000"/>
          <w:sz w:val="32"/>
          <w:szCs w:val="32"/>
        </w:rPr>
      </w:pPr>
    </w:p>
    <w:p>
      <w:pPr>
        <w:spacing w:line="600" w:lineRule="exact"/>
        <w:ind w:firstLine="640" w:firstLineChars="200"/>
        <w:jc w:val="center"/>
        <w:rPr>
          <w:rStyle w:val="22"/>
          <w:rFonts w:ascii="黑体" w:hAnsi="黑体" w:eastAsia="黑体"/>
          <w:b w:val="0"/>
        </w:rPr>
      </w:pPr>
      <w:r>
        <w:rPr>
          <w:rFonts w:hint="eastAsia" w:ascii="仿宋" w:hAnsi="仿宋" w:eastAsia="仿宋"/>
          <w:color w:val="000000"/>
          <w:sz w:val="32"/>
          <w:szCs w:val="32"/>
        </w:rPr>
        <w:tab/>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31"/>
        <w:numPr>
          <w:ilvl w:val="0"/>
          <w:numId w:val="2"/>
        </w:numPr>
        <w:spacing w:line="600" w:lineRule="exact"/>
        <w:ind w:firstLineChars="0"/>
        <w:outlineLvl w:val="1"/>
        <w:rPr>
          <w:rStyle w:val="22"/>
          <w:rFonts w:ascii="黑体" w:hAnsi="黑体" w:eastAsia="黑体"/>
          <w:b w:val="0"/>
        </w:rPr>
      </w:pPr>
      <w:bookmarkStart w:id="27" w:name="_Toc15377206"/>
      <w:bookmarkStart w:id="28" w:name="_Toc1387"/>
      <w:bookmarkStart w:id="29" w:name="_Toc15396604"/>
      <w:r>
        <w:rPr>
          <w:rFonts w:hint="eastAsia" w:ascii="黑体" w:hAnsi="黑体" w:eastAsia="黑体"/>
          <w:sz w:val="32"/>
          <w:szCs w:val="32"/>
        </w:rPr>
        <w:t>收</w:t>
      </w:r>
      <w:r>
        <w:rPr>
          <w:rStyle w:val="22"/>
          <w:rFonts w:hint="eastAsia" w:ascii="黑体" w:hAnsi="黑体" w:eastAsia="黑体"/>
          <w:b w:val="0"/>
        </w:rPr>
        <w:t>入决算情况说明</w:t>
      </w:r>
      <w:bookmarkEnd w:id="27"/>
      <w:bookmarkEnd w:id="28"/>
      <w:bookmarkEnd w:id="29"/>
    </w:p>
    <w:p>
      <w:pPr>
        <w:spacing w:line="600" w:lineRule="exact"/>
        <w:ind w:firstLine="640" w:firstLineChars="200"/>
        <w:outlineLvl w:val="1"/>
        <w:rPr>
          <w:rFonts w:hint="eastAsia" w:ascii="仿宋" w:hAnsi="仿宋" w:eastAsia="仿宋"/>
          <w:sz w:val="32"/>
          <w:szCs w:val="32"/>
        </w:rPr>
      </w:pPr>
      <w:bookmarkStart w:id="30" w:name="_Toc22564"/>
      <w:r>
        <w:rPr>
          <w:rFonts w:ascii="仿宋" w:hAnsi="仿宋" w:eastAsia="仿宋"/>
          <w:sz w:val="32"/>
          <w:szCs w:val="32"/>
        </w:rPr>
        <w:t>20</w:t>
      </w:r>
      <w:r>
        <w:rPr>
          <w:rFonts w:hint="eastAsia" w:ascii="仿宋" w:hAnsi="仿宋" w:eastAsia="仿宋"/>
          <w:sz w:val="32"/>
          <w:szCs w:val="32"/>
        </w:rPr>
        <w:t>21年本年收入合计2923.80万元，其中：一般公共预算财政拨款收入2923.70万元，占99.99</w:t>
      </w:r>
      <w:r>
        <w:rPr>
          <w:rFonts w:ascii="仿宋" w:hAnsi="仿宋" w:eastAsia="仿宋"/>
          <w:sz w:val="32"/>
          <w:szCs w:val="32"/>
        </w:rPr>
        <w:t>%</w:t>
      </w:r>
      <w:r>
        <w:rPr>
          <w:rFonts w:hint="eastAsia" w:ascii="仿宋" w:hAnsi="仿宋" w:eastAsia="仿宋"/>
          <w:sz w:val="32"/>
          <w:szCs w:val="32"/>
        </w:rPr>
        <w:t>；其他收入0.10万元，占0.01</w:t>
      </w:r>
      <w:r>
        <w:rPr>
          <w:rFonts w:ascii="仿宋" w:hAnsi="仿宋" w:eastAsia="仿宋"/>
          <w:sz w:val="32"/>
          <w:szCs w:val="32"/>
        </w:rPr>
        <w:t>%</w:t>
      </w:r>
      <w:r>
        <w:rPr>
          <w:rFonts w:hint="eastAsia" w:ascii="仿宋" w:hAnsi="仿宋" w:eastAsia="仿宋"/>
          <w:sz w:val="32"/>
          <w:szCs w:val="32"/>
        </w:rPr>
        <w:t>。</w:t>
      </w:r>
      <w:bookmarkEnd w:id="30"/>
    </w:p>
    <w:p>
      <w:pPr>
        <w:pStyle w:val="2"/>
        <w:spacing w:before="93"/>
        <w:rPr>
          <w:rFonts w:hint="eastAsia"/>
        </w:rPr>
      </w:pPr>
    </w:p>
    <w:p>
      <w:pPr>
        <w:pStyle w:val="2"/>
        <w:spacing w:before="93"/>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r>
        <w:rPr>
          <w:rFonts w:hint="eastAsia" w:ascii="仿宋" w:hAnsi="仿宋" w:eastAsia="仿宋"/>
          <w:color w:val="000000"/>
          <w:sz w:val="32"/>
          <w:szCs w:val="32"/>
        </w:rPr>
        <w:pict>
          <v:shape id="Object 6" o:spid="_x0000_s2055" o:spt="75" type="#_x0000_t75" style="position:absolute;left:0pt;margin-left:47.65pt;margin-top:-40.75pt;height:191.05pt;width:310.1pt;z-index:251663360;mso-width-relative:page;mso-height-relative:page;" o:ole="t" filled="f" o:preferrelative="t" stroked="f" coordsize="21600,21600">
            <v:path/>
            <v:fill on="f" focussize="0,0"/>
            <v:stroke on="f"/>
            <v:imagedata r:id="rId9" o:title=""/>
            <o:lock v:ext="edit" aspectratio="t"/>
          </v:shape>
          <o:OLEObject Type="Embed" ProgID="Excel.Chart.8" ShapeID="Object 6" DrawAspect="Content" ObjectID="_1468075726" r:id="rId8">
            <o:LockedField>false</o:LockedField>
          </o:OLEObject>
        </w:pic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jc w:val="center"/>
        <w:rPr>
          <w:rFonts w:hint="eastAsia" w:ascii="仿宋" w:hAnsi="仿宋" w:eastAsia="仿宋"/>
          <w:sz w:val="32"/>
          <w:szCs w:val="32"/>
        </w:rPr>
      </w:pPr>
    </w:p>
    <w:p>
      <w:pPr>
        <w:spacing w:line="600" w:lineRule="exact"/>
        <w:ind w:firstLine="640" w:firstLineChars="200"/>
        <w:jc w:val="center"/>
        <w:rPr>
          <w:rFonts w:hint="eastAsia" w:ascii="仿宋" w:hAnsi="仿宋" w:eastAsia="仿宋"/>
          <w:sz w:val="32"/>
          <w:szCs w:val="32"/>
        </w:rPr>
      </w:pP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（图2：收入决算结构图）</w:t>
      </w:r>
    </w:p>
    <w:p>
      <w:pPr>
        <w:pStyle w:val="31"/>
        <w:numPr>
          <w:ilvl w:val="0"/>
          <w:numId w:val="2"/>
        </w:numPr>
        <w:spacing w:line="600" w:lineRule="exact"/>
        <w:ind w:firstLineChars="0"/>
        <w:outlineLvl w:val="1"/>
        <w:rPr>
          <w:rStyle w:val="22"/>
          <w:rFonts w:ascii="黑体" w:hAnsi="黑体" w:eastAsia="黑体"/>
          <w:b w:val="0"/>
        </w:rPr>
      </w:pPr>
      <w:bookmarkStart w:id="31" w:name="_Toc13872"/>
      <w:bookmarkStart w:id="32" w:name="_Toc15396605"/>
      <w:bookmarkStart w:id="33" w:name="_Toc15377207"/>
      <w:r>
        <w:rPr>
          <w:rFonts w:hint="eastAsia" w:ascii="黑体" w:hAnsi="黑体" w:eastAsia="黑体"/>
          <w:sz w:val="32"/>
          <w:szCs w:val="32"/>
        </w:rPr>
        <w:t>支</w:t>
      </w:r>
      <w:r>
        <w:rPr>
          <w:rStyle w:val="22"/>
          <w:rFonts w:hint="eastAsia" w:ascii="黑体" w:hAnsi="黑体" w:eastAsia="黑体"/>
          <w:b w:val="0"/>
        </w:rPr>
        <w:t>出决算情况说明</w:t>
      </w:r>
      <w:bookmarkEnd w:id="31"/>
      <w:bookmarkEnd w:id="32"/>
      <w:bookmarkEnd w:id="33"/>
    </w:p>
    <w:p>
      <w:pPr>
        <w:spacing w:line="600" w:lineRule="exact"/>
        <w:ind w:firstLine="640" w:firstLineChars="200"/>
        <w:outlineLvl w:val="1"/>
        <w:rPr>
          <w:rFonts w:hint="eastAsia" w:ascii="仿宋" w:hAnsi="仿宋" w:eastAsia="仿宋"/>
          <w:sz w:val="32"/>
          <w:szCs w:val="32"/>
        </w:rPr>
      </w:pPr>
      <w:bookmarkStart w:id="34" w:name="_Toc8339"/>
      <w:r>
        <w:rPr>
          <w:rFonts w:ascii="仿宋" w:hAnsi="仿宋" w:eastAsia="仿宋"/>
          <w:sz w:val="32"/>
          <w:szCs w:val="32"/>
        </w:rPr>
        <w:t>20</w:t>
      </w:r>
      <w:r>
        <w:rPr>
          <w:rFonts w:hint="eastAsia" w:ascii="仿宋" w:hAnsi="仿宋" w:eastAsia="仿宋"/>
          <w:sz w:val="32"/>
          <w:szCs w:val="32"/>
        </w:rPr>
        <w:t>21年本年支出合计3028.11万元，其中：基本支出2461.76万元，占81.30</w:t>
      </w:r>
      <w:r>
        <w:rPr>
          <w:rFonts w:ascii="仿宋" w:hAnsi="仿宋" w:eastAsia="仿宋"/>
          <w:sz w:val="32"/>
          <w:szCs w:val="32"/>
        </w:rPr>
        <w:t>%</w:t>
      </w:r>
      <w:r>
        <w:rPr>
          <w:rFonts w:hint="eastAsia" w:ascii="仿宋" w:hAnsi="仿宋" w:eastAsia="仿宋"/>
          <w:sz w:val="32"/>
          <w:szCs w:val="32"/>
        </w:rPr>
        <w:t>；项目支出566.35万元，占18.70</w:t>
      </w:r>
      <w:r>
        <w:rPr>
          <w:rFonts w:ascii="仿宋" w:hAnsi="仿宋" w:eastAsia="仿宋"/>
          <w:sz w:val="32"/>
          <w:szCs w:val="32"/>
        </w:rPr>
        <w:t>%</w:t>
      </w:r>
      <w:r>
        <w:rPr>
          <w:rFonts w:hint="eastAsia" w:ascii="仿宋" w:hAnsi="仿宋" w:eastAsia="仿宋"/>
          <w:sz w:val="32"/>
          <w:szCs w:val="32"/>
        </w:rPr>
        <w:t>。</w:t>
      </w:r>
      <w:bookmarkEnd w:id="34"/>
    </w:p>
    <w:p>
      <w:pPr>
        <w:spacing w:line="600" w:lineRule="exact"/>
        <w:ind w:firstLine="640" w:firstLineChars="200"/>
        <w:rPr>
          <w:rFonts w:hint="eastAsia" w:ascii="仿宋_GB2312" w:hAnsi="仿宋" w:eastAsia="仿宋_GB2312"/>
          <w:b/>
          <w:color w:val="FF0000"/>
          <w:sz w:val="32"/>
          <w:szCs w:val="32"/>
        </w:rPr>
      </w:pPr>
      <w:r>
        <w:rPr>
          <w:rFonts w:hint="eastAsia" w:ascii="仿宋_GB2312" w:hAnsi="仿宋" w:eastAsia="仿宋_GB2312"/>
          <w:color w:val="000000"/>
          <w:sz w:val="32"/>
          <w:szCs w:val="32"/>
        </w:rPr>
        <w:pict>
          <v:shape id="Object 8" o:spid="_x0000_s2052" o:spt="75" type="#_x0000_t75" style="position:absolute;left:0pt;margin-left:48.2pt;margin-top:24.4pt;height:207.35pt;width:341.35pt;z-index:251660288;mso-width-relative:page;mso-height-relative:page;" o:ole="t" filled="f" o:preferrelative="t" stroked="f" coordsize="21600,21600">
            <v:path/>
            <v:fill on="f" focussize="0,0"/>
            <v:stroke on="f"/>
            <v:imagedata r:id="rId11" o:title=""/>
            <o:lock v:ext="edit" aspectratio="t"/>
          </v:shape>
          <o:OLEObject Type="Embed" ProgID="Excel.Chart.8" ShapeID="Object 8" DrawAspect="Content" ObjectID="_1468075727" r:id="rId10">
            <o:LockedField>false</o:LockedField>
          </o:OLEObject>
        </w:pict>
      </w:r>
    </w:p>
    <w:p>
      <w:pPr>
        <w:spacing w:line="600" w:lineRule="exact"/>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hint="eastAsia" w:ascii="仿宋_GB2312" w:eastAsia="仿宋_GB2312"/>
          <w:color w:val="FF0000"/>
          <w:sz w:val="32"/>
          <w:szCs w:val="32"/>
        </w:rPr>
      </w:pPr>
    </w:p>
    <w:p>
      <w:pPr>
        <w:spacing w:line="600" w:lineRule="exact"/>
        <w:ind w:firstLine="640" w:firstLineChars="200"/>
        <w:rPr>
          <w:rFonts w:hint="eastAsia" w:ascii="仿宋_GB2312" w:eastAsia="仿宋_GB2312"/>
          <w:color w:val="FF0000"/>
          <w:sz w:val="32"/>
          <w:szCs w:val="32"/>
        </w:rPr>
      </w:pPr>
    </w:p>
    <w:p>
      <w:pPr>
        <w:spacing w:line="600" w:lineRule="exact"/>
        <w:ind w:firstLine="640" w:firstLineChars="200"/>
        <w:rPr>
          <w:rFonts w:hint="eastAsia"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jc w:val="center"/>
        <w:outlineLvl w:val="1"/>
        <w:rPr>
          <w:rFonts w:hint="eastAsia" w:ascii="仿宋_GB2312" w:hAnsi="黑体" w:eastAsia="仿宋_GB2312"/>
          <w:color w:val="000000"/>
          <w:sz w:val="32"/>
          <w:szCs w:val="32"/>
        </w:rPr>
      </w:pPr>
      <w:bookmarkStart w:id="35" w:name="_Toc489"/>
      <w:bookmarkStart w:id="36" w:name="_Toc9363"/>
      <w:bookmarkStart w:id="37" w:name="_Toc32323"/>
      <w:bookmarkStart w:id="38" w:name="_Toc23388"/>
      <w:bookmarkStart w:id="39" w:name="_Toc29138"/>
      <w:r>
        <w:rPr>
          <w:rFonts w:hint="eastAsia" w:ascii="仿宋_GB2312" w:hAnsi="仿宋" w:eastAsia="仿宋_GB2312"/>
          <w:color w:val="000000"/>
          <w:sz w:val="32"/>
          <w:szCs w:val="32"/>
        </w:rPr>
        <w:t>图3：支出决算结构图</w:t>
      </w:r>
      <w:bookmarkEnd w:id="35"/>
      <w:bookmarkEnd w:id="36"/>
      <w:bookmarkEnd w:id="37"/>
      <w:bookmarkEnd w:id="38"/>
      <w:bookmarkEnd w:id="39"/>
      <w:r>
        <w:rPr>
          <w:rFonts w:hint="eastAsia" w:ascii="仿宋_GB2312" w:hAnsi="黑体" w:eastAsia="仿宋_GB2312"/>
          <w:color w:val="000000"/>
          <w:sz w:val="32"/>
          <w:szCs w:val="32"/>
        </w:rPr>
        <w:tab/>
      </w:r>
    </w:p>
    <w:p>
      <w:pPr>
        <w:pStyle w:val="2"/>
        <w:spacing w:before="93"/>
      </w:pPr>
    </w:p>
    <w:p>
      <w:pPr>
        <w:spacing w:line="600" w:lineRule="exact"/>
        <w:rPr>
          <w:rFonts w:ascii="仿宋_GB2312" w:eastAsia="仿宋_GB2312"/>
          <w:sz w:val="32"/>
          <w:szCs w:val="32"/>
        </w:rPr>
      </w:pPr>
    </w:p>
    <w:p>
      <w:pPr>
        <w:spacing w:line="600" w:lineRule="exact"/>
        <w:ind w:firstLine="640" w:firstLineChars="200"/>
        <w:outlineLvl w:val="1"/>
        <w:rPr>
          <w:rStyle w:val="22"/>
          <w:rFonts w:ascii="黑体" w:hAnsi="黑体" w:eastAsia="黑体"/>
          <w:b w:val="0"/>
        </w:rPr>
      </w:pPr>
      <w:bookmarkStart w:id="40" w:name="_Toc15396606"/>
      <w:bookmarkStart w:id="41" w:name="_Toc20313"/>
      <w:bookmarkStart w:id="42" w:name="_Toc15377208"/>
      <w:r>
        <w:rPr>
          <w:rFonts w:hint="eastAsia" w:ascii="黑体" w:hAnsi="黑体" w:eastAsia="黑体"/>
          <w:sz w:val="32"/>
          <w:szCs w:val="32"/>
        </w:rPr>
        <w:t>四、财</w:t>
      </w:r>
      <w:r>
        <w:rPr>
          <w:rStyle w:val="22"/>
          <w:rFonts w:hint="eastAsia" w:ascii="黑体" w:hAnsi="黑体" w:eastAsia="黑体"/>
          <w:b w:val="0"/>
        </w:rPr>
        <w:t>政拨款收入支出决算总体情况说明</w:t>
      </w:r>
      <w:bookmarkEnd w:id="40"/>
      <w:bookmarkEnd w:id="41"/>
      <w:bookmarkEnd w:id="42"/>
    </w:p>
    <w:p>
      <w:pPr>
        <w:spacing w:line="600" w:lineRule="exact"/>
        <w:ind w:firstLine="640"/>
        <w:rPr>
          <w:rFonts w:hint="eastAsia" w:ascii="仿宋" w:hAnsi="仿宋" w:eastAsia="仿宋"/>
          <w:color w:val="000000"/>
          <w:sz w:val="32"/>
          <w:szCs w:val="32"/>
        </w:rPr>
      </w:pPr>
      <w:r>
        <w:rPr>
          <w:rFonts w:ascii="仿宋" w:hAnsi="仿宋" w:eastAsia="仿宋"/>
          <w:sz w:val="32"/>
          <w:szCs w:val="32"/>
        </w:rPr>
        <w:t>20</w:t>
      </w:r>
      <w:r>
        <w:rPr>
          <w:rFonts w:hint="eastAsia" w:ascii="仿宋" w:hAnsi="仿宋" w:eastAsia="仿宋"/>
          <w:sz w:val="32"/>
          <w:szCs w:val="32"/>
        </w:rPr>
        <w:t>21年财政拨款收、支总计3110.35万元。与</w:t>
      </w:r>
      <w:r>
        <w:rPr>
          <w:rFonts w:ascii="仿宋" w:hAnsi="仿宋" w:eastAsia="仿宋"/>
          <w:sz w:val="32"/>
          <w:szCs w:val="32"/>
        </w:rPr>
        <w:t>20</w:t>
      </w:r>
      <w:r>
        <w:rPr>
          <w:rFonts w:hint="eastAsia" w:ascii="仿宋" w:hAnsi="仿宋" w:eastAsia="仿宋"/>
          <w:sz w:val="32"/>
          <w:szCs w:val="32"/>
        </w:rPr>
        <w:t>20年相比，财政拨款收、支总计各增加82.11万元，增长2.7</w:t>
      </w:r>
      <w:r>
        <w:rPr>
          <w:rFonts w:ascii="仿宋" w:hAnsi="仿宋" w:eastAsia="仿宋"/>
          <w:sz w:val="32"/>
          <w:szCs w:val="32"/>
        </w:rPr>
        <w:t>%</w:t>
      </w:r>
      <w:r>
        <w:rPr>
          <w:rFonts w:hint="eastAsia" w:ascii="仿宋" w:hAnsi="仿宋" w:eastAsia="仿宋"/>
          <w:sz w:val="32"/>
          <w:szCs w:val="32"/>
        </w:rPr>
        <w:t>。主要变动原因是机关高层次人才引进以及人员目标绩效调整，人员及公用经费增长。</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pict>
          <v:shape id="Object 9" o:spid="_x0000_s2053" o:spt="75" type="#_x0000_t75" style="position:absolute;left:0pt;margin-left:47.55pt;margin-top:24.3pt;height:206.45pt;width:339.75pt;z-index:251661312;mso-width-relative:page;mso-height-relative:page;" o:ole="t" filled="f" o:preferrelative="t" stroked="f" coordsize="21600,21600">
            <v:path/>
            <v:fill on="f" focussize="0,0"/>
            <v:stroke on="f"/>
            <v:imagedata r:id="rId13" o:title=""/>
            <o:lock v:ext="edit" aspectratio="t"/>
          </v:shape>
          <o:OLEObject Type="Embed" ProgID="Excel.Chart.8" ShapeID="Object 9" DrawAspect="Content" ObjectID="_1468075728" r:id="rId12">
            <o:LockedField>false</o:LockedField>
          </o:OLEObject>
        </w:pic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rPr>
          <w:rFonts w:ascii="仿宋" w:hAnsi="仿宋" w:eastAsia="仿宋"/>
          <w:sz w:val="32"/>
          <w:szCs w:val="32"/>
        </w:rPr>
      </w:pP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rPr>
          <w:rFonts w:ascii="仿宋" w:hAnsi="仿宋" w:eastAsia="仿宋"/>
          <w:b/>
          <w:sz w:val="32"/>
          <w:szCs w:val="32"/>
        </w:rPr>
      </w:pPr>
    </w:p>
    <w:p>
      <w:pPr>
        <w:spacing w:line="600" w:lineRule="exact"/>
        <w:ind w:firstLine="640" w:firstLineChars="200"/>
        <w:outlineLvl w:val="1"/>
        <w:rPr>
          <w:rStyle w:val="22"/>
          <w:rFonts w:ascii="黑体" w:hAnsi="黑体" w:eastAsia="黑体"/>
          <w:b w:val="0"/>
        </w:rPr>
      </w:pPr>
      <w:bookmarkStart w:id="43" w:name="_Toc15396607"/>
      <w:bookmarkStart w:id="44" w:name="_Toc7061"/>
      <w:bookmarkStart w:id="45" w:name="_Toc15377209"/>
      <w:r>
        <w:rPr>
          <w:rFonts w:hint="eastAsia" w:ascii="黑体" w:hAnsi="黑体" w:eastAsia="黑体"/>
          <w:sz w:val="32"/>
          <w:szCs w:val="32"/>
        </w:rPr>
        <w:t>五、</w:t>
      </w:r>
      <w:r>
        <w:rPr>
          <w:rFonts w:hint="eastAsia" w:ascii="黑体" w:hAnsi="黑体" w:eastAsia="黑体"/>
          <w:b/>
          <w:sz w:val="32"/>
          <w:szCs w:val="32"/>
        </w:rPr>
        <w:t>一</w:t>
      </w:r>
      <w:r>
        <w:rPr>
          <w:rStyle w:val="22"/>
          <w:rFonts w:hint="eastAsia" w:ascii="黑体" w:hAnsi="黑体" w:eastAsia="黑体"/>
          <w:b w:val="0"/>
        </w:rPr>
        <w:t>般公共预算财政拨款支出决算情况说明</w:t>
      </w:r>
      <w:bookmarkEnd w:id="43"/>
      <w:bookmarkEnd w:id="44"/>
      <w:bookmarkEnd w:id="45"/>
    </w:p>
    <w:p>
      <w:pPr>
        <w:spacing w:line="600" w:lineRule="exact"/>
        <w:ind w:firstLine="643" w:firstLineChars="200"/>
        <w:outlineLvl w:val="2"/>
        <w:rPr>
          <w:rFonts w:ascii="仿宋" w:hAnsi="仿宋" w:eastAsia="仿宋"/>
          <w:b/>
          <w:sz w:val="32"/>
          <w:szCs w:val="32"/>
        </w:rPr>
      </w:pPr>
      <w:bookmarkStart w:id="46" w:name="_Toc15377210"/>
      <w:r>
        <w:rPr>
          <w:rFonts w:hint="eastAsia" w:ascii="仿宋" w:hAnsi="仿宋" w:eastAsia="仿宋"/>
          <w:b/>
          <w:sz w:val="32"/>
          <w:szCs w:val="32"/>
        </w:rPr>
        <w:t>（一）一般公共预算财政拨款支出决算总体情况</w:t>
      </w:r>
      <w:bookmarkEnd w:id="46"/>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21年一般公共预算财政拨款支出2968.64万元，占本年支出合计的98.04</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20年相比，一般公共预算财政拨款支出增加198.42万元，增长7.16</w:t>
      </w:r>
      <w:r>
        <w:rPr>
          <w:rFonts w:ascii="仿宋" w:hAnsi="仿宋" w:eastAsia="仿宋"/>
          <w:sz w:val="32"/>
          <w:szCs w:val="32"/>
        </w:rPr>
        <w:t>%</w:t>
      </w:r>
      <w:r>
        <w:rPr>
          <w:rFonts w:hint="eastAsia" w:ascii="仿宋" w:hAnsi="仿宋" w:eastAsia="仿宋"/>
          <w:sz w:val="32"/>
          <w:szCs w:val="32"/>
        </w:rPr>
        <w:t>。主要变动原因机关高层次人才引进以及人员目标绩效调整，人员及公用经费增长。</w: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pict>
          <v:shape id="Object 12" o:spid="_x0000_s2054" o:spt="75" type="#_x0000_t75" style="position:absolute;left:0pt;margin-left:42.55pt;margin-top:-53.75pt;height:200.1pt;width:329.05pt;z-index:251662336;mso-width-relative:page;mso-height-relative:page;" o:ole="t" filled="f" o:preferrelative="t" stroked="f" coordsize="21600,21600">
            <v:path/>
            <v:fill on="f" focussize="0,0"/>
            <v:stroke on="f"/>
            <v:imagedata r:id="rId15" o:title=""/>
            <o:lock v:ext="edit" aspectratio="t"/>
          </v:shape>
          <o:OLEObject Type="Embed" ProgID="Excel.Chart.8" ShapeID="Object 12" DrawAspect="Content" ObjectID="_1468075729" r:id="rId14">
            <o:LockedField>false</o:LockedField>
          </o:OLEObject>
        </w:pict>
      </w:r>
    </w:p>
    <w:p>
      <w:pPr>
        <w:spacing w:line="600" w:lineRule="exact"/>
        <w:ind w:firstLine="640" w:firstLineChars="200"/>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pStyle w:val="2"/>
        <w:rPr>
          <w:rFonts w:hint="eastAsia"/>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47" w:name="_Toc15377211"/>
      <w:r>
        <w:rPr>
          <w:rFonts w:hint="eastAsia" w:ascii="仿宋" w:hAnsi="仿宋" w:eastAsia="仿宋"/>
          <w:b/>
          <w:sz w:val="32"/>
          <w:szCs w:val="32"/>
        </w:rPr>
        <w:t>（二）一般公共预算财政拨款支出决算结构情况</w:t>
      </w:r>
      <w:bookmarkEnd w:id="47"/>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21年一般公共预算财政拨款支出2968.64万元，主要用于以下方面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支出2477.54万元，占83.46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科学技术（类）</w:t>
      </w:r>
      <w:r>
        <w:rPr>
          <w:rFonts w:hint="eastAsia" w:ascii="仿宋" w:hAnsi="仿宋" w:eastAsia="仿宋"/>
          <w:sz w:val="32"/>
          <w:szCs w:val="32"/>
        </w:rPr>
        <w:t>支出0.15万元，占</w:t>
      </w:r>
      <w:r>
        <w:rPr>
          <w:rFonts w:hint="eastAsia" w:ascii="仿宋" w:hAnsi="仿宋" w:eastAsia="仿宋"/>
          <w:sz w:val="32"/>
          <w:szCs w:val="32"/>
          <w:lang w:val="en-US" w:eastAsia="zh-CN"/>
        </w:rPr>
        <w:t>比四舍五入后不到0.01%</w:t>
      </w:r>
      <w:bookmarkStart w:id="108" w:name="_GoBack"/>
      <w:bookmarkEnd w:id="108"/>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支出254.</w:t>
      </w:r>
      <w:r>
        <w:rPr>
          <w:rFonts w:hint="eastAsia" w:ascii="仿宋" w:hAnsi="仿宋" w:eastAsia="仿宋"/>
          <w:sz w:val="32"/>
          <w:szCs w:val="32"/>
          <w:lang w:val="en-US" w:eastAsia="zh-CN"/>
        </w:rPr>
        <w:t>86</w:t>
      </w:r>
      <w:r>
        <w:rPr>
          <w:rFonts w:hint="eastAsia" w:ascii="仿宋" w:hAnsi="仿宋" w:eastAsia="仿宋"/>
          <w:sz w:val="32"/>
          <w:szCs w:val="32"/>
        </w:rPr>
        <w:t>万元，占8.59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69.22万元，占2.33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166.87万元，占5.62</w:t>
      </w:r>
      <w:r>
        <w:rPr>
          <w:rFonts w:ascii="仿宋" w:hAnsi="仿宋" w:eastAsia="仿宋"/>
          <w:sz w:val="32"/>
          <w:szCs w:val="32"/>
        </w:rPr>
        <w:t>%</w:t>
      </w:r>
      <w:r>
        <w:rPr>
          <w:rFonts w:hint="eastAsia" w:ascii="仿宋" w:hAnsi="仿宋" w:eastAsia="仿宋"/>
          <w:sz w:val="32"/>
          <w:szCs w:val="32"/>
        </w:rPr>
        <w:t>。</w:t>
      </w:r>
    </w:p>
    <w:p>
      <w:pPr>
        <w:pStyle w:val="2"/>
        <w:spacing w:before="93"/>
        <w:rPr>
          <w:rFonts w:hint="eastAsia"/>
        </w:rPr>
      </w:pPr>
      <w:r>
        <w:rPr>
          <w:rFonts w:hint="eastAsia" w:ascii="仿宋" w:hAnsi="仿宋" w:eastAsia="仿宋"/>
          <w:color w:val="000000"/>
          <w:sz w:val="32"/>
          <w:szCs w:val="32"/>
        </w:rPr>
        <w:pict>
          <v:shape id="Object 11" o:spid="_x0000_s2056" o:spt="75" type="#_x0000_t75" style="position:absolute;left:0pt;margin-left:36.25pt;margin-top:27.3pt;height:208.85pt;width:352.75pt;z-index:251664384;mso-width-relative:page;mso-height-relative:page;" o:ole="t" filled="f" o:preferrelative="t" stroked="f" coordsize="21600,21600">
            <v:path/>
            <v:fill on="f" focussize="0,0"/>
            <v:stroke on="f"/>
            <v:imagedata r:id="rId17" o:title=""/>
            <o:lock v:ext="edit" aspectratio="t"/>
          </v:shape>
          <o:OLEObject Type="Embed" ProgID="Excel.Chart.8" ShapeID="Object 11" DrawAspect="Content" ObjectID="_1468075730" r:id="rId16">
            <o:LockedField>false</o:LockedField>
          </o:OLEObject>
        </w:pict>
      </w:r>
    </w:p>
    <w:p>
      <w:pPr>
        <w:pStyle w:val="2"/>
        <w:spacing w:before="93"/>
        <w:rPr>
          <w:rFonts w:hint="eastAsia"/>
        </w:rPr>
      </w:pPr>
    </w:p>
    <w:p>
      <w:pPr>
        <w:pStyle w:val="2"/>
        <w:spacing w:before="93"/>
        <w:rPr>
          <w:rFonts w:hint="eastAsia"/>
        </w:rPr>
      </w:pPr>
    </w:p>
    <w:p>
      <w:pPr>
        <w:pStyle w:val="2"/>
        <w:spacing w:before="93"/>
        <w:rPr>
          <w:rFonts w:hint="eastAsia"/>
        </w:rPr>
      </w:pPr>
    </w:p>
    <w:p>
      <w:pPr>
        <w:pStyle w:val="2"/>
        <w:spacing w:before="93"/>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hint="eastAsia" w:ascii="仿宋" w:hAnsi="仿宋" w:eastAsia="仿宋"/>
          <w:b/>
          <w:sz w:val="32"/>
          <w:szCs w:val="32"/>
        </w:rPr>
      </w:pPr>
      <w:bookmarkStart w:id="48" w:name="_Toc15377212"/>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48"/>
    </w:p>
    <w:p>
      <w:pPr>
        <w:spacing w:line="600" w:lineRule="exact"/>
        <w:ind w:firstLine="643" w:firstLineChars="200"/>
        <w:outlineLvl w:val="2"/>
        <w:rPr>
          <w:rFonts w:ascii="仿宋" w:hAnsi="仿宋" w:eastAsia="仿宋"/>
          <w:sz w:val="32"/>
          <w:szCs w:val="32"/>
        </w:rPr>
      </w:pPr>
      <w:bookmarkStart w:id="49" w:name="_Toc15377444"/>
      <w:bookmarkStart w:id="50" w:name="_Toc15377213"/>
      <w:bookmarkStart w:id="51" w:name="_Toc15378460"/>
      <w:r>
        <w:rPr>
          <w:rFonts w:hint="eastAsia" w:ascii="仿宋" w:hAnsi="仿宋" w:eastAsia="仿宋"/>
          <w:b/>
          <w:sz w:val="32"/>
          <w:szCs w:val="32"/>
        </w:rPr>
        <w:t>2021年一般公共预算支出决算数为2968.64万元</w:t>
      </w:r>
      <w:r>
        <w:rPr>
          <w:rFonts w:hint="eastAsia" w:ascii="仿宋" w:hAnsi="仿宋" w:eastAsia="仿宋"/>
          <w:sz w:val="32"/>
          <w:szCs w:val="32"/>
        </w:rPr>
        <w:t>，</w:t>
      </w:r>
      <w:r>
        <w:rPr>
          <w:rStyle w:val="19"/>
          <w:rFonts w:hint="eastAsia" w:ascii="仿宋" w:hAnsi="仿宋" w:eastAsia="仿宋"/>
          <w:bCs/>
          <w:sz w:val="32"/>
          <w:szCs w:val="32"/>
        </w:rPr>
        <w:t>完成预算95.44</w:t>
      </w:r>
      <w:r>
        <w:rPr>
          <w:rStyle w:val="19"/>
          <w:rFonts w:ascii="仿宋" w:hAnsi="仿宋" w:eastAsia="仿宋"/>
          <w:bCs/>
          <w:sz w:val="32"/>
          <w:szCs w:val="32"/>
        </w:rPr>
        <w:t>%</w:t>
      </w:r>
      <w:r>
        <w:rPr>
          <w:rStyle w:val="19"/>
          <w:rFonts w:hint="eastAsia" w:ascii="仿宋" w:hAnsi="仿宋" w:eastAsia="仿宋"/>
          <w:bCs/>
          <w:sz w:val="32"/>
          <w:szCs w:val="32"/>
        </w:rPr>
        <w:t>。其中：</w:t>
      </w:r>
      <w:bookmarkEnd w:id="49"/>
      <w:bookmarkEnd w:id="50"/>
      <w:bookmarkEnd w:id="51"/>
    </w:p>
    <w:p>
      <w:pPr>
        <w:spacing w:line="600" w:lineRule="exact"/>
        <w:ind w:firstLine="643" w:firstLineChars="200"/>
        <w:rPr>
          <w:rFonts w:hint="eastAsia" w:ascii="仿宋" w:hAnsi="仿宋" w:eastAsia="仿宋"/>
          <w:b/>
          <w:sz w:val="32"/>
          <w:szCs w:val="32"/>
        </w:rPr>
      </w:pPr>
      <w:r>
        <w:rPr>
          <w:rStyle w:val="19"/>
          <w:rFonts w:ascii="仿宋" w:hAnsi="仿宋" w:eastAsia="仿宋"/>
          <w:bCs/>
          <w:sz w:val="32"/>
          <w:szCs w:val="32"/>
        </w:rPr>
        <w:t>1.</w:t>
      </w:r>
      <w:r>
        <w:rPr>
          <w:rStyle w:val="19"/>
          <w:rFonts w:hint="eastAsia" w:ascii="仿宋" w:hAnsi="仿宋" w:eastAsia="仿宋"/>
          <w:bCs/>
          <w:sz w:val="32"/>
          <w:szCs w:val="32"/>
        </w:rPr>
        <w:t>一般公共服务（类）发展和改革事务（款）行政运行（项）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支出决算为1794.75万元，完成预算100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3" w:firstLineChars="200"/>
        <w:rPr>
          <w:rStyle w:val="19"/>
          <w:rFonts w:hint="eastAsia" w:ascii="仿宋" w:hAnsi="仿宋" w:eastAsia="仿宋"/>
          <w:sz w:val="32"/>
          <w:szCs w:val="32"/>
        </w:rPr>
      </w:pPr>
      <w:r>
        <w:rPr>
          <w:rStyle w:val="19"/>
          <w:rFonts w:ascii="仿宋" w:hAnsi="仿宋" w:eastAsia="仿宋"/>
          <w:bCs/>
          <w:sz w:val="32"/>
          <w:szCs w:val="32"/>
        </w:rPr>
        <w:t>2.</w:t>
      </w:r>
      <w:r>
        <w:rPr>
          <w:rStyle w:val="19"/>
          <w:rFonts w:hint="eastAsia" w:ascii="仿宋" w:hAnsi="仿宋" w:eastAsia="仿宋"/>
          <w:bCs/>
          <w:sz w:val="32"/>
          <w:szCs w:val="32"/>
        </w:rPr>
        <w:t xml:space="preserve"> 一般公共服务（类）发展和改革事务（款）一般行政管理事务（项）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支出决算为254.94万元，完成预算96.33</w:t>
      </w:r>
      <w:r>
        <w:rPr>
          <w:rStyle w:val="19"/>
          <w:rFonts w:ascii="仿宋" w:hAnsi="仿宋" w:eastAsia="仿宋"/>
          <w:b w:val="0"/>
          <w:bCs/>
          <w:sz w:val="32"/>
          <w:szCs w:val="32"/>
        </w:rPr>
        <w:t>%</w:t>
      </w:r>
      <w:r>
        <w:rPr>
          <w:rStyle w:val="19"/>
          <w:rFonts w:hint="eastAsia" w:ascii="仿宋" w:hAnsi="仿宋" w:eastAsia="仿宋"/>
          <w:b w:val="0"/>
          <w:bCs/>
          <w:sz w:val="32"/>
          <w:szCs w:val="32"/>
        </w:rPr>
        <w:t>，决算数小于预算数的主要原因：一是广元市公共信用平台项目等保测评4.9万元；二是重大项目前期工作经费2.68万元采购经费；三是公车购置经费2.13万元当年无法完成支付，结转至2022年继续使用。</w:t>
      </w:r>
    </w:p>
    <w:p>
      <w:pPr>
        <w:spacing w:line="600" w:lineRule="exact"/>
        <w:ind w:firstLine="480" w:firstLineChars="150"/>
        <w:rPr>
          <w:rStyle w:val="19"/>
          <w:rFonts w:hint="eastAsia" w:ascii="仿宋" w:hAnsi="仿宋" w:eastAsia="仿宋"/>
          <w:bCs/>
          <w:sz w:val="32"/>
          <w:szCs w:val="32"/>
        </w:rPr>
      </w:pPr>
      <w:r>
        <w:rPr>
          <w:rFonts w:hint="eastAsia"/>
          <w:sz w:val="32"/>
          <w:szCs w:val="32"/>
        </w:rPr>
        <w:t xml:space="preserve"> 3.</w:t>
      </w:r>
      <w:r>
        <w:rPr>
          <w:rStyle w:val="19"/>
          <w:rFonts w:hint="eastAsia" w:ascii="仿宋" w:hAnsi="仿宋" w:eastAsia="仿宋"/>
          <w:bCs/>
          <w:sz w:val="32"/>
          <w:szCs w:val="32"/>
        </w:rPr>
        <w:t xml:space="preserve"> 一般公共服务（类）发展和改革事务（款）社会事务发展规划（项）</w:t>
      </w:r>
      <w:r>
        <w:rPr>
          <w:rStyle w:val="19"/>
          <w:rFonts w:ascii="仿宋" w:hAnsi="仿宋" w:eastAsia="仿宋"/>
          <w:bCs/>
          <w:sz w:val="32"/>
          <w:szCs w:val="32"/>
        </w:rPr>
        <w:t>:</w:t>
      </w:r>
      <w:r>
        <w:rPr>
          <w:rStyle w:val="19"/>
          <w:rFonts w:hint="eastAsia" w:ascii="仿宋" w:hAnsi="仿宋" w:eastAsia="仿宋"/>
          <w:b w:val="0"/>
          <w:bCs/>
          <w:sz w:val="32"/>
          <w:szCs w:val="32"/>
        </w:rPr>
        <w:t xml:space="preserve"> 支出决算为157.29万元，完成预算57.14</w:t>
      </w:r>
      <w:r>
        <w:rPr>
          <w:rStyle w:val="19"/>
          <w:rFonts w:ascii="仿宋" w:hAnsi="仿宋" w:eastAsia="仿宋"/>
          <w:b w:val="0"/>
          <w:bCs/>
          <w:sz w:val="32"/>
          <w:szCs w:val="32"/>
        </w:rPr>
        <w:t>%</w:t>
      </w:r>
      <w:r>
        <w:rPr>
          <w:rStyle w:val="19"/>
          <w:rFonts w:hint="eastAsia" w:ascii="仿宋" w:hAnsi="仿宋" w:eastAsia="仿宋"/>
          <w:b w:val="0"/>
          <w:bCs/>
          <w:sz w:val="32"/>
          <w:szCs w:val="32"/>
        </w:rPr>
        <w:t>，决算数小于预算数的主要原因是年末追加的十四五规划编制经费受省上位规划影响，当年无法完成支付，结转至2022年继续使用。</w:t>
      </w:r>
    </w:p>
    <w:p>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rPr>
        <w:t xml:space="preserve"> 4. 一般公共服务（类）发展和改革事务（款）事业运行（项）</w:t>
      </w:r>
      <w:r>
        <w:rPr>
          <w:rStyle w:val="19"/>
          <w:rFonts w:ascii="仿宋" w:hAnsi="仿宋" w:eastAsia="仿宋"/>
          <w:bCs/>
          <w:sz w:val="32"/>
          <w:szCs w:val="32"/>
        </w:rPr>
        <w:t>:</w:t>
      </w:r>
      <w:r>
        <w:rPr>
          <w:rStyle w:val="19"/>
          <w:rFonts w:hint="eastAsia" w:ascii="仿宋" w:hAnsi="仿宋" w:eastAsia="仿宋"/>
          <w:b w:val="0"/>
          <w:bCs/>
          <w:sz w:val="32"/>
          <w:szCs w:val="32"/>
        </w:rPr>
        <w:t xml:space="preserve"> 支出决算为176.06万元，完成预算100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pStyle w:val="2"/>
        <w:spacing w:before="93"/>
        <w:rPr>
          <w:rStyle w:val="19"/>
          <w:rFonts w:hint="eastAsia" w:ascii="仿宋" w:hAnsi="仿宋" w:eastAsia="仿宋"/>
          <w:bCs/>
          <w:sz w:val="32"/>
          <w:szCs w:val="32"/>
        </w:rPr>
      </w:pPr>
      <w:r>
        <w:rPr>
          <w:rStyle w:val="19"/>
          <w:rFonts w:hint="eastAsia" w:ascii="仿宋" w:hAnsi="仿宋" w:eastAsia="仿宋"/>
          <w:bCs/>
          <w:sz w:val="32"/>
          <w:szCs w:val="32"/>
        </w:rPr>
        <w:t xml:space="preserve">     5.</w:t>
      </w:r>
      <w:r>
        <w:rPr>
          <w:rFonts w:hint="eastAsia"/>
        </w:rPr>
        <w:t xml:space="preserve"> </w:t>
      </w:r>
      <w:r>
        <w:rPr>
          <w:rStyle w:val="19"/>
          <w:rFonts w:hint="eastAsia" w:ascii="仿宋" w:hAnsi="仿宋" w:eastAsia="仿宋"/>
          <w:bCs/>
          <w:sz w:val="32"/>
          <w:szCs w:val="32"/>
        </w:rPr>
        <w:t>一般公共服务（类）发展和改革事务（款）其他发展与改革事务支出（项）</w:t>
      </w:r>
      <w:r>
        <w:rPr>
          <w:rStyle w:val="19"/>
          <w:rFonts w:ascii="仿宋" w:hAnsi="仿宋" w:eastAsia="仿宋"/>
          <w:bCs/>
          <w:sz w:val="32"/>
          <w:szCs w:val="32"/>
        </w:rPr>
        <w:t>:</w:t>
      </w:r>
      <w:r>
        <w:rPr>
          <w:rStyle w:val="19"/>
          <w:rFonts w:hint="eastAsia" w:ascii="仿宋" w:hAnsi="仿宋" w:eastAsia="仿宋"/>
          <w:b w:val="0"/>
          <w:bCs/>
          <w:sz w:val="32"/>
          <w:szCs w:val="32"/>
        </w:rPr>
        <w:t xml:space="preserve"> 支出决算为94.50万元，完成预算87.1</w:t>
      </w:r>
      <w:r>
        <w:rPr>
          <w:rStyle w:val="19"/>
          <w:rFonts w:ascii="仿宋" w:hAnsi="仿宋" w:eastAsia="仿宋"/>
          <w:b w:val="0"/>
          <w:bCs/>
          <w:sz w:val="32"/>
          <w:szCs w:val="32"/>
        </w:rPr>
        <w:t>%</w:t>
      </w:r>
      <w:r>
        <w:rPr>
          <w:rStyle w:val="19"/>
          <w:rFonts w:hint="eastAsia" w:ascii="仿宋" w:hAnsi="仿宋" w:eastAsia="仿宋"/>
          <w:b w:val="0"/>
          <w:bCs/>
          <w:sz w:val="32"/>
          <w:szCs w:val="32"/>
        </w:rPr>
        <w:t>，决算数小于预算数的主要原因：一是广元市能量等耗规划编制当年无法全面完成，编制经费7.5万元当年不能实现支付；二是粮食购销领域专项整治经费中6.5万元需添置粮食行政执法专用装备需政府采购流程，当年无法实现支付。</w:t>
      </w:r>
    </w:p>
    <w:p>
      <w:pPr>
        <w:pStyle w:val="2"/>
        <w:spacing w:before="93"/>
        <w:rPr>
          <w:rFonts w:ascii="仿宋" w:hAnsi="仿宋" w:eastAsia="仿宋"/>
          <w:b/>
          <w:sz w:val="32"/>
          <w:szCs w:val="32"/>
        </w:rPr>
      </w:pPr>
      <w:r>
        <w:rPr>
          <w:rStyle w:val="19"/>
          <w:rFonts w:hint="eastAsia" w:ascii="仿宋" w:hAnsi="仿宋" w:eastAsia="仿宋"/>
          <w:bCs/>
          <w:sz w:val="32"/>
          <w:szCs w:val="32"/>
        </w:rPr>
        <w:t xml:space="preserve">    6</w:t>
      </w:r>
      <w:r>
        <w:rPr>
          <w:rStyle w:val="19"/>
          <w:rFonts w:ascii="仿宋" w:hAnsi="仿宋" w:eastAsia="仿宋"/>
          <w:bCs/>
          <w:sz w:val="32"/>
          <w:szCs w:val="32"/>
        </w:rPr>
        <w:t>.</w:t>
      </w:r>
      <w:r>
        <w:rPr>
          <w:rStyle w:val="19"/>
          <w:rFonts w:hint="eastAsia" w:ascii="仿宋" w:hAnsi="仿宋" w:eastAsia="仿宋"/>
          <w:bCs/>
          <w:sz w:val="32"/>
          <w:szCs w:val="32"/>
        </w:rPr>
        <w:t>科学技术（类）技术研究与开发（款）科技成果转化与扩散（项）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支出决算为0.15万元，完成预算100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rPr>
        <w:t>7</w:t>
      </w:r>
      <w:r>
        <w:rPr>
          <w:rStyle w:val="19"/>
          <w:rFonts w:ascii="仿宋" w:hAnsi="仿宋" w:eastAsia="仿宋"/>
          <w:bCs/>
          <w:sz w:val="32"/>
          <w:szCs w:val="32"/>
        </w:rPr>
        <w:t>.</w:t>
      </w:r>
      <w:r>
        <w:rPr>
          <w:rStyle w:val="19"/>
          <w:rFonts w:hint="eastAsia" w:ascii="仿宋" w:hAnsi="仿宋" w:eastAsia="仿宋"/>
          <w:bCs/>
          <w:sz w:val="32"/>
          <w:szCs w:val="32"/>
        </w:rPr>
        <w:t>社会保障和就业支出（类）行政事业单位养老支出（款）行政单位离退休（项）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支出决算为23.07万元，完成预算100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420" w:firstLineChars="200"/>
        <w:rPr>
          <w:rStyle w:val="19"/>
          <w:rFonts w:hint="eastAsia" w:ascii="仿宋" w:hAnsi="仿宋" w:eastAsia="仿宋"/>
          <w:b w:val="0"/>
          <w:bCs/>
          <w:sz w:val="32"/>
          <w:szCs w:val="32"/>
        </w:rPr>
      </w:pPr>
      <w:r>
        <w:rPr>
          <w:rFonts w:hint="eastAsia"/>
        </w:rPr>
        <w:t xml:space="preserve">   </w:t>
      </w:r>
      <w:r>
        <w:rPr>
          <w:rStyle w:val="19"/>
          <w:rFonts w:hint="eastAsia" w:ascii="仿宋" w:hAnsi="仿宋" w:eastAsia="仿宋"/>
          <w:bCs/>
          <w:sz w:val="32"/>
          <w:szCs w:val="32"/>
        </w:rPr>
        <w:t>8</w:t>
      </w:r>
      <w:r>
        <w:rPr>
          <w:rStyle w:val="19"/>
          <w:rFonts w:ascii="仿宋" w:hAnsi="仿宋" w:eastAsia="仿宋"/>
          <w:bCs/>
          <w:sz w:val="32"/>
          <w:szCs w:val="32"/>
        </w:rPr>
        <w:t>.</w:t>
      </w:r>
      <w:r>
        <w:rPr>
          <w:rStyle w:val="19"/>
          <w:rFonts w:hint="eastAsia" w:ascii="仿宋" w:hAnsi="仿宋" w:eastAsia="仿宋"/>
          <w:bCs/>
          <w:sz w:val="32"/>
          <w:szCs w:val="32"/>
        </w:rPr>
        <w:t>社会保障和就业支出（类）行政事业单位养老支出（款）机关事业单位基本养老保险缴费支出（项）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支出决算为114.25万元，完成预算100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420" w:firstLineChars="200"/>
        <w:rPr>
          <w:rStyle w:val="19"/>
          <w:rFonts w:hint="eastAsia" w:ascii="仿宋" w:hAnsi="仿宋" w:eastAsia="仿宋"/>
          <w:b w:val="0"/>
          <w:bCs/>
          <w:sz w:val="32"/>
          <w:szCs w:val="32"/>
        </w:rPr>
      </w:pPr>
      <w:r>
        <w:rPr>
          <w:rFonts w:hint="eastAsia"/>
        </w:rPr>
        <w:t xml:space="preserve">    </w:t>
      </w:r>
      <w:r>
        <w:rPr>
          <w:rStyle w:val="19"/>
          <w:rFonts w:hint="eastAsia" w:ascii="仿宋" w:hAnsi="仿宋" w:eastAsia="仿宋"/>
          <w:bCs/>
          <w:sz w:val="32"/>
          <w:szCs w:val="32"/>
        </w:rPr>
        <w:t>9</w:t>
      </w:r>
      <w:r>
        <w:rPr>
          <w:rStyle w:val="19"/>
          <w:rFonts w:ascii="仿宋" w:hAnsi="仿宋" w:eastAsia="仿宋"/>
          <w:bCs/>
          <w:sz w:val="32"/>
          <w:szCs w:val="32"/>
        </w:rPr>
        <w:t>.</w:t>
      </w:r>
      <w:r>
        <w:rPr>
          <w:rStyle w:val="19"/>
          <w:rFonts w:hint="eastAsia" w:ascii="仿宋" w:hAnsi="仿宋" w:eastAsia="仿宋"/>
          <w:bCs/>
          <w:sz w:val="32"/>
          <w:szCs w:val="32"/>
        </w:rPr>
        <w:t>社会保障和就业支出（类）行政事业单位养老支出（款）机关事业单位职业年金缴费支出（项）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支出决算为18.17万元，完成预算100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420" w:firstLineChars="200"/>
        <w:rPr>
          <w:rStyle w:val="19"/>
          <w:rFonts w:hint="eastAsia" w:ascii="仿宋" w:hAnsi="仿宋" w:eastAsia="仿宋"/>
          <w:b w:val="0"/>
          <w:bCs/>
          <w:sz w:val="32"/>
          <w:szCs w:val="32"/>
        </w:rPr>
      </w:pPr>
      <w:r>
        <w:rPr>
          <w:rFonts w:hint="eastAsia"/>
        </w:rPr>
        <w:t xml:space="preserve">     </w:t>
      </w:r>
      <w:r>
        <w:rPr>
          <w:rStyle w:val="19"/>
          <w:rFonts w:hint="eastAsia" w:ascii="仿宋" w:hAnsi="仿宋" w:eastAsia="仿宋"/>
          <w:bCs/>
          <w:sz w:val="32"/>
          <w:szCs w:val="32"/>
        </w:rPr>
        <w:t>10</w:t>
      </w:r>
      <w:r>
        <w:rPr>
          <w:rStyle w:val="19"/>
          <w:rFonts w:ascii="仿宋" w:hAnsi="仿宋" w:eastAsia="仿宋"/>
          <w:bCs/>
          <w:sz w:val="32"/>
          <w:szCs w:val="32"/>
        </w:rPr>
        <w:t>.</w:t>
      </w:r>
      <w:r>
        <w:rPr>
          <w:rStyle w:val="19"/>
          <w:rFonts w:hint="eastAsia" w:ascii="仿宋" w:hAnsi="仿宋" w:eastAsia="仿宋"/>
          <w:bCs/>
          <w:sz w:val="32"/>
          <w:szCs w:val="32"/>
        </w:rPr>
        <w:t>社会保障和就业支出（类）抚恤（款）死亡抚恤（项）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支出决算为19.62万元，完成预算100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420" w:firstLineChars="200"/>
        <w:rPr>
          <w:rStyle w:val="19"/>
          <w:rFonts w:hint="eastAsia" w:ascii="仿宋" w:hAnsi="仿宋" w:eastAsia="仿宋"/>
          <w:b w:val="0"/>
          <w:bCs/>
          <w:sz w:val="32"/>
          <w:szCs w:val="32"/>
        </w:rPr>
      </w:pPr>
      <w:r>
        <w:rPr>
          <w:rFonts w:hint="eastAsia"/>
        </w:rPr>
        <w:t xml:space="preserve">    </w:t>
      </w:r>
      <w:r>
        <w:rPr>
          <w:rStyle w:val="19"/>
          <w:rFonts w:hint="eastAsia" w:ascii="仿宋" w:hAnsi="仿宋" w:eastAsia="仿宋"/>
          <w:bCs/>
          <w:sz w:val="32"/>
          <w:szCs w:val="32"/>
        </w:rPr>
        <w:t>11</w:t>
      </w:r>
      <w:r>
        <w:rPr>
          <w:rStyle w:val="19"/>
          <w:rFonts w:ascii="仿宋" w:hAnsi="仿宋" w:eastAsia="仿宋"/>
          <w:bCs/>
          <w:sz w:val="32"/>
          <w:szCs w:val="32"/>
        </w:rPr>
        <w:t>.</w:t>
      </w:r>
      <w:r>
        <w:rPr>
          <w:rStyle w:val="19"/>
          <w:rFonts w:hint="eastAsia" w:ascii="仿宋" w:hAnsi="仿宋" w:eastAsia="仿宋"/>
          <w:bCs/>
          <w:sz w:val="32"/>
          <w:szCs w:val="32"/>
        </w:rPr>
        <w:t>社会保障和就业支出（类）其他社会保障和就业支出（款）其他社会保障和就业支出（项）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支出决算为79.75万元，完成预算100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rPr>
        <w:t>12</w:t>
      </w:r>
      <w:r>
        <w:rPr>
          <w:rStyle w:val="19"/>
          <w:rFonts w:ascii="仿宋" w:hAnsi="仿宋" w:eastAsia="仿宋"/>
          <w:bCs/>
          <w:sz w:val="32"/>
          <w:szCs w:val="32"/>
        </w:rPr>
        <w:t>.</w:t>
      </w:r>
      <w:r>
        <w:rPr>
          <w:rFonts w:hint="eastAsia" w:ascii="仿宋" w:hAnsi="仿宋" w:eastAsia="仿宋"/>
          <w:b/>
          <w:bCs/>
          <w:sz w:val="32"/>
          <w:szCs w:val="32"/>
        </w:rPr>
        <w:t>卫生健康支出</w:t>
      </w:r>
      <w:r>
        <w:rPr>
          <w:rStyle w:val="19"/>
          <w:rFonts w:hint="eastAsia" w:ascii="仿宋" w:hAnsi="仿宋" w:eastAsia="仿宋"/>
          <w:bCs/>
          <w:sz w:val="32"/>
          <w:szCs w:val="32"/>
        </w:rPr>
        <w:t>（类）行政单位医疗（款）行政单位医疗（项）</w:t>
      </w:r>
      <w:r>
        <w:rPr>
          <w:rStyle w:val="19"/>
          <w:rFonts w:ascii="仿宋" w:hAnsi="仿宋" w:eastAsia="仿宋"/>
          <w:bCs/>
          <w:sz w:val="32"/>
          <w:szCs w:val="32"/>
        </w:rPr>
        <w:t>:</w:t>
      </w:r>
      <w:r>
        <w:rPr>
          <w:rStyle w:val="19"/>
          <w:rFonts w:hint="eastAsia" w:ascii="仿宋" w:hAnsi="仿宋" w:eastAsia="仿宋"/>
          <w:b w:val="0"/>
          <w:bCs/>
          <w:sz w:val="32"/>
          <w:szCs w:val="32"/>
        </w:rPr>
        <w:t>支出决算为69.22万元，完成预算100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13.住房保障支出（类）住房改革支出（款）住房公积金（项）：支出决算数为146.87万元，完成预算100%。</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14. 住房保障支出（类）住房改革支出（款）购房补贴（项）：支出决算数为20万元，完成预算100%。</w:t>
      </w:r>
    </w:p>
    <w:p>
      <w:pPr>
        <w:tabs>
          <w:tab w:val="right" w:pos="8306"/>
        </w:tabs>
        <w:spacing w:line="600" w:lineRule="exact"/>
        <w:ind w:firstLine="640"/>
        <w:outlineLvl w:val="1"/>
        <w:rPr>
          <w:rStyle w:val="22"/>
        </w:rPr>
      </w:pPr>
      <w:bookmarkStart w:id="52" w:name="_Toc16029"/>
      <w:bookmarkStart w:id="53" w:name="_Toc15377214"/>
      <w:bookmarkStart w:id="54"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2"/>
          <w:rFonts w:hint="eastAsia" w:ascii="黑体" w:hAnsi="黑体" w:eastAsia="黑体"/>
          <w:b w:val="0"/>
        </w:rPr>
        <w:t>般公共预算财政拨款基本支出决算情况说明</w:t>
      </w:r>
      <w:bookmarkEnd w:id="52"/>
      <w:bookmarkEnd w:id="53"/>
      <w:bookmarkEnd w:id="54"/>
      <w:r>
        <w:rPr>
          <w:rStyle w:val="22"/>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21年一般公共预算财政拨款基本支出2461.7</w:t>
      </w:r>
      <w:r>
        <w:rPr>
          <w:rFonts w:hint="eastAsia" w:ascii="仿宋" w:hAnsi="仿宋" w:eastAsia="仿宋"/>
          <w:sz w:val="32"/>
          <w:szCs w:val="32"/>
          <w:lang w:val="en-US" w:eastAsia="zh-CN"/>
        </w:rPr>
        <w:t>5</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人员经费2193.78万元，主要包括：基本工资、津贴补贴、奖金、伙食补助费、绩效工资、机关事业单位基本养老保险缴费、职业年金缴费、</w:t>
      </w:r>
      <w:r>
        <w:rPr>
          <w:rFonts w:hint="eastAsia" w:ascii="仿宋" w:hAnsi="仿宋" w:eastAsia="仿宋"/>
          <w:sz w:val="32"/>
          <w:szCs w:val="32"/>
          <w:lang w:eastAsia="zh-CN"/>
        </w:rPr>
        <w:t>职工基本医疗保险缴费、</w:t>
      </w:r>
      <w:r>
        <w:rPr>
          <w:rFonts w:hint="eastAsia" w:ascii="仿宋" w:hAnsi="仿宋" w:eastAsia="仿宋"/>
          <w:sz w:val="32"/>
          <w:szCs w:val="32"/>
        </w:rPr>
        <w:t>其他社会保障缴费</w:t>
      </w:r>
      <w:r>
        <w:rPr>
          <w:rFonts w:hint="eastAsia" w:ascii="仿宋" w:hAnsi="仿宋" w:eastAsia="仿宋"/>
          <w:sz w:val="32"/>
          <w:szCs w:val="32"/>
          <w:lang w:eastAsia="zh-CN"/>
        </w:rPr>
        <w:t>、</w:t>
      </w:r>
      <w:r>
        <w:rPr>
          <w:rFonts w:hint="eastAsia" w:ascii="仿宋" w:hAnsi="仿宋" w:eastAsia="仿宋"/>
          <w:sz w:val="32"/>
          <w:szCs w:val="32"/>
        </w:rPr>
        <w:t>住房公积金、其他工资福利支出</w:t>
      </w:r>
      <w:r>
        <w:rPr>
          <w:rFonts w:hint="eastAsia" w:ascii="仿宋" w:hAnsi="仿宋" w:eastAsia="仿宋"/>
          <w:color w:val="auto"/>
          <w:sz w:val="32"/>
          <w:szCs w:val="32"/>
          <w:highlight w:val="none"/>
          <w:lang w:val="en-US" w:eastAsia="zh-CN"/>
        </w:rPr>
        <w:t>、离休费、抚恤金、生活补助、奖励金、其他对个人和家庭的补助</w:t>
      </w:r>
      <w:r>
        <w:rPr>
          <w:rFonts w:hint="eastAsia" w:ascii="仿宋" w:hAnsi="仿宋" w:eastAsia="仿宋"/>
          <w:sz w:val="32"/>
          <w:szCs w:val="32"/>
        </w:rPr>
        <w:t>。</w:t>
      </w:r>
    </w:p>
    <w:p>
      <w:pPr>
        <w:spacing w:line="600" w:lineRule="exact"/>
        <w:ind w:firstLine="645"/>
        <w:rPr>
          <w:rFonts w:ascii="仿宋" w:hAnsi="仿宋" w:eastAsia="仿宋"/>
          <w:sz w:val="32"/>
          <w:szCs w:val="32"/>
        </w:rPr>
      </w:pPr>
      <w:r>
        <w:rPr>
          <w:rFonts w:hint="eastAsia" w:ascii="仿宋" w:hAnsi="仿宋" w:eastAsia="仿宋"/>
          <w:sz w:val="32"/>
          <w:szCs w:val="32"/>
        </w:rPr>
        <w:t>公用经费267.97万元，主要包括：办公费、印刷费、咨询费、水费、电费、邮电费、物业管理费、差旅费、维修（护）费、租赁费、培训费、公务接待费、劳务费</w:t>
      </w:r>
      <w:r>
        <w:rPr>
          <w:rFonts w:hint="eastAsia" w:ascii="仿宋" w:hAnsi="仿宋" w:eastAsia="仿宋"/>
          <w:sz w:val="32"/>
          <w:szCs w:val="32"/>
          <w:lang w:eastAsia="zh-CN"/>
        </w:rPr>
        <w:t>、</w:t>
      </w:r>
      <w:r>
        <w:rPr>
          <w:rFonts w:hint="eastAsia" w:ascii="仿宋" w:hAnsi="仿宋" w:eastAsia="仿宋"/>
          <w:sz w:val="32"/>
          <w:szCs w:val="32"/>
        </w:rPr>
        <w:t>工会经费、福利费、公务用车运行维护费、其他交通费、其他商品和服务支出等。</w:t>
      </w:r>
    </w:p>
    <w:p>
      <w:pPr>
        <w:spacing w:line="600" w:lineRule="exact"/>
        <w:ind w:firstLine="640"/>
        <w:rPr>
          <w:rFonts w:ascii="仿宋" w:hAnsi="仿宋" w:eastAsia="仿宋"/>
          <w:b/>
          <w:sz w:val="32"/>
          <w:szCs w:val="32"/>
        </w:rPr>
      </w:pPr>
    </w:p>
    <w:p>
      <w:pPr>
        <w:spacing w:line="600" w:lineRule="exact"/>
        <w:ind w:firstLine="640"/>
        <w:outlineLvl w:val="1"/>
        <w:rPr>
          <w:rStyle w:val="22"/>
          <w:rFonts w:ascii="黑体" w:hAnsi="黑体" w:eastAsia="黑体"/>
          <w:b w:val="0"/>
        </w:rPr>
      </w:pPr>
      <w:bookmarkStart w:id="55" w:name="_Toc15396609"/>
      <w:bookmarkStart w:id="56" w:name="_Toc11199"/>
      <w:bookmarkStart w:id="57" w:name="_Toc15377215"/>
      <w:r>
        <w:rPr>
          <w:rFonts w:hint="eastAsia" w:ascii="黑体" w:eastAsia="黑体"/>
          <w:sz w:val="32"/>
          <w:szCs w:val="32"/>
        </w:rPr>
        <w:t>七、</w:t>
      </w:r>
      <w:r>
        <w:rPr>
          <w:rStyle w:val="22"/>
          <w:rFonts w:hint="eastAsia" w:ascii="黑体" w:hAnsi="黑体" w:eastAsia="黑体"/>
        </w:rPr>
        <w:t>“</w:t>
      </w:r>
      <w:r>
        <w:rPr>
          <w:rStyle w:val="22"/>
          <w:rFonts w:hint="eastAsia" w:ascii="黑体" w:hAnsi="黑体" w:eastAsia="黑体"/>
          <w:b w:val="0"/>
        </w:rPr>
        <w:t>三公”经费财政拨款支出决算情况说明</w:t>
      </w:r>
      <w:bookmarkEnd w:id="55"/>
      <w:bookmarkEnd w:id="56"/>
      <w:bookmarkEnd w:id="57"/>
    </w:p>
    <w:p>
      <w:pPr>
        <w:spacing w:line="600" w:lineRule="exact"/>
        <w:ind w:firstLine="640"/>
        <w:outlineLvl w:val="2"/>
        <w:rPr>
          <w:rFonts w:ascii="仿宋" w:hAnsi="仿宋" w:eastAsia="仿宋"/>
          <w:b/>
          <w:sz w:val="32"/>
          <w:szCs w:val="32"/>
        </w:rPr>
      </w:pPr>
      <w:bookmarkStart w:id="58" w:name="_Toc15377216"/>
      <w:r>
        <w:rPr>
          <w:rFonts w:hint="eastAsia" w:ascii="仿宋" w:hAnsi="仿宋" w:eastAsia="仿宋"/>
          <w:b/>
          <w:sz w:val="32"/>
          <w:szCs w:val="32"/>
        </w:rPr>
        <w:t>（一）“三公”经费财政拨款支出决算总体情况说明</w:t>
      </w:r>
      <w:bookmarkEnd w:id="58"/>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21年“三公”经费财政拨款支出决算为32.</w:t>
      </w:r>
      <w:r>
        <w:rPr>
          <w:rFonts w:hint="eastAsia" w:ascii="仿宋" w:hAnsi="仿宋" w:eastAsia="仿宋"/>
          <w:sz w:val="32"/>
          <w:szCs w:val="32"/>
          <w:lang w:val="en-US" w:eastAsia="zh-CN"/>
        </w:rPr>
        <w:t>89</w:t>
      </w:r>
      <w:r>
        <w:rPr>
          <w:rFonts w:hint="eastAsia" w:ascii="仿宋" w:hAnsi="仿宋" w:eastAsia="仿宋"/>
          <w:sz w:val="32"/>
          <w:szCs w:val="32"/>
        </w:rPr>
        <w:t>万元，完成预算71.5</w:t>
      </w: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决算数小于预算数的主要原因：一是公务用车购置费结转2.13万元至2022年继续使用；二是机关认真落实市委提出的厉行节约相关规定，严格控制公务用车运行及维护费、公务接待费支出，“三公”经费支出下降。</w:t>
      </w:r>
    </w:p>
    <w:p>
      <w:pPr>
        <w:pStyle w:val="2"/>
        <w:spacing w:before="93"/>
        <w:rPr>
          <w:rFonts w:ascii="仿宋" w:hAnsi="仿宋" w:eastAsia="仿宋"/>
        </w:rPr>
      </w:pPr>
      <w:r>
        <w:rPr>
          <w:rFonts w:hint="eastAsia"/>
        </w:rPr>
        <w:t xml:space="preserve">   </w:t>
      </w:r>
      <w:r>
        <w:rPr>
          <w:rFonts w:hint="eastAsia" w:ascii="仿宋" w:hAnsi="仿宋" w:eastAsia="仿宋"/>
        </w:rPr>
        <w:t xml:space="preserve"> 我委无政府性基金安排的“三公”经费预算拨款及支出。</w:t>
      </w:r>
    </w:p>
    <w:p>
      <w:pPr>
        <w:spacing w:line="600" w:lineRule="exact"/>
        <w:ind w:firstLine="640"/>
        <w:outlineLvl w:val="2"/>
        <w:rPr>
          <w:rFonts w:ascii="仿宋" w:hAnsi="仿宋" w:eastAsia="仿宋"/>
          <w:b/>
          <w:sz w:val="32"/>
          <w:szCs w:val="32"/>
        </w:rPr>
      </w:pPr>
      <w:bookmarkStart w:id="59" w:name="_Toc15377217"/>
      <w:r>
        <w:rPr>
          <w:rFonts w:hint="eastAsia" w:ascii="仿宋" w:hAnsi="仿宋" w:eastAsia="仿宋"/>
          <w:b/>
          <w:sz w:val="32"/>
          <w:szCs w:val="32"/>
        </w:rPr>
        <w:t>（二）“三公”经费财政拨款支出决算具体情况说明</w:t>
      </w:r>
      <w:bookmarkEnd w:id="5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21年“三公”经费财政拨款支出决算中，因公出国（境）费支出决算0万元；公务用车购置及运行维护费支出决算31.02万元，占94</w:t>
      </w:r>
      <w:r>
        <w:rPr>
          <w:rFonts w:ascii="仿宋" w:hAnsi="仿宋" w:eastAsia="仿宋"/>
          <w:sz w:val="32"/>
          <w:szCs w:val="32"/>
        </w:rPr>
        <w:t>%</w:t>
      </w:r>
      <w:r>
        <w:rPr>
          <w:rFonts w:hint="eastAsia" w:ascii="仿宋" w:hAnsi="仿宋" w:eastAsia="仿宋"/>
          <w:sz w:val="32"/>
          <w:szCs w:val="32"/>
        </w:rPr>
        <w:t>；公务接待费支出决算1.87万元，占</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。具体情况如下：</w:t>
      </w:r>
    </w:p>
    <w:p>
      <w:pPr>
        <w:pStyle w:val="2"/>
        <w:rPr>
          <w:rFonts w:hint="eastAsia" w:ascii="仿宋" w:hAnsi="仿宋" w:eastAsia="仿宋"/>
          <w:sz w:val="32"/>
          <w:szCs w:val="32"/>
        </w:rPr>
      </w:pPr>
      <w:r>
        <w:rPr>
          <w:rFonts w:hint="eastAsia" w:ascii="仿宋" w:hAnsi="仿宋" w:eastAsia="仿宋"/>
          <w:color w:val="000000"/>
          <w:sz w:val="32"/>
          <w:szCs w:val="32"/>
        </w:rPr>
        <w:pict>
          <v:shape id="Object 13" o:spid="_x0000_s2057" o:spt="75" type="#_x0000_t75" style="position:absolute;left:0pt;margin-left:51.4pt;margin-top:13.2pt;height:201.85pt;width:332.3pt;z-index:251665408;mso-width-relative:page;mso-height-relative:page;" o:ole="t" filled="f" o:preferrelative="t" stroked="f" coordsize="21600,21600">
            <v:path/>
            <v:fill on="f" focussize="0,0"/>
            <v:stroke on="f"/>
            <v:imagedata r:id="rId19" o:title=""/>
            <o:lock v:ext="edit" aspectratio="t"/>
          </v:shape>
          <o:OLEObject Type="Embed" ProgID="Excel.Chart.8" ShapeID="Object 13" DrawAspect="Content" ObjectID="_1468075731" r:id="rId18">
            <o:LockedField>false</o:LockedField>
          </o:OLEObject>
        </w:pict>
      </w: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jc w:val="center"/>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pPr>
      <w:r>
        <w:rPr>
          <w:rFonts w:ascii="仿宋_GB2312" w:eastAsia="仿宋_GB2312"/>
          <w:b/>
          <w:sz w:val="32"/>
          <w:szCs w:val="32"/>
        </w:rPr>
        <w:t>1.</w:t>
      </w:r>
      <w:r>
        <w:rPr>
          <w:rFonts w:hint="eastAsia" w:ascii="仿宋" w:hAnsi="仿宋" w:eastAsia="仿宋"/>
          <w:b/>
          <w:sz w:val="32"/>
          <w:szCs w:val="32"/>
        </w:rPr>
        <w:t xml:space="preserve"> 因公出国经费为0万元，年初未安排预算，因公出国</w:t>
      </w:r>
      <w:r>
        <w:rPr>
          <w:rFonts w:hint="eastAsia" w:ascii="仿宋_GB2312" w:eastAsia="仿宋_GB2312"/>
          <w:b/>
          <w:sz w:val="32"/>
          <w:szCs w:val="32"/>
        </w:rPr>
        <w:t>（境）</w:t>
      </w:r>
      <w:r>
        <w:rPr>
          <w:rFonts w:hint="eastAsia" w:ascii="仿宋" w:hAnsi="仿宋" w:eastAsia="仿宋"/>
          <w:b/>
          <w:sz w:val="32"/>
          <w:szCs w:val="32"/>
        </w:rPr>
        <w:t>支出决算较2020年无变化。</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31.02万元,</w:t>
      </w:r>
      <w:r>
        <w:rPr>
          <w:rStyle w:val="19"/>
          <w:rFonts w:hint="eastAsia" w:ascii="仿宋" w:hAnsi="仿宋" w:eastAsia="仿宋"/>
          <w:b w:val="0"/>
          <w:bCs/>
          <w:sz w:val="32"/>
          <w:szCs w:val="32"/>
        </w:rPr>
        <w:t>完成预算86.21</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20年增加12.91万元，增长71.29</w:t>
      </w:r>
      <w:r>
        <w:rPr>
          <w:rFonts w:ascii="仿宋_GB2312" w:eastAsia="仿宋_GB2312"/>
          <w:sz w:val="32"/>
          <w:szCs w:val="32"/>
        </w:rPr>
        <w:t>%</w:t>
      </w:r>
      <w:r>
        <w:rPr>
          <w:rFonts w:hint="eastAsia" w:ascii="仿宋_GB2312" w:eastAsia="仿宋_GB2312"/>
          <w:sz w:val="32"/>
          <w:szCs w:val="32"/>
        </w:rPr>
        <w:t>。主要原因是今年因公务用车到报废年限，无法继续使用，年末新购置公务用车1台，经费增加17.98万元。</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17.98万元。全年按规定更新购置公务用车1辆，其中：轿车1辆、金额17.98万元。主要用于日常工作业务开展用车。截至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月底，单位共有公务用车3辆，其中：轿车3辆。</w:t>
      </w:r>
    </w:p>
    <w:p>
      <w:pPr>
        <w:spacing w:line="600" w:lineRule="exact"/>
        <w:ind w:firstLine="640"/>
      </w:pPr>
      <w:r>
        <w:rPr>
          <w:rFonts w:hint="eastAsia" w:ascii="仿宋_GB2312" w:eastAsia="仿宋_GB2312"/>
          <w:b/>
          <w:sz w:val="32"/>
          <w:szCs w:val="32"/>
        </w:rPr>
        <w:t>公务用车运行维护费支出</w:t>
      </w:r>
      <w:r>
        <w:rPr>
          <w:rFonts w:hint="eastAsia" w:ascii="仿宋_GB2312" w:eastAsia="仿宋_GB2312"/>
          <w:sz w:val="32"/>
          <w:szCs w:val="32"/>
        </w:rPr>
        <w:t>13.04万元。主要用于全市重大项目推进、区域合作、物价工作、粮食工作、能源工作等所需的公务用车燃料费、维修费、过路过桥费、保险费等支出。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1.87万元，</w:t>
      </w:r>
      <w:r>
        <w:rPr>
          <w:rStyle w:val="19"/>
          <w:rFonts w:hint="eastAsia" w:ascii="仿宋" w:hAnsi="仿宋" w:eastAsia="仿宋"/>
          <w:b w:val="0"/>
          <w:bCs/>
          <w:sz w:val="32"/>
          <w:szCs w:val="32"/>
        </w:rPr>
        <w:t>完成预算18.70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20年减少0.1万元，下降5</w:t>
      </w:r>
      <w:r>
        <w:rPr>
          <w:rFonts w:ascii="仿宋_GB2312" w:eastAsia="仿宋_GB2312"/>
          <w:sz w:val="32"/>
          <w:szCs w:val="32"/>
        </w:rPr>
        <w:t>%</w:t>
      </w:r>
      <w:r>
        <w:rPr>
          <w:rFonts w:hint="eastAsia" w:ascii="仿宋_GB2312" w:eastAsia="仿宋_GB2312"/>
          <w:sz w:val="32"/>
          <w:szCs w:val="32"/>
        </w:rPr>
        <w:t>。主要原因：一是</w:t>
      </w:r>
      <w:r>
        <w:rPr>
          <w:rFonts w:hint="eastAsia" w:ascii="仿宋" w:hAnsi="仿宋" w:eastAsia="仿宋"/>
          <w:sz w:val="32"/>
          <w:szCs w:val="32"/>
        </w:rPr>
        <w:t>机关认真落实市委提出的厉行节约相关规定，严格控制经费支出；二是受疫情影响，上级调研检查及本级业务工作开展大幅减少，经费支出降低。</w:t>
      </w:r>
      <w:r>
        <w:rPr>
          <w:rFonts w:hint="eastAsia" w:ascii="仿宋_GB2312" w:eastAsia="仿宋_GB2312"/>
          <w:sz w:val="32"/>
          <w:szCs w:val="32"/>
        </w:rPr>
        <w:t>其中：</w:t>
      </w:r>
    </w:p>
    <w:p>
      <w:pPr>
        <w:spacing w:line="600" w:lineRule="exact"/>
        <w:ind w:firstLine="640"/>
        <w:rPr>
          <w:rFonts w:hint="eastAsia"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1.87</w:t>
      </w:r>
      <w:r>
        <w:rPr>
          <w:rFonts w:hint="eastAsia" w:ascii="仿宋_GB2312" w:eastAsia="仿宋_GB2312"/>
          <w:sz w:val="32"/>
          <w:szCs w:val="32"/>
        </w:rPr>
        <w:t>万元，主要用于全市重大项目推进、国家及省级、其他市州调研用餐费支出。国内公务接待25批次，209人次（不包括陪同人员），共计支出1.87万元，具体内容包括：国家发展改委、省发改委领导来我市调研重点项目工作、对口帮扶浙江丽水地区领导来广指导学习、周边地区德阳市发改委领导来我市调研等接待经费支出。</w:t>
      </w:r>
      <w:bookmarkStart w:id="60" w:name="_Toc15396610"/>
      <w:bookmarkStart w:id="61" w:name="_Toc15377218"/>
    </w:p>
    <w:p>
      <w:pPr>
        <w:spacing w:line="600" w:lineRule="exact"/>
        <w:ind w:firstLine="643" w:firstLineChars="200"/>
      </w:pPr>
      <w:r>
        <w:rPr>
          <w:rFonts w:hint="eastAsia" w:ascii="仿宋" w:hAnsi="仿宋" w:eastAsia="仿宋"/>
          <w:b/>
          <w:color w:val="auto"/>
          <w:sz w:val="32"/>
          <w:szCs w:val="32"/>
          <w:highlight w:val="none"/>
        </w:rPr>
        <w:t>外事接待支出</w:t>
      </w:r>
      <w:r>
        <w:rPr>
          <w:rFonts w:hint="eastAsia" w:ascii="仿宋" w:hAnsi="仿宋" w:eastAsia="仿宋"/>
          <w:b/>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pacing w:line="600" w:lineRule="exact"/>
        <w:ind w:firstLine="640"/>
        <w:outlineLvl w:val="1"/>
        <w:rPr>
          <w:rStyle w:val="22"/>
          <w:rFonts w:ascii="黑体" w:hAnsi="黑体" w:eastAsia="黑体"/>
        </w:rPr>
      </w:pPr>
      <w:bookmarkStart w:id="62" w:name="_Toc22874"/>
      <w:r>
        <w:rPr>
          <w:rFonts w:hint="eastAsia" w:ascii="黑体" w:eastAsia="黑体"/>
          <w:sz w:val="32"/>
          <w:szCs w:val="32"/>
        </w:rPr>
        <w:t>八、</w:t>
      </w:r>
      <w:r>
        <w:rPr>
          <w:rStyle w:val="22"/>
          <w:rFonts w:hint="eastAsia" w:ascii="黑体" w:hAnsi="黑体" w:eastAsia="黑体"/>
          <w:b w:val="0"/>
        </w:rPr>
        <w:t>政府性基金预算支出决算情况说明</w:t>
      </w:r>
      <w:bookmarkEnd w:id="60"/>
      <w:bookmarkEnd w:id="61"/>
      <w:bookmarkEnd w:id="62"/>
    </w:p>
    <w:p>
      <w:pPr>
        <w:spacing w:line="600" w:lineRule="exact"/>
        <w:ind w:firstLine="64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21年我委无政府性基金预算财政拨款支出。</w:t>
      </w:r>
    </w:p>
    <w:p>
      <w:pPr>
        <w:pStyle w:val="2"/>
      </w:pPr>
    </w:p>
    <w:p>
      <w:pPr>
        <w:numPr>
          <w:ilvl w:val="0"/>
          <w:numId w:val="3"/>
        </w:numPr>
        <w:spacing w:line="600" w:lineRule="exact"/>
        <w:ind w:firstLine="640"/>
        <w:outlineLvl w:val="1"/>
        <w:rPr>
          <w:rStyle w:val="22"/>
          <w:rFonts w:ascii="黑体" w:hAnsi="黑体" w:eastAsia="黑体"/>
          <w:b w:val="0"/>
        </w:rPr>
      </w:pPr>
      <w:bookmarkStart w:id="63" w:name="_Toc19059"/>
      <w:bookmarkStart w:id="64" w:name="_Toc15377219"/>
      <w:bookmarkStart w:id="65" w:name="_Toc15396611"/>
      <w:r>
        <w:rPr>
          <w:rStyle w:val="22"/>
          <w:rFonts w:hint="eastAsia" w:ascii="黑体" w:hAnsi="黑体" w:eastAsia="黑体"/>
          <w:b w:val="0"/>
        </w:rPr>
        <w:t>国有资本经营预算支出决算情况说明</w:t>
      </w:r>
      <w:bookmarkEnd w:id="63"/>
      <w:bookmarkEnd w:id="64"/>
      <w:bookmarkEnd w:id="65"/>
    </w:p>
    <w:p>
      <w:pPr>
        <w:spacing w:line="600" w:lineRule="exact"/>
        <w:ind w:firstLine="64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21年我委无国有资本经营预算财政拨款支出。</w:t>
      </w:r>
    </w:p>
    <w:p>
      <w:pPr>
        <w:pStyle w:val="2"/>
      </w:pPr>
    </w:p>
    <w:p>
      <w:pPr>
        <w:numPr>
          <w:ilvl w:val="0"/>
          <w:numId w:val="3"/>
        </w:numPr>
        <w:spacing w:line="600" w:lineRule="exact"/>
        <w:ind w:firstLine="640"/>
        <w:outlineLvl w:val="1"/>
        <w:rPr>
          <w:rStyle w:val="22"/>
          <w:rFonts w:ascii="黑体" w:hAnsi="黑体" w:eastAsia="黑体"/>
          <w:b w:val="0"/>
        </w:rPr>
      </w:pPr>
      <w:bookmarkStart w:id="66" w:name="_Toc16022"/>
      <w:bookmarkStart w:id="67" w:name="_Toc15377221"/>
      <w:bookmarkStart w:id="68" w:name="_Toc15396612"/>
      <w:r>
        <w:rPr>
          <w:rStyle w:val="22"/>
          <w:rFonts w:hint="eastAsia" w:ascii="黑体" w:hAnsi="黑体" w:eastAsia="黑体"/>
          <w:b w:val="0"/>
        </w:rPr>
        <w:t>预算绩效管理情况</w:t>
      </w:r>
      <w:bookmarkEnd w:id="66"/>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重大项目前期工作经费、区域合作、纪检监察组办案专项经费等6个项目开展了预算事前绩效评估，对6个项目编制了绩效目标，预算执行过程中，选取6个项目开展绩效监控，年终执行完毕后，对6个项目开展了绩效自评，2021年部门预算项目绩效目标自评表见附件（第四部分）。</w:t>
      </w:r>
    </w:p>
    <w:p>
      <w:pPr>
        <w:pStyle w:val="2"/>
      </w:pPr>
    </w:p>
    <w:p>
      <w:pPr>
        <w:numPr>
          <w:ilvl w:val="0"/>
          <w:numId w:val="3"/>
        </w:numPr>
        <w:spacing w:line="600" w:lineRule="exact"/>
        <w:ind w:firstLine="640"/>
        <w:outlineLvl w:val="1"/>
        <w:rPr>
          <w:rStyle w:val="22"/>
          <w:rFonts w:ascii="黑体" w:hAnsi="黑体" w:eastAsia="黑体"/>
          <w:b w:val="0"/>
        </w:rPr>
      </w:pPr>
      <w:bookmarkStart w:id="69" w:name="_Toc11350"/>
      <w:r>
        <w:rPr>
          <w:rStyle w:val="22"/>
          <w:rFonts w:hint="eastAsia" w:ascii="黑体" w:hAnsi="黑体" w:eastAsia="黑体"/>
          <w:b w:val="0"/>
        </w:rPr>
        <w:t>其他重要事项的情况说明</w:t>
      </w:r>
      <w:bookmarkEnd w:id="67"/>
      <w:bookmarkEnd w:id="68"/>
      <w:bookmarkEnd w:id="69"/>
    </w:p>
    <w:p>
      <w:pPr>
        <w:spacing w:line="600" w:lineRule="exact"/>
        <w:ind w:firstLine="643" w:firstLineChars="200"/>
        <w:outlineLvl w:val="2"/>
        <w:rPr>
          <w:rFonts w:ascii="仿宋" w:hAnsi="仿宋" w:eastAsia="仿宋"/>
          <w:sz w:val="32"/>
          <w:szCs w:val="32"/>
        </w:rPr>
      </w:pPr>
      <w:bookmarkStart w:id="70" w:name="_Toc15377222"/>
      <w:r>
        <w:rPr>
          <w:rFonts w:hint="eastAsia" w:ascii="仿宋" w:hAnsi="仿宋" w:eastAsia="仿宋"/>
          <w:b/>
          <w:sz w:val="32"/>
          <w:szCs w:val="32"/>
        </w:rPr>
        <w:t>（一）机关运行经费支出情况</w:t>
      </w:r>
      <w:bookmarkEnd w:id="7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21年，我委机关运行经费支出267.9</w:t>
      </w:r>
      <w:r>
        <w:rPr>
          <w:rFonts w:hint="eastAsia" w:ascii="仿宋_GB2312" w:eastAsia="仿宋_GB2312"/>
          <w:sz w:val="32"/>
          <w:szCs w:val="32"/>
          <w:lang w:val="en-US" w:eastAsia="zh-CN"/>
        </w:rPr>
        <w:t>9</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20年减少13.48万元，下降4.8</w:t>
      </w:r>
      <w:r>
        <w:rPr>
          <w:rFonts w:ascii="仿宋_GB2312" w:eastAsia="仿宋_GB2312"/>
          <w:sz w:val="32"/>
          <w:szCs w:val="32"/>
        </w:rPr>
        <w:t>%</w:t>
      </w:r>
      <w:r>
        <w:rPr>
          <w:rFonts w:hint="eastAsia" w:ascii="仿宋_GB2312" w:eastAsia="仿宋_GB2312"/>
          <w:sz w:val="32"/>
          <w:szCs w:val="32"/>
        </w:rPr>
        <w:t>。主要原因是我委</w:t>
      </w:r>
      <w:r>
        <w:rPr>
          <w:rFonts w:hint="eastAsia" w:ascii="仿宋" w:hAnsi="仿宋" w:eastAsia="仿宋"/>
          <w:sz w:val="32"/>
          <w:szCs w:val="32"/>
        </w:rPr>
        <w:t>认真落实市委提出的厉行节约相关规定，严格控制 “三公”经费及其他日常经费，使机关运行经费得到下降。</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1" w:name="_Toc15377223"/>
      <w:r>
        <w:rPr>
          <w:rFonts w:hint="eastAsia" w:ascii="仿宋" w:hAnsi="仿宋" w:eastAsia="仿宋"/>
          <w:b/>
          <w:sz w:val="32"/>
          <w:szCs w:val="32"/>
        </w:rPr>
        <w:t>（二）政府采购支出情况</w:t>
      </w:r>
      <w:bookmarkEnd w:id="71"/>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21年，我委政府采购支出总额27.43万元，其中：政府采购货物支出27.43万元。主要用于日常办公添置更换办公设备及日常办公用纸等支出。</w:t>
      </w:r>
      <w:r>
        <w:rPr>
          <w:rFonts w:hint="eastAsia" w:ascii="仿宋_GB2312" w:eastAsia="仿宋_GB2312"/>
          <w:color w:val="auto"/>
          <w:sz w:val="32"/>
          <w:szCs w:val="32"/>
          <w:highlight w:val="none"/>
        </w:rPr>
        <w:t>授予小微企业合同金额</w:t>
      </w:r>
      <w:r>
        <w:rPr>
          <w:rFonts w:hint="eastAsia" w:ascii="仿宋_GB2312" w:eastAsia="仿宋_GB2312"/>
          <w:sz w:val="32"/>
          <w:szCs w:val="32"/>
        </w:rPr>
        <w:t>27.43万元，占政府采购支出总额的100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2" w:name="_Toc15377224"/>
      <w:r>
        <w:rPr>
          <w:rFonts w:hint="eastAsia" w:ascii="仿宋" w:hAnsi="仿宋" w:eastAsia="仿宋"/>
          <w:b/>
          <w:sz w:val="32"/>
          <w:szCs w:val="32"/>
        </w:rPr>
        <w:t>（三）国有资产占有使用情况</w:t>
      </w:r>
      <w:bookmarkEnd w:id="72"/>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日，我委共有车辆3辆，其中：其他用车3辆。其他用车主要是用于日常工作任务开展用车。单价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pStyle w:val="2"/>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1"/>
          <w:rFonts w:ascii="黑体" w:hAnsi="黑体" w:eastAsia="黑体"/>
          <w:b w:val="0"/>
        </w:rPr>
      </w:pPr>
      <w:bookmarkStart w:id="73" w:name="_Toc15377225"/>
      <w:bookmarkStart w:id="74" w:name="_Toc15396613"/>
      <w:bookmarkStart w:id="75" w:name="_Toc25423"/>
      <w:r>
        <w:rPr>
          <w:rFonts w:hint="eastAsia" w:ascii="黑体" w:hAnsi="黑体" w:eastAsia="黑体"/>
          <w:sz w:val="44"/>
          <w:szCs w:val="44"/>
        </w:rPr>
        <w:t>名</w:t>
      </w:r>
      <w:r>
        <w:rPr>
          <w:rStyle w:val="21"/>
          <w:rFonts w:hint="eastAsia" w:ascii="黑体" w:hAnsi="黑体" w:eastAsia="黑体"/>
          <w:b w:val="0"/>
        </w:rPr>
        <w:t>词解释</w:t>
      </w:r>
      <w:bookmarkEnd w:id="73"/>
      <w:bookmarkEnd w:id="74"/>
      <w:bookmarkEnd w:id="75"/>
    </w:p>
    <w:p>
      <w:pPr>
        <w:spacing w:line="600" w:lineRule="exact"/>
        <w:jc w:val="left"/>
        <w:rPr>
          <w:rFonts w:ascii="宋体"/>
          <w:b/>
          <w:sz w:val="44"/>
          <w:szCs w:val="44"/>
        </w:rPr>
      </w:pPr>
    </w:p>
    <w:p>
      <w:pPr>
        <w:pStyle w:val="30"/>
        <w:numPr>
          <w:ilvl w:val="0"/>
          <w:numId w:val="5"/>
        </w:num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财政拨款收入：指单位从同级财政部门取得的财政预算资金。</w:t>
      </w:r>
    </w:p>
    <w:p>
      <w:pPr>
        <w:pStyle w:val="30"/>
        <w:numPr>
          <w:ilvl w:val="0"/>
          <w:numId w:val="5"/>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其他收入：指单位取得的除上述收入以外的各项收入。主要是账户存款利息收入等。</w:t>
      </w:r>
      <w:r>
        <w:rPr>
          <w:rFonts w:ascii="仿宋_GB2312" w:eastAsia="仿宋_GB2312"/>
          <w:color w:val="auto"/>
          <w:sz w:val="32"/>
          <w:szCs w:val="32"/>
        </w:rPr>
        <w:t xml:space="preserve"> </w:t>
      </w:r>
    </w:p>
    <w:p>
      <w:pPr>
        <w:pStyle w:val="30"/>
        <w:numPr>
          <w:ilvl w:val="0"/>
          <w:numId w:val="5"/>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30"/>
        <w:numPr>
          <w:ilvl w:val="0"/>
          <w:numId w:val="5"/>
        </w:num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年末结转和结余：指单位按有关规定结转到下年或以后年度继续使用的资金。</w:t>
      </w:r>
    </w:p>
    <w:p>
      <w:pPr>
        <w:pStyle w:val="30"/>
        <w:numPr>
          <w:ilvl w:val="0"/>
          <w:numId w:val="5"/>
        </w:num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一般公共服务（类）一般公共服务（类）发展与改革事务（款）行政运行（项）反映的本单位（包括实行公务员管理的事业单位）的基本支出。</w:t>
      </w:r>
    </w:p>
    <w:p>
      <w:pPr>
        <w:pStyle w:val="30"/>
        <w:numPr>
          <w:ilvl w:val="0"/>
          <w:numId w:val="5"/>
        </w:num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一般公共服务（类）发展与改革事务（款）一般行政管理事务（项）反映的本单位（包括实行公务员管理的事业单位）未单独设置项级科目的其他项目支出。</w:t>
      </w:r>
    </w:p>
    <w:p>
      <w:pPr>
        <w:pStyle w:val="30"/>
        <w:numPr>
          <w:ilvl w:val="0"/>
          <w:numId w:val="5"/>
        </w:num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一般公共服务（类）发展与改革事务（款）</w:t>
      </w:r>
      <w:r>
        <w:rPr>
          <w:rFonts w:hint="eastAsia" w:ascii="仿宋_GB2312" w:eastAsia="仿宋_GB2312"/>
          <w:color w:val="auto"/>
          <w:sz w:val="32"/>
          <w:szCs w:val="32"/>
          <w:lang w:eastAsia="zh-CN"/>
        </w:rPr>
        <w:t>事业运行</w:t>
      </w:r>
      <w:r>
        <w:rPr>
          <w:rFonts w:hint="eastAsia" w:ascii="仿宋_GB2312" w:eastAsia="仿宋_GB2312"/>
          <w:color w:val="auto"/>
          <w:sz w:val="32"/>
          <w:szCs w:val="32"/>
        </w:rPr>
        <w:t>（项）反映的本单位</w:t>
      </w:r>
      <w:r>
        <w:rPr>
          <w:rFonts w:hint="eastAsia" w:ascii="仿宋_GB2312" w:eastAsia="仿宋_GB2312"/>
          <w:color w:val="auto"/>
          <w:sz w:val="32"/>
          <w:szCs w:val="32"/>
          <w:lang w:eastAsia="zh-CN"/>
        </w:rPr>
        <w:t>事业人员经费支出</w:t>
      </w:r>
      <w:r>
        <w:rPr>
          <w:rFonts w:hint="eastAsia" w:ascii="仿宋_GB2312" w:eastAsia="仿宋_GB2312"/>
          <w:color w:val="auto"/>
          <w:sz w:val="32"/>
          <w:szCs w:val="32"/>
        </w:rPr>
        <w:t>。</w:t>
      </w:r>
    </w:p>
    <w:p>
      <w:pPr>
        <w:pStyle w:val="30"/>
        <w:numPr>
          <w:ilvl w:val="0"/>
          <w:numId w:val="5"/>
        </w:num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一般公共服务（类）发展与改革事务（款）其他发展与改革事务支出（项）反映除上述项目以外的其他发展与改革事务支出。</w:t>
      </w:r>
    </w:p>
    <w:p>
      <w:pPr>
        <w:pStyle w:val="30"/>
        <w:numPr>
          <w:ilvl w:val="0"/>
          <w:numId w:val="5"/>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一般公共服务（类）发展与改革事务（款）社会事业发展（项）反映的本单位承担的全市“十四五规划”等方面的支出。</w:t>
      </w:r>
    </w:p>
    <w:p>
      <w:pPr>
        <w:pStyle w:val="30"/>
        <w:numPr>
          <w:ilvl w:val="0"/>
          <w:numId w:val="5"/>
        </w:num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 科学技术（类）技术研究与开发（款）科技成果转化与扩散（项）指上级补助单位个人支出。</w:t>
      </w:r>
    </w:p>
    <w:p>
      <w:pPr>
        <w:pStyle w:val="30"/>
        <w:numPr>
          <w:ilvl w:val="0"/>
          <w:numId w:val="5"/>
        </w:num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社会保障和就业支出（类）行政事业单位养老支出（款）行政单位离退休（项）指本单位离退休公用经费等方面的支出。</w:t>
      </w:r>
    </w:p>
    <w:p>
      <w:pPr>
        <w:pStyle w:val="30"/>
        <w:numPr>
          <w:ilvl w:val="0"/>
          <w:numId w:val="5"/>
        </w:num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社会保障和就业支出（类）行政事业单位养老支出（款）机关事业单位基本养老保险缴费支出（项）指本单位人员养老保险支出。</w:t>
      </w:r>
    </w:p>
    <w:p>
      <w:pPr>
        <w:pStyle w:val="30"/>
        <w:numPr>
          <w:ilvl w:val="0"/>
          <w:numId w:val="5"/>
        </w:num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社会保障和就业支出（类）行政事业单位养老支出（款）机关事业单位职业年金缴费支出（项）指机关退休人中职业年金纪实支出。</w:t>
      </w:r>
    </w:p>
    <w:p>
      <w:pPr>
        <w:pStyle w:val="30"/>
        <w:numPr>
          <w:ilvl w:val="0"/>
          <w:numId w:val="5"/>
        </w:num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社会保障和就业支出（类）抚恤（款）死亡抚恤（项）指机关离退休人员死亡抚恤支出。</w:t>
      </w:r>
    </w:p>
    <w:p>
      <w:pPr>
        <w:pStyle w:val="30"/>
        <w:numPr>
          <w:ilvl w:val="0"/>
          <w:numId w:val="5"/>
        </w:num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社会保障和就业支出（类）其他社会保障和就业支出（款）其他社会保障和就业支出（项）指机关人员其他保障缴费。</w:t>
      </w:r>
    </w:p>
    <w:p>
      <w:pPr>
        <w:pStyle w:val="30"/>
        <w:numPr>
          <w:ilvl w:val="0"/>
          <w:numId w:val="5"/>
        </w:numPr>
        <w:spacing w:line="560" w:lineRule="exact"/>
        <w:ind w:left="0" w:leftChars="0" w:firstLine="640" w:firstLineChars="200"/>
        <w:rPr>
          <w:rFonts w:hint="eastAsia" w:ascii="仿宋_GB2312" w:eastAsia="仿宋_GB2312"/>
          <w:color w:val="auto"/>
          <w:sz w:val="32"/>
          <w:szCs w:val="32"/>
        </w:rPr>
      </w:pPr>
      <w:r>
        <w:rPr>
          <w:rFonts w:hint="eastAsia" w:ascii="仿宋_GB2312" w:eastAsia="仿宋_GB2312"/>
          <w:color w:val="auto"/>
          <w:sz w:val="32"/>
          <w:szCs w:val="32"/>
        </w:rPr>
        <w:t>卫生健康支出（类）行政单位医疗（款）行政单位医疗（项）指机关人员医疗保险支出。</w:t>
      </w:r>
    </w:p>
    <w:p>
      <w:pPr>
        <w:pStyle w:val="30"/>
        <w:numPr>
          <w:ilvl w:val="0"/>
          <w:numId w:val="5"/>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（1）住房保障支出（类）住房改革支出（款）住房公积金（项）指机关人员住房公积金缴费支出。（2）住房保障支出（类）住房改革支出（款）购房补贴（项）指机关高层次人才引进住房补贴支出。</w:t>
      </w:r>
    </w:p>
    <w:p>
      <w:pPr>
        <w:pStyle w:val="30"/>
        <w:numPr>
          <w:ilvl w:val="0"/>
          <w:numId w:val="5"/>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基本支出：指为保障机构正常运转、完成日常工作任务而发生的人员支出和公用支出。</w:t>
      </w:r>
    </w:p>
    <w:p>
      <w:pPr>
        <w:pStyle w:val="30"/>
        <w:numPr>
          <w:ilvl w:val="0"/>
          <w:numId w:val="5"/>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项目支出：指在基本支出之外为完成特定行政任务和事业发展目标所发生的支出。</w:t>
      </w:r>
      <w:r>
        <w:rPr>
          <w:rFonts w:ascii="仿宋_GB2312" w:eastAsia="仿宋_GB2312"/>
          <w:color w:val="auto"/>
          <w:sz w:val="32"/>
          <w:szCs w:val="32"/>
        </w:rPr>
        <w:t xml:space="preserve"> </w:t>
      </w:r>
    </w:p>
    <w:p>
      <w:pPr>
        <w:pStyle w:val="30"/>
        <w:numPr>
          <w:ilvl w:val="0"/>
          <w:numId w:val="5"/>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numPr>
          <w:ilvl w:val="0"/>
          <w:numId w:val="5"/>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1"/>
          <w:rFonts w:ascii="黑体" w:hAnsi="黑体" w:eastAsia="黑体"/>
          <w:b w:val="0"/>
        </w:rPr>
      </w:pPr>
      <w:bookmarkStart w:id="76" w:name="_Toc15377226"/>
      <w:r>
        <w:rPr>
          <w:rFonts w:ascii="宋体"/>
          <w:b/>
          <w:sz w:val="44"/>
          <w:szCs w:val="44"/>
        </w:rPr>
        <w:br w:type="page"/>
      </w:r>
      <w:bookmarkStart w:id="77" w:name="_Toc25004"/>
      <w:bookmarkStart w:id="78" w:name="_Toc15396614"/>
      <w:r>
        <w:rPr>
          <w:rFonts w:hint="eastAsia" w:ascii="黑体" w:hAnsi="黑体" w:eastAsia="黑体"/>
          <w:sz w:val="44"/>
          <w:szCs w:val="44"/>
        </w:rPr>
        <w:t>第</w:t>
      </w:r>
      <w:r>
        <w:rPr>
          <w:rStyle w:val="21"/>
          <w:rFonts w:hint="eastAsia" w:ascii="黑体" w:hAnsi="黑体" w:eastAsia="黑体"/>
          <w:b w:val="0"/>
        </w:rPr>
        <w:t>四部分 附件</w:t>
      </w:r>
      <w:bookmarkEnd w:id="77"/>
      <w:bookmarkEnd w:id="78"/>
    </w:p>
    <w:p>
      <w:pPr>
        <w:pStyle w:val="2"/>
        <w:spacing w:before="93"/>
        <w:rPr>
          <w:rFonts w:hint="eastAsia" w:ascii="黑体" w:hAnsi="黑体" w:eastAsia="黑体" w:cs="黑体"/>
          <w:sz w:val="32"/>
          <w:szCs w:val="32"/>
          <w:lang w:val="en-US" w:eastAsia="zh-CN"/>
        </w:rPr>
      </w:pPr>
      <w:r>
        <w:rPr>
          <w:rFonts w:hint="eastAsia" w:ascii="黑体" w:hAnsi="黑体" w:eastAsia="黑体" w:cs="黑体"/>
          <w:sz w:val="32"/>
          <w:szCs w:val="32"/>
          <w:shd w:val="clear" w:color="auto" w:fill="FFFFFF"/>
          <w:lang w:val="zh-CN"/>
        </w:rPr>
        <w:t>附件</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2022年</w:t>
      </w:r>
      <w:r>
        <w:rPr>
          <w:rFonts w:hint="eastAsia" w:ascii="方正小标宋简体" w:hAnsi="方正小标宋简体" w:eastAsia="方正小标宋简体" w:cs="方正小标宋简体"/>
          <w:sz w:val="40"/>
          <w:szCs w:val="40"/>
          <w:lang w:val="zh-CN"/>
        </w:rPr>
        <w:t>专项预算项目支出绩效自评报告</w:t>
      </w:r>
    </w:p>
    <w:p>
      <w:pPr>
        <w:spacing w:line="600" w:lineRule="exact"/>
        <w:jc w:val="center"/>
        <w:outlineLvl w:val="0"/>
        <w:rPr>
          <w:rFonts w:hint="eastAsia" w:ascii="黑体" w:hAnsi="黑体" w:eastAsia="黑体"/>
          <w:sz w:val="44"/>
          <w:szCs w:val="44"/>
        </w:rPr>
      </w:pPr>
      <w:bookmarkStart w:id="79" w:name="_Toc15396618"/>
    </w:p>
    <w:p>
      <w:pPr>
        <w:pStyle w:val="36"/>
        <w:spacing w:beforeLines="0" w:afterLines="0" w:line="576" w:lineRule="exact"/>
        <w:jc w:val="center"/>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2021年世界粮食日和粮食安全宣传周四川主会场（广元）活动暨“广元造”特色农产品展销会经费项目</w:t>
      </w:r>
      <w:r>
        <w:rPr>
          <w:rFonts w:hint="eastAsia" w:ascii="方正小标宋简体" w:hAnsi="方正小标宋简体" w:eastAsia="方正小标宋简体" w:cs="方正小标宋简体"/>
          <w:color w:val="auto"/>
          <w:kern w:val="2"/>
          <w:sz w:val="40"/>
          <w:szCs w:val="40"/>
          <w:highlight w:val="none"/>
          <w:lang w:val="zh-CN" w:eastAsia="zh-CN" w:bidi="ar-SA"/>
        </w:rPr>
        <w:t>支出绩效自评报告</w:t>
      </w:r>
    </w:p>
    <w:p>
      <w:pPr>
        <w:adjustRightInd w:val="0"/>
        <w:snapToGrid w:val="0"/>
        <w:spacing w:beforeLines="0" w:afterLines="0" w:line="576" w:lineRule="exact"/>
        <w:ind w:firstLine="720"/>
        <w:rPr>
          <w:rFonts w:hint="eastAsia" w:ascii="黑体" w:hAnsi="宋体" w:eastAsia="黑体"/>
          <w:sz w:val="32"/>
          <w:szCs w:val="32"/>
        </w:rPr>
      </w:pPr>
    </w:p>
    <w:p>
      <w:pPr>
        <w:adjustRightInd w:val="0"/>
        <w:snapToGrid w:val="0"/>
        <w:spacing w:beforeLines="0" w:afterLines="0" w:line="576" w:lineRule="exact"/>
        <w:ind w:firstLine="640" w:firstLineChars="200"/>
        <w:rPr>
          <w:rFonts w:hint="eastAsia"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beforeLines="0" w:afterLines="0"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（一）项目基本情况。</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zh-CN"/>
        </w:rPr>
        <w:t>举办2021年世界粮食日和粮食安全宣传周四川主会场（广元）活动暨“广元造”特色农产品展销会经费是市发展改革委</w:t>
      </w:r>
      <w:r>
        <w:rPr>
          <w:rFonts w:hint="eastAsia" w:ascii="仿宋_GB2312" w:eastAsia="仿宋_GB2312"/>
          <w:color w:val="000000"/>
          <w:sz w:val="32"/>
          <w:szCs w:val="32"/>
        </w:rPr>
        <w:t>2021年专项预算项目。按照《四川省粮食和物资储备局 四川省农业农村厅 四川省教育厅 四川省科学技术厅 四川省妇女联合会关于印发&lt;四川省2021年世界粮食日和全国粮食安全宣传周活动方案</w:t>
      </w:r>
      <w:r>
        <w:rPr>
          <w:rFonts w:hint="eastAsia" w:ascii="仿宋_GB2312" w:eastAsia="仿宋_GB2312"/>
          <w:color w:val="000000"/>
          <w:sz w:val="32"/>
          <w:szCs w:val="32"/>
          <w:lang w:val="en"/>
        </w:rPr>
        <w:t>&gt;的通知</w:t>
      </w:r>
      <w:r>
        <w:rPr>
          <w:rFonts w:hint="eastAsia" w:ascii="仿宋_GB2312" w:eastAsia="仿宋_GB2312"/>
          <w:color w:val="000000"/>
          <w:sz w:val="32"/>
          <w:szCs w:val="32"/>
        </w:rPr>
        <w:t>》安排，四川省2021年世界粮食日和全国粮食安全宣传周主会场活动由广元市人民政府联合主办。运行经费主要用于</w:t>
      </w:r>
      <w:r>
        <w:rPr>
          <w:rFonts w:hint="eastAsia" w:ascii="仿宋_GB2312" w:eastAsia="仿宋_GB2312"/>
          <w:color w:val="000000"/>
          <w:sz w:val="32"/>
          <w:szCs w:val="32"/>
          <w:lang w:val="zh-CN"/>
        </w:rPr>
        <w:t>宣传广告及布展费、宣传片制作费、工作用餐费等。</w:t>
      </w:r>
    </w:p>
    <w:p>
      <w:pPr>
        <w:adjustRightInd w:val="0"/>
        <w:snapToGrid w:val="0"/>
        <w:spacing w:beforeLines="0" w:afterLines="0"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（二）项目绩效目标。</w:t>
      </w:r>
    </w:p>
    <w:p>
      <w:pPr>
        <w:spacing w:line="576" w:lineRule="exact"/>
        <w:ind w:firstLine="640" w:firstLineChars="200"/>
        <w:rPr>
          <w:rFonts w:hint="eastAsia" w:ascii="仿宋_GB2312" w:eastAsia="仿宋_GB2312"/>
          <w:color w:val="000000"/>
          <w:sz w:val="32"/>
          <w:szCs w:val="32"/>
          <w:lang w:val="zh-CN"/>
        </w:rPr>
      </w:pPr>
      <w:r>
        <w:rPr>
          <w:rFonts w:hint="eastAsia" w:ascii="仿宋_GB2312" w:eastAsia="仿宋_GB2312"/>
          <w:color w:val="000000"/>
          <w:sz w:val="32"/>
          <w:szCs w:val="32"/>
          <w:lang w:val="zh-CN"/>
        </w:rPr>
        <w:t>2021年10月13日，举办2021年世界粮食日和粮食安全宣传周四川主会场（广元）活动暨“广元造”特色农产品展销会启动仪式，10月13日至</w:t>
      </w:r>
      <w:r>
        <w:rPr>
          <w:rFonts w:hint="eastAsia" w:ascii="仿宋_GB2312" w:eastAsia="仿宋_GB2312"/>
          <w:color w:val="000000"/>
          <w:sz w:val="32"/>
          <w:szCs w:val="32"/>
        </w:rPr>
        <w:t>14日，70余家粮油企业开展</w:t>
      </w:r>
      <w:r>
        <w:rPr>
          <w:rFonts w:hint="eastAsia" w:ascii="仿宋_GB2312" w:eastAsia="仿宋_GB2312"/>
          <w:color w:val="000000"/>
          <w:sz w:val="32"/>
          <w:szCs w:val="32"/>
          <w:lang w:val="zh-CN"/>
        </w:rPr>
        <w:t>粮油食品饮料展销及对接活动。</w:t>
      </w:r>
    </w:p>
    <w:p>
      <w:pPr>
        <w:adjustRightInd w:val="0"/>
        <w:snapToGrid w:val="0"/>
        <w:spacing w:beforeLines="0" w:afterLines="0" w:line="576" w:lineRule="exact"/>
        <w:ind w:firstLine="640" w:firstLineChars="200"/>
        <w:rPr>
          <w:rFonts w:hint="eastAsia" w:ascii="楷体_GB2312" w:hAnsi="宋体" w:eastAsia="楷体_GB2312"/>
          <w:sz w:val="28"/>
          <w:szCs w:val="28"/>
          <w:lang w:val="zh-CN"/>
        </w:rPr>
      </w:pPr>
      <w:r>
        <w:rPr>
          <w:rFonts w:hint="eastAsia" w:ascii="楷体_GB2312" w:hAnsi="宋体" w:eastAsia="楷体_GB2312"/>
          <w:sz w:val="32"/>
          <w:szCs w:val="32"/>
          <w:lang w:val="zh-CN"/>
        </w:rPr>
        <w:t>（三）项目自评步骤及方法。</w:t>
      </w:r>
    </w:p>
    <w:p>
      <w:pPr>
        <w:spacing w:line="576" w:lineRule="exact"/>
        <w:ind w:firstLine="640" w:firstLineChars="200"/>
        <w:rPr>
          <w:rFonts w:hint="eastAsia" w:ascii="仿宋_GB2312" w:eastAsia="仿宋_GB2312"/>
          <w:color w:val="000000"/>
          <w:sz w:val="32"/>
          <w:szCs w:val="32"/>
          <w:lang w:val="zh-CN"/>
        </w:rPr>
      </w:pPr>
      <w:r>
        <w:rPr>
          <w:rFonts w:hint="eastAsia" w:ascii="仿宋_GB2312" w:eastAsia="仿宋_GB2312"/>
          <w:color w:val="000000"/>
          <w:sz w:val="32"/>
          <w:szCs w:val="32"/>
          <w:lang w:val="zh-CN"/>
        </w:rPr>
        <w:t>核查报账记录。查看包括报账时间、金额、事由及各环节审核签字情况等内容，核实资金是否用于保障活动正常开展。</w:t>
      </w:r>
    </w:p>
    <w:p>
      <w:pPr>
        <w:adjustRightInd w:val="0"/>
        <w:snapToGrid w:val="0"/>
        <w:spacing w:beforeLines="0" w:afterLines="0" w:line="576" w:lineRule="exact"/>
        <w:ind w:firstLine="640" w:firstLineChars="200"/>
        <w:rPr>
          <w:rFonts w:hint="eastAsia"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beforeLines="0" w:afterLines="0"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beforeLines="0" w:afterLines="0" w:line="576"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发展改革委根据2021年工作实际，认真填报《2021年预算项目支出绩效目标申报表》，编制了举办2021年世界粮食日和粮食安全宣传周四川主会场（广元）活动暨“广元造”特色农产品展销会经费预算。市财政局于2021年</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zh-CN"/>
        </w:rPr>
        <w:t>月批复了举办2021年世界粮食日和粮食安全宣传周四川主会场（广元）活动暨“广元造”特色农产品展销会经费预算</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0万元。</w:t>
      </w:r>
    </w:p>
    <w:p>
      <w:pPr>
        <w:adjustRightInd w:val="0"/>
        <w:snapToGrid w:val="0"/>
        <w:spacing w:beforeLines="0" w:afterLines="0" w:line="576" w:lineRule="exact"/>
        <w:ind w:firstLine="640" w:firstLineChars="200"/>
        <w:rPr>
          <w:rFonts w:hint="eastAsia" w:ascii="仿宋_GB2312" w:hAnsi="宋体"/>
          <w:sz w:val="32"/>
          <w:szCs w:val="32"/>
          <w:lang w:val="zh-CN"/>
        </w:rPr>
      </w:pPr>
      <w:r>
        <w:rPr>
          <w:rFonts w:hint="eastAsia" w:ascii="楷体_GB2312" w:hAnsi="宋体" w:eastAsia="楷体_GB2312"/>
          <w:sz w:val="32"/>
          <w:szCs w:val="32"/>
          <w:lang w:val="zh-CN"/>
        </w:rPr>
        <w:t>（二）资金计划、到位及使用情况（可用表格形式反映）。</w:t>
      </w:r>
    </w:p>
    <w:p>
      <w:pPr>
        <w:adjustRightInd w:val="0"/>
        <w:snapToGrid w:val="0"/>
        <w:spacing w:beforeLines="0" w:afterLines="0" w:line="576"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1．资金计划及到位。市财政局于2021年</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zh-CN"/>
        </w:rPr>
        <w:t>月拨付了举办2021年世界粮食日和粮食安全宣传周四川主会场（广元）活动暨“广元造”特色农产品展销会经费预算</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0万元，项目资金全部到位。</w:t>
      </w:r>
    </w:p>
    <w:p>
      <w:pPr>
        <w:adjustRightInd w:val="0"/>
        <w:snapToGrid w:val="0"/>
        <w:spacing w:beforeLines="0" w:afterLines="0" w:line="576"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．资金使用。项目资金到位后，严格按照项目资金管理相关规定，全部用于项目支出，无被截留、挤占、挪用现象。</w:t>
      </w:r>
    </w:p>
    <w:p>
      <w:pPr>
        <w:adjustRightInd w:val="0"/>
        <w:snapToGrid w:val="0"/>
        <w:spacing w:beforeLines="0" w:afterLines="0"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beforeLines="0" w:afterLines="0" w:line="576"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了申报计划，审批后由市财政支付中心统一集中支付。</w:t>
      </w:r>
    </w:p>
    <w:p>
      <w:pPr>
        <w:adjustRightInd w:val="0"/>
        <w:snapToGrid w:val="0"/>
        <w:spacing w:beforeLines="0" w:afterLines="0" w:line="576" w:lineRule="exact"/>
        <w:ind w:firstLine="640" w:firstLineChars="200"/>
        <w:rPr>
          <w:rFonts w:hint="eastAsia" w:ascii="黑体" w:hAnsi="宋体" w:eastAsia="黑体"/>
          <w:sz w:val="32"/>
          <w:szCs w:val="32"/>
        </w:rPr>
      </w:pPr>
      <w:r>
        <w:rPr>
          <w:rFonts w:hint="eastAsia" w:ascii="黑体" w:hAnsi="宋体" w:eastAsia="黑体"/>
          <w:sz w:val="32"/>
          <w:szCs w:val="32"/>
        </w:rPr>
        <w:t>三、项目实施及管理情况</w:t>
      </w:r>
    </w:p>
    <w:p>
      <w:pPr>
        <w:adjustRightInd w:val="0"/>
        <w:snapToGrid w:val="0"/>
        <w:spacing w:beforeLines="0" w:afterLines="0" w:line="576"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严格执行招投标、政府采购、项目公示制等相关规定。</w:t>
      </w:r>
    </w:p>
    <w:p>
      <w:pPr>
        <w:adjustRightInd w:val="0"/>
        <w:snapToGrid w:val="0"/>
        <w:spacing w:beforeLines="0" w:afterLines="0" w:line="576" w:lineRule="exact"/>
        <w:ind w:firstLine="640" w:firstLineChars="200"/>
        <w:rPr>
          <w:rFonts w:hint="eastAsia"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beforeLines="0" w:afterLines="0"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（一）项目完成情况。</w:t>
      </w:r>
    </w:p>
    <w:p>
      <w:pPr>
        <w:adjustRightInd w:val="0"/>
        <w:snapToGrid w:val="0"/>
        <w:spacing w:beforeLines="0" w:afterLines="0" w:line="576" w:lineRule="exact"/>
        <w:ind w:firstLine="640" w:firstLineChars="200"/>
        <w:rPr>
          <w:rFonts w:hint="eastAsia" w:ascii="楷体_GB2312" w:hAnsi="宋体" w:eastAsia="楷体_GB2312"/>
          <w:sz w:val="32"/>
          <w:szCs w:val="32"/>
          <w:lang w:val="zh-CN"/>
        </w:rPr>
      </w:pPr>
      <w:r>
        <w:rPr>
          <w:rFonts w:hint="eastAsia" w:ascii="仿宋_GB2312" w:hAnsi="仿宋_GB2312" w:eastAsia="仿宋_GB2312" w:cs="仿宋_GB2312"/>
          <w:sz w:val="32"/>
          <w:szCs w:val="32"/>
          <w:lang w:val="zh-CN"/>
        </w:rPr>
        <w:t>市发展改革委全面完成了批复的项目数量、时效、成本等指标数，圆满承办2021年世界粮食日和粮食安全宣传周四川主会场（广元）活动暨“广元造”特色农产品展销会相关工作。</w:t>
      </w:r>
    </w:p>
    <w:p>
      <w:pPr>
        <w:adjustRightInd w:val="0"/>
        <w:snapToGrid w:val="0"/>
        <w:spacing w:beforeLines="0" w:afterLines="0"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beforeLines="0" w:afterLines="0" w:line="576"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活动期间推销价值25.2万元的农产品，推荐149家广元农产品生产加工企业，提升广元特色农产品知名度，与川陕甘比邻地区签订３个粮食和物资应急保供战略合作协议。</w:t>
      </w:r>
    </w:p>
    <w:p>
      <w:pPr>
        <w:adjustRightInd w:val="0"/>
        <w:snapToGrid w:val="0"/>
        <w:spacing w:beforeLines="0" w:afterLines="0" w:line="576" w:lineRule="exact"/>
        <w:ind w:firstLine="640" w:firstLineChars="200"/>
        <w:rPr>
          <w:rFonts w:hint="eastAsia" w:ascii="黑体" w:hAnsi="宋体" w:eastAsia="黑体"/>
          <w:sz w:val="32"/>
          <w:szCs w:val="32"/>
        </w:rPr>
      </w:pPr>
      <w:r>
        <w:rPr>
          <w:rFonts w:hint="eastAsia" w:ascii="黑体" w:hAnsi="宋体" w:eastAsia="黑体"/>
          <w:sz w:val="32"/>
          <w:szCs w:val="32"/>
        </w:rPr>
        <w:t>五、评价结论及建议</w:t>
      </w:r>
    </w:p>
    <w:p>
      <w:pPr>
        <w:adjustRightInd w:val="0"/>
        <w:snapToGrid w:val="0"/>
        <w:spacing w:beforeLines="0" w:afterLines="0"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beforeLines="0" w:afterLines="0" w:line="576" w:lineRule="exact"/>
        <w:ind w:firstLine="640" w:firstLineChars="200"/>
        <w:rPr>
          <w:rFonts w:hint="eastAsia" w:ascii="仿宋_GB2312" w:hAnsi="仿宋_GB2312" w:eastAsia="仿宋_GB2312" w:cs="仿宋_GB2312"/>
          <w:sz w:val="32"/>
          <w:szCs w:val="32"/>
          <w:bdr w:val="single" w:color="auto" w:sz="4" w:space="0"/>
          <w:lang w:val="zh-CN"/>
        </w:rPr>
      </w:pPr>
      <w:r>
        <w:rPr>
          <w:rFonts w:hint="eastAsia" w:ascii="仿宋_GB2312" w:hAnsi="仿宋_GB2312" w:eastAsia="仿宋_GB2312" w:cs="仿宋_GB2312"/>
          <w:sz w:val="32"/>
          <w:szCs w:val="32"/>
          <w:lang w:val="zh-CN"/>
        </w:rPr>
        <w:t>通过举办活动宣传普及节粮爱粮知识，广大群众和生产企业绿色食品、有机食品、生态农产品意识进一步强化，粮食安全责任意识更加深入人心。</w:t>
      </w:r>
    </w:p>
    <w:p>
      <w:pPr>
        <w:adjustRightInd w:val="0"/>
        <w:snapToGrid w:val="0"/>
        <w:spacing w:beforeLines="0" w:afterLines="0"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beforeLines="0" w:afterLines="0" w:line="576" w:lineRule="exact"/>
        <w:ind w:firstLine="640" w:firstLineChars="200"/>
        <w:rPr>
          <w:rFonts w:hint="eastAsia" w:ascii="仿宋_GB2312" w:hAnsi="宋体"/>
          <w:sz w:val="32"/>
          <w:szCs w:val="32"/>
          <w:lang w:val="zh-CN"/>
        </w:rPr>
      </w:pPr>
      <w:r>
        <w:rPr>
          <w:rFonts w:hint="eastAsia" w:ascii="仿宋_GB2312" w:hAnsi="仿宋_GB2312" w:eastAsia="仿宋_GB2312" w:cs="仿宋_GB2312"/>
          <w:sz w:val="32"/>
          <w:szCs w:val="32"/>
          <w:lang w:val="zh-CN"/>
        </w:rPr>
        <w:t>无。</w:t>
      </w:r>
      <w:r>
        <w:rPr>
          <w:rFonts w:hint="eastAsia" w:ascii="仿宋_GB2312" w:hAnsi="宋体"/>
          <w:sz w:val="32"/>
          <w:szCs w:val="32"/>
          <w:lang w:val="zh-CN"/>
        </w:rPr>
        <w:tab/>
      </w:r>
    </w:p>
    <w:p>
      <w:pPr>
        <w:adjustRightInd w:val="0"/>
        <w:snapToGrid w:val="0"/>
        <w:spacing w:beforeLines="0" w:afterLines="0"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（三）相关建议。</w:t>
      </w: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_GB2312" w:hAnsi="宋体" w:eastAsia="仿宋_GB2312" w:cs="宋体"/>
          <w:b w:val="0"/>
          <w:bCs w:val="0"/>
          <w:color w:val="auto"/>
          <w:kern w:val="0"/>
          <w:sz w:val="32"/>
          <w:szCs w:val="32"/>
          <w:highlight w:val="none"/>
          <w:shd w:val="clear" w:color="auto" w:fill="FFFFFF"/>
          <w:lang w:val="zh-CN"/>
        </w:rPr>
        <w:t>附表：</w:t>
      </w: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center"/>
        <w:textAlignment w:val="auto"/>
        <w:rPr>
          <w:rFonts w:hint="eastAsia"/>
          <w:color w:val="auto"/>
          <w:highlight w:val="none"/>
          <w:lang w:val="zh-CN"/>
        </w:rPr>
      </w:pPr>
      <w:r>
        <w:rPr>
          <w:rFonts w:hint="eastAsia" w:ascii="宋体" w:hAnsi="宋体" w:eastAsia="宋体" w:cs="宋体"/>
          <w:b/>
          <w:i w:val="0"/>
          <w:color w:val="auto"/>
          <w:sz w:val="32"/>
          <w:szCs w:val="32"/>
          <w:highlight w:val="none"/>
          <w:u w:val="none"/>
          <w:lang w:val="en-US" w:eastAsia="zh-CN"/>
        </w:rPr>
        <w:t>2021年部门预算项目绩效目标自评</w:t>
      </w:r>
    </w:p>
    <w:tbl>
      <w:tblPr>
        <w:tblStyle w:val="17"/>
        <w:tblpPr w:leftFromText="180" w:rightFromText="180" w:vertAnchor="text" w:horzAnchor="page" w:tblpX="727" w:tblpY="1456"/>
        <w:tblOverlap w:val="never"/>
        <w:tblW w:w="10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802"/>
        <w:gridCol w:w="940"/>
        <w:gridCol w:w="2058"/>
        <w:gridCol w:w="2281"/>
        <w:gridCol w:w="2589"/>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2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82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2021年世界粮食日和粮食安全宣传周四川主会场（广元）活动暨“广元造”特色农产品展销会经费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主管单位</w:t>
            </w:r>
          </w:p>
        </w:tc>
        <w:tc>
          <w:tcPr>
            <w:tcW w:w="205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广元市发展和改革委员会</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3864"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执行</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情况</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预算数：</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30万元</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执行数：</w:t>
            </w:r>
          </w:p>
        </w:tc>
        <w:tc>
          <w:tcPr>
            <w:tcW w:w="3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30万元</w:t>
            </w:r>
          </w:p>
        </w:tc>
        <w:tc>
          <w:tcPr>
            <w:tcW w:w="2281"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3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2281"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3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3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6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2021年10月13至14日，圆满承办“2021年世界粮食日和粮食安全宣传周四川主会场（广元）活动暨‘广元造’特色农产品展销会相关工作。</w:t>
            </w:r>
          </w:p>
        </w:tc>
        <w:tc>
          <w:tcPr>
            <w:tcW w:w="614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2021年10月13至14日，圆满承办了“2021年世界粮食日和粮食安全宣传周四川主会场（广元）活动暨‘广元造’特色农产品展销会相关工作。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8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指标值（包含数字及文字描述）</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实际完成指标值（包含数字及文字描述）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项目完成指标</w:t>
            </w:r>
          </w:p>
        </w:tc>
        <w:tc>
          <w:tcPr>
            <w:tcW w:w="9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指标1：开幕式会场</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舞台搭建、嘉宾座位、LED高清屏幕租赁。</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已完成舞台搭建、嘉宾座位、LED高清屏幕租赁工作。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指标2：宣传区资料数</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展板、宣传册等1万多份，活动得到省市多家主流媒体宣传报道。</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已完成展板、宣传册等1万多份，活动得到省市多家主流媒体宣传报道。</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指标3：展场搭建个数</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75个展位(３m*３m＊2.5m)；15㎡宣传厅；30㎡业务洽谈区。</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已完成75个展位搭建，15㎡宣传厅，30㎡业务洽谈区。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指标4：参展人数</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6000人</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6000余人参展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指标5：媒体数</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2家</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2家媒体</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指标1：合格率</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指标1：搭建验收合格率</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指标1：完成时间</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2021年10月15日前</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2021年10月15日前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指标1：展场搭建费</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29万</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指标2：宣传资料费</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1万</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项目效果指标</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指标1：推销“广元造”特色农产品</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活动期间推销价值25.2万元的农产品</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已完成推销价值25.2万元的农产品。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指标1:推荐广元农产品企业</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推荐149家广元农产品生产加工企业，提升广元特色农产品知名度。</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已完成推荐149家广元农产品生产加工企业，提升了广元特色农产品知名度。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指标2：加强跨区域合作</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与川陕甘比邻地区签订３个粮食和物资应急保供战略合作协议。</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已完成与川陕甘比邻地区签订３个粮食和物资应急保供战略合作协议。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指标3：粮食安全政策知晓率</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指标1：树立生态产品理念</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广大群众和生产企业绿色食品、有机食品、生态农产品意识进一步强化。</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广大群众和生产企业绿色食品、有机食品、生态农产品意识进一步强化。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指标1：可持续影响指标</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通过宣传普及节粮爱粮知识，减少企业粮食加工损失、农民生产损失和百姓食用损失，粮食安全责任意识更加深入人心。</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减少了企业粮食加工损失、农民生产损失和百姓食用损失，使得粮食安全责任意识更加深入人心。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9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指标1：公众满意度</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指标2：参展企业满意度</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bl>
    <w:p>
      <w:pPr>
        <w:pStyle w:val="2"/>
        <w:rPr>
          <w:rFonts w:hint="eastAsia"/>
          <w:color w:val="auto"/>
          <w:highlight w:val="none"/>
          <w:lang w:val="zh-CN"/>
        </w:rPr>
      </w:pPr>
    </w:p>
    <w:p>
      <w:pPr>
        <w:pStyle w:val="6"/>
        <w:rPr>
          <w:rFonts w:hint="eastAsia"/>
          <w:color w:val="auto"/>
          <w:highlight w:val="none"/>
          <w:lang w:val="zh-CN"/>
        </w:rPr>
      </w:pPr>
    </w:p>
    <w:p>
      <w:pPr>
        <w:pStyle w:val="2"/>
        <w:rPr>
          <w:rFonts w:hint="eastAsia"/>
          <w:color w:val="auto"/>
          <w:highlight w:val="none"/>
          <w:lang w:val="zh-CN"/>
        </w:rPr>
      </w:pPr>
    </w:p>
    <w:p>
      <w:pPr>
        <w:pStyle w:val="6"/>
        <w:rPr>
          <w:rFonts w:hint="eastAsia"/>
          <w:color w:val="auto"/>
          <w:highlight w:val="none"/>
          <w:lang w:val="zh-CN"/>
        </w:rPr>
      </w:pPr>
    </w:p>
    <w:p>
      <w:pPr>
        <w:rPr>
          <w:rFonts w:hint="eastAsia"/>
          <w:color w:val="auto"/>
          <w:highlight w:val="none"/>
          <w:lang w:val="zh-CN"/>
        </w:rPr>
      </w:pPr>
    </w:p>
    <w:p>
      <w:pPr>
        <w:pStyle w:val="2"/>
        <w:rPr>
          <w:rFonts w:hint="eastAsia"/>
          <w:lang w:val="zh-CN"/>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粮食购销领域腐败问题巡察</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专项督导检查工作经费项目</w:t>
      </w:r>
      <w:r>
        <w:rPr>
          <w:rFonts w:hint="eastAsia" w:ascii="方正小标宋简体" w:hAnsi="方正小标宋简体" w:eastAsia="方正小标宋简体" w:cs="方正小标宋简体"/>
          <w:color w:val="auto"/>
          <w:kern w:val="2"/>
          <w:sz w:val="40"/>
          <w:szCs w:val="40"/>
          <w:highlight w:val="none"/>
          <w:lang w:val="zh-CN" w:eastAsia="zh-CN" w:bidi="ar-SA"/>
        </w:rPr>
        <w:t>支出绩效自评报告</w:t>
      </w: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黑体" w:hAnsi="宋体" w:eastAsia="黑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lang w:val="zh-CN"/>
        </w:rPr>
      </w:pPr>
      <w:r>
        <w:rPr>
          <w:rFonts w:hint="eastAsia" w:ascii="黑体" w:hAnsi="宋体" w:eastAsia="黑体"/>
          <w:b w:val="0"/>
          <w:bCs w:val="0"/>
          <w:sz w:val="32"/>
          <w:szCs w:val="32"/>
        </w:rPr>
        <w:t>一、</w:t>
      </w:r>
      <w:r>
        <w:rPr>
          <w:rFonts w:hint="eastAsia" w:ascii="黑体" w:hAnsi="宋体" w:eastAsia="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r>
        <w:rPr>
          <w:rFonts w:hint="eastAsia" w:ascii="仿宋_GB2312" w:hAnsi="宋体" w:eastAsia="仿宋_GB2312"/>
          <w:b w:val="0"/>
          <w:bCs w:val="0"/>
          <w:sz w:val="32"/>
          <w:szCs w:val="32"/>
          <w:lang w:val="zh-CN" w:eastAsia="zh-CN"/>
        </w:rPr>
        <w:t>开展</w:t>
      </w:r>
      <w:r>
        <w:rPr>
          <w:rFonts w:hint="eastAsia" w:ascii="仿宋_GB2312" w:hAnsi="宋体" w:eastAsia="仿宋_GB2312"/>
          <w:b w:val="0"/>
          <w:bCs w:val="0"/>
          <w:sz w:val="32"/>
          <w:szCs w:val="32"/>
          <w:lang w:val="zh-CN"/>
        </w:rPr>
        <w:t>粮食购销领域腐败问题专项整治党中央国务院为维护国家粮食安全作出的重大决策部署。根据市委关于开展粮食购销领域专项整治工作部署，市发展改革委组建</w:t>
      </w:r>
      <w:r>
        <w:rPr>
          <w:rFonts w:hint="eastAsia" w:ascii="仿宋_GB2312" w:hAnsi="宋体" w:eastAsia="仿宋_GB2312"/>
          <w:b w:val="0"/>
          <w:bCs w:val="0"/>
          <w:sz w:val="32"/>
          <w:szCs w:val="32"/>
          <w:lang w:val="en-US" w:eastAsia="zh-CN"/>
        </w:rPr>
        <w:t>4个</w:t>
      </w:r>
      <w:r>
        <w:rPr>
          <w:rFonts w:hint="eastAsia" w:ascii="仿宋_GB2312" w:hAnsi="宋体" w:eastAsia="仿宋_GB2312"/>
          <w:b w:val="0"/>
          <w:bCs w:val="0"/>
          <w:sz w:val="32"/>
          <w:szCs w:val="32"/>
          <w:lang w:val="zh-CN"/>
        </w:rPr>
        <w:t>专项督导先后对全市涉粮管理到位、国有粮食企业进行了</w:t>
      </w:r>
      <w:r>
        <w:rPr>
          <w:rFonts w:hint="eastAsia" w:ascii="仿宋_GB2312" w:hAnsi="宋体" w:eastAsia="仿宋_GB2312"/>
          <w:b w:val="0"/>
          <w:bCs w:val="0"/>
          <w:sz w:val="32"/>
          <w:szCs w:val="32"/>
          <w:lang w:val="en-US" w:eastAsia="zh-CN"/>
        </w:rPr>
        <w:t>3轮督导检查，并</w:t>
      </w:r>
      <w:r>
        <w:rPr>
          <w:rFonts w:hint="eastAsia" w:ascii="仿宋_GB2312" w:hAnsi="宋体" w:eastAsia="仿宋_GB2312"/>
          <w:b w:val="0"/>
          <w:bCs w:val="0"/>
          <w:sz w:val="32"/>
          <w:szCs w:val="32"/>
          <w:lang w:val="zh-CN"/>
        </w:rPr>
        <w:t>抽派专人参加省级专项巡察组工作。同时，为及时整改市委专项巡察组反馈粮食行政执法装备不能满足工作需要问题，市财政拨付粮食购销领域腐败问题专项整治督导检查工作经费共109500元，主要用于购置粮食行政执法装备，督导检查组车辆租赁费、住宿费、差旅费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b w:val="0"/>
          <w:bCs w:val="0"/>
          <w:sz w:val="32"/>
          <w:szCs w:val="32"/>
          <w:lang w:val="en-US" w:eastAsia="zh-CN"/>
        </w:rPr>
      </w:pPr>
      <w:r>
        <w:rPr>
          <w:rFonts w:hint="eastAsia" w:ascii="仿宋_GB2312" w:hAnsi="宋体" w:eastAsia="仿宋_GB2312"/>
          <w:b w:val="0"/>
          <w:bCs w:val="0"/>
          <w:sz w:val="32"/>
          <w:szCs w:val="32"/>
          <w:lang w:val="en-US" w:eastAsia="zh-CN"/>
        </w:rPr>
        <w:t>由于有专项经费保障，确保了粮食购销领域腐败问题专项整治督导工作顺利开展，同时购置笔记本电脑、执法记录仪、录音笔等执法设备，满足了粮食行政执法工作需要。</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28"/>
          <w:szCs w:val="28"/>
          <w:lang w:val="zh-CN"/>
        </w:rPr>
      </w:pPr>
      <w:r>
        <w:rPr>
          <w:rFonts w:hint="eastAsia" w:ascii="楷体_GB2312" w:hAnsi="宋体" w:eastAsia="楷体_GB2312"/>
          <w:b w:val="0"/>
          <w:bCs w:val="0"/>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lang w:val="zh-CN"/>
        </w:rPr>
      </w:pPr>
      <w:r>
        <w:rPr>
          <w:rFonts w:hint="eastAsia" w:ascii="仿宋_GB2312" w:hAnsi="宋体" w:eastAsia="仿宋_GB2312"/>
          <w:b w:val="0"/>
          <w:bCs w:val="0"/>
          <w:sz w:val="32"/>
          <w:szCs w:val="32"/>
          <w:lang w:val="zh-CN"/>
        </w:rPr>
        <w:t>一是核查报账记录。查看包括报账时间、金额、事由及各环节审核签字情况等内容，核实资金是否用于保障粮食购销领域腐败问题专项整治工作正常开展。</w:t>
      </w: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default" w:ascii="仿宋_GB2312" w:hAnsi="宋体" w:eastAsia="仿宋_GB2312"/>
          <w:b w:val="0"/>
          <w:bCs w:val="0"/>
          <w:sz w:val="32"/>
          <w:szCs w:val="32"/>
          <w:lang w:val="en-US" w:eastAsia="zh-CN"/>
        </w:rPr>
      </w:pPr>
      <w:r>
        <w:rPr>
          <w:rFonts w:hint="eastAsia" w:ascii="仿宋_GB2312" w:hAnsi="宋体" w:eastAsia="仿宋_GB2312"/>
          <w:b w:val="0"/>
          <w:bCs w:val="0"/>
          <w:sz w:val="32"/>
          <w:szCs w:val="32"/>
          <w:lang w:val="en-US" w:eastAsia="zh-CN"/>
        </w:rPr>
        <w:t xml:space="preserve">    二是执法设备使用情况。到县区开展粮食行政执法工作全程使用执法记录仪、录音笔、移动电脑等执法工具，使粮食行政执法工作全程留痕，执法文书规范，及时准确。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仿宋_GB2312" w:hAnsi="宋体" w:eastAsia="仿宋_GB2312"/>
          <w:b w:val="0"/>
          <w:bCs w:val="0"/>
          <w:sz w:val="32"/>
          <w:szCs w:val="32"/>
          <w:lang w:val="zh-CN"/>
        </w:rPr>
        <w:t>市发展改革委根据2021年工作实际，认真填报《2021年预算项目支出绩效目标申报表》，编制了</w:t>
      </w:r>
      <w:r>
        <w:rPr>
          <w:rFonts w:hint="eastAsia" w:ascii="仿宋_GB2312" w:hAnsi="宋体" w:eastAsia="仿宋_GB2312"/>
          <w:b w:val="0"/>
          <w:bCs w:val="0"/>
          <w:sz w:val="32"/>
          <w:szCs w:val="32"/>
          <w:lang w:val="zh-CN" w:eastAsia="zh-CN"/>
        </w:rPr>
        <w:t>粮食购销领域腐败问题巡察专项督导检查工作经费</w:t>
      </w:r>
      <w:r>
        <w:rPr>
          <w:rFonts w:hint="eastAsia" w:ascii="仿宋_GB2312" w:hAnsi="宋体" w:eastAsia="仿宋_GB2312"/>
          <w:b w:val="0"/>
          <w:bCs w:val="0"/>
          <w:sz w:val="32"/>
          <w:szCs w:val="32"/>
          <w:lang w:val="zh-CN"/>
        </w:rPr>
        <w:t>预算。市财政局于2021年</w:t>
      </w:r>
      <w:r>
        <w:rPr>
          <w:rFonts w:hint="eastAsia" w:ascii="仿宋_GB2312" w:hAnsi="宋体" w:eastAsia="仿宋_GB2312"/>
          <w:b w:val="0"/>
          <w:bCs w:val="0"/>
          <w:sz w:val="32"/>
          <w:szCs w:val="32"/>
          <w:lang w:val="en-US" w:eastAsia="zh-CN"/>
        </w:rPr>
        <w:t>12</w:t>
      </w:r>
      <w:r>
        <w:rPr>
          <w:rFonts w:hint="eastAsia" w:ascii="仿宋_GB2312" w:hAnsi="宋体" w:eastAsia="仿宋_GB2312"/>
          <w:b w:val="0"/>
          <w:bCs w:val="0"/>
          <w:sz w:val="32"/>
          <w:szCs w:val="32"/>
          <w:lang w:val="zh-CN"/>
        </w:rPr>
        <w:t>月批复了</w:t>
      </w:r>
      <w:r>
        <w:rPr>
          <w:rFonts w:hint="eastAsia" w:ascii="仿宋_GB2312" w:hAnsi="宋体" w:eastAsia="仿宋_GB2312"/>
          <w:b w:val="0"/>
          <w:bCs w:val="0"/>
          <w:sz w:val="32"/>
          <w:szCs w:val="32"/>
          <w:lang w:val="zh-CN" w:eastAsia="zh-CN"/>
        </w:rPr>
        <w:t>粮食购销领域腐败问题巡察专项督导检查工作经费</w:t>
      </w:r>
      <w:r>
        <w:rPr>
          <w:rFonts w:hint="eastAsia" w:ascii="仿宋_GB2312" w:hAnsi="宋体" w:eastAsia="仿宋_GB2312"/>
          <w:b w:val="0"/>
          <w:bCs w:val="0"/>
          <w:sz w:val="32"/>
          <w:szCs w:val="32"/>
          <w:lang w:val="zh-CN"/>
        </w:rPr>
        <w:t>预算</w:t>
      </w:r>
      <w:r>
        <w:rPr>
          <w:rFonts w:hint="eastAsia" w:ascii="仿宋_GB2312" w:hAnsi="宋体" w:eastAsia="仿宋_GB2312"/>
          <w:b w:val="0"/>
          <w:bCs w:val="0"/>
          <w:sz w:val="32"/>
          <w:szCs w:val="32"/>
          <w:lang w:val="en-US" w:eastAsia="zh-CN"/>
        </w:rPr>
        <w:t>10.95</w:t>
      </w:r>
      <w:r>
        <w:rPr>
          <w:rFonts w:hint="eastAsia" w:ascii="仿宋_GB2312" w:hAnsi="宋体" w:eastAsia="仿宋_GB2312"/>
          <w:b w:val="0"/>
          <w:bCs w:val="0"/>
          <w:sz w:val="32"/>
          <w:szCs w:val="32"/>
          <w:lang w:val="zh-CN"/>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r>
        <w:rPr>
          <w:rFonts w:hint="eastAsia" w:ascii="楷体_GB2312" w:hAnsi="宋体" w:eastAsia="楷体_GB2312"/>
          <w:b w:val="0"/>
          <w:bCs w:val="0"/>
          <w:sz w:val="32"/>
          <w:szCs w:val="32"/>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1．资金计划及到位。市财政局于2021年</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lang w:val="zh-CN"/>
        </w:rPr>
        <w:t>月拨付了</w:t>
      </w:r>
      <w:r>
        <w:rPr>
          <w:rFonts w:hint="eastAsia" w:ascii="仿宋_GB2312" w:hAnsi="仿宋_GB2312" w:eastAsia="仿宋_GB2312" w:cs="仿宋_GB2312"/>
          <w:b w:val="0"/>
          <w:bCs w:val="0"/>
          <w:sz w:val="32"/>
          <w:szCs w:val="32"/>
          <w:lang w:val="zh-CN" w:eastAsia="zh-CN"/>
        </w:rPr>
        <w:t>粮食购销领域腐败问题专项整治督导检查工作经费</w:t>
      </w:r>
      <w:r>
        <w:rPr>
          <w:rFonts w:hint="eastAsia" w:ascii="仿宋_GB2312" w:hAnsi="仿宋_GB2312" w:eastAsia="仿宋_GB2312" w:cs="仿宋_GB2312"/>
          <w:b w:val="0"/>
          <w:bCs w:val="0"/>
          <w:sz w:val="32"/>
          <w:szCs w:val="32"/>
          <w:lang w:val="zh-CN"/>
        </w:rPr>
        <w:t>预算</w:t>
      </w:r>
      <w:r>
        <w:rPr>
          <w:rFonts w:hint="eastAsia" w:ascii="仿宋_GB2312" w:hAnsi="仿宋_GB2312" w:eastAsia="仿宋_GB2312" w:cs="仿宋_GB2312"/>
          <w:b w:val="0"/>
          <w:bCs w:val="0"/>
          <w:sz w:val="32"/>
          <w:szCs w:val="32"/>
          <w:lang w:val="en-US" w:eastAsia="zh-CN"/>
        </w:rPr>
        <w:t>10.95</w:t>
      </w:r>
      <w:r>
        <w:rPr>
          <w:rFonts w:hint="eastAsia" w:ascii="仿宋_GB2312" w:hAnsi="仿宋_GB2312" w:eastAsia="仿宋_GB2312" w:cs="仿宋_GB2312"/>
          <w:b w:val="0"/>
          <w:bCs w:val="0"/>
          <w:sz w:val="32"/>
          <w:szCs w:val="32"/>
          <w:lang w:val="zh-CN"/>
        </w:rPr>
        <w:t>万元，项目资金全部到位。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eastAsia="zh-CN"/>
        </w:rPr>
        <w:t>2</w:t>
      </w:r>
      <w:r>
        <w:rPr>
          <w:rFonts w:hint="eastAsia" w:ascii="仿宋_GB2312" w:hAnsi="仿宋_GB2312" w:eastAsia="仿宋_GB2312" w:cs="仿宋_GB2312"/>
          <w:b w:val="0"/>
          <w:bCs w:val="0"/>
          <w:sz w:val="32"/>
          <w:szCs w:val="32"/>
          <w:lang w:val="zh-CN"/>
        </w:rPr>
        <w:t>．资金使用。项目资金到位后，严格按照项目资金管理相关规定，其中</w:t>
      </w:r>
      <w:r>
        <w:rPr>
          <w:rFonts w:hint="eastAsia" w:ascii="仿宋_GB2312" w:hAnsi="仿宋_GB2312" w:eastAsia="仿宋_GB2312" w:cs="仿宋_GB2312"/>
          <w:b w:val="0"/>
          <w:bCs w:val="0"/>
          <w:sz w:val="32"/>
          <w:szCs w:val="32"/>
          <w:lang w:val="en-US" w:eastAsia="zh-CN"/>
        </w:rPr>
        <w:t>4.45万元已用于购置粮食行政执法所需移动电脑3台、执法记录仪4个、录音笔4支和</w:t>
      </w:r>
      <w:r>
        <w:rPr>
          <w:rFonts w:hint="eastAsia" w:ascii="仿宋_GB2312" w:hAnsi="仿宋_GB2312" w:eastAsia="仿宋_GB2312" w:cs="仿宋_GB2312"/>
          <w:b w:val="0"/>
          <w:bCs w:val="0"/>
          <w:sz w:val="32"/>
          <w:szCs w:val="32"/>
          <w:lang w:val="zh-CN" w:eastAsia="zh-CN"/>
        </w:rPr>
        <w:t>粮食购销领域腐败问题专项整治督导检查工作经费</w:t>
      </w:r>
      <w:r>
        <w:rPr>
          <w:rFonts w:hint="eastAsia" w:ascii="仿宋_GB2312" w:hAnsi="仿宋_GB2312" w:eastAsia="仿宋_GB2312" w:cs="仿宋_GB2312"/>
          <w:b w:val="0"/>
          <w:bCs w:val="0"/>
          <w:sz w:val="32"/>
          <w:szCs w:val="32"/>
          <w:lang w:val="zh-CN"/>
        </w:rPr>
        <w:t>，</w:t>
      </w:r>
      <w:r>
        <w:rPr>
          <w:rFonts w:hint="eastAsia" w:ascii="仿宋_GB2312" w:hAnsi="黑体" w:eastAsia="仿宋_GB2312" w:cs="黑体"/>
          <w:color w:val="000000"/>
          <w:sz w:val="32"/>
          <w:szCs w:val="32"/>
        </w:rPr>
        <w:t>预算执行率为</w:t>
      </w:r>
      <w:r>
        <w:rPr>
          <w:rFonts w:hint="eastAsia" w:ascii="仿宋_GB2312" w:hAnsi="黑体" w:eastAsia="仿宋_GB2312" w:cs="黑体"/>
          <w:color w:val="000000"/>
          <w:sz w:val="32"/>
          <w:szCs w:val="32"/>
          <w:lang w:val="en-US" w:eastAsia="zh-CN"/>
        </w:rPr>
        <w:t>40.64</w:t>
      </w:r>
      <w:r>
        <w:rPr>
          <w:rFonts w:hint="eastAsia" w:ascii="仿宋_GB2312" w:hAnsi="黑体" w:eastAsia="仿宋_GB2312" w:cs="黑体"/>
          <w:color w:val="000000"/>
          <w:sz w:val="32"/>
          <w:szCs w:val="32"/>
        </w:rPr>
        <w:t>%</w:t>
      </w:r>
      <w:r>
        <w:rPr>
          <w:rFonts w:hint="eastAsia" w:ascii="仿宋_GB2312" w:hAnsi="黑体" w:eastAsia="仿宋_GB2312" w:cs="黑体"/>
          <w:color w:val="000000"/>
          <w:sz w:val="32"/>
          <w:szCs w:val="32"/>
          <w:lang w:val="en-US" w:eastAsia="zh-CN"/>
        </w:rPr>
        <w:t>,剩余</w:t>
      </w:r>
      <w:r>
        <w:rPr>
          <w:rFonts w:hint="eastAsia" w:ascii="仿宋_GB2312" w:eastAsia="仿宋_GB2312" w:cs="仿宋_GB2312"/>
          <w:sz w:val="32"/>
          <w:szCs w:val="32"/>
        </w:rPr>
        <w:t>6.5万元主要用于粮食行政执法设备购置</w:t>
      </w:r>
      <w:r>
        <w:rPr>
          <w:rFonts w:hint="eastAsia" w:ascii="仿宋_GB2312" w:eastAsia="仿宋_GB2312" w:cs="仿宋_GB2312"/>
          <w:sz w:val="32"/>
          <w:szCs w:val="32"/>
          <w:lang w:eastAsia="zh-CN"/>
        </w:rPr>
        <w:t>，</w:t>
      </w:r>
      <w:r>
        <w:rPr>
          <w:rFonts w:hint="eastAsia" w:ascii="仿宋_GB2312" w:hAnsi="黑体" w:eastAsia="仿宋_GB2312" w:cs="黑体"/>
          <w:color w:val="000000"/>
          <w:sz w:val="32"/>
          <w:szCs w:val="32"/>
          <w:lang w:val="en-US" w:eastAsia="zh-CN"/>
        </w:rPr>
        <w:t>由于资金下达较晚，</w:t>
      </w:r>
      <w:r>
        <w:rPr>
          <w:rFonts w:hint="eastAsia" w:ascii="仿宋_GB2312" w:eastAsia="仿宋_GB2312" w:cs="仿宋_GB2312"/>
          <w:sz w:val="32"/>
          <w:szCs w:val="32"/>
        </w:rPr>
        <w:t>当年指标未申请调剂，结转到2022年使用。</w:t>
      </w:r>
      <w:r>
        <w:rPr>
          <w:rFonts w:hint="eastAsia" w:ascii="仿宋_GB2312" w:hAnsi="仿宋_GB2312" w:eastAsia="仿宋_GB2312" w:cs="仿宋_GB2312"/>
          <w:b w:val="0"/>
          <w:bCs w:val="0"/>
          <w:sz w:val="32"/>
          <w:szCs w:val="32"/>
          <w:lang w:val="zh-CN"/>
        </w:rPr>
        <w:t>无被截留、挤占、挪用现象。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lang w:val="zh-CN"/>
        </w:rPr>
      </w:pPr>
      <w:r>
        <w:rPr>
          <w:rFonts w:hint="eastAsia" w:ascii="仿宋_GB2312" w:hAnsi="宋体" w:eastAsia="仿宋_GB2312"/>
          <w:b w:val="0"/>
          <w:bCs w:val="0"/>
          <w:sz w:val="32"/>
          <w:szCs w:val="32"/>
          <w:lang w:val="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了申报计划，审批后由市财政支付中心统一集中支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lang w:val="zh-CN" w:eastAsia="zh-CN"/>
        </w:rPr>
      </w:pPr>
      <w:r>
        <w:rPr>
          <w:rFonts w:hint="eastAsia" w:ascii="仿宋_GB2312" w:hAnsi="宋体" w:eastAsia="仿宋_GB2312"/>
          <w:b w:val="0"/>
          <w:bCs w:val="0"/>
          <w:sz w:val="32"/>
          <w:szCs w:val="32"/>
          <w:lang w:val="en-US" w:eastAsia="zh-CN"/>
        </w:rPr>
        <w:t>2021年按照制定的方案，资金到位后，</w:t>
      </w:r>
      <w:r>
        <w:rPr>
          <w:rFonts w:hint="eastAsia" w:ascii="仿宋_GB2312" w:hAnsi="宋体" w:eastAsia="仿宋_GB2312"/>
          <w:b w:val="0"/>
          <w:bCs w:val="0"/>
          <w:sz w:val="32"/>
          <w:szCs w:val="32"/>
          <w:lang w:val="zh-CN"/>
        </w:rPr>
        <w:t>确保了专项巡察工作督导和执法工作顺利开展。合理使用</w:t>
      </w:r>
      <w:r>
        <w:rPr>
          <w:rFonts w:hint="eastAsia" w:ascii="仿宋_GB2312" w:hAnsi="宋体" w:eastAsia="仿宋_GB2312"/>
          <w:b w:val="0"/>
          <w:bCs w:val="0"/>
          <w:sz w:val="32"/>
          <w:szCs w:val="32"/>
          <w:lang w:val="zh-CN" w:eastAsia="zh-CN"/>
        </w:rPr>
        <w:t>执法记录仪、录音笔等执法工具，确保工作更加规范化。</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r>
        <w:rPr>
          <w:rFonts w:hint="eastAsia" w:ascii="黑体" w:hAnsi="宋体" w:eastAsia="黑体"/>
          <w:b w:val="0"/>
          <w:bCs w:val="0"/>
          <w:sz w:val="32"/>
          <w:szCs w:val="32"/>
        </w:rPr>
        <w:t>四、项目绩效情况</w:t>
      </w:r>
      <w:r>
        <w:rPr>
          <w:rFonts w:hint="eastAsia" w:ascii="仿宋_GB2312" w:hAnsi="宋体" w:eastAsia="仿宋_GB2312"/>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lang w:val="zh-CN" w:eastAsia="zh-CN"/>
        </w:rPr>
      </w:pPr>
      <w:r>
        <w:rPr>
          <w:rFonts w:hint="eastAsia" w:ascii="仿宋_GB2312" w:hAnsi="宋体" w:eastAsia="仿宋_GB2312"/>
          <w:b w:val="0"/>
          <w:bCs w:val="0"/>
          <w:sz w:val="32"/>
          <w:szCs w:val="32"/>
          <w:lang w:val="zh-CN"/>
        </w:rPr>
        <w:t>市发展改革委全面完成了批复的项目数量、时效、成本等指标数，圆满完成</w:t>
      </w:r>
      <w:r>
        <w:rPr>
          <w:rFonts w:hint="eastAsia" w:ascii="仿宋_GB2312" w:hAnsi="宋体" w:eastAsia="仿宋_GB2312"/>
          <w:b w:val="0"/>
          <w:bCs w:val="0"/>
          <w:sz w:val="32"/>
          <w:szCs w:val="32"/>
          <w:lang w:val="zh-CN" w:eastAsia="zh-CN"/>
        </w:rPr>
        <w:t>粮食购销领域腐败问题专项整治督导检查工作，提高了我委粮食行政执法规范化水平。</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lang w:val="zh-CN" w:eastAsia="zh-CN"/>
        </w:rPr>
      </w:pPr>
      <w:r>
        <w:rPr>
          <w:rFonts w:hint="eastAsia" w:ascii="仿宋_GB2312" w:hAnsi="宋体" w:eastAsia="仿宋_GB2312"/>
          <w:b w:val="0"/>
          <w:bCs w:val="0"/>
          <w:sz w:val="32"/>
          <w:szCs w:val="32"/>
          <w:lang w:val="zh-CN" w:eastAsia="zh-CN"/>
        </w:rPr>
        <w:t>粮食购销领域腐败问题巡察专项督导及整治检查工作圆满完成，通过购买执法设备，降低了执法风险，提高了执法规范化水平，办理案件效率大幅度提升。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lang w:val="zh-CN" w:eastAsia="zh-CN"/>
        </w:rPr>
      </w:pPr>
      <w:r>
        <w:rPr>
          <w:rFonts w:hint="eastAsia" w:ascii="仿宋_GB2312" w:hAnsi="宋体" w:eastAsia="仿宋_GB2312"/>
          <w:b w:val="0"/>
          <w:bCs w:val="0"/>
          <w:sz w:val="32"/>
          <w:szCs w:val="32"/>
          <w:lang w:val="zh-CN" w:eastAsia="zh-CN"/>
        </w:rPr>
        <w:t>通过该项目的实施，保障了粮食购销领域腐败问题巡察专项督导检查工作的顺利开展，增添执法设备，提升了我委执法水平。</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r>
        <w:rPr>
          <w:rFonts w:hint="eastAsia" w:ascii="仿宋_GB2312" w:hAnsi="宋体" w:eastAsia="仿宋_GB2312"/>
          <w:b w:val="0"/>
          <w:bCs w:val="0"/>
          <w:sz w:val="32"/>
          <w:szCs w:val="32"/>
          <w:lang w:val="zh-CN"/>
        </w:rPr>
        <w:t>无。</w:t>
      </w:r>
      <w:r>
        <w:rPr>
          <w:rFonts w:hint="eastAsia" w:ascii="仿宋_GB2312" w:hAnsi="宋体" w:eastAsia="仿宋_GB2312"/>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（三）相关建议。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b w:val="0"/>
          <w:bCs w:val="0"/>
          <w:sz w:val="32"/>
          <w:szCs w:val="32"/>
          <w:lang w:eastAsia="zh-CN"/>
        </w:rPr>
      </w:pPr>
      <w:r>
        <w:rPr>
          <w:rFonts w:hint="eastAsia" w:eastAsia="仿宋_GB2312"/>
          <w:b w:val="0"/>
          <w:bCs w:val="0"/>
          <w:sz w:val="32"/>
          <w:szCs w:val="32"/>
          <w:lang w:eastAsia="zh-CN"/>
        </w:rPr>
        <w:t>无。</w:t>
      </w:r>
    </w:p>
    <w:p>
      <w:pPr>
        <w:pStyle w:val="2"/>
        <w:rPr>
          <w:rFonts w:hint="eastAsia"/>
          <w:color w:val="auto"/>
          <w:highlight w:val="none"/>
          <w:lang w:val="zh-CN"/>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lang w:val="zh-CN"/>
        </w:rPr>
      </w:pPr>
      <w:r>
        <w:rPr>
          <w:rFonts w:hint="eastAsia" w:ascii="仿宋_GB2312" w:hAnsi="宋体" w:eastAsia="仿宋_GB2312" w:cs="宋体"/>
          <w:b w:val="0"/>
          <w:bCs w:val="0"/>
          <w:color w:val="auto"/>
          <w:kern w:val="0"/>
          <w:sz w:val="32"/>
          <w:szCs w:val="32"/>
          <w:highlight w:val="none"/>
          <w:shd w:val="clear" w:color="auto" w:fill="FFFFFF"/>
          <w:lang w:val="zh-CN"/>
        </w:rPr>
        <w:t>附表：</w:t>
      </w: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center"/>
        <w:textAlignment w:val="auto"/>
        <w:rPr>
          <w:rStyle w:val="21"/>
          <w:rFonts w:ascii="黑体" w:hAnsi="黑体" w:eastAsia="黑体"/>
          <w:b w:val="0"/>
          <w:color w:val="auto"/>
          <w:highlight w:val="none"/>
        </w:rPr>
      </w:pPr>
      <w:r>
        <w:rPr>
          <w:rFonts w:hint="eastAsia" w:ascii="宋体" w:hAnsi="宋体" w:eastAsia="宋体" w:cs="宋体"/>
          <w:b/>
          <w:i w:val="0"/>
          <w:color w:val="auto"/>
          <w:sz w:val="32"/>
          <w:szCs w:val="32"/>
          <w:highlight w:val="none"/>
          <w:u w:val="none"/>
          <w:lang w:val="en-US" w:eastAsia="zh-CN"/>
        </w:rPr>
        <w:t>2021年部门预算项目绩效目标自评</w:t>
      </w:r>
    </w:p>
    <w:tbl>
      <w:tblPr>
        <w:tblStyle w:val="17"/>
        <w:tblpPr w:leftFromText="180" w:rightFromText="180" w:vertAnchor="text" w:horzAnchor="page" w:tblpX="662" w:tblpY="530"/>
        <w:tblOverlap w:val="never"/>
        <w:tblW w:w="108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5"/>
        <w:gridCol w:w="1080"/>
        <w:gridCol w:w="1080"/>
        <w:gridCol w:w="1080"/>
        <w:gridCol w:w="1390"/>
        <w:gridCol w:w="2390"/>
        <w:gridCol w:w="1980"/>
        <w:gridCol w:w="1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粮食购销领域腐败问题巡察专项督导检查工作经费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执行</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情况</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预算数：</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10.95万元</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执行数：</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10.95万元</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54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1.按照自查自纠、专项整治工作方案进行推进相关工作；2.发改委组成专项整治督导组分阶段对县区进行督导检查；3.加强督导检查执法仪器设备配备；　                                                                                     4.巩固和提升粮食系统治理效能，持续优化粮食系统政治生态。      </w:t>
            </w:r>
          </w:p>
        </w:tc>
        <w:tc>
          <w:tcPr>
            <w:tcW w:w="54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1.按照自查自纠、专项整治工作方案进行推进了相关工作；2.发改委组成专项整治督导组分阶段对县区进行了督导检查；　                                                                                 3.巩固和提升了粮食系统治理效能，持续优化了粮食系统政治生态。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指标值（包含数字及文字描述）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实际完成指标值（包含数字及文字描述）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项目完成指标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指标1：按照自查自纠、专项整治工作方案进行推进相关工作； </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通过自查自纠、专项整治工作，建立问题整改台账、明确整改责任人推动专项整治工作抓实抓细，提高粮食治理能力。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通过自查自纠、专项整治工作，建立了问题整改台账、明确了整改责任人推动专项整治工作抓实抓细，提高了粮食治理能力。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指标2：发改委组成专项整治督导组分阶段对县区进行督导检查</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督导检查重在发现问题，查找差距和不足，切实整改纠治粮食购销领域的顽瘴痼疾，为推进下一步专项整治工作提供参考。</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督导检查重在发现问题，查找差距和不足，切实整改纠治粮食购销领域的顽瘴痼疾，为推进下一步专项整治工作提供参考。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指标3：加强督导检查执法仪器设备配备；</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加强执法记录仪、录音笔、照（录）相机、笔记本电脑等设备购置，进一步搞好整治工作。</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auto"/>
                <w:kern w:val="0"/>
                <w:sz w:val="21"/>
                <w:szCs w:val="21"/>
                <w:u w:val="none"/>
                <w:lang w:val="en-US" w:eastAsia="zh-CN" w:bidi="ar"/>
              </w:rPr>
              <w:t>待完成</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因指标年底下达，设备购置结转至2022年执行。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指标4：巩固和提升粮食系统治理效能，持续优化粮食系统政治生态。</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通过自查自纠、专项整治推动责任落实、作风改进、用权规范，巩固和提升粮食系统治理效能，持续优化粮食系统政治生态。</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通过自查自纠、专项整治推动责任落实、作风改进、用权规范，巩固和提升了粮食系统治理效能，持续优化了粮食系统政治生态。</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指标1：合格率</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指标1：完成时间</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2022年6月底前</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指标1：推进自查自纠、专项整治、督导检查工作经费</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4.45万万元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指标2：设备购置</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auto"/>
                <w:kern w:val="0"/>
                <w:sz w:val="21"/>
                <w:szCs w:val="21"/>
                <w:u w:val="none"/>
                <w:lang w:val="en-US" w:eastAsia="zh-CN" w:bidi="ar"/>
              </w:rPr>
              <w:t>待完成</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因指标年底下达，设备购置结转至2022年执行。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项目效果指标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指标1：推进专项整治工作</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提高粮食治理能力</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提高了粮食治理能力。</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指标2：巩固治理效能</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持续优化粮食系统政治生态。</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持续优化了粮食系统政治生态。</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指标1：推进专项整治工作</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提高粮食治理能力</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提高了粮食治理能力。</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指标2：巩固治理效能</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持续优化粮食系统政治生态。</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持续优化了粮食系统政治生态。</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指标1：推进专项整治工作</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提高粮食治理能力</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提高了粮食治理能力。</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指标2：巩固治理效能</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持续优化粮食系统政治生态。</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持续优化粮食系统政治生态。</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指标1：推进专项整治工作</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提高粮食治理能力</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提高了粮食治理能力。</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指标2：巩固治理效能</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持续优化粮食系统政治生态。</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持续优化粮食系统政治生态。</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指标1：满意度</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bl>
    <w:p>
      <w:pPr>
        <w:keepNext w:val="0"/>
        <w:keepLines w:val="0"/>
        <w:pageBreakBefore w:val="0"/>
        <w:widowControl w:val="0"/>
        <w:tabs>
          <w:tab w:val="left" w:pos="921"/>
        </w:tabs>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广元市生态产品价值实现路径专题研究</w:t>
      </w:r>
    </w:p>
    <w:p>
      <w:pPr>
        <w:keepNext w:val="0"/>
        <w:keepLines w:val="0"/>
        <w:pageBreakBefore w:val="0"/>
        <w:widowControl w:val="0"/>
        <w:kinsoku/>
        <w:wordWrap/>
        <w:overflowPunct/>
        <w:topLinePunct w:val="0"/>
        <w:autoSpaceDE/>
        <w:autoSpaceDN/>
        <w:bidi w:val="0"/>
        <w:spacing w:line="576" w:lineRule="exact"/>
        <w:jc w:val="center"/>
        <w:textAlignment w:val="auto"/>
        <w:rPr>
          <w:rFonts w:ascii="方正小标宋简体" w:eastAsia="方正小标宋简体"/>
          <w:b/>
          <w:bCs/>
          <w:sz w:val="44"/>
          <w:szCs w:val="44"/>
        </w:rPr>
      </w:pPr>
      <w:r>
        <w:rPr>
          <w:rFonts w:hint="eastAsia" w:ascii="方正小标宋简体" w:hAnsi="方正小标宋简体" w:eastAsia="方正小标宋简体" w:cs="方正小标宋简体"/>
          <w:color w:val="auto"/>
          <w:kern w:val="2"/>
          <w:sz w:val="40"/>
          <w:szCs w:val="40"/>
          <w:highlight w:val="none"/>
          <w:lang w:val="en-US" w:eastAsia="zh-CN" w:bidi="ar-SA"/>
        </w:rPr>
        <w:t>经费项目绩效评价报告</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 xml:space="preserve"> </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（一）项目基本情况</w:t>
      </w:r>
    </w:p>
    <w:p>
      <w:pPr>
        <w:spacing w:line="576" w:lineRule="exact"/>
        <w:ind w:firstLine="640" w:firstLineChars="200"/>
        <w:rPr>
          <w:rFonts w:ascii="仿宋_GB2312" w:eastAsia="仿宋_GB2312"/>
          <w:sz w:val="32"/>
          <w:szCs w:val="32"/>
        </w:rPr>
      </w:pPr>
      <w:r>
        <w:rPr>
          <w:rFonts w:hint="eastAsia" w:ascii="仿宋_GB2312" w:hAnsi="Times New Roman" w:eastAsia="仿宋_GB2312"/>
          <w:color w:val="000000"/>
          <w:sz w:val="32"/>
          <w:szCs w:val="32"/>
          <w:shd w:val="clear" w:color="auto" w:fill="FFFFFF"/>
        </w:rPr>
        <w:t>通过购买服务方式，由中国社会科学院生态文明研究所结合广元实际，深入开展生态产品价值实现路径课题研究，形成符合广元、高质量研究成果，</w:t>
      </w:r>
      <w:r>
        <w:rPr>
          <w:rFonts w:hint="eastAsia" w:ascii="仿宋_GB2312" w:eastAsia="仿宋_GB2312"/>
          <w:sz w:val="32"/>
          <w:szCs w:val="32"/>
        </w:rPr>
        <w:t>将专项经费25万元纳入年度财政预算。</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pPr>
        <w:spacing w:line="576" w:lineRule="exact"/>
        <w:ind w:firstLine="640" w:firstLineChars="200"/>
        <w:rPr>
          <w:rFonts w:ascii="仿宋_GB2312" w:hAnsi="Times New Roman" w:eastAsia="仿宋_GB2312"/>
          <w:color w:val="000000"/>
          <w:sz w:val="32"/>
          <w:szCs w:val="32"/>
          <w:shd w:val="clear" w:color="auto" w:fill="FFFFFF"/>
        </w:rPr>
      </w:pPr>
      <w:r>
        <w:rPr>
          <w:rFonts w:hint="eastAsia" w:ascii="仿宋_GB2312" w:hAnsi="Times New Roman" w:eastAsia="仿宋_GB2312"/>
          <w:color w:val="000000"/>
          <w:sz w:val="32"/>
          <w:szCs w:val="32"/>
          <w:shd w:val="clear" w:color="auto" w:fill="FFFFFF"/>
        </w:rPr>
        <w:t>形成符合广元实际、高质量《广元市生态产品价值实现的机制与路径研究》报告1份。</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（三）项目自评步骤及方法</w:t>
      </w:r>
    </w:p>
    <w:p>
      <w:pPr>
        <w:spacing w:line="576" w:lineRule="exact"/>
        <w:ind w:firstLine="643" w:firstLineChars="200"/>
        <w:rPr>
          <w:rFonts w:ascii="仿宋_GB2312" w:eastAsia="仿宋_GB2312"/>
          <w:sz w:val="32"/>
          <w:szCs w:val="32"/>
        </w:rPr>
      </w:pPr>
      <w:r>
        <w:rPr>
          <w:rFonts w:hint="eastAsia" w:ascii="仿宋_GB2312" w:eastAsia="仿宋_GB2312"/>
          <w:b/>
          <w:bCs/>
          <w:sz w:val="32"/>
          <w:szCs w:val="32"/>
        </w:rPr>
        <w:t>一是核查报账记录。</w:t>
      </w:r>
      <w:r>
        <w:rPr>
          <w:rFonts w:hint="eastAsia" w:ascii="仿宋_GB2312" w:eastAsia="仿宋_GB2312"/>
          <w:sz w:val="32"/>
          <w:szCs w:val="32"/>
        </w:rPr>
        <w:t>查看包括报账时间、金额、事由及各环节审核签字情况等内容，核实资金是否用于编制《</w:t>
      </w:r>
      <w:r>
        <w:rPr>
          <w:rFonts w:hint="eastAsia" w:ascii="仿宋_GB2312" w:hAnsi="Times New Roman" w:eastAsia="仿宋_GB2312"/>
          <w:color w:val="000000"/>
          <w:sz w:val="32"/>
          <w:szCs w:val="32"/>
          <w:shd w:val="clear" w:color="auto" w:fill="FFFFFF"/>
        </w:rPr>
        <w:t>广元市生态产品价值实现的机制与路径研究》课题研究费用</w:t>
      </w:r>
      <w:r>
        <w:rPr>
          <w:rFonts w:hint="eastAsia" w:ascii="仿宋_GB2312" w:eastAsia="仿宋_GB2312"/>
          <w:sz w:val="32"/>
          <w:szCs w:val="32"/>
        </w:rPr>
        <w:t>。</w:t>
      </w:r>
    </w:p>
    <w:p>
      <w:pPr>
        <w:spacing w:line="576" w:lineRule="exact"/>
        <w:ind w:firstLine="643" w:firstLineChars="200"/>
        <w:rPr>
          <w:rFonts w:ascii="仿宋_GB2312" w:eastAsia="仿宋_GB2312"/>
          <w:sz w:val="32"/>
          <w:szCs w:val="32"/>
        </w:rPr>
      </w:pPr>
      <w:r>
        <w:rPr>
          <w:rFonts w:hint="eastAsia" w:ascii="仿宋_GB2312" w:eastAsia="仿宋_GB2312"/>
          <w:b/>
          <w:bCs/>
          <w:sz w:val="32"/>
          <w:szCs w:val="32"/>
        </w:rPr>
        <w:t>二是成果验收。</w:t>
      </w:r>
      <w:r>
        <w:rPr>
          <w:rFonts w:hint="eastAsia" w:ascii="仿宋_GB2312" w:eastAsia="仿宋_GB2312"/>
          <w:sz w:val="32"/>
          <w:szCs w:val="32"/>
        </w:rPr>
        <w:t>委内先行研究后，将课题研究成果纸质征求各县（区）、广元经济技术开发区、市级有关部门征求意见，根据广元实际果，验收研究成果是否符合合格。</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二、项目资金申报及使用情况</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（一）项目资金申报及批复情况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我委根据2021年工作实际，申请工作经费。市财政局于2021年9月批复</w:t>
      </w:r>
      <w:r>
        <w:rPr>
          <w:rFonts w:hint="eastAsia" w:ascii="仿宋_GB2312" w:hAnsi="Times New Roman" w:eastAsia="仿宋_GB2312"/>
          <w:color w:val="000000"/>
          <w:sz w:val="32"/>
          <w:szCs w:val="32"/>
          <w:shd w:val="clear" w:color="auto" w:fill="FFFFFF"/>
        </w:rPr>
        <w:t>《广元市生态产品价值实现的机制与路径研究》</w:t>
      </w:r>
      <w:r>
        <w:rPr>
          <w:rFonts w:hint="eastAsia" w:ascii="仿宋_GB2312" w:eastAsia="仿宋_GB2312"/>
          <w:sz w:val="32"/>
          <w:szCs w:val="32"/>
        </w:rPr>
        <w:t>经费。</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（二）资金计划、到位及使用情况</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1. 资金计划及到位。</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市财政局于2021年9月拨付了</w:t>
      </w:r>
      <w:r>
        <w:rPr>
          <w:rFonts w:hint="eastAsia" w:ascii="仿宋_GB2312" w:hAnsi="Times New Roman" w:eastAsia="仿宋_GB2312"/>
          <w:color w:val="000000"/>
          <w:sz w:val="32"/>
          <w:szCs w:val="32"/>
          <w:shd w:val="clear" w:color="auto" w:fill="FFFFFF"/>
        </w:rPr>
        <w:t>《广元市生态产品价值实现的机制与路径研究》</w:t>
      </w:r>
      <w:r>
        <w:rPr>
          <w:rFonts w:hint="eastAsia" w:ascii="仿宋_GB2312" w:eastAsia="仿宋_GB2312"/>
          <w:sz w:val="32"/>
          <w:szCs w:val="32"/>
        </w:rPr>
        <w:t>经费预算25万元，项目资金全部到位。</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2. 资金使用。</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项目资金到位后，严格按照项目资金管理相关规定，全部用于项目支出，无被截留、挤占、挪用现象。</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（三）项目财务管理情况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了申报计划，审批后由市财政支付中心统一集中支付。</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三、项目实施及管理情况</w:t>
      </w:r>
    </w:p>
    <w:p>
      <w:pPr>
        <w:spacing w:line="576" w:lineRule="exact"/>
        <w:ind w:firstLine="643" w:firstLineChars="200"/>
        <w:rPr>
          <w:rFonts w:ascii="仿宋_GB2312" w:hAnsi="Times New Roman" w:eastAsia="仿宋_GB2312"/>
          <w:color w:val="000000"/>
          <w:sz w:val="32"/>
          <w:szCs w:val="32"/>
          <w:shd w:val="clear" w:color="auto" w:fill="FFFFFF"/>
        </w:rPr>
      </w:pPr>
      <w:r>
        <w:rPr>
          <w:rFonts w:hint="eastAsia" w:ascii="仿宋_GB2312" w:hAnsi="Times New Roman" w:eastAsia="仿宋_GB2312"/>
          <w:b/>
          <w:bCs/>
          <w:color w:val="000000"/>
          <w:sz w:val="32"/>
          <w:szCs w:val="32"/>
          <w:shd w:val="clear" w:color="auto" w:fill="FFFFFF"/>
        </w:rPr>
        <w:t>一是</w:t>
      </w:r>
      <w:r>
        <w:rPr>
          <w:rFonts w:hint="eastAsia" w:ascii="仿宋_GB2312" w:hAnsi="Times New Roman" w:eastAsia="仿宋_GB2312"/>
          <w:color w:val="000000"/>
          <w:sz w:val="32"/>
          <w:szCs w:val="32"/>
          <w:shd w:val="clear" w:color="auto" w:fill="FFFFFF"/>
        </w:rPr>
        <w:t>通过业务委托购买服务方式，由中国社会科学院生态文明研究所编制《广元市生态产品价值实现的机制与路径研究》，重点从广元市生态产品价值实现基础与问题、广元市生态产品价值实现的行动逻辑、打造广元绿色有机农业新高地、壮大“生态+大健康”产业、推进工业生态化智能化、培育生态产品消费市场、探索多元化价值实现机制、构建立体化综合保障体系等方面探索具有广元特色的可复制、可推广的生态产品价值实现路径。</w:t>
      </w:r>
    </w:p>
    <w:p>
      <w:pPr>
        <w:spacing w:line="576" w:lineRule="exact"/>
        <w:ind w:firstLine="643" w:firstLineChars="200"/>
        <w:rPr>
          <w:rFonts w:ascii="Times New Roman" w:hAnsi="Times New Roman" w:eastAsia="仿宋_GB2312" w:cs="Times New Roman"/>
          <w:color w:val="000000"/>
          <w:sz w:val="32"/>
          <w:szCs w:val="32"/>
        </w:rPr>
      </w:pPr>
      <w:r>
        <w:rPr>
          <w:rFonts w:hint="eastAsia" w:ascii="仿宋_GB2312" w:hAnsi="Times New Roman" w:eastAsia="仿宋_GB2312"/>
          <w:b/>
          <w:bCs/>
          <w:color w:val="000000"/>
          <w:sz w:val="32"/>
          <w:szCs w:val="32"/>
          <w:shd w:val="clear" w:color="auto" w:fill="FFFFFF"/>
        </w:rPr>
        <w:t>二是</w:t>
      </w:r>
      <w:r>
        <w:rPr>
          <w:rFonts w:hint="eastAsia" w:ascii="仿宋_GB2312" w:hAnsi="Times New Roman" w:eastAsia="仿宋_GB2312"/>
          <w:sz w:val="32"/>
          <w:szCs w:val="32"/>
        </w:rPr>
        <w:t>2021年11月底提交成果初稿，12月31日前提交最终稿。</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四、项目绩效情况</w:t>
      </w:r>
      <w:r>
        <w:rPr>
          <w:rFonts w:hint="eastAsia" w:ascii="黑体" w:hAnsi="黑体" w:eastAsia="黑体" w:cs="黑体"/>
          <w:sz w:val="32"/>
          <w:szCs w:val="32"/>
        </w:rPr>
        <w:tab/>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（一）项目完成情况</w:t>
      </w:r>
    </w:p>
    <w:p>
      <w:pPr>
        <w:spacing w:line="576" w:lineRule="exact"/>
        <w:ind w:firstLine="640" w:firstLineChars="200"/>
        <w:rPr>
          <w:rFonts w:ascii="Times New Roman" w:hAnsi="Times New Roman" w:eastAsia="仿宋_GB2312" w:cs="Times New Roman"/>
          <w:color w:val="000000"/>
          <w:sz w:val="32"/>
          <w:szCs w:val="32"/>
        </w:rPr>
      </w:pPr>
      <w:r>
        <w:rPr>
          <w:rFonts w:hint="eastAsia" w:ascii="仿宋_GB2312" w:hAnsi="Times New Roman" w:eastAsia="仿宋_GB2312"/>
          <w:color w:val="000000"/>
          <w:sz w:val="32"/>
          <w:szCs w:val="32"/>
          <w:shd w:val="clear" w:color="auto" w:fill="FFFFFF"/>
        </w:rPr>
        <w:t>编制形成高质量《广元市生态产品价值实现的机制与路径研究》研究报告1份。</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（二）项目效益情况</w:t>
      </w:r>
    </w:p>
    <w:p>
      <w:pPr>
        <w:pStyle w:val="16"/>
        <w:widowControl/>
        <w:spacing w:before="0" w:beforeAutospacing="0" w:after="0" w:afterAutospacing="0" w:line="576" w:lineRule="exact"/>
        <w:ind w:firstLine="640" w:firstLineChars="200"/>
        <w:jc w:val="both"/>
        <w:rPr>
          <w:rFonts w:hint="eastAsia" w:ascii="仿宋_GB2312" w:hAnsi="Times New Roman" w:eastAsia="仿宋_GB2312"/>
          <w:color w:val="000000"/>
          <w:sz w:val="32"/>
          <w:szCs w:val="32"/>
          <w:shd w:val="clear" w:color="auto" w:fill="FFFFFF"/>
          <w:lang w:eastAsia="zh-CN"/>
        </w:rPr>
      </w:pPr>
      <w:r>
        <w:rPr>
          <w:rFonts w:hint="eastAsia" w:ascii="仿宋_GB2312" w:hAnsi="Times New Roman" w:eastAsia="仿宋_GB2312"/>
          <w:color w:val="000000"/>
          <w:sz w:val="32"/>
          <w:szCs w:val="32"/>
          <w:shd w:val="clear" w:color="auto" w:fill="FFFFFF"/>
          <w:lang w:eastAsia="zh-CN"/>
        </w:rPr>
        <w:t>相关理论成果被市委八届二次全会作出的加快建设践行绿水青山就是金山银山理念典范城市决定、生态经济课题研究报告、建立健全生态产品价值实现机制的实施意见等吸收利用。</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五、评价结论及建议</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（一）评价结论</w:t>
      </w:r>
    </w:p>
    <w:p>
      <w:pPr>
        <w:pStyle w:val="16"/>
        <w:widowControl/>
        <w:spacing w:before="0" w:beforeAutospacing="0" w:after="0" w:afterAutospacing="0" w:line="576" w:lineRule="exact"/>
        <w:ind w:firstLine="640" w:firstLineChars="200"/>
        <w:jc w:val="both"/>
        <w:rPr>
          <w:rFonts w:ascii="Times New Roman" w:hAnsi="Times New Roman" w:eastAsia="仿宋_GB2312"/>
          <w:color w:val="000000"/>
          <w:sz w:val="32"/>
          <w:szCs w:val="32"/>
          <w:shd w:val="clear" w:color="auto" w:fill="FFFFFF"/>
        </w:rPr>
      </w:pPr>
      <w:r>
        <w:rPr>
          <w:rFonts w:hint="eastAsia" w:ascii="仿宋_GB2312" w:hAnsi="Times New Roman" w:eastAsia="仿宋_GB2312"/>
          <w:color w:val="000000"/>
          <w:sz w:val="32"/>
          <w:szCs w:val="32"/>
          <w:shd w:val="clear" w:color="auto" w:fill="FFFFFF"/>
          <w:lang w:eastAsia="zh-CN"/>
        </w:rPr>
        <w:t>为我市推动生态产品价值实现机制试点，聚力发展生态经济，推动经济社会绿色转型提供了理论支撑和路径参考</w:t>
      </w:r>
      <w:r>
        <w:rPr>
          <w:rFonts w:hint="eastAsia" w:ascii="仿宋_GB2312" w:hAnsi="Times New Roman" w:eastAsia="仿宋_GB2312"/>
          <w:color w:val="000000"/>
          <w:sz w:val="32"/>
          <w:szCs w:val="32"/>
          <w:shd w:val="clear" w:color="auto" w:fill="FFFFFF"/>
        </w:rPr>
        <w:t>，进一步拓宽了我市生态产品价值实现的路径。</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（二）存在的问题</w:t>
      </w:r>
    </w:p>
    <w:p>
      <w:pPr>
        <w:spacing w:line="560" w:lineRule="exact"/>
        <w:ind w:firstLine="640" w:firstLineChars="200"/>
        <w:rPr>
          <w:rFonts w:ascii="仿宋_GB2312" w:eastAsia="仿宋_GB2312"/>
          <w:sz w:val="32"/>
          <w:szCs w:val="32"/>
        </w:rPr>
      </w:pPr>
      <w:r>
        <w:rPr>
          <w:rFonts w:hint="eastAsia" w:ascii="仿宋_GB2312" w:hAnsi="Times New Roman" w:eastAsia="仿宋_GB2312"/>
          <w:color w:val="000000"/>
          <w:sz w:val="32"/>
          <w:szCs w:val="32"/>
          <w:shd w:val="clear" w:color="auto" w:fill="FFFFFF"/>
        </w:rPr>
        <w:t>无</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（三）相关建议</w:t>
      </w:r>
    </w:p>
    <w:p>
      <w:pPr>
        <w:ind w:firstLine="640" w:firstLineChars="200"/>
        <w:rPr>
          <w:rFonts w:hint="eastAsia"/>
          <w:color w:val="auto"/>
          <w:highlight w:val="none"/>
          <w:lang w:val="zh-CN"/>
        </w:rPr>
      </w:pPr>
      <w:r>
        <w:rPr>
          <w:rFonts w:hint="eastAsia" w:ascii="仿宋_GB2312" w:hAnsi="仿宋_GB2312" w:eastAsia="仿宋_GB2312" w:cs="仿宋_GB2312"/>
          <w:color w:val="000000"/>
          <w:sz w:val="32"/>
          <w:szCs w:val="32"/>
        </w:rPr>
        <w:t>无</w:t>
      </w: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仿宋_GB2312" w:hAnsi="宋体" w:eastAsia="仿宋_GB2312" w:cs="宋体"/>
          <w:b w:val="0"/>
          <w:bCs w:val="0"/>
          <w:color w:val="auto"/>
          <w:kern w:val="0"/>
          <w:sz w:val="32"/>
          <w:szCs w:val="32"/>
          <w:highlight w:val="none"/>
          <w:shd w:val="clear" w:color="auto" w:fill="FFFFFF"/>
          <w:lang w:val="zh-CN"/>
        </w:rPr>
        <w:t>附表：</w:t>
      </w: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center"/>
        <w:textAlignment w:val="auto"/>
        <w:rPr>
          <w:rFonts w:hint="eastAsia" w:ascii="宋体" w:hAnsi="宋体" w:eastAsia="宋体" w:cs="宋体"/>
          <w:b/>
          <w:i w:val="0"/>
          <w:color w:val="auto"/>
          <w:sz w:val="32"/>
          <w:szCs w:val="32"/>
          <w:highlight w:val="none"/>
          <w:u w:val="none"/>
          <w:lang w:val="en-US" w:eastAsia="zh-CN"/>
        </w:rPr>
      </w:pPr>
      <w:r>
        <w:rPr>
          <w:rFonts w:hint="eastAsia" w:ascii="宋体" w:hAnsi="宋体" w:eastAsia="宋体" w:cs="宋体"/>
          <w:b/>
          <w:i w:val="0"/>
          <w:color w:val="auto"/>
          <w:sz w:val="32"/>
          <w:szCs w:val="32"/>
          <w:highlight w:val="none"/>
          <w:u w:val="none"/>
          <w:lang w:val="en-US" w:eastAsia="zh-CN"/>
        </w:rPr>
        <w:t>2021年部门预算项目绩效目标自评</w:t>
      </w:r>
    </w:p>
    <w:tbl>
      <w:tblPr>
        <w:tblStyle w:val="17"/>
        <w:tblpPr w:leftFromText="180" w:rightFromText="180" w:vertAnchor="text" w:horzAnchor="page" w:tblpX="737" w:tblpY="1065"/>
        <w:tblOverlap w:val="never"/>
        <w:tblW w:w="105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5"/>
        <w:gridCol w:w="1080"/>
        <w:gridCol w:w="1080"/>
        <w:gridCol w:w="2265"/>
        <w:gridCol w:w="2235"/>
        <w:gridCol w:w="1980"/>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2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生态产品价值实现路径及政策课题研究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主管单位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广元市发展和改革委员会</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执行</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情况</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预算数：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25万元</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执行数：</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25万元</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4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5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4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深入开展课题研究，形成《广元市生态产品价值实现的机制与路径研究》研究报告1份。        </w:t>
            </w:r>
          </w:p>
        </w:tc>
        <w:tc>
          <w:tcPr>
            <w:tcW w:w="52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深入开展课题研究，完成《广元市生态产品价值实现的机制与路径研究》研究报告1份。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指标值（包含数字及文字描述）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实际完成指标值（包含数字及文字描述）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项目完成指标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指标1：形成《广元市生态产品价值实现的机制与路径研究》报告。</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符合广元实际、高质量。</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符合广元实际、高质量。</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指标2：形成广元生态产品价值实现机制试点及示范推广相关工作。</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指导完成《四川省生态产品价值实现机制广元市试点实施方案》、《广元市生态产品价值实现机制实施方案》，总结归纳形成经验。</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指导完成了《四川省生态产品价值实现机制广元市试点实施方案》、《广元市生态产品价值实现机制实施方案》，总结归纳形成经验。</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指标3：推动广元生态产品实现高质量高价值发展。</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力争在全国、全省形成可复制、可推广的应用成果。</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在全国、全省形成可复制、可推广的应用成果。</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指标1：合格率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指标1：完成时间</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2021年12月底前</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2021年12月底前</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指标1：专家咨询及劳务费</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指标2：课题组成员参与研究工作的绩效费用</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指标3：管理费与税费</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指标4：交通、印刷及其它费用</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项目效果指标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指标1：打造广元生态经济产品产供销产业链，提高产品生态附加值。</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生态产品溢价，促进农民增收率，增加广元绿色农产品营业额。</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生态产品溢价，促进了农民增收率，增加了广元绿色农产品营业额。</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指标1：形成居民绿色消费社会风尚</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公众形成绿色消费。</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公众基本形成绿色消费。</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指标1：助推广元生态环境保护</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推广农业园区标准化循环化生产，保证绿色低碳发展。</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推广了农业园区标准化循环化生产，保证绿色低碳发展。</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指标2：推动节能环保产业市场化</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做好煤矿矿山修复，推动生态修复。</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做好了煤矿矿山修复，推动生态修复。</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指标1：建设医养食农文旅“生态＋大健康”产业</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提升生态休闲观养大产业价值实现。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提升了生态休闲观养大产业价值实现。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指标1：公众满意度</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bl>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center"/>
        <w:textAlignment w:val="auto"/>
        <w:rPr>
          <w:rFonts w:hint="eastAsia" w:ascii="宋体" w:hAnsi="宋体" w:eastAsia="宋体" w:cs="宋体"/>
          <w:b/>
          <w:i w:val="0"/>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2021年度广元市生态产品价值实现试点示范工作咨询服务经费经费项目绩效评价报告</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 xml:space="preserve"> </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（一）项目基本情况</w:t>
      </w:r>
    </w:p>
    <w:p>
      <w:pPr>
        <w:spacing w:line="576" w:lineRule="exact"/>
        <w:ind w:firstLine="640" w:firstLineChars="200"/>
        <w:rPr>
          <w:rFonts w:ascii="仿宋_GB2312" w:eastAsia="仿宋_GB2312"/>
          <w:sz w:val="32"/>
          <w:szCs w:val="32"/>
        </w:rPr>
      </w:pPr>
      <w:r>
        <w:rPr>
          <w:rFonts w:hint="eastAsia" w:ascii="仿宋_GB2312" w:hAnsi="Times New Roman" w:eastAsia="仿宋_GB2312"/>
          <w:color w:val="000000"/>
          <w:sz w:val="32"/>
          <w:szCs w:val="32"/>
          <w:shd w:val="clear" w:color="auto" w:fill="FFFFFF"/>
        </w:rPr>
        <w:t>通过购买服务方式，由中国社会科学院生态文明研究所提供广元市开展生态产品价值实现试点示范工作咨询服务，</w:t>
      </w:r>
      <w:r>
        <w:rPr>
          <w:rFonts w:hint="eastAsia" w:ascii="仿宋_GB2312" w:eastAsia="仿宋_GB2312"/>
          <w:sz w:val="32"/>
          <w:szCs w:val="32"/>
        </w:rPr>
        <w:t>将专项经费25万元纳入市财政2021年度财政预算。</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pPr>
        <w:spacing w:line="576" w:lineRule="exact"/>
        <w:ind w:firstLine="640" w:firstLineChars="200"/>
        <w:rPr>
          <w:rFonts w:ascii="仿宋_GB2312" w:hAnsi="Times New Roman" w:eastAsia="仿宋_GB2312"/>
          <w:color w:val="000000"/>
          <w:sz w:val="32"/>
          <w:szCs w:val="32"/>
          <w:shd w:val="clear" w:color="auto" w:fill="FFFFFF"/>
        </w:rPr>
      </w:pPr>
      <w:r>
        <w:rPr>
          <w:rFonts w:hint="eastAsia" w:ascii="仿宋_GB2312" w:hAnsi="Times New Roman" w:eastAsia="仿宋_GB2312"/>
          <w:color w:val="000000"/>
          <w:sz w:val="32"/>
          <w:szCs w:val="32"/>
          <w:shd w:val="clear" w:color="auto" w:fill="FFFFFF"/>
        </w:rPr>
        <w:t>指导我市开展试点示范相关工作，形成《四川省生态产品价值实现机制广元市试点实施方案》、《广元市生态产品价值实现机制实施方案》研究报告各1份。</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（三）项目自评步骤及方法</w:t>
      </w:r>
    </w:p>
    <w:p>
      <w:pPr>
        <w:spacing w:line="576" w:lineRule="exact"/>
        <w:ind w:firstLine="643" w:firstLineChars="200"/>
        <w:rPr>
          <w:rFonts w:ascii="仿宋_GB2312" w:eastAsia="仿宋_GB2312"/>
          <w:sz w:val="32"/>
          <w:szCs w:val="32"/>
        </w:rPr>
      </w:pPr>
      <w:r>
        <w:rPr>
          <w:rFonts w:hint="eastAsia" w:ascii="仿宋_GB2312" w:eastAsia="仿宋_GB2312"/>
          <w:b/>
          <w:bCs/>
          <w:sz w:val="32"/>
          <w:szCs w:val="32"/>
        </w:rPr>
        <w:t>一是核查报账记录。</w:t>
      </w:r>
      <w:r>
        <w:rPr>
          <w:rFonts w:hint="eastAsia" w:ascii="仿宋_GB2312" w:eastAsia="仿宋_GB2312"/>
          <w:sz w:val="32"/>
          <w:szCs w:val="32"/>
        </w:rPr>
        <w:t>查看包括报账时间、金额、事由及各环节审核签字情况等内容，核实资金是否用于编制</w:t>
      </w:r>
      <w:r>
        <w:rPr>
          <w:rFonts w:hint="eastAsia" w:ascii="仿宋_GB2312" w:hAnsi="Times New Roman" w:eastAsia="仿宋_GB2312"/>
          <w:color w:val="000000"/>
          <w:sz w:val="32"/>
          <w:szCs w:val="32"/>
          <w:shd w:val="clear" w:color="auto" w:fill="FFFFFF"/>
        </w:rPr>
        <w:t>《四川省生态产品价值实现机制广元市试点实施方案》、《广元市生态产品价值实现机制实施方案》研究费用</w:t>
      </w:r>
      <w:r>
        <w:rPr>
          <w:rFonts w:hint="eastAsia" w:ascii="仿宋_GB2312" w:eastAsia="仿宋_GB2312"/>
          <w:sz w:val="32"/>
          <w:szCs w:val="32"/>
        </w:rPr>
        <w:t>。</w:t>
      </w:r>
    </w:p>
    <w:p>
      <w:pPr>
        <w:spacing w:line="576" w:lineRule="exact"/>
        <w:ind w:firstLine="643" w:firstLineChars="200"/>
        <w:rPr>
          <w:rFonts w:ascii="仿宋_GB2312" w:eastAsia="仿宋_GB2312"/>
          <w:sz w:val="32"/>
          <w:szCs w:val="32"/>
        </w:rPr>
      </w:pPr>
      <w:r>
        <w:rPr>
          <w:rFonts w:hint="eastAsia" w:ascii="仿宋_GB2312" w:eastAsia="仿宋_GB2312"/>
          <w:b/>
          <w:bCs/>
          <w:sz w:val="32"/>
          <w:szCs w:val="32"/>
        </w:rPr>
        <w:t>二是成果验收。</w:t>
      </w:r>
      <w:r>
        <w:rPr>
          <w:rFonts w:hint="eastAsia" w:ascii="仿宋_GB2312" w:eastAsia="仿宋_GB2312"/>
          <w:sz w:val="32"/>
          <w:szCs w:val="32"/>
        </w:rPr>
        <w:t>初稿形成后我委专题研讨，同步将课题研究成果纸质征求各县（区）、广元经济技术开发区、市级有关部门征求意见，并将意见建议反馈</w:t>
      </w:r>
      <w:r>
        <w:rPr>
          <w:rFonts w:hint="eastAsia" w:ascii="仿宋_GB2312" w:hAnsi="Times New Roman" w:eastAsia="仿宋_GB2312"/>
          <w:color w:val="000000"/>
          <w:sz w:val="32"/>
          <w:szCs w:val="32"/>
          <w:shd w:val="clear" w:color="auto" w:fill="FFFFFF"/>
        </w:rPr>
        <w:t>中国社会科学院生态文明研究所，多次商讨完善后形成最终稿</w:t>
      </w:r>
      <w:r>
        <w:rPr>
          <w:rFonts w:hint="eastAsia" w:ascii="仿宋_GB2312" w:eastAsia="仿宋_GB2312"/>
          <w:sz w:val="32"/>
          <w:szCs w:val="32"/>
        </w:rPr>
        <w:t>，验收成果是否符合合格。</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二、项目资金申报及使用情况</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（一）项目资金申报及批复情况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我委根据2021年工作实际，申请工作经费。市财政局于2021年9月批复2021年度市生态产品价值实现路径及政策课题研究经费。</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（二）资金计划、到位及使用情况</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1. 资金计划及到位。</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市财政局2021年9月拨付了2021年度广元市开展生态产品价值实现试点示范工作咨询服务经费预算25万元，项目资金全部到位。</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2. 资金使用。</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项目资金到位后，严格按照项目资金管理相关规定，全部用于项目支出，无被截留、挤占、挪用现象。</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（三）项目财务管理情况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了申报计划，审批后由市财政支付中心统一集中支付。</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三、项目实施及管理情况</w:t>
      </w:r>
    </w:p>
    <w:p>
      <w:pPr>
        <w:spacing w:line="576" w:lineRule="exact"/>
        <w:ind w:firstLine="643" w:firstLineChars="200"/>
        <w:rPr>
          <w:rFonts w:ascii="仿宋_GB2312" w:hAnsi="Times New Roman" w:eastAsia="仿宋_GB2312"/>
          <w:color w:val="000000"/>
          <w:sz w:val="32"/>
          <w:szCs w:val="32"/>
          <w:shd w:val="clear" w:color="auto" w:fill="FFFFFF"/>
        </w:rPr>
      </w:pPr>
      <w:r>
        <w:rPr>
          <w:rFonts w:hint="eastAsia" w:ascii="仿宋_GB2312" w:hAnsi="Times New Roman" w:eastAsia="仿宋_GB2312"/>
          <w:b/>
          <w:bCs/>
          <w:color w:val="000000"/>
          <w:sz w:val="32"/>
          <w:szCs w:val="32"/>
          <w:shd w:val="clear" w:color="auto" w:fill="FFFFFF"/>
        </w:rPr>
        <w:t>一是</w:t>
      </w:r>
      <w:r>
        <w:rPr>
          <w:rFonts w:hint="eastAsia" w:ascii="仿宋_GB2312" w:hAnsi="Times New Roman" w:eastAsia="仿宋_GB2312"/>
          <w:color w:val="000000"/>
          <w:sz w:val="32"/>
          <w:szCs w:val="32"/>
          <w:shd w:val="clear" w:color="auto" w:fill="FFFFFF"/>
        </w:rPr>
        <w:t>通过业务委托购买服务方式，由中国社会科学院生态文明研究所编制《四川省生态产品价值实现机制广元市试点实施方案》、《广元市生态产品价值实现机制实施方案》，重点从生态本底、生态产业化、产业生态化等方面探索生态产品价值实现机制在广元市如何试点实施。</w:t>
      </w:r>
    </w:p>
    <w:p>
      <w:pPr>
        <w:spacing w:line="576" w:lineRule="exact"/>
        <w:ind w:firstLine="643" w:firstLineChars="200"/>
        <w:rPr>
          <w:rFonts w:ascii="仿宋_GB2312" w:hAnsi="Times New Roman" w:eastAsia="仿宋_GB2312"/>
          <w:sz w:val="32"/>
          <w:szCs w:val="32"/>
        </w:rPr>
      </w:pPr>
      <w:r>
        <w:rPr>
          <w:rFonts w:hint="eastAsia" w:ascii="仿宋_GB2312" w:hAnsi="Times New Roman" w:eastAsia="仿宋_GB2312"/>
          <w:b/>
          <w:bCs/>
          <w:color w:val="000000"/>
          <w:sz w:val="32"/>
          <w:szCs w:val="32"/>
          <w:shd w:val="clear" w:color="auto" w:fill="FFFFFF"/>
        </w:rPr>
        <w:t>二是</w:t>
      </w:r>
      <w:r>
        <w:rPr>
          <w:rFonts w:hint="eastAsia" w:ascii="仿宋_GB2312" w:hAnsi="Times New Roman" w:eastAsia="仿宋_GB2312"/>
          <w:sz w:val="32"/>
          <w:szCs w:val="32"/>
        </w:rPr>
        <w:t>成果初稿2021年11月底提交，最终稿2021年12月31日前提交。</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四、项目绩效情况</w:t>
      </w:r>
      <w:r>
        <w:rPr>
          <w:rFonts w:hint="eastAsia" w:ascii="黑体" w:hAnsi="黑体" w:eastAsia="黑体" w:cs="黑体"/>
          <w:sz w:val="32"/>
          <w:szCs w:val="32"/>
        </w:rPr>
        <w:tab/>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（一）项目完成情况</w:t>
      </w:r>
    </w:p>
    <w:p>
      <w:pPr>
        <w:spacing w:line="576" w:lineRule="exact"/>
        <w:ind w:firstLine="640" w:firstLineChars="200"/>
        <w:rPr>
          <w:rFonts w:ascii="Times New Roman" w:hAnsi="Times New Roman" w:eastAsia="仿宋_GB2312" w:cs="Times New Roman"/>
          <w:color w:val="000000"/>
          <w:sz w:val="32"/>
          <w:szCs w:val="32"/>
        </w:rPr>
      </w:pPr>
      <w:r>
        <w:rPr>
          <w:rFonts w:hint="eastAsia" w:ascii="仿宋_GB2312" w:hAnsi="Times New Roman" w:eastAsia="仿宋_GB2312"/>
          <w:color w:val="000000"/>
          <w:sz w:val="32"/>
          <w:szCs w:val="32"/>
          <w:shd w:val="clear" w:color="auto" w:fill="FFFFFF"/>
        </w:rPr>
        <w:t>编制形成《四川省生态产品价值实现机制广元市试点实施方案》、《广元市生态产品价值实现机制实施方案》报告各1份。</w:t>
      </w:r>
    </w:p>
    <w:p>
      <w:pPr>
        <w:spacing w:line="560" w:lineRule="exact"/>
        <w:ind w:firstLine="640" w:firstLineChars="200"/>
      </w:pPr>
      <w:r>
        <w:rPr>
          <w:rFonts w:hint="eastAsia" w:ascii="楷体_GB2312" w:hAnsi="楷体_GB2312" w:eastAsia="楷体_GB2312" w:cs="楷体_GB2312"/>
          <w:sz w:val="32"/>
          <w:szCs w:val="32"/>
        </w:rPr>
        <w:t>（二）项目效益情况</w:t>
      </w:r>
    </w:p>
    <w:p>
      <w:pPr>
        <w:pStyle w:val="2"/>
        <w:spacing w:line="576" w:lineRule="exact"/>
        <w:ind w:firstLine="640" w:firstLineChars="200"/>
      </w:pPr>
      <w:r>
        <w:rPr>
          <w:rFonts w:hint="eastAsia" w:ascii="仿宋_GB2312" w:hAnsi="Times New Roman" w:eastAsia="仿宋_GB2312"/>
          <w:color w:val="000000"/>
          <w:sz w:val="32"/>
          <w:szCs w:val="32"/>
          <w:shd w:val="clear" w:color="auto" w:fill="FFFFFF"/>
        </w:rPr>
        <w:t>《四川省生态产品价值实现机制广元市试点实施方案》</w:t>
      </w:r>
      <w:r>
        <w:rPr>
          <w:rFonts w:hint="eastAsia" w:ascii="仿宋_GB2312" w:eastAsia="仿宋_GB2312"/>
          <w:color w:val="000000"/>
          <w:sz w:val="32"/>
          <w:szCs w:val="32"/>
          <w:shd w:val="clear" w:color="auto" w:fill="FFFFFF"/>
          <w:lang w:eastAsia="zh-CN"/>
        </w:rPr>
        <w:t>通过省发展改革委组织的专家评审，</w:t>
      </w:r>
      <w:r>
        <w:rPr>
          <w:rFonts w:hint="eastAsia" w:eastAsia="仿宋_GB2312"/>
          <w:color w:val="000000"/>
          <w:kern w:val="0"/>
          <w:sz w:val="32"/>
          <w:szCs w:val="32"/>
          <w:lang w:eastAsia="zh-CN"/>
        </w:rPr>
        <w:t>我市成功被列为四川省首批生态产品价值实现机制试点地区</w:t>
      </w:r>
      <w:r>
        <w:rPr>
          <w:rFonts w:hint="eastAsia" w:ascii="仿宋_GB2312" w:eastAsia="仿宋_GB2312"/>
          <w:kern w:val="0"/>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五、评价结论及建议</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（一）评价结论</w:t>
      </w:r>
    </w:p>
    <w:p>
      <w:pPr>
        <w:pStyle w:val="16"/>
        <w:widowControl/>
        <w:spacing w:before="0" w:beforeAutospacing="0" w:after="0" w:afterAutospacing="0" w:line="576" w:lineRule="exact"/>
        <w:ind w:firstLine="640" w:firstLineChars="200"/>
        <w:jc w:val="both"/>
        <w:rPr>
          <w:rFonts w:hint="eastAsia" w:ascii="仿宋_GB2312" w:hAnsi="Times New Roman" w:eastAsia="仿宋_GB2312"/>
          <w:color w:val="000000"/>
          <w:sz w:val="32"/>
          <w:szCs w:val="32"/>
          <w:shd w:val="clear" w:color="auto" w:fill="FFFFFF"/>
          <w:lang w:eastAsia="zh-CN"/>
        </w:rPr>
      </w:pPr>
      <w:r>
        <w:rPr>
          <w:rFonts w:hint="eastAsia" w:ascii="仿宋_GB2312" w:hAnsi="Times New Roman" w:eastAsia="仿宋_GB2312"/>
          <w:color w:val="000000"/>
          <w:sz w:val="32"/>
          <w:szCs w:val="32"/>
          <w:shd w:val="clear" w:color="auto" w:fill="FFFFFF"/>
        </w:rPr>
        <w:t>项目的实施和专项经费的使用，</w:t>
      </w:r>
      <w:r>
        <w:rPr>
          <w:rFonts w:hint="eastAsia" w:ascii="仿宋_GB2312" w:hAnsi="Times New Roman" w:eastAsia="仿宋_GB2312"/>
          <w:color w:val="000000"/>
          <w:sz w:val="32"/>
          <w:szCs w:val="32"/>
          <w:shd w:val="clear" w:color="auto" w:fill="FFFFFF"/>
          <w:lang w:eastAsia="zh-CN"/>
        </w:rPr>
        <w:t>为我市争取省级生态产品价值实现机制试点，推进试点工作、发展生态经济提供了方向和支撑。</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（二）存在的问题</w:t>
      </w:r>
    </w:p>
    <w:p>
      <w:pPr>
        <w:spacing w:line="576" w:lineRule="exact"/>
        <w:ind w:firstLine="640" w:firstLineChars="200"/>
        <w:rPr>
          <w:rFonts w:ascii="仿宋_GB2312" w:eastAsia="仿宋_GB2312"/>
          <w:sz w:val="32"/>
          <w:szCs w:val="32"/>
        </w:rPr>
      </w:pPr>
      <w:r>
        <w:rPr>
          <w:rFonts w:hint="eastAsia" w:ascii="仿宋_GB2312" w:hAnsi="Times New Roman" w:eastAsia="仿宋_GB2312"/>
          <w:color w:val="000000"/>
          <w:sz w:val="32"/>
          <w:szCs w:val="32"/>
          <w:shd w:val="clear" w:color="auto" w:fill="FFFFFF"/>
        </w:rPr>
        <w:t>无</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（三）相关建议</w:t>
      </w:r>
    </w:p>
    <w:p>
      <w:pPr>
        <w:spacing w:line="576" w:lineRule="exact"/>
        <w:ind w:firstLine="640" w:firstLineChars="200"/>
        <w:rPr>
          <w:rFonts w:hint="eastAsia"/>
          <w:color w:val="auto"/>
          <w:highlight w:val="none"/>
          <w:lang w:val="zh-CN"/>
        </w:rPr>
      </w:pPr>
      <w:r>
        <w:rPr>
          <w:rFonts w:hint="eastAsia" w:ascii="仿宋_GB2312" w:hAnsi="仿宋_GB2312" w:eastAsia="仿宋_GB2312" w:cs="仿宋_GB2312"/>
          <w:color w:val="000000"/>
          <w:sz w:val="32"/>
          <w:szCs w:val="32"/>
        </w:rPr>
        <w:t>无</w:t>
      </w:r>
    </w:p>
    <w:p>
      <w:pPr>
        <w:rPr>
          <w:rFonts w:hint="eastAsia"/>
          <w:lang w:val="zh-CN"/>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Style w:val="21"/>
          <w:rFonts w:ascii="黑体" w:hAnsi="黑体" w:eastAsia="黑体"/>
          <w:b w:val="0"/>
          <w:color w:val="auto"/>
          <w:highlight w:val="none"/>
        </w:rPr>
      </w:pPr>
      <w:r>
        <w:rPr>
          <w:rFonts w:hint="eastAsia" w:ascii="仿宋_GB2312" w:hAnsi="宋体" w:eastAsia="仿宋_GB2312" w:cs="宋体"/>
          <w:b w:val="0"/>
          <w:bCs w:val="0"/>
          <w:color w:val="auto"/>
          <w:kern w:val="0"/>
          <w:sz w:val="32"/>
          <w:szCs w:val="32"/>
          <w:highlight w:val="none"/>
          <w:shd w:val="clear" w:color="auto" w:fill="FFFFFF"/>
          <w:lang w:val="zh-CN"/>
        </w:rPr>
        <w:t>附表：</w:t>
      </w: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center"/>
        <w:textAlignment w:val="auto"/>
        <w:rPr>
          <w:rStyle w:val="21"/>
          <w:rFonts w:ascii="黑体" w:hAnsi="黑体" w:eastAsia="黑体"/>
          <w:b w:val="0"/>
          <w:color w:val="auto"/>
          <w:highlight w:val="none"/>
        </w:rPr>
      </w:pPr>
      <w:r>
        <w:rPr>
          <w:rFonts w:hint="eastAsia" w:ascii="宋体" w:hAnsi="宋体" w:eastAsia="宋体" w:cs="宋体"/>
          <w:b/>
          <w:i w:val="0"/>
          <w:color w:val="auto"/>
          <w:sz w:val="32"/>
          <w:szCs w:val="32"/>
          <w:highlight w:val="none"/>
          <w:u w:val="none"/>
          <w:lang w:val="en-US" w:eastAsia="zh-CN"/>
        </w:rPr>
        <w:t>2021年部门预算项目绩效目标自评</w:t>
      </w:r>
    </w:p>
    <w:tbl>
      <w:tblPr>
        <w:tblStyle w:val="17"/>
        <w:tblpPr w:leftFromText="180" w:rightFromText="180" w:vertAnchor="text" w:horzAnchor="page" w:tblpX="475" w:tblpY="1475"/>
        <w:tblOverlap w:val="never"/>
        <w:tblW w:w="10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0"/>
        <w:gridCol w:w="987"/>
        <w:gridCol w:w="1030"/>
        <w:gridCol w:w="2146"/>
        <w:gridCol w:w="2446"/>
        <w:gridCol w:w="2217"/>
        <w:gridCol w:w="1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8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生态产品价值实现试点示范工作咨询服务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主管单位</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广元市发展和改革委员会</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3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执行</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情况</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预算数：</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25万元</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执行数：</w:t>
            </w:r>
          </w:p>
        </w:tc>
        <w:tc>
          <w:tcPr>
            <w:tcW w:w="3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25万元</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3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3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4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6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5"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6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指导甲方开展试点示范相关工作，形成《四川省生态产品价值实现机制广元市试点实施方案》、《广元市生态产品价值实现机制实施方案》，总结归纳形成经验材料，力争在全国、全省形成可复制、可推广的应用成果。           </w:t>
            </w:r>
          </w:p>
        </w:tc>
        <w:tc>
          <w:tcPr>
            <w:tcW w:w="60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指导甲方开展试点示范相关工作，形成了《四川省生态产品价值实现机制广元市试点实施方案》、《广元市生态产品价值实现机制实施方案》，总结归纳形成了经验材料，在全国、全省形成了可复制、可推广的应用成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指标值（包含数字及文字描述）</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实际完成指标值（包含数字及文字描述）</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项目完成指标</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指标1：形成《四川省生态产品价值实现机制广元市试点实施方案》。</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形成切合广元实际的方案１份。</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形成了切合广元实际的方案１份。</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指标2：形成《广元市生态产品价值实现机制实施方案》。</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形成高质量实施方案１份。</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形成了高质量实施方案１份。</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指标3：总结归纳经验。 </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力争在全国、全省形成可复制、可推广的应用成果。</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在全国、全省形成了可复制、可推广的应用成果。</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指标1：合格率</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指标1：完成时间</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2021年12月底前</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2021年12月底前</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指标1：专家咨询及劳务费</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6万</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指标2：课题组成员参与研究工作的绩效费用</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12万</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指标3：管理费与税费</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5.3万</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指标4：交通、印刷及其它费用</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1.7万</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1"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项目效果指标</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指标1：形成特色农业“7+3”产业体系</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实现粮油和七大优势特色产业综合产值1000亿以上，基本建成中国西部绿色农产品供给地。</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实现了粮油和七大优势特色产业综合产值1000亿以上，基本建成了中国西部绿色农产品供给地。</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指标1：壮大“广元造”生态工业产业集群</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力争培育500亿元、300亿元产业集群各1个，建成2个绿色园区、4个绿色工厂。</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培育了500亿元、300亿元产业集群各1个，建成了2个绿色园区、4个绿色工厂。</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5"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指标1：构建清洁低碳安全高效能源体系</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能源综合生产能力达到1235万吨标煤，单位地区生产总值能耗累计下降12%。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能源综合生产能力达到了1235万吨标煤，单位地区生产总值能耗累计下降了12%。</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指标1：农文旅康养融合发展</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能源综合生产能力达到1235万吨标煤，单位地区生产总值能耗累计下降12%。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能源综合生产能力达到了1235万吨标煤，单位地区生产总值能耗累计下降了12%。</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8"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指标1：显著提升生态产品供给优良本底</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到2025年，市城区空气质量优良天数比例大于97%，地表水质量达到或好于Ⅲ类国控断面水体比例达到100%，受污染耕地安全利用率达到100%，森林覆盖率达到58%。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到2025年，市城区空气质量优良天数比例大于97%，地表水质量达到或好于Ⅲ类国控断面水体比例达到100%，受污染耕地安全利用率达到100%，森林覆盖率达到58%。</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7"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指标2：促进生态环境保护工作协同增效</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释放生态环境保护的乘数效应，提高生态环境保护经费使用效率，促进生态环境保护工作提质增效，实现经济发展质量和生态环境保护水平同时提升。</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促进了生态环境保护工作协同增效。</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6"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指标1：初步建立有效的和可操作的生态产品价值实现体制机制</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2023年前完成自然资源资产确权登记；2025年，建立生态产品价值实现试点示范单位不少于20个。</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初步建立了有效的和可操作的生态产品价值实现体制机制</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指标1：公众满意度</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bl>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2021年度广元市生态产品价值实现能力建设服务业务经费项目绩效评价报告</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 xml:space="preserve"> </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（一）项目基本情况</w:t>
      </w:r>
    </w:p>
    <w:p>
      <w:pPr>
        <w:spacing w:line="560" w:lineRule="exact"/>
        <w:ind w:firstLine="640" w:firstLineChars="200"/>
        <w:rPr>
          <w:rFonts w:ascii="仿宋_GB2312" w:eastAsia="仿宋_GB2312"/>
          <w:sz w:val="32"/>
          <w:szCs w:val="32"/>
        </w:rPr>
      </w:pPr>
      <w:r>
        <w:rPr>
          <w:rFonts w:hint="eastAsia" w:ascii="仿宋_GB2312" w:hAnsi="Times New Roman" w:eastAsia="仿宋_GB2312"/>
          <w:color w:val="000000"/>
          <w:sz w:val="32"/>
          <w:szCs w:val="32"/>
          <w:shd w:val="clear" w:color="auto" w:fill="FFFFFF"/>
        </w:rPr>
        <w:t>通过购买服务方式，由中国社会科学院生态文明研究所开展广元市生态产品价值实现能力建设服务业务，</w:t>
      </w:r>
      <w:r>
        <w:rPr>
          <w:rFonts w:hint="eastAsia" w:ascii="仿宋_GB2312" w:eastAsia="仿宋_GB2312"/>
          <w:sz w:val="32"/>
          <w:szCs w:val="32"/>
        </w:rPr>
        <w:t>将专项经费10万元纳入我委年度财政预算。</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在广元市开展“双碳”、生态产品价值实现等专题讲座、专题培训，组织开展广元市生态产品价值实现机制有关成果专家研讨会，利用其资源平台，加大对我市生态产品价值实现相关工作成效宣传力度。</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（三）项目自评步骤及方法</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一是核查报账记录。</w:t>
      </w:r>
      <w:r>
        <w:rPr>
          <w:rFonts w:hint="eastAsia" w:ascii="仿宋_GB2312" w:eastAsia="仿宋_GB2312"/>
          <w:sz w:val="32"/>
          <w:szCs w:val="32"/>
        </w:rPr>
        <w:t>查看包括报账时间、金额、事由及各环节审核签字情况等内容，核实资金是否用于编制《</w:t>
      </w:r>
      <w:r>
        <w:rPr>
          <w:rFonts w:hint="eastAsia" w:ascii="仿宋_GB2312" w:hAnsi="Times New Roman" w:eastAsia="仿宋_GB2312"/>
          <w:color w:val="000000"/>
          <w:sz w:val="32"/>
          <w:szCs w:val="32"/>
          <w:shd w:val="clear" w:color="auto" w:fill="FFFFFF"/>
        </w:rPr>
        <w:t>广元市生态产品价值实现的机制与路径研究》课题研究费用</w:t>
      </w:r>
      <w:r>
        <w:rPr>
          <w:rFonts w:hint="eastAsia" w:ascii="仿宋_GB2312" w:eastAsia="仿宋_GB2312"/>
          <w:sz w:val="32"/>
          <w:szCs w:val="32"/>
        </w:rPr>
        <w:t>。</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二是成果验收。</w:t>
      </w:r>
      <w:r>
        <w:rPr>
          <w:rFonts w:hint="eastAsia" w:ascii="仿宋_GB2312" w:hAnsi="仿宋_GB2312" w:eastAsia="仿宋_GB2312" w:cs="仿宋_GB2312"/>
          <w:sz w:val="32"/>
          <w:szCs w:val="32"/>
        </w:rPr>
        <w:t>组织广元市</w:t>
      </w:r>
      <w:r>
        <w:rPr>
          <w:rFonts w:hint="eastAsia" w:ascii="仿宋_GB2312" w:eastAsia="仿宋_GB2312"/>
          <w:sz w:val="32"/>
          <w:szCs w:val="32"/>
        </w:rPr>
        <w:t>各县（区）、广元经济技术开发区、市级有关部门</w:t>
      </w:r>
      <w:r>
        <w:rPr>
          <w:rFonts w:hint="eastAsia" w:ascii="仿宋_GB2312" w:hAnsi="仿宋_GB2312" w:eastAsia="仿宋_GB2312" w:cs="仿宋_GB2312"/>
          <w:sz w:val="32"/>
          <w:szCs w:val="32"/>
        </w:rPr>
        <w:t>开展“双碳”、生态产品价值实现等专题讲座（培训），开展有关成果专家研讨会，并加大对我市相关工作成效宣传力度。据实</w:t>
      </w:r>
      <w:r>
        <w:rPr>
          <w:rFonts w:hint="eastAsia" w:ascii="仿宋_GB2312" w:eastAsia="仿宋_GB2312"/>
          <w:sz w:val="32"/>
          <w:szCs w:val="32"/>
        </w:rPr>
        <w:t>验收研究成果是否符合合格。</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二、项目资金申报及使用情况</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（一）项目资金申报及批复情况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我委根据2021年工作实际，申请工作经费。市财政局于2021年9月批复2021年度广元市生态产品价值实现能力建设服务业务经费。</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（二）资金计划、到位及使用情况</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1. 资金计划及到位。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市财政局于2021年9月拨付了2021年度广元市生态产品价值实现能力建设服务业务经费预算10万元，项目资金全部到位。</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2. 资金使用。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项目资金到位后，严格按照项目资金管理相关规定，已全部用于项目支出，无被截留、挤占、挪用现象。</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（三）项目财务管理情况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了申报计划，审批后由市财政支付中心统一集中支付。</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三、项目实施及管理情况</w:t>
      </w:r>
    </w:p>
    <w:p>
      <w:pPr>
        <w:spacing w:line="560" w:lineRule="exact"/>
        <w:ind w:firstLine="643" w:firstLineChars="200"/>
        <w:rPr>
          <w:rFonts w:ascii="仿宋_GB2312" w:hAnsi="Times New Roman" w:eastAsia="仿宋_GB2312"/>
          <w:color w:val="000000"/>
          <w:sz w:val="32"/>
          <w:szCs w:val="32"/>
          <w:shd w:val="clear" w:color="auto" w:fill="FFFFFF"/>
        </w:rPr>
      </w:pPr>
      <w:r>
        <w:rPr>
          <w:rFonts w:hint="eastAsia" w:ascii="仿宋_GB2312" w:hAnsi="Times New Roman" w:eastAsia="仿宋_GB2312"/>
          <w:b/>
          <w:bCs/>
          <w:color w:val="000000"/>
          <w:sz w:val="32"/>
          <w:szCs w:val="32"/>
          <w:shd w:val="clear" w:color="auto" w:fill="FFFFFF"/>
        </w:rPr>
        <w:t>一是</w:t>
      </w:r>
      <w:r>
        <w:rPr>
          <w:rFonts w:hint="eastAsia" w:ascii="仿宋_GB2312" w:hAnsi="Times New Roman" w:eastAsia="仿宋_GB2312"/>
          <w:color w:val="000000"/>
          <w:sz w:val="32"/>
          <w:szCs w:val="32"/>
          <w:shd w:val="clear" w:color="auto" w:fill="FFFFFF"/>
        </w:rPr>
        <w:t>通过购买服务方式，由中国社会科学院生态文明研究所负责提供广元市生态产品价值实现能力建设服务业务，具体包括</w:t>
      </w:r>
      <w:r>
        <w:rPr>
          <w:rFonts w:hint="eastAsia" w:ascii="仿宋_GB2312" w:hAnsi="仿宋_GB2312" w:eastAsia="仿宋_GB2312" w:cs="仿宋_GB2312"/>
          <w:sz w:val="32"/>
          <w:szCs w:val="32"/>
        </w:rPr>
        <w:t>开展“双碳”、生态产品价值实现等专题讲座（培训），广元市生态产品价值实现机制有关成果专家研讨会，宣传我市生态产品价值实现相关工作成效</w:t>
      </w:r>
      <w:r>
        <w:rPr>
          <w:rFonts w:hint="eastAsia" w:ascii="仿宋_GB2312" w:hAnsi="Times New Roman" w:eastAsia="仿宋_GB2312"/>
          <w:color w:val="000000"/>
          <w:sz w:val="32"/>
          <w:szCs w:val="32"/>
          <w:shd w:val="clear" w:color="auto" w:fill="FFFFFF"/>
        </w:rPr>
        <w:t>。</w:t>
      </w:r>
    </w:p>
    <w:p>
      <w:pPr>
        <w:spacing w:line="560" w:lineRule="exact"/>
        <w:ind w:firstLine="643" w:firstLineChars="200"/>
        <w:rPr>
          <w:rFonts w:ascii="Times New Roman" w:hAnsi="Times New Roman" w:eastAsia="仿宋_GB2312" w:cs="Times New Roman"/>
          <w:color w:val="000000"/>
          <w:sz w:val="32"/>
          <w:szCs w:val="32"/>
        </w:rPr>
      </w:pPr>
      <w:r>
        <w:rPr>
          <w:rFonts w:hint="eastAsia" w:ascii="仿宋_GB2312" w:hAnsi="Times New Roman" w:eastAsia="仿宋_GB2312"/>
          <w:b/>
          <w:bCs/>
          <w:color w:val="000000"/>
          <w:sz w:val="32"/>
          <w:szCs w:val="32"/>
          <w:shd w:val="clear" w:color="auto" w:fill="FFFFFF"/>
        </w:rPr>
        <w:t>二是</w:t>
      </w:r>
      <w:r>
        <w:rPr>
          <w:rFonts w:hint="eastAsia" w:ascii="仿宋_GB2312" w:hAnsi="仿宋_GB2312" w:eastAsia="仿宋_GB2312" w:cs="仿宋_GB2312"/>
          <w:sz w:val="32"/>
          <w:szCs w:val="32"/>
        </w:rPr>
        <w:t>项目总结报告2021年12月中旬提交，最终稿2021年12月31日前提交。</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四、项目绩效情况</w:t>
      </w:r>
      <w:r>
        <w:rPr>
          <w:rFonts w:hint="eastAsia" w:ascii="黑体" w:hAnsi="黑体" w:eastAsia="黑体" w:cs="黑体"/>
          <w:sz w:val="32"/>
          <w:szCs w:val="32"/>
        </w:rPr>
        <w:tab/>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（一）项目完成情况</w:t>
      </w:r>
    </w:p>
    <w:p>
      <w:pPr>
        <w:spacing w:line="560" w:lineRule="exact"/>
        <w:ind w:firstLine="640" w:firstLineChars="200"/>
        <w:rPr>
          <w:rFonts w:ascii="Times New Roman" w:hAnsi="Times New Roman" w:eastAsia="仿宋_GB2312" w:cs="Times New Roman"/>
          <w:color w:val="000000"/>
          <w:sz w:val="32"/>
          <w:szCs w:val="32"/>
        </w:rPr>
      </w:pPr>
      <w:r>
        <w:rPr>
          <w:rFonts w:hint="eastAsia" w:ascii="仿宋_GB2312" w:hAnsi="Times New Roman" w:eastAsia="仿宋_GB2312"/>
          <w:color w:val="000000"/>
          <w:sz w:val="32"/>
          <w:szCs w:val="32"/>
          <w:shd w:val="clear" w:color="auto" w:fill="FFFFFF"/>
        </w:rPr>
        <w:t>中国社会科学院生态文明研究所专家团队来广实地调研，并在广多次开展“双碳”、生态产品价值实现等专题讲座、培训；利用研究所及团队专家的资源平台，加大对广元工作成效宣传力度。</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（二）项目效益情况</w:t>
      </w:r>
    </w:p>
    <w:p>
      <w:pPr>
        <w:pStyle w:val="16"/>
        <w:widowControl/>
        <w:spacing w:before="0" w:beforeAutospacing="0" w:after="0" w:afterAutospacing="0" w:line="576" w:lineRule="exact"/>
        <w:ind w:firstLine="640" w:firstLineChars="200"/>
        <w:jc w:val="both"/>
        <w:rPr>
          <w:rFonts w:hint="eastAsia" w:ascii="仿宋_GB2312" w:eastAsia="仿宋_GB2312" w:cs="Times New Roman"/>
          <w:kern w:val="2"/>
          <w:sz w:val="32"/>
          <w:szCs w:val="32"/>
          <w:lang w:eastAsia="zh-CN" w:bidi="ar"/>
        </w:rPr>
      </w:pPr>
      <w:r>
        <w:rPr>
          <w:rFonts w:hint="eastAsia" w:ascii="仿宋_GB2312" w:hAnsi="Times New Roman" w:eastAsia="仿宋_GB2312"/>
          <w:color w:val="000000"/>
          <w:sz w:val="32"/>
          <w:szCs w:val="32"/>
          <w:shd w:val="clear" w:color="auto" w:fill="FFFFFF"/>
          <w:lang w:eastAsia="zh-CN"/>
        </w:rPr>
        <w:t>通过</w:t>
      </w:r>
      <w:r>
        <w:rPr>
          <w:rFonts w:hint="eastAsia" w:ascii="仿宋_GB2312" w:hAnsi="Times New Roman" w:eastAsia="仿宋_GB2312"/>
          <w:color w:val="000000"/>
          <w:sz w:val="32"/>
          <w:szCs w:val="32"/>
          <w:shd w:val="clear" w:color="auto" w:fill="FFFFFF"/>
        </w:rPr>
        <w:t>中国社会科学院生态文明研究所</w:t>
      </w:r>
      <w:r>
        <w:rPr>
          <w:rFonts w:hint="eastAsia" w:ascii="仿宋_GB2312" w:hAnsi="Times New Roman" w:eastAsia="仿宋_GB2312"/>
          <w:color w:val="000000"/>
          <w:sz w:val="32"/>
          <w:szCs w:val="32"/>
          <w:shd w:val="clear" w:color="auto" w:fill="FFFFFF"/>
          <w:lang w:eastAsia="zh-CN"/>
        </w:rPr>
        <w:t>专家</w:t>
      </w:r>
      <w:r>
        <w:rPr>
          <w:rFonts w:hint="eastAsia" w:ascii="仿宋_GB2312" w:hAnsi="Times New Roman" w:eastAsia="仿宋_GB2312"/>
          <w:color w:val="000000"/>
          <w:sz w:val="32"/>
          <w:szCs w:val="32"/>
          <w:shd w:val="clear" w:color="auto" w:fill="FFFFFF"/>
        </w:rPr>
        <w:t>多次</w:t>
      </w:r>
      <w:r>
        <w:rPr>
          <w:rFonts w:hint="eastAsia" w:ascii="仿宋_GB2312" w:hAnsi="Times New Roman" w:eastAsia="仿宋_GB2312"/>
          <w:color w:val="000000"/>
          <w:sz w:val="32"/>
          <w:szCs w:val="32"/>
          <w:shd w:val="clear" w:color="auto" w:fill="FFFFFF"/>
          <w:lang w:eastAsia="zh-CN"/>
        </w:rPr>
        <w:t>碳达峰碳中和</w:t>
      </w:r>
      <w:r>
        <w:rPr>
          <w:rFonts w:hint="eastAsia" w:ascii="仿宋_GB2312" w:hAnsi="Times New Roman" w:eastAsia="仿宋_GB2312"/>
          <w:color w:val="000000"/>
          <w:sz w:val="32"/>
          <w:szCs w:val="32"/>
          <w:shd w:val="clear" w:color="auto" w:fill="FFFFFF"/>
        </w:rPr>
        <w:t>、生态产品价值实现等专题讲座</w:t>
      </w:r>
      <w:r>
        <w:rPr>
          <w:rFonts w:hint="eastAsia" w:ascii="仿宋_GB2312" w:hAnsi="Times New Roman" w:eastAsia="仿宋_GB2312"/>
          <w:color w:val="000000"/>
          <w:sz w:val="32"/>
          <w:szCs w:val="32"/>
          <w:shd w:val="clear" w:color="auto" w:fill="FFFFFF"/>
          <w:lang w:eastAsia="zh-CN"/>
        </w:rPr>
        <w:t>，提高了全市对相关工作思想上的认识、业务上的能力。</w:t>
      </w:r>
      <w:r>
        <w:rPr>
          <w:rFonts w:hint="eastAsia" w:ascii="仿宋_GB2312" w:hAnsi="Times New Roman" w:eastAsia="仿宋_GB2312"/>
          <w:color w:val="000000"/>
          <w:sz w:val="32"/>
          <w:szCs w:val="32"/>
          <w:shd w:val="clear" w:color="auto" w:fill="FFFFFF"/>
        </w:rPr>
        <w:t>中国社会科学院生态文明研究所</w:t>
      </w:r>
      <w:r>
        <w:rPr>
          <w:rFonts w:hint="eastAsia" w:ascii="仿宋_GB2312" w:hAnsi="Times New Roman" w:eastAsia="仿宋_GB2312"/>
          <w:color w:val="000000"/>
          <w:sz w:val="32"/>
          <w:szCs w:val="32"/>
          <w:shd w:val="clear" w:color="auto" w:fill="FFFFFF"/>
          <w:lang w:eastAsia="zh-CN"/>
        </w:rPr>
        <w:t>通过资源</w:t>
      </w:r>
      <w:r>
        <w:rPr>
          <w:rFonts w:hint="eastAsia" w:ascii="仿宋_GB2312" w:hAnsi="Times New Roman" w:eastAsia="仿宋_GB2312"/>
          <w:color w:val="000000"/>
          <w:sz w:val="32"/>
          <w:szCs w:val="32"/>
          <w:shd w:val="clear" w:color="auto" w:fill="FFFFFF"/>
          <w:lang w:val="en-US" w:eastAsia="zh-CN"/>
        </w:rPr>
        <w:t>平台，</w:t>
      </w:r>
      <w:r>
        <w:rPr>
          <w:rFonts w:hint="eastAsia" w:ascii="仿宋_GB2312" w:hAnsi="Times New Roman" w:eastAsia="仿宋_GB2312"/>
          <w:color w:val="000000"/>
          <w:sz w:val="32"/>
          <w:szCs w:val="32"/>
          <w:shd w:val="clear" w:color="auto" w:fill="FFFFFF"/>
          <w:lang w:eastAsia="zh-CN"/>
        </w:rPr>
        <w:t>我市低碳发展、生态产品价值实现相关经验做法在全国宣传推广。</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五、评价结论及建议</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（一）评价结论</w:t>
      </w:r>
    </w:p>
    <w:p>
      <w:pPr>
        <w:pStyle w:val="16"/>
        <w:widowControl/>
        <w:spacing w:before="0" w:beforeAutospacing="0" w:after="0" w:afterAutospacing="0" w:line="576" w:lineRule="exact"/>
        <w:ind w:firstLine="640" w:firstLineChars="200"/>
        <w:jc w:val="both"/>
        <w:rPr>
          <w:rFonts w:ascii="Times New Roman" w:hAnsi="Times New Roman" w:eastAsia="仿宋_GB2312"/>
          <w:color w:val="000000"/>
          <w:sz w:val="32"/>
          <w:szCs w:val="32"/>
          <w:shd w:val="clear" w:color="auto" w:fill="FFFFFF"/>
        </w:rPr>
      </w:pPr>
      <w:r>
        <w:rPr>
          <w:rFonts w:hint="eastAsia" w:ascii="仿宋_GB2312" w:hAnsi="Times New Roman" w:eastAsia="仿宋_GB2312"/>
          <w:color w:val="000000"/>
          <w:sz w:val="32"/>
          <w:szCs w:val="32"/>
          <w:shd w:val="clear" w:color="auto" w:fill="FFFFFF"/>
        </w:rPr>
        <w:t>项目的实施和专项经费的使用，对我市生态产品价值实现工作的宣传力度加大，促进我市生态产品价值实现工作的进一步开展，利于我市争取国家生态产品价值实现机制试点。同时通过普及“双碳”、生态产品价值实现知识，全民形成低碳绿色生活方式新风尚。</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（二）存在的问题</w:t>
      </w:r>
    </w:p>
    <w:p>
      <w:pPr>
        <w:spacing w:line="560" w:lineRule="exact"/>
        <w:ind w:firstLine="640" w:firstLineChars="200"/>
        <w:rPr>
          <w:rFonts w:ascii="仿宋_GB2312" w:eastAsia="仿宋_GB2312"/>
          <w:sz w:val="32"/>
          <w:szCs w:val="32"/>
        </w:rPr>
      </w:pPr>
      <w:r>
        <w:rPr>
          <w:rFonts w:hint="eastAsia" w:ascii="仿宋_GB2312" w:hAnsi="Times New Roman" w:eastAsia="仿宋_GB2312"/>
          <w:color w:val="000000"/>
          <w:sz w:val="32"/>
          <w:szCs w:val="32"/>
          <w:shd w:val="clear" w:color="auto" w:fill="FFFFFF"/>
        </w:rPr>
        <w:t>无</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（三）相关建议</w:t>
      </w:r>
    </w:p>
    <w:p>
      <w:pPr>
        <w:ind w:firstLine="640" w:firstLineChars="200"/>
        <w:rPr>
          <w:rFonts w:ascii="仿宋_GB2312" w:hAnsi="仿宋_GB2312" w:eastAsia="仿宋_GB2312" w:cs="仿宋_GB2312"/>
        </w:rPr>
      </w:pPr>
      <w:r>
        <w:rPr>
          <w:rFonts w:hint="eastAsia" w:ascii="仿宋_GB2312" w:hAnsi="仿宋_GB2312" w:eastAsia="仿宋_GB2312" w:cs="仿宋_GB2312"/>
          <w:color w:val="000000"/>
          <w:sz w:val="32"/>
          <w:szCs w:val="32"/>
        </w:rPr>
        <w:t>无</w:t>
      </w: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宋体" w:hAnsi="宋体" w:eastAsia="宋体" w:cs="宋体"/>
          <w:b/>
          <w:i w:val="0"/>
          <w:color w:val="auto"/>
          <w:sz w:val="32"/>
          <w:szCs w:val="32"/>
          <w:highlight w:val="none"/>
          <w:u w:val="none"/>
          <w:lang w:val="en-US" w:eastAsia="zh-CN"/>
        </w:rPr>
      </w:pPr>
      <w:r>
        <w:rPr>
          <w:rFonts w:hint="eastAsia" w:ascii="仿宋_GB2312" w:hAnsi="宋体" w:eastAsia="仿宋_GB2312" w:cs="宋体"/>
          <w:b w:val="0"/>
          <w:bCs w:val="0"/>
          <w:color w:val="auto"/>
          <w:kern w:val="0"/>
          <w:sz w:val="32"/>
          <w:szCs w:val="32"/>
          <w:highlight w:val="none"/>
          <w:shd w:val="clear" w:color="auto" w:fill="FFFFFF"/>
          <w:lang w:val="zh-CN"/>
        </w:rPr>
        <w:t>附表：</w:t>
      </w: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center"/>
        <w:textAlignment w:val="auto"/>
        <w:rPr>
          <w:rStyle w:val="21"/>
          <w:rFonts w:ascii="黑体" w:hAnsi="黑体" w:eastAsia="黑体"/>
          <w:b w:val="0"/>
          <w:color w:val="auto"/>
          <w:highlight w:val="none"/>
        </w:rPr>
      </w:pPr>
      <w:r>
        <w:rPr>
          <w:rFonts w:hint="eastAsia" w:ascii="宋体" w:hAnsi="宋体" w:eastAsia="宋体" w:cs="宋体"/>
          <w:b/>
          <w:i w:val="0"/>
          <w:color w:val="auto"/>
          <w:sz w:val="32"/>
          <w:szCs w:val="32"/>
          <w:highlight w:val="none"/>
          <w:u w:val="none"/>
          <w:lang w:val="en-US" w:eastAsia="zh-CN"/>
        </w:rPr>
        <w:t>2021年部门预算项目绩效目标自评</w:t>
      </w:r>
    </w:p>
    <w:tbl>
      <w:tblPr>
        <w:tblStyle w:val="17"/>
        <w:tblpPr w:leftFromText="180" w:rightFromText="180" w:vertAnchor="text" w:horzAnchor="page" w:tblpX="397" w:tblpY="1695"/>
        <w:tblOverlap w:val="never"/>
        <w:tblW w:w="11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1125"/>
        <w:gridCol w:w="1468"/>
        <w:gridCol w:w="2477"/>
        <w:gridCol w:w="2070"/>
        <w:gridCol w:w="2063"/>
        <w:gridCol w:w="1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8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生态产品价值实现论坛及技能培训服务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主管单位</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广元市发展和改革委员会</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325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执行</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情况</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预算数：</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10万元</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执行数：</w:t>
            </w: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10万元</w:t>
            </w:r>
          </w:p>
        </w:tc>
        <w:tc>
          <w:tcPr>
            <w:tcW w:w="207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7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5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3"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利用其资源平台，加大对广元工作成效宣传力度；组织开展广元市生态产品价值实现机制有关成果专家研讨会等；在广元市开展“双碳”、生态产品价值实现等专题讲座、专题培训。                                                               </w:t>
            </w:r>
          </w:p>
        </w:tc>
        <w:tc>
          <w:tcPr>
            <w:tcW w:w="53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利用其资源平台，加大了对广元工作成效宣传力度；组织开展了广元市生态产品价值实现机制有关成果专家研讨会等；在广元市开展了“双碳”、生态产品价值实现等专题讲座、专题培训。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11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指标值（包含数字及文字描述）</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实际完成指标值（包含数字及文字描述）</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项目完成指标</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指标1：加大对广元工作成效宣传力度</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在全省、全国可推广</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完成了在全省、全国可推广。</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指标2：组织开展广元市生态产品价值实现机制有关成果专家研讨会  </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形成经验材料</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形成了经验材料。</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7"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指标3：在广元市开展“双碳”、生态产品价值实现等专题讲座、专题培训 </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普及“双碳”、生态产品价值实现知识</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普及了“双碳”、生态产品价值实现知识。</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指标1：合格率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指标1：完成时间</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2021年12月20日前</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2021年12月20日前</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指标1：专家咨询及劳务费</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3万</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指标2：课题组成员参与研究工作的绩效费用</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4万</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指标3：管理费与税费</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2.3万</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指标4：交通、印刷及其它费用</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0.7万</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项目效果指标</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指标1：全国各地来广实地考察学习</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生态产品进一步溢价，增加广元生态产品知名度及经济收入，从而带动其他相关收入。</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生态产品进一步溢价，增加了广元生态产品知名度及经济收入，从而带动了其他相关收入。</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指标1：提高广元试点知名度</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广元经验在全省、全国推广。</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广元经验在全省、全国得到推广。</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指标1：进一步推进环境治理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全民低碳绿色生活、生产方式。</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全民低碳绿色生活、生产方式。</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指标1：促进广元生态环境更好保护</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促进广元各行各业绿色低碳发展</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促进了广元各行各业绿色低碳发展。</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指标1：公众满意度</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bl>
    <w:p>
      <w:pPr>
        <w:rPr>
          <w:rStyle w:val="21"/>
          <w:rFonts w:ascii="黑体" w:hAnsi="黑体" w:eastAsia="黑体"/>
          <w:b w:val="0"/>
          <w:color w:val="auto"/>
          <w:highlight w:val="none"/>
        </w:rPr>
      </w:pPr>
    </w:p>
    <w:p>
      <w:pPr>
        <w:rPr>
          <w:rStyle w:val="21"/>
          <w:rFonts w:ascii="黑体" w:hAnsi="黑体" w:eastAsia="黑体"/>
          <w:b w:val="0"/>
          <w:color w:val="auto"/>
          <w:highlight w:val="none"/>
        </w:rPr>
      </w:pPr>
    </w:p>
    <w:p>
      <w:pPr>
        <w:pStyle w:val="7"/>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spacing w:line="600" w:lineRule="exact"/>
        <w:jc w:val="both"/>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bookmarkStart w:id="80" w:name="_Toc20718"/>
      <w:r>
        <w:rPr>
          <w:rFonts w:hint="eastAsia" w:ascii="黑体" w:hAnsi="黑体" w:eastAsia="黑体"/>
          <w:sz w:val="44"/>
          <w:szCs w:val="44"/>
        </w:rPr>
        <w:t>第</w:t>
      </w:r>
      <w:r>
        <w:rPr>
          <w:rStyle w:val="21"/>
          <w:rFonts w:hint="eastAsia" w:ascii="黑体" w:hAnsi="黑体" w:eastAsia="黑体"/>
          <w:b w:val="0"/>
        </w:rPr>
        <w:t>五部分 附表</w:t>
      </w:r>
      <w:bookmarkEnd w:id="76"/>
      <w:bookmarkEnd w:id="79"/>
      <w:bookmarkEnd w:id="80"/>
      <w:bookmarkStart w:id="81" w:name="_Toc15396619"/>
    </w:p>
    <w:p>
      <w:pPr>
        <w:pStyle w:val="4"/>
        <w:rPr>
          <w:rFonts w:ascii="仿宋" w:hAnsi="仿宋" w:eastAsia="仿宋"/>
        </w:rPr>
      </w:pPr>
      <w:bookmarkStart w:id="82" w:name="_Toc1928"/>
      <w:r>
        <w:rPr>
          <w:rFonts w:hint="eastAsia" w:ascii="仿宋" w:hAnsi="仿宋" w:eastAsia="仿宋"/>
          <w:b w:val="0"/>
        </w:rPr>
        <w:t>一、收</w:t>
      </w:r>
      <w:r>
        <w:rPr>
          <w:rStyle w:val="22"/>
          <w:rFonts w:hint="eastAsia" w:ascii="仿宋" w:hAnsi="仿宋" w:eastAsia="仿宋"/>
          <w:b w:val="0"/>
          <w:bCs w:val="0"/>
        </w:rPr>
        <w:t>入支出决算总表</w:t>
      </w:r>
      <w:bookmarkEnd w:id="81"/>
      <w:bookmarkEnd w:id="82"/>
    </w:p>
    <w:p>
      <w:pPr>
        <w:pStyle w:val="4"/>
        <w:rPr>
          <w:rFonts w:ascii="仿宋" w:hAnsi="仿宋" w:eastAsia="仿宋"/>
        </w:rPr>
      </w:pPr>
      <w:bookmarkStart w:id="83" w:name="_Toc15396620"/>
      <w:bookmarkStart w:id="84" w:name="_Toc19525"/>
      <w:r>
        <w:rPr>
          <w:rFonts w:hint="eastAsia" w:ascii="仿宋" w:hAnsi="仿宋" w:eastAsia="仿宋"/>
          <w:b w:val="0"/>
        </w:rPr>
        <w:t>二、收</w:t>
      </w:r>
      <w:r>
        <w:rPr>
          <w:rStyle w:val="22"/>
          <w:rFonts w:hint="eastAsia" w:ascii="仿宋" w:hAnsi="仿宋" w:eastAsia="仿宋"/>
          <w:b w:val="0"/>
          <w:bCs w:val="0"/>
        </w:rPr>
        <w:t>入决算表</w:t>
      </w:r>
      <w:bookmarkEnd w:id="83"/>
      <w:bookmarkEnd w:id="84"/>
    </w:p>
    <w:p>
      <w:pPr>
        <w:pStyle w:val="4"/>
        <w:rPr>
          <w:rFonts w:ascii="仿宋" w:hAnsi="仿宋" w:eastAsia="仿宋"/>
        </w:rPr>
      </w:pPr>
      <w:bookmarkStart w:id="85" w:name="_Toc15396621"/>
      <w:bookmarkStart w:id="86" w:name="_Toc9055"/>
      <w:r>
        <w:rPr>
          <w:rStyle w:val="22"/>
          <w:rFonts w:hint="eastAsia" w:ascii="仿宋" w:hAnsi="仿宋" w:eastAsia="仿宋"/>
          <w:b w:val="0"/>
          <w:bCs w:val="0"/>
        </w:rPr>
        <w:t>三、</w:t>
      </w:r>
      <w:r>
        <w:rPr>
          <w:rFonts w:hint="eastAsia" w:ascii="仿宋" w:hAnsi="仿宋" w:eastAsia="仿宋"/>
          <w:b w:val="0"/>
        </w:rPr>
        <w:t>支</w:t>
      </w:r>
      <w:r>
        <w:rPr>
          <w:rStyle w:val="22"/>
          <w:rFonts w:hint="eastAsia" w:ascii="仿宋" w:hAnsi="仿宋" w:eastAsia="仿宋"/>
          <w:b w:val="0"/>
          <w:bCs w:val="0"/>
        </w:rPr>
        <w:t>出决算表</w:t>
      </w:r>
      <w:bookmarkEnd w:id="85"/>
      <w:bookmarkEnd w:id="86"/>
    </w:p>
    <w:p>
      <w:pPr>
        <w:pStyle w:val="4"/>
        <w:rPr>
          <w:rFonts w:ascii="仿宋" w:hAnsi="仿宋" w:eastAsia="仿宋"/>
          <w:b w:val="0"/>
        </w:rPr>
      </w:pPr>
      <w:bookmarkStart w:id="87" w:name="_Toc15396622"/>
      <w:bookmarkStart w:id="88" w:name="_Toc20818"/>
      <w:r>
        <w:rPr>
          <w:rStyle w:val="22"/>
          <w:rFonts w:hint="eastAsia" w:ascii="仿宋" w:hAnsi="仿宋" w:eastAsia="仿宋"/>
          <w:b w:val="0"/>
          <w:bCs w:val="0"/>
        </w:rPr>
        <w:t>四、</w:t>
      </w:r>
      <w:r>
        <w:rPr>
          <w:rFonts w:hint="eastAsia" w:ascii="仿宋" w:hAnsi="仿宋" w:eastAsia="仿宋"/>
          <w:b w:val="0"/>
        </w:rPr>
        <w:t>财</w:t>
      </w:r>
      <w:r>
        <w:rPr>
          <w:rStyle w:val="22"/>
          <w:rFonts w:hint="eastAsia" w:ascii="仿宋" w:hAnsi="仿宋" w:eastAsia="仿宋"/>
          <w:b w:val="0"/>
          <w:bCs w:val="0"/>
        </w:rPr>
        <w:t>政拨款收入支出决算总表</w:t>
      </w:r>
      <w:bookmarkEnd w:id="87"/>
      <w:bookmarkEnd w:id="88"/>
    </w:p>
    <w:p>
      <w:pPr>
        <w:pStyle w:val="4"/>
        <w:rPr>
          <w:rStyle w:val="22"/>
          <w:rFonts w:ascii="仿宋" w:hAnsi="仿宋" w:eastAsia="仿宋"/>
          <w:b w:val="0"/>
          <w:bCs w:val="0"/>
        </w:rPr>
      </w:pPr>
      <w:bookmarkStart w:id="89" w:name="_Toc1058"/>
      <w:bookmarkStart w:id="90" w:name="_Toc15396623"/>
      <w:r>
        <w:rPr>
          <w:rStyle w:val="22"/>
          <w:rFonts w:hint="eastAsia" w:ascii="仿宋" w:hAnsi="仿宋" w:eastAsia="仿宋"/>
          <w:b w:val="0"/>
          <w:bCs w:val="0"/>
        </w:rPr>
        <w:t>五、</w:t>
      </w:r>
      <w:r>
        <w:rPr>
          <w:rFonts w:hint="eastAsia" w:ascii="仿宋" w:hAnsi="仿宋" w:eastAsia="仿宋"/>
          <w:b w:val="0"/>
        </w:rPr>
        <w:t>财</w:t>
      </w:r>
      <w:r>
        <w:rPr>
          <w:rStyle w:val="22"/>
          <w:rFonts w:hint="eastAsia" w:ascii="仿宋" w:hAnsi="仿宋" w:eastAsia="仿宋"/>
          <w:b w:val="0"/>
          <w:bCs w:val="0"/>
        </w:rPr>
        <w:t>政拨款支出决算明细表</w:t>
      </w:r>
      <w:bookmarkEnd w:id="89"/>
      <w:bookmarkEnd w:id="90"/>
      <w:bookmarkStart w:id="91" w:name="_Toc15396624"/>
    </w:p>
    <w:p>
      <w:pPr>
        <w:pStyle w:val="4"/>
        <w:rPr>
          <w:rFonts w:ascii="仿宋" w:hAnsi="仿宋" w:eastAsia="仿宋"/>
        </w:rPr>
      </w:pPr>
      <w:bookmarkStart w:id="92" w:name="_Toc29290"/>
      <w:r>
        <w:rPr>
          <w:rStyle w:val="22"/>
          <w:rFonts w:hint="eastAsia" w:ascii="仿宋" w:hAnsi="仿宋" w:eastAsia="仿宋"/>
          <w:b w:val="0"/>
          <w:bCs w:val="0"/>
        </w:rPr>
        <w:t>六、</w:t>
      </w:r>
      <w:r>
        <w:rPr>
          <w:rFonts w:hint="eastAsia" w:ascii="仿宋" w:hAnsi="仿宋" w:eastAsia="仿宋"/>
          <w:b w:val="0"/>
        </w:rPr>
        <w:t>一</w:t>
      </w:r>
      <w:r>
        <w:rPr>
          <w:rStyle w:val="22"/>
          <w:rFonts w:hint="eastAsia" w:ascii="仿宋" w:hAnsi="仿宋" w:eastAsia="仿宋"/>
          <w:b w:val="0"/>
          <w:bCs w:val="0"/>
        </w:rPr>
        <w:t>般公共预算财政拨款支出决算表</w:t>
      </w:r>
      <w:bookmarkEnd w:id="91"/>
      <w:bookmarkEnd w:id="92"/>
    </w:p>
    <w:p>
      <w:pPr>
        <w:pStyle w:val="4"/>
        <w:rPr>
          <w:rFonts w:ascii="仿宋" w:hAnsi="仿宋" w:eastAsia="仿宋"/>
        </w:rPr>
      </w:pPr>
      <w:bookmarkStart w:id="93" w:name="_Toc7509"/>
      <w:bookmarkStart w:id="94" w:name="_Toc15396625"/>
      <w:r>
        <w:rPr>
          <w:rStyle w:val="22"/>
          <w:rFonts w:hint="eastAsia" w:ascii="仿宋" w:hAnsi="仿宋" w:eastAsia="仿宋"/>
          <w:b w:val="0"/>
          <w:bCs w:val="0"/>
        </w:rPr>
        <w:t>七、</w:t>
      </w:r>
      <w:r>
        <w:rPr>
          <w:rFonts w:hint="eastAsia" w:ascii="仿宋" w:hAnsi="仿宋" w:eastAsia="仿宋"/>
          <w:b w:val="0"/>
        </w:rPr>
        <w:t>一</w:t>
      </w:r>
      <w:r>
        <w:rPr>
          <w:rStyle w:val="22"/>
          <w:rFonts w:hint="eastAsia" w:ascii="仿宋" w:hAnsi="仿宋" w:eastAsia="仿宋"/>
          <w:b w:val="0"/>
          <w:bCs w:val="0"/>
        </w:rPr>
        <w:t>般公共预算财政拨款支出决算明细表</w:t>
      </w:r>
      <w:bookmarkEnd w:id="93"/>
      <w:bookmarkEnd w:id="94"/>
    </w:p>
    <w:p>
      <w:pPr>
        <w:pStyle w:val="4"/>
        <w:rPr>
          <w:rFonts w:ascii="仿宋" w:hAnsi="仿宋" w:eastAsia="仿宋"/>
        </w:rPr>
      </w:pPr>
      <w:bookmarkStart w:id="95" w:name="_Toc15396626"/>
      <w:bookmarkStart w:id="96" w:name="_Toc23933"/>
      <w:r>
        <w:rPr>
          <w:rStyle w:val="22"/>
          <w:rFonts w:hint="eastAsia" w:ascii="仿宋" w:hAnsi="仿宋" w:eastAsia="仿宋"/>
          <w:b w:val="0"/>
          <w:bCs w:val="0"/>
        </w:rPr>
        <w:t>八、</w:t>
      </w:r>
      <w:r>
        <w:rPr>
          <w:rFonts w:hint="eastAsia" w:ascii="仿宋" w:hAnsi="仿宋" w:eastAsia="仿宋"/>
          <w:b w:val="0"/>
        </w:rPr>
        <w:t>一</w:t>
      </w:r>
      <w:r>
        <w:rPr>
          <w:rStyle w:val="22"/>
          <w:rFonts w:hint="eastAsia" w:ascii="仿宋" w:hAnsi="仿宋" w:eastAsia="仿宋"/>
          <w:b w:val="0"/>
          <w:bCs w:val="0"/>
        </w:rPr>
        <w:t>般公共预算财政拨款基本支出决算表</w:t>
      </w:r>
      <w:bookmarkEnd w:id="95"/>
      <w:bookmarkEnd w:id="96"/>
    </w:p>
    <w:p>
      <w:pPr>
        <w:pStyle w:val="4"/>
        <w:rPr>
          <w:rFonts w:ascii="仿宋" w:hAnsi="仿宋" w:eastAsia="仿宋"/>
        </w:rPr>
      </w:pPr>
      <w:bookmarkStart w:id="97" w:name="_Toc13246"/>
      <w:bookmarkStart w:id="98" w:name="_Toc15396627"/>
      <w:r>
        <w:rPr>
          <w:rStyle w:val="22"/>
          <w:rFonts w:hint="eastAsia" w:ascii="仿宋" w:hAnsi="仿宋" w:eastAsia="仿宋"/>
          <w:b w:val="0"/>
          <w:bCs w:val="0"/>
        </w:rPr>
        <w:t>九、</w:t>
      </w:r>
      <w:r>
        <w:rPr>
          <w:rFonts w:hint="eastAsia" w:ascii="仿宋" w:hAnsi="仿宋" w:eastAsia="仿宋"/>
          <w:b w:val="0"/>
        </w:rPr>
        <w:t>一</w:t>
      </w:r>
      <w:r>
        <w:rPr>
          <w:rStyle w:val="22"/>
          <w:rFonts w:hint="eastAsia" w:ascii="仿宋" w:hAnsi="仿宋" w:eastAsia="仿宋"/>
          <w:b w:val="0"/>
          <w:bCs w:val="0"/>
        </w:rPr>
        <w:t>般公共预算财政拨款项目支出决算表</w:t>
      </w:r>
      <w:bookmarkEnd w:id="97"/>
      <w:bookmarkEnd w:id="98"/>
    </w:p>
    <w:p>
      <w:pPr>
        <w:pStyle w:val="4"/>
        <w:rPr>
          <w:rFonts w:ascii="仿宋" w:hAnsi="仿宋" w:eastAsia="仿宋"/>
        </w:rPr>
      </w:pPr>
      <w:bookmarkStart w:id="99" w:name="_Toc8320"/>
      <w:bookmarkStart w:id="100" w:name="_Toc15396628"/>
      <w:r>
        <w:rPr>
          <w:rStyle w:val="22"/>
          <w:rFonts w:hint="eastAsia" w:ascii="仿宋" w:hAnsi="仿宋" w:eastAsia="仿宋"/>
          <w:b w:val="0"/>
          <w:bCs w:val="0"/>
        </w:rPr>
        <w:t>十、</w:t>
      </w:r>
      <w:r>
        <w:rPr>
          <w:rFonts w:hint="eastAsia" w:ascii="仿宋" w:hAnsi="仿宋" w:eastAsia="仿宋"/>
          <w:b w:val="0"/>
        </w:rPr>
        <w:t>一</w:t>
      </w:r>
      <w:r>
        <w:rPr>
          <w:rStyle w:val="22"/>
          <w:rFonts w:hint="eastAsia" w:ascii="仿宋" w:hAnsi="仿宋" w:eastAsia="仿宋"/>
          <w:b w:val="0"/>
          <w:bCs w:val="0"/>
        </w:rPr>
        <w:t>般公共预算财政拨款“三公”经费支出决算表</w:t>
      </w:r>
      <w:bookmarkEnd w:id="99"/>
      <w:bookmarkEnd w:id="100"/>
    </w:p>
    <w:p>
      <w:pPr>
        <w:pStyle w:val="4"/>
        <w:rPr>
          <w:rFonts w:ascii="仿宋" w:hAnsi="仿宋" w:eastAsia="仿宋"/>
        </w:rPr>
      </w:pPr>
      <w:bookmarkStart w:id="101" w:name="_Toc12444"/>
      <w:bookmarkStart w:id="102" w:name="_Toc15396629"/>
      <w:r>
        <w:rPr>
          <w:rStyle w:val="22"/>
          <w:rFonts w:hint="eastAsia" w:ascii="仿宋" w:hAnsi="仿宋" w:eastAsia="仿宋"/>
          <w:b w:val="0"/>
          <w:bCs w:val="0"/>
        </w:rPr>
        <w:t>十一、</w:t>
      </w:r>
      <w:r>
        <w:rPr>
          <w:rFonts w:hint="eastAsia" w:ascii="仿宋" w:hAnsi="仿宋" w:eastAsia="仿宋"/>
          <w:b w:val="0"/>
        </w:rPr>
        <w:t>政</w:t>
      </w:r>
      <w:r>
        <w:rPr>
          <w:rStyle w:val="22"/>
          <w:rFonts w:hint="eastAsia" w:ascii="仿宋" w:hAnsi="仿宋" w:eastAsia="仿宋"/>
          <w:b w:val="0"/>
          <w:bCs w:val="0"/>
        </w:rPr>
        <w:t>府性基金预算财政拨款收入支出决算表</w:t>
      </w:r>
      <w:bookmarkEnd w:id="101"/>
      <w:bookmarkEnd w:id="102"/>
    </w:p>
    <w:p>
      <w:pPr>
        <w:pStyle w:val="4"/>
        <w:rPr>
          <w:rFonts w:ascii="仿宋" w:hAnsi="仿宋" w:eastAsia="仿宋"/>
        </w:rPr>
      </w:pPr>
      <w:bookmarkStart w:id="103" w:name="_Toc20049"/>
      <w:bookmarkStart w:id="104" w:name="_Toc15396630"/>
      <w:r>
        <w:rPr>
          <w:rStyle w:val="22"/>
          <w:rFonts w:hint="eastAsia" w:ascii="仿宋" w:hAnsi="仿宋" w:eastAsia="仿宋"/>
          <w:b w:val="0"/>
          <w:bCs w:val="0"/>
        </w:rPr>
        <w:t>十二、</w:t>
      </w:r>
      <w:r>
        <w:rPr>
          <w:rFonts w:hint="eastAsia" w:ascii="仿宋" w:hAnsi="仿宋" w:eastAsia="仿宋"/>
          <w:b w:val="0"/>
        </w:rPr>
        <w:t>政</w:t>
      </w:r>
      <w:r>
        <w:rPr>
          <w:rStyle w:val="22"/>
          <w:rFonts w:hint="eastAsia" w:ascii="仿宋" w:hAnsi="仿宋" w:eastAsia="仿宋"/>
          <w:b w:val="0"/>
          <w:bCs w:val="0"/>
        </w:rPr>
        <w:t>府性基金预算财政拨款“三公”经费支出决算表</w:t>
      </w:r>
      <w:bookmarkEnd w:id="103"/>
      <w:bookmarkEnd w:id="104"/>
    </w:p>
    <w:p>
      <w:pPr>
        <w:pStyle w:val="4"/>
        <w:rPr>
          <w:rStyle w:val="22"/>
          <w:rFonts w:ascii="仿宋" w:hAnsi="仿宋" w:eastAsia="仿宋"/>
          <w:b w:val="0"/>
          <w:bCs w:val="0"/>
        </w:rPr>
      </w:pPr>
      <w:bookmarkStart w:id="105" w:name="_Toc15396631"/>
      <w:bookmarkStart w:id="106" w:name="_Toc22409"/>
      <w:r>
        <w:rPr>
          <w:rStyle w:val="22"/>
          <w:rFonts w:hint="eastAsia" w:ascii="仿宋" w:hAnsi="仿宋" w:eastAsia="仿宋"/>
          <w:b w:val="0"/>
          <w:bCs w:val="0"/>
        </w:rPr>
        <w:t>十三、</w:t>
      </w:r>
      <w:r>
        <w:rPr>
          <w:rFonts w:hint="eastAsia" w:ascii="仿宋" w:hAnsi="仿宋" w:eastAsia="仿宋"/>
          <w:b w:val="0"/>
        </w:rPr>
        <w:t>国</w:t>
      </w:r>
      <w:r>
        <w:rPr>
          <w:rStyle w:val="22"/>
          <w:rFonts w:hint="eastAsia" w:ascii="仿宋" w:hAnsi="仿宋" w:eastAsia="仿宋"/>
          <w:b w:val="0"/>
          <w:bCs w:val="0"/>
        </w:rPr>
        <w:t>有资本经营预算财政拨款收入支出决算表</w:t>
      </w:r>
      <w:bookmarkEnd w:id="105"/>
      <w:bookmarkEnd w:id="106"/>
    </w:p>
    <w:p>
      <w:pPr>
        <w:rPr>
          <w:rFonts w:eastAsia="仿宋"/>
        </w:rPr>
      </w:pPr>
      <w:bookmarkStart w:id="107" w:name="_Toc28556"/>
      <w:r>
        <w:rPr>
          <w:rStyle w:val="22"/>
          <w:rFonts w:hint="eastAsia" w:ascii="仿宋" w:hAnsi="仿宋" w:eastAsia="仿宋"/>
          <w:b w:val="0"/>
          <w:bCs w:val="0"/>
        </w:rPr>
        <w:t>十四、国有资本经营预算财政拨款支出决算表</w:t>
      </w:r>
      <w:bookmarkEnd w:id="107"/>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AD5667-80E7-4135-A56D-B66C48FC85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2839BF6-66D1-4110-9253-F503015CCFEB}"/>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3" w:fontKey="{E0AA8A8A-C507-41F0-9F16-2E21D1257869}"/>
  </w:font>
  <w:font w:name="Cambria">
    <w:panose1 w:val="02040503050406030204"/>
    <w:charset w:val="00"/>
    <w:family w:val="roman"/>
    <w:pitch w:val="default"/>
    <w:sig w:usb0="E00006FF" w:usb1="420024FF" w:usb2="02000000" w:usb3="00000000" w:csb0="2000019F" w:csb1="00000000"/>
    <w:embedRegular r:id="rId4" w:fontKey="{D47164CE-177F-4C77-9E41-636CD0842AFB}"/>
  </w:font>
  <w:font w:name="AR PL UKai CN">
    <w:altName w:val="宋体"/>
    <w:panose1 w:val="02000503000000000000"/>
    <w:charset w:val="86"/>
    <w:family w:val="script"/>
    <w:pitch w:val="default"/>
    <w:sig w:usb0="00000000" w:usb1="00000000" w:usb2="00000036" w:usb3="00000000" w:csb0="2016009F" w:csb1="DFD70000"/>
  </w:font>
  <w:font w:name="仿宋">
    <w:panose1 w:val="02010609060101010101"/>
    <w:charset w:val="86"/>
    <w:family w:val="modern"/>
    <w:pitch w:val="default"/>
    <w:sig w:usb0="800002BF" w:usb1="38CF7CFA" w:usb2="00000016" w:usb3="00000000" w:csb0="00040001" w:csb1="00000000"/>
    <w:embedRegular r:id="rId5" w:fontKey="{308D91B1-5FDE-4C74-87FA-2E65D86D1DC6}"/>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6" w:fontKey="{D18B4F03-4882-44C6-87EC-5FDA0988B5AF}"/>
  </w:font>
  <w:font w:name="楷体_GB2312">
    <w:altName w:val="楷体"/>
    <w:panose1 w:val="02010609030101010101"/>
    <w:charset w:val="86"/>
    <w:family w:val="modern"/>
    <w:pitch w:val="default"/>
    <w:sig w:usb0="00000000" w:usb1="00000000" w:usb2="00000000" w:usb3="00000000" w:csb0="00040000" w:csb1="00000000"/>
    <w:embedRegular r:id="rId7" w:fontKey="{F0960815-FFF4-44ED-8FF8-F656E75A92F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28</w:t>
        </w:r>
        <w:r>
          <w:rPr>
            <w:lang w:val="zh-CN"/>
          </w:rP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A02E0"/>
    <w:multiLevelType w:val="singleLevel"/>
    <w:tmpl w:val="C21A02E0"/>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B125BE5"/>
    <w:multiLevelType w:val="multilevel"/>
    <w:tmpl w:val="3B125BE5"/>
    <w:lvl w:ilvl="0" w:tentative="0">
      <w:start w:val="1"/>
      <w:numFmt w:val="none"/>
      <w:lvlText w:val="一、"/>
      <w:lvlJc w:val="left"/>
      <w:pPr>
        <w:ind w:left="900" w:hanging="4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80CD3"/>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3C16"/>
    <w:rsid w:val="00114E9B"/>
    <w:rsid w:val="00142216"/>
    <w:rsid w:val="00144D6A"/>
    <w:rsid w:val="0014729F"/>
    <w:rsid w:val="00157BAB"/>
    <w:rsid w:val="001654D1"/>
    <w:rsid w:val="00174518"/>
    <w:rsid w:val="001757B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4CA2"/>
    <w:rsid w:val="00280496"/>
    <w:rsid w:val="00294DC9"/>
    <w:rsid w:val="00295495"/>
    <w:rsid w:val="002A31DE"/>
    <w:rsid w:val="002B2613"/>
    <w:rsid w:val="002D6D05"/>
    <w:rsid w:val="002F1818"/>
    <w:rsid w:val="002F567B"/>
    <w:rsid w:val="00313ABE"/>
    <w:rsid w:val="003216A9"/>
    <w:rsid w:val="00335A74"/>
    <w:rsid w:val="0036561B"/>
    <w:rsid w:val="0037013F"/>
    <w:rsid w:val="00380C92"/>
    <w:rsid w:val="00390F17"/>
    <w:rsid w:val="003A484F"/>
    <w:rsid w:val="003A4883"/>
    <w:rsid w:val="003B0BE0"/>
    <w:rsid w:val="003B0C1B"/>
    <w:rsid w:val="003B688C"/>
    <w:rsid w:val="003C0291"/>
    <w:rsid w:val="003C39AE"/>
    <w:rsid w:val="003C7B60"/>
    <w:rsid w:val="003D0C0F"/>
    <w:rsid w:val="003D1FB2"/>
    <w:rsid w:val="003D66DA"/>
    <w:rsid w:val="003E1310"/>
    <w:rsid w:val="003E6F55"/>
    <w:rsid w:val="003F01EB"/>
    <w:rsid w:val="00406254"/>
    <w:rsid w:val="00412FC7"/>
    <w:rsid w:val="004223DE"/>
    <w:rsid w:val="00434489"/>
    <w:rsid w:val="00437085"/>
    <w:rsid w:val="00443880"/>
    <w:rsid w:val="004464F4"/>
    <w:rsid w:val="00471401"/>
    <w:rsid w:val="00473F31"/>
    <w:rsid w:val="0048263A"/>
    <w:rsid w:val="00487E5D"/>
    <w:rsid w:val="004A711F"/>
    <w:rsid w:val="004B199D"/>
    <w:rsid w:val="004B4690"/>
    <w:rsid w:val="004C7ECA"/>
    <w:rsid w:val="004E0A2D"/>
    <w:rsid w:val="004E206B"/>
    <w:rsid w:val="004E6DF7"/>
    <w:rsid w:val="004F0FBD"/>
    <w:rsid w:val="00505A47"/>
    <w:rsid w:val="00512FDA"/>
    <w:rsid w:val="00520DA0"/>
    <w:rsid w:val="00546091"/>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467"/>
    <w:rsid w:val="006748A4"/>
    <w:rsid w:val="00681A31"/>
    <w:rsid w:val="00683E73"/>
    <w:rsid w:val="006A3141"/>
    <w:rsid w:val="006A5E34"/>
    <w:rsid w:val="006B2422"/>
    <w:rsid w:val="006B2B9A"/>
    <w:rsid w:val="006C1937"/>
    <w:rsid w:val="006F020C"/>
    <w:rsid w:val="006F2665"/>
    <w:rsid w:val="007127B7"/>
    <w:rsid w:val="0071798E"/>
    <w:rsid w:val="007416B6"/>
    <w:rsid w:val="00746F48"/>
    <w:rsid w:val="0075404D"/>
    <w:rsid w:val="00757040"/>
    <w:rsid w:val="0076182A"/>
    <w:rsid w:val="00763FD0"/>
    <w:rsid w:val="00767B7E"/>
    <w:rsid w:val="007770C3"/>
    <w:rsid w:val="0078013A"/>
    <w:rsid w:val="00784D24"/>
    <w:rsid w:val="00785FBA"/>
    <w:rsid w:val="00786E4A"/>
    <w:rsid w:val="007875EB"/>
    <w:rsid w:val="0079426B"/>
    <w:rsid w:val="007949A3"/>
    <w:rsid w:val="007B1976"/>
    <w:rsid w:val="007D1682"/>
    <w:rsid w:val="007D312A"/>
    <w:rsid w:val="007D3F19"/>
    <w:rsid w:val="007D41C4"/>
    <w:rsid w:val="007E23B0"/>
    <w:rsid w:val="007E23E5"/>
    <w:rsid w:val="007F1991"/>
    <w:rsid w:val="007F2C2F"/>
    <w:rsid w:val="007F55FC"/>
    <w:rsid w:val="007F5665"/>
    <w:rsid w:val="00800112"/>
    <w:rsid w:val="00813348"/>
    <w:rsid w:val="008253BB"/>
    <w:rsid w:val="0083706E"/>
    <w:rsid w:val="008408F6"/>
    <w:rsid w:val="00841A05"/>
    <w:rsid w:val="008423A5"/>
    <w:rsid w:val="008437A9"/>
    <w:rsid w:val="00847117"/>
    <w:rsid w:val="00850625"/>
    <w:rsid w:val="00853718"/>
    <w:rsid w:val="00855221"/>
    <w:rsid w:val="00860645"/>
    <w:rsid w:val="00871F71"/>
    <w:rsid w:val="00872FD8"/>
    <w:rsid w:val="00885AF4"/>
    <w:rsid w:val="008939CD"/>
    <w:rsid w:val="008B09D9"/>
    <w:rsid w:val="008B768C"/>
    <w:rsid w:val="008C4DB1"/>
    <w:rsid w:val="008C4EAF"/>
    <w:rsid w:val="008C5176"/>
    <w:rsid w:val="008C7FD0"/>
    <w:rsid w:val="008E1DE7"/>
    <w:rsid w:val="008E707C"/>
    <w:rsid w:val="00900B08"/>
    <w:rsid w:val="00902155"/>
    <w:rsid w:val="00902FA3"/>
    <w:rsid w:val="00923564"/>
    <w:rsid w:val="0092392E"/>
    <w:rsid w:val="00925C50"/>
    <w:rsid w:val="009315F9"/>
    <w:rsid w:val="00933499"/>
    <w:rsid w:val="00935C98"/>
    <w:rsid w:val="009419AF"/>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2A4F"/>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2E82"/>
    <w:rsid w:val="00A45BB7"/>
    <w:rsid w:val="00A56DF2"/>
    <w:rsid w:val="00A56E6E"/>
    <w:rsid w:val="00A570DA"/>
    <w:rsid w:val="00A67AB5"/>
    <w:rsid w:val="00A733B2"/>
    <w:rsid w:val="00A741C2"/>
    <w:rsid w:val="00A91760"/>
    <w:rsid w:val="00A93B00"/>
    <w:rsid w:val="00A93C21"/>
    <w:rsid w:val="00AB64C9"/>
    <w:rsid w:val="00AC3C6A"/>
    <w:rsid w:val="00AD5620"/>
    <w:rsid w:val="00AD656B"/>
    <w:rsid w:val="00AD7C1B"/>
    <w:rsid w:val="00AE16BA"/>
    <w:rsid w:val="00AE183B"/>
    <w:rsid w:val="00AE1EBE"/>
    <w:rsid w:val="00B03C9D"/>
    <w:rsid w:val="00B060AE"/>
    <w:rsid w:val="00B10517"/>
    <w:rsid w:val="00B13BE0"/>
    <w:rsid w:val="00B14E76"/>
    <w:rsid w:val="00B161B8"/>
    <w:rsid w:val="00B2048C"/>
    <w:rsid w:val="00B310B9"/>
    <w:rsid w:val="00B35F3F"/>
    <w:rsid w:val="00B36CBB"/>
    <w:rsid w:val="00B425E0"/>
    <w:rsid w:val="00B440AA"/>
    <w:rsid w:val="00B44B70"/>
    <w:rsid w:val="00B53C56"/>
    <w:rsid w:val="00B5415E"/>
    <w:rsid w:val="00B57DAF"/>
    <w:rsid w:val="00B77EA6"/>
    <w:rsid w:val="00B81598"/>
    <w:rsid w:val="00B841F1"/>
    <w:rsid w:val="00B944D6"/>
    <w:rsid w:val="00BB4DF0"/>
    <w:rsid w:val="00BC13DA"/>
    <w:rsid w:val="00BC289F"/>
    <w:rsid w:val="00BC2D50"/>
    <w:rsid w:val="00BC5361"/>
    <w:rsid w:val="00BC5460"/>
    <w:rsid w:val="00BC6B50"/>
    <w:rsid w:val="00BD0E25"/>
    <w:rsid w:val="00BF5BD6"/>
    <w:rsid w:val="00C03E31"/>
    <w:rsid w:val="00C33E72"/>
    <w:rsid w:val="00C354B2"/>
    <w:rsid w:val="00C35554"/>
    <w:rsid w:val="00C42709"/>
    <w:rsid w:val="00C45283"/>
    <w:rsid w:val="00C533CC"/>
    <w:rsid w:val="00C5751C"/>
    <w:rsid w:val="00C61BFC"/>
    <w:rsid w:val="00C62B85"/>
    <w:rsid w:val="00C65438"/>
    <w:rsid w:val="00C87FD8"/>
    <w:rsid w:val="00C91381"/>
    <w:rsid w:val="00C91CBB"/>
    <w:rsid w:val="00CA01FF"/>
    <w:rsid w:val="00CB4E70"/>
    <w:rsid w:val="00CC09B6"/>
    <w:rsid w:val="00CC666F"/>
    <w:rsid w:val="00CD0B30"/>
    <w:rsid w:val="00CD1E3F"/>
    <w:rsid w:val="00CE44F6"/>
    <w:rsid w:val="00CE49DA"/>
    <w:rsid w:val="00CE7B61"/>
    <w:rsid w:val="00CF7156"/>
    <w:rsid w:val="00D00095"/>
    <w:rsid w:val="00D114F0"/>
    <w:rsid w:val="00D14F0E"/>
    <w:rsid w:val="00D20620"/>
    <w:rsid w:val="00D254F7"/>
    <w:rsid w:val="00D26091"/>
    <w:rsid w:val="00D2685C"/>
    <w:rsid w:val="00D34E7C"/>
    <w:rsid w:val="00D35489"/>
    <w:rsid w:val="00D36AFE"/>
    <w:rsid w:val="00D51276"/>
    <w:rsid w:val="00D7035F"/>
    <w:rsid w:val="00DA634F"/>
    <w:rsid w:val="00DA65AC"/>
    <w:rsid w:val="00DB1913"/>
    <w:rsid w:val="00DC096D"/>
    <w:rsid w:val="00DC31E8"/>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49D2"/>
    <w:rsid w:val="00E727DA"/>
    <w:rsid w:val="00E82267"/>
    <w:rsid w:val="00E841AC"/>
    <w:rsid w:val="00E853CE"/>
    <w:rsid w:val="00E867B6"/>
    <w:rsid w:val="00EA010F"/>
    <w:rsid w:val="00ED1B63"/>
    <w:rsid w:val="00ED3C1F"/>
    <w:rsid w:val="00ED4085"/>
    <w:rsid w:val="00ED420E"/>
    <w:rsid w:val="00ED6FBE"/>
    <w:rsid w:val="00EE2F57"/>
    <w:rsid w:val="00EF4C34"/>
    <w:rsid w:val="00EF77C6"/>
    <w:rsid w:val="00F05438"/>
    <w:rsid w:val="00F1361C"/>
    <w:rsid w:val="00F149C1"/>
    <w:rsid w:val="00F156F0"/>
    <w:rsid w:val="00F160C7"/>
    <w:rsid w:val="00F2408F"/>
    <w:rsid w:val="00F240E9"/>
    <w:rsid w:val="00F36D8F"/>
    <w:rsid w:val="00F417B1"/>
    <w:rsid w:val="00F45853"/>
    <w:rsid w:val="00F602DF"/>
    <w:rsid w:val="00F64D04"/>
    <w:rsid w:val="00F754A1"/>
    <w:rsid w:val="00F81FD9"/>
    <w:rsid w:val="00F841AA"/>
    <w:rsid w:val="00F84A94"/>
    <w:rsid w:val="00F87E96"/>
    <w:rsid w:val="00FA23E8"/>
    <w:rsid w:val="00FC20D8"/>
    <w:rsid w:val="00FD3CC1"/>
    <w:rsid w:val="00FF1E02"/>
    <w:rsid w:val="00FF30B4"/>
    <w:rsid w:val="03E931C1"/>
    <w:rsid w:val="084D7126"/>
    <w:rsid w:val="0A2032A3"/>
    <w:rsid w:val="0AB3379D"/>
    <w:rsid w:val="0B8A37D8"/>
    <w:rsid w:val="108F6797"/>
    <w:rsid w:val="10C055FF"/>
    <w:rsid w:val="118107EC"/>
    <w:rsid w:val="11A42091"/>
    <w:rsid w:val="11BD3153"/>
    <w:rsid w:val="11DD6519"/>
    <w:rsid w:val="137837D5"/>
    <w:rsid w:val="14D40EDF"/>
    <w:rsid w:val="153C6FB3"/>
    <w:rsid w:val="1612262A"/>
    <w:rsid w:val="16BB723D"/>
    <w:rsid w:val="17400AAE"/>
    <w:rsid w:val="18015F3F"/>
    <w:rsid w:val="1B4F48F1"/>
    <w:rsid w:val="1BE8440E"/>
    <w:rsid w:val="1D155CEE"/>
    <w:rsid w:val="1E1962EB"/>
    <w:rsid w:val="1EB83BDA"/>
    <w:rsid w:val="20F57F95"/>
    <w:rsid w:val="22895117"/>
    <w:rsid w:val="240371BF"/>
    <w:rsid w:val="25C741E6"/>
    <w:rsid w:val="26A338B2"/>
    <w:rsid w:val="27842671"/>
    <w:rsid w:val="29FD04D3"/>
    <w:rsid w:val="2ABE7A3E"/>
    <w:rsid w:val="2B4D7AEF"/>
    <w:rsid w:val="2EA54A99"/>
    <w:rsid w:val="2EFA178C"/>
    <w:rsid w:val="308912DA"/>
    <w:rsid w:val="309F63EE"/>
    <w:rsid w:val="30B46D73"/>
    <w:rsid w:val="319F7F4E"/>
    <w:rsid w:val="32425CB4"/>
    <w:rsid w:val="33D04B10"/>
    <w:rsid w:val="384653A1"/>
    <w:rsid w:val="38606463"/>
    <w:rsid w:val="39AE70AB"/>
    <w:rsid w:val="39E76C3E"/>
    <w:rsid w:val="3C0C0783"/>
    <w:rsid w:val="3E7F4A16"/>
    <w:rsid w:val="3F3F12CA"/>
    <w:rsid w:val="3F795B0E"/>
    <w:rsid w:val="3F9F3A96"/>
    <w:rsid w:val="40350D30"/>
    <w:rsid w:val="40510038"/>
    <w:rsid w:val="4267663F"/>
    <w:rsid w:val="42D87A6C"/>
    <w:rsid w:val="47434B02"/>
    <w:rsid w:val="47E04ECA"/>
    <w:rsid w:val="48FC723A"/>
    <w:rsid w:val="493C27E9"/>
    <w:rsid w:val="49531B59"/>
    <w:rsid w:val="496F39ED"/>
    <w:rsid w:val="49DB4D4B"/>
    <w:rsid w:val="49FF41D3"/>
    <w:rsid w:val="4A185DC8"/>
    <w:rsid w:val="4BE068DB"/>
    <w:rsid w:val="4BF6002B"/>
    <w:rsid w:val="4ECE2238"/>
    <w:rsid w:val="51076A9A"/>
    <w:rsid w:val="51DB4B86"/>
    <w:rsid w:val="51F85506"/>
    <w:rsid w:val="52B94C95"/>
    <w:rsid w:val="541E2C15"/>
    <w:rsid w:val="54F441BF"/>
    <w:rsid w:val="55333C3E"/>
    <w:rsid w:val="59ED6A1D"/>
    <w:rsid w:val="5BD424E2"/>
    <w:rsid w:val="5C11169E"/>
    <w:rsid w:val="5DA84284"/>
    <w:rsid w:val="623B7B94"/>
    <w:rsid w:val="62606EDB"/>
    <w:rsid w:val="63060C76"/>
    <w:rsid w:val="633B04F5"/>
    <w:rsid w:val="64CA39A1"/>
    <w:rsid w:val="6593581A"/>
    <w:rsid w:val="659C46CE"/>
    <w:rsid w:val="66653FA2"/>
    <w:rsid w:val="668C60C1"/>
    <w:rsid w:val="675039C2"/>
    <w:rsid w:val="68FA5087"/>
    <w:rsid w:val="6A7C6FAE"/>
    <w:rsid w:val="6C4A05C8"/>
    <w:rsid w:val="6E490C25"/>
    <w:rsid w:val="6EB14552"/>
    <w:rsid w:val="6F5548AE"/>
    <w:rsid w:val="72734D90"/>
    <w:rsid w:val="73674370"/>
    <w:rsid w:val="754C32EF"/>
    <w:rsid w:val="76A33BA3"/>
    <w:rsid w:val="76D025F8"/>
    <w:rsid w:val="79E7B28D"/>
    <w:rsid w:val="7C775BAB"/>
    <w:rsid w:val="7DA71A0B"/>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9"/>
    <w:qFormat/>
    <w:uiPriority w:val="99"/>
    <w:pPr>
      <w:spacing w:beforeLines="30"/>
    </w:pPr>
    <w:rPr>
      <w:rFonts w:ascii="仿宋_GB2312" w:eastAsia="仿宋_GB2312"/>
      <w:kern w:val="0"/>
      <w:sz w:val="30"/>
    </w:rPr>
  </w:style>
  <w:style w:type="paragraph" w:styleId="6">
    <w:name w:val="index 5"/>
    <w:next w:val="1"/>
    <w:qFormat/>
    <w:uiPriority w:val="0"/>
    <w:pPr>
      <w:widowControl w:val="0"/>
      <w:spacing w:line="576" w:lineRule="exact"/>
      <w:ind w:firstLine="200" w:firstLineChars="200"/>
      <w:jc w:val="both"/>
    </w:pPr>
    <w:rPr>
      <w:rFonts w:ascii="仿宋_GB2312" w:hAnsi="AR PL UKai CN" w:eastAsia="仿宋_GB2312" w:cs="Times New Roman"/>
      <w:bCs/>
      <w:kern w:val="2"/>
      <w:sz w:val="32"/>
      <w:szCs w:val="32"/>
      <w:lang w:val="en-US" w:eastAsia="zh-CN" w:bidi="ar-SA"/>
    </w:rPr>
  </w:style>
  <w:style w:type="paragraph" w:styleId="7">
    <w:name w:val="Salutation"/>
    <w:basedOn w:val="1"/>
    <w:next w:val="1"/>
    <w:qFormat/>
    <w:uiPriority w:val="0"/>
    <w:rPr>
      <w:rFonts w:ascii="Times New Roman" w:hAnsi="Times New Roman" w:cs="Times New Roman"/>
    </w:rPr>
  </w:style>
  <w:style w:type="paragraph" w:styleId="8">
    <w:name w:val="Body Text Indent"/>
    <w:basedOn w:val="1"/>
    <w:next w:val="9"/>
    <w:qFormat/>
    <w:uiPriority w:val="0"/>
    <w:pPr>
      <w:ind w:left="200" w:leftChars="200"/>
    </w:pPr>
  </w:style>
  <w:style w:type="paragraph" w:styleId="9">
    <w:name w:val="Body Text First Indent 2"/>
    <w:basedOn w:val="8"/>
    <w:next w:val="1"/>
    <w:qFormat/>
    <w:uiPriority w:val="0"/>
    <w:pPr>
      <w:ind w:firstLine="42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rPr>
  </w:style>
  <w:style w:type="character" w:customStyle="1" w:styleId="21">
    <w:name w:val="标题 1 Char"/>
    <w:basedOn w:val="18"/>
    <w:link w:val="3"/>
    <w:qFormat/>
    <w:uiPriority w:val="9"/>
    <w:rPr>
      <w:rFonts w:ascii="Times New Roman" w:hAnsi="Times New Roman"/>
      <w:b/>
      <w:bCs/>
      <w:kern w:val="44"/>
      <w:sz w:val="44"/>
      <w:szCs w:val="44"/>
    </w:rPr>
  </w:style>
  <w:style w:type="character" w:customStyle="1" w:styleId="22">
    <w:name w:val="标题 2 Char"/>
    <w:basedOn w:val="18"/>
    <w:link w:val="4"/>
    <w:qFormat/>
    <w:uiPriority w:val="9"/>
    <w:rPr>
      <w:rFonts w:asciiTheme="majorHAnsi" w:hAnsiTheme="majorHAnsi" w:eastAsiaTheme="majorEastAsia" w:cstheme="majorBidi"/>
      <w:b/>
      <w:bCs/>
      <w:kern w:val="2"/>
      <w:sz w:val="32"/>
      <w:szCs w:val="32"/>
    </w:rPr>
  </w:style>
  <w:style w:type="character" w:customStyle="1" w:styleId="23">
    <w:name w:val="标题 3 Char"/>
    <w:basedOn w:val="18"/>
    <w:link w:val="5"/>
    <w:qFormat/>
    <w:uiPriority w:val="9"/>
    <w:rPr>
      <w:rFonts w:ascii="Times New Roman" w:hAnsi="Times New Roman"/>
      <w:b/>
      <w:bCs/>
      <w:kern w:val="2"/>
      <w:sz w:val="32"/>
      <w:szCs w:val="32"/>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Char"/>
    <w:link w:val="13"/>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Char"/>
    <w:link w:val="12"/>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Char"/>
    <w:link w:val="2"/>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List Paragraph1"/>
    <w:basedOn w:val="1"/>
    <w:qFormat/>
    <w:uiPriority w:val="34"/>
    <w:pPr>
      <w:ind w:firstLine="420" w:firstLineChars="200"/>
    </w:p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5"/>
    <customShpInfo spid="_x0000_s2052"/>
    <customShpInfo spid="_x0000_s2053"/>
    <customShpInfo spid="_x0000_s2054"/>
    <customShpInfo spid="_x0000_s2056"/>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58</Pages>
  <Words>23915</Words>
  <Characters>25207</Characters>
  <Lines>105</Lines>
  <Paragraphs>29</Paragraphs>
  <TotalTime>4</TotalTime>
  <ScaleCrop>false</ScaleCrop>
  <LinksUpToDate>false</LinksUpToDate>
  <CharactersWithSpaces>25719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玖千余为春秋</cp:lastModifiedBy>
  <cp:lastPrinted>2022-08-06T02:23:00Z</cp:lastPrinted>
  <dcterms:modified xsi:type="dcterms:W3CDTF">2023-09-12T13:45:10Z</dcterms:modified>
  <dc:title>四川省***</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18C4299B72334D3095585539B3212D20</vt:lpwstr>
  </property>
</Properties>
</file>