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72"/>
          <w:szCs w:val="72"/>
        </w:rPr>
      </w:pPr>
      <w:bookmarkStart w:id="0" w:name="_Hlk114149808"/>
      <w:bookmarkEnd w:id="0"/>
      <w:bookmarkStart w:id="1" w:name="_Toc15306267"/>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2" w:name="_Toc15377193"/>
      <w:bookmarkStart w:id="3" w:name="_Toc15396597"/>
      <w:bookmarkStart w:id="4" w:name="_Toc15378441"/>
      <w:bookmarkStart w:id="5" w:name="_Toc6538"/>
      <w:bookmarkStart w:id="6" w:name="_Toc15377425"/>
      <w:bookmarkStart w:id="7" w:name="_Toc15396475"/>
      <w:r>
        <w:rPr>
          <w:rFonts w:hint="eastAsia" w:ascii="方正小标宋简体" w:hAnsi="方正小标宋简体" w:eastAsia="方正小标宋简体" w:cs="方正小标宋简体"/>
          <w:sz w:val="72"/>
          <w:szCs w:val="72"/>
        </w:rPr>
        <w:t>2021年度</w:t>
      </w:r>
      <w:bookmarkEnd w:id="2"/>
      <w:bookmarkEnd w:id="3"/>
      <w:bookmarkEnd w:id="4"/>
      <w:bookmarkEnd w:id="5"/>
      <w:bookmarkEnd w:id="6"/>
      <w:bookmarkEnd w:id="7"/>
      <w:bookmarkStart w:id="8" w:name="_Toc15377194"/>
      <w:bookmarkStart w:id="9" w:name="_Toc15378442"/>
      <w:bookmarkStart w:id="10" w:name="_Toc15377426"/>
      <w:bookmarkStart w:id="11" w:name="_Toc15396476"/>
      <w:bookmarkStart w:id="12" w:name="_Toc1051"/>
      <w:bookmarkStart w:id="13" w:name="_Toc15396598"/>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广元市</w:t>
      </w:r>
      <w:bookmarkEnd w:id="1"/>
      <w:bookmarkStart w:id="14" w:name="_Toc15306268"/>
      <w:r>
        <w:rPr>
          <w:rFonts w:hint="eastAsia" w:ascii="方正小标宋简体" w:hAnsi="方正小标宋简体" w:eastAsia="方正小标宋简体" w:cs="方正小标宋简体"/>
          <w:sz w:val="72"/>
          <w:szCs w:val="72"/>
        </w:rPr>
        <w:t>非物质文化遗产保护中心单位决算</w:t>
      </w:r>
      <w:bookmarkEnd w:id="8"/>
      <w:bookmarkEnd w:id="9"/>
      <w:bookmarkEnd w:id="10"/>
      <w:bookmarkEnd w:id="11"/>
      <w:bookmarkEnd w:id="12"/>
      <w:bookmarkEnd w:id="13"/>
      <w:bookmarkEnd w:id="14"/>
    </w:p>
    <w:p>
      <w:pPr>
        <w:adjustRightInd w:val="0"/>
        <w:snapToGrid w:val="0"/>
        <w:spacing w:line="360" w:lineRule="auto"/>
        <w:jc w:val="center"/>
        <w:rPr>
          <w:rFonts w:ascii="方正小标宋简体" w:hAnsi="宋体" w:eastAsia="方正小标宋简体"/>
          <w:sz w:val="52"/>
          <w:szCs w:val="52"/>
        </w:rPr>
      </w:pP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Arial"/>
          <w:sz w:val="28"/>
          <w:szCs w:val="28"/>
        </w:rPr>
      </w:pPr>
    </w:p>
    <w:p>
      <w:pPr>
        <w:pStyle w:val="10"/>
      </w:pPr>
      <w:r>
        <w:rPr>
          <w:rFonts w:hint="eastAsia"/>
        </w:rPr>
        <w:t>公开时间：2022年10月12日</w:t>
      </w:r>
    </w:p>
    <w:sdt>
      <w:sdtPr>
        <w:rPr>
          <w:rFonts w:ascii="宋体" w:hAnsi="宋体"/>
        </w:rPr>
        <w:id w:val="2090301997"/>
        <w:docPartObj>
          <w:docPartGallery w:val="Table of Contents"/>
          <w:docPartUnique/>
        </w:docPartObj>
      </w:sdtPr>
      <w:sdtEndPr>
        <w:rPr>
          <w:rFonts w:ascii="Times New Roman" w:hAnsi="Times New Roman"/>
          <w:b/>
        </w:rPr>
      </w:sdtEndPr>
      <w:sdtContent>
        <w:p>
          <w:pPr>
            <w:jc w:val="center"/>
          </w:pPr>
          <w:r>
            <w:rPr>
              <w:rFonts w:ascii="宋体" w:hAnsi="宋体"/>
            </w:rPr>
            <w:t>目录</w:t>
          </w:r>
        </w:p>
        <w:p>
          <w:pPr>
            <w:pStyle w:val="28"/>
            <w:tabs>
              <w:tab w:val="right" w:leader="dot" w:pos="8306"/>
            </w:tabs>
            <w:rPr>
              <w:b/>
            </w:rPr>
          </w:pPr>
          <w:r>
            <w:fldChar w:fldCharType="begin"/>
          </w:r>
          <w:r>
            <w:instrText xml:space="preserve">TOC \o "1-2" \h \u </w:instrText>
          </w:r>
          <w:r>
            <w:fldChar w:fldCharType="separate"/>
          </w:r>
          <w:r>
            <w:fldChar w:fldCharType="begin"/>
          </w:r>
          <w:r>
            <w:instrText xml:space="preserve"> HYPERLINK \l "_Toc32322" </w:instrText>
          </w:r>
          <w:r>
            <w:fldChar w:fldCharType="separate"/>
          </w:r>
          <w:r>
            <w:rPr>
              <w:rFonts w:hint="eastAsia" w:ascii="黑体" w:hAnsi="黑体" w:eastAsia="黑体"/>
              <w:b/>
            </w:rPr>
            <w:t>第一部分 单位概况</w:t>
          </w:r>
          <w:r>
            <w:rPr>
              <w:b/>
            </w:rPr>
            <w:tab/>
          </w:r>
          <w:r>
            <w:rPr>
              <w:b/>
            </w:rPr>
            <w:fldChar w:fldCharType="begin"/>
          </w:r>
          <w:r>
            <w:rPr>
              <w:b/>
            </w:rPr>
            <w:instrText xml:space="preserve"> PAGEREF _Toc32322 \h </w:instrText>
          </w:r>
          <w:r>
            <w:rPr>
              <w:b/>
            </w:rPr>
            <w:fldChar w:fldCharType="separate"/>
          </w:r>
          <w:r>
            <w:rPr>
              <w:b/>
            </w:rPr>
            <w:t>3</w:t>
          </w:r>
          <w:r>
            <w:rPr>
              <w:b/>
            </w:rPr>
            <w:fldChar w:fldCharType="end"/>
          </w:r>
          <w:r>
            <w:rPr>
              <w:b/>
            </w:rPr>
            <w:fldChar w:fldCharType="end"/>
          </w:r>
        </w:p>
        <w:p>
          <w:pPr>
            <w:pStyle w:val="29"/>
            <w:tabs>
              <w:tab w:val="right" w:leader="dot" w:pos="8306"/>
            </w:tabs>
          </w:pPr>
          <w:r>
            <w:fldChar w:fldCharType="begin"/>
          </w:r>
          <w:r>
            <w:instrText xml:space="preserve"> HYPERLINK \l "_Toc1441" </w:instrText>
          </w:r>
          <w:r>
            <w:fldChar w:fldCharType="separate"/>
          </w:r>
          <w:r>
            <w:rPr>
              <w:rFonts w:hint="eastAsia" w:ascii="黑体" w:hAnsi="黑体" w:eastAsia="黑体"/>
            </w:rPr>
            <w:t>一、职能简介</w:t>
          </w:r>
          <w:r>
            <w:tab/>
          </w:r>
          <w:r>
            <w:fldChar w:fldCharType="begin"/>
          </w:r>
          <w:r>
            <w:instrText xml:space="preserve"> PAGEREF _Toc1441 \h </w:instrText>
          </w:r>
          <w:r>
            <w:fldChar w:fldCharType="separate"/>
          </w:r>
          <w:r>
            <w:t>3</w:t>
          </w:r>
          <w:r>
            <w:fldChar w:fldCharType="end"/>
          </w:r>
          <w:r>
            <w:fldChar w:fldCharType="end"/>
          </w:r>
        </w:p>
        <w:p>
          <w:pPr>
            <w:pStyle w:val="29"/>
            <w:tabs>
              <w:tab w:val="right" w:leader="dot" w:pos="8306"/>
            </w:tabs>
          </w:pPr>
          <w:r>
            <w:fldChar w:fldCharType="begin"/>
          </w:r>
          <w:r>
            <w:instrText xml:space="preserve"> HYPERLINK \l "_Toc4057" </w:instrText>
          </w:r>
          <w:r>
            <w:fldChar w:fldCharType="separate"/>
          </w:r>
          <w:r>
            <w:rPr>
              <w:rFonts w:hint="eastAsia" w:ascii="黑体" w:hAnsi="黑体" w:eastAsia="黑体"/>
            </w:rPr>
            <w:t>二、2021年重点工作完成情况</w:t>
          </w:r>
          <w:r>
            <w:tab/>
          </w:r>
          <w:r>
            <w:fldChar w:fldCharType="begin"/>
          </w:r>
          <w:r>
            <w:instrText xml:space="preserve"> PAGEREF _Toc4057 \h </w:instrText>
          </w:r>
          <w:r>
            <w:fldChar w:fldCharType="separate"/>
          </w:r>
          <w:r>
            <w:t>3</w:t>
          </w:r>
          <w:r>
            <w:fldChar w:fldCharType="end"/>
          </w:r>
          <w:r>
            <w:fldChar w:fldCharType="end"/>
          </w:r>
        </w:p>
        <w:p>
          <w:pPr>
            <w:pStyle w:val="28"/>
            <w:tabs>
              <w:tab w:val="right" w:leader="dot" w:pos="8306"/>
            </w:tabs>
            <w:rPr>
              <w:b/>
            </w:rPr>
          </w:pPr>
          <w:r>
            <w:fldChar w:fldCharType="begin"/>
          </w:r>
          <w:r>
            <w:instrText xml:space="preserve"> HYPERLINK \l "_Toc11939" </w:instrText>
          </w:r>
          <w:r>
            <w:fldChar w:fldCharType="separate"/>
          </w:r>
          <w:r>
            <w:rPr>
              <w:rFonts w:hint="eastAsia" w:ascii="黑体" w:hAnsi="黑体" w:eastAsia="黑体"/>
              <w:b/>
            </w:rPr>
            <w:t>第二部分 2021年度</w:t>
          </w:r>
          <w:r>
            <w:rPr>
              <w:rFonts w:hint="eastAsia" w:ascii="黑体" w:hAnsi="黑体" w:eastAsia="黑体"/>
              <w:b/>
              <w:bCs/>
            </w:rPr>
            <w:t>单位决算情况说明</w:t>
          </w:r>
          <w:r>
            <w:rPr>
              <w:b/>
            </w:rPr>
            <w:tab/>
          </w:r>
          <w:r>
            <w:rPr>
              <w:b/>
            </w:rPr>
            <w:fldChar w:fldCharType="begin"/>
          </w:r>
          <w:r>
            <w:rPr>
              <w:b/>
            </w:rPr>
            <w:instrText xml:space="preserve"> PAGEREF _Toc11939 \h </w:instrText>
          </w:r>
          <w:r>
            <w:rPr>
              <w:b/>
            </w:rPr>
            <w:fldChar w:fldCharType="separate"/>
          </w:r>
          <w:r>
            <w:rPr>
              <w:b/>
            </w:rPr>
            <w:t>3</w:t>
          </w:r>
          <w:r>
            <w:rPr>
              <w:b/>
            </w:rPr>
            <w:fldChar w:fldCharType="end"/>
          </w:r>
          <w:r>
            <w:rPr>
              <w:b/>
            </w:rPr>
            <w:fldChar w:fldCharType="end"/>
          </w:r>
        </w:p>
        <w:p>
          <w:pPr>
            <w:pStyle w:val="29"/>
            <w:tabs>
              <w:tab w:val="right" w:leader="dot" w:pos="8306"/>
            </w:tabs>
          </w:pPr>
          <w:r>
            <w:fldChar w:fldCharType="begin"/>
          </w:r>
          <w:r>
            <w:instrText xml:space="preserve"> HYPERLINK \l "_Toc32418"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_Toc32418 \h </w:instrText>
          </w:r>
          <w:r>
            <w:fldChar w:fldCharType="separate"/>
          </w:r>
          <w:r>
            <w:t>8</w:t>
          </w:r>
          <w:r>
            <w:fldChar w:fldCharType="end"/>
          </w:r>
          <w:r>
            <w:fldChar w:fldCharType="end"/>
          </w:r>
        </w:p>
        <w:p>
          <w:pPr>
            <w:pStyle w:val="29"/>
            <w:tabs>
              <w:tab w:val="right" w:leader="dot" w:pos="8306"/>
            </w:tabs>
          </w:pPr>
          <w:r>
            <w:fldChar w:fldCharType="begin"/>
          </w:r>
          <w:r>
            <w:instrText xml:space="preserve"> HYPERLINK \l "_Toc7041"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_Toc7041 \h </w:instrText>
          </w:r>
          <w:r>
            <w:fldChar w:fldCharType="separate"/>
          </w:r>
          <w:r>
            <w:t>8</w:t>
          </w:r>
          <w:r>
            <w:fldChar w:fldCharType="end"/>
          </w:r>
          <w:r>
            <w:fldChar w:fldCharType="end"/>
          </w:r>
        </w:p>
        <w:p>
          <w:pPr>
            <w:pStyle w:val="29"/>
            <w:tabs>
              <w:tab w:val="right" w:leader="dot" w:pos="8306"/>
            </w:tabs>
          </w:pPr>
          <w:r>
            <w:fldChar w:fldCharType="begin"/>
          </w:r>
          <w:r>
            <w:instrText xml:space="preserve"> HYPERLINK \l "_Toc223"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_Toc223 \h </w:instrText>
          </w:r>
          <w:r>
            <w:fldChar w:fldCharType="separate"/>
          </w:r>
          <w:r>
            <w:t>9</w:t>
          </w:r>
          <w:r>
            <w:fldChar w:fldCharType="end"/>
          </w:r>
          <w:r>
            <w:fldChar w:fldCharType="end"/>
          </w:r>
        </w:p>
        <w:p>
          <w:pPr>
            <w:pStyle w:val="29"/>
            <w:tabs>
              <w:tab w:val="right" w:leader="dot" w:pos="8306"/>
            </w:tabs>
          </w:pPr>
          <w:r>
            <w:fldChar w:fldCharType="begin"/>
          </w:r>
          <w:r>
            <w:instrText xml:space="preserve"> HYPERLINK \l "_Toc11369" </w:instrText>
          </w:r>
          <w:r>
            <w:fldChar w:fldCharType="separate"/>
          </w:r>
          <w:r>
            <w:fldChar w:fldCharType="end"/>
          </w:r>
          <w:r>
            <w:fldChar w:fldCharType="begin"/>
          </w:r>
          <w:r>
            <w:instrText xml:space="preserve"> HYPERLINK \l "_Toc4645"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_Toc4645 \h </w:instrText>
          </w:r>
          <w:r>
            <w:fldChar w:fldCharType="separate"/>
          </w:r>
          <w:r>
            <w:t>9</w:t>
          </w:r>
          <w:r>
            <w:fldChar w:fldCharType="end"/>
          </w:r>
          <w:r>
            <w:fldChar w:fldCharType="end"/>
          </w:r>
        </w:p>
        <w:p>
          <w:pPr>
            <w:pStyle w:val="29"/>
            <w:tabs>
              <w:tab w:val="right" w:leader="dot" w:pos="8306"/>
            </w:tabs>
          </w:pPr>
          <w:r>
            <w:fldChar w:fldCharType="begin"/>
          </w:r>
          <w:r>
            <w:instrText xml:space="preserve"> HYPERLINK \l "_Toc15443"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_Toc15443 \h </w:instrText>
          </w:r>
          <w:r>
            <w:fldChar w:fldCharType="separate"/>
          </w:r>
          <w:r>
            <w:t>10</w:t>
          </w:r>
          <w:r>
            <w:fldChar w:fldCharType="end"/>
          </w:r>
          <w:r>
            <w:fldChar w:fldCharType="end"/>
          </w:r>
        </w:p>
        <w:p>
          <w:pPr>
            <w:pStyle w:val="29"/>
            <w:tabs>
              <w:tab w:val="right" w:leader="dot" w:pos="8306"/>
            </w:tabs>
          </w:pPr>
          <w:r>
            <w:fldChar w:fldCharType="begin"/>
          </w:r>
          <w:r>
            <w:instrText xml:space="preserve"> HYPERLINK \l "_Toc16020"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_Toc16020 \h </w:instrText>
          </w:r>
          <w:r>
            <w:fldChar w:fldCharType="separate"/>
          </w:r>
          <w:r>
            <w:t>12</w:t>
          </w:r>
          <w:r>
            <w:fldChar w:fldCharType="end"/>
          </w:r>
          <w:r>
            <w:fldChar w:fldCharType="end"/>
          </w:r>
        </w:p>
        <w:p>
          <w:pPr>
            <w:pStyle w:val="29"/>
            <w:tabs>
              <w:tab w:val="right" w:leader="dot" w:pos="8306"/>
            </w:tabs>
          </w:pPr>
          <w:r>
            <w:fldChar w:fldCharType="begin"/>
          </w:r>
          <w:r>
            <w:instrText xml:space="preserve"> HYPERLINK \l "_Toc29490"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_Toc29490 \h </w:instrText>
          </w:r>
          <w:r>
            <w:fldChar w:fldCharType="separate"/>
          </w:r>
          <w:r>
            <w:t>13</w:t>
          </w:r>
          <w:r>
            <w:fldChar w:fldCharType="end"/>
          </w:r>
          <w:r>
            <w:fldChar w:fldCharType="end"/>
          </w:r>
        </w:p>
        <w:p>
          <w:pPr>
            <w:pStyle w:val="29"/>
            <w:tabs>
              <w:tab w:val="right" w:leader="dot" w:pos="8306"/>
            </w:tabs>
          </w:pPr>
          <w:r>
            <w:fldChar w:fldCharType="begin"/>
          </w:r>
          <w:r>
            <w:instrText xml:space="preserve"> HYPERLINK \l "_Toc7364"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_Toc7364 \h </w:instrText>
          </w:r>
          <w:r>
            <w:fldChar w:fldCharType="separate"/>
          </w:r>
          <w:r>
            <w:t>14</w:t>
          </w:r>
          <w:r>
            <w:fldChar w:fldCharType="end"/>
          </w:r>
          <w:r>
            <w:fldChar w:fldCharType="end"/>
          </w:r>
        </w:p>
        <w:p>
          <w:pPr>
            <w:pStyle w:val="29"/>
            <w:tabs>
              <w:tab w:val="right" w:leader="dot" w:pos="8306"/>
            </w:tabs>
          </w:pPr>
          <w:r>
            <w:fldChar w:fldCharType="begin"/>
          </w:r>
          <w:r>
            <w:instrText xml:space="preserve"> HYPERLINK \l "_Toc9086" </w:instrText>
          </w:r>
          <w:r>
            <w:fldChar w:fldCharType="separate"/>
          </w:r>
          <w:r>
            <w:rPr>
              <w:rFonts w:hint="eastAsia" w:ascii="黑体" w:hAnsi="黑体" w:eastAsia="黑体"/>
            </w:rPr>
            <w:t>九、 国有资本经营预算支出决算情况说明</w:t>
          </w:r>
          <w:r>
            <w:tab/>
          </w:r>
          <w:r>
            <w:fldChar w:fldCharType="begin"/>
          </w:r>
          <w:r>
            <w:instrText xml:space="preserve"> PAGEREF _Toc9086 \h </w:instrText>
          </w:r>
          <w:r>
            <w:fldChar w:fldCharType="separate"/>
          </w:r>
          <w:r>
            <w:t>14</w:t>
          </w:r>
          <w:r>
            <w:fldChar w:fldCharType="end"/>
          </w:r>
          <w:r>
            <w:fldChar w:fldCharType="end"/>
          </w:r>
        </w:p>
        <w:p>
          <w:pPr>
            <w:pStyle w:val="29"/>
            <w:tabs>
              <w:tab w:val="right" w:leader="dot" w:pos="8306"/>
            </w:tabs>
          </w:pPr>
          <w:r>
            <w:fldChar w:fldCharType="begin"/>
          </w:r>
          <w:r>
            <w:instrText xml:space="preserve"> HYPERLINK \l "_Toc14318" </w:instrText>
          </w:r>
          <w:r>
            <w:fldChar w:fldCharType="separate"/>
          </w:r>
          <w:r>
            <w:rPr>
              <w:rFonts w:hint="eastAsia" w:ascii="黑体" w:hAnsi="黑体" w:eastAsia="黑体"/>
            </w:rPr>
            <w:t>十、 预算绩效管理情况</w:t>
          </w:r>
          <w:r>
            <w:tab/>
          </w:r>
          <w:r>
            <w:fldChar w:fldCharType="begin"/>
          </w:r>
          <w:r>
            <w:instrText xml:space="preserve"> PAGEREF _Toc14318 \h </w:instrText>
          </w:r>
          <w:r>
            <w:fldChar w:fldCharType="separate"/>
          </w:r>
          <w:r>
            <w:t>14</w:t>
          </w:r>
          <w:r>
            <w:fldChar w:fldCharType="end"/>
          </w:r>
          <w:r>
            <w:fldChar w:fldCharType="end"/>
          </w:r>
        </w:p>
        <w:p>
          <w:pPr>
            <w:pStyle w:val="29"/>
            <w:tabs>
              <w:tab w:val="right" w:leader="dot" w:pos="8306"/>
            </w:tabs>
          </w:pPr>
          <w:r>
            <w:fldChar w:fldCharType="begin"/>
          </w:r>
          <w:r>
            <w:instrText xml:space="preserve"> HYPERLINK \l "_Toc10222" </w:instrText>
          </w:r>
          <w:r>
            <w:fldChar w:fldCharType="separate"/>
          </w:r>
          <w:r>
            <w:rPr>
              <w:rFonts w:hint="eastAsia" w:ascii="黑体" w:hAnsi="黑体" w:eastAsia="黑体"/>
            </w:rPr>
            <w:t>十一、 其他重要事项的情况说明</w:t>
          </w:r>
          <w:r>
            <w:tab/>
          </w:r>
          <w:r>
            <w:fldChar w:fldCharType="begin"/>
          </w:r>
          <w:r>
            <w:instrText xml:space="preserve"> PAGEREF _Toc10222 \h </w:instrText>
          </w:r>
          <w:r>
            <w:fldChar w:fldCharType="separate"/>
          </w:r>
          <w:r>
            <w:t>15</w:t>
          </w:r>
          <w:r>
            <w:fldChar w:fldCharType="end"/>
          </w:r>
          <w:r>
            <w:fldChar w:fldCharType="end"/>
          </w:r>
        </w:p>
        <w:p>
          <w:pPr>
            <w:pStyle w:val="28"/>
            <w:tabs>
              <w:tab w:val="right" w:leader="dot" w:pos="8306"/>
            </w:tabs>
            <w:rPr>
              <w:b/>
            </w:rPr>
          </w:pPr>
          <w:r>
            <w:fldChar w:fldCharType="begin"/>
          </w:r>
          <w:r>
            <w:instrText xml:space="preserve"> HYPERLINK \l "_Toc6767" </w:instrText>
          </w:r>
          <w: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_Toc6767 \h </w:instrText>
          </w:r>
          <w:r>
            <w:rPr>
              <w:b/>
            </w:rPr>
            <w:fldChar w:fldCharType="separate"/>
          </w:r>
          <w:r>
            <w:rPr>
              <w:b/>
            </w:rPr>
            <w:t>16</w:t>
          </w:r>
          <w:r>
            <w:rPr>
              <w:b/>
            </w:rPr>
            <w:fldChar w:fldCharType="end"/>
          </w:r>
          <w:r>
            <w:rPr>
              <w:b/>
            </w:rPr>
            <w:fldChar w:fldCharType="end"/>
          </w:r>
        </w:p>
        <w:p>
          <w:pPr>
            <w:pStyle w:val="28"/>
            <w:tabs>
              <w:tab w:val="right" w:leader="dot" w:pos="8306"/>
            </w:tabs>
            <w:rPr>
              <w:b/>
            </w:rPr>
          </w:pPr>
          <w:r>
            <w:fldChar w:fldCharType="begin"/>
          </w:r>
          <w:r>
            <w:instrText xml:space="preserve"> HYPERLINK \l "_Toc27001" </w:instrText>
          </w:r>
          <w: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_Toc27001 \h </w:instrText>
          </w:r>
          <w:r>
            <w:rPr>
              <w:b/>
            </w:rPr>
            <w:fldChar w:fldCharType="separate"/>
          </w:r>
          <w:r>
            <w:rPr>
              <w:b/>
            </w:rPr>
            <w:t>18</w:t>
          </w:r>
          <w:r>
            <w:rPr>
              <w:b/>
            </w:rPr>
            <w:fldChar w:fldCharType="end"/>
          </w:r>
          <w:r>
            <w:rPr>
              <w:b/>
            </w:rPr>
            <w:fldChar w:fldCharType="end"/>
          </w:r>
        </w:p>
        <w:p>
          <w:pPr>
            <w:pStyle w:val="28"/>
            <w:tabs>
              <w:tab w:val="right" w:leader="dot" w:pos="8306"/>
            </w:tabs>
            <w:rPr>
              <w:b/>
            </w:rPr>
          </w:pPr>
          <w:r>
            <w:fldChar w:fldCharType="begin"/>
          </w:r>
          <w:r>
            <w:instrText xml:space="preserve"> HYPERLINK \l "_Toc30207" </w:instrText>
          </w:r>
          <w: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_Toc30207 \h </w:instrText>
          </w:r>
          <w:r>
            <w:rPr>
              <w:b/>
            </w:rPr>
            <w:fldChar w:fldCharType="separate"/>
          </w:r>
          <w:r>
            <w:rPr>
              <w:b/>
            </w:rPr>
            <w:t>31</w:t>
          </w:r>
          <w:r>
            <w:rPr>
              <w:b/>
            </w:rPr>
            <w:fldChar w:fldCharType="end"/>
          </w:r>
          <w:r>
            <w:rPr>
              <w:b/>
            </w:rPr>
            <w:fldChar w:fldCharType="end"/>
          </w:r>
        </w:p>
        <w:p>
          <w:pPr>
            <w:pStyle w:val="29"/>
            <w:tabs>
              <w:tab w:val="right" w:leader="dot" w:pos="8306"/>
            </w:tabs>
          </w:pPr>
          <w:r>
            <w:fldChar w:fldCharType="begin"/>
          </w:r>
          <w:r>
            <w:instrText xml:space="preserve"> HYPERLINK \l "_Toc9425" </w:instrText>
          </w:r>
          <w:r>
            <w:fldChar w:fldCharType="separate"/>
          </w:r>
          <w:r>
            <w:rPr>
              <w:rFonts w:hint="eastAsia" w:ascii="仿宋" w:hAnsi="仿宋" w:eastAsia="仿宋"/>
            </w:rPr>
            <w:t>一、收入支出决算总表</w:t>
          </w:r>
          <w:r>
            <w:tab/>
          </w:r>
          <w:r>
            <w:fldChar w:fldCharType="begin"/>
          </w:r>
          <w:r>
            <w:instrText xml:space="preserve"> PAGEREF _Toc9425 \h </w:instrText>
          </w:r>
          <w:r>
            <w:fldChar w:fldCharType="separate"/>
          </w:r>
          <w:r>
            <w:t>31</w:t>
          </w:r>
          <w:r>
            <w:fldChar w:fldCharType="end"/>
          </w:r>
          <w:r>
            <w:fldChar w:fldCharType="end"/>
          </w:r>
        </w:p>
        <w:p>
          <w:pPr>
            <w:pStyle w:val="29"/>
            <w:tabs>
              <w:tab w:val="right" w:leader="dot" w:pos="8306"/>
            </w:tabs>
          </w:pPr>
          <w:r>
            <w:fldChar w:fldCharType="begin"/>
          </w:r>
          <w:r>
            <w:instrText xml:space="preserve"> HYPERLINK \l "_Toc29466" </w:instrText>
          </w:r>
          <w:r>
            <w:fldChar w:fldCharType="separate"/>
          </w:r>
          <w:r>
            <w:rPr>
              <w:rFonts w:hint="eastAsia" w:ascii="仿宋" w:hAnsi="仿宋" w:eastAsia="仿宋"/>
            </w:rPr>
            <w:t>二、收入决算表</w:t>
          </w:r>
          <w:r>
            <w:tab/>
          </w:r>
          <w:r>
            <w:fldChar w:fldCharType="begin"/>
          </w:r>
          <w:r>
            <w:instrText xml:space="preserve"> PAGEREF _Toc29466 \h </w:instrText>
          </w:r>
          <w:r>
            <w:fldChar w:fldCharType="separate"/>
          </w:r>
          <w:r>
            <w:t>31</w:t>
          </w:r>
          <w:r>
            <w:fldChar w:fldCharType="end"/>
          </w:r>
          <w:r>
            <w:fldChar w:fldCharType="end"/>
          </w:r>
        </w:p>
        <w:p>
          <w:pPr>
            <w:pStyle w:val="29"/>
            <w:tabs>
              <w:tab w:val="right" w:leader="dot" w:pos="8306"/>
            </w:tabs>
          </w:pPr>
          <w:r>
            <w:fldChar w:fldCharType="begin"/>
          </w:r>
          <w:r>
            <w:instrText xml:space="preserve"> HYPERLINK \l "_Toc18029" </w:instrText>
          </w:r>
          <w:r>
            <w:fldChar w:fldCharType="separate"/>
          </w:r>
          <w:r>
            <w:rPr>
              <w:rFonts w:hint="eastAsia" w:ascii="仿宋" w:hAnsi="仿宋" w:eastAsia="仿宋"/>
            </w:rPr>
            <w:t>三、支出决算表</w:t>
          </w:r>
          <w:r>
            <w:tab/>
          </w:r>
          <w:r>
            <w:fldChar w:fldCharType="begin"/>
          </w:r>
          <w:r>
            <w:instrText xml:space="preserve"> PAGEREF _Toc18029 \h </w:instrText>
          </w:r>
          <w:r>
            <w:fldChar w:fldCharType="separate"/>
          </w:r>
          <w:r>
            <w:t>31</w:t>
          </w:r>
          <w:r>
            <w:fldChar w:fldCharType="end"/>
          </w:r>
          <w:r>
            <w:fldChar w:fldCharType="end"/>
          </w:r>
        </w:p>
        <w:p>
          <w:pPr>
            <w:pStyle w:val="29"/>
            <w:tabs>
              <w:tab w:val="right" w:leader="dot" w:pos="8306"/>
            </w:tabs>
          </w:pPr>
          <w:r>
            <w:fldChar w:fldCharType="begin"/>
          </w:r>
          <w:r>
            <w:instrText xml:space="preserve"> HYPERLINK \l "_Toc26269" </w:instrText>
          </w:r>
          <w:r>
            <w:fldChar w:fldCharType="separate"/>
          </w:r>
          <w:r>
            <w:rPr>
              <w:rFonts w:hint="eastAsia" w:ascii="仿宋" w:hAnsi="仿宋" w:eastAsia="仿宋"/>
            </w:rPr>
            <w:t>四、财政拨款收入支出决算总表</w:t>
          </w:r>
          <w:r>
            <w:tab/>
          </w:r>
          <w:r>
            <w:fldChar w:fldCharType="begin"/>
          </w:r>
          <w:r>
            <w:instrText xml:space="preserve"> PAGEREF _Toc26269 \h </w:instrText>
          </w:r>
          <w:r>
            <w:fldChar w:fldCharType="separate"/>
          </w:r>
          <w:r>
            <w:t>31</w:t>
          </w:r>
          <w:r>
            <w:fldChar w:fldCharType="end"/>
          </w:r>
          <w:r>
            <w:fldChar w:fldCharType="end"/>
          </w:r>
        </w:p>
        <w:p>
          <w:pPr>
            <w:pStyle w:val="29"/>
            <w:tabs>
              <w:tab w:val="right" w:leader="dot" w:pos="8306"/>
            </w:tabs>
          </w:pPr>
          <w:r>
            <w:fldChar w:fldCharType="begin"/>
          </w:r>
          <w:r>
            <w:instrText xml:space="preserve"> HYPERLINK \l "_Toc31110" </w:instrText>
          </w:r>
          <w:r>
            <w:fldChar w:fldCharType="separate"/>
          </w:r>
          <w:r>
            <w:rPr>
              <w:rFonts w:hint="eastAsia" w:ascii="仿宋" w:hAnsi="仿宋" w:eastAsia="仿宋"/>
            </w:rPr>
            <w:t>五、财政拨款支出决算明细表</w:t>
          </w:r>
          <w:r>
            <w:tab/>
          </w:r>
          <w:r>
            <w:fldChar w:fldCharType="begin"/>
          </w:r>
          <w:r>
            <w:instrText xml:space="preserve"> PAGEREF _Toc31110 \h </w:instrText>
          </w:r>
          <w:r>
            <w:fldChar w:fldCharType="separate"/>
          </w:r>
          <w:r>
            <w:t>31</w:t>
          </w:r>
          <w:r>
            <w:fldChar w:fldCharType="end"/>
          </w:r>
          <w:r>
            <w:fldChar w:fldCharType="end"/>
          </w:r>
        </w:p>
        <w:p>
          <w:pPr>
            <w:pStyle w:val="29"/>
            <w:tabs>
              <w:tab w:val="right" w:leader="dot" w:pos="8306"/>
            </w:tabs>
          </w:pPr>
          <w:r>
            <w:fldChar w:fldCharType="begin"/>
          </w:r>
          <w:r>
            <w:instrText xml:space="preserve"> HYPERLINK \l "_Toc24721" </w:instrText>
          </w:r>
          <w:r>
            <w:fldChar w:fldCharType="separate"/>
          </w:r>
          <w:r>
            <w:rPr>
              <w:rFonts w:hint="eastAsia" w:ascii="仿宋" w:hAnsi="仿宋" w:eastAsia="仿宋"/>
            </w:rPr>
            <w:t>六、一般公共预算财政拨款支出决算表</w:t>
          </w:r>
          <w:r>
            <w:tab/>
          </w:r>
          <w:r>
            <w:fldChar w:fldCharType="begin"/>
          </w:r>
          <w:r>
            <w:instrText xml:space="preserve"> PAGEREF _Toc24721 \h </w:instrText>
          </w:r>
          <w:r>
            <w:fldChar w:fldCharType="separate"/>
          </w:r>
          <w:r>
            <w:t>31</w:t>
          </w:r>
          <w:r>
            <w:fldChar w:fldCharType="end"/>
          </w:r>
          <w:r>
            <w:fldChar w:fldCharType="end"/>
          </w:r>
        </w:p>
        <w:p>
          <w:pPr>
            <w:pStyle w:val="29"/>
            <w:tabs>
              <w:tab w:val="right" w:leader="dot" w:pos="8306"/>
            </w:tabs>
          </w:pPr>
          <w:r>
            <w:fldChar w:fldCharType="begin"/>
          </w:r>
          <w:r>
            <w:instrText xml:space="preserve"> HYPERLINK \l "_Toc7565" </w:instrText>
          </w:r>
          <w:r>
            <w:fldChar w:fldCharType="separate"/>
          </w:r>
          <w:r>
            <w:rPr>
              <w:rFonts w:hint="eastAsia" w:ascii="仿宋" w:hAnsi="仿宋" w:eastAsia="仿宋"/>
            </w:rPr>
            <w:t>七、一般公共预算财政拨款支出决算明细表</w:t>
          </w:r>
          <w:r>
            <w:tab/>
          </w:r>
          <w:r>
            <w:fldChar w:fldCharType="begin"/>
          </w:r>
          <w:r>
            <w:instrText xml:space="preserve"> PAGEREF _Toc7565 \h </w:instrText>
          </w:r>
          <w:r>
            <w:fldChar w:fldCharType="separate"/>
          </w:r>
          <w:r>
            <w:t>31</w:t>
          </w:r>
          <w:r>
            <w:fldChar w:fldCharType="end"/>
          </w:r>
          <w:r>
            <w:fldChar w:fldCharType="end"/>
          </w:r>
        </w:p>
        <w:p>
          <w:pPr>
            <w:pStyle w:val="29"/>
            <w:tabs>
              <w:tab w:val="right" w:leader="dot" w:pos="8306"/>
            </w:tabs>
          </w:pPr>
          <w:r>
            <w:fldChar w:fldCharType="begin"/>
          </w:r>
          <w:r>
            <w:instrText xml:space="preserve"> HYPERLINK \l "_Toc23532" </w:instrText>
          </w:r>
          <w:r>
            <w:fldChar w:fldCharType="separate"/>
          </w:r>
          <w:r>
            <w:rPr>
              <w:rFonts w:hint="eastAsia" w:ascii="仿宋" w:hAnsi="仿宋" w:eastAsia="仿宋"/>
            </w:rPr>
            <w:t>八、一般公共预算财政拨款基本支出决算表</w:t>
          </w:r>
          <w:r>
            <w:tab/>
          </w:r>
          <w:r>
            <w:fldChar w:fldCharType="begin"/>
          </w:r>
          <w:r>
            <w:instrText xml:space="preserve"> PAGEREF _Toc23532 \h </w:instrText>
          </w:r>
          <w:r>
            <w:fldChar w:fldCharType="separate"/>
          </w:r>
          <w:r>
            <w:t>31</w:t>
          </w:r>
          <w:r>
            <w:fldChar w:fldCharType="end"/>
          </w:r>
          <w:r>
            <w:fldChar w:fldCharType="end"/>
          </w:r>
        </w:p>
        <w:p>
          <w:pPr>
            <w:pStyle w:val="29"/>
            <w:tabs>
              <w:tab w:val="right" w:leader="dot" w:pos="8306"/>
            </w:tabs>
          </w:pPr>
          <w:r>
            <w:fldChar w:fldCharType="begin"/>
          </w:r>
          <w:r>
            <w:instrText xml:space="preserve"> HYPERLINK \l "_Toc7624" </w:instrText>
          </w:r>
          <w:r>
            <w:fldChar w:fldCharType="separate"/>
          </w:r>
          <w:r>
            <w:rPr>
              <w:rFonts w:hint="eastAsia" w:ascii="仿宋" w:hAnsi="仿宋" w:eastAsia="仿宋"/>
            </w:rPr>
            <w:t>九、一般公共预算财政拨款项目支出决算表</w:t>
          </w:r>
          <w:r>
            <w:tab/>
          </w:r>
          <w:r>
            <w:fldChar w:fldCharType="begin"/>
          </w:r>
          <w:r>
            <w:instrText xml:space="preserve"> PAGEREF _Toc7624 \h </w:instrText>
          </w:r>
          <w:r>
            <w:fldChar w:fldCharType="separate"/>
          </w:r>
          <w:r>
            <w:t>31</w:t>
          </w:r>
          <w:r>
            <w:fldChar w:fldCharType="end"/>
          </w:r>
          <w:r>
            <w:fldChar w:fldCharType="end"/>
          </w:r>
        </w:p>
        <w:p>
          <w:pPr>
            <w:pStyle w:val="29"/>
            <w:tabs>
              <w:tab w:val="right" w:leader="dot" w:pos="8306"/>
            </w:tabs>
          </w:pPr>
          <w:r>
            <w:fldChar w:fldCharType="begin"/>
          </w:r>
          <w:r>
            <w:instrText xml:space="preserve"> HYPERLINK \l "_Toc2683" </w:instrText>
          </w:r>
          <w:r>
            <w:fldChar w:fldCharType="separate"/>
          </w:r>
          <w:r>
            <w:rPr>
              <w:rFonts w:hint="eastAsia" w:ascii="仿宋" w:hAnsi="仿宋" w:eastAsia="仿宋"/>
            </w:rPr>
            <w:t>十、一般公共预算财政拨款“三公”经费支出决算表</w:t>
          </w:r>
          <w:r>
            <w:tab/>
          </w:r>
          <w:r>
            <w:fldChar w:fldCharType="begin"/>
          </w:r>
          <w:r>
            <w:instrText xml:space="preserve"> PAGEREF _Toc2683 \h </w:instrText>
          </w:r>
          <w:r>
            <w:fldChar w:fldCharType="separate"/>
          </w:r>
          <w:r>
            <w:t>31</w:t>
          </w:r>
          <w:r>
            <w:fldChar w:fldCharType="end"/>
          </w:r>
          <w:r>
            <w:fldChar w:fldCharType="end"/>
          </w:r>
        </w:p>
        <w:p>
          <w:pPr>
            <w:pStyle w:val="29"/>
            <w:tabs>
              <w:tab w:val="right" w:leader="dot" w:pos="8306"/>
            </w:tabs>
          </w:pPr>
          <w:r>
            <w:fldChar w:fldCharType="begin"/>
          </w:r>
          <w:r>
            <w:instrText xml:space="preserve"> HYPERLINK \l "_Toc29183" </w:instrText>
          </w:r>
          <w:r>
            <w:fldChar w:fldCharType="separate"/>
          </w:r>
          <w:r>
            <w:rPr>
              <w:rFonts w:hint="eastAsia" w:ascii="仿宋" w:hAnsi="仿宋" w:eastAsia="仿宋"/>
            </w:rPr>
            <w:t>十一、政府性基金预算财政拨款收入支出决算表</w:t>
          </w:r>
          <w:r>
            <w:tab/>
          </w:r>
          <w:r>
            <w:fldChar w:fldCharType="begin"/>
          </w:r>
          <w:r>
            <w:instrText xml:space="preserve"> PAGEREF _Toc29183 \h </w:instrText>
          </w:r>
          <w:r>
            <w:fldChar w:fldCharType="separate"/>
          </w:r>
          <w:r>
            <w:t>31</w:t>
          </w:r>
          <w:r>
            <w:fldChar w:fldCharType="end"/>
          </w:r>
          <w:r>
            <w:fldChar w:fldCharType="end"/>
          </w:r>
        </w:p>
        <w:p>
          <w:pPr>
            <w:pStyle w:val="29"/>
            <w:tabs>
              <w:tab w:val="right" w:leader="dot" w:pos="8306"/>
            </w:tabs>
          </w:pPr>
          <w:r>
            <w:fldChar w:fldCharType="begin"/>
          </w:r>
          <w:r>
            <w:instrText xml:space="preserve"> HYPERLINK \l "_Toc9549" </w:instrText>
          </w:r>
          <w:r>
            <w:fldChar w:fldCharType="separate"/>
          </w:r>
          <w:r>
            <w:rPr>
              <w:rFonts w:hint="eastAsia" w:ascii="仿宋" w:hAnsi="仿宋" w:eastAsia="仿宋"/>
            </w:rPr>
            <w:t>十二、政府性基金预算财政拨款“三公”经费支出决算表</w:t>
          </w:r>
          <w:r>
            <w:tab/>
          </w:r>
          <w:r>
            <w:fldChar w:fldCharType="begin"/>
          </w:r>
          <w:r>
            <w:instrText xml:space="preserve"> PAGEREF _Toc9549 \h </w:instrText>
          </w:r>
          <w:r>
            <w:fldChar w:fldCharType="separate"/>
          </w:r>
          <w:r>
            <w:t>31</w:t>
          </w:r>
          <w:r>
            <w:fldChar w:fldCharType="end"/>
          </w:r>
          <w:r>
            <w:fldChar w:fldCharType="end"/>
          </w:r>
        </w:p>
        <w:p>
          <w:pPr>
            <w:pStyle w:val="29"/>
            <w:tabs>
              <w:tab w:val="right" w:leader="dot" w:pos="8306"/>
            </w:tabs>
          </w:pPr>
          <w:r>
            <w:fldChar w:fldCharType="begin"/>
          </w:r>
          <w:r>
            <w:instrText xml:space="preserve"> HYPERLINK \l "_Toc13767" </w:instrText>
          </w:r>
          <w:r>
            <w:fldChar w:fldCharType="separate"/>
          </w:r>
          <w:r>
            <w:rPr>
              <w:rFonts w:hint="eastAsia" w:ascii="仿宋" w:hAnsi="仿宋" w:eastAsia="仿宋"/>
            </w:rPr>
            <w:t>十三、国有资本经营预算财政拨款收入支出决算表</w:t>
          </w:r>
          <w:r>
            <w:tab/>
          </w:r>
          <w:r>
            <w:fldChar w:fldCharType="begin"/>
          </w:r>
          <w:r>
            <w:instrText xml:space="preserve"> PAGEREF _Toc13767 \h </w:instrText>
          </w:r>
          <w:r>
            <w:fldChar w:fldCharType="separate"/>
          </w:r>
          <w:r>
            <w:t>31</w:t>
          </w:r>
          <w:r>
            <w:fldChar w:fldCharType="end"/>
          </w:r>
          <w:r>
            <w:fldChar w:fldCharType="end"/>
          </w:r>
        </w:p>
        <w:p>
          <w:pPr>
            <w:pStyle w:val="29"/>
            <w:tabs>
              <w:tab w:val="right" w:leader="dot" w:pos="8306"/>
            </w:tabs>
          </w:pPr>
          <w:r>
            <w:fldChar w:fldCharType="begin"/>
          </w:r>
          <w:r>
            <w:instrText xml:space="preserve"> HYPERLINK \l "_Toc3418" </w:instrText>
          </w:r>
          <w:r>
            <w:fldChar w:fldCharType="separate"/>
          </w:r>
          <w:r>
            <w:rPr>
              <w:rFonts w:hint="eastAsia" w:ascii="仿宋" w:hAnsi="仿宋" w:eastAsia="仿宋"/>
            </w:rPr>
            <w:t>十四、国有资本经营预算财政拨款支出决算表</w:t>
          </w:r>
          <w:r>
            <w:tab/>
          </w:r>
          <w:r>
            <w:fldChar w:fldCharType="begin"/>
          </w:r>
          <w:r>
            <w:instrText xml:space="preserve"> PAGEREF _Toc3418 \h </w:instrText>
          </w:r>
          <w:r>
            <w:fldChar w:fldCharType="separate"/>
          </w:r>
          <w:r>
            <w:t>31</w:t>
          </w:r>
          <w:r>
            <w:fldChar w:fldCharType="end"/>
          </w:r>
          <w:r>
            <w:fldChar w:fldCharType="end"/>
          </w:r>
        </w:p>
        <w:p>
          <w:r>
            <w:rPr>
              <w:b/>
            </w:rPr>
            <w:fldChar w:fldCharType="end"/>
          </w:r>
        </w:p>
      </w:sdtContent>
    </w:sdt>
    <w:p>
      <w:pPr>
        <w:pStyle w:val="3"/>
        <w:jc w:val="center"/>
        <w:rPr>
          <w:rStyle w:val="16"/>
          <w:rFonts w:ascii="黑体" w:hAnsi="黑体" w:eastAsia="黑体"/>
          <w:b/>
          <w:bCs w:val="0"/>
        </w:rPr>
      </w:pPr>
      <w:bookmarkStart w:id="15" w:name="_Toc15377196"/>
      <w:bookmarkStart w:id="16" w:name="_Toc32322"/>
      <w:bookmarkStart w:id="17" w:name="_Toc15396599"/>
      <w:r>
        <w:rPr>
          <w:rFonts w:hint="eastAsia" w:ascii="黑体" w:hAnsi="黑体" w:eastAsia="黑体"/>
          <w:b w:val="0"/>
        </w:rPr>
        <w:t>第一部分 单位</w:t>
      </w:r>
      <w:r>
        <w:rPr>
          <w:rStyle w:val="16"/>
          <w:rFonts w:hint="eastAsia" w:ascii="黑体" w:hAnsi="黑体" w:eastAsia="黑体"/>
          <w:b w:val="0"/>
          <w:bCs w:val="0"/>
        </w:rPr>
        <w:t>概况</w:t>
      </w:r>
      <w:bookmarkEnd w:id="15"/>
      <w:bookmarkEnd w:id="16"/>
      <w:bookmarkEnd w:id="17"/>
    </w:p>
    <w:p>
      <w:pPr>
        <w:widowControl/>
        <w:jc w:val="left"/>
        <w:rPr>
          <w:rFonts w:ascii="黑体" w:eastAsia="黑体"/>
          <w:sz w:val="32"/>
          <w:szCs w:val="32"/>
        </w:rPr>
      </w:pPr>
    </w:p>
    <w:p>
      <w:pPr>
        <w:pStyle w:val="4"/>
        <w:rPr>
          <w:rStyle w:val="17"/>
          <w:rFonts w:ascii="黑体" w:hAnsi="黑体" w:eastAsia="黑体"/>
          <w:b w:val="0"/>
          <w:bCs w:val="0"/>
        </w:rPr>
      </w:pPr>
      <w:bookmarkStart w:id="18" w:name="_Toc1441"/>
      <w:bookmarkStart w:id="19" w:name="_Toc15396600"/>
      <w:bookmarkStart w:id="20" w:name="_Toc15377197"/>
      <w:r>
        <w:rPr>
          <w:rStyle w:val="17"/>
          <w:rFonts w:hint="eastAsia" w:ascii="黑体" w:hAnsi="黑体" w:eastAsia="黑体"/>
          <w:b w:val="0"/>
          <w:bCs w:val="0"/>
        </w:rPr>
        <w:t>一、职能简介</w:t>
      </w:r>
      <w:bookmarkEnd w:id="18"/>
    </w:p>
    <w:p>
      <w:pPr>
        <w:ind w:firstLine="640" w:firstLineChars="200"/>
        <w:rPr>
          <w:rFonts w:ascii="仿宋" w:hAnsi="仿宋" w:eastAsia="仿宋"/>
        </w:rPr>
      </w:pPr>
      <w:r>
        <w:rPr>
          <w:rFonts w:hint="eastAsia" w:ascii="仿宋" w:hAnsi="仿宋" w:eastAsia="仿宋"/>
          <w:sz w:val="32"/>
          <w:szCs w:val="32"/>
        </w:rPr>
        <w:t>负责开展全市织全市非物质文化遗产的资源普查、理论研究、宣传推介、传承保护、名录体系建设等工作。</w:t>
      </w:r>
    </w:p>
    <w:p>
      <w:pPr>
        <w:pStyle w:val="4"/>
        <w:rPr>
          <w:rFonts w:ascii="黑体" w:hAnsi="黑体" w:eastAsia="黑体"/>
          <w:b w:val="0"/>
        </w:rPr>
      </w:pPr>
      <w:bookmarkStart w:id="21" w:name="_Toc4057"/>
      <w:r>
        <w:rPr>
          <w:rFonts w:hint="eastAsia" w:ascii="黑体" w:hAnsi="黑体" w:eastAsia="黑体"/>
          <w:b w:val="0"/>
        </w:rPr>
        <w:t>二、2021年重点工作</w:t>
      </w:r>
      <w:bookmarkEnd w:id="19"/>
      <w:bookmarkEnd w:id="20"/>
      <w:r>
        <w:rPr>
          <w:rFonts w:hint="eastAsia" w:ascii="黑体" w:hAnsi="黑体" w:eastAsia="黑体"/>
          <w:b w:val="0"/>
        </w:rPr>
        <w:t>完成情况</w:t>
      </w:r>
      <w:bookmarkEnd w:id="21"/>
    </w:p>
    <w:p>
      <w:pPr>
        <w:ind w:firstLine="308" w:firstLineChars="100"/>
        <w:rPr>
          <w:rFonts w:ascii="仿宋_GB2312" w:hAnsi="仿宋_GB2312" w:eastAsia="仿宋_GB2312" w:cs="仿宋_GB2312"/>
          <w:spacing w:val="-6"/>
          <w:sz w:val="32"/>
          <w:szCs w:val="32"/>
        </w:rPr>
      </w:pPr>
      <w:bookmarkStart w:id="22" w:name="_Toc15396602"/>
      <w:bookmarkStart w:id="23" w:name="_Toc15377204"/>
      <w:bookmarkStart w:id="24" w:name="_Toc11939"/>
      <w:r>
        <w:rPr>
          <w:rFonts w:hint="eastAsia" w:ascii="楷体_GB2312" w:hAnsi="楷体_GB2312" w:eastAsia="楷体_GB2312" w:cs="楷体_GB2312"/>
          <w:spacing w:val="-6"/>
          <w:sz w:val="32"/>
          <w:szCs w:val="32"/>
        </w:rPr>
        <w:t>（一）做好2021年“文化和自然遗产日”非遗宣传展示系列活动。</w:t>
      </w:r>
      <w:r>
        <w:rPr>
          <w:rFonts w:hint="eastAsia" w:ascii="仿宋_GB2312" w:hAnsi="仿宋" w:eastAsia="仿宋_GB2312"/>
          <w:b/>
          <w:sz w:val="32"/>
          <w:szCs w:val="32"/>
        </w:rPr>
        <w:t>一是开展“百绣百年颂党恩”首届川渝非遗绣活大赛暨四川非遗主题艺术创作展示活动和“织幸福生活、绣美好未来”川渝编织刺绣非遗精品展。</w:t>
      </w:r>
      <w:r>
        <w:rPr>
          <w:rFonts w:ascii="仿宋_GB2312" w:hAnsi="仿宋" w:eastAsia="仿宋_GB2312"/>
          <w:sz w:val="32"/>
          <w:szCs w:val="32"/>
        </w:rPr>
        <w:t>此次大赛于4月初启动，征集了</w:t>
      </w:r>
      <w:r>
        <w:rPr>
          <w:rFonts w:hint="eastAsia" w:ascii="仿宋_GB2312" w:hAnsi="仿宋" w:eastAsia="仿宋_GB2312"/>
          <w:sz w:val="32"/>
          <w:szCs w:val="32"/>
        </w:rPr>
        <w:t>川渝两地29个市州（县区）共</w:t>
      </w:r>
      <w:r>
        <w:rPr>
          <w:rFonts w:ascii="仿宋_GB2312" w:hAnsi="仿宋" w:eastAsia="仿宋_GB2312"/>
          <w:sz w:val="32"/>
          <w:szCs w:val="32"/>
        </w:rPr>
        <w:t>170余件以赞颂建党百年辉煌、展示美好幸福生活为主题的作品参赛，</w:t>
      </w:r>
      <w:r>
        <w:rPr>
          <w:rFonts w:hint="eastAsia" w:ascii="仿宋_GB2312" w:hAnsi="仿宋" w:eastAsia="仿宋_GB2312" w:cs="仿宋_GB2312"/>
          <w:sz w:val="32"/>
          <w:szCs w:val="32"/>
        </w:rPr>
        <w:t>决赛评出了金奖3名，银奖5名，铜奖8名和优秀奖13名</w:t>
      </w:r>
      <w:r>
        <w:rPr>
          <w:rFonts w:ascii="仿宋_GB2312" w:hAnsi="仿宋" w:eastAsia="仿宋_GB2312" w:cs="仿宋_GB2312"/>
          <w:sz w:val="32"/>
          <w:szCs w:val="32"/>
        </w:rPr>
        <w:t>，我市麻柳刺绣绣娘王孝琴作品《国泰民安》获金奖</w:t>
      </w:r>
      <w:r>
        <w:rPr>
          <w:rFonts w:hint="eastAsia" w:ascii="仿宋_GB2312" w:hAnsi="仿宋" w:eastAsia="仿宋_GB2312" w:cs="仿宋_GB2312"/>
          <w:sz w:val="32"/>
          <w:szCs w:val="32"/>
        </w:rPr>
        <w:t>。</w:t>
      </w:r>
      <w:r>
        <w:rPr>
          <w:rFonts w:ascii="仿宋_GB2312" w:hAnsi="仿宋" w:eastAsia="仿宋_GB2312"/>
          <w:sz w:val="32"/>
          <w:szCs w:val="32"/>
        </w:rPr>
        <w:t>作为主会场活动的重头戏，由中央美术学院设计、以红军长征四川段路线及其重大事件为题材的100平米巨幅刺绣作品在</w:t>
      </w:r>
      <w:r>
        <w:rPr>
          <w:rFonts w:hint="eastAsia" w:ascii="仿宋_GB2312" w:hAnsi="仿宋" w:eastAsia="仿宋_GB2312"/>
          <w:sz w:val="32"/>
          <w:szCs w:val="32"/>
        </w:rPr>
        <w:t>启动仪式当天</w:t>
      </w:r>
      <w:r>
        <w:rPr>
          <w:rFonts w:ascii="仿宋_GB2312" w:hAnsi="仿宋" w:eastAsia="仿宋_GB2312"/>
          <w:sz w:val="32"/>
          <w:szCs w:val="32"/>
        </w:rPr>
        <w:t>现场完成作品最后的收针和展示。本幅巨型刺绣作品由川渝两地的100位绣娘历时两个多月时间完成，作品以精心的设计、恢宏的场景，展现了中国共产党百年奋斗历程中创造的人类历史上最伟大壮举。现场，百位绣娘身着盛装，用一针一线书写对党的感恩之心、崇敬之情，向中国共产党建党100周年献礼。</w:t>
      </w:r>
      <w:r>
        <w:rPr>
          <w:rFonts w:hint="eastAsia" w:ascii="仿宋_GB2312" w:hAnsi="楷体" w:eastAsia="仿宋_GB2312"/>
          <w:b/>
          <w:sz w:val="32"/>
          <w:szCs w:val="32"/>
        </w:rPr>
        <w:t>二是举行</w:t>
      </w:r>
      <w:r>
        <w:rPr>
          <w:rFonts w:ascii="仿宋_GB2312" w:hAnsi="黑体" w:eastAsia="仿宋_GB2312"/>
          <w:b/>
          <w:bCs/>
          <w:sz w:val="32"/>
          <w:szCs w:val="32"/>
        </w:rPr>
        <w:t>2021年</w:t>
      </w:r>
      <w:r>
        <w:rPr>
          <w:rFonts w:hint="eastAsia" w:ascii="仿宋_GB2312" w:hAnsi="楷体" w:eastAsia="仿宋_GB2312"/>
          <w:b/>
          <w:sz w:val="32"/>
          <w:szCs w:val="32"/>
        </w:rPr>
        <w:t>“文化和自然遗产日”四川省非遗宣传展示系列活动启动仪式。</w:t>
      </w:r>
      <w:r>
        <w:rPr>
          <w:rFonts w:hint="eastAsia" w:ascii="仿宋_GB2312" w:hAnsi="楷体" w:eastAsia="仿宋_GB2312"/>
          <w:sz w:val="32"/>
          <w:szCs w:val="32"/>
        </w:rPr>
        <w:t>6月12日，启动仪式在我市举行。</w:t>
      </w:r>
      <w:r>
        <w:rPr>
          <w:rFonts w:ascii="仿宋_GB2312" w:hAnsi="仿宋" w:eastAsia="仿宋_GB2312"/>
          <w:sz w:val="32"/>
          <w:szCs w:val="32"/>
        </w:rPr>
        <w:t>四川省文化和旅游厅副厅长赵红川，省委宣传部文化传承发展处副处长陈庆</w:t>
      </w:r>
      <w:r>
        <w:rPr>
          <w:rFonts w:hint="eastAsia" w:ascii="仿宋_GB2312" w:hAnsi="仿宋" w:eastAsia="仿宋_GB2312"/>
          <w:sz w:val="32"/>
          <w:szCs w:val="32"/>
        </w:rPr>
        <w:t>共</w:t>
      </w:r>
      <w:r>
        <w:rPr>
          <w:rFonts w:ascii="仿宋_GB2312" w:hAnsi="仿宋" w:eastAsia="仿宋_GB2312"/>
          <w:sz w:val="32"/>
          <w:szCs w:val="32"/>
        </w:rPr>
        <w:t>同启动2021年“文化和自然遗产日”四川省非遗宣传展示系列活动</w:t>
      </w:r>
      <w:r>
        <w:rPr>
          <w:rFonts w:hint="eastAsia" w:ascii="仿宋_GB2312" w:hAnsi="仿宋" w:eastAsia="仿宋_GB2312"/>
          <w:sz w:val="32"/>
          <w:szCs w:val="32"/>
        </w:rPr>
        <w:t>，</w:t>
      </w:r>
      <w:r>
        <w:rPr>
          <w:rFonts w:hint="eastAsia" w:ascii="仿宋_GB2312" w:hAnsi="仿宋_GB2312" w:eastAsia="仿宋_GB2312" w:cs="仿宋_GB2312"/>
          <w:sz w:val="32"/>
          <w:szCs w:val="32"/>
        </w:rPr>
        <w:t>拉开“文化和自然遗产日”活动序幕</w:t>
      </w:r>
      <w:r>
        <w:rPr>
          <w:rFonts w:hint="eastAsia" w:ascii="仿宋_GB2312" w:hAnsi="仿宋" w:eastAsia="仿宋_GB2312"/>
          <w:sz w:val="32"/>
          <w:szCs w:val="32"/>
        </w:rPr>
        <w:t>。</w:t>
      </w:r>
      <w:r>
        <w:rPr>
          <w:rFonts w:ascii="仿宋_GB2312" w:hAnsi="仿宋" w:eastAsia="仿宋_GB2312"/>
          <w:sz w:val="32"/>
          <w:szCs w:val="32"/>
        </w:rPr>
        <w:t>启动仪式上</w:t>
      </w:r>
      <w:r>
        <w:rPr>
          <w:rFonts w:hint="eastAsia" w:ascii="仿宋_GB2312" w:hAnsi="仿宋" w:eastAsia="仿宋_GB2312"/>
          <w:sz w:val="32"/>
          <w:szCs w:val="32"/>
        </w:rPr>
        <w:t>进行了</w:t>
      </w:r>
      <w:r>
        <w:rPr>
          <w:rFonts w:ascii="仿宋_GB2312" w:hAnsi="仿宋" w:eastAsia="仿宋_GB2312"/>
          <w:sz w:val="32"/>
          <w:szCs w:val="32"/>
        </w:rPr>
        <w:t>“百绣百年颂党恩”川渝非遗绣活大赛获奖人员颁奖</w:t>
      </w:r>
      <w:r>
        <w:rPr>
          <w:rFonts w:hint="eastAsia" w:ascii="仿宋_GB2312" w:hAnsi="仿宋" w:eastAsia="仿宋_GB2312"/>
          <w:sz w:val="32"/>
          <w:szCs w:val="32"/>
        </w:rPr>
        <w:t>，</w:t>
      </w:r>
      <w:r>
        <w:rPr>
          <w:rFonts w:ascii="仿宋_GB2312" w:hAnsi="仿宋" w:eastAsia="仿宋_GB2312"/>
          <w:sz w:val="32"/>
          <w:szCs w:val="32"/>
        </w:rPr>
        <w:t>以视频方式介绍了第二届“四川非遗购物节”、“云游四川·非遗影像展”和全省系列活动情况</w:t>
      </w:r>
      <w:r>
        <w:rPr>
          <w:rFonts w:hint="eastAsia" w:ascii="仿宋_GB2312" w:hAnsi="仿宋" w:eastAsia="仿宋_GB2312"/>
          <w:sz w:val="32"/>
          <w:szCs w:val="32"/>
        </w:rPr>
        <w:t>，举行了</w:t>
      </w:r>
      <w:r>
        <w:rPr>
          <w:rFonts w:ascii="仿宋_GB2312" w:hAnsi="仿宋" w:eastAsia="仿宋_GB2312"/>
          <w:sz w:val="32"/>
          <w:szCs w:val="32"/>
        </w:rPr>
        <w:t>四川美术学院&amp;四川省图书馆驻夹江传统工艺工作站签约仪式</w:t>
      </w:r>
      <w:r>
        <w:rPr>
          <w:rFonts w:hint="eastAsia" w:ascii="仿宋_GB2312" w:hAnsi="仿宋" w:eastAsia="仿宋_GB2312"/>
          <w:sz w:val="32"/>
          <w:szCs w:val="32"/>
        </w:rPr>
        <w:t>，同时</w:t>
      </w:r>
      <w:r>
        <w:rPr>
          <w:rFonts w:ascii="仿宋_GB2312" w:hAnsi="仿宋" w:eastAsia="仿宋_GB2312"/>
          <w:sz w:val="32"/>
          <w:szCs w:val="32"/>
        </w:rPr>
        <w:t>在川渝共建巴蜀文旅走廊的背景下，在不断深化合作的基础上，广元市与重庆市南川区签署了非遗保护战略合作协议</w:t>
      </w:r>
      <w:r>
        <w:rPr>
          <w:rFonts w:hint="eastAsia" w:ascii="仿宋_GB2312" w:hAnsi="仿宋" w:eastAsia="仿宋_GB2312"/>
          <w:sz w:val="32"/>
          <w:szCs w:val="32"/>
        </w:rPr>
        <w:t>。</w:t>
      </w:r>
      <w:r>
        <w:rPr>
          <w:rFonts w:hint="eastAsia" w:ascii="仿宋_GB2312" w:hAnsi="楷体" w:eastAsia="仿宋_GB2312"/>
          <w:b/>
          <w:sz w:val="32"/>
          <w:szCs w:val="32"/>
        </w:rPr>
        <w:t>三是举办“颂百年辉煌·承千年技艺”2021四川非遗惠民演出。</w:t>
      </w:r>
      <w:r>
        <w:rPr>
          <w:rFonts w:hint="eastAsia" w:ascii="仿宋_GB2312" w:hAnsi="仿宋" w:eastAsia="仿宋_GB2312"/>
          <w:sz w:val="32"/>
          <w:szCs w:val="32"/>
        </w:rPr>
        <w:t>为更好地让广大人民群众共享非遗保护成果，我市于6月11日晚在广元大剧院举办了“颂百年辉煌·承千年技艺”非遗惠民展演。演出以广元市非遗项目为主，精选全省藏、羌、彝、汉等各民族特色非遗项目，向广大市民和嘉宾献上了一台集传统音乐、传统舞蹈、传统戏剧等于一体、展示人民群众幸福生活的精彩节目，</w:t>
      </w:r>
      <w:r>
        <w:rPr>
          <w:rFonts w:hint="eastAsia" w:ascii="仿宋_GB2312" w:hAnsi="仿宋_GB2312" w:eastAsia="仿宋_GB2312" w:cs="仿宋_GB2312"/>
          <w:sz w:val="32"/>
          <w:szCs w:val="32"/>
        </w:rPr>
        <w:t>丰富市民精神文化生活，歌颂建党百年伟业。</w:t>
      </w:r>
      <w:r>
        <w:rPr>
          <w:rFonts w:hint="eastAsia" w:ascii="仿宋_GB2312" w:hAnsi="楷体" w:eastAsia="仿宋_GB2312"/>
          <w:b/>
          <w:sz w:val="32"/>
          <w:szCs w:val="32"/>
        </w:rPr>
        <w:t>四是结合“文化和自然遗产日”和“端午小长假”，6月12日-14日在广元昭化古城西市开展第二届四川非遗购物节线下主会场活动。</w:t>
      </w:r>
      <w:r>
        <w:rPr>
          <w:rFonts w:hint="eastAsia" w:ascii="仿宋_GB2312" w:hAnsi="楷体" w:eastAsia="仿宋_GB2312"/>
          <w:bCs/>
          <w:sz w:val="32"/>
          <w:szCs w:val="32"/>
        </w:rPr>
        <w:t>通过</w:t>
      </w:r>
      <w:r>
        <w:rPr>
          <w:rFonts w:hint="eastAsia" w:ascii="仿宋_GB2312" w:hAnsi="仿宋" w:eastAsia="仿宋_GB2312" w:cs="仿宋_GB2312"/>
          <w:spacing w:val="-10"/>
          <w:sz w:val="32"/>
          <w:szCs w:val="32"/>
        </w:rPr>
        <w:t>线上</w:t>
      </w:r>
      <w:r>
        <w:rPr>
          <w:rFonts w:hint="eastAsia" w:ascii="仿宋_GB2312" w:hAnsi="仿宋" w:eastAsia="仿宋_GB2312" w:cs="仿宋_GB2312"/>
          <w:sz w:val="32"/>
          <w:szCs w:val="32"/>
        </w:rPr>
        <w:t>线下相结合的方式，</w:t>
      </w:r>
      <w:r>
        <w:rPr>
          <w:rFonts w:hint="eastAsia" w:ascii="仿宋_GB2312" w:hAnsi="仿宋" w:eastAsia="仿宋_GB2312" w:cs="仿宋_GB2312"/>
          <w:spacing w:val="-10"/>
          <w:sz w:val="32"/>
          <w:szCs w:val="32"/>
        </w:rPr>
        <w:t>宣传推介售卖省级非遗项目唤马剪纸、七佛贡茶、木门醪糟，市级非遗项目朝天珊瑚玉雕、剑门手杖、罗氏剪纸以及县级非遗项目木门卤鸡等共20余项非遗商品。</w:t>
      </w:r>
      <w:r>
        <w:rPr>
          <w:rFonts w:hint="eastAsia" w:ascii="仿宋_GB2312" w:hAnsi="仿宋" w:eastAsia="仿宋_GB2312"/>
          <w:sz w:val="32"/>
          <w:szCs w:val="32"/>
        </w:rPr>
        <w:t>同时开展射箭提阳戏、昭化采莲船等非遗项目展演展示</w:t>
      </w:r>
      <w:r>
        <w:rPr>
          <w:rFonts w:hint="eastAsia" w:ascii="仿宋_GB2312" w:eastAsia="仿宋_GB2312"/>
          <w:sz w:val="32"/>
          <w:szCs w:val="32"/>
        </w:rPr>
        <w:t>。通过活动开展，造热“小长假”文旅市场，丰富游客的文化精神生活，为持续推动我市文旅经济高质量发展贡献非遗力量。</w:t>
      </w:r>
      <w:r>
        <w:rPr>
          <w:rFonts w:hint="eastAsia" w:ascii="仿宋_GB2312" w:hAnsi="仿宋" w:eastAsia="仿宋_GB2312"/>
          <w:sz w:val="32"/>
          <w:szCs w:val="32"/>
        </w:rPr>
        <w:t>系列活动的成功举办彰显出非物质文化遗产的社会作用与功能，增进了全社会对非遗的认识和了解，</w:t>
      </w:r>
      <w:r>
        <w:rPr>
          <w:rFonts w:hint="eastAsia" w:ascii="仿宋_GB2312" w:hAnsi="Batang" w:eastAsia="仿宋_GB2312"/>
          <w:sz w:val="32"/>
          <w:szCs w:val="32"/>
        </w:rPr>
        <w:t>唤醒对优秀传统文化的保护意识，从而带动了更多市民关心、支持和参与非物质文化遗产保护、传承和发展，在全社会营造出共同参与非遗保护的良好氛围，</w:t>
      </w:r>
      <w:r>
        <w:rPr>
          <w:rFonts w:hint="eastAsia" w:ascii="仿宋_GB2312" w:hAnsi="仿宋" w:eastAsia="仿宋_GB2312"/>
          <w:sz w:val="32"/>
          <w:szCs w:val="32"/>
        </w:rPr>
        <w:t>取得了活动预期宣传效果。本次活动受到四川省文化和旅游厅通报表扬。</w:t>
      </w:r>
    </w:p>
    <w:p>
      <w:pPr>
        <w:ind w:firstLine="480" w:firstLineChars="150"/>
        <w:rPr>
          <w:rFonts w:ascii="楷体" w:hAnsi="楷体" w:eastAsia="楷体"/>
          <w:sz w:val="32"/>
          <w:szCs w:val="32"/>
        </w:rPr>
      </w:pPr>
      <w:r>
        <w:rPr>
          <w:rFonts w:hint="eastAsia" w:ascii="楷体_GB2312" w:hAnsi="楷体_GB2312" w:eastAsia="楷体_GB2312" w:cs="楷体_GB2312"/>
          <w:sz w:val="32"/>
          <w:szCs w:val="32"/>
        </w:rPr>
        <w:t>（二）建舞台，搭载体，非遗保护深入人心。</w:t>
      </w:r>
      <w:r>
        <w:rPr>
          <w:rFonts w:hint="eastAsia" w:ascii="仿宋_GB2312" w:hAnsi="仿宋_GB2312" w:eastAsia="仿宋_GB2312" w:cs="仿宋_GB2312"/>
          <w:sz w:val="32"/>
          <w:szCs w:val="32"/>
        </w:rPr>
        <w:t>一是组织开展第八届国际非遗节广元市社区实践活动——白花石刻师带徒传承人培训班。二是常态化非遗四进活动持续开展，组织开展白花石刻社区开放、川北吟诵社区活动、川派（葭萌）古琴进校园等非遗进校园、进景区、进社区等活动5次。全年累计发放宣传册1万份，线上线下受益5万余人，推动非遗宣传保护理念深入人心。</w:t>
      </w:r>
    </w:p>
    <w:p>
      <w:pPr>
        <w:ind w:firstLine="320" w:firstLineChars="100"/>
        <w:rPr>
          <w:rFonts w:ascii="仿宋_GB2312" w:hAnsi="仿宋_GB2312" w:eastAsia="仿宋_GB2312" w:cs="仿宋_GB2312"/>
          <w:spacing w:val="-6"/>
          <w:sz w:val="32"/>
          <w:szCs w:val="32"/>
        </w:rPr>
      </w:pPr>
      <w:r>
        <w:rPr>
          <w:rFonts w:hint="eastAsia" w:ascii="楷体_GB2312" w:hAnsi="楷体_GB2312" w:eastAsia="楷体_GB2312" w:cs="楷体_GB2312"/>
          <w:sz w:val="32"/>
          <w:szCs w:val="32"/>
        </w:rPr>
        <w:t>（三）重保护，发掘新项目，着力开展非遗传承。</w:t>
      </w:r>
      <w:r>
        <w:rPr>
          <w:rFonts w:hint="eastAsia" w:ascii="仿宋_GB2312" w:hAnsi="仿宋_GB2312" w:eastAsia="仿宋_GB2312" w:cs="仿宋_GB2312"/>
          <w:sz w:val="32"/>
          <w:szCs w:val="32"/>
        </w:rPr>
        <w:t>一是通过走访调查，发掘非遗项目广元蒸凉面、广元窑陶瓷烧制技艺等，并整理相关资料，拍摄录制相关照片、音视频，成功申报第六批市级非遗项目名录。二是成功申报旺苍端公戏为第五批国家级非遗项目。三是配合市局完成第七批省级非遗代表性传承人申报工作，我市川北川北薅草锣鼓李开俊等10人成功入选。四是配合市局完成第六批市级非遗代表性传承人申报工作，现已完成专家评审环节，待报局党组讨论。</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（四）抓队伍建设，不断打造高素质的团队。</w:t>
      </w:r>
      <w:r>
        <w:rPr>
          <w:rFonts w:hint="eastAsia" w:ascii="仿宋_GB2312" w:hAnsi="仿宋_GB2312" w:eastAsia="仿宋_GB2312" w:cs="仿宋_GB2312"/>
          <w:sz w:val="32"/>
          <w:szCs w:val="32"/>
        </w:rPr>
        <w:t>指导青川川北薅草锣鼓、旺苍端公戏、旺苍棕编，剑阁羊岭童帽、朝天李家狮舞、昭化川北雷棚评书等县区非遗保护工作6次。加强非物质文化遗产人才培养，组织参加省级非遗项目保护单位负责人培训班、四川非遗新媒体传播人才培训班，组织学习研讨两办《关于进一步加强非物质文化遗产保护工作的意见》、四川省《非遗十四五规划》等非遗业务学习4次。积极完善市级非遗数据库，开展非遗申报咨询工作。</w:t>
      </w:r>
    </w:p>
    <w:p>
      <w:pPr>
        <w:ind w:firstLine="640" w:firstLineChars="200"/>
        <w:rPr>
          <w:rFonts w:ascii="仿宋_GB2312" w:hAnsi="仿宋_GB2312" w:eastAsia="仿宋_GB2312" w:cs="仿宋_GB2312"/>
          <w:spacing w:val="-6"/>
          <w:sz w:val="32"/>
          <w:szCs w:val="32"/>
        </w:rPr>
      </w:pPr>
      <w:r>
        <w:rPr>
          <w:rFonts w:hint="eastAsia" w:ascii="仿宋" w:hAnsi="仿宋" w:eastAsia="仿宋" w:cs="楷体_GB2312"/>
          <w:sz w:val="32"/>
          <w:szCs w:val="32"/>
        </w:rPr>
        <w:t>（五）积极探索川渝双城非遗保护新路径。</w:t>
      </w:r>
      <w:r>
        <w:rPr>
          <w:rFonts w:hint="eastAsia" w:ascii="仿宋" w:hAnsi="仿宋" w:eastAsia="仿宋" w:cs="仿宋_GB2312"/>
          <w:sz w:val="32"/>
          <w:szCs w:val="32"/>
        </w:rPr>
        <w:t>参加由四川省文化和旅游厅、重庆市文旅委指导，四川省非遗保护中心、重庆市非遗保护中心主办的“同根同源”川渝双城非遗保护新路径研讨会暨川渝非遗保护联盟成立大会暨第一次理事会活动。市非遗中心成为川渝非遗保护联盟第一届理事单位。促进建立川渝两地非物质文化遗产保护工作联动机制，共同打造“巴蜀”区域非遗项目和品牌，共同构建两地非物质文化遗产保护传承体系，共同推动两地非物质文化遗产保护、传承、利用和发展，增强两地群众对非遗的认同感、参与感、获得感。</w:t>
      </w:r>
    </w:p>
    <w:p>
      <w:pPr>
        <w:pStyle w:val="3"/>
        <w:ind w:right="440"/>
        <w:jc w:val="center"/>
        <w:rPr>
          <w:rFonts w:ascii="仿宋" w:hAnsi="仿宋" w:eastAsia="仿宋" w:cs="仿宋_GB2312"/>
          <w:b w:val="0"/>
          <w:sz w:val="32"/>
          <w:szCs w:val="32"/>
        </w:rPr>
      </w:pPr>
    </w:p>
    <w:p>
      <w:pPr>
        <w:pStyle w:val="3"/>
        <w:ind w:right="440"/>
        <w:jc w:val="center"/>
        <w:rPr>
          <w:rFonts w:ascii="仿宋_GB2312" w:hAnsi="仿宋_GB2312" w:eastAsia="仿宋_GB2312" w:cs="仿宋_GB2312"/>
          <w:sz w:val="32"/>
          <w:szCs w:val="32"/>
        </w:rPr>
      </w:pPr>
    </w:p>
    <w:p>
      <w:pPr>
        <w:pStyle w:val="3"/>
        <w:ind w:right="440"/>
        <w:jc w:val="center"/>
        <w:rPr>
          <w:rFonts w:ascii="仿宋_GB2312" w:hAnsi="仿宋_GB2312" w:eastAsia="仿宋_GB2312" w:cs="仿宋_GB2312"/>
          <w:sz w:val="32"/>
          <w:szCs w:val="32"/>
        </w:rPr>
      </w:pPr>
    </w:p>
    <w:p>
      <w:pPr>
        <w:pStyle w:val="3"/>
        <w:ind w:right="440"/>
        <w:jc w:val="center"/>
        <w:rPr>
          <w:rFonts w:ascii="仿宋_GB2312" w:hAnsi="仿宋_GB2312" w:eastAsia="仿宋_GB2312" w:cs="仿宋_GB2312"/>
          <w:sz w:val="32"/>
          <w:szCs w:val="32"/>
        </w:rPr>
      </w:pPr>
    </w:p>
    <w:p>
      <w:pPr>
        <w:pStyle w:val="3"/>
        <w:ind w:right="440"/>
        <w:jc w:val="center"/>
        <w:rPr>
          <w:rFonts w:ascii="仿宋_GB2312" w:hAnsi="仿宋_GB2312" w:eastAsia="仿宋_GB2312" w:cs="仿宋_GB2312"/>
          <w:sz w:val="32"/>
          <w:szCs w:val="32"/>
        </w:rPr>
      </w:pPr>
    </w:p>
    <w:p>
      <w:pPr>
        <w:pStyle w:val="3"/>
        <w:ind w:right="440"/>
        <w:jc w:val="center"/>
        <w:rPr>
          <w:rFonts w:ascii="黑体" w:hAnsi="黑体" w:eastAsia="黑体"/>
          <w:b w:val="0"/>
        </w:rPr>
      </w:pPr>
    </w:p>
    <w:p>
      <w:pPr>
        <w:pStyle w:val="3"/>
        <w:ind w:right="440"/>
        <w:jc w:val="center"/>
        <w:rPr>
          <w:rFonts w:ascii="黑体" w:hAnsi="黑体" w:eastAsia="黑体"/>
          <w:b w:val="0"/>
        </w:rPr>
      </w:pPr>
    </w:p>
    <w:p>
      <w:pPr>
        <w:pStyle w:val="3"/>
        <w:ind w:right="440"/>
        <w:jc w:val="center"/>
        <w:rPr>
          <w:rFonts w:ascii="黑体" w:hAnsi="黑体" w:eastAsia="黑体"/>
          <w:b w:val="0"/>
        </w:rPr>
      </w:pPr>
    </w:p>
    <w:p>
      <w:pPr>
        <w:pStyle w:val="3"/>
        <w:ind w:right="440"/>
        <w:jc w:val="center"/>
        <w:rPr>
          <w:rFonts w:ascii="黑体" w:hAnsi="黑体" w:eastAsia="黑体"/>
          <w:b w:val="0"/>
        </w:rPr>
      </w:pPr>
    </w:p>
    <w:p>
      <w:pPr>
        <w:pStyle w:val="3"/>
        <w:ind w:right="440"/>
        <w:rPr>
          <w:rFonts w:ascii="黑体" w:hAnsi="黑体" w:eastAsia="黑体"/>
          <w:b w:val="0"/>
        </w:rPr>
      </w:pPr>
    </w:p>
    <w:p>
      <w:pPr>
        <w:rPr>
          <w:rFonts w:ascii="黑体" w:hAnsi="黑体" w:eastAsia="黑体"/>
        </w:rPr>
      </w:pPr>
    </w:p>
    <w:p>
      <w:pPr>
        <w:pStyle w:val="2"/>
        <w:spacing w:before="93" w:beforeLines="0"/>
      </w:pPr>
    </w:p>
    <w:p>
      <w:pPr>
        <w:pStyle w:val="3"/>
        <w:ind w:right="440"/>
        <w:jc w:val="center"/>
        <w:rPr>
          <w:rStyle w:val="16"/>
          <w:rFonts w:ascii="黑体" w:hAnsi="黑体" w:eastAsia="黑体"/>
          <w:b w:val="0"/>
          <w:bCs/>
        </w:rPr>
      </w:pPr>
      <w:r>
        <w:rPr>
          <w:rFonts w:hint="eastAsia" w:ascii="黑体" w:hAnsi="黑体" w:eastAsia="黑体"/>
          <w:b w:val="0"/>
        </w:rPr>
        <w:t>第二部分 2021年度</w:t>
      </w:r>
      <w:r>
        <w:rPr>
          <w:rStyle w:val="16"/>
          <w:rFonts w:hint="eastAsia" w:ascii="黑体" w:hAnsi="黑体" w:eastAsia="黑体"/>
          <w:b w:val="0"/>
          <w:bCs/>
        </w:rPr>
        <w:t>单位决算情况说明</w:t>
      </w:r>
      <w:bookmarkEnd w:id="22"/>
      <w:bookmarkEnd w:id="23"/>
      <w:bookmarkEnd w:id="24"/>
    </w:p>
    <w:p/>
    <w:p>
      <w:pPr>
        <w:pStyle w:val="22"/>
        <w:numPr>
          <w:ilvl w:val="0"/>
          <w:numId w:val="1"/>
        </w:numPr>
        <w:spacing w:line="600" w:lineRule="exact"/>
        <w:ind w:firstLineChars="0"/>
        <w:outlineLvl w:val="1"/>
        <w:rPr>
          <w:rStyle w:val="17"/>
          <w:rFonts w:ascii="黑体" w:hAnsi="黑体" w:eastAsia="黑体"/>
          <w:b w:val="0"/>
        </w:rPr>
      </w:pPr>
      <w:bookmarkStart w:id="25" w:name="_Toc15377205"/>
      <w:bookmarkStart w:id="26" w:name="_Toc32418"/>
      <w:bookmarkStart w:id="27" w:name="_Toc15396603"/>
      <w:r>
        <w:rPr>
          <w:rFonts w:hint="eastAsia" w:ascii="黑体" w:hAnsi="黑体" w:eastAsia="黑体"/>
          <w:sz w:val="32"/>
          <w:szCs w:val="32"/>
        </w:rPr>
        <w:t>收</w:t>
      </w:r>
      <w:r>
        <w:rPr>
          <w:rStyle w:val="17"/>
          <w:rFonts w:hint="eastAsia" w:ascii="黑体" w:hAnsi="黑体" w:eastAsia="黑体"/>
          <w:b w:val="0"/>
        </w:rPr>
        <w:t>入支出决算总体情况说明</w:t>
      </w:r>
      <w:bookmarkEnd w:id="25"/>
      <w:bookmarkEnd w:id="26"/>
      <w:bookmarkEnd w:id="27"/>
    </w:p>
    <w:p>
      <w:pPr>
        <w:pStyle w:val="2"/>
        <w:spacing w:before="93" w:beforeLines="0"/>
        <w:ind w:firstLine="640" w:firstLineChars="200"/>
      </w:pPr>
      <w:r>
        <w:rPr>
          <w:rFonts w:hint="eastAsia" w:ascii="仿宋" w:hAnsi="仿宋" w:eastAsia="仿宋"/>
          <w:kern w:val="2"/>
          <w:sz w:val="32"/>
          <w:szCs w:val="32"/>
        </w:rPr>
        <w:t>2021年度收、支总计326.39万元。与2020年相比，收、支总计增加150.88万元，上升85.97%。主要变动原因是增加民间绣活（麻柳刺绣）及2021年“文化和自然遗产日”项目，人员经费增加，项目经费收支增加。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
        <w:spacing w:before="93" w:beforeLines="0"/>
        <w:rPr>
          <w:sz w:val="32"/>
          <w:szCs w:val="32"/>
        </w:rPr>
      </w:pPr>
      <w:r>
        <w:drawing>
          <wp:anchor distT="0" distB="0" distL="114300" distR="114300" simplePos="0" relativeHeight="1024" behindDoc="0" locked="0" layoutInCell="1" allowOverlap="1">
            <wp:simplePos x="0" y="0"/>
            <wp:positionH relativeFrom="column">
              <wp:posOffset>0</wp:posOffset>
            </wp:positionH>
            <wp:positionV relativeFrom="paragraph">
              <wp:posOffset>96520</wp:posOffset>
            </wp:positionV>
            <wp:extent cx="5274310" cy="3076575"/>
            <wp:effectExtent l="0" t="0" r="0" b="0"/>
            <wp:wrapTopAndBottom/>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2"/>
        <w:numPr>
          <w:ilvl w:val="0"/>
          <w:numId w:val="1"/>
        </w:numPr>
        <w:spacing w:line="600" w:lineRule="exact"/>
        <w:ind w:firstLineChars="0"/>
        <w:outlineLvl w:val="1"/>
        <w:rPr>
          <w:rStyle w:val="17"/>
          <w:rFonts w:ascii="黑体" w:hAnsi="黑体" w:eastAsia="黑体"/>
          <w:b w:val="0"/>
        </w:rPr>
      </w:pPr>
      <w:bookmarkStart w:id="28" w:name="_Toc15396604"/>
      <w:bookmarkStart w:id="29" w:name="_Toc7041"/>
      <w:bookmarkStart w:id="30" w:name="_Toc15377206"/>
      <w:r>
        <w:rPr>
          <w:rFonts w:hint="eastAsia" w:ascii="黑体" w:hAnsi="黑体" w:eastAsia="黑体"/>
          <w:sz w:val="32"/>
          <w:szCs w:val="32"/>
        </w:rPr>
        <w:t>收</w:t>
      </w:r>
      <w:r>
        <w:rPr>
          <w:rStyle w:val="17"/>
          <w:rFonts w:hint="eastAsia" w:ascii="黑体" w:hAnsi="黑体" w:eastAsia="黑体"/>
          <w:b w:val="0"/>
        </w:rPr>
        <w:t>入决算情况说明</w:t>
      </w:r>
      <w:bookmarkEnd w:id="28"/>
      <w:bookmarkEnd w:id="29"/>
      <w:bookmarkEnd w:id="30"/>
    </w:p>
    <w:p>
      <w:pPr>
        <w:spacing w:line="600" w:lineRule="exact"/>
        <w:ind w:firstLine="640" w:firstLineChars="200"/>
        <w:outlineLvl w:val="1"/>
        <w:rPr>
          <w:rFonts w:ascii="仿宋" w:hAnsi="仿宋" w:eastAsia="仿宋"/>
          <w:sz w:val="32"/>
          <w:szCs w:val="32"/>
        </w:rPr>
      </w:pPr>
      <w:bookmarkStart w:id="31" w:name="_Toc10365"/>
      <w:r>
        <w:rPr>
          <w:rFonts w:hint="eastAsia" w:ascii="仿宋" w:hAnsi="仿宋" w:eastAsia="仿宋"/>
          <w:sz w:val="32"/>
          <w:szCs w:val="32"/>
        </w:rPr>
        <w:t>2021年本年收入合计256.40万元，其中：一般公共预算财政拨款收入256.37万元，占99.99%；其他收入0.03万元，占0.01%。。</w:t>
      </w:r>
      <w:bookmarkEnd w:id="31"/>
    </w:p>
    <w:p>
      <w:pPr>
        <w:spacing w:line="600" w:lineRule="exact"/>
        <w:ind w:firstLine="640" w:firstLineChars="200"/>
      </w:pPr>
      <w:r>
        <w:rPr>
          <w:rFonts w:ascii="仿宋_GB2312" w:eastAsia="仿宋_GB2312"/>
          <w:color w:val="FF0000"/>
          <w:sz w:val="32"/>
          <w:szCs w:val="32"/>
        </w:rPr>
        <w:drawing>
          <wp:anchor distT="0" distB="0" distL="114300" distR="114300" simplePos="0" relativeHeight="1024" behindDoc="0" locked="0" layoutInCell="1" allowOverlap="1">
            <wp:simplePos x="0" y="0"/>
            <wp:positionH relativeFrom="column">
              <wp:posOffset>485775</wp:posOffset>
            </wp:positionH>
            <wp:positionV relativeFrom="paragraph">
              <wp:posOffset>457200</wp:posOffset>
            </wp:positionV>
            <wp:extent cx="4305300" cy="2428875"/>
            <wp:effectExtent l="0" t="0" r="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p>
    <w:p>
      <w:pPr>
        <w:pStyle w:val="22"/>
        <w:numPr>
          <w:ilvl w:val="0"/>
          <w:numId w:val="1"/>
        </w:numPr>
        <w:spacing w:line="600" w:lineRule="exact"/>
        <w:ind w:firstLineChars="0"/>
        <w:outlineLvl w:val="1"/>
        <w:rPr>
          <w:rStyle w:val="17"/>
          <w:rFonts w:ascii="黑体" w:hAnsi="黑体" w:eastAsia="黑体"/>
          <w:b w:val="0"/>
        </w:rPr>
      </w:pPr>
      <w:bookmarkStart w:id="32" w:name="_Toc15377207"/>
      <w:bookmarkStart w:id="33" w:name="_Toc223"/>
      <w:bookmarkStart w:id="34" w:name="_Toc15396605"/>
      <w:r>
        <w:rPr>
          <w:rFonts w:hint="eastAsia" w:ascii="黑体" w:hAnsi="黑体" w:eastAsia="黑体"/>
          <w:sz w:val="32"/>
          <w:szCs w:val="32"/>
        </w:rPr>
        <w:t>支</w:t>
      </w:r>
      <w:r>
        <w:rPr>
          <w:rStyle w:val="17"/>
          <w:rFonts w:hint="eastAsia" w:ascii="黑体" w:hAnsi="黑体" w:eastAsia="黑体"/>
          <w:b w:val="0"/>
        </w:rPr>
        <w:t>出决算情况说明</w:t>
      </w:r>
      <w:bookmarkEnd w:id="32"/>
      <w:bookmarkEnd w:id="33"/>
      <w:bookmarkEnd w:id="34"/>
    </w:p>
    <w:p>
      <w:pPr>
        <w:spacing w:line="600" w:lineRule="exact"/>
        <w:ind w:firstLine="640" w:firstLineChars="200"/>
        <w:outlineLvl w:val="1"/>
        <w:rPr>
          <w:rFonts w:ascii="仿宋" w:hAnsi="仿宋" w:eastAsia="仿宋"/>
          <w:sz w:val="32"/>
          <w:szCs w:val="32"/>
          <w:shd w:val="pct10" w:color="auto" w:fill="FFFFFF"/>
        </w:rPr>
      </w:pPr>
      <w:bookmarkStart w:id="35" w:name="_Toc11369"/>
      <w:r>
        <w:rPr>
          <w:rFonts w:hint="eastAsia" w:ascii="仿宋" w:hAnsi="仿宋" w:eastAsia="仿宋"/>
          <w:sz w:val="32"/>
          <w:szCs w:val="32"/>
        </w:rPr>
        <w:t>2021年本年支出合计314.49万元，其中：基本支出87.62万元，占27.86%；项目支出226.87万元，占72.14%。</w:t>
      </w:r>
      <w:bookmarkEnd w:id="35"/>
    </w:p>
    <w:p>
      <w:pPr>
        <w:spacing w:line="600" w:lineRule="exact"/>
        <w:ind w:firstLine="640" w:firstLineChars="200"/>
        <w:rPr>
          <w:rFonts w:ascii="仿宋" w:hAnsi="仿宋" w:eastAsia="仿宋"/>
          <w:sz w:val="32"/>
          <w:szCs w:val="32"/>
        </w:rPr>
      </w:pPr>
      <w:r>
        <w:rPr>
          <w:rFonts w:ascii="仿宋_GB2312" w:eastAsia="仿宋_GB2312"/>
          <w:color w:val="FF0000"/>
          <w:sz w:val="32"/>
          <w:szCs w:val="32"/>
        </w:rPr>
        <w:drawing>
          <wp:anchor distT="0" distB="0" distL="114300" distR="114300" simplePos="0" relativeHeight="1024" behindDoc="0" locked="0" layoutInCell="1" allowOverlap="1">
            <wp:simplePos x="0" y="0"/>
            <wp:positionH relativeFrom="column">
              <wp:posOffset>485775</wp:posOffset>
            </wp:positionH>
            <wp:positionV relativeFrom="paragraph">
              <wp:posOffset>447675</wp:posOffset>
            </wp:positionV>
            <wp:extent cx="3810000" cy="2162175"/>
            <wp:effectExtent l="0" t="0" r="0" b="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sz w:val="32"/>
          <w:szCs w:val="32"/>
        </w:rPr>
        <w:t>（图3：支出决算结构图）</w:t>
      </w:r>
    </w:p>
    <w:p>
      <w:pPr>
        <w:pStyle w:val="2"/>
        <w:spacing w:before="93" w:beforeLines="0"/>
        <w:rPr>
          <w:sz w:val="32"/>
          <w:szCs w:val="32"/>
        </w:rPr>
      </w:pPr>
    </w:p>
    <w:p>
      <w:pPr>
        <w:spacing w:line="600" w:lineRule="exact"/>
        <w:ind w:firstLine="640" w:firstLineChars="200"/>
        <w:outlineLvl w:val="1"/>
        <w:rPr>
          <w:rStyle w:val="17"/>
          <w:rFonts w:ascii="黑体" w:hAnsi="黑体" w:eastAsia="黑体"/>
          <w:b w:val="0"/>
        </w:rPr>
      </w:pPr>
      <w:bookmarkStart w:id="36" w:name="_Toc4645"/>
      <w:bookmarkStart w:id="37" w:name="_Toc15396606"/>
      <w:bookmarkStart w:id="38" w:name="_Toc15377208"/>
      <w:r>
        <w:rPr>
          <w:rFonts w:hint="eastAsia" w:ascii="黑体" w:hAnsi="黑体" w:eastAsia="黑体"/>
          <w:sz w:val="32"/>
          <w:szCs w:val="32"/>
        </w:rPr>
        <w:t>四、财</w:t>
      </w:r>
      <w:r>
        <w:rPr>
          <w:rStyle w:val="17"/>
          <w:rFonts w:hint="eastAsia" w:ascii="黑体" w:hAnsi="黑体" w:eastAsia="黑体"/>
          <w:b w:val="0"/>
        </w:rPr>
        <w:t>政拨款收入支出决算总体情况说明</w:t>
      </w:r>
      <w:bookmarkEnd w:id="36"/>
      <w:bookmarkEnd w:id="37"/>
      <w:bookmarkEnd w:id="38"/>
    </w:p>
    <w:p>
      <w:pPr>
        <w:spacing w:line="600" w:lineRule="exact"/>
        <w:ind w:firstLine="640"/>
        <w:rPr>
          <w:rFonts w:ascii="仿宋" w:hAnsi="仿宋" w:eastAsia="仿宋"/>
          <w:sz w:val="32"/>
          <w:szCs w:val="32"/>
        </w:rPr>
      </w:pPr>
      <w:r>
        <w:rPr>
          <w:rFonts w:hint="eastAsia" w:ascii="仿宋" w:hAnsi="仿宋" w:eastAsia="仿宋"/>
          <w:sz w:val="32"/>
          <w:szCs w:val="32"/>
        </w:rPr>
        <w:t>2021年财政拨款收、支总计335.39万元。与2020年相比，财政拨款收、支总计增加175.51万元，上升159.88%。主要变动原因是项目增加，人员经费增加。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pPr>
        <w:pStyle w:val="2"/>
        <w:spacing w:before="93" w:beforeLines="0"/>
        <w:rPr>
          <w:rFonts w:ascii="仿宋" w:hAnsi="仿宋" w:eastAsia="仿宋"/>
          <w:b/>
          <w:sz w:val="32"/>
          <w:szCs w:val="32"/>
        </w:rPr>
      </w:pPr>
      <w:r>
        <w:rPr>
          <w:rFonts w:hint="eastAsia" w:ascii="仿宋" w:hAnsi="仿宋" w:eastAsia="仿宋"/>
          <w:color w:val="000000"/>
          <w:sz w:val="32"/>
          <w:szCs w:val="32"/>
        </w:rPr>
        <w:drawing>
          <wp:anchor distT="0" distB="0" distL="114300" distR="114300" simplePos="0" relativeHeight="1024" behindDoc="0" locked="0" layoutInCell="1" allowOverlap="1">
            <wp:simplePos x="0" y="0"/>
            <wp:positionH relativeFrom="column">
              <wp:posOffset>0</wp:posOffset>
            </wp:positionH>
            <wp:positionV relativeFrom="paragraph">
              <wp:posOffset>104775</wp:posOffset>
            </wp:positionV>
            <wp:extent cx="5274310" cy="3076575"/>
            <wp:effectExtent l="0" t="0" r="0" b="0"/>
            <wp:wrapTopAndBottom/>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Style w:val="17"/>
          <w:rFonts w:ascii="黑体" w:hAnsi="黑体" w:eastAsia="黑体"/>
          <w:b w:val="0"/>
        </w:rPr>
      </w:pPr>
      <w:bookmarkStart w:id="39" w:name="_Toc15443"/>
      <w:bookmarkStart w:id="40" w:name="_Toc15377209"/>
      <w:bookmarkStart w:id="41" w:name="_Toc15396607"/>
      <w:r>
        <w:rPr>
          <w:rFonts w:hint="eastAsia" w:ascii="黑体" w:hAnsi="黑体" w:eastAsia="黑体"/>
          <w:sz w:val="32"/>
          <w:szCs w:val="32"/>
        </w:rPr>
        <w:t>五、</w:t>
      </w:r>
      <w:r>
        <w:rPr>
          <w:rFonts w:hint="eastAsia" w:ascii="黑体" w:hAnsi="黑体" w:eastAsia="黑体"/>
          <w:b/>
          <w:sz w:val="32"/>
          <w:szCs w:val="32"/>
        </w:rPr>
        <w:t>一</w:t>
      </w:r>
      <w:r>
        <w:rPr>
          <w:rStyle w:val="17"/>
          <w:rFonts w:hint="eastAsia" w:ascii="黑体" w:hAnsi="黑体" w:eastAsia="黑体"/>
          <w:b w:val="0"/>
        </w:rPr>
        <w:t>般公共预算财政拨款支出决算情况说明</w:t>
      </w:r>
      <w:bookmarkEnd w:id="39"/>
      <w:bookmarkEnd w:id="40"/>
      <w:bookmarkEnd w:id="41"/>
    </w:p>
    <w:p>
      <w:pPr>
        <w:spacing w:line="600" w:lineRule="exact"/>
        <w:ind w:firstLine="642" w:firstLineChars="200"/>
        <w:outlineLvl w:val="2"/>
        <w:rPr>
          <w:rFonts w:ascii="仿宋" w:hAnsi="仿宋" w:eastAsia="仿宋"/>
          <w:b/>
          <w:sz w:val="32"/>
          <w:szCs w:val="32"/>
        </w:rPr>
      </w:pPr>
      <w:bookmarkStart w:id="42" w:name="_Toc15377210"/>
      <w:r>
        <w:rPr>
          <w:rFonts w:hint="eastAsia" w:ascii="仿宋" w:hAnsi="仿宋" w:eastAsia="仿宋"/>
          <w:b/>
          <w:sz w:val="32"/>
          <w:szCs w:val="32"/>
        </w:rPr>
        <w:t>（一）一般公共预算财政拨款支出决算总体情况</w:t>
      </w:r>
      <w:bookmarkEnd w:id="4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1年一般公共预算财政拨款支出314.46万元，占本年支出合计的</w:t>
      </w:r>
      <w:r>
        <w:rPr>
          <w:rFonts w:ascii="仿宋" w:hAnsi="仿宋" w:eastAsia="仿宋"/>
          <w:color w:val="000000"/>
          <w:sz w:val="32"/>
          <w:szCs w:val="32"/>
        </w:rPr>
        <w:t>99.99%</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20年相比，一般公共预算财政拨款增加209.04万元，上升198.27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hAnsi="仿宋" w:eastAsia="仿宋_GB2312"/>
          <w:color w:val="000000"/>
          <w:sz w:val="32"/>
          <w:szCs w:val="32"/>
        </w:rPr>
        <w:t>主要变动原因是项目增加，人员经费增加，</w:t>
      </w:r>
      <w:r>
        <w:rPr>
          <w:rFonts w:ascii="仿宋" w:hAnsi="仿宋" w:eastAsia="仿宋"/>
          <w:color w:val="000000"/>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r>
        <w:rPr>
          <w:rFonts w:hint="eastAsia" w:ascii="仿宋" w:hAnsi="仿宋" w:eastAsia="仿宋"/>
          <w:color w:val="000000"/>
          <w:sz w:val="32"/>
          <w:szCs w:val="32"/>
        </w:rPr>
        <w:drawing>
          <wp:anchor distT="0" distB="0" distL="114300" distR="114300" simplePos="0" relativeHeight="1024" behindDoc="0" locked="0" layoutInCell="1" allowOverlap="1">
            <wp:simplePos x="0" y="0"/>
            <wp:positionH relativeFrom="column">
              <wp:posOffset>0</wp:posOffset>
            </wp:positionH>
            <wp:positionV relativeFrom="paragraph">
              <wp:posOffset>381000</wp:posOffset>
            </wp:positionV>
            <wp:extent cx="5274310" cy="2543175"/>
            <wp:effectExtent l="0" t="0" r="0" b="0"/>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spacing w:before="93" w:beforeLines="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43" w:name="_Toc15377211"/>
      <w:r>
        <w:rPr>
          <w:rFonts w:hint="eastAsia" w:ascii="仿宋" w:hAnsi="仿宋" w:eastAsia="仿宋"/>
          <w:b/>
          <w:sz w:val="32"/>
          <w:szCs w:val="32"/>
        </w:rPr>
        <w:t>（二）一般公共预算财政拨款支出决算结构情况</w:t>
      </w:r>
      <w:bookmarkEnd w:id="43"/>
    </w:p>
    <w:p>
      <w:pPr>
        <w:spacing w:line="600" w:lineRule="exact"/>
        <w:ind w:firstLine="640"/>
        <w:rPr>
          <w:rFonts w:ascii="仿宋" w:hAnsi="仿宋" w:eastAsia="仿宋"/>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1年一般公共预算财政拨款支出314.46万元，主要用于以下方面</w:t>
      </w:r>
      <w:r>
        <w:rPr>
          <w:rFonts w:ascii="仿宋" w:hAnsi="仿宋" w:eastAsia="仿宋"/>
          <w:color w:val="000000"/>
          <w:sz w:val="32"/>
          <w:szCs w:val="32"/>
        </w:rPr>
        <w:t>:</w:t>
      </w:r>
      <w:r>
        <w:rPr>
          <w:rFonts w:hint="eastAsia" w:ascii="仿宋" w:hAnsi="仿宋" w:eastAsia="仿宋"/>
          <w:b/>
          <w:bCs/>
          <w:color w:val="000000"/>
          <w:sz w:val="32"/>
          <w:szCs w:val="32"/>
        </w:rPr>
        <w:t>文化旅游体育与传媒（类）支出296.44万元，占94.26</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支出6.81万元，占2.17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3.55万元，占1.13</w:t>
      </w:r>
      <w:r>
        <w:rPr>
          <w:rFonts w:ascii="仿宋" w:hAnsi="仿宋" w:eastAsia="仿宋"/>
          <w:color w:val="000000"/>
          <w:sz w:val="32"/>
          <w:szCs w:val="32"/>
        </w:rPr>
        <w:t>%</w:t>
      </w:r>
      <w:r>
        <w:rPr>
          <w:rFonts w:hint="eastAsia" w:ascii="仿宋" w:hAnsi="仿宋" w:eastAsia="仿宋"/>
          <w:color w:val="000000"/>
          <w:sz w:val="32"/>
          <w:szCs w:val="32"/>
        </w:rPr>
        <w:t>；住房保障支出7.67万元，占2.44</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color w:val="000000"/>
          <w:sz w:val="32"/>
          <w:szCs w:val="32"/>
        </w:rPr>
        <w:drawing>
          <wp:anchor distT="0" distB="0" distL="114300" distR="114300" simplePos="0" relativeHeight="1024" behindDoc="0" locked="0" layoutInCell="1" allowOverlap="1">
            <wp:simplePos x="0" y="0"/>
            <wp:positionH relativeFrom="column">
              <wp:posOffset>552450</wp:posOffset>
            </wp:positionH>
            <wp:positionV relativeFrom="paragraph">
              <wp:posOffset>464185</wp:posOffset>
            </wp:positionV>
            <wp:extent cx="4572000" cy="2362200"/>
            <wp:effectExtent l="0" t="0" r="0" b="0"/>
            <wp:wrapTopAndBottom/>
            <wp:docPr id="6"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（图6：一般公共预算财政拨款支出决算结构）</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44" w:name="_Toc15377212"/>
      <w:r>
        <w:rPr>
          <w:rFonts w:hint="eastAsia" w:ascii="仿宋" w:hAnsi="仿宋" w:eastAsia="仿宋"/>
          <w:b/>
          <w:sz w:val="32"/>
          <w:szCs w:val="32"/>
        </w:rPr>
        <w:t>（三）一般公共预算财政拨款支出决算具体情况</w:t>
      </w:r>
      <w:bookmarkEnd w:id="44"/>
    </w:p>
    <w:p>
      <w:pPr>
        <w:spacing w:line="600" w:lineRule="exact"/>
        <w:ind w:firstLine="642" w:firstLineChars="200"/>
        <w:outlineLvl w:val="1"/>
        <w:rPr>
          <w:rFonts w:ascii="仿宋" w:hAnsi="仿宋" w:eastAsia="仿宋"/>
          <w:color w:val="FF0000"/>
          <w:sz w:val="32"/>
          <w:szCs w:val="32"/>
        </w:rPr>
      </w:pPr>
      <w:bookmarkStart w:id="45" w:name="_Toc15377213"/>
      <w:bookmarkStart w:id="46" w:name="_Toc82428554"/>
      <w:bookmarkStart w:id="47" w:name="_Toc15377444"/>
      <w:bookmarkStart w:id="48" w:name="_Toc11863"/>
      <w:bookmarkStart w:id="49" w:name="_Toc15378460"/>
      <w:r>
        <w:rPr>
          <w:rFonts w:ascii="仿宋" w:hAnsi="仿宋" w:eastAsia="仿宋"/>
          <w:b/>
          <w:color w:val="000000"/>
          <w:sz w:val="32"/>
          <w:szCs w:val="32"/>
        </w:rPr>
        <w:t>202</w:t>
      </w:r>
      <w:r>
        <w:rPr>
          <w:rFonts w:hint="eastAsia" w:ascii="仿宋" w:hAnsi="仿宋" w:eastAsia="仿宋"/>
          <w:b/>
          <w:color w:val="000000"/>
          <w:sz w:val="32"/>
          <w:szCs w:val="32"/>
        </w:rPr>
        <w:t>1年一般公共预算支出决算数为314.46万元</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完成预算96.35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45"/>
      <w:bookmarkEnd w:id="46"/>
      <w:bookmarkEnd w:id="47"/>
      <w:bookmarkEnd w:id="48"/>
      <w:bookmarkEnd w:id="49"/>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 xml:space="preserve"> 1.文化旅游体育与传媒（类）文化和旅游（款）</w:t>
      </w:r>
      <w:r>
        <w:rPr>
          <w:rStyle w:val="14"/>
          <w:rFonts w:hint="eastAsia" w:hAnsi="仿宋" w:eastAsia="仿宋"/>
          <w:bCs/>
          <w:color w:val="000000"/>
          <w:sz w:val="32"/>
          <w:szCs w:val="32"/>
        </w:rPr>
        <w:t>文物创作与保护</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支出决算为296.44万元，完成预算96.14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，决算数小于预算数的主要原因是非遗传承保护及数据库建设经费项目未验收，尾款未付。</w:t>
      </w:r>
      <w:r>
        <w:rPr>
          <w:rStyle w:val="14"/>
          <w:rFonts w:hint="eastAsia" w:ascii="仿宋" w:hAnsi="仿宋" w:eastAsia="仿宋"/>
          <w:bCs/>
          <w:color w:val="000000"/>
          <w:sz w:val="32"/>
          <w:szCs w:val="32"/>
        </w:rPr>
        <w:t xml:space="preserve"> </w:t>
      </w:r>
    </w:p>
    <w:p>
      <w:pPr>
        <w:spacing w:line="600" w:lineRule="exact"/>
        <w:ind w:firstLine="642" w:firstLineChars="200"/>
        <w:rPr>
          <w:rStyle w:val="14"/>
          <w:rFonts w:ascii="仿宋" w:hAnsi="仿宋" w:eastAsia="仿宋"/>
          <w:bCs/>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社会保障和就业（类）行政事业单位养老支出（款）机关事业单位基本养老保险缴费支出（项）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支出决算为6.81万元，完成预算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，决算数与预算数持平。</w:t>
      </w:r>
    </w:p>
    <w:p>
      <w:pPr>
        <w:spacing w:line="600" w:lineRule="exact"/>
        <w:ind w:firstLine="642" w:firstLineChars="200"/>
        <w:rPr>
          <w:rStyle w:val="14"/>
          <w:rFonts w:ascii="仿宋" w:hAnsi="仿宋" w:eastAsia="仿宋"/>
          <w:bCs/>
          <w:color w:val="000000"/>
          <w:sz w:val="32"/>
          <w:szCs w:val="32"/>
        </w:rPr>
      </w:pPr>
      <w:r>
        <w:rPr>
          <w:rStyle w:val="14"/>
          <w:rFonts w:ascii="仿宋" w:hAnsi="仿宋" w:eastAsia="仿宋"/>
          <w:bCs/>
          <w:color w:val="000000"/>
          <w:sz w:val="32"/>
          <w:szCs w:val="32"/>
        </w:rPr>
        <w:t>3.</w:t>
      </w:r>
      <w:r>
        <w:rPr>
          <w:rFonts w:hint="eastAsia" w:ascii="仿宋" w:hAnsi="仿宋" w:eastAsia="仿宋"/>
          <w:b/>
          <w:bCs/>
          <w:color w:val="000000"/>
          <w:sz w:val="32"/>
          <w:szCs w:val="32"/>
        </w:rPr>
        <w:t>卫生健康支出（类）行政事业单位医疗（款）事业单位医疗（项）:</w:t>
      </w:r>
      <w:r>
        <w:rPr>
          <w:rFonts w:hint="eastAsia" w:ascii="仿宋" w:hAnsi="仿宋" w:eastAsia="仿宋"/>
          <w:color w:val="000000"/>
          <w:sz w:val="32"/>
          <w:szCs w:val="32"/>
        </w:rPr>
        <w:t>支出决算为3.55万元，完成预算100%，决算数与预算数持平。</w:t>
      </w:r>
    </w:p>
    <w:p>
      <w:pPr>
        <w:spacing w:line="600" w:lineRule="exact"/>
        <w:ind w:firstLine="642" w:firstLineChars="200"/>
        <w:rPr>
          <w:rFonts w:ascii="仿宋" w:hAnsi="仿宋" w:eastAsia="仿宋"/>
          <w:b/>
          <w:color w:val="000000"/>
          <w:sz w:val="32"/>
          <w:szCs w:val="32"/>
        </w:rPr>
      </w:pPr>
      <w:r>
        <w:rPr>
          <w:rFonts w:ascii="仿宋" w:hAnsi="仿宋" w:eastAsia="仿宋"/>
          <w:b/>
          <w:color w:val="000000"/>
          <w:sz w:val="32"/>
          <w:szCs w:val="32"/>
        </w:rPr>
        <w:t>4</w:t>
      </w:r>
      <w:r>
        <w:rPr>
          <w:rFonts w:hint="eastAsia" w:ascii="仿宋" w:hAnsi="仿宋" w:eastAsia="仿宋"/>
          <w:b/>
          <w:color w:val="000000"/>
          <w:sz w:val="32"/>
          <w:szCs w:val="32"/>
        </w:rPr>
        <w:t>.住房保障（类）住房改革支出（款）住房公积金（项）:</w:t>
      </w:r>
      <w:r>
        <w:rPr>
          <w:rFonts w:hint="eastAsia" w:ascii="仿宋" w:hAnsi="仿宋" w:eastAsia="仿宋"/>
          <w:bCs/>
          <w:color w:val="000000"/>
          <w:sz w:val="32"/>
          <w:szCs w:val="32"/>
        </w:rPr>
        <w:t>支出决算为7.67万元，完成预算100%</w:t>
      </w:r>
      <w:r>
        <w:rPr>
          <w:rFonts w:hint="eastAsia" w:ascii="仿宋" w:hAnsi="仿宋" w:eastAsia="仿宋"/>
          <w:color w:val="000000"/>
          <w:sz w:val="32"/>
          <w:szCs w:val="32"/>
        </w:rPr>
        <w:t>，决算数与预算数持平。</w:t>
      </w:r>
    </w:p>
    <w:p>
      <w:pPr>
        <w:tabs>
          <w:tab w:val="right" w:pos="8306"/>
        </w:tabs>
        <w:spacing w:line="600" w:lineRule="exact"/>
        <w:ind w:firstLine="640"/>
        <w:outlineLvl w:val="1"/>
        <w:rPr>
          <w:rStyle w:val="17"/>
        </w:rPr>
      </w:pPr>
      <w:bookmarkStart w:id="50" w:name="_Toc15377214"/>
      <w:bookmarkStart w:id="51" w:name="_Toc15396608"/>
      <w:bookmarkStart w:id="52" w:name="_Toc16020"/>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7"/>
          <w:rFonts w:hint="eastAsia" w:ascii="黑体" w:hAnsi="黑体" w:eastAsia="黑体"/>
          <w:b w:val="0"/>
        </w:rPr>
        <w:t>般公共预算财政拨款基本支出决算情况说明</w:t>
      </w:r>
      <w:bookmarkEnd w:id="50"/>
      <w:bookmarkEnd w:id="51"/>
      <w:bookmarkEnd w:id="52"/>
      <w:r>
        <w:rPr>
          <w:rStyle w:val="1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1年一般公共预算财政拨款基本支出314.46万元，其中：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人员经费81.59万元，主要包括：基本工资、津贴补贴、绩效工资、机关事业单位基本养老保险缴费、职工基本医疗保险缴费、其他社会保障缴费、其他工资福利支出、住房公积金等。</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日常公用经费6万元，主要包括：</w:t>
      </w:r>
      <w:r>
        <w:rPr>
          <w:rFonts w:hint="eastAsia" w:ascii="仿宋" w:hAnsi="仿宋" w:eastAsia="仿宋"/>
          <w:sz w:val="32"/>
          <w:szCs w:val="32"/>
        </w:rPr>
        <w:t>办公费、手续费、水费、电费、邮电费、差旅费、培训费、委托业务费、</w:t>
      </w:r>
      <w:r>
        <w:rPr>
          <w:rFonts w:hint="eastAsia" w:ascii="仿宋" w:hAnsi="仿宋" w:eastAsia="仿宋"/>
          <w:sz w:val="32"/>
          <w:szCs w:val="32"/>
          <w:lang w:eastAsia="zh-CN"/>
        </w:rPr>
        <w:t>工会经费、</w:t>
      </w:r>
      <w:bookmarkStart w:id="125" w:name="_GoBack"/>
      <w:bookmarkEnd w:id="125"/>
      <w:r>
        <w:rPr>
          <w:rFonts w:hint="eastAsia" w:ascii="仿宋" w:hAnsi="仿宋" w:eastAsia="仿宋"/>
          <w:sz w:val="32"/>
          <w:szCs w:val="32"/>
        </w:rPr>
        <w:t>其他商品和服务支出</w:t>
      </w:r>
      <w:r>
        <w:rPr>
          <w:rFonts w:hint="eastAsia" w:ascii="仿宋" w:hAnsi="仿宋" w:eastAsia="仿宋"/>
          <w:color w:val="000000"/>
          <w:sz w:val="32"/>
          <w:szCs w:val="32"/>
        </w:rPr>
        <w:t>等。</w:t>
      </w:r>
    </w:p>
    <w:p>
      <w:pPr>
        <w:spacing w:line="600" w:lineRule="exact"/>
        <w:ind w:firstLine="640" w:firstLineChars="200"/>
        <w:outlineLvl w:val="1"/>
        <w:rPr>
          <w:rStyle w:val="17"/>
          <w:rFonts w:ascii="黑体" w:hAnsi="黑体" w:eastAsia="黑体"/>
          <w:b w:val="0"/>
        </w:rPr>
      </w:pPr>
      <w:bookmarkStart w:id="53" w:name="_Toc15396609"/>
      <w:bookmarkStart w:id="54" w:name="_Toc29490"/>
      <w:bookmarkStart w:id="55" w:name="_Toc15377215"/>
      <w:r>
        <w:rPr>
          <w:rFonts w:hint="eastAsia" w:ascii="黑体" w:eastAsia="黑体"/>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53"/>
      <w:bookmarkEnd w:id="54"/>
      <w:bookmarkEnd w:id="55"/>
    </w:p>
    <w:p>
      <w:pPr>
        <w:spacing w:line="600" w:lineRule="exact"/>
        <w:ind w:firstLine="640"/>
        <w:outlineLvl w:val="2"/>
        <w:rPr>
          <w:rFonts w:ascii="仿宋" w:hAnsi="仿宋" w:eastAsia="仿宋"/>
          <w:b/>
          <w:sz w:val="32"/>
          <w:szCs w:val="32"/>
        </w:rPr>
      </w:pPr>
      <w:bookmarkStart w:id="56" w:name="_Toc15377216"/>
      <w:r>
        <w:rPr>
          <w:rFonts w:hint="eastAsia" w:ascii="仿宋" w:hAnsi="仿宋" w:eastAsia="仿宋"/>
          <w:b/>
          <w:sz w:val="32"/>
          <w:szCs w:val="32"/>
        </w:rPr>
        <w:t>（一）“三公”经费财政拨款支出决算总体情况说明</w:t>
      </w:r>
      <w:bookmarkEnd w:id="5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2021年“三公”经费财政拨款预算数为0.2万元，</w:t>
      </w: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，决算数小于预算数的主要原因是无</w:t>
      </w:r>
      <w:r>
        <w:rPr>
          <w:rFonts w:ascii="仿宋" w:hAnsi="仿宋" w:eastAsia="仿宋"/>
          <w:color w:val="000000"/>
          <w:sz w:val="32"/>
          <w:szCs w:val="32"/>
        </w:rPr>
        <w:t>公务用车</w:t>
      </w:r>
      <w:r>
        <w:rPr>
          <w:rFonts w:hint="eastAsia" w:ascii="仿宋" w:hAnsi="仿宋" w:eastAsia="仿宋"/>
          <w:color w:val="000000"/>
          <w:sz w:val="32"/>
          <w:szCs w:val="32"/>
        </w:rPr>
        <w:t>及出国</w:t>
      </w:r>
      <w:r>
        <w:rPr>
          <w:rFonts w:ascii="仿宋" w:hAnsi="仿宋" w:eastAsia="仿宋"/>
          <w:color w:val="000000"/>
          <w:sz w:val="32"/>
          <w:szCs w:val="32"/>
        </w:rPr>
        <w:t>、</w:t>
      </w:r>
      <w:r>
        <w:rPr>
          <w:rFonts w:hint="eastAsia" w:ascii="仿宋" w:hAnsi="仿宋" w:eastAsia="仿宋"/>
          <w:color w:val="000000"/>
          <w:sz w:val="32"/>
          <w:szCs w:val="32"/>
        </w:rPr>
        <w:t>由于疫情影响</w:t>
      </w:r>
      <w:r>
        <w:rPr>
          <w:rFonts w:ascii="仿宋" w:hAnsi="仿宋" w:eastAsia="仿宋"/>
          <w:color w:val="000000"/>
          <w:sz w:val="32"/>
          <w:szCs w:val="32"/>
        </w:rPr>
        <w:t>公务接待</w:t>
      </w:r>
      <w:r>
        <w:rPr>
          <w:rFonts w:hint="eastAsia" w:ascii="仿宋" w:hAnsi="仿宋" w:eastAsia="仿宋"/>
          <w:color w:val="000000"/>
          <w:sz w:val="32"/>
          <w:szCs w:val="32"/>
        </w:rPr>
        <w:t>人</w:t>
      </w:r>
      <w:r>
        <w:rPr>
          <w:rFonts w:ascii="仿宋" w:hAnsi="仿宋" w:eastAsia="仿宋"/>
          <w:color w:val="000000"/>
          <w:sz w:val="32"/>
          <w:szCs w:val="32"/>
        </w:rPr>
        <w:t>次及费用</w:t>
      </w:r>
      <w:r>
        <w:rPr>
          <w:rFonts w:hint="eastAsia" w:ascii="仿宋" w:hAnsi="仿宋" w:eastAsia="仿宋"/>
          <w:color w:val="000000"/>
          <w:sz w:val="32"/>
          <w:szCs w:val="32"/>
        </w:rPr>
        <w:t>减少。</w:t>
      </w:r>
    </w:p>
    <w:p>
      <w:pPr>
        <w:spacing w:line="600" w:lineRule="exact"/>
        <w:ind w:firstLine="640"/>
        <w:outlineLvl w:val="2"/>
        <w:rPr>
          <w:rFonts w:ascii="仿宋" w:hAnsi="仿宋" w:eastAsia="仿宋"/>
          <w:b/>
          <w:sz w:val="32"/>
          <w:szCs w:val="32"/>
        </w:rPr>
      </w:pPr>
      <w:bookmarkStart w:id="57" w:name="_Toc15377217"/>
      <w:r>
        <w:rPr>
          <w:rFonts w:hint="eastAsia" w:ascii="仿宋" w:hAnsi="仿宋" w:eastAsia="仿宋"/>
          <w:b/>
          <w:sz w:val="32"/>
          <w:szCs w:val="32"/>
        </w:rPr>
        <w:t>（二）“三公”经费财政拨款支出决算具体情况说明</w:t>
      </w:r>
      <w:bookmarkEnd w:id="5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21年“三公”经费财政拨款支出决算0万元。具体情况如下：</w:t>
      </w:r>
    </w:p>
    <w:p>
      <w:pPr>
        <w:ind w:firstLine="640"/>
        <w:rPr>
          <w:rFonts w:ascii="仿宋" w:hAnsi="仿宋" w:eastAsia="仿宋"/>
          <w:bCs/>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b/>
          <w:color w:val="000000"/>
          <w:sz w:val="32"/>
          <w:szCs w:val="32"/>
        </w:rPr>
        <w:t>0</w:t>
      </w:r>
      <w:r>
        <w:rPr>
          <w:rFonts w:hint="eastAsia" w:ascii="仿宋_GB2312" w:eastAsia="仿宋_GB2312"/>
          <w:b/>
          <w:color w:val="000000"/>
          <w:sz w:val="32"/>
          <w:szCs w:val="32"/>
        </w:rPr>
        <w:t>万元</w:t>
      </w:r>
      <w:r>
        <w:rPr>
          <w:rFonts w:hint="eastAsia" w:ascii="仿宋_GB2312" w:eastAsia="仿宋_GB2312"/>
          <w:color w:val="000000"/>
          <w:sz w:val="32"/>
          <w:szCs w:val="32"/>
        </w:rPr>
        <w:t>，</w:t>
      </w:r>
      <w:r>
        <w:rPr>
          <w:rStyle w:val="14"/>
          <w:rFonts w:hint="eastAsia" w:ascii="仿宋" w:eastAsia="仿宋"/>
          <w:b w:val="0"/>
          <w:bCs/>
          <w:color w:val="000000"/>
          <w:sz w:val="32"/>
          <w:szCs w:val="32"/>
        </w:rPr>
        <w:t>年初未安排预算</w:t>
      </w:r>
      <w:r>
        <w:rPr>
          <w:rFonts w:hint="eastAsia" w:ascii="仿宋_GB2312" w:eastAsia="仿宋_GB2312"/>
          <w:bCs/>
          <w:color w:val="000000"/>
          <w:sz w:val="32"/>
          <w:szCs w:val="32"/>
        </w:rPr>
        <w:t>。因公出国（境）支出决算与2020年持平。</w:t>
      </w:r>
    </w:p>
    <w:p>
      <w:pPr>
        <w:spacing w:line="600" w:lineRule="exact"/>
        <w:ind w:firstLine="640"/>
        <w:rPr>
          <w:rFonts w:ascii="仿宋_GB2312" w:eastAsia="仿宋_GB2312"/>
          <w:b/>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 w:eastAsia="仿宋"/>
          <w:b/>
          <w:bCs/>
          <w:color w:val="000000"/>
          <w:sz w:val="32"/>
          <w:szCs w:val="32"/>
        </w:rPr>
        <w:t>年初未安排预算</w:t>
      </w:r>
      <w:r>
        <w:rPr>
          <w:rFonts w:hint="eastAsia" w:ascii="仿宋" w:hAnsi="仿宋" w:eastAsia="仿宋"/>
          <w:b/>
          <w:bCs/>
          <w:color w:val="000000"/>
          <w:sz w:val="32"/>
          <w:szCs w:val="32"/>
        </w:rPr>
        <w:t>。</w:t>
      </w:r>
      <w:r>
        <w:rPr>
          <w:rFonts w:hint="eastAsia" w:ascii="仿宋" w:hAnsi="仿宋" w:eastAsia="仿宋"/>
          <w:color w:val="000000"/>
          <w:sz w:val="32"/>
          <w:szCs w:val="32"/>
        </w:rPr>
        <w:t>公务用车购置及运行维护费支出决算比</w:t>
      </w:r>
      <w:r>
        <w:rPr>
          <w:rFonts w:ascii="仿宋" w:hAnsi="仿宋" w:eastAsia="仿宋"/>
          <w:color w:val="000000"/>
          <w:sz w:val="32"/>
          <w:szCs w:val="32"/>
        </w:rPr>
        <w:t>20</w:t>
      </w:r>
      <w:r>
        <w:rPr>
          <w:rFonts w:hint="eastAsia" w:ascii="仿宋" w:hAnsi="仿宋" w:eastAsia="仿宋"/>
          <w:color w:val="000000"/>
          <w:sz w:val="32"/>
          <w:szCs w:val="32"/>
        </w:rPr>
        <w:t>20年持平。</w:t>
      </w:r>
      <w:r>
        <w:rPr>
          <w:rFonts w:ascii="仿宋" w:hAnsi="仿宋" w:eastAsia="仿宋"/>
          <w:color w:val="000000"/>
          <w:sz w:val="32"/>
          <w:szCs w:val="32"/>
        </w:rPr>
        <w:t>截止2021年12月底，我单位共有公务用车0辆</w:t>
      </w:r>
      <w:r>
        <w:rPr>
          <w:rFonts w:hint="eastAsia" w:ascii="仿宋" w:hAnsi="仿宋" w:eastAsia="仿宋"/>
          <w:color w:val="000000"/>
          <w:sz w:val="32"/>
          <w:szCs w:val="32"/>
        </w:rPr>
        <w:t>。</w:t>
      </w:r>
    </w:p>
    <w:p>
      <w:pPr>
        <w:spacing w:line="600" w:lineRule="exact"/>
        <w:ind w:firstLine="640"/>
        <w:rPr>
          <w:rFonts w:ascii="黑体" w:eastAsia="黑体"/>
          <w:color w:val="000000"/>
          <w:sz w:val="32"/>
          <w:szCs w:val="32"/>
        </w:rPr>
      </w:pPr>
      <w:bookmarkStart w:id="58" w:name="_Toc15377218"/>
      <w:bookmarkStart w:id="59" w:name="_Toc15396610"/>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w:t>
      </w:r>
      <w:r>
        <w:rPr>
          <w:rFonts w:hint="eastAsia" w:ascii="仿宋" w:hAnsi="仿宋" w:eastAsia="仿宋"/>
          <w:color w:val="000000"/>
          <w:sz w:val="32"/>
          <w:szCs w:val="32"/>
        </w:rPr>
        <w:t>20年减少</w:t>
      </w:r>
      <w:r>
        <w:rPr>
          <w:rFonts w:ascii="仿宋" w:hAnsi="仿宋" w:eastAsia="仿宋"/>
          <w:color w:val="000000"/>
          <w:sz w:val="32"/>
          <w:szCs w:val="32"/>
        </w:rPr>
        <w:t>0.</w:t>
      </w:r>
      <w:r>
        <w:rPr>
          <w:rFonts w:hint="eastAsia" w:ascii="仿宋" w:hAnsi="仿宋" w:eastAsia="仿宋"/>
          <w:color w:val="000000"/>
          <w:sz w:val="32"/>
          <w:szCs w:val="32"/>
        </w:rPr>
        <w:t>0</w:t>
      </w:r>
      <w:r>
        <w:rPr>
          <w:rFonts w:ascii="仿宋" w:hAnsi="仿宋" w:eastAsia="仿宋"/>
          <w:color w:val="000000"/>
          <w:sz w:val="32"/>
          <w:szCs w:val="32"/>
        </w:rPr>
        <w:t>3</w:t>
      </w:r>
      <w:r>
        <w:rPr>
          <w:rFonts w:hint="eastAsia" w:ascii="仿宋" w:hAnsi="仿宋" w:eastAsia="仿宋"/>
          <w:color w:val="000000"/>
          <w:sz w:val="32"/>
          <w:szCs w:val="32"/>
        </w:rPr>
        <w:t>万元，减少</w:t>
      </w:r>
      <w:r>
        <w:rPr>
          <w:rFonts w:ascii="仿宋" w:hAnsi="仿宋" w:eastAsia="仿宋"/>
          <w:color w:val="000000"/>
          <w:sz w:val="32"/>
          <w:szCs w:val="32"/>
        </w:rPr>
        <w:t>100%</w:t>
      </w:r>
      <w:r>
        <w:rPr>
          <w:rFonts w:hint="eastAsia" w:ascii="仿宋" w:hAnsi="仿宋" w:eastAsia="仿宋"/>
          <w:color w:val="000000"/>
          <w:sz w:val="32"/>
          <w:szCs w:val="32"/>
        </w:rPr>
        <w:t>。主要原因是由于疫情影响2021年无</w:t>
      </w:r>
      <w:r>
        <w:rPr>
          <w:rFonts w:ascii="仿宋" w:hAnsi="仿宋" w:eastAsia="仿宋"/>
          <w:color w:val="000000"/>
          <w:sz w:val="32"/>
          <w:szCs w:val="32"/>
        </w:rPr>
        <w:t>公务接待</w:t>
      </w:r>
      <w:r>
        <w:rPr>
          <w:rFonts w:hint="eastAsia" w:ascii="仿宋" w:hAnsi="仿宋" w:eastAsia="仿宋"/>
          <w:color w:val="000000"/>
          <w:sz w:val="32"/>
          <w:szCs w:val="32"/>
        </w:rPr>
        <w:t>人</w:t>
      </w:r>
      <w:r>
        <w:rPr>
          <w:rFonts w:ascii="仿宋" w:hAnsi="仿宋" w:eastAsia="仿宋"/>
          <w:color w:val="000000"/>
          <w:sz w:val="32"/>
          <w:szCs w:val="32"/>
        </w:rPr>
        <w:t>次及费用</w:t>
      </w:r>
      <w:r>
        <w:rPr>
          <w:rFonts w:hint="eastAsia" w:ascii="仿宋" w:hAnsi="仿宋" w:eastAsia="仿宋"/>
          <w:color w:val="000000"/>
          <w:sz w:val="32"/>
          <w:szCs w:val="32"/>
        </w:rPr>
        <w:t>。</w:t>
      </w:r>
    </w:p>
    <w:p>
      <w:pPr>
        <w:spacing w:line="600" w:lineRule="exact"/>
        <w:ind w:firstLine="640"/>
        <w:outlineLvl w:val="1"/>
        <w:rPr>
          <w:rStyle w:val="17"/>
          <w:rFonts w:ascii="黑体" w:hAnsi="黑体" w:eastAsia="黑体"/>
        </w:rPr>
      </w:pPr>
      <w:bookmarkStart w:id="60" w:name="_Toc7364"/>
      <w:r>
        <w:rPr>
          <w:rFonts w:hint="eastAsia" w:ascii="黑体" w:eastAsia="黑体"/>
          <w:sz w:val="32"/>
          <w:szCs w:val="32"/>
        </w:rPr>
        <w:t>八、</w:t>
      </w:r>
      <w:r>
        <w:rPr>
          <w:rStyle w:val="17"/>
          <w:rFonts w:hint="eastAsia" w:ascii="黑体" w:hAnsi="黑体" w:eastAsia="黑体"/>
          <w:b w:val="0"/>
        </w:rPr>
        <w:t>政府性基金预算支出决算情况说明</w:t>
      </w:r>
      <w:bookmarkEnd w:id="58"/>
      <w:bookmarkEnd w:id="59"/>
      <w:bookmarkEnd w:id="6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ascii="仿宋_GB2312" w:eastAsia="仿宋_GB2312"/>
          <w:sz w:val="32"/>
          <w:szCs w:val="32"/>
        </w:rPr>
        <w:t>0</w:t>
      </w:r>
      <w:r>
        <w:rPr>
          <w:rFonts w:hint="eastAsia" w:ascii="仿宋_GB2312" w:eastAsia="仿宋_GB2312"/>
          <w:sz w:val="32"/>
          <w:szCs w:val="32"/>
        </w:rPr>
        <w:t>万元，</w:t>
      </w:r>
      <w:r>
        <w:rPr>
          <w:rFonts w:hint="eastAsia" w:ascii="仿宋" w:hAnsi="仿宋" w:eastAsia="仿宋"/>
          <w:sz w:val="32"/>
          <w:szCs w:val="32"/>
        </w:rPr>
        <w:t>年初未安排预算</w:t>
      </w:r>
      <w:r>
        <w:rPr>
          <w:rFonts w:hint="eastAsia" w:ascii="仿宋_GB2312" w:eastAsia="仿宋_GB2312"/>
          <w:sz w:val="32"/>
          <w:szCs w:val="32"/>
        </w:rPr>
        <w:t>。2021年本单位未在政府性基预算拨款安排“三公经费”支出。</w:t>
      </w:r>
    </w:p>
    <w:p>
      <w:pPr>
        <w:numPr>
          <w:ilvl w:val="0"/>
          <w:numId w:val="2"/>
        </w:numPr>
        <w:spacing w:line="600" w:lineRule="exact"/>
        <w:ind w:left="0" w:firstLine="640"/>
        <w:outlineLvl w:val="1"/>
        <w:rPr>
          <w:rStyle w:val="17"/>
          <w:rFonts w:ascii="黑体" w:hAnsi="黑体" w:eastAsia="黑体"/>
          <w:b w:val="0"/>
        </w:rPr>
      </w:pPr>
      <w:bookmarkStart w:id="61" w:name="_Toc9086"/>
      <w:bookmarkStart w:id="62" w:name="_Toc15377219"/>
      <w:bookmarkStart w:id="63" w:name="_Toc15396611"/>
      <w:r>
        <w:rPr>
          <w:rStyle w:val="17"/>
          <w:rFonts w:hint="eastAsia" w:ascii="黑体" w:hAnsi="黑体" w:eastAsia="黑体"/>
          <w:b w:val="0"/>
        </w:rPr>
        <w:t>国有资本经营预算支出决算情况说明</w:t>
      </w:r>
      <w:bookmarkEnd w:id="61"/>
      <w:bookmarkEnd w:id="62"/>
      <w:bookmarkEnd w:id="6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ascii="仿宋_GB2312" w:eastAsia="仿宋_GB2312"/>
          <w:sz w:val="32"/>
          <w:szCs w:val="32"/>
        </w:rPr>
        <w:t>0</w:t>
      </w:r>
      <w:r>
        <w:rPr>
          <w:rFonts w:hint="eastAsia" w:ascii="仿宋_GB2312" w:eastAsia="仿宋_GB2312"/>
          <w:sz w:val="32"/>
          <w:szCs w:val="32"/>
        </w:rPr>
        <w:t>万元，</w:t>
      </w:r>
      <w:r>
        <w:rPr>
          <w:rFonts w:hint="eastAsia" w:ascii="仿宋" w:hAnsi="仿宋" w:eastAsia="仿宋"/>
          <w:sz w:val="32"/>
          <w:szCs w:val="32"/>
        </w:rPr>
        <w:t>年初未安排预算</w:t>
      </w:r>
      <w:r>
        <w:rPr>
          <w:rFonts w:hint="eastAsia" w:ascii="仿宋_GB2312" w:eastAsia="仿宋_GB2312"/>
          <w:sz w:val="32"/>
          <w:szCs w:val="32"/>
        </w:rPr>
        <w:t>。</w:t>
      </w:r>
    </w:p>
    <w:p>
      <w:pPr>
        <w:numPr>
          <w:ilvl w:val="0"/>
          <w:numId w:val="2"/>
        </w:numPr>
        <w:spacing w:line="600" w:lineRule="exact"/>
        <w:ind w:left="0" w:firstLine="640"/>
        <w:outlineLvl w:val="1"/>
        <w:rPr>
          <w:rStyle w:val="17"/>
          <w:rFonts w:ascii="黑体" w:hAnsi="黑体" w:eastAsia="黑体"/>
          <w:b w:val="0"/>
        </w:rPr>
      </w:pPr>
      <w:bookmarkStart w:id="64" w:name="_Toc14318"/>
      <w:bookmarkStart w:id="65" w:name="_Toc15396612"/>
      <w:bookmarkStart w:id="66" w:name="_Toc15377221"/>
      <w:r>
        <w:rPr>
          <w:rStyle w:val="17"/>
          <w:rFonts w:hint="eastAsia" w:ascii="黑体" w:hAnsi="黑体" w:eastAsia="黑体"/>
          <w:b w:val="0"/>
        </w:rPr>
        <w:t>预算绩效管理情况</w:t>
      </w:r>
      <w:bookmarkEnd w:id="64"/>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根据预算绩效管理要求，本单位在2021年度预算编制阶段，非遗项目传承保护及数据库建设经费、民间绣活（麻柳刺绣）、2021年“文化和自然遗产日”活动、</w:t>
      </w:r>
      <w:r>
        <w:rPr>
          <w:rFonts w:hint="eastAsia" w:ascii="仿宋" w:hAnsi="仿宋" w:eastAsia="仿宋"/>
          <w:color w:val="000000"/>
          <w:sz w:val="32"/>
          <w:szCs w:val="32"/>
        </w:rPr>
        <w:t>对3个项目编制了绩效目标，预算执行过程中，选取3个项目开展绩效监控，年终执行完毕后，对3个项目开展了绩效目标完成情况自评</w:t>
      </w:r>
      <w:r>
        <w:rPr>
          <w:rFonts w:hint="eastAsia" w:ascii="仿宋_GB2312" w:hAnsi="仿宋_GB2312" w:eastAsia="仿宋_GB2312" w:cs="仿宋_GB2312"/>
          <w:sz w:val="32"/>
          <w:szCs w:val="32"/>
        </w:rPr>
        <w:t>，2021年部门预算项目绩效目标自评表见附件（第四部分）。</w:t>
      </w:r>
    </w:p>
    <w:p>
      <w:pPr>
        <w:numPr>
          <w:ilvl w:val="0"/>
          <w:numId w:val="2"/>
        </w:numPr>
        <w:spacing w:line="600" w:lineRule="exact"/>
        <w:ind w:left="0" w:firstLine="640"/>
        <w:outlineLvl w:val="1"/>
        <w:rPr>
          <w:rStyle w:val="17"/>
          <w:rFonts w:ascii="黑体" w:hAnsi="黑体" w:eastAsia="黑体"/>
          <w:b w:val="0"/>
        </w:rPr>
      </w:pPr>
      <w:bookmarkStart w:id="67" w:name="_Toc10222"/>
      <w:r>
        <w:rPr>
          <w:rStyle w:val="17"/>
          <w:rFonts w:hint="eastAsia" w:ascii="黑体" w:hAnsi="黑体" w:eastAsia="黑体"/>
          <w:b w:val="0"/>
        </w:rPr>
        <w:t>其他重要事项的情况说明</w:t>
      </w:r>
      <w:bookmarkEnd w:id="65"/>
      <w:bookmarkEnd w:id="66"/>
      <w:bookmarkEnd w:id="67"/>
    </w:p>
    <w:p>
      <w:pPr>
        <w:spacing w:line="600" w:lineRule="exact"/>
        <w:ind w:firstLine="642" w:firstLineChars="200"/>
        <w:outlineLvl w:val="2"/>
        <w:rPr>
          <w:rFonts w:ascii="仿宋" w:hAnsi="仿宋" w:eastAsia="仿宋"/>
          <w:sz w:val="32"/>
          <w:szCs w:val="32"/>
        </w:rPr>
      </w:pPr>
      <w:bookmarkStart w:id="68" w:name="_Toc15377222"/>
      <w:r>
        <w:rPr>
          <w:rFonts w:hint="eastAsia" w:ascii="仿宋" w:hAnsi="仿宋" w:eastAsia="仿宋"/>
          <w:b/>
          <w:sz w:val="32"/>
          <w:szCs w:val="32"/>
        </w:rPr>
        <w:t>（一）机关运行经费支出情况</w:t>
      </w:r>
      <w:bookmarkEnd w:id="68"/>
    </w:p>
    <w:p>
      <w:pPr>
        <w:spacing w:line="600" w:lineRule="exact"/>
        <w:ind w:firstLine="640" w:firstLineChars="200"/>
        <w:rPr>
          <w:rFonts w:ascii="仿宋" w:hAnsi="仿宋" w:eastAsia="仿宋"/>
          <w:b/>
          <w:sz w:val="32"/>
          <w:szCs w:val="32"/>
        </w:rPr>
      </w:pPr>
      <w:r>
        <w:rPr>
          <w:rFonts w:hint="eastAsia" w:ascii="仿宋_GB2312" w:eastAsia="仿宋_GB2312"/>
          <w:sz w:val="32"/>
          <w:szCs w:val="32"/>
        </w:rPr>
        <w:t>2021年未发生机关运行经费支出，与2020年决算数持平</w:t>
      </w:r>
      <w:r>
        <w:rPr>
          <w:rFonts w:hint="eastAsia" w:ascii="仿宋" w:hAnsi="仿宋" w:eastAsia="仿宋"/>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9" w:name="_Toc15377223"/>
      <w:r>
        <w:rPr>
          <w:rFonts w:hint="eastAsia" w:ascii="仿宋" w:hAnsi="仿宋" w:eastAsia="仿宋"/>
          <w:b/>
          <w:sz w:val="32"/>
          <w:szCs w:val="32"/>
        </w:rPr>
        <w:t>（二）政府采购支出情况</w:t>
      </w:r>
      <w:bookmarkEnd w:id="6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21年，广元市非物质文化遗产保护中心政府采购支出总额0万元。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0" w:name="_Toc15377224"/>
      <w:r>
        <w:rPr>
          <w:rFonts w:hint="eastAsia" w:ascii="仿宋" w:hAnsi="仿宋" w:eastAsia="仿宋"/>
          <w:b/>
          <w:sz w:val="32"/>
          <w:szCs w:val="32"/>
        </w:rPr>
        <w:t>（三）国有资产占有使用情况</w:t>
      </w:r>
      <w:bookmarkEnd w:id="70"/>
    </w:p>
    <w:p>
      <w:pPr>
        <w:autoSpaceDE w:val="0"/>
        <w:autoSpaceDN w:val="0"/>
        <w:adjustRightInd w:val="0"/>
        <w:spacing w:line="600" w:lineRule="exact"/>
        <w:ind w:firstLine="640" w:firstLineChars="200"/>
        <w:jc w:val="left"/>
        <w:rPr>
          <w:highlight w:val="yellow"/>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 w:hAnsi="仿宋" w:eastAsia="仿宋"/>
          <w:color w:val="000000"/>
          <w:sz w:val="32"/>
          <w:szCs w:val="32"/>
        </w:rPr>
        <w:t>广元市</w:t>
      </w:r>
      <w:r>
        <w:rPr>
          <w:rFonts w:hint="eastAsia" w:ascii="仿宋_GB2312" w:eastAsia="仿宋_GB2312"/>
          <w:sz w:val="32"/>
          <w:szCs w:val="32"/>
        </w:rPr>
        <w:t>非物质文化遗产保护中心共有车辆</w:t>
      </w:r>
      <w:r>
        <w:rPr>
          <w:rFonts w:ascii="仿宋_GB2312" w:eastAsia="仿宋_GB2312"/>
          <w:sz w:val="32"/>
          <w:szCs w:val="32"/>
        </w:rPr>
        <w:t>0</w:t>
      </w:r>
      <w:r>
        <w:rPr>
          <w:rFonts w:hint="eastAsia" w:ascii="仿宋_GB2312" w:eastAsia="仿宋_GB2312"/>
          <w:sz w:val="32"/>
          <w:szCs w:val="32"/>
        </w:rPr>
        <w:t>辆。单价</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left="0" w:firstLine="660" w:firstLineChars="150"/>
        <w:jc w:val="center"/>
        <w:outlineLvl w:val="0"/>
        <w:rPr>
          <w:rStyle w:val="16"/>
          <w:rFonts w:ascii="黑体" w:hAnsi="黑体" w:eastAsia="黑体"/>
          <w:b w:val="0"/>
        </w:rPr>
      </w:pPr>
      <w:bookmarkStart w:id="71" w:name="_Toc6767"/>
      <w:bookmarkStart w:id="72" w:name="_Toc15377225"/>
      <w:bookmarkStart w:id="73" w:name="_Toc15396613"/>
      <w:r>
        <w:rPr>
          <w:rFonts w:hint="eastAsia" w:ascii="黑体" w:hAnsi="黑体" w:eastAsia="黑体"/>
          <w:sz w:val="44"/>
          <w:szCs w:val="44"/>
        </w:rPr>
        <w:t>名</w:t>
      </w:r>
      <w:r>
        <w:rPr>
          <w:rStyle w:val="16"/>
          <w:rFonts w:hint="eastAsia" w:ascii="黑体" w:hAnsi="黑体" w:eastAsia="黑体"/>
          <w:b w:val="0"/>
        </w:rPr>
        <w:t>词解释</w:t>
      </w:r>
      <w:bookmarkEnd w:id="71"/>
      <w:bookmarkEnd w:id="72"/>
      <w:bookmarkEnd w:id="73"/>
    </w:p>
    <w:p>
      <w:pPr>
        <w:spacing w:line="600" w:lineRule="exact"/>
        <w:jc w:val="left"/>
        <w:rPr>
          <w:rFonts w:ascii="宋体"/>
          <w:b/>
          <w:sz w:val="44"/>
          <w:szCs w:val="44"/>
        </w:rPr>
      </w:pPr>
    </w:p>
    <w:p>
      <w:pPr>
        <w:pStyle w:val="21"/>
        <w:spacing w:before="93" w:line="560" w:lineRule="exact"/>
        <w:ind w:firstLine="640" w:firstLineChars="200"/>
        <w:outlineLvl w:val="1"/>
        <w:rPr>
          <w:rFonts w:ascii="仿宋_GB2312" w:eastAsia="仿宋_GB2312"/>
          <w:sz w:val="32"/>
          <w:szCs w:val="32"/>
        </w:rPr>
      </w:pPr>
      <w:bookmarkStart w:id="74" w:name="_Toc23580"/>
      <w:r>
        <w:rPr>
          <w:rFonts w:hint="eastAsia" w:ascii="仿宋_GB2312" w:eastAsia="仿宋_GB2312"/>
          <w:sz w:val="32"/>
          <w:szCs w:val="32"/>
        </w:rPr>
        <w:t>1.财政拨款收入：指单位从同级财政部门取得的财政预算资金。</w:t>
      </w:r>
      <w:bookmarkEnd w:id="74"/>
    </w:p>
    <w:p>
      <w:pPr>
        <w:pStyle w:val="21"/>
        <w:spacing w:before="93" w:line="560" w:lineRule="exact"/>
        <w:ind w:firstLine="640" w:firstLineChars="200"/>
        <w:rPr>
          <w:rFonts w:ascii="仿宋_GB2312" w:eastAsia="仿宋_GB2312"/>
          <w:sz w:val="32"/>
          <w:szCs w:val="32"/>
        </w:rPr>
      </w:pPr>
      <w:r>
        <w:rPr>
          <w:rFonts w:hint="eastAsia" w:ascii="仿宋_GB2312" w:eastAsia="仿宋_GB2312"/>
          <w:sz w:val="32"/>
          <w:szCs w:val="32"/>
        </w:rPr>
        <w:t>2.其他收入：指单位取得的除上述收入以外的各项收入。主要是利息收入、女儿节演出费（市妇联）、戏曲进校园经费（四川省剧目工作室）等</w:t>
      </w:r>
    </w:p>
    <w:p>
      <w:pPr>
        <w:pStyle w:val="21"/>
        <w:spacing w:before="93" w:line="560" w:lineRule="exact"/>
        <w:ind w:firstLine="640" w:firstLineChars="200"/>
        <w:rPr>
          <w:rFonts w:ascii="仿宋_GB2312" w:eastAsia="仿宋_GB2312"/>
          <w:sz w:val="32"/>
          <w:szCs w:val="32"/>
        </w:rPr>
      </w:pPr>
      <w:r>
        <w:rPr>
          <w:rFonts w:hint="eastAsia" w:ascii="仿宋_GB2312" w:eastAsia="仿宋_GB2312"/>
          <w:sz w:val="32"/>
          <w:szCs w:val="32"/>
        </w:rPr>
        <w:t>3.年初结转和结余：指以前年度尚未完成、结转到本年按有关规定继续使用的资金。</w:t>
      </w:r>
    </w:p>
    <w:p>
      <w:pPr>
        <w:pStyle w:val="21"/>
        <w:spacing w:before="93" w:line="560" w:lineRule="exact"/>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pPr>
        <w:pStyle w:val="21"/>
        <w:spacing w:before="93" w:line="560" w:lineRule="exact"/>
        <w:ind w:firstLine="640" w:firstLineChars="200"/>
        <w:rPr>
          <w:rFonts w:ascii="仿宋_GB2312" w:eastAsia="仿宋_GB2312"/>
          <w:sz w:val="32"/>
          <w:szCs w:val="32"/>
        </w:rPr>
      </w:pPr>
      <w:r>
        <w:rPr>
          <w:rFonts w:hint="eastAsia" w:ascii="仿宋_GB2312" w:eastAsia="仿宋_GB2312"/>
          <w:sz w:val="32"/>
          <w:szCs w:val="32"/>
        </w:rPr>
        <w:t xml:space="preserve">5. </w:t>
      </w:r>
      <w:r>
        <w:rPr>
          <w:rFonts w:hint="eastAsia" w:ascii="仿宋_GB2312" w:hAnsi="仿宋" w:eastAsia="仿宋_GB2312"/>
          <w:sz w:val="32"/>
          <w:szCs w:val="32"/>
        </w:rPr>
        <w:t>文化旅游体育与传媒支出（类）文化和旅游（款）文化创作与保护（项）支出：反映鼓励文学、艺术创作和优秀传统文化保护方面的支出。</w:t>
      </w:r>
    </w:p>
    <w:p>
      <w:pPr>
        <w:pStyle w:val="21"/>
        <w:spacing w:before="93"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hAnsi="仿宋" w:eastAsia="仿宋_GB2312"/>
          <w:sz w:val="32"/>
          <w:szCs w:val="32"/>
        </w:rPr>
        <w:t>社会保障和就业支出（类）行政事业单位养老支出（款）机关事业单位基本养老保险缴费支出（项）: 反映机关事业单位实施养老保险制度由单位缴纳的基本养老保险支出。</w:t>
      </w:r>
    </w:p>
    <w:p>
      <w:pPr>
        <w:pStyle w:val="21"/>
        <w:spacing w:before="93"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hint="eastAsia" w:ascii="仿宋_GB2312" w:hAnsi="仿宋" w:eastAsia="仿宋_GB2312"/>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hint="eastAsia" w:ascii="仿宋_GB2312" w:hAnsi="仿宋" w:eastAsia="仿宋_GB2312" w:cs="仿宋"/>
          <w:sz w:val="32"/>
          <w:szCs w:val="32"/>
        </w:rPr>
        <w:t>住房保障支出（类）住房改革支出（款）住房公积金（项）: 反映行政事业单位按人力资源和社会保障部、财政部规定的基本工资和津贴补贴以及规定比例为职工缴纳的住房公积金。</w:t>
      </w:r>
    </w:p>
    <w:p>
      <w:pPr>
        <w:ind w:firstLine="640" w:firstLineChars="200"/>
        <w:rPr>
          <w:rFonts w:ascii="仿宋_GB2312" w:hAnsi="仿宋" w:eastAsia="仿宋_GB2312" w:cs="仿宋"/>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hAnsi="仿宋" w:eastAsia="仿宋_GB2312" w:cs="仿宋"/>
          <w:sz w:val="32"/>
          <w:szCs w:val="32"/>
        </w:rPr>
      </w:pPr>
      <w:r>
        <w:rPr>
          <w:rFonts w:hint="eastAsia" w:ascii="仿宋_GB2312" w:eastAsia="仿宋_GB2312"/>
          <w:color w:val="000000"/>
          <w:sz w:val="32"/>
          <w:szCs w:val="32"/>
        </w:rPr>
        <w:t>10.项目支出：指在基本支出之外为完成特定行政任务和事业发展目标所发生的支出。</w:t>
      </w:r>
    </w:p>
    <w:p>
      <w:pPr>
        <w:ind w:firstLine="640" w:firstLineChars="200"/>
        <w:rPr>
          <w:rFonts w:ascii="仿宋_GB2312" w:hAnsi="仿宋" w:eastAsia="仿宋_GB2312" w:cs="仿宋"/>
          <w:sz w:val="32"/>
          <w:szCs w:val="32"/>
        </w:rPr>
      </w:pPr>
      <w:r>
        <w:rPr>
          <w:rFonts w:hint="eastAsia" w:ascii="仿宋_GB2312" w:eastAsia="仿宋_GB2312"/>
          <w:color w:val="000000"/>
          <w:sz w:val="32"/>
          <w:szCs w:val="32"/>
        </w:rPr>
        <w:t>11.</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2" w:firstLineChars="200"/>
        <w:rPr>
          <w:rFonts w:ascii="仿宋" w:hAnsi="仿宋" w:eastAsia="仿宋"/>
          <w:b/>
          <w:sz w:val="32"/>
          <w:szCs w:val="32"/>
        </w:rPr>
      </w:pPr>
    </w:p>
    <w:p>
      <w:pPr>
        <w:spacing w:line="600" w:lineRule="exact"/>
        <w:jc w:val="center"/>
        <w:outlineLvl w:val="0"/>
        <w:rPr>
          <w:rStyle w:val="16"/>
          <w:rFonts w:ascii="黑体" w:hAnsi="黑体" w:eastAsia="黑体"/>
          <w:b w:val="0"/>
        </w:rPr>
      </w:pPr>
      <w:bookmarkStart w:id="75" w:name="_Toc15377226"/>
      <w:r>
        <w:rPr>
          <w:rFonts w:ascii="宋体"/>
          <w:b/>
          <w:sz w:val="44"/>
          <w:szCs w:val="44"/>
        </w:rPr>
        <w:br w:type="page"/>
      </w:r>
      <w:bookmarkStart w:id="76" w:name="_Toc15396614"/>
      <w:bookmarkStart w:id="77" w:name="_Toc27001"/>
      <w:r>
        <w:rPr>
          <w:rFonts w:hint="eastAsia" w:ascii="黑体" w:hAnsi="黑体" w:eastAsia="黑体"/>
          <w:sz w:val="44"/>
          <w:szCs w:val="44"/>
        </w:rPr>
        <w:t>第</w:t>
      </w:r>
      <w:r>
        <w:rPr>
          <w:rStyle w:val="16"/>
          <w:rFonts w:hint="eastAsia" w:ascii="黑体" w:hAnsi="黑体" w:eastAsia="黑体"/>
          <w:b w:val="0"/>
        </w:rPr>
        <w:t>四部分 附件</w:t>
      </w:r>
      <w:bookmarkEnd w:id="76"/>
      <w:bookmarkEnd w:id="77"/>
    </w:p>
    <w:p>
      <w:pPr>
        <w:spacing w:line="580" w:lineRule="exact"/>
        <w:outlineLvl w:val="1"/>
        <w:rPr>
          <w:rFonts w:ascii="仿宋_GB2312" w:hAnsi="仿宋_GB2312" w:eastAsia="黑体" w:cs="仿宋_GB2312"/>
          <w:sz w:val="32"/>
          <w:szCs w:val="32"/>
        </w:rPr>
      </w:pPr>
      <w:bookmarkStart w:id="78" w:name="_Toc15791"/>
      <w:r>
        <w:rPr>
          <w:rFonts w:hint="eastAsia" w:ascii="黑体" w:hAnsi="黑体" w:eastAsia="黑体" w:cs="黑体"/>
          <w:sz w:val="32"/>
          <w:szCs w:val="32"/>
        </w:rPr>
        <w:t>附件</w:t>
      </w:r>
      <w:bookmarkEnd w:id="78"/>
      <w:r>
        <w:rPr>
          <w:rFonts w:hint="eastAsia" w:ascii="黑体" w:hAnsi="黑体" w:eastAsia="黑体" w:cs="黑体"/>
          <w:sz w:val="32"/>
          <w:szCs w:val="32"/>
        </w:rPr>
        <w:t>1</w:t>
      </w: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广元市非物质文化遗产保护中心</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2021年非遗项目传承保护及数据库建设</w:t>
      </w:r>
    </w:p>
    <w:p>
      <w:pPr>
        <w:spacing w:line="600" w:lineRule="exact"/>
        <w:jc w:val="center"/>
        <w:rPr>
          <w:rFonts w:ascii="方正小标宋简体" w:hAnsi="方正小标宋简体" w:eastAsia="方正小标宋简体" w:cs="方正小标宋简体"/>
          <w:sz w:val="44"/>
          <w:szCs w:val="44"/>
          <w:lang w:val="zh-CN"/>
        </w:rPr>
      </w:pPr>
      <w:r>
        <w:rPr>
          <w:rFonts w:hint="eastAsia" w:ascii="方正小标宋简体" w:hAnsi="宋体" w:eastAsia="方正小标宋简体"/>
          <w:color w:val="000000"/>
          <w:kern w:val="0"/>
          <w:sz w:val="44"/>
          <w:szCs w:val="44"/>
          <w:lang w:val="zh-CN"/>
        </w:rPr>
        <w:t>绩效评</w:t>
      </w:r>
      <w:r>
        <w:rPr>
          <w:rFonts w:hint="eastAsia" w:ascii="方正小标宋简体" w:hAnsi="方正小标宋简体" w:eastAsia="方正小标宋简体" w:cs="方正小标宋简体"/>
          <w:sz w:val="44"/>
          <w:szCs w:val="44"/>
        </w:rPr>
        <w:t>经费</w:t>
      </w:r>
      <w:r>
        <w:rPr>
          <w:rFonts w:hint="eastAsia" w:ascii="方正小标宋简体" w:hAnsi="方正小标宋简体" w:eastAsia="方正小标宋简体" w:cs="方正小标宋简体"/>
          <w:sz w:val="44"/>
          <w:szCs w:val="44"/>
          <w:lang w:val="zh-CN"/>
        </w:rPr>
        <w:t>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outlineLvl w:val="1"/>
        <w:rPr>
          <w:rFonts w:ascii="黑体" w:hAnsi="宋体" w:eastAsia="黑体"/>
          <w:sz w:val="32"/>
          <w:szCs w:val="32"/>
          <w:lang w:val="zh-CN"/>
        </w:rPr>
      </w:pPr>
      <w:bookmarkStart w:id="79" w:name="_Toc29257"/>
      <w:bookmarkStart w:id="80" w:name="_Toc15396618"/>
      <w:r>
        <w:rPr>
          <w:rFonts w:hint="eastAsia" w:ascii="黑体" w:hAnsi="宋体" w:eastAsia="黑体"/>
          <w:sz w:val="32"/>
          <w:szCs w:val="32"/>
        </w:rPr>
        <w:t>一、</w:t>
      </w:r>
      <w:r>
        <w:rPr>
          <w:rFonts w:hint="eastAsia" w:ascii="黑体" w:hAnsi="宋体" w:eastAsia="黑体"/>
          <w:sz w:val="32"/>
          <w:szCs w:val="32"/>
          <w:lang w:val="zh-CN"/>
        </w:rPr>
        <w:t>项目概况</w:t>
      </w:r>
      <w:bookmarkEnd w:id="79"/>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1.根据非遗中心职能职责，对非遗项目进行传承与保护。</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．项目立项、资金申报的依据</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根据《非遗保护条例》和工作需要，申报资金。</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．资金使用严格按照有关专款专用的法律法规使用，该项目资金必须用于非遗保护与传承。</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．资金分配的原则及考虑因素</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我中心重点保障非遗项目的传承与保护，活动开展和宣传。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600" w:lineRule="exact"/>
        <w:ind w:firstLine="720"/>
        <w:rPr>
          <w:rFonts w:ascii="仿宋" w:hAnsi="仿宋" w:eastAsia="仿宋"/>
          <w:sz w:val="32"/>
          <w:szCs w:val="32"/>
        </w:rPr>
      </w:pPr>
      <w:r>
        <w:rPr>
          <w:rFonts w:hint="eastAsia" w:ascii="仿宋" w:hAnsi="仿宋" w:eastAsia="仿宋"/>
          <w:sz w:val="32"/>
          <w:szCs w:val="32"/>
        </w:rPr>
        <w:t>主要组织非遗部训、指导县区工作、组织学习考察、举办主题及大讲堂、非遗项目资料收集整理</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根据年初计划，该项目的实施，保障非遗培训5次，指导县区工作5次，学习考察5次，非遗主题日、大讲堂2次，非遗项目资料收集整理2项。</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．分析评价申报内容是否与实际相符，申报目标是否合理可行根据实际执行情况，申报目标可行、较为合理，既能够完成基本目标，又能够充分考虑不确定性。</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ind w:firstLine="640" w:firstLineChars="200"/>
        <w:rPr>
          <w:rFonts w:ascii="仿宋" w:hAnsi="仿宋" w:eastAsia="仿宋" w:cs="仿宋"/>
          <w:sz w:val="32"/>
          <w:szCs w:val="32"/>
          <w:lang w:val="zh-CN"/>
        </w:rPr>
      </w:pPr>
      <w:bookmarkStart w:id="81" w:name="_Toc937"/>
      <w:r>
        <w:rPr>
          <w:rFonts w:hint="eastAsia" w:ascii="仿宋" w:hAnsi="仿宋" w:eastAsia="仿宋" w:cs="仿宋"/>
          <w:sz w:val="32"/>
          <w:szCs w:val="32"/>
          <w:lang w:val="zh-CN"/>
        </w:rPr>
        <w:t>根据市财政局通知要求，我台组织了相关科室负责人及财务具体经办人为成员的自评领导小组。制定了详细方案，通过对2021年的</w:t>
      </w:r>
      <w:r>
        <w:rPr>
          <w:rFonts w:hint="eastAsia" w:ascii="仿宋" w:hAnsi="仿宋" w:eastAsia="仿宋" w:cs="仿宋"/>
          <w:sz w:val="32"/>
          <w:szCs w:val="32"/>
        </w:rPr>
        <w:t>市级非遗保护传承项目</w:t>
      </w:r>
      <w:r>
        <w:rPr>
          <w:rFonts w:hint="eastAsia" w:ascii="仿宋" w:hAnsi="仿宋" w:eastAsia="仿宋" w:cs="仿宋"/>
          <w:sz w:val="32"/>
          <w:szCs w:val="32"/>
          <w:lang w:val="zh-CN"/>
        </w:rPr>
        <w:t>开展了全面的自查评价。</w:t>
      </w:r>
    </w:p>
    <w:p>
      <w:pPr>
        <w:adjustRightInd w:val="0"/>
        <w:snapToGrid w:val="0"/>
        <w:spacing w:line="600" w:lineRule="exact"/>
        <w:ind w:firstLine="720"/>
        <w:outlineLvl w:val="1"/>
        <w:rPr>
          <w:rFonts w:ascii="黑体" w:hAnsi="宋体" w:eastAsia="黑体"/>
          <w:sz w:val="32"/>
          <w:szCs w:val="32"/>
        </w:rPr>
      </w:pPr>
      <w:r>
        <w:rPr>
          <w:rFonts w:hint="eastAsia" w:ascii="黑体" w:hAnsi="宋体" w:eastAsia="黑体"/>
          <w:sz w:val="32"/>
          <w:szCs w:val="32"/>
        </w:rPr>
        <w:t>二、项目资金申报及使用情况</w:t>
      </w:r>
      <w:bookmarkEnd w:id="81"/>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根据相关文件申报，按时按量给予批复。</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．资金计划。地方7.2万元。</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按时到位。</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．资金使用。2021年度下达资金7.2万，使用资金7.2万元。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bookmarkStart w:id="82" w:name="_Toc13868"/>
      <w:r>
        <w:rPr>
          <w:rFonts w:hint="eastAsia" w:ascii="仿宋_GB2312" w:hAnsi="宋体" w:eastAsia="仿宋_GB2312"/>
          <w:sz w:val="32"/>
          <w:szCs w:val="32"/>
          <w:lang w:val="zh-CN"/>
        </w:rPr>
        <w:t>严格相关财务制度。项目资金实行专款专用，专项核算。严格按照项目方案和绩效执行。</w:t>
      </w:r>
    </w:p>
    <w:p>
      <w:pPr>
        <w:adjustRightInd w:val="0"/>
        <w:snapToGrid w:val="0"/>
        <w:spacing w:line="600" w:lineRule="exact"/>
        <w:ind w:firstLine="720"/>
        <w:outlineLvl w:val="1"/>
        <w:rPr>
          <w:rFonts w:ascii="黑体" w:hAnsi="宋体" w:eastAsia="黑体"/>
          <w:sz w:val="32"/>
          <w:szCs w:val="32"/>
        </w:rPr>
      </w:pPr>
      <w:r>
        <w:rPr>
          <w:rFonts w:hint="eastAsia" w:ascii="黑体" w:hAnsi="宋体" w:eastAsia="黑体"/>
          <w:sz w:val="32"/>
          <w:szCs w:val="32"/>
        </w:rPr>
        <w:t>三、项目实施及管理情况</w:t>
      </w:r>
      <w:bookmarkEnd w:id="82"/>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pStyle w:val="22"/>
        <w:numPr>
          <w:ilvl w:val="0"/>
          <w:numId w:val="4"/>
        </w:numPr>
        <w:adjustRightInd w:val="0"/>
        <w:snapToGrid w:val="0"/>
        <w:spacing w:before="93" w:line="600" w:lineRule="exact"/>
        <w:ind w:firstLineChars="0"/>
        <w:rPr>
          <w:rFonts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adjustRightInd w:val="0"/>
        <w:snapToGrid w:val="0"/>
        <w:spacing w:before="93"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根据中心组织机构情况，由业务部室提出具体方案，通过会议讨论通过，及实施。</w:t>
      </w:r>
    </w:p>
    <w:p>
      <w:pPr>
        <w:pStyle w:val="22"/>
        <w:numPr>
          <w:ilvl w:val="0"/>
          <w:numId w:val="4"/>
        </w:numPr>
        <w:adjustRightInd w:val="0"/>
        <w:snapToGrid w:val="0"/>
        <w:spacing w:before="93" w:line="600" w:lineRule="exact"/>
        <w:ind w:firstLineChars="0"/>
        <w:rPr>
          <w:rFonts w:ascii="仿宋_GB2312" w:hAnsi="宋体" w:eastAsia="仿宋_GB2312"/>
          <w:sz w:val="32"/>
          <w:szCs w:val="32"/>
          <w:lang w:val="zh-CN"/>
        </w:rPr>
      </w:pPr>
      <w:r>
        <w:rPr>
          <w:rFonts w:hint="eastAsia" w:ascii="楷体_GB2312" w:hAnsi="宋体" w:eastAsia="楷体_GB2312"/>
          <w:b/>
          <w:sz w:val="32"/>
          <w:szCs w:val="32"/>
          <w:lang w:val="zh-CN"/>
        </w:rPr>
        <w:t>项目管理情况</w:t>
      </w:r>
    </w:p>
    <w:p>
      <w:pPr>
        <w:adjustRightInd w:val="0"/>
        <w:snapToGrid w:val="0"/>
        <w:spacing w:before="93" w:line="600" w:lineRule="exact"/>
        <w:ind w:left="720"/>
        <w:rPr>
          <w:rFonts w:ascii="仿宋_GB2312" w:hAnsi="宋体" w:eastAsia="仿宋_GB2312"/>
          <w:sz w:val="32"/>
          <w:szCs w:val="32"/>
          <w:lang w:val="zh-CN"/>
        </w:rPr>
      </w:pPr>
      <w:r>
        <w:rPr>
          <w:rFonts w:hint="eastAsia" w:ascii="仿宋_GB2312" w:hAnsi="宋体" w:eastAsia="仿宋_GB2312"/>
          <w:sz w:val="32"/>
          <w:szCs w:val="32"/>
          <w:lang w:val="zh-CN"/>
        </w:rPr>
        <w:t>由业务部室会议报告项目进度。</w:t>
      </w:r>
    </w:p>
    <w:p>
      <w:pPr>
        <w:pStyle w:val="22"/>
        <w:numPr>
          <w:ilvl w:val="0"/>
          <w:numId w:val="4"/>
        </w:numPr>
        <w:adjustRightInd w:val="0"/>
        <w:snapToGrid w:val="0"/>
        <w:spacing w:before="93" w:line="600" w:lineRule="exact"/>
        <w:ind w:firstLineChars="0"/>
        <w:rPr>
          <w:rFonts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adjustRightInd w:val="0"/>
        <w:snapToGrid w:val="0"/>
        <w:spacing w:before="93" w:line="600" w:lineRule="exact"/>
        <w:ind w:left="720"/>
        <w:rPr>
          <w:rFonts w:ascii="仿宋_GB2312" w:hAnsi="宋体" w:eastAsia="仿宋_GB2312"/>
          <w:sz w:val="32"/>
          <w:szCs w:val="32"/>
          <w:lang w:val="zh-CN"/>
        </w:rPr>
      </w:pPr>
      <w:r>
        <w:rPr>
          <w:rFonts w:hint="eastAsia" w:ascii="仿宋_GB2312" w:hAnsi="宋体" w:eastAsia="仿宋_GB2312"/>
          <w:sz w:val="32"/>
          <w:szCs w:val="32"/>
          <w:lang w:val="zh-CN"/>
        </w:rPr>
        <w:t>根据绩效目标，监控项目进度。</w:t>
      </w:r>
    </w:p>
    <w:p>
      <w:pPr>
        <w:adjustRightInd w:val="0"/>
        <w:snapToGrid w:val="0"/>
        <w:spacing w:line="600" w:lineRule="exact"/>
        <w:ind w:firstLine="720"/>
        <w:outlineLvl w:val="1"/>
        <w:rPr>
          <w:rFonts w:ascii="仿宋_GB2312" w:hAnsi="宋体" w:eastAsia="仿宋_GB2312"/>
          <w:sz w:val="32"/>
          <w:szCs w:val="32"/>
          <w:lang w:val="zh-CN"/>
        </w:rPr>
      </w:pPr>
      <w:bookmarkStart w:id="83" w:name="_Toc20013"/>
      <w:r>
        <w:rPr>
          <w:rFonts w:hint="eastAsia" w:ascii="黑体" w:hAnsi="宋体" w:eastAsia="黑体"/>
          <w:sz w:val="32"/>
          <w:szCs w:val="32"/>
        </w:rPr>
        <w:t>四、项目绩效情况</w:t>
      </w:r>
      <w:bookmarkEnd w:id="83"/>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通过项目的实施，完成非遗培训5次，指导县区工作5次，学习考察5次，非遗主题日、大讲堂2次，非遗项目资料收集整理2项。通过该项目的实施，确保了中心工作的正常运作及相关活动的开展。</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在社会效益方面，唤起社会保护优秀传统文化的意识，让非遗更好的传承和保护，参与人数增加。</w:t>
      </w:r>
    </w:p>
    <w:p>
      <w:pPr>
        <w:adjustRightInd w:val="0"/>
        <w:snapToGrid w:val="0"/>
        <w:spacing w:line="600" w:lineRule="exact"/>
        <w:ind w:firstLine="720"/>
        <w:outlineLvl w:val="1"/>
        <w:rPr>
          <w:rFonts w:ascii="黑体" w:hAnsi="宋体" w:eastAsia="黑体"/>
          <w:sz w:val="32"/>
          <w:szCs w:val="32"/>
        </w:rPr>
      </w:pPr>
      <w:bookmarkStart w:id="84" w:name="_Toc3391"/>
      <w:r>
        <w:rPr>
          <w:rFonts w:hint="eastAsia" w:ascii="黑体" w:hAnsi="宋体" w:eastAsia="黑体"/>
          <w:sz w:val="32"/>
          <w:szCs w:val="32"/>
        </w:rPr>
        <w:t>五、评价结论及建议</w:t>
      </w:r>
      <w:bookmarkEnd w:id="84"/>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非遗项目传承保护及数据库建设经费项目为更好的非遗传承与保护提供了基本运行保障，在资金的使用上严格按照相关文件要求执行，并确保项目的整顺利进行和质量要求。</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加强资金管理，确保资金合规使用。积极争取更多资金。</w:t>
      </w:r>
    </w:p>
    <w:p>
      <w:pPr>
        <w:spacing w:line="572" w:lineRule="exact"/>
        <w:jc w:val="left"/>
        <w:outlineLvl w:val="1"/>
        <w:rPr>
          <w:rFonts w:ascii="仿宋_GB2312" w:hAnsi="仿宋_GB2312" w:eastAsia="黑体" w:cs="仿宋_GB2312"/>
          <w:sz w:val="32"/>
          <w:szCs w:val="32"/>
        </w:rPr>
      </w:pPr>
      <w:bookmarkStart w:id="85" w:name="_Toc14783"/>
      <w:r>
        <w:rPr>
          <w:rFonts w:hint="eastAsia" w:ascii="黑体" w:hAnsi="黑体" w:eastAsia="黑体" w:cs="黑体"/>
          <w:sz w:val="32"/>
          <w:szCs w:val="32"/>
        </w:rPr>
        <w:t>附表</w:t>
      </w:r>
      <w:bookmarkEnd w:id="85"/>
    </w:p>
    <w:tbl>
      <w:tblPr>
        <w:tblStyle w:val="12"/>
        <w:tblpPr w:leftFromText="180" w:rightFromText="180" w:vertAnchor="text" w:horzAnchor="page" w:tblpXSpec="center" w:tblpY="423"/>
        <w:tblOverlap w:val="never"/>
        <w:tblW w:w="103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16"/>
        <w:gridCol w:w="1367"/>
        <w:gridCol w:w="1025"/>
        <w:gridCol w:w="2336"/>
        <w:gridCol w:w="2450"/>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10386" w:type="dxa"/>
            <w:gridSpan w:val="6"/>
            <w:tcBorders>
              <w:top w:val="nil"/>
              <w:left w:val="nil"/>
              <w:bottom w:val="nil"/>
              <w:right w:val="nil"/>
            </w:tcBorders>
            <w:tcMar>
              <w:top w:w="15" w:type="dxa"/>
              <w:left w:w="15" w:type="dxa"/>
              <w:right w:w="15" w:type="dxa"/>
            </w:tcMar>
            <w:vAlign w:val="center"/>
          </w:tcPr>
          <w:p>
            <w:pPr>
              <w:widowControl/>
              <w:ind w:left="3948" w:leftChars="1450" w:hanging="903" w:hangingChars="250"/>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w:t>
            </w:r>
            <w:r>
              <w:rPr>
                <w:rFonts w:hint="eastAsia" w:ascii="宋体" w:hAnsi="宋体" w:cs="宋体"/>
                <w:color w:val="000000"/>
                <w:kern w:val="0"/>
                <w:sz w:val="36"/>
                <w:szCs w:val="36"/>
              </w:rPr>
              <w:t>2021年度</w:t>
            </w:r>
            <w:r>
              <w:rPr>
                <w:rFonts w:ascii="宋体" w:hAns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2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非遗项目传承保护及数据库建设经费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2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广元市非物质文化遗产保护中心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7.2万元</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7.2万元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7.2万元</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7.2万元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3" w:hRule="atLeast"/>
        </w:trPr>
        <w:tc>
          <w:tcPr>
            <w:tcW w:w="8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8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组织非遗部训、指导县区工作、组织学习考察、举办主题及大讲堂、非遗项目资料收集整理</w:t>
            </w:r>
          </w:p>
        </w:tc>
        <w:tc>
          <w:tcPr>
            <w:tcW w:w="4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组织非遗部训、指导县区工作、组织学习考察、举办主题及大讲堂、非遗项目资料收集整理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trPr>
        <w:tc>
          <w:tcPr>
            <w:tcW w:w="81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指标1:组织非遗培训</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right w:val="single" w:color="000000" w:sz="4" w:space="0"/>
            </w:tcBorders>
            <w:tcMar>
              <w:top w:w="15" w:type="dxa"/>
              <w:left w:w="15" w:type="dxa"/>
              <w:right w:w="15" w:type="dxa"/>
            </w:tcMar>
            <w:vAlign w:val="center"/>
          </w:tc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指标2：指导县区工作</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right w:val="single" w:color="000000" w:sz="4" w:space="0"/>
            </w:tcBorders>
            <w:tcMar>
              <w:top w:w="15" w:type="dxa"/>
              <w:left w:w="15" w:type="dxa"/>
              <w:right w:w="15" w:type="dxa"/>
            </w:tcMar>
            <w:vAlign w:val="center"/>
          </w:tc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指标3：组织学习、考察</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right w:val="single" w:color="000000" w:sz="4" w:space="0"/>
            </w:tcBorders>
            <w:tcMar>
              <w:top w:w="15" w:type="dxa"/>
              <w:left w:w="15" w:type="dxa"/>
              <w:right w:w="15" w:type="dxa"/>
            </w:tcMar>
            <w:vAlign w:val="center"/>
          </w:tc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指标4：非遗主题日、大讲堂</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right w:val="single" w:color="000000" w:sz="4" w:space="0"/>
            </w:tcBorders>
            <w:tcMar>
              <w:top w:w="15" w:type="dxa"/>
              <w:left w:w="15" w:type="dxa"/>
              <w:right w:w="15" w:type="dxa"/>
            </w:tcMar>
            <w:vAlign w:val="center"/>
          </w:tc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指标5：非遗项目资料收集、整理</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指标1：完成时间</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1月至12月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指标1:组织非遗培训</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right w:val="single" w:color="000000" w:sz="4" w:space="0"/>
            </w:tcBorders>
            <w:tcMar>
              <w:top w:w="15" w:type="dxa"/>
              <w:left w:w="15" w:type="dxa"/>
              <w:right w:w="15" w:type="dxa"/>
            </w:tcMar>
            <w:vAlign w:val="center"/>
          </w:tc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指标2：指导县区工作</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8"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right w:val="single" w:color="000000" w:sz="4" w:space="0"/>
            </w:tcBorders>
            <w:tcMar>
              <w:top w:w="15" w:type="dxa"/>
              <w:left w:w="15" w:type="dxa"/>
              <w:right w:w="15" w:type="dxa"/>
            </w:tcMar>
            <w:vAlign w:val="center"/>
          </w:tc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指标3：组织学习、考察</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2.2万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right w:val="single" w:color="000000" w:sz="4" w:space="0"/>
            </w:tcBorders>
            <w:tcMar>
              <w:top w:w="15" w:type="dxa"/>
              <w:left w:w="15" w:type="dxa"/>
              <w:right w:w="15" w:type="dxa"/>
            </w:tcMar>
            <w:vAlign w:val="center"/>
          </w:tc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指标4：非遗主题日、大讲堂</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指标5：非遗项目资料收集、整理</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指标1：传承及保护</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唤起社会保护优秀传统文化的意识，让非遗更好的传承和保护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参与人明显比往年数增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81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满意度指标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sz w:val="24"/>
              </w:rPr>
            </w:pPr>
            <w:r>
              <w:rPr>
                <w:rFonts w:hint="eastAsia" w:ascii="宋体" w:cs="宋体"/>
                <w:sz w:val="24"/>
              </w:rPr>
              <w:t>指标1：传承人与群众</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8"/>
                <w:szCs w:val="28"/>
              </w:rPr>
            </w:pPr>
            <w:r>
              <w:rPr>
                <w:rFonts w:hint="eastAsia" w:ascii="宋体" w:cs="Arial"/>
                <w:kern w:val="0"/>
                <w:sz w:val="28"/>
                <w:szCs w:val="28"/>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8"/>
                <w:szCs w:val="28"/>
              </w:rPr>
            </w:pPr>
            <w:r>
              <w:rPr>
                <w:rFonts w:hint="eastAsia" w:ascii="宋体" w:cs="Arial"/>
                <w:kern w:val="0"/>
                <w:sz w:val="28"/>
                <w:szCs w:val="28"/>
              </w:rPr>
              <w:t>≧90%</w:t>
            </w:r>
          </w:p>
        </w:tc>
      </w:tr>
    </w:tbl>
    <w:p>
      <w:pPr>
        <w:spacing w:line="580" w:lineRule="exact"/>
        <w:ind w:left="630"/>
        <w:rPr>
          <w:rFonts w:ascii="仿宋_GB2312" w:hAnsi="仿宋_GB2312" w:eastAsia="仿宋_GB2312" w:cs="仿宋_GB2312"/>
          <w:sz w:val="32"/>
          <w:szCs w:val="32"/>
        </w:rPr>
      </w:pPr>
    </w:p>
    <w:p>
      <w:pPr>
        <w:pStyle w:val="2"/>
        <w:spacing w:before="93" w:beforeLines="0"/>
        <w:rPr>
          <w:lang w:val="zh-CN"/>
        </w:rPr>
      </w:pPr>
    </w:p>
    <w:p>
      <w:pPr>
        <w:pStyle w:val="2"/>
        <w:spacing w:before="93" w:beforeLines="0"/>
        <w:rPr>
          <w:lang w:val="zh-CN"/>
        </w:rPr>
      </w:pPr>
      <w:r>
        <w:rPr>
          <w:lang w:val="zh-CN"/>
        </w:rPr>
        <w:br w:type="page"/>
      </w:r>
    </w:p>
    <w:p>
      <w:pPr>
        <w:spacing w:line="580" w:lineRule="exact"/>
        <w:rPr>
          <w:rFonts w:ascii="仿宋_GB2312" w:hAnsi="仿宋_GB2312" w:eastAsia="黑体" w:cs="仿宋_GB2312"/>
          <w:sz w:val="32"/>
          <w:szCs w:val="32"/>
        </w:rPr>
      </w:pPr>
      <w:r>
        <w:rPr>
          <w:rFonts w:hint="eastAsia" w:ascii="黑体" w:hAnsi="黑体" w:eastAsia="黑体" w:cs="黑体"/>
          <w:sz w:val="32"/>
          <w:szCs w:val="32"/>
        </w:rPr>
        <w:t>附件2</w:t>
      </w: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广元市非物质文化遗产保护中心</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2021年民间绣活（麻柳刺绣）</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outlineLvl w:val="1"/>
        <w:rPr>
          <w:rFonts w:ascii="黑体" w:hAnsi="宋体" w:eastAsia="黑体"/>
          <w:sz w:val="32"/>
          <w:szCs w:val="32"/>
          <w:lang w:val="zh-CN"/>
        </w:rPr>
      </w:pPr>
      <w:bookmarkStart w:id="86" w:name="_Toc14920"/>
      <w:r>
        <w:rPr>
          <w:rFonts w:hint="eastAsia" w:ascii="黑体" w:hAnsi="宋体" w:eastAsia="黑体"/>
          <w:sz w:val="32"/>
          <w:szCs w:val="32"/>
        </w:rPr>
        <w:t>一、</w:t>
      </w:r>
      <w:r>
        <w:rPr>
          <w:rFonts w:hint="eastAsia" w:ascii="黑体" w:hAnsi="宋体" w:eastAsia="黑体"/>
          <w:sz w:val="32"/>
          <w:szCs w:val="32"/>
          <w:lang w:val="zh-CN"/>
        </w:rPr>
        <w:t>项目概况</w:t>
      </w:r>
      <w:bookmarkEnd w:id="86"/>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 w:hAnsi="仿宋" w:eastAsia="仿宋" w:cs="Arial"/>
          <w:kern w:val="0"/>
          <w:sz w:val="32"/>
          <w:szCs w:val="32"/>
        </w:rPr>
      </w:pPr>
      <w:r>
        <w:rPr>
          <w:rFonts w:hint="eastAsia" w:ascii="仿宋" w:hAnsi="仿宋" w:eastAsia="仿宋" w:cs="Arial"/>
          <w:kern w:val="0"/>
          <w:sz w:val="32"/>
          <w:szCs w:val="32"/>
        </w:rPr>
        <w:t>举办巴蜀民间绣活大赛暨非遗展示展演展销活动。邀请川渝两省及省外部分国家级刺绣工坊、传承人参加活动。助力第八届国际非遗节，开展文创产品研发推介工作，推介麻柳刺绣文创产品，提升绣女创作水平，提高社会知晓度，以精品创作带动衍生开发；创作麻柳刺绣文艺作品，宣传麻柳刺绣，进一步扩大麻柳刺绣的社会影响力和知名度，有利于麻柳刺绣传承与保护。</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通过该项目，组织开展</w:t>
      </w:r>
      <w:r>
        <w:rPr>
          <w:rFonts w:hint="eastAsia" w:ascii="仿宋" w:hAnsi="仿宋" w:eastAsia="仿宋" w:cs="Arial"/>
          <w:kern w:val="0"/>
          <w:sz w:val="32"/>
          <w:szCs w:val="32"/>
        </w:rPr>
        <w:t>非遗培训传承活动5次，非遗展演活动10场，开展非遗展览展示活动5次。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根据该年项目实施，能够按质按量的完成项目。</w:t>
      </w:r>
    </w:p>
    <w:p>
      <w:pPr>
        <w:adjustRightInd w:val="0"/>
        <w:snapToGrid w:val="0"/>
        <w:spacing w:line="600" w:lineRule="exact"/>
        <w:ind w:firstLine="720"/>
        <w:outlineLvl w:val="1"/>
        <w:rPr>
          <w:rFonts w:ascii="黑体" w:hAnsi="宋体" w:eastAsia="黑体"/>
          <w:sz w:val="32"/>
          <w:szCs w:val="32"/>
        </w:rPr>
      </w:pPr>
      <w:bookmarkStart w:id="87" w:name="_Toc7423"/>
      <w:r>
        <w:rPr>
          <w:rFonts w:hint="eastAsia" w:ascii="黑体" w:hAnsi="宋体" w:eastAsia="黑体"/>
          <w:sz w:val="32"/>
          <w:szCs w:val="32"/>
        </w:rPr>
        <w:t>二、项目资金申报及使用情况</w:t>
      </w:r>
      <w:bookmarkEnd w:id="87"/>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w:t>
      </w:r>
      <w:r>
        <w:rPr>
          <w:rFonts w:ascii="仿宋_GB2312" w:hAnsi="宋体" w:eastAsia="仿宋_GB2312"/>
          <w:sz w:val="32"/>
          <w:szCs w:val="32"/>
          <w:lang w:val="zh-CN"/>
        </w:rPr>
        <w:t>021</w:t>
      </w:r>
      <w:r>
        <w:rPr>
          <w:rFonts w:hint="eastAsia" w:ascii="仿宋_GB2312" w:hAnsi="宋体" w:eastAsia="仿宋_GB2312"/>
          <w:sz w:val="32"/>
          <w:szCs w:val="32"/>
          <w:lang w:val="zh-CN"/>
        </w:rPr>
        <w:t>年预算申报资金80万，实际到位80万元。资金到位后，用于麻柳刺绣传承与保护、文创开发等 。</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．资金计划。80万。</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仿宋_GB2312" w:hAnsi="宋体" w:eastAsia="仿宋_GB2312"/>
          <w:sz w:val="32"/>
          <w:szCs w:val="32"/>
          <w:lang w:val="zh-CN"/>
        </w:rPr>
        <w:t>按时到位。</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．资金使用。2021年度下达资金80万，使用资金80万</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严格相关财务制度，项目资金实行专款专用，专项核算。严格按照项目方案和绩效执行。</w:t>
      </w:r>
    </w:p>
    <w:p>
      <w:pPr>
        <w:adjustRightInd w:val="0"/>
        <w:snapToGrid w:val="0"/>
        <w:spacing w:line="600" w:lineRule="exact"/>
        <w:ind w:firstLine="720"/>
        <w:outlineLvl w:val="1"/>
        <w:rPr>
          <w:rFonts w:ascii="黑体" w:hAnsi="宋体" w:eastAsia="黑体"/>
          <w:sz w:val="32"/>
          <w:szCs w:val="32"/>
        </w:rPr>
      </w:pPr>
      <w:bookmarkStart w:id="88" w:name="_Toc9371"/>
      <w:r>
        <w:rPr>
          <w:rFonts w:hint="eastAsia" w:ascii="黑体" w:hAnsi="宋体" w:eastAsia="黑体"/>
          <w:sz w:val="32"/>
          <w:szCs w:val="32"/>
        </w:rPr>
        <w:t>三、项目实施及管理情况</w:t>
      </w:r>
      <w:bookmarkEnd w:id="88"/>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我中心严格按照年初安排执行该项目，能够合理规划，安全有效的使用资金，推进项目，能够在预定的时间内完成该项目。</w:t>
      </w:r>
    </w:p>
    <w:p>
      <w:pPr>
        <w:adjustRightInd w:val="0"/>
        <w:snapToGrid w:val="0"/>
        <w:spacing w:line="600" w:lineRule="exact"/>
        <w:ind w:firstLine="720"/>
        <w:outlineLvl w:val="1"/>
        <w:rPr>
          <w:rFonts w:ascii="仿宋_GB2312" w:hAnsi="宋体" w:eastAsia="仿宋_GB2312"/>
          <w:sz w:val="32"/>
          <w:szCs w:val="32"/>
          <w:lang w:val="zh-CN"/>
        </w:rPr>
      </w:pPr>
      <w:bookmarkStart w:id="89" w:name="_Toc10353"/>
      <w:r>
        <w:rPr>
          <w:rFonts w:hint="eastAsia" w:ascii="黑体" w:hAnsi="宋体" w:eastAsia="黑体"/>
          <w:sz w:val="32"/>
          <w:szCs w:val="32"/>
        </w:rPr>
        <w:t>四、项目绩效情况</w:t>
      </w:r>
      <w:bookmarkEnd w:id="89"/>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通过该项目的实施，确保</w:t>
      </w:r>
      <w:r>
        <w:rPr>
          <w:rFonts w:hint="eastAsia" w:ascii="仿宋" w:hAnsi="仿宋" w:eastAsia="仿宋" w:cs="Arial"/>
          <w:kern w:val="0"/>
          <w:sz w:val="32"/>
          <w:szCs w:val="32"/>
        </w:rPr>
        <w:t>活大赛暨非遗展示展演展销活动</w:t>
      </w:r>
      <w:r>
        <w:rPr>
          <w:rFonts w:hint="eastAsia" w:ascii="仿宋_GB2312" w:hAnsi="宋体" w:eastAsia="仿宋_GB2312"/>
          <w:sz w:val="32"/>
          <w:szCs w:val="32"/>
          <w:lang w:val="zh-CN"/>
        </w:rPr>
        <w:t>、文化产品开发等活动的有序开展，为麻柳刺绣的传承与保护提供了保障。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 w:hAnsi="仿宋" w:eastAsia="仿宋" w:cs="Arial"/>
          <w:kern w:val="0"/>
          <w:sz w:val="32"/>
          <w:szCs w:val="32"/>
        </w:rPr>
      </w:pPr>
      <w:r>
        <w:rPr>
          <w:rFonts w:hint="eastAsia" w:ascii="仿宋_GB2312" w:hAnsi="宋体" w:eastAsia="仿宋_GB2312"/>
          <w:sz w:val="32"/>
          <w:szCs w:val="32"/>
          <w:lang w:val="zh-CN"/>
        </w:rPr>
        <w:t>在社会效益方面，</w:t>
      </w:r>
      <w:bookmarkStart w:id="90" w:name="_Toc3870"/>
      <w:r>
        <w:rPr>
          <w:rFonts w:hint="eastAsia" w:ascii="仿宋" w:hAnsi="仿宋" w:eastAsia="仿宋" w:cs="Arial"/>
          <w:kern w:val="0"/>
          <w:sz w:val="32"/>
          <w:szCs w:val="32"/>
        </w:rPr>
        <w:t>宣传麻柳刺绣，进一步扩大麻柳刺绣的社会影响力和知名度。</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bookmarkEnd w:id="90"/>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该项目为麻柳刺绣的传承与保护提供了基本保障，</w:t>
      </w:r>
      <w:r>
        <w:rPr>
          <w:rFonts w:hint="eastAsia" w:ascii="仿宋" w:hAnsi="仿宋" w:eastAsia="仿宋" w:cs="Arial"/>
          <w:kern w:val="0"/>
          <w:sz w:val="32"/>
          <w:szCs w:val="32"/>
        </w:rPr>
        <w:t>非遗宣传传播覆盖人群增长率</w:t>
      </w:r>
      <w:r>
        <w:rPr>
          <w:rFonts w:hint="eastAsia" w:ascii="仿宋" w:hAnsi="仿宋" w:eastAsia="仿宋"/>
          <w:sz w:val="32"/>
          <w:szCs w:val="32"/>
          <w:lang w:val="zh-CN"/>
        </w:rPr>
        <w:t>。</w:t>
      </w:r>
      <w:r>
        <w:rPr>
          <w:rFonts w:hint="eastAsia" w:ascii="仿宋_GB2312" w:hAnsi="宋体" w:eastAsia="仿宋_GB2312"/>
          <w:sz w:val="32"/>
          <w:szCs w:val="32"/>
          <w:lang w:val="zh-CN"/>
        </w:rPr>
        <w:t>在资金的使用上严格按照预算申报执行，并确保项目的整体有序推进。</w:t>
      </w:r>
    </w:p>
    <w:p>
      <w:pPr>
        <w:pStyle w:val="2"/>
        <w:spacing w:before="93" w:beforeLines="0"/>
        <w:rPr>
          <w:lang w:val="zh-CN"/>
        </w:rPr>
      </w:pPr>
    </w:p>
    <w:p>
      <w:pPr>
        <w:spacing w:line="572" w:lineRule="exact"/>
        <w:jc w:val="left"/>
        <w:outlineLvl w:val="1"/>
        <w:rPr>
          <w:rFonts w:ascii="仿宋_GB2312" w:hAnsi="仿宋_GB2312" w:eastAsia="黑体" w:cs="仿宋_GB2312"/>
          <w:sz w:val="32"/>
          <w:szCs w:val="32"/>
        </w:rPr>
      </w:pPr>
      <w:bookmarkStart w:id="91" w:name="_Toc32248"/>
      <w:r>
        <w:rPr>
          <w:rFonts w:hint="eastAsia" w:ascii="黑体" w:hAnsi="黑体" w:eastAsia="黑体" w:cs="黑体"/>
          <w:sz w:val="32"/>
          <w:szCs w:val="32"/>
        </w:rPr>
        <w:t>附表</w:t>
      </w:r>
      <w:bookmarkEnd w:id="91"/>
    </w:p>
    <w:tbl>
      <w:tblPr>
        <w:tblStyle w:val="12"/>
        <w:tblpPr w:leftFromText="180" w:rightFromText="180" w:vertAnchor="text" w:horzAnchor="page" w:tblpXSpec="center" w:tblpY="423"/>
        <w:tblOverlap w:val="never"/>
        <w:tblW w:w="103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16"/>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10386"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w:t>
            </w:r>
            <w:r>
              <w:rPr>
                <w:rFonts w:hint="eastAsia" w:ascii="宋体" w:hAnsi="宋体" w:cs="宋体"/>
                <w:color w:val="000000"/>
                <w:kern w:val="0"/>
                <w:sz w:val="36"/>
                <w:szCs w:val="36"/>
              </w:rPr>
              <w:t>2021年度</w:t>
            </w:r>
            <w:r>
              <w:rPr>
                <w:rFonts w:ascii="宋体" w:hAns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2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32"/>
                <w:szCs w:val="32"/>
              </w:rPr>
            </w:pPr>
            <w:r>
              <w:rPr>
                <w:rFonts w:hint="eastAsia" w:ascii="仿宋" w:hAnsi="仿宋" w:eastAsia="仿宋"/>
                <w:color w:val="000000"/>
                <w:kern w:val="0"/>
                <w:sz w:val="32"/>
                <w:szCs w:val="32"/>
              </w:rPr>
              <w:t>民间绣活（麻柳刺绣）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2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 xml:space="preserve">                  广元市非物质文化遗产保护中心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 w:hRule="atLeast"/>
        </w:trPr>
        <w:tc>
          <w:tcPr>
            <w:tcW w:w="8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 w:hRule="atLeast"/>
        </w:trPr>
        <w:tc>
          <w:tcPr>
            <w:tcW w:w="8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举办巴蜀民间绣活大赛暨非遗展示展演展销活动。邀请川渝两省及省外部分国家级刺绣工坊、传承人参加活动。助力第八届国际非遗节，开展文创产品研发推介工作，推介麻柳刺绣文创产品，提升绣女创作水平，提高社会知晓度，以精品创作带动衍生开发；创作麻柳刺绣文艺作品，宣传麻柳刺绣，进一步扩大麻柳刺绣的社会影响力和知名度，有利于麻柳刺绣传承与保护。</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举办“川渝绣活大赛”，2021年文化和自然遗产日活动、开发麻柳刺绣系列文创产品，举办传承活动5场、展演活动10场、展示展销活动5场。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 w:hRule="atLeast"/>
        </w:trPr>
        <w:tc>
          <w:tcPr>
            <w:tcW w:w="81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指标1：举办非遗培训传承活动场次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≥5场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right w:val="single" w:color="000000" w:sz="4" w:space="0"/>
            </w:tcBorders>
            <w:tcMar>
              <w:top w:w="15" w:type="dxa"/>
              <w:left w:w="15" w:type="dxa"/>
              <w:right w:w="15" w:type="dxa"/>
            </w:tcMar>
            <w:vAlign w:val="center"/>
          </w:tc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指标2：举办非遗展演活动场次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≥10场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right w:val="single" w:color="000000" w:sz="4" w:space="0"/>
            </w:tcBorders>
            <w:tcMar>
              <w:top w:w="15" w:type="dxa"/>
              <w:left w:w="15" w:type="dxa"/>
              <w:right w:w="15" w:type="dxa"/>
            </w:tcMar>
            <w:vAlign w:val="center"/>
          </w:tc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指标3：非遗展演活动现场观众人数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≥4000人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right w:val="single" w:color="000000" w:sz="4" w:space="0"/>
            </w:tcBorders>
            <w:tcMar>
              <w:top w:w="15" w:type="dxa"/>
              <w:left w:w="15" w:type="dxa"/>
              <w:right w:w="15" w:type="dxa"/>
            </w:tcMar>
            <w:vAlign w:val="center"/>
          </w:tc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指标4：非遗展演活动线上传播人次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≧100000人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120000人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right w:val="single" w:color="000000" w:sz="4" w:space="0"/>
            </w:tcBorders>
            <w:tcMar>
              <w:top w:w="15" w:type="dxa"/>
              <w:left w:w="15" w:type="dxa"/>
              <w:right w:w="15" w:type="dxa"/>
            </w:tcMar>
            <w:vAlign w:val="center"/>
          </w:tc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指标5：开展非遗展览展示活动场次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≧5场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2"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指标6：开展非遗展览展示场馆面积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≧400平方米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460平方米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指标1：麻柳刺绣传承人培训合格率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指标1：巴蜀民间绣活大赛暨非遗展示展演展销活动开展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1月至12月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指标1：</w:t>
            </w:r>
            <w:r>
              <w:rPr>
                <w:rFonts w:hint="eastAsia" w:ascii="宋体" w:cs="Arial"/>
                <w:kern w:val="0"/>
                <w:sz w:val="18"/>
                <w:szCs w:val="18"/>
              </w:rPr>
              <w:t>绣活大赛暨非遗展示展演展销活动开展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指标1：非遗传承人群增长率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≧10%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81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sz w:val="24"/>
              </w:rPr>
            </w:pPr>
            <w:r>
              <w:rPr>
                <w:rFonts w:hint="eastAsia" w:ascii="宋体" w:cs="宋体"/>
                <w:sz w:val="24"/>
              </w:rPr>
              <w:t>指标1：传承人及观众满意度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Arial"/>
                <w:kern w:val="0"/>
                <w:sz w:val="18"/>
                <w:szCs w:val="18"/>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Arial"/>
                <w:kern w:val="0"/>
                <w:sz w:val="18"/>
                <w:szCs w:val="18"/>
              </w:rPr>
              <w:t>90%</w:t>
            </w:r>
          </w:p>
        </w:tc>
      </w:tr>
    </w:tbl>
    <w:p>
      <w:pPr>
        <w:pStyle w:val="2"/>
        <w:spacing w:before="93" w:beforeLines="0"/>
        <w:rPr>
          <w:lang w:val="zh-CN"/>
        </w:rPr>
      </w:pPr>
    </w:p>
    <w:p>
      <w:pPr>
        <w:widowControl/>
        <w:jc w:val="left"/>
        <w:rPr>
          <w:rFonts w:ascii="仿宋_GB2312" w:hAnsi="宋体" w:eastAsia="仿宋_GB2312"/>
          <w:sz w:val="32"/>
          <w:szCs w:val="32"/>
          <w:lang w:val="zh-CN"/>
        </w:rPr>
      </w:pPr>
      <w:r>
        <w:rPr>
          <w:rFonts w:ascii="仿宋_GB2312" w:hAnsi="宋体" w:eastAsia="仿宋_GB2312"/>
          <w:sz w:val="32"/>
          <w:szCs w:val="32"/>
          <w:lang w:val="zh-CN"/>
        </w:rPr>
        <w:br w:type="page"/>
      </w:r>
    </w:p>
    <w:p>
      <w:pPr>
        <w:spacing w:line="580" w:lineRule="exact"/>
        <w:rPr>
          <w:rFonts w:ascii="仿宋_GB2312" w:hAnsi="仿宋_GB2312" w:eastAsia="黑体" w:cs="仿宋_GB2312"/>
          <w:sz w:val="32"/>
          <w:szCs w:val="32"/>
        </w:rPr>
      </w:pPr>
      <w:r>
        <w:rPr>
          <w:rFonts w:hint="eastAsia" w:ascii="黑体" w:hAnsi="黑体" w:eastAsia="黑体" w:cs="黑体"/>
          <w:sz w:val="32"/>
          <w:szCs w:val="32"/>
        </w:rPr>
        <w:t>附件3</w:t>
      </w: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广元市非物质文化遗产保护中心</w:t>
      </w:r>
    </w:p>
    <w:p>
      <w:pPr>
        <w:spacing w:line="600" w:lineRule="exact"/>
        <w:jc w:val="center"/>
        <w:rPr>
          <w:rFonts w:ascii="黑体" w:hAnsi="黑体" w:eastAsia="黑体"/>
          <w:color w:val="000000"/>
          <w:kern w:val="0"/>
          <w:sz w:val="44"/>
          <w:szCs w:val="44"/>
          <w:lang w:val="zh-CN"/>
        </w:rPr>
      </w:pPr>
      <w:r>
        <w:rPr>
          <w:rFonts w:hint="eastAsia" w:ascii="黑体" w:hAnsi="黑体" w:eastAsia="黑体"/>
          <w:color w:val="000000"/>
          <w:kern w:val="0"/>
          <w:sz w:val="44"/>
          <w:szCs w:val="44"/>
        </w:rPr>
        <w:t>2021年“文化和自然遗产日”活动</w:t>
      </w:r>
      <w:r>
        <w:rPr>
          <w:rFonts w:hint="eastAsia" w:ascii="黑体" w:hAnsi="黑体" w:eastAsia="黑体"/>
          <w:color w:val="000000"/>
          <w:kern w:val="0"/>
          <w:sz w:val="44"/>
          <w:szCs w:val="44"/>
          <w:lang w:val="zh-CN"/>
        </w:rPr>
        <w:t>绩效</w:t>
      </w:r>
    </w:p>
    <w:p>
      <w:pPr>
        <w:spacing w:line="600" w:lineRule="exact"/>
        <w:jc w:val="center"/>
        <w:rPr>
          <w:rFonts w:ascii="黑体" w:hAnsi="黑体" w:eastAsia="黑体"/>
          <w:color w:val="000000"/>
          <w:kern w:val="0"/>
          <w:sz w:val="44"/>
          <w:szCs w:val="44"/>
          <w:lang w:val="zh-CN"/>
        </w:rPr>
      </w:pPr>
      <w:r>
        <w:rPr>
          <w:rFonts w:hint="eastAsia" w:ascii="黑体" w:hAnsi="黑体" w:eastAsia="黑体"/>
          <w:color w:val="000000"/>
          <w:kern w:val="0"/>
          <w:sz w:val="44"/>
          <w:szCs w:val="44"/>
          <w:lang w:val="zh-CN"/>
        </w:rPr>
        <w:t>评价报告</w:t>
      </w:r>
    </w:p>
    <w:p>
      <w:pPr>
        <w:spacing w:line="600" w:lineRule="exact"/>
        <w:rPr>
          <w:rFonts w:ascii="黑体" w:hAnsi="黑体" w:eastAsia="黑体"/>
          <w:sz w:val="44"/>
          <w:szCs w:val="44"/>
          <w:lang w:val="zh-CN"/>
        </w:rPr>
      </w:pPr>
    </w:p>
    <w:p>
      <w:pPr>
        <w:adjustRightInd w:val="0"/>
        <w:snapToGrid w:val="0"/>
        <w:spacing w:line="600" w:lineRule="exact"/>
        <w:ind w:firstLine="720"/>
        <w:outlineLvl w:val="1"/>
        <w:rPr>
          <w:rFonts w:ascii="黑体" w:hAnsi="宋体" w:eastAsia="黑体"/>
          <w:sz w:val="32"/>
          <w:szCs w:val="32"/>
          <w:lang w:val="zh-CN"/>
        </w:rPr>
      </w:pPr>
      <w:bookmarkStart w:id="92" w:name="_Toc7287"/>
      <w:r>
        <w:rPr>
          <w:rFonts w:hint="eastAsia" w:ascii="黑体" w:hAnsi="宋体" w:eastAsia="黑体"/>
          <w:sz w:val="32"/>
          <w:szCs w:val="32"/>
        </w:rPr>
        <w:t>一、</w:t>
      </w:r>
      <w:r>
        <w:rPr>
          <w:rFonts w:hint="eastAsia" w:ascii="黑体" w:hAnsi="宋体" w:eastAsia="黑体"/>
          <w:sz w:val="32"/>
          <w:szCs w:val="32"/>
          <w:lang w:val="zh-CN"/>
        </w:rPr>
        <w:t>项目概况</w:t>
      </w:r>
      <w:bookmarkEnd w:id="92"/>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2021年“文化和自然遗产日”四川非遗宣传展示广元主会场系列活动，深入贯彻落实习近平新时代中国特色社会主义思想、习近平总书记关于非物质文化遗产保护和对四川工作系列重要指示精神，充分发挥非遗在凝聚建设社会主义现代化国家新征程精神力量中的重要作用，宣传非遗在助力经济社会发展、巩固脱贫攻坚成果有效衔接乡村振兴发挥的积极作用，献礼庆祝中国共产党成立100周年，营造全社会共同参与、关注和保护传承优秀传统文化的浓厚氛围，更好地满足人民群众美好生活新需求。</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adjustRightInd w:val="0"/>
        <w:snapToGrid w:val="0"/>
        <w:spacing w:line="600" w:lineRule="exact"/>
        <w:ind w:firstLine="720"/>
        <w:rPr>
          <w:rFonts w:ascii="宋体" w:hAnsi="宋体" w:cs="宋体"/>
          <w:sz w:val="32"/>
          <w:szCs w:val="32"/>
          <w:lang w:val="zh-CN"/>
        </w:rPr>
      </w:pPr>
      <w:r>
        <w:rPr>
          <w:rFonts w:hint="eastAsia" w:ascii="仿宋_GB2312" w:hAnsi="宋体" w:eastAsia="仿宋_GB2312"/>
          <w:sz w:val="32"/>
          <w:szCs w:val="32"/>
          <w:lang w:val="zh-CN"/>
        </w:rPr>
        <w:t>“文化和自然遗产日”四川非遗宣传展示广元主会场系列活动，以</w:t>
      </w:r>
      <w:r>
        <w:rPr>
          <w:rFonts w:hint="eastAsia" w:ascii="宋体" w:hAnsi="宋体" w:cs="宋体"/>
          <w:sz w:val="32"/>
          <w:szCs w:val="32"/>
          <w:lang w:val="zh-CN"/>
        </w:rPr>
        <w:t>非遗展演展示展销、惠民演出、直播购物活动为主。</w:t>
      </w:r>
      <w:r>
        <w:rPr>
          <w:rFonts w:hint="eastAsia" w:ascii="仿宋_GB2312" w:hAnsi="宋体" w:eastAsia="仿宋_GB2312"/>
          <w:sz w:val="32"/>
          <w:szCs w:val="32"/>
          <w:lang w:val="zh-CN"/>
        </w:rPr>
        <w:t>根据实际执行情况，申报目标可行、合理，且能够完成。</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根据该年项目实施，能够按质按量的当年项目内容。</w:t>
      </w:r>
    </w:p>
    <w:p>
      <w:pPr>
        <w:adjustRightInd w:val="0"/>
        <w:snapToGrid w:val="0"/>
        <w:spacing w:line="600" w:lineRule="exact"/>
        <w:ind w:firstLine="720"/>
        <w:outlineLvl w:val="1"/>
        <w:rPr>
          <w:rFonts w:ascii="黑体" w:hAnsi="宋体" w:eastAsia="黑体"/>
          <w:sz w:val="32"/>
          <w:szCs w:val="32"/>
        </w:rPr>
      </w:pPr>
      <w:bookmarkStart w:id="93" w:name="_Toc17606"/>
      <w:r>
        <w:rPr>
          <w:rFonts w:hint="eastAsia" w:ascii="黑体" w:hAnsi="宋体" w:eastAsia="黑体"/>
          <w:sz w:val="32"/>
          <w:szCs w:val="32"/>
        </w:rPr>
        <w:t>二、项目资金申报及使用情况</w:t>
      </w:r>
      <w:bookmarkEnd w:id="93"/>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w:t>
      </w:r>
      <w:r>
        <w:rPr>
          <w:rFonts w:ascii="仿宋_GB2312" w:hAnsi="宋体" w:eastAsia="仿宋_GB2312"/>
          <w:sz w:val="32"/>
          <w:szCs w:val="32"/>
          <w:lang w:val="zh-CN"/>
        </w:rPr>
        <w:t>021</w:t>
      </w:r>
      <w:r>
        <w:rPr>
          <w:rFonts w:hint="eastAsia" w:ascii="仿宋_GB2312" w:hAnsi="宋体" w:eastAsia="仿宋_GB2312"/>
          <w:sz w:val="32"/>
          <w:szCs w:val="32"/>
          <w:lang w:val="zh-CN"/>
        </w:rPr>
        <w:t>年该项目申报金额为66.9万元，实际到位66.9万元。资金到位后，用于2021年“文化和自然遗产日”四川非遗宣传展示广元主会场系列活动。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800" w:firstLineChars="250"/>
        <w:rPr>
          <w:rFonts w:ascii="仿宋_GB2312" w:hAnsi="宋体" w:eastAsia="仿宋_GB2312"/>
          <w:sz w:val="32"/>
          <w:szCs w:val="32"/>
          <w:lang w:val="zh-CN"/>
        </w:rPr>
      </w:pPr>
      <w:r>
        <w:rPr>
          <w:rFonts w:hint="eastAsia" w:ascii="楷体_GB2312" w:hAnsi="宋体" w:eastAsia="楷体_GB2312"/>
          <w:sz w:val="32"/>
          <w:szCs w:val="32"/>
          <w:lang w:val="zh-CN"/>
        </w:rPr>
        <w:t>计划资金66.9万元，</w:t>
      </w:r>
      <w:r>
        <w:rPr>
          <w:rFonts w:hint="eastAsia" w:ascii="仿宋_GB2312" w:hAnsi="宋体" w:eastAsia="仿宋_GB2312"/>
          <w:sz w:val="32"/>
          <w:szCs w:val="32"/>
          <w:lang w:val="zh-CN"/>
        </w:rPr>
        <w:t>到位66.9万元，使用资金66.9元。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严格相关财务制度。项目资金实行专款专用，专项核算。严格按照项目方案和绩效执行。</w:t>
      </w:r>
    </w:p>
    <w:p>
      <w:pPr>
        <w:adjustRightInd w:val="0"/>
        <w:snapToGrid w:val="0"/>
        <w:spacing w:line="600" w:lineRule="exact"/>
        <w:ind w:firstLine="720"/>
        <w:outlineLvl w:val="1"/>
        <w:rPr>
          <w:rFonts w:ascii="黑体" w:hAnsi="宋体" w:eastAsia="黑体"/>
          <w:sz w:val="32"/>
          <w:szCs w:val="32"/>
        </w:rPr>
      </w:pPr>
      <w:bookmarkStart w:id="94" w:name="_Toc12713"/>
      <w:r>
        <w:rPr>
          <w:rFonts w:hint="eastAsia" w:ascii="黑体" w:hAnsi="宋体" w:eastAsia="黑体"/>
          <w:sz w:val="32"/>
          <w:szCs w:val="32"/>
        </w:rPr>
        <w:t>三、项目实施及管理情况</w:t>
      </w:r>
      <w:bookmarkEnd w:id="94"/>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我中心严格按照安排执行该项目，能够合理规划，安全有效的使用资金，推进项目，能够在预定的时间内完成该项目。</w:t>
      </w:r>
    </w:p>
    <w:p>
      <w:pPr>
        <w:adjustRightInd w:val="0"/>
        <w:snapToGrid w:val="0"/>
        <w:spacing w:line="600" w:lineRule="exact"/>
        <w:ind w:firstLine="720"/>
        <w:outlineLvl w:val="1"/>
        <w:rPr>
          <w:rFonts w:ascii="仿宋_GB2312" w:hAnsi="宋体" w:eastAsia="仿宋_GB2312"/>
          <w:sz w:val="32"/>
          <w:szCs w:val="32"/>
          <w:lang w:val="zh-CN"/>
        </w:rPr>
      </w:pPr>
      <w:bookmarkStart w:id="95" w:name="_Toc9727"/>
      <w:r>
        <w:rPr>
          <w:rFonts w:hint="eastAsia" w:ascii="黑体" w:hAnsi="宋体" w:eastAsia="黑体"/>
          <w:sz w:val="32"/>
          <w:szCs w:val="32"/>
        </w:rPr>
        <w:t>四、项目绩效情况</w:t>
      </w:r>
      <w:bookmarkEnd w:id="95"/>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该项目已完成建设、验收工作。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通过该项目的实施，通过系活动带动更多的人参与非遗保护。</w:t>
      </w:r>
    </w:p>
    <w:p>
      <w:pPr>
        <w:pStyle w:val="22"/>
        <w:numPr>
          <w:ilvl w:val="0"/>
          <w:numId w:val="1"/>
        </w:numPr>
        <w:adjustRightInd w:val="0"/>
        <w:snapToGrid w:val="0"/>
        <w:spacing w:line="600" w:lineRule="exact"/>
        <w:ind w:firstLineChars="0"/>
        <w:outlineLvl w:val="1"/>
        <w:rPr>
          <w:rFonts w:ascii="黑体" w:hAnsi="宋体" w:eastAsia="黑体"/>
          <w:sz w:val="32"/>
          <w:szCs w:val="32"/>
        </w:rPr>
      </w:pPr>
      <w:bookmarkStart w:id="96" w:name="_Toc4784"/>
      <w:r>
        <w:rPr>
          <w:rFonts w:hint="eastAsia" w:ascii="黑体" w:hAnsi="宋体" w:eastAsia="黑体"/>
          <w:sz w:val="32"/>
          <w:szCs w:val="32"/>
        </w:rPr>
        <w:t>评价结论及建议</w:t>
      </w:r>
      <w:bookmarkEnd w:id="96"/>
    </w:p>
    <w:p>
      <w:pPr>
        <w:pStyle w:val="2"/>
        <w:spacing w:before="93" w:beforeLines="0"/>
        <w:ind w:firstLine="320" w:firstLineChars="100"/>
      </w:pPr>
      <w:r>
        <w:rPr>
          <w:rFonts w:hint="eastAsia" w:hAnsi="宋体"/>
          <w:sz w:val="32"/>
          <w:szCs w:val="32"/>
          <w:lang w:val="zh-CN"/>
        </w:rPr>
        <w:t>“文化和自然遗产日”四川非遗宣传展示广元主会场系列活动，以</w:t>
      </w:r>
      <w:r>
        <w:rPr>
          <w:rFonts w:hint="eastAsia" w:ascii="宋体" w:hAnsi="宋体" w:cs="宋体"/>
          <w:sz w:val="32"/>
          <w:szCs w:val="32"/>
          <w:lang w:val="zh-CN"/>
        </w:rPr>
        <w:t>非遗展演展示展销、惠民演出、直播购物活动，为非遗保护与传承起到推作用，让更多的人参与非遗、保护非遗、宣传非遗。</w:t>
      </w:r>
    </w:p>
    <w:p>
      <w:pPr>
        <w:pStyle w:val="2"/>
        <w:spacing w:before="93" w:beforeLines="0"/>
        <w:rPr>
          <w:lang w:val="zh-CN"/>
        </w:rPr>
      </w:pPr>
    </w:p>
    <w:p>
      <w:pPr>
        <w:spacing w:line="572" w:lineRule="exact"/>
        <w:jc w:val="left"/>
        <w:outlineLvl w:val="1"/>
        <w:rPr>
          <w:rFonts w:ascii="仿宋_GB2312" w:hAnsi="仿宋_GB2312" w:eastAsia="黑体" w:cs="仿宋_GB2312"/>
          <w:sz w:val="32"/>
          <w:szCs w:val="32"/>
        </w:rPr>
      </w:pPr>
      <w:r>
        <w:rPr>
          <w:rFonts w:hint="eastAsia" w:ascii="黑体" w:hAnsi="黑体" w:eastAsia="黑体" w:cs="黑体"/>
          <w:sz w:val="32"/>
          <w:szCs w:val="32"/>
        </w:rPr>
        <w:t>附表</w:t>
      </w:r>
    </w:p>
    <w:tbl>
      <w:tblPr>
        <w:tblStyle w:val="12"/>
        <w:tblpPr w:leftFromText="180" w:rightFromText="180" w:vertAnchor="text" w:horzAnchor="page" w:tblpXSpec="center" w:tblpY="423"/>
        <w:tblOverlap w:val="never"/>
        <w:tblW w:w="103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16"/>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10386"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w:t>
            </w:r>
            <w:r>
              <w:rPr>
                <w:rFonts w:hint="eastAsia" w:ascii="宋体" w:hAnsi="宋体" w:cs="宋体"/>
                <w:color w:val="000000"/>
                <w:kern w:val="0"/>
                <w:sz w:val="36"/>
                <w:szCs w:val="36"/>
              </w:rPr>
              <w:t>2021年度</w:t>
            </w:r>
            <w:r>
              <w:rPr>
                <w:rFonts w:ascii="宋体" w:hAns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2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32"/>
                <w:szCs w:val="32"/>
              </w:rPr>
            </w:pPr>
            <w:r>
              <w:rPr>
                <w:rFonts w:hint="eastAsia" w:ascii="仿宋" w:hAnsi="仿宋" w:eastAsia="仿宋"/>
                <w:color w:val="000000"/>
                <w:kern w:val="0"/>
                <w:sz w:val="32"/>
                <w:szCs w:val="32"/>
              </w:rPr>
              <w:t>2021年“文化和自然遗产日”活动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20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000000"/>
                <w:sz w:val="24"/>
              </w:rPr>
            </w:pPr>
            <w:r>
              <w:rPr>
                <w:rFonts w:hint="eastAsia" w:ascii="宋体" w:cs="宋体"/>
                <w:color w:val="000000"/>
                <w:sz w:val="24"/>
              </w:rPr>
              <w:t xml:space="preserve">                  广元市非物质文化遗产保护中心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66.9万元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66.9万元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7" w:hRule="atLeast"/>
        </w:trPr>
        <w:tc>
          <w:tcPr>
            <w:tcW w:w="8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8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 w:hRule="atLeast"/>
        </w:trPr>
        <w:tc>
          <w:tcPr>
            <w:tcW w:w="8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通过2021年“文化和自然遗产日”四川非遗宣传展示广元主会场系列活动，深入贯彻落实习近平新时代中国特色社会主义思想、习近平总书记关于非物质文化遗产保护和对四川工作系列重要指示精神，充分发挥非遗在凝聚建设社会主义现代化国家新征程精神力量中的重要作用，宣传非遗在助力经济社会发展、巩固脱贫攻坚成果有效衔接乡村振兴发挥的积极作用，献礼庆祝中国共产党成立100周年，营造全社会共同参与、关注和保护传承优秀传统文化的浓厚氛围，更好地满足人民群众美好生活新需求</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2021年文化和自然遗产日活动完成35个非遗项目展示、展销30个非遗项目、展演活动2场、通过系活动带动更多的人参与非遗保护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 w:hRule="atLeast"/>
        </w:trPr>
        <w:tc>
          <w:tcPr>
            <w:tcW w:w="81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指标1：展示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35个项目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35个项目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right w:val="single" w:color="000000" w:sz="4" w:space="0"/>
            </w:tcBorders>
            <w:tcMar>
              <w:top w:w="15" w:type="dxa"/>
              <w:left w:w="15" w:type="dxa"/>
              <w:right w:w="15" w:type="dxa"/>
            </w:tcMar>
            <w:vAlign w:val="center"/>
          </w:tc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指标2：展销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30个项目</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30个项目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right w:val="single" w:color="000000" w:sz="4" w:space="0"/>
            </w:tcBorders>
            <w:tcMar>
              <w:top w:w="15" w:type="dxa"/>
              <w:left w:w="15" w:type="dxa"/>
              <w:right w:w="15" w:type="dxa"/>
            </w:tcMar>
            <w:vAlign w:val="center"/>
          </w:tc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指标3：展演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2场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2场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vMerge w:val="continue"/>
            <w:tcBorders>
              <w:left w:val="single" w:color="000000" w:sz="4" w:space="0"/>
              <w:right w:val="single" w:color="000000" w:sz="4" w:space="0"/>
            </w:tcBorders>
            <w:tcMar>
              <w:top w:w="15" w:type="dxa"/>
              <w:left w:w="15" w:type="dxa"/>
              <w:right w:w="15" w:type="dxa"/>
            </w:tcMar>
            <w:vAlign w:val="center"/>
          </w:tc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指标4：视频录制、制作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50个小时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50个小时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right w:val="single" w:color="000000" w:sz="4" w:space="0"/>
            </w:tcBorders>
            <w:tcMar>
              <w:top w:w="15" w:type="dxa"/>
              <w:left w:w="15" w:type="dxa"/>
              <w:right w:w="15" w:type="dxa"/>
            </w:tcMar>
            <w:vAlign w:val="center"/>
          </w:tc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指标1：活动目标绩效制定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4月底完成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指标1：项目完成时限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1月至12月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1月至12月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宋体"/>
                <w:color w:val="000000"/>
                <w:sz w:val="24"/>
              </w:rPr>
              <w:t>指标1：</w:t>
            </w:r>
            <w:r>
              <w:rPr>
                <w:rFonts w:hint="eastAsia" w:ascii="宋体" w:cs="Arial"/>
                <w:kern w:val="0"/>
                <w:sz w:val="18"/>
                <w:szCs w:val="18"/>
              </w:rPr>
              <w:t>文化和自然遗产日四川主会场展示、展演、展销活动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66.9万元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816"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4"/>
              </w:rPr>
            </w:pPr>
            <w:r>
              <w:rPr>
                <w:rFonts w:hint="eastAsia" w:ascii="宋体" w:cs="Arial"/>
                <w:kern w:val="0"/>
                <w:sz w:val="18"/>
                <w:szCs w:val="18"/>
              </w:rPr>
              <w:t>指标1：非物质文化遗产保护传承发展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通过系活动带动更多的人参与非遗保护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Arial"/>
                <w:kern w:val="0"/>
                <w:sz w:val="18"/>
                <w:szCs w:val="18"/>
              </w:rPr>
              <w:t>参与人数比以往增长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81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sz w:val="24"/>
              </w:rPr>
            </w:pPr>
            <w:r>
              <w:rPr>
                <w:rFonts w:hint="eastAsia" w:ascii="宋体" w:cs="宋体"/>
                <w:sz w:val="24"/>
              </w:rPr>
              <w:t>指标1：传承人及群众满意度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Arial"/>
                <w:kern w:val="0"/>
                <w:sz w:val="18"/>
                <w:szCs w:val="18"/>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sz w:val="24"/>
              </w:rPr>
            </w:pPr>
            <w:r>
              <w:rPr>
                <w:rFonts w:hint="eastAsia" w:ascii="宋体" w:cs="宋体"/>
                <w:sz w:val="24"/>
              </w:rPr>
              <w:t xml:space="preserve">       </w:t>
            </w:r>
            <w:r>
              <w:rPr>
                <w:rFonts w:hint="eastAsia" w:ascii="宋体" w:cs="Arial"/>
                <w:kern w:val="0"/>
                <w:sz w:val="18"/>
                <w:szCs w:val="18"/>
              </w:rPr>
              <w:t>≧90%</w:t>
            </w:r>
          </w:p>
        </w:tc>
      </w:tr>
    </w:tbl>
    <w:p>
      <w:pPr>
        <w:pStyle w:val="2"/>
        <w:spacing w:before="93" w:beforeLines="0"/>
        <w:rPr>
          <w:lang w:val="zh-CN"/>
        </w:rPr>
      </w:pPr>
    </w:p>
    <w:p>
      <w:pPr>
        <w:pStyle w:val="2"/>
        <w:spacing w:before="93" w:beforeLines="0"/>
        <w:rPr>
          <w:lang w:val="zh-CN"/>
        </w:rPr>
      </w:pPr>
    </w:p>
    <w:p>
      <w:pPr>
        <w:spacing w:line="600" w:lineRule="exact"/>
        <w:outlineLvl w:val="0"/>
        <w:rPr>
          <w:rFonts w:ascii="黑体" w:hAnsi="黑体" w:eastAsia="黑体"/>
          <w:sz w:val="44"/>
          <w:szCs w:val="44"/>
        </w:rPr>
      </w:pPr>
      <w:bookmarkStart w:id="97" w:name="_Toc30207"/>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outlineLvl w:val="0"/>
        <w:rPr>
          <w:rFonts w:ascii="黑体" w:hAnsi="黑体" w:eastAsia="黑体"/>
          <w:sz w:val="44"/>
          <w:szCs w:val="44"/>
        </w:rPr>
      </w:pPr>
    </w:p>
    <w:p>
      <w:pPr>
        <w:spacing w:line="600" w:lineRule="exact"/>
        <w:ind w:firstLine="2200" w:firstLineChars="500"/>
        <w:outlineLvl w:val="0"/>
        <w:rPr>
          <w:rFonts w:ascii="黑体" w:hAnsi="黑体" w:eastAsia="黑体"/>
          <w:sz w:val="44"/>
          <w:szCs w:val="44"/>
        </w:rPr>
      </w:pPr>
    </w:p>
    <w:p>
      <w:pPr>
        <w:spacing w:line="600" w:lineRule="exact"/>
        <w:ind w:firstLine="2200" w:firstLineChars="500"/>
        <w:outlineLvl w:val="0"/>
        <w:rPr>
          <w:rFonts w:ascii="黑体" w:hAnsi="黑体" w:eastAsia="黑体"/>
          <w:sz w:val="44"/>
          <w:szCs w:val="44"/>
        </w:rPr>
      </w:pPr>
    </w:p>
    <w:p>
      <w:pPr>
        <w:spacing w:line="600" w:lineRule="exact"/>
        <w:ind w:firstLine="2860" w:firstLineChars="650"/>
        <w:outlineLvl w:val="0"/>
        <w:rPr>
          <w:rFonts w:ascii="仿宋" w:hAnsi="仿宋" w:eastAsia="仿宋"/>
        </w:rPr>
      </w:pPr>
      <w:r>
        <w:rPr>
          <w:rFonts w:hint="eastAsia" w:ascii="黑体" w:hAnsi="黑体" w:eastAsia="黑体"/>
          <w:sz w:val="44"/>
          <w:szCs w:val="44"/>
        </w:rPr>
        <w:t>第</w:t>
      </w:r>
      <w:r>
        <w:rPr>
          <w:rStyle w:val="16"/>
          <w:rFonts w:hint="eastAsia" w:ascii="黑体" w:hAnsi="黑体" w:eastAsia="黑体"/>
          <w:b w:val="0"/>
        </w:rPr>
        <w:t>五部分 附表</w:t>
      </w:r>
      <w:bookmarkEnd w:id="75"/>
      <w:bookmarkEnd w:id="80"/>
      <w:bookmarkEnd w:id="97"/>
      <w:bookmarkStart w:id="98" w:name="_Toc15396619"/>
    </w:p>
    <w:p>
      <w:pPr>
        <w:pStyle w:val="4"/>
        <w:rPr>
          <w:rFonts w:ascii="仿宋" w:hAnsi="仿宋" w:eastAsia="仿宋"/>
        </w:rPr>
      </w:pPr>
      <w:bookmarkStart w:id="99" w:name="_Toc9425"/>
      <w:r>
        <w:rPr>
          <w:rFonts w:hint="eastAsia" w:ascii="仿宋" w:hAnsi="仿宋" w:eastAsia="仿宋"/>
          <w:b w:val="0"/>
        </w:rPr>
        <w:t>一、收</w:t>
      </w:r>
      <w:r>
        <w:rPr>
          <w:rStyle w:val="17"/>
          <w:rFonts w:hint="eastAsia" w:ascii="仿宋" w:hAnsi="仿宋" w:eastAsia="仿宋"/>
          <w:b w:val="0"/>
          <w:bCs w:val="0"/>
        </w:rPr>
        <w:t>入支出决算总表</w:t>
      </w:r>
      <w:bookmarkEnd w:id="98"/>
      <w:bookmarkEnd w:id="99"/>
    </w:p>
    <w:p>
      <w:pPr>
        <w:pStyle w:val="4"/>
        <w:rPr>
          <w:rFonts w:ascii="仿宋" w:hAnsi="仿宋" w:eastAsia="仿宋"/>
        </w:rPr>
      </w:pPr>
      <w:bookmarkStart w:id="100" w:name="_Toc29466"/>
      <w:bookmarkStart w:id="101" w:name="_Toc15396620"/>
      <w:r>
        <w:rPr>
          <w:rFonts w:hint="eastAsia" w:ascii="仿宋" w:hAnsi="仿宋" w:eastAsia="仿宋"/>
          <w:b w:val="0"/>
        </w:rPr>
        <w:t>二、收</w:t>
      </w:r>
      <w:r>
        <w:rPr>
          <w:rStyle w:val="17"/>
          <w:rFonts w:hint="eastAsia" w:ascii="仿宋" w:hAnsi="仿宋" w:eastAsia="仿宋"/>
          <w:b w:val="0"/>
          <w:bCs w:val="0"/>
        </w:rPr>
        <w:t>入决算表</w:t>
      </w:r>
      <w:bookmarkEnd w:id="100"/>
      <w:bookmarkEnd w:id="101"/>
    </w:p>
    <w:p>
      <w:pPr>
        <w:pStyle w:val="4"/>
        <w:rPr>
          <w:rFonts w:ascii="仿宋" w:hAnsi="仿宋" w:eastAsia="仿宋"/>
        </w:rPr>
      </w:pPr>
      <w:bookmarkStart w:id="102" w:name="_Toc15396621"/>
      <w:bookmarkStart w:id="103" w:name="_Toc18029"/>
      <w:r>
        <w:rPr>
          <w:rStyle w:val="17"/>
          <w:rFonts w:hint="eastAsia" w:ascii="仿宋" w:hAnsi="仿宋" w:eastAsia="仿宋"/>
          <w:b w:val="0"/>
          <w:bCs w:val="0"/>
        </w:rPr>
        <w:t>三、</w:t>
      </w:r>
      <w:r>
        <w:rPr>
          <w:rFonts w:hint="eastAsia" w:ascii="仿宋" w:hAnsi="仿宋" w:eastAsia="仿宋"/>
          <w:b w:val="0"/>
        </w:rPr>
        <w:t>支</w:t>
      </w:r>
      <w:r>
        <w:rPr>
          <w:rStyle w:val="17"/>
          <w:rFonts w:hint="eastAsia" w:ascii="仿宋" w:hAnsi="仿宋" w:eastAsia="仿宋"/>
          <w:b w:val="0"/>
          <w:bCs w:val="0"/>
        </w:rPr>
        <w:t>出决算表</w:t>
      </w:r>
      <w:bookmarkEnd w:id="102"/>
      <w:bookmarkEnd w:id="103"/>
    </w:p>
    <w:p>
      <w:pPr>
        <w:pStyle w:val="4"/>
        <w:rPr>
          <w:rFonts w:ascii="仿宋" w:hAnsi="仿宋" w:eastAsia="仿宋"/>
          <w:b w:val="0"/>
        </w:rPr>
      </w:pPr>
      <w:bookmarkStart w:id="104" w:name="_Toc26269"/>
      <w:bookmarkStart w:id="105" w:name="_Toc15396622"/>
      <w:r>
        <w:rPr>
          <w:rStyle w:val="17"/>
          <w:rFonts w:hint="eastAsia" w:ascii="仿宋" w:hAnsi="仿宋" w:eastAsia="仿宋"/>
          <w:b w:val="0"/>
          <w:bCs w:val="0"/>
        </w:rPr>
        <w:t>四、</w:t>
      </w:r>
      <w:r>
        <w:rPr>
          <w:rFonts w:hint="eastAsia" w:ascii="仿宋" w:hAnsi="仿宋" w:eastAsia="仿宋"/>
          <w:b w:val="0"/>
        </w:rPr>
        <w:t>财</w:t>
      </w:r>
      <w:r>
        <w:rPr>
          <w:rStyle w:val="17"/>
          <w:rFonts w:hint="eastAsia" w:ascii="仿宋" w:hAnsi="仿宋" w:eastAsia="仿宋"/>
          <w:b w:val="0"/>
          <w:bCs w:val="0"/>
        </w:rPr>
        <w:t>政拨款收入支出决算总表</w:t>
      </w:r>
      <w:bookmarkEnd w:id="104"/>
      <w:bookmarkEnd w:id="105"/>
    </w:p>
    <w:p>
      <w:pPr>
        <w:pStyle w:val="4"/>
        <w:rPr>
          <w:rStyle w:val="17"/>
          <w:rFonts w:ascii="仿宋" w:hAnsi="仿宋" w:eastAsia="仿宋"/>
          <w:b w:val="0"/>
          <w:bCs w:val="0"/>
        </w:rPr>
      </w:pPr>
      <w:bookmarkStart w:id="106" w:name="_Toc31110"/>
      <w:bookmarkStart w:id="107" w:name="_Toc15396623"/>
      <w:r>
        <w:rPr>
          <w:rStyle w:val="17"/>
          <w:rFonts w:hint="eastAsia" w:ascii="仿宋" w:hAnsi="仿宋" w:eastAsia="仿宋"/>
          <w:b w:val="0"/>
          <w:bCs w:val="0"/>
        </w:rPr>
        <w:t>五、</w:t>
      </w:r>
      <w:r>
        <w:rPr>
          <w:rFonts w:hint="eastAsia" w:ascii="仿宋" w:hAnsi="仿宋" w:eastAsia="仿宋"/>
          <w:b w:val="0"/>
        </w:rPr>
        <w:t>财</w:t>
      </w:r>
      <w:r>
        <w:rPr>
          <w:rStyle w:val="17"/>
          <w:rFonts w:hint="eastAsia" w:ascii="仿宋" w:hAnsi="仿宋" w:eastAsia="仿宋"/>
          <w:b w:val="0"/>
          <w:bCs w:val="0"/>
        </w:rPr>
        <w:t>政拨款支出决算明细表</w:t>
      </w:r>
      <w:bookmarkEnd w:id="106"/>
      <w:bookmarkEnd w:id="107"/>
      <w:bookmarkStart w:id="108" w:name="_Toc15396624"/>
    </w:p>
    <w:p>
      <w:pPr>
        <w:pStyle w:val="4"/>
        <w:rPr>
          <w:rFonts w:ascii="仿宋" w:hAnsi="仿宋" w:eastAsia="仿宋"/>
        </w:rPr>
      </w:pPr>
      <w:bookmarkStart w:id="109" w:name="_Toc24721"/>
      <w:r>
        <w:rPr>
          <w:rStyle w:val="17"/>
          <w:rFonts w:hint="eastAsia" w:ascii="仿宋" w:hAnsi="仿宋" w:eastAsia="仿宋"/>
          <w:b w:val="0"/>
          <w:bCs w:val="0"/>
        </w:rPr>
        <w:t>六、</w:t>
      </w:r>
      <w:r>
        <w:rPr>
          <w:rFonts w:hint="eastAsia" w:ascii="仿宋" w:hAnsi="仿宋" w:eastAsia="仿宋"/>
          <w:b w:val="0"/>
        </w:rPr>
        <w:t>一</w:t>
      </w:r>
      <w:r>
        <w:rPr>
          <w:rStyle w:val="17"/>
          <w:rFonts w:hint="eastAsia" w:ascii="仿宋" w:hAnsi="仿宋" w:eastAsia="仿宋"/>
          <w:b w:val="0"/>
          <w:bCs w:val="0"/>
        </w:rPr>
        <w:t>般公共预算财政拨款支出决算表</w:t>
      </w:r>
      <w:bookmarkEnd w:id="108"/>
      <w:bookmarkEnd w:id="109"/>
    </w:p>
    <w:p>
      <w:pPr>
        <w:pStyle w:val="4"/>
        <w:rPr>
          <w:rFonts w:ascii="仿宋" w:hAnsi="仿宋" w:eastAsia="仿宋"/>
        </w:rPr>
      </w:pPr>
      <w:bookmarkStart w:id="110" w:name="_Toc7565"/>
      <w:bookmarkStart w:id="111" w:name="_Toc15396625"/>
      <w:r>
        <w:rPr>
          <w:rStyle w:val="17"/>
          <w:rFonts w:hint="eastAsia" w:ascii="仿宋" w:hAnsi="仿宋" w:eastAsia="仿宋"/>
          <w:b w:val="0"/>
          <w:bCs w:val="0"/>
        </w:rPr>
        <w:t>七、</w:t>
      </w:r>
      <w:r>
        <w:rPr>
          <w:rFonts w:hint="eastAsia" w:ascii="仿宋" w:hAnsi="仿宋" w:eastAsia="仿宋"/>
          <w:b w:val="0"/>
        </w:rPr>
        <w:t>一</w:t>
      </w:r>
      <w:r>
        <w:rPr>
          <w:rStyle w:val="17"/>
          <w:rFonts w:hint="eastAsia" w:ascii="仿宋" w:hAnsi="仿宋" w:eastAsia="仿宋"/>
          <w:b w:val="0"/>
          <w:bCs w:val="0"/>
        </w:rPr>
        <w:t>般公共预算财政拨款支出决算明细表</w:t>
      </w:r>
      <w:bookmarkEnd w:id="110"/>
      <w:bookmarkEnd w:id="111"/>
    </w:p>
    <w:p>
      <w:pPr>
        <w:pStyle w:val="4"/>
        <w:rPr>
          <w:rFonts w:ascii="仿宋" w:hAnsi="仿宋" w:eastAsia="仿宋"/>
        </w:rPr>
      </w:pPr>
      <w:bookmarkStart w:id="112" w:name="_Toc15396626"/>
      <w:bookmarkStart w:id="113" w:name="_Toc23532"/>
      <w:r>
        <w:rPr>
          <w:rStyle w:val="17"/>
          <w:rFonts w:hint="eastAsia" w:ascii="仿宋" w:hAnsi="仿宋" w:eastAsia="仿宋"/>
          <w:b w:val="0"/>
          <w:bCs w:val="0"/>
        </w:rPr>
        <w:t>八、</w:t>
      </w:r>
      <w:r>
        <w:rPr>
          <w:rFonts w:hint="eastAsia" w:ascii="仿宋" w:hAnsi="仿宋" w:eastAsia="仿宋"/>
          <w:b w:val="0"/>
        </w:rPr>
        <w:t>一</w:t>
      </w:r>
      <w:r>
        <w:rPr>
          <w:rStyle w:val="17"/>
          <w:rFonts w:hint="eastAsia" w:ascii="仿宋" w:hAnsi="仿宋" w:eastAsia="仿宋"/>
          <w:b w:val="0"/>
          <w:bCs w:val="0"/>
        </w:rPr>
        <w:t>般公共预算财政拨款基本支出决算表</w:t>
      </w:r>
      <w:bookmarkEnd w:id="112"/>
      <w:bookmarkEnd w:id="113"/>
    </w:p>
    <w:p>
      <w:pPr>
        <w:pStyle w:val="4"/>
        <w:rPr>
          <w:rFonts w:ascii="仿宋" w:hAnsi="仿宋" w:eastAsia="仿宋"/>
        </w:rPr>
      </w:pPr>
      <w:bookmarkStart w:id="114" w:name="_Toc15396627"/>
      <w:bookmarkStart w:id="115" w:name="_Toc7624"/>
      <w:r>
        <w:rPr>
          <w:rStyle w:val="17"/>
          <w:rFonts w:hint="eastAsia" w:ascii="仿宋" w:hAnsi="仿宋" w:eastAsia="仿宋"/>
          <w:b w:val="0"/>
          <w:bCs w:val="0"/>
        </w:rPr>
        <w:t>九、</w:t>
      </w:r>
      <w:r>
        <w:rPr>
          <w:rFonts w:hint="eastAsia" w:ascii="仿宋" w:hAnsi="仿宋" w:eastAsia="仿宋"/>
          <w:b w:val="0"/>
        </w:rPr>
        <w:t>一</w:t>
      </w:r>
      <w:r>
        <w:rPr>
          <w:rStyle w:val="17"/>
          <w:rFonts w:hint="eastAsia" w:ascii="仿宋" w:hAnsi="仿宋" w:eastAsia="仿宋"/>
          <w:b w:val="0"/>
          <w:bCs w:val="0"/>
        </w:rPr>
        <w:t>般公共预算财政拨款项目支出决算表</w:t>
      </w:r>
      <w:bookmarkEnd w:id="114"/>
      <w:bookmarkEnd w:id="115"/>
    </w:p>
    <w:p>
      <w:pPr>
        <w:pStyle w:val="4"/>
        <w:rPr>
          <w:rFonts w:ascii="仿宋" w:hAnsi="仿宋" w:eastAsia="仿宋"/>
        </w:rPr>
      </w:pPr>
      <w:bookmarkStart w:id="116" w:name="_Toc2683"/>
      <w:bookmarkStart w:id="117" w:name="_Toc15396628"/>
      <w:r>
        <w:rPr>
          <w:rStyle w:val="17"/>
          <w:rFonts w:hint="eastAsia" w:ascii="仿宋" w:hAnsi="仿宋" w:eastAsia="仿宋"/>
          <w:b w:val="0"/>
          <w:bCs w:val="0"/>
        </w:rPr>
        <w:t>十、</w:t>
      </w:r>
      <w:r>
        <w:rPr>
          <w:rFonts w:hint="eastAsia" w:ascii="仿宋" w:hAnsi="仿宋" w:eastAsia="仿宋"/>
          <w:b w:val="0"/>
        </w:rPr>
        <w:t>一</w:t>
      </w:r>
      <w:r>
        <w:rPr>
          <w:rStyle w:val="17"/>
          <w:rFonts w:hint="eastAsia" w:ascii="仿宋" w:hAnsi="仿宋" w:eastAsia="仿宋"/>
          <w:b w:val="0"/>
          <w:bCs w:val="0"/>
        </w:rPr>
        <w:t>般公共预算财政拨款“三公”经费支出决算表</w:t>
      </w:r>
      <w:bookmarkEnd w:id="116"/>
      <w:bookmarkEnd w:id="117"/>
    </w:p>
    <w:p>
      <w:pPr>
        <w:pStyle w:val="4"/>
        <w:rPr>
          <w:rFonts w:ascii="仿宋" w:hAnsi="仿宋" w:eastAsia="仿宋"/>
        </w:rPr>
      </w:pPr>
      <w:bookmarkStart w:id="118" w:name="_Toc15396629"/>
      <w:bookmarkStart w:id="119" w:name="_Toc29183"/>
      <w:r>
        <w:rPr>
          <w:rStyle w:val="17"/>
          <w:rFonts w:hint="eastAsia" w:ascii="仿宋" w:hAnsi="仿宋" w:eastAsia="仿宋"/>
          <w:b w:val="0"/>
          <w:bCs w:val="0"/>
        </w:rPr>
        <w:t>十一、</w:t>
      </w:r>
      <w:r>
        <w:rPr>
          <w:rFonts w:hint="eastAsia" w:ascii="仿宋" w:hAnsi="仿宋" w:eastAsia="仿宋"/>
          <w:b w:val="0"/>
        </w:rPr>
        <w:t>政</w:t>
      </w:r>
      <w:r>
        <w:rPr>
          <w:rStyle w:val="17"/>
          <w:rFonts w:hint="eastAsia" w:ascii="仿宋" w:hAnsi="仿宋" w:eastAsia="仿宋"/>
          <w:b w:val="0"/>
          <w:bCs w:val="0"/>
        </w:rPr>
        <w:t>府性基金预算财政拨款收入支出决算表</w:t>
      </w:r>
      <w:bookmarkEnd w:id="118"/>
      <w:bookmarkEnd w:id="119"/>
    </w:p>
    <w:p>
      <w:pPr>
        <w:pStyle w:val="4"/>
        <w:rPr>
          <w:rFonts w:ascii="仿宋" w:hAnsi="仿宋" w:eastAsia="仿宋"/>
        </w:rPr>
      </w:pPr>
      <w:bookmarkStart w:id="120" w:name="_Toc15396630"/>
      <w:bookmarkStart w:id="121" w:name="_Toc9549"/>
      <w:r>
        <w:rPr>
          <w:rStyle w:val="17"/>
          <w:rFonts w:hint="eastAsia" w:ascii="仿宋" w:hAnsi="仿宋" w:eastAsia="仿宋"/>
          <w:b w:val="0"/>
          <w:bCs w:val="0"/>
        </w:rPr>
        <w:t>十二、</w:t>
      </w:r>
      <w:r>
        <w:rPr>
          <w:rFonts w:hint="eastAsia" w:ascii="仿宋" w:hAnsi="仿宋" w:eastAsia="仿宋"/>
          <w:b w:val="0"/>
        </w:rPr>
        <w:t>政</w:t>
      </w:r>
      <w:r>
        <w:rPr>
          <w:rStyle w:val="17"/>
          <w:rFonts w:hint="eastAsia" w:ascii="仿宋" w:hAnsi="仿宋" w:eastAsia="仿宋"/>
          <w:b w:val="0"/>
          <w:bCs w:val="0"/>
        </w:rPr>
        <w:t>府性基金预算财政拨款“三公”经费支出决算表</w:t>
      </w:r>
      <w:bookmarkEnd w:id="120"/>
      <w:bookmarkEnd w:id="121"/>
    </w:p>
    <w:p>
      <w:pPr>
        <w:pStyle w:val="4"/>
        <w:rPr>
          <w:rStyle w:val="17"/>
          <w:rFonts w:ascii="仿宋" w:hAnsi="仿宋" w:eastAsia="仿宋"/>
          <w:b w:val="0"/>
          <w:bCs w:val="0"/>
        </w:rPr>
      </w:pPr>
      <w:bookmarkStart w:id="122" w:name="_Toc13767"/>
      <w:bookmarkStart w:id="123" w:name="_Toc15396631"/>
      <w:r>
        <w:rPr>
          <w:rStyle w:val="17"/>
          <w:rFonts w:hint="eastAsia" w:ascii="仿宋" w:hAnsi="仿宋" w:eastAsia="仿宋"/>
          <w:b w:val="0"/>
          <w:bCs w:val="0"/>
        </w:rPr>
        <w:t>十三、</w:t>
      </w:r>
      <w:r>
        <w:rPr>
          <w:rFonts w:hint="eastAsia" w:ascii="仿宋" w:hAnsi="仿宋" w:eastAsia="仿宋"/>
          <w:b w:val="0"/>
        </w:rPr>
        <w:t>国</w:t>
      </w:r>
      <w:r>
        <w:rPr>
          <w:rStyle w:val="17"/>
          <w:rFonts w:hint="eastAsia" w:ascii="仿宋" w:hAnsi="仿宋" w:eastAsia="仿宋"/>
          <w:b w:val="0"/>
          <w:bCs w:val="0"/>
        </w:rPr>
        <w:t>有资本经营预算财政拨款收入支出决算表</w:t>
      </w:r>
      <w:bookmarkEnd w:id="122"/>
      <w:bookmarkEnd w:id="123"/>
    </w:p>
    <w:p>
      <w:pPr>
        <w:rPr>
          <w:rFonts w:eastAsia="仿宋"/>
        </w:rPr>
      </w:pPr>
      <w:bookmarkStart w:id="124" w:name="_Toc3418"/>
      <w:r>
        <w:rPr>
          <w:rStyle w:val="17"/>
          <w:rFonts w:hint="eastAsia" w:ascii="仿宋" w:hAnsi="仿宋" w:eastAsia="仿宋"/>
          <w:b w:val="0"/>
          <w:bCs w:val="0"/>
        </w:rPr>
        <w:t>十四、国有资本经营预算财政拨款支出决算表</w:t>
      </w:r>
      <w:bookmarkEnd w:id="12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Batang">
    <w:altName w:val="Times New Roman"/>
    <w:panose1 w:val="00000000000000000000"/>
    <w:charset w:val="00"/>
    <w:family w:val="auto"/>
    <w:pitch w:val="default"/>
    <w:sig w:usb0="0000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楷体_GBK">
    <w:panose1 w:val="02000000000000000000"/>
    <w:charset w:val="86"/>
    <w:family w:val="auto"/>
    <w:pitch w:val="default"/>
    <w:sig w:usb0="00000001" w:usb1="08000000" w:usb2="00000000" w:usb3="00000000" w:csb0="00040000"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2099181"/>
    </w:sdtPr>
    <w:sdtContent>
      <w:p>
        <w:pPr>
          <w:pStyle w:val="8"/>
          <w:jc w:val="center"/>
        </w:pPr>
        <w:r>
          <w:fldChar w:fldCharType="begin"/>
        </w:r>
        <w:r>
          <w:instrText xml:space="preserve">PAGE   \* MERGEFORMAT</w:instrText>
        </w:r>
        <w:r>
          <w:fldChar w:fldCharType="separate"/>
        </w:r>
        <w:r>
          <w:rPr>
            <w:lang w:val="zh-CN"/>
          </w:rPr>
          <w:t>12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9251C78"/>
    <w:multiLevelType w:val="multilevel"/>
    <w:tmpl w:val="29251C78"/>
    <w:lvl w:ilvl="0" w:tentative="0">
      <w:start w:val="1"/>
      <w:numFmt w:val="japaneseCounting"/>
      <w:lvlText w:val="（%1）"/>
      <w:lvlJc w:val="left"/>
      <w:pPr>
        <w:ind w:left="1710" w:hanging="99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dit="readOnly"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YTZiNWJiM2YxNzllODBlMDE1YWIwOTQ2YTU3MTY0YTgifQ=="/>
  </w:docVars>
  <w:rsids>
    <w:rsidRoot w:val="00000000"/>
    <w:rsid w:val="CDDFCA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0"/>
    <w:pPr>
      <w:tabs>
        <w:tab w:val="right" w:leader="dot" w:pos="8296"/>
      </w:tabs>
      <w:ind w:left="200" w:leftChars="200"/>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heading 1 Char"/>
    <w:basedOn w:val="13"/>
    <w:link w:val="3"/>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3"/>
    <w:link w:val="4"/>
    <w:qFormat/>
    <w:uiPriority w:val="0"/>
    <w:rPr>
      <w:rFonts w:ascii="Cambria" w:hAnsi="Times New Roman" w:eastAsia="宋体" w:cs="Times New Roman"/>
      <w:b/>
      <w:bCs/>
      <w:kern w:val="2"/>
      <w:sz w:val="32"/>
      <w:szCs w:val="32"/>
      <w:lang w:val="en-US" w:eastAsia="zh-CN" w:bidi="ar-SA"/>
    </w:rPr>
  </w:style>
  <w:style w:type="character" w:customStyle="1" w:styleId="18">
    <w:name w:val="Header Char"/>
    <w:basedOn w:val="13"/>
    <w:qFormat/>
    <w:uiPriority w:val="0"/>
    <w:rPr>
      <w:rFonts w:ascii="Times New Roman" w:hAnsi="Times New Roman"/>
      <w:sz w:val="18"/>
      <w:szCs w:val="18"/>
    </w:rPr>
  </w:style>
  <w:style w:type="character" w:customStyle="1" w:styleId="19">
    <w:name w:val="Footer Char"/>
    <w:basedOn w:val="13"/>
    <w:qFormat/>
    <w:uiPriority w:val="0"/>
    <w:rPr>
      <w:rFonts w:ascii="Times New Roman" w:hAnsi="Times New Roman"/>
      <w:sz w:val="18"/>
      <w:szCs w:val="18"/>
    </w:rPr>
  </w:style>
  <w:style w:type="character" w:customStyle="1" w:styleId="20">
    <w:name w:val="Body Text Char"/>
    <w:basedOn w:val="13"/>
    <w:qFormat/>
    <w:uiPriority w:val="0"/>
    <w:rPr>
      <w:rFonts w:ascii="Times New Roman" w:hAnsi="Times New Roman"/>
      <w:szCs w:val="24"/>
    </w:rPr>
  </w:style>
  <w:style w:type="paragraph" w:customStyle="1" w:styleId="21">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2">
    <w:name w:val="List Paragraph"/>
    <w:basedOn w:val="1"/>
    <w:qFormat/>
    <w:uiPriority w:val="0"/>
    <w:pPr>
      <w:ind w:firstLine="200" w:firstLineChars="200"/>
    </w:pPr>
  </w:style>
  <w:style w:type="paragraph" w:customStyle="1" w:styleId="23">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24">
    <w:name w:val="TOC Heading1"/>
    <w:basedOn w:val="3"/>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25">
    <w:name w:val="正文2"/>
    <w:basedOn w:val="1"/>
    <w:next w:val="1"/>
    <w:qFormat/>
    <w:uiPriority w:val="0"/>
  </w:style>
  <w:style w:type="paragraph" w:customStyle="1" w:styleId="26">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7">
    <w:name w:val="15"/>
    <w:basedOn w:val="13"/>
    <w:qFormat/>
    <w:uiPriority w:val="0"/>
    <w:rPr>
      <w:rFonts w:ascii="Times New Roman" w:hAnsi="Times New Roman" w:cs="Times New Roman"/>
      <w:b/>
    </w:rPr>
  </w:style>
  <w:style w:type="paragraph" w:customStyle="1" w:styleId="28">
    <w:name w:val="WPSOffice手动目录 1"/>
    <w:qFormat/>
    <w:uiPriority w:val="0"/>
    <w:rPr>
      <w:rFonts w:ascii="Calibri" w:hAnsi="Times New Roman" w:eastAsia="宋体" w:cs="Arial"/>
      <w:sz w:val="20"/>
      <w:szCs w:val="20"/>
      <w:lang w:val="en-US" w:eastAsia="zh-CN" w:bidi="ar-SA"/>
    </w:rPr>
  </w:style>
  <w:style w:type="paragraph" w:customStyle="1" w:styleId="29">
    <w:name w:val="WPSOffice手动目录 2"/>
    <w:qFormat/>
    <w:uiPriority w:val="0"/>
    <w:pPr>
      <w:ind w:left="200" w:leftChars="200"/>
    </w:pPr>
    <w:rPr>
      <w:rFonts w:ascii="Calibri" w:hAnsi="Times New Roman" w:eastAsia="宋体" w:cs="Arial"/>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400" b="0" i="0" u="none" strike="noStrike" kern="1200" baseline="0">
                <a:solidFill>
                  <a:srgbClr val="595959"/>
                </a:solidFill>
                <a:latin typeface="Times New Roman" panose="02020603050405020304"/>
                <a:ea typeface="宋体" panose="02010600030101010101" charset="-122"/>
                <a:cs typeface="Arial" panose="020B0604020202020204" pitchFamily="2"/>
              </a:defRPr>
            </a:pPr>
            <a:r>
              <a:rPr lang="zh-CN"/>
              <a:t>收、支决算总计变动情况图</a:t>
            </a:r>
            <a:endParaRPr lang="zh-CN"/>
          </a:p>
        </c:rich>
      </c:tx>
      <c:layout/>
      <c:overlay val="false"/>
      <c:spPr>
        <a:noFill/>
        <a:ln>
          <a:noFill/>
        </a:ln>
      </c:spPr>
    </c:title>
    <c:autoTitleDeleted val="false"/>
    <c:plotArea>
      <c:layout/>
      <c:barChart>
        <c:barDir val="col"/>
        <c:grouping val="clustered"/>
        <c:varyColors val="false"/>
        <c:ser>
          <c:idx val="0"/>
          <c:order val="0"/>
          <c:tx>
            <c:strRef>
              <c:f>'Sheet1'!$B$1</c:f>
              <c:strCache>
                <c:ptCount val="1"/>
                <c:pt idx="0">
                  <c:v>2020年</c:v>
                </c:pt>
              </c:strCache>
            </c:strRef>
          </c:tx>
          <c:spPr>
            <a:solidFill>
              <a:srgbClr val="4F81BD"/>
            </a:solidFill>
            <a:ln>
              <a:noFill/>
            </a:ln>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'Sheet1'!$A$2:$A$4</c:f>
              <c:strCache>
                <c:ptCount val="3"/>
                <c:pt idx="0">
                  <c:v>收、支总计</c:v>
                </c:pt>
              </c:strCache>
            </c:strRef>
          </c:cat>
          <c:val>
            <c:numRef>
              <c:f>'Sheet1'!$B$2:$B$3</c:f>
              <c:numCache>
                <c:formatCode>General</c:formatCode>
                <c:ptCount val="2"/>
                <c:pt idx="0">
                  <c:v>175.51</c:v>
                </c:pt>
              </c:numCache>
            </c:numRef>
          </c:val>
        </c:ser>
        <c:ser>
          <c:idx val="1"/>
          <c:order val="1"/>
          <c:tx>
            <c:strRef>
              <c:f>'Sheet1'!$C$1</c:f>
              <c:strCache>
                <c:ptCount val="1"/>
                <c:pt idx="0">
                  <c:v>2021年</c:v>
                </c:pt>
              </c:strCache>
            </c:strRef>
          </c:tx>
          <c:spPr>
            <a:solidFill>
              <a:srgbClr val="C0504D"/>
            </a:solidFill>
            <a:ln>
              <a:noFill/>
            </a:ln>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'Sheet1'!$A$2:$A$4</c:f>
              <c:strCache>
                <c:ptCount val="3"/>
                <c:pt idx="0">
                  <c:v>收、支总计</c:v>
                </c:pt>
              </c:strCache>
            </c:strRef>
          </c:cat>
          <c:val>
            <c:numRef>
              <c:f>'Sheet1'!$C$2:$C$3</c:f>
              <c:numCache>
                <c:formatCode>General</c:formatCode>
                <c:ptCount val="2"/>
                <c:pt idx="0">
                  <c:v>326.39</c:v>
                </c:pt>
              </c:numCache>
            </c:numRef>
          </c:val>
        </c:ser>
        <c:dLbls>
          <c:showLegendKey val="false"/>
          <c:showVal val="true"/>
          <c:showCatName val="false"/>
          <c:showSerName val="false"/>
          <c:showPercent val="false"/>
          <c:showBubbleSize val="false"/>
        </c:dLbls>
        <c:gapWidth val="200"/>
        <c:overlap val="-50"/>
        <c:axId val="0"/>
        <c:axId val="1"/>
      </c:barChart>
      <c:catAx>
        <c:axId val="0"/>
        <c:scaling>
          <c:orientation val="minMax"/>
        </c:scaling>
        <c:delete val="false"/>
        <c:axPos val="b"/>
        <c:numFmt formatCode="General" sourceLinked="true"/>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1"/>
        <c:crosses val="autoZero"/>
        <c:auto val="true"/>
        <c:lblAlgn val="ctr"/>
        <c:lblOffset val="100"/>
        <c:noMultiLvlLbl val="false"/>
      </c:catAx>
      <c:valAx>
        <c:axId val="1"/>
        <c:scaling>
          <c:orientation val="minMax"/>
          <c:min val="0"/>
        </c:scaling>
        <c:delete val="false"/>
        <c:axPos val="l"/>
        <c:majorGridlines/>
        <c:numFmt formatCode="General" sourceLinked="true"/>
        <c:majorTickMark val="none"/>
        <c:minorTickMark val="none"/>
        <c:tickLblPos val="nextTo"/>
        <c:spPr>
          <a:ln w="9525" cap="flat" cmpd="sng" algn="ctr">
            <a:no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legend>
      <c:legendPos val="b"/>
      <c:legendEntry>
        <c:idx val="0"/>
        <c:txPr>
          <a:bodyPr rot="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Entry>
      <c:layout/>
      <c:overlay val="false"/>
      <c:spPr>
        <a:noFill/>
        <a:ln>
          <a:noFill/>
        </a:ln>
      </c:spPr>
      <c:txPr>
        <a:bodyPr rot="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true"/>
    <c:dispBlanksAs val="gap"/>
    <c:showDLblsOverMax val="false"/>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a:t>收入决算结构图</a:t>
            </a:r>
            <a:endParaRPr lang="zh-CN"/>
          </a:p>
        </c:rich>
      </c:tx>
      <c:layout/>
      <c:overlay val="false"/>
      <c:spPr>
        <a:noFill/>
        <a:ln>
          <a:noFill/>
        </a:ln>
      </c:spPr>
    </c:title>
    <c:autoTitleDeleted val="false"/>
    <c:plotArea>
      <c:layout/>
      <c:pieChart>
        <c:varyColors val="true"/>
        <c:ser>
          <c:idx val="0"/>
          <c:order val="0"/>
          <c:tx>
            <c:strRef>
              <c:f>'Sheet1 (2)'!$B$1</c:f>
              <c:strCache>
                <c:ptCount val="1"/>
                <c:pt idx="0">
                  <c:v>金额</c:v>
                </c:pt>
              </c:strCache>
            </c:strRef>
          </c:tx>
          <c:spPr>
            <a:solidFill>
              <a:srgbClr val="C0504D"/>
            </a:solidFill>
            <a:ln>
              <a:noFill/>
            </a:ln>
          </c:spPr>
          <c:explosion val="0"/>
          <c:dPt>
            <c:idx val="0"/>
            <c:bubble3D val="false"/>
            <c:spPr>
              <a:solidFill>
                <a:srgbClr val="C0504D"/>
              </a:solidFill>
              <a:ln w="6350">
                <a:solidFill>
                  <a:srgbClr val="C0504D"/>
                </a:solidFill>
                <a:prstDash val="solid"/>
              </a:ln>
              <a:effectLst>
                <a:outerShdw dist="35921" dir="2700000" algn="br">
                  <a:srgbClr val="000000"/>
                </a:outerShdw>
              </a:effectLst>
            </c:spPr>
          </c:dPt>
          <c:dPt>
            <c:idx val="1"/>
            <c:bubble3D val="false"/>
            <c:spPr>
              <a:solidFill>
                <a:srgbClr val="4F81BD"/>
              </a:solidFill>
              <a:ln>
                <a:noFill/>
              </a:ln>
              <a:effectLst>
                <a:outerShdw dist="35921" dir="2700000" algn="br">
                  <a:srgbClr val="000000"/>
                </a:outerShdw>
              </a:effectLst>
            </c:spPr>
          </c:dPt>
          <c:dLbls>
            <c:dLbl>
              <c:idx val="0"/>
              <c:layout/>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ctr"/>
              <c:showLegendKey val="false"/>
              <c:showVal val="false"/>
              <c:showCatName val="false"/>
              <c:showSerName val="false"/>
              <c:showPercent val="true"/>
              <c:showBubbleSize val="false"/>
              <c:extLst>
                <c:ext xmlns:c15="http://schemas.microsoft.com/office/drawing/2012/chart" uri="{CE6537A1-D6FC-4f65-9D91-7224C49458BB}"/>
              </c:extLst>
            </c:dLbl>
            <c:dLbl>
              <c:idx val="1"/>
              <c:layout/>
              <c:numFmt formatCode="0.0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ctr"/>
              <c:showLegendKey val="false"/>
              <c:showVal val="false"/>
              <c:showCatName val="false"/>
              <c:showSerName val="false"/>
              <c:showPercent val="true"/>
              <c:showBubbleSize val="false"/>
              <c:extLst>
                <c:ext xmlns:c15="http://schemas.microsoft.com/office/drawing/2012/chart" uri="{CE6537A1-D6FC-4f65-9D91-7224C49458BB}"/>
              </c:extLst>
            </c:dLbl>
            <c:numFmt formatCode="0%" sourceLinked="fals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 (2)'!$A$2:$A$3</c:f>
              <c:strCache>
                <c:ptCount val="2"/>
                <c:pt idx="0">
                  <c:v>一般公共预算财政拨款收入</c:v>
                </c:pt>
                <c:pt idx="1">
                  <c:v>其他收入</c:v>
                </c:pt>
              </c:strCache>
            </c:strRef>
          </c:cat>
          <c:val>
            <c:numRef>
              <c:f>'Sheet1 (2)'!$B$2:$B$3</c:f>
              <c:numCache>
                <c:formatCode>General</c:formatCode>
                <c:ptCount val="2"/>
                <c:pt idx="0">
                  <c:v>256.37</c:v>
                </c:pt>
                <c:pt idx="1">
                  <c:v>0.03</c:v>
                </c:pt>
              </c:numCache>
            </c:numRef>
          </c:val>
        </c:ser>
        <c:dLbls>
          <c:showLegendKey val="false"/>
          <c:showVal val="false"/>
          <c:showCatName val="false"/>
          <c:showSerName val="false"/>
          <c:showPercent val="true"/>
          <c:showBubbleSize val="false"/>
          <c:showLeaderLines val="true"/>
        </c:dLbls>
        <c:firstSliceAng val="0"/>
      </c:pieChart>
      <c:spPr>
        <a:noFill/>
        <a:ln>
          <a:noFill/>
        </a:ln>
      </c:spPr>
    </c:plotArea>
    <c:legend>
      <c:legendPos val="r"/>
      <c:layout/>
      <c:overlay val="false"/>
      <c:spPr>
        <a:solidFill>
          <a:srgbClr val="F2F2F2">
            <a:alpha val="39000"/>
          </a:srgbClr>
        </a:solidFill>
        <a:ln>
          <a:noFill/>
        </a:ln>
      </c:spPr>
      <c:txPr>
        <a:bodyPr rot="0" spcFirstLastPara="0" vertOverflow="ellipsis" vert="horz" wrap="square" anchor="ctr" anchorCtr="true"/>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legend>
    <c:plotVisOnly val="true"/>
    <c:dispBlanksAs val="zero"/>
    <c:showDLblsOverMax val="false"/>
  </c:chart>
  <c:spPr>
    <a:gradFill rotWithShape="true">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a:t>支出决算结构图</a:t>
            </a:r>
            <a:endParaRPr lang="zh-CN"/>
          </a:p>
        </c:rich>
      </c:tx>
      <c:layout/>
      <c:overlay val="false"/>
      <c:spPr>
        <a:noFill/>
        <a:ln>
          <a:noFill/>
        </a:ln>
      </c:spPr>
    </c:title>
    <c:autoTitleDeleted val="false"/>
    <c:plotArea>
      <c:layout>
        <c:manualLayout>
          <c:layoutTarget val="inner"/>
          <c:xMode val="edge"/>
          <c:yMode val="edge"/>
          <c:x val="0.27710578"/>
          <c:y val="0.25491923"/>
          <c:w val="0.38616666"/>
          <c:h val="0.6804699"/>
        </c:manualLayout>
      </c:layout>
      <c:pieChart>
        <c:varyColors val="true"/>
        <c:ser>
          <c:idx val="0"/>
          <c:order val="0"/>
          <c:tx>
            <c:strRef>
              <c:f>'Sheet1 (3)'!$B$1</c:f>
              <c:strCache>
                <c:ptCount val="1"/>
                <c:pt idx="0">
                  <c:v>金额</c:v>
                </c:pt>
              </c:strCache>
            </c:strRef>
          </c:tx>
          <c:spPr>
            <a:solidFill>
              <a:srgbClr val="C0504D"/>
            </a:solidFill>
            <a:ln>
              <a:noFill/>
            </a:ln>
          </c:spPr>
          <c:explosion val="0"/>
          <c:dPt>
            <c:idx val="0"/>
            <c:bubble3D val="false"/>
            <c:spPr>
              <a:solidFill>
                <a:srgbClr val="C0504D"/>
              </a:solidFill>
              <a:ln>
                <a:noFill/>
              </a:ln>
              <a:effectLst>
                <a:outerShdw dist="35921" dir="2700000" algn="br">
                  <a:srgbClr val="000000"/>
                </a:outerShdw>
              </a:effectLst>
            </c:spPr>
          </c:dPt>
          <c:dPt>
            <c:idx val="1"/>
            <c:bubble3D val="false"/>
            <c:spPr>
              <a:solidFill>
                <a:srgbClr val="4F81BD"/>
              </a:solidFill>
              <a:ln>
                <a:noFill/>
              </a:ln>
              <a:effectLst>
                <a:outerShdw dist="35921" dir="2700000" algn="br">
                  <a:srgbClr val="000000"/>
                </a:outerShdw>
              </a:effectLst>
            </c:spPr>
          </c:dPt>
          <c:dLbls>
            <c:numFmt formatCode="0%" sourceLinked="false"/>
            <c:spPr>
              <a:pattFill prst="pct75">
                <a:fgClr>
                  <a:srgbClr val="404040"/>
                </a:fgClr>
                <a:bgClr>
                  <a:srgbClr val="595959"/>
                </a:bgClr>
              </a:patt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rgbClr val="FFFFFF"/>
                    </a:solidFill>
                    <a:latin typeface="Times New Roman" panose="02020603050405020304"/>
                    <a:ea typeface="宋体" panose="02010600030101010101" charset="-122"/>
                    <a:cs typeface="Arial" panose="020B0604020202020204" pitchFamily="2"/>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 (3)'!$A$2:$A$3</c:f>
              <c:strCache>
                <c:ptCount val="2"/>
                <c:pt idx="0">
                  <c:v>基本支出</c:v>
                </c:pt>
                <c:pt idx="1">
                  <c:v>项目支出</c:v>
                </c:pt>
              </c:strCache>
            </c:strRef>
          </c:cat>
          <c:val>
            <c:numRef>
              <c:f>'Sheet1 (3)'!$B$2:$B$3</c:f>
              <c:numCache>
                <c:formatCode>General</c:formatCode>
                <c:ptCount val="2"/>
                <c:pt idx="0">
                  <c:v>97.62</c:v>
                </c:pt>
                <c:pt idx="1">
                  <c:v>226.87</c:v>
                </c:pt>
              </c:numCache>
            </c:numRef>
          </c:val>
        </c:ser>
        <c:dLbls>
          <c:showLegendKey val="false"/>
          <c:showVal val="false"/>
          <c:showCatName val="false"/>
          <c:showSerName val="false"/>
          <c:showPercent val="true"/>
          <c:showBubbleSize val="false"/>
          <c:showLeaderLines val="true"/>
        </c:dLbls>
        <c:firstSliceAng val="0"/>
      </c:pieChart>
      <c:spPr>
        <a:noFill/>
        <a:ln>
          <a:noFill/>
        </a:ln>
      </c:spPr>
    </c:plotArea>
    <c:legend>
      <c:legendPos val="r"/>
      <c:layout/>
      <c:overlay val="false"/>
      <c:spPr>
        <a:solidFill>
          <a:srgbClr val="F2F2F2">
            <a:alpha val="39000"/>
          </a:srgbClr>
        </a:solidFill>
        <a:ln>
          <a:noFill/>
        </a:ln>
      </c:spPr>
      <c:txPr>
        <a:bodyPr rot="0" spcFirstLastPara="0" vertOverflow="ellipsis" vert="horz" wrap="square" anchor="ctr" anchorCtr="true"/>
        <a:lstStyle/>
        <a:p>
          <a:pPr>
            <a:defRPr lang="zh-CN" sz="9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legend>
    <c:plotVisOnly val="true"/>
    <c:dispBlanksAs val="zero"/>
    <c:showDLblsOverMax val="false"/>
  </c:chart>
  <c:spPr>
    <a:gradFill rotWithShape="true">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400" b="0" i="0" u="none" strike="noStrike" kern="1200" baseline="0">
                <a:solidFill>
                  <a:srgbClr val="595959"/>
                </a:solidFill>
                <a:latin typeface="Times New Roman" panose="02020603050405020304"/>
                <a:ea typeface="宋体" panose="02010600030101010101" charset="-122"/>
                <a:cs typeface="Arial" panose="020B0604020202020204" pitchFamily="2"/>
              </a:defRPr>
            </a:pPr>
            <a:r>
              <a:rPr lang="zh-CN"/>
              <a:t>财政拨款收、支决算总计变动情况</a:t>
            </a:r>
            <a:endParaRPr lang="zh-CN"/>
          </a:p>
        </c:rich>
      </c:tx>
      <c:layout/>
      <c:overlay val="false"/>
      <c:spPr>
        <a:noFill/>
        <a:ln>
          <a:noFill/>
        </a:ln>
      </c:spPr>
    </c:title>
    <c:autoTitleDeleted val="false"/>
    <c:plotArea>
      <c:layout/>
      <c:barChart>
        <c:barDir val="col"/>
        <c:grouping val="clustered"/>
        <c:varyColors val="false"/>
        <c:ser>
          <c:idx val="0"/>
          <c:order val="0"/>
          <c:tx>
            <c:strRef>
              <c:f>'Sheet1 (4)'!$B$1</c:f>
              <c:strCache>
                <c:ptCount val="1"/>
                <c:pt idx="0">
                  <c:v>2020年</c:v>
                </c:pt>
              </c:strCache>
            </c:strRef>
          </c:tx>
          <c:spPr>
            <a:solidFill>
              <a:srgbClr val="4F81BD"/>
            </a:solidFill>
            <a:ln>
              <a:noFill/>
            </a:ln>
          </c:spPr>
          <c:invertIfNegative val="false"/>
          <c:dLbls>
            <c:dLbl>
              <c:idx val="0"/>
              <c:layout/>
              <c:tx>
                <c:rich>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175.51</a:t>
                    </a:r>
                    <a:endParaRPr lang="zh-CN"/>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false"/>
              <c:showVal val="true"/>
              <c:showCatName val="false"/>
              <c:showSerName val="false"/>
              <c:showPercent val="false"/>
              <c:showBubbleSize val="false"/>
              <c:extLst>
                <c:ext xmlns:c15="http://schemas.microsoft.com/office/drawing/2012/chart" uri="{CE6537A1-D6FC-4f65-9D91-7224C49458BB}"/>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 (4)'!$A$2</c:f>
              <c:strCache>
                <c:ptCount val="1"/>
                <c:pt idx="0">
                  <c:v>财政拨款收、支总计</c:v>
                </c:pt>
              </c:strCache>
            </c:strRef>
          </c:cat>
          <c:val>
            <c:numRef>
              <c:f>Sheet1 (4)!$B$2</c:f>
              <c:numCache>
                <c:formatCode>General</c:formatCode>
                <c:ptCount val="1"/>
                <c:pt idx="0">
                  <c:v>175.42</c:v>
                </c:pt>
              </c:numCache>
            </c:numRef>
          </c:val>
        </c:ser>
        <c:ser>
          <c:idx val="1"/>
          <c:order val="1"/>
          <c:tx>
            <c:strRef>
              <c:f>'Sheet1 (4)'!$C$1</c:f>
              <c:strCache>
                <c:ptCount val="1"/>
                <c:pt idx="0">
                  <c:v>2021年</c:v>
                </c:pt>
              </c:strCache>
            </c:strRef>
          </c:tx>
          <c:spPr>
            <a:solidFill>
              <a:srgbClr val="C0504D"/>
            </a:solidFill>
            <a:ln>
              <a:noFill/>
            </a:ln>
          </c:spPr>
          <c:invertIfNegative val="false"/>
          <c:dLbls>
            <c:dLbl>
              <c:idx val="0"/>
              <c:layout/>
              <c:tx>
                <c:rich>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335.39</a:t>
                    </a:r>
                    <a:endParaRPr lang="zh-CN"/>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false"/>
              <c:showVal val="true"/>
              <c:showCatName val="false"/>
              <c:showSerName val="false"/>
              <c:showPercent val="false"/>
              <c:showBubbleSize val="false"/>
              <c:extLst>
                <c:ext xmlns:c15="http://schemas.microsoft.com/office/drawing/2012/chart" uri="{CE6537A1-D6FC-4f65-9D91-7224C49458BB}"/>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 (4)'!$A$2</c:f>
              <c:strCache>
                <c:ptCount val="1"/>
                <c:pt idx="0">
                  <c:v>财政拨款收、支总计</c:v>
                </c:pt>
              </c:strCache>
            </c:strRef>
          </c:cat>
          <c:val>
            <c:numRef>
              <c:f>Sheet1 (4)!$C$2</c:f>
              <c:numCache>
                <c:formatCode>General</c:formatCode>
                <c:ptCount val="1"/>
                <c:pt idx="0">
                  <c:v>326.36</c:v>
                </c:pt>
              </c:numCache>
            </c:numRef>
          </c:val>
        </c:ser>
        <c:dLbls>
          <c:showLegendKey val="false"/>
          <c:showVal val="true"/>
          <c:showCatName val="false"/>
          <c:showSerName val="false"/>
          <c:showPercent val="false"/>
          <c:showBubbleSize val="false"/>
        </c:dLbls>
        <c:gapWidth val="219"/>
        <c:overlap val="-27"/>
        <c:axId val="0"/>
        <c:axId val="1"/>
      </c:barChart>
      <c:catAx>
        <c:axId val="0"/>
        <c:scaling>
          <c:orientation val="minMax"/>
        </c:scaling>
        <c:delete val="false"/>
        <c:axPos val="b"/>
        <c:numFmt formatCode="General" sourceLinked="true"/>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1"/>
        <c:crosses val="autoZero"/>
        <c:auto val="true"/>
        <c:lblAlgn val="ctr"/>
        <c:lblOffset val="100"/>
        <c:noMultiLvlLbl val="false"/>
      </c:catAx>
      <c:valAx>
        <c:axId val="1"/>
        <c:scaling>
          <c:orientation val="minMax"/>
          <c:min val="0"/>
        </c:scaling>
        <c:delete val="false"/>
        <c:axPos val="l"/>
        <c:majorGridlines>
          <c:spPr>
            <a:ln w="6350" cap="flat" cmpd="sng" algn="ctr">
              <a:solidFill>
                <a:srgbClr val="D9D9D9"/>
              </a:solidFill>
              <a:prstDash val="solid"/>
              <a:round/>
            </a:ln>
          </c:spPr>
        </c:majorGridlines>
        <c:numFmt formatCode="General" sourceLinked="true"/>
        <c:majorTickMark val="none"/>
        <c:minorTickMark val="none"/>
        <c:tickLblPos val="nextTo"/>
        <c:spPr>
          <a:ln w="9525" cap="flat" cmpd="sng" algn="ctr">
            <a:no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legend>
      <c:legendPos val="b"/>
      <c:layout/>
      <c:overlay val="false"/>
      <c:spPr>
        <a:noFill/>
        <a:ln>
          <a:noFill/>
        </a:ln>
      </c:spPr>
      <c:txPr>
        <a:bodyPr rot="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true"/>
    <c:dispBlanksAs val="gap"/>
    <c:showDLblsOverMax val="false"/>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400" b="0" i="0" u="none" strike="noStrike" kern="1200" baseline="0">
                <a:solidFill>
                  <a:srgbClr val="595959"/>
                </a:solidFill>
                <a:latin typeface="Times New Roman" panose="02020603050405020304"/>
                <a:ea typeface="宋体" panose="02010600030101010101" charset="-122"/>
                <a:cs typeface="Arial" panose="020B0604020202020204" pitchFamily="2"/>
              </a:defRPr>
            </a:pPr>
            <a:r>
              <a:rPr lang="zh-CN"/>
              <a:t>一般公共预算财政拨款支出决算变动情况</a:t>
            </a:r>
            <a:endParaRPr lang="zh-CN"/>
          </a:p>
        </c:rich>
      </c:tx>
      <c:layout/>
      <c:overlay val="false"/>
      <c:spPr>
        <a:noFill/>
        <a:ln>
          <a:noFill/>
        </a:ln>
      </c:spPr>
    </c:title>
    <c:autoTitleDeleted val="false"/>
    <c:plotArea>
      <c:layout/>
      <c:barChart>
        <c:barDir val="col"/>
        <c:grouping val="clustered"/>
        <c:varyColors val="false"/>
        <c:ser>
          <c:idx val="0"/>
          <c:order val="0"/>
          <c:tx>
            <c:strRef>
              <c:f>'Sheet1 (5)'!$B$1</c:f>
              <c:strCache>
                <c:ptCount val="1"/>
                <c:pt idx="0">
                  <c:v>2020年</c:v>
                </c:pt>
              </c:strCache>
            </c:strRef>
          </c:tx>
          <c:spPr>
            <a:solidFill>
              <a:srgbClr val="4F81BD"/>
            </a:solidFill>
            <a:ln>
              <a:noFill/>
            </a:ln>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 (5)'!$A$2</c:f>
              <c:strCache>
                <c:ptCount val="1"/>
                <c:pt idx="0">
                  <c:v>一般公共预算财政拨款支出</c:v>
                </c:pt>
              </c:strCache>
            </c:strRef>
          </c:cat>
          <c:val>
            <c:numRef>
              <c:f>Sheet1 (5)!$B$2</c:f>
              <c:numCache>
                <c:formatCode>General</c:formatCode>
                <c:ptCount val="1"/>
                <c:pt idx="0">
                  <c:v>105.42</c:v>
                </c:pt>
              </c:numCache>
            </c:numRef>
          </c:val>
        </c:ser>
        <c:ser>
          <c:idx val="1"/>
          <c:order val="1"/>
          <c:tx>
            <c:strRef>
              <c:f>'Sheet1 (5)'!$C$1</c:f>
              <c:strCache>
                <c:ptCount val="1"/>
                <c:pt idx="0">
                  <c:v>2021年</c:v>
                </c:pt>
              </c:strCache>
            </c:strRef>
          </c:tx>
          <c:spPr>
            <a:solidFill>
              <a:srgbClr val="C0504D"/>
            </a:solidFill>
            <a:ln>
              <a:noFill/>
            </a:ln>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 (5)'!$A$2</c:f>
              <c:strCache>
                <c:ptCount val="1"/>
                <c:pt idx="0">
                  <c:v>一般公共预算财政拨款支出</c:v>
                </c:pt>
              </c:strCache>
            </c:strRef>
          </c:cat>
          <c:val>
            <c:numRef>
              <c:f>Sheet1 (5)!$C$2</c:f>
              <c:numCache>
                <c:formatCode>General</c:formatCode>
                <c:ptCount val="1"/>
                <c:pt idx="0">
                  <c:v>314.46</c:v>
                </c:pt>
              </c:numCache>
            </c:numRef>
          </c:val>
        </c:ser>
        <c:dLbls>
          <c:showLegendKey val="false"/>
          <c:showVal val="true"/>
          <c:showCatName val="false"/>
          <c:showSerName val="false"/>
          <c:showPercent val="false"/>
          <c:showBubbleSize val="false"/>
        </c:dLbls>
        <c:gapWidth val="219"/>
        <c:overlap val="-27"/>
        <c:axId val="0"/>
        <c:axId val="1"/>
      </c:barChart>
      <c:catAx>
        <c:axId val="0"/>
        <c:scaling>
          <c:orientation val="minMax"/>
        </c:scaling>
        <c:delete val="false"/>
        <c:axPos val="b"/>
        <c:numFmt formatCode="General" sourceLinked="true"/>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1"/>
        <c:crosses val="autoZero"/>
        <c:auto val="true"/>
        <c:lblAlgn val="ctr"/>
        <c:lblOffset val="100"/>
        <c:noMultiLvlLbl val="false"/>
      </c:catAx>
      <c:valAx>
        <c:axId val="1"/>
        <c:scaling>
          <c:orientation val="minMax"/>
          <c:min val="0"/>
        </c:scaling>
        <c:delete val="false"/>
        <c:axPos val="l"/>
        <c:majorGridlines>
          <c:spPr>
            <a:ln w="6350" cap="flat" cmpd="sng" algn="ctr">
              <a:solidFill>
                <a:srgbClr val="D9D9D9"/>
              </a:solidFill>
              <a:prstDash val="solid"/>
              <a:round/>
            </a:ln>
          </c:spPr>
        </c:majorGridlines>
        <c:numFmt formatCode="General" sourceLinked="true"/>
        <c:majorTickMark val="none"/>
        <c:minorTickMark val="none"/>
        <c:tickLblPos val="nextTo"/>
        <c:spPr>
          <a:ln w="9525" cap="flat" cmpd="sng" algn="ctr">
            <a:noFill/>
            <a:prstDash val="solid"/>
            <a:round/>
          </a:ln>
        </c:spPr>
        <c:txPr>
          <a:bodyPr rot="-6000000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legend>
      <c:legendPos val="b"/>
      <c:layout/>
      <c:overlay val="false"/>
      <c:spPr>
        <a:noFill/>
        <a:ln>
          <a:noFill/>
        </a:ln>
      </c:spPr>
      <c:txPr>
        <a:bodyPr rot="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true"/>
    <c:dispBlanksAs val="gap"/>
    <c:showDLblsOverMax val="false"/>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400" b="0" i="0" u="none" strike="noStrike" kern="1200" baseline="0">
                <a:solidFill>
                  <a:srgbClr val="595959"/>
                </a:solidFill>
                <a:latin typeface="Times New Roman" panose="02020603050405020304"/>
                <a:ea typeface="宋体" panose="02010600030101010101" charset="-122"/>
                <a:cs typeface="Arial" panose="020B0604020202020204" pitchFamily="2"/>
              </a:defRPr>
            </a:pPr>
            <a:r>
              <a:rPr lang="zh-CN"/>
              <a:t>一般公共预算财政拨款支出决算结构</a:t>
            </a:r>
            <a:endParaRPr lang="zh-CN"/>
          </a:p>
        </c:rich>
      </c:tx>
      <c:layout/>
      <c:overlay val="false"/>
      <c:spPr>
        <a:noFill/>
        <a:ln>
          <a:noFill/>
        </a:ln>
      </c:spPr>
    </c:title>
    <c:autoTitleDeleted val="false"/>
    <c:plotArea>
      <c:layout/>
      <c:pieChart>
        <c:varyColors val="true"/>
        <c:ser>
          <c:idx val="0"/>
          <c:order val="0"/>
          <c:tx>
            <c:strRef>
              <c:f>'Sheet1 (6)'!$B$1</c:f>
              <c:strCache>
                <c:ptCount val="1"/>
                <c:pt idx="0">
                  <c:v>一般公共预算财政拨款支出决算结构</c:v>
                </c:pt>
              </c:strCache>
            </c:strRef>
          </c:tx>
          <c:spPr>
            <a:ln>
              <a:noFill/>
            </a:ln>
          </c:spPr>
          <c:explosion val="0"/>
          <c:dPt>
            <c:idx val="0"/>
            <c:bubble3D val="false"/>
            <c:spPr>
              <a:solidFill>
                <a:srgbClr val="4F81BD"/>
              </a:solidFill>
              <a:ln w="19050">
                <a:solidFill>
                  <a:srgbClr val="FFFFFF"/>
                </a:solidFill>
                <a:prstDash val="solid"/>
              </a:ln>
            </c:spPr>
          </c:dPt>
          <c:dPt>
            <c:idx val="1"/>
            <c:bubble3D val="false"/>
            <c:spPr>
              <a:solidFill>
                <a:srgbClr val="C0504D"/>
              </a:solidFill>
              <a:ln w="19050">
                <a:solidFill>
                  <a:srgbClr val="FFFFFF"/>
                </a:solidFill>
                <a:prstDash val="solid"/>
              </a:ln>
            </c:spPr>
          </c:dPt>
          <c:dPt>
            <c:idx val="2"/>
            <c:bubble3D val="false"/>
            <c:spPr>
              <a:solidFill>
                <a:srgbClr val="9BBB59"/>
              </a:solidFill>
              <a:ln w="19050">
                <a:solidFill>
                  <a:srgbClr val="FFFFFF"/>
                </a:solidFill>
                <a:prstDash val="solid"/>
              </a:ln>
            </c:spPr>
          </c:dPt>
          <c:dPt>
            <c:idx val="3"/>
            <c:bubble3D val="false"/>
            <c:spPr>
              <a:solidFill>
                <a:srgbClr val="8064A2"/>
              </a:solidFill>
              <a:ln w="19050">
                <a:solidFill>
                  <a:srgbClr val="FFFFFF"/>
                </a:solidFill>
                <a:prstDash val="solid"/>
              </a:ln>
            </c:spPr>
          </c:dPt>
          <c:dLbls>
            <c:dLbl>
              <c:idx val="1"/>
              <c:layout>
                <c:manualLayout>
                  <c:x val="0.012200459"/>
                  <c:y val="0.07889032"/>
                </c:manualLayout>
              </c:layout>
              <c:numFmt formatCode="General" sourceLinked="true"/>
              <c:spPr>
                <a:solidFill>
                  <a:srgbClr val="FFFFFF"/>
                </a:solidFill>
                <a:ln w="6350">
                  <a:solidFill>
                    <a:srgbClr val="BFBFBF"/>
                  </a:solidFill>
                  <a:prstDash val="solid"/>
                </a:ln>
                <a:effectLst/>
              </c:spPr>
              <c:txPr>
                <a:bodyPr rot="0" spcFirstLastPara="0" vertOverflow="ellipsis" vert="horz" wrap="square" lIns="38100" tIns="19050" rIns="38100" bIns="19050"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2"/>
              <c:layout>
                <c:manualLayout>
                  <c:x val="0.053071775"/>
                  <c:y val="0.032704875"/>
                </c:manualLayout>
              </c:layout>
              <c:numFmt formatCode="General" sourceLinked="true"/>
              <c:spPr>
                <a:solidFill>
                  <a:srgbClr val="FFFFFF"/>
                </a:solidFill>
                <a:ln w="6350">
                  <a:solidFill>
                    <a:srgbClr val="BFBFBF"/>
                  </a:solidFill>
                  <a:prstDash val="solid"/>
                </a:ln>
                <a:effectLst/>
              </c:spPr>
              <c:txPr>
                <a:bodyPr rot="0" spcFirstLastPara="0" vertOverflow="ellipsis" vert="horz" wrap="square" lIns="38100" tIns="19050" rIns="38100" bIns="19050"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3"/>
              <c:layout>
                <c:manualLayout>
                  <c:x val="0.13671571"/>
                  <c:y val="0.11664107"/>
                </c:manualLayout>
              </c:layout>
              <c:numFmt formatCode="General" sourceLinked="true"/>
              <c:spPr>
                <a:solidFill>
                  <a:srgbClr val="FFFFFF"/>
                </a:solidFill>
                <a:ln w="6350">
                  <a:solidFill>
                    <a:srgbClr val="BFBFBF"/>
                  </a:solidFill>
                  <a:prstDash val="solid"/>
                </a:ln>
                <a:effectLst/>
              </c:spPr>
              <c:txPr>
                <a:bodyPr rot="0" spcFirstLastPara="0" vertOverflow="ellipsis" vert="horz" wrap="square" lIns="38100" tIns="19050" rIns="38100" bIns="19050"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0%" sourceLinked="false"/>
            <c:spPr>
              <a:solidFill>
                <a:srgbClr val="FFFFFF"/>
              </a:solidFill>
              <a:ln w="6350">
                <a:solidFill>
                  <a:srgbClr val="BFBFBF"/>
                </a:solidFill>
                <a:prstDash val="solid"/>
              </a:ln>
              <a:effectLst/>
            </c:spPr>
            <c:txPr>
              <a:bodyPr rot="0" spcFirstLastPara="0" vertOverflow="ellipsis" vert="horz" wrap="square" lIns="38100" tIns="19050" rIns="38100" bIns="19050"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dLblPos val="ctr"/>
            <c:showLegendKey val="false"/>
            <c:showVal val="false"/>
            <c:showCatName val="true"/>
            <c:showSerName val="false"/>
            <c:showPercent val="true"/>
            <c:showBubbleSize val="false"/>
            <c:showLeaderLines val="false"/>
            <c:extLst>
              <c:ext xmlns:c15="http://schemas.microsoft.com/office/drawing/2012/chart" uri="{CE6537A1-D6FC-4f65-9D91-7224C49458BB}">
                <c15:layout/>
                <c15:showLeaderLines val="false"/>
                <c15:leaderLines/>
              </c:ext>
            </c:extLst>
          </c:dLbls>
          <c:cat>
            <c:strRef>
              <c:f>'Sheet1 (6)'!$A$2:$A$5</c:f>
              <c:strCache>
                <c:ptCount val="4"/>
                <c:pt idx="0">
                  <c:v>文化旅游体育与传媒支出</c:v>
                </c:pt>
                <c:pt idx="1">
                  <c:v>社会保障和就业</c:v>
                </c:pt>
                <c:pt idx="2">
                  <c:v>卫生健康支出</c:v>
                </c:pt>
                <c:pt idx="3">
                  <c:v>住房保障支出</c:v>
                </c:pt>
              </c:strCache>
            </c:strRef>
          </c:cat>
          <c:val>
            <c:numRef>
              <c:f>'Sheet1 (6)'!$B$2:$B$5</c:f>
              <c:numCache>
                <c:formatCode>General</c:formatCode>
                <c:ptCount val="4"/>
                <c:pt idx="0">
                  <c:v>296.44</c:v>
                </c:pt>
                <c:pt idx="1">
                  <c:v>6.81</c:v>
                </c:pt>
                <c:pt idx="2">
                  <c:v>3.55</c:v>
                </c:pt>
                <c:pt idx="3">
                  <c:v>7.67</c:v>
                </c:pt>
              </c:numCache>
            </c:numRef>
          </c:val>
        </c:ser>
        <c:dLbls>
          <c:showLegendKey val="false"/>
          <c:showVal val="false"/>
          <c:showCatName val="true"/>
          <c:showSerName val="false"/>
          <c:showPercent val="true"/>
          <c:showBubbleSize val="false"/>
          <c:showLeaderLines val="true"/>
        </c:dLbls>
        <c:firstSliceAng val="0"/>
      </c:pieChart>
      <c:spPr>
        <a:noFill/>
        <a:ln>
          <a:noFill/>
        </a:ln>
      </c:spPr>
    </c:plotArea>
    <c:legend>
      <c:legendPos val="b"/>
      <c:layout/>
      <c:overlay val="false"/>
      <c:spPr>
        <a:noFill/>
        <a:ln>
          <a:noFill/>
        </a:ln>
      </c:spPr>
      <c:txPr>
        <a:bodyPr rot="0" spcFirstLastPara="0" vertOverflow="ellipsis" vert="horz" wrap="square" anchor="ctr" anchorCtr="true"/>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true"/>
    <c:dispBlanksAs val="zero"/>
    <c:showDLblsOverMax val="false"/>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false"/>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30</Pages>
  <Words>0</Words>
  <Characters>9859</Characters>
  <Lines>0</Lines>
  <Paragraphs>293</Paragraphs>
  <TotalTime>431</TotalTime>
  <ScaleCrop>false</ScaleCrop>
  <LinksUpToDate>false</LinksUpToDate>
  <CharactersWithSpaces>13146</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 </cp:lastModifiedBy>
  <cp:lastPrinted>2022-09-22T23:05:00Z</cp:lastPrinted>
  <dcterms:modified xsi:type="dcterms:W3CDTF">2023-09-14T18:24:32Z</dcterms:modified>
  <dc:title>四川省***</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57AC33049EA64FEC9C1159B73F56E84E</vt:lpwstr>
  </property>
</Properties>
</file>