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公文小标宋" w:hAnsi="方正公文小标宋" w:eastAsia="方正公文小标宋" w:cs="方正公文小标宋"/>
          <w:b w:val="0"/>
          <w:bCs w:val="0"/>
          <w:color w:val="auto"/>
          <w:sz w:val="72"/>
          <w:szCs w:val="72"/>
          <w:highlight w:val="none"/>
        </w:rPr>
      </w:pPr>
      <w:bookmarkStart w:id="1" w:name="_Toc15377425"/>
      <w:bookmarkStart w:id="2" w:name="_Toc15377193"/>
      <w:bookmarkStart w:id="3" w:name="_Toc20176"/>
      <w:bookmarkStart w:id="4" w:name="_Toc15396475"/>
      <w:bookmarkStart w:id="5" w:name="_Toc15378441"/>
      <w:bookmarkStart w:id="6" w:name="_Toc15396597"/>
      <w:r>
        <w:rPr>
          <w:rFonts w:hint="eastAsia" w:ascii="方正公文小标宋" w:hAnsi="方正公文小标宋" w:eastAsia="方正公文小标宋" w:cs="方正公文小标宋"/>
          <w:b w:val="0"/>
          <w:bCs w:val="0"/>
          <w:color w:val="auto"/>
          <w:sz w:val="72"/>
          <w:szCs w:val="72"/>
          <w:highlight w:val="none"/>
        </w:rPr>
        <w:t>20</w:t>
      </w:r>
      <w:r>
        <w:rPr>
          <w:rFonts w:hint="eastAsia" w:ascii="方正公文小标宋" w:hAnsi="方正公文小标宋" w:eastAsia="方正公文小标宋" w:cs="方正公文小标宋"/>
          <w:b w:val="0"/>
          <w:bCs w:val="0"/>
          <w:color w:val="auto"/>
          <w:sz w:val="72"/>
          <w:szCs w:val="72"/>
          <w:highlight w:val="none"/>
          <w:lang w:val="en-US" w:eastAsia="zh-CN"/>
        </w:rPr>
        <w:t>21</w:t>
      </w:r>
      <w:r>
        <w:rPr>
          <w:rFonts w:hint="eastAsia" w:ascii="方正公文小标宋" w:hAnsi="方正公文小标宋" w:eastAsia="方正公文小标宋" w:cs="方正公文小标宋"/>
          <w:b w:val="0"/>
          <w:bCs w:val="0"/>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公文小标宋" w:hAnsi="方正公文小标宋" w:eastAsia="方正公文小标宋" w:cs="方正公文小标宋"/>
          <w:b w:val="0"/>
          <w:bCs w:val="0"/>
          <w:color w:val="auto"/>
          <w:sz w:val="72"/>
          <w:szCs w:val="72"/>
          <w:highlight w:val="none"/>
        </w:rPr>
      </w:pPr>
      <w:bookmarkStart w:id="7" w:name="_Toc15396476"/>
      <w:bookmarkStart w:id="8" w:name="_Toc202"/>
      <w:bookmarkStart w:id="9" w:name="_Toc15377426"/>
      <w:bookmarkStart w:id="10" w:name="_Toc15378442"/>
      <w:bookmarkStart w:id="11" w:name="_Toc15396598"/>
      <w:bookmarkStart w:id="12" w:name="_Toc15377194"/>
      <w:r>
        <w:rPr>
          <w:rFonts w:hint="eastAsia" w:ascii="方正公文小标宋" w:hAnsi="方正公文小标宋" w:eastAsia="方正公文小标宋" w:cs="方正公文小标宋"/>
          <w:b w:val="0"/>
          <w:bCs w:val="0"/>
          <w:color w:val="auto"/>
          <w:sz w:val="72"/>
          <w:szCs w:val="72"/>
          <w:highlight w:val="none"/>
          <w:lang w:val="en-US" w:eastAsia="zh-CN"/>
        </w:rPr>
        <w:t>广元市</w:t>
      </w:r>
      <w:bookmarkEnd w:id="0"/>
      <w:bookmarkStart w:id="13" w:name="_Toc15306268"/>
      <w:r>
        <w:rPr>
          <w:rFonts w:hint="eastAsia" w:ascii="方正公文小标宋" w:hAnsi="方正公文小标宋" w:eastAsia="方正公文小标宋" w:cs="方正公文小标宋"/>
          <w:b w:val="0"/>
          <w:bCs w:val="0"/>
          <w:color w:val="auto"/>
          <w:sz w:val="72"/>
          <w:szCs w:val="72"/>
          <w:highlight w:val="none"/>
          <w:lang w:eastAsia="zh-CN"/>
        </w:rPr>
        <w:t>妇幼保健院</w:t>
      </w:r>
      <w:r>
        <w:rPr>
          <w:rFonts w:hint="eastAsia" w:ascii="方正公文小标宋" w:hAnsi="方正公文小标宋" w:eastAsia="方正公文小标宋" w:cs="方正公文小标宋"/>
          <w:b w:val="0"/>
          <w:bCs w:val="0"/>
          <w:color w:val="auto"/>
          <w:sz w:val="72"/>
          <w:szCs w:val="72"/>
          <w:highlight w:val="none"/>
          <w:lang w:val="en-US" w:eastAsia="zh-CN"/>
        </w:rPr>
        <w:t xml:space="preserve">      </w:t>
      </w:r>
      <w:r>
        <w:rPr>
          <w:rFonts w:hint="eastAsia" w:ascii="方正公文小标宋" w:hAnsi="方正公文小标宋" w:eastAsia="方正公文小标宋" w:cs="方正公文小标宋"/>
          <w:b w:val="0"/>
          <w:bCs w:val="0"/>
          <w:color w:val="auto"/>
          <w:sz w:val="72"/>
          <w:szCs w:val="72"/>
          <w:highlight w:val="none"/>
          <w:lang w:eastAsia="zh-CN"/>
        </w:rPr>
        <w:t>单位</w:t>
      </w:r>
      <w:r>
        <w:rPr>
          <w:rFonts w:hint="eastAsia" w:ascii="方正公文小标宋" w:hAnsi="方正公文小标宋" w:eastAsia="方正公文小标宋" w:cs="方正公文小标宋"/>
          <w:b w:val="0"/>
          <w:bCs w:val="0"/>
          <w:color w:val="auto"/>
          <w:sz w:val="72"/>
          <w:szCs w:val="72"/>
          <w:highlight w:val="none"/>
        </w:rPr>
        <w:t>决算</w:t>
      </w:r>
      <w:bookmarkEnd w:id="7"/>
      <w:bookmarkEnd w:id="8"/>
      <w:bookmarkEnd w:id="9"/>
      <w:bookmarkEnd w:id="10"/>
      <w:bookmarkEnd w:id="11"/>
      <w:bookmarkEnd w:id="12"/>
      <w:bookmarkEnd w:id="13"/>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09</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8301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pPr>
            <w:pStyle w:val="36"/>
            <w:tabs>
              <w:tab w:val="right" w:leader="dot" w:pos="8306"/>
            </w:tabs>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_Toc14709 </w:instrText>
          </w:r>
          <w:r>
            <w:rPr>
              <w:rFonts w:hint="eastAsia" w:ascii="宋体" w:hAnsi="宋体" w:eastAsia="宋体" w:cs="宋体"/>
              <w:b/>
              <w:sz w:val="28"/>
              <w:szCs w:val="28"/>
            </w:rPr>
            <w:fldChar w:fldCharType="separate"/>
          </w: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eastAsia="zh-CN"/>
            </w:rPr>
            <w:t>单位</w:t>
          </w:r>
          <w:r>
            <w:rPr>
              <w:rFonts w:hint="eastAsia" w:ascii="宋体" w:hAnsi="宋体" w:eastAsia="宋体" w:cs="宋体"/>
              <w:b/>
              <w:bCs w:val="0"/>
              <w:sz w:val="28"/>
              <w:szCs w:val="28"/>
              <w:highlight w:val="none"/>
            </w:rPr>
            <w:t>概况</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_Toc14709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_Toc13609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lang w:eastAsia="zh-CN"/>
            </w:rPr>
            <w:t>一、</w:t>
          </w:r>
          <w:r>
            <w:rPr>
              <w:rFonts w:hint="eastAsia" w:ascii="宋体" w:hAnsi="宋体" w:eastAsia="宋体" w:cs="宋体"/>
              <w:bCs w:val="0"/>
              <w:sz w:val="28"/>
              <w:szCs w:val="28"/>
              <w:highlight w:val="none"/>
            </w:rPr>
            <w:t>职能</w:t>
          </w:r>
          <w:r>
            <w:rPr>
              <w:rFonts w:hint="eastAsia" w:ascii="宋体" w:hAnsi="宋体" w:eastAsia="宋体" w:cs="宋体"/>
              <w:bCs w:val="0"/>
              <w:sz w:val="28"/>
              <w:szCs w:val="28"/>
              <w:highlight w:val="none"/>
              <w:lang w:eastAsia="zh-CN"/>
            </w:rPr>
            <w:t>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_Toc13609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_Toc8658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二、2021年重点</w:t>
          </w:r>
          <w:r>
            <w:rPr>
              <w:rFonts w:hint="eastAsia" w:ascii="宋体" w:hAnsi="宋体" w:eastAsia="宋体" w:cs="宋体"/>
              <w:sz w:val="28"/>
              <w:szCs w:val="28"/>
              <w:highlight w:val="none"/>
            </w:rPr>
            <w:t>工作</w:t>
          </w:r>
          <w:r>
            <w:rPr>
              <w:rFonts w:hint="eastAsia" w:ascii="宋体" w:hAnsi="宋体" w:eastAsia="宋体" w:cs="宋体"/>
              <w:sz w:val="28"/>
              <w:szCs w:val="28"/>
              <w:highlight w:val="none"/>
              <w:lang w:eastAsia="zh-CN"/>
            </w:rPr>
            <w:t>完成情况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_Toc8658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6"/>
            <w:tabs>
              <w:tab w:val="right" w:leader="dot" w:pos="8306"/>
            </w:tabs>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_Toc2874 </w:instrText>
          </w:r>
          <w:r>
            <w:rPr>
              <w:rFonts w:hint="eastAsia" w:ascii="宋体" w:hAnsi="宋体" w:eastAsia="宋体" w:cs="宋体"/>
              <w:b/>
              <w:sz w:val="28"/>
              <w:szCs w:val="28"/>
            </w:rPr>
            <w:fldChar w:fldCharType="separate"/>
          </w:r>
          <w:r>
            <w:rPr>
              <w:rFonts w:hint="eastAsia" w:ascii="宋体" w:hAnsi="宋体" w:eastAsia="宋体" w:cs="宋体"/>
              <w:b/>
              <w:bCs/>
              <w:sz w:val="28"/>
              <w:szCs w:val="28"/>
              <w:highlight w:val="none"/>
            </w:rPr>
            <w:t xml:space="preserve">第二部分 </w:t>
          </w:r>
          <w:r>
            <w:rPr>
              <w:rFonts w:hint="eastAsia" w:ascii="宋体" w:hAnsi="宋体" w:eastAsia="宋体" w:cs="宋体"/>
              <w:b/>
              <w:bCs/>
              <w:sz w:val="28"/>
              <w:szCs w:val="28"/>
              <w:highlight w:val="none"/>
              <w:lang w:val="en-US" w:eastAsia="zh-CN"/>
            </w:rPr>
            <w:t>2021年度</w:t>
          </w:r>
          <w:r>
            <w:rPr>
              <w:rFonts w:hint="eastAsia" w:ascii="宋体" w:hAnsi="宋体" w:eastAsia="宋体" w:cs="宋体"/>
              <w:b/>
              <w:bCs/>
              <w:sz w:val="28"/>
              <w:szCs w:val="28"/>
              <w:highlight w:val="none"/>
              <w:lang w:eastAsia="zh-CN"/>
            </w:rPr>
            <w:t>单位</w:t>
          </w:r>
          <w:r>
            <w:rPr>
              <w:rFonts w:hint="eastAsia" w:ascii="宋体" w:hAnsi="宋体" w:eastAsia="宋体" w:cs="宋体"/>
              <w:b/>
              <w:bCs/>
              <w:sz w:val="28"/>
              <w:szCs w:val="28"/>
              <w:highlight w:val="none"/>
            </w:rPr>
            <w:t>决算情况说明</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_Toc2874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6</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_Toc5320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一、 </w:t>
          </w:r>
          <w:r>
            <w:rPr>
              <w:rFonts w:hint="eastAsia" w:ascii="宋体" w:hAnsi="宋体" w:eastAsia="宋体" w:cs="宋体"/>
              <w:sz w:val="28"/>
              <w:szCs w:val="28"/>
              <w:highlight w:val="none"/>
            </w:rPr>
            <w:t>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_Toc5320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_Toc27396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二、 </w:t>
          </w:r>
          <w:r>
            <w:rPr>
              <w:rFonts w:hint="eastAsia" w:ascii="宋体" w:hAnsi="宋体" w:eastAsia="宋体" w:cs="宋体"/>
              <w:sz w:val="28"/>
              <w:szCs w:val="28"/>
              <w:highlight w:val="none"/>
            </w:rPr>
            <w:t>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_Toc27396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_Toc20586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三、 </w:t>
          </w:r>
          <w:r>
            <w:rPr>
              <w:rFonts w:hint="eastAsia" w:ascii="宋体" w:hAnsi="宋体" w:eastAsia="宋体" w:cs="宋体"/>
              <w:sz w:val="28"/>
              <w:szCs w:val="28"/>
              <w:highlight w:val="none"/>
            </w:rPr>
            <w:t>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_Toc20586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_Toc11026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_Toc11026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_Toc24120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_Toc24120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_Toc16939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_Toc16939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_Toc22545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七、“三公”经费财政拨款支出决算情况说明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_Toc22545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_Toc25426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_Toc25426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_Toc25635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highlight w:val="none"/>
            </w:rPr>
            <w:t>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_Toc25635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_Toc7585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十、 </w:t>
          </w:r>
          <w:r>
            <w:rPr>
              <w:rFonts w:hint="eastAsia" w:ascii="宋体" w:hAnsi="宋体" w:eastAsia="宋体" w:cs="宋体"/>
              <w:sz w:val="28"/>
              <w:szCs w:val="28"/>
              <w:highlight w:val="none"/>
              <w:lang w:val="en-US" w:eastAsia="zh-CN"/>
            </w:rPr>
            <w:t>预算绩效管理情况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_Toc7585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_Toc4678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十一、 </w:t>
          </w:r>
          <w:r>
            <w:rPr>
              <w:rFonts w:hint="eastAsia" w:ascii="宋体" w:hAnsi="宋体" w:eastAsia="宋体" w:cs="宋体"/>
              <w:sz w:val="28"/>
              <w:szCs w:val="28"/>
              <w:highlight w:val="none"/>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_Toc4678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36"/>
            <w:tabs>
              <w:tab w:val="right" w:leader="dot" w:pos="8306"/>
            </w:tabs>
            <w:rPr>
              <w:rFonts w:hint="eastAsia" w:ascii="宋体" w:hAnsi="宋体" w:eastAsia="宋体" w:cs="宋体"/>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_Toc4651 </w:instrText>
          </w:r>
          <w:r>
            <w:rPr>
              <w:rFonts w:hint="eastAsia" w:ascii="宋体" w:hAnsi="宋体" w:eastAsia="宋体" w:cs="宋体"/>
              <w:b/>
              <w:sz w:val="28"/>
              <w:szCs w:val="28"/>
            </w:rPr>
            <w:fldChar w:fldCharType="separate"/>
          </w:r>
          <w:r>
            <w:rPr>
              <w:rFonts w:hint="eastAsia" w:ascii="宋体" w:hAnsi="宋体" w:eastAsia="宋体" w:cs="宋体"/>
              <w:b/>
              <w:sz w:val="28"/>
              <w:szCs w:val="28"/>
            </w:rPr>
            <w:t xml:space="preserve">第三部分 </w:t>
          </w:r>
          <w:r>
            <w:rPr>
              <w:rFonts w:hint="eastAsia" w:ascii="宋体" w:hAnsi="宋体" w:eastAsia="宋体" w:cs="宋体"/>
              <w:b/>
              <w:sz w:val="28"/>
              <w:szCs w:val="28"/>
              <w:highlight w:val="none"/>
            </w:rPr>
            <w:t>名词解释</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_Toc4651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17</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36"/>
            <w:tabs>
              <w:tab w:val="right" w:leader="dot" w:pos="8306"/>
            </w:tabs>
            <w:rPr>
              <w:rFonts w:hint="eastAsia" w:ascii="宋体" w:hAnsi="宋体" w:eastAsia="宋体" w:cs="宋体"/>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_Toc28022 </w:instrText>
          </w:r>
          <w:r>
            <w:rPr>
              <w:rFonts w:hint="eastAsia" w:ascii="宋体" w:hAnsi="宋体" w:eastAsia="宋体" w:cs="宋体"/>
              <w:b/>
              <w:sz w:val="28"/>
              <w:szCs w:val="28"/>
            </w:rPr>
            <w:fldChar w:fldCharType="separate"/>
          </w:r>
          <w:r>
            <w:rPr>
              <w:rFonts w:hint="eastAsia" w:ascii="宋体" w:hAnsi="宋体" w:eastAsia="宋体" w:cs="宋体"/>
              <w:b/>
              <w:sz w:val="28"/>
              <w:szCs w:val="28"/>
              <w:highlight w:val="none"/>
            </w:rPr>
            <w:t>第四部分 附件</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_Toc28022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20</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36"/>
            <w:tabs>
              <w:tab w:val="right" w:leader="dot" w:pos="8306"/>
            </w:tabs>
            <w:rPr>
              <w:rFonts w:hint="eastAsia" w:ascii="宋体" w:hAnsi="宋体" w:eastAsia="宋体" w:cs="宋体"/>
              <w:b/>
              <w:sz w:val="28"/>
              <w:szCs w:val="28"/>
              <w:lang w:val="en-US" w:eastAsia="zh-CN"/>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_Toc8769 </w:instrText>
          </w:r>
          <w:r>
            <w:rPr>
              <w:rFonts w:hint="eastAsia" w:ascii="宋体" w:hAnsi="宋体" w:eastAsia="宋体" w:cs="宋体"/>
              <w:b/>
              <w:sz w:val="28"/>
              <w:szCs w:val="28"/>
            </w:rPr>
            <w:fldChar w:fldCharType="separate"/>
          </w:r>
          <w:r>
            <w:rPr>
              <w:rFonts w:hint="eastAsia" w:ascii="宋体" w:hAnsi="宋体" w:eastAsia="宋体" w:cs="宋体"/>
              <w:b/>
              <w:sz w:val="28"/>
              <w:szCs w:val="28"/>
              <w:highlight w:val="none"/>
            </w:rPr>
            <w:t>第五部分 附表</w:t>
          </w:r>
          <w:r>
            <w:rPr>
              <w:rFonts w:hint="eastAsia" w:ascii="宋体" w:hAnsi="宋体" w:eastAsia="宋体" w:cs="宋体"/>
              <w:b/>
              <w:sz w:val="28"/>
              <w:szCs w:val="28"/>
            </w:rPr>
            <w:tab/>
          </w:r>
          <w:r>
            <w:rPr>
              <w:rFonts w:hint="eastAsia" w:ascii="宋体" w:hAnsi="宋体" w:cs="宋体"/>
              <w:b/>
              <w:sz w:val="28"/>
              <w:szCs w:val="28"/>
              <w:lang w:val="en-US" w:eastAsia="zh-CN"/>
            </w:rPr>
            <w:t>5</w:t>
          </w:r>
          <w:r>
            <w:rPr>
              <w:rFonts w:hint="eastAsia" w:ascii="宋体" w:hAnsi="宋体" w:eastAsia="宋体" w:cs="宋体"/>
              <w:b/>
              <w:sz w:val="28"/>
              <w:szCs w:val="28"/>
            </w:rPr>
            <w:fldChar w:fldCharType="end"/>
          </w:r>
          <w:r>
            <w:rPr>
              <w:rFonts w:hint="eastAsia" w:ascii="宋体" w:hAnsi="宋体" w:cs="宋体"/>
              <w:b/>
              <w:sz w:val="28"/>
              <w:szCs w:val="28"/>
              <w:lang w:val="en-US" w:eastAsia="zh-CN"/>
            </w:rPr>
            <w:t>1</w:t>
          </w:r>
        </w:p>
        <w:p>
          <w:pPr>
            <w:pStyle w:val="37"/>
            <w:tabs>
              <w:tab w:val="right" w:leader="dot" w:pos="8306"/>
            </w:tabs>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37"/>
            <w:tabs>
              <w:tab w:val="right" w:leader="dot" w:pos="8306"/>
            </w:tabs>
          </w:pPr>
        </w:p>
        <w:p>
          <w:pPr>
            <w:rPr>
              <w:rFonts w:hint="eastAsia"/>
            </w:rPr>
          </w:pPr>
          <w:r>
            <w:rPr>
              <w:b/>
            </w:rPr>
            <w:fldChar w:fldCharType="end"/>
          </w:r>
          <w:bookmarkStart w:id="14" w:name="_Toc15396599"/>
          <w:bookmarkStart w:id="15" w:name="_Toc15377196"/>
        </w:p>
      </w:sdtContent>
    </w:sdt>
    <w:p>
      <w:pPr>
        <w:pStyle w:val="3"/>
        <w:jc w:val="center"/>
        <w:rPr>
          <w:rStyle w:val="25"/>
          <w:rFonts w:ascii="黑体" w:hAnsi="黑体" w:eastAsia="黑体"/>
          <w:b/>
          <w:bCs w:val="0"/>
          <w:color w:val="auto"/>
          <w:highlight w:val="none"/>
        </w:rPr>
      </w:pPr>
      <w:bookmarkStart w:id="16" w:name="_Toc1470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4"/>
      <w:bookmarkEnd w:id="15"/>
      <w:bookmarkEnd w:id="16"/>
    </w:p>
    <w:p>
      <w:pPr>
        <w:pStyle w:val="4"/>
        <w:numPr>
          <w:ilvl w:val="0"/>
          <w:numId w:val="0"/>
        </w:numPr>
        <w:ind w:firstLine="640" w:firstLineChars="200"/>
        <w:rPr>
          <w:rStyle w:val="26"/>
          <w:rFonts w:hint="eastAsia" w:ascii="黑体" w:hAnsi="黑体" w:eastAsia="黑体"/>
          <w:b w:val="0"/>
          <w:bCs w:val="0"/>
          <w:color w:val="auto"/>
          <w:highlight w:val="none"/>
          <w:lang w:eastAsia="zh-CN"/>
        </w:rPr>
      </w:pPr>
      <w:bookmarkStart w:id="17" w:name="_Toc13609"/>
      <w:bookmarkStart w:id="18" w:name="_Toc15377197"/>
      <w:bookmarkStart w:id="19" w:name="_Toc15396600"/>
      <w:r>
        <w:rPr>
          <w:rStyle w:val="26"/>
          <w:rFonts w:hint="eastAsia" w:ascii="黑体" w:hAnsi="黑体" w:eastAsia="黑体"/>
          <w:b w:val="0"/>
          <w:bCs w:val="0"/>
          <w:color w:val="auto"/>
          <w:highlight w:val="none"/>
          <w:lang w:eastAsia="zh-CN"/>
        </w:rPr>
        <w:t>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bookmarkEnd w:id="17"/>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广元市妇幼保健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是一所由广元市政府举办的集妇幼医疗、保健、教学、科研、指导于一体的，为全市妇女儿童提供公共卫生服务和医疗保健服务的公益性现代化三级妇幼保健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，是全市妇幼卫生的</w:t>
      </w:r>
      <w:r>
        <w:rPr>
          <w:rFonts w:hint="eastAsia" w:ascii="仿宋_GB2312" w:hAnsi="仿宋_GB2312" w:eastAsia="仿宋_GB2312" w:cs="仿宋_GB2312"/>
          <w:sz w:val="32"/>
          <w:szCs w:val="32"/>
          <w:lang w:eastAsia="zh-CN"/>
        </w:rPr>
        <w:t>管理中心、</w:t>
      </w:r>
      <w:r>
        <w:rPr>
          <w:rFonts w:hint="eastAsia" w:ascii="仿宋_GB2312" w:hAnsi="仿宋_GB2312" w:eastAsia="仿宋_GB2312" w:cs="仿宋_GB2312"/>
          <w:sz w:val="32"/>
          <w:szCs w:val="32"/>
        </w:rPr>
        <w:t>服务中心、指导中心和教学科研中心。</w:t>
      </w:r>
      <w:r>
        <w:rPr>
          <w:rFonts w:hint="eastAsia" w:ascii="仿宋_GB2312" w:hAnsi="仿宋_GB2312" w:eastAsia="仿宋_GB2312" w:cs="仿宋_GB2312"/>
          <w:sz w:val="32"/>
          <w:szCs w:val="32"/>
          <w:lang w:eastAsia="zh-CN"/>
        </w:rPr>
        <w:t>我院</w:t>
      </w:r>
      <w:r>
        <w:rPr>
          <w:rFonts w:hint="eastAsia" w:ascii="仿宋_GB2312" w:hAnsi="仿宋_GB2312" w:eastAsia="仿宋_GB2312" w:cs="仿宋_GB2312"/>
          <w:sz w:val="32"/>
          <w:szCs w:val="32"/>
        </w:rPr>
        <w:t>占地面积20余亩，建筑面积</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000平方米，现开放床位120张，</w:t>
      </w:r>
      <w:r>
        <w:rPr>
          <w:rFonts w:hint="eastAsia" w:ascii="仿宋_GB2312" w:hAnsi="仿宋_GB2312" w:eastAsia="仿宋_GB2312" w:cs="仿宋_GB2312"/>
          <w:color w:val="auto"/>
          <w:sz w:val="32"/>
          <w:szCs w:val="32"/>
        </w:rPr>
        <w:t>核定编制数160人，年末在编人数</w:t>
      </w:r>
      <w:r>
        <w:rPr>
          <w:rFonts w:hint="eastAsia" w:ascii="仿宋_GB2312" w:hAnsi="仿宋_GB2312" w:eastAsia="仿宋_GB2312" w:cs="仿宋_GB2312"/>
          <w:color w:val="auto"/>
          <w:sz w:val="32"/>
          <w:szCs w:val="32"/>
          <w:lang w:val="en-US" w:eastAsia="zh-CN"/>
        </w:rPr>
        <w:t>132</w:t>
      </w:r>
      <w:r>
        <w:rPr>
          <w:rFonts w:hint="eastAsia" w:ascii="仿宋_GB2312" w:hAnsi="仿宋_GB2312" w:eastAsia="仿宋_GB2312" w:cs="仿宋_GB2312"/>
          <w:color w:val="auto"/>
          <w:sz w:val="32"/>
          <w:szCs w:val="32"/>
        </w:rPr>
        <w:t>人，实际在岗人员</w:t>
      </w:r>
      <w:r>
        <w:rPr>
          <w:rFonts w:hint="eastAsia" w:ascii="仿宋_GB2312" w:hAnsi="仿宋_GB2312" w:eastAsia="仿宋_GB2312" w:cs="仿宋_GB2312"/>
          <w:color w:val="auto"/>
          <w:sz w:val="32"/>
          <w:szCs w:val="32"/>
          <w:lang w:val="en-US" w:eastAsia="zh-CN"/>
        </w:rPr>
        <w:t>320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布局合理、流程科学、功能完善。</w:t>
      </w:r>
    </w:p>
    <w:p>
      <w:pPr>
        <w:ind w:firstLine="640" w:firstLineChars="200"/>
        <w:jc w:val="both"/>
        <w:rPr>
          <w:rFonts w:hint="eastAsia"/>
        </w:rPr>
      </w:pPr>
      <w:r>
        <w:rPr>
          <w:rFonts w:hint="eastAsia" w:ascii="仿宋_GB2312" w:hAnsi="仿宋_GB2312" w:eastAsia="仿宋_GB2312" w:cs="仿宋_GB2312"/>
          <w:sz w:val="32"/>
          <w:szCs w:val="32"/>
          <w:lang w:eastAsia="zh-CN"/>
        </w:rPr>
        <w:t>（二）我院</w:t>
      </w:r>
      <w:r>
        <w:rPr>
          <w:rFonts w:hint="eastAsia" w:ascii="仿宋_GB2312" w:hAnsi="仿宋_GB2312" w:eastAsia="仿宋_GB2312" w:cs="仿宋_GB2312"/>
          <w:sz w:val="32"/>
          <w:szCs w:val="32"/>
        </w:rPr>
        <w:t>秉持“保健与临床”并重的发展方向，致力于专业</w:t>
      </w:r>
      <w:r>
        <w:rPr>
          <w:rFonts w:hint="eastAsia" w:ascii="仿宋_GB2312" w:hAnsi="仿宋_GB2312" w:eastAsia="仿宋_GB2312" w:cs="仿宋_GB2312"/>
          <w:sz w:val="32"/>
          <w:szCs w:val="32"/>
          <w:lang w:eastAsia="zh-CN"/>
        </w:rPr>
        <w:t>呵护</w:t>
      </w:r>
      <w:r>
        <w:rPr>
          <w:rFonts w:hint="eastAsia" w:ascii="仿宋_GB2312" w:hAnsi="仿宋_GB2312" w:eastAsia="仿宋_GB2312" w:cs="仿宋_GB2312"/>
          <w:sz w:val="32"/>
          <w:szCs w:val="32"/>
        </w:rPr>
        <w:t>妇女儿童全生命周期健康。现建成孕产保健部、妇女保健计划生育部、儿童保健部</w:t>
      </w:r>
      <w:r>
        <w:rPr>
          <w:rFonts w:hint="eastAsia" w:ascii="仿宋_GB2312" w:hAnsi="仿宋_GB2312" w:eastAsia="仿宋_GB2312" w:cs="仿宋_GB2312"/>
          <w:sz w:val="32"/>
          <w:szCs w:val="32"/>
          <w:lang w:eastAsia="zh-CN"/>
        </w:rPr>
        <w:t>、综合医学部</w:t>
      </w:r>
      <w:r>
        <w:rPr>
          <w:rFonts w:hint="eastAsia" w:ascii="仿宋_GB2312" w:hAnsi="仿宋_GB2312" w:eastAsia="仿宋_GB2312" w:cs="仿宋_GB2312"/>
          <w:sz w:val="32"/>
          <w:szCs w:val="32"/>
        </w:rPr>
        <w:t>。认真履行妇幼公共卫生职责，致力于持续改善全市妇女儿童健康状况。以健全妇幼健康服务体系为基础，以实施重大妇幼公共卫生项目为抓手，不断加强基层指导、业务培训、技术规范和考核评估等工作，不断提升妇幼健康服务能力。全市孕产妇死亡率、婴儿死亡率和出生缺陷发生率得到有效控制，</w:t>
      </w:r>
      <w:r>
        <w:rPr>
          <w:rFonts w:hint="eastAsia" w:ascii="仿宋_GB2312" w:hAnsi="仿宋_GB2312" w:eastAsia="仿宋_GB2312" w:cs="仿宋_GB2312"/>
          <w:sz w:val="32"/>
          <w:szCs w:val="32"/>
          <w:lang w:eastAsia="zh-CN"/>
        </w:rPr>
        <w:t>优于全国、</w:t>
      </w:r>
      <w:r>
        <w:rPr>
          <w:rFonts w:hint="eastAsia" w:ascii="仿宋_GB2312" w:hAnsi="仿宋_GB2312" w:eastAsia="仿宋_GB2312" w:cs="仿宋_GB2312"/>
          <w:sz w:val="32"/>
          <w:szCs w:val="32"/>
        </w:rPr>
        <w:t>全省平均水平。</w:t>
      </w:r>
    </w:p>
    <w:p>
      <w:pPr>
        <w:adjustRightInd w:val="0"/>
        <w:snapToGrid w:val="0"/>
        <w:spacing w:line="576" w:lineRule="exact"/>
        <w:ind w:firstLine="640" w:firstLineChars="200"/>
        <w:outlineLvl w:val="1"/>
        <w:rPr>
          <w:rFonts w:hint="eastAsia" w:ascii="黑体" w:hAnsi="黑体" w:eastAsia="黑体"/>
          <w:b w:val="0"/>
          <w:color w:val="auto"/>
          <w:sz w:val="32"/>
          <w:szCs w:val="32"/>
          <w:highlight w:val="none"/>
          <w:lang w:eastAsia="zh-CN"/>
        </w:rPr>
      </w:pPr>
      <w:bookmarkStart w:id="20" w:name="_Toc8658"/>
      <w:r>
        <w:rPr>
          <w:rFonts w:hint="eastAsia" w:ascii="黑体" w:hAnsi="黑体" w:eastAsia="黑体"/>
          <w:b w:val="0"/>
          <w:color w:val="auto"/>
          <w:sz w:val="32"/>
          <w:szCs w:val="32"/>
          <w:highlight w:val="none"/>
          <w:lang w:val="en-US" w:eastAsia="zh-CN"/>
        </w:rPr>
        <w:t>二、2021年重点</w:t>
      </w:r>
      <w:r>
        <w:rPr>
          <w:rFonts w:hint="eastAsia" w:ascii="黑体" w:hAnsi="黑体" w:eastAsia="黑体"/>
          <w:b w:val="0"/>
          <w:color w:val="auto"/>
          <w:sz w:val="32"/>
          <w:szCs w:val="32"/>
          <w:highlight w:val="none"/>
        </w:rPr>
        <w:t>工作</w:t>
      </w:r>
      <w:bookmarkEnd w:id="18"/>
      <w:bookmarkEnd w:id="19"/>
      <w:r>
        <w:rPr>
          <w:rFonts w:hint="eastAsia" w:ascii="黑体" w:hAnsi="黑体" w:eastAsia="黑体"/>
          <w:b w:val="0"/>
          <w:color w:val="auto"/>
          <w:sz w:val="32"/>
          <w:szCs w:val="32"/>
          <w:highlight w:val="none"/>
          <w:lang w:eastAsia="zh-CN"/>
        </w:rPr>
        <w:t>完成情况</w:t>
      </w:r>
      <w:bookmarkEnd w:id="20"/>
    </w:p>
    <w:p>
      <w:pPr>
        <w:adjustRightInd w:val="0"/>
        <w:snapToGrid w:val="0"/>
        <w:spacing w:line="576" w:lineRule="exact"/>
        <w:ind w:firstLine="640" w:firstLineChars="200"/>
        <w:rPr>
          <w:rFonts w:ascii="黑体" w:hAnsi="黑体" w:eastAsia="黑体" w:cs="黑体"/>
          <w:snapToGrid w:val="0"/>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kern w:val="0"/>
          <w:sz w:val="32"/>
          <w:szCs w:val="32"/>
          <w:lang w:eastAsia="zh-CN"/>
          <w14:textFill>
            <w14:solidFill>
              <w14:schemeClr w14:val="tx1"/>
            </w14:solidFill>
          </w14:textFill>
        </w:rPr>
        <w:t>（一）</w:t>
      </w:r>
      <w:r>
        <w:rPr>
          <w:rFonts w:hint="eastAsia" w:ascii="黑体" w:hAnsi="黑体" w:eastAsia="黑体" w:cs="黑体"/>
          <w:snapToGrid w:val="0"/>
          <w:color w:val="000000" w:themeColor="text1"/>
          <w:kern w:val="0"/>
          <w:sz w:val="32"/>
          <w:szCs w:val="32"/>
          <w14:textFill>
            <w14:solidFill>
              <w14:schemeClr w14:val="tx1"/>
            </w14:solidFill>
          </w14:textFill>
        </w:rPr>
        <w:t>党的建设持续加强</w:t>
      </w:r>
    </w:p>
    <w:p>
      <w:pPr>
        <w:adjustRightInd w:val="0"/>
        <w:snapToGrid w:val="0"/>
        <w:spacing w:line="576" w:lineRule="exact"/>
        <w:ind w:firstLine="640" w:firstLineChars="200"/>
        <w:rPr>
          <w:rFonts w:ascii="仿宋_GB2312" w:hAnsi="楷体" w:eastAsia="仿宋_GB2312" w:cs="楷体"/>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1.</w:t>
      </w:r>
      <w:r>
        <w:rPr>
          <w:rFonts w:hint="eastAsia" w:ascii="楷体_GB2312" w:hAnsi="楷体" w:eastAsia="楷体_GB2312" w:cs="楷体"/>
          <w:snapToGrid w:val="0"/>
          <w:color w:val="000000" w:themeColor="text1"/>
          <w:kern w:val="0"/>
          <w:sz w:val="32"/>
          <w:szCs w:val="32"/>
          <w14:textFill>
            <w14:solidFill>
              <w14:schemeClr w14:val="tx1"/>
            </w14:solidFill>
          </w14:textFill>
        </w:rPr>
        <w:t>思想政治建设不断加强。</w:t>
      </w:r>
      <w:r>
        <w:rPr>
          <w:rFonts w:hint="eastAsia" w:ascii="仿宋_GB2312" w:hAnsi="Helvetica" w:eastAsia="仿宋_GB2312" w:cs="Helvetica"/>
          <w:snapToGrid w:val="0"/>
          <w:color w:val="000000" w:themeColor="text1"/>
          <w:kern w:val="0"/>
          <w:sz w:val="32"/>
          <w:szCs w:val="32"/>
          <w14:textFill>
            <w14:solidFill>
              <w14:schemeClr w14:val="tx1"/>
            </w14:solidFill>
          </w14:textFill>
        </w:rPr>
        <w:t>深入学习贯彻落实习近平新时代中国特色社会主义思想，开展党史学习教育工作，</w:t>
      </w:r>
      <w:r>
        <w:rPr>
          <w:rFonts w:hint="eastAsia" w:ascii="仿宋_GB2312" w:hAnsi="仿宋" w:eastAsia="仿宋_GB2312"/>
          <w:snapToGrid w:val="0"/>
          <w:color w:val="000000" w:themeColor="text1"/>
          <w:kern w:val="0"/>
          <w:sz w:val="32"/>
          <w:szCs w:val="32"/>
          <w14:textFill>
            <w14:solidFill>
              <w14:schemeClr w14:val="tx1"/>
            </w14:solidFill>
          </w14:textFill>
        </w:rPr>
        <w:t>党委领导班子开展百年党史学习研讨4次，中心组学习会上研讨学习3次，开展“党史学习知识竞赛”5次、党史党性现场教学3场次，系列学习活动推动党史学习教育走深走实。</w:t>
      </w:r>
      <w:r>
        <w:rPr>
          <w:rFonts w:hint="eastAsia" w:ascii="仿宋_GB2312" w:hAnsi="Helvetica" w:eastAsia="仿宋_GB2312" w:cs="Helvetica"/>
          <w:snapToGrid w:val="0"/>
          <w:color w:val="000000" w:themeColor="text1"/>
          <w:kern w:val="0"/>
          <w:sz w:val="32"/>
          <w:szCs w:val="32"/>
          <w14:textFill>
            <w14:solidFill>
              <w14:schemeClr w14:val="tx1"/>
            </w14:solidFill>
          </w14:textFill>
        </w:rPr>
        <w:t>落实意识形态工作责任制，建立意识形态工作考核体系，</w:t>
      </w:r>
      <w:r>
        <w:rPr>
          <w:rFonts w:hint="eastAsia" w:ascii="仿宋_GB2312" w:eastAsia="仿宋_GB2312"/>
          <w:snapToGrid w:val="0"/>
          <w:color w:val="000000" w:themeColor="text1"/>
          <w:kern w:val="0"/>
          <w:sz w:val="32"/>
          <w:szCs w:val="32"/>
          <w14:textFill>
            <w14:solidFill>
              <w14:schemeClr w14:val="tx1"/>
            </w14:solidFill>
          </w14:textFill>
        </w:rPr>
        <w:t>年内组织专题学习2次，召开专题会议2次</w:t>
      </w:r>
      <w:r>
        <w:rPr>
          <w:rFonts w:hint="eastAsia" w:ascii="仿宋_GB2312" w:hAnsi="Helvetica" w:eastAsia="仿宋_GB2312" w:cs="Helvetica"/>
          <w:snapToGrid w:val="0"/>
          <w:color w:val="000000" w:themeColor="text1"/>
          <w:kern w:val="0"/>
          <w:sz w:val="32"/>
          <w:szCs w:val="32"/>
          <w14:textFill>
            <w14:solidFill>
              <w14:schemeClr w14:val="tx1"/>
            </w14:solidFill>
          </w14:textFill>
        </w:rPr>
        <w:t>。</w:t>
      </w:r>
    </w:p>
    <w:p>
      <w:pPr>
        <w:adjustRightInd w:val="0"/>
        <w:snapToGrid w:val="0"/>
        <w:spacing w:line="576" w:lineRule="exact"/>
        <w:ind w:firstLine="640" w:firstLineChars="200"/>
        <w:rPr>
          <w:rFonts w:ascii="仿宋_GB2312" w:hAnsi="Helvetica" w:eastAsia="仿宋_GB2312" w:cs="Helvetica"/>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2.</w:t>
      </w:r>
      <w:r>
        <w:rPr>
          <w:rFonts w:hint="eastAsia" w:ascii="楷体_GB2312" w:hAnsi="楷体" w:eastAsia="楷体_GB2312" w:cs="楷体"/>
          <w:snapToGrid w:val="0"/>
          <w:color w:val="000000" w:themeColor="text1"/>
          <w:kern w:val="0"/>
          <w:sz w:val="32"/>
          <w:szCs w:val="32"/>
          <w14:textFill>
            <w14:solidFill>
              <w14:schemeClr w14:val="tx1"/>
            </w14:solidFill>
          </w14:textFill>
        </w:rPr>
        <w:t>组织建设不断强化。</w:t>
      </w:r>
      <w:r>
        <w:rPr>
          <w:rFonts w:hint="eastAsia" w:ascii="仿宋_GB2312" w:hAnsi="Helvetica" w:eastAsia="仿宋_GB2312" w:cs="Helvetica"/>
          <w:snapToGrid w:val="0"/>
          <w:color w:val="000000" w:themeColor="text1"/>
          <w:kern w:val="0"/>
          <w:sz w:val="32"/>
          <w:szCs w:val="32"/>
          <w14:textFill>
            <w14:solidFill>
              <w14:schemeClr w14:val="tx1"/>
            </w14:solidFill>
          </w14:textFill>
        </w:rPr>
        <w:t>实行党委领导下的院长负责制，修订完善党委会、院长办公会议事决策规则，建立党委书记、院长权责清单。坚持党管干部、党管人才，规范干部选拔、任用、考核等工作，</w:t>
      </w:r>
      <w:r>
        <w:rPr>
          <w:rFonts w:hint="eastAsia" w:ascii="仿宋_GB2312" w:hAnsi="仿宋" w:eastAsia="仿宋_GB2312"/>
          <w:snapToGrid w:val="0"/>
          <w:color w:val="000000" w:themeColor="text1"/>
          <w:kern w:val="0"/>
          <w:sz w:val="32"/>
          <w:szCs w:val="32"/>
          <w14:textFill>
            <w14:solidFill>
              <w14:schemeClr w14:val="tx1"/>
            </w14:solidFill>
          </w14:textFill>
        </w:rPr>
        <w:t>修订完善《中层干部选拔任用暂行规定》《高层次人才引进暂行规定》2个规定</w:t>
      </w:r>
      <w:r>
        <w:rPr>
          <w:rFonts w:hint="eastAsia" w:ascii="仿宋_GB2312" w:hAnsi="Helvetica" w:eastAsia="仿宋_GB2312" w:cs="Helvetica"/>
          <w:snapToGrid w:val="0"/>
          <w:color w:val="000000" w:themeColor="text1"/>
          <w:kern w:val="0"/>
          <w:sz w:val="32"/>
          <w:szCs w:val="32"/>
          <w14:textFill>
            <w14:solidFill>
              <w14:schemeClr w14:val="tx1"/>
            </w14:solidFill>
          </w14:textFill>
        </w:rPr>
        <w:t>。</w:t>
      </w:r>
    </w:p>
    <w:p>
      <w:pPr>
        <w:adjustRightInd w:val="0"/>
        <w:snapToGrid w:val="0"/>
        <w:spacing w:line="576" w:lineRule="exact"/>
        <w:ind w:firstLine="640" w:firstLineChars="200"/>
        <w:rPr>
          <w:rFonts w:ascii="仿宋_GB2312" w:hAnsi="仿宋" w:eastAsia="仿宋_GB2312"/>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3.</w:t>
      </w:r>
      <w:r>
        <w:rPr>
          <w:rFonts w:hint="eastAsia" w:ascii="楷体_GB2312" w:hAnsi="楷体" w:eastAsia="楷体_GB2312" w:cs="楷体"/>
          <w:snapToGrid w:val="0"/>
          <w:color w:val="000000" w:themeColor="text1"/>
          <w:kern w:val="0"/>
          <w:sz w:val="32"/>
          <w:szCs w:val="32"/>
          <w14:textFill>
            <w14:solidFill>
              <w14:schemeClr w14:val="tx1"/>
            </w14:solidFill>
          </w14:textFill>
        </w:rPr>
        <w:t>党风廉政建设不断推进。</w:t>
      </w:r>
      <w:r>
        <w:rPr>
          <w:rFonts w:hint="eastAsia" w:ascii="仿宋_GB2312" w:hAnsi="仿宋" w:eastAsia="仿宋_GB2312"/>
          <w:snapToGrid w:val="0"/>
          <w:color w:val="000000" w:themeColor="text1"/>
          <w:kern w:val="0"/>
          <w:sz w:val="32"/>
          <w:szCs w:val="32"/>
          <w14:textFill>
            <w14:solidFill>
              <w14:schemeClr w14:val="tx1"/>
            </w14:solidFill>
          </w14:textFill>
        </w:rPr>
        <w:t>印发全面从严治党“三张清单”，分解强化落实“两个责任”。召开</w:t>
      </w:r>
      <w:r>
        <w:rPr>
          <w:rFonts w:hint="eastAsia" w:ascii="仿宋_GB2312" w:hAnsi="仿宋" w:eastAsia="仿宋_GB2312" w:cs="仿宋"/>
          <w:snapToGrid w:val="0"/>
          <w:color w:val="000000" w:themeColor="text1"/>
          <w:kern w:val="0"/>
          <w:sz w:val="32"/>
          <w:szCs w:val="32"/>
          <w14:textFill>
            <w14:solidFill>
              <w14:schemeClr w14:val="tx1"/>
            </w14:solidFill>
          </w14:textFill>
        </w:rPr>
        <w:t>以案促改工作启动会1次，完善</w:t>
      </w:r>
      <w:r>
        <w:rPr>
          <w:rFonts w:hint="eastAsia" w:ascii="仿宋_GB2312" w:hAnsi="仿宋" w:eastAsia="仿宋_GB2312"/>
          <w:bCs/>
          <w:snapToGrid w:val="0"/>
          <w:color w:val="000000" w:themeColor="text1"/>
          <w:kern w:val="0"/>
          <w:sz w:val="32"/>
          <w:szCs w:val="32"/>
          <w14:textFill>
            <w14:solidFill>
              <w14:schemeClr w14:val="tx1"/>
            </w14:solidFill>
          </w14:textFill>
        </w:rPr>
        <w:t>建立干部廉政档案61份，医德医风档案300余份，与供应商签订廉洁购销合同50余份，组织全院干部职工</w:t>
      </w:r>
      <w:r>
        <w:rPr>
          <w:rFonts w:hint="eastAsia" w:ascii="仿宋_GB2312" w:hAnsi="仿宋" w:eastAsia="仿宋_GB2312"/>
          <w:snapToGrid w:val="0"/>
          <w:color w:val="000000" w:themeColor="text1"/>
          <w:kern w:val="0"/>
          <w:sz w:val="32"/>
          <w:szCs w:val="32"/>
          <w14:textFill>
            <w14:solidFill>
              <w14:schemeClr w14:val="tx1"/>
            </w14:solidFill>
          </w14:textFill>
        </w:rPr>
        <w:t>观看《正风肃纪永不停步》《焦点访谈</w:t>
      </w:r>
      <w:r>
        <w:rPr>
          <w:rFonts w:hint="eastAsia" w:ascii="仿宋_GB2312" w:hAnsi="微软雅黑" w:eastAsia="仿宋_GB2312" w:cs="微软雅黑"/>
          <w:snapToGrid w:val="0"/>
          <w:color w:val="000000" w:themeColor="text1"/>
          <w:kern w:val="0"/>
          <w:sz w:val="32"/>
          <w:szCs w:val="32"/>
          <w14:textFill>
            <w14:solidFill>
              <w14:schemeClr w14:val="tx1"/>
            </w14:solidFill>
          </w14:textFill>
        </w:rPr>
        <w:t>·</w:t>
      </w:r>
      <w:r>
        <w:rPr>
          <w:rFonts w:hint="eastAsia" w:ascii="仿宋_GB2312" w:hAnsi="仿宋" w:eastAsia="仿宋_GB2312"/>
          <w:snapToGrid w:val="0"/>
          <w:color w:val="000000" w:themeColor="text1"/>
          <w:kern w:val="0"/>
          <w:sz w:val="32"/>
          <w:szCs w:val="32"/>
          <w14:textFill>
            <w14:solidFill>
              <w14:schemeClr w14:val="tx1"/>
            </w14:solidFill>
          </w14:textFill>
        </w:rPr>
        <w:t>五十年的坚守》等警示教育片4场次。</w:t>
      </w:r>
      <w:r>
        <w:rPr>
          <w:rFonts w:hint="eastAsia" w:ascii="仿宋_GB2312" w:hAnsi="Helvetica" w:eastAsia="仿宋_GB2312" w:cs="Helvetica"/>
          <w:snapToGrid w:val="0"/>
          <w:color w:val="000000" w:themeColor="text1"/>
          <w:kern w:val="0"/>
          <w:sz w:val="32"/>
          <w:szCs w:val="32"/>
          <w14:textFill>
            <w14:solidFill>
              <w14:schemeClr w14:val="tx1"/>
            </w14:solidFill>
          </w14:textFill>
        </w:rPr>
        <w:t>集中开展24个方面的作风纪律整顿，组织全院职工学习《九项准则》，</w:t>
      </w:r>
      <w:r>
        <w:rPr>
          <w:rFonts w:hint="eastAsia" w:ascii="仿宋_GB2312" w:hAnsi="仿宋" w:eastAsia="仿宋_GB2312"/>
          <w:snapToGrid w:val="0"/>
          <w:color w:val="000000" w:themeColor="text1"/>
          <w:kern w:val="0"/>
          <w:sz w:val="32"/>
          <w:szCs w:val="32"/>
          <w14:textFill>
            <w14:solidFill>
              <w14:schemeClr w14:val="tx1"/>
            </w14:solidFill>
          </w14:textFill>
        </w:rPr>
        <w:t>全年组织召开干部纪律作风整顿工作会5次，组织开展“四项重点工作”“回头看”专项督查2次。持续开展行业领域突出问题系统治理，每月坚持以明察暗访的形式开展医德医风查房1次，实行“一月一通报”制度。</w:t>
      </w:r>
    </w:p>
    <w:p>
      <w:pPr>
        <w:adjustRightInd w:val="0"/>
        <w:snapToGrid w:val="0"/>
        <w:spacing w:line="576" w:lineRule="exact"/>
        <w:ind w:firstLine="640" w:firstLineChars="200"/>
        <w:rPr>
          <w:rFonts w:ascii="仿宋_GB2312" w:hAnsi="楷体" w:eastAsia="仿宋_GB2312" w:cs="楷体"/>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4.</w:t>
      </w:r>
      <w:r>
        <w:rPr>
          <w:rFonts w:hint="eastAsia" w:ascii="楷体_GB2312" w:hAnsi="宋体" w:eastAsia="楷体_GB2312"/>
          <w:bCs/>
          <w:snapToGrid w:val="0"/>
          <w:color w:val="000000" w:themeColor="text1"/>
          <w:kern w:val="0"/>
          <w:sz w:val="32"/>
          <w:szCs w:val="32"/>
          <w14:textFill>
            <w14:solidFill>
              <w14:schemeClr w14:val="tx1"/>
            </w14:solidFill>
          </w14:textFill>
        </w:rPr>
        <w:t>党建引领作用充分发挥。</w:t>
      </w:r>
      <w:r>
        <w:rPr>
          <w:rFonts w:hint="eastAsia" w:ascii="仿宋_GB2312" w:hAnsi="Helvetica" w:eastAsia="仿宋_GB2312" w:cs="Helvetica"/>
          <w:bCs/>
          <w:snapToGrid w:val="0"/>
          <w:color w:val="000000" w:themeColor="text1"/>
          <w:kern w:val="0"/>
          <w:sz w:val="32"/>
          <w:szCs w:val="32"/>
          <w14:textFill>
            <w14:solidFill>
              <w14:schemeClr w14:val="tx1"/>
            </w14:solidFill>
          </w14:textFill>
        </w:rPr>
        <w:t>一是支部建设更加规范。</w:t>
      </w:r>
      <w:r>
        <w:rPr>
          <w:rFonts w:hint="eastAsia" w:ascii="仿宋_GB2312" w:hAnsi="仿宋" w:eastAsia="仿宋_GB2312"/>
          <w:snapToGrid w:val="0"/>
          <w:color w:val="000000" w:themeColor="text1"/>
          <w:kern w:val="0"/>
          <w:sz w:val="32"/>
          <w:szCs w:val="32"/>
          <w14:textFill>
            <w14:solidFill>
              <w14:schemeClr w14:val="tx1"/>
            </w14:solidFill>
          </w14:textFill>
        </w:rPr>
        <w:t>创新建立“三个二”“1+5”督查党建工作机制，全方位推进党支部党建工作标准化规范化建设，</w:t>
      </w:r>
      <w:r>
        <w:rPr>
          <w:rFonts w:hint="eastAsia" w:ascii="仿宋_GB2312" w:hAnsi="仿宋" w:eastAsia="仿宋_GB2312"/>
          <w:bCs/>
          <w:snapToGrid w:val="0"/>
          <w:color w:val="000000" w:themeColor="text1"/>
          <w:kern w:val="0"/>
          <w:sz w:val="32"/>
          <w:szCs w:val="32"/>
          <w14:textFill>
            <w14:solidFill>
              <w14:schemeClr w14:val="tx1"/>
            </w14:solidFill>
          </w14:textFill>
        </w:rPr>
        <w:t>4个党支部成功完成2021年度党支部标准化规范化建设示范点达标验收工作。</w:t>
      </w:r>
      <w:r>
        <w:rPr>
          <w:rFonts w:hint="eastAsia" w:ascii="仿宋_GB2312" w:hAnsi="Helvetica" w:eastAsia="仿宋_GB2312" w:cs="Helvetica"/>
          <w:snapToGrid w:val="0"/>
          <w:color w:val="000000" w:themeColor="text1"/>
          <w:kern w:val="0"/>
          <w:sz w:val="32"/>
          <w:szCs w:val="32"/>
          <w14:textFill>
            <w14:solidFill>
              <w14:schemeClr w14:val="tx1"/>
            </w14:solidFill>
          </w14:textFill>
        </w:rPr>
        <w:t>二是</w:t>
      </w:r>
      <w:r>
        <w:rPr>
          <w:rFonts w:hint="eastAsia" w:ascii="仿宋_GB2312" w:hAnsi="Helvetica" w:eastAsia="仿宋_GB2312" w:cs="Helvetica"/>
          <w:bCs/>
          <w:snapToGrid w:val="0"/>
          <w:color w:val="000000" w:themeColor="text1"/>
          <w:kern w:val="0"/>
          <w:sz w:val="32"/>
          <w:szCs w:val="32"/>
          <w14:textFill>
            <w14:solidFill>
              <w14:schemeClr w14:val="tx1"/>
            </w14:solidFill>
          </w14:textFill>
        </w:rPr>
        <w:t>群团组织建设不断加强。</w:t>
      </w:r>
      <w:r>
        <w:rPr>
          <w:rFonts w:hint="eastAsia" w:ascii="仿宋_GB2312" w:hAnsi="仿宋" w:eastAsia="仿宋_GB2312"/>
          <w:bCs/>
          <w:snapToGrid w:val="0"/>
          <w:color w:val="000000" w:themeColor="text1"/>
          <w:kern w:val="0"/>
          <w:sz w:val="32"/>
          <w:szCs w:val="32"/>
          <w14:textFill>
            <w14:solidFill>
              <w14:schemeClr w14:val="tx1"/>
            </w14:solidFill>
          </w14:textFill>
        </w:rPr>
        <w:t>坚持以“党建带工建、带团建”，全年指导工会开展文体活动6次，组织全院医护人员参与劳动竞赛活动10次，组织开展走访慰问活动20次。指导团委在五四青年节开展主题活动1次，</w:t>
      </w:r>
      <w:r>
        <w:rPr>
          <w:rFonts w:hint="eastAsia" w:ascii="仿宋_GB2312" w:hAnsi="仿宋" w:eastAsia="仿宋_GB2312" w:cs="宋体"/>
          <w:snapToGrid w:val="0"/>
          <w:color w:val="000000" w:themeColor="text1"/>
          <w:kern w:val="0"/>
          <w:sz w:val="32"/>
          <w:szCs w:val="32"/>
          <w14:textFill>
            <w14:solidFill>
              <w14:schemeClr w14:val="tx1"/>
            </w14:solidFill>
          </w14:textFill>
        </w:rPr>
        <w:t>观看《英雄儿女》红色影片</w:t>
      </w:r>
      <w:r>
        <w:rPr>
          <w:rFonts w:hint="eastAsia" w:ascii="仿宋_GB2312" w:hAnsi="仿宋" w:eastAsia="仿宋_GB2312" w:cs="宋体"/>
          <w:snapToGrid w:val="0"/>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snapToGrid w:val="0"/>
          <w:color w:val="000000" w:themeColor="text1"/>
          <w:kern w:val="0"/>
          <w:sz w:val="32"/>
          <w:szCs w:val="32"/>
          <w14:textFill>
            <w14:solidFill>
              <w14:schemeClr w14:val="tx1"/>
            </w14:solidFill>
          </w14:textFill>
        </w:rPr>
        <w:t>场次。</w:t>
      </w:r>
    </w:p>
    <w:p>
      <w:pPr>
        <w:adjustRightInd w:val="0"/>
        <w:snapToGrid w:val="0"/>
        <w:spacing w:line="576" w:lineRule="exact"/>
        <w:ind w:firstLine="640" w:firstLineChars="200"/>
        <w:rPr>
          <w:rFonts w:ascii="黑体" w:hAnsi="黑体" w:eastAsia="黑体" w:cs="黑体"/>
          <w:snapToGrid w:val="0"/>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kern w:val="0"/>
          <w:sz w:val="32"/>
          <w:szCs w:val="32"/>
          <w:lang w:eastAsia="zh-CN"/>
          <w14:textFill>
            <w14:solidFill>
              <w14:schemeClr w14:val="tx1"/>
            </w14:solidFill>
          </w14:textFill>
        </w:rPr>
        <w:t>（二）</w:t>
      </w:r>
      <w:r>
        <w:rPr>
          <w:rFonts w:hint="eastAsia" w:ascii="黑体" w:hAnsi="黑体" w:eastAsia="黑体" w:cs="黑体"/>
          <w:snapToGrid w:val="0"/>
          <w:color w:val="000000" w:themeColor="text1"/>
          <w:kern w:val="0"/>
          <w:sz w:val="32"/>
          <w:szCs w:val="32"/>
          <w14:textFill>
            <w14:solidFill>
              <w14:schemeClr w14:val="tx1"/>
            </w14:solidFill>
          </w14:textFill>
        </w:rPr>
        <w:t>医院高质量发展持续推进</w:t>
      </w:r>
    </w:p>
    <w:p>
      <w:pPr>
        <w:adjustRightInd w:val="0"/>
        <w:snapToGrid w:val="0"/>
        <w:spacing w:line="576"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1.</w:t>
      </w:r>
      <w:r>
        <w:rPr>
          <w:rFonts w:hint="eastAsia" w:ascii="楷体_GB2312" w:hAnsi="楷体" w:eastAsia="楷体_GB2312" w:cs="楷体"/>
          <w:snapToGrid w:val="0"/>
          <w:color w:val="000000" w:themeColor="text1"/>
          <w:kern w:val="0"/>
          <w:sz w:val="32"/>
          <w:szCs w:val="32"/>
          <w14:textFill>
            <w14:solidFill>
              <w14:schemeClr w14:val="tx1"/>
            </w14:solidFill>
          </w14:textFill>
        </w:rPr>
        <w:t>医院管理机制不断规范。</w:t>
      </w:r>
      <w:r>
        <w:rPr>
          <w:rFonts w:hint="eastAsia" w:ascii="仿宋_GB2312" w:hAnsi="仿宋" w:eastAsia="仿宋_GB2312" w:cs="仿宋"/>
          <w:bCs/>
          <w:snapToGrid w:val="0"/>
          <w:color w:val="000000" w:themeColor="text1"/>
          <w:kern w:val="0"/>
          <w:sz w:val="32"/>
          <w:szCs w:val="32"/>
          <w14:textFill>
            <w14:solidFill>
              <w14:schemeClr w14:val="tx1"/>
            </w14:solidFill>
          </w14:textFill>
        </w:rPr>
        <w:t>一是公立医院改革不断深化。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面完成取消药品耗材加成改革工作；建立基于DRG付费方式的诊疗服务管理机制，实现医保基金支付盈余；推进医院标准化建设和规范化管理，妇幼保健机构绩效考核在全省同类机构中排名第5位；完善医院薪酬分配制度改革，制订的新绩效方案运行良好；制订医院章程，推进现代医院管理制度建设。</w:t>
      </w:r>
      <w:r>
        <w:rPr>
          <w:rFonts w:hint="eastAsia" w:ascii="仿宋_GB2312" w:hAnsi="仿宋" w:eastAsia="仿宋_GB2312" w:cs="仿宋"/>
          <w:bCs/>
          <w:snapToGrid w:val="0"/>
          <w:color w:val="000000" w:themeColor="text1"/>
          <w:kern w:val="0"/>
          <w:sz w:val="32"/>
          <w:szCs w:val="32"/>
          <w14:textFill>
            <w14:solidFill>
              <w14:schemeClr w14:val="tx1"/>
            </w14:solidFill>
          </w14:textFill>
        </w:rPr>
        <w:t>二是医院管理架构不断优化。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建立以“孕产保健部、妇女保健部、儿童保健部和综合医学部”为基轴的业务科室设置组织架构，</w:t>
      </w:r>
      <w:r>
        <w:rPr>
          <w:rFonts w:hint="eastAsia" w:ascii="仿宋_GB2312" w:hAnsi="宋体" w:eastAsia="仿宋_GB2312" w:cs="仿宋_GB2312"/>
          <w:snapToGrid w:val="0"/>
          <w:color w:val="000000" w:themeColor="text1"/>
          <w:kern w:val="0"/>
          <w:sz w:val="32"/>
          <w:szCs w:val="32"/>
          <w14:textFill>
            <w14:solidFill>
              <w14:schemeClr w14:val="tx1"/>
            </w14:solidFill>
          </w14:textFill>
        </w:rPr>
        <w:t>基本建成临床与保健融合发展运行机制</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；稳步</w:t>
      </w:r>
      <w:r>
        <w:rPr>
          <w:rFonts w:hint="eastAsia" w:ascii="仿宋_GB2312" w:hAnsi="仿宋" w:eastAsia="仿宋_GB2312"/>
          <w:snapToGrid w:val="0"/>
          <w:color w:val="000000" w:themeColor="text1"/>
          <w:kern w:val="0"/>
          <w:sz w:val="32"/>
          <w:szCs w:val="32"/>
          <w14:textFill>
            <w14:solidFill>
              <w14:schemeClr w14:val="tx1"/>
            </w14:solidFill>
          </w14:textFill>
        </w:rPr>
        <w:t>推行全成本核算，修订完善医院内控制度；健全全面预算管理制度，落实项目预算管理制度改革；</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建立护理垂直管理体系，实行护士分层分类管理。</w:t>
      </w:r>
      <w:r>
        <w:rPr>
          <w:rFonts w:hint="eastAsia" w:ascii="仿宋_GB2312" w:hAnsi="仿宋" w:eastAsia="仿宋_GB2312" w:cs="仿宋"/>
          <w:bCs/>
          <w:snapToGrid w:val="0"/>
          <w:color w:val="000000" w:themeColor="text1"/>
          <w:kern w:val="0"/>
          <w:sz w:val="32"/>
          <w:szCs w:val="32"/>
          <w14:textFill>
            <w14:solidFill>
              <w14:schemeClr w14:val="tx1"/>
            </w14:solidFill>
          </w14:textFill>
        </w:rPr>
        <w:t>三是服务保障能力不断提升。</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二期业务楼建设建成投入使用；</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优化完善</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OA办公系统，办文、办事流程</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进一步简化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eastAsia" w:ascii="仿宋_GB2312" w:eastAsia="仿宋_GB2312"/>
          <w:snapToGrid w:val="0"/>
          <w:color w:val="000000" w:themeColor="text1"/>
          <w:kern w:val="0"/>
          <w:sz w:val="32"/>
          <w:szCs w:val="32"/>
          <w14:textFill>
            <w14:solidFill>
              <w14:schemeClr w14:val="tx1"/>
            </w14:solidFill>
          </w14:textFill>
        </w:rPr>
        <w:t>工程、物品和服务类招采规程进一步规范，工作经验得到市财政局充分肯定，并在市直属医院中推广；</w:t>
      </w:r>
      <w:r>
        <w:rPr>
          <w:rFonts w:hint="eastAsia" w:ascii="仿宋_GB2312" w:hAnsi="宋体" w:eastAsia="仿宋_GB2312"/>
          <w:snapToGrid w:val="0"/>
          <w:color w:val="000000" w:themeColor="text1"/>
          <w:kern w:val="0"/>
          <w:sz w:val="32"/>
          <w:szCs w:val="32"/>
          <w14:textFill>
            <w14:solidFill>
              <w14:schemeClr w14:val="tx1"/>
            </w14:solidFill>
          </w14:textFill>
        </w:rPr>
        <w:t>全面加强安全维稳工作，全年无安全生产事故发生。</w:t>
      </w:r>
    </w:p>
    <w:p>
      <w:pPr>
        <w:adjustRightInd w:val="0"/>
        <w:snapToGrid w:val="0"/>
        <w:spacing w:line="576" w:lineRule="exact"/>
        <w:ind w:firstLine="640" w:firstLineChars="200"/>
        <w:rPr>
          <w:rFonts w:ascii="仿宋_GB2312" w:hAnsi="楷体" w:eastAsia="仿宋_GB2312" w:cs="楷体"/>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2.</w:t>
      </w:r>
      <w:r>
        <w:rPr>
          <w:rFonts w:hint="eastAsia" w:ascii="楷体_GB2312" w:hAnsi="楷体" w:eastAsia="楷体_GB2312" w:cs="楷体"/>
          <w:snapToGrid w:val="0"/>
          <w:color w:val="000000" w:themeColor="text1"/>
          <w:kern w:val="0"/>
          <w:sz w:val="32"/>
          <w:szCs w:val="32"/>
          <w14:textFill>
            <w14:solidFill>
              <w14:schemeClr w14:val="tx1"/>
            </w14:solidFill>
          </w14:textFill>
        </w:rPr>
        <w:t>医疗保健业务稳中向好。</w:t>
      </w:r>
      <w:r>
        <w:rPr>
          <w:rFonts w:hint="eastAsia" w:ascii="仿宋_GB2312" w:hAnsi="仿宋" w:eastAsia="仿宋_GB2312" w:cs="仿宋"/>
          <w:snapToGrid w:val="0"/>
          <w:color w:val="000000" w:themeColor="text1"/>
          <w:kern w:val="0"/>
          <w:sz w:val="32"/>
          <w:szCs w:val="32"/>
          <w:lang w:eastAsia="zh-CN"/>
          <w14:textFill>
            <w14:solidFill>
              <w14:schemeClr w14:val="tx1"/>
            </w14:solidFill>
          </w14:textFill>
        </w:rPr>
        <w:t>全年</w:t>
      </w:r>
      <w:r>
        <w:rPr>
          <w:rFonts w:hint="eastAsia" w:ascii="仿宋_GB2312" w:hAnsi="仿宋" w:eastAsia="仿宋_GB2312" w:cs="仿宋"/>
          <w:snapToGrid w:val="0"/>
          <w:color w:val="000000" w:themeColor="text1"/>
          <w:kern w:val="0"/>
          <w:sz w:val="32"/>
          <w:szCs w:val="32"/>
          <w14:textFill>
            <w14:solidFill>
              <w14:schemeClr w14:val="tx1"/>
            </w14:solidFill>
          </w14:textFill>
        </w:rPr>
        <w:t>实现门诊201508人次，住院6888人次，同比分别增长1.87%、10.58%；药占比、耗占比均控制在合理期间。新建急诊科、妇科和产前诊断（筛查）中心等科室运行良好；牵头建成全市母婴安全远程胎心监护平台；产前诊断分子实验室、月子康复中心建设等稳步推进；新开展儿童早教、儿童康复、日间蓝光照射治疗、感觉统合训练等项目；规范开展自体血疗法、中医小儿推拿、创伤疼痛快速敷贴治疗等新项目。制订改善医疗服务行动专项整治工作方案，全面落实全优服务十条措施，推行“主动、上门、连续”</w:t>
      </w:r>
      <w:r>
        <w:rPr>
          <w:rFonts w:hint="eastAsia" w:ascii="仿宋_GB2312" w:hAnsi="宋体" w:eastAsia="仿宋_GB2312" w:cs="仿宋_GB2312"/>
          <w:snapToGrid w:val="0"/>
          <w:color w:val="000000" w:themeColor="text1"/>
          <w:kern w:val="0"/>
          <w:sz w:val="32"/>
          <w:szCs w:val="32"/>
          <w14:textFill>
            <w14:solidFill>
              <w14:schemeClr w14:val="tx1"/>
            </w14:solidFill>
          </w14:textFill>
        </w:rPr>
        <w:t>服务模式，实行“三优”“三送”措施，开展服务患者温暖行动，患者就医体验不断提升。</w:t>
      </w:r>
    </w:p>
    <w:p>
      <w:pPr>
        <w:adjustRightInd w:val="0"/>
        <w:snapToGrid w:val="0"/>
        <w:spacing w:line="576"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3.</w:t>
      </w:r>
      <w:r>
        <w:rPr>
          <w:rFonts w:hint="eastAsia" w:ascii="楷体_GB2312" w:hAnsi="楷体" w:eastAsia="楷体_GB2312" w:cs="楷体"/>
          <w:snapToGrid w:val="0"/>
          <w:color w:val="000000" w:themeColor="text1"/>
          <w:kern w:val="0"/>
          <w:sz w:val="32"/>
          <w:szCs w:val="32"/>
          <w14:textFill>
            <w14:solidFill>
              <w14:schemeClr w14:val="tx1"/>
            </w14:solidFill>
          </w14:textFill>
        </w:rPr>
        <w:t>质量安全管理持续强化。</w:t>
      </w:r>
      <w:r>
        <w:rPr>
          <w:rFonts w:hint="eastAsia" w:ascii="仿宋_GB2312" w:hAnsi="宋体" w:eastAsia="仿宋_GB2312"/>
          <w:snapToGrid w:val="0"/>
          <w:color w:val="000000" w:themeColor="text1"/>
          <w:kern w:val="0"/>
          <w:sz w:val="32"/>
          <w:szCs w:val="32"/>
          <w14:textFill>
            <w14:solidFill>
              <w14:schemeClr w14:val="tx1"/>
            </w14:solidFill>
          </w14:textFill>
        </w:rPr>
        <w:t>加强医疗质量同质化管理，开展临床路径管理病种13个，</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同步推进麻醉、护理临床路径管理</w:t>
      </w:r>
      <w:r>
        <w:rPr>
          <w:rFonts w:hint="eastAsia" w:ascii="仿宋_GB2312" w:hAnsi="宋体" w:eastAsia="仿宋_GB2312"/>
          <w:snapToGrid w:val="0"/>
          <w:color w:val="000000" w:themeColor="text1"/>
          <w:kern w:val="0"/>
          <w:sz w:val="32"/>
          <w:szCs w:val="32"/>
          <w14:textFill>
            <w14:solidFill>
              <w14:schemeClr w14:val="tx1"/>
            </w14:solidFill>
          </w14:textFill>
        </w:rPr>
        <w:t>；深入运用</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质量管理的结构、过程、结果三维模式，熟练运用PDCA、品管圈等质量管理工具，加强医疗保健质量缺陷改进工作。全面落实新冠疫情防控要求，及时修订并严格执行防控工作制度、流程和防控方案；按要求开展新冠疫苗接种和核酸检测工作；进一步改造优化科室分布和诊疗流程，规范建设发热病人专用通道。</w:t>
      </w:r>
    </w:p>
    <w:p>
      <w:pPr>
        <w:adjustRightInd w:val="0"/>
        <w:snapToGrid w:val="0"/>
        <w:spacing w:line="576" w:lineRule="exact"/>
        <w:ind w:firstLine="640" w:firstLineChars="200"/>
        <w:rPr>
          <w:rFonts w:ascii="仿宋_GB2312" w:hAnsi="仿宋" w:eastAsia="仿宋_GB2312" w:cs="仿宋"/>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4.</w:t>
      </w:r>
      <w:r>
        <w:rPr>
          <w:rFonts w:hint="eastAsia" w:ascii="楷体_GB2312" w:hAnsi="楷体" w:eastAsia="楷体_GB2312" w:cs="楷体"/>
          <w:snapToGrid w:val="0"/>
          <w:color w:val="000000" w:themeColor="text1"/>
          <w:kern w:val="0"/>
          <w:sz w:val="32"/>
          <w:szCs w:val="32"/>
          <w14:textFill>
            <w14:solidFill>
              <w14:schemeClr w14:val="tx1"/>
            </w14:solidFill>
          </w14:textFill>
        </w:rPr>
        <w:t>医疗技术水平不断提升。</w:t>
      </w:r>
      <w:r>
        <w:rPr>
          <w:rFonts w:hint="eastAsia" w:ascii="仿宋_GB2312" w:hAnsi="仿宋" w:eastAsia="仿宋_GB2312" w:cs="仿宋"/>
          <w:snapToGrid w:val="0"/>
          <w:color w:val="000000" w:themeColor="text1"/>
          <w:kern w:val="0"/>
          <w:sz w:val="32"/>
          <w:szCs w:val="32"/>
          <w14:textFill>
            <w14:solidFill>
              <w14:schemeClr w14:val="tx1"/>
            </w14:solidFill>
          </w14:textFill>
        </w:rPr>
        <w:t>修订医学新技术应用措施。新开展</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远程胎监技术、新生儿振幅整合脑电图、亚低温治疗、脐动脉血气分析、分子遗传诊断、口腔义齿修复、婴幼儿眼底筛查、龋易感性检测技术等新技术新项目8项。</w:t>
      </w:r>
      <w:r>
        <w:rPr>
          <w:rFonts w:hint="eastAsia" w:ascii="仿宋_GB2312" w:hAnsi="仿宋" w:eastAsia="仿宋_GB2312" w:cs="仿宋"/>
          <w:snapToGrid w:val="0"/>
          <w:color w:val="000000" w:themeColor="text1"/>
          <w:kern w:val="0"/>
          <w:sz w:val="32"/>
          <w:szCs w:val="32"/>
          <w14:textFill>
            <w14:solidFill>
              <w14:schemeClr w14:val="tx1"/>
            </w14:solidFill>
          </w14:textFill>
        </w:rPr>
        <w:t>积极推进儿保科省级重点专科和妇产科市级重点专科建设，新生儿</w:t>
      </w:r>
      <w:r>
        <w:rPr>
          <w:rFonts w:hint="eastAsia" w:ascii="仿宋_GB2312" w:hAnsi="仿宋" w:eastAsia="仿宋_GB2312" w:cs="仿宋"/>
          <w:snapToGrid w:val="0"/>
          <w:color w:val="000000" w:themeColor="text1"/>
          <w:kern w:val="0"/>
          <w:sz w:val="32"/>
          <w:szCs w:val="32"/>
          <w:lang w:eastAsia="zh-CN"/>
          <w14:textFill>
            <w14:solidFill>
              <w14:schemeClr w14:val="tx1"/>
            </w14:solidFill>
          </w14:textFill>
        </w:rPr>
        <w:t>科建成</w:t>
      </w:r>
      <w:r>
        <w:rPr>
          <w:rFonts w:hint="eastAsia" w:ascii="仿宋_GB2312" w:hAnsi="仿宋" w:eastAsia="仿宋_GB2312" w:cs="仿宋"/>
          <w:snapToGrid w:val="0"/>
          <w:color w:val="000000" w:themeColor="text1"/>
          <w:kern w:val="0"/>
          <w:sz w:val="32"/>
          <w:szCs w:val="32"/>
          <w14:textFill>
            <w14:solidFill>
              <w14:schemeClr w14:val="tx1"/>
            </w14:solidFill>
          </w14:textFill>
        </w:rPr>
        <w:t>省级保健特色专科。</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承接全市儿保质控中心和妇保质控中心功能任务，开展市级质控2次，制定质控标准8则。主持召开全市儿童保健专委会和妇女保健专委会会议各1次，举办妇女保健、儿童保健专业技术培训班各1期。市级科研项目《广元地区维生素K与儿童骨代谢相关性研究》已获得市科技局批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市级科研项目《分娩镇痛在阴道分娩中的作用》</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进入</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立项评审。全年接受实习生12人，进修生10人，妇产科规培生2人；全年外派到上级医院进修14人，外出参加各类短期培训31人次。</w:t>
      </w:r>
    </w:p>
    <w:p>
      <w:pPr>
        <w:adjustRightInd w:val="0"/>
        <w:snapToGrid w:val="0"/>
        <w:spacing w:line="576" w:lineRule="exact"/>
        <w:ind w:firstLine="640" w:firstLineChars="200"/>
        <w:rPr>
          <w:rFonts w:ascii="黑体" w:hAnsi="黑体" w:eastAsia="黑体" w:cs="黑体"/>
          <w:snapToGrid w:val="0"/>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kern w:val="0"/>
          <w:sz w:val="32"/>
          <w:szCs w:val="32"/>
          <w:lang w:eastAsia="zh-CN"/>
          <w14:textFill>
            <w14:solidFill>
              <w14:schemeClr w14:val="tx1"/>
            </w14:solidFill>
          </w14:textFill>
        </w:rPr>
        <w:t>（三）</w:t>
      </w:r>
      <w:r>
        <w:rPr>
          <w:rFonts w:hint="eastAsia" w:ascii="黑体" w:hAnsi="黑体" w:eastAsia="黑体" w:cs="黑体"/>
          <w:snapToGrid w:val="0"/>
          <w:color w:val="000000" w:themeColor="text1"/>
          <w:kern w:val="0"/>
          <w:sz w:val="32"/>
          <w:szCs w:val="32"/>
          <w14:textFill>
            <w14:solidFill>
              <w14:schemeClr w14:val="tx1"/>
            </w14:solidFill>
          </w14:textFill>
        </w:rPr>
        <w:t>全市妇幼健康状况持续改善</w:t>
      </w:r>
    </w:p>
    <w:p>
      <w:pPr>
        <w:adjustRightInd w:val="0"/>
        <w:snapToGrid w:val="0"/>
        <w:spacing w:line="576" w:lineRule="exact"/>
        <w:ind w:firstLine="640" w:firstLineChars="200"/>
        <w:rPr>
          <w:rFonts w:ascii="仿宋_GB2312" w:hAnsi="楷体" w:eastAsia="仿宋_GB2312" w:cs="楷体"/>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1.</w:t>
      </w:r>
      <w:r>
        <w:rPr>
          <w:rFonts w:hint="eastAsia" w:ascii="楷体_GB2312" w:hAnsi="楷体" w:eastAsia="楷体_GB2312" w:cs="楷体"/>
          <w:snapToGrid w:val="0"/>
          <w:color w:val="000000" w:themeColor="text1"/>
          <w:kern w:val="0"/>
          <w:sz w:val="32"/>
          <w:szCs w:val="32"/>
          <w14:textFill>
            <w14:solidFill>
              <w14:schemeClr w14:val="tx1"/>
            </w14:solidFill>
          </w14:textFill>
        </w:rPr>
        <w:t>工作制度化建设有力推进。</w:t>
      </w:r>
      <w:r>
        <w:rPr>
          <w:rFonts w:hint="eastAsia" w:ascii="仿宋_GB2312" w:hAnsi="仿宋" w:eastAsia="仿宋_GB2312" w:cs="宋体"/>
          <w:snapToGrid w:val="0"/>
          <w:color w:val="000000" w:themeColor="text1"/>
          <w:kern w:val="0"/>
          <w:sz w:val="32"/>
          <w:szCs w:val="32"/>
          <w:lang w:val="zh-CN"/>
          <w14:textFill>
            <w14:solidFill>
              <w14:schemeClr w14:val="tx1"/>
            </w14:solidFill>
          </w14:textFill>
        </w:rPr>
        <w:t>协助市卫健委完成两纲卫生健康工作终期评估报告和新“两纲”编制调研报告。</w:t>
      </w:r>
      <w:r>
        <w:rPr>
          <w:rFonts w:hint="eastAsia" w:ascii="仿宋_GB2312" w:eastAsia="仿宋_GB2312"/>
          <w:snapToGrid w:val="0"/>
          <w:color w:val="000000" w:themeColor="text1"/>
          <w:kern w:val="0"/>
          <w:sz w:val="32"/>
          <w:szCs w:val="32"/>
          <w14:textFill>
            <w14:solidFill>
              <w14:schemeClr w14:val="tx1"/>
            </w14:solidFill>
          </w14:textFill>
        </w:rPr>
        <w:t>编撰完成《2020年广元市妇幼健康事业发展报告》。制定《预防艾滋病、梅毒和乙肝母婴传播工作实施方案（2021年版）》《</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关于进一步规范开展产前诊断（筛查）工作的通知》等系列文件10个。规范母婴证件管理，全面推行新生儿出生医学证明、预防接种证“两证”联办。强化信息质量控制，</w:t>
      </w:r>
      <w:r>
        <w:rPr>
          <w:rFonts w:hint="eastAsia" w:ascii="仿宋_GB2312" w:eastAsia="仿宋_GB2312"/>
          <w:snapToGrid w:val="0"/>
          <w:color w:val="000000" w:themeColor="text1"/>
          <w:kern w:val="0"/>
          <w:sz w:val="32"/>
          <w:szCs w:val="32"/>
          <w14:textFill>
            <w14:solidFill>
              <w14:schemeClr w14:val="tx1"/>
            </w14:solidFill>
          </w14:textFill>
        </w:rPr>
        <w:t>开展信息质控</w:t>
      </w:r>
      <w:r>
        <w:rPr>
          <w:rFonts w:hint="eastAsia" w:ascii="仿宋_GB2312" w:eastAsia="仿宋_GB2312"/>
          <w:snapToGrid w:val="0"/>
          <w:color w:val="000000" w:themeColor="text1"/>
          <w:kern w:val="0"/>
          <w:sz w:val="32"/>
          <w:szCs w:val="32"/>
          <w:lang w:val="en-US" w:eastAsia="zh-CN"/>
          <w14:textFill>
            <w14:solidFill>
              <w14:schemeClr w14:val="tx1"/>
            </w14:solidFill>
          </w14:textFill>
        </w:rPr>
        <w:t>5次</w:t>
      </w:r>
      <w:r>
        <w:rPr>
          <w:rFonts w:hint="eastAsia" w:ascii="仿宋_GB2312" w:eastAsia="仿宋_GB2312"/>
          <w:snapToGrid w:val="0"/>
          <w:color w:val="000000" w:themeColor="text1"/>
          <w:kern w:val="0"/>
          <w:sz w:val="32"/>
          <w:szCs w:val="32"/>
          <w14:textFill>
            <w14:solidFill>
              <w14:schemeClr w14:val="tx1"/>
            </w14:solidFill>
          </w14:textFill>
        </w:rPr>
        <w:t>。</w:t>
      </w:r>
    </w:p>
    <w:p>
      <w:pPr>
        <w:adjustRightInd w:val="0"/>
        <w:snapToGrid w:val="0"/>
        <w:spacing w:line="576"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2.</w:t>
      </w:r>
      <w:r>
        <w:rPr>
          <w:rFonts w:hint="eastAsia" w:ascii="楷体_GB2312" w:hAnsi="楷体" w:eastAsia="楷体_GB2312" w:cs="楷体"/>
          <w:snapToGrid w:val="0"/>
          <w:color w:val="000000" w:themeColor="text1"/>
          <w:kern w:val="0"/>
          <w:sz w:val="32"/>
          <w:szCs w:val="32"/>
          <w14:textFill>
            <w14:solidFill>
              <w14:schemeClr w14:val="tx1"/>
            </w14:solidFill>
          </w14:textFill>
        </w:rPr>
        <w:t>辖区管理工作持续加强。</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召开辖区管理工作例会4次（利州区6次），举办各类培训班</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期，累计培训1240人次。开展</w:t>
      </w:r>
      <w:r>
        <w:rPr>
          <w:rFonts w:hint="eastAsia" w:ascii="仿宋_GB2312" w:hAnsi="仿宋" w:eastAsia="仿宋_GB2312" w:cs="宋体"/>
          <w:snapToGrid w:val="0"/>
          <w:color w:val="000000" w:themeColor="text1"/>
          <w:kern w:val="0"/>
          <w:sz w:val="32"/>
          <w:szCs w:val="32"/>
          <w:lang w:val="zh-CN"/>
          <w14:textFill>
            <w14:solidFill>
              <w14:schemeClr w14:val="tx1"/>
            </w14:solidFill>
          </w14:textFill>
        </w:rPr>
        <w:t>专项督导6次，累计达680个工作日。</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开展现场大型主题咨询活动6次，完成健康教育线下培训2次，印制并发放各类宣教资料15种150万余张（份）。</w:t>
      </w:r>
    </w:p>
    <w:p>
      <w:pPr>
        <w:adjustRightInd w:val="0"/>
        <w:snapToGrid w:val="0"/>
        <w:spacing w:line="576" w:lineRule="exact"/>
        <w:ind w:firstLine="640" w:firstLineChars="200"/>
        <w:rPr>
          <w:rFonts w:ascii="仿宋_GB2312" w:hAnsi="宋体" w:eastAsia="仿宋_GB2312"/>
          <w:snapToGrid w:val="0"/>
          <w:color w:val="0000FF"/>
          <w:kern w:val="0"/>
          <w:sz w:val="32"/>
          <w:szCs w:val="32"/>
        </w:rPr>
      </w:pPr>
      <w:r>
        <w:rPr>
          <w:rFonts w:hint="eastAsia" w:ascii="楷体_GB2312" w:hAnsi="楷体" w:eastAsia="楷体_GB2312" w:cs="楷体"/>
          <w:snapToGrid w:val="0"/>
          <w:color w:val="000000" w:themeColor="text1"/>
          <w:kern w:val="0"/>
          <w:sz w:val="32"/>
          <w:szCs w:val="32"/>
          <w:lang w:val="en-US" w:eastAsia="zh-CN"/>
          <w14:textFill>
            <w14:solidFill>
              <w14:schemeClr w14:val="tx1"/>
            </w14:solidFill>
          </w14:textFill>
        </w:rPr>
        <w:t>3.</w:t>
      </w:r>
      <w:r>
        <w:rPr>
          <w:rFonts w:hint="eastAsia" w:ascii="楷体_GB2312" w:hAnsi="楷体" w:eastAsia="楷体_GB2312" w:cs="楷体"/>
          <w:snapToGrid w:val="0"/>
          <w:color w:val="000000" w:themeColor="text1"/>
          <w:kern w:val="0"/>
          <w:sz w:val="32"/>
          <w:szCs w:val="32"/>
          <w14:textFill>
            <w14:solidFill>
              <w14:schemeClr w14:val="tx1"/>
            </w14:solidFill>
          </w14:textFill>
        </w:rPr>
        <w:t>母婴健康安全保障有力。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认真落实孕产妇死亡和危重孕产妇评审工作，组织举办母婴安全管理培训班2期，全年成功救治危重孕产妇56人。修订《广元市新生儿死亡评审细则》，</w:t>
      </w:r>
      <w:r>
        <w:rPr>
          <w:rFonts w:hint="eastAsia" w:ascii="仿宋_GB2312" w:eastAsia="仿宋_GB2312"/>
          <w:snapToGrid w:val="0"/>
          <w:color w:val="000000" w:themeColor="text1"/>
          <w:kern w:val="0"/>
          <w:sz w:val="32"/>
          <w:szCs w:val="32"/>
          <w14:textFill>
            <w14:solidFill>
              <w14:schemeClr w14:val="tx1"/>
            </w14:solidFill>
          </w14:textFill>
        </w:rPr>
        <w:t>开展新生儿死亡市级评审1次，指导县区评审6次。</w:t>
      </w:r>
      <w:r>
        <w:rPr>
          <w:rFonts w:hint="eastAsia" w:ascii="仿宋_GB2312" w:hAnsi="仿宋" w:eastAsia="仿宋_GB2312" w:cs="宋体"/>
          <w:snapToGrid w:val="0"/>
          <w:color w:val="000000" w:themeColor="text1"/>
          <w:kern w:val="0"/>
          <w:sz w:val="32"/>
          <w:szCs w:val="32"/>
          <w:lang w:val="zh-CN"/>
          <w14:textFill>
            <w14:solidFill>
              <w14:schemeClr w14:val="tx1"/>
            </w14:solidFill>
          </w14:textFill>
        </w:rPr>
        <w:t>规范母婴保健技术服务和托幼、托育机构卫生保健管理，组织开展母婴保健技术服务、新办托幼机构现场卫生评价10家</w:t>
      </w:r>
      <w:r>
        <w:rPr>
          <w:rFonts w:hint="eastAsia" w:ascii="仿宋_GB2312" w:eastAsia="仿宋_GB2312"/>
          <w:bCs/>
          <w:snapToGrid w:val="0"/>
          <w:color w:val="000000" w:themeColor="text1"/>
          <w:kern w:val="0"/>
          <w:sz w:val="32"/>
          <w:szCs w:val="32"/>
          <w14:textFill>
            <w14:solidFill>
              <w14:schemeClr w14:val="tx1"/>
            </w14:solidFill>
          </w14:textFill>
        </w:rPr>
        <w:t>。开展全市爱婴医院工作督导1次，现场抽查爱婴医院18家。</w:t>
      </w:r>
    </w:p>
    <w:p>
      <w:pPr>
        <w:widowControl/>
        <w:jc w:val="left"/>
        <w:rPr>
          <w:rFonts w:hint="eastAsia" w:ascii="黑体" w:hAnsi="黑体" w:eastAsia="黑体"/>
          <w:b w:val="0"/>
          <w:bCs/>
          <w:color w:val="auto"/>
          <w:sz w:val="44"/>
          <w:szCs w:val="44"/>
          <w:highlight w:val="none"/>
        </w:rPr>
      </w:pPr>
      <w:bookmarkStart w:id="21" w:name="_Toc15396602"/>
      <w:bookmarkStart w:id="22" w:name="_Toc15377204"/>
    </w:p>
    <w:p>
      <w:pPr>
        <w:pStyle w:val="9"/>
        <w:rPr>
          <w:rFonts w:hint="eastAsia" w:ascii="黑体" w:hAnsi="黑体" w:eastAsia="黑体"/>
          <w:b w:val="0"/>
          <w:bCs/>
          <w:color w:val="auto"/>
          <w:sz w:val="44"/>
          <w:szCs w:val="44"/>
          <w:highlight w:val="none"/>
        </w:rPr>
      </w:pPr>
    </w:p>
    <w:p>
      <w:pPr>
        <w:widowControl/>
        <w:jc w:val="left"/>
        <w:outlineLvl w:val="0"/>
        <w:rPr>
          <w:rStyle w:val="25"/>
          <w:rFonts w:ascii="黑体" w:hAnsi="黑体" w:eastAsia="黑体"/>
          <w:b w:val="0"/>
          <w:bCs/>
          <w:color w:val="auto"/>
          <w:highlight w:val="none"/>
        </w:rPr>
      </w:pPr>
      <w:bookmarkStart w:id="23" w:name="_Toc2874"/>
      <w:r>
        <w:rPr>
          <w:rFonts w:hint="eastAsia" w:ascii="黑体" w:hAnsi="黑体" w:eastAsia="黑体"/>
          <w:b w:val="0"/>
          <w:bCs/>
          <w:color w:val="auto"/>
          <w:sz w:val="44"/>
          <w:szCs w:val="44"/>
          <w:highlight w:val="none"/>
        </w:rPr>
        <w:t xml:space="preserve">第二部分 </w:t>
      </w:r>
      <w:r>
        <w:rPr>
          <w:rFonts w:hint="eastAsia" w:ascii="黑体" w:hAnsi="黑体" w:eastAsia="黑体"/>
          <w:b w:val="0"/>
          <w:bCs/>
          <w:color w:val="auto"/>
          <w:sz w:val="44"/>
          <w:szCs w:val="44"/>
          <w:highlight w:val="none"/>
          <w:lang w:val="en-US" w:eastAsia="zh-CN"/>
        </w:rPr>
        <w:t>2021年度</w:t>
      </w:r>
      <w:r>
        <w:rPr>
          <w:rStyle w:val="25"/>
          <w:rFonts w:hint="eastAsia" w:ascii="黑体" w:hAnsi="黑体" w:eastAsia="黑体"/>
          <w:b w:val="0"/>
          <w:bCs/>
          <w:color w:val="auto"/>
          <w:sz w:val="44"/>
          <w:szCs w:val="44"/>
          <w:highlight w:val="none"/>
          <w:lang w:eastAsia="zh-CN"/>
        </w:rPr>
        <w:t>单位</w:t>
      </w:r>
      <w:r>
        <w:rPr>
          <w:rStyle w:val="25"/>
          <w:rFonts w:hint="eastAsia" w:ascii="黑体" w:hAnsi="黑体" w:eastAsia="黑体"/>
          <w:b w:val="0"/>
          <w:bCs/>
          <w:color w:val="auto"/>
          <w:sz w:val="44"/>
          <w:szCs w:val="44"/>
          <w:highlight w:val="none"/>
        </w:rPr>
        <w:t>决算情况说明</w:t>
      </w:r>
      <w:bookmarkEnd w:id="21"/>
      <w:bookmarkEnd w:id="22"/>
      <w:bookmarkEnd w:id="23"/>
    </w:p>
    <w:p>
      <w:pPr>
        <w:rPr>
          <w:color w:val="auto"/>
          <w:highlight w:val="none"/>
        </w:rPr>
      </w:pP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4" w:name="_Toc5320"/>
      <w:bookmarkStart w:id="25" w:name="_Toc15377205"/>
      <w:bookmarkStart w:id="26"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jc w:val="both"/>
        <w:rPr>
          <w:rFonts w:hint="eastAsia"/>
          <w:lang w:val="en-US" w:eastAsia="zh-CN"/>
        </w:rPr>
      </w:pPr>
      <w:r>
        <w:rPr>
          <w:rFonts w:hint="eastAsia" w:ascii="仿宋_GB2312" w:hAnsi="Times New Roman" w:eastAsia="仿宋_GB2312" w:cs="Times New Roman"/>
          <w:color w:val="000000"/>
          <w:sz w:val="32"/>
          <w:szCs w:val="32"/>
        </w:rPr>
        <w:t>202</w:t>
      </w:r>
      <w:r>
        <w:rPr>
          <w:rFonts w:hint="eastAsia" w:ascii="仿宋_GB2312" w:hAnsi="Times New Roman"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年度收、支总计</w:t>
      </w:r>
      <w:r>
        <w:rPr>
          <w:rFonts w:hint="eastAsia" w:ascii="仿宋_GB2312" w:eastAsia="仿宋_GB2312" w:cs="Times New Roman"/>
          <w:color w:val="000000"/>
          <w:sz w:val="32"/>
          <w:szCs w:val="32"/>
          <w:lang w:val="en-US" w:eastAsia="zh-CN"/>
        </w:rPr>
        <w:t>10388.46</w:t>
      </w:r>
      <w:r>
        <w:rPr>
          <w:rFonts w:hint="eastAsia" w:ascii="仿宋_GB2312" w:hAnsi="Times New Roman" w:eastAsia="仿宋_GB2312" w:cs="Times New Roman"/>
          <w:color w:val="000000"/>
          <w:sz w:val="32"/>
          <w:szCs w:val="32"/>
        </w:rPr>
        <w:t>万元。与</w:t>
      </w:r>
      <w:r>
        <w:rPr>
          <w:rFonts w:hint="eastAsia" w:ascii="仿宋_GB2312" w:hAnsi="Times New Roman" w:eastAsia="仿宋_GB2312" w:cs="Times New Roman"/>
          <w:color w:val="000000"/>
          <w:sz w:val="32"/>
          <w:szCs w:val="32"/>
          <w:lang w:val="en-US" w:eastAsia="zh-CN"/>
        </w:rPr>
        <w:t>2020</w:t>
      </w:r>
      <w:r>
        <w:rPr>
          <w:rFonts w:hint="eastAsia" w:ascii="仿宋_GB2312" w:hAnsi="Times New Roman" w:eastAsia="仿宋_GB2312" w:cs="Times New Roman"/>
          <w:color w:val="000000"/>
          <w:sz w:val="32"/>
          <w:szCs w:val="32"/>
        </w:rPr>
        <w:t>年</w:t>
      </w:r>
      <w:r>
        <w:rPr>
          <w:rFonts w:hint="eastAsia" w:ascii="仿宋_GB2312" w:eastAsia="仿宋_GB2312" w:cs="Times New Roman"/>
          <w:color w:val="000000"/>
          <w:sz w:val="32"/>
          <w:szCs w:val="32"/>
          <w:lang w:val="en-US" w:eastAsia="zh-CN"/>
        </w:rPr>
        <w:t>11478.85</w:t>
      </w:r>
      <w:r>
        <w:rPr>
          <w:rFonts w:hint="eastAsia" w:ascii="仿宋_GB2312" w:hAnsi="Times New Roman" w:eastAsia="仿宋_GB2312" w:cs="Times New Roman"/>
          <w:color w:val="000000"/>
          <w:sz w:val="32"/>
          <w:szCs w:val="32"/>
          <w:lang w:val="en-US" w:eastAsia="zh-CN"/>
        </w:rPr>
        <w:t>万元</w:t>
      </w:r>
      <w:r>
        <w:rPr>
          <w:rFonts w:hint="eastAsia" w:ascii="仿宋_GB2312" w:hAnsi="Times New Roman" w:eastAsia="仿宋_GB2312" w:cs="Times New Roman"/>
          <w:color w:val="000000"/>
          <w:sz w:val="32"/>
          <w:szCs w:val="32"/>
        </w:rPr>
        <w:t>相比，收、支总计各</w:t>
      </w:r>
      <w:r>
        <w:rPr>
          <w:rFonts w:hint="eastAsia" w:ascii="仿宋_GB2312" w:hAnsi="Times New Roman" w:eastAsia="仿宋_GB2312" w:cs="Times New Roman"/>
          <w:color w:val="000000"/>
          <w:sz w:val="32"/>
          <w:szCs w:val="32"/>
          <w:lang w:eastAsia="zh-CN"/>
        </w:rPr>
        <w:t>下降</w:t>
      </w:r>
      <w:r>
        <w:rPr>
          <w:rFonts w:hint="eastAsia" w:ascii="仿宋_GB2312" w:eastAsia="仿宋_GB2312" w:cs="Times New Roman"/>
          <w:color w:val="000000"/>
          <w:sz w:val="32"/>
          <w:szCs w:val="32"/>
          <w:lang w:val="en-US" w:eastAsia="zh-CN"/>
        </w:rPr>
        <w:t>1090.39</w:t>
      </w:r>
      <w:r>
        <w:rPr>
          <w:rFonts w:hint="eastAsia"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下降</w:t>
      </w:r>
      <w:r>
        <w:rPr>
          <w:rFonts w:hint="eastAsia" w:ascii="仿宋_GB2312" w:eastAsia="仿宋_GB2312" w:cs="Times New Roman"/>
          <w:color w:val="000000"/>
          <w:sz w:val="32"/>
          <w:szCs w:val="32"/>
          <w:lang w:val="en-US" w:eastAsia="zh-CN"/>
        </w:rPr>
        <w:t>9.49</w:t>
      </w:r>
      <w:r>
        <w:rPr>
          <w:rFonts w:hint="eastAsia" w:ascii="仿宋_GB2312" w:hAnsi="Times New Roman" w:eastAsia="仿宋_GB2312" w:cs="Times New Roman"/>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w:t>
      </w:r>
      <w:r>
        <w:rPr>
          <w:rFonts w:hint="eastAsia" w:ascii="仿宋" w:hAnsi="仿宋" w:eastAsia="仿宋"/>
          <w:color w:val="000000"/>
          <w:sz w:val="32"/>
          <w:szCs w:val="32"/>
          <w:lang w:eastAsia="zh-CN"/>
        </w:rPr>
        <w:t>收入包括</w:t>
      </w:r>
      <w:r>
        <w:rPr>
          <w:rFonts w:hint="eastAsia" w:ascii="仿宋" w:hAnsi="仿宋" w:eastAsia="仿宋"/>
          <w:color w:val="000000"/>
          <w:sz w:val="32"/>
          <w:szCs w:val="32"/>
          <w:lang w:val="en-US" w:eastAsia="zh-CN"/>
        </w:rPr>
        <w:t>政府性基金预算财政拨款（抗疫特别国债资金）1000万元。</w:t>
      </w:r>
    </w:p>
    <w:p>
      <w:pPr>
        <w:spacing w:line="600" w:lineRule="exact"/>
        <w:ind w:firstLine="420" w:firstLineChars="200"/>
        <w:jc w:val="both"/>
        <w:rPr>
          <w:rFonts w:hint="eastAsia"/>
          <w:highlight w:val="yellow"/>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center"/>
        <w:textAlignment w:val="auto"/>
        <w:rPr>
          <w:rFonts w:hint="eastAsia" w:ascii="仿宋" w:eastAsia="仿宋"/>
          <w:color w:val="000000"/>
          <w:sz w:val="32"/>
          <w:szCs w:val="32"/>
        </w:rPr>
      </w:pPr>
      <w:r>
        <w:rPr>
          <w:rFonts w:ascii="宋体" w:hAnsi="宋体" w:eastAsia="宋体" w:cs="宋体"/>
          <w:sz w:val="24"/>
          <w:szCs w:val="24"/>
        </w:rPr>
        <w:drawing>
          <wp:inline distT="0" distB="0" distL="114300" distR="114300">
            <wp:extent cx="4695825" cy="2268220"/>
            <wp:effectExtent l="0" t="0" r="9525" b="1778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8"/>
                    <a:stretch>
                      <a:fillRect/>
                    </a:stretch>
                  </pic:blipFill>
                  <pic:spPr>
                    <a:xfrm>
                      <a:off x="0" y="0"/>
                      <a:ext cx="4695825" cy="226822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jc w:val="left"/>
        <w:textAlignment w:val="auto"/>
        <w:rPr>
          <w:rFonts w:ascii="仿宋_GB2312" w:eastAsia="仿宋_GB2312"/>
          <w:color w:val="auto"/>
          <w:sz w:val="32"/>
          <w:szCs w:val="32"/>
          <w:highlight w:val="none"/>
        </w:rPr>
      </w:pPr>
      <w:r>
        <w:rPr>
          <w:rFonts w:hint="eastAsia" w:ascii="仿宋" w:eastAsia="仿宋"/>
          <w:color w:val="000000"/>
          <w:sz w:val="32"/>
          <w:szCs w:val="32"/>
        </w:rPr>
        <w:t>（图1：收、支决算总计变动情况图）</w:t>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7" w:name="_Toc27396"/>
      <w:bookmarkStart w:id="28" w:name="_Toc15377206"/>
      <w:bookmarkStart w:id="29"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78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9195.45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9195.45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drawing>
          <wp:anchor distT="0" distB="0" distL="114300" distR="114300" simplePos="0" relativeHeight="251659264" behindDoc="1" locked="0" layoutInCell="1" allowOverlap="1">
            <wp:simplePos x="0" y="0"/>
            <wp:positionH relativeFrom="column">
              <wp:posOffset>542290</wp:posOffset>
            </wp:positionH>
            <wp:positionV relativeFrom="paragraph">
              <wp:posOffset>170180</wp:posOffset>
            </wp:positionV>
            <wp:extent cx="4173220" cy="2461260"/>
            <wp:effectExtent l="0" t="0" r="17780" b="15240"/>
            <wp:wrapThrough wrapText="bothSides">
              <wp:wrapPolygon>
                <wp:start x="0" y="0"/>
                <wp:lineTo x="0" y="21399"/>
                <wp:lineTo x="21495" y="21399"/>
                <wp:lineTo x="21495" y="0"/>
                <wp:lineTo x="0" y="0"/>
              </wp:wrapPolygon>
            </wp:wrapThrough>
            <wp:docPr id="6" name="图片 6" descr="9A%T3IKNK2DRV4{}@NU7@UK"/>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9A%T3IKNK2DRV4{}@NU7@UK"/>
                    <pic:cNvPicPr>
                      <a:picLocks noChangeAspect="true"/>
                    </pic:cNvPicPr>
                  </pic:nvPicPr>
                  <pic:blipFill>
                    <a:blip r:embed="rId9"/>
                    <a:stretch>
                      <a:fillRect/>
                    </a:stretch>
                  </pic:blipFill>
                  <pic:spPr>
                    <a:xfrm>
                      <a:off x="0" y="0"/>
                      <a:ext cx="4173220" cy="2461260"/>
                    </a:xfrm>
                    <a:prstGeom prst="rect">
                      <a:avLst/>
                    </a:prstGeom>
                  </pic:spPr>
                </pic:pic>
              </a:graphicData>
            </a:graphic>
          </wp:anchor>
        </w:drawing>
      </w:r>
    </w:p>
    <w:p>
      <w:pPr>
        <w:spacing w:line="600" w:lineRule="exact"/>
        <w:ind w:firstLine="480" w:firstLineChars="200"/>
        <w:rPr>
          <w:rFonts w:ascii="宋体" w:hAnsi="宋体" w:eastAsia="宋体" w:cs="宋体"/>
          <w:sz w:val="24"/>
          <w:szCs w:val="24"/>
        </w:rPr>
      </w:pPr>
    </w:p>
    <w:p>
      <w:pPr>
        <w:spacing w:line="600" w:lineRule="exact"/>
        <w:ind w:firstLine="480" w:firstLineChars="200"/>
        <w:rPr>
          <w:rFonts w:ascii="宋体" w:hAnsi="宋体" w:eastAsia="宋体" w:cs="宋体"/>
          <w:sz w:val="24"/>
          <w:szCs w:val="24"/>
        </w:rPr>
      </w:pPr>
    </w:p>
    <w:p>
      <w:pPr>
        <w:spacing w:line="600" w:lineRule="exact"/>
        <w:ind w:firstLine="480" w:firstLineChars="200"/>
        <w:rPr>
          <w:rFonts w:ascii="宋体" w:hAnsi="宋体" w:eastAsia="宋体" w:cs="宋体"/>
          <w:sz w:val="24"/>
          <w:szCs w:val="24"/>
        </w:rPr>
      </w:pPr>
    </w:p>
    <w:p>
      <w:pPr>
        <w:pStyle w:val="9"/>
        <w:rPr>
          <w:rFonts w:ascii="宋体" w:hAnsi="宋体" w:eastAsia="宋体" w:cs="宋体"/>
          <w:sz w:val="24"/>
          <w:szCs w:val="24"/>
        </w:rPr>
      </w:pPr>
    </w:p>
    <w:p>
      <w:pPr>
        <w:pStyle w:val="9"/>
        <w:rPr>
          <w:rFonts w:ascii="宋体" w:hAnsi="宋体" w:eastAsia="宋体" w:cs="宋体"/>
          <w:sz w:val="24"/>
          <w:szCs w:val="24"/>
        </w:rPr>
      </w:pPr>
    </w:p>
    <w:p>
      <w:pPr>
        <w:pStyle w:val="9"/>
        <w:rPr>
          <w:rFonts w:ascii="宋体" w:hAnsi="宋体" w:eastAsia="宋体" w:cs="宋体"/>
          <w:sz w:val="24"/>
          <w:szCs w:val="24"/>
        </w:rPr>
      </w:pPr>
    </w:p>
    <w:p>
      <w:pPr>
        <w:pStyle w:val="9"/>
        <w:rPr>
          <w:rFonts w:ascii="宋体" w:hAnsi="宋体" w:eastAsia="宋体" w:cs="宋体"/>
          <w:sz w:val="24"/>
          <w:szCs w:val="24"/>
        </w:rPr>
      </w:pPr>
    </w:p>
    <w:p>
      <w:pPr>
        <w:pStyle w:val="9"/>
        <w:rPr>
          <w:rFonts w:ascii="宋体" w:hAnsi="宋体" w:eastAsia="宋体" w:cs="宋体"/>
          <w:sz w:val="24"/>
          <w:szCs w:val="24"/>
        </w:rPr>
      </w:pPr>
    </w:p>
    <w:p>
      <w:pPr>
        <w:pStyle w:val="9"/>
        <w:rPr>
          <w:rFonts w:ascii="宋体" w:hAnsi="宋体" w:eastAsia="宋体" w:cs="宋体"/>
          <w:sz w:val="24"/>
          <w:szCs w:val="24"/>
        </w:rPr>
      </w:pPr>
    </w:p>
    <w:p>
      <w:pPr>
        <w:spacing w:line="600" w:lineRule="exact"/>
        <w:jc w:val="left"/>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31" w:name="_Toc20586"/>
      <w:bookmarkStart w:id="32" w:name="_Toc15377207"/>
      <w:bookmarkStart w:id="33"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1404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9857.22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1386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14.06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8471.22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600" w:lineRule="exact"/>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r>
        <w:rPr>
          <w:rFonts w:ascii="宋体" w:hAnsi="宋体" w:eastAsia="宋体" w:cs="宋体"/>
          <w:sz w:val="24"/>
          <w:szCs w:val="24"/>
        </w:rPr>
        <w:drawing>
          <wp:inline distT="0" distB="0" distL="114300" distR="114300">
            <wp:extent cx="4695825" cy="2895600"/>
            <wp:effectExtent l="0" t="0" r="9525" b="0"/>
            <wp:docPr id="2"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true"/>
                    </pic:cNvPicPr>
                  </pic:nvPicPr>
                  <pic:blipFill>
                    <a:blip r:embed="rId10"/>
                    <a:stretch>
                      <a:fillRect/>
                    </a:stretch>
                  </pic:blipFill>
                  <pic:spPr>
                    <a:xfrm>
                      <a:off x="0" y="0"/>
                      <a:ext cx="4695825" cy="2895600"/>
                    </a:xfrm>
                    <a:prstGeom prst="rect">
                      <a:avLst/>
                    </a:prstGeom>
                    <a:noFill/>
                    <a:ln w="9525">
                      <a:noFill/>
                    </a:ln>
                  </pic:spPr>
                </pic:pic>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bookmarkStart w:id="35" w:name="_Toc15377208"/>
      <w:bookmarkStart w:id="36" w:name="_Toc15396606"/>
      <w:bookmarkStart w:id="37" w:name="_Toc1102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b/>
          <w:color w:val="auto"/>
          <w:sz w:val="32"/>
          <w:szCs w:val="32"/>
          <w:highlight w:val="none"/>
        </w:rPr>
      </w:pPr>
      <w:r>
        <w:rPr>
          <w:rFonts w:hint="eastAsia" w:ascii="仿宋_GB2312" w:hAnsi="Times New Roman" w:eastAsia="仿宋_GB2312" w:cs="Times New Roman"/>
          <w:color w:val="000000"/>
          <w:sz w:val="32"/>
          <w:szCs w:val="32"/>
        </w:rPr>
        <w:t>202</w:t>
      </w:r>
      <w:r>
        <w:rPr>
          <w:rFonts w:hint="eastAsia" w:ascii="仿宋_GB2312" w:hAnsi="Times New Roman" w:eastAsia="仿宋_GB2312" w:cs="Times New Roman"/>
          <w:color w:val="000000"/>
          <w:sz w:val="32"/>
          <w:szCs w:val="32"/>
          <w:lang w:val="en-US" w:eastAsia="zh-CN"/>
        </w:rPr>
        <w:t>1</w:t>
      </w:r>
      <w:r>
        <w:rPr>
          <w:rFonts w:hint="eastAsia" w:ascii="仿宋_GB2312" w:hAnsi="Times New Roman" w:eastAsia="仿宋_GB2312" w:cs="Times New Roman"/>
          <w:color w:val="000000"/>
          <w:sz w:val="32"/>
          <w:szCs w:val="32"/>
        </w:rPr>
        <w:t>年度收、支总计</w:t>
      </w:r>
      <w:r>
        <w:rPr>
          <w:rFonts w:hint="eastAsia" w:ascii="仿宋_GB2312" w:eastAsia="仿宋_GB2312" w:cs="Times New Roman"/>
          <w:color w:val="000000"/>
          <w:sz w:val="32"/>
          <w:szCs w:val="32"/>
          <w:lang w:val="en-US" w:eastAsia="zh-CN"/>
        </w:rPr>
        <w:t>10158.3</w:t>
      </w:r>
      <w:r>
        <w:rPr>
          <w:rFonts w:hint="eastAsia" w:ascii="仿宋_GB2312" w:hAnsi="Times New Roman" w:eastAsia="仿宋_GB2312" w:cs="Times New Roman"/>
          <w:color w:val="000000"/>
          <w:sz w:val="32"/>
          <w:szCs w:val="32"/>
        </w:rPr>
        <w:t>万元。与</w:t>
      </w:r>
      <w:r>
        <w:rPr>
          <w:rFonts w:hint="eastAsia" w:ascii="仿宋_GB2312" w:hAnsi="Times New Roman" w:eastAsia="仿宋_GB2312" w:cs="Times New Roman"/>
          <w:color w:val="000000"/>
          <w:sz w:val="32"/>
          <w:szCs w:val="32"/>
          <w:lang w:val="en-US" w:eastAsia="zh-CN"/>
        </w:rPr>
        <w:t>2020</w:t>
      </w:r>
      <w:r>
        <w:rPr>
          <w:rFonts w:hint="eastAsia" w:ascii="仿宋_GB2312" w:hAnsi="Times New Roman" w:eastAsia="仿宋_GB2312" w:cs="Times New Roman"/>
          <w:color w:val="000000"/>
          <w:sz w:val="32"/>
          <w:szCs w:val="32"/>
        </w:rPr>
        <w:t>年</w:t>
      </w:r>
      <w:r>
        <w:rPr>
          <w:rFonts w:hint="eastAsia" w:ascii="仿宋_GB2312" w:eastAsia="仿宋_GB2312" w:cs="Times New Roman"/>
          <w:color w:val="000000"/>
          <w:sz w:val="32"/>
          <w:szCs w:val="32"/>
          <w:lang w:val="en-US" w:eastAsia="zh-CN"/>
        </w:rPr>
        <w:t>11248.69</w:t>
      </w:r>
      <w:r>
        <w:rPr>
          <w:rFonts w:hint="eastAsia" w:ascii="仿宋_GB2312" w:hAnsi="Times New Roman" w:eastAsia="仿宋_GB2312" w:cs="Times New Roman"/>
          <w:color w:val="000000"/>
          <w:sz w:val="32"/>
          <w:szCs w:val="32"/>
          <w:lang w:val="en-US" w:eastAsia="zh-CN"/>
        </w:rPr>
        <w:t>万元</w:t>
      </w:r>
      <w:r>
        <w:rPr>
          <w:rFonts w:hint="eastAsia" w:ascii="仿宋_GB2312" w:hAnsi="Times New Roman" w:eastAsia="仿宋_GB2312" w:cs="Times New Roman"/>
          <w:color w:val="000000"/>
          <w:sz w:val="32"/>
          <w:szCs w:val="32"/>
        </w:rPr>
        <w:t>相比，收、支总计各</w:t>
      </w:r>
      <w:r>
        <w:rPr>
          <w:rFonts w:hint="eastAsia" w:ascii="仿宋_GB2312" w:hAnsi="Times New Roman" w:eastAsia="仿宋_GB2312" w:cs="Times New Roman"/>
          <w:color w:val="000000"/>
          <w:sz w:val="32"/>
          <w:szCs w:val="32"/>
          <w:lang w:eastAsia="zh-CN"/>
        </w:rPr>
        <w:t>下降</w:t>
      </w:r>
      <w:r>
        <w:rPr>
          <w:rFonts w:hint="eastAsia" w:ascii="仿宋_GB2312" w:eastAsia="仿宋_GB2312" w:cs="Times New Roman"/>
          <w:color w:val="000000"/>
          <w:sz w:val="32"/>
          <w:szCs w:val="32"/>
          <w:lang w:val="en-US" w:eastAsia="zh-CN"/>
        </w:rPr>
        <w:t>1090.39</w:t>
      </w:r>
      <w:r>
        <w:rPr>
          <w:rFonts w:hint="eastAsia" w:ascii="仿宋_GB2312" w:hAnsi="Times New Roman" w:eastAsia="仿宋_GB2312" w:cs="Times New Roman"/>
          <w:color w:val="000000"/>
          <w:sz w:val="32"/>
          <w:szCs w:val="32"/>
        </w:rPr>
        <w:t>万元，</w:t>
      </w:r>
      <w:r>
        <w:rPr>
          <w:rFonts w:hint="eastAsia" w:ascii="仿宋_GB2312" w:hAnsi="Times New Roman" w:eastAsia="仿宋_GB2312" w:cs="Times New Roman"/>
          <w:color w:val="000000"/>
          <w:sz w:val="32"/>
          <w:szCs w:val="32"/>
          <w:lang w:eastAsia="zh-CN"/>
        </w:rPr>
        <w:t>下降</w:t>
      </w:r>
      <w:r>
        <w:rPr>
          <w:rFonts w:hint="eastAsia" w:ascii="仿宋_GB2312" w:eastAsia="仿宋_GB2312" w:cs="Times New Roman"/>
          <w:color w:val="000000"/>
          <w:sz w:val="32"/>
          <w:szCs w:val="32"/>
          <w:lang w:val="en-US" w:eastAsia="zh-CN"/>
        </w:rPr>
        <w:t>9.69</w:t>
      </w:r>
      <w:r>
        <w:rPr>
          <w:rFonts w:hint="eastAsia" w:ascii="仿宋_GB2312" w:hAnsi="Times New Roman" w:eastAsia="仿宋_GB2312" w:cs="Times New Roman"/>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w:t>
      </w:r>
      <w:r>
        <w:rPr>
          <w:rFonts w:hint="eastAsia" w:ascii="仿宋" w:hAnsi="仿宋" w:eastAsia="仿宋"/>
          <w:color w:val="000000"/>
          <w:sz w:val="32"/>
          <w:szCs w:val="32"/>
          <w:lang w:eastAsia="zh-CN"/>
        </w:rPr>
        <w:t>收入包括</w:t>
      </w:r>
      <w:r>
        <w:rPr>
          <w:rFonts w:hint="eastAsia" w:ascii="仿宋" w:hAnsi="仿宋" w:eastAsia="仿宋"/>
          <w:color w:val="000000"/>
          <w:sz w:val="32"/>
          <w:szCs w:val="32"/>
          <w:lang w:val="en-US" w:eastAsia="zh-CN"/>
        </w:rPr>
        <w:t>政府性基金预算财政拨款（抗疫特别国债资金）1000万元。</w:t>
      </w:r>
    </w:p>
    <w:p>
      <w:pPr>
        <w:pStyle w:val="2"/>
        <w:rPr>
          <w:rFonts w:hint="eastAsia" w:ascii="仿宋" w:hAnsi="仿宋" w:eastAsia="仿宋"/>
          <w:color w:val="auto"/>
          <w:sz w:val="32"/>
          <w:szCs w:val="32"/>
          <w:highlight w:val="none"/>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152400</wp:posOffset>
            </wp:positionH>
            <wp:positionV relativeFrom="paragraph">
              <wp:posOffset>80010</wp:posOffset>
            </wp:positionV>
            <wp:extent cx="4695825" cy="2895600"/>
            <wp:effectExtent l="0" t="0" r="9525" b="0"/>
            <wp:wrapThrough wrapText="bothSides">
              <wp:wrapPolygon>
                <wp:start x="0" y="0"/>
                <wp:lineTo x="0" y="21458"/>
                <wp:lineTo x="21556" y="21458"/>
                <wp:lineTo x="21556" y="0"/>
                <wp:lineTo x="0" y="0"/>
              </wp:wrapPolygon>
            </wp:wrapThrough>
            <wp:docPr id="5"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true"/>
                    </pic:cNvPicPr>
                  </pic:nvPicPr>
                  <pic:blipFill>
                    <a:blip r:embed="rId11"/>
                    <a:stretch>
                      <a:fillRect/>
                    </a:stretch>
                  </pic:blipFill>
                  <pic:spPr>
                    <a:xfrm>
                      <a:off x="0" y="0"/>
                      <a:ext cx="4695825" cy="2895600"/>
                    </a:xfrm>
                    <a:prstGeom prst="rect">
                      <a:avLst/>
                    </a:prstGeom>
                    <a:noFill/>
                    <a:ln w="9525">
                      <a:noFill/>
                    </a:ln>
                  </pic:spPr>
                </pic:pic>
              </a:graphicData>
            </a:graphic>
          </wp:anchor>
        </w:drawing>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6"/>
          <w:rFonts w:ascii="黑体" w:hAnsi="黑体" w:eastAsia="黑体"/>
          <w:b w:val="0"/>
          <w:color w:val="auto"/>
          <w:highlight w:val="none"/>
        </w:rPr>
      </w:pPr>
      <w:bookmarkStart w:id="38" w:name="_Toc15396607"/>
      <w:bookmarkStart w:id="39" w:name="_Toc15377209"/>
      <w:bookmarkStart w:id="40" w:name="_Toc2412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2"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9857.22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571.38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6.15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医疗业务收入较</w:t>
      </w:r>
      <w:r>
        <w:rPr>
          <w:rFonts w:hint="eastAsia" w:ascii="仿宋" w:hAnsi="仿宋" w:eastAsia="仿宋"/>
          <w:color w:val="auto"/>
          <w:sz w:val="32"/>
          <w:szCs w:val="32"/>
          <w:highlight w:val="none"/>
          <w:lang w:val="en-US" w:eastAsia="zh-CN"/>
        </w:rPr>
        <w:t>2020年增长，支出随之增长。</w:t>
      </w:r>
    </w:p>
    <w:p>
      <w:pPr>
        <w:pStyle w:val="9"/>
        <w:rPr>
          <w:rFonts w:hint="eastAsia" w:ascii="仿宋" w:hAnsi="仿宋" w:eastAsia="仿宋"/>
          <w:color w:val="auto"/>
          <w:sz w:val="32"/>
          <w:szCs w:val="32"/>
          <w:highlight w:val="none"/>
          <w:lang w:val="en-US" w:eastAsia="zh-CN"/>
        </w:rPr>
      </w:pPr>
    </w:p>
    <w:p>
      <w:pPr>
        <w:pStyle w:val="9"/>
        <w:rPr>
          <w:rFonts w:hint="eastAsia" w:ascii="仿宋" w:hAnsi="仿宋" w:eastAsia="仿宋"/>
          <w:color w:val="auto"/>
          <w:sz w:val="32"/>
          <w:szCs w:val="32"/>
          <w:highlight w:val="none"/>
          <w:lang w:val="en-US" w:eastAsia="zh-CN"/>
        </w:rPr>
      </w:pPr>
      <w:r>
        <w:rPr>
          <w:rFonts w:ascii="宋体" w:hAnsi="宋体" w:eastAsia="宋体" w:cs="宋体"/>
          <w:sz w:val="24"/>
          <w:szCs w:val="24"/>
        </w:rPr>
        <w:drawing>
          <wp:inline distT="0" distB="0" distL="114300" distR="114300">
            <wp:extent cx="4695825" cy="2526665"/>
            <wp:effectExtent l="0" t="0" r="9525" b="6985"/>
            <wp:docPr id="9" name="图片 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true"/>
                    </pic:cNvPicPr>
                  </pic:nvPicPr>
                  <pic:blipFill>
                    <a:blip r:embed="rId12"/>
                    <a:stretch>
                      <a:fillRect/>
                    </a:stretch>
                  </pic:blipFill>
                  <pic:spPr>
                    <a:xfrm>
                      <a:off x="0" y="0"/>
                      <a:ext cx="4695825" cy="2526665"/>
                    </a:xfrm>
                    <a:prstGeom prst="rect">
                      <a:avLst/>
                    </a:prstGeom>
                    <a:noFill/>
                    <a:ln w="9525">
                      <a:noFill/>
                    </a:ln>
                  </pic:spPr>
                </pic:pic>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9857.22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136.24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9549.5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96.87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val="0"/>
          <w:bCs w:val="0"/>
          <w:color w:val="auto"/>
          <w:sz w:val="32"/>
          <w:szCs w:val="32"/>
          <w:highlight w:val="none"/>
        </w:rPr>
        <w:t>支出</w:t>
      </w:r>
      <w:r>
        <w:rPr>
          <w:rFonts w:hint="eastAsia" w:ascii="仿宋" w:hAnsi="仿宋" w:eastAsia="仿宋"/>
          <w:b w:val="0"/>
          <w:bCs w:val="0"/>
          <w:color w:val="auto"/>
          <w:sz w:val="32"/>
          <w:szCs w:val="32"/>
          <w:highlight w:val="none"/>
          <w:lang w:val="en-US" w:eastAsia="zh-CN"/>
        </w:rPr>
        <w:t>171.48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9"/>
        <w:rPr>
          <w:rFonts w:ascii="仿宋" w:hAnsi="仿宋" w:eastAsia="仿宋"/>
          <w:color w:val="auto"/>
          <w:sz w:val="32"/>
          <w:szCs w:val="32"/>
          <w:highlight w:val="none"/>
        </w:rPr>
      </w:pPr>
      <w:r>
        <w:rPr>
          <w:rFonts w:ascii="宋体" w:hAnsi="宋体" w:eastAsia="宋体" w:cs="宋体"/>
          <w:sz w:val="24"/>
          <w:szCs w:val="24"/>
        </w:rPr>
        <w:drawing>
          <wp:inline distT="0" distB="0" distL="114300" distR="114300">
            <wp:extent cx="4695825" cy="2895600"/>
            <wp:effectExtent l="0" t="0" r="9525" b="0"/>
            <wp:docPr id="10" name="图片 7"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7" descr="IMG_256"/>
                    <pic:cNvPicPr>
                      <a:picLocks noChangeAspect="true"/>
                    </pic:cNvPicPr>
                  </pic:nvPicPr>
                  <pic:blipFill>
                    <a:blip r:embed="rId13"/>
                    <a:stretch>
                      <a:fillRect/>
                    </a:stretch>
                  </pic:blipFill>
                  <pic:spPr>
                    <a:xfrm>
                      <a:off x="0" y="0"/>
                      <a:ext cx="4695825" cy="2895600"/>
                    </a:xfrm>
                    <a:prstGeom prst="rect">
                      <a:avLst/>
                    </a:prstGeom>
                    <a:noFill/>
                    <a:ln w="9525">
                      <a:noFill/>
                    </a:ln>
                  </pic:spPr>
                </pic:pic>
              </a:graphicData>
            </a:graphic>
          </wp:inline>
        </w:drawing>
      </w: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Style w:val="9"/>
      </w:pPr>
    </w:p>
    <w:p>
      <w:pPr>
        <w:spacing w:line="600" w:lineRule="exact"/>
        <w:ind w:firstLine="642"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2" w:firstLineChars="200"/>
        <w:jc w:val="both"/>
        <w:outlineLvl w:val="2"/>
        <w:rPr>
          <w:rStyle w:val="15"/>
          <w:rFonts w:hint="eastAsia" w:ascii="仿宋" w:hAnsi="仿宋" w:eastAsia="仿宋"/>
          <w:bCs/>
          <w:color w:val="000000"/>
          <w:sz w:val="32"/>
          <w:szCs w:val="32"/>
        </w:rPr>
      </w:pPr>
      <w:bookmarkStart w:id="44" w:name="_Toc15378460"/>
      <w:bookmarkStart w:id="45" w:name="_Toc15377444"/>
      <w:bookmarkStart w:id="46" w:name="_Toc15377213"/>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9857.22万元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hint="eastAsia" w:ascii="仿宋" w:hAnsi="仿宋" w:eastAsia="仿宋"/>
          <w:bCs/>
          <w:color w:val="000000"/>
          <w:sz w:val="32"/>
          <w:szCs w:val="32"/>
          <w:lang w:val="en-US" w:eastAsia="zh-CN"/>
        </w:rPr>
        <w:t>97.03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44"/>
      <w:bookmarkEnd w:id="45"/>
      <w:bookmarkEnd w:id="46"/>
    </w:p>
    <w:p>
      <w:pPr>
        <w:pStyle w:val="2"/>
        <w:numPr>
          <w:ilvl w:val="0"/>
          <w:numId w:val="0"/>
        </w:numPr>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人力资源和社会保障管理事务</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款</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其他人力资源和社会保障管理事务（项）：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pStyle w:val="2"/>
        <w:numPr>
          <w:ilvl w:val="0"/>
          <w:numId w:val="0"/>
        </w:numPr>
        <w:ind w:firstLine="642"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事业单位离退休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4.15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2" w:firstLineChars="200"/>
        <w:jc w:val="both"/>
        <w:rPr>
          <w:rStyle w:val="15"/>
          <w:rFonts w:hint="eastAsia" w:ascii="仿宋" w:hAnsi="仿宋" w:eastAsia="仿宋"/>
          <w:bCs/>
          <w:color w:val="000000"/>
          <w:sz w:val="32"/>
          <w:szCs w:val="32"/>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112.48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numPr>
          <w:ilvl w:val="0"/>
          <w:numId w:val="0"/>
        </w:numPr>
        <w:spacing w:line="600" w:lineRule="exact"/>
        <w:ind w:firstLine="642" w:firstLineChars="200"/>
        <w:jc w:val="both"/>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4.</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机关事业单位职业年金缴费支出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4.84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2" w:firstLineChars="200"/>
        <w:jc w:val="both"/>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14.17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2" w:firstLineChars="200"/>
        <w:rPr>
          <w:rStyle w:val="15"/>
          <w:rFonts w:hint="eastAsia" w:ascii="仿宋" w:hAnsi="仿宋" w:eastAsia="仿宋"/>
          <w:b w:val="0"/>
          <w:bCs/>
          <w:color w:val="000000"/>
          <w:sz w:val="32"/>
          <w:szCs w:val="32"/>
          <w:lang w:eastAsia="zh-CN"/>
        </w:rPr>
      </w:pP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公共卫生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妇幼保健机构</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1033.29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94.78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r>
        <w:rPr>
          <w:rStyle w:val="15"/>
          <w:rFonts w:hint="eastAsia" w:ascii="仿宋" w:eastAsia="仿宋"/>
          <w:b w:val="0"/>
          <w:bCs/>
          <w:color w:val="000000"/>
          <w:sz w:val="32"/>
          <w:szCs w:val="32"/>
          <w:highlight w:val="none"/>
        </w:rPr>
        <w:t>决算数小于预算数的主要原因是</w:t>
      </w:r>
      <w:r>
        <w:rPr>
          <w:rStyle w:val="15"/>
          <w:rFonts w:hint="eastAsia" w:ascii="仿宋" w:eastAsia="仿宋"/>
          <w:b w:val="0"/>
          <w:bCs/>
          <w:color w:val="000000"/>
          <w:sz w:val="32"/>
          <w:szCs w:val="32"/>
          <w:highlight w:val="none"/>
          <w:lang w:eastAsia="zh-CN"/>
        </w:rPr>
        <w:t>当年预算指标完成率为</w:t>
      </w:r>
      <w:r>
        <w:rPr>
          <w:rStyle w:val="15"/>
          <w:rFonts w:hint="eastAsia" w:ascii="仿宋" w:eastAsia="仿宋"/>
          <w:b w:val="0"/>
          <w:bCs/>
          <w:color w:val="000000"/>
          <w:sz w:val="32"/>
          <w:szCs w:val="32"/>
          <w:highlight w:val="none"/>
          <w:lang w:val="en-US" w:eastAsia="zh-CN"/>
        </w:rPr>
        <w:t>100%</w:t>
      </w:r>
      <w:r>
        <w:rPr>
          <w:rStyle w:val="15"/>
          <w:rFonts w:hint="eastAsia" w:ascii="仿宋" w:eastAsia="仿宋"/>
          <w:b w:val="0"/>
          <w:bCs/>
          <w:color w:val="000000"/>
          <w:sz w:val="32"/>
          <w:szCs w:val="32"/>
          <w:highlight w:val="none"/>
          <w:lang w:eastAsia="zh-CN"/>
        </w:rPr>
        <w:t>，差异为报表数据导致，</w:t>
      </w:r>
      <w:r>
        <w:rPr>
          <w:rStyle w:val="15"/>
          <w:rFonts w:hint="eastAsia" w:ascii="仿宋" w:eastAsia="仿宋"/>
          <w:b w:val="0"/>
          <w:bCs/>
          <w:color w:val="000000"/>
          <w:sz w:val="32"/>
          <w:szCs w:val="32"/>
          <w:highlight w:val="none"/>
          <w:lang w:val="en-US" w:eastAsia="zh-CN"/>
        </w:rPr>
        <w:t>2022年申请调整。</w:t>
      </w:r>
    </w:p>
    <w:p>
      <w:pPr>
        <w:spacing w:line="240" w:lineRule="auto"/>
        <w:ind w:firstLine="642" w:firstLineChars="200"/>
        <w:jc w:val="both"/>
        <w:rPr>
          <w:rStyle w:val="15"/>
          <w:rFonts w:hint="eastAsia" w:ascii="仿宋" w:hAnsi="仿宋" w:eastAsia="仿宋"/>
          <w:b w:val="0"/>
          <w:bCs/>
          <w:color w:val="000000"/>
          <w:sz w:val="32"/>
          <w:szCs w:val="32"/>
          <w:lang w:eastAsia="zh-CN"/>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公共卫生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基本公共卫生服务</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240" w:lineRule="auto"/>
        <w:ind w:firstLine="642" w:firstLineChars="200"/>
        <w:jc w:val="both"/>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8.</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公共卫生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重大公共卫生服务</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18.53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19.06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决算数小于预算数的主要原因是资金下达时间较晚，</w:t>
      </w:r>
      <w:r>
        <w:rPr>
          <w:rStyle w:val="15"/>
          <w:rFonts w:hint="eastAsia" w:ascii="仿宋" w:hAnsi="仿宋" w:eastAsia="仿宋"/>
          <w:b w:val="0"/>
          <w:bCs/>
          <w:color w:val="000000"/>
          <w:sz w:val="32"/>
          <w:szCs w:val="32"/>
          <w:lang w:eastAsia="zh-CN"/>
        </w:rPr>
        <w:t>有</w:t>
      </w:r>
      <w:r>
        <w:rPr>
          <w:rStyle w:val="15"/>
          <w:rFonts w:hint="eastAsia" w:ascii="仿宋" w:hAnsi="仿宋" w:eastAsia="仿宋"/>
          <w:b w:val="0"/>
          <w:bCs/>
          <w:color w:val="000000"/>
          <w:sz w:val="32"/>
          <w:szCs w:val="32"/>
        </w:rPr>
        <w:t>项目资金</w:t>
      </w:r>
      <w:r>
        <w:rPr>
          <w:rStyle w:val="15"/>
          <w:rFonts w:hint="eastAsia" w:ascii="仿宋" w:hAnsi="仿宋" w:eastAsia="仿宋"/>
          <w:b w:val="0"/>
          <w:bCs/>
          <w:color w:val="000000"/>
          <w:sz w:val="32"/>
          <w:szCs w:val="32"/>
          <w:lang w:eastAsia="zh-CN"/>
        </w:rPr>
        <w:t>需</w:t>
      </w:r>
      <w:r>
        <w:rPr>
          <w:rStyle w:val="15"/>
          <w:rFonts w:hint="eastAsia" w:ascii="仿宋" w:hAnsi="仿宋" w:eastAsia="仿宋"/>
          <w:b w:val="0"/>
          <w:bCs/>
          <w:color w:val="000000"/>
          <w:sz w:val="32"/>
          <w:szCs w:val="32"/>
        </w:rPr>
        <w:t>跨年度实施。</w:t>
      </w:r>
    </w:p>
    <w:p>
      <w:pPr>
        <w:spacing w:line="240" w:lineRule="auto"/>
        <w:ind w:firstLine="642" w:firstLineChars="200"/>
        <w:jc w:val="both"/>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9.</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公共卫生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其他公共卫生服务</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8385.69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98.69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。决算数小于预算数的主要原因是该科目主要核算我院纳入非税收入管理的医疗业务收支情况，结转金额主要为已发生尚未支付的药品材料、设备等款项。</w:t>
      </w:r>
    </w:p>
    <w:p>
      <w:pPr>
        <w:spacing w:line="240" w:lineRule="auto"/>
        <w:ind w:firstLine="642" w:firstLineChars="200"/>
        <w:jc w:val="both"/>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10.</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计划生育服务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其他计划生育服务支出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28.69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90.41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决算数小于预算数的主要原因是资金下达时间较晚，</w:t>
      </w:r>
      <w:r>
        <w:rPr>
          <w:rStyle w:val="15"/>
          <w:rFonts w:hint="eastAsia" w:ascii="仿宋" w:hAnsi="仿宋" w:eastAsia="仿宋"/>
          <w:b w:val="0"/>
          <w:bCs/>
          <w:color w:val="000000"/>
          <w:sz w:val="32"/>
          <w:szCs w:val="32"/>
          <w:lang w:eastAsia="zh-CN"/>
        </w:rPr>
        <w:t>有</w:t>
      </w:r>
      <w:r>
        <w:rPr>
          <w:rStyle w:val="15"/>
          <w:rFonts w:hint="eastAsia" w:ascii="仿宋" w:hAnsi="仿宋" w:eastAsia="仿宋"/>
          <w:b w:val="0"/>
          <w:bCs/>
          <w:color w:val="000000"/>
          <w:sz w:val="32"/>
          <w:szCs w:val="32"/>
        </w:rPr>
        <w:t>项目</w:t>
      </w:r>
      <w:r>
        <w:rPr>
          <w:rStyle w:val="15"/>
          <w:rFonts w:hint="eastAsia" w:ascii="仿宋" w:hAnsi="仿宋" w:eastAsia="仿宋"/>
          <w:b w:val="0"/>
          <w:bCs/>
          <w:color w:val="000000"/>
          <w:sz w:val="32"/>
          <w:szCs w:val="32"/>
          <w:lang w:eastAsia="zh-CN"/>
        </w:rPr>
        <w:t>需</w:t>
      </w:r>
      <w:r>
        <w:rPr>
          <w:rStyle w:val="15"/>
          <w:rFonts w:hint="eastAsia" w:ascii="仿宋" w:hAnsi="仿宋" w:eastAsia="仿宋"/>
          <w:b w:val="0"/>
          <w:bCs/>
          <w:color w:val="000000"/>
          <w:sz w:val="32"/>
          <w:szCs w:val="32"/>
        </w:rPr>
        <w:t>跨年度实施。</w:t>
      </w:r>
    </w:p>
    <w:p>
      <w:pPr>
        <w:pStyle w:val="2"/>
        <w:rPr>
          <w:rFonts w:hint="default" w:eastAsia="宋体"/>
          <w:lang w:val="en-US" w:eastAsia="zh-CN"/>
        </w:rPr>
      </w:pPr>
      <w:r>
        <w:rPr>
          <w:rFonts w:hint="eastAsia"/>
          <w:lang w:val="en-US" w:eastAsia="zh-CN"/>
        </w:rPr>
        <w:t xml:space="preserve">     </w:t>
      </w:r>
      <w:r>
        <w:rPr>
          <w:rFonts w:hint="eastAsia" w:ascii="仿宋" w:hAnsi="仿宋" w:eastAsia="仿宋" w:cs="仿宋"/>
          <w:b/>
          <w:bCs/>
          <w:sz w:val="32"/>
          <w:szCs w:val="32"/>
          <w:lang w:val="en-US" w:eastAsia="zh-CN"/>
        </w:rPr>
        <w:t xml:space="preserve"> 11.</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其他卫生健康支出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其他卫生健康支出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36.4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53.3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rPr>
        <w:t>决算数小于预算数的主要原因是资金下达时间较晚，</w:t>
      </w:r>
      <w:r>
        <w:rPr>
          <w:rStyle w:val="15"/>
          <w:rFonts w:hint="eastAsia" w:ascii="仿宋" w:hAnsi="仿宋" w:eastAsia="仿宋"/>
          <w:b w:val="0"/>
          <w:bCs/>
          <w:color w:val="000000"/>
          <w:sz w:val="32"/>
          <w:szCs w:val="32"/>
          <w:lang w:eastAsia="zh-CN"/>
        </w:rPr>
        <w:t>有</w:t>
      </w:r>
      <w:r>
        <w:rPr>
          <w:rStyle w:val="15"/>
          <w:rFonts w:hint="eastAsia" w:ascii="仿宋" w:hAnsi="仿宋" w:eastAsia="仿宋"/>
          <w:b w:val="0"/>
          <w:bCs/>
          <w:color w:val="000000"/>
          <w:sz w:val="32"/>
          <w:szCs w:val="32"/>
        </w:rPr>
        <w:t>项目</w:t>
      </w:r>
      <w:r>
        <w:rPr>
          <w:rStyle w:val="15"/>
          <w:rFonts w:hint="eastAsia" w:ascii="仿宋" w:hAnsi="仿宋" w:eastAsia="仿宋"/>
          <w:b w:val="0"/>
          <w:bCs/>
          <w:color w:val="000000"/>
          <w:sz w:val="32"/>
          <w:szCs w:val="32"/>
          <w:lang w:eastAsia="zh-CN"/>
        </w:rPr>
        <w:t>需</w:t>
      </w:r>
      <w:r>
        <w:rPr>
          <w:rStyle w:val="15"/>
          <w:rFonts w:hint="eastAsia" w:ascii="仿宋" w:hAnsi="仿宋" w:eastAsia="仿宋"/>
          <w:b w:val="0"/>
          <w:bCs/>
          <w:color w:val="000000"/>
          <w:sz w:val="32"/>
          <w:szCs w:val="32"/>
        </w:rPr>
        <w:t>跨年度实施。</w:t>
      </w:r>
    </w:p>
    <w:p>
      <w:pPr>
        <w:spacing w:line="240" w:lineRule="auto"/>
        <w:ind w:firstLine="642" w:firstLineChars="200"/>
        <w:jc w:val="both"/>
        <w:rPr>
          <w:rStyle w:val="15"/>
          <w:rFonts w:hint="eastAsia" w:ascii="仿宋" w:hAnsi="仿宋" w:eastAsia="仿宋"/>
          <w:b w:val="0"/>
          <w:bCs/>
          <w:color w:val="000000"/>
          <w:sz w:val="32"/>
          <w:szCs w:val="32"/>
          <w:lang w:val="en-US" w:eastAsia="zh-CN"/>
        </w:rPr>
      </w:pPr>
      <w:r>
        <w:rPr>
          <w:rFonts w:hint="eastAsia" w:ascii="仿宋" w:hAnsi="仿宋" w:eastAsia="仿宋"/>
          <w:b/>
          <w:bCs/>
          <w:color w:val="000000"/>
          <w:sz w:val="32"/>
          <w:szCs w:val="32"/>
          <w:lang w:val="en-US" w:eastAsia="zh-CN"/>
        </w:rPr>
        <w:t>12.</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中医药</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其他中医药支出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0.81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spacing w:line="240" w:lineRule="auto"/>
        <w:ind w:firstLine="642" w:firstLineChars="200"/>
        <w:jc w:val="both"/>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13.</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事业单位医疗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44.99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240" w:lineRule="auto"/>
        <w:ind w:firstLine="642" w:firstLineChars="200"/>
        <w:jc w:val="both"/>
        <w:rPr>
          <w:rFonts w:ascii="仿宋" w:hAnsi="仿宋" w:eastAsia="仿宋"/>
          <w:b/>
          <w:color w:val="auto"/>
          <w:sz w:val="32"/>
          <w:szCs w:val="32"/>
          <w:highlight w:val="none"/>
        </w:rPr>
      </w:pPr>
      <w:r>
        <w:rPr>
          <w:rFonts w:hint="eastAsia" w:ascii="仿宋" w:hAnsi="仿宋" w:eastAsia="仿宋"/>
          <w:b/>
          <w:bCs/>
          <w:color w:val="000000"/>
          <w:sz w:val="32"/>
          <w:szCs w:val="32"/>
          <w:lang w:val="en-US" w:eastAsia="zh-CN"/>
        </w:rPr>
        <w:t>14.</w:t>
      </w:r>
      <w:r>
        <w:rPr>
          <w:rFonts w:hint="eastAsia" w:ascii="仿宋" w:hAnsi="仿宋" w:eastAsia="仿宋"/>
          <w:b/>
          <w:bCs/>
          <w:color w:val="000000"/>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住房公积金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171.48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color w:val="auto"/>
          <w:highlight w:val="none"/>
        </w:rPr>
      </w:pPr>
      <w:bookmarkStart w:id="47" w:name="_Toc15396608"/>
      <w:bookmarkStart w:id="48" w:name="_Toc15377214"/>
      <w:bookmarkStart w:id="49" w:name="_Toc1693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7"/>
      <w:bookmarkEnd w:id="48"/>
      <w:bookmarkEnd w:id="49"/>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1386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1265.19</w:t>
      </w:r>
      <w:r>
        <w:rPr>
          <w:rFonts w:hint="eastAsia" w:ascii="仿宋" w:hAnsi="仿宋" w:eastAsia="仿宋"/>
          <w:color w:val="auto"/>
          <w:sz w:val="32"/>
          <w:szCs w:val="32"/>
          <w:highlight w:val="none"/>
        </w:rPr>
        <w:t>万元，主要包括：基本工资、津贴补贴、绩效工资、机关事业单位基本养老保险缴费、职业年金缴费、</w:t>
      </w:r>
      <w:r>
        <w:rPr>
          <w:rFonts w:hint="eastAsia" w:ascii="仿宋" w:hAnsi="仿宋" w:eastAsia="仿宋"/>
          <w:color w:val="auto"/>
          <w:sz w:val="32"/>
          <w:szCs w:val="32"/>
          <w:highlight w:val="none"/>
          <w:lang w:eastAsia="zh-CN"/>
        </w:rPr>
        <w:t>职工基本医疗保险缴费、</w:t>
      </w:r>
      <w:bookmarkStart w:id="137" w:name="_GoBack"/>
      <w:bookmarkEnd w:id="137"/>
      <w:r>
        <w:rPr>
          <w:rFonts w:hint="eastAsia" w:ascii="仿宋" w:hAnsi="仿宋" w:eastAsia="仿宋"/>
          <w:color w:val="auto"/>
          <w:sz w:val="32"/>
          <w:szCs w:val="32"/>
          <w:highlight w:val="none"/>
        </w:rPr>
        <w:t>其他社会保障缴费、其他工资福利支出、生活补助、住房公积金等。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120.81</w:t>
      </w:r>
      <w:r>
        <w:rPr>
          <w:rFonts w:hint="eastAsia" w:ascii="仿宋" w:hAnsi="仿宋" w:eastAsia="仿宋"/>
          <w:color w:val="auto"/>
          <w:sz w:val="32"/>
          <w:szCs w:val="32"/>
          <w:highlight w:val="none"/>
        </w:rPr>
        <w:t>万元，主要包括：办公费、水费、差旅费、培训费、公务接待费、工会经费、福利费、公务用车运行维护费、其他交通费</w:t>
      </w:r>
      <w:r>
        <w:rPr>
          <w:rFonts w:hint="eastAsia" w:ascii="仿宋" w:hAnsi="仿宋" w:eastAsia="仿宋"/>
          <w:color w:val="auto"/>
          <w:sz w:val="32"/>
          <w:szCs w:val="32"/>
          <w:highlight w:val="none"/>
          <w:lang w:eastAsia="zh-CN"/>
        </w:rPr>
        <w:t>、其他商品和服务支出</w:t>
      </w:r>
      <w:r>
        <w:rPr>
          <w:rFonts w:hint="eastAsia" w:ascii="仿宋" w:hAnsi="仿宋" w:eastAsia="仿宋"/>
          <w:color w:val="auto"/>
          <w:sz w:val="32"/>
          <w:szCs w:val="32"/>
          <w:highlight w:val="none"/>
        </w:rPr>
        <w:t>等。</w:t>
      </w:r>
    </w:p>
    <w:p>
      <w:pPr>
        <w:spacing w:line="600" w:lineRule="exact"/>
        <w:ind w:firstLine="640"/>
        <w:outlineLvl w:val="1"/>
        <w:rPr>
          <w:rStyle w:val="26"/>
          <w:rFonts w:ascii="黑体" w:hAnsi="黑体" w:eastAsia="黑体"/>
          <w:b w:val="0"/>
          <w:color w:val="auto"/>
          <w:highlight w:val="none"/>
        </w:rPr>
      </w:pPr>
      <w:bookmarkStart w:id="50" w:name="_Toc15377215"/>
      <w:bookmarkStart w:id="51" w:name="_Toc22545"/>
      <w:bookmarkStart w:id="52"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6.69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83.62</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000000"/>
          <w:sz w:val="32"/>
          <w:szCs w:val="32"/>
          <w:lang w:val="en-US" w:eastAsia="zh-CN"/>
        </w:rPr>
        <w:t>受新冠疫情影响，接待费用大幅下降</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44.84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3.69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55.16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r>
        <w:rPr>
          <w:rFonts w:ascii="宋体" w:hAnsi="宋体" w:eastAsia="宋体" w:cs="宋体"/>
          <w:sz w:val="24"/>
          <w:szCs w:val="24"/>
        </w:rPr>
        <w:drawing>
          <wp:inline distT="0" distB="0" distL="114300" distR="114300">
            <wp:extent cx="4695825" cy="2895600"/>
            <wp:effectExtent l="0" t="0" r="9525" b="0"/>
            <wp:docPr id="11" name="图片 8"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8" descr="IMG_256"/>
                    <pic:cNvPicPr>
                      <a:picLocks noChangeAspect="true"/>
                    </pic:cNvPicPr>
                  </pic:nvPicPr>
                  <pic:blipFill>
                    <a:blip r:embed="rId14"/>
                    <a:stretch>
                      <a:fillRect/>
                    </a:stretch>
                  </pic:blipFill>
                  <pic:spPr>
                    <a:xfrm>
                      <a:off x="0" y="0"/>
                      <a:ext cx="4695825" cy="2895600"/>
                    </a:xfrm>
                    <a:prstGeom prst="rect">
                      <a:avLst/>
                    </a:prstGeom>
                    <a:noFill/>
                    <a:ln w="9525">
                      <a:noFill/>
                    </a:ln>
                  </pic:spPr>
                </pic:pic>
              </a:graphicData>
            </a:graphic>
          </wp:inline>
        </w:drawing>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lang w:eastAsia="zh-CN"/>
        </w:rPr>
        <w:t>年初未安排预算，</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10.07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73.5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lang w:val="en-US" w:eastAsia="zh-CN"/>
        </w:rPr>
        <w:t>2020年</w:t>
      </w:r>
      <w:r>
        <w:rPr>
          <w:rFonts w:hint="eastAsia" w:ascii="仿宋" w:hAnsi="仿宋" w:eastAsia="仿宋"/>
          <w:color w:val="000000"/>
          <w:sz w:val="32"/>
          <w:szCs w:val="32"/>
          <w:lang w:eastAsia="zh-CN"/>
        </w:rPr>
        <w:t>决算编制时，医院公务用车和</w:t>
      </w:r>
      <w:r>
        <w:rPr>
          <w:rFonts w:hint="eastAsia" w:ascii="仿宋" w:hAnsi="仿宋" w:eastAsia="仿宋"/>
          <w:color w:val="000000"/>
          <w:sz w:val="32"/>
          <w:szCs w:val="32"/>
          <w:lang w:val="en-US" w:eastAsia="zh-CN"/>
        </w:rPr>
        <w:t>4辆救护车维护费归集口径不一致造成偏差，本年度费用归集正常</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b/>
          <w:color w:val="auto"/>
          <w:sz w:val="32"/>
          <w:szCs w:val="32"/>
          <w:highlight w:val="none"/>
          <w:lang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2020年无变化。</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rPr>
        <w:t>公共卫生服务检查与督导、健康教育宣传、基本公共卫生服务重大公共卫生服务</w:t>
      </w:r>
      <w:r>
        <w:rPr>
          <w:rFonts w:hint="eastAsia" w:ascii="仿宋_GB2312" w:eastAsia="仿宋_GB2312"/>
          <w:color w:val="000000"/>
          <w:sz w:val="32"/>
          <w:szCs w:val="32"/>
          <w:lang w:eastAsia="zh-CN"/>
        </w:rPr>
        <w:t>、</w:t>
      </w:r>
      <w:r>
        <w:rPr>
          <w:rFonts w:hint="eastAsia" w:ascii="仿宋_GB2312" w:eastAsia="仿宋_GB2312"/>
          <w:color w:val="000000"/>
          <w:sz w:val="32"/>
          <w:szCs w:val="32"/>
        </w:rPr>
        <w:t>妇幼保健机构</w:t>
      </w:r>
      <w:r>
        <w:rPr>
          <w:rFonts w:hint="eastAsia" w:ascii="仿宋_GB2312" w:eastAsia="仿宋_GB2312"/>
          <w:color w:val="auto"/>
          <w:sz w:val="32"/>
          <w:szCs w:val="32"/>
          <w:highlight w:val="none"/>
        </w:rPr>
        <w:t>等所需的公务用车燃料费、维修费、过路过桥费、保险费等支出</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2020年</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73.5</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jc w:val="both"/>
        <w:rPr>
          <w:rFonts w:ascii="仿宋" w:hAnsi="仿宋" w:eastAsia="仿宋"/>
          <w:color w:val="000000"/>
          <w:sz w:val="32"/>
          <w:szCs w:val="32"/>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3.69</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73.8</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2.19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146</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2020年接待费1.5万元基数较小，2021业务逐渐恢复，要接待为爱婴医院复查、指导县区爱婴医院管理、外市妇幼保健院来院参观学习等</w:t>
      </w:r>
      <w:r>
        <w:rPr>
          <w:rFonts w:hint="eastAsia" w:ascii="仿宋" w:hAnsi="仿宋" w:eastAsia="仿宋"/>
          <w:color w:val="000000"/>
          <w:sz w:val="32"/>
          <w:szCs w:val="32"/>
        </w:rPr>
        <w:t>。其中：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hint="eastAsia" w:ascii="仿宋" w:hAnsi="仿宋" w:eastAsia="仿宋"/>
          <w:color w:val="000000"/>
          <w:sz w:val="32"/>
          <w:szCs w:val="32"/>
          <w:lang w:val="en-US" w:eastAsia="zh-CN"/>
        </w:rPr>
        <w:t>3.69</w:t>
      </w:r>
      <w:r>
        <w:rPr>
          <w:rFonts w:hint="eastAsia" w:ascii="仿宋" w:hAnsi="仿宋" w:eastAsia="仿宋"/>
          <w:color w:val="000000"/>
          <w:sz w:val="32"/>
          <w:szCs w:val="32"/>
        </w:rPr>
        <w:t>万元，主要用于开展业务活动开支的</w:t>
      </w:r>
      <w:r>
        <w:rPr>
          <w:rFonts w:hint="eastAsia" w:ascii="仿宋" w:hAnsi="仿宋" w:eastAsia="仿宋"/>
          <w:color w:val="000000"/>
          <w:sz w:val="32"/>
          <w:szCs w:val="32"/>
          <w:lang w:eastAsia="zh-CN"/>
        </w:rPr>
        <w:t>接待费</w:t>
      </w:r>
      <w:r>
        <w:rPr>
          <w:rFonts w:hint="eastAsia" w:ascii="仿宋" w:hAnsi="仿宋" w:eastAsia="仿宋"/>
          <w:color w:val="000000"/>
          <w:sz w:val="32"/>
          <w:szCs w:val="32"/>
        </w:rPr>
        <w:t>。国内公务接待</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246</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3.69</w:t>
      </w:r>
      <w:r>
        <w:rPr>
          <w:rFonts w:hint="eastAsia" w:ascii="仿宋" w:hAnsi="仿宋" w:eastAsia="仿宋"/>
          <w:color w:val="000000"/>
          <w:sz w:val="32"/>
          <w:szCs w:val="32"/>
        </w:rPr>
        <w:t>万元，具体内容包括：</w:t>
      </w:r>
      <w:r>
        <w:rPr>
          <w:rFonts w:hint="eastAsia" w:ascii="仿宋_GB2312" w:eastAsia="仿宋_GB2312"/>
          <w:color w:val="000000"/>
          <w:sz w:val="32"/>
          <w:szCs w:val="32"/>
          <w:lang w:eastAsia="zh-CN"/>
        </w:rPr>
        <w:t>妇幼保健健康促进工作、</w:t>
      </w:r>
      <w:r>
        <w:rPr>
          <w:rFonts w:hint="eastAsia" w:ascii="仿宋" w:hAnsi="仿宋" w:eastAsia="仿宋"/>
          <w:color w:val="000000"/>
          <w:sz w:val="32"/>
          <w:szCs w:val="32"/>
          <w:lang w:val="en-US" w:eastAsia="zh-CN"/>
        </w:rPr>
        <w:t>爱婴医院复查、指导县区爱婴医院管理</w:t>
      </w:r>
      <w:r>
        <w:rPr>
          <w:rFonts w:hint="eastAsia" w:ascii="仿宋_GB2312" w:eastAsia="仿宋_GB2312"/>
          <w:color w:val="000000"/>
          <w:sz w:val="32"/>
          <w:szCs w:val="32"/>
          <w:lang w:eastAsia="zh-CN"/>
        </w:rPr>
        <w:t>以及妇幼系统</w:t>
      </w:r>
      <w:r>
        <w:rPr>
          <w:rFonts w:hint="eastAsia" w:ascii="仿宋_GB2312" w:eastAsia="仿宋_GB2312"/>
          <w:color w:val="000000"/>
          <w:sz w:val="32"/>
          <w:szCs w:val="32"/>
        </w:rPr>
        <w:t>单位来广调研、指导、考核、督查督办、学习交流所发生的接待支出</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spacing w:line="600" w:lineRule="exact"/>
        <w:ind w:firstLine="640"/>
        <w:outlineLvl w:val="1"/>
        <w:rPr>
          <w:rStyle w:val="26"/>
          <w:rFonts w:ascii="黑体" w:hAnsi="黑体" w:eastAsia="黑体"/>
          <w:color w:val="auto"/>
          <w:highlight w:val="none"/>
        </w:rPr>
      </w:pPr>
      <w:bookmarkStart w:id="55" w:name="_Toc15377218"/>
      <w:bookmarkStart w:id="56" w:name="_Toc25426"/>
      <w:bookmarkStart w:id="57" w:name="_Toc15396610"/>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5"/>
      <w:bookmarkEnd w:id="56"/>
      <w:bookmarkEnd w:id="57"/>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2"/>
        <w:ind w:firstLine="640" w:firstLineChars="200"/>
      </w:pPr>
      <w:r>
        <w:rPr>
          <w:rFonts w:hint="eastAsia" w:ascii="仿宋" w:hAnsi="Times New Roman" w:eastAsia="仿宋" w:cs="Times New Roman"/>
          <w:color w:val="000000"/>
          <w:sz w:val="32"/>
          <w:szCs w:val="32"/>
        </w:rPr>
        <w:t>202</w:t>
      </w:r>
      <w:r>
        <w:rPr>
          <w:rFonts w:hint="eastAsia" w:ascii="仿宋" w:hAnsi="Times New Roman" w:eastAsia="仿宋" w:cs="Times New Roman"/>
          <w:color w:val="000000"/>
          <w:sz w:val="32"/>
          <w:szCs w:val="32"/>
          <w:lang w:val="en-US" w:eastAsia="zh-CN"/>
        </w:rPr>
        <w:t>1</w:t>
      </w:r>
      <w:r>
        <w:rPr>
          <w:rFonts w:hint="eastAsia" w:ascii="仿宋" w:hAnsi="Times New Roman" w:eastAsia="仿宋" w:cs="Times New Roman"/>
          <w:color w:val="000000"/>
          <w:sz w:val="32"/>
          <w:szCs w:val="32"/>
        </w:rPr>
        <w:t>年</w:t>
      </w:r>
      <w:r>
        <w:rPr>
          <w:rFonts w:hint="eastAsia" w:ascii="仿宋" w:hAnsi="Times New Roman" w:eastAsia="仿宋" w:cs="Times New Roman"/>
          <w:color w:val="000000"/>
          <w:sz w:val="32"/>
          <w:szCs w:val="32"/>
          <w:lang w:eastAsia="zh-CN"/>
        </w:rPr>
        <w:t>本单位</w:t>
      </w:r>
      <w:r>
        <w:rPr>
          <w:rFonts w:hint="eastAsia" w:ascii="仿宋" w:hAnsi="Times New Roman" w:eastAsia="仿宋" w:cs="Times New Roman"/>
          <w:color w:val="000000"/>
          <w:sz w:val="32"/>
          <w:szCs w:val="32"/>
        </w:rPr>
        <w:t>未在政府性基金预算拨款安排“三公经</w:t>
      </w:r>
      <w:r>
        <w:rPr>
          <w:rFonts w:hint="eastAsia" w:ascii="仿宋" w:eastAsia="仿宋"/>
          <w:color w:val="000000"/>
          <w:sz w:val="32"/>
          <w:szCs w:val="32"/>
        </w:rPr>
        <w:t>费”支出。</w:t>
      </w:r>
    </w:p>
    <w:p>
      <w:pPr>
        <w:numPr>
          <w:ilvl w:val="0"/>
          <w:numId w:val="2"/>
        </w:numPr>
        <w:spacing w:line="600" w:lineRule="exact"/>
        <w:ind w:firstLine="640"/>
        <w:outlineLvl w:val="1"/>
        <w:rPr>
          <w:rStyle w:val="26"/>
          <w:rFonts w:ascii="黑体" w:hAnsi="黑体" w:eastAsia="黑体"/>
          <w:b w:val="0"/>
          <w:color w:val="auto"/>
          <w:highlight w:val="none"/>
        </w:rPr>
      </w:pPr>
      <w:bookmarkStart w:id="58" w:name="_Toc15396611"/>
      <w:bookmarkStart w:id="59" w:name="_Toc15377219"/>
      <w:bookmarkStart w:id="60" w:name="_Toc25635"/>
      <w:r>
        <w:rPr>
          <w:rStyle w:val="26"/>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6"/>
          <w:rFonts w:hint="eastAsia" w:ascii="黑体" w:hAnsi="黑体" w:eastAsia="黑体"/>
          <w:b w:val="0"/>
          <w:color w:val="auto"/>
          <w:highlight w:val="none"/>
        </w:rPr>
      </w:pPr>
      <w:bookmarkStart w:id="61" w:name="_Toc7585"/>
      <w:bookmarkStart w:id="62" w:name="_Toc15377221"/>
      <w:bookmarkStart w:id="63" w:name="_Toc15396612"/>
      <w:r>
        <w:rPr>
          <w:rStyle w:val="26"/>
          <w:rFonts w:hint="eastAsia" w:ascii="黑体" w:hAnsi="黑体" w:eastAsia="黑体"/>
          <w:b w:val="0"/>
          <w:color w:val="auto"/>
          <w:highlight w:val="none"/>
          <w:lang w:val="en-US" w:eastAsia="zh-CN"/>
        </w:rPr>
        <w:t>预算绩效管理情况</w:t>
      </w:r>
      <w:bookmarkEnd w:id="61"/>
    </w:p>
    <w:p>
      <w:pPr>
        <w:spacing w:line="58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 w:hAnsi="仿宋" w:eastAsia="仿宋"/>
          <w:color w:val="000000"/>
          <w:sz w:val="32"/>
          <w:szCs w:val="32"/>
        </w:rPr>
        <w:t>根据预算绩效管理要求，</w:t>
      </w:r>
      <w:r>
        <w:rPr>
          <w:rFonts w:hint="eastAsia" w:ascii="仿宋" w:hAnsi="仿宋" w:eastAsia="仿宋"/>
          <w:color w:val="000000"/>
          <w:sz w:val="32"/>
          <w:szCs w:val="32"/>
          <w:lang w:eastAsia="zh-CN"/>
        </w:rPr>
        <w:t>我院</w:t>
      </w:r>
      <w:r>
        <w:rPr>
          <w:rFonts w:hint="eastAsia" w:ascii="仿宋" w:hAnsi="仿宋" w:eastAsia="仿宋"/>
          <w:color w:val="000000"/>
          <w:sz w:val="32"/>
          <w:szCs w:val="32"/>
        </w:rPr>
        <w:t>在年初预算编制阶段，组织对</w:t>
      </w:r>
      <w:r>
        <w:rPr>
          <w:rFonts w:hint="eastAsia" w:ascii="仿宋" w:hAnsi="仿宋" w:eastAsia="仿宋"/>
          <w:color w:val="000000"/>
          <w:sz w:val="32"/>
          <w:szCs w:val="32"/>
          <w:lang w:eastAsia="zh-CN"/>
        </w:rPr>
        <w:t>非税收入征收成本、医疗设备采购、物业管理费等</w:t>
      </w:r>
      <w:r>
        <w:rPr>
          <w:rFonts w:hint="eastAsia" w:ascii="仿宋" w:hAnsi="仿宋" w:eastAsia="仿宋"/>
          <w:color w:val="000000"/>
          <w:sz w:val="32"/>
          <w:szCs w:val="32"/>
        </w:rPr>
        <w:t>项目开展了预算事前绩效评估，对</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个项目开展了绩效目标完成情况自评。</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6"/>
          <w:rFonts w:hint="eastAsia" w:ascii="黑体" w:hAnsi="黑体" w:eastAsia="黑体"/>
          <w:b w:val="0"/>
          <w:color w:val="auto"/>
          <w:highlight w:val="none"/>
        </w:rPr>
      </w:pPr>
      <w:bookmarkStart w:id="64" w:name="_Toc4678"/>
      <w:r>
        <w:rPr>
          <w:rStyle w:val="26"/>
          <w:rFonts w:hint="eastAsia" w:ascii="黑体" w:hAnsi="黑体" w:eastAsia="黑体"/>
          <w:b w:val="0"/>
          <w:color w:val="auto"/>
          <w:highlight w:val="none"/>
        </w:rPr>
        <w:t>其他重要事项的情况说明</w:t>
      </w:r>
      <w:bookmarkEnd w:id="62"/>
      <w:bookmarkEnd w:id="63"/>
      <w:bookmarkEnd w:id="64"/>
    </w:p>
    <w:p>
      <w:pPr>
        <w:spacing w:line="600" w:lineRule="exact"/>
        <w:ind w:firstLine="642"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eastAsia="仿宋_GB2312"/>
          <w:color w:val="auto"/>
          <w:sz w:val="32"/>
          <w:szCs w:val="32"/>
          <w:highlight w:val="none"/>
          <w:lang w:eastAsia="zh-CN"/>
        </w:rPr>
      </w:pPr>
      <w:bookmarkStart w:id="66" w:name="_Toc15377223"/>
      <w:r>
        <w:rPr>
          <w:rFonts w:hint="eastAsia" w:ascii="仿宋_GB2312" w:eastAsia="仿宋_GB2312"/>
          <w:color w:val="auto"/>
          <w:sz w:val="32"/>
          <w:szCs w:val="32"/>
          <w:highlight w:val="none"/>
        </w:rPr>
        <w:t>2021年未发生机关运行经费支出，与2020年决算数持平</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广元市妇幼保健院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384.06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42.62</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341.44</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w:t>
      </w:r>
      <w:r>
        <w:rPr>
          <w:rFonts w:hint="eastAsia" w:ascii="仿宋" w:hAnsi="仿宋" w:eastAsia="仿宋"/>
          <w:color w:val="000000"/>
          <w:sz w:val="32"/>
          <w:szCs w:val="32"/>
          <w:lang w:eastAsia="zh-CN"/>
        </w:rPr>
        <w:t>医疗设备购置、支付发热门诊工程项目以及支付物业管理费等采购项目</w:t>
      </w:r>
      <w:r>
        <w:rPr>
          <w:rFonts w:hint="eastAsia" w:ascii="仿宋" w:hAnsi="仿宋" w:eastAsia="仿宋"/>
          <w:color w:val="000000"/>
          <w:sz w:val="32"/>
          <w:szCs w:val="32"/>
        </w:rPr>
        <w:t>。</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384.06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384.06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both"/>
        <w:rPr>
          <w:rFonts w:hint="eastAsia" w:ascii="仿宋" w:hAnsi="仿宋" w:eastAsia="仿宋"/>
          <w:b/>
          <w:color w:val="FF0000"/>
          <w:sz w:val="32"/>
          <w:szCs w:val="32"/>
          <w:lang w:val="en-US" w:eastAsia="zh-CN"/>
        </w:rPr>
      </w:pPr>
      <w:r>
        <w:rPr>
          <w:rFonts w:hint="eastAsia" w:ascii="仿宋" w:hAnsi="仿宋" w:eastAsia="仿宋"/>
          <w:color w:val="000000"/>
          <w:sz w:val="32"/>
          <w:szCs w:val="32"/>
          <w:highlight w:val="none"/>
        </w:rPr>
        <w:t>截至</w:t>
      </w:r>
      <w:r>
        <w:rPr>
          <w:rFonts w:ascii="仿宋" w:hAnsi="仿宋" w:eastAsia="仿宋"/>
          <w:color w:val="000000"/>
          <w:sz w:val="32"/>
          <w:szCs w:val="32"/>
          <w:highlight w:val="none"/>
        </w:rPr>
        <w:t>202</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rPr>
        <w:t>年</w:t>
      </w:r>
      <w:r>
        <w:rPr>
          <w:rFonts w:ascii="仿宋" w:hAnsi="仿宋" w:eastAsia="仿宋"/>
          <w:color w:val="000000"/>
          <w:sz w:val="32"/>
          <w:szCs w:val="32"/>
          <w:highlight w:val="none"/>
        </w:rPr>
        <w:t>12</w:t>
      </w:r>
      <w:r>
        <w:rPr>
          <w:rFonts w:hint="eastAsia" w:ascii="仿宋" w:hAnsi="仿宋" w:eastAsia="仿宋"/>
          <w:color w:val="000000"/>
          <w:sz w:val="32"/>
          <w:szCs w:val="32"/>
          <w:highlight w:val="none"/>
        </w:rPr>
        <w:t>月</w:t>
      </w:r>
      <w:r>
        <w:rPr>
          <w:rFonts w:ascii="仿宋" w:hAnsi="仿宋" w:eastAsia="仿宋"/>
          <w:color w:val="000000"/>
          <w:sz w:val="32"/>
          <w:szCs w:val="32"/>
          <w:highlight w:val="none"/>
        </w:rPr>
        <w:t>31</w:t>
      </w:r>
      <w:r>
        <w:rPr>
          <w:rFonts w:hint="eastAsia" w:ascii="仿宋" w:hAnsi="仿宋" w:eastAsia="仿宋"/>
          <w:color w:val="000000"/>
          <w:sz w:val="32"/>
          <w:szCs w:val="32"/>
          <w:highlight w:val="none"/>
        </w:rPr>
        <w:t>日</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辆，其中：其他用车</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主要是用于</w:t>
      </w:r>
      <w:r>
        <w:rPr>
          <w:rFonts w:hint="eastAsia" w:ascii="仿宋" w:hAnsi="仿宋" w:eastAsia="仿宋"/>
          <w:color w:val="000000"/>
          <w:sz w:val="32"/>
          <w:szCs w:val="32"/>
          <w:lang w:eastAsia="zh-CN"/>
        </w:rPr>
        <w:t>公共卫生项目和急诊急救；</w:t>
      </w:r>
      <w:r>
        <w:rPr>
          <w:rFonts w:hint="eastAsia" w:ascii="仿宋" w:hAnsi="仿宋" w:eastAsia="仿宋"/>
          <w:color w:val="000000"/>
          <w:sz w:val="32"/>
          <w:szCs w:val="32"/>
        </w:rPr>
        <w:t>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台，单价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台。</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68" w:name="_Toc4651"/>
      <w:bookmarkStart w:id="69" w:name="_Toc15396613"/>
      <w:bookmarkStart w:id="7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68"/>
      <w:bookmarkEnd w:id="69"/>
      <w:bookmarkEnd w:id="70"/>
    </w:p>
    <w:p>
      <w:pPr>
        <w:spacing w:line="600" w:lineRule="exact"/>
        <w:jc w:val="both"/>
        <w:rPr>
          <w:rFonts w:ascii="宋体"/>
          <w:b/>
          <w:color w:val="000000"/>
          <w:sz w:val="44"/>
          <w:szCs w:val="44"/>
        </w:rPr>
      </w:pPr>
    </w:p>
    <w:p>
      <w:pPr>
        <w:pStyle w:val="23"/>
        <w:spacing w:line="560" w:lineRule="exact"/>
        <w:ind w:firstLine="640" w:firstLineChars="200"/>
        <w:jc w:val="both"/>
        <w:outlineLvl w:val="1"/>
        <w:rPr>
          <w:rFonts w:ascii="仿宋_GB2312" w:hAnsi="仿宋_GB2312" w:eastAsia="仿宋_GB2312" w:cs="仿宋_GB2312"/>
          <w:color w:val="auto"/>
          <w:kern w:val="2"/>
          <w:sz w:val="32"/>
          <w:szCs w:val="32"/>
        </w:rPr>
      </w:pPr>
      <w:bookmarkStart w:id="71" w:name="_Toc30064"/>
      <w:r>
        <w:rPr>
          <w:rFonts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rPr>
        <w:t>财政拨款收入：指单位从同级财政部门取得的财政预算资金。</w:t>
      </w:r>
      <w:bookmarkEnd w:id="71"/>
    </w:p>
    <w:p>
      <w:pPr>
        <w:pStyle w:val="23"/>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年初结转和结余：指以前年度尚未完成、结转到本年按有关规定继续使用的资金。</w:t>
      </w:r>
    </w:p>
    <w:p>
      <w:pPr>
        <w:pStyle w:val="23"/>
        <w:spacing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年末结转和结余：指单位按有关规定结转到下年或以后年度继续使用的资金。</w:t>
      </w:r>
    </w:p>
    <w:p>
      <w:pPr>
        <w:pStyle w:val="23"/>
        <w:spacing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人力资源和社会保障管理事务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其他人力资源和社会保障管理事务</w:t>
      </w:r>
      <w:r>
        <w:rPr>
          <w:rFonts w:hint="eastAsia" w:ascii="仿宋_GB2312" w:hAnsi="仿宋_GB2312" w:eastAsia="仿宋_GB2312" w:cs="仿宋_GB2312"/>
          <w:sz w:val="32"/>
          <w:szCs w:val="32"/>
        </w:rPr>
        <w:t>（项）2080</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w:t>
      </w:r>
      <w:r>
        <w:rPr>
          <w:rFonts w:hint="eastAsia" w:ascii="仿宋_GB2312" w:eastAsia="仿宋_GB2312" w:cs="仿宋_GB2312"/>
          <w:sz w:val="32"/>
          <w:szCs w:val="32"/>
          <w:lang w:bidi="ar-SA"/>
        </w:rPr>
        <w:t>指反映</w:t>
      </w:r>
      <w:r>
        <w:rPr>
          <w:rFonts w:hint="eastAsia" w:ascii="仿宋_GB2312" w:eastAsia="仿宋_GB2312" w:cs="仿宋_GB2312"/>
          <w:sz w:val="32"/>
          <w:szCs w:val="32"/>
          <w:lang w:eastAsia="zh-CN" w:bidi="ar-SA"/>
        </w:rPr>
        <w:t>除上述项目以外其他用于人力资源和社会保障管理事务方面的</w:t>
      </w:r>
      <w:r>
        <w:rPr>
          <w:rFonts w:hint="eastAsia" w:ascii="仿宋_GB2312" w:eastAsia="仿宋_GB2312" w:cs="仿宋_GB2312"/>
          <w:sz w:val="32"/>
          <w:szCs w:val="32"/>
          <w:lang w:bidi="ar-SA"/>
        </w:rPr>
        <w:t>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社会保障和就业支出（类）行政事业单位离退休（款）机关事业单位基本养老保险缴费支出（项）2080505：指反映机关事业单位实施养老保险制度由单位缴纳的基本养老保险费支出。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社会保障和就业支出（类）行政事业单位离退休（款）机关事业单位职业年金缴费支出（项）2080506：指反映机关事业单位实施养老保险制度由单位实际缴纳的职业年金支出。</w:t>
      </w:r>
    </w:p>
    <w:p>
      <w:pPr>
        <w:ind w:firstLine="640" w:firstLineChars="200"/>
        <w:rPr>
          <w:rFonts w:hint="eastAsia" w:ascii="仿宋_GB2312" w:eastAsia="仿宋_GB2312" w:cs="仿宋_GB2312"/>
          <w:sz w:val="32"/>
          <w:szCs w:val="32"/>
          <w:lang w:bidi="ar-SA"/>
        </w:rPr>
      </w:pP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w:t>
      </w:r>
      <w:r>
        <w:rPr>
          <w:rFonts w:hint="eastAsia" w:ascii="仿宋_GB2312" w:eastAsia="仿宋_GB2312" w:cs="仿宋_GB2312"/>
          <w:sz w:val="32"/>
          <w:szCs w:val="32"/>
          <w:lang w:bidi="ar-SA"/>
        </w:rPr>
        <w:t>社会保障和就业支出（类）</w:t>
      </w:r>
      <w:r>
        <w:rPr>
          <w:rFonts w:hint="eastAsia" w:ascii="仿宋_GB2312" w:eastAsia="仿宋_GB2312" w:cs="仿宋_GB2312"/>
          <w:sz w:val="32"/>
          <w:szCs w:val="32"/>
          <w:lang w:eastAsia="zh-CN" w:bidi="ar-SA"/>
        </w:rPr>
        <w:t>其他</w:t>
      </w:r>
      <w:r>
        <w:rPr>
          <w:rFonts w:hint="eastAsia" w:ascii="仿宋_GB2312" w:eastAsia="仿宋_GB2312" w:cs="仿宋_GB2312"/>
          <w:sz w:val="32"/>
          <w:szCs w:val="32"/>
          <w:lang w:bidi="ar-SA"/>
        </w:rPr>
        <w:t>社会保障和就业支出（款）</w:t>
      </w:r>
      <w:r>
        <w:rPr>
          <w:rFonts w:hint="eastAsia" w:ascii="仿宋_GB2312" w:eastAsia="仿宋_GB2312" w:cs="仿宋_GB2312"/>
          <w:sz w:val="32"/>
          <w:szCs w:val="32"/>
          <w:lang w:eastAsia="zh-CN" w:bidi="ar-SA"/>
        </w:rPr>
        <w:t>其他</w:t>
      </w:r>
      <w:r>
        <w:rPr>
          <w:rFonts w:hint="eastAsia" w:ascii="仿宋_GB2312" w:eastAsia="仿宋_GB2312" w:cs="仿宋_GB2312"/>
          <w:sz w:val="32"/>
          <w:szCs w:val="32"/>
          <w:lang w:bidi="ar-SA"/>
        </w:rPr>
        <w:t>社会保障和就业支出（项）208</w:t>
      </w:r>
      <w:r>
        <w:rPr>
          <w:rFonts w:hint="eastAsia" w:ascii="仿宋_GB2312" w:eastAsia="仿宋_GB2312" w:cs="仿宋_GB2312"/>
          <w:sz w:val="32"/>
          <w:szCs w:val="32"/>
          <w:lang w:val="en-US" w:eastAsia="zh-CN" w:bidi="ar-SA"/>
        </w:rPr>
        <w:t>99</w:t>
      </w:r>
      <w:r>
        <w:rPr>
          <w:rFonts w:hint="eastAsia" w:ascii="仿宋_GB2312" w:eastAsia="仿宋_GB2312" w:cs="仿宋_GB2312"/>
          <w:sz w:val="32"/>
          <w:szCs w:val="32"/>
          <w:lang w:bidi="ar-SA"/>
        </w:rPr>
        <w:t>99：指反映除上述项目以外其他用于社会保障和就业</w:t>
      </w:r>
      <w:r>
        <w:rPr>
          <w:rFonts w:hint="eastAsia" w:ascii="仿宋_GB2312" w:eastAsia="仿宋_GB2312" w:cs="仿宋_GB2312"/>
          <w:sz w:val="32"/>
          <w:szCs w:val="32"/>
          <w:lang w:eastAsia="zh-CN" w:bidi="ar-SA"/>
        </w:rPr>
        <w:t>方面</w:t>
      </w:r>
      <w:r>
        <w:rPr>
          <w:rFonts w:hint="eastAsia" w:ascii="仿宋_GB2312" w:eastAsia="仿宋_GB2312" w:cs="仿宋_GB2312"/>
          <w:sz w:val="32"/>
          <w:szCs w:val="32"/>
          <w:lang w:bidi="ar-SA"/>
        </w:rPr>
        <w:t>的支出。</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8.</w:t>
      </w:r>
      <w:r>
        <w:rPr>
          <w:rFonts w:hint="eastAsia" w:ascii="仿宋_GB2312" w:eastAsia="仿宋_GB2312" w:cs="仿宋_GB2312"/>
          <w:sz w:val="32"/>
          <w:szCs w:val="32"/>
          <w:lang w:bidi="ar-SA"/>
        </w:rPr>
        <w:t>卫生健康支出</w:t>
      </w:r>
      <w:r>
        <w:rPr>
          <w:rFonts w:hint="eastAsia" w:ascii="仿宋_GB2312" w:eastAsia="仿宋_GB2312" w:cs="仿宋_GB2312"/>
          <w:color w:val="000000"/>
          <w:sz w:val="32"/>
          <w:szCs w:val="32"/>
          <w:lang w:bidi="ar-SA"/>
        </w:rPr>
        <w:t>（类）公立医院（款）其他公立医院支出（项）2100299：指反映除上述项目以外的其他用于公立医院方面的支出。</w:t>
      </w:r>
    </w:p>
    <w:p>
      <w:pPr>
        <w:pStyle w:val="2"/>
        <w:rPr>
          <w:rFonts w:hint="default" w:eastAsia="仿宋_GB2312"/>
          <w:lang w:val="en-US" w:eastAsia="zh-CN"/>
        </w:rPr>
      </w:pPr>
      <w:r>
        <w:rPr>
          <w:rFonts w:hint="eastAsia" w:ascii="仿宋_GB2312" w:eastAsia="仿宋_GB2312" w:cs="仿宋_GB2312"/>
          <w:sz w:val="32"/>
          <w:szCs w:val="32"/>
          <w:lang w:val="en-US" w:eastAsia="zh-CN" w:bidi="ar-SA"/>
        </w:rPr>
        <w:t xml:space="preserve">    9.</w:t>
      </w:r>
      <w:r>
        <w:rPr>
          <w:rFonts w:hint="eastAsia" w:ascii="仿宋_GB2312" w:eastAsia="仿宋_GB2312" w:cs="仿宋_GB2312"/>
          <w:sz w:val="32"/>
          <w:szCs w:val="32"/>
          <w:lang w:bidi="ar-SA"/>
        </w:rPr>
        <w:t>卫生健康支出（类）其他卫生健康支出（款）其他卫生健康支出（项）21099</w:t>
      </w:r>
      <w:r>
        <w:rPr>
          <w:rFonts w:hint="eastAsia" w:ascii="仿宋_GB2312" w:eastAsia="仿宋_GB2312" w:cs="仿宋_GB2312"/>
          <w:sz w:val="32"/>
          <w:szCs w:val="32"/>
          <w:lang w:val="en-US" w:eastAsia="zh-CN" w:bidi="ar-SA"/>
        </w:rPr>
        <w:t>99</w:t>
      </w:r>
      <w:r>
        <w:rPr>
          <w:rFonts w:hint="eastAsia" w:ascii="仿宋_GB2312" w:eastAsia="仿宋_GB2312" w:cs="仿宋_GB2312"/>
          <w:sz w:val="32"/>
          <w:szCs w:val="32"/>
          <w:lang w:bidi="ar-SA"/>
        </w:rPr>
        <w:t>：指反映除上述项目以外其他用于卫生健康方面的支出。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.卫生健康支出（类）公共卫生（款）妇幼保健机构（项）2100403：指反映卫生健康部门所属妇幼保健机构的支出。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.卫生健康支出（类）公共卫生（款）基本公共卫生服务（项）2100408：指反映基本公共卫生服务的支出。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.卫生健康支出（类）公共卫生（款）重大公共卫生专项（项）2100409：指反映重大疾病预防控制等重大公共卫生服务项目支出。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.卫生健康支出（类）公共卫生（款）其他公共卫生支出（项）2100499：指反映除上述项目以外的其他用于公共卫生方面的支出。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.卫生健康支出（类）中医药（款）其他中医药支出（项）2100699：指反映除中医（民族医）药专项支出以外的其他中医药支出。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.卫生健康支出（类）计划生育事务（款）其他计划生育事务支出（项）2100799：指反映除上述项目以外其他用于计划生育管理事务方面的支出。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卫生健康支出（类）行政事业单位医疗（款）事业单位医疗（项）2101102：指反映财政部门安排的事业单位基本医疗保险缴费经费，未参加医疗保险的事业单位的公费医疗经费，按国家规定享受离休人员待遇的医疗经费。</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.住房保障支出（类）住房改革支出（款）住房公积金（项）2210201：指反映行政事业单位按人力资源和社会保障部、财政部规定的基本工资和津贴补贴以及规定比例为职工缴纳的住房公积金。</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p>
    <w:p>
      <w:pPr>
        <w:pStyle w:val="23"/>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20</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color w:val="auto"/>
          <w:highlight w:val="none"/>
        </w:rPr>
      </w:pPr>
      <w:r>
        <w:rPr>
          <w:rFonts w:hint="eastAsia" w:ascii="仿宋_GB2312" w:hAnsi="仿宋_GB2312" w:eastAsia="仿宋_GB2312" w:cs="仿宋_GB2312"/>
          <w:color w:val="auto"/>
          <w:kern w:val="2"/>
          <w:sz w:val="32"/>
          <w:szCs w:val="32"/>
          <w:lang w:val="en-US" w:eastAsia="zh-CN"/>
        </w:rPr>
        <w:t xml:space="preserve">  </w:t>
      </w:r>
      <w:r>
        <w:rPr>
          <w:rFonts w:ascii="宋体"/>
          <w:b/>
          <w:color w:val="000000"/>
          <w:sz w:val="44"/>
          <w:szCs w:val="44"/>
        </w:rPr>
        <w:br w:type="page"/>
      </w:r>
      <w:bookmarkStart w:id="72" w:name="_Toc15396614"/>
      <w:bookmarkStart w:id="73" w:name="_Toc28022"/>
      <w:bookmarkStart w:id="74" w:name="_Toc15377226"/>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72"/>
      <w:bookmarkEnd w:id="73"/>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jc w:val="center"/>
        <w:rPr>
          <w:rFonts w:hint="eastAsia" w:ascii="方正小标宋简体" w:hAnsi="方正小标宋简体" w:eastAsia="方正小标宋简体" w:cs="方正小标宋简体"/>
          <w:sz w:val="40"/>
          <w:szCs w:val="40"/>
          <w:lang w:val="zh-CN" w:eastAsia="zh-CN"/>
        </w:rPr>
      </w:pPr>
      <w:bookmarkStart w:id="75" w:name="_Toc8629"/>
      <w:bookmarkStart w:id="76" w:name="_Toc21006"/>
      <w:bookmarkStart w:id="77" w:name="_Toc21679"/>
      <w:bookmarkStart w:id="78" w:name="_Toc21462"/>
      <w:bookmarkStart w:id="79" w:name="_Toc18749"/>
      <w:r>
        <w:rPr>
          <w:rFonts w:hint="eastAsia" w:ascii="方正小标宋简体" w:hAnsi="方正小标宋简体" w:eastAsia="方正小标宋简体" w:cs="方正小标宋简体"/>
          <w:sz w:val="40"/>
          <w:szCs w:val="40"/>
          <w:lang w:eastAsia="zh-CN"/>
        </w:rPr>
        <w:t>广元市妇幼保健院</w: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lang w:eastAsia="zh-CN"/>
        </w:rPr>
        <w:t>202</w:t>
      </w:r>
      <w:r>
        <w:rPr>
          <w:rFonts w:hint="eastAsia" w:ascii="方正小标宋简体" w:hAnsi="方正小标宋简体" w:eastAsia="方正小标宋简体" w:cs="方正小标宋简体"/>
          <w:sz w:val="40"/>
          <w:szCs w:val="40"/>
          <w:lang w:val="en-US" w:eastAsia="zh-CN"/>
        </w:rPr>
        <w:t>1</w:t>
      </w:r>
      <w:r>
        <w:rPr>
          <w:rFonts w:hint="eastAsia" w:ascii="方正小标宋简体" w:hAnsi="方正小标宋简体" w:eastAsia="方正小标宋简体" w:cs="方正小标宋简体"/>
          <w:sz w:val="40"/>
          <w:szCs w:val="40"/>
          <w:lang w:eastAsia="zh-CN"/>
        </w:rPr>
        <w:t>年部门</w:t>
      </w:r>
      <w:r>
        <w:rPr>
          <w:rFonts w:hint="eastAsia" w:ascii="方正小标宋简体" w:hAnsi="方正小标宋简体" w:eastAsia="方正小标宋简体" w:cs="方正小标宋简体"/>
          <w:sz w:val="40"/>
          <w:szCs w:val="40"/>
          <w:lang w:val="zh-CN" w:eastAsia="zh-CN"/>
        </w:rPr>
        <w:t>整体支出绩效评价报告</w:t>
      </w:r>
      <w:bookmarkEnd w:id="75"/>
      <w:bookmarkEnd w:id="76"/>
      <w:bookmarkEnd w:id="77"/>
      <w:bookmarkEnd w:id="78"/>
      <w:bookmarkEnd w:id="79"/>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000000"/>
          <w:kern w:val="0"/>
          <w:sz w:val="32"/>
          <w:szCs w:val="32"/>
          <w:shd w:val="clear" w:color="auto" w:fill="FFFFFF"/>
          <w:lang w:val="zh-CN"/>
        </w:rPr>
      </w:pPr>
      <w:bookmarkStart w:id="80" w:name="_Toc32718"/>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bookmarkEnd w:id="80"/>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（一）机构组成</w:t>
      </w:r>
    </w:p>
    <w:p>
      <w:pPr>
        <w:widowControl w:val="0"/>
        <w:adjustRightInd/>
        <w:spacing w:after="0" w:line="576" w:lineRule="exact"/>
        <w:ind w:firstLine="640" w:firstLineChars="200"/>
        <w:jc w:val="both"/>
        <w:rPr>
          <w:rFonts w:hint="eastAsia" w:ascii="仿宋_GB2312" w:hAnsi="宋体" w:cs="宋体"/>
          <w:color w:val="000000"/>
          <w:kern w:val="0"/>
          <w:sz w:val="32"/>
          <w:szCs w:val="32"/>
          <w:shd w:val="clear" w:color="auto" w:fill="FFFFFF"/>
          <w:lang w:val="zh-CN"/>
        </w:rPr>
      </w:pPr>
      <w:r>
        <w:rPr>
          <w:rFonts w:hint="eastAsia" w:ascii="仿宋" w:hAnsi="仿宋" w:eastAsia="仿宋" w:cs="仿宋"/>
          <w:color w:val="000000"/>
          <w:kern w:val="2"/>
          <w:sz w:val="32"/>
          <w:szCs w:val="32"/>
          <w:lang w:eastAsia="zh-CN"/>
        </w:rPr>
        <w:t>广元市妇幼保健院</w:t>
      </w:r>
      <w:r>
        <w:rPr>
          <w:rFonts w:hint="eastAsia" w:ascii="仿宋" w:hAnsi="仿宋" w:eastAsia="仿宋" w:cs="仿宋"/>
          <w:color w:val="000000"/>
          <w:kern w:val="2"/>
          <w:sz w:val="32"/>
          <w:szCs w:val="32"/>
        </w:rPr>
        <w:t>为全额拨款事业单位，</w:t>
      </w:r>
      <w:r>
        <w:rPr>
          <w:rFonts w:hint="eastAsia" w:ascii="仿宋" w:hAnsi="仿宋" w:eastAsia="仿宋" w:cs="仿宋"/>
          <w:kern w:val="2"/>
          <w:sz w:val="32"/>
          <w:szCs w:val="32"/>
        </w:rPr>
        <w:t>执行《政府会计制度》。</w:t>
      </w:r>
    </w:p>
    <w:p>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_GB2312" w:hAnsi="宋体" w:cs="宋体"/>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lang w:val="en-US" w:eastAsia="zh-CN"/>
        </w:rPr>
        <w:t xml:space="preserve">  广元市妇幼保健院是一所由广元市政府举办的集妇幼医疗、保健、教学、科研、指导于一体的，为全市妇女儿童提供公共卫生服务和医疗保健服务的公益性现代化三级妇幼保健院，是全市妇幼卫生的管理中心、服务中心、指导中心和教学科研中心。我院秉持“保健与临床”并重的发展方向，致力于专业呵护妇女儿童全生命周期健康。现建成孕产保健部、妇女保健计划生育部、儿童保健部、综合医学部。认真履行妇幼公共卫生职责，致力于持续改善全市妇女儿童健康状况。以健全妇幼健康服务体系为基础，以实施重大妇幼公共卫生项目为抓手，不断加强基层指导、业务培训、技术规范和考核评估等工作，不断提升妇幼健康服务能力。全市孕产妇死亡率、婴儿死亡率和出生缺陷发生率得到有效控制，优于全国、全省平均水平。</w:t>
      </w:r>
    </w:p>
    <w:p>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我院年末实际在职人员320人，其中在编人数13</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rPr>
        <w:t>人（其中全额编制人员</w:t>
      </w:r>
      <w:r>
        <w:rPr>
          <w:rFonts w:hint="eastAsia" w:ascii="仿宋" w:hAnsi="仿宋" w:eastAsia="仿宋" w:cs="仿宋"/>
          <w:color w:val="000000"/>
          <w:kern w:val="0"/>
          <w:sz w:val="32"/>
          <w:szCs w:val="32"/>
          <w:shd w:val="clear" w:color="auto" w:fill="FFFFFF"/>
          <w:lang w:val="en-US" w:eastAsia="zh-CN"/>
        </w:rPr>
        <w:t>70人，差额编制人员62人</w:t>
      </w:r>
      <w:r>
        <w:rPr>
          <w:rFonts w:hint="eastAsia" w:ascii="仿宋" w:hAnsi="仿宋" w:eastAsia="仿宋" w:cs="仿宋"/>
          <w:color w:val="000000"/>
          <w:kern w:val="0"/>
          <w:sz w:val="32"/>
          <w:szCs w:val="32"/>
          <w:shd w:val="clear" w:color="auto" w:fill="FFFFFF"/>
          <w:lang w:val="zh-CN"/>
        </w:rPr>
        <w:t>），长期聘用人员</w:t>
      </w:r>
      <w:r>
        <w:rPr>
          <w:rFonts w:hint="eastAsia" w:ascii="仿宋" w:hAnsi="仿宋" w:eastAsia="仿宋" w:cs="仿宋"/>
          <w:color w:val="000000"/>
          <w:kern w:val="0"/>
          <w:sz w:val="32"/>
          <w:szCs w:val="32"/>
          <w:shd w:val="clear" w:color="auto" w:fill="FFFFFF"/>
          <w:lang w:val="en-US" w:eastAsia="zh-CN"/>
        </w:rPr>
        <w:t>188人</w:t>
      </w:r>
      <w:r>
        <w:rPr>
          <w:rFonts w:hint="eastAsia" w:ascii="仿宋" w:hAnsi="仿宋" w:eastAsia="仿宋" w:cs="仿宋"/>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000000"/>
          <w:kern w:val="0"/>
          <w:sz w:val="32"/>
          <w:szCs w:val="32"/>
          <w:shd w:val="clear" w:color="auto" w:fill="FFFFFF"/>
        </w:rPr>
      </w:pPr>
      <w:bookmarkStart w:id="81" w:name="_Toc31160"/>
      <w:r>
        <w:rPr>
          <w:rFonts w:hint="eastAsia" w:ascii="黑体" w:hAnsi="宋体" w:eastAsia="黑体" w:cs="宋体"/>
          <w:color w:val="000000"/>
          <w:kern w:val="0"/>
          <w:sz w:val="32"/>
          <w:szCs w:val="32"/>
          <w:shd w:val="clear" w:color="auto" w:fill="FFFFFF"/>
        </w:rPr>
        <w:t>二、</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财政资金收支情况</w:t>
      </w:r>
      <w:bookmarkEnd w:id="81"/>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2021年全年收入10388.45万元，其中本年收入9195.45万元，上年结转1193万元。</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_GB2312" w:hAnsi="宋体" w:cs="宋体"/>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lang w:val="en-US" w:eastAsia="zh-CN"/>
        </w:rPr>
        <w:t xml:space="preserve"> 2021年全年支出9857.22万元，其中社会保障与就业支出136.23万元，卫生健康支出9549.51万元，住房保障支出171.48万元。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000000"/>
          <w:kern w:val="0"/>
          <w:sz w:val="32"/>
          <w:szCs w:val="32"/>
          <w:shd w:val="clear" w:color="auto" w:fill="FFFFFF"/>
        </w:rPr>
      </w:pPr>
      <w:bookmarkStart w:id="82" w:name="_Toc22680"/>
      <w:r>
        <w:rPr>
          <w:rFonts w:hint="eastAsia" w:ascii="黑体" w:hAnsi="宋体" w:eastAsia="黑体" w:cs="宋体"/>
          <w:color w:val="000000"/>
          <w:kern w:val="0"/>
          <w:sz w:val="32"/>
          <w:szCs w:val="32"/>
          <w:shd w:val="clear" w:color="auto" w:fill="FFFFFF"/>
        </w:rPr>
        <w:t>三、</w:t>
      </w:r>
      <w:r>
        <w:rPr>
          <w:rFonts w:hint="eastAsia" w:ascii="黑体" w:hAnsi="宋体" w:eastAsia="黑体" w:cs="宋体"/>
          <w:color w:val="000000"/>
          <w:kern w:val="0"/>
          <w:sz w:val="32"/>
          <w:szCs w:val="32"/>
          <w:u w:val="none"/>
          <w:shd w:val="clear" w:color="auto" w:fill="FFFFFF"/>
          <w:lang w:eastAsia="zh-CN"/>
        </w:rPr>
        <w:t>单位</w:t>
      </w:r>
      <w:r>
        <w:rPr>
          <w:rFonts w:hint="eastAsia" w:ascii="黑体" w:hAnsi="宋体" w:eastAsia="黑体" w:cs="宋体"/>
          <w:color w:val="000000"/>
          <w:kern w:val="0"/>
          <w:sz w:val="32"/>
          <w:szCs w:val="32"/>
          <w:u w:val="none"/>
          <w:shd w:val="clear" w:color="auto" w:fill="FFFFFF"/>
        </w:rPr>
        <w:t>整体预算绩效管理情况</w:t>
      </w:r>
      <w:bookmarkEnd w:id="82"/>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（一）单位预算项目绩效管理</w:t>
      </w:r>
    </w:p>
    <w:p>
      <w:pPr>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2021年，我</w:t>
      </w:r>
      <w:r>
        <w:rPr>
          <w:rFonts w:hint="eastAsia" w:ascii="仿宋_GB2312" w:hAnsi="仿宋_GB2312" w:eastAsia="仿宋_GB2312" w:cs="仿宋_GB2312"/>
          <w:bCs/>
          <w:sz w:val="32"/>
          <w:szCs w:val="32"/>
          <w:lang w:eastAsia="zh-CN"/>
        </w:rPr>
        <w:t>院严格</w:t>
      </w:r>
      <w:r>
        <w:rPr>
          <w:rFonts w:hint="eastAsia" w:ascii="仿宋_GB2312" w:hAnsi="仿宋_GB2312" w:eastAsia="仿宋_GB2312" w:cs="仿宋_GB2312"/>
          <w:bCs/>
          <w:sz w:val="32"/>
          <w:szCs w:val="32"/>
        </w:rPr>
        <w:t>执行</w:t>
      </w:r>
      <w:r>
        <w:rPr>
          <w:rFonts w:hint="eastAsia" w:ascii="仿宋_GB2312" w:hAnsi="仿宋_GB2312" w:eastAsia="仿宋_GB2312" w:cs="仿宋_GB2312"/>
          <w:bCs/>
          <w:sz w:val="32"/>
          <w:szCs w:val="32"/>
          <w:lang w:eastAsia="zh-CN"/>
        </w:rPr>
        <w:t>《市委市政府关于全面实施预算绩效管理的实施意见》、</w:t>
      </w:r>
      <w:r>
        <w:rPr>
          <w:rFonts w:hint="eastAsia" w:ascii="仿宋_GB2312" w:hAnsi="仿宋_GB2312" w:eastAsia="仿宋_GB2312" w:cs="仿宋_GB2312"/>
          <w:bCs/>
          <w:kern w:val="2"/>
          <w:sz w:val="32"/>
          <w:szCs w:val="32"/>
        </w:rPr>
        <w:t>《</w:t>
      </w:r>
      <w:r>
        <w:rPr>
          <w:rFonts w:hint="eastAsia" w:ascii="仿宋_GB2312" w:hAnsi="仿宋_GB2312" w:eastAsia="仿宋_GB2312" w:cs="仿宋_GB2312"/>
          <w:bCs/>
          <w:kern w:val="2"/>
          <w:sz w:val="32"/>
          <w:szCs w:val="32"/>
          <w:lang w:eastAsia="zh-CN"/>
        </w:rPr>
        <w:t>广元市预算绩效管理工作考核暂行办法</w:t>
      </w:r>
      <w:r>
        <w:rPr>
          <w:rFonts w:hint="eastAsia" w:ascii="仿宋_GB2312" w:hAnsi="仿宋_GB2312" w:eastAsia="仿宋_GB2312" w:cs="仿宋_GB2312"/>
          <w:bCs/>
          <w:kern w:val="2"/>
          <w:sz w:val="32"/>
          <w:szCs w:val="32"/>
        </w:rPr>
        <w:t>》</w:t>
      </w:r>
      <w:r>
        <w:rPr>
          <w:rFonts w:hint="eastAsia" w:ascii="仿宋_GB2312" w:hAnsi="仿宋_GB2312" w:eastAsia="仿宋_GB2312" w:cs="仿宋_GB2312"/>
          <w:bCs/>
          <w:kern w:val="2"/>
          <w:sz w:val="32"/>
          <w:szCs w:val="32"/>
          <w:lang w:eastAsia="zh-CN"/>
        </w:rPr>
        <w:t>和</w:t>
      </w:r>
      <w:r>
        <w:rPr>
          <w:rFonts w:hint="eastAsia" w:ascii="仿宋_GB2312" w:hAnsi="仿宋_GB2312" w:eastAsia="仿宋_GB2312" w:cs="仿宋_GB2312"/>
          <w:bCs/>
          <w:color w:val="000000"/>
          <w:kern w:val="2"/>
          <w:sz w:val="32"/>
          <w:szCs w:val="32"/>
        </w:rPr>
        <w:t>《</w:t>
      </w:r>
      <w:r>
        <w:rPr>
          <w:rFonts w:hint="eastAsia" w:ascii="仿宋_GB2312" w:hAnsi="仿宋_GB2312" w:eastAsia="仿宋_GB2312" w:cs="仿宋_GB2312"/>
          <w:bCs/>
          <w:kern w:val="2"/>
          <w:sz w:val="32"/>
          <w:szCs w:val="32"/>
        </w:rPr>
        <w:t>广元市卫生计生项目支出绩效评价管理暂行办法</w:t>
      </w:r>
      <w:r>
        <w:rPr>
          <w:rFonts w:hint="eastAsia" w:ascii="仿宋_GB2312" w:hAnsi="仿宋_GB2312" w:eastAsia="仿宋_GB2312" w:cs="仿宋_GB2312"/>
          <w:bCs/>
          <w:color w:val="000000"/>
          <w:kern w:val="2"/>
          <w:sz w:val="32"/>
          <w:szCs w:val="32"/>
        </w:rPr>
        <w:t>》</w:t>
      </w:r>
      <w:r>
        <w:rPr>
          <w:rFonts w:hint="eastAsia" w:ascii="仿宋_GB2312" w:hAnsi="仿宋_GB2312" w:eastAsia="仿宋_GB2312" w:cs="仿宋_GB2312"/>
          <w:bCs/>
          <w:kern w:val="2"/>
          <w:sz w:val="32"/>
          <w:szCs w:val="32"/>
        </w:rPr>
        <w:t>等</w:t>
      </w:r>
      <w:r>
        <w:rPr>
          <w:rFonts w:hint="eastAsia" w:ascii="仿宋_GB2312" w:hAnsi="仿宋_GB2312" w:eastAsia="仿宋_GB2312" w:cs="仿宋_GB2312"/>
          <w:bCs/>
          <w:kern w:val="2"/>
          <w:sz w:val="32"/>
          <w:szCs w:val="32"/>
          <w:lang w:eastAsia="zh-CN"/>
        </w:rPr>
        <w:t>规定</w:t>
      </w:r>
      <w:r>
        <w:rPr>
          <w:rFonts w:hint="eastAsia" w:ascii="仿宋_GB2312" w:hAnsi="仿宋_GB2312" w:eastAsia="仿宋_GB2312" w:cs="仿宋_GB2312"/>
          <w:bCs/>
          <w:kern w:val="2"/>
          <w:sz w:val="32"/>
          <w:szCs w:val="32"/>
        </w:rPr>
        <w:t>，</w:t>
      </w:r>
      <w:r>
        <w:rPr>
          <w:rFonts w:hint="eastAsia" w:ascii="仿宋_GB2312" w:hAnsi="仿宋_GB2312" w:eastAsia="仿宋_GB2312" w:cs="仿宋_GB2312"/>
          <w:bCs/>
          <w:sz w:val="32"/>
          <w:szCs w:val="32"/>
        </w:rPr>
        <w:t>进一步</w:t>
      </w:r>
      <w:r>
        <w:rPr>
          <w:rFonts w:hint="eastAsia" w:ascii="仿宋_GB2312" w:hAnsi="仿宋_GB2312" w:eastAsia="仿宋_GB2312" w:cs="仿宋_GB2312"/>
          <w:bCs/>
          <w:kern w:val="2"/>
          <w:sz w:val="32"/>
          <w:szCs w:val="32"/>
        </w:rPr>
        <w:t>规范和加强项目资金管理使用责任，提高资金使用效益和项目管理水平。</w:t>
      </w:r>
      <w:r>
        <w:rPr>
          <w:rFonts w:hint="eastAsia" w:ascii="仿宋_GB2312" w:hAnsi="仿宋_GB2312" w:eastAsia="仿宋_GB2312" w:cs="仿宋_GB2312"/>
          <w:bCs/>
          <w:sz w:val="32"/>
          <w:szCs w:val="32"/>
        </w:rPr>
        <w:t>通过开展重点项目绩效评价</w:t>
      </w:r>
      <w:r>
        <w:rPr>
          <w:rFonts w:hint="eastAsia" w:ascii="仿宋_GB2312" w:hAnsi="仿宋_GB2312" w:eastAsia="仿宋_GB2312" w:cs="仿宋_GB2312"/>
          <w:bCs/>
          <w:sz w:val="32"/>
          <w:szCs w:val="32"/>
          <w:shd w:val="clear" w:color="auto" w:fill="auto"/>
        </w:rPr>
        <w:t>，进一步强化组织管理、资金管理、项目执行、实施效果，绩效管理能力进一步提升。</w:t>
      </w:r>
      <w:r>
        <w:rPr>
          <w:rFonts w:hint="eastAsia" w:ascii="仿宋_GB2312" w:hAnsi="仿宋_GB2312" w:eastAsia="仿宋_GB2312" w:cs="仿宋_GB2312"/>
          <w:bCs/>
          <w:sz w:val="32"/>
          <w:szCs w:val="32"/>
          <w:shd w:val="clear" w:color="auto" w:fill="auto"/>
          <w:lang w:eastAsia="zh-CN"/>
        </w:rPr>
        <w:t>在</w:t>
      </w:r>
      <w:r>
        <w:rPr>
          <w:rFonts w:hint="eastAsia" w:ascii="仿宋_GB2312" w:hAnsi="仿宋_GB2312" w:eastAsia="仿宋_GB2312" w:cs="仿宋_GB2312"/>
          <w:bCs/>
          <w:sz w:val="32"/>
          <w:szCs w:val="32"/>
          <w:shd w:val="clear" w:color="auto" w:fill="auto"/>
        </w:rPr>
        <w:t>对部门预算资金实施</w:t>
      </w:r>
      <w:r>
        <w:rPr>
          <w:rFonts w:hint="eastAsia" w:ascii="仿宋_GB2312" w:hAnsi="仿宋_GB2312" w:eastAsia="仿宋_GB2312" w:cs="仿宋_GB2312"/>
          <w:bCs/>
          <w:sz w:val="32"/>
          <w:szCs w:val="32"/>
        </w:rPr>
        <w:t>绩效目标管理</w:t>
      </w:r>
      <w:r>
        <w:rPr>
          <w:rFonts w:hint="eastAsia" w:ascii="仿宋_GB2312" w:hAnsi="仿宋_GB2312" w:eastAsia="仿宋_GB2312" w:cs="仿宋_GB2312"/>
          <w:bCs/>
          <w:sz w:val="32"/>
          <w:szCs w:val="32"/>
          <w:lang w:eastAsia="zh-CN"/>
        </w:rPr>
        <w:t>方面，</w:t>
      </w:r>
      <w:r>
        <w:rPr>
          <w:rFonts w:hint="eastAsia" w:ascii="仿宋_GB2312" w:hAnsi="仿宋_GB2312" w:eastAsia="仿宋_GB2312" w:cs="仿宋_GB2312"/>
          <w:bCs/>
          <w:sz w:val="32"/>
          <w:szCs w:val="32"/>
        </w:rPr>
        <w:t>我</w:t>
      </w:r>
      <w:r>
        <w:rPr>
          <w:rFonts w:hint="eastAsia" w:ascii="仿宋_GB2312" w:hAnsi="仿宋_GB2312" w:eastAsia="仿宋_GB2312" w:cs="仿宋_GB2312"/>
          <w:bCs/>
          <w:sz w:val="32"/>
          <w:szCs w:val="32"/>
          <w:lang w:eastAsia="zh-CN"/>
        </w:rPr>
        <w:t>院</w:t>
      </w:r>
      <w:r>
        <w:rPr>
          <w:rFonts w:hint="eastAsia" w:ascii="仿宋_GB2312" w:hAnsi="仿宋_GB2312" w:eastAsia="仿宋_GB2312" w:cs="仿宋_GB2312"/>
          <w:bCs/>
          <w:sz w:val="32"/>
          <w:szCs w:val="32"/>
        </w:rPr>
        <w:t>按照国家政策法规规定，结合本部门工作实际，健全了财务管理制度和约束机制，依法、有效、合理地使用财政资金，在项目的资金安排、方案设计、预算执行、任务质量等方面完成情况良好，完成了年初设定的绩效目标，实现了较高的工作效率和</w:t>
      </w:r>
      <w:r>
        <w:rPr>
          <w:rFonts w:hint="eastAsia" w:ascii="仿宋_GB2312" w:hAnsi="仿宋_GB2312" w:eastAsia="仿宋_GB2312" w:cs="仿宋_GB2312"/>
          <w:bCs/>
          <w:sz w:val="32"/>
          <w:szCs w:val="32"/>
          <w:lang w:eastAsia="zh-CN"/>
        </w:rPr>
        <w:t>项目</w:t>
      </w:r>
      <w:r>
        <w:rPr>
          <w:rFonts w:hint="eastAsia" w:ascii="仿宋_GB2312" w:hAnsi="仿宋_GB2312" w:eastAsia="仿宋_GB2312" w:cs="仿宋_GB2312"/>
          <w:bCs/>
          <w:sz w:val="32"/>
          <w:szCs w:val="32"/>
        </w:rPr>
        <w:t>支出绩效</w:t>
      </w:r>
      <w:r>
        <w:rPr>
          <w:rFonts w:hint="eastAsia" w:ascii="仿宋_GB2312" w:hAnsi="仿宋_GB2312" w:cs="仿宋_GB2312"/>
          <w:bCs/>
          <w:sz w:val="32"/>
          <w:szCs w:val="32"/>
          <w:lang w:eastAsia="zh-CN"/>
        </w:rPr>
        <w:t>，</w:t>
      </w:r>
      <w:r>
        <w:rPr>
          <w:rFonts w:ascii="Times New Roman" w:hAnsi="Times New Roman" w:eastAsia="仿宋_GB2312" w:cs="Times New Roman"/>
          <w:kern w:val="2"/>
          <w:sz w:val="32"/>
          <w:szCs w:val="32"/>
        </w:rPr>
        <w:t>无违规记录</w:t>
      </w:r>
      <w:r>
        <w:rPr>
          <w:rFonts w:hint="eastAsia" w:ascii="仿宋_GB2312" w:hAnsi="仿宋_GB2312" w:eastAsia="仿宋_GB2312" w:cs="仿宋_GB2312"/>
          <w:bCs/>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（二）结果应用情况</w:t>
      </w:r>
    </w:p>
    <w:p>
      <w:pPr>
        <w:widowControl w:val="0"/>
        <w:adjustRightInd/>
        <w:snapToGrid/>
        <w:spacing w:after="0" w:line="576"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shd w:val="clear" w:color="auto" w:fill="FFFFFF"/>
        </w:rPr>
        <w:t>1</w:t>
      </w:r>
      <w:r>
        <w:rPr>
          <w:rFonts w:hint="eastAsia" w:ascii="Times New Roman" w:hAnsi="Times New Roman" w:eastAsia="仿宋_GB2312" w:cs="Times New Roman"/>
          <w:color w:val="000000"/>
          <w:sz w:val="32"/>
          <w:szCs w:val="32"/>
          <w:shd w:val="clear" w:color="auto" w:fill="FFFFFF"/>
          <w:lang w:val="zh-CN"/>
        </w:rPr>
        <w:t>.</w:t>
      </w:r>
      <w:r>
        <w:rPr>
          <w:rFonts w:ascii="Times New Roman" w:hAnsi="Times New Roman" w:eastAsia="仿宋_GB2312" w:cs="Times New Roman"/>
          <w:color w:val="000000"/>
          <w:sz w:val="32"/>
          <w:szCs w:val="32"/>
          <w:shd w:val="clear" w:color="auto" w:fill="FFFFFF"/>
          <w:lang w:val="zh-CN"/>
        </w:rPr>
        <w:t>绩效自评公开。</w:t>
      </w:r>
      <w:r>
        <w:rPr>
          <w:rFonts w:ascii="Times New Roman" w:hAnsi="Times New Roman" w:eastAsia="仿宋_GB2312" w:cs="Times New Roman"/>
          <w:color w:val="000000"/>
          <w:sz w:val="32"/>
          <w:szCs w:val="32"/>
          <w:shd w:val="clear" w:color="auto" w:fill="FFFFFF"/>
        </w:rPr>
        <w:t>我单位</w:t>
      </w:r>
      <w:r>
        <w:rPr>
          <w:rFonts w:ascii="Times New Roman" w:hAnsi="Times New Roman" w:eastAsia="仿宋_GB2312" w:cs="Times New Roman"/>
          <w:kern w:val="2"/>
          <w:sz w:val="32"/>
          <w:szCs w:val="32"/>
        </w:rPr>
        <w:t>积极开展部门整体绩效评价，并在决算公开时同时公开。</w:t>
      </w:r>
    </w:p>
    <w:p>
      <w:pPr>
        <w:widowControl w:val="0"/>
        <w:adjustRightInd/>
        <w:snapToGrid/>
        <w:spacing w:after="0" w:line="576" w:lineRule="exact"/>
        <w:ind w:firstLine="640" w:firstLineChars="200"/>
        <w:jc w:val="both"/>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2</w:t>
      </w:r>
      <w:r>
        <w:rPr>
          <w:rFonts w:hint="eastAsia" w:ascii="Times New Roman" w:hAnsi="Times New Roman" w:eastAsia="仿宋_GB2312" w:cs="Times New Roman"/>
          <w:color w:val="000000"/>
          <w:sz w:val="32"/>
          <w:szCs w:val="32"/>
          <w:shd w:val="clear" w:color="auto" w:fill="FFFFFF"/>
          <w:lang w:val="zh-CN"/>
        </w:rPr>
        <w:t>.</w:t>
      </w:r>
      <w:r>
        <w:rPr>
          <w:rFonts w:ascii="Times New Roman" w:hAnsi="Times New Roman" w:eastAsia="仿宋_GB2312" w:cs="Times New Roman"/>
          <w:color w:val="000000"/>
          <w:sz w:val="32"/>
          <w:szCs w:val="32"/>
          <w:shd w:val="clear" w:color="auto" w:fill="FFFFFF"/>
          <w:lang w:val="zh-CN"/>
        </w:rPr>
        <w:t>评价结果整改。</w:t>
      </w:r>
      <w:r>
        <w:rPr>
          <w:rFonts w:ascii="Times New Roman" w:hAnsi="Times New Roman" w:eastAsia="仿宋_GB2312" w:cs="Times New Roman"/>
          <w:kern w:val="2"/>
          <w:sz w:val="32"/>
          <w:szCs w:val="32"/>
        </w:rPr>
        <w:t>我单位将进一步重视预算的编制工作，提高预算编制的精确度，提高财政资金使用效率，尽量减少预算执行调整、结转和结余的情形。</w:t>
      </w:r>
    </w:p>
    <w:p>
      <w:pPr>
        <w:widowControl w:val="0"/>
        <w:adjustRightInd/>
        <w:snapToGrid/>
        <w:spacing w:after="0" w:line="576" w:lineRule="exact"/>
        <w:ind w:firstLine="640" w:firstLineChars="200"/>
        <w:jc w:val="both"/>
        <w:rPr>
          <w:rFonts w:hint="eastAsia" w:ascii="仿宋_GB2312" w:hAnsi="宋体" w:cs="宋体"/>
          <w:color w:val="000000"/>
          <w:kern w:val="0"/>
          <w:sz w:val="32"/>
          <w:szCs w:val="32"/>
          <w:shd w:val="clear" w:color="auto" w:fill="FFFFFF"/>
          <w:lang w:val="zh-CN"/>
        </w:rPr>
      </w:pPr>
      <w:r>
        <w:rPr>
          <w:rFonts w:ascii="Times New Roman" w:hAnsi="Times New Roman" w:eastAsia="仿宋_GB2312" w:cs="Times New Roman"/>
          <w:color w:val="000000"/>
          <w:sz w:val="32"/>
          <w:szCs w:val="32"/>
          <w:shd w:val="clear" w:color="auto" w:fill="FFFFFF"/>
        </w:rPr>
        <w:t>3</w:t>
      </w:r>
      <w:r>
        <w:rPr>
          <w:rFonts w:hint="eastAsia" w:ascii="Times New Roman" w:hAnsi="Times New Roman" w:eastAsia="仿宋_GB2312" w:cs="Times New Roman"/>
          <w:color w:val="000000"/>
          <w:sz w:val="32"/>
          <w:szCs w:val="32"/>
          <w:shd w:val="clear" w:color="auto" w:fill="FFFFFF"/>
          <w:lang w:val="zh-CN"/>
        </w:rPr>
        <w:t>.</w:t>
      </w:r>
      <w:r>
        <w:rPr>
          <w:rFonts w:ascii="Times New Roman" w:hAnsi="Times New Roman" w:eastAsia="仿宋_GB2312" w:cs="Times New Roman"/>
          <w:color w:val="000000"/>
          <w:sz w:val="32"/>
          <w:szCs w:val="32"/>
          <w:shd w:val="clear" w:color="auto" w:fill="FFFFFF"/>
          <w:lang w:val="zh-CN"/>
        </w:rPr>
        <w:t>应用结果反馈等情况。预算</w:t>
      </w:r>
      <w:r>
        <w:rPr>
          <w:rFonts w:ascii="Times New Roman" w:hAnsi="Times New Roman" w:eastAsia="仿宋_GB2312" w:cs="Times New Roman"/>
          <w:kern w:val="2"/>
          <w:sz w:val="32"/>
          <w:szCs w:val="32"/>
        </w:rPr>
        <w:t>支出绩效评价工作，及时准确的发现问题，使我单位在运用中杜绝了违规违纪的现象。</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u w:val="none"/>
          <w:shd w:val="clear" w:color="auto" w:fill="FFFFFF"/>
          <w:lang w:val="zh-CN"/>
        </w:rPr>
      </w:pPr>
      <w:r>
        <w:rPr>
          <w:rFonts w:hint="eastAsia" w:ascii="楷体" w:hAnsi="楷体" w:eastAsia="楷体" w:cs="楷体"/>
          <w:color w:val="000000"/>
          <w:kern w:val="0"/>
          <w:sz w:val="32"/>
          <w:szCs w:val="32"/>
          <w:u w:val="none"/>
          <w:shd w:val="clear" w:color="auto" w:fill="FFFFFF"/>
          <w:lang w:val="zh-CN"/>
        </w:rPr>
        <w:t>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2021年部门整体支出绩效自评得分96.24分，扣分原因为:预算执行进度指标偏慢，在下年预算执行中加快推进支付进度。</w:t>
      </w:r>
    </w:p>
    <w:p>
      <w:pPr>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left="1360" w:leftChars="0" w:hanging="720" w:firstLineChars="0"/>
        <w:contextualSpacing/>
        <w:jc w:val="left"/>
        <w:textAlignment w:val="auto"/>
        <w:outlineLvl w:val="1"/>
        <w:rPr>
          <w:rFonts w:hint="eastAsia" w:ascii="黑体" w:hAnsi="宋体" w:eastAsia="黑体" w:cs="宋体"/>
          <w:color w:val="000000"/>
          <w:kern w:val="0"/>
          <w:sz w:val="32"/>
          <w:szCs w:val="32"/>
          <w:shd w:val="clear" w:color="auto" w:fill="FFFFFF"/>
        </w:rPr>
      </w:pPr>
      <w:bookmarkStart w:id="83" w:name="_Toc30672"/>
      <w:r>
        <w:rPr>
          <w:rFonts w:hint="eastAsia" w:ascii="黑体" w:hAnsi="宋体" w:eastAsia="黑体" w:cs="宋体"/>
          <w:color w:val="000000"/>
          <w:kern w:val="0"/>
          <w:sz w:val="32"/>
          <w:szCs w:val="32"/>
          <w:shd w:val="clear" w:color="auto" w:fill="FFFFFF"/>
        </w:rPr>
        <w:t>评价结论及建议</w:t>
      </w:r>
      <w:bookmarkEnd w:id="83"/>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640" w:leftChars="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（一）评价结论</w:t>
      </w:r>
    </w:p>
    <w:p>
      <w:pPr>
        <w:pStyle w:val="9"/>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shd w:val="clear" w:color="auto" w:fill="FFFFFF"/>
          <w:lang w:val="en-US" w:eastAsia="zh-CN"/>
        </w:rPr>
        <w:t>本单位2021年整体支出绩效评价得分</w:t>
      </w:r>
      <w:r>
        <w:rPr>
          <w:rFonts w:hint="eastAsia" w:ascii="仿宋" w:hAnsi="仿宋" w:eastAsia="仿宋" w:cs="仿宋"/>
          <w:color w:val="auto"/>
          <w:kern w:val="0"/>
          <w:sz w:val="32"/>
          <w:szCs w:val="32"/>
          <w:shd w:val="clear" w:color="auto" w:fill="FFFFFF"/>
          <w:lang w:val="en-US" w:eastAsia="zh-CN"/>
        </w:rPr>
        <w:t>96.24分</w:t>
      </w:r>
      <w:r>
        <w:rPr>
          <w:rFonts w:hint="eastAsia" w:ascii="仿宋" w:hAnsi="仿宋" w:eastAsia="仿宋" w:cs="仿宋"/>
          <w:color w:val="000000"/>
          <w:kern w:val="0"/>
          <w:sz w:val="32"/>
          <w:szCs w:val="32"/>
          <w:shd w:val="clear" w:color="auto" w:fill="FFFFFF"/>
          <w:lang w:val="en-US" w:eastAsia="zh-CN"/>
        </w:rPr>
        <w:t>，完成绩效目标成果优良。</w:t>
      </w:r>
    </w:p>
    <w:p>
      <w:pPr>
        <w:keepNext w:val="0"/>
        <w:keepLines w:val="0"/>
        <w:pageBreakBefore w:val="0"/>
        <w:widowControl/>
        <w:numPr>
          <w:ilvl w:val="0"/>
          <w:numId w:val="5"/>
        </w:numPr>
        <w:kinsoku/>
        <w:wordWrap w:val="0"/>
        <w:overflowPunct/>
        <w:topLinePunct w:val="0"/>
        <w:autoSpaceDE/>
        <w:autoSpaceDN/>
        <w:bidi w:val="0"/>
        <w:adjustRightInd w:val="0"/>
        <w:snapToGrid w:val="0"/>
        <w:spacing w:line="360" w:lineRule="auto"/>
        <w:ind w:left="0" w:leftChars="0" w:firstLine="640" w:firstLineChars="200"/>
        <w:contextualSpacing/>
        <w:jc w:val="left"/>
        <w:textAlignment w:val="auto"/>
        <w:rPr>
          <w:rFonts w:hint="eastAsia" w:ascii="仿宋_GB2312" w:hAnsi="宋体" w:cs="宋体"/>
          <w:color w:val="000000"/>
          <w:kern w:val="0"/>
          <w:sz w:val="32"/>
          <w:szCs w:val="32"/>
          <w:shd w:val="clear" w:color="auto" w:fill="FFFFFF"/>
          <w:lang w:val="en-US" w:eastAsia="zh-CN"/>
        </w:rPr>
      </w:pPr>
      <w:r>
        <w:rPr>
          <w:rFonts w:hint="eastAsia" w:ascii="楷体" w:hAnsi="楷体" w:eastAsia="楷体" w:cs="楷体"/>
          <w:color w:val="000000"/>
          <w:kern w:val="0"/>
          <w:sz w:val="32"/>
          <w:szCs w:val="32"/>
          <w:shd w:val="clear" w:color="auto" w:fill="FFFFFF"/>
          <w:lang w:val="zh-CN"/>
        </w:rPr>
        <w:t>存在问题</w:t>
      </w:r>
      <w:r>
        <w:rPr>
          <w:rFonts w:hint="eastAsia" w:ascii="仿宋_GB2312" w:hAnsi="宋体" w:cs="宋体"/>
          <w:color w:val="000000"/>
          <w:kern w:val="0"/>
          <w:sz w:val="32"/>
          <w:szCs w:val="32"/>
          <w:shd w:val="clear" w:color="auto" w:fill="FFFFFF"/>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非税收入（医疗业务收入）年初预算与执行偏差较大。本年度受新冠疫情持续影响，年初在非税收入预算时未充分考虑影响，年度实际完成较年初预算相比差距较大，直接影响部分项目年度实施资金保障，导致个别项目本年度停止实施和执行率低。影响年度收支预算，不利于项目推进实施。</w:t>
      </w:r>
    </w:p>
    <w:p>
      <w:pPr>
        <w:pStyle w:val="9"/>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2.个别项目预算执行较缓。根据部门支出绩效评价自评得分情况分析，部门支出有部分项目需要跟进资金执行进度，因有部分项目启动较晚，项目资金存在跨年度实施等因素存在，预算执行进度减缓。</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（三）改进建议</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编制精确性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通过对历年数据对比同时综合考虑外部影响因素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科学合理预算非税收入，</w:t>
      </w:r>
      <w:r>
        <w:rPr>
          <w:rFonts w:hint="eastAsia" w:ascii="仿宋_GB2312" w:hAnsi="仿宋_GB2312" w:eastAsia="仿宋_GB2312" w:cs="仿宋_GB2312"/>
          <w:sz w:val="32"/>
          <w:szCs w:val="32"/>
        </w:rPr>
        <w:t>更加有利于</w:t>
      </w:r>
      <w:r>
        <w:rPr>
          <w:rFonts w:hint="eastAsia" w:ascii="仿宋_GB2312" w:hAnsi="仿宋_GB2312" w:eastAsia="仿宋_GB2312" w:cs="仿宋_GB2312"/>
          <w:sz w:val="32"/>
          <w:szCs w:val="32"/>
          <w:lang w:eastAsia="zh-CN"/>
        </w:rPr>
        <w:t>各个</w:t>
      </w:r>
      <w:r>
        <w:rPr>
          <w:rFonts w:hint="eastAsia" w:ascii="仿宋_GB2312" w:hAnsi="仿宋_GB2312" w:eastAsia="仿宋_GB2312" w:cs="仿宋_GB2312"/>
          <w:sz w:val="32"/>
          <w:szCs w:val="32"/>
        </w:rPr>
        <w:t>项目工作的持续推进。</w:t>
      </w:r>
    </w:p>
    <w:p>
      <w:pPr>
        <w:widowControl/>
        <w:adjustRightInd w:val="0"/>
        <w:snapToGrid w:val="0"/>
        <w:spacing w:line="58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提前下达预算指标，加快预算指标的支付，提高资金的使用效率，实现资金拨付、使用、效果全程监管。</w:t>
      </w:r>
    </w:p>
    <w:p>
      <w:pPr>
        <w:pStyle w:val="9"/>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Times New Roman" w:hAnsi="Times New Roman" w:eastAsia="仿宋_GB2312" w:cs="Times New Roman"/>
          <w:kern w:val="2"/>
          <w:sz w:val="32"/>
          <w:szCs w:val="32"/>
          <w:lang w:eastAsia="zh-CN"/>
        </w:rPr>
      </w:pPr>
      <w:r>
        <w:rPr>
          <w:rFonts w:hint="eastAsia" w:ascii="仿宋" w:hAnsi="仿宋" w:eastAsia="仿宋" w:cs="仿宋"/>
          <w:sz w:val="32"/>
          <w:szCs w:val="32"/>
          <w:lang w:val="en-US" w:eastAsia="zh-CN"/>
        </w:rPr>
        <w:t>3.</w:t>
      </w:r>
      <w:r>
        <w:rPr>
          <w:rFonts w:ascii="Times New Roman" w:hAnsi="Times New Roman" w:eastAsia="仿宋_GB2312" w:cs="Times New Roman"/>
          <w:kern w:val="2"/>
          <w:sz w:val="32"/>
          <w:szCs w:val="32"/>
        </w:rPr>
        <w:t>绩效考评指标应尽量量化，不能量化的要尽量细化，以提高考评工作的可操作性和确保考评结果的客观性、公正性</w:t>
      </w:r>
      <w:r>
        <w:rPr>
          <w:rFonts w:hint="eastAsia" w:ascii="Times New Roman" w:hAnsi="Times New Roman" w:eastAsia="仿宋_GB2312" w:cs="Times New Roman"/>
          <w:kern w:val="2"/>
          <w:sz w:val="32"/>
          <w:szCs w:val="32"/>
          <w:lang w:eastAsia="zh-CN"/>
        </w:rPr>
        <w:t>。</w:t>
      </w:r>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广元市妇幼保健院</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方正小标宋简体" w:eastAsia="方正小标宋简体" w:cs="方正小标宋简体"/>
          <w:b w:val="0"/>
          <w:bCs w:val="0"/>
          <w:color w:val="auto"/>
          <w:kern w:val="2"/>
          <w:sz w:val="44"/>
          <w:szCs w:val="44"/>
          <w:lang w:eastAsia="zh-CN"/>
        </w:rPr>
        <w:t>专项预算</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eastAsia="zh-CN"/>
        </w:rPr>
        <w:t>项目</w:t>
      </w:r>
      <w:r>
        <w:rPr>
          <w:rFonts w:hint="eastAsia" w:ascii="方正小标宋简体" w:hAnsi="宋体" w:eastAsia="方正小标宋简体"/>
          <w:color w:val="000000"/>
          <w:kern w:val="0"/>
          <w:sz w:val="44"/>
          <w:szCs w:val="44"/>
          <w:lang w:val="zh-CN"/>
        </w:rPr>
        <w:t>支出绩效自评报告</w:t>
      </w:r>
    </w:p>
    <w:p>
      <w:pPr>
        <w:widowControl/>
        <w:adjustRightInd w:val="0"/>
        <w:snapToGrid w:val="0"/>
        <w:spacing w:line="580" w:lineRule="exact"/>
        <w:ind w:firstLine="480" w:firstLineChars="200"/>
        <w:contextualSpacing/>
        <w:jc w:val="both"/>
        <w:rPr>
          <w:rFonts w:hint="eastAsia" w:ascii="黑体" w:hAnsi="宋体" w:cs="宋体"/>
          <w:color w:val="000000"/>
          <w:kern w:val="0"/>
          <w:sz w:val="24"/>
          <w:szCs w:val="32"/>
          <w:shd w:val="clear" w:color="auto" w:fill="FFFFFF"/>
          <w:lang w:eastAsia="zh-CN"/>
        </w:rPr>
      </w:pPr>
    </w:p>
    <w:p>
      <w:pPr>
        <w:spacing w:line="600" w:lineRule="exact"/>
        <w:jc w:val="center"/>
        <w:rPr>
          <w:rFonts w:hint="eastAsia" w:eastAsia="仿宋_GB2312"/>
          <w:b/>
          <w:bCs/>
          <w:color w:val="auto"/>
          <w:sz w:val="32"/>
          <w:szCs w:val="32"/>
          <w:lang w:val="zh-CN" w:eastAsia="zh-CN"/>
        </w:rPr>
      </w:pPr>
      <w:r>
        <w:rPr>
          <w:rFonts w:hint="eastAsia" w:eastAsia="仿宋_GB2312"/>
          <w:b w:val="0"/>
          <w:bCs w:val="0"/>
          <w:color w:val="auto"/>
          <w:sz w:val="32"/>
          <w:szCs w:val="32"/>
          <w:lang w:val="en-US" w:eastAsia="zh-CN"/>
        </w:rPr>
        <w:t>（</w:t>
      </w:r>
      <w:r>
        <w:rPr>
          <w:rFonts w:hint="eastAsia" w:eastAsia="仿宋_GB2312"/>
          <w:b w:val="0"/>
          <w:bCs w:val="0"/>
          <w:color w:val="auto"/>
          <w:sz w:val="32"/>
          <w:szCs w:val="32"/>
          <w:lang w:val="zh-CN" w:eastAsia="zh-CN"/>
        </w:rPr>
        <w:t>非税收入征收成本项目）</w:t>
      </w:r>
    </w:p>
    <w:p>
      <w:pPr>
        <w:pStyle w:val="9"/>
        <w:rPr>
          <w:rFonts w:hint="eastAsia" w:eastAsia="仿宋_GB2312"/>
          <w:b/>
          <w:bCs/>
          <w:color w:val="auto"/>
          <w:sz w:val="32"/>
          <w:szCs w:val="32"/>
          <w:lang w:val="zh-CN" w:eastAsia="zh-CN"/>
        </w:rPr>
      </w:pPr>
    </w:p>
    <w:p>
      <w:pPr>
        <w:pStyle w:val="9"/>
        <w:rPr>
          <w:rFonts w:hint="eastAsia" w:eastAsia="仿宋_GB2312"/>
          <w:b/>
          <w:bCs/>
          <w:color w:val="auto"/>
          <w:sz w:val="32"/>
          <w:szCs w:val="32"/>
          <w:lang w:val="zh-CN" w:eastAsia="zh-CN"/>
        </w:rPr>
      </w:pPr>
    </w:p>
    <w:p>
      <w:pPr>
        <w:numPr>
          <w:ilvl w:val="0"/>
          <w:numId w:val="0"/>
        </w:numPr>
        <w:adjustRightInd w:val="0"/>
        <w:snapToGrid w:val="0"/>
        <w:spacing w:line="600" w:lineRule="exact"/>
        <w:ind w:firstLine="640" w:firstLineChars="200"/>
        <w:outlineLvl w:val="1"/>
        <w:rPr>
          <w:rFonts w:hint="eastAsia" w:ascii="黑体" w:hAnsi="宋体" w:eastAsia="黑体"/>
          <w:sz w:val="32"/>
          <w:szCs w:val="32"/>
          <w:lang w:val="zh-CN"/>
        </w:rPr>
      </w:pPr>
      <w:bookmarkStart w:id="84" w:name="_Toc16780"/>
      <w:r>
        <w:rPr>
          <w:rFonts w:hint="eastAsia" w:ascii="黑体" w:hAnsi="宋体"/>
          <w:sz w:val="32"/>
          <w:szCs w:val="32"/>
          <w:lang w:val="zh-CN"/>
        </w:rPr>
        <w:t>一、</w:t>
      </w:r>
      <w:r>
        <w:rPr>
          <w:rFonts w:hint="eastAsia" w:ascii="黑体" w:hAnsi="宋体" w:eastAsia="黑体"/>
          <w:sz w:val="32"/>
          <w:szCs w:val="32"/>
          <w:lang w:val="zh-CN"/>
        </w:rPr>
        <w:t>项目概况</w:t>
      </w:r>
      <w:bookmarkEnd w:id="84"/>
    </w:p>
    <w:p>
      <w:pPr>
        <w:numPr>
          <w:ilvl w:val="0"/>
          <w:numId w:val="0"/>
        </w:num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非税收入征收成本项目主要为支付的药品、卫生材料和人员经费以及纳入政府采购的设备采购、信息化建设、物业管理费等。项目立项、资金申报的依据为保障医院基本运</w:t>
      </w:r>
      <w:r>
        <w:rPr>
          <w:rFonts w:hint="eastAsia" w:ascii="仿宋" w:hAnsi="仿宋" w:eastAsia="仿宋" w:cs="仿宋"/>
          <w:b w:val="0"/>
          <w:bCs/>
          <w:sz w:val="32"/>
          <w:szCs w:val="32"/>
          <w:lang w:val="en-US" w:eastAsia="zh-CN"/>
        </w:rPr>
        <w:t>营</w:t>
      </w:r>
      <w:r>
        <w:rPr>
          <w:rFonts w:hint="eastAsia" w:ascii="仿宋_GB2312" w:hAnsi="宋体" w:eastAsia="仿宋_GB2312"/>
          <w:sz w:val="32"/>
          <w:szCs w:val="32"/>
          <w:lang w:val="zh-CN"/>
        </w:rPr>
        <w:t>。资金来源单位自筹资金，资金支付主要是根据非税收入缴存，通过财政大平台直接、授权支付。</w:t>
      </w:r>
    </w:p>
    <w:p>
      <w:pPr>
        <w:numPr>
          <w:ilvl w:val="0"/>
          <w:numId w:val="7"/>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numPr>
          <w:ilvl w:val="0"/>
          <w:numId w:val="0"/>
        </w:numPr>
        <w:adjustRightInd w:val="0"/>
        <w:snapToGrid w:val="0"/>
        <w:spacing w:line="600" w:lineRule="exact"/>
        <w:rPr>
          <w:rFonts w:ascii="仿宋_GB2312" w:hAnsi="宋体" w:eastAsia="仿宋_GB2312"/>
          <w:sz w:val="32"/>
          <w:szCs w:val="32"/>
          <w:lang w:val="zh-CN"/>
        </w:rPr>
      </w:pPr>
      <w:r>
        <w:rPr>
          <w:rFonts w:hint="eastAsia" w:ascii="楷体_GB2312" w:hAnsi="宋体" w:eastAsia="楷体_GB2312"/>
          <w:b/>
          <w:sz w:val="32"/>
          <w:szCs w:val="32"/>
          <w:lang w:val="en-US" w:eastAsia="zh-CN"/>
        </w:rPr>
        <w:t xml:space="preserve">    </w:t>
      </w:r>
      <w:r>
        <w:rPr>
          <w:rFonts w:hint="eastAsia" w:ascii="仿宋" w:hAnsi="仿宋" w:eastAsia="仿宋" w:cs="仿宋"/>
          <w:b w:val="0"/>
          <w:bCs/>
          <w:sz w:val="32"/>
          <w:szCs w:val="32"/>
          <w:lang w:val="en-US" w:eastAsia="zh-CN"/>
        </w:rPr>
        <w:t>项目目标主要是保障医疗保健服务正常运营，主要为</w:t>
      </w:r>
      <w:r>
        <w:rPr>
          <w:rFonts w:hint="eastAsia" w:ascii="仿宋" w:hAnsi="仿宋" w:eastAsia="仿宋" w:cs="仿宋"/>
          <w:b w:val="0"/>
          <w:bCs/>
          <w:sz w:val="32"/>
          <w:szCs w:val="32"/>
          <w:lang w:val="zh-CN"/>
        </w:rPr>
        <w:t>药品、卫生材料，</w:t>
      </w:r>
      <w:r>
        <w:rPr>
          <w:rFonts w:hint="eastAsia" w:ascii="仿宋_GB2312" w:hAnsi="宋体" w:eastAsia="仿宋_GB2312"/>
          <w:sz w:val="32"/>
          <w:szCs w:val="32"/>
          <w:lang w:val="zh-CN"/>
        </w:rPr>
        <w:t>人员经费</w:t>
      </w:r>
      <w:r>
        <w:rPr>
          <w:rFonts w:hint="eastAsia" w:ascii="仿宋" w:hAnsi="仿宋" w:eastAsia="仿宋" w:cs="仿宋"/>
          <w:b w:val="0"/>
          <w:bCs/>
          <w:sz w:val="32"/>
          <w:szCs w:val="32"/>
          <w:lang w:val="zh-CN"/>
        </w:rPr>
        <w:t>，委托业务费，物业管理费，维修维护，广告宣传费，印刷费，水、电、气费，信息网络运行费等。</w:t>
      </w:r>
    </w:p>
    <w:p>
      <w:pPr>
        <w:adjustRightInd w:val="0"/>
        <w:snapToGrid w:val="0"/>
        <w:spacing w:line="600" w:lineRule="exact"/>
        <w:ind w:firstLine="720"/>
        <w:outlineLvl w:val="1"/>
        <w:rPr>
          <w:rFonts w:ascii="黑体" w:hAnsi="宋体" w:eastAsia="黑体"/>
          <w:sz w:val="32"/>
          <w:szCs w:val="32"/>
        </w:rPr>
      </w:pPr>
      <w:bookmarkStart w:id="85" w:name="_Toc7523"/>
      <w:r>
        <w:rPr>
          <w:rFonts w:hint="eastAsia" w:ascii="黑体" w:hAnsi="宋体" w:eastAsia="黑体"/>
          <w:sz w:val="32"/>
          <w:szCs w:val="32"/>
        </w:rPr>
        <w:t>二、项目资金申报及使用情况</w:t>
      </w:r>
      <w:bookmarkEnd w:id="8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olor w:val="auto"/>
          <w:sz w:val="32"/>
          <w:szCs w:val="32"/>
          <w:lang w:val="zh-CN"/>
        </w:rPr>
        <w:t>项目由医院预算管理委员会审议通过报上级部门审核，项目所需资金由医院自筹解决。市财政局经人大会议审查批准，下达部门预算。</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hint="eastAsia" w:ascii="楷体_GB2312" w:hAnsi="宋体" w:eastAsia="楷体_GB2312"/>
          <w:color w:val="auto"/>
          <w:sz w:val="32"/>
          <w:szCs w:val="32"/>
          <w:lang w:val="zh-CN"/>
        </w:rPr>
      </w:pPr>
      <w:r>
        <w:rPr>
          <w:rFonts w:ascii="楷体_GB2312" w:hAnsi="宋体" w:eastAsia="楷体_GB2312"/>
          <w:color w:val="auto"/>
          <w:sz w:val="32"/>
          <w:szCs w:val="32"/>
          <w:lang w:val="zh-CN"/>
        </w:rPr>
        <w:t>1</w:t>
      </w:r>
      <w:r>
        <w:rPr>
          <w:rFonts w:hint="eastAsia" w:ascii="楷体_GB2312" w:hAnsi="宋体" w:eastAsia="楷体_GB2312"/>
          <w:color w:val="auto"/>
          <w:sz w:val="32"/>
          <w:szCs w:val="32"/>
          <w:lang w:val="en-US" w:eastAsia="zh-CN"/>
        </w:rPr>
        <w:t>.</w:t>
      </w:r>
      <w:r>
        <w:rPr>
          <w:rFonts w:hint="eastAsia" w:ascii="楷体_GB2312" w:hAnsi="宋体" w:eastAsia="楷体_GB2312"/>
          <w:color w:val="auto"/>
          <w:sz w:val="32"/>
          <w:szCs w:val="32"/>
          <w:lang w:val="zh-CN"/>
        </w:rPr>
        <w:t>资金计划</w:t>
      </w:r>
    </w:p>
    <w:p>
      <w:pPr>
        <w:adjustRightInd w:val="0"/>
        <w:snapToGrid w:val="0"/>
        <w:spacing w:line="600" w:lineRule="exact"/>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非税收入征收成本项目资金均由单位自筹。</w:t>
      </w:r>
    </w:p>
    <w:p>
      <w:pPr>
        <w:numPr>
          <w:ilvl w:val="0"/>
          <w:numId w:val="0"/>
        </w:numPr>
        <w:adjustRightInd w:val="0"/>
        <w:snapToGrid w:val="0"/>
        <w:spacing w:line="600" w:lineRule="exact"/>
        <w:ind w:firstLine="640" w:firstLineChars="200"/>
        <w:rPr>
          <w:rFonts w:hint="eastAsia" w:ascii="楷体_GB2312" w:hAnsi="宋体" w:eastAsia="楷体_GB2312"/>
          <w:color w:val="auto"/>
          <w:sz w:val="32"/>
          <w:szCs w:val="32"/>
          <w:lang w:val="zh-CN"/>
        </w:rPr>
      </w:pPr>
      <w:r>
        <w:rPr>
          <w:rFonts w:hint="eastAsia" w:ascii="楷体_GB2312" w:hAnsi="宋体" w:eastAsia="楷体_GB2312"/>
          <w:color w:val="auto"/>
          <w:sz w:val="32"/>
          <w:szCs w:val="32"/>
          <w:lang w:val="en-US" w:eastAsia="zh-CN"/>
        </w:rPr>
        <w:t>2.</w:t>
      </w:r>
      <w:r>
        <w:rPr>
          <w:rFonts w:hint="eastAsia" w:ascii="楷体_GB2312" w:hAnsi="宋体" w:eastAsia="楷体_GB2312"/>
          <w:color w:val="auto"/>
          <w:sz w:val="32"/>
          <w:szCs w:val="32"/>
          <w:lang w:val="zh-CN"/>
        </w:rPr>
        <w:t>资金到位</w:t>
      </w:r>
    </w:p>
    <w:p>
      <w:pPr>
        <w:numPr>
          <w:ilvl w:val="0"/>
          <w:numId w:val="0"/>
        </w:num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按照</w:t>
      </w:r>
      <w:r>
        <w:rPr>
          <w:rFonts w:hint="eastAsia" w:ascii="仿宋_GB2312" w:hAnsi="宋体" w:eastAsia="仿宋_GB2312"/>
          <w:color w:val="auto"/>
          <w:sz w:val="32"/>
          <w:szCs w:val="32"/>
          <w:lang w:val="en-US" w:eastAsia="zh-CN"/>
        </w:rPr>
        <w:t>医院年度预算计划，保障单位正常运营项目资金到位。</w:t>
      </w:r>
    </w:p>
    <w:p>
      <w:pPr>
        <w:adjustRightInd w:val="0"/>
        <w:snapToGrid w:val="0"/>
        <w:spacing w:line="600" w:lineRule="exact"/>
        <w:ind w:firstLine="640" w:firstLineChars="200"/>
        <w:rPr>
          <w:rFonts w:hint="eastAsia" w:ascii="楷体_GB2312" w:hAnsi="宋体" w:eastAsia="楷体_GB2312"/>
          <w:color w:val="auto"/>
          <w:sz w:val="32"/>
          <w:szCs w:val="32"/>
          <w:lang w:val="zh-CN"/>
        </w:rPr>
      </w:pPr>
      <w:r>
        <w:rPr>
          <w:rFonts w:ascii="楷体_GB2312" w:hAnsi="宋体" w:eastAsia="楷体_GB2312"/>
          <w:color w:val="auto"/>
          <w:sz w:val="32"/>
          <w:szCs w:val="32"/>
          <w:lang w:val="zh-CN"/>
        </w:rPr>
        <w:t>3</w:t>
      </w:r>
      <w:r>
        <w:rPr>
          <w:rFonts w:hint="eastAsia" w:ascii="楷体_GB2312" w:hAnsi="宋体" w:eastAsia="楷体_GB2312"/>
          <w:color w:val="auto"/>
          <w:sz w:val="32"/>
          <w:szCs w:val="32"/>
          <w:lang w:val="en-US" w:eastAsia="zh-CN"/>
        </w:rPr>
        <w:t>.</w:t>
      </w:r>
      <w:r>
        <w:rPr>
          <w:rFonts w:hint="eastAsia" w:ascii="楷体_GB2312" w:hAnsi="宋体" w:eastAsia="楷体_GB2312"/>
          <w:color w:val="auto"/>
          <w:sz w:val="32"/>
          <w:szCs w:val="32"/>
          <w:lang w:val="zh-CN"/>
        </w:rPr>
        <w:t>资金使用</w:t>
      </w:r>
    </w:p>
    <w:p>
      <w:pPr>
        <w:adjustRightInd w:val="0"/>
        <w:snapToGrid w:val="0"/>
        <w:spacing w:line="600" w:lineRule="exact"/>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202</w:t>
      </w:r>
      <w:r>
        <w:rPr>
          <w:rFonts w:hint="eastAsia" w:ascii="仿宋_GB2312" w:hAnsi="宋体"/>
          <w:color w:val="000000"/>
          <w:sz w:val="32"/>
          <w:szCs w:val="32"/>
          <w:lang w:val="en-US" w:eastAsia="zh-CN"/>
        </w:rPr>
        <w:t>1</w:t>
      </w:r>
      <w:r>
        <w:rPr>
          <w:rFonts w:hint="eastAsia" w:ascii="仿宋_GB2312" w:hAnsi="宋体" w:eastAsia="仿宋_GB2312"/>
          <w:color w:val="000000"/>
          <w:sz w:val="32"/>
          <w:szCs w:val="32"/>
          <w:lang w:val="en-US" w:eastAsia="zh-CN"/>
        </w:rPr>
        <w:t>年末支付完成</w:t>
      </w:r>
      <w:r>
        <w:rPr>
          <w:rFonts w:hint="eastAsia" w:ascii="仿宋" w:hAnsi="仿宋" w:eastAsia="仿宋" w:cs="仿宋"/>
          <w:b w:val="0"/>
          <w:bCs/>
          <w:sz w:val="32"/>
          <w:szCs w:val="32"/>
          <w:lang w:val="zh-CN"/>
        </w:rPr>
        <w:t>药品、卫生材料，</w:t>
      </w:r>
      <w:r>
        <w:rPr>
          <w:rFonts w:hint="eastAsia" w:ascii="仿宋_GB2312" w:hAnsi="宋体" w:eastAsia="仿宋_GB2312"/>
          <w:sz w:val="32"/>
          <w:szCs w:val="32"/>
          <w:lang w:val="zh-CN"/>
        </w:rPr>
        <w:t>人员经费</w:t>
      </w:r>
      <w:r>
        <w:rPr>
          <w:rFonts w:hint="eastAsia" w:ascii="仿宋" w:hAnsi="仿宋" w:eastAsia="仿宋" w:cs="仿宋"/>
          <w:b w:val="0"/>
          <w:bCs/>
          <w:sz w:val="32"/>
          <w:szCs w:val="32"/>
          <w:lang w:val="zh-CN"/>
        </w:rPr>
        <w:t>等非税收入征收成本项目共计</w:t>
      </w:r>
      <w:r>
        <w:rPr>
          <w:rFonts w:hint="eastAsia" w:ascii="仿宋" w:hAnsi="仿宋" w:eastAsia="仿宋" w:cs="仿宋"/>
          <w:b w:val="0"/>
          <w:bCs/>
          <w:sz w:val="32"/>
          <w:szCs w:val="32"/>
          <w:lang w:val="en-US" w:eastAsia="zh-CN"/>
        </w:rPr>
        <w:t>7716万元</w:t>
      </w:r>
      <w:r>
        <w:rPr>
          <w:rFonts w:hint="eastAsia" w:ascii="仿宋_GB2312" w:hAnsi="宋体" w:eastAsia="仿宋_GB2312"/>
          <w:color w:val="000000"/>
          <w:sz w:val="32"/>
          <w:szCs w:val="32"/>
          <w:lang w:val="en-US"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单位财务管理制度健全，严格执行财务管理制度，及时进行账务处理，会计核算符合相关会计制度规定。</w:t>
      </w:r>
    </w:p>
    <w:p>
      <w:pPr>
        <w:adjustRightInd w:val="0"/>
        <w:snapToGrid w:val="0"/>
        <w:spacing w:line="600" w:lineRule="exact"/>
        <w:ind w:firstLine="720"/>
        <w:outlineLvl w:val="1"/>
        <w:rPr>
          <w:rFonts w:ascii="黑体" w:hAnsi="宋体" w:eastAsia="黑体"/>
          <w:sz w:val="32"/>
          <w:szCs w:val="32"/>
        </w:rPr>
      </w:pPr>
      <w:bookmarkStart w:id="86" w:name="_Toc4400"/>
      <w:r>
        <w:rPr>
          <w:rFonts w:hint="eastAsia" w:ascii="黑体" w:hAnsi="宋体" w:eastAsia="黑体"/>
          <w:sz w:val="32"/>
          <w:szCs w:val="32"/>
        </w:rPr>
        <w:t>三、项目实施及管理情况</w:t>
      </w:r>
      <w:bookmarkEnd w:id="86"/>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仿宋_GB2312" w:hAnsi="仿宋_GB2312" w:eastAsia="仿宋_GB2312" w:cs="仿宋_GB2312"/>
          <w:b w:val="0"/>
          <w:bCs/>
          <w:sz w:val="32"/>
          <w:szCs w:val="32"/>
          <w:lang w:val="zh-CN"/>
        </w:rPr>
        <w:t>项目组织架构清晰，实施流程在当前阶段合理合规。</w:t>
      </w:r>
    </w:p>
    <w:p>
      <w:pPr>
        <w:numPr>
          <w:ilvl w:val="0"/>
          <w:numId w:val="7"/>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按照医院预算，按照支付管理规定完成年度非税收入征收成本项目支付。</w:t>
      </w:r>
    </w:p>
    <w:p>
      <w:pPr>
        <w:numPr>
          <w:ilvl w:val="0"/>
          <w:numId w:val="7"/>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主管部门为加强项目支付管理，对支付项目的性质、范围和合同等要素进行审核，确保支付项目真实性、安全性、及时性。</w:t>
      </w:r>
    </w:p>
    <w:p>
      <w:pPr>
        <w:adjustRightInd w:val="0"/>
        <w:snapToGrid w:val="0"/>
        <w:spacing w:line="600" w:lineRule="exact"/>
        <w:ind w:firstLine="720"/>
        <w:outlineLvl w:val="1"/>
        <w:rPr>
          <w:rFonts w:ascii="仿宋_GB2312" w:hAnsi="宋体" w:eastAsia="仿宋_GB2312"/>
          <w:sz w:val="32"/>
          <w:szCs w:val="32"/>
          <w:lang w:val="zh-CN"/>
        </w:rPr>
      </w:pPr>
      <w:bookmarkStart w:id="87" w:name="_Toc18560"/>
      <w:r>
        <w:rPr>
          <w:rFonts w:hint="eastAsia" w:ascii="黑体" w:hAnsi="宋体" w:eastAsia="黑体"/>
          <w:sz w:val="32"/>
          <w:szCs w:val="32"/>
        </w:rPr>
        <w:t>四、项目绩效情况</w:t>
      </w:r>
      <w:bookmarkEnd w:id="87"/>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en-US" w:eastAsia="zh-CN"/>
        </w:rPr>
        <w:t>202</w:t>
      </w:r>
      <w:r>
        <w:rPr>
          <w:rFonts w:hint="eastAsia" w:ascii="仿宋_GB2312" w:hAnsi="宋体"/>
          <w:sz w:val="32"/>
          <w:szCs w:val="32"/>
          <w:lang w:val="en-US" w:eastAsia="zh-CN"/>
        </w:rPr>
        <w:t>1</w:t>
      </w:r>
      <w:r>
        <w:rPr>
          <w:rFonts w:hint="eastAsia" w:ascii="仿宋_GB2312" w:hAnsi="宋体" w:eastAsia="仿宋_GB2312"/>
          <w:sz w:val="32"/>
          <w:szCs w:val="32"/>
          <w:lang w:val="en-US" w:eastAsia="zh-CN"/>
        </w:rPr>
        <w:t>年末完成对</w:t>
      </w:r>
      <w:r>
        <w:rPr>
          <w:rFonts w:hint="eastAsia" w:ascii="仿宋" w:hAnsi="仿宋" w:eastAsia="仿宋" w:cs="仿宋"/>
          <w:b w:val="0"/>
          <w:bCs/>
          <w:sz w:val="32"/>
          <w:szCs w:val="32"/>
          <w:lang w:val="zh-CN"/>
        </w:rPr>
        <w:t>药品、卫生材料人员经费等</w:t>
      </w:r>
      <w:r>
        <w:rPr>
          <w:rFonts w:hint="eastAsia" w:ascii="仿宋" w:hAnsi="仿宋" w:eastAsia="仿宋" w:cs="仿宋"/>
          <w:b w:val="0"/>
          <w:bCs/>
          <w:sz w:val="32"/>
          <w:szCs w:val="32"/>
          <w:lang w:val="en-US" w:eastAsia="zh-CN"/>
        </w:rPr>
        <w:t>17个成本项目的支付任务。保障了医院全年的正常运转，提高了医院运营效率，达到年初项目绩效目标任务。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通过对非税成本项目进行绩效目标申报、进度监控、评价，支出项目严格按照预算绩效管理进行支付，提高了预算的执行率、资金使用效率。</w:t>
      </w:r>
    </w:p>
    <w:p>
      <w:pPr>
        <w:adjustRightInd w:val="0"/>
        <w:snapToGrid w:val="0"/>
        <w:spacing w:line="600" w:lineRule="exact"/>
        <w:ind w:firstLine="720"/>
        <w:outlineLvl w:val="1"/>
        <w:rPr>
          <w:rFonts w:ascii="黑体" w:hAnsi="宋体" w:eastAsia="黑体"/>
          <w:sz w:val="32"/>
          <w:szCs w:val="32"/>
        </w:rPr>
      </w:pPr>
      <w:bookmarkStart w:id="88" w:name="_Toc12373"/>
      <w:r>
        <w:rPr>
          <w:rFonts w:hint="eastAsia" w:ascii="黑体" w:hAnsi="宋体" w:eastAsia="黑体"/>
          <w:sz w:val="32"/>
          <w:szCs w:val="32"/>
        </w:rPr>
        <w:t>五、评价结论及建议</w:t>
      </w:r>
      <w:bookmarkEnd w:id="88"/>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成本项目是保障医院正常运行的基础项目，对各分项的预算应更加精细化、科学化，避免各内部成本项目差异加大，预算执行与年初预算偏差率较大。充分考虑因特殊情况需用资金的预算份额。</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年度受新冠疫情持续影响，年初在非税收入预算时未充分考虑影响，年度实际完成较年初预算相比差距较大，直接影响部分项目年度实施资金保障，导致个别项目本年度停止实施和执行率低。影响年度收支预算，不利于项目推进实施。</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加强预算的精细化、合理化，综合全方位考虑涉及到的资金。对预算项目执行严格监督、考核，并将项目执行情况作为下年预算安排参考的重要依据。</w:t>
      </w:r>
    </w:p>
    <w:p>
      <w:pPr>
        <w:spacing w:line="600" w:lineRule="exact"/>
        <w:jc w:val="center"/>
        <w:rPr>
          <w:rFonts w:hint="eastAsia" w:ascii="方正小标宋简体" w:hAnsi="宋体" w:eastAsia="方正小标宋简体"/>
          <w:color w:val="000000"/>
          <w:kern w:val="0"/>
          <w:sz w:val="44"/>
          <w:szCs w:val="44"/>
          <w:lang w:eastAsia="zh-CN"/>
        </w:rPr>
      </w:pPr>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广元市妇幼保健院</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方正小标宋简体" w:eastAsia="方正小标宋简体" w:cs="方正小标宋简体"/>
          <w:b w:val="0"/>
          <w:bCs w:val="0"/>
          <w:color w:val="auto"/>
          <w:kern w:val="2"/>
          <w:sz w:val="44"/>
          <w:szCs w:val="44"/>
          <w:lang w:eastAsia="zh-CN"/>
        </w:rPr>
        <w:t>专项预算</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eastAsia="zh-CN"/>
        </w:rPr>
        <w:t>项目</w:t>
      </w:r>
      <w:r>
        <w:rPr>
          <w:rFonts w:hint="eastAsia" w:ascii="方正小标宋简体" w:hAnsi="宋体" w:eastAsia="方正小标宋简体"/>
          <w:color w:val="000000"/>
          <w:kern w:val="0"/>
          <w:sz w:val="44"/>
          <w:szCs w:val="44"/>
          <w:lang w:val="zh-CN"/>
        </w:rPr>
        <w:t>支出绩效自评报告</w:t>
      </w:r>
    </w:p>
    <w:p>
      <w:pPr>
        <w:spacing w:line="600" w:lineRule="exact"/>
        <w:jc w:val="center"/>
        <w:rPr>
          <w:rFonts w:hint="eastAsia" w:eastAsia="仿宋_GB2312"/>
          <w:color w:val="000000"/>
          <w:sz w:val="32"/>
          <w:szCs w:val="32"/>
          <w:lang w:val="en-US" w:eastAsia="zh-CN"/>
        </w:rPr>
      </w:pPr>
    </w:p>
    <w:p>
      <w:pPr>
        <w:spacing w:line="600" w:lineRule="exact"/>
        <w:jc w:val="center"/>
        <w:rPr>
          <w:rFonts w:hint="eastAsia" w:ascii="方正仿宋_GB2312" w:hAnsi="方正仿宋_GB2312" w:eastAsia="方正仿宋_GB2312" w:cs="方正仿宋_GB2312"/>
          <w:b w:val="0"/>
          <w:bCs w:val="0"/>
          <w:color w:val="000000"/>
          <w:sz w:val="36"/>
          <w:lang w:val="zh-CN" w:eastAsia="zh-CN"/>
        </w:rPr>
      </w:pPr>
      <w:r>
        <w:rPr>
          <w:rFonts w:hint="eastAsia" w:ascii="方正仿宋_GB2312" w:hAnsi="方正仿宋_GB2312" w:eastAsia="方正仿宋_GB2312" w:cs="方正仿宋_GB2312"/>
          <w:b w:val="0"/>
          <w:bCs w:val="0"/>
          <w:color w:val="000000"/>
          <w:sz w:val="36"/>
          <w:lang w:val="zh-CN" w:eastAsia="zh-CN"/>
        </w:rPr>
        <w:t>（医疗设备采购项目）</w:t>
      </w:r>
    </w:p>
    <w:p>
      <w:pPr>
        <w:pStyle w:val="9"/>
        <w:rPr>
          <w:rFonts w:hint="eastAsia"/>
          <w:lang w:val="zh-CN" w:eastAsia="zh-CN"/>
        </w:rPr>
      </w:pPr>
    </w:p>
    <w:p>
      <w:pPr>
        <w:pStyle w:val="9"/>
        <w:rPr>
          <w:rFonts w:hint="eastAsia"/>
          <w:lang w:eastAsia="zh-CN"/>
        </w:rPr>
      </w:pPr>
    </w:p>
    <w:p>
      <w:pPr>
        <w:numPr>
          <w:ilvl w:val="0"/>
          <w:numId w:val="0"/>
        </w:numPr>
        <w:adjustRightInd w:val="0"/>
        <w:snapToGrid w:val="0"/>
        <w:spacing w:line="600" w:lineRule="exact"/>
        <w:ind w:firstLine="320" w:firstLineChars="100"/>
        <w:jc w:val="left"/>
        <w:outlineLvl w:val="1"/>
        <w:rPr>
          <w:rFonts w:hint="eastAsia" w:ascii="黑体" w:hAnsi="宋体" w:eastAsia="黑体"/>
          <w:sz w:val="32"/>
          <w:lang w:val="zh-CN"/>
        </w:rPr>
      </w:pPr>
      <w:bookmarkStart w:id="89" w:name="_Toc15797"/>
      <w:r>
        <w:rPr>
          <w:rFonts w:hint="eastAsia" w:ascii="黑体" w:hAnsi="宋体" w:eastAsia="黑体"/>
          <w:sz w:val="32"/>
          <w:lang w:val="zh-CN"/>
        </w:rPr>
        <w:t>一、项目概况</w:t>
      </w:r>
      <w:bookmarkEnd w:id="89"/>
    </w:p>
    <w:p>
      <w:pPr>
        <w:numPr>
          <w:ilvl w:val="0"/>
          <w:numId w:val="0"/>
        </w:numPr>
        <w:adjustRightInd w:val="0"/>
        <w:snapToGrid w:val="0"/>
        <w:spacing w:line="600" w:lineRule="exact"/>
        <w:ind w:firstLine="321" w:firstLineChars="100"/>
        <w:jc w:val="left"/>
        <w:rPr>
          <w:rFonts w:hint="eastAsia" w:ascii="楷体_GB2312" w:hAnsi="宋体" w:eastAsia="楷体_GB2312"/>
          <w:b/>
          <w:sz w:val="32"/>
          <w:lang w:val="zh-CN"/>
        </w:rPr>
      </w:pPr>
      <w:r>
        <w:rPr>
          <w:rFonts w:hint="eastAsia" w:ascii="楷体_GB2312" w:hAnsi="宋体" w:eastAsia="楷体_GB2312"/>
          <w:b/>
          <w:sz w:val="32"/>
          <w:lang w:val="zh-CN"/>
        </w:rPr>
        <w:t>（一）项目基本情况</w:t>
      </w:r>
    </w:p>
    <w:p>
      <w:pPr>
        <w:adjustRightInd w:val="0"/>
        <w:snapToGrid w:val="0"/>
        <w:spacing w:line="600" w:lineRule="exact"/>
        <w:ind w:firstLine="640" w:firstLineChars="200"/>
        <w:jc w:val="left"/>
        <w:rPr>
          <w:rFonts w:hint="eastAsia" w:ascii="仿宋_GB2312" w:hAnsi="宋体" w:eastAsia="仿宋_GB2312"/>
          <w:sz w:val="32"/>
          <w:lang w:val="zh-CN"/>
        </w:rPr>
      </w:pPr>
      <w:r>
        <w:rPr>
          <w:rFonts w:hint="eastAsia" w:ascii="仿宋_GB2312" w:hAnsi="宋体" w:eastAsia="仿宋_GB2312"/>
          <w:sz w:val="32"/>
          <w:lang w:val="en-US" w:eastAsia="zh-CN"/>
        </w:rPr>
        <w:t>20</w:t>
      </w:r>
      <w:r>
        <w:rPr>
          <w:rFonts w:hint="default" w:ascii="宋体" w:hAnsi="宋体"/>
          <w:sz w:val="32"/>
          <w:lang w:val="en-US" w:eastAsia="zh-CN"/>
        </w:rPr>
        <w:t>20</w:t>
      </w:r>
      <w:r>
        <w:rPr>
          <w:rFonts w:hint="eastAsia" w:ascii="仿宋_GB2312" w:hAnsi="宋体" w:eastAsia="仿宋_GB2312"/>
          <w:sz w:val="32"/>
          <w:lang w:val="en-US" w:eastAsia="zh-CN"/>
        </w:rPr>
        <w:t>年底，全院各科室提交202</w:t>
      </w:r>
      <w:r>
        <w:rPr>
          <w:rFonts w:hint="default" w:ascii="宋体" w:hAnsi="宋体"/>
          <w:sz w:val="32"/>
          <w:lang w:val="en-US" w:eastAsia="zh-CN"/>
        </w:rPr>
        <w:t>1</w:t>
      </w:r>
      <w:r>
        <w:rPr>
          <w:rFonts w:hint="eastAsia" w:ascii="仿宋_GB2312" w:hAnsi="宋体" w:eastAsia="仿宋_GB2312"/>
          <w:sz w:val="32"/>
          <w:lang w:val="en-US" w:eastAsia="zh-CN"/>
        </w:rPr>
        <w:t>年预算新增设备22台件，预算经费</w:t>
      </w:r>
      <w:r>
        <w:rPr>
          <w:rFonts w:hint="default" w:ascii="宋体" w:hAnsi="宋体"/>
          <w:sz w:val="32"/>
          <w:lang w:val="en-US" w:eastAsia="zh-CN"/>
        </w:rPr>
        <w:t>272.69</w:t>
      </w:r>
      <w:r>
        <w:rPr>
          <w:rFonts w:hint="eastAsia" w:ascii="仿宋_GB2312" w:hAnsi="宋体" w:eastAsia="仿宋_GB2312"/>
          <w:sz w:val="32"/>
          <w:lang w:val="en-US" w:eastAsia="zh-CN"/>
        </w:rPr>
        <w:t>万元，实际执行采购采购</w:t>
      </w:r>
      <w:r>
        <w:rPr>
          <w:rFonts w:hint="default" w:ascii="宋体" w:hAnsi="宋体"/>
          <w:sz w:val="32"/>
          <w:lang w:val="en-US" w:eastAsia="zh-CN"/>
        </w:rPr>
        <w:t>14</w:t>
      </w:r>
      <w:r>
        <w:rPr>
          <w:rFonts w:hint="eastAsia" w:ascii="仿宋_GB2312" w:hAnsi="宋体" w:eastAsia="仿宋_GB2312"/>
          <w:sz w:val="32"/>
          <w:lang w:val="en-US" w:eastAsia="zh-CN"/>
        </w:rPr>
        <w:t>台件，采购金额</w:t>
      </w:r>
      <w:r>
        <w:rPr>
          <w:rFonts w:hint="default" w:ascii="宋体" w:hAnsi="宋体"/>
          <w:sz w:val="32"/>
          <w:lang w:val="en-US" w:eastAsia="zh-CN"/>
        </w:rPr>
        <w:t>76.5</w:t>
      </w:r>
      <w:r>
        <w:rPr>
          <w:rFonts w:hint="eastAsia" w:ascii="仿宋_GB2312" w:hAnsi="宋体" w:eastAsia="仿宋_GB2312"/>
          <w:sz w:val="32"/>
          <w:lang w:val="en-US" w:eastAsia="zh-CN"/>
        </w:rPr>
        <w:t>万元，执行率</w:t>
      </w:r>
      <w:r>
        <w:rPr>
          <w:rFonts w:hint="default" w:ascii="宋体" w:hAnsi="宋体"/>
          <w:sz w:val="32"/>
          <w:lang w:val="en-US" w:eastAsia="zh-CN"/>
        </w:rPr>
        <w:t>28.05</w:t>
      </w:r>
      <w:r>
        <w:rPr>
          <w:rFonts w:hint="eastAsia" w:ascii="仿宋_GB2312" w:hAnsi="宋体" w:eastAsia="仿宋_GB2312"/>
          <w:sz w:val="32"/>
          <w:lang w:val="en-US" w:eastAsia="zh-CN"/>
        </w:rPr>
        <w:t>%。</w:t>
      </w:r>
    </w:p>
    <w:p>
      <w:pPr>
        <w:adjustRightInd w:val="0"/>
        <w:snapToGrid w:val="0"/>
        <w:spacing w:line="600" w:lineRule="exact"/>
        <w:ind w:firstLine="321" w:firstLineChars="100"/>
        <w:rPr>
          <w:rFonts w:hint="eastAsia" w:ascii="楷体_GB2312" w:hAnsi="宋体" w:eastAsia="楷体_GB2312"/>
          <w:b/>
          <w:sz w:val="32"/>
          <w:lang w:val="zh-CN"/>
        </w:rPr>
      </w:pPr>
      <w:r>
        <w:rPr>
          <w:rFonts w:hint="eastAsia" w:ascii="楷体_GB2312" w:hAnsi="宋体" w:eastAsia="楷体_GB2312"/>
          <w:b/>
          <w:sz w:val="32"/>
          <w:lang w:val="zh-CN"/>
        </w:rPr>
        <w:t>（二）项目绩效目标</w:t>
      </w:r>
    </w:p>
    <w:p>
      <w:pPr>
        <w:adjustRightInd w:val="0"/>
        <w:snapToGrid w:val="0"/>
        <w:spacing w:line="600" w:lineRule="exact"/>
        <w:ind w:firstLine="642" w:firstLineChars="200"/>
        <w:rPr>
          <w:rFonts w:hint="eastAsia" w:ascii="仿宋_GB2312" w:hAnsi="宋体" w:eastAsia="仿宋_GB2312"/>
          <w:b/>
          <w:sz w:val="32"/>
          <w:lang w:val="zh-CN"/>
        </w:rPr>
      </w:pPr>
      <w:r>
        <w:rPr>
          <w:rFonts w:hint="eastAsia" w:ascii="仿宋_GB2312" w:hAnsi="宋体" w:eastAsia="仿宋_GB2312"/>
          <w:b/>
          <w:sz w:val="32"/>
          <w:lang w:val="zh-CN"/>
        </w:rPr>
        <w:t>1．项目主要内容</w:t>
      </w:r>
    </w:p>
    <w:p>
      <w:pPr>
        <w:adjustRightInd w:val="0"/>
        <w:snapToGrid w:val="0"/>
        <w:spacing w:line="600" w:lineRule="exact"/>
        <w:ind w:firstLine="640" w:firstLineChars="200"/>
        <w:rPr>
          <w:rFonts w:hint="eastAsia" w:ascii="仿宋_GB2312" w:hAnsi="仿宋_GB2312" w:eastAsia="仿宋_GB2312"/>
          <w:color w:val="000000"/>
          <w:sz w:val="32"/>
          <w:lang w:val="zh-CN" w:eastAsia="zh-CN"/>
        </w:rPr>
      </w:pPr>
      <w:r>
        <w:rPr>
          <w:rFonts w:hint="eastAsia" w:ascii="仿宋_GB2312" w:hAnsi="仿宋_GB2312" w:eastAsia="仿宋_GB2312"/>
          <w:color w:val="000000"/>
          <w:sz w:val="32"/>
          <w:lang w:eastAsia="zh-CN"/>
        </w:rPr>
        <w:t>通过院内采购完成电动手术床、暖箱、全自动精液分析仪、加温毯、电子体重计 、立式电子血压计、牙科综合治疗仪和红光治疗仪等新增14台件医疗设备的采购，使用资金76.5万元</w:t>
      </w:r>
      <w:r>
        <w:rPr>
          <w:rFonts w:hint="eastAsia" w:ascii="仿宋_GB2312" w:hAnsi="宋体" w:eastAsia="仿宋_GB2312"/>
          <w:sz w:val="32"/>
          <w:lang w:val="en-US" w:eastAsia="zh-CN"/>
        </w:rPr>
        <w:t>。</w:t>
      </w:r>
    </w:p>
    <w:p>
      <w:pPr>
        <w:numPr>
          <w:ilvl w:val="0"/>
          <w:numId w:val="0"/>
        </w:numPr>
        <w:adjustRightInd w:val="0"/>
        <w:snapToGrid w:val="0"/>
        <w:spacing w:line="600" w:lineRule="exact"/>
        <w:ind w:firstLine="642" w:firstLineChars="200"/>
        <w:rPr>
          <w:rFonts w:hint="eastAsia" w:ascii="仿宋_GB2312" w:hAnsi="宋体" w:eastAsia="仿宋_GB2312"/>
          <w:sz w:val="32"/>
          <w:lang w:val="en-US" w:eastAsia="zh-CN"/>
        </w:rPr>
      </w:pPr>
      <w:r>
        <w:rPr>
          <w:rFonts w:hint="eastAsia" w:ascii="仿宋_GB2312" w:hAnsi="宋体" w:eastAsia="仿宋_GB2312"/>
          <w:b/>
          <w:sz w:val="32"/>
          <w:lang w:val="en-US" w:eastAsia="zh-CN"/>
        </w:rPr>
        <w:t>2.</w:t>
      </w:r>
      <w:r>
        <w:rPr>
          <w:rFonts w:hint="eastAsia" w:ascii="仿宋_GB2312" w:hAnsi="宋体" w:eastAsia="仿宋_GB2312"/>
          <w:b/>
          <w:sz w:val="32"/>
          <w:lang w:val="zh-CN"/>
        </w:rPr>
        <w:t>项目绩效目标的量化、细化情况以及项目实施进度计划</w:t>
      </w:r>
    </w:p>
    <w:p>
      <w:pPr>
        <w:numPr>
          <w:ilvl w:val="0"/>
          <w:numId w:val="0"/>
        </w:numPr>
        <w:adjustRightInd w:val="0"/>
        <w:snapToGrid w:val="0"/>
        <w:spacing w:line="600" w:lineRule="exact"/>
        <w:ind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2021年各采购项目严格按照院内政府采购内控制度，进行市场调查、论证、会议决策、备案采购、履约验收后投入使用等，按照预定期限完成。</w:t>
      </w:r>
    </w:p>
    <w:p>
      <w:pPr>
        <w:numPr>
          <w:ilvl w:val="0"/>
          <w:numId w:val="0"/>
        </w:numPr>
        <w:adjustRightInd w:val="0"/>
        <w:snapToGrid w:val="0"/>
        <w:spacing w:line="600" w:lineRule="exact"/>
        <w:ind w:firstLine="642" w:firstLineChars="200"/>
        <w:rPr>
          <w:rFonts w:hint="eastAsia" w:ascii="仿宋_GB2312" w:hAnsi="宋体" w:eastAsia="仿宋_GB2312"/>
          <w:sz w:val="32"/>
          <w:lang w:val="zh-CN"/>
        </w:rPr>
      </w:pPr>
      <w:r>
        <w:rPr>
          <w:rFonts w:hint="eastAsia" w:ascii="仿宋_GB2312" w:hAnsi="宋体" w:eastAsia="仿宋_GB2312"/>
          <w:b/>
          <w:sz w:val="32"/>
          <w:lang w:val="en-US" w:eastAsia="zh-CN"/>
        </w:rPr>
        <w:t>3.</w:t>
      </w:r>
      <w:r>
        <w:rPr>
          <w:rFonts w:hint="eastAsia" w:ascii="仿宋_GB2312" w:hAnsi="宋体" w:eastAsia="仿宋_GB2312"/>
          <w:b/>
          <w:sz w:val="32"/>
          <w:lang w:val="zh-CN"/>
        </w:rPr>
        <w:t>分析评价申报内容是否与实际相符，申报目标是否合理可行</w:t>
      </w:r>
    </w:p>
    <w:p>
      <w:pPr>
        <w:numPr>
          <w:ilvl w:val="0"/>
          <w:numId w:val="0"/>
        </w:numPr>
        <w:adjustRightInd w:val="0"/>
        <w:snapToGrid w:val="0"/>
        <w:spacing w:line="600" w:lineRule="exact"/>
        <w:rPr>
          <w:rFonts w:hint="eastAsia" w:ascii="仿宋_GB2312" w:hAnsi="宋体" w:eastAsia="仿宋_GB2312"/>
          <w:sz w:val="32"/>
          <w:lang w:val="en-US" w:eastAsia="zh-CN"/>
        </w:rPr>
      </w:pPr>
      <w:r>
        <w:rPr>
          <w:rFonts w:hint="eastAsia" w:ascii="仿宋_GB2312" w:hAnsi="宋体" w:eastAsia="仿宋_GB2312"/>
          <w:sz w:val="32"/>
          <w:lang w:val="en-US" w:eastAsia="zh-CN"/>
        </w:rPr>
        <w:t xml:space="preserve">   通过对2021年实施采购后的设备投入使用运行情况分析，各需求部门提交的设备申报内容与实际工作相符，申报目标合理可行。</w:t>
      </w:r>
    </w:p>
    <w:p>
      <w:pPr>
        <w:numPr>
          <w:ilvl w:val="0"/>
          <w:numId w:val="0"/>
        </w:num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（三）项目自评步骤及方法</w:t>
      </w:r>
    </w:p>
    <w:p>
      <w:pPr>
        <w:adjustRightInd w:val="0"/>
        <w:snapToGrid w:val="0"/>
        <w:spacing w:line="600" w:lineRule="exact"/>
        <w:ind w:firstLine="640" w:firstLineChars="200"/>
        <w:rPr>
          <w:rFonts w:hint="eastAsia" w:ascii="仿宋_GB2312" w:hAnsi="宋体" w:eastAsia="仿宋_GB2312"/>
          <w:sz w:val="32"/>
          <w:lang w:val="en-US" w:eastAsia="zh-CN"/>
        </w:rPr>
      </w:pPr>
      <w:r>
        <w:rPr>
          <w:rFonts w:hint="eastAsia" w:ascii="仿宋_GB2312" w:hAnsi="宋体" w:eastAsia="仿宋_GB2312"/>
          <w:sz w:val="32"/>
          <w:lang w:val="zh-CN"/>
        </w:rPr>
        <w:t>通过临床科室申请、论证</w:t>
      </w:r>
      <w:r>
        <w:rPr>
          <w:rFonts w:hint="eastAsia" w:ascii="仿宋_GB2312" w:hAnsi="宋体" w:eastAsia="仿宋_GB2312"/>
          <w:sz w:val="32"/>
          <w:lang w:val="en-US" w:eastAsia="zh-CN"/>
        </w:rPr>
        <w:t>-部门和分管领导审批-官网调研询价-听取产品介绍、二轮报价、院内专家论证-控制价议和采购价论证、招标前再论证-上院长办公会和党委会集体决策-委托代理机构-备案-挂网-开标-合同审签-履约验收-交付使用等，自评流程合理合规。</w:t>
      </w:r>
    </w:p>
    <w:p>
      <w:pPr>
        <w:adjustRightInd w:val="0"/>
        <w:snapToGrid w:val="0"/>
        <w:spacing w:line="600" w:lineRule="exact"/>
        <w:ind w:firstLine="640" w:firstLineChars="200"/>
        <w:outlineLvl w:val="1"/>
        <w:rPr>
          <w:rFonts w:hint="eastAsia" w:ascii="黑体" w:hAnsi="宋体" w:eastAsia="黑体"/>
          <w:color w:val="auto"/>
          <w:sz w:val="32"/>
        </w:rPr>
      </w:pPr>
      <w:bookmarkStart w:id="90" w:name="_Toc15467"/>
      <w:r>
        <w:rPr>
          <w:rFonts w:hint="eastAsia" w:ascii="黑体" w:hAnsi="宋体" w:eastAsia="黑体"/>
          <w:color w:val="auto"/>
          <w:sz w:val="32"/>
        </w:rPr>
        <w:t>二、项目资金申报及使用情况</w:t>
      </w:r>
      <w:bookmarkEnd w:id="90"/>
    </w:p>
    <w:p>
      <w:pPr>
        <w:adjustRightInd w:val="0"/>
        <w:snapToGrid w:val="0"/>
        <w:spacing w:line="600" w:lineRule="exact"/>
        <w:ind w:firstLine="642" w:firstLineChars="200"/>
        <w:rPr>
          <w:rFonts w:hint="eastAsia" w:ascii="楷体_GB2312" w:hAnsi="宋体" w:eastAsia="楷体_GB2312"/>
          <w:b/>
          <w:color w:val="auto"/>
          <w:sz w:val="32"/>
          <w:lang w:val="zh-CN"/>
        </w:rPr>
      </w:pPr>
      <w:r>
        <w:rPr>
          <w:rFonts w:hint="eastAsia" w:ascii="楷体_GB2312" w:hAnsi="宋体" w:eastAsia="楷体_GB2312"/>
          <w:b/>
          <w:color w:val="auto"/>
          <w:sz w:val="32"/>
          <w:lang w:val="zh-CN"/>
        </w:rPr>
        <w:t>（一）项目资金申报及批复情况</w:t>
      </w:r>
    </w:p>
    <w:p>
      <w:pPr>
        <w:adjustRightInd w:val="0"/>
        <w:snapToGrid w:val="0"/>
        <w:spacing w:line="600" w:lineRule="exact"/>
        <w:ind w:firstLine="640" w:firstLineChars="200"/>
        <w:rPr>
          <w:rFonts w:hint="eastAsia" w:ascii="仿宋_GB2312" w:hAnsi="宋体" w:eastAsia="仿宋_GB2312"/>
          <w:color w:val="auto"/>
          <w:sz w:val="32"/>
          <w:lang w:val="zh-CN"/>
        </w:rPr>
      </w:pPr>
      <w:r>
        <w:rPr>
          <w:rFonts w:hint="eastAsia" w:ascii="仿宋_GB2312" w:hAnsi="宋体" w:eastAsia="仿宋_GB2312"/>
          <w:color w:val="auto"/>
          <w:sz w:val="32"/>
          <w:lang w:val="zh-CN"/>
        </w:rPr>
        <w:t>医疗设备项目通过业务科室申请，职能科室汇总审核后由医院预算管理委员会审议通过报上级部门审核，项目所需资金由医院自筹解决。市财政局经人大会议审查批准，下达部门预算。</w:t>
      </w:r>
    </w:p>
    <w:p>
      <w:pPr>
        <w:adjustRightInd w:val="0"/>
        <w:snapToGrid w:val="0"/>
        <w:spacing w:line="600" w:lineRule="exact"/>
        <w:ind w:firstLine="642" w:firstLineChars="200"/>
        <w:rPr>
          <w:rFonts w:hint="eastAsia" w:ascii="仿宋_GB2312" w:hAnsi="宋体" w:eastAsia="仿宋_GB2312"/>
          <w:color w:val="auto"/>
          <w:sz w:val="32"/>
          <w:lang w:val="zh-CN"/>
        </w:rPr>
      </w:pPr>
      <w:r>
        <w:rPr>
          <w:rFonts w:hint="eastAsia" w:ascii="楷体_GB2312" w:hAnsi="宋体" w:eastAsia="楷体_GB2312"/>
          <w:b/>
          <w:color w:val="auto"/>
          <w:sz w:val="32"/>
          <w:lang w:val="zh-CN"/>
        </w:rPr>
        <w:t>（二）资金计划、到位及使用情况</w:t>
      </w:r>
    </w:p>
    <w:p>
      <w:pPr>
        <w:adjustRightInd w:val="0"/>
        <w:snapToGrid w:val="0"/>
        <w:spacing w:line="600" w:lineRule="exact"/>
        <w:ind w:firstLine="640" w:firstLineChars="200"/>
        <w:rPr>
          <w:rFonts w:hint="eastAsia" w:ascii="楷体_GB2312" w:hAnsi="宋体" w:eastAsia="楷体_GB2312"/>
          <w:color w:val="auto"/>
          <w:sz w:val="32"/>
          <w:lang w:val="zh-CN"/>
        </w:rPr>
      </w:pPr>
      <w:r>
        <w:rPr>
          <w:rFonts w:hint="eastAsia" w:ascii="楷体_GB2312" w:hAnsi="宋体" w:eastAsia="楷体_GB2312"/>
          <w:color w:val="auto"/>
          <w:sz w:val="32"/>
          <w:lang w:val="zh-CN"/>
        </w:rPr>
        <w:t>1</w:t>
      </w:r>
      <w:r>
        <w:rPr>
          <w:rFonts w:hint="eastAsia" w:ascii="楷体_GB2312" w:hAnsi="宋体" w:eastAsia="楷体_GB2312"/>
          <w:color w:val="auto"/>
          <w:sz w:val="32"/>
          <w:lang w:val="en-US" w:eastAsia="zh-CN"/>
        </w:rPr>
        <w:t>.</w:t>
      </w:r>
      <w:r>
        <w:rPr>
          <w:rFonts w:hint="eastAsia" w:ascii="楷体_GB2312" w:hAnsi="宋体" w:eastAsia="楷体_GB2312"/>
          <w:color w:val="auto"/>
          <w:sz w:val="32"/>
          <w:lang w:val="zh-CN"/>
        </w:rPr>
        <w:t>资金计划</w:t>
      </w:r>
    </w:p>
    <w:p>
      <w:pPr>
        <w:adjustRightInd w:val="0"/>
        <w:snapToGrid w:val="0"/>
        <w:spacing w:line="600" w:lineRule="exact"/>
        <w:rPr>
          <w:rFonts w:hint="eastAsia" w:ascii="仿宋_GB2312" w:hAnsi="宋体" w:eastAsia="仿宋_GB2312"/>
          <w:color w:val="auto"/>
          <w:sz w:val="32"/>
          <w:lang w:val="en-US" w:eastAsia="zh-CN"/>
        </w:rPr>
      </w:pPr>
      <w:r>
        <w:rPr>
          <w:rFonts w:hint="eastAsia" w:ascii="仿宋_GB2312" w:hAnsi="宋体" w:eastAsia="仿宋_GB2312"/>
          <w:color w:val="auto"/>
          <w:sz w:val="32"/>
          <w:lang w:val="en-US" w:eastAsia="zh-CN"/>
        </w:rPr>
        <w:t xml:space="preserve">    单位医疗设备购置项目资金均由单位自筹。</w:t>
      </w:r>
    </w:p>
    <w:p>
      <w:pPr>
        <w:numPr>
          <w:ilvl w:val="0"/>
          <w:numId w:val="0"/>
        </w:numPr>
        <w:adjustRightInd w:val="0"/>
        <w:snapToGrid w:val="0"/>
        <w:spacing w:line="600" w:lineRule="exact"/>
        <w:ind w:leftChars="200" w:firstLine="320" w:firstLineChars="100"/>
        <w:rPr>
          <w:rFonts w:hint="eastAsia" w:ascii="楷体_GB2312" w:hAnsi="宋体" w:eastAsia="楷体_GB2312"/>
          <w:color w:val="auto"/>
          <w:sz w:val="32"/>
          <w:lang w:val="zh-CN"/>
        </w:rPr>
      </w:pPr>
      <w:r>
        <w:rPr>
          <w:rFonts w:hint="eastAsia" w:ascii="楷体_GB2312" w:hAnsi="宋体" w:eastAsia="楷体_GB2312"/>
          <w:color w:val="auto"/>
          <w:sz w:val="32"/>
          <w:lang w:val="en-US" w:eastAsia="zh-CN"/>
        </w:rPr>
        <w:t>2.</w:t>
      </w:r>
      <w:r>
        <w:rPr>
          <w:rFonts w:hint="eastAsia" w:ascii="楷体_GB2312" w:hAnsi="宋体" w:eastAsia="楷体_GB2312"/>
          <w:color w:val="auto"/>
          <w:sz w:val="32"/>
          <w:lang w:val="zh-CN"/>
        </w:rPr>
        <w:t>资金到位</w:t>
      </w:r>
    </w:p>
    <w:p>
      <w:pPr>
        <w:numPr>
          <w:ilvl w:val="0"/>
          <w:numId w:val="0"/>
        </w:numPr>
        <w:adjustRightInd w:val="0"/>
        <w:snapToGrid w:val="0"/>
        <w:spacing w:line="600" w:lineRule="exact"/>
        <w:ind w:leftChars="200" w:firstLine="320" w:firstLineChars="100"/>
        <w:rPr>
          <w:rFonts w:hint="eastAsia" w:ascii="仿宋_GB2312" w:hAnsi="宋体" w:eastAsia="仿宋_GB2312"/>
          <w:color w:val="auto"/>
          <w:sz w:val="32"/>
          <w:lang w:val="zh-CN"/>
        </w:rPr>
      </w:pPr>
      <w:r>
        <w:rPr>
          <w:rFonts w:hint="eastAsia" w:ascii="仿宋_GB2312" w:hAnsi="宋体" w:eastAsia="仿宋_GB2312"/>
          <w:color w:val="auto"/>
          <w:sz w:val="32"/>
          <w:lang w:val="zh-CN"/>
        </w:rPr>
        <w:t>按照</w:t>
      </w:r>
      <w:r>
        <w:rPr>
          <w:rFonts w:hint="eastAsia" w:ascii="仿宋_GB2312" w:hAnsi="宋体" w:eastAsia="仿宋_GB2312"/>
          <w:color w:val="auto"/>
          <w:sz w:val="32"/>
          <w:lang w:val="en-US" w:eastAsia="zh-CN"/>
        </w:rPr>
        <w:t>医疗设备购置项目年度计划，单位自筹资金重点保障，按计划及时支付采购项目进度款。</w:t>
      </w:r>
    </w:p>
    <w:p>
      <w:pPr>
        <w:adjustRightInd w:val="0"/>
        <w:snapToGrid w:val="0"/>
        <w:spacing w:line="600" w:lineRule="exact"/>
        <w:ind w:firstLine="640" w:firstLineChars="200"/>
        <w:rPr>
          <w:rFonts w:hint="eastAsia" w:ascii="楷体_GB2312" w:hAnsi="宋体" w:eastAsia="楷体_GB2312"/>
          <w:color w:val="auto"/>
          <w:sz w:val="32"/>
          <w:lang w:val="zh-CN"/>
        </w:rPr>
      </w:pPr>
      <w:r>
        <w:rPr>
          <w:rFonts w:hint="eastAsia" w:ascii="楷体_GB2312" w:hAnsi="宋体" w:eastAsia="楷体_GB2312"/>
          <w:color w:val="auto"/>
          <w:sz w:val="32"/>
          <w:lang w:val="zh-CN"/>
        </w:rPr>
        <w:t>3</w:t>
      </w:r>
      <w:r>
        <w:rPr>
          <w:rFonts w:hint="eastAsia" w:ascii="楷体_GB2312" w:hAnsi="宋体" w:eastAsia="楷体_GB2312"/>
          <w:color w:val="auto"/>
          <w:sz w:val="32"/>
          <w:lang w:val="en-US" w:eastAsia="zh-CN"/>
        </w:rPr>
        <w:t>.</w:t>
      </w:r>
      <w:r>
        <w:rPr>
          <w:rFonts w:hint="eastAsia" w:ascii="楷体_GB2312" w:hAnsi="宋体" w:eastAsia="楷体_GB2312"/>
          <w:color w:val="auto"/>
          <w:sz w:val="32"/>
          <w:lang w:val="zh-CN"/>
        </w:rPr>
        <w:t>资金使用</w:t>
      </w:r>
    </w:p>
    <w:p>
      <w:pPr>
        <w:adjustRightInd w:val="0"/>
        <w:snapToGrid w:val="0"/>
        <w:spacing w:line="600" w:lineRule="exact"/>
        <w:ind w:firstLine="640" w:firstLineChars="200"/>
        <w:rPr>
          <w:rFonts w:hint="eastAsia" w:ascii="仿宋_GB2312" w:hAnsi="宋体" w:eastAsia="仿宋_GB2312"/>
          <w:color w:val="000000"/>
          <w:sz w:val="32"/>
          <w:lang w:val="en-US" w:eastAsia="zh-CN"/>
        </w:rPr>
      </w:pPr>
      <w:r>
        <w:rPr>
          <w:rFonts w:hint="eastAsia" w:ascii="仿宋_GB2312" w:hAnsi="宋体" w:eastAsia="仿宋_GB2312"/>
          <w:color w:val="000000"/>
          <w:sz w:val="32"/>
          <w:lang w:val="zh-CN"/>
        </w:rPr>
        <w:t>截止目前，所有已采项目</w:t>
      </w:r>
      <w:r>
        <w:rPr>
          <w:rFonts w:hint="eastAsia" w:ascii="仿宋_GB2312" w:hAnsi="宋体" w:eastAsia="仿宋_GB2312"/>
          <w:color w:val="000000"/>
          <w:sz w:val="32"/>
          <w:lang w:val="en-US" w:eastAsia="zh-CN"/>
        </w:rPr>
        <w:t>均按照合同约定比例完成支付。</w:t>
      </w:r>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（三）项目财务管理情况</w:t>
      </w:r>
    </w:p>
    <w:p>
      <w:pPr>
        <w:adjustRightInd w:val="0"/>
        <w:snapToGrid w:val="0"/>
        <w:spacing w:line="600" w:lineRule="exact"/>
        <w:ind w:firstLine="640" w:firstLineChars="200"/>
        <w:rPr>
          <w:rFonts w:hint="eastAsia" w:ascii="仿宋_GB2312" w:hAnsi="宋体" w:eastAsia="仿宋_GB2312"/>
          <w:sz w:val="32"/>
          <w:lang w:val="zh-CN"/>
        </w:rPr>
      </w:pPr>
      <w:r>
        <w:rPr>
          <w:rFonts w:hint="eastAsia" w:ascii="仿宋_GB2312" w:hAnsi="宋体" w:eastAsia="仿宋_GB2312"/>
          <w:sz w:val="32"/>
          <w:lang w:val="zh-CN"/>
        </w:rPr>
        <w:t>在各项目款支付审批过程中，财务科按照制度要求严格审批申报支付各类资料、票据、凭证等，做好了环节把控。</w:t>
      </w:r>
    </w:p>
    <w:p>
      <w:pPr>
        <w:adjustRightInd w:val="0"/>
        <w:snapToGrid w:val="0"/>
        <w:spacing w:line="600" w:lineRule="exact"/>
        <w:ind w:firstLine="640" w:firstLineChars="200"/>
        <w:outlineLvl w:val="1"/>
        <w:rPr>
          <w:rFonts w:hint="eastAsia" w:ascii="黑体" w:hAnsi="宋体" w:eastAsia="黑体"/>
          <w:sz w:val="32"/>
        </w:rPr>
      </w:pPr>
      <w:bookmarkStart w:id="91" w:name="_Toc11133"/>
      <w:r>
        <w:rPr>
          <w:rFonts w:hint="eastAsia" w:ascii="黑体" w:hAnsi="宋体" w:eastAsia="黑体"/>
          <w:sz w:val="32"/>
        </w:rPr>
        <w:t>三、项目实施及管理情况</w:t>
      </w:r>
      <w:bookmarkEnd w:id="91"/>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（一）项目组织架构及实施流程</w:t>
      </w:r>
    </w:p>
    <w:p>
      <w:pPr>
        <w:adjustRightInd w:val="0"/>
        <w:snapToGrid w:val="0"/>
        <w:spacing w:line="600" w:lineRule="exact"/>
        <w:ind w:firstLine="640" w:firstLineChars="200"/>
        <w:rPr>
          <w:rFonts w:hint="eastAsia" w:ascii="仿宋_GB2312" w:hAnsi="仿宋_GB2312" w:eastAsia="仿宋_GB2312"/>
          <w:sz w:val="32"/>
          <w:lang w:val="zh-CN"/>
        </w:rPr>
      </w:pPr>
      <w:r>
        <w:rPr>
          <w:rFonts w:hint="eastAsia" w:ascii="仿宋_GB2312" w:hAnsi="仿宋_GB2312" w:eastAsia="仿宋_GB2312"/>
          <w:sz w:val="32"/>
          <w:lang w:val="zh-CN"/>
        </w:rPr>
        <w:t>项目组织架构清晰，实施流程在当前阶段合理合规。</w:t>
      </w:r>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（二）项目管理情况</w:t>
      </w:r>
    </w:p>
    <w:p>
      <w:pPr>
        <w:adjustRightInd w:val="0"/>
        <w:snapToGrid w:val="0"/>
        <w:spacing w:line="600" w:lineRule="exact"/>
        <w:ind w:firstLine="640" w:firstLineChars="200"/>
        <w:rPr>
          <w:rFonts w:hint="eastAsia" w:ascii="仿宋_GB2312" w:hAnsi="仿宋_GB2312" w:eastAsia="仿宋_GB2312"/>
          <w:sz w:val="32"/>
          <w:lang w:val="zh-CN"/>
        </w:rPr>
      </w:pPr>
      <w:r>
        <w:rPr>
          <w:rFonts w:hint="eastAsia" w:ascii="仿宋_GB2312" w:hAnsi="仿宋_GB2312" w:eastAsia="仿宋_GB2312"/>
          <w:sz w:val="32"/>
          <w:lang w:val="zh-CN"/>
        </w:rPr>
        <w:t>严格按照《中华人民共和国政府采购法》《中华人民共和国政府采购法实施办法》《财政部货物和服务招投标管理办法》《广元市妇幼保健院内控制度》等实施采购、按规定进行项目公示。</w:t>
      </w:r>
    </w:p>
    <w:p>
      <w:pPr>
        <w:numPr>
          <w:ilvl w:val="0"/>
          <w:numId w:val="0"/>
        </w:num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（三）项目监管情况</w:t>
      </w:r>
    </w:p>
    <w:p>
      <w:pPr>
        <w:numPr>
          <w:ilvl w:val="0"/>
          <w:numId w:val="0"/>
        </w:numPr>
        <w:adjustRightInd w:val="0"/>
        <w:snapToGrid w:val="0"/>
        <w:spacing w:line="600" w:lineRule="exact"/>
        <w:ind w:firstLine="640" w:firstLineChars="200"/>
        <w:rPr>
          <w:rFonts w:hint="eastAsia" w:ascii="仿宋_GB2312" w:hAnsi="宋体" w:eastAsia="仿宋_GB2312"/>
          <w:sz w:val="32"/>
          <w:lang w:val="zh-CN"/>
        </w:rPr>
      </w:pPr>
      <w:r>
        <w:rPr>
          <w:rFonts w:hint="eastAsia" w:ascii="仿宋_GB2312" w:hAnsi="宋体" w:eastAsia="仿宋_GB2312"/>
          <w:sz w:val="32"/>
          <w:lang w:val="zh-CN"/>
        </w:rPr>
        <w:t>医疗设备采购</w:t>
      </w:r>
      <w:r>
        <w:rPr>
          <w:rFonts w:hint="eastAsia" w:ascii="仿宋_GB2312" w:hAnsi="宋体" w:eastAsia="仿宋_GB2312"/>
          <w:b/>
          <w:sz w:val="32"/>
          <w:lang w:val="zh-CN"/>
        </w:rPr>
        <w:t>一是</w:t>
      </w:r>
      <w:r>
        <w:rPr>
          <w:rFonts w:hint="eastAsia" w:ascii="仿宋_GB2312" w:hAnsi="宋体" w:eastAsia="仿宋_GB2312"/>
          <w:sz w:val="32"/>
          <w:lang w:val="zh-CN"/>
        </w:rPr>
        <w:t>在调研撤封资料、抽取代理机构、委派采购人代表和监督代表等环节，均由科室申请，纪委参与并监督。</w:t>
      </w:r>
      <w:r>
        <w:rPr>
          <w:rFonts w:hint="eastAsia" w:ascii="仿宋_GB2312" w:hAnsi="宋体" w:eastAsia="仿宋_GB2312"/>
          <w:b/>
          <w:sz w:val="32"/>
          <w:lang w:val="zh-CN"/>
        </w:rPr>
        <w:t>二是</w:t>
      </w:r>
      <w:r>
        <w:rPr>
          <w:rFonts w:hint="eastAsia" w:ascii="仿宋_GB2312" w:hAnsi="宋体" w:eastAsia="仿宋_GB2312"/>
          <w:sz w:val="32"/>
          <w:lang w:val="zh-CN"/>
        </w:rPr>
        <w:t>在听取产品介绍和院内论证等环节，由分管领导组织，财务科、价格科、使用科室、管理部门等多科参与，相互监督。</w:t>
      </w:r>
    </w:p>
    <w:p>
      <w:pPr>
        <w:adjustRightInd w:val="0"/>
        <w:snapToGrid w:val="0"/>
        <w:spacing w:line="600" w:lineRule="exact"/>
        <w:ind w:firstLine="640" w:firstLineChars="200"/>
        <w:outlineLvl w:val="1"/>
        <w:rPr>
          <w:rFonts w:hint="eastAsia" w:ascii="黑体" w:hAnsi="宋体" w:eastAsia="黑体"/>
          <w:sz w:val="32"/>
        </w:rPr>
      </w:pPr>
      <w:bookmarkStart w:id="92" w:name="_Toc15772"/>
      <w:r>
        <w:rPr>
          <w:rFonts w:hint="eastAsia" w:ascii="黑体" w:hAnsi="宋体" w:eastAsia="黑体"/>
          <w:sz w:val="32"/>
        </w:rPr>
        <w:t>四、项目绩效情况</w:t>
      </w:r>
      <w:bookmarkEnd w:id="92"/>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（一）项目完成情况</w:t>
      </w:r>
    </w:p>
    <w:p>
      <w:pPr>
        <w:adjustRightInd w:val="0"/>
        <w:snapToGrid w:val="0"/>
        <w:spacing w:line="600" w:lineRule="exact"/>
        <w:ind w:firstLine="640" w:firstLineChars="200"/>
        <w:rPr>
          <w:rFonts w:hint="eastAsia" w:ascii="楷体_GB2312" w:hAnsi="宋体" w:eastAsia="楷体_GB2312"/>
          <w:b/>
          <w:sz w:val="32"/>
          <w:lang w:val="zh-CN"/>
        </w:rPr>
      </w:pPr>
      <w:r>
        <w:rPr>
          <w:rFonts w:hint="eastAsia" w:ascii="仿宋_GB2312" w:hAnsi="宋体" w:eastAsia="仿宋_GB2312"/>
          <w:sz w:val="32"/>
          <w:lang w:val="zh-CN"/>
        </w:rPr>
        <w:t>截止目前，</w:t>
      </w:r>
      <w:r>
        <w:rPr>
          <w:rFonts w:hint="eastAsia" w:ascii="仿宋_GB2312" w:hAnsi="宋体" w:eastAsia="仿宋_GB2312"/>
          <w:sz w:val="32"/>
          <w:lang w:val="en-US" w:eastAsia="zh-CN"/>
        </w:rPr>
        <w:t>2021年预算新增医疗设备22台件实际采购14台件已全部完成，产品投入临床使用，运行良好。</w:t>
      </w:r>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（二）项目效益情况</w:t>
      </w:r>
    </w:p>
    <w:p>
      <w:pPr>
        <w:adjustRightInd w:val="0"/>
        <w:snapToGrid w:val="0"/>
        <w:spacing w:line="600" w:lineRule="exact"/>
        <w:ind w:firstLine="640" w:firstLineChars="200"/>
        <w:rPr>
          <w:rFonts w:hint="eastAsia" w:ascii="仿宋_GB2312" w:hAnsi="宋体" w:eastAsia="仿宋_GB2312"/>
          <w:sz w:val="32"/>
          <w:lang w:val="zh-CN"/>
        </w:rPr>
      </w:pPr>
      <w:r>
        <w:rPr>
          <w:rFonts w:hint="eastAsia" w:ascii="仿宋_GB2312" w:hAnsi="宋体" w:eastAsia="仿宋_GB2312"/>
          <w:sz w:val="32"/>
          <w:lang w:val="en-US" w:eastAsia="zh-CN"/>
        </w:rPr>
        <w:t>2021年新购设备投入临床使用以来，医疗安全进一步提高，患者满意度明显提升，社会知名度提高，经济效益一定程度有所增加</w:t>
      </w:r>
      <w:r>
        <w:rPr>
          <w:rFonts w:hint="eastAsia" w:ascii="仿宋_GB2312" w:hAnsi="宋体" w:eastAsia="仿宋_GB2312"/>
          <w:sz w:val="32"/>
          <w:lang w:val="zh-CN"/>
        </w:rPr>
        <w:t>。</w:t>
      </w:r>
    </w:p>
    <w:p>
      <w:pPr>
        <w:adjustRightInd w:val="0"/>
        <w:snapToGrid w:val="0"/>
        <w:spacing w:line="600" w:lineRule="exact"/>
        <w:ind w:firstLine="640" w:firstLineChars="200"/>
        <w:outlineLvl w:val="1"/>
        <w:rPr>
          <w:rFonts w:hint="eastAsia" w:ascii="黑体" w:hAnsi="宋体" w:eastAsia="黑体"/>
          <w:sz w:val="32"/>
        </w:rPr>
      </w:pPr>
      <w:bookmarkStart w:id="93" w:name="_Toc18028"/>
      <w:r>
        <w:rPr>
          <w:rFonts w:hint="eastAsia" w:ascii="黑体" w:hAnsi="宋体" w:eastAsia="黑体"/>
          <w:sz w:val="32"/>
        </w:rPr>
        <w:t>五、评价结论及建议</w:t>
      </w:r>
      <w:bookmarkEnd w:id="93"/>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（一）评价结论</w:t>
      </w:r>
    </w:p>
    <w:p>
      <w:pPr>
        <w:adjustRightInd w:val="0"/>
        <w:snapToGrid w:val="0"/>
        <w:spacing w:line="600" w:lineRule="exact"/>
        <w:ind w:firstLine="640" w:firstLineChars="200"/>
        <w:rPr>
          <w:rFonts w:hint="eastAsia" w:ascii="仿宋_GB2312" w:hAnsi="宋体" w:eastAsia="仿宋_GB2312"/>
          <w:sz w:val="32"/>
          <w:bdr w:val="single" w:color="auto" w:sz="4" w:space="0"/>
          <w:lang w:val="zh-CN"/>
        </w:rPr>
      </w:pPr>
      <w:r>
        <w:rPr>
          <w:rFonts w:hint="eastAsia" w:ascii="仿宋_GB2312" w:hAnsi="宋体" w:eastAsia="仿宋_GB2312"/>
          <w:sz w:val="32"/>
          <w:lang w:val="zh-CN"/>
        </w:rPr>
        <w:t>项目总体完成情况较好，能按照法律法规及医院制度流程要求如期完成。</w:t>
      </w:r>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（二）存在的问题</w:t>
      </w:r>
    </w:p>
    <w:p>
      <w:pPr>
        <w:adjustRightInd w:val="0"/>
        <w:snapToGrid w:val="0"/>
        <w:spacing w:line="600" w:lineRule="exact"/>
        <w:ind w:firstLine="640" w:firstLineChars="200"/>
        <w:rPr>
          <w:rFonts w:hint="eastAsia" w:ascii="仿宋_GB2312" w:hAnsi="MingLiU" w:eastAsia="仿宋_GB2312"/>
          <w:color w:val="000000"/>
          <w:kern w:val="0"/>
          <w:sz w:val="32"/>
          <w:shd w:val="clear" w:color="auto" w:fill="FFFFFF"/>
          <w:lang w:eastAsia="zh-CN"/>
        </w:rPr>
      </w:pPr>
      <w:r>
        <w:rPr>
          <w:rFonts w:hint="eastAsia" w:ascii="仿宋_GB2312" w:hAnsi="MingLiU" w:eastAsia="仿宋_GB2312"/>
          <w:color w:val="000000"/>
          <w:kern w:val="0"/>
          <w:sz w:val="32"/>
          <w:shd w:val="clear" w:color="auto" w:fill="FFFFFF"/>
        </w:rPr>
        <w:t>部分</w:t>
      </w:r>
      <w:r>
        <w:rPr>
          <w:rFonts w:hint="eastAsia" w:ascii="仿宋_GB2312" w:hAnsi="MingLiU" w:eastAsia="仿宋_GB2312"/>
          <w:color w:val="000000"/>
          <w:kern w:val="0"/>
          <w:sz w:val="32"/>
          <w:shd w:val="clear" w:color="auto" w:fill="FFFFFF"/>
          <w:lang w:eastAsia="zh-CN"/>
        </w:rPr>
        <w:t>医疗设备如</w:t>
      </w:r>
      <w:r>
        <w:rPr>
          <w:rFonts w:hint="eastAsia" w:ascii="仿宋_GB2312" w:hAnsi="MingLiU" w:eastAsia="仿宋_GB2312"/>
          <w:color w:val="000000"/>
          <w:kern w:val="0"/>
          <w:sz w:val="32"/>
          <w:shd w:val="clear" w:color="auto" w:fill="FFFFFF"/>
          <w:lang w:val="en-US" w:eastAsia="zh-CN"/>
        </w:rPr>
        <w:t>CT等</w:t>
      </w:r>
      <w:r>
        <w:rPr>
          <w:rFonts w:hint="eastAsia" w:ascii="仿宋_GB2312" w:hAnsi="MingLiU" w:eastAsia="仿宋_GB2312"/>
          <w:color w:val="000000"/>
          <w:kern w:val="0"/>
          <w:sz w:val="32"/>
          <w:shd w:val="clear" w:color="auto" w:fill="FFFFFF"/>
          <w:lang w:eastAsia="zh-CN"/>
        </w:rPr>
        <w:t>采购项目在操作人员、场地等条件不成熟时进行了申请。</w:t>
      </w:r>
    </w:p>
    <w:p>
      <w:pPr>
        <w:adjustRightInd w:val="0"/>
        <w:snapToGrid w:val="0"/>
        <w:spacing w:line="600" w:lineRule="exact"/>
        <w:ind w:firstLine="642" w:firstLineChars="200"/>
        <w:rPr>
          <w:rFonts w:hint="eastAsia" w:ascii="楷体_GB2312" w:hAnsi="宋体" w:eastAsia="楷体_GB2312"/>
          <w:b/>
          <w:sz w:val="32"/>
          <w:lang w:val="zh-CN"/>
        </w:rPr>
      </w:pPr>
      <w:r>
        <w:rPr>
          <w:rFonts w:hint="eastAsia" w:ascii="楷体_GB2312" w:hAnsi="宋体" w:eastAsia="楷体_GB2312"/>
          <w:b/>
          <w:sz w:val="32"/>
          <w:lang w:val="zh-CN"/>
        </w:rPr>
        <w:t>（三）相关建议</w:t>
      </w:r>
    </w:p>
    <w:p>
      <w:pPr>
        <w:spacing w:line="600" w:lineRule="exact"/>
        <w:ind w:firstLine="640" w:firstLineChars="200"/>
        <w:jc w:val="left"/>
        <w:rPr>
          <w:rFonts w:hint="eastAsia" w:ascii="仿宋_GB2312" w:hAnsi="MingLiU" w:eastAsia="仿宋_GB2312"/>
          <w:color w:val="000000"/>
          <w:kern w:val="0"/>
          <w:sz w:val="32"/>
          <w:shd w:val="clear" w:color="auto" w:fill="FFFFFF"/>
          <w:lang w:eastAsia="zh-CN"/>
        </w:rPr>
      </w:pPr>
      <w:r>
        <w:rPr>
          <w:rFonts w:hint="eastAsia" w:ascii="仿宋_GB2312" w:hAnsi="MingLiU" w:eastAsia="仿宋_GB2312"/>
          <w:color w:val="000000"/>
          <w:kern w:val="0"/>
          <w:sz w:val="32"/>
          <w:shd w:val="clear" w:color="auto" w:fill="FFFFFF"/>
          <w:lang w:eastAsia="zh-CN"/>
        </w:rPr>
        <w:t>无</w:t>
      </w:r>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广元市妇幼保健院</w:t>
      </w:r>
    </w:p>
    <w:p>
      <w:pPr>
        <w:spacing w:line="600" w:lineRule="exact"/>
        <w:jc w:val="center"/>
        <w:rPr>
          <w:rFonts w:hint="eastAsia" w:eastAsia="仿宋_GB2312"/>
          <w:color w:val="000000"/>
          <w:sz w:val="32"/>
          <w:szCs w:val="32"/>
          <w:lang w:val="en-US" w:eastAsia="zh-CN"/>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方正小标宋简体" w:eastAsia="方正小标宋简体" w:cs="方正小标宋简体"/>
          <w:b w:val="0"/>
          <w:bCs w:val="0"/>
          <w:color w:val="auto"/>
          <w:kern w:val="2"/>
          <w:sz w:val="44"/>
          <w:szCs w:val="44"/>
          <w:lang w:eastAsia="zh-CN"/>
        </w:rPr>
        <w:t>专项预算</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eastAsia="zh-CN"/>
        </w:rPr>
        <w:t>项目</w:t>
      </w:r>
      <w:r>
        <w:rPr>
          <w:rFonts w:hint="eastAsia" w:ascii="方正小标宋简体" w:hAnsi="宋体" w:eastAsia="方正小标宋简体"/>
          <w:color w:val="000000"/>
          <w:kern w:val="0"/>
          <w:sz w:val="44"/>
          <w:szCs w:val="44"/>
          <w:lang w:val="zh-CN"/>
        </w:rPr>
        <w:t>支出绩效自评报告</w:t>
      </w:r>
    </w:p>
    <w:p>
      <w:pPr>
        <w:spacing w:line="600" w:lineRule="exact"/>
        <w:jc w:val="center"/>
        <w:rPr>
          <w:rFonts w:hint="eastAsia" w:eastAsia="仿宋_GB2312"/>
          <w:color w:val="000000"/>
          <w:sz w:val="32"/>
          <w:szCs w:val="32"/>
          <w:lang w:val="en-US" w:eastAsia="zh-CN"/>
        </w:rPr>
      </w:pPr>
    </w:p>
    <w:p>
      <w:pPr>
        <w:spacing w:line="600" w:lineRule="exact"/>
        <w:jc w:val="center"/>
        <w:rPr>
          <w:rFonts w:hint="eastAsia" w:eastAsia="仿宋_GB2312"/>
          <w:b w:val="0"/>
          <w:bCs w:val="0"/>
          <w:color w:val="000000"/>
          <w:sz w:val="32"/>
          <w:szCs w:val="32"/>
          <w:lang w:val="zh-CN" w:eastAsia="zh-CN"/>
        </w:rPr>
      </w:pPr>
      <w:r>
        <w:rPr>
          <w:rFonts w:hint="eastAsia" w:eastAsia="仿宋_GB2312"/>
          <w:b w:val="0"/>
          <w:bCs w:val="0"/>
          <w:color w:val="000000"/>
          <w:sz w:val="32"/>
          <w:szCs w:val="32"/>
          <w:lang w:val="en-US" w:eastAsia="zh-CN"/>
        </w:rPr>
        <w:t>（</w:t>
      </w:r>
      <w:r>
        <w:rPr>
          <w:rFonts w:hint="eastAsia" w:eastAsia="仿宋_GB2312"/>
          <w:b w:val="0"/>
          <w:bCs w:val="0"/>
          <w:color w:val="000000"/>
          <w:sz w:val="32"/>
          <w:szCs w:val="32"/>
          <w:lang w:val="zh-CN" w:eastAsia="zh-CN"/>
        </w:rPr>
        <w:t>办公设备购置项目）</w:t>
      </w:r>
    </w:p>
    <w:p>
      <w:pPr>
        <w:pStyle w:val="9"/>
        <w:rPr>
          <w:rFonts w:hint="eastAsia"/>
        </w:rPr>
      </w:pPr>
    </w:p>
    <w:p>
      <w:pPr>
        <w:numPr>
          <w:ilvl w:val="0"/>
          <w:numId w:val="0"/>
        </w:numPr>
        <w:adjustRightInd w:val="0"/>
        <w:snapToGrid w:val="0"/>
        <w:spacing w:line="600" w:lineRule="exact"/>
        <w:ind w:firstLine="640" w:firstLineChars="200"/>
        <w:jc w:val="left"/>
        <w:outlineLvl w:val="1"/>
        <w:rPr>
          <w:rFonts w:ascii="黑体" w:hAnsi="宋体" w:eastAsia="黑体"/>
          <w:sz w:val="32"/>
          <w:szCs w:val="32"/>
          <w:lang w:val="zh-CN"/>
        </w:rPr>
      </w:pPr>
      <w:bookmarkStart w:id="94" w:name="_Toc5855"/>
      <w:r>
        <w:rPr>
          <w:rFonts w:hint="eastAsia" w:ascii="黑体" w:hAnsi="宋体" w:eastAsia="黑体"/>
          <w:sz w:val="32"/>
          <w:szCs w:val="32"/>
          <w:lang w:val="zh-CN"/>
        </w:rPr>
        <w:t>一、项目概况</w:t>
      </w:r>
      <w:bookmarkEnd w:id="94"/>
    </w:p>
    <w:p>
      <w:pPr>
        <w:adjustRightInd w:val="0"/>
        <w:snapToGrid w:val="0"/>
        <w:spacing w:line="600" w:lineRule="exact"/>
        <w:ind w:firstLine="321" w:firstLineChars="100"/>
        <w:jc w:val="left"/>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rPr>
        <w:t>20</w:t>
      </w:r>
      <w:r>
        <w:rPr>
          <w:rFonts w:hint="eastAsia" w:ascii="仿宋_GB2312" w:hAnsi="宋体"/>
          <w:sz w:val="32"/>
          <w:szCs w:val="32"/>
          <w:lang w:val="en-US" w:eastAsia="zh-CN"/>
        </w:rPr>
        <w:t>20</w:t>
      </w:r>
      <w:r>
        <w:rPr>
          <w:rFonts w:hint="eastAsia" w:ascii="仿宋_GB2312" w:hAnsi="宋体" w:eastAsia="仿宋_GB2312"/>
          <w:sz w:val="32"/>
          <w:szCs w:val="32"/>
        </w:rPr>
        <w:t>年底，全院各科室提交202</w:t>
      </w:r>
      <w:r>
        <w:rPr>
          <w:rFonts w:hint="eastAsia" w:ascii="仿宋_GB2312" w:hAnsi="宋体"/>
          <w:sz w:val="32"/>
          <w:szCs w:val="32"/>
          <w:lang w:val="en-US" w:eastAsia="zh-CN"/>
        </w:rPr>
        <w:t>1</w:t>
      </w:r>
      <w:r>
        <w:rPr>
          <w:rFonts w:hint="eastAsia" w:ascii="仿宋_GB2312" w:hAnsi="宋体" w:eastAsia="仿宋_GB2312"/>
          <w:sz w:val="32"/>
          <w:szCs w:val="32"/>
        </w:rPr>
        <w:t>年预算新增办公设备12项，预算经费</w:t>
      </w:r>
      <w:r>
        <w:rPr>
          <w:rFonts w:hint="eastAsia" w:ascii="仿宋_GB2312" w:hAnsi="宋体"/>
          <w:sz w:val="32"/>
          <w:szCs w:val="32"/>
          <w:lang w:val="en-US" w:eastAsia="zh-CN"/>
        </w:rPr>
        <w:t>14.3</w:t>
      </w:r>
      <w:r>
        <w:rPr>
          <w:rFonts w:hint="eastAsia" w:ascii="仿宋_GB2312" w:hAnsi="宋体" w:eastAsia="仿宋_GB2312"/>
          <w:sz w:val="32"/>
          <w:szCs w:val="32"/>
        </w:rPr>
        <w:t>万元，实际执行采购</w:t>
      </w:r>
      <w:r>
        <w:rPr>
          <w:rFonts w:hint="eastAsia" w:ascii="仿宋_GB2312" w:hAnsi="宋体"/>
          <w:sz w:val="32"/>
          <w:szCs w:val="32"/>
          <w:lang w:val="en-US" w:eastAsia="zh-CN"/>
        </w:rPr>
        <w:t>12</w:t>
      </w:r>
      <w:r>
        <w:rPr>
          <w:rFonts w:hint="eastAsia" w:ascii="仿宋_GB2312" w:hAnsi="宋体" w:eastAsia="仿宋_GB2312"/>
          <w:sz w:val="32"/>
          <w:szCs w:val="32"/>
        </w:rPr>
        <w:t>项，采购金额</w:t>
      </w:r>
      <w:r>
        <w:rPr>
          <w:rFonts w:hint="eastAsia" w:ascii="仿宋_GB2312" w:hAnsi="宋体"/>
          <w:sz w:val="32"/>
          <w:szCs w:val="32"/>
          <w:lang w:val="en-US" w:eastAsia="zh-CN"/>
        </w:rPr>
        <w:t>14.3</w:t>
      </w:r>
      <w:r>
        <w:rPr>
          <w:rFonts w:hint="eastAsia" w:ascii="仿宋_GB2312" w:hAnsi="宋体" w:eastAsia="仿宋_GB2312"/>
          <w:sz w:val="32"/>
          <w:szCs w:val="32"/>
        </w:rPr>
        <w:t>万元</w:t>
      </w:r>
      <w:r>
        <w:rPr>
          <w:rFonts w:hint="eastAsia" w:ascii="仿宋_GB2312" w:hAnsi="宋体"/>
          <w:sz w:val="32"/>
          <w:szCs w:val="32"/>
          <w:lang w:val="en-US" w:eastAsia="zh-CN"/>
        </w:rPr>
        <w:t>.执行率100%</w:t>
      </w:r>
      <w:r>
        <w:rPr>
          <w:rFonts w:hint="eastAsia" w:ascii="仿宋_GB2312" w:hAnsi="宋体" w:eastAsia="仿宋_GB2312"/>
          <w:sz w:val="32"/>
          <w:szCs w:val="32"/>
        </w:rPr>
        <w:t>。</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2" w:firstLineChars="200"/>
        <w:rPr>
          <w:rFonts w:ascii="仿宋_GB2312" w:hAnsi="宋体" w:eastAsia="仿宋_GB2312"/>
          <w:b/>
          <w:bCs/>
          <w:sz w:val="32"/>
          <w:szCs w:val="32"/>
          <w:lang w:val="zh-CN"/>
        </w:rPr>
      </w:pPr>
      <w:r>
        <w:rPr>
          <w:rFonts w:ascii="仿宋_GB2312" w:hAnsi="宋体" w:eastAsia="仿宋_GB2312"/>
          <w:b/>
          <w:bCs/>
          <w:sz w:val="32"/>
          <w:szCs w:val="32"/>
          <w:lang w:val="zh-CN"/>
        </w:rPr>
        <w:t>1</w:t>
      </w:r>
      <w:r>
        <w:rPr>
          <w:rFonts w:hint="eastAsia" w:ascii="仿宋_GB2312" w:hAnsi="宋体" w:eastAsia="仿宋_GB2312"/>
          <w:b/>
          <w:bCs/>
          <w:sz w:val="32"/>
          <w:szCs w:val="32"/>
          <w:lang w:val="zh-CN"/>
        </w:rPr>
        <w:t>．项目主要内容</w:t>
      </w:r>
    </w:p>
    <w:p>
      <w:pPr>
        <w:adjustRightInd w:val="0"/>
        <w:snapToGrid w:val="0"/>
        <w:spacing w:line="600" w:lineRule="exact"/>
        <w:ind w:firstLine="642"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color w:val="000000"/>
          <w:sz w:val="32"/>
          <w:szCs w:val="32"/>
        </w:rPr>
        <w:t>笔记本电脑、激光打印机复印一体机、条码打印机、彩色喷墨一体机、激光多功能一体机（自动双面打印、复印功能）、钢架折叠桌、办公桌、办公椅、三门文件柜、康复桌（定制）、散光灯、新版验钞机、预算金额</w:t>
      </w:r>
      <w:r>
        <w:rPr>
          <w:rFonts w:hint="eastAsia" w:ascii="仿宋_GB2312" w:hAnsi="仿宋_GB2312" w:cs="仿宋_GB2312"/>
          <w:color w:val="000000"/>
          <w:sz w:val="32"/>
          <w:szCs w:val="32"/>
          <w:lang w:val="en-US" w:eastAsia="zh-CN"/>
        </w:rPr>
        <w:t>12.78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adjustRightInd w:val="0"/>
        <w:snapToGrid w:val="0"/>
        <w:spacing w:line="600" w:lineRule="exact"/>
        <w:ind w:firstLine="642"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（2）</w:t>
      </w:r>
      <w:r>
        <w:rPr>
          <w:rFonts w:hint="eastAsia" w:ascii="仿宋" w:hAnsi="仿宋" w:eastAsia="仿宋" w:cs="仿宋"/>
          <w:color w:val="000000"/>
          <w:sz w:val="32"/>
          <w:szCs w:val="32"/>
          <w:lang w:eastAsia="zh-CN"/>
        </w:rPr>
        <w:t>家具用品类共计</w:t>
      </w:r>
      <w:r>
        <w:rPr>
          <w:rFonts w:hint="eastAsia" w:ascii="仿宋" w:hAnsi="仿宋" w:eastAsia="仿宋" w:cs="仿宋"/>
          <w:color w:val="000000"/>
          <w:sz w:val="32"/>
          <w:szCs w:val="32"/>
          <w:lang w:val="en-US" w:eastAsia="zh-CN"/>
        </w:rPr>
        <w:t>1.52</w:t>
      </w:r>
      <w:r>
        <w:rPr>
          <w:rFonts w:hint="eastAsia" w:ascii="仿宋" w:hAnsi="仿宋" w:eastAsia="仿宋" w:cs="仿宋"/>
          <w:color w:val="000000"/>
          <w:sz w:val="32"/>
          <w:szCs w:val="32"/>
        </w:rPr>
        <w:t>万元。</w:t>
      </w:r>
    </w:p>
    <w:p>
      <w:pPr>
        <w:adjustRightInd w:val="0"/>
        <w:snapToGrid w:val="0"/>
        <w:spacing w:line="600" w:lineRule="exact"/>
        <w:ind w:firstLine="642"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
          <w:bCs/>
          <w:color w:val="000000"/>
          <w:sz w:val="32"/>
          <w:szCs w:val="32"/>
        </w:rPr>
        <w:t>（3）</w:t>
      </w: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宋体" w:eastAsia="仿宋_GB2312"/>
          <w:sz w:val="32"/>
          <w:szCs w:val="32"/>
        </w:rPr>
        <w:t>实际总执行采购</w:t>
      </w:r>
      <w:r>
        <w:rPr>
          <w:rFonts w:hint="eastAsia" w:ascii="仿宋_GB2312" w:hAnsi="宋体"/>
          <w:sz w:val="32"/>
          <w:szCs w:val="32"/>
          <w:lang w:val="en-US" w:eastAsia="zh-CN"/>
        </w:rPr>
        <w:t>12</w:t>
      </w:r>
      <w:r>
        <w:rPr>
          <w:rFonts w:hint="eastAsia" w:ascii="仿宋_GB2312" w:hAnsi="宋体" w:eastAsia="仿宋_GB2312"/>
          <w:sz w:val="32"/>
          <w:szCs w:val="32"/>
        </w:rPr>
        <w:t>项，采购金额</w:t>
      </w:r>
      <w:r>
        <w:rPr>
          <w:rFonts w:hint="eastAsia" w:ascii="仿宋_GB2312" w:hAnsi="宋体"/>
          <w:sz w:val="32"/>
          <w:szCs w:val="32"/>
          <w:lang w:val="en-US" w:eastAsia="zh-CN"/>
        </w:rPr>
        <w:t>14.3</w:t>
      </w:r>
      <w:r>
        <w:rPr>
          <w:rFonts w:hint="eastAsia" w:ascii="仿宋_GB2312" w:hAnsi="宋体" w:eastAsia="仿宋_GB2312"/>
          <w:sz w:val="32"/>
          <w:szCs w:val="32"/>
        </w:rPr>
        <w:t>万元</w:t>
      </w:r>
      <w:r>
        <w:rPr>
          <w:rFonts w:hint="eastAsia" w:ascii="仿宋_GB2312" w:hAnsi="宋体" w:eastAsia="仿宋_GB2312"/>
          <w:sz w:val="32"/>
          <w:szCs w:val="32"/>
          <w:lang w:eastAsia="zh-CN"/>
        </w:rPr>
        <w:t>。</w:t>
      </w:r>
    </w:p>
    <w:p>
      <w:pPr>
        <w:numPr>
          <w:ilvl w:val="0"/>
          <w:numId w:val="0"/>
        </w:numPr>
        <w:adjustRightInd w:val="0"/>
        <w:snapToGrid w:val="0"/>
        <w:spacing w:line="600" w:lineRule="exact"/>
        <w:ind w:firstLine="642" w:firstLineChars="200"/>
        <w:rPr>
          <w:rFonts w:ascii="仿宋_GB2312" w:hAnsi="宋体" w:eastAsia="仿宋_GB2312"/>
          <w:sz w:val="32"/>
          <w:szCs w:val="32"/>
        </w:rPr>
      </w:pPr>
      <w:r>
        <w:rPr>
          <w:rFonts w:hint="eastAsia" w:ascii="仿宋_GB2312" w:hAnsi="宋体" w:eastAsia="仿宋_GB2312"/>
          <w:b/>
          <w:bCs/>
          <w:sz w:val="32"/>
          <w:szCs w:val="32"/>
          <w:lang w:val="en-US" w:eastAsia="zh-CN"/>
        </w:rPr>
        <w:t>2.</w:t>
      </w:r>
      <w:r>
        <w:rPr>
          <w:rFonts w:hint="eastAsia" w:ascii="仿宋_GB2312" w:hAnsi="宋体" w:eastAsia="仿宋_GB2312"/>
          <w:b/>
          <w:bCs/>
          <w:sz w:val="32"/>
          <w:szCs w:val="32"/>
          <w:lang w:val="zh-CN"/>
        </w:rPr>
        <w:t>项目绩效目标的量化、细化情况以及项目实施进度计划</w:t>
      </w:r>
    </w:p>
    <w:p>
      <w:pPr>
        <w:adjustRightInd w:val="0"/>
        <w:snapToGrid w:val="0"/>
        <w:spacing w:line="600" w:lineRule="exact"/>
        <w:ind w:firstLine="640" w:firstLineChars="200"/>
        <w:rPr>
          <w:rFonts w:ascii="仿宋_GB2312" w:hAnsi="宋体" w:eastAsia="仿宋_GB2312"/>
          <w:b w:val="0"/>
          <w:bCs w:val="0"/>
          <w:sz w:val="32"/>
          <w:szCs w:val="32"/>
        </w:rPr>
      </w:pPr>
      <w:r>
        <w:rPr>
          <w:rFonts w:hint="eastAsia" w:ascii="仿宋_GB2312" w:hAnsi="宋体" w:eastAsia="仿宋_GB2312"/>
          <w:sz w:val="32"/>
          <w:szCs w:val="32"/>
        </w:rPr>
        <w:t>202</w:t>
      </w:r>
      <w:r>
        <w:rPr>
          <w:rFonts w:hint="eastAsia" w:ascii="仿宋_GB2312" w:hAnsi="宋体"/>
          <w:sz w:val="32"/>
          <w:szCs w:val="32"/>
          <w:lang w:val="en-US" w:eastAsia="zh-CN"/>
        </w:rPr>
        <w:t>1</w:t>
      </w:r>
      <w:r>
        <w:rPr>
          <w:rFonts w:hint="eastAsia" w:ascii="仿宋_GB2312" w:hAnsi="宋体" w:eastAsia="仿宋_GB2312"/>
          <w:sz w:val="32"/>
          <w:szCs w:val="32"/>
        </w:rPr>
        <w:t>年各项采购严格</w:t>
      </w:r>
      <w:r>
        <w:rPr>
          <w:rFonts w:hint="eastAsia" w:ascii="仿宋_GB2312" w:hAnsi="宋体" w:eastAsia="仿宋_GB2312"/>
          <w:b w:val="0"/>
          <w:bCs w:val="0"/>
          <w:sz w:val="32"/>
          <w:szCs w:val="32"/>
        </w:rPr>
        <w:t>按</w:t>
      </w:r>
      <w:r>
        <w:rPr>
          <w:rFonts w:hint="eastAsia" w:ascii="仿宋" w:hAnsi="仿宋" w:eastAsia="仿宋" w:cs="仿宋"/>
          <w:b w:val="0"/>
          <w:bCs w:val="0"/>
          <w:sz w:val="32"/>
          <w:szCs w:val="32"/>
        </w:rPr>
        <w:t>照</w:t>
      </w:r>
      <w:r>
        <w:rPr>
          <w:rFonts w:hint="eastAsia" w:ascii="仿宋" w:hAnsi="仿宋" w:eastAsia="仿宋" w:cs="仿宋"/>
          <w:b w:val="0"/>
          <w:bCs w:val="0"/>
          <w:color w:val="000000"/>
          <w:sz w:val="32"/>
          <w:szCs w:val="32"/>
        </w:rPr>
        <w:t>《政府采购法》</w:t>
      </w:r>
      <w:r>
        <w:rPr>
          <w:rFonts w:hint="eastAsia" w:ascii="仿宋" w:hAnsi="仿宋" w:eastAsia="仿宋" w:cs="仿宋"/>
          <w:b w:val="0"/>
          <w:bCs w:val="0"/>
          <w:sz w:val="32"/>
          <w:szCs w:val="32"/>
        </w:rPr>
        <w:t>流程，按</w:t>
      </w:r>
      <w:r>
        <w:rPr>
          <w:rFonts w:hint="eastAsia" w:ascii="仿宋_GB2312" w:hAnsi="宋体" w:eastAsia="仿宋_GB2312"/>
          <w:b w:val="0"/>
          <w:bCs w:val="0"/>
          <w:sz w:val="32"/>
          <w:szCs w:val="32"/>
        </w:rPr>
        <w:t>期完成</w:t>
      </w:r>
      <w:r>
        <w:rPr>
          <w:rFonts w:hint="eastAsia" w:ascii="仿宋_GB2312" w:hAnsi="宋体" w:eastAsia="仿宋_GB2312"/>
          <w:b w:val="0"/>
          <w:bCs w:val="0"/>
          <w:sz w:val="32"/>
          <w:szCs w:val="32"/>
          <w:lang w:eastAsia="zh-CN"/>
        </w:rPr>
        <w:t>年初预算采购项目</w:t>
      </w:r>
      <w:r>
        <w:rPr>
          <w:rFonts w:hint="eastAsia" w:ascii="仿宋_GB2312" w:hAnsi="宋体" w:eastAsia="仿宋_GB2312"/>
          <w:b w:val="0"/>
          <w:bCs w:val="0"/>
          <w:sz w:val="32"/>
          <w:szCs w:val="32"/>
        </w:rPr>
        <w:t>。</w:t>
      </w:r>
    </w:p>
    <w:p>
      <w:pPr>
        <w:numPr>
          <w:ilvl w:val="0"/>
          <w:numId w:val="0"/>
        </w:numPr>
        <w:adjustRightInd w:val="0"/>
        <w:snapToGrid w:val="0"/>
        <w:spacing w:line="600" w:lineRule="exact"/>
        <w:ind w:leftChars="0" w:firstLine="642" w:firstLineChars="200"/>
        <w:rPr>
          <w:rFonts w:ascii="仿宋_GB2312" w:hAnsi="宋体" w:eastAsia="仿宋_GB2312"/>
          <w:sz w:val="32"/>
          <w:szCs w:val="32"/>
          <w:lang w:val="zh-CN"/>
        </w:rPr>
      </w:pPr>
      <w:r>
        <w:rPr>
          <w:rFonts w:hint="eastAsia" w:ascii="仿宋_GB2312" w:hAnsi="宋体" w:eastAsia="仿宋_GB2312"/>
          <w:b/>
          <w:bCs/>
          <w:sz w:val="32"/>
          <w:szCs w:val="32"/>
          <w:lang w:val="en-US" w:eastAsia="zh-CN"/>
        </w:rPr>
        <w:t>3.</w:t>
      </w:r>
      <w:r>
        <w:rPr>
          <w:rFonts w:hint="eastAsia" w:ascii="仿宋_GB2312" w:hAnsi="宋体" w:eastAsia="仿宋_GB2312"/>
          <w:b/>
          <w:bCs/>
          <w:sz w:val="32"/>
          <w:szCs w:val="32"/>
          <w:lang w:val="zh-CN"/>
        </w:rPr>
        <w:t>分析评价申报内容是否与实际相符，申报目标是否合理可行</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 xml:space="preserve">   通过对202</w:t>
      </w:r>
      <w:r>
        <w:rPr>
          <w:rFonts w:hint="eastAsia" w:ascii="仿宋_GB2312" w:hAnsi="宋体"/>
          <w:sz w:val="32"/>
          <w:szCs w:val="32"/>
          <w:lang w:val="en-US" w:eastAsia="zh-CN"/>
        </w:rPr>
        <w:t>1</w:t>
      </w:r>
      <w:r>
        <w:rPr>
          <w:rFonts w:hint="eastAsia" w:ascii="仿宋_GB2312" w:hAnsi="宋体" w:eastAsia="仿宋_GB2312"/>
          <w:sz w:val="32"/>
          <w:szCs w:val="32"/>
        </w:rPr>
        <w:t>年实施采购后的设备投入使用运行情况分析，按需求科室提交的设备申</w:t>
      </w:r>
      <w:r>
        <w:rPr>
          <w:rFonts w:hint="eastAsia" w:ascii="仿宋_GB2312" w:hAnsi="宋体" w:eastAsia="仿宋_GB2312"/>
          <w:sz w:val="32"/>
          <w:szCs w:val="32"/>
          <w:lang w:eastAsia="zh-CN"/>
        </w:rPr>
        <w:t>报内容</w:t>
      </w:r>
      <w:r>
        <w:rPr>
          <w:rFonts w:hint="eastAsia" w:ascii="仿宋_GB2312" w:hAnsi="宋体" w:eastAsia="仿宋_GB2312"/>
          <w:sz w:val="32"/>
          <w:szCs w:val="32"/>
        </w:rPr>
        <w:t>与实际工作相符</w:t>
      </w:r>
      <w:r>
        <w:rPr>
          <w:rFonts w:hint="eastAsia" w:ascii="仿宋_GB2312" w:hAnsi="宋体" w:eastAsia="仿宋_GB2312"/>
          <w:sz w:val="32"/>
          <w:szCs w:val="32"/>
          <w:lang w:eastAsia="zh-CN"/>
        </w:rPr>
        <w:t>，申报目标合理可行</w:t>
      </w:r>
      <w:r>
        <w:rPr>
          <w:rFonts w:hint="eastAsia" w:ascii="仿宋_GB2312" w:hAnsi="宋体" w:eastAsia="仿宋_GB2312"/>
          <w:sz w:val="32"/>
          <w:szCs w:val="32"/>
        </w:rPr>
        <w:t>。</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通过科室申请、</w:t>
      </w:r>
      <w:r>
        <w:rPr>
          <w:rFonts w:hint="eastAsia" w:ascii="仿宋_GB2312" w:hAnsi="宋体" w:eastAsia="仿宋_GB2312"/>
          <w:sz w:val="32"/>
          <w:szCs w:val="32"/>
          <w:lang w:eastAsia="zh-CN"/>
        </w:rPr>
        <w:t>经</w:t>
      </w:r>
      <w:r>
        <w:rPr>
          <w:rFonts w:hint="eastAsia" w:ascii="仿宋_GB2312" w:hAnsi="宋体" w:eastAsia="仿宋_GB2312"/>
          <w:sz w:val="32"/>
          <w:szCs w:val="32"/>
        </w:rPr>
        <w:t>院长办公会和党委会集体决策-备案-挂网-网上公开报价-确认供应商-合同审签-履约验收-交付使用等，自评流程合理合规。</w:t>
      </w:r>
    </w:p>
    <w:p>
      <w:pPr>
        <w:adjustRightInd w:val="0"/>
        <w:snapToGrid w:val="0"/>
        <w:spacing w:line="600" w:lineRule="exact"/>
        <w:ind w:firstLine="640" w:firstLineChars="200"/>
        <w:outlineLvl w:val="1"/>
        <w:rPr>
          <w:rFonts w:ascii="黑体" w:hAnsi="宋体" w:eastAsia="黑体"/>
          <w:sz w:val="32"/>
          <w:szCs w:val="32"/>
        </w:rPr>
      </w:pPr>
      <w:bookmarkStart w:id="95" w:name="_Toc11152"/>
      <w:r>
        <w:rPr>
          <w:rFonts w:hint="eastAsia" w:ascii="黑体" w:hAnsi="宋体" w:eastAsia="黑体"/>
          <w:sz w:val="32"/>
          <w:szCs w:val="32"/>
        </w:rPr>
        <w:t>二、项目资金申报及使用情况</w:t>
      </w:r>
      <w:bookmarkEnd w:id="95"/>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color w:val="auto"/>
          <w:sz w:val="32"/>
          <w:szCs w:val="32"/>
          <w:lang w:val="zh-CN"/>
        </w:rPr>
        <w:t>项目由医院预算管理委员会审议通过报上级部门审核，项目所需资金由医院自筹解决。市财政局经人大会议审查批准，下达部门预算。</w:t>
      </w:r>
    </w:p>
    <w:p>
      <w:pPr>
        <w:adjustRightInd w:val="0"/>
        <w:snapToGrid w:val="0"/>
        <w:spacing w:line="600" w:lineRule="exact"/>
        <w:ind w:firstLine="642" w:firstLineChars="20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（二）资金计划、到位及使用情况</w:t>
      </w:r>
    </w:p>
    <w:p>
      <w:pPr>
        <w:adjustRightInd w:val="0"/>
        <w:snapToGrid w:val="0"/>
        <w:spacing w:line="600" w:lineRule="exact"/>
        <w:ind w:firstLine="640" w:firstLineChars="200"/>
        <w:rPr>
          <w:rFonts w:hint="eastAsia" w:ascii="楷体_GB2312" w:hAnsi="宋体" w:eastAsia="楷体_GB2312"/>
          <w:color w:val="auto"/>
          <w:sz w:val="32"/>
          <w:szCs w:val="32"/>
          <w:lang w:val="zh-CN"/>
        </w:rPr>
      </w:pPr>
      <w:r>
        <w:rPr>
          <w:rFonts w:ascii="楷体_GB2312" w:hAnsi="宋体" w:eastAsia="楷体_GB2312"/>
          <w:color w:val="auto"/>
          <w:sz w:val="32"/>
          <w:szCs w:val="32"/>
          <w:lang w:val="zh-CN"/>
        </w:rPr>
        <w:t>1</w:t>
      </w:r>
      <w:r>
        <w:rPr>
          <w:rFonts w:hint="eastAsia" w:ascii="楷体_GB2312" w:hAnsi="宋体" w:eastAsia="楷体_GB2312"/>
          <w:color w:val="auto"/>
          <w:sz w:val="32"/>
          <w:szCs w:val="32"/>
          <w:lang w:val="en-US" w:eastAsia="zh-CN"/>
        </w:rPr>
        <w:t>.</w:t>
      </w:r>
      <w:r>
        <w:rPr>
          <w:rFonts w:hint="eastAsia" w:ascii="楷体_GB2312" w:hAnsi="宋体" w:eastAsia="楷体_GB2312"/>
          <w:color w:val="auto"/>
          <w:sz w:val="32"/>
          <w:szCs w:val="32"/>
          <w:lang w:val="zh-CN"/>
        </w:rPr>
        <w:t>资金计划</w:t>
      </w:r>
    </w:p>
    <w:p>
      <w:pPr>
        <w:adjustRightInd w:val="0"/>
        <w:snapToGrid w:val="0"/>
        <w:spacing w:line="600" w:lineRule="exact"/>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单位办公设备购置项目资金均由单位自筹。</w:t>
      </w:r>
    </w:p>
    <w:p>
      <w:pPr>
        <w:numPr>
          <w:ilvl w:val="0"/>
          <w:numId w:val="0"/>
        </w:numPr>
        <w:adjustRightInd w:val="0"/>
        <w:snapToGrid w:val="0"/>
        <w:spacing w:line="600" w:lineRule="exact"/>
        <w:ind w:leftChars="200" w:firstLine="320" w:firstLineChars="100"/>
        <w:rPr>
          <w:rFonts w:hint="eastAsia" w:ascii="楷体_GB2312" w:hAnsi="宋体" w:eastAsia="楷体_GB2312"/>
          <w:color w:val="auto"/>
          <w:sz w:val="32"/>
          <w:szCs w:val="32"/>
          <w:lang w:val="zh-CN"/>
        </w:rPr>
      </w:pPr>
      <w:r>
        <w:rPr>
          <w:rFonts w:hint="eastAsia" w:ascii="楷体_GB2312" w:hAnsi="宋体" w:eastAsia="楷体_GB2312"/>
          <w:color w:val="auto"/>
          <w:sz w:val="32"/>
          <w:szCs w:val="32"/>
          <w:lang w:val="en-US" w:eastAsia="zh-CN"/>
        </w:rPr>
        <w:t>2.</w:t>
      </w:r>
      <w:r>
        <w:rPr>
          <w:rFonts w:hint="eastAsia" w:ascii="楷体_GB2312" w:hAnsi="宋体" w:eastAsia="楷体_GB2312"/>
          <w:color w:val="auto"/>
          <w:sz w:val="32"/>
          <w:szCs w:val="32"/>
          <w:lang w:val="zh-CN"/>
        </w:rPr>
        <w:t>资金到位</w:t>
      </w:r>
    </w:p>
    <w:p>
      <w:pPr>
        <w:numPr>
          <w:ilvl w:val="0"/>
          <w:numId w:val="0"/>
        </w:num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按照</w:t>
      </w:r>
      <w:r>
        <w:rPr>
          <w:rFonts w:hint="eastAsia" w:ascii="仿宋_GB2312" w:hAnsi="宋体" w:eastAsia="仿宋_GB2312"/>
          <w:color w:val="auto"/>
          <w:sz w:val="32"/>
          <w:szCs w:val="32"/>
          <w:lang w:val="en-US" w:eastAsia="zh-CN"/>
        </w:rPr>
        <w:t>办公设备购置项目年度计划，单位自筹资金重点保障，按计划及时支付采购项目进度款。</w:t>
      </w:r>
    </w:p>
    <w:p>
      <w:pPr>
        <w:adjustRightInd w:val="0"/>
        <w:snapToGrid w:val="0"/>
        <w:spacing w:line="600" w:lineRule="exact"/>
        <w:ind w:firstLine="640" w:firstLineChars="200"/>
        <w:rPr>
          <w:rFonts w:ascii="仿宋_GB2312" w:hAnsi="宋体" w:eastAsia="仿宋_GB2312"/>
          <w:color w:val="000000"/>
          <w:sz w:val="32"/>
          <w:szCs w:val="32"/>
        </w:rPr>
      </w:pPr>
      <w:r>
        <w:rPr>
          <w:rFonts w:ascii="楷体_GB2312" w:hAnsi="宋体" w:eastAsia="楷体_GB2312"/>
          <w:color w:val="000000"/>
          <w:sz w:val="32"/>
          <w:szCs w:val="32"/>
          <w:lang w:val="zh-CN"/>
        </w:rPr>
        <w:t>3</w:t>
      </w:r>
      <w:r>
        <w:rPr>
          <w:rFonts w:hint="eastAsia" w:ascii="楷体_GB2312" w:hAnsi="宋体" w:eastAsia="楷体_GB2312"/>
          <w:color w:val="000000"/>
          <w:sz w:val="32"/>
          <w:szCs w:val="32"/>
          <w:lang w:val="zh-CN"/>
        </w:rPr>
        <w:t>．资金使用。</w:t>
      </w:r>
      <w:r>
        <w:rPr>
          <w:rFonts w:hint="eastAsia" w:ascii="仿宋_GB2312" w:hAnsi="宋体" w:eastAsia="仿宋_GB2312"/>
          <w:color w:val="000000"/>
          <w:sz w:val="32"/>
          <w:szCs w:val="32"/>
        </w:rPr>
        <w:t>项目均按照合同完成支付。</w:t>
      </w:r>
    </w:p>
    <w:p>
      <w:pPr>
        <w:adjustRightInd w:val="0"/>
        <w:snapToGrid w:val="0"/>
        <w:spacing w:line="600" w:lineRule="exact"/>
        <w:ind w:firstLine="321" w:firstLineChars="100"/>
        <w:rPr>
          <w:rFonts w:ascii="楷体_GB2312" w:hAnsi="宋体" w:eastAsia="楷体_GB2312"/>
          <w:b/>
          <w:color w:val="000000"/>
          <w:sz w:val="32"/>
          <w:szCs w:val="32"/>
          <w:lang w:val="zh-CN"/>
        </w:rPr>
      </w:pPr>
      <w:r>
        <w:rPr>
          <w:rFonts w:hint="eastAsia" w:ascii="楷体_GB2312" w:hAnsi="宋体" w:eastAsia="楷体_GB2312"/>
          <w:b/>
          <w:color w:val="000000"/>
          <w:sz w:val="32"/>
          <w:szCs w:val="32"/>
          <w:lang w:val="zh-CN"/>
        </w:rPr>
        <w:t>（三）项目财务管理情况</w:t>
      </w:r>
    </w:p>
    <w:p>
      <w:pPr>
        <w:adjustRightInd w:val="0"/>
        <w:snapToGrid w:val="0"/>
        <w:spacing w:line="600" w:lineRule="exact"/>
        <w:ind w:firstLine="640" w:firstLineChars="200"/>
        <w:rPr>
          <w:rFonts w:ascii="仿宋_GB2312" w:hAnsi="宋体" w:eastAsia="仿宋_GB2312"/>
          <w:color w:val="000000"/>
          <w:sz w:val="32"/>
          <w:szCs w:val="32"/>
          <w:lang w:val="zh-CN"/>
        </w:rPr>
      </w:pPr>
      <w:r>
        <w:rPr>
          <w:rFonts w:hint="eastAsia" w:ascii="仿宋_GB2312" w:hAnsi="宋体" w:eastAsia="仿宋_GB2312"/>
          <w:color w:val="000000"/>
          <w:sz w:val="32"/>
          <w:szCs w:val="32"/>
          <w:lang w:val="zh-CN"/>
        </w:rPr>
        <w:t>在各项目款支付审批过程中，财务科按照制度要求严格审批申报支付各类资料、票据，凭证等做好了环节把控。</w:t>
      </w:r>
    </w:p>
    <w:p>
      <w:pPr>
        <w:adjustRightInd w:val="0"/>
        <w:snapToGrid w:val="0"/>
        <w:spacing w:line="600" w:lineRule="exact"/>
        <w:ind w:firstLine="640" w:firstLineChars="200"/>
        <w:outlineLvl w:val="1"/>
        <w:rPr>
          <w:rFonts w:ascii="黑体" w:hAnsi="宋体" w:eastAsia="黑体"/>
          <w:color w:val="000000"/>
          <w:sz w:val="32"/>
          <w:szCs w:val="32"/>
        </w:rPr>
      </w:pPr>
      <w:bookmarkStart w:id="96" w:name="_Toc18255"/>
      <w:r>
        <w:rPr>
          <w:rFonts w:hint="eastAsia" w:ascii="黑体" w:hAnsi="宋体" w:eastAsia="黑体"/>
          <w:color w:val="000000"/>
          <w:sz w:val="32"/>
          <w:szCs w:val="32"/>
        </w:rPr>
        <w:t>三、项目实施及管理情况</w:t>
      </w:r>
      <w:bookmarkEnd w:id="96"/>
    </w:p>
    <w:p>
      <w:pPr>
        <w:adjustRightInd w:val="0"/>
        <w:snapToGrid w:val="0"/>
        <w:spacing w:line="600" w:lineRule="exact"/>
        <w:ind w:firstLine="321" w:firstLineChars="100"/>
        <w:rPr>
          <w:rFonts w:hint="eastAsia" w:ascii="楷体_GB2312" w:hAnsi="宋体" w:eastAsia="楷体_GB2312"/>
          <w:b/>
          <w:color w:val="000000"/>
          <w:sz w:val="32"/>
          <w:szCs w:val="32"/>
          <w:lang w:val="zh-CN"/>
        </w:rPr>
      </w:pPr>
      <w:r>
        <w:rPr>
          <w:rFonts w:hint="eastAsia" w:ascii="楷体_GB2312" w:hAnsi="宋体" w:eastAsia="楷体_GB2312"/>
          <w:b/>
          <w:color w:val="000000"/>
          <w:sz w:val="32"/>
          <w:szCs w:val="32"/>
          <w:lang w:val="zh-CN"/>
        </w:rPr>
        <w:t>（一）项目组织架构及实施流程</w:t>
      </w:r>
    </w:p>
    <w:p>
      <w:pPr>
        <w:adjustRightInd w:val="0"/>
        <w:snapToGrid w:val="0"/>
        <w:spacing w:line="600" w:lineRule="exact"/>
        <w:ind w:firstLine="320" w:firstLineChars="100"/>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项目组织架构清晰，实施流程在当前阶段合理合规。</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严格按照《中华人民共和国政府采购法》《中华人民共和国政府采购法实施办法》《财政部货物和服务招投标管理办法》等实施采购、按规定进行项目公示。</w:t>
      </w:r>
    </w:p>
    <w:p>
      <w:pPr>
        <w:numPr>
          <w:ilvl w:val="0"/>
          <w:numId w:val="0"/>
        </w:numPr>
        <w:adjustRightInd w:val="0"/>
        <w:snapToGrid w:val="0"/>
        <w:spacing w:line="600" w:lineRule="exact"/>
        <w:ind w:firstLine="602" w:firstLineChars="200"/>
        <w:rPr>
          <w:rFonts w:ascii="楷体_GB2312" w:hAnsi="宋体" w:eastAsia="楷体_GB2312"/>
          <w:b/>
          <w:sz w:val="30"/>
          <w:szCs w:val="30"/>
          <w:lang w:val="zh-CN"/>
        </w:rPr>
      </w:pPr>
      <w:r>
        <w:rPr>
          <w:rFonts w:hint="eastAsia" w:ascii="楷体_GB2312" w:hAnsi="宋体" w:eastAsia="楷体_GB2312"/>
          <w:b/>
          <w:sz w:val="30"/>
          <w:szCs w:val="30"/>
          <w:lang w:val="zh-CN"/>
        </w:rPr>
        <w:t>（三）项目监管情况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由分管领导组织，财务科、价格科、使用科室、管理部门等多科参与，相互监督。</w:t>
      </w:r>
    </w:p>
    <w:p>
      <w:pPr>
        <w:adjustRightInd w:val="0"/>
        <w:snapToGrid w:val="0"/>
        <w:spacing w:line="600" w:lineRule="exact"/>
        <w:ind w:firstLine="640" w:firstLineChars="200"/>
        <w:outlineLvl w:val="1"/>
        <w:rPr>
          <w:rFonts w:ascii="黑体" w:hAnsi="宋体" w:eastAsia="黑体"/>
          <w:sz w:val="32"/>
          <w:szCs w:val="32"/>
        </w:rPr>
      </w:pPr>
      <w:bookmarkStart w:id="97" w:name="_Toc25294"/>
      <w:r>
        <w:rPr>
          <w:rFonts w:hint="eastAsia" w:ascii="黑体" w:hAnsi="宋体" w:eastAsia="黑体"/>
          <w:sz w:val="32"/>
          <w:szCs w:val="32"/>
        </w:rPr>
        <w:t>四、项目绩效情况</w:t>
      </w:r>
      <w:bookmarkEnd w:id="97"/>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rPr>
        <w:t>202</w:t>
      </w:r>
      <w:r>
        <w:rPr>
          <w:rFonts w:hint="eastAsia" w:ascii="仿宋_GB2312" w:hAnsi="宋体"/>
          <w:sz w:val="32"/>
          <w:szCs w:val="32"/>
          <w:lang w:val="en-US" w:eastAsia="zh-CN"/>
        </w:rPr>
        <w:t>1</w:t>
      </w:r>
      <w:r>
        <w:rPr>
          <w:rFonts w:hint="eastAsia" w:ascii="仿宋_GB2312" w:hAnsi="宋体" w:eastAsia="仿宋_GB2312"/>
          <w:sz w:val="32"/>
          <w:szCs w:val="32"/>
        </w:rPr>
        <w:t>年预算办公设备12项实际采购</w:t>
      </w:r>
      <w:r>
        <w:rPr>
          <w:rFonts w:hint="eastAsia" w:ascii="仿宋_GB2312" w:hAnsi="宋体"/>
          <w:sz w:val="32"/>
          <w:szCs w:val="32"/>
          <w:lang w:val="en-US" w:eastAsia="zh-CN"/>
        </w:rPr>
        <w:t>12</w:t>
      </w:r>
      <w:r>
        <w:rPr>
          <w:rFonts w:hint="eastAsia" w:ascii="仿宋_GB2312" w:hAnsi="宋体" w:eastAsia="仿宋_GB2312"/>
          <w:sz w:val="32"/>
          <w:szCs w:val="32"/>
        </w:rPr>
        <w:t>项已全部完成。</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202</w:t>
      </w:r>
      <w:r>
        <w:rPr>
          <w:rFonts w:hint="eastAsia" w:ascii="仿宋_GB2312" w:hAnsi="宋体"/>
          <w:sz w:val="32"/>
          <w:szCs w:val="32"/>
          <w:lang w:val="en-US" w:eastAsia="zh-CN"/>
        </w:rPr>
        <w:t>1</w:t>
      </w:r>
      <w:r>
        <w:rPr>
          <w:rFonts w:hint="eastAsia" w:ascii="仿宋_GB2312" w:hAnsi="宋体" w:eastAsia="仿宋_GB2312"/>
          <w:sz w:val="32"/>
          <w:szCs w:val="32"/>
        </w:rPr>
        <w:t>年新购办公设备投入使用，有效提高了工作效率。</w:t>
      </w:r>
    </w:p>
    <w:p>
      <w:pPr>
        <w:adjustRightInd w:val="0"/>
        <w:snapToGrid w:val="0"/>
        <w:spacing w:line="600" w:lineRule="exact"/>
        <w:ind w:firstLine="640" w:firstLineChars="200"/>
        <w:outlineLvl w:val="1"/>
        <w:rPr>
          <w:rFonts w:ascii="黑体" w:hAnsi="宋体" w:eastAsia="黑体"/>
          <w:sz w:val="32"/>
          <w:szCs w:val="32"/>
        </w:rPr>
      </w:pPr>
      <w:bookmarkStart w:id="98" w:name="_Toc3980"/>
      <w:r>
        <w:rPr>
          <w:rFonts w:hint="eastAsia" w:ascii="黑体" w:hAnsi="宋体" w:eastAsia="黑体"/>
          <w:sz w:val="32"/>
          <w:szCs w:val="32"/>
        </w:rPr>
        <w:t>五、评价结论及建议</w:t>
      </w:r>
      <w:bookmarkEnd w:id="98"/>
    </w:p>
    <w:p>
      <w:pPr>
        <w:adjustRightInd w:val="0"/>
        <w:snapToGrid w:val="0"/>
        <w:spacing w:line="60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完成情况较好，能按照法律法规及医院制度流程要求如期完成。</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eastAsia="仿宋_GB2312"/>
          <w:sz w:val="32"/>
          <w:szCs w:val="32"/>
        </w:rPr>
      </w:pPr>
      <w:r>
        <w:rPr>
          <w:rFonts w:eastAsia="仿宋_GB2312"/>
          <w:sz w:val="32"/>
          <w:szCs w:val="32"/>
        </w:rPr>
        <w:t>部分绩效指标不可量化，评价结果不够精准。</w:t>
      </w:r>
    </w:p>
    <w:p>
      <w:pPr>
        <w:adjustRightInd w:val="0"/>
        <w:snapToGrid w:val="0"/>
        <w:spacing w:line="600" w:lineRule="exact"/>
        <w:ind w:firstLine="320" w:firstLineChars="100"/>
        <w:rPr>
          <w:rFonts w:hint="eastAsia" w:ascii="楷体_GB2312" w:hAnsi="宋体" w:eastAsia="楷体_GB2312"/>
          <w:b/>
          <w:sz w:val="32"/>
          <w:szCs w:val="32"/>
          <w:lang w:val="en-US" w:eastAsia="zh-CN"/>
        </w:rPr>
      </w:pPr>
      <w:r>
        <w:rPr>
          <w:rFonts w:hint="eastAsia" w:eastAsia="仿宋_GB2312"/>
          <w:sz w:val="32"/>
          <w:szCs w:val="32"/>
          <w:lang w:eastAsia="zh-CN"/>
        </w:rPr>
        <w:t>（三）</w:t>
      </w:r>
      <w:r>
        <w:rPr>
          <w:rFonts w:hint="eastAsia" w:ascii="楷体_GB2312" w:hAnsi="宋体" w:eastAsia="楷体_GB2312"/>
          <w:b/>
          <w:sz w:val="32"/>
          <w:szCs w:val="32"/>
          <w:lang w:val="zh-CN"/>
        </w:rPr>
        <w:t>相关建议</w:t>
      </w:r>
      <w:r>
        <w:rPr>
          <w:rFonts w:hint="eastAsia" w:ascii="楷体_GB2312" w:hAnsi="宋体" w:eastAsia="楷体_GB2312"/>
          <w:b/>
          <w:sz w:val="32"/>
          <w:szCs w:val="32"/>
          <w:lang w:val="en-US" w:eastAsia="zh-CN"/>
        </w:rPr>
        <w:t xml:space="preserve"> </w:t>
      </w:r>
    </w:p>
    <w:p>
      <w:pPr>
        <w:adjustRightInd w:val="0"/>
        <w:snapToGrid w:val="0"/>
        <w:spacing w:line="600" w:lineRule="exact"/>
        <w:ind w:firstLine="720"/>
        <w:rPr>
          <w:rFonts w:eastAsia="楷体_GB2312"/>
          <w:b/>
          <w:sz w:val="32"/>
          <w:szCs w:val="32"/>
          <w:lang w:val="zh-CN"/>
        </w:rPr>
      </w:pPr>
      <w:r>
        <w:rPr>
          <w:rFonts w:eastAsia="仿宋_GB2312"/>
          <w:sz w:val="32"/>
        </w:rPr>
        <w:t>绩效考评指标尽量量化，以提高考评工作的可操作性和确保考评结果的客观性、公正性。</w:t>
      </w:r>
    </w:p>
    <w:p>
      <w:pPr>
        <w:numPr>
          <w:ilvl w:val="0"/>
          <w:numId w:val="0"/>
        </w:numPr>
        <w:adjustRightInd w:val="0"/>
        <w:snapToGrid w:val="0"/>
        <w:spacing w:line="600" w:lineRule="exact"/>
        <w:ind w:firstLine="880" w:firstLineChars="200"/>
        <w:rPr>
          <w:rFonts w:hint="eastAsia" w:ascii="方正小标宋简体" w:hAnsi="宋体" w:eastAsia="方正小标宋简体"/>
          <w:color w:val="000000"/>
          <w:kern w:val="0"/>
          <w:sz w:val="44"/>
          <w:szCs w:val="44"/>
        </w:rPr>
      </w:pPr>
    </w:p>
    <w:p>
      <w:pPr>
        <w:spacing w:line="600" w:lineRule="exact"/>
        <w:jc w:val="both"/>
        <w:rPr>
          <w:rFonts w:hint="eastAsia" w:eastAsia="仿宋_GB2312"/>
          <w:b/>
          <w:bCs/>
          <w:color w:val="000000"/>
          <w:sz w:val="32"/>
          <w:szCs w:val="32"/>
          <w:lang w:val="en-US" w:eastAsia="zh-CN"/>
        </w:rPr>
      </w:pPr>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广元市妇幼保健院</w:t>
      </w:r>
    </w:p>
    <w:p>
      <w:pPr>
        <w:spacing w:line="600" w:lineRule="exact"/>
        <w:jc w:val="center"/>
        <w:rPr>
          <w:rFonts w:hint="eastAsia" w:eastAsia="仿宋_GB2312"/>
          <w:color w:val="000000"/>
          <w:sz w:val="32"/>
          <w:szCs w:val="32"/>
          <w:lang w:val="en-US" w:eastAsia="zh-CN"/>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方正小标宋简体" w:eastAsia="方正小标宋简体" w:cs="方正小标宋简体"/>
          <w:b w:val="0"/>
          <w:bCs w:val="0"/>
          <w:color w:val="auto"/>
          <w:kern w:val="2"/>
          <w:sz w:val="44"/>
          <w:szCs w:val="44"/>
          <w:lang w:eastAsia="zh-CN"/>
        </w:rPr>
        <w:t>专项预算</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eastAsia="zh-CN"/>
        </w:rPr>
        <w:t>项目</w:t>
      </w:r>
      <w:r>
        <w:rPr>
          <w:rFonts w:hint="eastAsia" w:ascii="方正小标宋简体" w:hAnsi="宋体" w:eastAsia="方正小标宋简体"/>
          <w:color w:val="000000"/>
          <w:kern w:val="0"/>
          <w:sz w:val="44"/>
          <w:szCs w:val="44"/>
          <w:lang w:val="zh-CN"/>
        </w:rPr>
        <w:t>支出绩效自评报告</w:t>
      </w:r>
    </w:p>
    <w:p>
      <w:pPr>
        <w:spacing w:line="600" w:lineRule="exact"/>
        <w:jc w:val="center"/>
        <w:rPr>
          <w:rFonts w:hint="eastAsia" w:eastAsia="仿宋_GB2312"/>
          <w:b/>
          <w:bCs/>
          <w:color w:val="000000"/>
          <w:sz w:val="32"/>
          <w:szCs w:val="32"/>
          <w:lang w:val="en-US" w:eastAsia="zh-CN"/>
        </w:rPr>
      </w:pPr>
    </w:p>
    <w:p>
      <w:pPr>
        <w:spacing w:line="600" w:lineRule="exact"/>
        <w:jc w:val="center"/>
        <w:rPr>
          <w:rFonts w:hint="eastAsia" w:eastAsia="仿宋_GB2312"/>
          <w:b w:val="0"/>
          <w:bCs w:val="0"/>
          <w:color w:val="000000"/>
          <w:sz w:val="32"/>
          <w:szCs w:val="32"/>
          <w:lang w:val="zh-CN" w:eastAsia="zh-CN"/>
        </w:rPr>
      </w:pPr>
      <w:r>
        <w:rPr>
          <w:rFonts w:hint="eastAsia" w:eastAsia="仿宋_GB2312"/>
          <w:b w:val="0"/>
          <w:bCs w:val="0"/>
          <w:color w:val="000000"/>
          <w:sz w:val="32"/>
          <w:szCs w:val="32"/>
          <w:lang w:val="en-US" w:eastAsia="zh-CN"/>
        </w:rPr>
        <w:t>（</w:t>
      </w:r>
      <w:r>
        <w:rPr>
          <w:rFonts w:hint="eastAsia" w:eastAsia="仿宋_GB2312"/>
          <w:b w:val="0"/>
          <w:bCs w:val="0"/>
          <w:color w:val="000000"/>
          <w:sz w:val="32"/>
          <w:szCs w:val="32"/>
          <w:lang w:val="zh-CN" w:eastAsia="zh-CN"/>
        </w:rPr>
        <w:t>信息化建设项目）</w:t>
      </w:r>
    </w:p>
    <w:p>
      <w:pPr>
        <w:pStyle w:val="9"/>
        <w:rPr>
          <w:rFonts w:hint="eastAsia"/>
        </w:rPr>
      </w:pPr>
    </w:p>
    <w:p>
      <w:pPr>
        <w:numPr>
          <w:ilvl w:val="0"/>
          <w:numId w:val="0"/>
        </w:numPr>
        <w:adjustRightInd w:val="0"/>
        <w:snapToGrid w:val="0"/>
        <w:spacing w:line="600" w:lineRule="exact"/>
        <w:ind w:firstLine="640" w:firstLineChars="200"/>
        <w:jc w:val="left"/>
        <w:outlineLvl w:val="1"/>
        <w:rPr>
          <w:rFonts w:ascii="黑体" w:hAnsi="宋体" w:eastAsia="黑体"/>
          <w:sz w:val="32"/>
          <w:szCs w:val="32"/>
          <w:lang w:val="zh-CN"/>
        </w:rPr>
      </w:pPr>
      <w:bookmarkStart w:id="99" w:name="_Toc26960"/>
      <w:r>
        <w:rPr>
          <w:rFonts w:hint="eastAsia" w:ascii="黑体" w:hAnsi="宋体" w:eastAsia="黑体"/>
          <w:sz w:val="32"/>
          <w:szCs w:val="32"/>
          <w:lang w:val="zh-CN"/>
        </w:rPr>
        <w:t>一、项目概况</w:t>
      </w:r>
      <w:bookmarkEnd w:id="99"/>
    </w:p>
    <w:p>
      <w:pPr>
        <w:adjustRightInd w:val="0"/>
        <w:snapToGrid w:val="0"/>
        <w:spacing w:line="600" w:lineRule="exact"/>
        <w:ind w:firstLine="321" w:firstLineChars="100"/>
        <w:jc w:val="left"/>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rPr>
        <w:t>20</w:t>
      </w:r>
      <w:r>
        <w:rPr>
          <w:rFonts w:hint="eastAsia" w:ascii="仿宋_GB2312" w:hAnsi="宋体"/>
          <w:sz w:val="32"/>
          <w:szCs w:val="32"/>
          <w:lang w:val="en-US" w:eastAsia="zh-CN"/>
        </w:rPr>
        <w:t>20</w:t>
      </w:r>
      <w:r>
        <w:rPr>
          <w:rFonts w:hint="eastAsia" w:ascii="仿宋_GB2312" w:hAnsi="宋体" w:eastAsia="仿宋_GB2312"/>
          <w:sz w:val="32"/>
          <w:szCs w:val="32"/>
        </w:rPr>
        <w:t>年底，全院各科室提交202</w:t>
      </w:r>
      <w:r>
        <w:rPr>
          <w:rFonts w:hint="eastAsia" w:ascii="仿宋_GB2312" w:hAnsi="宋体"/>
          <w:sz w:val="32"/>
          <w:szCs w:val="32"/>
          <w:lang w:val="en-US" w:eastAsia="zh-CN"/>
        </w:rPr>
        <w:t>1</w:t>
      </w:r>
      <w:r>
        <w:rPr>
          <w:rFonts w:hint="eastAsia" w:ascii="仿宋_GB2312" w:hAnsi="宋体" w:eastAsia="仿宋_GB2312"/>
          <w:sz w:val="32"/>
          <w:szCs w:val="32"/>
        </w:rPr>
        <w:t>年预算新增各类软硬件系统</w:t>
      </w:r>
      <w:r>
        <w:rPr>
          <w:rFonts w:hint="eastAsia" w:ascii="仿宋_GB2312" w:hAnsi="宋体"/>
          <w:sz w:val="32"/>
          <w:szCs w:val="32"/>
          <w:lang w:val="en-US" w:eastAsia="zh-CN"/>
        </w:rPr>
        <w:t>3</w:t>
      </w:r>
      <w:r>
        <w:rPr>
          <w:rFonts w:hint="eastAsia" w:ascii="仿宋_GB2312" w:hAnsi="宋体" w:eastAsia="仿宋_GB2312"/>
          <w:sz w:val="32"/>
          <w:szCs w:val="32"/>
        </w:rPr>
        <w:t>项，预算经费合计</w:t>
      </w:r>
      <w:r>
        <w:rPr>
          <w:rFonts w:hint="eastAsia" w:ascii="仿宋_GB2312" w:hAnsi="宋体"/>
          <w:sz w:val="32"/>
          <w:szCs w:val="32"/>
          <w:lang w:val="en-US" w:eastAsia="zh-CN"/>
        </w:rPr>
        <w:t>38</w:t>
      </w:r>
      <w:r>
        <w:rPr>
          <w:rFonts w:hint="eastAsia" w:ascii="仿宋_GB2312" w:hAnsi="宋体" w:eastAsia="仿宋_GB2312"/>
          <w:sz w:val="32"/>
          <w:szCs w:val="32"/>
        </w:rPr>
        <w:t>万元，实际执行采购采购</w:t>
      </w:r>
      <w:r>
        <w:rPr>
          <w:rFonts w:hint="eastAsia" w:ascii="仿宋_GB2312" w:hAnsi="宋体"/>
          <w:sz w:val="32"/>
          <w:szCs w:val="32"/>
          <w:lang w:val="en-US" w:eastAsia="zh-CN"/>
        </w:rPr>
        <w:t>3</w:t>
      </w:r>
      <w:r>
        <w:rPr>
          <w:rFonts w:hint="eastAsia" w:ascii="仿宋_GB2312" w:hAnsi="宋体" w:eastAsia="仿宋_GB2312"/>
          <w:sz w:val="32"/>
          <w:szCs w:val="32"/>
        </w:rPr>
        <w:t>项，合计金额</w:t>
      </w:r>
      <w:r>
        <w:rPr>
          <w:rFonts w:hint="eastAsia" w:ascii="仿宋_GB2312" w:hAnsi="宋体"/>
          <w:sz w:val="32"/>
          <w:szCs w:val="32"/>
          <w:lang w:val="en-US" w:eastAsia="zh-CN"/>
        </w:rPr>
        <w:t>38</w:t>
      </w:r>
      <w:r>
        <w:rPr>
          <w:rFonts w:hint="eastAsia" w:ascii="仿宋_GB2312" w:hAnsi="宋体" w:eastAsia="仿宋_GB2312"/>
          <w:sz w:val="32"/>
          <w:szCs w:val="32"/>
        </w:rPr>
        <w:t>万元，执行率</w:t>
      </w:r>
      <w:r>
        <w:rPr>
          <w:rFonts w:hint="eastAsia" w:ascii="仿宋_GB2312" w:hAnsi="宋体"/>
          <w:sz w:val="32"/>
          <w:szCs w:val="32"/>
          <w:lang w:val="en-US" w:eastAsia="zh-CN"/>
        </w:rPr>
        <w:t>100</w:t>
      </w:r>
      <w:r>
        <w:rPr>
          <w:rFonts w:hint="eastAsia" w:ascii="仿宋_GB2312" w:hAnsi="宋体" w:eastAsia="仿宋_GB2312"/>
          <w:sz w:val="32"/>
          <w:szCs w:val="32"/>
        </w:rPr>
        <w:t>%。</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2" w:firstLineChars="200"/>
        <w:rPr>
          <w:rFonts w:ascii="仿宋_GB2312" w:hAnsi="宋体" w:eastAsia="仿宋_GB2312"/>
          <w:b/>
          <w:bCs/>
          <w:sz w:val="32"/>
          <w:szCs w:val="32"/>
          <w:lang w:val="zh-CN"/>
        </w:rPr>
      </w:pPr>
      <w:r>
        <w:rPr>
          <w:rFonts w:ascii="仿宋_GB2312" w:hAnsi="宋体" w:eastAsia="仿宋_GB2312"/>
          <w:b/>
          <w:bCs/>
          <w:sz w:val="32"/>
          <w:szCs w:val="32"/>
          <w:lang w:val="zh-CN"/>
        </w:rPr>
        <w:t>1</w:t>
      </w:r>
      <w:r>
        <w:rPr>
          <w:rFonts w:hint="eastAsia" w:ascii="仿宋_GB2312" w:hAnsi="宋体" w:eastAsia="仿宋_GB2312"/>
          <w:b/>
          <w:bCs/>
          <w:sz w:val="32"/>
          <w:szCs w:val="32"/>
          <w:lang w:val="zh-CN"/>
        </w:rPr>
        <w:t>．项目主要内容</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通过院内采购的</w:t>
      </w:r>
      <w:r>
        <w:rPr>
          <w:rFonts w:hint="eastAsia" w:ascii="仿宋_GB2312" w:hAnsi="宋体" w:eastAsia="仿宋_GB2312"/>
          <w:sz w:val="32"/>
          <w:szCs w:val="32"/>
        </w:rPr>
        <w:t>软硬件系统</w:t>
      </w:r>
      <w:r>
        <w:rPr>
          <w:rFonts w:hint="eastAsia" w:ascii="仿宋_GB2312" w:hAnsi="仿宋_GB2312" w:eastAsia="仿宋_GB2312" w:cs="仿宋_GB2312"/>
          <w:color w:val="000000"/>
          <w:sz w:val="32"/>
          <w:szCs w:val="32"/>
        </w:rPr>
        <w:t>有：疫情监测上报系统、不良事件管理系统、输血科LIS系统</w:t>
      </w: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项，预算资金</w:t>
      </w:r>
      <w:r>
        <w:rPr>
          <w:rFonts w:hint="eastAsia" w:ascii="仿宋_GB2312" w:hAnsi="仿宋_GB2312" w:cs="仿宋_GB2312"/>
          <w:color w:val="000000"/>
          <w:sz w:val="32"/>
          <w:szCs w:val="32"/>
          <w:lang w:val="en-US" w:eastAsia="zh-CN"/>
        </w:rPr>
        <w:t>38</w:t>
      </w:r>
      <w:r>
        <w:rPr>
          <w:rFonts w:hint="eastAsia" w:ascii="仿宋_GB2312" w:hAnsi="仿宋_GB2312" w:eastAsia="仿宋_GB2312" w:cs="仿宋_GB2312"/>
          <w:color w:val="000000"/>
          <w:sz w:val="32"/>
          <w:szCs w:val="32"/>
        </w:rPr>
        <w:t>万元，实际采购资金</w:t>
      </w:r>
      <w:r>
        <w:rPr>
          <w:rFonts w:hint="eastAsia" w:ascii="仿宋_GB2312" w:hAnsi="仿宋_GB2312" w:cs="仿宋_GB2312"/>
          <w:color w:val="000000"/>
          <w:sz w:val="32"/>
          <w:szCs w:val="32"/>
          <w:lang w:val="en-US" w:eastAsia="zh-CN"/>
        </w:rPr>
        <w:t>38</w:t>
      </w:r>
      <w:r>
        <w:rPr>
          <w:rFonts w:hint="eastAsia" w:ascii="仿宋_GB2312" w:hAnsi="仿宋_GB2312" w:eastAsia="仿宋_GB2312" w:cs="仿宋_GB2312"/>
          <w:color w:val="000000"/>
          <w:sz w:val="32"/>
          <w:szCs w:val="32"/>
        </w:rPr>
        <w:t>万元。</w:t>
      </w:r>
    </w:p>
    <w:p>
      <w:pPr>
        <w:numPr>
          <w:ilvl w:val="0"/>
          <w:numId w:val="0"/>
        </w:numPr>
        <w:adjustRightInd w:val="0"/>
        <w:snapToGrid w:val="0"/>
        <w:spacing w:line="600" w:lineRule="exact"/>
        <w:ind w:firstLine="642" w:firstLineChars="200"/>
        <w:rPr>
          <w:rFonts w:hint="eastAsia" w:ascii="仿宋_GB2312" w:hAnsi="宋体" w:eastAsia="仿宋_GB2312"/>
          <w:sz w:val="32"/>
          <w:szCs w:val="32"/>
          <w:lang w:val="en-US" w:eastAsia="zh-CN"/>
        </w:rPr>
      </w:pPr>
      <w:r>
        <w:rPr>
          <w:rFonts w:hint="eastAsia" w:ascii="仿宋_GB2312" w:hAnsi="宋体" w:eastAsia="仿宋_GB2312"/>
          <w:b/>
          <w:bCs/>
          <w:sz w:val="32"/>
          <w:szCs w:val="32"/>
          <w:lang w:val="en-US" w:eastAsia="zh-CN"/>
        </w:rPr>
        <w:t>2.</w:t>
      </w:r>
      <w:r>
        <w:rPr>
          <w:rFonts w:hint="eastAsia" w:ascii="仿宋_GB2312" w:hAnsi="宋体" w:eastAsia="仿宋_GB2312"/>
          <w:b/>
          <w:bCs/>
          <w:sz w:val="32"/>
          <w:szCs w:val="32"/>
          <w:lang w:val="zh-CN"/>
        </w:rPr>
        <w:t>项目绩效目标的量化、细化情况以及项目实施进度计划</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sz w:val="32"/>
          <w:szCs w:val="32"/>
          <w:lang w:val="en-US" w:eastAsia="zh-CN"/>
        </w:rPr>
        <w:t>1</w:t>
      </w:r>
      <w:r>
        <w:rPr>
          <w:rFonts w:hint="eastAsia" w:ascii="仿宋_GB2312" w:hAnsi="宋体" w:eastAsia="仿宋_GB2312"/>
          <w:sz w:val="32"/>
          <w:szCs w:val="32"/>
        </w:rPr>
        <w:t>年各采购项目严格按照院内当前流程，进行市场调查、论证、会议决策、备案采购、履约验收后投入使用等，按照预定期限完成。</w:t>
      </w:r>
    </w:p>
    <w:p>
      <w:pPr>
        <w:numPr>
          <w:ilvl w:val="0"/>
          <w:numId w:val="0"/>
        </w:numPr>
        <w:adjustRightInd w:val="0"/>
        <w:snapToGrid w:val="0"/>
        <w:spacing w:line="600" w:lineRule="exact"/>
        <w:ind w:firstLine="642" w:firstLineChars="200"/>
        <w:rPr>
          <w:rFonts w:ascii="仿宋_GB2312" w:hAnsi="宋体" w:eastAsia="仿宋_GB2312"/>
          <w:sz w:val="32"/>
          <w:szCs w:val="32"/>
          <w:lang w:val="zh-CN"/>
        </w:rPr>
      </w:pPr>
      <w:r>
        <w:rPr>
          <w:rFonts w:hint="eastAsia" w:ascii="仿宋_GB2312" w:hAnsi="宋体" w:eastAsia="仿宋_GB2312"/>
          <w:b/>
          <w:bCs/>
          <w:sz w:val="32"/>
          <w:szCs w:val="32"/>
          <w:lang w:val="en-US" w:eastAsia="zh-CN"/>
        </w:rPr>
        <w:t>3.</w:t>
      </w:r>
      <w:r>
        <w:rPr>
          <w:rFonts w:hint="eastAsia" w:ascii="仿宋_GB2312" w:hAnsi="宋体" w:eastAsia="仿宋_GB2312"/>
          <w:b/>
          <w:bCs/>
          <w:sz w:val="32"/>
          <w:szCs w:val="32"/>
          <w:lang w:val="zh-CN"/>
        </w:rPr>
        <w:t>分析评价申报内容是否与实际相符，申报目标是否合理可行</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 xml:space="preserve">   通过对202</w:t>
      </w:r>
      <w:r>
        <w:rPr>
          <w:rFonts w:hint="eastAsia" w:ascii="仿宋_GB2312" w:hAnsi="宋体"/>
          <w:sz w:val="32"/>
          <w:szCs w:val="32"/>
          <w:lang w:val="en-US" w:eastAsia="zh-CN"/>
        </w:rPr>
        <w:t>1</w:t>
      </w:r>
      <w:r>
        <w:rPr>
          <w:rFonts w:hint="eastAsia" w:ascii="仿宋_GB2312" w:hAnsi="宋体" w:eastAsia="仿宋_GB2312"/>
          <w:sz w:val="32"/>
          <w:szCs w:val="32"/>
        </w:rPr>
        <w:t>年实施采购后的软硬件投入使用运行情况分析，各需求部门提交的设备申报内容与实际工作相符，申报目标合理可行。</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通过临床科室申请、论证</w:t>
      </w:r>
      <w:r>
        <w:rPr>
          <w:rFonts w:hint="eastAsia" w:ascii="仿宋_GB2312" w:hAnsi="宋体" w:eastAsia="仿宋_GB2312"/>
          <w:sz w:val="32"/>
          <w:szCs w:val="32"/>
        </w:rPr>
        <w:t>-部门和分管领导审批-官网调研询价-听取产品介绍、二轮报价、院内专家论证-控制价议</w:t>
      </w:r>
      <w:r>
        <w:rPr>
          <w:rFonts w:hint="eastAsia" w:ascii="仿宋_GB2312" w:hAnsi="宋体" w:eastAsia="仿宋_GB2312"/>
          <w:sz w:val="32"/>
          <w:szCs w:val="32"/>
          <w:lang w:eastAsia="zh-CN"/>
        </w:rPr>
        <w:t>和</w:t>
      </w:r>
      <w:r>
        <w:rPr>
          <w:rFonts w:hint="eastAsia" w:ascii="仿宋_GB2312" w:hAnsi="宋体" w:eastAsia="仿宋_GB2312"/>
          <w:sz w:val="32"/>
          <w:szCs w:val="32"/>
        </w:rPr>
        <w:t>采购价论证、招标前再论证-上院长办公会和党委会集体决策-委托代理机构-备案-挂网-开标-合同审签-履约验收-交付使用等，自评流程合理合规。</w:t>
      </w:r>
    </w:p>
    <w:p>
      <w:pPr>
        <w:adjustRightInd w:val="0"/>
        <w:snapToGrid w:val="0"/>
        <w:spacing w:line="600" w:lineRule="exact"/>
        <w:ind w:firstLine="720"/>
        <w:outlineLvl w:val="1"/>
        <w:rPr>
          <w:rFonts w:ascii="黑体" w:hAnsi="宋体" w:eastAsia="黑体"/>
          <w:sz w:val="32"/>
          <w:szCs w:val="32"/>
        </w:rPr>
      </w:pPr>
      <w:bookmarkStart w:id="100" w:name="_Toc25340"/>
      <w:r>
        <w:rPr>
          <w:rFonts w:hint="eastAsia" w:ascii="黑体" w:hAnsi="宋体" w:eastAsia="黑体"/>
          <w:sz w:val="32"/>
          <w:szCs w:val="32"/>
        </w:rPr>
        <w:t>二、项目资金申报及使用情况</w:t>
      </w:r>
      <w:bookmarkEnd w:id="10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color w:val="auto"/>
          <w:sz w:val="32"/>
          <w:szCs w:val="32"/>
          <w:lang w:val="zh-CN"/>
        </w:rPr>
        <w:t>项目由医院预算管理委员会审议通过报上级部门审核，项目所需资金由医院自筹解决。市财政局经人大会议审查批准，下达部门预算。</w:t>
      </w:r>
    </w:p>
    <w:p>
      <w:pPr>
        <w:adjustRightInd w:val="0"/>
        <w:snapToGrid w:val="0"/>
        <w:spacing w:line="600" w:lineRule="exact"/>
        <w:ind w:firstLine="642" w:firstLineChars="20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（二）资金计划、到位及使用情况</w:t>
      </w:r>
    </w:p>
    <w:p>
      <w:pPr>
        <w:adjustRightInd w:val="0"/>
        <w:snapToGrid w:val="0"/>
        <w:spacing w:line="600" w:lineRule="exact"/>
        <w:ind w:firstLine="640" w:firstLineChars="200"/>
        <w:rPr>
          <w:rFonts w:hint="eastAsia" w:ascii="楷体_GB2312" w:hAnsi="宋体" w:eastAsia="楷体_GB2312"/>
          <w:color w:val="auto"/>
          <w:sz w:val="32"/>
          <w:szCs w:val="32"/>
          <w:lang w:val="zh-CN"/>
        </w:rPr>
      </w:pPr>
      <w:r>
        <w:rPr>
          <w:rFonts w:ascii="楷体_GB2312" w:hAnsi="宋体" w:eastAsia="楷体_GB2312"/>
          <w:color w:val="auto"/>
          <w:sz w:val="32"/>
          <w:szCs w:val="32"/>
          <w:lang w:val="zh-CN"/>
        </w:rPr>
        <w:t>1</w:t>
      </w:r>
      <w:r>
        <w:rPr>
          <w:rFonts w:hint="eastAsia" w:ascii="楷体_GB2312" w:hAnsi="宋体" w:eastAsia="楷体_GB2312"/>
          <w:color w:val="auto"/>
          <w:sz w:val="32"/>
          <w:szCs w:val="32"/>
          <w:lang w:val="en-US" w:eastAsia="zh-CN"/>
        </w:rPr>
        <w:t>.</w:t>
      </w:r>
      <w:r>
        <w:rPr>
          <w:rFonts w:hint="eastAsia" w:ascii="楷体_GB2312" w:hAnsi="宋体" w:eastAsia="楷体_GB2312"/>
          <w:color w:val="auto"/>
          <w:sz w:val="32"/>
          <w:szCs w:val="32"/>
          <w:lang w:val="zh-CN"/>
        </w:rPr>
        <w:t>资金计划</w:t>
      </w:r>
    </w:p>
    <w:p>
      <w:pPr>
        <w:adjustRightInd w:val="0"/>
        <w:snapToGrid w:val="0"/>
        <w:spacing w:line="600" w:lineRule="exact"/>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单位医疗设备购置项目资金均由单位自筹。</w:t>
      </w:r>
    </w:p>
    <w:p>
      <w:pPr>
        <w:numPr>
          <w:ilvl w:val="0"/>
          <w:numId w:val="0"/>
        </w:numPr>
        <w:adjustRightInd w:val="0"/>
        <w:snapToGrid w:val="0"/>
        <w:spacing w:line="600" w:lineRule="exact"/>
        <w:ind w:leftChars="200" w:firstLine="320" w:firstLineChars="100"/>
        <w:rPr>
          <w:rFonts w:hint="eastAsia" w:ascii="楷体_GB2312" w:hAnsi="宋体" w:eastAsia="楷体_GB2312"/>
          <w:color w:val="auto"/>
          <w:sz w:val="32"/>
          <w:szCs w:val="32"/>
          <w:lang w:val="zh-CN"/>
        </w:rPr>
      </w:pPr>
      <w:r>
        <w:rPr>
          <w:rFonts w:hint="eastAsia" w:ascii="楷体_GB2312" w:hAnsi="宋体" w:eastAsia="楷体_GB2312"/>
          <w:color w:val="auto"/>
          <w:sz w:val="32"/>
          <w:szCs w:val="32"/>
          <w:lang w:val="en-US" w:eastAsia="zh-CN"/>
        </w:rPr>
        <w:t>2.</w:t>
      </w:r>
      <w:r>
        <w:rPr>
          <w:rFonts w:hint="eastAsia" w:ascii="楷体_GB2312" w:hAnsi="宋体" w:eastAsia="楷体_GB2312"/>
          <w:color w:val="auto"/>
          <w:sz w:val="32"/>
          <w:szCs w:val="32"/>
          <w:lang w:val="zh-CN"/>
        </w:rPr>
        <w:t>资金到位</w:t>
      </w:r>
    </w:p>
    <w:p>
      <w:pPr>
        <w:numPr>
          <w:ilvl w:val="0"/>
          <w:numId w:val="0"/>
        </w:num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按照</w:t>
      </w:r>
      <w:r>
        <w:rPr>
          <w:rFonts w:hint="eastAsia" w:ascii="仿宋_GB2312" w:hAnsi="宋体" w:eastAsia="仿宋_GB2312"/>
          <w:color w:val="auto"/>
          <w:sz w:val="32"/>
          <w:szCs w:val="32"/>
          <w:lang w:val="en-US" w:eastAsia="zh-CN"/>
        </w:rPr>
        <w:t>医疗设备购置项目年度计划，单位自筹资金重点保障，按计划及时支付采购项目进度款。</w:t>
      </w:r>
    </w:p>
    <w:p>
      <w:pPr>
        <w:numPr>
          <w:ilvl w:val="0"/>
          <w:numId w:val="0"/>
        </w:numPr>
        <w:adjustRightInd w:val="0"/>
        <w:snapToGrid w:val="0"/>
        <w:spacing w:line="600" w:lineRule="exact"/>
        <w:ind w:firstLine="640" w:firstLineChars="200"/>
        <w:rPr>
          <w:rFonts w:hint="eastAsia" w:ascii="楷体_GB2312" w:hAnsi="宋体" w:eastAsia="楷体_GB2312"/>
          <w:color w:val="auto"/>
          <w:sz w:val="32"/>
          <w:szCs w:val="32"/>
          <w:lang w:val="zh-CN"/>
        </w:rPr>
      </w:pPr>
      <w:r>
        <w:rPr>
          <w:rFonts w:hint="eastAsia" w:ascii="楷体_GB2312" w:hAnsi="宋体" w:eastAsia="楷体_GB2312"/>
          <w:color w:val="auto"/>
          <w:sz w:val="32"/>
          <w:szCs w:val="32"/>
          <w:lang w:val="en-US" w:eastAsia="zh-CN"/>
        </w:rPr>
        <w:t>3.</w:t>
      </w:r>
      <w:r>
        <w:rPr>
          <w:rFonts w:hint="eastAsia" w:ascii="楷体_GB2312" w:hAnsi="宋体" w:eastAsia="楷体_GB2312"/>
          <w:color w:val="auto"/>
          <w:sz w:val="32"/>
          <w:szCs w:val="32"/>
          <w:lang w:val="zh-CN"/>
        </w:rPr>
        <w:t>资金使用</w:t>
      </w:r>
    </w:p>
    <w:p>
      <w:pPr>
        <w:numPr>
          <w:ilvl w:val="0"/>
          <w:numId w:val="0"/>
        </w:num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color w:val="auto"/>
          <w:sz w:val="32"/>
          <w:szCs w:val="32"/>
          <w:lang w:val="zh-CN"/>
        </w:rPr>
        <w:t>年末</w:t>
      </w:r>
      <w:r>
        <w:rPr>
          <w:rFonts w:hint="eastAsia" w:ascii="仿宋_GB2312" w:hAnsi="宋体" w:eastAsia="仿宋_GB2312"/>
          <w:color w:val="auto"/>
          <w:sz w:val="32"/>
          <w:szCs w:val="32"/>
          <w:lang w:val="zh-CN"/>
        </w:rPr>
        <w:t>，</w:t>
      </w:r>
      <w:r>
        <w:rPr>
          <w:rFonts w:hint="eastAsia" w:ascii="仿宋_GB2312" w:hAnsi="宋体"/>
          <w:color w:val="auto"/>
          <w:sz w:val="32"/>
          <w:szCs w:val="32"/>
          <w:lang w:val="zh-CN"/>
        </w:rPr>
        <w:t>已完成</w:t>
      </w:r>
      <w:r>
        <w:rPr>
          <w:rFonts w:hint="eastAsia" w:ascii="仿宋_GB2312" w:hAnsi="仿宋_GB2312" w:eastAsia="仿宋_GB2312" w:cs="仿宋_GB2312"/>
          <w:color w:val="000000"/>
          <w:sz w:val="32"/>
          <w:szCs w:val="32"/>
        </w:rPr>
        <w:t>疫情监测上报系统、不良事件管理系统、输血科LIS系统</w:t>
      </w: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项</w:t>
      </w:r>
      <w:r>
        <w:rPr>
          <w:rFonts w:hint="eastAsia" w:ascii="仿宋_GB2312" w:hAnsi="仿宋_GB2312" w:cs="仿宋_GB2312"/>
          <w:color w:val="000000"/>
          <w:sz w:val="32"/>
          <w:szCs w:val="32"/>
          <w:lang w:eastAsia="zh-CN"/>
        </w:rPr>
        <w:t>系统全部采购，支付</w:t>
      </w:r>
      <w:r>
        <w:rPr>
          <w:rFonts w:hint="eastAsia" w:ascii="仿宋_GB2312" w:hAnsi="宋体" w:eastAsia="仿宋_GB2312"/>
          <w:color w:val="auto"/>
          <w:sz w:val="32"/>
          <w:szCs w:val="32"/>
        </w:rPr>
        <w:t>。</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在各项目款支付审批过程中，财务科按照制度要求严格审批申报支付各类资料、票据，凭证等做好了环节把控。</w:t>
      </w:r>
    </w:p>
    <w:p>
      <w:pPr>
        <w:adjustRightInd w:val="0"/>
        <w:snapToGrid w:val="0"/>
        <w:spacing w:line="600" w:lineRule="exact"/>
        <w:ind w:firstLine="320" w:firstLineChars="100"/>
        <w:rPr>
          <w:rFonts w:hint="eastAsia" w:ascii="楷体_GB2312" w:hAnsi="宋体" w:eastAsia="楷体_GB2312"/>
          <w:b/>
          <w:sz w:val="32"/>
          <w:szCs w:val="32"/>
          <w:lang w:val="zh-CN"/>
        </w:rPr>
      </w:pPr>
      <w:r>
        <w:rPr>
          <w:rFonts w:hint="eastAsia" w:ascii="黑体" w:hAnsi="宋体" w:eastAsia="黑体"/>
          <w:sz w:val="32"/>
          <w:szCs w:val="32"/>
          <w:lang w:val="en-US" w:eastAsia="zh-CN"/>
        </w:rPr>
        <w:t xml:space="preserve">  </w:t>
      </w:r>
      <w:r>
        <w:rPr>
          <w:rFonts w:hint="eastAsia" w:ascii="楷体_GB2312" w:hAnsi="宋体" w:eastAsia="楷体_GB2312"/>
          <w:b/>
          <w:sz w:val="32"/>
          <w:szCs w:val="32"/>
          <w:lang w:val="zh-CN"/>
        </w:rPr>
        <w:t>（一）项目组织架构及实施流程</w:t>
      </w:r>
    </w:p>
    <w:p>
      <w:pPr>
        <w:adjustRightInd w:val="0"/>
        <w:snapToGrid w:val="0"/>
        <w:spacing w:line="6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项目组织架构清晰，实施流程在当前阶段合理合规。</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严格按照《中华人民共和国政府采购法》《中华人民共和国政府采购法实施办法》《财政部货物和服务招投标管理办法》等实施采购、按规定进行项目公示。</w:t>
      </w:r>
    </w:p>
    <w:p>
      <w:pPr>
        <w:numPr>
          <w:ilvl w:val="0"/>
          <w:numId w:val="0"/>
        </w:num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bCs/>
          <w:sz w:val="32"/>
          <w:szCs w:val="32"/>
          <w:lang w:val="zh-CN"/>
        </w:rPr>
        <w:t>在我院采管未分设的情况下</w:t>
      </w:r>
      <w:r>
        <w:rPr>
          <w:rFonts w:hint="eastAsia" w:ascii="楷体_GB2312" w:hAnsi="宋体" w:eastAsia="楷体_GB2312"/>
          <w:b/>
          <w:sz w:val="32"/>
          <w:szCs w:val="32"/>
          <w:lang w:val="zh-CN"/>
        </w:rPr>
        <w:t>，</w:t>
      </w:r>
      <w:r>
        <w:rPr>
          <w:rFonts w:hint="eastAsia" w:ascii="楷体_GB2312" w:hAnsi="宋体" w:eastAsia="楷体_GB2312"/>
          <w:sz w:val="32"/>
          <w:szCs w:val="32"/>
          <w:lang w:val="zh-CN"/>
        </w:rPr>
        <w:t>软硬件</w:t>
      </w:r>
      <w:r>
        <w:rPr>
          <w:rFonts w:hint="eastAsia" w:ascii="仿宋_GB2312" w:hAnsi="宋体" w:eastAsia="仿宋_GB2312"/>
          <w:sz w:val="32"/>
          <w:szCs w:val="32"/>
          <w:lang w:val="zh-CN"/>
        </w:rPr>
        <w:t>系统采购</w:t>
      </w:r>
      <w:r>
        <w:rPr>
          <w:rFonts w:hint="eastAsia" w:ascii="仿宋_GB2312" w:hAnsi="宋体" w:eastAsia="仿宋_GB2312"/>
          <w:b/>
          <w:bCs/>
          <w:sz w:val="32"/>
          <w:szCs w:val="32"/>
          <w:lang w:val="zh-CN"/>
        </w:rPr>
        <w:t>一是</w:t>
      </w:r>
      <w:r>
        <w:rPr>
          <w:rFonts w:hint="eastAsia" w:ascii="仿宋_GB2312" w:hAnsi="宋体" w:eastAsia="仿宋_GB2312"/>
          <w:sz w:val="32"/>
          <w:szCs w:val="32"/>
          <w:lang w:val="zh-CN"/>
        </w:rPr>
        <w:t>在调研撤封资料、抽取代理机构、委派采购人代表和监督代表等环节，均由科室申请，纪委参与并监督。</w:t>
      </w:r>
      <w:r>
        <w:rPr>
          <w:rFonts w:hint="eastAsia" w:ascii="仿宋_GB2312" w:hAnsi="宋体" w:eastAsia="仿宋_GB2312"/>
          <w:b/>
          <w:bCs/>
          <w:sz w:val="32"/>
          <w:szCs w:val="32"/>
          <w:lang w:val="zh-CN"/>
        </w:rPr>
        <w:t>二是</w:t>
      </w:r>
      <w:r>
        <w:rPr>
          <w:rFonts w:hint="eastAsia" w:ascii="仿宋_GB2312" w:hAnsi="宋体" w:eastAsia="仿宋_GB2312"/>
          <w:sz w:val="32"/>
          <w:szCs w:val="32"/>
          <w:lang w:val="zh-CN"/>
        </w:rPr>
        <w:t>在听取产品介绍和院内论证等环节，由分管领导组织，财务科、价格科、使用科室、管理部门等多科参与，相互监督。</w:t>
      </w:r>
    </w:p>
    <w:p>
      <w:pPr>
        <w:adjustRightInd w:val="0"/>
        <w:snapToGrid w:val="0"/>
        <w:spacing w:line="600" w:lineRule="exact"/>
        <w:ind w:firstLine="640" w:firstLineChars="200"/>
        <w:outlineLvl w:val="1"/>
        <w:rPr>
          <w:rFonts w:ascii="黑体" w:hAnsi="宋体" w:eastAsia="黑体"/>
          <w:sz w:val="32"/>
          <w:szCs w:val="32"/>
        </w:rPr>
      </w:pPr>
      <w:bookmarkStart w:id="101" w:name="_Toc11326"/>
      <w:r>
        <w:rPr>
          <w:rFonts w:hint="eastAsia" w:ascii="黑体" w:hAnsi="宋体" w:eastAsia="黑体"/>
          <w:sz w:val="32"/>
          <w:szCs w:val="32"/>
        </w:rPr>
        <w:t>四、项目绩效情况</w:t>
      </w:r>
      <w:bookmarkEnd w:id="101"/>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 w:hAnsi="仿宋" w:eastAsia="仿宋" w:cs="仿宋"/>
          <w:color w:val="auto"/>
          <w:sz w:val="32"/>
          <w:szCs w:val="32"/>
          <w:lang w:val="zh-CN"/>
        </w:rPr>
        <w:t>年末，已完成</w:t>
      </w:r>
      <w:r>
        <w:rPr>
          <w:rFonts w:hint="eastAsia" w:ascii="仿宋" w:hAnsi="仿宋" w:eastAsia="仿宋" w:cs="仿宋"/>
          <w:color w:val="000000"/>
          <w:sz w:val="32"/>
          <w:szCs w:val="32"/>
        </w:rPr>
        <w:t>疫</w:t>
      </w:r>
      <w:r>
        <w:rPr>
          <w:rFonts w:hint="eastAsia" w:ascii="仿宋_GB2312" w:hAnsi="仿宋_GB2312" w:eastAsia="仿宋_GB2312" w:cs="仿宋_GB2312"/>
          <w:color w:val="000000"/>
          <w:sz w:val="32"/>
          <w:szCs w:val="32"/>
        </w:rPr>
        <w:t>情监测上报系统、不良事件管理系统、输血科LIS系统</w:t>
      </w: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项</w:t>
      </w:r>
      <w:r>
        <w:rPr>
          <w:rFonts w:hint="eastAsia" w:ascii="仿宋_GB2312" w:hAnsi="仿宋_GB2312" w:cs="仿宋_GB2312"/>
          <w:color w:val="000000"/>
          <w:sz w:val="32"/>
          <w:szCs w:val="32"/>
          <w:lang w:eastAsia="zh-CN"/>
        </w:rPr>
        <w:t>系统全部采购，支付</w:t>
      </w:r>
      <w:r>
        <w:rPr>
          <w:rFonts w:hint="eastAsia" w:ascii="仿宋_GB2312" w:hAnsi="宋体" w:eastAsia="仿宋_GB2312"/>
          <w:color w:val="auto"/>
          <w:sz w:val="32"/>
          <w:szCs w:val="32"/>
        </w:rPr>
        <w:t>。</w:t>
      </w:r>
      <w:r>
        <w:rPr>
          <w:rFonts w:hint="eastAsia" w:ascii="仿宋_GB2312" w:hAnsi="宋体" w:eastAsia="仿宋_GB2312"/>
          <w:sz w:val="32"/>
          <w:szCs w:val="32"/>
        </w:rPr>
        <w:t>已采购软硬先系统均已投入使用，运行良好。</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202</w:t>
      </w:r>
      <w:r>
        <w:rPr>
          <w:rFonts w:hint="eastAsia" w:ascii="仿宋_GB2312" w:hAnsi="宋体"/>
          <w:sz w:val="32"/>
          <w:szCs w:val="32"/>
          <w:lang w:val="en-US" w:eastAsia="zh-CN"/>
        </w:rPr>
        <w:t>1</w:t>
      </w:r>
      <w:r>
        <w:rPr>
          <w:rFonts w:hint="eastAsia" w:ascii="仿宋_GB2312" w:hAnsi="宋体" w:eastAsia="仿宋_GB2312"/>
          <w:sz w:val="32"/>
          <w:szCs w:val="32"/>
        </w:rPr>
        <w:t>年新购软硬件系统投入使用以来，提高了全院信息网络安全；</w:t>
      </w:r>
      <w:r>
        <w:rPr>
          <w:rFonts w:hint="eastAsia" w:ascii="仿宋" w:hAnsi="仿宋" w:eastAsia="仿宋" w:cs="仿宋"/>
          <w:sz w:val="32"/>
          <w:szCs w:val="32"/>
          <w:lang w:eastAsia="zh-CN"/>
        </w:rPr>
        <w:t>完善了不良事件的处置、上报，更加符合国家行业要求，</w:t>
      </w:r>
      <w:r>
        <w:rPr>
          <w:rFonts w:hint="eastAsia" w:ascii="仿宋" w:hAnsi="仿宋" w:eastAsia="仿宋" w:cs="仿宋"/>
          <w:sz w:val="32"/>
          <w:szCs w:val="32"/>
        </w:rPr>
        <w:t>这</w:t>
      </w:r>
      <w:r>
        <w:rPr>
          <w:rFonts w:hint="eastAsia" w:ascii="仿宋_GB2312" w:hAnsi="宋体" w:eastAsia="仿宋_GB2312"/>
          <w:sz w:val="32"/>
          <w:szCs w:val="32"/>
        </w:rPr>
        <w:t>些软硬件系统上线提高了全院的信息化水平，也能帮助临床科室更好的开展工作</w:t>
      </w:r>
      <w:r>
        <w:rPr>
          <w:rFonts w:hint="eastAsia" w:ascii="仿宋_GB2312" w:hAnsi="宋体" w:eastAsia="仿宋_GB2312"/>
          <w:sz w:val="32"/>
          <w:szCs w:val="32"/>
          <w:lang w:val="zh-CN"/>
        </w:rPr>
        <w:t>。</w:t>
      </w:r>
    </w:p>
    <w:p>
      <w:pPr>
        <w:adjustRightInd w:val="0"/>
        <w:snapToGrid w:val="0"/>
        <w:spacing w:line="600" w:lineRule="exact"/>
        <w:ind w:firstLine="640" w:firstLineChars="200"/>
        <w:outlineLvl w:val="1"/>
        <w:rPr>
          <w:rFonts w:ascii="黑体" w:hAnsi="宋体" w:eastAsia="黑体"/>
          <w:sz w:val="32"/>
          <w:szCs w:val="32"/>
        </w:rPr>
      </w:pPr>
      <w:bookmarkStart w:id="102" w:name="_Toc3098"/>
      <w:r>
        <w:rPr>
          <w:rFonts w:hint="eastAsia" w:ascii="黑体" w:hAnsi="宋体" w:eastAsia="黑体"/>
          <w:sz w:val="32"/>
          <w:szCs w:val="32"/>
        </w:rPr>
        <w:t>五、评价结论及建议</w:t>
      </w:r>
      <w:bookmarkEnd w:id="102"/>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项目总体完成情况较好，能按法律法规及医院制度流程要求如期完成。</w:t>
      </w:r>
    </w:p>
    <w:p>
      <w:pPr>
        <w:numPr>
          <w:ilvl w:val="0"/>
          <w:numId w:val="8"/>
        </w:numPr>
        <w:adjustRightInd w:val="0"/>
        <w:snapToGrid w:val="0"/>
        <w:spacing w:line="600" w:lineRule="exact"/>
        <w:ind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存在的问题</w:t>
      </w:r>
    </w:p>
    <w:p>
      <w:pPr>
        <w:numPr>
          <w:ilvl w:val="0"/>
          <w:numId w:val="0"/>
        </w:numPr>
        <w:adjustRightInd w:val="0"/>
        <w:snapToGrid w:val="0"/>
        <w:spacing w:line="600" w:lineRule="exact"/>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 xml:space="preserve">     </w:t>
      </w:r>
      <w:r>
        <w:rPr>
          <w:rFonts w:hint="eastAsia" w:ascii="仿宋" w:hAnsi="仿宋" w:eastAsia="仿宋" w:cs="仿宋"/>
          <w:b w:val="0"/>
          <w:bCs/>
          <w:sz w:val="32"/>
          <w:szCs w:val="32"/>
          <w:lang w:val="en-US" w:eastAsia="zh-CN"/>
        </w:rPr>
        <w:t>无</w:t>
      </w:r>
      <w:r>
        <w:rPr>
          <w:rFonts w:hint="eastAsia" w:ascii="仿宋" w:hAnsi="仿宋" w:eastAsia="仿宋" w:cs="仿宋"/>
          <w:b w:val="0"/>
          <w:bCs/>
          <w:sz w:val="32"/>
          <w:szCs w:val="32"/>
          <w:lang w:val="zh-CN"/>
        </w:rPr>
        <w:t>。</w:t>
      </w:r>
    </w:p>
    <w:p>
      <w:pPr>
        <w:numPr>
          <w:ilvl w:val="0"/>
          <w:numId w:val="0"/>
        </w:numPr>
        <w:tabs>
          <w:tab w:val="left" w:pos="313"/>
        </w:tabs>
        <w:adjustRightInd w:val="0"/>
        <w:snapToGrid w:val="0"/>
        <w:spacing w:line="600" w:lineRule="exact"/>
        <w:ind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jc w:val="left"/>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en-US" w:eastAsia="zh-CN"/>
        </w:rPr>
        <w:t xml:space="preserve">     </w:t>
      </w:r>
      <w:r>
        <w:rPr>
          <w:rFonts w:hint="eastAsia" w:ascii="仿宋_GB2312" w:hAnsi="宋体" w:eastAsia="仿宋_GB2312"/>
          <w:b w:val="0"/>
          <w:bCs w:val="0"/>
          <w:sz w:val="32"/>
          <w:szCs w:val="32"/>
          <w:lang w:val="zh-CN"/>
        </w:rPr>
        <w:t>无。</w:t>
      </w:r>
    </w:p>
    <w:p>
      <w:pPr>
        <w:spacing w:line="600" w:lineRule="exact"/>
        <w:jc w:val="center"/>
        <w:rPr>
          <w:rFonts w:hint="eastAsia" w:eastAsia="仿宋_GB2312"/>
          <w:color w:val="000000"/>
          <w:sz w:val="32"/>
          <w:szCs w:val="32"/>
          <w:lang w:val="en-US" w:eastAsia="zh-CN"/>
        </w:rPr>
      </w:pPr>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广元市妇幼保健院</w:t>
      </w:r>
    </w:p>
    <w:p>
      <w:pPr>
        <w:spacing w:line="600" w:lineRule="exact"/>
        <w:jc w:val="center"/>
        <w:rPr>
          <w:rFonts w:hint="eastAsia" w:eastAsia="仿宋_GB2312"/>
          <w:color w:val="000000"/>
          <w:sz w:val="32"/>
          <w:szCs w:val="32"/>
          <w:lang w:val="en-US" w:eastAsia="zh-CN"/>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方正小标宋简体" w:eastAsia="方正小标宋简体" w:cs="方正小标宋简体"/>
          <w:b w:val="0"/>
          <w:bCs w:val="0"/>
          <w:color w:val="auto"/>
          <w:kern w:val="2"/>
          <w:sz w:val="44"/>
          <w:szCs w:val="44"/>
          <w:lang w:eastAsia="zh-CN"/>
        </w:rPr>
        <w:t>专项预算</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eastAsia="zh-CN"/>
        </w:rPr>
        <w:t>项目</w:t>
      </w:r>
      <w:r>
        <w:rPr>
          <w:rFonts w:hint="eastAsia" w:ascii="方正小标宋简体" w:hAnsi="宋体" w:eastAsia="方正小标宋简体"/>
          <w:color w:val="000000"/>
          <w:kern w:val="0"/>
          <w:sz w:val="44"/>
          <w:szCs w:val="44"/>
          <w:lang w:val="zh-CN"/>
        </w:rPr>
        <w:t>支出绩效自评报告</w:t>
      </w:r>
    </w:p>
    <w:p>
      <w:pPr>
        <w:spacing w:line="600" w:lineRule="exact"/>
        <w:jc w:val="center"/>
        <w:rPr>
          <w:rFonts w:hint="eastAsia" w:eastAsia="仿宋_GB2312"/>
          <w:color w:val="000000"/>
          <w:sz w:val="32"/>
          <w:szCs w:val="32"/>
          <w:lang w:val="en-US" w:eastAsia="zh-CN"/>
        </w:rPr>
      </w:pPr>
    </w:p>
    <w:p>
      <w:pPr>
        <w:spacing w:line="600" w:lineRule="exact"/>
        <w:jc w:val="center"/>
        <w:rPr>
          <w:rFonts w:hint="eastAsia"/>
          <w:lang w:val="zh-CN"/>
        </w:rPr>
      </w:pPr>
      <w:r>
        <w:rPr>
          <w:rFonts w:hint="eastAsia" w:eastAsia="仿宋_GB2312"/>
          <w:b w:val="0"/>
          <w:bCs w:val="0"/>
          <w:color w:val="000000"/>
          <w:sz w:val="32"/>
          <w:szCs w:val="32"/>
          <w:lang w:val="en-US" w:eastAsia="zh-CN"/>
        </w:rPr>
        <w:t>（</w:t>
      </w:r>
      <w:r>
        <w:rPr>
          <w:rFonts w:hint="eastAsia" w:eastAsia="仿宋_GB2312"/>
          <w:b w:val="0"/>
          <w:bCs w:val="0"/>
          <w:color w:val="000000"/>
          <w:sz w:val="32"/>
          <w:szCs w:val="32"/>
          <w:lang w:val="zh-CN" w:eastAsia="zh-CN"/>
        </w:rPr>
        <w:t>物业管理费项目）</w:t>
      </w:r>
    </w:p>
    <w:p>
      <w:pPr>
        <w:numPr>
          <w:ilvl w:val="0"/>
          <w:numId w:val="0"/>
        </w:numPr>
        <w:adjustRightInd w:val="0"/>
        <w:snapToGrid w:val="0"/>
        <w:spacing w:line="600" w:lineRule="exact"/>
        <w:ind w:firstLine="640" w:firstLineChars="200"/>
        <w:jc w:val="left"/>
        <w:outlineLvl w:val="1"/>
        <w:rPr>
          <w:rFonts w:hint="eastAsia" w:ascii="黑体" w:hAnsi="宋体" w:eastAsia="黑体"/>
          <w:sz w:val="32"/>
          <w:szCs w:val="32"/>
          <w:lang w:val="zh-CN"/>
        </w:rPr>
      </w:pPr>
      <w:bookmarkStart w:id="103" w:name="_Toc24145"/>
      <w:r>
        <w:rPr>
          <w:rFonts w:hint="eastAsia" w:ascii="黑体" w:hAnsi="宋体" w:eastAsia="黑体"/>
          <w:sz w:val="32"/>
          <w:szCs w:val="32"/>
          <w:lang w:val="zh-CN"/>
        </w:rPr>
        <w:t>一、项目概况</w:t>
      </w:r>
      <w:bookmarkEnd w:id="103"/>
    </w:p>
    <w:p>
      <w:pPr>
        <w:numPr>
          <w:ilvl w:val="0"/>
          <w:numId w:val="0"/>
        </w:numPr>
        <w:adjustRightInd w:val="0"/>
        <w:snapToGrid w:val="0"/>
        <w:spacing w:line="600" w:lineRule="exact"/>
        <w:ind w:firstLine="321" w:firstLineChars="100"/>
        <w:jc w:val="left"/>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en-US" w:eastAsia="zh-CN"/>
        </w:rPr>
        <w:t>预算经费</w:t>
      </w:r>
      <w:r>
        <w:rPr>
          <w:rFonts w:hint="eastAsia" w:ascii="仿宋_GB2312" w:hAnsi="宋体"/>
          <w:sz w:val="32"/>
          <w:szCs w:val="32"/>
          <w:lang w:val="en-US" w:eastAsia="zh-CN"/>
        </w:rPr>
        <w:t>344.12</w:t>
      </w:r>
      <w:r>
        <w:rPr>
          <w:rFonts w:hint="eastAsia" w:ascii="仿宋_GB2312" w:hAnsi="宋体" w:eastAsia="仿宋_GB2312"/>
          <w:sz w:val="32"/>
          <w:szCs w:val="32"/>
          <w:lang w:val="en-US" w:eastAsia="zh-CN"/>
        </w:rPr>
        <w:t>万元，实际支付金额</w:t>
      </w:r>
      <w:r>
        <w:rPr>
          <w:rFonts w:hint="eastAsia" w:ascii="仿宋_GB2312" w:hAnsi="宋体"/>
          <w:sz w:val="32"/>
          <w:szCs w:val="32"/>
          <w:lang w:val="en-US" w:eastAsia="zh-CN"/>
        </w:rPr>
        <w:t>344.12</w:t>
      </w:r>
      <w:r>
        <w:rPr>
          <w:rFonts w:hint="eastAsia" w:ascii="仿宋_GB2312" w:hAnsi="宋体" w:eastAsia="仿宋_GB2312"/>
          <w:sz w:val="32"/>
          <w:szCs w:val="32"/>
          <w:lang w:val="en-US" w:eastAsia="zh-CN"/>
        </w:rPr>
        <w:t>万元，执行率约</w:t>
      </w:r>
      <w:r>
        <w:rPr>
          <w:rFonts w:hint="eastAsia" w:ascii="仿宋_GB2312" w:hAnsi="宋体"/>
          <w:sz w:val="32"/>
          <w:szCs w:val="32"/>
          <w:lang w:val="en-US" w:eastAsia="zh-CN"/>
        </w:rPr>
        <w:t>100</w:t>
      </w:r>
      <w:r>
        <w:rPr>
          <w:rFonts w:hint="eastAsia" w:ascii="仿宋_GB2312" w:hAnsi="宋体" w:eastAsia="仿宋_GB2312"/>
          <w:sz w:val="32"/>
          <w:szCs w:val="32"/>
          <w:lang w:val="en-US" w:eastAsia="zh-CN"/>
        </w:rPr>
        <w:t>%</w:t>
      </w:r>
      <w:r>
        <w:rPr>
          <w:rFonts w:hint="eastAsia" w:ascii="仿宋_GB2312" w:hAnsi="宋体"/>
          <w:sz w:val="32"/>
          <w:szCs w:val="32"/>
          <w:lang w:val="en-US" w:eastAsia="zh-CN"/>
        </w:rPr>
        <w:t>。</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2" w:firstLineChars="200"/>
        <w:rPr>
          <w:rFonts w:hint="eastAsia" w:ascii="仿宋_GB2312" w:hAnsi="宋体" w:eastAsia="仿宋_GB2312"/>
          <w:b/>
          <w:bCs/>
          <w:sz w:val="32"/>
          <w:szCs w:val="32"/>
          <w:lang w:val="zh-CN"/>
        </w:rPr>
      </w:pPr>
      <w:r>
        <w:rPr>
          <w:rFonts w:ascii="仿宋_GB2312" w:hAnsi="宋体" w:eastAsia="仿宋_GB2312"/>
          <w:b/>
          <w:bCs/>
          <w:sz w:val="32"/>
          <w:szCs w:val="32"/>
          <w:lang w:val="zh-CN"/>
        </w:rPr>
        <w:t>1</w:t>
      </w:r>
      <w:r>
        <w:rPr>
          <w:rFonts w:hint="eastAsia" w:ascii="仿宋_GB2312" w:hAnsi="宋体" w:eastAsia="仿宋_GB2312"/>
          <w:b/>
          <w:bCs/>
          <w:sz w:val="32"/>
          <w:szCs w:val="32"/>
          <w:lang w:val="zh-CN"/>
        </w:rPr>
        <w:t>．项目主要内容</w:t>
      </w:r>
    </w:p>
    <w:p>
      <w:pPr>
        <w:adjustRightInd w:val="0"/>
        <w:snapToGrid w:val="0"/>
        <w:spacing w:line="60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eastAsia="zh-CN"/>
        </w:rPr>
        <w:t>通过政府招标采购的物业服务的内容有：管理人员、环境保洁服务、绿化养护服务、安全保卫、消防管理服务、中央运输服务（物资运送服务）、非医疗设施设备服务</w:t>
      </w:r>
      <w:r>
        <w:rPr>
          <w:rFonts w:hint="eastAsia" w:ascii="仿宋_GB2312" w:hAnsi="宋体" w:eastAsia="仿宋_GB2312"/>
          <w:sz w:val="32"/>
          <w:szCs w:val="32"/>
          <w:lang w:val="en-US" w:eastAsia="zh-CN"/>
        </w:rPr>
        <w:t>，</w:t>
      </w:r>
      <w:r>
        <w:rPr>
          <w:rFonts w:hint="eastAsia" w:ascii="仿宋_GB2312" w:hAnsi="仿宋_GB2312" w:eastAsia="仿宋_GB2312" w:cs="仿宋_GB2312"/>
          <w:color w:val="000000"/>
          <w:sz w:val="32"/>
          <w:szCs w:val="32"/>
          <w:lang w:val="en-US" w:eastAsia="zh-CN"/>
        </w:rPr>
        <w:t xml:space="preserve"> 实际支付金额</w:t>
      </w:r>
      <w:r>
        <w:rPr>
          <w:rFonts w:hint="eastAsia" w:ascii="仿宋_GB2312" w:hAnsi="仿宋_GB2312" w:cs="仿宋_GB2312"/>
          <w:color w:val="000000"/>
          <w:sz w:val="32"/>
          <w:szCs w:val="32"/>
          <w:lang w:val="en-US" w:eastAsia="zh-CN"/>
        </w:rPr>
        <w:t>344.12</w:t>
      </w:r>
      <w:r>
        <w:rPr>
          <w:rFonts w:hint="eastAsia" w:ascii="仿宋_GB2312" w:hAnsi="仿宋_GB2312" w:eastAsia="仿宋_GB2312" w:cs="仿宋_GB2312"/>
          <w:color w:val="000000"/>
          <w:sz w:val="32"/>
          <w:szCs w:val="32"/>
          <w:lang w:val="en-US" w:eastAsia="zh-CN"/>
        </w:rPr>
        <w:t>万元。</w:t>
      </w:r>
    </w:p>
    <w:p>
      <w:pPr>
        <w:numPr>
          <w:ilvl w:val="0"/>
          <w:numId w:val="0"/>
        </w:numPr>
        <w:adjustRightInd w:val="0"/>
        <w:snapToGrid w:val="0"/>
        <w:spacing w:line="600" w:lineRule="exact"/>
        <w:ind w:firstLine="642" w:firstLineChars="200"/>
        <w:rPr>
          <w:rFonts w:hint="eastAsia" w:ascii="仿宋_GB2312" w:hAnsi="宋体" w:eastAsia="仿宋_GB2312"/>
          <w:sz w:val="32"/>
          <w:szCs w:val="32"/>
          <w:lang w:val="en-US" w:eastAsia="zh-CN"/>
        </w:rPr>
      </w:pPr>
      <w:r>
        <w:rPr>
          <w:rFonts w:hint="eastAsia" w:ascii="仿宋_GB2312" w:hAnsi="宋体" w:eastAsia="仿宋_GB2312"/>
          <w:b/>
          <w:bCs/>
          <w:sz w:val="32"/>
          <w:szCs w:val="32"/>
          <w:lang w:val="en-US" w:eastAsia="zh-CN"/>
        </w:rPr>
        <w:t>2.</w:t>
      </w:r>
      <w:r>
        <w:rPr>
          <w:rFonts w:hint="eastAsia" w:ascii="仿宋_GB2312" w:hAnsi="宋体" w:eastAsia="仿宋_GB2312"/>
          <w:b/>
          <w:bCs/>
          <w:sz w:val="32"/>
          <w:szCs w:val="32"/>
          <w:lang w:val="zh-CN"/>
        </w:rPr>
        <w:t>项目绩效目标的量化、细化情况以及项目实施进度计划</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w:t>
      </w:r>
      <w:r>
        <w:rPr>
          <w:rFonts w:hint="eastAsia" w:ascii="仿宋_GB2312" w:hAnsi="宋体"/>
          <w:sz w:val="32"/>
          <w:szCs w:val="32"/>
          <w:lang w:val="en-US" w:eastAsia="zh-CN"/>
        </w:rPr>
        <w:t>1</w:t>
      </w:r>
      <w:r>
        <w:rPr>
          <w:rFonts w:hint="eastAsia" w:ascii="仿宋_GB2312" w:hAnsi="宋体" w:eastAsia="仿宋_GB2312"/>
          <w:sz w:val="32"/>
          <w:szCs w:val="32"/>
          <w:lang w:val="en-US" w:eastAsia="zh-CN"/>
        </w:rPr>
        <w:t>年物业招标严格遵循《中华人民共和国招标投标法》流程，进行市场调查、论证、会议决策、备案采购、履约验收后投入使用等，按照预定期限完成。</w:t>
      </w:r>
    </w:p>
    <w:p>
      <w:pPr>
        <w:numPr>
          <w:ilvl w:val="0"/>
          <w:numId w:val="0"/>
        </w:numPr>
        <w:adjustRightInd w:val="0"/>
        <w:snapToGrid w:val="0"/>
        <w:spacing w:line="600" w:lineRule="exact"/>
        <w:ind w:leftChars="0" w:firstLine="642" w:firstLineChars="200"/>
        <w:rPr>
          <w:rFonts w:hint="eastAsia" w:ascii="仿宋_GB2312" w:hAnsi="宋体" w:eastAsia="仿宋_GB2312"/>
          <w:sz w:val="32"/>
          <w:szCs w:val="32"/>
          <w:lang w:val="zh-CN"/>
        </w:rPr>
      </w:pPr>
      <w:r>
        <w:rPr>
          <w:rFonts w:hint="eastAsia" w:ascii="仿宋_GB2312" w:hAnsi="宋体" w:eastAsia="仿宋_GB2312"/>
          <w:b/>
          <w:bCs/>
          <w:sz w:val="32"/>
          <w:szCs w:val="32"/>
          <w:lang w:val="en-US" w:eastAsia="zh-CN"/>
        </w:rPr>
        <w:t>3.</w:t>
      </w:r>
      <w:r>
        <w:rPr>
          <w:rFonts w:hint="eastAsia" w:ascii="仿宋_GB2312" w:hAnsi="宋体" w:eastAsia="仿宋_GB2312"/>
          <w:b/>
          <w:bCs/>
          <w:sz w:val="32"/>
          <w:szCs w:val="32"/>
          <w:lang w:val="zh-CN"/>
        </w:rPr>
        <w:t>分析评价申报内容是否与实际相符，申报目标是否合理可行</w:t>
      </w:r>
    </w:p>
    <w:p>
      <w:pPr>
        <w:numPr>
          <w:ilvl w:val="0"/>
          <w:numId w:val="0"/>
        </w:numPr>
        <w:adjustRightInd w:val="0"/>
        <w:snapToGrid w:val="0"/>
        <w:spacing w:line="600" w:lineRule="exact"/>
        <w:ind w:leftChars="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通过评定202</w:t>
      </w:r>
      <w:r>
        <w:rPr>
          <w:rFonts w:hint="eastAsia" w:ascii="仿宋_GB2312" w:hAnsi="宋体"/>
          <w:sz w:val="32"/>
          <w:szCs w:val="32"/>
          <w:lang w:val="en-US" w:eastAsia="zh-CN"/>
        </w:rPr>
        <w:t>1</w:t>
      </w:r>
      <w:r>
        <w:rPr>
          <w:rFonts w:hint="eastAsia" w:ascii="仿宋_GB2312" w:hAnsi="宋体" w:eastAsia="仿宋_GB2312"/>
          <w:sz w:val="32"/>
          <w:szCs w:val="32"/>
          <w:lang w:val="en-US" w:eastAsia="zh-CN"/>
        </w:rPr>
        <w:t>年物业管理服务招投标后，申报目标合理可行。</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通过预算、论证</w:t>
      </w:r>
      <w:r>
        <w:rPr>
          <w:rFonts w:hint="eastAsia" w:ascii="仿宋_GB2312" w:hAnsi="宋体" w:eastAsia="仿宋_GB2312"/>
          <w:sz w:val="32"/>
          <w:szCs w:val="32"/>
          <w:lang w:val="en-US" w:eastAsia="zh-CN"/>
        </w:rPr>
        <w:t>-分管领导审批-上院长办公会和党委会集体决策-委托代理机构-备案-挂网-开标-合同审签-履约验收-交付使用等，自评流程和方法较为完善合理合规。</w:t>
      </w:r>
    </w:p>
    <w:p>
      <w:pPr>
        <w:adjustRightInd w:val="0"/>
        <w:snapToGrid w:val="0"/>
        <w:spacing w:line="600" w:lineRule="exact"/>
        <w:ind w:firstLine="720"/>
        <w:outlineLvl w:val="1"/>
        <w:rPr>
          <w:rFonts w:ascii="黑体" w:hAnsi="宋体" w:eastAsia="黑体"/>
          <w:sz w:val="32"/>
          <w:szCs w:val="32"/>
        </w:rPr>
      </w:pPr>
      <w:bookmarkStart w:id="104" w:name="_Toc25656"/>
      <w:r>
        <w:rPr>
          <w:rFonts w:hint="eastAsia" w:ascii="黑体" w:hAnsi="宋体" w:eastAsia="黑体"/>
          <w:sz w:val="32"/>
          <w:szCs w:val="32"/>
        </w:rPr>
        <w:t>二、项目资金申报及使用情况</w:t>
      </w:r>
      <w:bookmarkEnd w:id="10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olor w:val="auto"/>
          <w:sz w:val="32"/>
          <w:szCs w:val="32"/>
          <w:lang w:val="zh-CN"/>
        </w:rPr>
        <w:t>项目由医院预算管理委员会审议通过报上级部门审核，项目所需资金有医院自筹解决。市财政局经人大会议审查批准，下达部门预算。</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hint="eastAsia" w:ascii="楷体_GB2312" w:hAnsi="宋体" w:eastAsia="楷体_GB2312"/>
          <w:color w:val="auto"/>
          <w:sz w:val="32"/>
          <w:szCs w:val="32"/>
          <w:lang w:val="zh-CN"/>
        </w:rPr>
      </w:pPr>
      <w:r>
        <w:rPr>
          <w:rFonts w:ascii="楷体_GB2312" w:hAnsi="宋体" w:eastAsia="楷体_GB2312"/>
          <w:color w:val="auto"/>
          <w:sz w:val="32"/>
          <w:szCs w:val="32"/>
          <w:lang w:val="zh-CN"/>
        </w:rPr>
        <w:t>1</w:t>
      </w:r>
      <w:r>
        <w:rPr>
          <w:rFonts w:hint="eastAsia" w:ascii="楷体_GB2312" w:hAnsi="宋体" w:eastAsia="楷体_GB2312"/>
          <w:color w:val="auto"/>
          <w:sz w:val="32"/>
          <w:szCs w:val="32"/>
          <w:lang w:val="en-US" w:eastAsia="zh-CN"/>
        </w:rPr>
        <w:t>.</w:t>
      </w:r>
      <w:r>
        <w:rPr>
          <w:rFonts w:hint="eastAsia" w:ascii="楷体_GB2312" w:hAnsi="宋体" w:eastAsia="楷体_GB2312"/>
          <w:color w:val="auto"/>
          <w:sz w:val="32"/>
          <w:szCs w:val="32"/>
          <w:lang w:val="zh-CN"/>
        </w:rPr>
        <w:t>资金计划</w:t>
      </w:r>
    </w:p>
    <w:p>
      <w:pPr>
        <w:adjustRightInd w:val="0"/>
        <w:snapToGrid w:val="0"/>
        <w:spacing w:line="600" w:lineRule="exact"/>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 xml:space="preserve">    物业管理项目资金均由单位自筹。</w:t>
      </w:r>
    </w:p>
    <w:p>
      <w:pPr>
        <w:numPr>
          <w:ilvl w:val="0"/>
          <w:numId w:val="0"/>
        </w:numPr>
        <w:adjustRightInd w:val="0"/>
        <w:snapToGrid w:val="0"/>
        <w:spacing w:line="600" w:lineRule="exact"/>
        <w:ind w:leftChars="200" w:firstLine="320" w:firstLineChars="100"/>
        <w:rPr>
          <w:rFonts w:hint="eastAsia" w:ascii="楷体_GB2312" w:hAnsi="宋体" w:eastAsia="楷体_GB2312"/>
          <w:color w:val="auto"/>
          <w:sz w:val="32"/>
          <w:szCs w:val="32"/>
          <w:lang w:val="zh-CN"/>
        </w:rPr>
      </w:pPr>
      <w:r>
        <w:rPr>
          <w:rFonts w:hint="eastAsia" w:ascii="楷体_GB2312" w:hAnsi="宋体" w:eastAsia="楷体_GB2312"/>
          <w:color w:val="auto"/>
          <w:sz w:val="32"/>
          <w:szCs w:val="32"/>
          <w:lang w:val="en-US" w:eastAsia="zh-CN"/>
        </w:rPr>
        <w:t>2.</w:t>
      </w:r>
      <w:r>
        <w:rPr>
          <w:rFonts w:hint="eastAsia" w:ascii="楷体_GB2312" w:hAnsi="宋体" w:eastAsia="楷体_GB2312"/>
          <w:color w:val="auto"/>
          <w:sz w:val="32"/>
          <w:szCs w:val="32"/>
          <w:lang w:val="zh-CN"/>
        </w:rPr>
        <w:t>资金到位</w:t>
      </w:r>
    </w:p>
    <w:p>
      <w:pPr>
        <w:numPr>
          <w:ilvl w:val="0"/>
          <w:numId w:val="0"/>
        </w:numPr>
        <w:adjustRightInd w:val="0"/>
        <w:snapToGrid w:val="0"/>
        <w:spacing w:line="600" w:lineRule="exact"/>
        <w:ind w:leftChars="200" w:firstLine="320" w:firstLineChars="1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按照</w:t>
      </w:r>
      <w:r>
        <w:rPr>
          <w:rFonts w:hint="eastAsia" w:ascii="仿宋_GB2312" w:hAnsi="宋体" w:eastAsia="仿宋_GB2312"/>
          <w:color w:val="auto"/>
          <w:sz w:val="32"/>
          <w:szCs w:val="32"/>
          <w:lang w:val="en-US" w:eastAsia="zh-CN"/>
        </w:rPr>
        <w:t>医院年度预算计划，保障单位正常运转项目资金到位。</w:t>
      </w:r>
    </w:p>
    <w:p>
      <w:pPr>
        <w:adjustRightInd w:val="0"/>
        <w:snapToGrid w:val="0"/>
        <w:spacing w:line="600" w:lineRule="exact"/>
        <w:ind w:firstLine="640" w:firstLineChars="200"/>
        <w:rPr>
          <w:rFonts w:hint="eastAsia" w:ascii="楷体_GB2312" w:hAnsi="宋体" w:eastAsia="楷体_GB2312"/>
          <w:color w:val="auto"/>
          <w:sz w:val="32"/>
          <w:szCs w:val="32"/>
          <w:lang w:val="zh-CN"/>
        </w:rPr>
      </w:pPr>
      <w:r>
        <w:rPr>
          <w:rFonts w:ascii="楷体_GB2312" w:hAnsi="宋体" w:eastAsia="楷体_GB2312"/>
          <w:color w:val="auto"/>
          <w:sz w:val="32"/>
          <w:szCs w:val="32"/>
          <w:lang w:val="zh-CN"/>
        </w:rPr>
        <w:t>3</w:t>
      </w:r>
      <w:r>
        <w:rPr>
          <w:rFonts w:hint="eastAsia" w:ascii="楷体_GB2312" w:hAnsi="宋体" w:eastAsia="楷体_GB2312"/>
          <w:color w:val="auto"/>
          <w:sz w:val="32"/>
          <w:szCs w:val="32"/>
          <w:lang w:val="en-US" w:eastAsia="zh-CN"/>
        </w:rPr>
        <w:t>.</w:t>
      </w:r>
      <w:r>
        <w:rPr>
          <w:rFonts w:hint="eastAsia" w:ascii="楷体_GB2312" w:hAnsi="宋体" w:eastAsia="楷体_GB2312"/>
          <w:color w:val="auto"/>
          <w:sz w:val="32"/>
          <w:szCs w:val="32"/>
          <w:lang w:val="zh-CN"/>
        </w:rPr>
        <w:t>资金使用</w:t>
      </w:r>
    </w:p>
    <w:p>
      <w:pPr>
        <w:adjustRightInd w:val="0"/>
        <w:snapToGrid w:val="0"/>
        <w:spacing w:line="600" w:lineRule="exact"/>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202</w:t>
      </w:r>
      <w:r>
        <w:rPr>
          <w:rFonts w:hint="eastAsia" w:ascii="仿宋_GB2312" w:hAnsi="宋体"/>
          <w:color w:val="000000"/>
          <w:sz w:val="32"/>
          <w:szCs w:val="32"/>
          <w:lang w:val="en-US" w:eastAsia="zh-CN"/>
        </w:rPr>
        <w:t>1</w:t>
      </w:r>
      <w:r>
        <w:rPr>
          <w:rFonts w:hint="eastAsia" w:ascii="仿宋_GB2312" w:hAnsi="宋体" w:eastAsia="仿宋_GB2312"/>
          <w:color w:val="000000"/>
          <w:sz w:val="32"/>
          <w:szCs w:val="32"/>
          <w:lang w:val="en-US" w:eastAsia="zh-CN"/>
        </w:rPr>
        <w:t>年末支付完成全院环境卫生保洁、绿化养护、水电维护、安全保卫、消防服务、中央运送等合同内容，实际支付金额</w:t>
      </w:r>
      <w:r>
        <w:rPr>
          <w:rFonts w:hint="eastAsia" w:ascii="仿宋_GB2312" w:hAnsi="宋体"/>
          <w:color w:val="000000"/>
          <w:sz w:val="32"/>
          <w:szCs w:val="32"/>
          <w:lang w:val="en-US" w:eastAsia="zh-CN"/>
        </w:rPr>
        <w:t>344.12</w:t>
      </w:r>
      <w:r>
        <w:rPr>
          <w:rFonts w:hint="eastAsia" w:ascii="仿宋_GB2312" w:hAnsi="宋体" w:eastAsia="仿宋_GB2312"/>
          <w:color w:val="000000"/>
          <w:sz w:val="32"/>
          <w:szCs w:val="32"/>
          <w:lang w:val="en-US" w:eastAsia="zh-CN"/>
        </w:rPr>
        <w:t>万元。</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在支付审批过程中，财务科按照制度要求严格审批申报支付各类资料、票据，凭证等做好了环节把控。</w:t>
      </w:r>
    </w:p>
    <w:p>
      <w:pPr>
        <w:numPr>
          <w:ilvl w:val="0"/>
          <w:numId w:val="9"/>
        </w:numPr>
        <w:adjustRightInd w:val="0"/>
        <w:snapToGrid w:val="0"/>
        <w:spacing w:line="600" w:lineRule="exact"/>
        <w:ind w:firstLine="640" w:firstLineChars="200"/>
        <w:outlineLvl w:val="1"/>
        <w:rPr>
          <w:rFonts w:hint="eastAsia" w:ascii="黑体" w:hAnsi="宋体" w:eastAsia="黑体"/>
          <w:sz w:val="32"/>
          <w:szCs w:val="32"/>
        </w:rPr>
      </w:pPr>
      <w:bookmarkStart w:id="105" w:name="_Toc9997"/>
      <w:r>
        <w:rPr>
          <w:rFonts w:hint="eastAsia" w:ascii="黑体" w:hAnsi="宋体" w:eastAsia="黑体"/>
          <w:sz w:val="32"/>
          <w:szCs w:val="32"/>
        </w:rPr>
        <w:t>项目实施及管理情况</w:t>
      </w:r>
      <w:bookmarkEnd w:id="105"/>
    </w:p>
    <w:p>
      <w:pPr>
        <w:numPr>
          <w:ilvl w:val="0"/>
          <w:numId w:val="0"/>
        </w:numPr>
        <w:adjustRightInd w:val="0"/>
        <w:snapToGrid w:val="0"/>
        <w:spacing w:line="60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numPr>
          <w:ilvl w:val="0"/>
          <w:numId w:val="0"/>
        </w:numPr>
        <w:adjustRightInd w:val="0"/>
        <w:snapToGrid w:val="0"/>
        <w:spacing w:line="600" w:lineRule="exact"/>
        <w:ind w:firstLine="320" w:firstLineChars="1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项目组织架构清晰，实施流程在当前阶段合理合规。</w:t>
      </w:r>
    </w:p>
    <w:p>
      <w:pPr>
        <w:adjustRightInd w:val="0"/>
        <w:snapToGrid w:val="0"/>
        <w:spacing w:line="60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仿宋_GB2312" w:eastAsia="仿宋_GB2312" w:cs="仿宋_GB2312"/>
          <w:b w:val="0"/>
          <w:bCs/>
          <w:sz w:val="32"/>
          <w:szCs w:val="32"/>
          <w:lang w:val="zh-CN"/>
        </w:rPr>
        <w:t>职能科室严格合同中</w:t>
      </w:r>
      <w:r>
        <w:rPr>
          <w:rFonts w:hint="eastAsia" w:ascii="仿宋_GB2312" w:hAnsi="宋体" w:eastAsia="仿宋_GB2312"/>
          <w:color w:val="000000"/>
          <w:sz w:val="32"/>
          <w:szCs w:val="32"/>
          <w:lang w:val="en-US" w:eastAsia="zh-CN"/>
        </w:rPr>
        <w:t>环境卫生保洁、绿化养护、水电维护、安全保卫、消防服务、中央运送内容按月考核，按合同约定支付物业管理费进度款</w:t>
      </w:r>
      <w:r>
        <w:rPr>
          <w:rFonts w:hint="eastAsia" w:ascii="仿宋_GB2312" w:hAnsi="宋体" w:eastAsia="仿宋_GB2312"/>
          <w:sz w:val="32"/>
          <w:szCs w:val="32"/>
          <w:lang w:val="en-US" w:eastAsia="zh-CN"/>
        </w:rPr>
        <w:t>。</w:t>
      </w:r>
    </w:p>
    <w:p>
      <w:pPr>
        <w:numPr>
          <w:ilvl w:val="0"/>
          <w:numId w:val="0"/>
        </w:numPr>
        <w:adjustRightInd w:val="0"/>
        <w:snapToGrid w:val="0"/>
        <w:spacing w:line="600" w:lineRule="exact"/>
        <w:ind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我院制定服务项目的各项管理办法、规章制度、服务标准及考核、奖惩办法，并定期或不定期的质量检查、验收、遇重大活动、创建国家卫生城市、迎接上级检查等积极配合，确保各项检查合格。人员上岗必须进行培训，合格上岗等相关规定。</w:t>
      </w:r>
    </w:p>
    <w:p>
      <w:pPr>
        <w:adjustRightInd w:val="0"/>
        <w:snapToGrid w:val="0"/>
        <w:spacing w:line="600" w:lineRule="exact"/>
        <w:ind w:firstLine="640" w:firstLineChars="200"/>
        <w:outlineLvl w:val="1"/>
        <w:rPr>
          <w:rFonts w:hint="eastAsia" w:ascii="黑体" w:hAnsi="宋体" w:eastAsia="黑体"/>
          <w:sz w:val="32"/>
          <w:szCs w:val="32"/>
        </w:rPr>
      </w:pPr>
      <w:bookmarkStart w:id="106" w:name="_Toc16994"/>
      <w:r>
        <w:rPr>
          <w:rFonts w:hint="eastAsia" w:ascii="黑体" w:hAnsi="宋体" w:eastAsia="黑体"/>
          <w:sz w:val="32"/>
          <w:szCs w:val="32"/>
        </w:rPr>
        <w:t>四、项目绩效情况</w:t>
      </w:r>
      <w:bookmarkEnd w:id="106"/>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楷体_GB2312" w:hAnsi="宋体" w:eastAsia="楷体_GB2312"/>
          <w:b w:val="0"/>
          <w:bCs w:val="0"/>
          <w:color w:val="000000"/>
          <w:sz w:val="32"/>
          <w:szCs w:val="32"/>
          <w:lang w:val="zh-CN"/>
        </w:rPr>
      </w:pPr>
      <w:r>
        <w:rPr>
          <w:rFonts w:hint="eastAsia" w:ascii="仿宋_GB2312" w:hAnsi="宋体" w:eastAsia="仿宋_GB2312"/>
          <w:b w:val="0"/>
          <w:bCs w:val="0"/>
          <w:color w:val="000000"/>
          <w:sz w:val="32"/>
          <w:szCs w:val="32"/>
          <w:lang w:val="zh-CN"/>
        </w:rPr>
        <w:t>物业公司能按照《医院物业后勤服务合同》的内容和要求完成各项工作，积极配合我院开展新冠疫情防控相关工作，提升了我院职工、截止目前，我院物业后勤服务工作正有序开展中。</w:t>
      </w:r>
    </w:p>
    <w:p>
      <w:pPr>
        <w:adjustRightInd w:val="0"/>
        <w:snapToGrid w:val="0"/>
        <w:spacing w:line="600" w:lineRule="exact"/>
        <w:ind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rPr>
          <w:rFonts w:hint="eastAsia" w:ascii="楷体_GB2312" w:hAnsi="宋体" w:eastAsia="楷体_GB2312"/>
          <w:b w:val="0"/>
          <w:bCs/>
          <w:sz w:val="32"/>
          <w:szCs w:val="32"/>
          <w:lang w:val="en-US" w:eastAsia="zh-CN"/>
        </w:rPr>
      </w:pPr>
      <w:r>
        <w:rPr>
          <w:rFonts w:hint="eastAsia" w:ascii="楷体_GB2312" w:hAnsi="宋体" w:eastAsia="楷体_GB2312"/>
          <w:b/>
          <w:sz w:val="32"/>
          <w:szCs w:val="32"/>
          <w:lang w:val="en-US" w:eastAsia="zh-CN"/>
        </w:rPr>
        <w:t xml:space="preserve">    </w:t>
      </w:r>
      <w:r>
        <w:rPr>
          <w:rFonts w:hint="eastAsia" w:ascii="仿宋" w:hAnsi="仿宋" w:eastAsia="仿宋" w:cs="仿宋"/>
          <w:b w:val="0"/>
          <w:bCs/>
          <w:sz w:val="32"/>
          <w:szCs w:val="32"/>
          <w:lang w:val="en-US" w:eastAsia="zh-CN"/>
        </w:rPr>
        <w:t>为医护人员及患者提供安全、干净、明亮、舒适、温馨的环境，提高了医护人员及患者的满意度。</w:t>
      </w:r>
    </w:p>
    <w:p>
      <w:pPr>
        <w:adjustRightInd w:val="0"/>
        <w:snapToGrid w:val="0"/>
        <w:spacing w:line="600" w:lineRule="exact"/>
        <w:ind w:firstLine="640" w:firstLineChars="200"/>
        <w:outlineLvl w:val="1"/>
        <w:rPr>
          <w:rFonts w:hint="eastAsia" w:ascii="黑体" w:hAnsi="宋体" w:eastAsia="黑体"/>
          <w:sz w:val="32"/>
          <w:szCs w:val="32"/>
        </w:rPr>
      </w:pPr>
      <w:bookmarkStart w:id="107" w:name="_Toc24729"/>
      <w:r>
        <w:rPr>
          <w:rFonts w:hint="eastAsia" w:ascii="黑体" w:hAnsi="宋体" w:eastAsia="黑体"/>
          <w:sz w:val="32"/>
          <w:szCs w:val="32"/>
        </w:rPr>
        <w:t>五、评价结论及建议</w:t>
      </w:r>
      <w:bookmarkEnd w:id="107"/>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320" w:firstLineChars="1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项目服务通过监管、考核，完成情况较好。</w:t>
      </w:r>
    </w:p>
    <w:p>
      <w:pPr>
        <w:numPr>
          <w:ilvl w:val="0"/>
          <w:numId w:val="8"/>
        </w:numPr>
        <w:adjustRightInd w:val="0"/>
        <w:snapToGrid w:val="0"/>
        <w:spacing w:line="600" w:lineRule="exact"/>
        <w:ind w:left="0" w:leftChars="0"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存在的问题</w:t>
      </w:r>
    </w:p>
    <w:p>
      <w:pPr>
        <w:numPr>
          <w:ilvl w:val="0"/>
          <w:numId w:val="0"/>
        </w:numPr>
        <w:adjustRightInd w:val="0"/>
        <w:snapToGrid w:val="0"/>
        <w:spacing w:line="600" w:lineRule="exact"/>
        <w:ind w:firstLine="960" w:firstLineChars="30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无。</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（四）相关建议</w:t>
      </w:r>
    </w:p>
    <w:p>
      <w:pPr>
        <w:widowControl/>
        <w:ind w:firstLine="960" w:firstLineChars="300"/>
        <w:jc w:val="left"/>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p>
    <w:p>
      <w:pPr>
        <w:keepNext w:val="0"/>
        <w:keepLines w:val="0"/>
        <w:widowControl/>
        <w:suppressLineNumbers w:val="0"/>
        <w:jc w:val="left"/>
        <w:textAlignment w:val="center"/>
        <w:rPr>
          <w:rFonts w:hint="eastAsia" w:ascii="黑体" w:hAnsi="宋体" w:eastAsia="黑体" w:cs="黑体"/>
          <w:i w:val="0"/>
          <w:iCs w:val="0"/>
          <w:color w:val="000000"/>
          <w:kern w:val="0"/>
          <w:sz w:val="32"/>
          <w:szCs w:val="32"/>
          <w:u w:val="none"/>
          <w:lang w:val="en-US" w:eastAsia="zh-CN" w:bidi="ar"/>
        </w:rPr>
        <w:sectPr>
          <w:footerReference r:id="rId6" w:type="default"/>
          <w:pgSz w:w="11906" w:h="16838"/>
          <w:pgMar w:top="1440" w:right="1800" w:bottom="1440" w:left="1800" w:header="851" w:footer="992" w:gutter="0"/>
          <w:pgNumType w:fmt="decimal" w:start="1"/>
          <w:cols w:space="425" w:num="1"/>
          <w:docGrid w:type="lines" w:linePitch="312" w:charSpace="0"/>
        </w:sectPr>
      </w:pPr>
    </w:p>
    <w:tbl>
      <w:tblPr>
        <w:tblStyle w:val="13"/>
        <w:tblW w:w="152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5"/>
        <w:gridCol w:w="4398"/>
        <w:gridCol w:w="714"/>
        <w:gridCol w:w="867"/>
        <w:gridCol w:w="786"/>
        <w:gridCol w:w="1655"/>
        <w:gridCol w:w="1089"/>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90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4398"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714"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867"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7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8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525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25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1"/>
                <w:lang w:val="en-US" w:eastAsia="zh-CN" w:bidi="ar"/>
              </w:rPr>
              <w:t>（</w:t>
            </w:r>
            <w:r>
              <w:rPr>
                <w:rStyle w:val="32"/>
                <w:rFonts w:eastAsia="宋体"/>
                <w:lang w:val="en-US" w:eastAsia="zh-CN" w:bidi="ar"/>
              </w:rPr>
              <w:t xml:space="preserve">  2021 </w:t>
            </w:r>
            <w:r>
              <w:rPr>
                <w:rStyle w:val="31"/>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9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4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303"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注：项目支出包括部门预算支出和专项预算支出</w:t>
            </w:r>
          </w:p>
        </w:tc>
        <w:tc>
          <w:tcPr>
            <w:tcW w:w="7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42"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9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2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非税收入征收成本项目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165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广元市卫生健康委员会</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9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1"/>
                <w:lang w:val="en-US" w:eastAsia="zh-CN" w:bidi="ar"/>
              </w:rPr>
              <w:t>预算</w:t>
            </w:r>
            <w:r>
              <w:rPr>
                <w:rStyle w:val="31"/>
                <w:lang w:val="en-US" w:eastAsia="zh-CN" w:bidi="ar"/>
              </w:rPr>
              <w:br w:type="textWrapping"/>
            </w:r>
            <w:r>
              <w:rPr>
                <w:rStyle w:val="31"/>
                <w:lang w:val="en-US" w:eastAsia="zh-CN" w:bidi="ar"/>
              </w:rPr>
              <w:t>执行</w:t>
            </w:r>
            <w:r>
              <w:rPr>
                <w:rStyle w:val="31"/>
                <w:lang w:val="en-US" w:eastAsia="zh-CN" w:bidi="ar"/>
              </w:rPr>
              <w:br w:type="textWrapping"/>
            </w:r>
            <w:r>
              <w:rPr>
                <w:rStyle w:val="31"/>
                <w:lang w:val="en-US" w:eastAsia="zh-CN" w:bidi="ar"/>
              </w:rPr>
              <w:t>情况</w:t>
            </w:r>
            <w:r>
              <w:rPr>
                <w:rStyle w:val="31"/>
                <w:lang w:val="en-US" w:eastAsia="zh-CN" w:bidi="ar"/>
              </w:rPr>
              <w:br w:type="textWrapping"/>
            </w:r>
            <w:r>
              <w:rPr>
                <w:rStyle w:val="33"/>
                <w:lang w:val="en-US" w:eastAsia="zh-CN" w:bidi="ar"/>
              </w:rPr>
              <w:t>（万元）</w:t>
            </w:r>
          </w:p>
        </w:tc>
        <w:tc>
          <w:tcPr>
            <w:tcW w:w="5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8376.35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3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9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65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8376.35</w:t>
            </w:r>
          </w:p>
        </w:tc>
        <w:tc>
          <w:tcPr>
            <w:tcW w:w="165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90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6765" w:type="dxa"/>
            <w:gridSpan w:val="4"/>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586"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390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6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按照医院2021年年度预算目标，完成非税收入年度缴任务。</w:t>
            </w:r>
          </w:p>
        </w:tc>
        <w:tc>
          <w:tcPr>
            <w:tcW w:w="4586"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全年实际完成7716万元。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3905"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3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53"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6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3905" w:type="dxa"/>
            <w:vMerge w:val="continue"/>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714"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5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2021年非税收入征收完成数</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非税收入征收成本项目年初预算8376.35万元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实际完成7716万元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院区基础建设维修维护等多因素影响，非税收入未达预期，非税收入征收成本完成预算的92.12%。改进措施：科学预算非税收入，开展新项目、新业务。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390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3905"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5256"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注：项目支出绩效目标自评表在项目执行完毕后填报。</w:t>
            </w:r>
          </w:p>
        </w:tc>
      </w:tr>
    </w:tbl>
    <w:p>
      <w:pPr>
        <w:widowControl/>
        <w:jc w:val="left"/>
        <w:rPr>
          <w:rFonts w:hint="eastAsia" w:ascii="仿宋_GB2312" w:hAnsi="宋体" w:eastAsia="仿宋_GB2312"/>
          <w:b w:val="0"/>
          <w:bCs w:val="0"/>
          <w:sz w:val="32"/>
          <w:szCs w:val="32"/>
          <w:lang w:val="zh-CN"/>
        </w:rPr>
        <w:sectPr>
          <w:pgSz w:w="16838" w:h="11906" w:orient="landscape"/>
          <w:pgMar w:top="1440" w:right="2880" w:bottom="1440" w:left="2880" w:header="851" w:footer="992" w:gutter="0"/>
          <w:pgNumType w:fmt="decimal"/>
          <w:cols w:space="0" w:num="1"/>
          <w:titlePg/>
          <w:rtlGutter w:val="0"/>
          <w:docGrid w:type="lines" w:linePitch="319" w:charSpace="0"/>
        </w:sectPr>
      </w:pPr>
    </w:p>
    <w:tbl>
      <w:tblPr>
        <w:tblStyle w:val="13"/>
        <w:tblpPr w:leftFromText="180" w:rightFromText="180" w:vertAnchor="text" w:horzAnchor="page" w:tblpX="1584" w:tblpY="329"/>
        <w:tblOverlap w:val="never"/>
        <w:tblW w:w="14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0"/>
        <w:gridCol w:w="2022"/>
        <w:gridCol w:w="901"/>
        <w:gridCol w:w="2111"/>
        <w:gridCol w:w="1728"/>
        <w:gridCol w:w="1831"/>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69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2022"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90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211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7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8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445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445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2021 </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369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72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5712"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注：项目支出包括部门预算支出和专项预算支出</w:t>
            </w:r>
          </w:p>
        </w:tc>
        <w:tc>
          <w:tcPr>
            <w:tcW w:w="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7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6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21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广元市卫生健康委员会</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400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3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Style w:val="34"/>
                <w:lang w:val="en-US" w:eastAsia="zh-CN" w:bidi="ar"/>
              </w:rPr>
              <w:t>（万元）</w:t>
            </w:r>
          </w:p>
        </w:tc>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21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272.69</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4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3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3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272.69</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3690"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503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5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369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4"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电动手术床、暖箱、全自动精液分析仪、得邦激光消融手术系统、洗胃机、CT等10台设备预算资金742万元的政府采购；完成加温输液泵、牙科综合治疗仪、立式电子血压计、电子体重计、洗浴缸、功能性洗浴缸、红光治疗仪、CO2培养箱、恒温孵箱等12台预算金额47.78万元的院内采购。（上年度结转517.09万元，当年预算安排272.69万元）</w:t>
            </w:r>
          </w:p>
        </w:tc>
        <w:tc>
          <w:tcPr>
            <w:tcW w:w="5734"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实际完成电动手术床、暖箱、全自动精液分析仪、加温毯、电子体重计 、立式电子血压计、牙科综合治疗仪和红光治疗仪等新增14台件医疗设备的采购，使用资金76.5万元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690"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20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9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111"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6" w:hRule="atLeast"/>
        </w:trPr>
        <w:tc>
          <w:tcPr>
            <w:tcW w:w="3690" w:type="dxa"/>
            <w:vMerge w:val="continue"/>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90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1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完成22台件医疗设备采购。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完成22台医疗设备采购当年预算安排资金272.69万元。</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实际完成14台件医疗设备的采购，使用资金76.5万元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2021年总预算采购22台件预算经费789.78万元。经过考察、论证，因CT无操作人员、场地不具备和2020年12月底因“三乙”复评紧急采购了纳入2021年度预算内如辐射台等设备共计13台件，调减预算702.5万元，实际实施</w:t>
            </w:r>
            <w:r>
              <w:rPr>
                <w:rFonts w:hint="eastAsia" w:ascii="宋体" w:hAnsi="宋体" w:cs="宋体"/>
                <w:i w:val="0"/>
                <w:iCs w:val="0"/>
                <w:color w:val="000000"/>
                <w:kern w:val="0"/>
                <w:sz w:val="24"/>
                <w:szCs w:val="24"/>
                <w:u w:val="none"/>
                <w:lang w:val="en-US" w:eastAsia="zh-CN" w:bidi="ar"/>
              </w:rPr>
              <w:t>预算项目</w:t>
            </w:r>
            <w:r>
              <w:rPr>
                <w:rFonts w:hint="eastAsia" w:ascii="宋体" w:hAnsi="宋体" w:eastAsia="宋体" w:cs="宋体"/>
                <w:i w:val="0"/>
                <w:iCs w:val="0"/>
                <w:color w:val="000000"/>
                <w:kern w:val="0"/>
                <w:sz w:val="24"/>
                <w:szCs w:val="24"/>
                <w:u w:val="none"/>
                <w:lang w:val="en-US" w:eastAsia="zh-CN" w:bidi="ar"/>
              </w:rPr>
              <w:t>87.28万元。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69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9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1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7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183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21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3690" w:type="dxa"/>
            <w:vMerge w:val="continue"/>
            <w:tcBorders>
              <w:top w:val="single" w:color="000000" w:sz="4" w:space="0"/>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9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111"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采购价格</w:t>
            </w:r>
          </w:p>
        </w:tc>
        <w:tc>
          <w:tcPr>
            <w:tcW w:w="172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通过四川省政府采购系统查询对比近一时间段各设备的采购价格，严格控制招标预算价，控制成本。</w:t>
            </w:r>
          </w:p>
        </w:tc>
        <w:tc>
          <w:tcPr>
            <w:tcW w:w="18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14台件预算87.28万元，实际采购76.5万元，价格控制下浮12.35%。</w:t>
            </w:r>
          </w:p>
        </w:tc>
        <w:tc>
          <w:tcPr>
            <w:tcW w:w="2175" w:type="dxa"/>
            <w:tcBorders>
              <w:top w:val="single" w:color="auto" w:sz="4" w:space="0"/>
              <w:left w:val="single" w:color="000000"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690" w:type="dxa"/>
            <w:vMerge w:val="continue"/>
            <w:tcBorders>
              <w:top w:val="single" w:color="000000" w:sz="4" w:space="0"/>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0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1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保障医疗和患者安全，减少因设备故障导致的医疗纠纷。</w:t>
            </w:r>
          </w:p>
        </w:tc>
        <w:tc>
          <w:tcPr>
            <w:tcW w:w="17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保障医疗和患者安全，保障了经济效益的稳定。</w:t>
            </w:r>
          </w:p>
        </w:tc>
        <w:tc>
          <w:tcPr>
            <w:tcW w:w="1831"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21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690" w:type="dxa"/>
            <w:vMerge w:val="continue"/>
            <w:tcBorders>
              <w:top w:val="single" w:color="000000" w:sz="4" w:space="0"/>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11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指标1：保障医疗安全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对临床业务的开展起到了安全保障作用。</w:t>
            </w:r>
          </w:p>
        </w:tc>
        <w:tc>
          <w:tcPr>
            <w:tcW w:w="183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21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690" w:type="dxa"/>
            <w:vMerge w:val="continue"/>
            <w:tcBorders>
              <w:top w:val="single" w:color="000000" w:sz="4" w:space="0"/>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指标2：保障患者安全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给患者提供了安全的就医环境</w:t>
            </w:r>
          </w:p>
        </w:tc>
        <w:tc>
          <w:tcPr>
            <w:tcW w:w="183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21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690" w:type="dxa"/>
            <w:vMerge w:val="continue"/>
            <w:tcBorders>
              <w:top w:val="single" w:color="000000" w:sz="4" w:space="0"/>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1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无影响生态的情况发生</w:t>
            </w:r>
          </w:p>
        </w:tc>
        <w:tc>
          <w:tcPr>
            <w:tcW w:w="17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新购设备均无辐射，放射等有害物质，不影响生态</w:t>
            </w:r>
          </w:p>
        </w:tc>
        <w:tc>
          <w:tcPr>
            <w:tcW w:w="1831"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21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3690" w:type="dxa"/>
            <w:vMerge w:val="continue"/>
            <w:tcBorders>
              <w:top w:val="single" w:color="000000" w:sz="4" w:space="0"/>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11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为保持我院安全的诊治和就医环境保驾护航。</w:t>
            </w:r>
          </w:p>
        </w:tc>
        <w:tc>
          <w:tcPr>
            <w:tcW w:w="172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长久保持</w:t>
            </w:r>
          </w:p>
        </w:tc>
        <w:tc>
          <w:tcPr>
            <w:tcW w:w="18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217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369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01"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111"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指标1：临床医护人员、社会大众满意度提升</w:t>
            </w:r>
          </w:p>
        </w:tc>
        <w:tc>
          <w:tcPr>
            <w:tcW w:w="17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提升医护人员因硬件保障给予的安全感和满意度；提升社会大众就医体验和安全感，满意度提升。</w:t>
            </w:r>
          </w:p>
        </w:tc>
        <w:tc>
          <w:tcPr>
            <w:tcW w:w="183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21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69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指标2：管理部门满意度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690"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01"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指标3：医护满意度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14458" w:type="dxa"/>
            <w:gridSpan w:val="7"/>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注：项目支出绩效目标自评表在项目执行完毕后填报。</w:t>
            </w:r>
          </w:p>
        </w:tc>
      </w:tr>
    </w:tbl>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b w:val="0"/>
          <w:bCs w:val="0"/>
        </w:rPr>
      </w:pPr>
    </w:p>
    <w:p>
      <w:pPr>
        <w:keepNext w:val="0"/>
        <w:keepLines w:val="0"/>
        <w:widowControl/>
        <w:suppressLineNumbers w:val="0"/>
        <w:jc w:val="left"/>
        <w:textAlignment w:val="center"/>
        <w:rPr>
          <w:rFonts w:hint="eastAsia" w:ascii="黑体" w:hAnsi="宋体" w:eastAsia="黑体" w:cs="黑体"/>
          <w:i w:val="0"/>
          <w:iCs w:val="0"/>
          <w:color w:val="000000"/>
          <w:kern w:val="0"/>
          <w:sz w:val="32"/>
          <w:szCs w:val="32"/>
          <w:u w:val="none"/>
          <w:lang w:val="en-US" w:eastAsia="zh-CN" w:bidi="ar"/>
        </w:rPr>
        <w:sectPr>
          <w:pgSz w:w="16838" w:h="11906" w:orient="landscape"/>
          <w:pgMar w:top="1440" w:right="2880" w:bottom="1440" w:left="2880" w:header="851" w:footer="992" w:gutter="0"/>
          <w:pgNumType w:fmt="decimal"/>
          <w:cols w:space="0" w:num="1"/>
          <w:titlePg/>
          <w:rtlGutter w:val="0"/>
          <w:docGrid w:type="lines" w:linePitch="319" w:charSpace="0"/>
        </w:sectPr>
      </w:pPr>
    </w:p>
    <w:tbl>
      <w:tblPr>
        <w:tblStyle w:val="13"/>
        <w:tblW w:w="9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1"/>
        <w:gridCol w:w="3136"/>
        <w:gridCol w:w="651"/>
        <w:gridCol w:w="495"/>
        <w:gridCol w:w="658"/>
        <w:gridCol w:w="953"/>
        <w:gridCol w:w="1038"/>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313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65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49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6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5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5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2021 </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223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3"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67"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注：项目支出包括部门预算支出和专项预算支出</w:t>
            </w:r>
          </w:p>
        </w:tc>
        <w:tc>
          <w:tcPr>
            <w:tcW w:w="6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办公设备采购项目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115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广元市卫生健康委员会</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3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2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5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40"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完成2021年度预算内各项软硬件招标采购及安装使用</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已完成2021年度预算内各项软硬件招标采购及安装使用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31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53"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95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6"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6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53"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完成2021办公设备采购内容</w:t>
            </w:r>
          </w:p>
        </w:tc>
        <w:tc>
          <w:tcPr>
            <w:tcW w:w="95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14.3万元。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完成2021年度预算内各项办公设备购置</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53"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95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5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对工作的促进作用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提高工作人员的工作效率</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管理部门满意度</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医患满意度</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56"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注：项目支出绩效目标自评表在项目执行完毕后填报。</w:t>
            </w:r>
          </w:p>
        </w:tc>
      </w:tr>
    </w:tbl>
    <w:p>
      <w:pPr>
        <w:pStyle w:val="6"/>
        <w:rPr>
          <w:rFonts w:hint="eastAsia"/>
          <w:color w:val="auto"/>
          <w:highlight w:val="none"/>
          <w:lang w:val="zh-CN"/>
        </w:rPr>
      </w:pPr>
    </w:p>
    <w:tbl>
      <w:tblPr>
        <w:tblStyle w:val="13"/>
        <w:tblW w:w="9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1"/>
        <w:gridCol w:w="3453"/>
        <w:gridCol w:w="608"/>
        <w:gridCol w:w="557"/>
        <w:gridCol w:w="640"/>
        <w:gridCol w:w="975"/>
        <w:gridCol w:w="1011"/>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05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3453"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608"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557"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6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0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7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999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99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35"/>
                <w:rFonts w:eastAsia="宋体"/>
                <w:lang w:val="en-US" w:eastAsia="zh-CN" w:bidi="ar"/>
              </w:rPr>
              <w:t xml:space="preserve">   2021 </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05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3"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504"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注：项目支出包括部门预算支出和专项预算支出</w:t>
            </w:r>
          </w:p>
        </w:tc>
        <w:tc>
          <w:tcPr>
            <w:tcW w:w="6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0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119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广元市卫生健康委员会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1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4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7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5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疫情监测上报系统、不良事件管理系统、输血科LIS系统共计38万元。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2021年已完成疫情监测上报系统、不良事件管理系统、输血科LIS系统3项新增院内采购。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1" w:hRule="atLeast"/>
        </w:trPr>
        <w:tc>
          <w:tcPr>
            <w:tcW w:w="205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3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2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完成3项信息软硬件招标采购。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完成3项医院各类软硬件系统预算38万元。</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完成3项新增医院各类软硬件系统院内采购。</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2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1" w:hRule="atLeast"/>
        </w:trPr>
        <w:tc>
          <w:tcPr>
            <w:tcW w:w="2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对工作的促进作用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促进医院信息化建设，确保信息网络安全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2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软硬件管理部门满意度≥95%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2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软硬件使用者满意度≥95%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9995"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注：项目支出绩效目标自评表在项目执行完毕后填报。</w:t>
            </w:r>
          </w:p>
        </w:tc>
      </w:tr>
    </w:tbl>
    <w:p>
      <w:pPr>
        <w:pStyle w:val="6"/>
        <w:rPr>
          <w:rFonts w:hint="eastAsia"/>
          <w:color w:val="auto"/>
          <w:highlight w:val="none"/>
          <w:lang w:val="zh-CN"/>
        </w:rPr>
        <w:sectPr>
          <w:pgSz w:w="11906" w:h="16838"/>
          <w:pgMar w:top="1440" w:right="1803" w:bottom="1440" w:left="1803" w:header="851" w:footer="992" w:gutter="0"/>
          <w:pgNumType w:fmt="decimal"/>
          <w:cols w:space="0" w:num="1"/>
          <w:titlePg/>
          <w:rtlGutter w:val="0"/>
          <w:docGrid w:type="lines" w:linePitch="319" w:charSpace="0"/>
        </w:sectPr>
      </w:pPr>
    </w:p>
    <w:tbl>
      <w:tblPr>
        <w:tblStyle w:val="13"/>
        <w:tblW w:w="99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9"/>
        <w:gridCol w:w="2340"/>
        <w:gridCol w:w="1671"/>
        <w:gridCol w:w="596"/>
        <w:gridCol w:w="644"/>
        <w:gridCol w:w="1136"/>
        <w:gridCol w:w="970"/>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979"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234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67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59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64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1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997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997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2021 </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97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7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5990" w:type="dxa"/>
            <w:gridSpan w:val="3"/>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注：项目支出包括部门预算支出和专项预算支出</w:t>
            </w:r>
          </w:p>
        </w:tc>
        <w:tc>
          <w:tcPr>
            <w:tcW w:w="5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物业管理费项目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主管单位</w:t>
            </w:r>
          </w:p>
        </w:tc>
        <w:tc>
          <w:tcPr>
            <w:tcW w:w="124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广元市卫生健康委员会</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6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344.12</w:t>
            </w:r>
          </w:p>
        </w:tc>
        <w:tc>
          <w:tcPr>
            <w:tcW w:w="113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5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5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完成2021年全院环境卫生、水电维护、安全保卫等和布类洗涤合同内容</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已完成2021年全院环境卫生、水电维护、安全保卫等和布类洗涤合同内容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197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2340" w:type="dxa"/>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6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4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实际完成指标值（包含数字及文字描述）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97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项目完成指标</w:t>
            </w:r>
          </w:p>
        </w:tc>
        <w:tc>
          <w:tcPr>
            <w:tcW w:w="167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4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完成2021物业管理合同内容</w:t>
            </w:r>
          </w:p>
        </w:tc>
        <w:tc>
          <w:tcPr>
            <w:tcW w:w="11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344.12万元。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完成2021年全院环境卫生、水电维护、安全保卫等和布类洗涤合同内容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97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7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4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2021年12月底</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改善医患的工作就医环境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保障医疗环境，减少医护人员繁杂事务，提高医护人员的工作质量</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管理部门满意度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医患满意度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达到预期目标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976"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注：项目支出绩效目标自评表在项目执行完毕后填报。</w:t>
            </w:r>
          </w:p>
        </w:tc>
      </w:tr>
    </w:tbl>
    <w:p>
      <w:pPr>
        <w:pStyle w:val="6"/>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spacing w:line="600" w:lineRule="exact"/>
        <w:jc w:val="both"/>
        <w:outlineLvl w:val="9"/>
        <w:rPr>
          <w:rFonts w:hint="eastAsia" w:ascii="黑体" w:hAnsi="黑体" w:eastAsia="黑体"/>
          <w:color w:val="auto"/>
          <w:sz w:val="44"/>
          <w:szCs w:val="44"/>
          <w:highlight w:val="none"/>
        </w:rPr>
      </w:pPr>
      <w:bookmarkStart w:id="108" w:name="_Toc15396618"/>
    </w:p>
    <w:p>
      <w:pPr>
        <w:pStyle w:val="9"/>
        <w:rPr>
          <w:rFonts w:hint="eastAsia" w:ascii="黑体" w:hAnsi="黑体" w:eastAsia="黑体"/>
          <w:color w:val="auto"/>
          <w:sz w:val="44"/>
          <w:szCs w:val="44"/>
          <w:highlight w:val="none"/>
        </w:rPr>
      </w:pPr>
    </w:p>
    <w:p>
      <w:pPr>
        <w:pStyle w:val="9"/>
        <w:rPr>
          <w:rFonts w:hint="eastAsia" w:ascii="黑体" w:hAnsi="黑体" w:eastAsia="黑体"/>
          <w:color w:val="auto"/>
          <w:sz w:val="44"/>
          <w:szCs w:val="44"/>
          <w:highlight w:val="none"/>
        </w:rPr>
      </w:pPr>
    </w:p>
    <w:p>
      <w:pPr>
        <w:pStyle w:val="9"/>
        <w:rPr>
          <w:rFonts w:hint="eastAsia" w:ascii="黑体" w:hAnsi="黑体" w:eastAsia="黑体"/>
          <w:color w:val="auto"/>
          <w:sz w:val="44"/>
          <w:szCs w:val="44"/>
          <w:highlight w:val="none"/>
        </w:rPr>
      </w:pPr>
    </w:p>
    <w:p>
      <w:pPr>
        <w:pStyle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09" w:name="_Toc8769"/>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4"/>
      <w:bookmarkEnd w:id="108"/>
      <w:bookmarkEnd w:id="109"/>
      <w:bookmarkStart w:id="110" w:name="_Toc15396619"/>
    </w:p>
    <w:p>
      <w:pPr>
        <w:pStyle w:val="4"/>
        <w:rPr>
          <w:rFonts w:ascii="仿宋" w:hAnsi="仿宋" w:eastAsia="仿宋"/>
          <w:color w:val="auto"/>
          <w:highlight w:val="none"/>
        </w:rPr>
      </w:pPr>
      <w:bookmarkStart w:id="111" w:name="_Toc402"/>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110"/>
      <w:bookmarkEnd w:id="111"/>
    </w:p>
    <w:p>
      <w:pPr>
        <w:pStyle w:val="4"/>
        <w:rPr>
          <w:rFonts w:ascii="仿宋" w:hAnsi="仿宋" w:eastAsia="仿宋"/>
          <w:color w:val="auto"/>
          <w:highlight w:val="none"/>
        </w:rPr>
      </w:pPr>
      <w:bookmarkStart w:id="112" w:name="_Toc19248"/>
      <w:bookmarkStart w:id="113"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112"/>
      <w:bookmarkEnd w:id="113"/>
    </w:p>
    <w:p>
      <w:pPr>
        <w:pStyle w:val="4"/>
        <w:rPr>
          <w:rFonts w:ascii="仿宋" w:hAnsi="仿宋" w:eastAsia="仿宋"/>
          <w:color w:val="auto"/>
          <w:highlight w:val="none"/>
        </w:rPr>
      </w:pPr>
      <w:bookmarkStart w:id="114" w:name="_Toc15396621"/>
      <w:bookmarkStart w:id="115" w:name="_Toc31315"/>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114"/>
      <w:bookmarkEnd w:id="115"/>
    </w:p>
    <w:p>
      <w:pPr>
        <w:pStyle w:val="4"/>
        <w:rPr>
          <w:rFonts w:ascii="仿宋" w:hAnsi="仿宋" w:eastAsia="仿宋"/>
          <w:b w:val="0"/>
          <w:color w:val="auto"/>
          <w:highlight w:val="none"/>
        </w:rPr>
      </w:pPr>
      <w:bookmarkStart w:id="116" w:name="_Toc16610"/>
      <w:bookmarkStart w:id="11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116"/>
      <w:bookmarkEnd w:id="117"/>
    </w:p>
    <w:p>
      <w:pPr>
        <w:pStyle w:val="4"/>
        <w:rPr>
          <w:rStyle w:val="26"/>
          <w:rFonts w:ascii="仿宋" w:hAnsi="仿宋" w:eastAsia="仿宋"/>
          <w:b w:val="0"/>
          <w:bCs w:val="0"/>
          <w:color w:val="auto"/>
          <w:highlight w:val="none"/>
        </w:rPr>
      </w:pPr>
      <w:bookmarkStart w:id="118" w:name="_Toc15396623"/>
      <w:bookmarkStart w:id="119" w:name="_Toc1881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118"/>
      <w:bookmarkEnd w:id="119"/>
      <w:bookmarkStart w:id="120" w:name="_Toc15396624"/>
    </w:p>
    <w:p>
      <w:pPr>
        <w:pStyle w:val="4"/>
        <w:rPr>
          <w:rFonts w:ascii="仿宋" w:hAnsi="仿宋" w:eastAsia="仿宋"/>
          <w:color w:val="auto"/>
          <w:highlight w:val="none"/>
        </w:rPr>
      </w:pPr>
      <w:bookmarkStart w:id="121" w:name="_Toc21063"/>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120"/>
      <w:bookmarkEnd w:id="121"/>
    </w:p>
    <w:p>
      <w:pPr>
        <w:pStyle w:val="4"/>
        <w:rPr>
          <w:rFonts w:ascii="仿宋" w:hAnsi="仿宋" w:eastAsia="仿宋"/>
          <w:color w:val="auto"/>
          <w:highlight w:val="none"/>
        </w:rPr>
      </w:pPr>
      <w:bookmarkStart w:id="122" w:name="_Toc15396625"/>
      <w:bookmarkStart w:id="123" w:name="_Toc27080"/>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122"/>
      <w:bookmarkEnd w:id="123"/>
    </w:p>
    <w:p>
      <w:pPr>
        <w:pStyle w:val="4"/>
        <w:rPr>
          <w:rFonts w:ascii="仿宋" w:hAnsi="仿宋" w:eastAsia="仿宋"/>
          <w:color w:val="auto"/>
          <w:highlight w:val="none"/>
        </w:rPr>
      </w:pPr>
      <w:bookmarkStart w:id="124" w:name="_Toc151"/>
      <w:bookmarkStart w:id="125"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124"/>
      <w:bookmarkEnd w:id="125"/>
    </w:p>
    <w:p>
      <w:pPr>
        <w:pStyle w:val="4"/>
        <w:rPr>
          <w:rFonts w:ascii="仿宋" w:hAnsi="仿宋" w:eastAsia="仿宋"/>
          <w:color w:val="auto"/>
          <w:highlight w:val="none"/>
        </w:rPr>
      </w:pPr>
      <w:bookmarkStart w:id="126" w:name="_Toc2920"/>
      <w:bookmarkStart w:id="127"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26"/>
      <w:bookmarkEnd w:id="127"/>
    </w:p>
    <w:p>
      <w:pPr>
        <w:pStyle w:val="4"/>
        <w:rPr>
          <w:rFonts w:ascii="仿宋" w:hAnsi="仿宋" w:eastAsia="仿宋"/>
          <w:color w:val="auto"/>
          <w:highlight w:val="none"/>
        </w:rPr>
      </w:pPr>
      <w:bookmarkStart w:id="128" w:name="_Toc15396628"/>
      <w:bookmarkStart w:id="129" w:name="_Toc195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128"/>
      <w:bookmarkEnd w:id="129"/>
    </w:p>
    <w:p>
      <w:pPr>
        <w:pStyle w:val="4"/>
        <w:rPr>
          <w:rFonts w:ascii="仿宋" w:hAnsi="仿宋" w:eastAsia="仿宋"/>
          <w:color w:val="auto"/>
          <w:highlight w:val="none"/>
        </w:rPr>
      </w:pPr>
      <w:bookmarkStart w:id="130" w:name="_Toc15396629"/>
      <w:bookmarkStart w:id="131" w:name="_Toc23946"/>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30"/>
      <w:bookmarkEnd w:id="131"/>
    </w:p>
    <w:p>
      <w:pPr>
        <w:pStyle w:val="4"/>
        <w:rPr>
          <w:rFonts w:ascii="仿宋" w:hAnsi="仿宋" w:eastAsia="仿宋"/>
          <w:color w:val="auto"/>
          <w:highlight w:val="none"/>
        </w:rPr>
      </w:pPr>
      <w:bookmarkStart w:id="132" w:name="_Toc23026"/>
      <w:bookmarkStart w:id="133"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132"/>
      <w:bookmarkEnd w:id="133"/>
    </w:p>
    <w:p>
      <w:pPr>
        <w:pStyle w:val="4"/>
        <w:rPr>
          <w:rStyle w:val="26"/>
          <w:rFonts w:hint="eastAsia" w:ascii="仿宋" w:hAnsi="仿宋" w:eastAsia="仿宋"/>
          <w:b w:val="0"/>
          <w:bCs w:val="0"/>
          <w:color w:val="auto"/>
          <w:highlight w:val="none"/>
        </w:rPr>
      </w:pPr>
      <w:bookmarkStart w:id="134" w:name="_Toc15396631"/>
      <w:bookmarkStart w:id="135" w:name="_Toc427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34"/>
      <w:bookmarkEnd w:id="135"/>
    </w:p>
    <w:p>
      <w:pPr>
        <w:rPr>
          <w:rFonts w:hint="eastAsia" w:eastAsia="仿宋"/>
          <w:color w:val="auto"/>
          <w:highlight w:val="none"/>
          <w:lang w:eastAsia="zh-CN"/>
        </w:rPr>
      </w:pPr>
      <w:bookmarkStart w:id="136" w:name="_Toc13834"/>
      <w:r>
        <w:rPr>
          <w:rStyle w:val="26"/>
          <w:rFonts w:hint="eastAsia" w:ascii="仿宋" w:hAnsi="仿宋" w:eastAsia="仿宋"/>
          <w:b w:val="0"/>
          <w:bCs w:val="0"/>
          <w:color w:val="auto"/>
          <w:highlight w:val="none"/>
          <w:lang w:eastAsia="zh-CN"/>
        </w:rPr>
        <w:t>十四、国有资本经营预算财政拨款支出决算表</w:t>
      </w:r>
      <w:bookmarkEnd w:id="136"/>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altName w:val="黑体"/>
    <w:panose1 w:val="020B0503020204020204"/>
    <w:charset w:val="86"/>
    <w:family w:val="swiss"/>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12" w:usb3="00000000" w:csb0="00040001" w:csb1="00000000"/>
  </w:font>
  <w:font w:name="MingLiU">
    <w:altName w:val="宋体"/>
    <w:panose1 w:val="02020509000000000000"/>
    <w:charset w:val="88"/>
    <w:family w:val="modern"/>
    <w:pitch w:val="default"/>
    <w:sig w:usb0="00000000" w:usb1="00000000" w:usb2="00000016" w:usb3="00000000" w:csb0="00100001" w:csb1="00000000"/>
  </w:font>
  <w:font w:name="Lucida Sans">
    <w:panose1 w:val="020B0602030504020204"/>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E5F7F"/>
    <w:multiLevelType w:val="singleLevel"/>
    <w:tmpl w:val="A4AE5F7F"/>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E2C5636"/>
    <w:multiLevelType w:val="singleLevel"/>
    <w:tmpl w:val="EE2C5636"/>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4D9DC4A4"/>
    <w:multiLevelType w:val="singleLevel"/>
    <w:tmpl w:val="4D9DC4A4"/>
    <w:lvl w:ilvl="0" w:tentative="0">
      <w:start w:val="2"/>
      <w:numFmt w:val="chineseCounting"/>
      <w:suff w:val="nothing"/>
      <w:lvlText w:val="（%1）"/>
      <w:lvlJc w:val="left"/>
      <w:rPr>
        <w:rFonts w:hint="eastAsia"/>
      </w:rPr>
    </w:lvl>
  </w:abstractNum>
  <w:abstractNum w:abstractNumId="7">
    <w:nsid w:val="5EA3A3AE"/>
    <w:multiLevelType w:val="singleLevel"/>
    <w:tmpl w:val="5EA3A3AE"/>
    <w:lvl w:ilvl="0" w:tentative="0">
      <w:start w:val="2"/>
      <w:numFmt w:val="chineseCounting"/>
      <w:suff w:val="nothing"/>
      <w:lvlText w:val="（%1）"/>
      <w:lvlJc w:val="left"/>
      <w:rPr>
        <w:rFonts w:hint="eastAsia"/>
      </w:rPr>
    </w:lvl>
  </w:abstractNum>
  <w:abstractNum w:abstractNumId="8">
    <w:nsid w:val="67E51FC0"/>
    <w:multiLevelType w:val="singleLevel"/>
    <w:tmpl w:val="67E51FC0"/>
    <w:lvl w:ilvl="0" w:tentative="0">
      <w:start w:val="2"/>
      <w:numFmt w:val="chineseCounting"/>
      <w:suff w:val="nothing"/>
      <w:lvlText w:val="（%1）"/>
      <w:lvlJc w:val="left"/>
      <w:rPr>
        <w:rFonts w:hint="eastAsia"/>
      </w:rPr>
    </w:lvl>
  </w:abstractNum>
  <w:num w:numId="1">
    <w:abstractNumId w:val="4"/>
  </w:num>
  <w:num w:numId="2">
    <w:abstractNumId w:val="1"/>
  </w:num>
  <w:num w:numId="3">
    <w:abstractNumId w:val="2"/>
  </w:num>
  <w:num w:numId="4">
    <w:abstractNumId w:val="8"/>
  </w:num>
  <w:num w:numId="5">
    <w:abstractNumId w:val="7"/>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M2Y0Yzc2NjI2OWVmODcwNDk1NGM1NGFkOWQyNz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22B0"/>
    <w:rsid w:val="020A49BE"/>
    <w:rsid w:val="026C6D7F"/>
    <w:rsid w:val="03AA5DB1"/>
    <w:rsid w:val="04446205"/>
    <w:rsid w:val="04620439"/>
    <w:rsid w:val="06A07661"/>
    <w:rsid w:val="0A2032A3"/>
    <w:rsid w:val="0AE95411"/>
    <w:rsid w:val="0B8A37D8"/>
    <w:rsid w:val="0CCD1BCA"/>
    <w:rsid w:val="0CDD2D53"/>
    <w:rsid w:val="0EAA3109"/>
    <w:rsid w:val="0FA565C0"/>
    <w:rsid w:val="10265826"/>
    <w:rsid w:val="10B677AB"/>
    <w:rsid w:val="10C055FF"/>
    <w:rsid w:val="11390774"/>
    <w:rsid w:val="118107EC"/>
    <w:rsid w:val="11DD6519"/>
    <w:rsid w:val="13702B73"/>
    <w:rsid w:val="14A94A6D"/>
    <w:rsid w:val="15A5233F"/>
    <w:rsid w:val="16BB723D"/>
    <w:rsid w:val="170F4451"/>
    <w:rsid w:val="172121B7"/>
    <w:rsid w:val="17367E5E"/>
    <w:rsid w:val="17E92C79"/>
    <w:rsid w:val="18015F3F"/>
    <w:rsid w:val="181D2B9D"/>
    <w:rsid w:val="19102702"/>
    <w:rsid w:val="1A3B37AF"/>
    <w:rsid w:val="1BBA6A8E"/>
    <w:rsid w:val="1BE8440E"/>
    <w:rsid w:val="1CC932F4"/>
    <w:rsid w:val="1CD87093"/>
    <w:rsid w:val="1D155CEE"/>
    <w:rsid w:val="1F5D53A5"/>
    <w:rsid w:val="20F57F95"/>
    <w:rsid w:val="21CD2F3E"/>
    <w:rsid w:val="240371BF"/>
    <w:rsid w:val="255B2F57"/>
    <w:rsid w:val="25C741E6"/>
    <w:rsid w:val="26064C71"/>
    <w:rsid w:val="266A16A4"/>
    <w:rsid w:val="27842671"/>
    <w:rsid w:val="27B70919"/>
    <w:rsid w:val="288A1BE1"/>
    <w:rsid w:val="29FD04D3"/>
    <w:rsid w:val="2ABE7A3E"/>
    <w:rsid w:val="2C0734F1"/>
    <w:rsid w:val="2C655541"/>
    <w:rsid w:val="2CCE490E"/>
    <w:rsid w:val="2CFE2B46"/>
    <w:rsid w:val="2D7256F4"/>
    <w:rsid w:val="2DA52FC1"/>
    <w:rsid w:val="2DE7182C"/>
    <w:rsid w:val="2EFA178C"/>
    <w:rsid w:val="2F4F1437"/>
    <w:rsid w:val="2F725125"/>
    <w:rsid w:val="2F9E6601"/>
    <w:rsid w:val="30B46D73"/>
    <w:rsid w:val="31210BB1"/>
    <w:rsid w:val="318667A4"/>
    <w:rsid w:val="319F7F4E"/>
    <w:rsid w:val="31B55780"/>
    <w:rsid w:val="31E340B8"/>
    <w:rsid w:val="322E5C7B"/>
    <w:rsid w:val="32C043F9"/>
    <w:rsid w:val="36A91D7B"/>
    <w:rsid w:val="36D935FC"/>
    <w:rsid w:val="3904166C"/>
    <w:rsid w:val="39665CFB"/>
    <w:rsid w:val="39AE70AB"/>
    <w:rsid w:val="39F552D0"/>
    <w:rsid w:val="3B070E17"/>
    <w:rsid w:val="3B3A743F"/>
    <w:rsid w:val="3B883620"/>
    <w:rsid w:val="3B9308FD"/>
    <w:rsid w:val="3C0C0783"/>
    <w:rsid w:val="3D851A53"/>
    <w:rsid w:val="3F795B0E"/>
    <w:rsid w:val="3F9F3A96"/>
    <w:rsid w:val="40350D30"/>
    <w:rsid w:val="40353AA6"/>
    <w:rsid w:val="4130721E"/>
    <w:rsid w:val="41E225DE"/>
    <w:rsid w:val="427A45C5"/>
    <w:rsid w:val="428B0580"/>
    <w:rsid w:val="44E549A1"/>
    <w:rsid w:val="459040FF"/>
    <w:rsid w:val="459C0CF6"/>
    <w:rsid w:val="46AE6F33"/>
    <w:rsid w:val="473A2575"/>
    <w:rsid w:val="475F6ED5"/>
    <w:rsid w:val="4921582F"/>
    <w:rsid w:val="493C27E9"/>
    <w:rsid w:val="496F39ED"/>
    <w:rsid w:val="49BD29C4"/>
    <w:rsid w:val="49FF41D3"/>
    <w:rsid w:val="4A185DC8"/>
    <w:rsid w:val="4A4F4589"/>
    <w:rsid w:val="4BE068DB"/>
    <w:rsid w:val="4BF6002B"/>
    <w:rsid w:val="4C286E40"/>
    <w:rsid w:val="4DDF3E76"/>
    <w:rsid w:val="4E192EE4"/>
    <w:rsid w:val="4ECE2238"/>
    <w:rsid w:val="50CE3F8C"/>
    <w:rsid w:val="50E00707"/>
    <w:rsid w:val="50F1639A"/>
    <w:rsid w:val="51DB4B86"/>
    <w:rsid w:val="52D715BF"/>
    <w:rsid w:val="54372976"/>
    <w:rsid w:val="55333C3E"/>
    <w:rsid w:val="55BF5472"/>
    <w:rsid w:val="563B7C2C"/>
    <w:rsid w:val="56974AC1"/>
    <w:rsid w:val="57816BC8"/>
    <w:rsid w:val="586036F9"/>
    <w:rsid w:val="587A6C75"/>
    <w:rsid w:val="598D4786"/>
    <w:rsid w:val="59B14918"/>
    <w:rsid w:val="5A6E45B7"/>
    <w:rsid w:val="5B991686"/>
    <w:rsid w:val="5B9B5880"/>
    <w:rsid w:val="5BA33B46"/>
    <w:rsid w:val="5BD5554D"/>
    <w:rsid w:val="5C5138D1"/>
    <w:rsid w:val="5E426F07"/>
    <w:rsid w:val="5E9020AF"/>
    <w:rsid w:val="6017124D"/>
    <w:rsid w:val="60BD4449"/>
    <w:rsid w:val="643638B2"/>
    <w:rsid w:val="643B19AE"/>
    <w:rsid w:val="64CA39A1"/>
    <w:rsid w:val="65134C86"/>
    <w:rsid w:val="65C94D98"/>
    <w:rsid w:val="67BA0E3C"/>
    <w:rsid w:val="67BF28F6"/>
    <w:rsid w:val="6A5D2B08"/>
    <w:rsid w:val="6C4A05C8"/>
    <w:rsid w:val="6CF365A1"/>
    <w:rsid w:val="6E7E7AF9"/>
    <w:rsid w:val="6E963C85"/>
    <w:rsid w:val="6FD55D25"/>
    <w:rsid w:val="6FE56C72"/>
    <w:rsid w:val="6FE843C6"/>
    <w:rsid w:val="70C96594"/>
    <w:rsid w:val="71D945B4"/>
    <w:rsid w:val="72734D90"/>
    <w:rsid w:val="743B7EA5"/>
    <w:rsid w:val="759F66BD"/>
    <w:rsid w:val="772D11DE"/>
    <w:rsid w:val="79E7B28D"/>
    <w:rsid w:val="7B0F1047"/>
    <w:rsid w:val="7B3F192C"/>
    <w:rsid w:val="7B6A2721"/>
    <w:rsid w:val="7C775BAB"/>
    <w:rsid w:val="7F9F20EE"/>
    <w:rsid w:val="7FFB8A12"/>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lang w:bidi="ar-SA"/>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font41"/>
    <w:basedOn w:val="14"/>
    <w:qFormat/>
    <w:uiPriority w:val="0"/>
    <w:rPr>
      <w:rFonts w:hint="eastAsia" w:ascii="宋体" w:hAnsi="宋体" w:eastAsia="宋体" w:cs="宋体"/>
      <w:color w:val="000000"/>
      <w:sz w:val="24"/>
      <w:szCs w:val="24"/>
      <w:u w:val="none"/>
    </w:rPr>
  </w:style>
  <w:style w:type="character" w:customStyle="1" w:styleId="32">
    <w:name w:val="font71"/>
    <w:basedOn w:val="14"/>
    <w:qFormat/>
    <w:uiPriority w:val="0"/>
    <w:rPr>
      <w:rFonts w:hint="default" w:ascii="Times New Roman" w:hAnsi="Times New Roman" w:cs="Times New Roman"/>
      <w:color w:val="000000"/>
      <w:sz w:val="24"/>
      <w:szCs w:val="24"/>
      <w:u w:val="none"/>
    </w:rPr>
  </w:style>
  <w:style w:type="character" w:customStyle="1" w:styleId="33">
    <w:name w:val="font51"/>
    <w:basedOn w:val="14"/>
    <w:qFormat/>
    <w:uiPriority w:val="0"/>
    <w:rPr>
      <w:rFonts w:hint="eastAsia" w:ascii="宋体" w:hAnsi="宋体" w:eastAsia="宋体" w:cs="宋体"/>
      <w:color w:val="000000"/>
      <w:sz w:val="16"/>
      <w:szCs w:val="16"/>
      <w:u w:val="none"/>
    </w:rPr>
  </w:style>
  <w:style w:type="character" w:customStyle="1" w:styleId="34">
    <w:name w:val="font81"/>
    <w:basedOn w:val="14"/>
    <w:qFormat/>
    <w:uiPriority w:val="0"/>
    <w:rPr>
      <w:rFonts w:hint="eastAsia" w:ascii="宋体" w:hAnsi="宋体" w:eastAsia="宋体" w:cs="宋体"/>
      <w:color w:val="000000"/>
      <w:sz w:val="16"/>
      <w:szCs w:val="16"/>
      <w:u w:val="none"/>
    </w:rPr>
  </w:style>
  <w:style w:type="character" w:customStyle="1" w:styleId="35">
    <w:name w:val="font61"/>
    <w:basedOn w:val="14"/>
    <w:qFormat/>
    <w:uiPriority w:val="0"/>
    <w:rPr>
      <w:rFonts w:hint="default" w:ascii="Times New Roman" w:hAnsi="Times New Roman" w:cs="Times New Roman"/>
      <w:color w:val="000000"/>
      <w:sz w:val="24"/>
      <w:szCs w:val="24"/>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17944</Words>
  <Characters>19239</Characters>
  <Lines>61</Lines>
  <Paragraphs>17</Paragraphs>
  <TotalTime>10</TotalTime>
  <ScaleCrop>false</ScaleCrop>
  <LinksUpToDate>false</LinksUpToDate>
  <CharactersWithSpaces>19490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2022-09-30T08:16:00Z</cp:lastPrinted>
  <dcterms:modified xsi:type="dcterms:W3CDTF">2023-09-14T10:41:29Z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